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B3B5" w14:textId="77777777" w:rsidR="00396629" w:rsidRPr="0080127D" w:rsidRDefault="00396629" w:rsidP="00396629">
      <w:pPr>
        <w:pStyle w:val="Heading1"/>
        <w:jc w:val="center"/>
        <w:rPr>
          <w:rFonts w:ascii="Arial" w:hAnsi="Arial" w:cs="Arial"/>
          <w:b/>
          <w:color w:val="auto"/>
          <w:sz w:val="24"/>
          <w:szCs w:val="24"/>
          <w:lang w:val="en"/>
        </w:rPr>
      </w:pPr>
      <w:r w:rsidRPr="0080127D">
        <w:rPr>
          <w:rFonts w:ascii="Arial" w:hAnsi="Arial" w:cs="Arial"/>
          <w:b/>
          <w:color w:val="auto"/>
          <w:sz w:val="24"/>
          <w:szCs w:val="24"/>
          <w:lang w:val="en"/>
        </w:rPr>
        <w:t>Massachusetts Board of Registration in Nursing</w:t>
      </w:r>
    </w:p>
    <w:p w14:paraId="38CFD596" w14:textId="44CCF77A" w:rsidR="00396629" w:rsidRPr="00B318AF" w:rsidRDefault="00396629" w:rsidP="00396629">
      <w:pPr>
        <w:jc w:val="center"/>
        <w:rPr>
          <w:rFonts w:ascii="Arial" w:hAnsi="Arial"/>
          <w:b/>
          <w:bCs/>
          <w:strike/>
          <w:lang w:val="en"/>
        </w:rPr>
      </w:pPr>
      <w:r w:rsidRPr="00B318AF">
        <w:rPr>
          <w:rFonts w:ascii="Arial" w:hAnsi="Arial" w:cs="Arial"/>
          <w:b/>
          <w:bCs/>
          <w:lang w:val="en"/>
        </w:rPr>
        <w:t xml:space="preserve">Advisory Ruling </w:t>
      </w:r>
      <w:r w:rsidR="00B318AF" w:rsidRPr="00B318AF">
        <w:rPr>
          <w:rFonts w:ascii="Arial" w:hAnsi="Arial" w:cs="Arial"/>
          <w:b/>
          <w:bCs/>
          <w:lang w:val="en"/>
        </w:rPr>
        <w:t>25-02</w:t>
      </w:r>
    </w:p>
    <w:p w14:paraId="1841A320" w14:textId="77777777" w:rsidR="00396629" w:rsidRPr="00386B73" w:rsidRDefault="00396629" w:rsidP="00396629">
      <w:pPr>
        <w:rPr>
          <w:rFonts w:ascii="Arial" w:hAnsi="Arial"/>
          <w:lang w:val="en"/>
        </w:rPr>
      </w:pPr>
    </w:p>
    <w:p w14:paraId="291BCEFB" w14:textId="77777777" w:rsidR="00396629" w:rsidRPr="00AC77F8" w:rsidRDefault="00396629" w:rsidP="00396629">
      <w:pPr>
        <w:keepNext/>
        <w:outlineLvl w:val="0"/>
        <w:rPr>
          <w:rFonts w:ascii="Arial" w:hAnsi="Arial" w:cs="Arial"/>
          <w:b/>
          <w:lang w:val="en"/>
        </w:rPr>
      </w:pPr>
    </w:p>
    <w:p w14:paraId="2AE02A2F" w14:textId="77777777" w:rsidR="00396629" w:rsidRPr="00386B73" w:rsidRDefault="00396629" w:rsidP="00396629">
      <w:pPr>
        <w:keepNext/>
        <w:outlineLvl w:val="0"/>
        <w:rPr>
          <w:rFonts w:ascii="Arial" w:hAnsi="Arial"/>
          <w:lang w:val="en"/>
        </w:rPr>
      </w:pPr>
      <w:r w:rsidRPr="00AC77F8">
        <w:rPr>
          <w:rFonts w:ascii="Arial" w:hAnsi="Arial" w:cs="Arial"/>
          <w:b/>
          <w:lang w:val="en"/>
        </w:rPr>
        <w:t>Title:</w:t>
      </w:r>
      <w:r w:rsidRPr="00AC77F8">
        <w:rPr>
          <w:rFonts w:ascii="Arial" w:hAnsi="Arial" w:cs="Arial"/>
          <w:lang w:val="en"/>
        </w:rPr>
        <w:t xml:space="preserve"> </w:t>
      </w:r>
      <w:r>
        <w:rPr>
          <w:rFonts w:ascii="Arial" w:hAnsi="Arial" w:cs="Arial"/>
          <w:lang w:val="en"/>
        </w:rPr>
        <w:t>Guidelines</w:t>
      </w:r>
      <w:r w:rsidRPr="00AC77F8">
        <w:rPr>
          <w:rFonts w:ascii="Arial" w:hAnsi="Arial" w:cs="Arial"/>
          <w:lang w:val="en"/>
        </w:rPr>
        <w:t xml:space="preserve"> </w:t>
      </w:r>
      <w:r>
        <w:rPr>
          <w:rFonts w:ascii="Arial" w:hAnsi="Arial" w:cs="Arial"/>
          <w:lang w:val="en"/>
        </w:rPr>
        <w:t>to Ensure Clear, Concise, and “Non-Discriminatory” Language as directed under 244 CMR 6.04(3)(b) Within Nursing Program Written Policies</w:t>
      </w:r>
    </w:p>
    <w:p w14:paraId="74BF0CFC" w14:textId="77777777" w:rsidR="00396629" w:rsidRPr="00AC77F8" w:rsidRDefault="00396629" w:rsidP="00396629">
      <w:pPr>
        <w:keepNext/>
        <w:outlineLvl w:val="0"/>
        <w:rPr>
          <w:rFonts w:ascii="Arial" w:hAnsi="Arial" w:cs="Arial"/>
          <w:lang w:val="en"/>
        </w:rPr>
      </w:pPr>
    </w:p>
    <w:p w14:paraId="60621D6D" w14:textId="77777777" w:rsidR="00396629" w:rsidRPr="00AC77F8" w:rsidRDefault="00396629" w:rsidP="00396629">
      <w:pPr>
        <w:rPr>
          <w:rFonts w:ascii="Arial" w:hAnsi="Arial" w:cs="Arial"/>
          <w:szCs w:val="24"/>
          <w:lang w:val="en"/>
        </w:rPr>
      </w:pPr>
      <w:r w:rsidRPr="00AC77F8">
        <w:rPr>
          <w:rFonts w:ascii="Arial" w:hAnsi="Arial" w:cs="Arial"/>
          <w:b/>
          <w:bCs/>
          <w:szCs w:val="24"/>
          <w:lang w:val="en"/>
        </w:rPr>
        <w:t xml:space="preserve">Advisory Ruling (AR) Number: </w:t>
      </w:r>
      <w:r>
        <w:rPr>
          <w:rFonts w:ascii="Arial" w:hAnsi="Arial" w:cs="Arial"/>
          <w:szCs w:val="24"/>
          <w:lang w:val="en"/>
        </w:rPr>
        <w:t>25-02</w:t>
      </w:r>
    </w:p>
    <w:p w14:paraId="2F0FBE6F" w14:textId="77777777" w:rsidR="00396629" w:rsidRPr="00AC77F8" w:rsidRDefault="00396629" w:rsidP="00396629">
      <w:pPr>
        <w:rPr>
          <w:rFonts w:ascii="Arial" w:hAnsi="Arial" w:cs="Arial"/>
          <w:b/>
          <w:bCs/>
          <w:lang w:val="en"/>
        </w:rPr>
      </w:pPr>
    </w:p>
    <w:p w14:paraId="0A096804" w14:textId="77777777" w:rsidR="00396629" w:rsidRPr="00AC77F8" w:rsidRDefault="00396629" w:rsidP="00396629">
      <w:pPr>
        <w:rPr>
          <w:rFonts w:ascii="Arial" w:hAnsi="Arial" w:cs="Arial"/>
        </w:rPr>
      </w:pPr>
      <w:r w:rsidRPr="00AC77F8">
        <w:rPr>
          <w:rFonts w:ascii="Arial" w:hAnsi="Arial" w:cs="Arial"/>
          <w:b/>
          <w:bCs/>
          <w:lang w:val="en"/>
        </w:rPr>
        <w:t>Authority:</w:t>
      </w:r>
      <w:r w:rsidRPr="00AC77F8">
        <w:rPr>
          <w:rFonts w:ascii="Arial" w:hAnsi="Arial" w:cs="Arial"/>
        </w:rPr>
        <w:t xml:space="preserve"> The Massachusetts</w:t>
      </w:r>
      <w:r>
        <w:rPr>
          <w:rFonts w:ascii="Arial" w:hAnsi="Arial" w:cs="Arial"/>
        </w:rPr>
        <w:t xml:space="preserve"> (MA)</w:t>
      </w:r>
      <w:r w:rsidRPr="00AC77F8">
        <w:rPr>
          <w:rFonts w:ascii="Arial" w:hAnsi="Arial" w:cs="Arial"/>
        </w:rPr>
        <w:t xml:space="preserve"> Board of Registration in Nursing (Board) is created and authorized by M</w:t>
      </w:r>
      <w:r>
        <w:rPr>
          <w:rFonts w:ascii="Arial" w:hAnsi="Arial" w:cs="Arial"/>
        </w:rPr>
        <w:t xml:space="preserve">A </w:t>
      </w:r>
      <w:r w:rsidRPr="00AC77F8">
        <w:rPr>
          <w:rFonts w:ascii="Arial" w:hAnsi="Arial" w:cs="Arial"/>
        </w:rPr>
        <w:t>General Laws (M.G.L.) c. 13, §§ 13, 14, 14A, 15 and 15D, and G.L. c. 112, §§ 74 through 81C to protect the health, safety, and welfare of the citizens of the Commonwealth through the regulation of nursing practice and education.  In addition, M.G.L. c.</w:t>
      </w:r>
      <w:r>
        <w:rPr>
          <w:rFonts w:ascii="Arial" w:hAnsi="Arial" w:cs="Arial"/>
        </w:rPr>
        <w:t xml:space="preserve"> </w:t>
      </w:r>
      <w:r w:rsidRPr="00AC77F8">
        <w:rPr>
          <w:rFonts w:ascii="Arial" w:hAnsi="Arial" w:cs="Arial"/>
        </w:rPr>
        <w:t xml:space="preserve">30A, § 8 authorizes the Board to make advisory rulings with respect to the applicability to any person, property, or state of facts of any statute or regulation enforced or administered by the Board.  </w:t>
      </w:r>
    </w:p>
    <w:p w14:paraId="25E82411" w14:textId="4A1571E7" w:rsidR="00396629" w:rsidRPr="00AC77F8" w:rsidRDefault="00396629" w:rsidP="00396629">
      <w:pPr>
        <w:spacing w:before="100" w:beforeAutospacing="1" w:after="100" w:afterAutospacing="1"/>
        <w:rPr>
          <w:rFonts w:ascii="Arial" w:hAnsi="Arial" w:cs="Arial"/>
          <w:szCs w:val="24"/>
          <w:lang w:val="en"/>
        </w:rPr>
      </w:pPr>
      <w:r w:rsidRPr="00AC77F8">
        <w:rPr>
          <w:rFonts w:ascii="Arial" w:hAnsi="Arial" w:cs="Arial"/>
          <w:b/>
          <w:bCs/>
          <w:szCs w:val="24"/>
          <w:lang w:val="en"/>
        </w:rPr>
        <w:t>Date Issued:</w:t>
      </w:r>
      <w:r w:rsidRPr="00AC77F8">
        <w:rPr>
          <w:rFonts w:ascii="Arial" w:hAnsi="Arial" w:cs="Arial"/>
          <w:szCs w:val="24"/>
          <w:lang w:val="en"/>
        </w:rPr>
        <w:t xml:space="preserve"> </w:t>
      </w:r>
      <w:r w:rsidR="006943FB">
        <w:rPr>
          <w:rFonts w:ascii="Arial" w:hAnsi="Arial" w:cs="Arial"/>
          <w:szCs w:val="24"/>
          <w:lang w:val="en"/>
        </w:rPr>
        <w:t>April 9</w:t>
      </w:r>
      <w:r>
        <w:rPr>
          <w:rFonts w:ascii="Arial" w:hAnsi="Arial" w:cs="Arial"/>
          <w:szCs w:val="24"/>
          <w:lang w:val="en"/>
        </w:rPr>
        <w:t>, 2025</w:t>
      </w:r>
    </w:p>
    <w:p w14:paraId="55BC6602" w14:textId="77777777" w:rsidR="00396629" w:rsidRDefault="00396629" w:rsidP="00396629">
      <w:pPr>
        <w:spacing w:before="100" w:beforeAutospacing="1" w:after="100" w:afterAutospacing="1"/>
        <w:rPr>
          <w:rFonts w:ascii="Arial" w:hAnsi="Arial" w:cs="Arial"/>
          <w:szCs w:val="24"/>
          <w:lang w:val="en"/>
        </w:rPr>
      </w:pPr>
      <w:r w:rsidRPr="00AC77F8">
        <w:rPr>
          <w:rFonts w:ascii="Arial" w:hAnsi="Arial" w:cs="Arial"/>
          <w:b/>
          <w:bCs/>
          <w:szCs w:val="24"/>
          <w:lang w:val="en"/>
        </w:rPr>
        <w:t xml:space="preserve">Scope of Practice: </w:t>
      </w:r>
      <w:r w:rsidRPr="00B5495B">
        <w:rPr>
          <w:rFonts w:ascii="Arial" w:hAnsi="Arial" w:cs="Arial"/>
          <w:szCs w:val="24"/>
          <w:lang w:val="en"/>
        </w:rPr>
        <w:t>Pre-Licensure Nursing Education Programs</w:t>
      </w:r>
    </w:p>
    <w:p w14:paraId="37A23FA8" w14:textId="77777777" w:rsidR="00396629" w:rsidRDefault="00396629" w:rsidP="00396629">
      <w:pPr>
        <w:spacing w:before="100" w:beforeAutospacing="1" w:after="100" w:afterAutospacing="1"/>
        <w:rPr>
          <w:rFonts w:ascii="Arial" w:hAnsi="Arial" w:cs="Arial"/>
          <w:szCs w:val="24"/>
        </w:rPr>
      </w:pPr>
      <w:r w:rsidRPr="00AC77F8">
        <w:rPr>
          <w:rFonts w:ascii="Arial" w:hAnsi="Arial" w:cs="Arial"/>
          <w:b/>
          <w:bCs/>
          <w:szCs w:val="24"/>
          <w:lang w:val="en"/>
        </w:rPr>
        <w:t xml:space="preserve">Purpose: </w:t>
      </w:r>
      <w:r>
        <w:rPr>
          <w:rFonts w:ascii="Arial" w:hAnsi="Arial" w:cs="Arial"/>
          <w:szCs w:val="24"/>
        </w:rPr>
        <w:t xml:space="preserve">To </w:t>
      </w:r>
      <w:r w:rsidRPr="00454320">
        <w:rPr>
          <w:rFonts w:ascii="Arial" w:hAnsi="Arial" w:cs="Arial"/>
          <w:szCs w:val="24"/>
        </w:rPr>
        <w:t xml:space="preserve">provide guidance to nursing education programs </w:t>
      </w:r>
      <w:r>
        <w:rPr>
          <w:rFonts w:ascii="Arial" w:hAnsi="Arial" w:cs="Arial"/>
          <w:szCs w:val="24"/>
        </w:rPr>
        <w:t>to</w:t>
      </w:r>
      <w:r w:rsidRPr="00454320">
        <w:rPr>
          <w:rFonts w:ascii="Arial" w:hAnsi="Arial" w:cs="Arial"/>
          <w:szCs w:val="24"/>
        </w:rPr>
        <w:t xml:space="preserve"> ensur</w:t>
      </w:r>
      <w:r>
        <w:rPr>
          <w:rFonts w:ascii="Arial" w:hAnsi="Arial" w:cs="Arial"/>
          <w:szCs w:val="24"/>
        </w:rPr>
        <w:t>e</w:t>
      </w:r>
      <w:r w:rsidRPr="00454320">
        <w:rPr>
          <w:rFonts w:ascii="Arial" w:hAnsi="Arial" w:cs="Arial"/>
          <w:szCs w:val="24"/>
        </w:rPr>
        <w:t xml:space="preserve"> that their policies are </w:t>
      </w:r>
      <w:r>
        <w:rPr>
          <w:rFonts w:ascii="Arial" w:hAnsi="Arial" w:cs="Arial"/>
          <w:szCs w:val="24"/>
        </w:rPr>
        <w:t xml:space="preserve">clearly and concisely </w:t>
      </w:r>
      <w:r w:rsidRPr="00454320">
        <w:rPr>
          <w:rFonts w:ascii="Arial" w:hAnsi="Arial" w:cs="Arial"/>
          <w:szCs w:val="24"/>
        </w:rPr>
        <w:t>written and implemented</w:t>
      </w:r>
      <w:r>
        <w:rPr>
          <w:rFonts w:ascii="Arial" w:hAnsi="Arial" w:cs="Arial"/>
          <w:szCs w:val="24"/>
        </w:rPr>
        <w:t xml:space="preserve"> to ensure</w:t>
      </w:r>
      <w:r w:rsidRPr="005A47BD">
        <w:rPr>
          <w:rFonts w:ascii="Arial" w:hAnsi="Arial" w:cs="Arial"/>
          <w:szCs w:val="24"/>
        </w:rPr>
        <w:t xml:space="preserve"> fairness, clarity, and consistency in how </w:t>
      </w:r>
      <w:r>
        <w:rPr>
          <w:rFonts w:ascii="Arial" w:hAnsi="Arial" w:cs="Arial"/>
          <w:szCs w:val="24"/>
        </w:rPr>
        <w:t>policies</w:t>
      </w:r>
      <w:r w:rsidRPr="005A47BD">
        <w:rPr>
          <w:rFonts w:ascii="Arial" w:hAnsi="Arial" w:cs="Arial"/>
          <w:szCs w:val="24"/>
        </w:rPr>
        <w:t xml:space="preserve"> are enforced</w:t>
      </w:r>
      <w:r>
        <w:rPr>
          <w:rFonts w:ascii="Arial" w:hAnsi="Arial" w:cs="Arial"/>
          <w:szCs w:val="24"/>
        </w:rPr>
        <w:t xml:space="preserve">. </w:t>
      </w:r>
    </w:p>
    <w:p w14:paraId="6670DD35" w14:textId="77777777" w:rsidR="00396629" w:rsidRDefault="00396629" w:rsidP="00396629">
      <w:pPr>
        <w:spacing w:before="100" w:beforeAutospacing="1" w:after="100" w:afterAutospacing="1"/>
        <w:rPr>
          <w:rFonts w:ascii="Arial" w:hAnsi="Arial" w:cs="Arial"/>
        </w:rPr>
      </w:pPr>
      <w:r w:rsidRPr="00AC77F8">
        <w:rPr>
          <w:rFonts w:ascii="Arial" w:hAnsi="Arial" w:cs="Arial"/>
          <w:b/>
          <w:bCs/>
        </w:rPr>
        <w:t>Advisory:</w:t>
      </w:r>
      <w:r w:rsidRPr="00AC77F8">
        <w:rPr>
          <w:rFonts w:ascii="Arial" w:hAnsi="Arial" w:cs="Arial"/>
        </w:rPr>
        <w:t xml:space="preserve">  </w:t>
      </w:r>
    </w:p>
    <w:p w14:paraId="12E3178B" w14:textId="77777777" w:rsidR="00396629" w:rsidRPr="00AC77F8" w:rsidRDefault="00396629" w:rsidP="00396629">
      <w:pPr>
        <w:spacing w:before="100" w:beforeAutospacing="1" w:after="100" w:afterAutospacing="1"/>
        <w:rPr>
          <w:rFonts w:ascii="Arial" w:hAnsi="Arial" w:cs="Arial"/>
        </w:rPr>
      </w:pPr>
      <w:r>
        <w:rPr>
          <w:rFonts w:ascii="Arial" w:hAnsi="Arial" w:cs="Arial"/>
        </w:rPr>
        <w:t>The Board’s Regulations at 244 CMR 6.04 sets f</w:t>
      </w:r>
      <w:r w:rsidRPr="004B1CEC">
        <w:rPr>
          <w:rFonts w:ascii="Arial" w:hAnsi="Arial" w:cs="Arial"/>
        </w:rPr>
        <w:t>orth criteria that nursing education programs must meet to obtain and maintain Board of Registration in Nursing (BORN, Board) approval, as authorized and required by M.G.L. c. 112, § 81C</w:t>
      </w:r>
      <w:r>
        <w:rPr>
          <w:rStyle w:val="FootnoteReference"/>
          <w:rFonts w:ascii="Arial" w:hAnsi="Arial" w:cs="Arial"/>
        </w:rPr>
        <w:footnoteReference w:id="1"/>
      </w:r>
      <w:r w:rsidRPr="004B1CEC">
        <w:rPr>
          <w:rFonts w:ascii="Arial" w:hAnsi="Arial" w:cs="Arial"/>
        </w:rPr>
        <w:t>.</w:t>
      </w:r>
    </w:p>
    <w:p w14:paraId="2D0AE871" w14:textId="77777777" w:rsidR="00396629" w:rsidRDefault="00396629" w:rsidP="00396629">
      <w:pPr>
        <w:rPr>
          <w:rFonts w:ascii="Arial" w:hAnsi="Arial" w:cs="Arial"/>
        </w:rPr>
      </w:pPr>
      <w:r>
        <w:rPr>
          <w:rFonts w:ascii="Arial" w:hAnsi="Arial" w:cs="Arial"/>
        </w:rPr>
        <w:t>Under the regulations, Nursing Education programs must publish policies which describe the specific non-discriminatory criteria for admission; progression; attendance; academic integrity; use of social media; course exemption; advanced placement; transfer; advanced placement or transfer of military education; training or service for a military health care occupation; educational mobility; withdrawal; readmission; graduation; and student rights and grievances. {ref: 244 CMR 6.04(3)(b)}</w:t>
      </w:r>
      <w:r>
        <w:rPr>
          <w:rStyle w:val="FootnoteReference"/>
          <w:rFonts w:ascii="Arial" w:hAnsi="Arial" w:cs="Arial"/>
        </w:rPr>
        <w:footnoteReference w:id="2"/>
      </w:r>
      <w:r>
        <w:rPr>
          <w:rFonts w:ascii="Arial" w:hAnsi="Arial" w:cs="Arial"/>
        </w:rPr>
        <w:t>.</w:t>
      </w:r>
    </w:p>
    <w:p w14:paraId="168412B1" w14:textId="77777777" w:rsidR="00396629" w:rsidRDefault="00396629" w:rsidP="00396629">
      <w:pPr>
        <w:rPr>
          <w:rFonts w:ascii="Arial" w:hAnsi="Arial" w:cs="Arial"/>
        </w:rPr>
      </w:pPr>
    </w:p>
    <w:p w14:paraId="63CDC965" w14:textId="77777777" w:rsidR="00396629" w:rsidRPr="00386B73" w:rsidRDefault="00396629" w:rsidP="00396629">
      <w:pPr>
        <w:rPr>
          <w:rFonts w:ascii="Arial" w:hAnsi="Arial"/>
        </w:rPr>
      </w:pPr>
    </w:p>
    <w:p w14:paraId="68B41143" w14:textId="77777777" w:rsidR="00396629" w:rsidRPr="00386B73" w:rsidRDefault="00396629" w:rsidP="00396629">
      <w:pPr>
        <w:rPr>
          <w:rFonts w:ascii="Arial" w:hAnsi="Arial"/>
        </w:rPr>
      </w:pPr>
    </w:p>
    <w:p w14:paraId="328605B2" w14:textId="77777777" w:rsidR="00396629" w:rsidRPr="008D1B03" w:rsidRDefault="00396629" w:rsidP="00396629">
      <w:pPr>
        <w:rPr>
          <w:rFonts w:ascii="Arial" w:hAnsi="Arial" w:cs="Arial"/>
          <w:b/>
          <w:bCs/>
        </w:rPr>
      </w:pPr>
      <w:bookmarkStart w:id="0" w:name="_Hlk128562134"/>
      <w:r w:rsidRPr="00AC77F8">
        <w:rPr>
          <w:rFonts w:ascii="Arial" w:hAnsi="Arial" w:cs="Arial"/>
          <w:b/>
          <w:bCs/>
        </w:rPr>
        <w:lastRenderedPageBreak/>
        <w:t>Definitions:</w:t>
      </w:r>
    </w:p>
    <w:p w14:paraId="5A954DD6" w14:textId="77777777" w:rsidR="00396629" w:rsidRPr="008D1B03" w:rsidRDefault="00396629" w:rsidP="00396629">
      <w:pPr>
        <w:rPr>
          <w:rFonts w:ascii="Arial" w:hAnsi="Arial" w:cs="Arial"/>
        </w:rPr>
      </w:pPr>
    </w:p>
    <w:p w14:paraId="2CD7F238" w14:textId="77777777" w:rsidR="00396629" w:rsidRDefault="00396629" w:rsidP="00396629">
      <w:pPr>
        <w:pStyle w:val="ListParagraph"/>
        <w:numPr>
          <w:ilvl w:val="0"/>
          <w:numId w:val="1"/>
        </w:numPr>
        <w:tabs>
          <w:tab w:val="left" w:pos="1200"/>
          <w:tab w:val="left" w:pos="1555"/>
          <w:tab w:val="left" w:pos="1915"/>
          <w:tab w:val="left" w:pos="2275"/>
          <w:tab w:val="left" w:pos="2635"/>
          <w:tab w:val="left" w:pos="2995"/>
          <w:tab w:val="left" w:pos="7675"/>
        </w:tabs>
        <w:jc w:val="both"/>
        <w:rPr>
          <w:rFonts w:ascii="Arial" w:hAnsi="Arial" w:cs="Arial"/>
        </w:rPr>
      </w:pPr>
      <w:r w:rsidRPr="0088377C">
        <w:rPr>
          <w:rFonts w:ascii="Arial" w:hAnsi="Arial" w:cs="Arial"/>
          <w:u w:val="single"/>
        </w:rPr>
        <w:t>Approved Nursing Education Program</w:t>
      </w:r>
      <w:r w:rsidRPr="0088377C">
        <w:rPr>
          <w:rFonts w:ascii="Arial" w:hAnsi="Arial" w:cs="Arial"/>
        </w:rPr>
        <w:t xml:space="preserve"> means a nursing education program for Registered Nurses or Practical Nurses, as applicable, located in Massachusetts and approved by the Board</w:t>
      </w:r>
      <w:r>
        <w:rPr>
          <w:rFonts w:ascii="Arial" w:hAnsi="Arial" w:cs="Arial"/>
        </w:rPr>
        <w:t>,</w:t>
      </w:r>
      <w:r w:rsidRPr="0088377C">
        <w:rPr>
          <w:rFonts w:ascii="Arial" w:hAnsi="Arial" w:cs="Arial"/>
        </w:rPr>
        <w:t xml:space="preserve"> pursuant to </w:t>
      </w:r>
      <w:hyperlink r:id="rId7" w:history="1">
        <w:r w:rsidRPr="0088377C">
          <w:rPr>
            <w:rStyle w:val="Hyperlink"/>
            <w:rFonts w:ascii="Arial" w:eastAsiaTheme="majorEastAsia" w:hAnsi="Arial" w:cs="Arial"/>
          </w:rPr>
          <w:t>244 CMR 6.00</w:t>
        </w:r>
      </w:hyperlink>
      <w:r w:rsidRPr="0088377C">
        <w:rPr>
          <w:rFonts w:ascii="Arial" w:hAnsi="Arial" w:cs="Arial"/>
        </w:rPr>
        <w:t xml:space="preserve">, </w:t>
      </w:r>
      <w:r w:rsidRPr="0088377C">
        <w:rPr>
          <w:rFonts w:ascii="Arial" w:hAnsi="Arial" w:cs="Arial"/>
          <w:i/>
        </w:rPr>
        <w:t>or</w:t>
      </w:r>
      <w:r w:rsidRPr="0088377C">
        <w:rPr>
          <w:rFonts w:ascii="Arial" w:hAnsi="Arial" w:cs="Arial"/>
        </w:rPr>
        <w:t xml:space="preserve"> a nursing education program located outside Massachusetts which, </w:t>
      </w:r>
      <w:r>
        <w:rPr>
          <w:rFonts w:ascii="Arial" w:hAnsi="Arial" w:cs="Arial"/>
        </w:rPr>
        <w:t xml:space="preserve">as determined by </w:t>
      </w:r>
      <w:r w:rsidRPr="0088377C">
        <w:rPr>
          <w:rFonts w:ascii="Arial" w:hAnsi="Arial" w:cs="Arial"/>
        </w:rPr>
        <w:t xml:space="preserve">the Board, maintains </w:t>
      </w:r>
      <w:r w:rsidRPr="0088377C">
        <w:rPr>
          <w:rFonts w:ascii="Arial" w:hAnsi="Arial" w:cs="Arial"/>
          <w:b/>
        </w:rPr>
        <w:t>standards</w:t>
      </w:r>
      <w:r>
        <w:rPr>
          <w:rFonts w:ascii="Arial" w:hAnsi="Arial" w:cs="Arial"/>
          <w:b/>
        </w:rPr>
        <w:t xml:space="preserve"> which are</w:t>
      </w:r>
      <w:r w:rsidRPr="0088377C">
        <w:rPr>
          <w:rFonts w:ascii="Arial" w:hAnsi="Arial" w:cs="Arial"/>
          <w:b/>
        </w:rPr>
        <w:t xml:space="preserve"> substantially the same</w:t>
      </w:r>
      <w:r w:rsidRPr="0088377C">
        <w:rPr>
          <w:rFonts w:ascii="Arial" w:hAnsi="Arial" w:cs="Arial"/>
        </w:rPr>
        <w:t xml:space="preserve"> as those required for approval of a nursing education program in Massachusetts </w:t>
      </w:r>
      <w:r w:rsidRPr="0088377C">
        <w:rPr>
          <w:rFonts w:ascii="Arial" w:hAnsi="Arial" w:cs="Arial"/>
          <w:i/>
        </w:rPr>
        <w:t>and</w:t>
      </w:r>
      <w:r w:rsidRPr="0088377C">
        <w:rPr>
          <w:rFonts w:ascii="Arial" w:hAnsi="Arial" w:cs="Arial"/>
        </w:rPr>
        <w:t xml:space="preserve"> which program is approved by the nursing board or corresponding body in the jurisdiction where the program is located.</w:t>
      </w:r>
    </w:p>
    <w:p w14:paraId="73742243" w14:textId="77777777" w:rsidR="00396629" w:rsidRPr="0088377C" w:rsidRDefault="00396629" w:rsidP="00396629">
      <w:pPr>
        <w:pStyle w:val="ListParagraph"/>
        <w:tabs>
          <w:tab w:val="left" w:pos="1200"/>
          <w:tab w:val="left" w:pos="1555"/>
          <w:tab w:val="left" w:pos="1915"/>
          <w:tab w:val="left" w:pos="2275"/>
          <w:tab w:val="left" w:pos="2635"/>
          <w:tab w:val="left" w:pos="2995"/>
          <w:tab w:val="left" w:pos="7675"/>
        </w:tabs>
        <w:ind w:left="1080"/>
        <w:jc w:val="both"/>
        <w:rPr>
          <w:rFonts w:ascii="Arial" w:hAnsi="Arial" w:cs="Arial"/>
        </w:rPr>
      </w:pPr>
    </w:p>
    <w:p w14:paraId="49534EF6" w14:textId="77777777" w:rsidR="00396629" w:rsidRDefault="00396629" w:rsidP="00396629">
      <w:pPr>
        <w:pStyle w:val="ListParagraph"/>
        <w:numPr>
          <w:ilvl w:val="0"/>
          <w:numId w:val="1"/>
        </w:numPr>
        <w:rPr>
          <w:rFonts w:ascii="Arial" w:hAnsi="Arial" w:cs="Arial"/>
        </w:rPr>
      </w:pPr>
      <w:r w:rsidRPr="009A7CD4">
        <w:rPr>
          <w:rFonts w:ascii="Arial" w:hAnsi="Arial" w:cs="Arial"/>
          <w:u w:val="single"/>
        </w:rPr>
        <w:t>Nursing Education Program</w:t>
      </w:r>
      <w:r w:rsidRPr="00386B73">
        <w:rPr>
          <w:rFonts w:ascii="Arial" w:hAnsi="Arial"/>
        </w:rPr>
        <w:t xml:space="preserve"> means t</w:t>
      </w:r>
      <w:r w:rsidRPr="008F3459">
        <w:rPr>
          <w:rFonts w:ascii="Arial" w:hAnsi="Arial" w:cs="Arial"/>
        </w:rPr>
        <w:t>h</w:t>
      </w:r>
      <w:r w:rsidRPr="009A7CD4">
        <w:rPr>
          <w:rFonts w:ascii="Arial" w:hAnsi="Arial" w:cs="Arial"/>
        </w:rPr>
        <w:t>e unit within the parent institution which is intended, among other outcomes, to prepare and qualify a graduate to write the NCLEX-RN® or NCLEX-PN®.</w:t>
      </w:r>
    </w:p>
    <w:p w14:paraId="1C091F7E" w14:textId="77777777" w:rsidR="00396629" w:rsidRDefault="00396629" w:rsidP="00396629">
      <w:pPr>
        <w:pStyle w:val="ListParagraph"/>
        <w:ind w:left="1080"/>
        <w:rPr>
          <w:rFonts w:ascii="Arial" w:hAnsi="Arial" w:cs="Arial"/>
        </w:rPr>
      </w:pPr>
    </w:p>
    <w:p w14:paraId="2509DC5F" w14:textId="77777777" w:rsidR="00396629" w:rsidRDefault="00396629" w:rsidP="00396629">
      <w:pPr>
        <w:pStyle w:val="ListParagraph"/>
        <w:numPr>
          <w:ilvl w:val="0"/>
          <w:numId w:val="1"/>
        </w:numPr>
        <w:rPr>
          <w:rFonts w:ascii="Arial" w:hAnsi="Arial" w:cs="Arial"/>
        </w:rPr>
      </w:pPr>
      <w:r w:rsidRPr="00D21850">
        <w:rPr>
          <w:rFonts w:ascii="Arial" w:hAnsi="Arial" w:cs="Arial"/>
          <w:u w:val="single"/>
        </w:rPr>
        <w:t>Non</w:t>
      </w:r>
      <w:r w:rsidRPr="000F0C51">
        <w:rPr>
          <w:rFonts w:ascii="Arial" w:hAnsi="Arial"/>
          <w:u w:val="single"/>
        </w:rPr>
        <w:t>-discriminatory</w:t>
      </w:r>
      <w:r>
        <w:rPr>
          <w:rFonts w:ascii="Arial" w:hAnsi="Arial" w:cs="Arial"/>
        </w:rPr>
        <w:t xml:space="preserve"> means the fair and equitable treatment of </w:t>
      </w:r>
      <w:r w:rsidRPr="00386B73">
        <w:rPr>
          <w:rFonts w:ascii="Arial" w:hAnsi="Arial"/>
        </w:rPr>
        <w:t>individuals</w:t>
      </w:r>
      <w:r>
        <w:rPr>
          <w:rFonts w:ascii="Arial" w:hAnsi="Arial" w:cs="Arial"/>
        </w:rPr>
        <w:t xml:space="preserve"> based on a particular set of circumstances present in a learning institution. This definition includes the longstanding ethical and legal obligation to treat individuals fairly, regarding of race, gender, sexuality, etc.,</w:t>
      </w:r>
      <w:r>
        <w:rPr>
          <w:rStyle w:val="FootnoteReference"/>
          <w:rFonts w:ascii="Arial" w:hAnsi="Arial" w:cs="Arial"/>
        </w:rPr>
        <w:footnoteReference w:id="3"/>
      </w:r>
      <w:r>
        <w:rPr>
          <w:rFonts w:ascii="Arial" w:hAnsi="Arial" w:cs="Arial"/>
        </w:rPr>
        <w:t xml:space="preserve">,  </w:t>
      </w:r>
      <w:r w:rsidDel="00D21850">
        <w:rPr>
          <w:rStyle w:val="FootnoteReference"/>
          <w:rFonts w:ascii="Arial" w:hAnsi="Arial" w:cs="Arial"/>
        </w:rPr>
        <w:t xml:space="preserve"> </w:t>
      </w:r>
    </w:p>
    <w:p w14:paraId="0657F9D0" w14:textId="77777777" w:rsidR="00396629" w:rsidRDefault="00396629" w:rsidP="00396629">
      <w:pPr>
        <w:pStyle w:val="ListParagraph"/>
        <w:ind w:left="1080"/>
        <w:rPr>
          <w:rFonts w:ascii="Arial" w:hAnsi="Arial" w:cs="Arial"/>
        </w:rPr>
      </w:pPr>
    </w:p>
    <w:p w14:paraId="7817571B" w14:textId="77777777" w:rsidR="00396629" w:rsidRPr="008D1B03" w:rsidRDefault="00396629" w:rsidP="00396629">
      <w:pPr>
        <w:pStyle w:val="ListParagraph"/>
        <w:numPr>
          <w:ilvl w:val="0"/>
          <w:numId w:val="1"/>
        </w:numPr>
        <w:rPr>
          <w:rFonts w:ascii="Arial" w:hAnsi="Arial" w:cs="Arial"/>
        </w:rPr>
      </w:pPr>
      <w:r w:rsidRPr="00386B73">
        <w:rPr>
          <w:rFonts w:ascii="Arial" w:hAnsi="Arial"/>
          <w:u w:val="single"/>
        </w:rPr>
        <w:t>Non-ambiguous</w:t>
      </w:r>
      <w:r>
        <w:rPr>
          <w:rFonts w:ascii="Arial" w:hAnsi="Arial" w:cs="Arial"/>
        </w:rPr>
        <w:t xml:space="preserve"> means policies which are written clearly and concisely and are not open to individualized interpretation.  </w:t>
      </w:r>
      <w:r w:rsidRPr="00FF65A8">
        <w:rPr>
          <w:rFonts w:ascii="Arial" w:hAnsi="Arial" w:cs="Arial"/>
        </w:rPr>
        <w:t>Non-ambiguous policies can only be understood in one clear way, without any room for multiple interpretations</w:t>
      </w:r>
      <w:r>
        <w:rPr>
          <w:rFonts w:ascii="Arial" w:hAnsi="Arial" w:cs="Arial"/>
        </w:rPr>
        <w:t>.</w:t>
      </w:r>
      <w:r>
        <w:rPr>
          <w:rStyle w:val="FootnoteReference"/>
          <w:rFonts w:ascii="Arial" w:hAnsi="Arial" w:cs="Arial"/>
        </w:rPr>
        <w:footnoteReference w:id="4"/>
      </w:r>
    </w:p>
    <w:p w14:paraId="3275B001" w14:textId="77777777" w:rsidR="00396629" w:rsidRPr="00AC77F8" w:rsidRDefault="00396629" w:rsidP="00396629">
      <w:pPr>
        <w:rPr>
          <w:rFonts w:ascii="Arial" w:hAnsi="Arial" w:cs="Arial"/>
        </w:rPr>
      </w:pPr>
    </w:p>
    <w:p w14:paraId="67EDE051" w14:textId="77777777" w:rsidR="00396629" w:rsidRDefault="00396629" w:rsidP="00396629">
      <w:pPr>
        <w:pStyle w:val="ListParagraph"/>
        <w:ind w:left="0"/>
        <w:rPr>
          <w:rFonts w:ascii="Arial" w:hAnsi="Arial" w:cs="Arial"/>
        </w:rPr>
      </w:pPr>
      <w:r>
        <w:rPr>
          <w:rFonts w:ascii="Arial" w:hAnsi="Arial" w:cs="Arial"/>
        </w:rPr>
        <w:t>In order to meet the requisite “non-discriminatory criteria” under 244 CMR 6.04(3)(b), p</w:t>
      </w:r>
      <w:r w:rsidRPr="0037566E">
        <w:rPr>
          <w:rFonts w:ascii="Arial" w:hAnsi="Arial" w:cs="Arial"/>
        </w:rPr>
        <w:t xml:space="preserve">olicies must be crafted with </w:t>
      </w:r>
      <w:r w:rsidRPr="0037566E">
        <w:rPr>
          <w:rFonts w:ascii="Arial" w:hAnsi="Arial" w:cs="Arial"/>
          <w:b/>
          <w:bCs/>
        </w:rPr>
        <w:t>clear</w:t>
      </w:r>
      <w:r>
        <w:rPr>
          <w:rFonts w:ascii="Arial" w:hAnsi="Arial" w:cs="Arial"/>
          <w:b/>
          <w:bCs/>
        </w:rPr>
        <w:t xml:space="preserve"> and</w:t>
      </w:r>
      <w:r w:rsidRPr="0037566E">
        <w:rPr>
          <w:rFonts w:ascii="Arial" w:hAnsi="Arial" w:cs="Arial"/>
          <w:b/>
          <w:bCs/>
        </w:rPr>
        <w:t xml:space="preserve"> non-ambiguous language</w:t>
      </w:r>
      <w:r w:rsidRPr="0037566E">
        <w:rPr>
          <w:rFonts w:ascii="Arial" w:hAnsi="Arial" w:cs="Arial"/>
        </w:rPr>
        <w:t xml:space="preserve"> to ensure </w:t>
      </w:r>
      <w:r>
        <w:rPr>
          <w:rFonts w:ascii="Arial" w:hAnsi="Arial" w:cs="Arial"/>
        </w:rPr>
        <w:t xml:space="preserve">they are applied in a </w:t>
      </w:r>
      <w:r w:rsidRPr="0037566E">
        <w:rPr>
          <w:rFonts w:ascii="Arial" w:hAnsi="Arial" w:cs="Arial"/>
        </w:rPr>
        <w:t>fair, consist</w:t>
      </w:r>
      <w:r>
        <w:rPr>
          <w:rFonts w:ascii="Arial" w:hAnsi="Arial" w:cs="Arial"/>
        </w:rPr>
        <w:t>ent</w:t>
      </w:r>
      <w:r w:rsidRPr="0037566E">
        <w:rPr>
          <w:rFonts w:ascii="Arial" w:hAnsi="Arial" w:cs="Arial"/>
        </w:rPr>
        <w:t>, and transparen</w:t>
      </w:r>
      <w:r>
        <w:rPr>
          <w:rFonts w:ascii="Arial" w:hAnsi="Arial" w:cs="Arial"/>
        </w:rPr>
        <w:t>t way</w:t>
      </w:r>
      <w:r w:rsidRPr="0037566E">
        <w:rPr>
          <w:rFonts w:ascii="Arial" w:hAnsi="Arial" w:cs="Arial"/>
        </w:rPr>
        <w:t xml:space="preserve">. </w:t>
      </w:r>
      <w:r>
        <w:rPr>
          <w:rFonts w:ascii="Arial" w:hAnsi="Arial" w:cs="Arial"/>
        </w:rPr>
        <w:t>Non-ambiguous policies are written so</w:t>
      </w:r>
      <w:r w:rsidRPr="0037566E">
        <w:rPr>
          <w:rFonts w:ascii="Arial" w:hAnsi="Arial" w:cs="Arial"/>
        </w:rPr>
        <w:t xml:space="preserve"> students fully understand the expectations, rules, and consequences, reducing confusion and promoting compliance. Non-ambiguous policies prevent misinterpretation, ensuring that all students are held to the same standards, regardless of background or personal interpretation. </w:t>
      </w:r>
    </w:p>
    <w:p w14:paraId="2BC367FB" w14:textId="77777777" w:rsidR="00396629" w:rsidRDefault="00396629" w:rsidP="00396629">
      <w:pPr>
        <w:pStyle w:val="ListParagraph"/>
        <w:ind w:left="0"/>
        <w:rPr>
          <w:rFonts w:ascii="Arial" w:hAnsi="Arial" w:cs="Arial"/>
        </w:rPr>
      </w:pPr>
    </w:p>
    <w:p w14:paraId="768114DF" w14:textId="77777777" w:rsidR="00396629" w:rsidRPr="00386B73" w:rsidRDefault="00396629" w:rsidP="00396629">
      <w:pPr>
        <w:pStyle w:val="ListParagraph"/>
        <w:ind w:left="0"/>
        <w:rPr>
          <w:rFonts w:ascii="Arial" w:hAnsi="Arial"/>
          <w:b/>
        </w:rPr>
      </w:pPr>
      <w:r w:rsidRPr="00386B73">
        <w:rPr>
          <w:rFonts w:ascii="Arial" w:hAnsi="Arial"/>
          <w:b/>
        </w:rPr>
        <w:t>Key ideas to consider when drafting policies:</w:t>
      </w:r>
    </w:p>
    <w:p w14:paraId="510AB668" w14:textId="77777777" w:rsidR="00396629" w:rsidRPr="00303729" w:rsidRDefault="00396629" w:rsidP="00396629">
      <w:pPr>
        <w:pStyle w:val="ListParagraph"/>
        <w:ind w:left="1440"/>
        <w:rPr>
          <w:rFonts w:ascii="Arial" w:hAnsi="Arial" w:cs="Arial"/>
        </w:rPr>
      </w:pPr>
    </w:p>
    <w:p w14:paraId="23049650" w14:textId="77777777" w:rsidR="00396629" w:rsidRDefault="00396629" w:rsidP="00396629">
      <w:pPr>
        <w:pStyle w:val="ListParagraph"/>
        <w:numPr>
          <w:ilvl w:val="0"/>
          <w:numId w:val="2"/>
        </w:numPr>
        <w:rPr>
          <w:rFonts w:ascii="Arial" w:hAnsi="Arial" w:cs="Arial"/>
        </w:rPr>
      </w:pPr>
      <w:r w:rsidRPr="00303729">
        <w:rPr>
          <w:rFonts w:ascii="Arial" w:hAnsi="Arial" w:cs="Arial"/>
        </w:rPr>
        <w:t>Clear purpose and Objectives</w:t>
      </w:r>
      <w:r>
        <w:rPr>
          <w:rFonts w:ascii="Arial" w:hAnsi="Arial" w:cs="Arial"/>
        </w:rPr>
        <w:t>:</w:t>
      </w:r>
    </w:p>
    <w:p w14:paraId="02074F70" w14:textId="77777777" w:rsidR="00396629" w:rsidRDefault="00396629" w:rsidP="00396629">
      <w:pPr>
        <w:pStyle w:val="ListParagraph"/>
        <w:numPr>
          <w:ilvl w:val="0"/>
          <w:numId w:val="3"/>
        </w:numPr>
        <w:rPr>
          <w:rFonts w:ascii="Arial" w:hAnsi="Arial" w:cs="Arial"/>
        </w:rPr>
      </w:pPr>
      <w:r>
        <w:rPr>
          <w:rFonts w:ascii="Arial" w:hAnsi="Arial" w:cs="Arial"/>
        </w:rPr>
        <w:t>Define the Intent: The policy should clearly state its purpose. This helps guide decisions and ensures everyone understands the policy’s relevance.</w:t>
      </w:r>
    </w:p>
    <w:p w14:paraId="6D7F1D07" w14:textId="77777777" w:rsidR="00396629" w:rsidRDefault="00396629" w:rsidP="00396629">
      <w:pPr>
        <w:pStyle w:val="ListParagraph"/>
        <w:ind w:left="1440"/>
        <w:rPr>
          <w:rFonts w:ascii="Arial" w:hAnsi="Arial" w:cs="Arial"/>
        </w:rPr>
      </w:pPr>
    </w:p>
    <w:p w14:paraId="40898F3B" w14:textId="77777777" w:rsidR="00396629" w:rsidRDefault="00396629" w:rsidP="00396629">
      <w:pPr>
        <w:pStyle w:val="ListParagraph"/>
        <w:numPr>
          <w:ilvl w:val="0"/>
          <w:numId w:val="2"/>
        </w:numPr>
        <w:rPr>
          <w:rFonts w:ascii="Arial" w:hAnsi="Arial" w:cs="Arial"/>
        </w:rPr>
      </w:pPr>
      <w:r>
        <w:rPr>
          <w:rFonts w:ascii="Arial" w:hAnsi="Arial" w:cs="Arial"/>
        </w:rPr>
        <w:t>Simple, Clear, and Concise Language:</w:t>
      </w:r>
    </w:p>
    <w:p w14:paraId="78489462" w14:textId="77777777" w:rsidR="00396629" w:rsidRDefault="00396629" w:rsidP="00396629">
      <w:pPr>
        <w:pStyle w:val="EndnoteText"/>
        <w:numPr>
          <w:ilvl w:val="0"/>
          <w:numId w:val="5"/>
        </w:numPr>
        <w:rPr>
          <w:rFonts w:ascii="Arial" w:hAnsi="Arial" w:cs="Arial"/>
          <w:sz w:val="24"/>
          <w:szCs w:val="24"/>
        </w:rPr>
      </w:pPr>
      <w:r w:rsidRPr="008A61AA">
        <w:rPr>
          <w:rFonts w:ascii="Arial" w:hAnsi="Arial" w:cs="Arial"/>
          <w:sz w:val="24"/>
          <w:szCs w:val="24"/>
        </w:rPr>
        <w:t xml:space="preserve">All policies should be clear, transparent, and </w:t>
      </w:r>
      <w:r>
        <w:rPr>
          <w:rFonts w:ascii="Arial" w:hAnsi="Arial" w:cs="Arial"/>
          <w:sz w:val="24"/>
          <w:szCs w:val="24"/>
        </w:rPr>
        <w:t xml:space="preserve">convey the same meaning by all who review them, in order to meet requirements for “non-discriminatory </w:t>
      </w:r>
      <w:r>
        <w:rPr>
          <w:rFonts w:ascii="Arial" w:hAnsi="Arial" w:cs="Arial"/>
          <w:sz w:val="24"/>
          <w:szCs w:val="24"/>
        </w:rPr>
        <w:lastRenderedPageBreak/>
        <w:t>criteria”</w:t>
      </w:r>
      <w:r w:rsidRPr="008A61AA">
        <w:rPr>
          <w:rFonts w:ascii="Arial" w:hAnsi="Arial" w:cs="Arial"/>
          <w:sz w:val="24"/>
          <w:szCs w:val="24"/>
        </w:rPr>
        <w:t>. Ambiguous or overly complex policies lead to misunderstandings and unequal application.</w:t>
      </w:r>
    </w:p>
    <w:p w14:paraId="13717E86" w14:textId="77777777" w:rsidR="00396629" w:rsidRDefault="00396629" w:rsidP="00396629">
      <w:pPr>
        <w:pStyle w:val="EndnoteText"/>
        <w:numPr>
          <w:ilvl w:val="0"/>
          <w:numId w:val="5"/>
        </w:numPr>
        <w:rPr>
          <w:rFonts w:ascii="Arial" w:hAnsi="Arial" w:cs="Arial"/>
          <w:sz w:val="24"/>
          <w:szCs w:val="24"/>
        </w:rPr>
      </w:pPr>
      <w:r>
        <w:rPr>
          <w:rFonts w:ascii="Arial" w:hAnsi="Arial" w:cs="Arial"/>
          <w:sz w:val="24"/>
          <w:szCs w:val="24"/>
        </w:rPr>
        <w:t xml:space="preserve">Clear language promotes consistent application across enrolled students and faculty. </w:t>
      </w:r>
    </w:p>
    <w:p w14:paraId="040F852B" w14:textId="77777777" w:rsidR="00396629" w:rsidRPr="00386B73" w:rsidRDefault="00396629" w:rsidP="00396629">
      <w:pPr>
        <w:pStyle w:val="ListParagraph"/>
        <w:numPr>
          <w:ilvl w:val="0"/>
          <w:numId w:val="5"/>
        </w:numPr>
        <w:tabs>
          <w:tab w:val="left" w:pos="1080"/>
        </w:tabs>
        <w:rPr>
          <w:rFonts w:ascii="Arial" w:hAnsi="Arial" w:cs="Arial"/>
        </w:rPr>
      </w:pPr>
      <w:r>
        <w:rPr>
          <w:rFonts w:ascii="Arial" w:hAnsi="Arial" w:cs="Arial"/>
        </w:rPr>
        <w:t xml:space="preserve">Avoid terms that provoke ambiguity and that imply that there is not a consistent application, for example: </w:t>
      </w:r>
      <w:r w:rsidRPr="00386B73">
        <w:rPr>
          <w:rFonts w:ascii="Arial" w:hAnsi="Arial" w:cs="Arial"/>
          <w:i/>
          <w:iCs/>
        </w:rPr>
        <w:t>“may</w:t>
      </w:r>
      <w:r>
        <w:rPr>
          <w:rFonts w:ascii="Arial" w:hAnsi="Arial" w:cs="Arial"/>
          <w:i/>
          <w:iCs/>
        </w:rPr>
        <w:t>,</w:t>
      </w:r>
      <w:r w:rsidRPr="00386B73">
        <w:rPr>
          <w:rFonts w:ascii="Arial" w:hAnsi="Arial" w:cs="Arial"/>
          <w:i/>
          <w:iCs/>
        </w:rPr>
        <w:t>”</w:t>
      </w:r>
      <w:r>
        <w:rPr>
          <w:rFonts w:ascii="Arial" w:hAnsi="Arial" w:cs="Arial"/>
        </w:rPr>
        <w:t xml:space="preserve"> “</w:t>
      </w:r>
      <w:r>
        <w:rPr>
          <w:rFonts w:ascii="Arial" w:hAnsi="Arial" w:cs="Arial"/>
          <w:i/>
          <w:iCs/>
        </w:rPr>
        <w:t xml:space="preserve">could,” </w:t>
      </w:r>
      <w:r w:rsidRPr="00386B73">
        <w:rPr>
          <w:rFonts w:ascii="Arial" w:hAnsi="Arial" w:cs="Arial"/>
          <w:i/>
          <w:iCs/>
        </w:rPr>
        <w:t>“at the discretion of…</w:t>
      </w:r>
      <w:r>
        <w:rPr>
          <w:rFonts w:ascii="Arial" w:hAnsi="Arial" w:cs="Arial"/>
        </w:rPr>
        <w:t xml:space="preserve">”, or </w:t>
      </w:r>
      <w:r w:rsidRPr="00386B73">
        <w:rPr>
          <w:rFonts w:ascii="Arial" w:hAnsi="Arial" w:cs="Arial"/>
          <w:i/>
          <w:iCs/>
        </w:rPr>
        <w:t>“potentially could…</w:t>
      </w:r>
      <w:r>
        <w:rPr>
          <w:rFonts w:ascii="Arial" w:hAnsi="Arial" w:cs="Arial"/>
          <w:i/>
          <w:iCs/>
        </w:rPr>
        <w:t>.</w:t>
      </w:r>
      <w:r w:rsidRPr="00386B73">
        <w:rPr>
          <w:rFonts w:ascii="Arial" w:hAnsi="Arial" w:cs="Arial"/>
          <w:i/>
          <w:iCs/>
        </w:rPr>
        <w:t xml:space="preserve">” </w:t>
      </w:r>
    </w:p>
    <w:p w14:paraId="627475B8" w14:textId="77777777" w:rsidR="00396629" w:rsidRPr="00386B73" w:rsidRDefault="00396629" w:rsidP="00396629">
      <w:pPr>
        <w:pStyle w:val="ListParagraph"/>
        <w:numPr>
          <w:ilvl w:val="0"/>
          <w:numId w:val="5"/>
        </w:numPr>
        <w:rPr>
          <w:rFonts w:ascii="Arial" w:hAnsi="Arial" w:cs="Arial"/>
        </w:rPr>
      </w:pPr>
      <w:r>
        <w:rPr>
          <w:rFonts w:ascii="Arial" w:hAnsi="Arial" w:cs="Arial"/>
        </w:rPr>
        <w:t xml:space="preserve">Be clear and absolute in direction and outcomes, i.e., </w:t>
      </w:r>
      <w:r w:rsidRPr="00386B73">
        <w:rPr>
          <w:rFonts w:ascii="Arial" w:hAnsi="Arial" w:cs="Arial"/>
          <w:i/>
          <w:iCs/>
        </w:rPr>
        <w:t>“will,” “must,” “cannot.”</w:t>
      </w:r>
    </w:p>
    <w:p w14:paraId="28D50F67" w14:textId="77777777" w:rsidR="00396629" w:rsidRPr="00BA3B35" w:rsidRDefault="00396629" w:rsidP="00396629">
      <w:pPr>
        <w:pStyle w:val="EndnoteText"/>
        <w:ind w:left="1440"/>
        <w:rPr>
          <w:rFonts w:ascii="Arial" w:hAnsi="Arial" w:cs="Arial"/>
          <w:sz w:val="24"/>
          <w:szCs w:val="24"/>
        </w:rPr>
      </w:pPr>
    </w:p>
    <w:p w14:paraId="10BCAA0D" w14:textId="77777777" w:rsidR="00396629" w:rsidRDefault="00396629" w:rsidP="00396629">
      <w:pPr>
        <w:pStyle w:val="ListParagraph"/>
        <w:numPr>
          <w:ilvl w:val="0"/>
          <w:numId w:val="2"/>
        </w:numPr>
        <w:rPr>
          <w:rFonts w:ascii="Arial" w:hAnsi="Arial" w:cs="Arial"/>
        </w:rPr>
      </w:pPr>
      <w:r>
        <w:rPr>
          <w:rFonts w:ascii="Arial" w:hAnsi="Arial" w:cs="Arial"/>
        </w:rPr>
        <w:t>Scope and Applicability:</w:t>
      </w:r>
    </w:p>
    <w:p w14:paraId="30D48113" w14:textId="77777777" w:rsidR="00396629" w:rsidRDefault="00396629" w:rsidP="00396629">
      <w:pPr>
        <w:pStyle w:val="ListParagraph"/>
        <w:numPr>
          <w:ilvl w:val="0"/>
          <w:numId w:val="3"/>
        </w:numPr>
        <w:rPr>
          <w:rFonts w:ascii="Arial" w:hAnsi="Arial" w:cs="Arial"/>
        </w:rPr>
      </w:pPr>
      <w:r>
        <w:rPr>
          <w:rFonts w:ascii="Arial" w:hAnsi="Arial" w:cs="Arial"/>
        </w:rPr>
        <w:t xml:space="preserve">Identify the category of individuals to which the policy applies and under what circumstances the policy becomes relevant. Make it clear if there are legal or other </w:t>
      </w:r>
      <w:r w:rsidRPr="005A47BD">
        <w:rPr>
          <w:rFonts w:ascii="Arial" w:hAnsi="Arial" w:cs="Arial"/>
        </w:rPr>
        <w:t>exceptions</w:t>
      </w:r>
      <w:r>
        <w:rPr>
          <w:rFonts w:ascii="Arial" w:hAnsi="Arial" w:cs="Arial"/>
        </w:rPr>
        <w:t xml:space="preserve"> to the policy</w:t>
      </w:r>
      <w:r w:rsidRPr="005A47BD">
        <w:rPr>
          <w:rFonts w:ascii="Arial" w:hAnsi="Arial" w:cs="Arial"/>
        </w:rPr>
        <w:t>.</w:t>
      </w:r>
      <w:r>
        <w:rPr>
          <w:rFonts w:ascii="Arial" w:hAnsi="Arial" w:cs="Arial"/>
        </w:rPr>
        <w:t xml:space="preserve"> (</w:t>
      </w:r>
      <w:r w:rsidRPr="005A47BD">
        <w:rPr>
          <w:rFonts w:ascii="Arial" w:hAnsi="Arial" w:cs="Arial"/>
          <w:i/>
          <w:iCs/>
        </w:rPr>
        <w:t>example: Title IV</w:t>
      </w:r>
      <w:r>
        <w:rPr>
          <w:rFonts w:ascii="Arial" w:hAnsi="Arial" w:cs="Arial"/>
        </w:rPr>
        <w:t>)</w:t>
      </w:r>
    </w:p>
    <w:p w14:paraId="63689343" w14:textId="77777777" w:rsidR="00396629" w:rsidRDefault="00396629" w:rsidP="00396629">
      <w:pPr>
        <w:pStyle w:val="ListParagraph"/>
        <w:numPr>
          <w:ilvl w:val="0"/>
          <w:numId w:val="3"/>
        </w:numPr>
        <w:rPr>
          <w:rFonts w:ascii="Arial" w:hAnsi="Arial" w:cs="Arial"/>
        </w:rPr>
      </w:pPr>
      <w:r>
        <w:rPr>
          <w:rFonts w:ascii="Arial" w:hAnsi="Arial" w:cs="Arial"/>
        </w:rPr>
        <w:t>Define where and when the policy will be applied. (</w:t>
      </w:r>
      <w:r w:rsidRPr="005A47BD">
        <w:rPr>
          <w:rFonts w:ascii="Arial" w:hAnsi="Arial" w:cs="Arial"/>
          <w:i/>
          <w:iCs/>
        </w:rPr>
        <w:t>example: clinical attendance</w:t>
      </w:r>
      <w:r>
        <w:rPr>
          <w:rFonts w:ascii="Arial" w:hAnsi="Arial" w:cs="Arial"/>
        </w:rPr>
        <w:t>)</w:t>
      </w:r>
    </w:p>
    <w:p w14:paraId="3DE6579E" w14:textId="77777777" w:rsidR="00396629" w:rsidRDefault="00396629" w:rsidP="00396629">
      <w:pPr>
        <w:pStyle w:val="ListParagraph"/>
        <w:ind w:left="1440"/>
        <w:rPr>
          <w:rFonts w:ascii="Arial" w:hAnsi="Arial" w:cs="Arial"/>
        </w:rPr>
      </w:pPr>
    </w:p>
    <w:p w14:paraId="48BC1FEA" w14:textId="77777777" w:rsidR="00396629" w:rsidRDefault="00396629" w:rsidP="00396629">
      <w:pPr>
        <w:pStyle w:val="ListParagraph"/>
        <w:numPr>
          <w:ilvl w:val="0"/>
          <w:numId w:val="2"/>
        </w:numPr>
        <w:rPr>
          <w:rFonts w:ascii="Arial" w:hAnsi="Arial" w:cs="Arial"/>
        </w:rPr>
      </w:pPr>
      <w:r>
        <w:rPr>
          <w:rFonts w:ascii="Arial" w:hAnsi="Arial" w:cs="Arial"/>
        </w:rPr>
        <w:t>Clear roles and responsibilities:</w:t>
      </w:r>
    </w:p>
    <w:p w14:paraId="742133D7" w14:textId="77777777" w:rsidR="00396629" w:rsidRDefault="00396629" w:rsidP="00396629">
      <w:pPr>
        <w:pStyle w:val="ListParagraph"/>
        <w:numPr>
          <w:ilvl w:val="0"/>
          <w:numId w:val="4"/>
        </w:numPr>
        <w:rPr>
          <w:rFonts w:ascii="Arial" w:hAnsi="Arial" w:cs="Arial"/>
        </w:rPr>
      </w:pPr>
      <w:r>
        <w:rPr>
          <w:rFonts w:ascii="Arial" w:hAnsi="Arial" w:cs="Arial"/>
        </w:rPr>
        <w:t>Specify the roles and responsibilities of the individuals affected by the policy including who is responsible for enforcing the policy and what actions are expected from those who must comply with the policy.</w:t>
      </w:r>
    </w:p>
    <w:p w14:paraId="38CEA529" w14:textId="77777777" w:rsidR="00396629" w:rsidRDefault="00396629" w:rsidP="00396629">
      <w:pPr>
        <w:pStyle w:val="ListParagraph"/>
        <w:ind w:left="1440"/>
        <w:rPr>
          <w:rFonts w:ascii="Arial" w:hAnsi="Arial" w:cs="Arial"/>
        </w:rPr>
      </w:pPr>
    </w:p>
    <w:p w14:paraId="6AA2D8A7" w14:textId="77777777" w:rsidR="00396629" w:rsidRDefault="00396629" w:rsidP="00396629">
      <w:pPr>
        <w:pStyle w:val="ListParagraph"/>
        <w:numPr>
          <w:ilvl w:val="0"/>
          <w:numId w:val="2"/>
        </w:numPr>
        <w:rPr>
          <w:rFonts w:ascii="Arial" w:hAnsi="Arial" w:cs="Arial"/>
        </w:rPr>
      </w:pPr>
      <w:r>
        <w:rPr>
          <w:rFonts w:ascii="Arial" w:hAnsi="Arial" w:cs="Arial"/>
        </w:rPr>
        <w:t>Non-discrimination:</w:t>
      </w:r>
    </w:p>
    <w:p w14:paraId="045E78CE" w14:textId="77777777" w:rsidR="00396629" w:rsidRDefault="00396629" w:rsidP="00396629">
      <w:pPr>
        <w:pStyle w:val="ListParagraph"/>
        <w:numPr>
          <w:ilvl w:val="0"/>
          <w:numId w:val="4"/>
        </w:numPr>
        <w:rPr>
          <w:rFonts w:ascii="Arial" w:hAnsi="Arial" w:cs="Arial"/>
        </w:rPr>
      </w:pPr>
      <w:r>
        <w:rPr>
          <w:rFonts w:ascii="Arial" w:hAnsi="Arial" w:cs="Arial"/>
        </w:rPr>
        <w:t>Language should be clear and used to ensure consistent application.</w:t>
      </w:r>
    </w:p>
    <w:p w14:paraId="374D2D29" w14:textId="77777777" w:rsidR="00396629" w:rsidRDefault="00396629" w:rsidP="00396629">
      <w:pPr>
        <w:pStyle w:val="ListParagraph"/>
        <w:numPr>
          <w:ilvl w:val="0"/>
          <w:numId w:val="4"/>
        </w:numPr>
        <w:rPr>
          <w:rFonts w:ascii="Arial" w:hAnsi="Arial" w:cs="Arial"/>
        </w:rPr>
      </w:pPr>
      <w:r>
        <w:rPr>
          <w:rFonts w:ascii="Arial" w:hAnsi="Arial" w:cs="Arial"/>
        </w:rPr>
        <w:t>Avoid words that would imply that there is not a consistent application, for example: “may” have a discipline action, “at the discretion of the faculty”, or “potentially could be considered.”</w:t>
      </w:r>
    </w:p>
    <w:p w14:paraId="26CA4BD2" w14:textId="77777777" w:rsidR="00396629" w:rsidRDefault="00396629" w:rsidP="00396629">
      <w:pPr>
        <w:pStyle w:val="ListParagraph"/>
        <w:ind w:left="1440"/>
        <w:rPr>
          <w:rFonts w:ascii="Arial" w:hAnsi="Arial" w:cs="Arial"/>
        </w:rPr>
      </w:pPr>
    </w:p>
    <w:p w14:paraId="39CB8D88" w14:textId="77777777" w:rsidR="00396629" w:rsidRPr="0080127D" w:rsidRDefault="00396629" w:rsidP="00396629">
      <w:pPr>
        <w:pStyle w:val="ListParagraph"/>
        <w:numPr>
          <w:ilvl w:val="0"/>
          <w:numId w:val="2"/>
        </w:numPr>
        <w:rPr>
          <w:rFonts w:ascii="Arial" w:hAnsi="Arial" w:cs="Arial"/>
        </w:rPr>
      </w:pPr>
      <w:r w:rsidRPr="0080127D">
        <w:rPr>
          <w:rFonts w:ascii="Arial" w:hAnsi="Arial" w:cs="Arial"/>
        </w:rPr>
        <w:t>Enforcement and consequences:</w:t>
      </w:r>
    </w:p>
    <w:p w14:paraId="510176DE" w14:textId="77777777" w:rsidR="00396629" w:rsidRDefault="00396629" w:rsidP="00396629">
      <w:pPr>
        <w:pStyle w:val="ListParagraph"/>
        <w:numPr>
          <w:ilvl w:val="0"/>
          <w:numId w:val="6"/>
        </w:numPr>
        <w:rPr>
          <w:rFonts w:ascii="Arial" w:hAnsi="Arial" w:cs="Arial"/>
        </w:rPr>
      </w:pPr>
      <w:r>
        <w:rPr>
          <w:rFonts w:ascii="Arial" w:hAnsi="Arial" w:cs="Arial"/>
        </w:rPr>
        <w:t>Identify how the policy will be enforced and by whom, and what steps will be taken if there is a violation of the policy.</w:t>
      </w:r>
    </w:p>
    <w:p w14:paraId="403A0208" w14:textId="77777777" w:rsidR="00396629" w:rsidRDefault="00396629" w:rsidP="00396629">
      <w:pPr>
        <w:pStyle w:val="ListParagraph"/>
        <w:numPr>
          <w:ilvl w:val="0"/>
          <w:numId w:val="6"/>
        </w:numPr>
        <w:rPr>
          <w:rFonts w:ascii="Arial" w:hAnsi="Arial" w:cs="Arial"/>
        </w:rPr>
      </w:pPr>
      <w:r>
        <w:rPr>
          <w:rFonts w:ascii="Arial" w:hAnsi="Arial" w:cs="Arial"/>
        </w:rPr>
        <w:t xml:space="preserve">If the policy is violated, there should be clear, proportionate consequences identified in the policy. </w:t>
      </w:r>
    </w:p>
    <w:p w14:paraId="0C6CCF84" w14:textId="77777777" w:rsidR="00396629" w:rsidRDefault="00396629" w:rsidP="00396629">
      <w:pPr>
        <w:pStyle w:val="ListParagraph"/>
        <w:ind w:left="1440"/>
        <w:rPr>
          <w:rFonts w:ascii="Arial" w:hAnsi="Arial" w:cs="Arial"/>
        </w:rPr>
      </w:pPr>
    </w:p>
    <w:p w14:paraId="2FFBD7CE" w14:textId="77777777" w:rsidR="00396629" w:rsidRPr="0080127D" w:rsidRDefault="00396629" w:rsidP="00396629">
      <w:pPr>
        <w:pStyle w:val="ListParagraph"/>
        <w:numPr>
          <w:ilvl w:val="0"/>
          <w:numId w:val="2"/>
        </w:numPr>
        <w:rPr>
          <w:rFonts w:ascii="Arial" w:hAnsi="Arial" w:cs="Arial"/>
        </w:rPr>
      </w:pPr>
      <w:r w:rsidRPr="0080127D">
        <w:rPr>
          <w:rFonts w:ascii="Arial" w:hAnsi="Arial" w:cs="Arial"/>
        </w:rPr>
        <w:t>Fairness:</w:t>
      </w:r>
    </w:p>
    <w:p w14:paraId="6B92CBE1" w14:textId="77777777" w:rsidR="00396629" w:rsidRDefault="00396629" w:rsidP="00396629">
      <w:pPr>
        <w:pStyle w:val="ListParagraph"/>
        <w:numPr>
          <w:ilvl w:val="0"/>
          <w:numId w:val="7"/>
        </w:numPr>
        <w:rPr>
          <w:rFonts w:ascii="Arial" w:hAnsi="Arial" w:cs="Arial"/>
        </w:rPr>
      </w:pPr>
      <w:r>
        <w:rPr>
          <w:rFonts w:ascii="Arial" w:hAnsi="Arial" w:cs="Arial"/>
        </w:rPr>
        <w:t xml:space="preserve">Ensure the </w:t>
      </w:r>
      <w:r w:rsidRPr="00D15A0E">
        <w:rPr>
          <w:rFonts w:ascii="Arial" w:hAnsi="Arial" w:cs="Arial"/>
        </w:rPr>
        <w:t>policy is fair and just. The</w:t>
      </w:r>
      <w:r>
        <w:rPr>
          <w:rFonts w:ascii="Arial" w:hAnsi="Arial" w:cs="Arial"/>
        </w:rPr>
        <w:t xml:space="preserve"> policy should treat all individuals equally, not favoring one group or individual over another, to ensure fair and equitable application of the policy.</w:t>
      </w:r>
    </w:p>
    <w:p w14:paraId="79A472F7" w14:textId="77777777" w:rsidR="00396629" w:rsidRDefault="00396629" w:rsidP="00396629">
      <w:pPr>
        <w:pStyle w:val="ListParagraph"/>
        <w:ind w:left="0"/>
        <w:rPr>
          <w:rFonts w:ascii="Arial" w:hAnsi="Arial" w:cs="Arial"/>
        </w:rPr>
      </w:pPr>
    </w:p>
    <w:p w14:paraId="34DB743A" w14:textId="77777777" w:rsidR="00396629" w:rsidRPr="000E00F8" w:rsidRDefault="00396629" w:rsidP="00396629">
      <w:pPr>
        <w:rPr>
          <w:rFonts w:ascii="Arial" w:hAnsi="Arial" w:cs="Arial"/>
          <w:b/>
          <w:bCs/>
        </w:rPr>
      </w:pPr>
      <w:r w:rsidRPr="000E00F8">
        <w:rPr>
          <w:rFonts w:ascii="Arial" w:hAnsi="Arial" w:cs="Arial"/>
          <w:b/>
          <w:bCs/>
        </w:rPr>
        <w:t>Example Structure for a Policy Document:</w:t>
      </w:r>
    </w:p>
    <w:p w14:paraId="6206B0B5"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t>Policy Title:</w:t>
      </w:r>
      <w:r w:rsidRPr="000E00F8">
        <w:rPr>
          <w:rFonts w:ascii="Arial" w:hAnsi="Arial" w:cs="Arial"/>
        </w:rPr>
        <w:t xml:space="preserve"> Clear and descriptive.</w:t>
      </w:r>
    </w:p>
    <w:p w14:paraId="35B5EF37"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t>Policy Purpose:</w:t>
      </w:r>
      <w:r w:rsidRPr="000E00F8">
        <w:rPr>
          <w:rFonts w:ascii="Arial" w:hAnsi="Arial" w:cs="Arial"/>
        </w:rPr>
        <w:t xml:space="preserve"> The goal and intent of the policy.</w:t>
      </w:r>
    </w:p>
    <w:p w14:paraId="1FA6D432"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t xml:space="preserve">Scope and Applicability: </w:t>
      </w:r>
      <w:r w:rsidRPr="000E00F8">
        <w:rPr>
          <w:rFonts w:ascii="Arial" w:hAnsi="Arial" w:cs="Arial"/>
        </w:rPr>
        <w:t>Who it applies to and under what circumstances.</w:t>
      </w:r>
    </w:p>
    <w:p w14:paraId="5E273304"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t>Definitions:</w:t>
      </w:r>
      <w:r w:rsidRPr="000E00F8">
        <w:rPr>
          <w:rFonts w:ascii="Arial" w:hAnsi="Arial" w:cs="Arial"/>
        </w:rPr>
        <w:t xml:space="preserve"> Key terms or concepts used in the policy.</w:t>
      </w:r>
    </w:p>
    <w:p w14:paraId="20DD0AC7"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t>Policy Statement:</w:t>
      </w:r>
      <w:r w:rsidRPr="000E00F8">
        <w:rPr>
          <w:rFonts w:ascii="Arial" w:hAnsi="Arial" w:cs="Arial"/>
        </w:rPr>
        <w:t xml:space="preserve"> The main rules or guidelines.</w:t>
      </w:r>
    </w:p>
    <w:p w14:paraId="5AF34477"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t xml:space="preserve">Roles and Responsibilities: </w:t>
      </w:r>
      <w:r w:rsidRPr="000E00F8">
        <w:rPr>
          <w:rFonts w:ascii="Arial" w:hAnsi="Arial" w:cs="Arial"/>
        </w:rPr>
        <w:t>Who is responsible for what.</w:t>
      </w:r>
    </w:p>
    <w:p w14:paraId="419670B5"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lastRenderedPageBreak/>
        <w:t>Procedures:</w:t>
      </w:r>
      <w:r w:rsidRPr="000E00F8">
        <w:rPr>
          <w:rFonts w:ascii="Arial" w:hAnsi="Arial" w:cs="Arial"/>
        </w:rPr>
        <w:t xml:space="preserve"> How the policy will be implemented and followed.</w:t>
      </w:r>
    </w:p>
    <w:p w14:paraId="436EA3AC" w14:textId="77777777" w:rsidR="00396629" w:rsidRPr="000E00F8" w:rsidRDefault="00396629" w:rsidP="00396629">
      <w:pPr>
        <w:pStyle w:val="ListParagraph"/>
        <w:numPr>
          <w:ilvl w:val="0"/>
          <w:numId w:val="8"/>
        </w:numPr>
        <w:rPr>
          <w:rFonts w:ascii="Arial" w:hAnsi="Arial" w:cs="Arial"/>
        </w:rPr>
      </w:pPr>
      <w:r w:rsidRPr="000E00F8">
        <w:rPr>
          <w:rFonts w:ascii="Arial" w:hAnsi="Arial" w:cs="Arial"/>
          <w:i/>
          <w:iCs/>
        </w:rPr>
        <w:t>Enforcement and Consequences:</w:t>
      </w:r>
      <w:r w:rsidRPr="000E00F8">
        <w:rPr>
          <w:rFonts w:ascii="Arial" w:hAnsi="Arial" w:cs="Arial"/>
        </w:rPr>
        <w:t xml:space="preserve"> What happens if the policy is violated.</w:t>
      </w:r>
    </w:p>
    <w:p w14:paraId="0689E81C" w14:textId="77777777" w:rsidR="00396629" w:rsidRDefault="00396629" w:rsidP="00396629">
      <w:pPr>
        <w:pStyle w:val="ListParagraph"/>
        <w:ind w:left="0"/>
        <w:rPr>
          <w:rFonts w:ascii="Arial" w:hAnsi="Arial" w:cs="Arial"/>
          <w:b/>
          <w:bCs/>
        </w:rPr>
      </w:pPr>
    </w:p>
    <w:p w14:paraId="739A3FDA" w14:textId="77777777" w:rsidR="00396629" w:rsidRDefault="00396629" w:rsidP="00396629">
      <w:pPr>
        <w:pStyle w:val="ListParagraph"/>
        <w:ind w:left="0"/>
        <w:rPr>
          <w:rFonts w:ascii="Arial" w:hAnsi="Arial" w:cs="Arial"/>
          <w:b/>
          <w:bCs/>
        </w:rPr>
      </w:pPr>
    </w:p>
    <w:p w14:paraId="7F908B8C" w14:textId="77777777" w:rsidR="00396629" w:rsidRDefault="00396629" w:rsidP="00396629">
      <w:pPr>
        <w:pStyle w:val="ListParagraph"/>
        <w:ind w:left="0"/>
        <w:rPr>
          <w:rFonts w:ascii="Arial" w:hAnsi="Arial" w:cs="Arial"/>
          <w:b/>
          <w:bCs/>
        </w:rPr>
      </w:pPr>
      <w:r>
        <w:rPr>
          <w:rFonts w:ascii="Arial" w:hAnsi="Arial" w:cs="Arial"/>
          <w:b/>
          <w:bCs/>
        </w:rPr>
        <w:t xml:space="preserve">Examples: </w:t>
      </w:r>
    </w:p>
    <w:p w14:paraId="674675B7" w14:textId="77777777" w:rsidR="00396629" w:rsidRDefault="00396629" w:rsidP="00396629">
      <w:pPr>
        <w:pStyle w:val="ListParagraph"/>
        <w:ind w:left="0"/>
        <w:rPr>
          <w:rFonts w:ascii="Arial" w:hAnsi="Arial" w:cs="Arial"/>
          <w:b/>
          <w:bCs/>
        </w:rPr>
      </w:pPr>
    </w:p>
    <w:p w14:paraId="151ED110" w14:textId="77777777" w:rsidR="00396629" w:rsidRPr="00D15A0E" w:rsidRDefault="00396629" w:rsidP="00396629">
      <w:pPr>
        <w:pStyle w:val="ListParagraph"/>
        <w:ind w:left="0"/>
        <w:rPr>
          <w:rFonts w:ascii="Arial" w:hAnsi="Arial" w:cs="Arial"/>
          <w:b/>
          <w:bCs/>
          <w:i/>
          <w:iCs/>
        </w:rPr>
      </w:pPr>
      <w:r w:rsidRPr="00D15A0E">
        <w:rPr>
          <w:rFonts w:ascii="Arial" w:hAnsi="Arial" w:cs="Arial"/>
          <w:b/>
          <w:bCs/>
          <w:i/>
          <w:iCs/>
        </w:rPr>
        <w:t>Attendance Policy:</w:t>
      </w:r>
    </w:p>
    <w:p w14:paraId="5A4715A6" w14:textId="77777777" w:rsidR="00396629" w:rsidRDefault="00396629" w:rsidP="00396629">
      <w:pPr>
        <w:pStyle w:val="ListParagraph"/>
        <w:ind w:left="0"/>
        <w:rPr>
          <w:rFonts w:ascii="Arial" w:hAnsi="Arial" w:cs="Arial"/>
        </w:rPr>
      </w:pPr>
      <w:r w:rsidRPr="00D15A0E">
        <w:rPr>
          <w:rFonts w:ascii="Arial" w:hAnsi="Arial" w:cs="Arial"/>
        </w:rPr>
        <w:t>The attendance policy clearly define</w:t>
      </w:r>
      <w:r>
        <w:rPr>
          <w:rFonts w:ascii="Arial" w:hAnsi="Arial" w:cs="Arial"/>
        </w:rPr>
        <w:t>s</w:t>
      </w:r>
      <w:r w:rsidRPr="00D15A0E">
        <w:rPr>
          <w:rFonts w:ascii="Arial" w:hAnsi="Arial" w:cs="Arial"/>
        </w:rPr>
        <w:t xml:space="preserve"> what constitutes an excused or unexcused absence, the process for notifying instructors about an absence, and the potential consequences for not adhering to the attendance expectations. Vague terms like “reasonable excuses” should be avoided, and instead, specific categories of acceptable reasons for absence should be listed</w:t>
      </w:r>
      <w:r>
        <w:rPr>
          <w:rFonts w:ascii="Arial" w:hAnsi="Arial" w:cs="Arial"/>
        </w:rPr>
        <w:t xml:space="preserve"> (example: Title IV)</w:t>
      </w:r>
      <w:r w:rsidRPr="00D15A0E">
        <w:rPr>
          <w:rFonts w:ascii="Arial" w:hAnsi="Arial" w:cs="Arial"/>
        </w:rPr>
        <w:t>.</w:t>
      </w:r>
    </w:p>
    <w:p w14:paraId="05C0D078" w14:textId="77777777" w:rsidR="00396629" w:rsidRPr="00D15A0E" w:rsidRDefault="00396629" w:rsidP="00396629">
      <w:pPr>
        <w:pStyle w:val="ListParagraph"/>
        <w:ind w:left="0"/>
        <w:rPr>
          <w:rFonts w:ascii="Arial" w:hAnsi="Arial" w:cs="Arial"/>
        </w:rPr>
      </w:pPr>
    </w:p>
    <w:p w14:paraId="74165C0A" w14:textId="77777777" w:rsidR="00396629" w:rsidRDefault="00396629" w:rsidP="00396629">
      <w:pPr>
        <w:pStyle w:val="ListParagraph"/>
        <w:numPr>
          <w:ilvl w:val="0"/>
          <w:numId w:val="9"/>
        </w:numPr>
        <w:rPr>
          <w:rFonts w:ascii="Arial" w:hAnsi="Arial" w:cs="Arial"/>
        </w:rPr>
      </w:pPr>
      <w:r w:rsidRPr="00D15A0E">
        <w:rPr>
          <w:rFonts w:ascii="Arial" w:hAnsi="Arial" w:cs="Arial"/>
          <w:i/>
          <w:iCs/>
        </w:rPr>
        <w:t>Ambiguous language:</w:t>
      </w:r>
      <w:r w:rsidRPr="00D15A0E">
        <w:rPr>
          <w:rFonts w:ascii="Arial" w:hAnsi="Arial" w:cs="Arial"/>
        </w:rPr>
        <w:t xml:space="preserve"> “Absences may be excused under reasonable circumstances.”</w:t>
      </w:r>
    </w:p>
    <w:p w14:paraId="18D5EA90" w14:textId="77777777" w:rsidR="00396629" w:rsidRPr="00D15A0E" w:rsidRDefault="00396629" w:rsidP="00396629">
      <w:pPr>
        <w:pStyle w:val="ListParagraph"/>
        <w:numPr>
          <w:ilvl w:val="1"/>
          <w:numId w:val="9"/>
        </w:numPr>
        <w:rPr>
          <w:rFonts w:ascii="Arial" w:hAnsi="Arial" w:cs="Arial"/>
          <w:i/>
          <w:iCs/>
        </w:rPr>
      </w:pPr>
      <w:r>
        <w:rPr>
          <w:rFonts w:ascii="Arial" w:hAnsi="Arial" w:cs="Arial"/>
          <w:i/>
          <w:iCs/>
        </w:rPr>
        <w:t>Why it’s ambiguous:</w:t>
      </w:r>
      <w:r>
        <w:rPr>
          <w:rFonts w:ascii="Arial" w:hAnsi="Arial" w:cs="Arial"/>
        </w:rPr>
        <w:t xml:space="preserve"> </w:t>
      </w:r>
      <w:r w:rsidRPr="0037566E">
        <w:rPr>
          <w:rFonts w:ascii="Arial" w:hAnsi="Arial" w:cs="Arial"/>
          <w:i/>
          <w:iCs/>
        </w:rPr>
        <w:t>The term “under reasonable circumstances” leaves room for interpretation. It does not explain what constitutes a reasonable circumstance and allows for biased application.</w:t>
      </w:r>
    </w:p>
    <w:p w14:paraId="619464C3" w14:textId="77777777" w:rsidR="00396629" w:rsidRDefault="00396629" w:rsidP="00396629">
      <w:pPr>
        <w:pStyle w:val="ListParagraph"/>
        <w:numPr>
          <w:ilvl w:val="0"/>
          <w:numId w:val="9"/>
        </w:numPr>
        <w:rPr>
          <w:rFonts w:ascii="Arial" w:hAnsi="Arial" w:cs="Arial"/>
        </w:rPr>
      </w:pPr>
      <w:r w:rsidRPr="00D15A0E">
        <w:rPr>
          <w:rFonts w:ascii="Arial" w:hAnsi="Arial" w:cs="Arial"/>
          <w:i/>
          <w:iCs/>
        </w:rPr>
        <w:t>Non-ambiguous language:</w:t>
      </w:r>
      <w:r w:rsidRPr="00D15A0E">
        <w:rPr>
          <w:rFonts w:ascii="Arial" w:hAnsi="Arial" w:cs="Arial"/>
        </w:rPr>
        <w:t xml:space="preserve"> “Absences will be excused for the following reasons: medical emergencies, family emergencies, or religious observances. All absences must be reported to the instructor at least 24 hours in advance.”</w:t>
      </w:r>
    </w:p>
    <w:p w14:paraId="14EA6D80" w14:textId="77777777" w:rsidR="00396629" w:rsidRPr="00D15A0E" w:rsidRDefault="00396629" w:rsidP="00396629">
      <w:pPr>
        <w:pStyle w:val="ListParagraph"/>
        <w:numPr>
          <w:ilvl w:val="1"/>
          <w:numId w:val="9"/>
        </w:numPr>
        <w:rPr>
          <w:rFonts w:ascii="Arial" w:hAnsi="Arial" w:cs="Arial"/>
        </w:rPr>
      </w:pPr>
      <w:r>
        <w:rPr>
          <w:rFonts w:ascii="Arial" w:hAnsi="Arial" w:cs="Arial"/>
          <w:i/>
          <w:iCs/>
        </w:rPr>
        <w:t>Why it’s not ambiguous: It clearly defines the reasons where the absence would be excused, and the behaviors expected of the students.”</w:t>
      </w:r>
    </w:p>
    <w:p w14:paraId="0077871E" w14:textId="77777777" w:rsidR="00396629" w:rsidRDefault="00396629" w:rsidP="00396629">
      <w:pPr>
        <w:pStyle w:val="ListParagraph"/>
        <w:ind w:left="0"/>
        <w:rPr>
          <w:rFonts w:ascii="Arial" w:hAnsi="Arial" w:cs="Arial"/>
          <w:b/>
          <w:bCs/>
        </w:rPr>
      </w:pPr>
    </w:p>
    <w:p w14:paraId="0487458C" w14:textId="77777777" w:rsidR="00396629" w:rsidRDefault="00396629" w:rsidP="00396629">
      <w:pPr>
        <w:pStyle w:val="ListParagraph"/>
        <w:ind w:left="0"/>
        <w:rPr>
          <w:rFonts w:ascii="Arial" w:hAnsi="Arial" w:cs="Arial"/>
        </w:rPr>
      </w:pPr>
      <w:r w:rsidRPr="00D15A0E">
        <w:rPr>
          <w:rFonts w:ascii="Arial" w:hAnsi="Arial" w:cs="Arial"/>
          <w:b/>
          <w:bCs/>
          <w:i/>
          <w:iCs/>
        </w:rPr>
        <w:t>Academic Integrity:</w:t>
      </w:r>
    </w:p>
    <w:p w14:paraId="5483AF73" w14:textId="77777777" w:rsidR="00396629" w:rsidRDefault="00396629" w:rsidP="00396629">
      <w:pPr>
        <w:pStyle w:val="ListParagraph"/>
        <w:ind w:left="0"/>
        <w:rPr>
          <w:rFonts w:ascii="Arial" w:hAnsi="Arial" w:cs="Arial"/>
        </w:rPr>
      </w:pPr>
      <w:r w:rsidRPr="00D15A0E">
        <w:rPr>
          <w:rFonts w:ascii="Arial" w:hAnsi="Arial" w:cs="Arial"/>
        </w:rPr>
        <w:t xml:space="preserve">The </w:t>
      </w:r>
      <w:r>
        <w:rPr>
          <w:rFonts w:ascii="Arial" w:hAnsi="Arial" w:cs="Arial"/>
        </w:rPr>
        <w:t>academic integrity policy</w:t>
      </w:r>
      <w:r w:rsidRPr="00D15A0E">
        <w:rPr>
          <w:rFonts w:ascii="Arial" w:hAnsi="Arial" w:cs="Arial"/>
        </w:rPr>
        <w:t xml:space="preserve"> include</w:t>
      </w:r>
      <w:r>
        <w:rPr>
          <w:rFonts w:ascii="Arial" w:hAnsi="Arial" w:cs="Arial"/>
        </w:rPr>
        <w:t>s</w:t>
      </w:r>
      <w:r w:rsidRPr="00D15A0E">
        <w:rPr>
          <w:rFonts w:ascii="Arial" w:hAnsi="Arial" w:cs="Arial"/>
        </w:rPr>
        <w:t xml:space="preserve"> specific behaviors that are prohibited and the consequences for violating those rules. Ambiguous statements like "inappropriate behavior" can be misinterpreted, leading to inconsistent enforcement of policies. By using clear, precise language, everyone knows what is expected of them and the consequences of non-compliance.</w:t>
      </w:r>
    </w:p>
    <w:p w14:paraId="0F1CFE7E" w14:textId="77777777" w:rsidR="00396629" w:rsidRPr="00D15A0E" w:rsidRDefault="00396629" w:rsidP="00396629">
      <w:pPr>
        <w:pStyle w:val="ListParagraph"/>
        <w:ind w:left="0"/>
        <w:rPr>
          <w:rFonts w:ascii="Arial" w:hAnsi="Arial" w:cs="Arial"/>
        </w:rPr>
      </w:pPr>
    </w:p>
    <w:p w14:paraId="5AEEBED4" w14:textId="77777777" w:rsidR="00396629" w:rsidRPr="00D15A0E" w:rsidRDefault="00396629" w:rsidP="00396629">
      <w:pPr>
        <w:pStyle w:val="ListParagraph"/>
        <w:numPr>
          <w:ilvl w:val="0"/>
          <w:numId w:val="9"/>
        </w:numPr>
        <w:rPr>
          <w:rFonts w:ascii="Arial" w:hAnsi="Arial" w:cs="Arial"/>
          <w:i/>
          <w:iCs/>
        </w:rPr>
      </w:pPr>
      <w:r w:rsidRPr="00D15A0E">
        <w:rPr>
          <w:rFonts w:ascii="Arial" w:hAnsi="Arial" w:cs="Arial"/>
          <w:i/>
          <w:iCs/>
        </w:rPr>
        <w:t>Ambiguous language:</w:t>
      </w:r>
      <w:r>
        <w:rPr>
          <w:rFonts w:ascii="Arial" w:hAnsi="Arial" w:cs="Arial"/>
          <w:i/>
          <w:iCs/>
        </w:rPr>
        <w:t xml:space="preserve"> </w:t>
      </w:r>
      <w:r w:rsidRPr="00D15A0E">
        <w:rPr>
          <w:rFonts w:ascii="Arial" w:hAnsi="Arial" w:cs="Arial"/>
          <w:i/>
          <w:iCs/>
        </w:rPr>
        <w:t>"Plagiarism is not acceptable in any circumstance, and all work should be original."</w:t>
      </w:r>
    </w:p>
    <w:p w14:paraId="141BA2C2" w14:textId="77777777" w:rsidR="00396629" w:rsidRPr="00D15A0E" w:rsidRDefault="00396629" w:rsidP="00396629">
      <w:pPr>
        <w:pStyle w:val="ListParagraph"/>
        <w:numPr>
          <w:ilvl w:val="1"/>
          <w:numId w:val="9"/>
        </w:numPr>
        <w:rPr>
          <w:rFonts w:ascii="Arial" w:hAnsi="Arial" w:cs="Arial"/>
        </w:rPr>
      </w:pPr>
      <w:r>
        <w:rPr>
          <w:rFonts w:ascii="Arial" w:hAnsi="Arial" w:cs="Arial"/>
          <w:i/>
          <w:iCs/>
        </w:rPr>
        <w:t>Why it’s ambiguous:</w:t>
      </w:r>
      <w:r>
        <w:rPr>
          <w:rFonts w:ascii="Arial" w:hAnsi="Arial" w:cs="Arial"/>
        </w:rPr>
        <w:t xml:space="preserve"> </w:t>
      </w:r>
      <w:r w:rsidRPr="00D15A0E">
        <w:rPr>
          <w:rFonts w:ascii="Arial" w:hAnsi="Arial" w:cs="Arial"/>
        </w:rPr>
        <w:t>The term "not acceptable" leaves room for interpretation. It does not explain what constitutes plagiarism or how severe the consequences might be. The statement lacks clarity on how to identify or prevent plagiarism.</w:t>
      </w:r>
    </w:p>
    <w:p w14:paraId="033FBADB" w14:textId="77777777" w:rsidR="00396629" w:rsidRPr="0037566E" w:rsidRDefault="00396629" w:rsidP="00396629">
      <w:pPr>
        <w:pStyle w:val="ListParagraph"/>
        <w:numPr>
          <w:ilvl w:val="0"/>
          <w:numId w:val="9"/>
        </w:numPr>
        <w:rPr>
          <w:rFonts w:ascii="Arial" w:hAnsi="Arial" w:cs="Arial"/>
        </w:rPr>
      </w:pPr>
      <w:r w:rsidRPr="00D15A0E">
        <w:rPr>
          <w:rFonts w:ascii="Arial" w:hAnsi="Arial" w:cs="Arial"/>
          <w:i/>
          <w:iCs/>
        </w:rPr>
        <w:t>Non-ambiguous language:</w:t>
      </w:r>
      <w:r w:rsidRPr="00D15A0E">
        <w:rPr>
          <w:rFonts w:ascii="Arial" w:hAnsi="Arial" w:cs="Arial"/>
        </w:rPr>
        <w:t xml:space="preserve"> </w:t>
      </w:r>
      <w:r w:rsidRPr="0037566E">
        <w:rPr>
          <w:rFonts w:ascii="Arial" w:hAnsi="Arial" w:cs="Arial"/>
        </w:rPr>
        <w:t xml:space="preserve">"Plagiarism is defined as presenting someone else's work, ideas, or data as your own without proper citation. This includes copying text from books, articles, or online sources, and using another person's research or ideas without acknowledgment. Any instance of plagiarism will result in a grade of zero for the assignment </w:t>
      </w:r>
      <w:r>
        <w:rPr>
          <w:rFonts w:ascii="Arial" w:hAnsi="Arial" w:cs="Arial"/>
        </w:rPr>
        <w:t xml:space="preserve">and will </w:t>
      </w:r>
      <w:r w:rsidRPr="0037566E">
        <w:rPr>
          <w:rFonts w:ascii="Arial" w:hAnsi="Arial" w:cs="Arial"/>
        </w:rPr>
        <w:t>lead to further disciplinary action, including suspension or expulsion."</w:t>
      </w:r>
    </w:p>
    <w:p w14:paraId="3EF016E3" w14:textId="77777777" w:rsidR="00396629" w:rsidRPr="00D15A0E" w:rsidRDefault="00396629" w:rsidP="00396629">
      <w:pPr>
        <w:pStyle w:val="ListParagraph"/>
        <w:numPr>
          <w:ilvl w:val="1"/>
          <w:numId w:val="9"/>
        </w:numPr>
        <w:rPr>
          <w:rFonts w:ascii="Arial" w:hAnsi="Arial" w:cs="Arial"/>
        </w:rPr>
      </w:pPr>
      <w:r>
        <w:rPr>
          <w:rFonts w:ascii="Arial" w:hAnsi="Arial" w:cs="Arial"/>
          <w:i/>
          <w:iCs/>
        </w:rPr>
        <w:t>Why it’s not ambiguous:</w:t>
      </w:r>
      <w:r w:rsidRPr="00D15A0E">
        <w:rPr>
          <w:rFonts w:ascii="Arial" w:hAnsi="Arial" w:cs="Arial"/>
        </w:rPr>
        <w:t xml:space="preserve"> This version clearly defines plagiarism, giving students specific guidelines on what is considered plagiarism, and outlines the consequences in a detailed, consistent manner.</w:t>
      </w:r>
    </w:p>
    <w:p w14:paraId="1BAAC634" w14:textId="77777777" w:rsidR="00396629" w:rsidRPr="00D15A0E" w:rsidRDefault="00396629" w:rsidP="00396629">
      <w:pPr>
        <w:pStyle w:val="ListParagraph"/>
        <w:ind w:left="0"/>
        <w:rPr>
          <w:rFonts w:ascii="Arial" w:hAnsi="Arial" w:cs="Arial"/>
        </w:rPr>
      </w:pPr>
    </w:p>
    <w:p w14:paraId="01828B2B" w14:textId="77777777" w:rsidR="00396629" w:rsidRPr="00386B73" w:rsidRDefault="00396629" w:rsidP="00396629">
      <w:pPr>
        <w:pStyle w:val="ListParagraph"/>
        <w:ind w:left="0"/>
        <w:rPr>
          <w:rFonts w:ascii="Arial" w:hAnsi="Arial"/>
        </w:rPr>
      </w:pPr>
      <w:r>
        <w:rPr>
          <w:rFonts w:ascii="Arial" w:hAnsi="Arial" w:cs="Arial"/>
        </w:rPr>
        <w:t xml:space="preserve">Policies that are non-discriminatory under 244 CMR 6.04(3)(b) ensure that the policy will be applied consistently to all individuals and groups, even under varying circumstances, allowing for </w:t>
      </w:r>
      <w:r w:rsidRPr="00454320">
        <w:rPr>
          <w:rFonts w:ascii="Arial" w:hAnsi="Arial" w:cs="Arial"/>
        </w:rPr>
        <w:t xml:space="preserve">fair and equal enforcement without bias or favoritism. </w:t>
      </w:r>
    </w:p>
    <w:bookmarkEnd w:id="0"/>
    <w:p w14:paraId="0A6B09BF" w14:textId="77777777" w:rsidR="00396629" w:rsidRDefault="00396629" w:rsidP="00396629">
      <w:pPr>
        <w:pStyle w:val="ListParagraph"/>
        <w:ind w:left="0"/>
        <w:rPr>
          <w:rFonts w:ascii="Arial" w:hAnsi="Arial" w:cs="Arial"/>
          <w:b/>
          <w:bCs/>
        </w:rPr>
      </w:pPr>
      <w:r w:rsidRPr="00EB7A43">
        <w:rPr>
          <w:rFonts w:ascii="Arial" w:hAnsi="Arial" w:cs="Arial"/>
          <w:szCs w:val="24"/>
          <w:lang w:val="en"/>
        </w:rPr>
        <w:br/>
      </w:r>
      <w:r w:rsidRPr="00B5495B">
        <w:rPr>
          <w:rFonts w:ascii="Arial" w:hAnsi="Arial" w:cs="Arial"/>
          <w:b/>
          <w:bCs/>
        </w:rPr>
        <w:t>References:</w:t>
      </w:r>
    </w:p>
    <w:p w14:paraId="47619846" w14:textId="77777777" w:rsidR="00396629" w:rsidRPr="0054271A" w:rsidRDefault="00396629" w:rsidP="00396629">
      <w:pPr>
        <w:pStyle w:val="FootnoteText"/>
        <w:rPr>
          <w:rFonts w:ascii="Arial" w:hAnsi="Arial" w:cs="Arial"/>
          <w:color w:val="0070C0"/>
          <w:sz w:val="24"/>
          <w:szCs w:val="24"/>
        </w:rPr>
      </w:pPr>
      <w:r>
        <w:rPr>
          <w:rStyle w:val="FootnoteReference"/>
        </w:rPr>
        <w:footnoteRef/>
      </w:r>
      <w:r>
        <w:t xml:space="preserve"> </w:t>
      </w:r>
      <w:r w:rsidRPr="0054271A">
        <w:rPr>
          <w:rFonts w:ascii="Arial" w:hAnsi="Arial" w:cs="Arial"/>
          <w:sz w:val="24"/>
          <w:szCs w:val="24"/>
        </w:rPr>
        <w:t>Massachusetts General</w:t>
      </w:r>
      <w:r w:rsidRPr="00606012">
        <w:t xml:space="preserve"> </w:t>
      </w:r>
      <w:r w:rsidRPr="00315727">
        <w:rPr>
          <w:rFonts w:ascii="Arial" w:hAnsi="Arial" w:cs="Arial"/>
          <w:sz w:val="24"/>
          <w:szCs w:val="24"/>
        </w:rPr>
        <w:t xml:space="preserve">Law c. 112 § 81C.  Accessed at </w:t>
      </w:r>
      <w:hyperlink r:id="rId8" w:history="1">
        <w:r w:rsidRPr="0054271A">
          <w:rPr>
            <w:rFonts w:ascii="Arial" w:hAnsi="Arial" w:cs="Arial"/>
            <w:color w:val="0070C0"/>
            <w:sz w:val="24"/>
            <w:szCs w:val="24"/>
            <w:u w:val="single"/>
          </w:rPr>
          <w:t>General Law - Part I, Title XVI, Chapter 112, Section 81C</w:t>
        </w:r>
      </w:hyperlink>
    </w:p>
    <w:p w14:paraId="061B9A40" w14:textId="77777777" w:rsidR="00396629" w:rsidRDefault="00396629" w:rsidP="00396629">
      <w:pPr>
        <w:pStyle w:val="ListParagraph"/>
        <w:ind w:left="0"/>
        <w:rPr>
          <w:rFonts w:ascii="Arial" w:hAnsi="Arial" w:cs="Arial"/>
          <w:b/>
          <w:bCs/>
        </w:rPr>
      </w:pPr>
    </w:p>
    <w:p w14:paraId="6BF938C1" w14:textId="77777777" w:rsidR="00396629" w:rsidRPr="00315727" w:rsidRDefault="00396629" w:rsidP="00396629">
      <w:pPr>
        <w:pStyle w:val="FootnoteText"/>
        <w:rPr>
          <w:rFonts w:ascii="Arial" w:hAnsi="Arial" w:cs="Arial"/>
          <w:sz w:val="24"/>
          <w:szCs w:val="24"/>
        </w:rPr>
      </w:pPr>
      <w:r>
        <w:rPr>
          <w:rStyle w:val="FootnoteReference"/>
        </w:rPr>
        <w:t>2</w:t>
      </w:r>
      <w:r w:rsidRPr="00315727">
        <w:rPr>
          <w:rFonts w:ascii="Arial" w:hAnsi="Arial" w:cs="Arial"/>
          <w:sz w:val="24"/>
          <w:szCs w:val="24"/>
        </w:rPr>
        <w:t xml:space="preserve">The Massachusetts Board of Registration in Nursing.  244 CMR 6.04 (3) (b).  Accessed at </w:t>
      </w:r>
      <w:hyperlink r:id="rId9" w:history="1">
        <w:r w:rsidRPr="00380F11">
          <w:rPr>
            <w:rStyle w:val="Hyperlink"/>
            <w:rFonts w:ascii="Arial" w:eastAsiaTheme="majorEastAsia" w:hAnsi="Arial" w:cs="Arial"/>
            <w:sz w:val="24"/>
            <w:szCs w:val="24"/>
          </w:rPr>
          <w:t>https://www.mass.gov/doc/244-cmr-6-</w:t>
        </w:r>
      </w:hyperlink>
      <w:r w:rsidRPr="00315727">
        <w:rPr>
          <w:rFonts w:ascii="Arial" w:hAnsi="Arial" w:cs="Arial"/>
          <w:sz w:val="24"/>
          <w:szCs w:val="24"/>
        </w:rPr>
        <w:t>approval-of-nursing-education-programs-standards-and-procedures/download</w:t>
      </w:r>
    </w:p>
    <w:p w14:paraId="53032418" w14:textId="77777777" w:rsidR="00396629" w:rsidRPr="00B5495B" w:rsidRDefault="00396629" w:rsidP="00396629">
      <w:pPr>
        <w:rPr>
          <w:rFonts w:ascii="Arial" w:hAnsi="Arial" w:cs="Arial"/>
        </w:rPr>
      </w:pPr>
    </w:p>
    <w:p w14:paraId="3A8CA0C9" w14:textId="77777777" w:rsidR="00396629" w:rsidRPr="00315727" w:rsidRDefault="00396629" w:rsidP="00396629">
      <w:pPr>
        <w:pStyle w:val="FootnoteText"/>
        <w:rPr>
          <w:rFonts w:ascii="Arial" w:hAnsi="Arial" w:cs="Arial"/>
          <w:color w:val="0070C0"/>
          <w:sz w:val="24"/>
          <w:szCs w:val="24"/>
          <w:u w:val="single"/>
        </w:rPr>
      </w:pPr>
      <w:r w:rsidRPr="0054271A">
        <w:rPr>
          <w:rFonts w:ascii="Arial" w:hAnsi="Arial" w:cs="Arial"/>
          <w:sz w:val="24"/>
          <w:szCs w:val="24"/>
          <w:vertAlign w:val="superscript"/>
        </w:rPr>
        <w:t>3</w:t>
      </w:r>
      <w:r w:rsidRPr="00315727">
        <w:rPr>
          <w:rFonts w:ascii="Arial" w:hAnsi="Arial" w:cs="Arial"/>
          <w:sz w:val="24"/>
          <w:szCs w:val="24"/>
        </w:rPr>
        <w:t>Cambridge Dictionary.  Accessed</w:t>
      </w:r>
      <w:r>
        <w:rPr>
          <w:rFonts w:ascii="Arial" w:hAnsi="Arial" w:cs="Arial"/>
          <w:sz w:val="24"/>
          <w:szCs w:val="24"/>
        </w:rPr>
        <w:t xml:space="preserve"> at: </w:t>
      </w:r>
      <w:hyperlink r:id="rId10" w:history="1">
        <w:r w:rsidRPr="00380F11">
          <w:rPr>
            <w:rStyle w:val="Hyperlink"/>
            <w:rFonts w:ascii="Arial" w:eastAsiaTheme="majorEastAsia" w:hAnsi="Arial" w:cs="Arial"/>
            <w:sz w:val="24"/>
            <w:szCs w:val="24"/>
          </w:rPr>
          <w:t>https://dictionary.cambridge.org/dictionary/english/non-</w:t>
        </w:r>
      </w:hyperlink>
      <w:r w:rsidRPr="00315727">
        <w:rPr>
          <w:rFonts w:ascii="Arial" w:hAnsi="Arial" w:cs="Arial"/>
          <w:color w:val="0070C0"/>
          <w:sz w:val="24"/>
          <w:szCs w:val="24"/>
          <w:u w:val="single"/>
        </w:rPr>
        <w:t>discriminatory#google_vi</w:t>
      </w:r>
    </w:p>
    <w:p w14:paraId="4001005B" w14:textId="77777777" w:rsidR="00396629" w:rsidRPr="00B5495B" w:rsidRDefault="00396629" w:rsidP="00396629">
      <w:pPr>
        <w:pStyle w:val="ListParagraph"/>
        <w:ind w:left="0"/>
        <w:rPr>
          <w:rFonts w:ascii="Arial" w:hAnsi="Arial" w:cs="Arial"/>
          <w:b/>
          <w:bCs/>
        </w:rPr>
      </w:pPr>
    </w:p>
    <w:p w14:paraId="01778BE3" w14:textId="77777777" w:rsidR="00396629" w:rsidRDefault="00396629" w:rsidP="00396629">
      <w:pPr>
        <w:pStyle w:val="FootnoteText"/>
      </w:pPr>
      <w:r w:rsidRPr="0054271A">
        <w:rPr>
          <w:rFonts w:ascii="Arial" w:hAnsi="Arial" w:cs="Arial"/>
          <w:sz w:val="24"/>
          <w:szCs w:val="24"/>
          <w:vertAlign w:val="superscript"/>
        </w:rPr>
        <w:t>4</w:t>
      </w:r>
      <w:r w:rsidRPr="00315727">
        <w:rPr>
          <w:rFonts w:ascii="Arial" w:hAnsi="Arial" w:cs="Arial"/>
          <w:sz w:val="24"/>
          <w:szCs w:val="24"/>
        </w:rPr>
        <w:t>Merriam-Webster Dictionary.  Accessed at https://www.merriam-webster.com/dictionary/nonambiguous</w:t>
      </w:r>
    </w:p>
    <w:p w14:paraId="623E3B5C" w14:textId="77777777" w:rsidR="00396629" w:rsidRPr="00B5495B" w:rsidRDefault="00396629" w:rsidP="00396629">
      <w:pPr>
        <w:rPr>
          <w:rStyle w:val="EndnoteReference"/>
          <w:rFonts w:ascii="Arial" w:eastAsiaTheme="majorEastAsia" w:hAnsi="Arial" w:cs="Arial"/>
        </w:rPr>
      </w:pPr>
    </w:p>
    <w:p w14:paraId="08782599" w14:textId="77777777" w:rsidR="00396629" w:rsidRDefault="00396629" w:rsidP="00396629">
      <w:pPr>
        <w:rPr>
          <w:rFonts w:ascii="Arial" w:hAnsi="Arial" w:cs="Arial"/>
        </w:rPr>
      </w:pPr>
      <w:r w:rsidRPr="00B5495B">
        <w:rPr>
          <w:rFonts w:ascii="Arial" w:hAnsi="Arial" w:cs="Arial"/>
        </w:rPr>
        <w:t>Code of Massachusetts Regulations. Massachusetts Board of Registration in Nursing.  244</w:t>
      </w:r>
      <w:r>
        <w:rPr>
          <w:rFonts w:ascii="Arial" w:hAnsi="Arial" w:cs="Arial"/>
        </w:rPr>
        <w:t xml:space="preserve"> </w:t>
      </w:r>
      <w:r w:rsidRPr="00B5495B">
        <w:rPr>
          <w:rFonts w:ascii="Arial" w:hAnsi="Arial" w:cs="Arial"/>
        </w:rPr>
        <w:t xml:space="preserve">CMR 6.00 Approval of nursing education programs.  Retrieved at </w:t>
      </w:r>
      <w:hyperlink r:id="rId11" w:history="1">
        <w:r w:rsidRPr="00B5495B">
          <w:rPr>
            <w:rStyle w:val="Hyperlink"/>
            <w:rFonts w:ascii="Arial" w:eastAsiaTheme="majorEastAsia" w:hAnsi="Arial" w:cs="Arial"/>
          </w:rPr>
          <w:t>https://www.mass.gov/regulations/244-CMR-600-approval-of-nursing-education-programs-and-the-general-conduct-thereof</w:t>
        </w:r>
      </w:hyperlink>
      <w:r w:rsidRPr="00B5495B">
        <w:rPr>
          <w:rFonts w:ascii="Arial" w:hAnsi="Arial" w:cs="Arial"/>
        </w:rPr>
        <w:t xml:space="preserve"> </w:t>
      </w:r>
    </w:p>
    <w:p w14:paraId="0447101D" w14:textId="77777777" w:rsidR="00396629" w:rsidRDefault="00396629" w:rsidP="00396629">
      <w:pPr>
        <w:rPr>
          <w:rFonts w:ascii="Arial" w:hAnsi="Arial" w:cs="Arial"/>
        </w:rPr>
      </w:pPr>
    </w:p>
    <w:p w14:paraId="3541DE7C" w14:textId="77777777" w:rsidR="00396629" w:rsidRPr="00F92430" w:rsidRDefault="00396629" w:rsidP="00396629">
      <w:pPr>
        <w:rPr>
          <w:rFonts w:ascii="Arial" w:hAnsi="Arial" w:cs="Arial"/>
          <w:b/>
          <w:bCs/>
          <w:sz w:val="22"/>
          <w:szCs w:val="22"/>
        </w:rPr>
      </w:pPr>
      <w:r w:rsidRPr="00B5495B">
        <w:rPr>
          <w:rFonts w:ascii="Arial" w:hAnsi="Arial" w:cs="Arial"/>
        </w:rPr>
        <w:t xml:space="preserve">Code of Massachusetts Regulations. Massachusetts Board of Registration in Nursing. 244 CMR10.00 Definitions and severability.  Retrieved at </w:t>
      </w:r>
      <w:hyperlink r:id="rId12" w:history="1">
        <w:r w:rsidRPr="00B5495B">
          <w:rPr>
            <w:rStyle w:val="Hyperlink"/>
            <w:rFonts w:ascii="Arial" w:eastAsiaTheme="majorEastAsia" w:hAnsi="Arial" w:cs="Arial"/>
          </w:rPr>
          <w:t>https://www.mass.gov/doc/244-cmr-1000-definitions-and-severability/download</w:t>
        </w:r>
      </w:hyperlink>
    </w:p>
    <w:p w14:paraId="152F3667" w14:textId="77777777" w:rsidR="0009507E" w:rsidRDefault="0009507E"/>
    <w:sectPr w:rsidR="00095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22EB" w14:textId="77777777" w:rsidR="00603715" w:rsidRDefault="00603715" w:rsidP="00396629">
      <w:r>
        <w:separator/>
      </w:r>
    </w:p>
  </w:endnote>
  <w:endnote w:type="continuationSeparator" w:id="0">
    <w:p w14:paraId="7938428A" w14:textId="77777777" w:rsidR="00603715" w:rsidRDefault="00603715" w:rsidP="0039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38DD" w14:textId="77777777" w:rsidR="00603715" w:rsidRDefault="00603715" w:rsidP="00396629">
      <w:r>
        <w:separator/>
      </w:r>
    </w:p>
  </w:footnote>
  <w:footnote w:type="continuationSeparator" w:id="0">
    <w:p w14:paraId="3F798908" w14:textId="77777777" w:rsidR="00603715" w:rsidRDefault="00603715" w:rsidP="00396629">
      <w:r>
        <w:continuationSeparator/>
      </w:r>
    </w:p>
  </w:footnote>
  <w:footnote w:id="1">
    <w:p w14:paraId="3B010C7F" w14:textId="77777777" w:rsidR="00396629" w:rsidRDefault="00396629" w:rsidP="00396629">
      <w:pPr>
        <w:pStyle w:val="FootnoteText"/>
      </w:pPr>
      <w:r>
        <w:rPr>
          <w:rStyle w:val="FootnoteReference"/>
        </w:rPr>
        <w:footnoteRef/>
      </w:r>
      <w:r>
        <w:t xml:space="preserve">The Massachusetts Board of Registration in Nursing.  244 CMR 6.04 (3) (b).  Accessed at </w:t>
      </w:r>
    </w:p>
    <w:p w14:paraId="3249289F" w14:textId="77777777" w:rsidR="00396629" w:rsidRDefault="00603715" w:rsidP="00396629">
      <w:pPr>
        <w:pStyle w:val="FootnoteText"/>
        <w:ind w:left="720"/>
      </w:pPr>
      <w:hyperlink r:id="rId1" w:history="1">
        <w:r w:rsidR="00396629" w:rsidRPr="00511B29">
          <w:rPr>
            <w:rStyle w:val="Hyperlink"/>
            <w:rFonts w:eastAsiaTheme="majorEastAsia"/>
          </w:rPr>
          <w:t>https://www.mass.gov/doc/244-cmr-6-</w:t>
        </w:r>
      </w:hyperlink>
      <w:r w:rsidR="00396629" w:rsidRPr="0028537F">
        <w:t>approval-of-nursing-education-programs-standards-and-procedures/download</w:t>
      </w:r>
    </w:p>
    <w:p w14:paraId="3BA8365A" w14:textId="77777777" w:rsidR="00396629" w:rsidRPr="00606012" w:rsidRDefault="00396629" w:rsidP="00396629">
      <w:pPr>
        <w:pStyle w:val="FootnoteText"/>
      </w:pPr>
    </w:p>
  </w:footnote>
  <w:footnote w:id="2">
    <w:p w14:paraId="3F39E553" w14:textId="77777777" w:rsidR="00396629" w:rsidRDefault="00396629" w:rsidP="00396629">
      <w:pPr>
        <w:pStyle w:val="FootnoteText"/>
        <w:ind w:left="720"/>
      </w:pPr>
    </w:p>
  </w:footnote>
  <w:footnote w:id="3">
    <w:p w14:paraId="2B1F77B2" w14:textId="77777777" w:rsidR="00396629" w:rsidRDefault="00396629" w:rsidP="00396629">
      <w:pPr>
        <w:pStyle w:val="FootnoteText"/>
      </w:pPr>
      <w:r>
        <w:rPr>
          <w:rStyle w:val="FootnoteReference"/>
        </w:rPr>
        <w:t>3</w:t>
      </w:r>
      <w:r>
        <w:t xml:space="preserve"> Cambridge Dictionary.  Accessed at </w:t>
      </w:r>
      <w:hyperlink r:id="rId2" w:history="1">
        <w:r w:rsidRPr="009C405B">
          <w:rPr>
            <w:rStyle w:val="Hyperlink"/>
            <w:rFonts w:eastAsiaTheme="majorEastAsia"/>
          </w:rPr>
          <w:t>https://dictionary.cambridge.org/dictionary/english/non-</w:t>
        </w:r>
      </w:hyperlink>
    </w:p>
    <w:p w14:paraId="713FB9A2" w14:textId="77777777" w:rsidR="00396629" w:rsidRDefault="00396629" w:rsidP="00396629">
      <w:pPr>
        <w:pStyle w:val="FootnoteText"/>
        <w:ind w:left="720"/>
      </w:pPr>
      <w:proofErr w:type="spellStart"/>
      <w:r w:rsidRPr="002871E1">
        <w:t>discriminatory#google_vi</w:t>
      </w:r>
      <w:proofErr w:type="spellEnd"/>
    </w:p>
  </w:footnote>
  <w:footnote w:id="4">
    <w:p w14:paraId="34C1711E" w14:textId="77777777" w:rsidR="00396629" w:rsidRDefault="00396629" w:rsidP="00396629">
      <w:pPr>
        <w:pStyle w:val="FootnoteText"/>
      </w:pPr>
      <w:r>
        <w:rPr>
          <w:rStyle w:val="FootnoteReference"/>
        </w:rPr>
        <w:t>4</w:t>
      </w:r>
      <w:r>
        <w:t xml:space="preserve"> Merriam-Webster Dictionary.  Accessed at </w:t>
      </w:r>
      <w:r w:rsidRPr="00BD7D78">
        <w:t>https://www.merriam-webster.com/dictionary/nonambiguous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436D0"/>
    <w:multiLevelType w:val="hybridMultilevel"/>
    <w:tmpl w:val="B88693FC"/>
    <w:lvl w:ilvl="0" w:tplc="9118D044">
      <w:start w:val="1"/>
      <w:numFmt w:val="decimal"/>
      <w:lvlText w:val="%1."/>
      <w:lvlJc w:val="left"/>
      <w:pPr>
        <w:ind w:left="1080" w:hanging="360"/>
      </w:pPr>
      <w:rPr>
        <w:rFonts w:ascii="Arial" w:hAnsi="Arial" w:cs="Arial"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33E23"/>
    <w:multiLevelType w:val="hybridMultilevel"/>
    <w:tmpl w:val="3730A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A74CB7"/>
    <w:multiLevelType w:val="multilevel"/>
    <w:tmpl w:val="7AE8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B3373"/>
    <w:multiLevelType w:val="hybridMultilevel"/>
    <w:tmpl w:val="09648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317B7D"/>
    <w:multiLevelType w:val="hybridMultilevel"/>
    <w:tmpl w:val="B0121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B93810"/>
    <w:multiLevelType w:val="multilevel"/>
    <w:tmpl w:val="0EAE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D77F5F"/>
    <w:multiLevelType w:val="hybridMultilevel"/>
    <w:tmpl w:val="6054C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247D5"/>
    <w:multiLevelType w:val="hybridMultilevel"/>
    <w:tmpl w:val="6142A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EA6152"/>
    <w:multiLevelType w:val="hybridMultilevel"/>
    <w:tmpl w:val="8AB4A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29"/>
    <w:rsid w:val="0009507E"/>
    <w:rsid w:val="00205F6F"/>
    <w:rsid w:val="00396629"/>
    <w:rsid w:val="004916A0"/>
    <w:rsid w:val="00603715"/>
    <w:rsid w:val="006943FB"/>
    <w:rsid w:val="00B318AF"/>
    <w:rsid w:val="00C96EB7"/>
    <w:rsid w:val="00D148ED"/>
    <w:rsid w:val="00D9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165C"/>
  <w15:chartTrackingRefBased/>
  <w15:docId w15:val="{72D434F6-2632-4216-8545-F2AD4331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629"/>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396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6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6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6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6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629"/>
    <w:rPr>
      <w:rFonts w:eastAsiaTheme="majorEastAsia" w:cstheme="majorBidi"/>
      <w:color w:val="272727" w:themeColor="text1" w:themeTint="D8"/>
    </w:rPr>
  </w:style>
  <w:style w:type="paragraph" w:styleId="Title">
    <w:name w:val="Title"/>
    <w:basedOn w:val="Normal"/>
    <w:next w:val="Normal"/>
    <w:link w:val="TitleChar"/>
    <w:uiPriority w:val="10"/>
    <w:qFormat/>
    <w:rsid w:val="003966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629"/>
    <w:pPr>
      <w:spacing w:before="160"/>
      <w:jc w:val="center"/>
    </w:pPr>
    <w:rPr>
      <w:i/>
      <w:iCs/>
      <w:color w:val="404040" w:themeColor="text1" w:themeTint="BF"/>
    </w:rPr>
  </w:style>
  <w:style w:type="character" w:customStyle="1" w:styleId="QuoteChar">
    <w:name w:val="Quote Char"/>
    <w:basedOn w:val="DefaultParagraphFont"/>
    <w:link w:val="Quote"/>
    <w:uiPriority w:val="29"/>
    <w:rsid w:val="00396629"/>
    <w:rPr>
      <w:i/>
      <w:iCs/>
      <w:color w:val="404040" w:themeColor="text1" w:themeTint="BF"/>
    </w:rPr>
  </w:style>
  <w:style w:type="paragraph" w:styleId="ListParagraph">
    <w:name w:val="List Paragraph"/>
    <w:basedOn w:val="Normal"/>
    <w:uiPriority w:val="34"/>
    <w:qFormat/>
    <w:rsid w:val="00396629"/>
    <w:pPr>
      <w:ind w:left="720"/>
      <w:contextualSpacing/>
    </w:pPr>
  </w:style>
  <w:style w:type="character" w:styleId="IntenseEmphasis">
    <w:name w:val="Intense Emphasis"/>
    <w:basedOn w:val="DefaultParagraphFont"/>
    <w:uiPriority w:val="21"/>
    <w:qFormat/>
    <w:rsid w:val="00396629"/>
    <w:rPr>
      <w:i/>
      <w:iCs/>
      <w:color w:val="0F4761" w:themeColor="accent1" w:themeShade="BF"/>
    </w:rPr>
  </w:style>
  <w:style w:type="paragraph" w:styleId="IntenseQuote">
    <w:name w:val="Intense Quote"/>
    <w:basedOn w:val="Normal"/>
    <w:next w:val="Normal"/>
    <w:link w:val="IntenseQuoteChar"/>
    <w:uiPriority w:val="30"/>
    <w:qFormat/>
    <w:rsid w:val="00396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629"/>
    <w:rPr>
      <w:i/>
      <w:iCs/>
      <w:color w:val="0F4761" w:themeColor="accent1" w:themeShade="BF"/>
    </w:rPr>
  </w:style>
  <w:style w:type="character" w:styleId="IntenseReference">
    <w:name w:val="Intense Reference"/>
    <w:basedOn w:val="DefaultParagraphFont"/>
    <w:uiPriority w:val="32"/>
    <w:qFormat/>
    <w:rsid w:val="00396629"/>
    <w:rPr>
      <w:b/>
      <w:bCs/>
      <w:smallCaps/>
      <w:color w:val="0F4761" w:themeColor="accent1" w:themeShade="BF"/>
      <w:spacing w:val="5"/>
    </w:rPr>
  </w:style>
  <w:style w:type="paragraph" w:styleId="FootnoteText">
    <w:name w:val="footnote text"/>
    <w:basedOn w:val="Normal"/>
    <w:link w:val="FootnoteTextChar"/>
    <w:uiPriority w:val="99"/>
    <w:unhideWhenUsed/>
    <w:rsid w:val="00396629"/>
    <w:rPr>
      <w:sz w:val="20"/>
    </w:rPr>
  </w:style>
  <w:style w:type="character" w:customStyle="1" w:styleId="FootnoteTextChar">
    <w:name w:val="Footnote Text Char"/>
    <w:basedOn w:val="DefaultParagraphFont"/>
    <w:link w:val="FootnoteText"/>
    <w:uiPriority w:val="99"/>
    <w:rsid w:val="0039662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96629"/>
    <w:rPr>
      <w:vertAlign w:val="superscript"/>
    </w:rPr>
  </w:style>
  <w:style w:type="paragraph" w:styleId="EndnoteText">
    <w:name w:val="endnote text"/>
    <w:basedOn w:val="Normal"/>
    <w:link w:val="EndnoteTextChar"/>
    <w:uiPriority w:val="99"/>
    <w:unhideWhenUsed/>
    <w:rsid w:val="00396629"/>
    <w:rPr>
      <w:sz w:val="20"/>
    </w:rPr>
  </w:style>
  <w:style w:type="character" w:customStyle="1" w:styleId="EndnoteTextChar">
    <w:name w:val="Endnote Text Char"/>
    <w:basedOn w:val="DefaultParagraphFont"/>
    <w:link w:val="EndnoteText"/>
    <w:uiPriority w:val="99"/>
    <w:rsid w:val="00396629"/>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96629"/>
    <w:rPr>
      <w:vertAlign w:val="superscript"/>
    </w:rPr>
  </w:style>
  <w:style w:type="character" w:styleId="Hyperlink">
    <w:name w:val="Hyperlink"/>
    <w:basedOn w:val="DefaultParagraphFont"/>
    <w:uiPriority w:val="99"/>
    <w:unhideWhenUsed/>
    <w:rsid w:val="0039662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VI/Chapter112/Section81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regulations/244-CMR-600-approval-of-nursing-education-programs-and-the-general-conduct-thereof" TargetMode="External"/><Relationship Id="rId12" Type="http://schemas.openxmlformats.org/officeDocument/2006/relationships/hyperlink" Target="https://www.mass.gov/doc/244-cmr-1000-definitions-and-severability/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244-CMR-600-approval-of-nursing-education-programs-and-the-general-conduct-thereof" TargetMode="External"/><Relationship Id="rId5" Type="http://schemas.openxmlformats.org/officeDocument/2006/relationships/footnotes" Target="footnotes.xml"/><Relationship Id="rId10" Type="http://schemas.openxmlformats.org/officeDocument/2006/relationships/hyperlink" Target="https://dictionary.cambridge.org/dictionary/english/non-" TargetMode="External"/><Relationship Id="rId4" Type="http://schemas.openxmlformats.org/officeDocument/2006/relationships/webSettings" Target="webSettings.xml"/><Relationship Id="rId9" Type="http://schemas.openxmlformats.org/officeDocument/2006/relationships/hyperlink" Target="https://www.mass.gov/doc/244-cmr-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ictionary.cambridge.org/dictionary/english/non-" TargetMode="External"/><Relationship Id="rId1" Type="http://schemas.openxmlformats.org/officeDocument/2006/relationships/hyperlink" Target="https://www.mass.gov/doc/244-cm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1582</Words>
  <Characters>9023</Characters>
  <Application>Microsoft Office Word</Application>
  <DocSecurity>0</DocSecurity>
  <Lines>75</Lines>
  <Paragraphs>21</Paragraphs>
  <ScaleCrop>false</ScaleCrop>
  <Company>Commonwealth of Massachusetts</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Carolyn (DPH)</dc:creator>
  <cp:keywords/>
  <dc:description/>
  <cp:lastModifiedBy>Hillson, Laurie</cp:lastModifiedBy>
  <cp:revision>2</cp:revision>
  <dcterms:created xsi:type="dcterms:W3CDTF">2025-04-10T19:59:00Z</dcterms:created>
  <dcterms:modified xsi:type="dcterms:W3CDTF">2025-04-10T19:59:00Z</dcterms:modified>
</cp:coreProperties>
</file>