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470"/>
      </w:tblGrid>
      <w:tr w:rsidR="00F83433">
        <w:trPr>
          <w:trHeight w:val="3015"/>
        </w:trPr>
        <w:tc>
          <w:tcPr>
            <w:tcW w:w="2970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</w:tcPr>
          <w:p w:rsidR="00F83433" w:rsidRDefault="00F83433" w:rsidP="002D74AF">
            <w:pPr>
              <w:pStyle w:val="FootnoteText"/>
              <w:rPr>
                <w:caps/>
              </w:rPr>
            </w:pPr>
          </w:p>
          <w:p w:rsidR="00F83433" w:rsidRDefault="009E25FC" w:rsidP="002D74AF">
            <w:r>
              <w:rPr>
                <w:caps/>
                <w:noProof/>
              </w:rPr>
              <w:drawing>
                <wp:inline distT="0" distB="0" distL="0" distR="0">
                  <wp:extent cx="1724025" cy="1685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</w:tcPr>
          <w:p w:rsidR="00F83433" w:rsidRDefault="00F83433" w:rsidP="002D74AF">
            <w:pPr>
              <w:pStyle w:val="Heading3"/>
            </w:pPr>
            <w:r>
              <w:t xml:space="preserve">                                              </w:t>
            </w:r>
            <w:r w:rsidR="00956FC7">
              <w:t xml:space="preserve">                              A</w:t>
            </w:r>
            <w:r>
              <w:t>R 5-5</w:t>
            </w:r>
            <w:r w:rsidR="006D201D">
              <w:t>20</w:t>
            </w:r>
          </w:p>
          <w:p w:rsidR="00F83433" w:rsidRDefault="00F83433" w:rsidP="002D74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OFFICE OF EMERGENCY MEDICAL SERVICES</w:t>
            </w:r>
          </w:p>
          <w:p w:rsidR="00F83433" w:rsidRPr="00A47261" w:rsidRDefault="00F83433" w:rsidP="002D74A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7261">
              <w:rPr>
                <w:rFonts w:ascii="Arial" w:hAnsi="Arial"/>
                <w:b/>
                <w:sz w:val="22"/>
                <w:szCs w:val="22"/>
                <w:u w:val="single"/>
              </w:rPr>
              <w:t>Administrative Requirements Manual</w:t>
            </w:r>
          </w:p>
          <w:p w:rsidR="00F83433" w:rsidRPr="00A47261" w:rsidRDefault="00F83433" w:rsidP="002D74AF">
            <w:pPr>
              <w:rPr>
                <w:rFonts w:ascii="Arial" w:hAnsi="Arial"/>
                <w:sz w:val="22"/>
                <w:szCs w:val="22"/>
              </w:rPr>
            </w:pPr>
          </w:p>
          <w:p w:rsidR="00F83433" w:rsidRPr="00A47261" w:rsidRDefault="00F83433" w:rsidP="002D74AF">
            <w:pPr>
              <w:rPr>
                <w:rFonts w:ascii="Arial" w:hAnsi="Arial"/>
                <w:sz w:val="22"/>
                <w:szCs w:val="22"/>
              </w:rPr>
            </w:pPr>
            <w:r w:rsidRPr="00956FC7">
              <w:rPr>
                <w:rFonts w:ascii="Arial" w:hAnsi="Arial"/>
                <w:b/>
                <w:sz w:val="22"/>
                <w:szCs w:val="22"/>
              </w:rPr>
              <w:t>Effective</w:t>
            </w:r>
            <w:r w:rsidRPr="00A47261">
              <w:rPr>
                <w:rFonts w:ascii="Arial" w:hAnsi="Arial"/>
                <w:sz w:val="22"/>
                <w:szCs w:val="22"/>
              </w:rPr>
              <w:t xml:space="preserve">: </w:t>
            </w:r>
            <w:r w:rsidR="00927FE2">
              <w:rPr>
                <w:rFonts w:ascii="Arial" w:hAnsi="Arial"/>
                <w:sz w:val="22"/>
                <w:szCs w:val="22"/>
              </w:rPr>
              <w:t>2</w:t>
            </w:r>
            <w:r w:rsidR="003707BB">
              <w:rPr>
                <w:rFonts w:ascii="Arial" w:hAnsi="Arial"/>
                <w:sz w:val="22"/>
                <w:szCs w:val="22"/>
              </w:rPr>
              <w:t>/</w:t>
            </w:r>
            <w:r w:rsidR="00927FE2">
              <w:rPr>
                <w:rFonts w:ascii="Arial" w:hAnsi="Arial"/>
                <w:sz w:val="22"/>
                <w:szCs w:val="22"/>
              </w:rPr>
              <w:t>22</w:t>
            </w:r>
            <w:r w:rsidR="003707BB">
              <w:rPr>
                <w:rFonts w:ascii="Arial" w:hAnsi="Arial"/>
                <w:sz w:val="22"/>
                <w:szCs w:val="22"/>
              </w:rPr>
              <w:t>/05</w:t>
            </w:r>
            <w:r w:rsidRPr="00A47261">
              <w:rPr>
                <w:rFonts w:ascii="Arial" w:hAnsi="Arial"/>
                <w:sz w:val="22"/>
                <w:szCs w:val="22"/>
              </w:rPr>
              <w:tab/>
            </w:r>
            <w:r w:rsidRPr="00956FC7">
              <w:rPr>
                <w:rFonts w:ascii="Arial" w:hAnsi="Arial"/>
                <w:b/>
                <w:sz w:val="22"/>
                <w:szCs w:val="22"/>
              </w:rPr>
              <w:t>Authorization</w:t>
            </w:r>
            <w:r w:rsidRPr="00A47261">
              <w:rPr>
                <w:rFonts w:ascii="Arial" w:hAnsi="Arial"/>
                <w:sz w:val="22"/>
                <w:szCs w:val="22"/>
              </w:rPr>
              <w:t xml:space="preserve">:        </w:t>
            </w:r>
            <w:r w:rsidR="00956FC7">
              <w:rPr>
                <w:rFonts w:ascii="Arial" w:hAnsi="Arial"/>
                <w:sz w:val="22"/>
                <w:szCs w:val="22"/>
              </w:rPr>
              <w:t>LG</w:t>
            </w:r>
            <w:r w:rsidRPr="00A47261">
              <w:rPr>
                <w:rFonts w:ascii="Arial" w:hAnsi="Arial"/>
                <w:sz w:val="22"/>
                <w:szCs w:val="22"/>
              </w:rPr>
              <w:t xml:space="preserve">  </w:t>
            </w:r>
            <w:r w:rsidR="00143A8A">
              <w:rPr>
                <w:rFonts w:ascii="Arial" w:hAnsi="Arial"/>
                <w:sz w:val="22"/>
                <w:szCs w:val="22"/>
              </w:rPr>
              <w:t xml:space="preserve">            </w:t>
            </w:r>
            <w:r w:rsidRPr="00956FC7">
              <w:rPr>
                <w:rFonts w:ascii="Arial" w:hAnsi="Arial"/>
                <w:b/>
                <w:sz w:val="22"/>
                <w:szCs w:val="22"/>
              </w:rPr>
              <w:t>Page</w:t>
            </w:r>
            <w:r w:rsidRPr="00A47261">
              <w:rPr>
                <w:rFonts w:ascii="Arial" w:hAnsi="Arial"/>
                <w:sz w:val="22"/>
                <w:szCs w:val="22"/>
              </w:rPr>
              <w:t xml:space="preserve">: 1 </w:t>
            </w:r>
            <w:r w:rsidRPr="00956FC7">
              <w:rPr>
                <w:rFonts w:ascii="Arial" w:hAnsi="Arial"/>
                <w:sz w:val="22"/>
                <w:szCs w:val="22"/>
              </w:rPr>
              <w:t xml:space="preserve">of </w:t>
            </w:r>
            <w:r w:rsidR="00614A09">
              <w:rPr>
                <w:rFonts w:ascii="Arial" w:hAnsi="Arial"/>
                <w:sz w:val="22"/>
                <w:szCs w:val="22"/>
              </w:rPr>
              <w:t>2</w:t>
            </w:r>
            <w:r w:rsidRPr="00A47261">
              <w:rPr>
                <w:rFonts w:ascii="Arial" w:hAnsi="Arial"/>
                <w:sz w:val="22"/>
                <w:szCs w:val="22"/>
              </w:rPr>
              <w:tab/>
            </w:r>
            <w:r w:rsidRPr="00A47261">
              <w:rPr>
                <w:rFonts w:ascii="Arial" w:hAnsi="Arial"/>
                <w:sz w:val="22"/>
                <w:szCs w:val="22"/>
              </w:rPr>
              <w:tab/>
            </w:r>
          </w:p>
          <w:p w:rsidR="00F83433" w:rsidRPr="00A47261" w:rsidRDefault="00F83433" w:rsidP="002D74AF">
            <w:pPr>
              <w:pStyle w:val="FootnoteText"/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F83433" w:rsidRPr="00A47261" w:rsidRDefault="00F83433" w:rsidP="002D74AF">
            <w:pPr>
              <w:pStyle w:val="FootnoteText"/>
              <w:rPr>
                <w:rFonts w:ascii="Arial" w:hAnsi="Arial"/>
                <w:sz w:val="22"/>
                <w:szCs w:val="22"/>
              </w:rPr>
            </w:pPr>
            <w:r w:rsidRPr="00956FC7">
              <w:rPr>
                <w:rFonts w:ascii="Arial" w:hAnsi="Arial"/>
                <w:b/>
                <w:sz w:val="22"/>
                <w:szCs w:val="22"/>
              </w:rPr>
              <w:t>Title</w:t>
            </w:r>
            <w:r w:rsidRPr="00A47261">
              <w:rPr>
                <w:rFonts w:ascii="Arial" w:hAnsi="Arial"/>
                <w:sz w:val="22"/>
                <w:szCs w:val="22"/>
              </w:rPr>
              <w:t xml:space="preserve">: </w:t>
            </w:r>
            <w:r w:rsidR="003707BB">
              <w:rPr>
                <w:rFonts w:ascii="Arial" w:hAnsi="Arial"/>
                <w:sz w:val="22"/>
                <w:szCs w:val="22"/>
              </w:rPr>
              <w:t>Requirements for Basic and Intermediate EMT Use of Glucose Monitoring</w:t>
            </w:r>
          </w:p>
          <w:p w:rsidR="00F83433" w:rsidRPr="00A47261" w:rsidRDefault="00F83433" w:rsidP="002D74AF">
            <w:pPr>
              <w:rPr>
                <w:rFonts w:ascii="Arial" w:hAnsi="Arial"/>
                <w:sz w:val="22"/>
                <w:szCs w:val="22"/>
              </w:rPr>
            </w:pPr>
          </w:p>
          <w:p w:rsidR="00F83433" w:rsidRPr="00A47261" w:rsidRDefault="00F83433" w:rsidP="002D74AF">
            <w:pPr>
              <w:rPr>
                <w:rFonts w:ascii="Arial" w:hAnsi="Arial"/>
                <w:sz w:val="22"/>
                <w:szCs w:val="22"/>
              </w:rPr>
            </w:pPr>
            <w:r w:rsidRPr="00956FC7">
              <w:rPr>
                <w:rFonts w:ascii="Arial" w:hAnsi="Arial"/>
                <w:b/>
                <w:sz w:val="22"/>
                <w:szCs w:val="22"/>
              </w:rPr>
              <w:t>Supersedes</w:t>
            </w:r>
            <w:r w:rsidRPr="00A47261">
              <w:rPr>
                <w:rFonts w:ascii="Arial" w:hAnsi="Arial"/>
                <w:sz w:val="22"/>
                <w:szCs w:val="22"/>
              </w:rPr>
              <w:t>: N/A</w:t>
            </w:r>
          </w:p>
          <w:p w:rsidR="00F83433" w:rsidRDefault="00F83433" w:rsidP="002D74AF">
            <w:pPr>
              <w:ind w:firstLine="1422"/>
              <w:jc w:val="right"/>
              <w:rPr>
                <w:rFonts w:ascii="Arial" w:hAnsi="Arial"/>
              </w:rPr>
            </w:pPr>
          </w:p>
        </w:tc>
      </w:tr>
    </w:tbl>
    <w:p w:rsidR="00F83433" w:rsidRDefault="00F83433" w:rsidP="00F83433">
      <w:pPr>
        <w:pStyle w:val="Heading1"/>
      </w:pPr>
    </w:p>
    <w:p w:rsidR="003707BB" w:rsidRDefault="00F83433" w:rsidP="00F83433">
      <w:pPr>
        <w:pStyle w:val="Heading1"/>
        <w:ind w:left="-540"/>
        <w:rPr>
          <w:b w:val="0"/>
          <w:u w:val="none"/>
        </w:rPr>
      </w:pPr>
      <w:r>
        <w:t>P</w:t>
      </w:r>
      <w:r w:rsidR="007D4096">
        <w:t>urpose</w:t>
      </w:r>
      <w:r>
        <w:rPr>
          <w:u w:val="none"/>
        </w:rPr>
        <w:t>:</w:t>
      </w:r>
      <w:r>
        <w:rPr>
          <w:b w:val="0"/>
          <w:u w:val="none"/>
        </w:rPr>
        <w:t xml:space="preserve">  To</w:t>
      </w:r>
      <w:r w:rsidR="003707BB">
        <w:rPr>
          <w:b w:val="0"/>
          <w:u w:val="none"/>
        </w:rPr>
        <w:t xml:space="preserve"> establish requirements that must be met by ambulance services i</w:t>
      </w:r>
      <w:r w:rsidR="00475915">
        <w:rPr>
          <w:b w:val="0"/>
          <w:u w:val="none"/>
        </w:rPr>
        <w:t xml:space="preserve">f they choose the </w:t>
      </w:r>
      <w:r w:rsidR="00475915" w:rsidRPr="006512A3">
        <w:rPr>
          <w:u w:val="none"/>
        </w:rPr>
        <w:t>option</w:t>
      </w:r>
      <w:r w:rsidR="00475915" w:rsidRPr="006512A3">
        <w:rPr>
          <w:b w:val="0"/>
          <w:u w:val="none"/>
        </w:rPr>
        <w:t xml:space="preserve"> </w:t>
      </w:r>
      <w:r w:rsidR="00475915">
        <w:rPr>
          <w:b w:val="0"/>
          <w:u w:val="none"/>
        </w:rPr>
        <w:t>of having their</w:t>
      </w:r>
      <w:r w:rsidR="003707BB">
        <w:rPr>
          <w:b w:val="0"/>
          <w:u w:val="none"/>
        </w:rPr>
        <w:t xml:space="preserve"> emergency medical technicians (EMTs) certified at the Intermediate or Basic Life Support (BLS) level use glucose monitoring devices</w:t>
      </w:r>
      <w:r w:rsidR="00143A8A">
        <w:rPr>
          <w:b w:val="0"/>
          <w:u w:val="none"/>
        </w:rPr>
        <w:t xml:space="preserve"> </w:t>
      </w:r>
      <w:r w:rsidR="00836372">
        <w:rPr>
          <w:b w:val="0"/>
          <w:u w:val="none"/>
        </w:rPr>
        <w:t xml:space="preserve">to determine if </w:t>
      </w:r>
      <w:r w:rsidR="00C75A48">
        <w:rPr>
          <w:b w:val="0"/>
          <w:u w:val="none"/>
        </w:rPr>
        <w:t>a patient</w:t>
      </w:r>
      <w:r w:rsidR="006512A3">
        <w:rPr>
          <w:b w:val="0"/>
          <w:u w:val="none"/>
        </w:rPr>
        <w:t xml:space="preserve"> presenting with signs and symptoms consistent with an altered mental status, or suspected of an acute stroke, </w:t>
      </w:r>
      <w:r w:rsidR="00C75A48">
        <w:rPr>
          <w:b w:val="0"/>
          <w:u w:val="none"/>
        </w:rPr>
        <w:t xml:space="preserve">has </w:t>
      </w:r>
      <w:r w:rsidR="00836372">
        <w:rPr>
          <w:b w:val="0"/>
          <w:u w:val="none"/>
        </w:rPr>
        <w:t>high or low blood sugar levels causing the</w:t>
      </w:r>
      <w:r w:rsidR="00C75A48">
        <w:rPr>
          <w:b w:val="0"/>
          <w:u w:val="none"/>
        </w:rPr>
        <w:t>ir</w:t>
      </w:r>
      <w:r w:rsidR="00836372">
        <w:rPr>
          <w:b w:val="0"/>
          <w:u w:val="none"/>
        </w:rPr>
        <w:t xml:space="preserve"> symptoms.  </w:t>
      </w:r>
    </w:p>
    <w:p w:rsidR="00C75A48" w:rsidRDefault="00C75A48" w:rsidP="00F83433">
      <w:pPr>
        <w:ind w:left="-540"/>
        <w:rPr>
          <w:b/>
          <w:u w:val="single"/>
        </w:rPr>
      </w:pPr>
    </w:p>
    <w:p w:rsidR="00143A8A" w:rsidRDefault="00F83433" w:rsidP="00F83433">
      <w:pPr>
        <w:ind w:left="-540"/>
      </w:pPr>
      <w:r w:rsidRPr="00F83433">
        <w:rPr>
          <w:b/>
          <w:u w:val="single"/>
        </w:rPr>
        <w:t>B</w:t>
      </w:r>
      <w:r w:rsidR="007D4096">
        <w:rPr>
          <w:b/>
          <w:u w:val="single"/>
        </w:rPr>
        <w:t>ackground</w:t>
      </w:r>
      <w:r w:rsidR="00F360B3">
        <w:rPr>
          <w:b/>
          <w:u w:val="single"/>
        </w:rPr>
        <w:t>:</w:t>
      </w:r>
      <w:r w:rsidR="006512A3" w:rsidRPr="006512A3">
        <w:rPr>
          <w:b/>
        </w:rPr>
        <w:t xml:space="preserve"> </w:t>
      </w:r>
      <w:r w:rsidR="003707BB">
        <w:t>Glucose monitoring</w:t>
      </w:r>
      <w:r w:rsidR="00143A8A">
        <w:t xml:space="preserve"> </w:t>
      </w:r>
      <w:r w:rsidR="003707BB">
        <w:t xml:space="preserve">has long been an approved EMS </w:t>
      </w:r>
      <w:r w:rsidR="00143A8A">
        <w:t>diagnostic tool</w:t>
      </w:r>
      <w:r w:rsidR="003707BB">
        <w:t xml:space="preserve"> at the Paramedic level of care. </w:t>
      </w:r>
      <w:r w:rsidR="00143A8A">
        <w:t xml:space="preserve">In recent years, certain </w:t>
      </w:r>
      <w:r w:rsidR="00AF7467">
        <w:t>E</w:t>
      </w:r>
      <w:r w:rsidR="00143A8A">
        <w:t xml:space="preserve">MTs at the Basic and Intermediate level </w:t>
      </w:r>
      <w:r w:rsidR="006512A3">
        <w:t xml:space="preserve">in the Commonwealth </w:t>
      </w:r>
      <w:r w:rsidR="00143A8A">
        <w:t>have</w:t>
      </w:r>
      <w:r w:rsidR="006512A3">
        <w:t xml:space="preserve"> also</w:t>
      </w:r>
      <w:r w:rsidR="00143A8A">
        <w:t xml:space="preserve"> been </w:t>
      </w:r>
      <w:r w:rsidR="00C75A48">
        <w:t xml:space="preserve">performing </w:t>
      </w:r>
      <w:r w:rsidR="00143A8A">
        <w:t>glucose monitoring</w:t>
      </w:r>
      <w:r w:rsidR="006512A3">
        <w:t xml:space="preserve"> – when </w:t>
      </w:r>
      <w:r w:rsidR="00143A8A">
        <w:t xml:space="preserve">working for services under </w:t>
      </w:r>
      <w:r w:rsidR="00C75A48">
        <w:t>a Department</w:t>
      </w:r>
      <w:r w:rsidR="006512A3">
        <w:t>-</w:t>
      </w:r>
      <w:r w:rsidR="00C75A48">
        <w:t xml:space="preserve">approved </w:t>
      </w:r>
      <w:r w:rsidR="00143A8A">
        <w:t>special project waiver</w:t>
      </w:r>
      <w:r w:rsidR="006512A3">
        <w:t>,</w:t>
      </w:r>
      <w:r w:rsidR="00143A8A">
        <w:t xml:space="preserve"> or when working with Paramedics, after the Basic or Intermediate EMT has completed a Paramedic-assist training </w:t>
      </w:r>
      <w:r w:rsidR="00C75A48">
        <w:t xml:space="preserve">program. Glucose monitoring </w:t>
      </w:r>
      <w:r w:rsidR="00143A8A">
        <w:t>has proven to be a minimally invasive and useful tool</w:t>
      </w:r>
      <w:r w:rsidR="00C75A48">
        <w:t xml:space="preserve"> and will guide the EMT down the </w:t>
      </w:r>
      <w:r w:rsidR="00475915">
        <w:t>appropriate treatment pathway</w:t>
      </w:r>
      <w:r w:rsidR="00143A8A">
        <w:t>.</w:t>
      </w:r>
    </w:p>
    <w:p w:rsidR="00143A8A" w:rsidRDefault="00143A8A" w:rsidP="00F83433">
      <w:pPr>
        <w:ind w:left="-540"/>
      </w:pPr>
    </w:p>
    <w:p w:rsidR="00143A8A" w:rsidRPr="00143A8A" w:rsidRDefault="00143A8A" w:rsidP="00F83433">
      <w:pPr>
        <w:ind w:left="-540"/>
        <w:rPr>
          <w:b/>
          <w:u w:val="single"/>
        </w:rPr>
      </w:pPr>
      <w:r>
        <w:rPr>
          <w:b/>
          <w:u w:val="single"/>
        </w:rPr>
        <w:t>Requirements:</w:t>
      </w:r>
    </w:p>
    <w:p w:rsidR="00143A8A" w:rsidRDefault="00143A8A" w:rsidP="00F83433">
      <w:pPr>
        <w:ind w:left="-540"/>
      </w:pPr>
    </w:p>
    <w:p w:rsidR="00475915" w:rsidRDefault="00143A8A" w:rsidP="00F83433">
      <w:pPr>
        <w:ind w:left="-540"/>
      </w:pPr>
      <w:r>
        <w:t xml:space="preserve">EMS </w:t>
      </w:r>
      <w:r w:rsidR="00475915">
        <w:t>s</w:t>
      </w:r>
      <w:r>
        <w:t>ervices</w:t>
      </w:r>
      <w:r w:rsidR="00475915">
        <w:t xml:space="preserve"> that choose the </w:t>
      </w:r>
      <w:r w:rsidR="00475915" w:rsidRPr="006512A3">
        <w:rPr>
          <w:b/>
        </w:rPr>
        <w:t>option</w:t>
      </w:r>
      <w:r w:rsidR="00475915">
        <w:t xml:space="preserve"> of having their EMT-Basics and EMT-Intermediates use glucose monitoring devices</w:t>
      </w:r>
      <w:r>
        <w:t xml:space="preserve"> </w:t>
      </w:r>
      <w:r w:rsidR="00475915">
        <w:t>must meet the following requirements:</w:t>
      </w:r>
    </w:p>
    <w:p w:rsidR="00475915" w:rsidRDefault="00475915" w:rsidP="00F83433">
      <w:pPr>
        <w:ind w:left="-540"/>
      </w:pPr>
    </w:p>
    <w:p w:rsidR="00643A2C" w:rsidRDefault="00643A2C" w:rsidP="00643A2C">
      <w:pPr>
        <w:numPr>
          <w:ilvl w:val="0"/>
          <w:numId w:val="8"/>
        </w:numPr>
      </w:pPr>
      <w:r>
        <w:t>The service must h</w:t>
      </w:r>
      <w:r w:rsidR="00475915">
        <w:t>ave an identified medical director, under a</w:t>
      </w:r>
      <w:r>
        <w:t>n affiliation agreement or a</w:t>
      </w:r>
      <w:r w:rsidR="00475915">
        <w:t xml:space="preserve"> memorandum of agreement with a hospital</w:t>
      </w:r>
      <w:r>
        <w:t>, to provide medical oversight. This can be accomplished by incorporation into an existing affiliation agreement, or memorandum of agreement required for administration of medications, or by execution of a separate agreement.</w:t>
      </w:r>
    </w:p>
    <w:p w:rsidR="00643A2C" w:rsidRDefault="00643A2C" w:rsidP="00643A2C">
      <w:pPr>
        <w:numPr>
          <w:ilvl w:val="0"/>
          <w:numId w:val="8"/>
        </w:numPr>
      </w:pPr>
      <w:r>
        <w:t xml:space="preserve">The medical director under the agreement in </w:t>
      </w:r>
      <w:r w:rsidR="006512A3">
        <w:t>(</w:t>
      </w:r>
      <w:r>
        <w:t>A</w:t>
      </w:r>
      <w:r w:rsidR="006512A3">
        <w:t>)</w:t>
      </w:r>
      <w:r>
        <w:t xml:space="preserve"> shall be responsible for ensuring appropriate training and competency of all EMTs using glucose monitoring, and for all aspects of medical oversight of the program.</w:t>
      </w:r>
      <w:r w:rsidR="00C6290E">
        <w:t xml:space="preserve"> </w:t>
      </w:r>
    </w:p>
    <w:p w:rsidR="00C6290E" w:rsidRDefault="00C6290E" w:rsidP="00643A2C">
      <w:pPr>
        <w:numPr>
          <w:ilvl w:val="0"/>
          <w:numId w:val="8"/>
        </w:numPr>
      </w:pPr>
      <w:r>
        <w:t>The service must maintain training records for review by the Department.</w:t>
      </w:r>
    </w:p>
    <w:p w:rsidR="00643A2C" w:rsidRDefault="00475915" w:rsidP="00643A2C">
      <w:pPr>
        <w:numPr>
          <w:ilvl w:val="0"/>
          <w:numId w:val="8"/>
        </w:numPr>
      </w:pPr>
      <w:r>
        <w:t xml:space="preserve"> </w:t>
      </w:r>
      <w:r w:rsidR="00643A2C">
        <w:t xml:space="preserve">The service must have ongoing quality assurance/quality improvement (QA/QI), either internally or through the agreement in </w:t>
      </w:r>
      <w:r w:rsidR="006512A3">
        <w:t>(</w:t>
      </w:r>
      <w:r w:rsidR="00643A2C">
        <w:t>A</w:t>
      </w:r>
      <w:r w:rsidR="006512A3">
        <w:t>)</w:t>
      </w:r>
      <w:r w:rsidR="00643A2C">
        <w:t xml:space="preserve">, for assessing EMT </w:t>
      </w:r>
      <w:r w:rsidR="00C6290E">
        <w:t>compe</w:t>
      </w:r>
      <w:r w:rsidR="006512A3">
        <w:t>t</w:t>
      </w:r>
      <w:r w:rsidR="00C6290E">
        <w:t>ency</w:t>
      </w:r>
      <w:r w:rsidR="006512A3">
        <w:t>,</w:t>
      </w:r>
      <w:r w:rsidR="00C6290E">
        <w:t xml:space="preserve"> including</w:t>
      </w:r>
      <w:r w:rsidR="006512A3">
        <w:t>,</w:t>
      </w:r>
      <w:r w:rsidR="00C6290E">
        <w:t xml:space="preserve"> at a minimum</w:t>
      </w:r>
      <w:r w:rsidR="006512A3">
        <w:t>,</w:t>
      </w:r>
      <w:r w:rsidR="00C6290E">
        <w:t xml:space="preserve"> a yearly review of such training and competency </w:t>
      </w:r>
      <w:r w:rsidR="00CD3B0F">
        <w:t>in glucose</w:t>
      </w:r>
      <w:r w:rsidR="00643A2C">
        <w:t xml:space="preserve"> monitoring.</w:t>
      </w:r>
    </w:p>
    <w:p w:rsidR="00C6290E" w:rsidRDefault="00C6290E" w:rsidP="00C6290E">
      <w:pPr>
        <w:ind w:left="-540"/>
      </w:pPr>
      <w:r>
        <w:br w:type="page"/>
      </w:r>
    </w:p>
    <w:tbl>
      <w:tblPr>
        <w:tblW w:w="1044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470"/>
      </w:tblGrid>
      <w:tr w:rsidR="00614A09">
        <w:tc>
          <w:tcPr>
            <w:tcW w:w="2970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</w:tcPr>
          <w:p w:rsidR="00614A09" w:rsidRDefault="00614A09" w:rsidP="00614A09">
            <w:pPr>
              <w:pStyle w:val="FootnoteText"/>
              <w:rPr>
                <w:caps/>
              </w:rPr>
            </w:pPr>
          </w:p>
          <w:p w:rsidR="00614A09" w:rsidRDefault="009E25FC" w:rsidP="00614A09">
            <w:r>
              <w:rPr>
                <w:caps/>
                <w:noProof/>
              </w:rPr>
              <w:drawing>
                <wp:inline distT="0" distB="0" distL="0" distR="0">
                  <wp:extent cx="1724025" cy="1743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tcBorders>
              <w:top w:val="single" w:sz="18" w:space="0" w:color="auto"/>
              <w:bottom w:val="single" w:sz="18" w:space="0" w:color="auto"/>
            </w:tcBorders>
            <w:shd w:val="pct20" w:color="auto" w:fill="auto"/>
          </w:tcPr>
          <w:p w:rsidR="00614A09" w:rsidRDefault="00614A09" w:rsidP="00614A09">
            <w:pPr>
              <w:pStyle w:val="Heading3"/>
            </w:pPr>
            <w:r>
              <w:t xml:space="preserve">                                                                            AR 5-5</w:t>
            </w:r>
            <w:r w:rsidR="006D201D">
              <w:t>20</w:t>
            </w:r>
          </w:p>
          <w:p w:rsidR="00614A09" w:rsidRDefault="00614A09" w:rsidP="00614A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OFFICE OF EMERGENCY MEDICAL SERVICES</w:t>
            </w:r>
          </w:p>
          <w:p w:rsidR="00614A09" w:rsidRPr="00A47261" w:rsidRDefault="00614A09" w:rsidP="00614A0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47261">
              <w:rPr>
                <w:rFonts w:ascii="Arial" w:hAnsi="Arial"/>
                <w:b/>
                <w:sz w:val="22"/>
                <w:szCs w:val="22"/>
                <w:u w:val="single"/>
              </w:rPr>
              <w:t>Administrative Requirements Manual</w:t>
            </w:r>
          </w:p>
          <w:p w:rsidR="00614A09" w:rsidRPr="00A47261" w:rsidRDefault="00614A09" w:rsidP="00614A09">
            <w:pPr>
              <w:rPr>
                <w:rFonts w:ascii="Arial" w:hAnsi="Arial"/>
                <w:sz w:val="22"/>
                <w:szCs w:val="22"/>
              </w:rPr>
            </w:pPr>
          </w:p>
          <w:p w:rsidR="00614A09" w:rsidRPr="00A47261" w:rsidRDefault="00614A09" w:rsidP="00614A09">
            <w:pPr>
              <w:rPr>
                <w:rFonts w:ascii="Arial" w:hAnsi="Arial"/>
                <w:sz w:val="22"/>
                <w:szCs w:val="22"/>
              </w:rPr>
            </w:pPr>
            <w:r w:rsidRPr="008D4AC1">
              <w:rPr>
                <w:rFonts w:ascii="Arial" w:hAnsi="Arial"/>
                <w:b/>
                <w:sz w:val="22"/>
                <w:szCs w:val="22"/>
              </w:rPr>
              <w:t>Effective</w:t>
            </w:r>
            <w:r w:rsidRPr="00A47261">
              <w:rPr>
                <w:rFonts w:ascii="Arial" w:hAnsi="Arial"/>
                <w:sz w:val="22"/>
                <w:szCs w:val="22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A47261">
              <w:rPr>
                <w:rFonts w:ascii="Arial" w:hAnsi="Arial"/>
                <w:sz w:val="22"/>
                <w:szCs w:val="22"/>
              </w:rPr>
              <w:t>/</w:t>
            </w:r>
            <w:r w:rsidR="001423B0">
              <w:rPr>
                <w:rFonts w:ascii="Arial" w:hAnsi="Arial"/>
                <w:sz w:val="22"/>
                <w:szCs w:val="22"/>
              </w:rPr>
              <w:t>22</w:t>
            </w:r>
            <w:r w:rsidRPr="00A47261">
              <w:rPr>
                <w:rFonts w:ascii="Arial" w:hAnsi="Arial"/>
                <w:sz w:val="22"/>
                <w:szCs w:val="22"/>
              </w:rPr>
              <w:t>/05</w:t>
            </w:r>
            <w:r w:rsidRPr="00A47261">
              <w:rPr>
                <w:rFonts w:ascii="Arial" w:hAnsi="Arial"/>
                <w:sz w:val="22"/>
                <w:szCs w:val="22"/>
              </w:rPr>
              <w:tab/>
            </w:r>
            <w:r w:rsidRPr="008D4AC1">
              <w:rPr>
                <w:rFonts w:ascii="Arial" w:hAnsi="Arial"/>
                <w:b/>
                <w:sz w:val="22"/>
                <w:szCs w:val="22"/>
              </w:rPr>
              <w:t>Authorization</w:t>
            </w:r>
            <w:r w:rsidRPr="00A47261">
              <w:rPr>
                <w:rFonts w:ascii="Arial" w:hAnsi="Arial"/>
                <w:sz w:val="22"/>
                <w:szCs w:val="22"/>
              </w:rPr>
              <w:t xml:space="preserve">:    </w:t>
            </w:r>
            <w:r w:rsidR="008D4AC1">
              <w:rPr>
                <w:rFonts w:ascii="Arial" w:hAnsi="Arial"/>
                <w:sz w:val="22"/>
                <w:szCs w:val="22"/>
              </w:rPr>
              <w:t>LG</w:t>
            </w:r>
            <w:r w:rsidRPr="00A47261">
              <w:rPr>
                <w:rFonts w:ascii="Arial" w:hAnsi="Arial"/>
                <w:sz w:val="22"/>
                <w:szCs w:val="22"/>
              </w:rPr>
              <w:t xml:space="preserve">    </w:t>
            </w:r>
            <w:r>
              <w:rPr>
                <w:rFonts w:ascii="Arial" w:hAnsi="Arial"/>
                <w:sz w:val="22"/>
                <w:szCs w:val="22"/>
              </w:rPr>
              <w:t xml:space="preserve">        </w:t>
            </w:r>
            <w:r w:rsidRPr="00A47261">
              <w:rPr>
                <w:rFonts w:ascii="Arial" w:hAnsi="Arial"/>
                <w:sz w:val="22"/>
                <w:szCs w:val="22"/>
              </w:rPr>
              <w:t xml:space="preserve">    </w:t>
            </w:r>
            <w:r w:rsidRPr="008D4AC1">
              <w:rPr>
                <w:rFonts w:ascii="Arial" w:hAnsi="Arial"/>
                <w:b/>
                <w:sz w:val="22"/>
                <w:szCs w:val="22"/>
              </w:rPr>
              <w:t>Page</w:t>
            </w:r>
            <w:r w:rsidRPr="00A47261">
              <w:rPr>
                <w:rFonts w:ascii="Arial" w:hAnsi="Arial"/>
                <w:sz w:val="22"/>
                <w:szCs w:val="22"/>
              </w:rPr>
              <w:t xml:space="preserve">: 2 </w:t>
            </w:r>
            <w:r w:rsidRPr="008D4AC1">
              <w:rPr>
                <w:rFonts w:ascii="Arial" w:hAnsi="Arial"/>
                <w:sz w:val="22"/>
                <w:szCs w:val="22"/>
              </w:rPr>
              <w:t xml:space="preserve">of 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Pr="00A47261">
              <w:rPr>
                <w:rFonts w:ascii="Arial" w:hAnsi="Arial"/>
                <w:sz w:val="22"/>
                <w:szCs w:val="22"/>
              </w:rPr>
              <w:tab/>
            </w:r>
            <w:r w:rsidRPr="00A47261">
              <w:rPr>
                <w:rFonts w:ascii="Arial" w:hAnsi="Arial"/>
                <w:sz w:val="22"/>
                <w:szCs w:val="22"/>
              </w:rPr>
              <w:tab/>
            </w:r>
          </w:p>
          <w:p w:rsidR="00614A09" w:rsidRPr="00A47261" w:rsidRDefault="00614A09" w:rsidP="00614A09">
            <w:pPr>
              <w:pStyle w:val="FootnoteText"/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1423B0" w:rsidRPr="00A47261" w:rsidRDefault="008D4AC1" w:rsidP="001423B0">
            <w:pPr>
              <w:pStyle w:val="FootnoteText"/>
              <w:rPr>
                <w:rFonts w:ascii="Arial" w:hAnsi="Arial"/>
                <w:sz w:val="22"/>
                <w:szCs w:val="22"/>
              </w:rPr>
            </w:pPr>
            <w:r w:rsidRPr="008D4AC1">
              <w:rPr>
                <w:rFonts w:ascii="Arial" w:hAnsi="Arial"/>
                <w:b/>
                <w:sz w:val="22"/>
                <w:szCs w:val="22"/>
              </w:rPr>
              <w:t>T</w:t>
            </w:r>
            <w:r w:rsidR="00614A09" w:rsidRPr="008D4AC1">
              <w:rPr>
                <w:rFonts w:ascii="Arial" w:hAnsi="Arial"/>
                <w:b/>
                <w:sz w:val="22"/>
                <w:szCs w:val="22"/>
              </w:rPr>
              <w:t>itle</w:t>
            </w:r>
            <w:r w:rsidR="00614A09" w:rsidRPr="00A47261">
              <w:rPr>
                <w:rFonts w:ascii="Arial" w:hAnsi="Arial"/>
                <w:sz w:val="22"/>
                <w:szCs w:val="22"/>
              </w:rPr>
              <w:t xml:space="preserve">: </w:t>
            </w:r>
            <w:r w:rsidR="001423B0">
              <w:rPr>
                <w:rFonts w:ascii="Arial" w:hAnsi="Arial"/>
                <w:sz w:val="22"/>
                <w:szCs w:val="22"/>
              </w:rPr>
              <w:t>Requirements for Basic and Intermediate EMT Use of Glucose Monitoring</w:t>
            </w:r>
          </w:p>
          <w:p w:rsidR="00614A09" w:rsidRPr="00A47261" w:rsidRDefault="00614A09" w:rsidP="00614A09">
            <w:pPr>
              <w:rPr>
                <w:rFonts w:ascii="Arial" w:hAnsi="Arial"/>
                <w:sz w:val="22"/>
                <w:szCs w:val="22"/>
              </w:rPr>
            </w:pPr>
          </w:p>
          <w:p w:rsidR="00614A09" w:rsidRPr="00A47261" w:rsidRDefault="00614A09" w:rsidP="00614A09">
            <w:pPr>
              <w:rPr>
                <w:rFonts w:ascii="Arial" w:hAnsi="Arial"/>
                <w:sz w:val="22"/>
                <w:szCs w:val="22"/>
              </w:rPr>
            </w:pPr>
            <w:r w:rsidRPr="008D4AC1">
              <w:rPr>
                <w:rFonts w:ascii="Arial" w:hAnsi="Arial"/>
                <w:b/>
                <w:sz w:val="22"/>
                <w:szCs w:val="22"/>
              </w:rPr>
              <w:t>Supersedes</w:t>
            </w:r>
            <w:r w:rsidRPr="00A47261">
              <w:rPr>
                <w:rFonts w:ascii="Arial" w:hAnsi="Arial"/>
                <w:sz w:val="22"/>
                <w:szCs w:val="22"/>
              </w:rPr>
              <w:t>: N/A</w:t>
            </w:r>
          </w:p>
          <w:p w:rsidR="00614A09" w:rsidRDefault="00614A09" w:rsidP="00614A09">
            <w:pPr>
              <w:ind w:firstLine="1422"/>
              <w:jc w:val="right"/>
              <w:rPr>
                <w:rFonts w:ascii="Arial" w:hAnsi="Arial"/>
              </w:rPr>
            </w:pPr>
          </w:p>
        </w:tc>
      </w:tr>
    </w:tbl>
    <w:p w:rsidR="006512A3" w:rsidRDefault="006512A3" w:rsidP="00C6290E">
      <w:pPr>
        <w:ind w:left="-180"/>
      </w:pPr>
    </w:p>
    <w:p w:rsidR="00C6290E" w:rsidRDefault="006512A3" w:rsidP="006512A3">
      <w:pPr>
        <w:ind w:left="-540"/>
      </w:pPr>
      <w:r>
        <w:t xml:space="preserve">E. </w:t>
      </w:r>
      <w:r w:rsidR="00C6290E">
        <w:t>The service must use a glucose monitoring device that is:</w:t>
      </w:r>
      <w:bookmarkStart w:id="0" w:name="_GoBack"/>
      <w:bookmarkEnd w:id="0"/>
    </w:p>
    <w:p w:rsidR="00C6290E" w:rsidRDefault="00C6290E" w:rsidP="006512A3">
      <w:pPr>
        <w:ind w:left="-180" w:firstLine="540"/>
      </w:pPr>
      <w:r>
        <w:t xml:space="preserve">1) </w:t>
      </w:r>
      <w:proofErr w:type="gramStart"/>
      <w:r w:rsidR="006512A3">
        <w:t>a</w:t>
      </w:r>
      <w:r>
        <w:t>pproved</w:t>
      </w:r>
      <w:proofErr w:type="gramEnd"/>
      <w:r>
        <w:t xml:space="preserve"> by the U.S. Food and </w:t>
      </w:r>
      <w:r w:rsidR="00E83355">
        <w:t xml:space="preserve">Drug Administration (FDA); </w:t>
      </w:r>
    </w:p>
    <w:p w:rsidR="00C6290E" w:rsidRDefault="00E83355" w:rsidP="006512A3">
      <w:pPr>
        <w:ind w:left="-180" w:firstLine="540"/>
      </w:pPr>
      <w:r>
        <w:t xml:space="preserve">2) </w:t>
      </w:r>
      <w:proofErr w:type="gramStart"/>
      <w:r>
        <w:t>utilizes</w:t>
      </w:r>
      <w:proofErr w:type="gramEnd"/>
      <w:r>
        <w:t xml:space="preserve"> capillary action; </w:t>
      </w:r>
    </w:p>
    <w:p w:rsidR="00C6290E" w:rsidRDefault="00C6290E" w:rsidP="006512A3">
      <w:pPr>
        <w:ind w:left="-180" w:firstLine="540"/>
      </w:pPr>
      <w:r>
        <w:t>3</w:t>
      </w:r>
      <w:r w:rsidR="00E83355">
        <w:t xml:space="preserve">) </w:t>
      </w:r>
      <w:proofErr w:type="gramStart"/>
      <w:r w:rsidR="00E83355">
        <w:t>measures</w:t>
      </w:r>
      <w:proofErr w:type="gramEnd"/>
      <w:r w:rsidR="00E83355">
        <w:t xml:space="preserve"> whole blood; </w:t>
      </w:r>
    </w:p>
    <w:p w:rsidR="00C6290E" w:rsidRDefault="00C6290E" w:rsidP="006512A3">
      <w:pPr>
        <w:ind w:left="-180" w:firstLine="540"/>
      </w:pPr>
      <w:r>
        <w:t xml:space="preserve">4) </w:t>
      </w:r>
      <w:proofErr w:type="gramStart"/>
      <w:r>
        <w:t>uses</w:t>
      </w:r>
      <w:proofErr w:type="gramEnd"/>
      <w:r>
        <w:t xml:space="preserve"> one</w:t>
      </w:r>
      <w:r w:rsidR="006512A3">
        <w:t>-</w:t>
      </w:r>
      <w:r>
        <w:t>time lancet</w:t>
      </w:r>
      <w:r w:rsidR="006512A3">
        <w:t>;</w:t>
      </w:r>
    </w:p>
    <w:p w:rsidR="00C6290E" w:rsidRDefault="00C6290E" w:rsidP="006512A3">
      <w:pPr>
        <w:ind w:left="360"/>
      </w:pPr>
      <w:r>
        <w:t>5</w:t>
      </w:r>
      <w:r w:rsidR="00E83355">
        <w:t xml:space="preserve">) </w:t>
      </w:r>
      <w:proofErr w:type="gramStart"/>
      <w:r w:rsidR="00E83355">
        <w:t>uses</w:t>
      </w:r>
      <w:proofErr w:type="gramEnd"/>
      <w:r w:rsidR="00E83355">
        <w:t xml:space="preserve"> </w:t>
      </w:r>
      <w:r w:rsidR="00643A2C">
        <w:t xml:space="preserve">small specimen size to decrease </w:t>
      </w:r>
      <w:r>
        <w:t xml:space="preserve">the risk of </w:t>
      </w:r>
      <w:proofErr w:type="spellStart"/>
      <w:r w:rsidR="00643A2C">
        <w:t>bloodborne</w:t>
      </w:r>
      <w:proofErr w:type="spellEnd"/>
      <w:r w:rsidR="00643A2C">
        <w:t xml:space="preserve"> pathogen exposure</w:t>
      </w:r>
      <w:r w:rsidR="006512A3">
        <w:t>, and</w:t>
      </w:r>
    </w:p>
    <w:p w:rsidR="00614A09" w:rsidRDefault="00C6290E" w:rsidP="006512A3">
      <w:pPr>
        <w:ind w:left="-180" w:firstLine="540"/>
      </w:pPr>
      <w:r>
        <w:t xml:space="preserve">6) </w:t>
      </w:r>
      <w:proofErr w:type="gramStart"/>
      <w:r w:rsidR="00643A2C">
        <w:t>requires</w:t>
      </w:r>
      <w:proofErr w:type="gramEnd"/>
      <w:r w:rsidR="00643A2C">
        <w:t xml:space="preserve"> </w:t>
      </w:r>
      <w:r w:rsidR="00614A09">
        <w:t>minimal calibration and cleaning.</w:t>
      </w:r>
    </w:p>
    <w:p w:rsidR="00614A09" w:rsidRDefault="006512A3" w:rsidP="006512A3">
      <w:pPr>
        <w:ind w:left="-540"/>
      </w:pPr>
      <w:r>
        <w:t xml:space="preserve">F. </w:t>
      </w:r>
      <w:r w:rsidR="00614A09">
        <w:t>All patient glucose monitoring results must be documented on the trip record.</w:t>
      </w:r>
    </w:p>
    <w:p w:rsidR="00614A09" w:rsidRDefault="006512A3" w:rsidP="006512A3">
      <w:pPr>
        <w:ind w:left="-180" w:hanging="360"/>
      </w:pPr>
      <w:r>
        <w:t xml:space="preserve">G. </w:t>
      </w:r>
      <w:r w:rsidR="00614A09">
        <w:t xml:space="preserve">The service must ensure strict adherence to </w:t>
      </w:r>
      <w:proofErr w:type="spellStart"/>
      <w:r w:rsidR="00614A09">
        <w:t>bloodborne</w:t>
      </w:r>
      <w:proofErr w:type="spellEnd"/>
      <w:r w:rsidR="00614A09">
        <w:t xml:space="preserve"> pathogen policies and procedures, including universal precautions, sharps disposal and reporting requirements currently defined by the Department.</w:t>
      </w:r>
    </w:p>
    <w:p w:rsidR="00C6290E" w:rsidRDefault="00C6290E" w:rsidP="006512A3">
      <w:pPr>
        <w:numPr>
          <w:ilvl w:val="0"/>
          <w:numId w:val="9"/>
        </w:numPr>
      </w:pPr>
      <w:r>
        <w:t>All services must run controls</w:t>
      </w:r>
      <w:r w:rsidR="006512A3">
        <w:t>,</w:t>
      </w:r>
      <w:r>
        <w:t xml:space="preserve"> where </w:t>
      </w:r>
      <w:r w:rsidR="006512A3">
        <w:t>applicable,</w:t>
      </w:r>
      <w:r w:rsidR="00825E90">
        <w:t xml:space="preserve"> in accordance with manufacturer’s instructions</w:t>
      </w:r>
      <w:r w:rsidR="006512A3">
        <w:t>.</w:t>
      </w:r>
    </w:p>
    <w:p w:rsidR="00AF7467" w:rsidRDefault="00614A09" w:rsidP="00F83433">
      <w:pPr>
        <w:numPr>
          <w:ilvl w:val="0"/>
          <w:numId w:val="9"/>
        </w:numPr>
      </w:pPr>
      <w:r>
        <w:t xml:space="preserve">The service must ensure strict adherence to the use, care and cleaning of the glucose monitoring device in accordance with </w:t>
      </w:r>
      <w:r w:rsidR="00C6290E">
        <w:t xml:space="preserve">the </w:t>
      </w:r>
      <w:r>
        <w:t xml:space="preserve">manufacturers’ instructions. </w:t>
      </w:r>
      <w:r w:rsidR="00475915">
        <w:t xml:space="preserve"> </w:t>
      </w:r>
    </w:p>
    <w:p w:rsidR="00A87639" w:rsidRDefault="00825E90" w:rsidP="00F83433">
      <w:pPr>
        <w:numPr>
          <w:ilvl w:val="0"/>
          <w:numId w:val="9"/>
        </w:numPr>
      </w:pPr>
      <w:r>
        <w:t>Use of glucose monitoring devices may subject t</w:t>
      </w:r>
      <w:r w:rsidR="00A87639">
        <w:t xml:space="preserve">he service to the federal Clinical Laboratories Improvement Amendments (CLIA) requirements. For information on CLIA compliance, contact the Department’s Clinical Laboratory Program, at (617) </w:t>
      </w:r>
      <w:r w:rsidR="00956FC7">
        <w:t>75</w:t>
      </w:r>
      <w:r w:rsidR="00A87639">
        <w:t>3-</w:t>
      </w:r>
      <w:r w:rsidR="00956FC7">
        <w:t>8438</w:t>
      </w:r>
      <w:r w:rsidR="00A87639">
        <w:t xml:space="preserve">, or go to the U.S. Centers for Medicare and Medicaid Services (CMS) website for CLIA, at </w:t>
      </w:r>
      <w:hyperlink r:id="rId7" w:history="1">
        <w:r w:rsidR="00A87639" w:rsidRPr="00262138">
          <w:rPr>
            <w:rStyle w:val="Hyperlink"/>
          </w:rPr>
          <w:t>www.cms.hhs.gov/clia/</w:t>
        </w:r>
      </w:hyperlink>
      <w:r w:rsidR="00A87639">
        <w:t>.</w:t>
      </w:r>
    </w:p>
    <w:p w:rsidR="00A87639" w:rsidRDefault="00A87639" w:rsidP="00A87639">
      <w:pPr>
        <w:ind w:left="-540"/>
      </w:pPr>
    </w:p>
    <w:p w:rsidR="00A87639" w:rsidRDefault="00A87639" w:rsidP="00A87639"/>
    <w:p w:rsidR="00A87639" w:rsidRDefault="00A87639" w:rsidP="00A87639"/>
    <w:p w:rsidR="00614A09" w:rsidRDefault="00614A09" w:rsidP="00614A09">
      <w:pPr>
        <w:ind w:left="-540"/>
      </w:pPr>
    </w:p>
    <w:sectPr w:rsidR="00614A09" w:rsidSect="00651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46B"/>
    <w:multiLevelType w:val="hybridMultilevel"/>
    <w:tmpl w:val="3662CE98"/>
    <w:lvl w:ilvl="0" w:tplc="B5D2F234">
      <w:start w:val="8"/>
      <w:numFmt w:val="upperLetter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>
    <w:nsid w:val="07F45E6B"/>
    <w:multiLevelType w:val="hybridMultilevel"/>
    <w:tmpl w:val="45B001D8"/>
    <w:lvl w:ilvl="0" w:tplc="032298C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01738E"/>
    <w:multiLevelType w:val="hybridMultilevel"/>
    <w:tmpl w:val="133AFE02"/>
    <w:lvl w:ilvl="0" w:tplc="E33E791E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0A85DCF"/>
    <w:multiLevelType w:val="hybridMultilevel"/>
    <w:tmpl w:val="0B3688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C24422"/>
    <w:multiLevelType w:val="hybridMultilevel"/>
    <w:tmpl w:val="1D0CA3FE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547E3F2F"/>
    <w:multiLevelType w:val="hybridMultilevel"/>
    <w:tmpl w:val="55F033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4BC70C0"/>
    <w:multiLevelType w:val="hybridMultilevel"/>
    <w:tmpl w:val="0F40530E"/>
    <w:lvl w:ilvl="0" w:tplc="4C3AD8F6">
      <w:start w:val="1"/>
      <w:numFmt w:val="upperLetter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7">
    <w:nsid w:val="5FC551E3"/>
    <w:multiLevelType w:val="hybridMultilevel"/>
    <w:tmpl w:val="C0B808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B5720F"/>
    <w:multiLevelType w:val="hybridMultilevel"/>
    <w:tmpl w:val="7A02FB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AF"/>
    <w:rsid w:val="00122BB2"/>
    <w:rsid w:val="001423B0"/>
    <w:rsid w:val="00143A8A"/>
    <w:rsid w:val="00202466"/>
    <w:rsid w:val="00262138"/>
    <w:rsid w:val="002D74AF"/>
    <w:rsid w:val="003707BB"/>
    <w:rsid w:val="003F343C"/>
    <w:rsid w:val="00475915"/>
    <w:rsid w:val="004D7390"/>
    <w:rsid w:val="005C0714"/>
    <w:rsid w:val="005C2C52"/>
    <w:rsid w:val="00614A09"/>
    <w:rsid w:val="00643A2C"/>
    <w:rsid w:val="006512A3"/>
    <w:rsid w:val="006859AF"/>
    <w:rsid w:val="006A7B02"/>
    <w:rsid w:val="006D201D"/>
    <w:rsid w:val="006E5D62"/>
    <w:rsid w:val="006F7928"/>
    <w:rsid w:val="00727F6C"/>
    <w:rsid w:val="00792168"/>
    <w:rsid w:val="007C4E4D"/>
    <w:rsid w:val="007D4096"/>
    <w:rsid w:val="00825E90"/>
    <w:rsid w:val="00826B0E"/>
    <w:rsid w:val="00836372"/>
    <w:rsid w:val="008D4AC1"/>
    <w:rsid w:val="00927FE2"/>
    <w:rsid w:val="00956FC7"/>
    <w:rsid w:val="009D591B"/>
    <w:rsid w:val="009E25FC"/>
    <w:rsid w:val="00A47261"/>
    <w:rsid w:val="00A87639"/>
    <w:rsid w:val="00AD6E8E"/>
    <w:rsid w:val="00AF7467"/>
    <w:rsid w:val="00B45E46"/>
    <w:rsid w:val="00BC563D"/>
    <w:rsid w:val="00BD4505"/>
    <w:rsid w:val="00BF0410"/>
    <w:rsid w:val="00C272DF"/>
    <w:rsid w:val="00C37947"/>
    <w:rsid w:val="00C6290E"/>
    <w:rsid w:val="00C75A48"/>
    <w:rsid w:val="00C979A4"/>
    <w:rsid w:val="00CC0FC1"/>
    <w:rsid w:val="00CD3B0F"/>
    <w:rsid w:val="00CD3B2B"/>
    <w:rsid w:val="00DD596B"/>
    <w:rsid w:val="00E600D1"/>
    <w:rsid w:val="00E83355"/>
    <w:rsid w:val="00F360B3"/>
    <w:rsid w:val="00F83433"/>
    <w:rsid w:val="00F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3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b/>
      <w:sz w:val="3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0"/>
    </w:rPr>
  </w:style>
  <w:style w:type="paragraph" w:styleId="BodyText2">
    <w:name w:val="Body Text 2"/>
    <w:basedOn w:val="Normal"/>
    <w:link w:val="BodyText2Char"/>
    <w:uiPriority w:val="99"/>
    <w:pPr>
      <w:ind w:left="1440"/>
    </w:pPr>
    <w:rPr>
      <w:i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8343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6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87639"/>
    <w:pPr>
      <w:spacing w:after="300"/>
    </w:pPr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rsid w:val="00A876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3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b/>
      <w:sz w:val="3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0"/>
    </w:rPr>
  </w:style>
  <w:style w:type="paragraph" w:styleId="BodyText2">
    <w:name w:val="Body Text 2"/>
    <w:basedOn w:val="Normal"/>
    <w:link w:val="BodyText2Char"/>
    <w:uiPriority w:val="99"/>
    <w:pPr>
      <w:ind w:left="1440"/>
    </w:pPr>
    <w:rPr>
      <w:i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8343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6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87639"/>
    <w:pPr>
      <w:spacing w:after="300"/>
    </w:pPr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rsid w:val="00A876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ms.hhs.gov/cl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A/R Regarding EMT-B and EMT-I Use of Glucose Monitoring</vt:lpstr>
    </vt:vector>
  </TitlesOfParts>
  <Company>DPH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A/R Regarding EMT-B and EMT-I Use of Glucose Monitoring</dc:title>
  <dc:subject>Requirements on Ambulance Services That Choose to Have their EMT-Bs and EMT-Is Use Glucose Monitoring Devices</dc:subject>
  <dc:creator>DPH/OEMS</dc:creator>
  <cp:keywords>Administrative Requirements A/R Glucose Monitoring EMT-B EMT-I Basic Intermediate</cp:keywords>
  <cp:lastModifiedBy> </cp:lastModifiedBy>
  <cp:revision>5</cp:revision>
  <cp:lastPrinted>2005-02-24T19:34:00Z</cp:lastPrinted>
  <dcterms:created xsi:type="dcterms:W3CDTF">2018-02-28T16:55:00Z</dcterms:created>
  <dcterms:modified xsi:type="dcterms:W3CDTF">2018-02-28T16:57:00Z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