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D2" w:rsidRDefault="000861D4">
      <w:pPr>
        <w:widowControl/>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-35560</wp:posOffset>
                </wp:positionV>
                <wp:extent cx="6248400" cy="1905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05000"/>
                        </a:xfrm>
                        <a:prstGeom prst="rect">
                          <a:avLst/>
                        </a:prstGeom>
                        <a:solidFill>
                          <a:srgbClr val="C0C0C0"/>
                        </a:solidFill>
                        <a:ln w="9525">
                          <a:solidFill>
                            <a:srgbClr val="000000"/>
                          </a:solidFill>
                          <a:miter lim="800000"/>
                          <a:headEnd/>
                          <a:tailEnd/>
                        </a:ln>
                      </wps:spPr>
                      <wps:txbx>
                        <w:txbxContent>
                          <w:p w:rsidR="00D37BD2" w:rsidRDefault="000861D4">
                            <w:pPr>
                              <w:rPr>
                                <w:sz w:val="24"/>
                                <w:szCs w:val="24"/>
                              </w:rPr>
                            </w:pPr>
                            <w:r>
                              <w:rPr>
                                <w:noProof/>
                              </w:rPr>
                              <w:drawing>
                                <wp:inline distT="0" distB="0" distL="0" distR="0">
                                  <wp:extent cx="16097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724025"/>
                                          </a:xfrm>
                                          <a:prstGeom prst="rect">
                                            <a:avLst/>
                                          </a:prstGeom>
                                          <a:noFill/>
                                          <a:ln>
                                            <a:noFill/>
                                          </a:ln>
                                        </pic:spPr>
                                      </pic:pic>
                                    </a:graphicData>
                                  </a:graphic>
                                </wp:inline>
                              </w:drawing>
                            </w:r>
                            <w:r w:rsidR="00D37BD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pt;margin-top:-2.8pt;width:492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" fillcolor="silver">
                <v:textbox>
                  <w:txbxContent>
                    <w:p w:rsidR="00D37BD2" w:rsidRDefault="000861D4">
                      <w:pPr>
                        <w:rPr>
                          <w:sz w:val="24"/>
                          <w:szCs w:val="24"/>
                        </w:rPr>
                      </w:pPr>
                      <w:r>
                        <w:rPr>
                          <w:noProof/>
                        </w:rPr>
                        <w:drawing>
                          <wp:inline distT="0" distB="0" distL="0" distR="0">
                            <wp:extent cx="16097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724025"/>
                                    </a:xfrm>
                                    <a:prstGeom prst="rect">
                                      <a:avLst/>
                                    </a:prstGeom>
                                    <a:noFill/>
                                    <a:ln>
                                      <a:noFill/>
                                    </a:ln>
                                  </pic:spPr>
                                </pic:pic>
                              </a:graphicData>
                            </a:graphic>
                          </wp:inline>
                        </w:drawing>
                      </w:r>
                      <w:r w:rsidR="00D37BD2">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1647190</wp:posOffset>
                </wp:positionH>
                <wp:positionV relativeFrom="paragraph">
                  <wp:posOffset>-35560</wp:posOffset>
                </wp:positionV>
                <wp:extent cx="45720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BD2" w:rsidRPr="005D2FAE" w:rsidRDefault="00D37BD2">
                            <w:pPr>
                              <w:pStyle w:val="Heading1"/>
                              <w:jc w:val="right"/>
                              <w:rPr>
                                <w:b/>
                                <w:u w:val="none"/>
                              </w:rPr>
                            </w:pPr>
                            <w:r w:rsidRPr="005D2FAE">
                              <w:rPr>
                                <w:b/>
                                <w:u w:val="none"/>
                              </w:rPr>
                              <w:t>AR 5-605</w:t>
                            </w:r>
                          </w:p>
                          <w:p w:rsidR="00D37BD2" w:rsidRPr="005D2FAE" w:rsidRDefault="00D37BD2" w:rsidP="005D2FAE">
                            <w:pPr>
                              <w:pStyle w:val="Heading1"/>
                              <w:jc w:val="center"/>
                              <w:rPr>
                                <w:b/>
                                <w:sz w:val="28"/>
                                <w:szCs w:val="28"/>
                                <w:u w:val="none"/>
                              </w:rPr>
                            </w:pPr>
                            <w:r w:rsidRPr="005D2FAE">
                              <w:rPr>
                                <w:b/>
                                <w:sz w:val="28"/>
                                <w:szCs w:val="28"/>
                                <w:u w:val="none"/>
                              </w:rPr>
                              <w:t>OFFICE OF EMERGENCY MEDICAL SERVICES</w:t>
                            </w:r>
                          </w:p>
                          <w:p w:rsidR="00D37BD2" w:rsidRDefault="00D37BD2">
                            <w:pPr>
                              <w:rPr>
                                <w:b/>
                                <w:bCs/>
                                <w:sz w:val="24"/>
                                <w:szCs w:val="24"/>
                              </w:rPr>
                            </w:pPr>
                          </w:p>
                          <w:p w:rsidR="00D37BD2" w:rsidRPr="005D2FAE" w:rsidRDefault="00D37BD2">
                            <w:pPr>
                              <w:pStyle w:val="Heading2"/>
                              <w:rPr>
                                <w:b/>
                                <w:sz w:val="24"/>
                                <w:szCs w:val="24"/>
                                <w:u w:val="none"/>
                              </w:rPr>
                            </w:pPr>
                            <w:r w:rsidRPr="005D2FAE">
                              <w:rPr>
                                <w:b/>
                                <w:sz w:val="24"/>
                                <w:szCs w:val="24"/>
                                <w:u w:val="none"/>
                              </w:rPr>
                              <w:t>Administrative Requirements Manual</w:t>
                            </w:r>
                          </w:p>
                          <w:p w:rsidR="00D37BD2" w:rsidRPr="005D2FAE" w:rsidRDefault="00D37BD2">
                            <w:pPr>
                              <w:jc w:val="center"/>
                              <w:rPr>
                                <w:b/>
                              </w:rPr>
                            </w:pPr>
                          </w:p>
                          <w:p w:rsidR="00D37BD2" w:rsidRDefault="00D37BD2">
                            <w:r w:rsidRPr="005D2FAE">
                              <w:rPr>
                                <w:b/>
                                <w:caps/>
                              </w:rPr>
                              <w:t>Effective</w:t>
                            </w:r>
                            <w:r>
                              <w:t xml:space="preserve">:  7/29/2004      </w:t>
                            </w:r>
                            <w:r w:rsidRPr="005D2FAE">
                              <w:rPr>
                                <w:b/>
                              </w:rPr>
                              <w:t>AUTHORIZATION</w:t>
                            </w:r>
                            <w:r w:rsidRPr="005D2FAE">
                              <w:t>:</w:t>
                            </w:r>
                            <w:r>
                              <w:t xml:space="preserve">    </w:t>
                            </w:r>
                            <w:r w:rsidR="005D2FAE">
                              <w:t>LG</w:t>
                            </w:r>
                            <w:r>
                              <w:t xml:space="preserve">   </w:t>
                            </w:r>
                            <w:r>
                              <w:tab/>
                            </w:r>
                            <w:r w:rsidRPr="005D2FAE">
                              <w:rPr>
                                <w:b/>
                              </w:rPr>
                              <w:t>PAGE</w:t>
                            </w:r>
                            <w:r>
                              <w:t xml:space="preserve">: 1 </w:t>
                            </w:r>
                            <w:r w:rsidRPr="005D2FAE">
                              <w:t>of</w:t>
                            </w:r>
                            <w:r>
                              <w:t xml:space="preserve"> 1</w:t>
                            </w:r>
                          </w:p>
                          <w:p w:rsidR="00D37BD2" w:rsidRDefault="00D37BD2">
                            <w:pPr>
                              <w:pStyle w:val="Heading3"/>
                            </w:pPr>
                          </w:p>
                          <w:p w:rsidR="00D37BD2" w:rsidRDefault="00D37BD2">
                            <w:pPr>
                              <w:pStyle w:val="Heading3"/>
                              <w:rPr>
                                <w:u w:val="none"/>
                              </w:rPr>
                            </w:pPr>
                            <w:r w:rsidRPr="005D2FAE">
                              <w:rPr>
                                <w:b/>
                                <w:u w:val="none"/>
                              </w:rPr>
                              <w:t>TITLE</w:t>
                            </w:r>
                            <w:r>
                              <w:rPr>
                                <w:u w:val="none"/>
                              </w:rPr>
                              <w:t>:  Duty to Provide a Patient’s Personal and Medical Information Contained in Ambulance Service Records to Authorized Parties</w:t>
                            </w:r>
                          </w:p>
                          <w:p w:rsidR="00D37BD2" w:rsidRDefault="00D37BD2">
                            <w:pPr>
                              <w:rPr>
                                <w:u w:val="single"/>
                              </w:rPr>
                            </w:pPr>
                          </w:p>
                          <w:p w:rsidR="00D37BD2" w:rsidRDefault="00D37BD2">
                            <w:r w:rsidRPr="005D2FAE">
                              <w:rPr>
                                <w:b/>
                                <w:caps/>
                              </w:rPr>
                              <w:t>Supersedes</w:t>
                            </w:r>
                            <w:r w:rsidRPr="005D2FAE">
                              <w:t>:</w:t>
                            </w:r>
                            <w:r w:rsidR="005D2FAE">
                              <w:t xml:space="preserve">  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9.7pt;margin-top:-2.8pt;width:5in;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" fillcolor="silver" stroked="f">
                <v:textbox>
                  <w:txbxContent>
                    <w:p w:rsidR="00D37BD2" w:rsidRPr="005D2FAE" w:rsidRDefault="00D37BD2">
                      <w:pPr>
                        <w:pStyle w:val="Heading1"/>
                        <w:jc w:val="right"/>
                        <w:rPr>
                          <w:b/>
                          <w:u w:val="none"/>
                        </w:rPr>
                      </w:pPr>
                      <w:r w:rsidRPr="005D2FAE">
                        <w:rPr>
                          <w:b/>
                          <w:u w:val="none"/>
                        </w:rPr>
                        <w:t>AR 5-605</w:t>
                      </w:r>
                    </w:p>
                    <w:p w:rsidR="00D37BD2" w:rsidRPr="005D2FAE" w:rsidRDefault="00D37BD2" w:rsidP="005D2FAE">
                      <w:pPr>
                        <w:pStyle w:val="Heading1"/>
                        <w:jc w:val="center"/>
                        <w:rPr>
                          <w:b/>
                          <w:sz w:val="28"/>
                          <w:szCs w:val="28"/>
                          <w:u w:val="none"/>
                        </w:rPr>
                      </w:pPr>
                      <w:r w:rsidRPr="005D2FAE">
                        <w:rPr>
                          <w:b/>
                          <w:sz w:val="28"/>
                          <w:szCs w:val="28"/>
                          <w:u w:val="none"/>
                        </w:rPr>
                        <w:t>OFFICE OF EMERGENCY MEDICAL SERVICES</w:t>
                      </w:r>
                    </w:p>
                    <w:p w:rsidR="00D37BD2" w:rsidRDefault="00D37BD2">
                      <w:pPr>
                        <w:rPr>
                          <w:b/>
                          <w:bCs/>
                          <w:sz w:val="24"/>
                          <w:szCs w:val="24"/>
                        </w:rPr>
                      </w:pPr>
                    </w:p>
                    <w:p w:rsidR="00D37BD2" w:rsidRPr="005D2FAE" w:rsidRDefault="00D37BD2">
                      <w:pPr>
                        <w:pStyle w:val="Heading2"/>
                        <w:rPr>
                          <w:b/>
                          <w:sz w:val="24"/>
                          <w:szCs w:val="24"/>
                          <w:u w:val="none"/>
                        </w:rPr>
                      </w:pPr>
                      <w:r w:rsidRPr="005D2FAE">
                        <w:rPr>
                          <w:b/>
                          <w:sz w:val="24"/>
                          <w:szCs w:val="24"/>
                          <w:u w:val="none"/>
                        </w:rPr>
                        <w:t>Administrative Requirements Manual</w:t>
                      </w:r>
                    </w:p>
                    <w:p w:rsidR="00D37BD2" w:rsidRPr="005D2FAE" w:rsidRDefault="00D37BD2">
                      <w:pPr>
                        <w:jc w:val="center"/>
                        <w:rPr>
                          <w:b/>
                        </w:rPr>
                      </w:pPr>
                    </w:p>
                    <w:p w:rsidR="00D37BD2" w:rsidRDefault="00D37BD2">
                      <w:r w:rsidRPr="005D2FAE">
                        <w:rPr>
                          <w:b/>
                          <w:caps/>
                        </w:rPr>
                        <w:t>Effective</w:t>
                      </w:r>
                      <w:r>
                        <w:t xml:space="preserve">:  7/29/2004      </w:t>
                      </w:r>
                      <w:r w:rsidRPr="005D2FAE">
                        <w:rPr>
                          <w:b/>
                        </w:rPr>
                        <w:t>AUTHORIZATION</w:t>
                      </w:r>
                      <w:r w:rsidRPr="005D2FAE">
                        <w:t>:</w:t>
                      </w:r>
                      <w:r>
                        <w:t xml:space="preserve">    </w:t>
                      </w:r>
                      <w:r w:rsidR="005D2FAE">
                        <w:t>LG</w:t>
                      </w:r>
                      <w:r>
                        <w:t xml:space="preserve">   </w:t>
                      </w:r>
                      <w:r>
                        <w:tab/>
                      </w:r>
                      <w:r w:rsidRPr="005D2FAE">
                        <w:rPr>
                          <w:b/>
                        </w:rPr>
                        <w:t>PAGE</w:t>
                      </w:r>
                      <w:r>
                        <w:t xml:space="preserve">: 1 </w:t>
                      </w:r>
                      <w:r w:rsidRPr="005D2FAE">
                        <w:t>of</w:t>
                      </w:r>
                      <w:r>
                        <w:t xml:space="preserve"> 1</w:t>
                      </w:r>
                    </w:p>
                    <w:p w:rsidR="00D37BD2" w:rsidRDefault="00D37BD2">
                      <w:pPr>
                        <w:pStyle w:val="Heading3"/>
                      </w:pPr>
                    </w:p>
                    <w:p w:rsidR="00D37BD2" w:rsidRDefault="00D37BD2">
                      <w:pPr>
                        <w:pStyle w:val="Heading3"/>
                        <w:rPr>
                          <w:u w:val="none"/>
                        </w:rPr>
                      </w:pPr>
                      <w:r w:rsidRPr="005D2FAE">
                        <w:rPr>
                          <w:b/>
                          <w:u w:val="none"/>
                        </w:rPr>
                        <w:t>TITLE</w:t>
                      </w:r>
                      <w:r>
                        <w:rPr>
                          <w:u w:val="none"/>
                        </w:rPr>
                        <w:t>:  Duty to Provide a Patient’s Personal and Medical Information Contained in Ambulance Service Records to Authorized Parties</w:t>
                      </w:r>
                    </w:p>
                    <w:p w:rsidR="00D37BD2" w:rsidRDefault="00D37BD2">
                      <w:pPr>
                        <w:rPr>
                          <w:u w:val="single"/>
                        </w:rPr>
                      </w:pPr>
                    </w:p>
                    <w:p w:rsidR="00D37BD2" w:rsidRDefault="00D37BD2">
                      <w:r w:rsidRPr="005D2FAE">
                        <w:rPr>
                          <w:b/>
                          <w:caps/>
                        </w:rPr>
                        <w:t>Supersedes</w:t>
                      </w:r>
                      <w:r w:rsidRPr="005D2FAE">
                        <w:t>:</w:t>
                      </w:r>
                      <w:r w:rsidR="005D2FAE">
                        <w:t xml:space="preserve">  N/A</w:t>
                      </w:r>
                    </w:p>
                  </w:txbxContent>
                </v:textbox>
              </v:shape>
            </w:pict>
          </mc:Fallback>
        </mc:AlternateContent>
      </w: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Default="00D37BD2">
      <w:pPr>
        <w:widowControl/>
        <w:rPr>
          <w:sz w:val="24"/>
          <w:szCs w:val="24"/>
        </w:rPr>
      </w:pPr>
    </w:p>
    <w:p w:rsidR="00D37BD2" w:rsidRPr="005D2FAE" w:rsidRDefault="00D37BD2">
      <w:pPr>
        <w:pStyle w:val="Heading2"/>
        <w:jc w:val="left"/>
        <w:rPr>
          <w:sz w:val="24"/>
        </w:rPr>
      </w:pPr>
      <w:r w:rsidRPr="005D2FAE">
        <w:rPr>
          <w:sz w:val="24"/>
        </w:rPr>
        <w:t>PURPOSE:</w:t>
      </w:r>
    </w:p>
    <w:p w:rsidR="00D37BD2" w:rsidRPr="005D2FAE" w:rsidRDefault="00D37BD2">
      <w:pPr>
        <w:widowControl/>
        <w:spacing w:line="278" w:lineRule="exact"/>
        <w:rPr>
          <w:sz w:val="24"/>
          <w:szCs w:val="24"/>
          <w:u w:val="single"/>
        </w:rPr>
      </w:pPr>
      <w:r w:rsidRPr="005D2FAE">
        <w:rPr>
          <w:sz w:val="24"/>
          <w:szCs w:val="24"/>
          <w:u w:val="single"/>
        </w:rPr>
        <w:t xml:space="preserve"> </w:t>
      </w:r>
      <w:bookmarkStart w:id="0" w:name="_GoBack"/>
      <w:bookmarkEnd w:id="0"/>
    </w:p>
    <w:p w:rsidR="00D37BD2" w:rsidRPr="005D2FAE" w:rsidRDefault="00D37BD2">
      <w:pPr>
        <w:pStyle w:val="BodyText"/>
        <w:rPr>
          <w:rFonts w:cs="Arial"/>
          <w:sz w:val="24"/>
        </w:rPr>
      </w:pPr>
      <w:r w:rsidRPr="005D2FAE">
        <w:rPr>
          <w:rFonts w:cs="Arial"/>
          <w:sz w:val="24"/>
        </w:rPr>
        <w:t>To further define the obligations of ambulance services with regard to release of a patient’s otherwise confidential personal and medical information, pursuant to 105 CMR 170.345(D).</w:t>
      </w:r>
    </w:p>
    <w:p w:rsidR="00D37BD2" w:rsidRPr="005D2FAE" w:rsidRDefault="00D37BD2">
      <w:pPr>
        <w:pStyle w:val="BodyText2"/>
        <w:rPr>
          <w:rFonts w:cs="Arial"/>
        </w:rPr>
      </w:pPr>
    </w:p>
    <w:p w:rsidR="00D37BD2" w:rsidRPr="005D2FAE" w:rsidRDefault="00D37BD2">
      <w:pPr>
        <w:pStyle w:val="Heading2"/>
        <w:jc w:val="left"/>
        <w:rPr>
          <w:sz w:val="24"/>
        </w:rPr>
      </w:pPr>
      <w:r w:rsidRPr="005D2FAE">
        <w:rPr>
          <w:sz w:val="24"/>
        </w:rPr>
        <w:t>BACKGROUND:</w:t>
      </w:r>
    </w:p>
    <w:p w:rsidR="00D37BD2" w:rsidRPr="005D2FAE" w:rsidRDefault="00D37BD2">
      <w:pPr>
        <w:rPr>
          <w:sz w:val="24"/>
          <w:u w:val="single"/>
        </w:rPr>
      </w:pPr>
    </w:p>
    <w:p w:rsidR="00D37BD2" w:rsidRPr="005D2FAE" w:rsidRDefault="00D37BD2">
      <w:pPr>
        <w:pStyle w:val="BodyText"/>
        <w:rPr>
          <w:rFonts w:cs="Arial"/>
          <w:sz w:val="24"/>
        </w:rPr>
      </w:pPr>
      <w:r w:rsidRPr="005D2FAE">
        <w:rPr>
          <w:rFonts w:cs="Arial"/>
          <w:sz w:val="24"/>
        </w:rPr>
        <w:t xml:space="preserve">Under 105 CMR 170.345(D), ambulance services and their EMTs are required to keep a patient’s personal and medical information confidential. However, the regulation also provides for the circumstances in which such information, contained in communications and records maintained by the ambulance service under 105 CMR 170.345, is nonetheless to be released. Such records include, but are not limited to, trip records. Ambulance services are obligated to release a patient’s personal and medical information to the hospital to which the patient is transported, in the form of the trip record, under 105 CMR 170.345(C). In addition, the regulation defines, in 105 CMR 170.345(D)(1) through (4), certain other parties or circumstances as exceptions to the confidentiality rule. </w:t>
      </w:r>
    </w:p>
    <w:p w:rsidR="00D37BD2" w:rsidRPr="005D2FAE" w:rsidRDefault="00D37BD2">
      <w:pPr>
        <w:pStyle w:val="BodyText"/>
        <w:rPr>
          <w:rFonts w:cs="Arial"/>
          <w:sz w:val="24"/>
        </w:rPr>
      </w:pPr>
    </w:p>
    <w:p w:rsidR="00D37BD2" w:rsidRPr="005D2FAE" w:rsidRDefault="00D37BD2">
      <w:pPr>
        <w:pStyle w:val="Heading2"/>
        <w:jc w:val="left"/>
        <w:rPr>
          <w:sz w:val="24"/>
        </w:rPr>
      </w:pPr>
      <w:r w:rsidRPr="005D2FAE">
        <w:rPr>
          <w:sz w:val="24"/>
        </w:rPr>
        <w:t>REQUIREMENT:</w:t>
      </w:r>
    </w:p>
    <w:p w:rsidR="00D37BD2" w:rsidRPr="005D2FAE" w:rsidRDefault="00D37BD2">
      <w:pPr>
        <w:pStyle w:val="BodyText"/>
        <w:rPr>
          <w:rFonts w:cs="Arial"/>
          <w:sz w:val="24"/>
          <w:u w:val="single"/>
        </w:rPr>
      </w:pPr>
    </w:p>
    <w:p w:rsidR="00D37BD2" w:rsidRPr="005D2FAE" w:rsidRDefault="00D37BD2">
      <w:pPr>
        <w:pStyle w:val="BodyText"/>
        <w:rPr>
          <w:rFonts w:cs="Arial"/>
          <w:sz w:val="24"/>
        </w:rPr>
      </w:pPr>
      <w:r w:rsidRPr="005D2FAE">
        <w:rPr>
          <w:rFonts w:cs="Arial"/>
          <w:sz w:val="24"/>
        </w:rPr>
        <w:t>Upon an appropriate request, an ambulance service must release a patient’s personal and medical information, as are contained in communications and records it maintains under 105 CMR 170.345, to the parties listed in 105 CMR 170.345(D)(1) through (4). These parties/circumstances are as follows:</w:t>
      </w:r>
    </w:p>
    <w:p w:rsidR="00D37BD2" w:rsidRPr="005D2FAE" w:rsidRDefault="00D37BD2">
      <w:pPr>
        <w:pStyle w:val="BodyText"/>
        <w:numPr>
          <w:ilvl w:val="0"/>
          <w:numId w:val="1"/>
        </w:numPr>
        <w:rPr>
          <w:rFonts w:cs="Arial"/>
          <w:sz w:val="24"/>
        </w:rPr>
      </w:pPr>
      <w:r w:rsidRPr="005D2FAE">
        <w:rPr>
          <w:rFonts w:cs="Arial"/>
          <w:sz w:val="24"/>
        </w:rPr>
        <w:t xml:space="preserve">the patient; </w:t>
      </w:r>
    </w:p>
    <w:p w:rsidR="00D37BD2" w:rsidRPr="005D2FAE" w:rsidRDefault="00D37BD2">
      <w:pPr>
        <w:pStyle w:val="BodyText"/>
        <w:numPr>
          <w:ilvl w:val="0"/>
          <w:numId w:val="1"/>
        </w:numPr>
        <w:rPr>
          <w:rFonts w:cs="Arial"/>
          <w:sz w:val="24"/>
        </w:rPr>
      </w:pPr>
      <w:r w:rsidRPr="005D2FAE">
        <w:rPr>
          <w:rFonts w:cs="Arial"/>
          <w:sz w:val="24"/>
        </w:rPr>
        <w:t>the patient’s attorney or legally authorized representative, upon written authorization of the patient or the patient’s legally authorized representative;</w:t>
      </w:r>
    </w:p>
    <w:p w:rsidR="00D37BD2" w:rsidRPr="005D2FAE" w:rsidRDefault="00D37BD2">
      <w:pPr>
        <w:pStyle w:val="BodyText"/>
        <w:numPr>
          <w:ilvl w:val="0"/>
          <w:numId w:val="1"/>
        </w:numPr>
        <w:rPr>
          <w:rFonts w:cs="Arial"/>
          <w:sz w:val="24"/>
        </w:rPr>
      </w:pPr>
      <w:r w:rsidRPr="005D2FAE">
        <w:rPr>
          <w:rFonts w:cs="Arial"/>
          <w:sz w:val="24"/>
        </w:rPr>
        <w:t>the Department in connection with a complaint investigation or  pursuant to a Department data reporting requirement; or</w:t>
      </w:r>
    </w:p>
    <w:p w:rsidR="00D37BD2" w:rsidRPr="005D2FAE" w:rsidRDefault="00D37BD2">
      <w:pPr>
        <w:pStyle w:val="BodyText"/>
        <w:numPr>
          <w:ilvl w:val="0"/>
          <w:numId w:val="1"/>
        </w:numPr>
        <w:rPr>
          <w:rFonts w:cs="Arial"/>
          <w:sz w:val="24"/>
        </w:rPr>
      </w:pPr>
      <w:r w:rsidRPr="005D2FAE">
        <w:rPr>
          <w:rFonts w:cs="Arial"/>
          <w:sz w:val="24"/>
        </w:rPr>
        <w:t>upon proper order in connection with a pending judicial or administrative proceeding, and as otherwise required by law.</w:t>
      </w:r>
    </w:p>
    <w:p w:rsidR="00D37BD2" w:rsidRPr="005D2FAE" w:rsidRDefault="00D37BD2">
      <w:pPr>
        <w:pStyle w:val="BodyText"/>
        <w:rPr>
          <w:rFonts w:cs="Arial"/>
          <w:sz w:val="24"/>
        </w:rPr>
      </w:pPr>
    </w:p>
    <w:p w:rsidR="00D37BD2" w:rsidRPr="005D2FAE" w:rsidRDefault="00D37BD2">
      <w:pPr>
        <w:pStyle w:val="BodyText"/>
        <w:rPr>
          <w:rFonts w:cs="Arial"/>
          <w:sz w:val="24"/>
        </w:rPr>
      </w:pPr>
      <w:r w:rsidRPr="005D2FAE">
        <w:rPr>
          <w:rFonts w:cs="Arial"/>
          <w:sz w:val="24"/>
        </w:rPr>
        <w:t xml:space="preserve">Failure of an ambulance service to release such information to these parties when requested will be grounds for enforcement action by the Department. </w:t>
      </w:r>
    </w:p>
    <w:sectPr w:rsidR="00D37BD2" w:rsidRPr="005D2FAE">
      <w:footnotePr>
        <w:numRestart w:val="eachPage"/>
      </w:footnotePr>
      <w:pgSz w:w="12244" w:h="15840"/>
      <w:pgMar w:top="720" w:right="1286" w:bottom="1819" w:left="126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43EE0"/>
    <w:multiLevelType w:val="hybridMultilevel"/>
    <w:tmpl w:val="A134EF24"/>
    <w:lvl w:ilvl="0" w:tplc="77349FF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D2"/>
    <w:rsid w:val="000861D4"/>
    <w:rsid w:val="00486BBA"/>
    <w:rsid w:val="004925D0"/>
    <w:rsid w:val="005D2FAE"/>
    <w:rsid w:val="00D3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outlineLvl w:val="0"/>
    </w:pPr>
    <w:rPr>
      <w:rFonts w:cs="Times New Roman"/>
      <w:sz w:val="24"/>
      <w:szCs w:val="24"/>
      <w:u w:val="single"/>
    </w:rPr>
  </w:style>
  <w:style w:type="paragraph" w:styleId="Heading2">
    <w:name w:val="heading 2"/>
    <w:basedOn w:val="Normal"/>
    <w:next w:val="Normal"/>
    <w:link w:val="Heading2Char"/>
    <w:uiPriority w:val="99"/>
    <w:qFormat/>
    <w:pPr>
      <w:keepNext/>
      <w:jc w:val="center"/>
      <w:outlineLvl w:val="1"/>
    </w:pPr>
    <w:rPr>
      <w:u w:val="single"/>
    </w:rPr>
  </w:style>
  <w:style w:type="paragraph" w:styleId="Heading3">
    <w:name w:val="heading 3"/>
    <w:basedOn w:val="Normal"/>
    <w:next w:val="Normal"/>
    <w:link w:val="Heading3Char"/>
    <w:uiPriority w:val="99"/>
    <w:qFormat/>
    <w:pPr>
      <w:keepNext/>
      <w:outlineLvl w:val="2"/>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pPr>
      <w:widowControl/>
      <w:autoSpaceDE/>
      <w:autoSpaceDN/>
      <w:adjustRightInd/>
    </w:pPr>
    <w:rPr>
      <w:rFonts w:cs="Times New Roman"/>
      <w:sz w:val="22"/>
    </w:rPr>
  </w:style>
  <w:style w:type="character" w:customStyle="1" w:styleId="BodyTextChar">
    <w:name w:val="Body Text Char"/>
    <w:basedOn w:val="DefaultParagraphFont"/>
    <w:link w:val="BodyText"/>
    <w:uiPriority w:val="99"/>
    <w:semiHidden/>
    <w:rPr>
      <w:rFonts w:ascii="Arial" w:hAnsi="Arial" w:cs="Arial"/>
      <w:sz w:val="20"/>
      <w:szCs w:val="20"/>
    </w:rPr>
  </w:style>
  <w:style w:type="paragraph" w:styleId="BodyText2">
    <w:name w:val="Body Text 2"/>
    <w:basedOn w:val="Normal"/>
    <w:link w:val="BodyText2Char"/>
    <w:uiPriority w:val="99"/>
    <w:pPr>
      <w:widowControl/>
      <w:spacing w:before="62" w:line="230" w:lineRule="exact"/>
    </w:pPr>
    <w:rPr>
      <w:rFonts w:cs="Times New Roman"/>
      <w:sz w:val="24"/>
      <w:szCs w:val="22"/>
    </w:rPr>
  </w:style>
  <w:style w:type="character" w:customStyle="1" w:styleId="BodyText2Char">
    <w:name w:val="Body Text 2 Char"/>
    <w:basedOn w:val="DefaultParagraphFont"/>
    <w:link w:val="BodyText2"/>
    <w:uiPriority w:val="99"/>
    <w:semiHidden/>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outlineLvl w:val="0"/>
    </w:pPr>
    <w:rPr>
      <w:rFonts w:cs="Times New Roman"/>
      <w:sz w:val="24"/>
      <w:szCs w:val="24"/>
      <w:u w:val="single"/>
    </w:rPr>
  </w:style>
  <w:style w:type="paragraph" w:styleId="Heading2">
    <w:name w:val="heading 2"/>
    <w:basedOn w:val="Normal"/>
    <w:next w:val="Normal"/>
    <w:link w:val="Heading2Char"/>
    <w:uiPriority w:val="99"/>
    <w:qFormat/>
    <w:pPr>
      <w:keepNext/>
      <w:jc w:val="center"/>
      <w:outlineLvl w:val="1"/>
    </w:pPr>
    <w:rPr>
      <w:u w:val="single"/>
    </w:rPr>
  </w:style>
  <w:style w:type="paragraph" w:styleId="Heading3">
    <w:name w:val="heading 3"/>
    <w:basedOn w:val="Normal"/>
    <w:next w:val="Normal"/>
    <w:link w:val="Heading3Char"/>
    <w:uiPriority w:val="99"/>
    <w:qFormat/>
    <w:pPr>
      <w:keepNext/>
      <w:outlineLvl w:val="2"/>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pPr>
      <w:widowControl/>
      <w:autoSpaceDE/>
      <w:autoSpaceDN/>
      <w:adjustRightInd/>
    </w:pPr>
    <w:rPr>
      <w:rFonts w:cs="Times New Roman"/>
      <w:sz w:val="22"/>
    </w:rPr>
  </w:style>
  <w:style w:type="character" w:customStyle="1" w:styleId="BodyTextChar">
    <w:name w:val="Body Text Char"/>
    <w:basedOn w:val="DefaultParagraphFont"/>
    <w:link w:val="BodyText"/>
    <w:uiPriority w:val="99"/>
    <w:semiHidden/>
    <w:rPr>
      <w:rFonts w:ascii="Arial" w:hAnsi="Arial" w:cs="Arial"/>
      <w:sz w:val="20"/>
      <w:szCs w:val="20"/>
    </w:rPr>
  </w:style>
  <w:style w:type="paragraph" w:styleId="BodyText2">
    <w:name w:val="Body Text 2"/>
    <w:basedOn w:val="Normal"/>
    <w:link w:val="BodyText2Char"/>
    <w:uiPriority w:val="99"/>
    <w:pPr>
      <w:widowControl/>
      <w:spacing w:before="62" w:line="230" w:lineRule="exact"/>
    </w:pPr>
    <w:rPr>
      <w:rFonts w:cs="Times New Roman"/>
      <w:sz w:val="24"/>
      <w:szCs w:val="22"/>
    </w:rPr>
  </w:style>
  <w:style w:type="character" w:customStyle="1" w:styleId="BodyText2Char">
    <w:name w:val="Body Text 2 Char"/>
    <w:basedOn w:val="DefaultParagraphFont"/>
    <w:link w:val="BodyText2"/>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Medical and Personal Patient Information Release Administrative Requirement</vt:lpstr>
    </vt:vector>
  </TitlesOfParts>
  <Company>Department Of Public Health</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and Personal Patient Information Release Administrative Requirement</dc:title>
  <dc:creator>DPH/OEMS</dc:creator>
  <cp:keywords>Administrative Requirement A/R Ambulance Service Patient Personal Medical Protected Information</cp:keywords>
  <cp:lastModifiedBy> </cp:lastModifiedBy>
  <cp:revision>2</cp:revision>
  <cp:lastPrinted>2004-07-27T12:37:00Z</cp:lastPrinted>
  <dcterms:created xsi:type="dcterms:W3CDTF">2018-02-28T17:01:00Z</dcterms:created>
  <dcterms:modified xsi:type="dcterms:W3CDTF">2018-02-28T17:01:00Z</dcterms:modified>
</cp:coreProperties>
</file>