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618" w:rsidRPr="00FD1515" w:rsidRDefault="00782618" w:rsidP="00FD1515">
      <w:pPr>
        <w:keepNext/>
        <w:jc w:val="center"/>
        <w:outlineLvl w:val="0"/>
        <w:rPr>
          <w:rFonts w:ascii="Arial" w:hAnsi="Arial" w:cs="Arial"/>
          <w:b/>
          <w:szCs w:val="20"/>
        </w:rPr>
      </w:pPr>
      <w:bookmarkStart w:id="0" w:name="_GoBack"/>
      <w:bookmarkEnd w:id="0"/>
      <w:smartTag w:uri="urn:schemas-microsoft-com:office:smarttags" w:element="place">
        <w:smartTag w:uri="urn:schemas-microsoft-com:office:smarttags" w:element="State">
          <w:r w:rsidRPr="00FD1515">
            <w:rPr>
              <w:rFonts w:ascii="Arial" w:hAnsi="Arial" w:cs="Arial"/>
              <w:b/>
              <w:szCs w:val="20"/>
            </w:rPr>
            <w:t>Massachusetts</w:t>
          </w:r>
        </w:smartTag>
      </w:smartTag>
      <w:r w:rsidRPr="00FD1515">
        <w:rPr>
          <w:rFonts w:ascii="Arial" w:hAnsi="Arial" w:cs="Arial"/>
          <w:b/>
          <w:szCs w:val="20"/>
        </w:rPr>
        <w:t xml:space="preserve"> Board of Registration in Nursing</w:t>
      </w:r>
    </w:p>
    <w:p w:rsidR="00782618" w:rsidRDefault="00782618" w:rsidP="00FD1515">
      <w:pPr>
        <w:jc w:val="center"/>
        <w:rPr>
          <w:rFonts w:ascii="Arial" w:hAnsi="Arial" w:cs="Arial"/>
          <w:szCs w:val="20"/>
        </w:rPr>
      </w:pPr>
      <w:r w:rsidRPr="00FD1515">
        <w:rPr>
          <w:rFonts w:ascii="Arial" w:hAnsi="Arial" w:cs="Arial"/>
          <w:szCs w:val="20"/>
        </w:rPr>
        <w:t>Advisory Ruling on Nursing Practice</w:t>
      </w:r>
    </w:p>
    <w:p w:rsidR="00782618" w:rsidRDefault="00782618" w:rsidP="00FD1515">
      <w:pPr>
        <w:rPr>
          <w:rFonts w:ascii="Arial" w:hAnsi="Arial" w:cs="Arial"/>
          <w:szCs w:val="20"/>
        </w:rPr>
      </w:pPr>
    </w:p>
    <w:p w:rsidR="00782618" w:rsidRDefault="00782618" w:rsidP="00FD1515">
      <w:pPr>
        <w:rPr>
          <w:rFonts w:ascii="Arial" w:hAnsi="Arial" w:cs="Arial"/>
          <w:b/>
          <w:szCs w:val="20"/>
        </w:rPr>
      </w:pPr>
    </w:p>
    <w:p w:rsidR="00782618" w:rsidRPr="00BE5A44" w:rsidRDefault="00782618" w:rsidP="00BE5A44">
      <w:pPr>
        <w:rPr>
          <w:rFonts w:ascii="Arial" w:hAnsi="Arial" w:cs="Arial"/>
          <w:szCs w:val="20"/>
        </w:rPr>
      </w:pPr>
      <w:r w:rsidRPr="00BE5A44">
        <w:rPr>
          <w:rFonts w:ascii="Arial" w:hAnsi="Arial" w:cs="Arial"/>
          <w:b/>
          <w:szCs w:val="20"/>
        </w:rPr>
        <w:t xml:space="preserve">Title: </w:t>
      </w:r>
      <w:r w:rsidRPr="00BE5A44">
        <w:rPr>
          <w:rFonts w:ascii="Arial" w:hAnsi="Arial" w:cs="Arial"/>
          <w:szCs w:val="20"/>
        </w:rPr>
        <w:t xml:space="preserve">Administration of Immunizing Agents and Vaccines </w:t>
      </w:r>
    </w:p>
    <w:p w:rsidR="00782618" w:rsidRPr="00BE5A44" w:rsidRDefault="00782618" w:rsidP="00BE5A44">
      <w:pPr>
        <w:rPr>
          <w:rFonts w:ascii="Arial" w:hAnsi="Arial" w:cs="Arial"/>
          <w:b/>
          <w:szCs w:val="20"/>
        </w:rPr>
      </w:pPr>
    </w:p>
    <w:p w:rsidR="00782618" w:rsidRPr="00BE5A44" w:rsidRDefault="00782618" w:rsidP="00BE5A44">
      <w:pPr>
        <w:rPr>
          <w:rFonts w:ascii="Arial" w:hAnsi="Arial" w:cs="Arial"/>
          <w:szCs w:val="20"/>
        </w:rPr>
      </w:pPr>
      <w:r w:rsidRPr="00BE5A44">
        <w:rPr>
          <w:rFonts w:ascii="Arial" w:hAnsi="Arial" w:cs="Arial"/>
          <w:b/>
          <w:szCs w:val="20"/>
        </w:rPr>
        <w:t xml:space="preserve">Advisory Ruling Number: </w:t>
      </w:r>
      <w:r w:rsidRPr="00BE5A44">
        <w:rPr>
          <w:rFonts w:ascii="Arial" w:hAnsi="Arial" w:cs="Arial"/>
          <w:szCs w:val="20"/>
        </w:rPr>
        <w:t>9804</w:t>
      </w:r>
    </w:p>
    <w:p w:rsidR="00782618" w:rsidRPr="00BE5A44" w:rsidRDefault="00782618" w:rsidP="00BE5A44">
      <w:pPr>
        <w:rPr>
          <w:rFonts w:ascii="Arial" w:hAnsi="Arial" w:cs="Arial"/>
          <w:b/>
          <w:szCs w:val="20"/>
        </w:rPr>
      </w:pPr>
    </w:p>
    <w:p w:rsidR="00782618" w:rsidRPr="00BE5A44" w:rsidRDefault="00782618" w:rsidP="00BE5A44">
      <w:pPr>
        <w:rPr>
          <w:rFonts w:ascii="Arial" w:hAnsi="Arial" w:cs="Arial"/>
          <w:b/>
          <w:szCs w:val="20"/>
        </w:rPr>
      </w:pPr>
      <w:r w:rsidRPr="00BE5A44">
        <w:rPr>
          <w:rFonts w:ascii="Arial" w:hAnsi="Arial" w:cs="Arial"/>
          <w:b/>
          <w:szCs w:val="20"/>
        </w:rPr>
        <w:t>Authority:</w:t>
      </w:r>
    </w:p>
    <w:p w:rsidR="00782618" w:rsidRPr="00BE5A44" w:rsidRDefault="00782618" w:rsidP="00BE5A44">
      <w:pPr>
        <w:rPr>
          <w:rFonts w:ascii="Arial" w:hAnsi="Arial" w:cs="Arial"/>
          <w:szCs w:val="20"/>
        </w:rPr>
      </w:pPr>
      <w:r w:rsidRPr="00BE5A44">
        <w:rPr>
          <w:rFonts w:ascii="Arial" w:hAnsi="Arial" w:cs="Arial"/>
          <w:szCs w:val="20"/>
        </w:rPr>
        <w:t>The Massachusetts Board of Registration in Nursing (Board) is created and authorized by Massachusetts General Laws (M.G.L.) c. 13, §§ 13, 14, 14A, 15 and 15D, and G.L. c. 112, §§ 74 through 81C to protect the health, safety, and welfare of the citizens of the Commonwealth through the regulation of nursing practice and education.  In addition, M.G.L. c.30A, § 8 authorizes the Board to make advisory rulings with respect to the applicability to any person, property or state of facts of any statute or regulation enforced or administered by the Board.  Each nurse is required to practice in accordance with accepted standards of practice and is responsible and accountable for his or her nursing judgments, actions, and competency.  The Board’s regulation at 244 CMR 9.03(6) requires all nurses to comply with any other law and regulation related to licensure and practice.</w:t>
      </w:r>
    </w:p>
    <w:p w:rsidR="00782618" w:rsidRPr="00BE5A44" w:rsidRDefault="00782618" w:rsidP="00BE5A44">
      <w:pPr>
        <w:rPr>
          <w:rFonts w:ascii="Arial" w:hAnsi="Arial" w:cs="Arial"/>
          <w:szCs w:val="20"/>
        </w:rPr>
      </w:pPr>
    </w:p>
    <w:p w:rsidR="00782618" w:rsidRPr="00BE5A44" w:rsidRDefault="00782618" w:rsidP="00BE5A44">
      <w:pPr>
        <w:rPr>
          <w:rFonts w:ascii="Arial" w:hAnsi="Arial" w:cs="Arial"/>
          <w:szCs w:val="20"/>
        </w:rPr>
      </w:pPr>
      <w:r w:rsidRPr="00BE5A44">
        <w:rPr>
          <w:rFonts w:ascii="Arial" w:hAnsi="Arial" w:cs="Arial"/>
          <w:b/>
          <w:szCs w:val="20"/>
        </w:rPr>
        <w:t xml:space="preserve">Date Issued: </w:t>
      </w:r>
      <w:r w:rsidRPr="00BE5A44">
        <w:rPr>
          <w:rFonts w:ascii="Arial" w:hAnsi="Arial" w:cs="Arial"/>
          <w:szCs w:val="20"/>
        </w:rPr>
        <w:t>May 13, 1998</w:t>
      </w:r>
    </w:p>
    <w:p w:rsidR="00782618" w:rsidRPr="00BE5A44" w:rsidRDefault="00782618" w:rsidP="00BE5A44">
      <w:pPr>
        <w:rPr>
          <w:rFonts w:ascii="Arial" w:hAnsi="Arial" w:cs="Arial"/>
          <w:szCs w:val="20"/>
        </w:rPr>
      </w:pPr>
    </w:p>
    <w:p w:rsidR="00782618" w:rsidRPr="00BE5A44" w:rsidRDefault="00782618" w:rsidP="00BE5A44">
      <w:pPr>
        <w:rPr>
          <w:rFonts w:ascii="Arial" w:hAnsi="Arial" w:cs="Arial"/>
          <w:szCs w:val="20"/>
        </w:rPr>
      </w:pPr>
      <w:r w:rsidRPr="00BE5A44">
        <w:rPr>
          <w:rFonts w:ascii="Arial" w:hAnsi="Arial" w:cs="Arial"/>
          <w:b/>
          <w:szCs w:val="20"/>
        </w:rPr>
        <w:t>Date Revised:</w:t>
      </w:r>
      <w:r w:rsidRPr="00BE5A44">
        <w:rPr>
          <w:rFonts w:ascii="Arial" w:hAnsi="Arial" w:cs="Arial"/>
          <w:szCs w:val="20"/>
        </w:rPr>
        <w:t xml:space="preserve"> January 12, 2000; May 8, 2002; March 14, 2007; November 14, 2012; September 9, 2015 </w:t>
      </w:r>
    </w:p>
    <w:p w:rsidR="00782618" w:rsidRPr="00BE5A44" w:rsidRDefault="00782618" w:rsidP="00BE5A44">
      <w:pPr>
        <w:rPr>
          <w:rFonts w:ascii="Arial" w:hAnsi="Arial" w:cs="Arial"/>
          <w:szCs w:val="20"/>
        </w:rPr>
      </w:pPr>
    </w:p>
    <w:p w:rsidR="00782618" w:rsidRPr="00BE5A44" w:rsidRDefault="00782618" w:rsidP="00BE5A44">
      <w:pPr>
        <w:rPr>
          <w:rFonts w:ascii="Arial" w:hAnsi="Arial" w:cs="Arial"/>
          <w:b/>
          <w:szCs w:val="20"/>
        </w:rPr>
      </w:pPr>
      <w:r w:rsidRPr="00BE5A44">
        <w:rPr>
          <w:rFonts w:ascii="Arial" w:hAnsi="Arial" w:cs="Arial"/>
          <w:b/>
          <w:szCs w:val="20"/>
        </w:rPr>
        <w:t>Scope of Practice:</w:t>
      </w:r>
    </w:p>
    <w:p w:rsidR="00782618" w:rsidRPr="00BE5A44" w:rsidRDefault="00782618" w:rsidP="00BE5A44">
      <w:pPr>
        <w:rPr>
          <w:rFonts w:ascii="Arial" w:hAnsi="Arial" w:cs="Arial"/>
          <w:szCs w:val="20"/>
        </w:rPr>
      </w:pPr>
      <w:r w:rsidRPr="00BE5A44">
        <w:rPr>
          <w:rFonts w:ascii="Arial" w:hAnsi="Arial" w:cs="Arial"/>
          <w:szCs w:val="20"/>
        </w:rPr>
        <w:t xml:space="preserve">Registered Nurse and Licensed Practical Nurse </w:t>
      </w:r>
    </w:p>
    <w:p w:rsidR="00782618" w:rsidRPr="00BE5A44" w:rsidRDefault="00782618" w:rsidP="00BE5A44">
      <w:pPr>
        <w:rPr>
          <w:rFonts w:ascii="Arial" w:hAnsi="Arial" w:cs="Arial"/>
          <w:b/>
          <w:szCs w:val="20"/>
        </w:rPr>
      </w:pPr>
    </w:p>
    <w:p w:rsidR="00782618" w:rsidRPr="00BE5A44" w:rsidRDefault="00782618" w:rsidP="00BE5A44">
      <w:pPr>
        <w:rPr>
          <w:rFonts w:ascii="Arial" w:hAnsi="Arial" w:cs="Arial"/>
          <w:b/>
          <w:szCs w:val="20"/>
        </w:rPr>
      </w:pPr>
      <w:r w:rsidRPr="00BE5A44">
        <w:rPr>
          <w:rFonts w:ascii="Arial" w:hAnsi="Arial" w:cs="Arial"/>
          <w:b/>
          <w:szCs w:val="20"/>
        </w:rPr>
        <w:t>Purpose:</w:t>
      </w:r>
    </w:p>
    <w:p w:rsidR="00782618" w:rsidRPr="00BE5A44" w:rsidRDefault="00782618" w:rsidP="00BE5A44">
      <w:pPr>
        <w:rPr>
          <w:rFonts w:ascii="Arial" w:hAnsi="Arial" w:cs="Arial"/>
          <w:szCs w:val="20"/>
        </w:rPr>
      </w:pPr>
      <w:r w:rsidRPr="00BE5A44">
        <w:rPr>
          <w:rFonts w:ascii="Arial" w:hAnsi="Arial" w:cs="Arial"/>
          <w:szCs w:val="20"/>
        </w:rPr>
        <w:t xml:space="preserve">To guide Registered Nurse and Licensed Practical Nurse ("nurse") practice for administering immunizing agents and vaccines to any member of the public in any and all settings. </w:t>
      </w:r>
    </w:p>
    <w:p w:rsidR="00782618" w:rsidRPr="00BE5A44" w:rsidRDefault="00782618" w:rsidP="00BE5A44">
      <w:pPr>
        <w:rPr>
          <w:rFonts w:ascii="Arial" w:hAnsi="Arial" w:cs="Arial"/>
          <w:szCs w:val="20"/>
        </w:rPr>
      </w:pPr>
    </w:p>
    <w:p w:rsidR="00782618" w:rsidRPr="00BE5A44" w:rsidRDefault="00782618" w:rsidP="00BE5A44">
      <w:pPr>
        <w:rPr>
          <w:rFonts w:ascii="Arial" w:hAnsi="Arial" w:cs="Arial"/>
          <w:b/>
          <w:szCs w:val="20"/>
        </w:rPr>
      </w:pPr>
      <w:r w:rsidRPr="00BE5A44">
        <w:rPr>
          <w:rFonts w:ascii="Arial" w:hAnsi="Arial" w:cs="Arial"/>
          <w:b/>
          <w:szCs w:val="20"/>
        </w:rPr>
        <w:t>Advisory:</w:t>
      </w:r>
    </w:p>
    <w:p w:rsidR="00782618" w:rsidRPr="00BE5A44" w:rsidRDefault="00782618" w:rsidP="00BE5A44">
      <w:pPr>
        <w:rPr>
          <w:rFonts w:ascii="Arial" w:hAnsi="Arial" w:cs="Arial"/>
          <w:szCs w:val="20"/>
        </w:rPr>
      </w:pPr>
      <w:r w:rsidRPr="00BE5A44">
        <w:rPr>
          <w:rFonts w:ascii="Arial" w:hAnsi="Arial" w:cs="Arial"/>
        </w:rPr>
        <w:t xml:space="preserve">It is within the scope of the Registered Nurse and Licensed Practical Nurse to administer immunizing agents and vaccines.  </w:t>
      </w:r>
      <w:r w:rsidRPr="00BE5A44">
        <w:rPr>
          <w:rFonts w:ascii="Arial" w:hAnsi="Arial" w:cs="Arial"/>
          <w:szCs w:val="20"/>
        </w:rPr>
        <w:t>A nurse may only assume duties and responsibilities for administering immunizing agents and vaccines after acquiring and maintaining necessary knowledge, skills and abilities including:</w:t>
      </w:r>
    </w:p>
    <w:p w:rsidR="00782618" w:rsidRPr="00BE5A44" w:rsidRDefault="00782618" w:rsidP="00BE5A44">
      <w:pPr>
        <w:numPr>
          <w:ilvl w:val="0"/>
          <w:numId w:val="2"/>
        </w:numPr>
        <w:rPr>
          <w:rFonts w:ascii="Arial" w:hAnsi="Arial" w:cs="Arial"/>
        </w:rPr>
      </w:pPr>
      <w:r w:rsidRPr="00BE5A44">
        <w:rPr>
          <w:rFonts w:ascii="Arial" w:hAnsi="Arial" w:cs="Arial"/>
        </w:rPr>
        <w:t>Storage</w:t>
      </w:r>
    </w:p>
    <w:p w:rsidR="00782618" w:rsidRPr="00BE5A44" w:rsidRDefault="00782618" w:rsidP="00BE5A44">
      <w:pPr>
        <w:numPr>
          <w:ilvl w:val="0"/>
          <w:numId w:val="2"/>
        </w:numPr>
        <w:rPr>
          <w:rFonts w:ascii="Arial" w:hAnsi="Arial" w:cs="Arial"/>
        </w:rPr>
      </w:pPr>
      <w:r w:rsidRPr="00BE5A44">
        <w:rPr>
          <w:rFonts w:ascii="Arial" w:hAnsi="Arial" w:cs="Arial"/>
        </w:rPr>
        <w:t>Handling</w:t>
      </w:r>
    </w:p>
    <w:p w:rsidR="00782618" w:rsidRPr="00BE5A44" w:rsidRDefault="00782618" w:rsidP="00BE5A44">
      <w:pPr>
        <w:numPr>
          <w:ilvl w:val="0"/>
          <w:numId w:val="2"/>
        </w:numPr>
        <w:rPr>
          <w:rFonts w:ascii="Arial" w:hAnsi="Arial" w:cs="Arial"/>
        </w:rPr>
      </w:pPr>
      <w:r w:rsidRPr="00BE5A44">
        <w:rPr>
          <w:rFonts w:ascii="Arial" w:hAnsi="Arial" w:cs="Arial"/>
        </w:rPr>
        <w:t>Administration</w:t>
      </w:r>
    </w:p>
    <w:p w:rsidR="00782618" w:rsidRPr="00BE5A44" w:rsidRDefault="00782618" w:rsidP="00BE5A44">
      <w:pPr>
        <w:numPr>
          <w:ilvl w:val="0"/>
          <w:numId w:val="2"/>
        </w:numPr>
        <w:rPr>
          <w:rFonts w:ascii="Arial" w:hAnsi="Arial" w:cs="Arial"/>
        </w:rPr>
      </w:pPr>
      <w:r w:rsidRPr="00BE5A44">
        <w:rPr>
          <w:rFonts w:ascii="Arial" w:hAnsi="Arial" w:cs="Arial"/>
        </w:rPr>
        <w:t>Contraindications and/or precautions</w:t>
      </w:r>
    </w:p>
    <w:p w:rsidR="00782618" w:rsidRPr="00BE5A44" w:rsidRDefault="00782618" w:rsidP="00BE5A44">
      <w:pPr>
        <w:numPr>
          <w:ilvl w:val="0"/>
          <w:numId w:val="2"/>
        </w:numPr>
        <w:rPr>
          <w:rFonts w:ascii="Arial" w:hAnsi="Arial" w:cs="Arial"/>
        </w:rPr>
      </w:pPr>
      <w:r w:rsidRPr="00BE5A44">
        <w:rPr>
          <w:rFonts w:ascii="Arial" w:hAnsi="Arial" w:cs="Arial"/>
        </w:rPr>
        <w:t>Assessment and management of possible local, systemic, and allergic reactions</w:t>
      </w:r>
    </w:p>
    <w:p w:rsidR="00782618" w:rsidRPr="00BE5A44" w:rsidRDefault="00782618" w:rsidP="00BE5A44">
      <w:pPr>
        <w:numPr>
          <w:ilvl w:val="0"/>
          <w:numId w:val="2"/>
        </w:numPr>
        <w:rPr>
          <w:rFonts w:ascii="Arial" w:hAnsi="Arial" w:cs="Arial"/>
        </w:rPr>
      </w:pPr>
      <w:r w:rsidRPr="00BE5A44">
        <w:rPr>
          <w:rFonts w:ascii="Arial" w:hAnsi="Arial" w:cs="Arial"/>
        </w:rPr>
        <w:t>Adverse effects reporting</w:t>
      </w:r>
    </w:p>
    <w:p w:rsidR="00782618" w:rsidRPr="00BE5A44" w:rsidRDefault="00782618" w:rsidP="00BE5A44">
      <w:pPr>
        <w:numPr>
          <w:ilvl w:val="0"/>
          <w:numId w:val="2"/>
        </w:numPr>
        <w:rPr>
          <w:rFonts w:ascii="Arial" w:hAnsi="Arial" w:cs="Arial"/>
          <w:szCs w:val="20"/>
        </w:rPr>
      </w:pPr>
      <w:r w:rsidRPr="00BE5A44">
        <w:rPr>
          <w:rFonts w:ascii="Arial" w:hAnsi="Arial" w:cs="Arial"/>
        </w:rPr>
        <w:t>Documentation</w:t>
      </w:r>
    </w:p>
    <w:p w:rsidR="00782618" w:rsidRPr="00BE5A44" w:rsidRDefault="00782618" w:rsidP="00BE5A44">
      <w:pPr>
        <w:rPr>
          <w:rFonts w:ascii="Arial" w:hAnsi="Arial" w:cs="Arial"/>
          <w:szCs w:val="20"/>
        </w:rPr>
      </w:pPr>
    </w:p>
    <w:p w:rsidR="00782618" w:rsidRPr="00BE5A44" w:rsidRDefault="00782618" w:rsidP="00BE5A44">
      <w:pPr>
        <w:rPr>
          <w:rFonts w:ascii="Arial" w:hAnsi="Arial" w:cs="Arial"/>
        </w:rPr>
      </w:pPr>
      <w:r w:rsidRPr="00BE5A44">
        <w:rPr>
          <w:rFonts w:ascii="Arial" w:hAnsi="Arial" w:cs="Arial"/>
          <w:szCs w:val="20"/>
        </w:rPr>
        <w:t>The nurse is responsible and accountable for nursing judgments, actions and competency related to administering immunizing agents and vaccines.</w:t>
      </w:r>
      <w:r w:rsidRPr="00BE5A44">
        <w:rPr>
          <w:rFonts w:ascii="Arial" w:hAnsi="Arial" w:cs="Arial"/>
        </w:rPr>
        <w:t xml:space="preserve">  A nurse will administer immunizing agents and vaccines only as directed by an authorized prescriber. </w:t>
      </w:r>
    </w:p>
    <w:p w:rsidR="00782618" w:rsidRPr="00BE5A44" w:rsidRDefault="00782618" w:rsidP="00BE5A44">
      <w:pPr>
        <w:rPr>
          <w:rFonts w:ascii="Arial" w:hAnsi="Arial" w:cs="Arial"/>
        </w:rPr>
      </w:pPr>
    </w:p>
    <w:p w:rsidR="00782618" w:rsidRPr="00BE5A44" w:rsidRDefault="00782618" w:rsidP="00BE5A44">
      <w:pPr>
        <w:rPr>
          <w:rFonts w:ascii="Arial" w:hAnsi="Arial" w:cs="Arial"/>
        </w:rPr>
      </w:pPr>
      <w:r w:rsidRPr="00BE5A44">
        <w:rPr>
          <w:rFonts w:ascii="Arial" w:hAnsi="Arial" w:cs="Arial"/>
        </w:rPr>
        <w:t xml:space="preserve">The nurse will document the handling, administration and destruction of immunizing agents and vaccines in accordance with all federal and state laws and regulations, and in a manner consistent with accepted standards of practice.  </w:t>
      </w:r>
    </w:p>
    <w:p w:rsidR="00782618" w:rsidRPr="00BE5A44" w:rsidRDefault="00782618" w:rsidP="00BE5A44">
      <w:pPr>
        <w:rPr>
          <w:rFonts w:ascii="Arial" w:hAnsi="Arial" w:cs="Arial"/>
        </w:rPr>
      </w:pPr>
    </w:p>
    <w:p w:rsidR="00782618" w:rsidRPr="00BE5A44" w:rsidRDefault="00782618" w:rsidP="00BE5A44">
      <w:pPr>
        <w:rPr>
          <w:rFonts w:ascii="Arial" w:hAnsi="Arial" w:cs="Arial"/>
        </w:rPr>
      </w:pPr>
      <w:r w:rsidRPr="00BE5A44">
        <w:rPr>
          <w:rFonts w:ascii="Arial" w:hAnsi="Arial" w:cs="Arial"/>
        </w:rPr>
        <w:t xml:space="preserve">Immunizing agents and vaccines may be administered only under the following provisions.  Prior to administering an immunizing agent or vaccine the nurse must: </w:t>
      </w:r>
    </w:p>
    <w:p w:rsidR="00782618" w:rsidRPr="00BE5A44" w:rsidRDefault="00782618" w:rsidP="00BE5A44">
      <w:pPr>
        <w:numPr>
          <w:ilvl w:val="0"/>
          <w:numId w:val="1"/>
        </w:numPr>
        <w:rPr>
          <w:rFonts w:ascii="Arial" w:hAnsi="Arial" w:cs="Arial"/>
        </w:rPr>
      </w:pPr>
      <w:r w:rsidRPr="00BE5A44">
        <w:rPr>
          <w:rFonts w:ascii="Arial" w:hAnsi="Arial" w:cs="Arial"/>
        </w:rPr>
        <w:t xml:space="preserve">Complete an assessment of the patient, including an allergy history </w:t>
      </w:r>
    </w:p>
    <w:p w:rsidR="00782618" w:rsidRPr="00BE5A44" w:rsidRDefault="00782618" w:rsidP="00BE5A44">
      <w:pPr>
        <w:numPr>
          <w:ilvl w:val="0"/>
          <w:numId w:val="1"/>
        </w:numPr>
        <w:rPr>
          <w:rFonts w:ascii="Arial" w:hAnsi="Arial" w:cs="Arial"/>
        </w:rPr>
      </w:pPr>
      <w:r w:rsidRPr="00BE5A44">
        <w:rPr>
          <w:rFonts w:ascii="Arial" w:hAnsi="Arial" w:cs="Arial"/>
        </w:rPr>
        <w:t>Verify the orders from a duly authorized prescriber.  A nurse may administer an immunizing agent and vaccine from a Standing Order Protocol</w:t>
      </w:r>
      <w:r w:rsidRPr="00BE5A44">
        <w:rPr>
          <w:rFonts w:ascii="Arial" w:hAnsi="Arial" w:cs="Arial"/>
          <w:vertAlign w:val="superscript"/>
        </w:rPr>
        <w:footnoteReference w:id="1"/>
      </w:r>
      <w:r w:rsidRPr="00BE5A44">
        <w:rPr>
          <w:rFonts w:ascii="Arial" w:hAnsi="Arial" w:cs="Arial"/>
        </w:rPr>
        <w:t xml:space="preserve"> which must include:</w:t>
      </w:r>
    </w:p>
    <w:p w:rsidR="00782618" w:rsidRPr="00BE5A44" w:rsidRDefault="00782618" w:rsidP="00BE5A44">
      <w:pPr>
        <w:numPr>
          <w:ilvl w:val="1"/>
          <w:numId w:val="1"/>
        </w:numPr>
        <w:rPr>
          <w:rFonts w:ascii="Arial" w:hAnsi="Arial" w:cs="Arial"/>
        </w:rPr>
      </w:pPr>
      <w:r w:rsidRPr="00BE5A44">
        <w:rPr>
          <w:rFonts w:ascii="Arial" w:hAnsi="Arial" w:cs="Arial"/>
        </w:rPr>
        <w:t>The name(s) of the immunizing agent or vaccine to be administered;</w:t>
      </w:r>
    </w:p>
    <w:p w:rsidR="00782618" w:rsidRPr="00BE5A44" w:rsidRDefault="00782618" w:rsidP="00BE5A44">
      <w:pPr>
        <w:numPr>
          <w:ilvl w:val="1"/>
          <w:numId w:val="1"/>
        </w:numPr>
        <w:rPr>
          <w:rFonts w:ascii="Arial" w:hAnsi="Arial" w:cs="Arial"/>
        </w:rPr>
      </w:pPr>
      <w:r w:rsidRPr="00BE5A44">
        <w:rPr>
          <w:rFonts w:ascii="Arial" w:hAnsi="Arial" w:cs="Arial"/>
        </w:rPr>
        <w:t>The dose to be administered;</w:t>
      </w:r>
    </w:p>
    <w:p w:rsidR="00782618" w:rsidRPr="00BE5A44" w:rsidRDefault="00782618" w:rsidP="00BE5A44">
      <w:pPr>
        <w:numPr>
          <w:ilvl w:val="1"/>
          <w:numId w:val="1"/>
        </w:numPr>
        <w:rPr>
          <w:rFonts w:ascii="Arial" w:hAnsi="Arial" w:cs="Arial"/>
        </w:rPr>
      </w:pPr>
      <w:r w:rsidRPr="00BE5A44">
        <w:rPr>
          <w:rFonts w:ascii="Arial" w:hAnsi="Arial" w:cs="Arial"/>
        </w:rPr>
        <w:t>The route or method of administration;</w:t>
      </w:r>
    </w:p>
    <w:p w:rsidR="00782618" w:rsidRPr="00BE5A44" w:rsidRDefault="00782618" w:rsidP="00BE5A44">
      <w:pPr>
        <w:numPr>
          <w:ilvl w:val="1"/>
          <w:numId w:val="1"/>
        </w:numPr>
        <w:rPr>
          <w:rFonts w:ascii="Arial" w:hAnsi="Arial" w:cs="Arial"/>
        </w:rPr>
      </w:pPr>
      <w:r w:rsidRPr="00BE5A44">
        <w:rPr>
          <w:rFonts w:ascii="Arial" w:hAnsi="Arial" w:cs="Arial"/>
        </w:rPr>
        <w:t>Inclusion/exclusion criteria to identify (i.e., indications, contraindications, precautions)</w:t>
      </w:r>
    </w:p>
    <w:p w:rsidR="00782618" w:rsidRPr="00BE5A44" w:rsidRDefault="00782618" w:rsidP="00BE5A44">
      <w:pPr>
        <w:numPr>
          <w:ilvl w:val="1"/>
          <w:numId w:val="1"/>
        </w:numPr>
        <w:rPr>
          <w:rFonts w:ascii="Arial" w:hAnsi="Arial" w:cs="Arial"/>
        </w:rPr>
      </w:pPr>
      <w:r w:rsidRPr="00BE5A44">
        <w:rPr>
          <w:rFonts w:ascii="Arial" w:hAnsi="Arial" w:cs="Arial"/>
        </w:rPr>
        <w:t xml:space="preserve">The signature or approval by a duly authorized prescriber either directly on the standing order or on file with the facility/agency/program providing individual or mass immunization or vaccinations  </w:t>
      </w:r>
    </w:p>
    <w:p w:rsidR="00782618" w:rsidRPr="00BE5A44" w:rsidRDefault="00782618" w:rsidP="00BE5A44">
      <w:pPr>
        <w:numPr>
          <w:ilvl w:val="0"/>
          <w:numId w:val="1"/>
        </w:numPr>
        <w:rPr>
          <w:rFonts w:ascii="Arial" w:hAnsi="Arial" w:cs="Arial"/>
          <w:strike/>
        </w:rPr>
      </w:pPr>
      <w:r w:rsidRPr="00BE5A44">
        <w:rPr>
          <w:rFonts w:ascii="Arial" w:hAnsi="Arial" w:cs="Arial"/>
        </w:rPr>
        <w:t>Provide education to the patient, parent or guardian about the immunizing agent or vaccine including the risks and benefits of accepting or refusing</w:t>
      </w:r>
      <w:r w:rsidRPr="00BE5A44">
        <w:rPr>
          <w:rFonts w:ascii="Arial" w:hAnsi="Arial" w:cs="Arial"/>
          <w:strike/>
        </w:rPr>
        <w:t xml:space="preserve"> </w:t>
      </w:r>
    </w:p>
    <w:p w:rsidR="00782618" w:rsidRPr="00BE5A44" w:rsidRDefault="00782618" w:rsidP="00BE5A44">
      <w:pPr>
        <w:numPr>
          <w:ilvl w:val="0"/>
          <w:numId w:val="1"/>
        </w:numPr>
        <w:rPr>
          <w:rFonts w:ascii="Arial" w:hAnsi="Arial" w:cs="Arial"/>
        </w:rPr>
      </w:pPr>
      <w:r w:rsidRPr="00BE5A44">
        <w:rPr>
          <w:rFonts w:ascii="Arial" w:hAnsi="Arial" w:cs="Arial"/>
        </w:rPr>
        <w:t xml:space="preserve">Obtain parental or guardian permission when administering to a child, in compliance with local, state and federal requirements </w:t>
      </w:r>
    </w:p>
    <w:p w:rsidR="00782618" w:rsidRPr="00BE5A44" w:rsidRDefault="00782618" w:rsidP="00BE5A44">
      <w:pPr>
        <w:numPr>
          <w:ilvl w:val="0"/>
          <w:numId w:val="8"/>
        </w:numPr>
        <w:rPr>
          <w:rFonts w:ascii="Arial" w:hAnsi="Arial" w:cs="Arial"/>
        </w:rPr>
      </w:pPr>
      <w:r w:rsidRPr="00BE5A44">
        <w:rPr>
          <w:rFonts w:ascii="Arial" w:hAnsi="Arial" w:cs="Arial"/>
        </w:rPr>
        <w:t>Comply with state MIIS reporting requirements (see resources below for MIIS requirements).</w:t>
      </w:r>
      <w:r w:rsidRPr="00BE5A44">
        <w:rPr>
          <w:szCs w:val="20"/>
        </w:rPr>
        <w:t xml:space="preserve">  </w:t>
      </w:r>
      <w:r w:rsidRPr="00BE5A44">
        <w:rPr>
          <w:rFonts w:ascii="Arial" w:hAnsi="Arial" w:cs="Arial"/>
        </w:rPr>
        <w:t xml:space="preserve">Among the relevant state laws, </w:t>
      </w:r>
      <w:hyperlink r:id="rId8" w:history="1">
        <w:r w:rsidRPr="00BE5A44">
          <w:rPr>
            <w:rFonts w:ascii="Arial" w:hAnsi="Arial" w:cs="Arial"/>
            <w:color w:val="17365D"/>
            <w:u w:val="single"/>
          </w:rPr>
          <w:t>MGL c. 111, § 24M</w:t>
        </w:r>
      </w:hyperlink>
      <w:r w:rsidRPr="00BE5A44">
        <w:rPr>
          <w:rFonts w:ascii="Arial" w:hAnsi="Arial" w:cs="Arial"/>
          <w:color w:val="17365D"/>
        </w:rPr>
        <w:t xml:space="preserve"> </w:t>
      </w:r>
      <w:r w:rsidRPr="00BE5A44">
        <w:rPr>
          <w:rFonts w:ascii="Arial" w:hAnsi="Arial" w:cs="Arial"/>
        </w:rPr>
        <w:t xml:space="preserve">specifies Massachusetts Immunization Information System (MIIS) reporting requirements.  </w:t>
      </w:r>
    </w:p>
    <w:p w:rsidR="00782618" w:rsidRPr="00BE5A44" w:rsidRDefault="00782618" w:rsidP="00BE5A44">
      <w:pPr>
        <w:rPr>
          <w:rFonts w:ascii="Arial" w:hAnsi="Arial" w:cs="Arial"/>
        </w:rPr>
      </w:pPr>
    </w:p>
    <w:p w:rsidR="00782618" w:rsidRPr="00BE5A44" w:rsidRDefault="00782618" w:rsidP="00BE5A44">
      <w:pPr>
        <w:rPr>
          <w:rFonts w:ascii="Arial" w:hAnsi="Arial" w:cs="Arial"/>
        </w:rPr>
      </w:pPr>
      <w:r w:rsidRPr="00BE5A44">
        <w:rPr>
          <w:rFonts w:ascii="Arial" w:hAnsi="Arial" w:cs="Arial"/>
        </w:rPr>
        <w:t xml:space="preserve">Among the relevant federal laws, </w:t>
      </w:r>
      <w:hyperlink r:id="rId9" w:history="1">
        <w:r w:rsidRPr="00BE5A44">
          <w:rPr>
            <w:rFonts w:ascii="Arial" w:hAnsi="Arial" w:cs="Arial"/>
            <w:color w:val="17365D"/>
            <w:u w:val="single"/>
          </w:rPr>
          <w:t>42 U.S.C. § 300aa-26</w:t>
        </w:r>
      </w:hyperlink>
      <w:r w:rsidRPr="00BE5A44">
        <w:rPr>
          <w:rFonts w:ascii="Arial" w:hAnsi="Arial" w:cs="Arial"/>
        </w:rPr>
        <w:t xml:space="preserve"> requires all healthcare providers administering specific immunizing agents and vaccines provide to the patient, parent or guardian, prior to administration, a copy of the applicable, current Vaccine Information Statement (VIS)</w:t>
      </w:r>
      <w:r w:rsidRPr="00BE5A44">
        <w:rPr>
          <w:rFonts w:ascii="Arial" w:hAnsi="Arial" w:cs="Arial"/>
          <w:vertAlign w:val="superscript"/>
        </w:rPr>
        <w:footnoteReference w:id="2"/>
      </w:r>
      <w:r w:rsidRPr="00BE5A44">
        <w:rPr>
          <w:rFonts w:ascii="Arial" w:hAnsi="Arial" w:cs="Arial"/>
        </w:rPr>
        <w:t xml:space="preserve"> developed by the Centers for Disease Control and Prevention (CDC).  </w:t>
      </w:r>
    </w:p>
    <w:p w:rsidR="00782618" w:rsidRPr="00BE5A44" w:rsidRDefault="00782618" w:rsidP="00BE5A44">
      <w:pPr>
        <w:rPr>
          <w:rFonts w:ascii="Arial" w:hAnsi="Arial" w:cs="Arial"/>
        </w:rPr>
      </w:pPr>
    </w:p>
    <w:p w:rsidR="00782618" w:rsidRPr="00BE5A44" w:rsidRDefault="00782618" w:rsidP="00BE5A44">
      <w:pPr>
        <w:rPr>
          <w:rFonts w:ascii="Arial" w:hAnsi="Arial" w:cs="Arial"/>
        </w:rPr>
      </w:pPr>
      <w:r w:rsidRPr="00BE5A44">
        <w:rPr>
          <w:rFonts w:ascii="Arial" w:hAnsi="Arial" w:cs="Arial"/>
        </w:rPr>
        <w:t>All documentation must be complete, accurate and legible and include at a minimum:</w:t>
      </w:r>
    </w:p>
    <w:p w:rsidR="00782618" w:rsidRPr="00BE5A44" w:rsidRDefault="00782618" w:rsidP="00BE5A44">
      <w:pPr>
        <w:numPr>
          <w:ilvl w:val="0"/>
          <w:numId w:val="4"/>
        </w:numPr>
        <w:rPr>
          <w:rFonts w:ascii="Arial" w:hAnsi="Arial" w:cs="Arial"/>
        </w:rPr>
      </w:pPr>
      <w:r w:rsidRPr="00BE5A44">
        <w:rPr>
          <w:rFonts w:ascii="Arial" w:hAnsi="Arial" w:cs="Arial"/>
        </w:rPr>
        <w:t xml:space="preserve">The edition date of the VIS </w:t>
      </w:r>
    </w:p>
    <w:p w:rsidR="00782618" w:rsidRPr="00BE5A44" w:rsidRDefault="00782618" w:rsidP="00BE5A44">
      <w:pPr>
        <w:numPr>
          <w:ilvl w:val="0"/>
          <w:numId w:val="4"/>
        </w:numPr>
        <w:rPr>
          <w:rFonts w:ascii="Arial" w:hAnsi="Arial" w:cs="Arial"/>
        </w:rPr>
      </w:pPr>
      <w:r w:rsidRPr="00BE5A44">
        <w:rPr>
          <w:rFonts w:ascii="Arial" w:hAnsi="Arial" w:cs="Arial"/>
        </w:rPr>
        <w:t xml:space="preserve">The date the VIS is provided </w:t>
      </w:r>
    </w:p>
    <w:p w:rsidR="00782618" w:rsidRPr="00BE5A44" w:rsidRDefault="00782618" w:rsidP="00BE5A44">
      <w:pPr>
        <w:numPr>
          <w:ilvl w:val="0"/>
          <w:numId w:val="4"/>
        </w:numPr>
        <w:rPr>
          <w:rFonts w:ascii="Arial" w:hAnsi="Arial" w:cs="Arial"/>
        </w:rPr>
      </w:pPr>
      <w:r w:rsidRPr="00BE5A44">
        <w:rPr>
          <w:rFonts w:ascii="Arial" w:hAnsi="Arial" w:cs="Arial"/>
        </w:rPr>
        <w:t>The office address and name and title of the person who administers the vaccine</w:t>
      </w:r>
    </w:p>
    <w:p w:rsidR="00782618" w:rsidRPr="00BE5A44" w:rsidRDefault="00782618" w:rsidP="00BE5A44">
      <w:pPr>
        <w:numPr>
          <w:ilvl w:val="0"/>
          <w:numId w:val="4"/>
        </w:numPr>
        <w:rPr>
          <w:rFonts w:ascii="Arial" w:hAnsi="Arial" w:cs="Arial"/>
        </w:rPr>
      </w:pPr>
      <w:r w:rsidRPr="00BE5A44">
        <w:rPr>
          <w:rFonts w:ascii="Arial" w:hAnsi="Arial" w:cs="Arial"/>
        </w:rPr>
        <w:lastRenderedPageBreak/>
        <w:t>The date the vaccine is administered</w:t>
      </w:r>
    </w:p>
    <w:p w:rsidR="00782618" w:rsidRPr="00BE5A44" w:rsidRDefault="00782618" w:rsidP="00BE5A44">
      <w:pPr>
        <w:numPr>
          <w:ilvl w:val="0"/>
          <w:numId w:val="4"/>
        </w:numPr>
        <w:rPr>
          <w:rFonts w:ascii="Arial" w:hAnsi="Arial" w:cs="Arial"/>
        </w:rPr>
      </w:pPr>
      <w:r w:rsidRPr="00BE5A44">
        <w:rPr>
          <w:rFonts w:ascii="Arial" w:hAnsi="Arial" w:cs="Arial"/>
        </w:rPr>
        <w:t>The vaccine manufacturer, lot number, and expiration date</w:t>
      </w:r>
    </w:p>
    <w:p w:rsidR="00782618" w:rsidRPr="00BE5A44" w:rsidRDefault="00782618" w:rsidP="00BE5A44">
      <w:pPr>
        <w:rPr>
          <w:rFonts w:ascii="Arial" w:hAnsi="Arial" w:cs="Arial"/>
        </w:rPr>
      </w:pPr>
    </w:p>
    <w:p w:rsidR="00782618" w:rsidRPr="00BE5A44" w:rsidRDefault="00782618" w:rsidP="00BE5A44">
      <w:pPr>
        <w:autoSpaceDE w:val="0"/>
        <w:autoSpaceDN w:val="0"/>
        <w:adjustRightInd w:val="0"/>
        <w:rPr>
          <w:rFonts w:ascii="Arial" w:hAnsi="Arial" w:cs="Arial"/>
          <w:i/>
          <w:u w:val="single"/>
        </w:rPr>
      </w:pPr>
      <w:r w:rsidRPr="00BE5A44">
        <w:rPr>
          <w:rFonts w:ascii="Arial" w:hAnsi="Arial" w:cs="Arial"/>
          <w:i/>
          <w:u w:val="single"/>
        </w:rPr>
        <w:t>Nurse in a Management Role</w:t>
      </w:r>
    </w:p>
    <w:p w:rsidR="00782618" w:rsidRPr="00BE5A44" w:rsidRDefault="00782618" w:rsidP="00BE5A44">
      <w:pPr>
        <w:rPr>
          <w:rFonts w:ascii="Arial" w:hAnsi="Arial" w:cs="Arial"/>
        </w:rPr>
      </w:pPr>
      <w:r w:rsidRPr="00BE5A44">
        <w:rPr>
          <w:rFonts w:ascii="Arial" w:hAnsi="Arial" w:cs="Arial"/>
        </w:rPr>
        <w:t>The nurse in a management role must ensure the availability of sufficient resources to provide for administering immunization agents and vaccines consistent with current nursing standards.  Resources must include, but not limited to, organizational evidence-based policies and procedures, consistent with local, state and federal requirements that provide protocols for:</w:t>
      </w:r>
    </w:p>
    <w:p w:rsidR="00782618" w:rsidRPr="00BE5A44" w:rsidRDefault="00782618" w:rsidP="00BE5A44">
      <w:pPr>
        <w:numPr>
          <w:ilvl w:val="0"/>
          <w:numId w:val="3"/>
        </w:numPr>
        <w:rPr>
          <w:rFonts w:ascii="Arial" w:hAnsi="Arial" w:cs="Arial"/>
        </w:rPr>
      </w:pPr>
      <w:r w:rsidRPr="00BE5A44">
        <w:rPr>
          <w:rFonts w:ascii="Arial" w:hAnsi="Arial" w:cs="Arial"/>
        </w:rPr>
        <w:t>Obtaining and documenting informed consent</w:t>
      </w:r>
    </w:p>
    <w:p w:rsidR="00782618" w:rsidRPr="00BE5A44" w:rsidRDefault="00782618" w:rsidP="00BE5A44">
      <w:pPr>
        <w:numPr>
          <w:ilvl w:val="0"/>
          <w:numId w:val="3"/>
        </w:numPr>
        <w:rPr>
          <w:rFonts w:ascii="Arial" w:hAnsi="Arial" w:cs="Arial"/>
        </w:rPr>
      </w:pPr>
      <w:r w:rsidRPr="00BE5A44">
        <w:rPr>
          <w:rFonts w:ascii="Arial" w:hAnsi="Arial" w:cs="Arial"/>
        </w:rPr>
        <w:t>Assessing, validating and documenting competency acquisition and maintenance for administering immunization agents and vaccines</w:t>
      </w:r>
    </w:p>
    <w:p w:rsidR="00782618" w:rsidRPr="00BE5A44" w:rsidRDefault="00782618" w:rsidP="00BE5A44">
      <w:pPr>
        <w:numPr>
          <w:ilvl w:val="0"/>
          <w:numId w:val="3"/>
        </w:numPr>
        <w:rPr>
          <w:rFonts w:ascii="Arial" w:hAnsi="Arial" w:cs="Arial"/>
        </w:rPr>
      </w:pPr>
      <w:r w:rsidRPr="00BE5A44">
        <w:rPr>
          <w:rFonts w:ascii="Arial" w:hAnsi="Arial" w:cs="Arial"/>
        </w:rPr>
        <w:t xml:space="preserve">Providing VIS consistent with </w:t>
      </w:r>
      <w:hyperlink r:id="rId10" w:history="1">
        <w:r w:rsidRPr="00BE5A44">
          <w:rPr>
            <w:rFonts w:ascii="Arial" w:hAnsi="Arial" w:cs="Arial"/>
            <w:color w:val="17365D"/>
            <w:u w:val="single"/>
          </w:rPr>
          <w:t>42 U.S.C. § 300aa-26</w:t>
        </w:r>
      </w:hyperlink>
    </w:p>
    <w:p w:rsidR="00782618" w:rsidRPr="00BE5A44" w:rsidRDefault="00782618" w:rsidP="00BE5A44">
      <w:pPr>
        <w:numPr>
          <w:ilvl w:val="0"/>
          <w:numId w:val="3"/>
        </w:numPr>
        <w:rPr>
          <w:rFonts w:ascii="Arial" w:hAnsi="Arial" w:cs="Arial"/>
        </w:rPr>
      </w:pPr>
      <w:r w:rsidRPr="00BE5A44">
        <w:rPr>
          <w:rFonts w:ascii="Arial" w:hAnsi="Arial" w:cs="Arial"/>
        </w:rPr>
        <w:t xml:space="preserve">Reporting MIIS data, consistent with </w:t>
      </w:r>
      <w:hyperlink r:id="rId11" w:history="1">
        <w:r w:rsidRPr="00BE5A44">
          <w:rPr>
            <w:rFonts w:ascii="Arial" w:hAnsi="Arial" w:cs="Arial"/>
            <w:color w:val="17365D"/>
            <w:u w:val="single"/>
          </w:rPr>
          <w:t>MGL c. 111, § 24M</w:t>
        </w:r>
      </w:hyperlink>
    </w:p>
    <w:p w:rsidR="00782618" w:rsidRPr="00BE5A44" w:rsidRDefault="00782618" w:rsidP="00BE5A44">
      <w:pPr>
        <w:numPr>
          <w:ilvl w:val="0"/>
          <w:numId w:val="3"/>
        </w:numPr>
        <w:rPr>
          <w:rFonts w:ascii="Arial" w:hAnsi="Arial" w:cs="Arial"/>
        </w:rPr>
      </w:pPr>
      <w:r w:rsidRPr="00BE5A44">
        <w:rPr>
          <w:rFonts w:ascii="Arial" w:hAnsi="Arial" w:cs="Arial"/>
        </w:rPr>
        <w:t>Reporting errors and adverse events that comply with federal and state requirements</w:t>
      </w:r>
    </w:p>
    <w:p w:rsidR="00782618" w:rsidRPr="00BE5A44" w:rsidRDefault="00782618" w:rsidP="00BE5A44">
      <w:pPr>
        <w:numPr>
          <w:ilvl w:val="0"/>
          <w:numId w:val="3"/>
        </w:numPr>
        <w:rPr>
          <w:rFonts w:ascii="Arial" w:hAnsi="Arial" w:cs="Arial"/>
        </w:rPr>
      </w:pPr>
      <w:r w:rsidRPr="00BE5A44">
        <w:rPr>
          <w:rFonts w:ascii="Arial" w:hAnsi="Arial" w:cs="Arial"/>
        </w:rPr>
        <w:t>Nursing care responsibilities, including, but not limited to patient assessment, monitoring, education principles, response to potential complications and/or emergency situations, and documentation criteria</w:t>
      </w:r>
    </w:p>
    <w:p w:rsidR="00782618" w:rsidRPr="00BE5A44" w:rsidRDefault="00782618" w:rsidP="00BE5A44">
      <w:pPr>
        <w:rPr>
          <w:szCs w:val="20"/>
        </w:rPr>
      </w:pPr>
    </w:p>
    <w:p w:rsidR="00782618" w:rsidRPr="00BE5A44" w:rsidRDefault="00782618" w:rsidP="00BE5A44">
      <w:pPr>
        <w:rPr>
          <w:szCs w:val="20"/>
        </w:rPr>
      </w:pPr>
    </w:p>
    <w:p w:rsidR="00782618" w:rsidRPr="00BE5A44" w:rsidRDefault="00782618" w:rsidP="00BE5A44">
      <w:pPr>
        <w:rPr>
          <w:rFonts w:ascii="Arial" w:hAnsi="Arial" w:cs="Arial"/>
          <w:b/>
          <w:szCs w:val="20"/>
          <w:u w:val="single"/>
        </w:rPr>
      </w:pPr>
      <w:r w:rsidRPr="00BE5A44">
        <w:rPr>
          <w:rFonts w:ascii="Arial" w:hAnsi="Arial" w:cs="Arial"/>
          <w:b/>
          <w:szCs w:val="20"/>
          <w:u w:val="single"/>
        </w:rPr>
        <w:t>Resources</w:t>
      </w:r>
    </w:p>
    <w:p w:rsidR="00782618" w:rsidRPr="00BE5A44" w:rsidRDefault="00782618" w:rsidP="00BE5A44">
      <w:pPr>
        <w:rPr>
          <w:rFonts w:ascii="Arial" w:hAnsi="Arial" w:cs="Arial"/>
          <w:szCs w:val="20"/>
        </w:rPr>
      </w:pPr>
      <w:r w:rsidRPr="00BE5A44">
        <w:rPr>
          <w:rFonts w:ascii="Arial" w:hAnsi="Arial" w:cs="Arial"/>
          <w:szCs w:val="20"/>
        </w:rPr>
        <w:t xml:space="preserve">MA Department Public Health Immunization Program Website: </w:t>
      </w:r>
      <w:hyperlink r:id="rId12" w:history="1">
        <w:r w:rsidRPr="00BE5A44">
          <w:rPr>
            <w:rFonts w:ascii="Arial" w:hAnsi="Arial" w:cs="Arial"/>
            <w:color w:val="17365D"/>
            <w:szCs w:val="20"/>
            <w:u w:val="single"/>
          </w:rPr>
          <w:t>www.mass.gov/dph/imm</w:t>
        </w:r>
      </w:hyperlink>
      <w:r>
        <w:rPr>
          <w:rFonts w:ascii="Arial" w:hAnsi="Arial" w:cs="Arial"/>
          <w:szCs w:val="20"/>
        </w:rPr>
        <w:t xml:space="preserve"> </w:t>
      </w:r>
    </w:p>
    <w:p w:rsidR="00782618" w:rsidRPr="00BE5A44" w:rsidRDefault="00782618" w:rsidP="00BE5A44">
      <w:pPr>
        <w:numPr>
          <w:ilvl w:val="0"/>
          <w:numId w:val="6"/>
        </w:numPr>
        <w:rPr>
          <w:rFonts w:ascii="Arial" w:hAnsi="Arial" w:cs="Arial"/>
          <w:szCs w:val="20"/>
        </w:rPr>
      </w:pPr>
      <w:r w:rsidRPr="00BE5A44">
        <w:rPr>
          <w:rFonts w:ascii="Arial" w:hAnsi="Arial" w:cs="Arial"/>
          <w:szCs w:val="20"/>
        </w:rPr>
        <w:t xml:space="preserve">Guidelines for Compliance with Federal and State Vaccine Administration Requirements: </w:t>
      </w:r>
      <w:hyperlink r:id="rId13" w:history="1">
        <w:r w:rsidRPr="00BE5A44">
          <w:rPr>
            <w:rFonts w:ascii="Arial" w:hAnsi="Arial" w:cs="Arial"/>
            <w:color w:val="17365D"/>
            <w:szCs w:val="20"/>
            <w:u w:val="single"/>
          </w:rPr>
          <w:t>www.mass.gov/eohhs/docs/dph/cdc/immunization/guidelines-vaccine-compliance.pdf</w:t>
        </w:r>
      </w:hyperlink>
    </w:p>
    <w:p w:rsidR="00782618" w:rsidRPr="00BE5A44" w:rsidRDefault="00782618" w:rsidP="00BE5A44">
      <w:pPr>
        <w:numPr>
          <w:ilvl w:val="0"/>
          <w:numId w:val="6"/>
        </w:numPr>
        <w:rPr>
          <w:rFonts w:ascii="Arial" w:hAnsi="Arial" w:cs="Arial"/>
          <w:szCs w:val="20"/>
        </w:rPr>
      </w:pPr>
      <w:r w:rsidRPr="00BE5A44">
        <w:rPr>
          <w:rFonts w:ascii="Arial" w:hAnsi="Arial" w:cs="Arial"/>
          <w:szCs w:val="20"/>
        </w:rPr>
        <w:t xml:space="preserve">Integrating the MIIS into Your Clinical Practice </w:t>
      </w:r>
      <w:hyperlink r:id="rId14" w:history="1">
        <w:r w:rsidRPr="00BE5A44">
          <w:rPr>
            <w:rFonts w:ascii="Arial" w:hAnsi="Arial" w:cs="Arial"/>
            <w:color w:val="17365D"/>
            <w:szCs w:val="20"/>
            <w:u w:val="single"/>
          </w:rPr>
          <w:t>http://www.mass.gov/eohhs/docs/dph/cdc/immunization/miis-provider-clinical-integration.pdf</w:t>
        </w:r>
      </w:hyperlink>
      <w:r w:rsidRPr="00BE5A44">
        <w:rPr>
          <w:rFonts w:ascii="Arial" w:hAnsi="Arial" w:cs="Arial"/>
          <w:szCs w:val="20"/>
        </w:rPr>
        <w:t xml:space="preserve"> </w:t>
      </w:r>
    </w:p>
    <w:p w:rsidR="00782618" w:rsidRPr="00BE5A44" w:rsidRDefault="00782618" w:rsidP="00BE5A44">
      <w:pPr>
        <w:rPr>
          <w:rFonts w:ascii="Arial" w:hAnsi="Arial" w:cs="Arial"/>
          <w:szCs w:val="20"/>
        </w:rPr>
      </w:pPr>
    </w:p>
    <w:p w:rsidR="00782618" w:rsidRPr="00BE5A44" w:rsidRDefault="00782618" w:rsidP="00BE5A44">
      <w:pPr>
        <w:rPr>
          <w:rFonts w:ascii="Arial" w:hAnsi="Arial" w:cs="Arial"/>
          <w:szCs w:val="20"/>
        </w:rPr>
      </w:pPr>
      <w:r w:rsidRPr="00BE5A44">
        <w:rPr>
          <w:rFonts w:ascii="Arial" w:hAnsi="Arial" w:cs="Arial"/>
          <w:szCs w:val="20"/>
        </w:rPr>
        <w:t xml:space="preserve">Centers for Disease Control and Prevention (CDC) Vaccines Website: www.cdc.gov/vaccines/  </w:t>
      </w:r>
    </w:p>
    <w:p w:rsidR="00782618" w:rsidRPr="00BE5A44" w:rsidRDefault="00782618" w:rsidP="00BE5A44">
      <w:pPr>
        <w:numPr>
          <w:ilvl w:val="0"/>
          <w:numId w:val="6"/>
        </w:numPr>
        <w:rPr>
          <w:rFonts w:ascii="Arial" w:hAnsi="Arial" w:cs="Arial"/>
          <w:szCs w:val="20"/>
        </w:rPr>
      </w:pPr>
      <w:r w:rsidRPr="00BE5A44">
        <w:rPr>
          <w:rFonts w:ascii="Arial" w:hAnsi="Arial" w:cs="Arial"/>
          <w:szCs w:val="20"/>
        </w:rPr>
        <w:t xml:space="preserve">Vaccine Information Statement (VIS): </w:t>
      </w:r>
      <w:hyperlink r:id="rId15" w:history="1">
        <w:r w:rsidRPr="00BE5A44">
          <w:rPr>
            <w:rFonts w:ascii="Arial" w:hAnsi="Arial" w:cs="Arial"/>
            <w:color w:val="17365D"/>
            <w:szCs w:val="20"/>
            <w:u w:val="single"/>
          </w:rPr>
          <w:t>www.cdc.gov/vaccines/hcp/vis/index.html</w:t>
        </w:r>
      </w:hyperlink>
      <w:r w:rsidRPr="00BE5A44">
        <w:rPr>
          <w:rFonts w:ascii="Arial" w:hAnsi="Arial" w:cs="Arial"/>
          <w:szCs w:val="20"/>
        </w:rPr>
        <w:t xml:space="preserve"> </w:t>
      </w:r>
    </w:p>
    <w:p w:rsidR="00782618" w:rsidRPr="00BE5A44" w:rsidRDefault="00782618" w:rsidP="00BE5A44">
      <w:pPr>
        <w:rPr>
          <w:rFonts w:ascii="Arial" w:hAnsi="Arial" w:cs="Arial"/>
          <w:szCs w:val="20"/>
        </w:rPr>
      </w:pPr>
    </w:p>
    <w:p w:rsidR="00782618" w:rsidRPr="00BE5A44" w:rsidRDefault="00782618" w:rsidP="00BE5A44">
      <w:pPr>
        <w:rPr>
          <w:rFonts w:ascii="Arial" w:hAnsi="Arial" w:cs="Arial"/>
          <w:szCs w:val="20"/>
        </w:rPr>
      </w:pPr>
      <w:r w:rsidRPr="00BE5A44">
        <w:rPr>
          <w:rFonts w:ascii="Arial" w:hAnsi="Arial" w:cs="Arial"/>
          <w:szCs w:val="20"/>
        </w:rPr>
        <w:t xml:space="preserve">See </w:t>
      </w:r>
      <w:hyperlink r:id="rId16" w:history="1">
        <w:r w:rsidRPr="00BE5A44">
          <w:rPr>
            <w:rFonts w:ascii="Arial" w:hAnsi="Arial" w:cs="Arial"/>
            <w:color w:val="17365D"/>
            <w:szCs w:val="20"/>
            <w:u w:val="single"/>
          </w:rPr>
          <w:t xml:space="preserve">Advisory Ruling 9324: </w:t>
        </w:r>
        <w:r w:rsidRPr="00BE5A44">
          <w:rPr>
            <w:rFonts w:ascii="Arial" w:hAnsi="Arial" w:cs="Arial"/>
            <w:i/>
            <w:color w:val="17365D"/>
            <w:szCs w:val="20"/>
            <w:u w:val="single"/>
          </w:rPr>
          <w:t>Accepting, Verifying, Transcribing and Implementing Prescriber Orders</w:t>
        </w:r>
      </w:hyperlink>
      <w:r w:rsidRPr="00BE5A44">
        <w:rPr>
          <w:rFonts w:ascii="Arial" w:hAnsi="Arial" w:cs="Arial"/>
          <w:szCs w:val="20"/>
        </w:rPr>
        <w:t xml:space="preserve"> for Standing Order Protocol</w:t>
      </w:r>
    </w:p>
    <w:p w:rsidR="00782618" w:rsidRPr="00BE5A44" w:rsidRDefault="00782618" w:rsidP="00BE5A44">
      <w:pPr>
        <w:rPr>
          <w:rFonts w:ascii="Arial" w:hAnsi="Arial" w:cs="Arial"/>
          <w:szCs w:val="20"/>
        </w:rPr>
      </w:pPr>
    </w:p>
    <w:p w:rsidR="00782618" w:rsidRPr="00BE5A44" w:rsidRDefault="00782618" w:rsidP="00BE5A44">
      <w:pPr>
        <w:rPr>
          <w:rFonts w:ascii="Arial" w:hAnsi="Arial" w:cs="Arial"/>
          <w:szCs w:val="20"/>
        </w:rPr>
      </w:pPr>
      <w:r w:rsidRPr="00BE5A44">
        <w:rPr>
          <w:rFonts w:ascii="Arial" w:hAnsi="Arial" w:cs="Arial"/>
          <w:szCs w:val="20"/>
        </w:rPr>
        <w:t xml:space="preserve">Model Standing Orders: </w:t>
      </w:r>
    </w:p>
    <w:p w:rsidR="00782618" w:rsidRPr="00BE5A44" w:rsidRDefault="00782618" w:rsidP="00BE5A44">
      <w:pPr>
        <w:numPr>
          <w:ilvl w:val="0"/>
          <w:numId w:val="5"/>
        </w:numPr>
        <w:rPr>
          <w:rFonts w:ascii="Arial" w:hAnsi="Arial" w:cs="Arial"/>
          <w:szCs w:val="20"/>
        </w:rPr>
      </w:pPr>
      <w:r w:rsidRPr="00BE5A44">
        <w:rPr>
          <w:rFonts w:ascii="Arial" w:hAnsi="Arial" w:cs="Arial"/>
          <w:szCs w:val="20"/>
        </w:rPr>
        <w:t xml:space="preserve">MA Department Public Health Immunization Program:  </w:t>
      </w:r>
      <w:hyperlink r:id="rId17" w:history="1">
        <w:r w:rsidRPr="00BE5A44">
          <w:rPr>
            <w:rFonts w:ascii="Arial" w:hAnsi="Arial" w:cs="Arial"/>
            <w:color w:val="17365D"/>
            <w:szCs w:val="20"/>
            <w:u w:val="single"/>
          </w:rPr>
          <w:t>www.mass.gov/dph/imm</w:t>
        </w:r>
      </w:hyperlink>
    </w:p>
    <w:p w:rsidR="00782618" w:rsidRPr="00BE5A44" w:rsidRDefault="00782618" w:rsidP="00BE5A44">
      <w:pPr>
        <w:numPr>
          <w:ilvl w:val="0"/>
          <w:numId w:val="5"/>
        </w:numPr>
        <w:rPr>
          <w:rFonts w:ascii="Arial" w:hAnsi="Arial" w:cs="Arial"/>
          <w:szCs w:val="20"/>
        </w:rPr>
      </w:pPr>
      <w:r w:rsidRPr="00BE5A44">
        <w:rPr>
          <w:rFonts w:ascii="Arial" w:hAnsi="Arial" w:cs="Arial"/>
          <w:szCs w:val="20"/>
        </w:rPr>
        <w:t xml:space="preserve">Immunization Action Coalition at: </w:t>
      </w:r>
      <w:hyperlink r:id="rId18" w:history="1">
        <w:r w:rsidRPr="00BE5A44">
          <w:rPr>
            <w:rFonts w:ascii="Arial" w:hAnsi="Arial" w:cs="Arial"/>
            <w:color w:val="17365D"/>
            <w:szCs w:val="20"/>
            <w:u w:val="single"/>
          </w:rPr>
          <w:t>www.immunize.org/standing-orders/</w:t>
        </w:r>
      </w:hyperlink>
    </w:p>
    <w:p w:rsidR="00782618" w:rsidRPr="00BE5A44" w:rsidRDefault="00782618" w:rsidP="00BE5A44">
      <w:pPr>
        <w:rPr>
          <w:rFonts w:ascii="Arial" w:hAnsi="Arial" w:cs="Arial"/>
          <w:szCs w:val="20"/>
        </w:rPr>
      </w:pPr>
    </w:p>
    <w:p w:rsidR="00782618" w:rsidRPr="00BE5A44" w:rsidRDefault="00782618" w:rsidP="00BE5A44">
      <w:pPr>
        <w:rPr>
          <w:rFonts w:ascii="Arial" w:hAnsi="Arial" w:cs="Arial"/>
          <w:szCs w:val="20"/>
        </w:rPr>
      </w:pPr>
      <w:r w:rsidRPr="00BE5A44">
        <w:rPr>
          <w:rFonts w:ascii="Arial" w:hAnsi="Arial" w:cs="Arial"/>
          <w:szCs w:val="20"/>
        </w:rPr>
        <w:t xml:space="preserve">Advisory Committee for Immunization Practices (ACIP) General Recommendations on Immunization: </w:t>
      </w:r>
      <w:hyperlink r:id="rId19" w:history="1">
        <w:r w:rsidRPr="00BE5A44">
          <w:rPr>
            <w:rFonts w:ascii="Arial" w:hAnsi="Arial" w:cs="Arial"/>
            <w:color w:val="17365D"/>
            <w:szCs w:val="20"/>
            <w:u w:val="single"/>
          </w:rPr>
          <w:t>www.cdc.gov/vaccines/hcp/acip-recs/index.html</w:t>
        </w:r>
      </w:hyperlink>
      <w:r w:rsidRPr="00BE5A44">
        <w:rPr>
          <w:rFonts w:ascii="Arial" w:hAnsi="Arial" w:cs="Arial"/>
          <w:szCs w:val="20"/>
        </w:rPr>
        <w:t xml:space="preserve"> </w:t>
      </w:r>
    </w:p>
    <w:p w:rsidR="00782618" w:rsidRPr="00BE5A44" w:rsidRDefault="00782618" w:rsidP="00BE5A44">
      <w:pPr>
        <w:numPr>
          <w:ilvl w:val="0"/>
          <w:numId w:val="7"/>
        </w:numPr>
        <w:rPr>
          <w:rFonts w:ascii="Arial" w:hAnsi="Arial" w:cs="Arial"/>
          <w:szCs w:val="20"/>
        </w:rPr>
      </w:pPr>
      <w:r w:rsidRPr="00BE5A44">
        <w:rPr>
          <w:rFonts w:ascii="Arial" w:hAnsi="Arial" w:cs="Arial"/>
          <w:szCs w:val="20"/>
        </w:rPr>
        <w:t>schedules for children and adults (</w:t>
      </w:r>
      <w:hyperlink r:id="rId20" w:history="1">
        <w:r w:rsidRPr="00BE5A44">
          <w:rPr>
            <w:rFonts w:ascii="Arial" w:hAnsi="Arial" w:cs="Arial"/>
            <w:szCs w:val="20"/>
            <w:u w:val="single"/>
          </w:rPr>
          <w:t>www.cdc.gov/vaccines/schedules/</w:t>
        </w:r>
      </w:hyperlink>
      <w:r w:rsidRPr="00BE5A44">
        <w:rPr>
          <w:rFonts w:ascii="Arial" w:hAnsi="Arial" w:cs="Arial"/>
          <w:szCs w:val="20"/>
        </w:rPr>
        <w:t xml:space="preserve"> )</w:t>
      </w:r>
    </w:p>
    <w:p w:rsidR="00782618" w:rsidRPr="00BE5A44" w:rsidRDefault="00782618" w:rsidP="00BE5A44">
      <w:pPr>
        <w:numPr>
          <w:ilvl w:val="0"/>
          <w:numId w:val="7"/>
        </w:numPr>
        <w:rPr>
          <w:rFonts w:ascii="Arial" w:hAnsi="Arial" w:cs="Arial"/>
          <w:szCs w:val="20"/>
        </w:rPr>
      </w:pPr>
      <w:r w:rsidRPr="00BE5A44">
        <w:rPr>
          <w:rFonts w:ascii="Arial" w:hAnsi="Arial" w:cs="Arial"/>
          <w:szCs w:val="20"/>
        </w:rPr>
        <w:t>table of contraindications and precautions (</w:t>
      </w:r>
      <w:hyperlink r:id="rId21" w:history="1">
        <w:r w:rsidRPr="00BE5A44">
          <w:rPr>
            <w:rFonts w:ascii="Arial" w:hAnsi="Arial" w:cs="Arial"/>
            <w:szCs w:val="20"/>
            <w:u w:val="single"/>
          </w:rPr>
          <w:t>www.cdc.gov/vaccines/schedules/</w:t>
        </w:r>
      </w:hyperlink>
      <w:r w:rsidRPr="00BE5A44">
        <w:rPr>
          <w:rFonts w:ascii="Arial" w:hAnsi="Arial" w:cs="Arial"/>
          <w:szCs w:val="20"/>
        </w:rPr>
        <w:t xml:space="preserve"> )</w:t>
      </w:r>
    </w:p>
    <w:p w:rsidR="00782618" w:rsidRDefault="00782618"/>
    <w:sectPr w:rsidR="00782618" w:rsidSect="0039105C">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618" w:rsidRDefault="00782618" w:rsidP="00BE5A44">
      <w:r>
        <w:separator/>
      </w:r>
    </w:p>
  </w:endnote>
  <w:endnote w:type="continuationSeparator" w:id="0">
    <w:p w:rsidR="00782618" w:rsidRDefault="00782618" w:rsidP="00BE5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618" w:rsidRPr="001E5A6C" w:rsidRDefault="00782618" w:rsidP="00FD1515">
    <w:pPr>
      <w:tabs>
        <w:tab w:val="center" w:pos="4320"/>
        <w:tab w:val="right" w:pos="8640"/>
      </w:tabs>
      <w:rPr>
        <w:rFonts w:ascii="Arial" w:hAnsi="Arial" w:cs="Arial"/>
        <w:sz w:val="20"/>
        <w:szCs w:val="20"/>
      </w:rPr>
    </w:pPr>
    <w:r w:rsidRPr="001E5A6C">
      <w:rPr>
        <w:rFonts w:ascii="Arial" w:hAnsi="Arial" w:cs="Arial"/>
        <w:sz w:val="20"/>
        <w:szCs w:val="20"/>
      </w:rPr>
      <w:t xml:space="preserve">AR 9804: Administration of Immunizing Agents or Vaccines </w:t>
    </w:r>
    <w:r w:rsidRPr="001E5A6C">
      <w:rPr>
        <w:rFonts w:ascii="Arial" w:hAnsi="Arial" w:cs="Arial"/>
        <w:sz w:val="20"/>
        <w:szCs w:val="20"/>
      </w:rPr>
      <w:tab/>
      <w:t xml:space="preserve">Page </w:t>
    </w:r>
    <w:r w:rsidRPr="001E5A6C">
      <w:rPr>
        <w:rFonts w:ascii="Arial" w:hAnsi="Arial" w:cs="Arial"/>
        <w:sz w:val="20"/>
        <w:szCs w:val="20"/>
      </w:rPr>
      <w:fldChar w:fldCharType="begin"/>
    </w:r>
    <w:r w:rsidRPr="001E5A6C">
      <w:rPr>
        <w:rFonts w:ascii="Arial" w:hAnsi="Arial" w:cs="Arial"/>
        <w:sz w:val="20"/>
        <w:szCs w:val="20"/>
      </w:rPr>
      <w:instrText xml:space="preserve"> PAGE </w:instrText>
    </w:r>
    <w:r w:rsidRPr="001E5A6C">
      <w:rPr>
        <w:rFonts w:ascii="Arial" w:hAnsi="Arial" w:cs="Arial"/>
        <w:sz w:val="20"/>
        <w:szCs w:val="20"/>
      </w:rPr>
      <w:fldChar w:fldCharType="separate"/>
    </w:r>
    <w:r w:rsidR="001E5A6C">
      <w:rPr>
        <w:rFonts w:ascii="Arial" w:hAnsi="Arial" w:cs="Arial"/>
        <w:noProof/>
        <w:sz w:val="20"/>
        <w:szCs w:val="20"/>
      </w:rPr>
      <w:t>1</w:t>
    </w:r>
    <w:r w:rsidRPr="001E5A6C">
      <w:rPr>
        <w:rFonts w:ascii="Arial" w:hAnsi="Arial" w:cs="Arial"/>
        <w:sz w:val="20"/>
        <w:szCs w:val="20"/>
      </w:rPr>
      <w:fldChar w:fldCharType="end"/>
    </w:r>
    <w:r w:rsidRPr="001E5A6C">
      <w:rPr>
        <w:rFonts w:ascii="Arial" w:hAnsi="Arial" w:cs="Arial"/>
        <w:sz w:val="20"/>
        <w:szCs w:val="20"/>
      </w:rPr>
      <w:t xml:space="preserve"> of </w:t>
    </w:r>
    <w:r w:rsidRPr="001E5A6C">
      <w:rPr>
        <w:rFonts w:ascii="Arial" w:hAnsi="Arial" w:cs="Arial"/>
        <w:sz w:val="20"/>
        <w:szCs w:val="20"/>
      </w:rPr>
      <w:fldChar w:fldCharType="begin"/>
    </w:r>
    <w:r w:rsidRPr="001E5A6C">
      <w:rPr>
        <w:rFonts w:ascii="Arial" w:hAnsi="Arial" w:cs="Arial"/>
        <w:sz w:val="20"/>
        <w:szCs w:val="20"/>
      </w:rPr>
      <w:instrText xml:space="preserve"> NUMPAGES </w:instrText>
    </w:r>
    <w:r w:rsidRPr="001E5A6C">
      <w:rPr>
        <w:rFonts w:ascii="Arial" w:hAnsi="Arial" w:cs="Arial"/>
        <w:sz w:val="20"/>
        <w:szCs w:val="20"/>
      </w:rPr>
      <w:fldChar w:fldCharType="separate"/>
    </w:r>
    <w:r w:rsidR="001E5A6C">
      <w:rPr>
        <w:rFonts w:ascii="Arial" w:hAnsi="Arial" w:cs="Arial"/>
        <w:noProof/>
        <w:sz w:val="20"/>
        <w:szCs w:val="20"/>
      </w:rPr>
      <w:t>3</w:t>
    </w:r>
    <w:r w:rsidRPr="001E5A6C">
      <w:rPr>
        <w:rFonts w:ascii="Arial" w:hAnsi="Arial" w:cs="Arial"/>
        <w:sz w:val="20"/>
        <w:szCs w:val="20"/>
      </w:rPr>
      <w:fldChar w:fldCharType="end"/>
    </w:r>
  </w:p>
  <w:p w:rsidR="00782618" w:rsidRPr="001E5A6C" w:rsidRDefault="00782618" w:rsidP="006A07AA">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618" w:rsidRDefault="00782618" w:rsidP="00BE5A44">
      <w:r>
        <w:separator/>
      </w:r>
    </w:p>
  </w:footnote>
  <w:footnote w:type="continuationSeparator" w:id="0">
    <w:p w:rsidR="00782618" w:rsidRDefault="00782618" w:rsidP="00BE5A44">
      <w:r>
        <w:continuationSeparator/>
      </w:r>
    </w:p>
  </w:footnote>
  <w:footnote w:id="1">
    <w:p w:rsidR="00782618" w:rsidRDefault="00782618" w:rsidP="00BE5A44">
      <w:pPr>
        <w:pStyle w:val="FootnoteText"/>
      </w:pPr>
      <w:r w:rsidRPr="0023781D">
        <w:rPr>
          <w:rStyle w:val="FootnoteReference"/>
          <w:rFonts w:ascii="Arial" w:hAnsi="Arial" w:cs="Arial"/>
        </w:rPr>
        <w:footnoteRef/>
      </w:r>
      <w:r w:rsidRPr="0023781D">
        <w:rPr>
          <w:rFonts w:ascii="Arial" w:hAnsi="Arial" w:cs="Arial"/>
        </w:rPr>
        <w:t xml:space="preserve"> See </w:t>
      </w:r>
      <w:hyperlink r:id="rId1" w:history="1">
        <w:r w:rsidRPr="0023781D">
          <w:rPr>
            <w:rStyle w:val="Hyperlink"/>
            <w:rFonts w:ascii="Arial" w:hAnsi="Arial" w:cs="Arial"/>
          </w:rPr>
          <w:t xml:space="preserve">Advisory Ruling 9324: </w:t>
        </w:r>
        <w:r w:rsidRPr="0023781D">
          <w:rPr>
            <w:rStyle w:val="Hyperlink"/>
            <w:rFonts w:ascii="Arial" w:hAnsi="Arial" w:cs="Arial"/>
            <w:i/>
          </w:rPr>
          <w:t>Accepting, Verifying, Transcribing and Implementing Prescriber Orders</w:t>
        </w:r>
      </w:hyperlink>
      <w:r>
        <w:rPr>
          <w:rFonts w:ascii="Arial" w:hAnsi="Arial" w:cs="Arial"/>
        </w:rPr>
        <w:t xml:space="preserve"> for definition of Standing Order Protocol</w:t>
      </w:r>
    </w:p>
  </w:footnote>
  <w:footnote w:id="2">
    <w:p w:rsidR="00782618" w:rsidRDefault="00782618" w:rsidP="00BE5A44">
      <w:pPr>
        <w:pStyle w:val="FootnoteText"/>
      </w:pPr>
      <w:r w:rsidRPr="00BC23B5">
        <w:rPr>
          <w:rStyle w:val="FootnoteReference"/>
          <w:rFonts w:ascii="Arial" w:hAnsi="Arial" w:cs="Arial"/>
        </w:rPr>
        <w:footnoteRef/>
      </w:r>
      <w:r w:rsidRPr="00BC23B5">
        <w:rPr>
          <w:rFonts w:ascii="Arial" w:hAnsi="Arial" w:cs="Arial"/>
        </w:rPr>
        <w:t xml:space="preserve"> </w:t>
      </w:r>
      <w:hyperlink r:id="rId2" w:history="1">
        <w:r w:rsidRPr="00BC23B5">
          <w:rPr>
            <w:rStyle w:val="Hyperlink"/>
            <w:rFonts w:ascii="Arial" w:hAnsi="Arial" w:cs="Arial"/>
          </w:rPr>
          <w:t>http://www.immunize.org/catg.d/p2027.pdf</w:t>
        </w:r>
      </w:hyperlink>
      <w:r w:rsidRPr="00BC23B5">
        <w:rPr>
          <w:rFonts w:ascii="Arial" w:hAnsi="Arial" w:cs="Arial"/>
        </w:rPr>
        <w:t xml:space="preserve"> accessed 7.8-15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7A86"/>
    <w:multiLevelType w:val="hybridMultilevel"/>
    <w:tmpl w:val="A7B69C1A"/>
    <w:lvl w:ilvl="0" w:tplc="F80466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10F6C"/>
    <w:multiLevelType w:val="multilevel"/>
    <w:tmpl w:val="9452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177F07"/>
    <w:multiLevelType w:val="hybridMultilevel"/>
    <w:tmpl w:val="7C74E3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27A6325D"/>
    <w:multiLevelType w:val="hybridMultilevel"/>
    <w:tmpl w:val="9120F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9E763F"/>
    <w:multiLevelType w:val="hybridMultilevel"/>
    <w:tmpl w:val="0F744C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2A47237"/>
    <w:multiLevelType w:val="hybridMultilevel"/>
    <w:tmpl w:val="E2104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213D2B"/>
    <w:multiLevelType w:val="hybridMultilevel"/>
    <w:tmpl w:val="81BEE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5A44"/>
    <w:rsid w:val="00002C92"/>
    <w:rsid w:val="00185684"/>
    <w:rsid w:val="001E5A6C"/>
    <w:rsid w:val="0023781D"/>
    <w:rsid w:val="0039105C"/>
    <w:rsid w:val="0039293F"/>
    <w:rsid w:val="003A5DE3"/>
    <w:rsid w:val="005A6503"/>
    <w:rsid w:val="00611295"/>
    <w:rsid w:val="006A07AA"/>
    <w:rsid w:val="00782618"/>
    <w:rsid w:val="00927103"/>
    <w:rsid w:val="00BC23B5"/>
    <w:rsid w:val="00BE5A44"/>
    <w:rsid w:val="00C04B30"/>
    <w:rsid w:val="00C36176"/>
    <w:rsid w:val="00FD1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6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E5A44"/>
    <w:pPr>
      <w:tabs>
        <w:tab w:val="center" w:pos="4680"/>
        <w:tab w:val="right" w:pos="9360"/>
      </w:tabs>
    </w:pPr>
  </w:style>
  <w:style w:type="character" w:customStyle="1" w:styleId="HeaderChar">
    <w:name w:val="Header Char"/>
    <w:basedOn w:val="DefaultParagraphFont"/>
    <w:link w:val="Header"/>
    <w:uiPriority w:val="99"/>
    <w:locked/>
    <w:rsid w:val="00BE5A44"/>
    <w:rPr>
      <w:rFonts w:cs="Times New Roman"/>
      <w:sz w:val="24"/>
      <w:szCs w:val="24"/>
    </w:rPr>
  </w:style>
  <w:style w:type="paragraph" w:styleId="Footer">
    <w:name w:val="footer"/>
    <w:basedOn w:val="Normal"/>
    <w:link w:val="FooterChar"/>
    <w:uiPriority w:val="99"/>
    <w:rsid w:val="00BE5A44"/>
    <w:pPr>
      <w:tabs>
        <w:tab w:val="center" w:pos="4680"/>
        <w:tab w:val="right" w:pos="9360"/>
      </w:tabs>
    </w:pPr>
  </w:style>
  <w:style w:type="character" w:customStyle="1" w:styleId="FooterChar">
    <w:name w:val="Footer Char"/>
    <w:basedOn w:val="DefaultParagraphFont"/>
    <w:link w:val="Footer"/>
    <w:uiPriority w:val="99"/>
    <w:locked/>
    <w:rsid w:val="00BE5A44"/>
    <w:rPr>
      <w:rFonts w:cs="Times New Roman"/>
      <w:sz w:val="24"/>
      <w:szCs w:val="24"/>
    </w:rPr>
  </w:style>
  <w:style w:type="character" w:styleId="Hyperlink">
    <w:name w:val="Hyperlink"/>
    <w:basedOn w:val="DefaultParagraphFont"/>
    <w:uiPriority w:val="99"/>
    <w:rsid w:val="00BE5A44"/>
    <w:rPr>
      <w:rFonts w:cs="Times New Roman"/>
      <w:color w:val="0000FF"/>
      <w:u w:val="single"/>
    </w:rPr>
  </w:style>
  <w:style w:type="paragraph" w:styleId="FootnoteText">
    <w:name w:val="footnote text"/>
    <w:basedOn w:val="Normal"/>
    <w:link w:val="FootnoteTextChar"/>
    <w:uiPriority w:val="99"/>
    <w:rsid w:val="00BE5A44"/>
    <w:rPr>
      <w:sz w:val="20"/>
      <w:szCs w:val="20"/>
    </w:rPr>
  </w:style>
  <w:style w:type="character" w:customStyle="1" w:styleId="FootnoteTextChar">
    <w:name w:val="Footnote Text Char"/>
    <w:basedOn w:val="DefaultParagraphFont"/>
    <w:link w:val="FootnoteText"/>
    <w:uiPriority w:val="99"/>
    <w:locked/>
    <w:rsid w:val="00BE5A44"/>
    <w:rPr>
      <w:rFonts w:cs="Times New Roman"/>
    </w:rPr>
  </w:style>
  <w:style w:type="character" w:styleId="FootnoteReference">
    <w:name w:val="footnote reference"/>
    <w:basedOn w:val="DefaultParagraphFont"/>
    <w:uiPriority w:val="99"/>
    <w:rsid w:val="00BE5A44"/>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legislature.gov/Laws/GeneralLaws/PartI/TitleXVI/Chapter111/Section24M" TargetMode="External"/><Relationship Id="rId13" Type="http://schemas.openxmlformats.org/officeDocument/2006/relationships/hyperlink" Target="http://www.mass.gov/eohhs/docs/dph/cdc/immunization/guidelines-vaccine-compliance.pdf" TargetMode="External"/><Relationship Id="rId18" Type="http://schemas.openxmlformats.org/officeDocument/2006/relationships/hyperlink" Target="http://www.immunize.org/standing-orders/" TargetMode="External"/><Relationship Id="rId3" Type="http://schemas.microsoft.com/office/2007/relationships/stylesWithEffects" Target="stylesWithEffects.xml"/><Relationship Id="rId21" Type="http://schemas.openxmlformats.org/officeDocument/2006/relationships/hyperlink" Target="http://www.cdc.gov/vaccines/schedules/" TargetMode="External"/><Relationship Id="rId7" Type="http://schemas.openxmlformats.org/officeDocument/2006/relationships/endnotes" Target="endnotes.xml"/><Relationship Id="rId12" Type="http://schemas.openxmlformats.org/officeDocument/2006/relationships/hyperlink" Target="http://www.mass.gov/dph/imm" TargetMode="External"/><Relationship Id="rId17" Type="http://schemas.openxmlformats.org/officeDocument/2006/relationships/hyperlink" Target="http://www.mass.gov/dph/imm" TargetMode="External"/><Relationship Id="rId2" Type="http://schemas.openxmlformats.org/officeDocument/2006/relationships/styles" Target="styles.xml"/><Relationship Id="rId16" Type="http://schemas.openxmlformats.org/officeDocument/2006/relationships/hyperlink" Target="http://www.mass.gov/eohhs/gov/departments/dph/programs/hcq/dhpl/nursing/nursing-practice/advisory-rulings/verification-of-orders.html" TargetMode="External"/><Relationship Id="rId20" Type="http://schemas.openxmlformats.org/officeDocument/2006/relationships/hyperlink" Target="http://www.cdc.gov/vaccines/schedule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alegislature.gov/Laws/GeneralLaws/PartI/TitleXVI/Chapter111/Section24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dc.gov/vaccines/hcp/vis/index.html" TargetMode="External"/><Relationship Id="rId23" Type="http://schemas.openxmlformats.org/officeDocument/2006/relationships/fontTable" Target="fontTable.xml"/><Relationship Id="rId10" Type="http://schemas.openxmlformats.org/officeDocument/2006/relationships/hyperlink" Target="http://www.gpo.gov/fdsys/pkg/USCODE-2010-title42/pdf/USCODE-2010-title42-chap6A-subchapXIX-part2-subpartc-sec300aa-26.pdf" TargetMode="External"/><Relationship Id="rId19" Type="http://schemas.openxmlformats.org/officeDocument/2006/relationships/hyperlink" Target="http://www.cdc.gov/vaccines/hcp/acip-recs/index.html" TargetMode="External"/><Relationship Id="rId4" Type="http://schemas.openxmlformats.org/officeDocument/2006/relationships/settings" Target="settings.xml"/><Relationship Id="rId9" Type="http://schemas.openxmlformats.org/officeDocument/2006/relationships/hyperlink" Target="http://www.gpo.gov/fdsys/pkg/USCODE-2010-title42/pdf/USCODE-2010-title42-chap6A-subchapXIX-part2-subpartc-sec300aa-26.pdf" TargetMode="External"/><Relationship Id="rId14" Type="http://schemas.openxmlformats.org/officeDocument/2006/relationships/hyperlink" Target="http://www.mass.gov/eohhs/docs/dph/cdc/immunization/miis-provider-clinical-integration.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immunize.org/catg.d/p2027.pdf" TargetMode="External"/><Relationship Id="rId1" Type="http://schemas.openxmlformats.org/officeDocument/2006/relationships/hyperlink" Target="http://www.mass.gov/eohhs/gov/departments/dph/programs/hcq/dhpl/nursing/nursing-practice/advisory-rulings/verification-of-ord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1157</Words>
  <Characters>6597</Characters>
  <Application>Microsoft Office Word</Application>
  <DocSecurity>0</DocSecurity>
  <Lines>54</Lines>
  <Paragraphs>15</Paragraphs>
  <ScaleCrop>false</ScaleCrop>
  <Company>EOHHS</Company>
  <LinksUpToDate>false</LinksUpToDate>
  <CharactersWithSpaces>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Board of Registration in Nursing</dc:title>
  <dc:subject/>
  <dc:creator>Talarico, Laurie (DPH)</dc:creator>
  <cp:keywords/>
  <dc:description/>
  <cp:lastModifiedBy> </cp:lastModifiedBy>
  <cp:revision>4</cp:revision>
  <dcterms:created xsi:type="dcterms:W3CDTF">2015-09-15T22:25:00Z</dcterms:created>
  <dcterms:modified xsi:type="dcterms:W3CDTF">2016-02-16T19:43:00Z</dcterms:modified>
</cp:coreProperties>
</file>