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7D25" w14:textId="3A7926A0" w:rsidR="00991E53" w:rsidRPr="00677149" w:rsidRDefault="00991E53" w:rsidP="00991E53">
      <w:pPr>
        <w:bidi/>
        <w:spacing w:after="120" w:line="240" w:lineRule="auto"/>
        <w:jc w:val="center"/>
        <w:rPr>
          <w:rFonts w:ascii="Franklin Gothic Demi" w:hAnsi="Franklin Gothic Demi" w:cs="Arial"/>
          <w:b/>
          <w:noProof/>
          <w:sz w:val="28"/>
          <w:u w:val="single"/>
          <w14:ligatures w14:val="standardContextual"/>
        </w:rPr>
      </w:pPr>
      <w:r>
        <w:rPr>
          <w:rFonts w:ascii="Franklin Gothic Demi" w:hAnsi="Franklin Gothic Demi"/>
          <w:noProof/>
          <w:sz w:val="24"/>
          <w14:ligatures w14:val="standardContextual"/>
        </w:rPr>
        <mc:AlternateContent>
          <mc:Choice Requires="wps">
            <w:drawing>
              <wp:anchor distT="0" distB="0" distL="114300" distR="114300" simplePos="0" relativeHeight="251662336" behindDoc="0" locked="0" layoutInCell="1" allowOverlap="1" wp14:anchorId="6733BD94" wp14:editId="46FCC73C">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ysClr val="window" lastClr="FFFFFF"/>
                        </a:solidFill>
                        <a:ln w="6350">
                          <a:noFill/>
                        </a:ln>
                      </wps:spPr>
                      <wps:txbx>
                        <w:txbxContent>
                          <w:p w14:paraId="7DB58303" w14:textId="77777777" w:rsidR="00991E53" w:rsidRDefault="00991E53" w:rsidP="00991E53">
                            <w:pPr>
                              <w:bidi/>
                            </w:pPr>
                            <w:r>
                              <w:rPr>
                                <w:noProof/>
                              </w:rPr>
                              <w:drawing>
                                <wp:inline distT="0" distB="0" distL="0" distR="0" wp14:anchorId="60C4BB67" wp14:editId="76564ECF">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3BD94"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" fillcolor="window" stroked="f" strokeweight=".5pt">
                <v:textbox>
                  <w:txbxContent>
                    <w:p w14:paraId="7DB58303" w14:textId="77777777" w:rsidR="00991E53" w:rsidRDefault="00991E53" w:rsidP="00991E53">
                      <w:pPr>
                        <w:bidi/>
                      </w:pPr>
                      <w:r>
                        <w:rPr>
                          <w:noProof/>
                        </w:rPr>
                        <w:drawing>
                          <wp:inline distT="0" distB="0" distL="0" distR="0" wp14:anchorId="60C4BB67" wp14:editId="76564ECF">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Pr>
          <w:rFonts w:ascii="Franklin Gothic Demi" w:hAnsi="Franklin Gothic Demi"/>
          <w:noProof/>
          <w:sz w:val="28"/>
          <w14:ligatures w14:val="standardContextual"/>
        </w:rPr>
        <mc:AlternateContent>
          <mc:Choice Requires="wps">
            <w:drawing>
              <wp:anchor distT="0" distB="0" distL="114300" distR="114300" simplePos="0" relativeHeight="251661312" behindDoc="1" locked="0" layoutInCell="1" allowOverlap="1" wp14:anchorId="6A7414EC" wp14:editId="0253908F">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ysClr val="window" lastClr="FFFFFF"/>
                        </a:solidFill>
                        <a:ln w="6350">
                          <a:noFill/>
                        </a:ln>
                      </wps:spPr>
                      <wps:txbx>
                        <w:txbxContent>
                          <w:p w14:paraId="681A46B8" w14:textId="77777777" w:rsidR="00991E53" w:rsidRDefault="00991E53" w:rsidP="00991E53">
                            <w:pPr>
                              <w:bidi/>
                            </w:pPr>
                            <w:r>
                              <w:rPr>
                                <w:rFonts w:ascii="Arial" w:hAnsi="Arial" w:cs="Arial"/>
                                <w:noProof/>
                                <w:sz w:val="36"/>
                                <w:szCs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7414EC" id="Text Box 1" o:spid="_x0000_s1027" type="#_x0000_t202" style="position:absolute;left:0;text-align:left;margin-left:429.6pt;margin-top:0;width:114pt;height:73.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rOAIAAGwEAAAOAAAAZHJzL2Uyb0RvYy54bWysVEtvGjEQvlfqf7B8LwuEQLJiiSgRVSWU&#10;RCJVzsZrs5a8Htc27NJf37GXV9KeqnIwM57xPL5vZq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" fillcolor="window" stroked="f" strokeweight=".5pt">
                <v:textbox>
                  <w:txbxContent>
                    <w:p w14:paraId="681A46B8" w14:textId="77777777" w:rsidR="00991E53" w:rsidRDefault="00991E53" w:rsidP="00991E53">
                      <w:pPr>
                        <w:bidi/>
                      </w:pPr>
                      <w:r>
                        <w:rPr>
                          <w:rFonts w:ascii="Arial" w:hAnsi="Arial" w:cs="Arial"/>
                          <w:noProof/>
                          <w:sz w:val="36"/>
                          <w:szCs w:val="36"/>
                        </w:rPr>
                        <w:drawing>
                          <wp:inline distT="0" distB="0" distL="0" distR="0" wp14:anchorId="58F311CB" wp14:editId="7FFE6E89">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Franklin Gothic Demi" w:hAnsi="Franklin Gothic Demi"/>
          <w:b/>
          <w:bCs/>
          <w:sz w:val="36"/>
          <w:szCs w:val="36"/>
          <w:rtl/>
          <w:lang w:bidi="ar"/>
        </w:rPr>
        <w:t>أسئلة حول فحوصات الطب الشرعي وجَمع الأدلة بعد التعرُّض إلى اعتداء جنسي</w:t>
      </w:r>
    </w:p>
    <w:p w14:paraId="5844EC8D" w14:textId="77777777" w:rsidR="00991E53" w:rsidRDefault="00991E53" w:rsidP="00991E53">
      <w:pPr>
        <w:spacing w:after="120" w:line="240" w:lineRule="auto"/>
        <w:rPr>
          <w:rFonts w:ascii="Calibri" w:hAnsi="Calibri"/>
          <w:b/>
          <w:noProof/>
          <w:sz w:val="28"/>
          <w:u w:val="single"/>
          <w14:ligatures w14:val="standardContextual"/>
        </w:rPr>
      </w:pPr>
    </w:p>
    <w:p w14:paraId="201A748C" w14:textId="77777777" w:rsidR="00991E53" w:rsidRDefault="00991E53" w:rsidP="00360F85">
      <w:pPr>
        <w:spacing w:after="0"/>
        <w:rPr>
          <w:rFonts w:ascii="Franklin Gothic Book" w:hAnsi="Franklin Gothic Book" w:cs="Calibri"/>
          <w:b/>
          <w:sz w:val="26"/>
          <w:szCs w:val="26"/>
        </w:rPr>
      </w:pPr>
    </w:p>
    <w:p w14:paraId="0BE0CB7B" w14:textId="54CB8E2F" w:rsidR="00360F85" w:rsidRPr="00685088" w:rsidRDefault="00360F85" w:rsidP="00360F85">
      <w:pPr>
        <w:bidi/>
        <w:spacing w:after="0"/>
        <w:rPr>
          <w:rFonts w:ascii="Franklin Gothic Book" w:hAnsi="Franklin Gothic Book" w:cs="Calibri"/>
          <w:b/>
          <w:sz w:val="26"/>
          <w:szCs w:val="26"/>
        </w:rPr>
      </w:pPr>
      <w:r>
        <w:rPr>
          <w:rFonts w:ascii="Franklin Gothic Book" w:hAnsi="Franklin Gothic Book" w:cs="Calibri"/>
          <w:b/>
          <w:bCs/>
          <w:sz w:val="26"/>
          <w:szCs w:val="26"/>
          <w:rtl/>
          <w:lang w:bidi="ar"/>
        </w:rPr>
        <w:t>لماذا قد أرغب في التفكير في إجراء فحص الطب الشرعي وجَمع الأدلة؟</w:t>
      </w:r>
    </w:p>
    <w:p w14:paraId="49EAF3AB" w14:textId="04807EBE" w:rsidR="00360F85" w:rsidRPr="00685088" w:rsidRDefault="00360F85" w:rsidP="00674D3D">
      <w:pPr>
        <w:pStyle w:val="ListParagraph"/>
        <w:numPr>
          <w:ilvl w:val="0"/>
          <w:numId w:val="2"/>
        </w:numPr>
        <w:bidi/>
        <w:spacing w:after="240" w:line="240" w:lineRule="auto"/>
        <w:rPr>
          <w:rFonts w:ascii="Franklin Gothic Book" w:hAnsi="Franklin Gothic Book" w:cstheme="minorHAnsi"/>
          <w:b/>
          <w:sz w:val="20"/>
          <w:szCs w:val="20"/>
        </w:rPr>
      </w:pPr>
      <w:r>
        <w:rPr>
          <w:rFonts w:ascii="Franklin Gothic Book" w:hAnsi="Franklin Gothic Book"/>
          <w:sz w:val="24"/>
          <w:szCs w:val="24"/>
          <w:rtl/>
          <w:lang w:bidi="ar"/>
        </w:rPr>
        <w:t xml:space="preserve">خلال فحص الطب الشرعي، توثِّق مُمرِّضة </w:t>
      </w:r>
      <w:r>
        <w:rPr>
          <w:rFonts w:ascii="Franklin Gothic Book" w:hAnsi="Franklin Gothic Book"/>
          <w:sz w:val="24"/>
          <w:szCs w:val="24"/>
        </w:rPr>
        <w:t>SANE</w:t>
      </w:r>
      <w:r>
        <w:rPr>
          <w:rFonts w:ascii="Franklin Gothic Book" w:hAnsi="Franklin Gothic Book"/>
          <w:sz w:val="24"/>
          <w:szCs w:val="24"/>
          <w:rtl/>
          <w:lang w:bidi="ar"/>
        </w:rPr>
        <w:t xml:space="preserve"> أو مُقدِّمة/مُقدِّم الرعاية الصحية روايتكِ لما حدث أثناء الاعتداء، إضافةً إلى تسجيل أي علامات مادية، كما يتم جمع أي أدلة قد تكون موجودة بعد التعرُّض إلى اعتداء جنسي.  يمكن استخدام هذه الأدلة باعتبارها جزء من تحقيقات جهات إنفاذ القانون.</w:t>
      </w:r>
    </w:p>
    <w:p w14:paraId="5592B39F" w14:textId="21394216" w:rsidR="00360F85" w:rsidRPr="00685088" w:rsidRDefault="00360F85" w:rsidP="00360F85">
      <w:pPr>
        <w:bidi/>
        <w:spacing w:after="0"/>
        <w:rPr>
          <w:rFonts w:ascii="Franklin Gothic Book" w:hAnsi="Franklin Gothic Book" w:cs="Calibri"/>
          <w:b/>
          <w:sz w:val="26"/>
          <w:szCs w:val="26"/>
        </w:rPr>
      </w:pPr>
      <w:r>
        <w:rPr>
          <w:rFonts w:ascii="Franklin Gothic Book" w:hAnsi="Franklin Gothic Book" w:cs="Calibri"/>
          <w:b/>
          <w:bCs/>
          <w:sz w:val="26"/>
          <w:szCs w:val="26"/>
          <w:rtl/>
          <w:lang w:bidi="ar"/>
        </w:rPr>
        <w:t>هل يجب عليّ الإبلاغ عن الاعتداء إلى الشرطة للحصول على فحص الطب الشرعي وجَمع الأدلة؟</w:t>
      </w:r>
    </w:p>
    <w:p w14:paraId="7801C60E"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sz w:val="24"/>
          <w:szCs w:val="24"/>
        </w:rPr>
      </w:pPr>
      <w:r>
        <w:rPr>
          <w:rFonts w:ascii="Franklin Gothic Book" w:hAnsi="Franklin Gothic Book"/>
          <w:sz w:val="24"/>
          <w:szCs w:val="24"/>
          <w:rtl/>
          <w:lang w:bidi="ar"/>
        </w:rPr>
        <w:t xml:space="preserve">لا — القرار يعود إليكِ بالكامل بشأن الإبلاغ إلى الشرطة. يمكنكِ إجراء فحص الطب الشرعي وجَمع الأدلة حتى لو لم تكوني متأكدة بعد من القرار الذي ستتخذينه لاحقًا. </w:t>
      </w:r>
    </w:p>
    <w:p w14:paraId="77180B7B" w14:textId="77777777" w:rsidR="00360F85" w:rsidRPr="00685088" w:rsidRDefault="00360F85" w:rsidP="00360F85">
      <w:pPr>
        <w:pStyle w:val="ListParagraph"/>
        <w:numPr>
          <w:ilvl w:val="0"/>
          <w:numId w:val="1"/>
        </w:numPr>
        <w:bidi/>
        <w:spacing w:after="240" w:line="240" w:lineRule="auto"/>
        <w:ind w:left="374" w:hanging="187"/>
        <w:rPr>
          <w:rFonts w:ascii="Franklin Gothic Book" w:hAnsi="Franklin Gothic Book" w:cstheme="minorHAnsi"/>
          <w:b/>
          <w:sz w:val="20"/>
          <w:szCs w:val="20"/>
        </w:rPr>
      </w:pPr>
      <w:r>
        <w:rPr>
          <w:rFonts w:ascii="Franklin Gothic Book" w:hAnsi="Franklin Gothic Book"/>
          <w:sz w:val="24"/>
          <w:szCs w:val="24"/>
          <w:rtl/>
          <w:lang w:bidi="ar"/>
        </w:rPr>
        <w:t>كما أن لديكِ الخيار أيضًا في الإبلاغ إلى الشرطة دون الحاجة إلى تلقِّي الرعاية الطبية أو إجراء فحص الطب الشرعي وجمع الأدلة.</w:t>
      </w:r>
    </w:p>
    <w:p w14:paraId="707D6C62" w14:textId="77777777" w:rsidR="00360F85" w:rsidRPr="00685088" w:rsidRDefault="00360F85" w:rsidP="00360F85">
      <w:pPr>
        <w:bidi/>
        <w:spacing w:after="0"/>
        <w:rPr>
          <w:rFonts w:ascii="Franklin Gothic Book" w:hAnsi="Franklin Gothic Book" w:cs="Calibri"/>
          <w:b/>
          <w:sz w:val="26"/>
          <w:szCs w:val="26"/>
        </w:rPr>
      </w:pPr>
      <w:r>
        <w:rPr>
          <w:rFonts w:ascii="Franklin Gothic Book" w:hAnsi="Franklin Gothic Book" w:cs="Calibri"/>
          <w:b/>
          <w:bCs/>
          <w:sz w:val="26"/>
          <w:szCs w:val="26"/>
          <w:rtl/>
          <w:lang w:bidi="ar"/>
        </w:rPr>
        <w:t>ما الذي يمكن أن أتوقعه خلال فحص الطب الشرعي وعملية جَمع الأدلة؟</w:t>
      </w:r>
    </w:p>
    <w:p w14:paraId="16B3F1CD"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sz w:val="24"/>
          <w:szCs w:val="24"/>
        </w:rPr>
      </w:pPr>
      <w:r>
        <w:rPr>
          <w:rFonts w:ascii="Franklin Gothic Book" w:hAnsi="Franklin Gothic Book"/>
          <w:sz w:val="24"/>
          <w:szCs w:val="24"/>
          <w:rtl/>
          <w:lang w:bidi="ar"/>
        </w:rPr>
        <w:t xml:space="preserve">سيُطرح عليكِ بعض الأسئلة حول الاعتداء، حتى تتمكّن مُمرِّضة </w:t>
      </w:r>
      <w:r>
        <w:rPr>
          <w:rFonts w:ascii="Franklin Gothic Book" w:hAnsi="Franklin Gothic Book"/>
          <w:sz w:val="24"/>
          <w:szCs w:val="24"/>
        </w:rPr>
        <w:t>SANE</w:t>
      </w:r>
      <w:r>
        <w:rPr>
          <w:rFonts w:ascii="Franklin Gothic Book" w:hAnsi="Franklin Gothic Book"/>
          <w:sz w:val="24"/>
          <w:szCs w:val="24"/>
          <w:rtl/>
          <w:lang w:bidi="ar"/>
        </w:rPr>
        <w:t xml:space="preserve"> أو مُقدِّم/مُقدِّمة الرعاية الصحية من تحديد الخطوات الأنسب التي يُنصح باتخاذها.</w:t>
      </w:r>
    </w:p>
    <w:p w14:paraId="1050053D"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sz w:val="24"/>
          <w:szCs w:val="24"/>
        </w:rPr>
      </w:pPr>
      <w:r>
        <w:rPr>
          <w:rFonts w:ascii="Franklin Gothic Book" w:hAnsi="Franklin Gothic Book"/>
          <w:sz w:val="24"/>
          <w:szCs w:val="24"/>
          <w:rtl/>
          <w:lang w:bidi="ar"/>
        </w:rPr>
        <w:t>تتضمَّن عملية جَمع الأدلة استخدام "حقيبة" الأدلة، وتمثل مجموعة من الخطوات خلال فحص الطب الشرعي لجَمع الأدلة من مناطق مختلفة من جسمكِ. قد يشمل هذا أخذ مسحات من أجزاء مختلفة من جسمكِ باستخدام أعواد قطنية. إذا وُجدت إصابات جسدية، فقد يكون تصويرها فوتوغرافيًا جزءًا اختياريًا من عملية جَمع الأدلة.</w:t>
      </w:r>
    </w:p>
    <w:p w14:paraId="68E5BEBD"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sz w:val="24"/>
          <w:szCs w:val="24"/>
        </w:rPr>
      </w:pPr>
      <w:r>
        <w:rPr>
          <w:rFonts w:ascii="Franklin Gothic Book" w:hAnsi="Franklin Gothic Book"/>
          <w:sz w:val="24"/>
          <w:szCs w:val="24"/>
          <w:rtl/>
          <w:lang w:bidi="ar"/>
        </w:rPr>
        <w:t>قد يُطلب منكِ أيضًا تسليم ملابسكِ إذا كان يُحتمل أن تحتوي على أدلة مرتبطة بالاعتداء الجنسي. في هذه الحالة، سيتم تزويدكِ بملابس لالترتديها.</w:t>
      </w:r>
    </w:p>
    <w:p w14:paraId="50D340BC"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sz w:val="24"/>
          <w:szCs w:val="24"/>
        </w:rPr>
      </w:pPr>
      <w:r>
        <w:rPr>
          <w:rFonts w:ascii="Franklin Gothic Book" w:hAnsi="Franklin Gothic Book"/>
          <w:sz w:val="24"/>
          <w:szCs w:val="24"/>
          <w:rtl/>
          <w:lang w:bidi="ar"/>
        </w:rPr>
        <w:t xml:space="preserve">قد يستغرق الفحص بضع ساعات، وذلك لضمان الإجابة على جميع أسئلتكِ، وتلبية احتياجاتكِ الطبية، وجَمع الأدلة وحفظها بطريقة صحيحة.  </w:t>
      </w:r>
    </w:p>
    <w:p w14:paraId="53675199" w14:textId="77777777" w:rsidR="00360F85" w:rsidRPr="00685088" w:rsidRDefault="00360F85" w:rsidP="00360F85">
      <w:pPr>
        <w:pStyle w:val="ListParagraph"/>
        <w:spacing w:after="0" w:line="240" w:lineRule="auto"/>
        <w:ind w:left="360"/>
        <w:rPr>
          <w:rFonts w:ascii="Franklin Gothic Book" w:hAnsi="Franklin Gothic Book"/>
          <w:sz w:val="24"/>
          <w:szCs w:val="24"/>
        </w:rPr>
      </w:pPr>
    </w:p>
    <w:p w14:paraId="3DB24A9A" w14:textId="77777777" w:rsidR="00360F85" w:rsidRPr="00D31C0A" w:rsidRDefault="00360F85" w:rsidP="00360F85">
      <w:pPr>
        <w:bidi/>
        <w:spacing w:after="0"/>
        <w:rPr>
          <w:rFonts w:ascii="Franklin Gothic Book" w:hAnsi="Franklin Gothic Book" w:cs="Calibri"/>
          <w:b/>
          <w:sz w:val="26"/>
          <w:szCs w:val="26"/>
        </w:rPr>
      </w:pPr>
      <w:r>
        <w:rPr>
          <w:rFonts w:ascii="Franklin Gothic Book" w:hAnsi="Franklin Gothic Book" w:cs="Calibri"/>
          <w:b/>
          <w:bCs/>
          <w:sz w:val="26"/>
          <w:szCs w:val="26"/>
          <w:rtl/>
          <w:lang w:bidi="ar"/>
        </w:rPr>
        <w:t>إلى أي مدى يمكنني السيطرة على الأمر أثناء فحص الطب الشرعي؟</w:t>
      </w:r>
    </w:p>
    <w:p w14:paraId="7BE4BE9F" w14:textId="77777777" w:rsidR="00360F85" w:rsidRPr="00685088" w:rsidRDefault="00360F85" w:rsidP="00360F85">
      <w:pPr>
        <w:bidi/>
        <w:spacing w:after="240" w:line="240" w:lineRule="auto"/>
        <w:ind w:left="187"/>
        <w:rPr>
          <w:rFonts w:ascii="Franklin Gothic Book" w:hAnsi="Franklin Gothic Book" w:cstheme="minorHAnsi"/>
          <w:b/>
          <w:sz w:val="20"/>
          <w:szCs w:val="20"/>
        </w:rPr>
      </w:pPr>
      <w:r>
        <w:rPr>
          <w:rFonts w:ascii="Franklin Gothic Book" w:hAnsi="Franklin Gothic Book"/>
          <w:sz w:val="24"/>
          <w:szCs w:val="24"/>
          <w:rtl/>
          <w:lang w:bidi="ar"/>
        </w:rPr>
        <w:t xml:space="preserve">أنتِ صاحبة القرار الكامل خلال الفحص. لا يُطلب منكِ أبدًا إكمال أي جزء من الفحص لا تشعرين بالراحة تجاهه. ستقوم مُمرِّضة </w:t>
      </w:r>
      <w:r>
        <w:rPr>
          <w:rFonts w:ascii="Franklin Gothic Book" w:hAnsi="Franklin Gothic Book"/>
          <w:sz w:val="24"/>
          <w:szCs w:val="24"/>
        </w:rPr>
        <w:t>SANE</w:t>
      </w:r>
      <w:r>
        <w:rPr>
          <w:rFonts w:ascii="Franklin Gothic Book" w:hAnsi="Franklin Gothic Book"/>
          <w:sz w:val="24"/>
          <w:szCs w:val="24"/>
          <w:rtl/>
          <w:lang w:bidi="ar"/>
        </w:rPr>
        <w:t xml:space="preserve"> أو مُقدِّم/مُقدِّمة الرعاية الصحية بشرح كل خطوة من خطوات الفحص إليكِ، ويمكنكِ في أي وقت الموافقة على أي جزء أو رفضه. إذا بدأتِ الفحص ثم قررتِ أخذ استراحة أو التوقف، فهذا أمر طبيعي ومسموح به تمامًا.</w:t>
      </w:r>
    </w:p>
    <w:p w14:paraId="1171E14F" w14:textId="77777777" w:rsidR="00360F85" w:rsidRPr="00D31C0A" w:rsidRDefault="00360F85" w:rsidP="00360F85">
      <w:pPr>
        <w:bidi/>
        <w:spacing w:after="0"/>
        <w:rPr>
          <w:rFonts w:ascii="Franklin Gothic Book" w:hAnsi="Franklin Gothic Book" w:cs="Calibri"/>
          <w:b/>
          <w:sz w:val="26"/>
          <w:szCs w:val="26"/>
        </w:rPr>
      </w:pPr>
      <w:r>
        <w:rPr>
          <w:rFonts w:ascii="Franklin Gothic Book" w:hAnsi="Franklin Gothic Book" w:cs="Calibri"/>
          <w:b/>
          <w:bCs/>
          <w:sz w:val="26"/>
          <w:szCs w:val="26"/>
          <w:rtl/>
          <w:lang w:bidi="ar"/>
        </w:rPr>
        <w:t>ما الإجراء الذي يتم اتخاذه بشأن الأدلة؟</w:t>
      </w:r>
    </w:p>
    <w:p w14:paraId="58DD5DCD"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b/>
          <w:sz w:val="24"/>
          <w:szCs w:val="24"/>
        </w:rPr>
      </w:pPr>
      <w:r>
        <w:rPr>
          <w:rFonts w:ascii="Franklin Gothic Book" w:hAnsi="Franklin Gothic Book"/>
          <w:sz w:val="24"/>
          <w:szCs w:val="24"/>
          <w:rtl/>
          <w:lang w:bidi="ar"/>
        </w:rPr>
        <w:t>إذا قررتِ الإبلاغ عن الاعتداء إلى الشرطة، يتم نقل حقيبة الأدلة الخاصة بكِ إلى مختبر الأدلة الجنائية، وذلك ليتم تحليلها.</w:t>
      </w:r>
    </w:p>
    <w:p w14:paraId="3F6473F7" w14:textId="77777777" w:rsidR="00360F85" w:rsidRPr="00685088" w:rsidRDefault="00360F85" w:rsidP="00360F85">
      <w:pPr>
        <w:pStyle w:val="ListParagraph"/>
        <w:numPr>
          <w:ilvl w:val="0"/>
          <w:numId w:val="1"/>
        </w:numPr>
        <w:bidi/>
        <w:spacing w:after="0" w:line="240" w:lineRule="auto"/>
        <w:ind w:left="360" w:hanging="180"/>
        <w:rPr>
          <w:rFonts w:ascii="Franklin Gothic Book" w:hAnsi="Franklin Gothic Book"/>
          <w:b/>
          <w:sz w:val="24"/>
          <w:szCs w:val="24"/>
        </w:rPr>
      </w:pPr>
      <w:r>
        <w:rPr>
          <w:rFonts w:ascii="Franklin Gothic Book" w:hAnsi="Franklin Gothic Book"/>
          <w:sz w:val="24"/>
          <w:szCs w:val="24"/>
          <w:rtl/>
          <w:lang w:bidi="ar"/>
        </w:rPr>
        <w:t xml:space="preserve">إذا قررتِ </w:t>
      </w:r>
      <w:r>
        <w:rPr>
          <w:rFonts w:ascii="Franklin Gothic Book" w:hAnsi="Franklin Gothic Book"/>
          <w:b/>
          <w:bCs/>
          <w:sz w:val="24"/>
          <w:szCs w:val="24"/>
          <w:rtl/>
          <w:lang w:bidi="ar"/>
        </w:rPr>
        <w:t>عدم</w:t>
      </w:r>
      <w:r>
        <w:rPr>
          <w:rFonts w:ascii="Franklin Gothic Book" w:hAnsi="Franklin Gothic Book"/>
          <w:sz w:val="24"/>
          <w:szCs w:val="24"/>
          <w:rtl/>
          <w:lang w:bidi="ar"/>
        </w:rPr>
        <w:t xml:space="preserve"> الإبلاغ عن الاعتداء إلى الشرطة، فيتم حينها نقل حقيبة الأدلة الخاصة بكِ إلى مكان آمن، لكن </w:t>
      </w:r>
      <w:r>
        <w:rPr>
          <w:rFonts w:ascii="Franklin Gothic Book" w:hAnsi="Franklin Gothic Book"/>
          <w:b/>
          <w:bCs/>
          <w:sz w:val="24"/>
          <w:szCs w:val="24"/>
          <w:rtl/>
          <w:lang w:bidi="ar"/>
        </w:rPr>
        <w:t>لن</w:t>
      </w:r>
      <w:r>
        <w:rPr>
          <w:rFonts w:ascii="Franklin Gothic Book" w:hAnsi="Franklin Gothic Book"/>
          <w:sz w:val="24"/>
          <w:szCs w:val="24"/>
          <w:rtl/>
          <w:lang w:bidi="ar"/>
        </w:rPr>
        <w:t xml:space="preserve"> يتم تحليلها. ويتم حفظها لمدة لا تقل عن 15 عامًا. وإذا قررتِ لاحقًا الإبلاغ عن الاعتداء إلى الشرطة، فسيتم تحليل جميع الأدلة الخاصة بكِ في ذلك الوقت.</w:t>
      </w:r>
    </w:p>
    <w:p w14:paraId="0BC19331" w14:textId="77777777" w:rsidR="00360F85" w:rsidRPr="00685088" w:rsidRDefault="00360F85" w:rsidP="00360F85">
      <w:pPr>
        <w:pStyle w:val="ListParagraph"/>
        <w:numPr>
          <w:ilvl w:val="0"/>
          <w:numId w:val="1"/>
        </w:numPr>
        <w:bidi/>
        <w:spacing w:after="0" w:line="240" w:lineRule="auto"/>
        <w:ind w:left="374" w:hanging="187"/>
        <w:rPr>
          <w:rFonts w:ascii="Franklin Gothic Book" w:hAnsi="Franklin Gothic Book"/>
          <w:b/>
          <w:sz w:val="24"/>
          <w:szCs w:val="24"/>
        </w:rPr>
      </w:pPr>
      <w:r>
        <w:rPr>
          <w:rFonts w:ascii="Franklin Gothic Book" w:hAnsi="Franklin Gothic Book"/>
          <w:sz w:val="24"/>
          <w:szCs w:val="24"/>
          <w:rtl/>
          <w:lang w:bidi="ar"/>
        </w:rPr>
        <w:t xml:space="preserve">في حال تم إعداد حقيبة الأدلة، فسيتم تزويدكِ بمعلومات تساعدكِ في تتبُّع موقعها — </w:t>
      </w:r>
      <w:r>
        <w:rPr>
          <w:rFonts w:ascii="Franklin Gothic Book" w:hAnsi="Franklin Gothic Book"/>
          <w:b/>
          <w:bCs/>
          <w:sz w:val="24"/>
          <w:szCs w:val="24"/>
          <w:rtl/>
          <w:lang w:bidi="ar"/>
        </w:rPr>
        <w:t>سواء قررتِ</w:t>
      </w:r>
      <w:r>
        <w:rPr>
          <w:rFonts w:ascii="Franklin Gothic Book" w:hAnsi="Franklin Gothic Book"/>
          <w:sz w:val="24"/>
          <w:szCs w:val="24"/>
          <w:rtl/>
          <w:lang w:bidi="ar"/>
        </w:rPr>
        <w:t xml:space="preserve"> الإبلاغ عن الاعتداء إلى الشرطة </w:t>
      </w:r>
      <w:r>
        <w:rPr>
          <w:rFonts w:ascii="Franklin Gothic Book" w:hAnsi="Franklin Gothic Book"/>
          <w:b/>
          <w:bCs/>
          <w:sz w:val="24"/>
          <w:szCs w:val="24"/>
          <w:rtl/>
          <w:lang w:bidi="ar"/>
        </w:rPr>
        <w:t>أم لا</w:t>
      </w:r>
      <w:r>
        <w:rPr>
          <w:rFonts w:ascii="Franklin Gothic Book" w:hAnsi="Franklin Gothic Book"/>
          <w:sz w:val="24"/>
          <w:szCs w:val="24"/>
          <w:rtl/>
          <w:lang w:bidi="ar"/>
        </w:rPr>
        <w:t xml:space="preserve">. </w:t>
      </w:r>
    </w:p>
    <w:p w14:paraId="69CD7E62" w14:textId="77777777" w:rsidR="00674D3D" w:rsidRPr="00685088" w:rsidRDefault="00674D3D" w:rsidP="00674D3D">
      <w:pPr>
        <w:pStyle w:val="ListParagraph"/>
        <w:spacing w:after="0" w:line="240" w:lineRule="auto"/>
        <w:ind w:left="374"/>
        <w:rPr>
          <w:rFonts w:ascii="Franklin Gothic Book" w:hAnsi="Franklin Gothic Book"/>
          <w:b/>
          <w:sz w:val="24"/>
          <w:szCs w:val="24"/>
        </w:rPr>
      </w:pPr>
    </w:p>
    <w:sectPr w:rsidR="00674D3D" w:rsidRPr="00685088" w:rsidSect="00685088">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7DF3" w14:textId="77777777" w:rsidR="009E49F7" w:rsidRDefault="009E49F7" w:rsidP="00360F85">
      <w:pPr>
        <w:spacing w:after="0" w:line="240" w:lineRule="auto"/>
      </w:pPr>
      <w:r>
        <w:separator/>
      </w:r>
    </w:p>
  </w:endnote>
  <w:endnote w:type="continuationSeparator" w:id="0">
    <w:p w14:paraId="06804EE0" w14:textId="77777777" w:rsidR="009E49F7" w:rsidRDefault="009E49F7" w:rsidP="0036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DFA5" w14:textId="5D5A1401" w:rsidR="00685088" w:rsidRPr="00685088" w:rsidRDefault="00685088" w:rsidP="00685088">
    <w:pPr>
      <w:bidi/>
      <w:spacing w:after="0" w:line="240" w:lineRule="auto"/>
      <w:rPr>
        <w:rFonts w:ascii="Franklin Gothic Book" w:hAnsi="Franklin Gothic Book" w:cstheme="minorHAnsi"/>
        <w:b/>
        <w:sz w:val="20"/>
        <w:szCs w:val="20"/>
      </w:rPr>
    </w:pPr>
    <w:r>
      <w:rPr>
        <w:rFonts w:ascii="Franklin Gothic Book" w:hAnsi="Franklin Gothic Book"/>
        <w:b/>
        <w:bCs/>
        <w:sz w:val="20"/>
        <w:szCs w:val="20"/>
        <w:rtl/>
        <w:lang w:bidi="ar"/>
      </w:rPr>
      <w:t>يمكنكِ العثور على مزيد من المعلومات حول برنامج مُمرِّضة فحص الاعتداء الجنسي في ماساتشوستس (</w:t>
    </w:r>
    <w:r>
      <w:rPr>
        <w:rFonts w:ascii="Franklin Gothic Book" w:hAnsi="Franklin Gothic Book"/>
        <w:b/>
        <w:bCs/>
        <w:sz w:val="20"/>
        <w:szCs w:val="20"/>
      </w:rPr>
      <w:t>MA SANE</w:t>
    </w:r>
    <w:r>
      <w:rPr>
        <w:rFonts w:ascii="Franklin Gothic Book" w:hAnsi="Franklin Gothic Book"/>
        <w:b/>
        <w:bCs/>
        <w:sz w:val="20"/>
        <w:szCs w:val="20"/>
        <w:rtl/>
        <w:lang w:bidi="ar"/>
      </w:rPr>
      <w:t>) في الرابط هنا:</w:t>
    </w:r>
    <w:r>
      <w:rPr>
        <w:rFonts w:ascii="Franklin Gothic Book" w:hAnsi="Franklin Gothic Book"/>
        <w:sz w:val="20"/>
        <w:szCs w:val="20"/>
        <w:rtl/>
        <w:lang w:bidi="ar"/>
      </w:rPr>
      <w:t xml:space="preserve"> </w:t>
    </w:r>
    <w:hyperlink r:id="rId1" w:history="1">
      <w:r>
        <w:rPr>
          <w:rStyle w:val="Hyperlink"/>
          <w:rFonts w:ascii="Franklin Gothic Book" w:hAnsi="Franklin Gothic Book"/>
          <w:sz w:val="20"/>
          <w:szCs w:val="20"/>
        </w:rPr>
        <w:t>mass.gov/sane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3A15" w14:textId="77777777" w:rsidR="009E49F7" w:rsidRDefault="009E49F7" w:rsidP="00360F85">
      <w:pPr>
        <w:spacing w:after="0" w:line="240" w:lineRule="auto"/>
      </w:pPr>
      <w:r>
        <w:separator/>
      </w:r>
    </w:p>
  </w:footnote>
  <w:footnote w:type="continuationSeparator" w:id="0">
    <w:p w14:paraId="40C174A2" w14:textId="77777777" w:rsidR="009E49F7" w:rsidRDefault="009E49F7" w:rsidP="00360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D2C32"/>
    <w:multiLevelType w:val="hybridMultilevel"/>
    <w:tmpl w:val="88107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9802139">
    <w:abstractNumId w:val="1"/>
  </w:num>
  <w:num w:numId="2" w16cid:durableId="732001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5"/>
    <w:rsid w:val="00046CCD"/>
    <w:rsid w:val="00095910"/>
    <w:rsid w:val="0013390F"/>
    <w:rsid w:val="00270943"/>
    <w:rsid w:val="002739F8"/>
    <w:rsid w:val="00360F85"/>
    <w:rsid w:val="00674D3D"/>
    <w:rsid w:val="00683DA6"/>
    <w:rsid w:val="00685088"/>
    <w:rsid w:val="008632C2"/>
    <w:rsid w:val="00914C01"/>
    <w:rsid w:val="00991E53"/>
    <w:rsid w:val="009E49F7"/>
    <w:rsid w:val="009F5981"/>
    <w:rsid w:val="00B24D15"/>
    <w:rsid w:val="00D31C0A"/>
    <w:rsid w:val="00E4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33DB1"/>
  <w15:chartTrackingRefBased/>
  <w15:docId w15:val="{429C5F5C-3806-4B28-8508-3F4AA614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8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60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F85"/>
    <w:rPr>
      <w:rFonts w:eastAsiaTheme="majorEastAsia" w:cstheme="majorBidi"/>
      <w:color w:val="272727" w:themeColor="text1" w:themeTint="D8"/>
    </w:rPr>
  </w:style>
  <w:style w:type="paragraph" w:styleId="Title">
    <w:name w:val="Title"/>
    <w:basedOn w:val="Normal"/>
    <w:next w:val="Normal"/>
    <w:link w:val="TitleChar"/>
    <w:uiPriority w:val="10"/>
    <w:qFormat/>
    <w:rsid w:val="00360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F85"/>
    <w:pPr>
      <w:spacing w:before="160"/>
      <w:jc w:val="center"/>
    </w:pPr>
    <w:rPr>
      <w:i/>
      <w:iCs/>
      <w:color w:val="404040" w:themeColor="text1" w:themeTint="BF"/>
    </w:rPr>
  </w:style>
  <w:style w:type="character" w:customStyle="1" w:styleId="QuoteChar">
    <w:name w:val="Quote Char"/>
    <w:basedOn w:val="DefaultParagraphFont"/>
    <w:link w:val="Quote"/>
    <w:uiPriority w:val="29"/>
    <w:rsid w:val="00360F85"/>
    <w:rPr>
      <w:i/>
      <w:iCs/>
      <w:color w:val="404040" w:themeColor="text1" w:themeTint="BF"/>
    </w:rPr>
  </w:style>
  <w:style w:type="paragraph" w:styleId="ListParagraph">
    <w:name w:val="List Paragraph"/>
    <w:basedOn w:val="Normal"/>
    <w:uiPriority w:val="34"/>
    <w:qFormat/>
    <w:rsid w:val="00360F85"/>
    <w:pPr>
      <w:ind w:left="720"/>
      <w:contextualSpacing/>
    </w:pPr>
  </w:style>
  <w:style w:type="character" w:styleId="IntenseEmphasis">
    <w:name w:val="Intense Emphasis"/>
    <w:basedOn w:val="DefaultParagraphFont"/>
    <w:uiPriority w:val="21"/>
    <w:qFormat/>
    <w:rsid w:val="00360F85"/>
    <w:rPr>
      <w:i/>
      <w:iCs/>
      <w:color w:val="0F4761" w:themeColor="accent1" w:themeShade="BF"/>
    </w:rPr>
  </w:style>
  <w:style w:type="paragraph" w:styleId="IntenseQuote">
    <w:name w:val="Intense Quote"/>
    <w:basedOn w:val="Normal"/>
    <w:next w:val="Normal"/>
    <w:link w:val="IntenseQuoteChar"/>
    <w:uiPriority w:val="30"/>
    <w:qFormat/>
    <w:rsid w:val="00360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85"/>
    <w:rPr>
      <w:i/>
      <w:iCs/>
      <w:color w:val="0F4761" w:themeColor="accent1" w:themeShade="BF"/>
    </w:rPr>
  </w:style>
  <w:style w:type="character" w:styleId="IntenseReference">
    <w:name w:val="Intense Reference"/>
    <w:basedOn w:val="DefaultParagraphFont"/>
    <w:uiPriority w:val="32"/>
    <w:qFormat/>
    <w:rsid w:val="00360F85"/>
    <w:rPr>
      <w:b/>
      <w:bCs/>
      <w:smallCaps/>
      <w:color w:val="0F4761" w:themeColor="accent1" w:themeShade="BF"/>
      <w:spacing w:val="5"/>
    </w:rPr>
  </w:style>
  <w:style w:type="paragraph" w:styleId="Header">
    <w:name w:val="header"/>
    <w:basedOn w:val="Normal"/>
    <w:link w:val="HeaderChar"/>
    <w:uiPriority w:val="99"/>
    <w:unhideWhenUsed/>
    <w:rsid w:val="00360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F85"/>
    <w:rPr>
      <w:kern w:val="0"/>
      <w:sz w:val="22"/>
      <w:szCs w:val="22"/>
      <w14:ligatures w14:val="none"/>
    </w:rPr>
  </w:style>
  <w:style w:type="paragraph" w:styleId="Footer">
    <w:name w:val="footer"/>
    <w:basedOn w:val="Normal"/>
    <w:link w:val="FooterChar"/>
    <w:uiPriority w:val="99"/>
    <w:unhideWhenUsed/>
    <w:rsid w:val="00360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85"/>
    <w:rPr>
      <w:kern w:val="0"/>
      <w:sz w:val="22"/>
      <w:szCs w:val="22"/>
      <w14:ligatures w14:val="none"/>
    </w:rPr>
  </w:style>
  <w:style w:type="character" w:styleId="Hyperlink">
    <w:name w:val="Hyperlink"/>
    <w:basedOn w:val="DefaultParagraphFont"/>
    <w:uiPriority w:val="99"/>
    <w:unhideWhenUsed/>
    <w:rsid w:val="00360F8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5c3dbd32c79dbd8364076d30fed8ffc2">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a4ed7e59b481955229c6f3feb48ec22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604a11-593c-4e27-8a81-6f0d0194ba31">
      <Terms xmlns="http://schemas.microsoft.com/office/infopath/2007/PartnerControls"/>
    </lcf76f155ced4ddcb4097134ff3c332f>
    <TaxCatchAll xmlns="95ef8656-e447-4bec-ba7d-ca56376bee35" xsi:nil="true"/>
  </documentManagement>
</p:properties>
</file>

<file path=customXml/itemProps1.xml><?xml version="1.0" encoding="utf-8"?>
<ds:datastoreItem xmlns:ds="http://schemas.openxmlformats.org/officeDocument/2006/customXml" ds:itemID="{EFE5878C-0A83-4680-9A42-C1B1D96C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80E0D-C101-4816-A3B1-296ED67C7527}">
  <ds:schemaRefs>
    <ds:schemaRef ds:uri="http://schemas.microsoft.com/sharepoint/v3/contenttype/forms"/>
  </ds:schemaRefs>
</ds:datastoreItem>
</file>

<file path=customXml/itemProps3.xml><?xml version="1.0" encoding="utf-8"?>
<ds:datastoreItem xmlns:ds="http://schemas.openxmlformats.org/officeDocument/2006/customXml" ds:itemID="{324C2752-B713-4008-BCE5-9D727F8FE9E5}">
  <ds:schemaRefs>
    <ds:schemaRef ds:uri="http://schemas.microsoft.com/office/2006/metadata/properties"/>
    <ds:schemaRef ds:uri="http://schemas.microsoft.com/office/infopath/2007/PartnerControls"/>
    <ds:schemaRef ds:uri="a6604a11-593c-4e27-8a81-6f0d0194ba31"/>
    <ds:schemaRef ds:uri="95ef8656-e447-4bec-ba7d-ca56376bee3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Joan (DPH)</dc:creator>
  <cp:keywords/>
  <dc:description/>
  <cp:lastModifiedBy>Harrison, Deborah (EHS)</cp:lastModifiedBy>
  <cp:revision>2</cp:revision>
  <dcterms:created xsi:type="dcterms:W3CDTF">2026-05-18T16:35:00Z</dcterms:created>
  <dcterms:modified xsi:type="dcterms:W3CDTF">2026-05-18T16:35:00Z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