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C234" w14:textId="6F7F8035" w:rsidR="00DA0A6D" w:rsidRPr="004B5047" w:rsidRDefault="0005464C" w:rsidP="00C219E9">
      <w:pPr>
        <w:pStyle w:val="NoSpacing"/>
        <w:jc w:val="center"/>
        <w:rPr>
          <w:rFonts w:ascii="Aptos" w:hAnsi="Aptos"/>
        </w:rPr>
      </w:pPr>
      <w:r>
        <w:rPr>
          <w:noProof/>
        </w:rPr>
        <w:drawing>
          <wp:inline distT="0" distB="0" distL="0" distR="0" wp14:anchorId="1422516A" wp14:editId="17D78F03">
            <wp:extent cx="1389707" cy="1588236"/>
            <wp:effectExtent l="0" t="0" r="127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780" cy="1594034"/>
                    </a:xfrm>
                    <a:prstGeom prst="rect">
                      <a:avLst/>
                    </a:prstGeom>
                    <a:noFill/>
                    <a:ln>
                      <a:noFill/>
                    </a:ln>
                  </pic:spPr>
                </pic:pic>
              </a:graphicData>
            </a:graphic>
          </wp:inline>
        </w:drawing>
      </w:r>
    </w:p>
    <w:p w14:paraId="42B5058E" w14:textId="77777777" w:rsidR="00DA0A6D" w:rsidRPr="004B5047" w:rsidRDefault="00DA0A6D" w:rsidP="00DA0A6D">
      <w:pPr>
        <w:pStyle w:val="NoSpacing"/>
        <w:rPr>
          <w:rFonts w:ascii="Aptos" w:hAnsi="Aptos"/>
        </w:rPr>
      </w:pPr>
    </w:p>
    <w:p w14:paraId="35A2E90F" w14:textId="35D6DFF6" w:rsidR="00DA0A6D" w:rsidRPr="004B5047" w:rsidRDefault="00DA0A6D" w:rsidP="00DA0A6D">
      <w:pPr>
        <w:pStyle w:val="NoSpacing"/>
        <w:rPr>
          <w:rFonts w:ascii="Aptos" w:hAnsi="Aptos" w:cs="Arial"/>
        </w:rPr>
      </w:pPr>
      <w:r w:rsidRPr="004B5047">
        <w:rPr>
          <w:rFonts w:ascii="Aptos" w:hAnsi="Aptos" w:cs="Arial"/>
        </w:rPr>
        <w:t xml:space="preserve">July </w:t>
      </w:r>
      <w:r w:rsidR="005854F9" w:rsidRPr="004B5047">
        <w:rPr>
          <w:rFonts w:ascii="Aptos" w:hAnsi="Aptos" w:cs="Arial"/>
        </w:rPr>
        <w:t>2</w:t>
      </w:r>
      <w:r w:rsidR="005854F9">
        <w:rPr>
          <w:rFonts w:ascii="Aptos" w:hAnsi="Aptos" w:cs="Arial"/>
        </w:rPr>
        <w:t>7</w:t>
      </w:r>
      <w:r w:rsidRPr="004B5047">
        <w:rPr>
          <w:rFonts w:ascii="Aptos" w:hAnsi="Aptos" w:cs="Arial"/>
        </w:rPr>
        <w:t>, 2026</w:t>
      </w:r>
    </w:p>
    <w:p w14:paraId="45D3C16F" w14:textId="77777777" w:rsidR="00DA0A6D" w:rsidRPr="004B5047" w:rsidRDefault="00DA0A6D" w:rsidP="00DA0A6D">
      <w:pPr>
        <w:pStyle w:val="NoSpacing"/>
        <w:rPr>
          <w:rFonts w:ascii="Aptos" w:hAnsi="Aptos" w:cstheme="minorHAnsi"/>
          <w:color w:val="000000" w:themeColor="text1"/>
        </w:rPr>
      </w:pPr>
    </w:p>
    <w:p w14:paraId="67B0A91F" w14:textId="77777777"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u w:val="single"/>
        </w:rPr>
        <w:t>Electronically submitted via email at:</w:t>
      </w:r>
      <w:r w:rsidRPr="004B5047">
        <w:rPr>
          <w:rFonts w:ascii="Aptos" w:hAnsi="Aptos" w:cstheme="minorHAnsi"/>
          <w:b/>
          <w:bCs/>
          <w:color w:val="000000" w:themeColor="text1"/>
          <w:u w:val="single"/>
        </w:rPr>
        <w:t xml:space="preserve"> </w:t>
      </w:r>
      <w:hyperlink r:id="rId9" w:history="1">
        <w:r w:rsidRPr="004B5047">
          <w:rPr>
            <w:rStyle w:val="Hyperlink"/>
            <w:rFonts w:ascii="Aptos" w:hAnsi="Aptos" w:cstheme="minorHAnsi"/>
            <w:b/>
            <w:bCs/>
          </w:rPr>
          <w:t>Reg.Testimony@mass.gov</w:t>
        </w:r>
      </w:hyperlink>
      <w:r w:rsidRPr="004B5047">
        <w:rPr>
          <w:rFonts w:ascii="Aptos" w:hAnsi="Aptos" w:cstheme="minorHAnsi"/>
          <w:b/>
          <w:bCs/>
          <w:color w:val="000000" w:themeColor="text1"/>
          <w:u w:val="single"/>
        </w:rPr>
        <w:t xml:space="preserve"> </w:t>
      </w:r>
    </w:p>
    <w:p w14:paraId="7F54F661" w14:textId="77777777" w:rsidR="00DA0A6D" w:rsidRPr="004B5047" w:rsidRDefault="00DA0A6D" w:rsidP="00DA0A6D">
      <w:pPr>
        <w:pStyle w:val="NoSpacing"/>
        <w:rPr>
          <w:rFonts w:ascii="Aptos" w:hAnsi="Aptos" w:cstheme="minorHAnsi"/>
          <w:color w:val="000000" w:themeColor="text1"/>
        </w:rPr>
      </w:pPr>
    </w:p>
    <w:p w14:paraId="797CEB8F" w14:textId="77777777" w:rsidR="00DA0A6D" w:rsidRPr="004B5047" w:rsidRDefault="00DA0A6D" w:rsidP="00DA0A6D">
      <w:pPr>
        <w:pStyle w:val="NoSpacing"/>
        <w:rPr>
          <w:rFonts w:ascii="Aptos" w:hAnsi="Aptos"/>
        </w:rPr>
      </w:pPr>
      <w:r w:rsidRPr="004B5047">
        <w:rPr>
          <w:rFonts w:ascii="Aptos" w:hAnsi="Aptos"/>
        </w:rPr>
        <w:t>William Anderson</w:t>
      </w:r>
    </w:p>
    <w:p w14:paraId="4865C4C2" w14:textId="77777777" w:rsidR="00DA0A6D" w:rsidRPr="004B5047" w:rsidRDefault="00DA0A6D" w:rsidP="00DA0A6D">
      <w:pPr>
        <w:pStyle w:val="NoSpacing"/>
        <w:rPr>
          <w:rFonts w:ascii="Aptos" w:hAnsi="Aptos"/>
        </w:rPr>
      </w:pPr>
      <w:r w:rsidRPr="004B5047">
        <w:rPr>
          <w:rFonts w:ascii="Aptos" w:hAnsi="Aptos"/>
        </w:rPr>
        <w:t>Office of the General Counsel</w:t>
      </w:r>
    </w:p>
    <w:p w14:paraId="033A3167" w14:textId="77777777" w:rsidR="00DA0A6D" w:rsidRPr="004B5047" w:rsidRDefault="00DA0A6D" w:rsidP="00DA0A6D">
      <w:pPr>
        <w:pStyle w:val="NoSpacing"/>
        <w:rPr>
          <w:rFonts w:ascii="Aptos" w:hAnsi="Aptos"/>
        </w:rPr>
      </w:pPr>
      <w:r w:rsidRPr="004B5047">
        <w:rPr>
          <w:rFonts w:ascii="Aptos" w:hAnsi="Aptos"/>
        </w:rPr>
        <w:t>Department of Public Health</w:t>
      </w:r>
    </w:p>
    <w:p w14:paraId="6A85F79C" w14:textId="77777777" w:rsidR="00DA0A6D" w:rsidRPr="004B5047" w:rsidRDefault="00DA0A6D" w:rsidP="00DA0A6D">
      <w:pPr>
        <w:pStyle w:val="NoSpacing"/>
        <w:rPr>
          <w:rFonts w:ascii="Aptos" w:hAnsi="Aptos"/>
        </w:rPr>
      </w:pPr>
      <w:r w:rsidRPr="004B5047">
        <w:rPr>
          <w:rFonts w:ascii="Aptos" w:hAnsi="Aptos"/>
        </w:rPr>
        <w:t>250 Washington Street</w:t>
      </w:r>
    </w:p>
    <w:p w14:paraId="3079088C" w14:textId="77777777" w:rsidR="00DA0A6D" w:rsidRPr="004B5047" w:rsidRDefault="00DA0A6D" w:rsidP="00DA0A6D">
      <w:pPr>
        <w:pStyle w:val="NoSpacing"/>
        <w:rPr>
          <w:rFonts w:ascii="Aptos" w:hAnsi="Aptos"/>
        </w:rPr>
      </w:pPr>
      <w:r w:rsidRPr="004B5047">
        <w:rPr>
          <w:rFonts w:ascii="Aptos" w:hAnsi="Aptos"/>
        </w:rPr>
        <w:t>Boston, MA 02108</w:t>
      </w:r>
    </w:p>
    <w:p w14:paraId="2E49AA6B" w14:textId="77777777" w:rsidR="00DA0A6D" w:rsidRPr="004B5047" w:rsidRDefault="00DA0A6D" w:rsidP="00DA0A6D">
      <w:pPr>
        <w:pStyle w:val="NoSpacing"/>
        <w:rPr>
          <w:rFonts w:ascii="Aptos" w:hAnsi="Aptos" w:cstheme="minorHAnsi"/>
          <w:color w:val="000000" w:themeColor="text1"/>
        </w:rPr>
      </w:pPr>
    </w:p>
    <w:p w14:paraId="5B1B9041" w14:textId="77777777" w:rsidR="00DA0A6D" w:rsidRPr="004B5047" w:rsidRDefault="00DA0A6D" w:rsidP="00DA0A6D">
      <w:pPr>
        <w:pStyle w:val="NoSpacing"/>
        <w:rPr>
          <w:rFonts w:ascii="Aptos" w:hAnsi="Aptos" w:cstheme="minorHAnsi"/>
          <w:color w:val="000000" w:themeColor="text1"/>
        </w:rPr>
      </w:pPr>
    </w:p>
    <w:p w14:paraId="4B79EF18" w14:textId="2755AD0A" w:rsidR="00DA0A6D" w:rsidRPr="00125F77" w:rsidRDefault="00DA0A6D" w:rsidP="00125F77">
      <w:pPr>
        <w:pStyle w:val="Heading1"/>
        <w:rPr>
          <w:rStyle w:val="Strong"/>
          <w:color w:val="000000" w:themeColor="text1"/>
          <w:sz w:val="22"/>
          <w:szCs w:val="22"/>
        </w:rPr>
      </w:pPr>
      <w:r w:rsidRPr="00125F77">
        <w:rPr>
          <w:rStyle w:val="Strong"/>
          <w:color w:val="000000" w:themeColor="text1"/>
          <w:sz w:val="22"/>
          <w:szCs w:val="22"/>
        </w:rPr>
        <w:t xml:space="preserve">Re: </w:t>
      </w:r>
      <w:r w:rsidR="0028379F" w:rsidRPr="00125F77">
        <w:rPr>
          <w:rStyle w:val="Strong"/>
          <w:color w:val="000000" w:themeColor="text1"/>
          <w:sz w:val="22"/>
          <w:szCs w:val="22"/>
        </w:rPr>
        <w:t>ACA International testimony regarding the proposed promulgation of 105 CMR 95.00 Requirements Applicable to All Health Care Facilities and Providers Licensed by the Department of Public Health</w:t>
      </w:r>
      <w:r w:rsidR="00B212B6" w:rsidRPr="00125F77">
        <w:rPr>
          <w:rStyle w:val="Strong"/>
          <w:color w:val="000000" w:themeColor="text1"/>
          <w:sz w:val="22"/>
          <w:szCs w:val="22"/>
        </w:rPr>
        <w:t>.</w:t>
      </w:r>
    </w:p>
    <w:p w14:paraId="1FD651A0" w14:textId="77777777" w:rsidR="00DA0A6D" w:rsidRPr="004B5047" w:rsidRDefault="00DA0A6D" w:rsidP="00DA0A6D">
      <w:pPr>
        <w:pStyle w:val="NoSpacing"/>
        <w:rPr>
          <w:rFonts w:ascii="Aptos" w:hAnsi="Aptos" w:cstheme="minorHAnsi"/>
          <w:color w:val="000000" w:themeColor="text1"/>
        </w:rPr>
      </w:pPr>
    </w:p>
    <w:p w14:paraId="7C061BCC" w14:textId="77777777"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Dear Mr. Anderson:</w:t>
      </w:r>
    </w:p>
    <w:p w14:paraId="1165558D" w14:textId="77777777" w:rsidR="00DA0A6D" w:rsidRPr="004B5047" w:rsidRDefault="00DA0A6D" w:rsidP="00DA0A6D">
      <w:pPr>
        <w:pStyle w:val="NoSpacing"/>
        <w:rPr>
          <w:rFonts w:ascii="Aptos" w:hAnsi="Aptos" w:cstheme="minorHAnsi"/>
          <w:color w:val="000000" w:themeColor="text1"/>
        </w:rPr>
      </w:pPr>
    </w:p>
    <w:p w14:paraId="778FC02F" w14:textId="69786A01"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 xml:space="preserve">On behalf of ACA International, the Association of Credit and Collection Professionals, I would like to thank the Department of Public Health for </w:t>
      </w:r>
      <w:r w:rsidR="00B42C80" w:rsidRPr="004B5047">
        <w:rPr>
          <w:rFonts w:ascii="Aptos" w:hAnsi="Aptos" w:cstheme="minorHAnsi"/>
          <w:color w:val="000000" w:themeColor="text1"/>
        </w:rPr>
        <w:t>the opportunity</w:t>
      </w:r>
      <w:r w:rsidRPr="004B5047">
        <w:rPr>
          <w:rFonts w:ascii="Aptos" w:hAnsi="Aptos" w:cstheme="minorHAnsi"/>
          <w:color w:val="000000" w:themeColor="text1"/>
        </w:rPr>
        <w:t xml:space="preserve"> to provide testimony on the proposed rule that would prohibit a health care provider or health care facility from reporting any portion of medical debt to a consumer reporting agency, as defined in M.G.L. c. 93, s. 50.</w:t>
      </w:r>
    </w:p>
    <w:p w14:paraId="60CCD398" w14:textId="77777777" w:rsidR="00DA0A6D" w:rsidRPr="004B5047" w:rsidRDefault="00DA0A6D" w:rsidP="00DA0A6D">
      <w:pPr>
        <w:pStyle w:val="NoSpacing"/>
        <w:rPr>
          <w:rFonts w:ascii="Aptos" w:hAnsi="Aptos" w:cstheme="minorHAnsi"/>
          <w:color w:val="000000" w:themeColor="text1"/>
        </w:rPr>
      </w:pPr>
    </w:p>
    <w:p w14:paraId="2CDE4643" w14:textId="63C7EE13"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My name is Jeff DiMatteo</w:t>
      </w:r>
      <w:r w:rsidR="00530BEB" w:rsidRPr="004B5047">
        <w:rPr>
          <w:rFonts w:ascii="Aptos" w:hAnsi="Aptos" w:cstheme="minorHAnsi"/>
          <w:color w:val="000000" w:themeColor="text1"/>
        </w:rPr>
        <w:t>. I am the</w:t>
      </w:r>
      <w:r w:rsidRPr="004B5047">
        <w:rPr>
          <w:rFonts w:ascii="Aptos" w:hAnsi="Aptos" w:cstheme="minorHAnsi"/>
          <w:color w:val="000000" w:themeColor="text1"/>
        </w:rPr>
        <w:t xml:space="preserve"> president of American Profit Recovery</w:t>
      </w:r>
      <w:r w:rsidR="00530BEB" w:rsidRPr="004B5047">
        <w:rPr>
          <w:rFonts w:ascii="Aptos" w:hAnsi="Aptos" w:cstheme="minorHAnsi"/>
          <w:color w:val="000000" w:themeColor="text1"/>
        </w:rPr>
        <w:t>, Inc.,</w:t>
      </w:r>
      <w:r w:rsidRPr="004B5047">
        <w:rPr>
          <w:rFonts w:ascii="Aptos" w:hAnsi="Aptos" w:cstheme="minorHAnsi"/>
          <w:color w:val="000000" w:themeColor="text1"/>
        </w:rPr>
        <w:t xml:space="preserve"> a debt collection agency located in Franklin, Massachusetts.  In addition to running my small business, I have served as the president of the New England Collectors Association and currently serve as president of ACA International, the nation’s leading trade association for the accounts receivable </w:t>
      </w:r>
      <w:r w:rsidR="00CD0E61" w:rsidRPr="004B5047">
        <w:rPr>
          <w:rFonts w:ascii="Aptos" w:hAnsi="Aptos" w:cstheme="minorHAnsi"/>
          <w:color w:val="000000" w:themeColor="text1"/>
        </w:rPr>
        <w:t xml:space="preserve">management </w:t>
      </w:r>
      <w:r w:rsidRPr="004B5047">
        <w:rPr>
          <w:rFonts w:ascii="Aptos" w:hAnsi="Aptos" w:cstheme="minorHAnsi"/>
          <w:color w:val="000000" w:themeColor="text1"/>
        </w:rPr>
        <w:t>industry.</w:t>
      </w:r>
    </w:p>
    <w:p w14:paraId="663A3C39" w14:textId="77777777" w:rsidR="00DA0A6D" w:rsidRPr="004B5047" w:rsidRDefault="00DA0A6D" w:rsidP="00DA0A6D">
      <w:pPr>
        <w:pStyle w:val="NoSpacing"/>
        <w:rPr>
          <w:rFonts w:ascii="Aptos" w:hAnsi="Aptos" w:cstheme="minorHAnsi"/>
          <w:color w:val="000000" w:themeColor="text1"/>
        </w:rPr>
      </w:pPr>
    </w:p>
    <w:p w14:paraId="63254646" w14:textId="42024752" w:rsidR="00DA0A6D" w:rsidRPr="004B5047" w:rsidRDefault="00DA0A6D" w:rsidP="00DA0A6D">
      <w:pPr>
        <w:pStyle w:val="NoSpacing"/>
        <w:rPr>
          <w:rFonts w:ascii="Aptos" w:hAnsi="Aptos"/>
        </w:rPr>
      </w:pPr>
      <w:r w:rsidRPr="004B5047">
        <w:rPr>
          <w:rFonts w:ascii="Aptos" w:hAnsi="Aptos"/>
        </w:rPr>
        <w:t xml:space="preserve">ACA International members support efforts to provide protection for patients who are truly unable to afford medical care.  However, we are concerned that the proposed rule has an overly broad approach that would ultimately harm medical providers’ ability to maintain </w:t>
      </w:r>
      <w:r w:rsidRPr="004B5047">
        <w:rPr>
          <w:rFonts w:ascii="Aptos" w:hAnsi="Aptos"/>
        </w:rPr>
        <w:lastRenderedPageBreak/>
        <w:t>services and continue to extend credit to patients</w:t>
      </w:r>
      <w:r w:rsidR="00B720C8" w:rsidRPr="004B5047">
        <w:rPr>
          <w:rFonts w:ascii="Aptos" w:hAnsi="Aptos"/>
        </w:rPr>
        <w:t>,</w:t>
      </w:r>
      <w:r w:rsidRPr="004B5047">
        <w:rPr>
          <w:rFonts w:ascii="Aptos" w:hAnsi="Aptos"/>
        </w:rPr>
        <w:t xml:space="preserve"> particularly for hospitals and smaller providers that already operate with limited financial margins.</w:t>
      </w:r>
    </w:p>
    <w:p w14:paraId="2805D707" w14:textId="77777777" w:rsidR="00DA0A6D" w:rsidRPr="004B5047" w:rsidRDefault="00DA0A6D" w:rsidP="00DA0A6D">
      <w:pPr>
        <w:pStyle w:val="NoSpacing"/>
        <w:rPr>
          <w:rFonts w:ascii="Aptos" w:hAnsi="Aptos"/>
        </w:rPr>
      </w:pPr>
    </w:p>
    <w:p w14:paraId="0316FB18" w14:textId="32FCE2DB"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Outlined below are concerns our members have regarding the impact this proposal will have on Massachusetts patients and health</w:t>
      </w:r>
      <w:r w:rsidR="001661C1" w:rsidRPr="004B5047">
        <w:rPr>
          <w:rFonts w:ascii="Aptos" w:hAnsi="Aptos" w:cstheme="minorHAnsi"/>
          <w:color w:val="000000" w:themeColor="text1"/>
        </w:rPr>
        <w:t xml:space="preserve"> </w:t>
      </w:r>
      <w:r w:rsidRPr="004B5047">
        <w:rPr>
          <w:rFonts w:ascii="Aptos" w:hAnsi="Aptos" w:cstheme="minorHAnsi"/>
          <w:color w:val="000000" w:themeColor="text1"/>
        </w:rPr>
        <w:t>care providers</w:t>
      </w:r>
      <w:r w:rsidR="00545939" w:rsidRPr="004B5047">
        <w:rPr>
          <w:rFonts w:ascii="Aptos" w:hAnsi="Aptos" w:cstheme="minorHAnsi"/>
          <w:color w:val="000000" w:themeColor="text1"/>
        </w:rPr>
        <w:t>.</w:t>
      </w:r>
      <w:r w:rsidRPr="004B5047">
        <w:rPr>
          <w:rFonts w:ascii="Aptos" w:hAnsi="Aptos" w:cstheme="minorHAnsi"/>
          <w:color w:val="000000" w:themeColor="text1"/>
        </w:rPr>
        <w:t xml:space="preserve"> </w:t>
      </w:r>
    </w:p>
    <w:p w14:paraId="23AB6924" w14:textId="77777777" w:rsidR="00DA0A6D" w:rsidRPr="004B5047" w:rsidRDefault="00DA0A6D" w:rsidP="00DA0A6D">
      <w:pPr>
        <w:pStyle w:val="NoSpacing"/>
        <w:rPr>
          <w:rFonts w:ascii="Aptos" w:hAnsi="Aptos" w:cstheme="minorHAnsi"/>
          <w:color w:val="000000" w:themeColor="text1"/>
        </w:rPr>
      </w:pPr>
    </w:p>
    <w:p w14:paraId="01ED3E03" w14:textId="77777777" w:rsidR="00DA0A6D" w:rsidRPr="004B5047" w:rsidRDefault="00DA0A6D" w:rsidP="00DA0A6D">
      <w:pPr>
        <w:pStyle w:val="NoSpacing"/>
        <w:numPr>
          <w:ilvl w:val="0"/>
          <w:numId w:val="1"/>
        </w:numPr>
        <w:rPr>
          <w:rFonts w:ascii="Aptos" w:hAnsi="Aptos" w:cstheme="minorHAnsi"/>
          <w:b/>
          <w:bCs/>
          <w:color w:val="000000" w:themeColor="text1"/>
        </w:rPr>
      </w:pPr>
      <w:r w:rsidRPr="004B5047">
        <w:rPr>
          <w:rFonts w:ascii="Aptos" w:hAnsi="Aptos" w:cstheme="minorHAnsi"/>
          <w:b/>
          <w:bCs/>
          <w:color w:val="000000" w:themeColor="text1"/>
        </w:rPr>
        <w:t xml:space="preserve">About ACA </w:t>
      </w:r>
    </w:p>
    <w:p w14:paraId="0570987D" w14:textId="77777777" w:rsidR="00DA0A6D" w:rsidRPr="004B5047" w:rsidRDefault="00DA0A6D" w:rsidP="00DA0A6D">
      <w:pPr>
        <w:pStyle w:val="NoSpacing"/>
        <w:ind w:left="768"/>
        <w:rPr>
          <w:rFonts w:ascii="Aptos" w:hAnsi="Aptos" w:cstheme="minorHAnsi"/>
          <w:color w:val="000000" w:themeColor="text1"/>
        </w:rPr>
      </w:pPr>
    </w:p>
    <w:p w14:paraId="4B96AB02" w14:textId="0BCE597C"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ACA International is the leading trade association for credit and collection professionals, representing approximately 1,</w:t>
      </w:r>
      <w:r w:rsidR="00E20F06" w:rsidRPr="004B5047">
        <w:rPr>
          <w:rFonts w:ascii="Aptos" w:hAnsi="Aptos" w:cstheme="minorHAnsi"/>
          <w:color w:val="000000" w:themeColor="text1"/>
        </w:rPr>
        <w:t>3</w:t>
      </w:r>
      <w:r w:rsidRPr="004B5047">
        <w:rPr>
          <w:rFonts w:ascii="Aptos" w:hAnsi="Aptos" w:cstheme="minorHAnsi"/>
          <w:color w:val="000000" w:themeColor="text1"/>
        </w:rPr>
        <w:t>00 members, including credit grantors, third-party collection agencies, asset buyers, attorneys and vendor affiliates</w:t>
      </w:r>
      <w:r w:rsidR="00674912" w:rsidRPr="004B5047">
        <w:rPr>
          <w:rFonts w:ascii="Aptos" w:hAnsi="Aptos" w:cstheme="minorHAnsi"/>
          <w:color w:val="000000" w:themeColor="text1"/>
        </w:rPr>
        <w:t>. These companies employ approximately 59,000 people worldwide</w:t>
      </w:r>
      <w:r w:rsidR="00772918" w:rsidRPr="004B5047">
        <w:rPr>
          <w:rFonts w:ascii="Aptos" w:hAnsi="Aptos" w:cstheme="minorHAnsi"/>
          <w:color w:val="000000" w:themeColor="text1"/>
        </w:rPr>
        <w:t xml:space="preserve">. </w:t>
      </w:r>
    </w:p>
    <w:p w14:paraId="6E2B5404" w14:textId="77777777" w:rsidR="00DA0A6D" w:rsidRPr="004B5047" w:rsidRDefault="00DA0A6D" w:rsidP="00DA0A6D">
      <w:pPr>
        <w:pStyle w:val="BodyText"/>
        <w:spacing w:before="237"/>
        <w:ind w:right="49"/>
        <w:rPr>
          <w:rFonts w:ascii="Aptos" w:hAnsi="Aptos"/>
        </w:rPr>
      </w:pPr>
      <w:r w:rsidRPr="004B5047">
        <w:rPr>
          <w:rFonts w:ascii="Aptos" w:hAnsi="Aptos"/>
        </w:rPr>
        <w:t>ACA</w:t>
      </w:r>
      <w:r w:rsidRPr="004B5047">
        <w:rPr>
          <w:rFonts w:ascii="Aptos" w:hAnsi="Aptos"/>
          <w:spacing w:val="-11"/>
        </w:rPr>
        <w:t xml:space="preserve"> </w:t>
      </w:r>
      <w:r w:rsidRPr="004B5047">
        <w:rPr>
          <w:rFonts w:ascii="Aptos" w:hAnsi="Aptos"/>
        </w:rPr>
        <w:t>International</w:t>
      </w:r>
      <w:r w:rsidRPr="004B5047">
        <w:rPr>
          <w:rFonts w:ascii="Aptos" w:hAnsi="Aptos"/>
          <w:spacing w:val="-11"/>
        </w:rPr>
        <w:t xml:space="preserve"> </w:t>
      </w:r>
      <w:r w:rsidRPr="004B5047">
        <w:rPr>
          <w:rFonts w:ascii="Aptos" w:hAnsi="Aptos"/>
        </w:rPr>
        <w:t>members</w:t>
      </w:r>
      <w:r w:rsidRPr="004B5047">
        <w:rPr>
          <w:rFonts w:ascii="Aptos" w:hAnsi="Aptos"/>
          <w:spacing w:val="-9"/>
        </w:rPr>
        <w:t xml:space="preserve"> </w:t>
      </w:r>
      <w:r w:rsidRPr="004B5047">
        <w:rPr>
          <w:rFonts w:ascii="Aptos" w:hAnsi="Aptos"/>
        </w:rPr>
        <w:t>play</w:t>
      </w:r>
      <w:r w:rsidRPr="004B5047">
        <w:rPr>
          <w:rFonts w:ascii="Aptos" w:hAnsi="Aptos"/>
          <w:spacing w:val="-9"/>
        </w:rPr>
        <w:t xml:space="preserve"> </w:t>
      </w:r>
      <w:r w:rsidRPr="004B5047">
        <w:rPr>
          <w:rFonts w:ascii="Aptos" w:hAnsi="Aptos"/>
        </w:rPr>
        <w:t>a</w:t>
      </w:r>
      <w:r w:rsidRPr="004B5047">
        <w:rPr>
          <w:rFonts w:ascii="Aptos" w:hAnsi="Aptos"/>
          <w:spacing w:val="-10"/>
        </w:rPr>
        <w:t xml:space="preserve"> </w:t>
      </w:r>
      <w:r w:rsidRPr="004B5047">
        <w:rPr>
          <w:rFonts w:ascii="Aptos" w:hAnsi="Aptos"/>
        </w:rPr>
        <w:t>critical</w:t>
      </w:r>
      <w:r w:rsidRPr="004B5047">
        <w:rPr>
          <w:rFonts w:ascii="Aptos" w:hAnsi="Aptos"/>
          <w:spacing w:val="-11"/>
        </w:rPr>
        <w:t xml:space="preserve"> </w:t>
      </w:r>
      <w:r w:rsidRPr="004B5047">
        <w:rPr>
          <w:rFonts w:ascii="Aptos" w:hAnsi="Aptos"/>
        </w:rPr>
        <w:t>role</w:t>
      </w:r>
      <w:r w:rsidRPr="004B5047">
        <w:rPr>
          <w:rFonts w:ascii="Aptos" w:hAnsi="Aptos"/>
          <w:spacing w:val="-11"/>
        </w:rPr>
        <w:t xml:space="preserve"> </w:t>
      </w:r>
      <w:r w:rsidRPr="004B5047">
        <w:rPr>
          <w:rFonts w:ascii="Aptos" w:hAnsi="Aptos"/>
        </w:rPr>
        <w:t>in</w:t>
      </w:r>
      <w:r w:rsidRPr="004B5047">
        <w:rPr>
          <w:rFonts w:ascii="Aptos" w:hAnsi="Aptos"/>
          <w:spacing w:val="-13"/>
        </w:rPr>
        <w:t xml:space="preserve"> </w:t>
      </w:r>
      <w:r w:rsidRPr="004B5047">
        <w:rPr>
          <w:rFonts w:ascii="Aptos" w:hAnsi="Aptos"/>
        </w:rPr>
        <w:t>protecting</w:t>
      </w:r>
      <w:r w:rsidRPr="004B5047">
        <w:rPr>
          <w:rFonts w:ascii="Aptos" w:hAnsi="Aptos"/>
          <w:spacing w:val="-11"/>
        </w:rPr>
        <w:t xml:space="preserve"> </w:t>
      </w:r>
      <w:r w:rsidRPr="004B5047">
        <w:rPr>
          <w:rFonts w:ascii="Aptos" w:hAnsi="Aptos"/>
        </w:rPr>
        <w:t>both</w:t>
      </w:r>
      <w:r w:rsidRPr="004B5047">
        <w:rPr>
          <w:rFonts w:ascii="Aptos" w:hAnsi="Aptos"/>
          <w:spacing w:val="-9"/>
        </w:rPr>
        <w:t xml:space="preserve"> </w:t>
      </w:r>
      <w:r w:rsidRPr="004B5047">
        <w:rPr>
          <w:rFonts w:ascii="Aptos" w:hAnsi="Aptos"/>
        </w:rPr>
        <w:t>consumers</w:t>
      </w:r>
      <w:r w:rsidRPr="004B5047">
        <w:rPr>
          <w:rFonts w:ascii="Aptos" w:hAnsi="Aptos"/>
          <w:spacing w:val="-9"/>
        </w:rPr>
        <w:t xml:space="preserve"> </w:t>
      </w:r>
      <w:r w:rsidRPr="004B5047">
        <w:rPr>
          <w:rFonts w:ascii="Aptos" w:hAnsi="Aptos"/>
        </w:rPr>
        <w:t>and</w:t>
      </w:r>
      <w:r w:rsidRPr="004B5047">
        <w:rPr>
          <w:rFonts w:ascii="Aptos" w:hAnsi="Aptos"/>
          <w:spacing w:val="-11"/>
        </w:rPr>
        <w:t xml:space="preserve"> </w:t>
      </w:r>
      <w:r w:rsidRPr="004B5047">
        <w:rPr>
          <w:rFonts w:ascii="Aptos" w:hAnsi="Aptos"/>
        </w:rPr>
        <w:t>lenders.</w:t>
      </w:r>
      <w:r w:rsidRPr="004B5047">
        <w:rPr>
          <w:rFonts w:ascii="Aptos" w:hAnsi="Aptos"/>
          <w:spacing w:val="-9"/>
        </w:rPr>
        <w:t xml:space="preserve"> </w:t>
      </w:r>
      <w:r w:rsidRPr="004B5047">
        <w:rPr>
          <w:rFonts w:ascii="Aptos" w:hAnsi="Aptos"/>
        </w:rPr>
        <w:t xml:space="preserve">ACA International members work with consumers to resolve their debts, which in turn saves critical money for every American household. </w:t>
      </w:r>
    </w:p>
    <w:p w14:paraId="0F430861" w14:textId="77777777" w:rsidR="00DA0A6D" w:rsidRPr="004B5047" w:rsidRDefault="00DA0A6D" w:rsidP="00606B98">
      <w:pPr>
        <w:pStyle w:val="BodyText"/>
        <w:spacing w:before="237"/>
        <w:ind w:right="49"/>
        <w:jc w:val="left"/>
        <w:rPr>
          <w:rFonts w:ascii="Aptos" w:hAnsi="Aptos"/>
        </w:rPr>
      </w:pPr>
      <w:r w:rsidRPr="004B5047">
        <w:rPr>
          <w:rFonts w:ascii="Aptos" w:hAnsi="Aptos"/>
        </w:rPr>
        <w:t xml:space="preserve">Accounts receivable firms are projected to return over $116 billion (inflation adjusted) to creditors in 2026, providing the essential cash flow needed for businesses to reinvest and grow. By mitigating the need for businesses to raise prices to cover unpaid debts, the industry saves the average American household approximately $874 per year (inflation adjusted). </w:t>
      </w:r>
    </w:p>
    <w:p w14:paraId="19A52C82" w14:textId="2A97C134" w:rsidR="00DA0A6D" w:rsidRPr="004B5047" w:rsidRDefault="00DA0A6D" w:rsidP="00606B98">
      <w:pPr>
        <w:pStyle w:val="BodyText"/>
        <w:spacing w:before="237"/>
        <w:ind w:right="49"/>
        <w:jc w:val="left"/>
        <w:rPr>
          <w:rFonts w:ascii="Aptos" w:hAnsi="Aptos"/>
        </w:rPr>
      </w:pPr>
      <w:r w:rsidRPr="004B5047">
        <w:rPr>
          <w:rFonts w:ascii="Aptos" w:hAnsi="Aptos"/>
        </w:rPr>
        <w:t xml:space="preserve">By returning capital to lenders, ACA International’s members allow financial institutions to continue offering credit at the lowest possible interest rates. Without recovery, lenders must raise costs to offset losses, pricing many consumers out of the market. ACA members play a critical role in stabilizing health care costs. </w:t>
      </w:r>
    </w:p>
    <w:p w14:paraId="70A944B3" w14:textId="77777777" w:rsidR="00DA0A6D" w:rsidRPr="004B5047" w:rsidRDefault="00DA0A6D" w:rsidP="00DA0A6D">
      <w:pPr>
        <w:pStyle w:val="NoSpacing"/>
        <w:rPr>
          <w:rFonts w:ascii="Aptos" w:hAnsi="Aptos"/>
        </w:rPr>
      </w:pPr>
    </w:p>
    <w:p w14:paraId="08EB8057" w14:textId="26F4F1D4" w:rsidR="00DA0A6D" w:rsidRPr="004B5047" w:rsidRDefault="00DA0A6D" w:rsidP="00DA0A6D">
      <w:pPr>
        <w:pStyle w:val="NoSpacing"/>
        <w:numPr>
          <w:ilvl w:val="0"/>
          <w:numId w:val="1"/>
        </w:numPr>
        <w:rPr>
          <w:rFonts w:ascii="Aptos" w:hAnsi="Aptos"/>
          <w:b/>
          <w:bCs/>
        </w:rPr>
      </w:pPr>
      <w:r w:rsidRPr="004B5047">
        <w:rPr>
          <w:rFonts w:ascii="Aptos" w:hAnsi="Aptos"/>
          <w:b/>
          <w:bCs/>
        </w:rPr>
        <w:t>The proposal will cause economic harm to Massachusetts consumers and business</w:t>
      </w:r>
      <w:r w:rsidR="00606B98">
        <w:rPr>
          <w:rFonts w:ascii="Aptos" w:hAnsi="Aptos"/>
          <w:b/>
          <w:bCs/>
        </w:rPr>
        <w:t>es</w:t>
      </w:r>
      <w:r w:rsidRPr="004B5047">
        <w:rPr>
          <w:rFonts w:ascii="Aptos" w:hAnsi="Aptos"/>
          <w:b/>
          <w:bCs/>
        </w:rPr>
        <w:t xml:space="preserve"> </w:t>
      </w:r>
    </w:p>
    <w:p w14:paraId="4DA74759" w14:textId="77777777" w:rsidR="00DA0A6D" w:rsidRPr="004B5047" w:rsidRDefault="00DA0A6D" w:rsidP="00DA0A6D">
      <w:pPr>
        <w:pStyle w:val="NoSpacing"/>
        <w:ind w:left="48"/>
        <w:rPr>
          <w:rFonts w:ascii="Aptos" w:hAnsi="Aptos"/>
        </w:rPr>
      </w:pPr>
    </w:p>
    <w:p w14:paraId="78C1E1A8" w14:textId="3B069DB1" w:rsidR="000F487A" w:rsidRPr="004B5047" w:rsidRDefault="00DA0A6D" w:rsidP="000F487A">
      <w:pPr>
        <w:pStyle w:val="NoSpacing"/>
        <w:rPr>
          <w:rFonts w:ascii="Aptos" w:hAnsi="Aptos"/>
        </w:rPr>
      </w:pPr>
      <w:r w:rsidRPr="004B5047">
        <w:rPr>
          <w:rFonts w:ascii="Aptos" w:hAnsi="Aptos"/>
        </w:rPr>
        <w:t>The proposed rule would prohibit health care providers or health care facilities from reporting any portion of medical debt to a consumer reporting agency.  The suppression of medical debt information undermines the accuracy and fairness of the credit reporting system. This could lead to higher borrowing costs and less accurate credit decisions.</w:t>
      </w:r>
      <w:r w:rsidR="000F487A" w:rsidRPr="004B5047">
        <w:rPr>
          <w:rFonts w:ascii="Aptos" w:hAnsi="Aptos"/>
        </w:rPr>
        <w:t xml:space="preserve">  The timely recovery of medical debt provides the essential cash flow needed to pay doctors and nurses and keep local hospitals operational without increasing costs and requiring patient payments in advance.</w:t>
      </w:r>
    </w:p>
    <w:p w14:paraId="4595AE62" w14:textId="77777777" w:rsidR="00DA0A6D" w:rsidRPr="004B5047" w:rsidRDefault="00DA0A6D" w:rsidP="00DA0A6D">
      <w:pPr>
        <w:pStyle w:val="NoSpacing"/>
        <w:rPr>
          <w:rFonts w:ascii="Aptos" w:hAnsi="Aptos"/>
        </w:rPr>
      </w:pPr>
    </w:p>
    <w:p w14:paraId="6F5B7F31" w14:textId="5262D586" w:rsidR="00AC51E9" w:rsidRPr="004B5047" w:rsidRDefault="00DA0A6D" w:rsidP="00DA0A6D">
      <w:pPr>
        <w:pStyle w:val="NoSpacing"/>
        <w:rPr>
          <w:rFonts w:ascii="Aptos" w:hAnsi="Aptos"/>
        </w:rPr>
      </w:pPr>
      <w:r w:rsidRPr="004B5047">
        <w:rPr>
          <w:rFonts w:ascii="Aptos" w:hAnsi="Aptos"/>
        </w:rPr>
        <w:t xml:space="preserve">Creditors and lenders who lack a complete picture of a consumer’s credit history may extend a loan the consumer cannot afford, which only hurts the consumer’s financial situation and increases the cost of credit for everyone. </w:t>
      </w:r>
      <w:r w:rsidR="00B431B3" w:rsidRPr="004B5047">
        <w:rPr>
          <w:rFonts w:ascii="Aptos" w:hAnsi="Aptos"/>
        </w:rPr>
        <w:t>This harm impacts all creditors and consumers and goes beyond the scope of the medical community.</w:t>
      </w:r>
    </w:p>
    <w:p w14:paraId="60258800" w14:textId="77777777" w:rsidR="00AC51E9" w:rsidRPr="004B5047" w:rsidRDefault="00AC51E9" w:rsidP="00DA0A6D">
      <w:pPr>
        <w:pStyle w:val="NoSpacing"/>
        <w:rPr>
          <w:rFonts w:ascii="Aptos" w:hAnsi="Aptos"/>
        </w:rPr>
      </w:pPr>
    </w:p>
    <w:p w14:paraId="40A5B9E5" w14:textId="41B09E65" w:rsidR="00550700" w:rsidRPr="004B5047" w:rsidRDefault="00AC51E9" w:rsidP="00DA0A6D">
      <w:pPr>
        <w:pStyle w:val="NoSpacing"/>
        <w:rPr>
          <w:rFonts w:ascii="Aptos" w:hAnsi="Aptos"/>
        </w:rPr>
      </w:pPr>
      <w:r w:rsidRPr="004B5047">
        <w:rPr>
          <w:rFonts w:ascii="Aptos" w:hAnsi="Aptos"/>
        </w:rPr>
        <w:lastRenderedPageBreak/>
        <w:t>C</w:t>
      </w:r>
      <w:r w:rsidR="00550700" w:rsidRPr="004B5047">
        <w:rPr>
          <w:rFonts w:ascii="Aptos" w:hAnsi="Aptos"/>
        </w:rPr>
        <w:t xml:space="preserve">onsumers are sometimes made aware of outstanding medical bills from their credit report and can use that information to confirm if they have an outstanding payment and where it is owed. </w:t>
      </w:r>
    </w:p>
    <w:p w14:paraId="1A80153A" w14:textId="77777777" w:rsidR="007544CE" w:rsidRPr="004B5047" w:rsidRDefault="007544CE" w:rsidP="00DA0A6D">
      <w:pPr>
        <w:pStyle w:val="NoSpacing"/>
        <w:rPr>
          <w:rFonts w:ascii="Aptos" w:hAnsi="Aptos"/>
        </w:rPr>
      </w:pPr>
    </w:p>
    <w:p w14:paraId="375B16C8" w14:textId="5679DAC6" w:rsidR="007544CE" w:rsidRPr="004B5047" w:rsidRDefault="007544CE" w:rsidP="00DA0A6D">
      <w:pPr>
        <w:pStyle w:val="NoSpacing"/>
        <w:rPr>
          <w:rFonts w:ascii="Aptos" w:hAnsi="Aptos"/>
        </w:rPr>
      </w:pPr>
      <w:r w:rsidRPr="004B5047">
        <w:rPr>
          <w:rFonts w:ascii="Aptos" w:hAnsi="Aptos" w:cs="Calibri"/>
        </w:rPr>
        <w:t xml:space="preserve">Many health insurance contracts limit claim submissions to either six or 12 months. Consumers who </w:t>
      </w:r>
      <w:r w:rsidR="00347675" w:rsidRPr="004B5047">
        <w:rPr>
          <w:rFonts w:ascii="Aptos" w:hAnsi="Aptos" w:cs="Calibri"/>
        </w:rPr>
        <w:t xml:space="preserve">may </w:t>
      </w:r>
      <w:r w:rsidR="00CA4F33" w:rsidRPr="004B5047">
        <w:rPr>
          <w:rFonts w:ascii="Aptos" w:hAnsi="Aptos" w:cs="Calibri"/>
        </w:rPr>
        <w:t>not be</w:t>
      </w:r>
      <w:r w:rsidRPr="004B5047">
        <w:rPr>
          <w:rFonts w:ascii="Aptos" w:hAnsi="Aptos" w:cs="Calibri"/>
        </w:rPr>
        <w:t xml:space="preserve"> aware of a medical bill until they see it on their credit report </w:t>
      </w:r>
      <w:r w:rsidR="00347675" w:rsidRPr="004B5047">
        <w:rPr>
          <w:rFonts w:ascii="Aptos" w:hAnsi="Aptos" w:cs="Calibri"/>
        </w:rPr>
        <w:t>would</w:t>
      </w:r>
      <w:r w:rsidRPr="004B5047">
        <w:rPr>
          <w:rFonts w:ascii="Aptos" w:hAnsi="Aptos" w:cs="Calibri"/>
        </w:rPr>
        <w:t xml:space="preserve"> </w:t>
      </w:r>
      <w:r w:rsidR="00CA4F33" w:rsidRPr="004B5047">
        <w:rPr>
          <w:rFonts w:ascii="Aptos" w:hAnsi="Aptos" w:cs="Calibri"/>
        </w:rPr>
        <w:t>be denied</w:t>
      </w:r>
      <w:r w:rsidRPr="004B5047">
        <w:rPr>
          <w:rFonts w:ascii="Aptos" w:hAnsi="Aptos" w:cs="Calibri"/>
        </w:rPr>
        <w:t xml:space="preserve"> an opportunity for insurance to pay the claim and subject to higher costs</w:t>
      </w:r>
      <w:r w:rsidR="00A86F9C">
        <w:rPr>
          <w:rFonts w:ascii="Aptos" w:hAnsi="Aptos" w:cs="Calibri"/>
        </w:rPr>
        <w:t>.</w:t>
      </w:r>
    </w:p>
    <w:p w14:paraId="35E850E6" w14:textId="77777777" w:rsidR="00D808CE" w:rsidRPr="004B5047" w:rsidRDefault="00D808CE" w:rsidP="00DA0A6D">
      <w:pPr>
        <w:pStyle w:val="NoSpacing"/>
        <w:rPr>
          <w:rFonts w:ascii="Aptos" w:hAnsi="Aptos"/>
        </w:rPr>
      </w:pPr>
    </w:p>
    <w:p w14:paraId="3F766EE0" w14:textId="7FBC3B3C" w:rsidR="00073E4C" w:rsidRPr="004B5047" w:rsidRDefault="00073E4C" w:rsidP="00DA0A6D">
      <w:pPr>
        <w:pStyle w:val="NoSpacing"/>
        <w:rPr>
          <w:rFonts w:ascii="Aptos" w:hAnsi="Aptos"/>
        </w:rPr>
      </w:pPr>
      <w:r w:rsidRPr="004B5047">
        <w:rPr>
          <w:rFonts w:ascii="Aptos" w:hAnsi="Aptos"/>
        </w:rPr>
        <w:t xml:space="preserve">Credit reports that convey information about medical bills are a critical part of the </w:t>
      </w:r>
      <w:r w:rsidR="00E86A61" w:rsidRPr="004B5047">
        <w:rPr>
          <w:rFonts w:ascii="Aptos" w:hAnsi="Aptos"/>
        </w:rPr>
        <w:t xml:space="preserve">collection </w:t>
      </w:r>
      <w:r w:rsidRPr="004B5047">
        <w:rPr>
          <w:rFonts w:ascii="Aptos" w:hAnsi="Aptos"/>
        </w:rPr>
        <w:t>process to ensure that providers are fairly paid for their services. The economic consequences of unpaid medical bills impacts the hiring market for physicians, the availability of services, the provision of services before payment in full, the speed of insurance payments, and the ability of small non-corporate providers to remain in business</w:t>
      </w:r>
      <w:r w:rsidR="0028467B" w:rsidRPr="004B5047">
        <w:rPr>
          <w:rFonts w:ascii="Aptos" w:hAnsi="Aptos"/>
        </w:rPr>
        <w:t xml:space="preserve"> </w:t>
      </w:r>
      <w:r w:rsidRPr="004B5047">
        <w:rPr>
          <w:rFonts w:ascii="Aptos" w:hAnsi="Aptos"/>
        </w:rPr>
        <w:t>—</w:t>
      </w:r>
      <w:r w:rsidR="0028467B" w:rsidRPr="004B5047">
        <w:rPr>
          <w:rFonts w:ascii="Aptos" w:hAnsi="Aptos"/>
        </w:rPr>
        <w:t xml:space="preserve"> </w:t>
      </w:r>
      <w:r w:rsidRPr="004B5047">
        <w:rPr>
          <w:rFonts w:ascii="Aptos" w:hAnsi="Aptos"/>
        </w:rPr>
        <w:t>an essential factor in ensuring that rural areas have access to health</w:t>
      </w:r>
      <w:r w:rsidR="0028467B" w:rsidRPr="004B5047">
        <w:rPr>
          <w:rFonts w:ascii="Aptos" w:hAnsi="Aptos"/>
        </w:rPr>
        <w:t xml:space="preserve"> </w:t>
      </w:r>
      <w:r w:rsidRPr="004B5047">
        <w:rPr>
          <w:rFonts w:ascii="Aptos" w:hAnsi="Aptos"/>
        </w:rPr>
        <w:t>care.</w:t>
      </w:r>
    </w:p>
    <w:p w14:paraId="00A3E166" w14:textId="77777777" w:rsidR="00DA0A6D" w:rsidRPr="004B5047" w:rsidRDefault="00DA0A6D" w:rsidP="00DA0A6D">
      <w:pPr>
        <w:pStyle w:val="NoSpacing"/>
        <w:rPr>
          <w:rFonts w:ascii="Aptos" w:hAnsi="Aptos"/>
        </w:rPr>
      </w:pPr>
    </w:p>
    <w:p w14:paraId="78CCE474" w14:textId="4D711EC3" w:rsidR="00DA0A6D" w:rsidRPr="004B5047" w:rsidRDefault="00DA0A6D" w:rsidP="00DA0A6D">
      <w:pPr>
        <w:pStyle w:val="NoSpacing"/>
        <w:numPr>
          <w:ilvl w:val="0"/>
          <w:numId w:val="1"/>
        </w:numPr>
        <w:rPr>
          <w:rFonts w:ascii="Aptos" w:hAnsi="Aptos"/>
          <w:b/>
          <w:bCs/>
        </w:rPr>
      </w:pPr>
      <w:r w:rsidRPr="004B5047">
        <w:rPr>
          <w:rFonts w:ascii="Aptos" w:hAnsi="Aptos"/>
          <w:b/>
          <w:bCs/>
        </w:rPr>
        <w:t>The proposal will reduce access to health</w:t>
      </w:r>
      <w:r w:rsidR="006F7F74" w:rsidRPr="004B5047">
        <w:rPr>
          <w:rFonts w:ascii="Aptos" w:hAnsi="Aptos"/>
          <w:b/>
          <w:bCs/>
        </w:rPr>
        <w:t xml:space="preserve"> </w:t>
      </w:r>
      <w:r w:rsidRPr="004B5047">
        <w:rPr>
          <w:rFonts w:ascii="Aptos" w:hAnsi="Aptos"/>
          <w:b/>
          <w:bCs/>
        </w:rPr>
        <w:t>care and increase costs for patients</w:t>
      </w:r>
    </w:p>
    <w:p w14:paraId="67654118" w14:textId="77777777" w:rsidR="00DA0A6D" w:rsidRPr="004B5047" w:rsidRDefault="00DA0A6D" w:rsidP="00DA0A6D">
      <w:pPr>
        <w:pStyle w:val="NoSpacing"/>
        <w:ind w:left="48"/>
        <w:rPr>
          <w:rFonts w:ascii="Aptos" w:hAnsi="Aptos"/>
        </w:rPr>
      </w:pPr>
    </w:p>
    <w:p w14:paraId="327F1D32" w14:textId="09A10A98" w:rsidR="00DA0A6D" w:rsidRPr="004B5047" w:rsidRDefault="00DA0A6D" w:rsidP="00DA0A6D">
      <w:pPr>
        <w:pStyle w:val="NoSpacing"/>
        <w:rPr>
          <w:rFonts w:ascii="Aptos" w:hAnsi="Aptos"/>
        </w:rPr>
      </w:pPr>
      <w:r w:rsidRPr="004B5047">
        <w:rPr>
          <w:rFonts w:ascii="Aptos" w:hAnsi="Aptos"/>
        </w:rPr>
        <w:t xml:space="preserve">One of </w:t>
      </w:r>
      <w:r w:rsidR="001511CF" w:rsidRPr="004B5047">
        <w:rPr>
          <w:rFonts w:ascii="Aptos" w:hAnsi="Aptos"/>
        </w:rPr>
        <w:t xml:space="preserve">ACA’s </w:t>
      </w:r>
      <w:r w:rsidRPr="004B5047">
        <w:rPr>
          <w:rFonts w:ascii="Aptos" w:hAnsi="Aptos"/>
        </w:rPr>
        <w:t xml:space="preserve">primary concerns with the proposed rule is the potential for reduced access to </w:t>
      </w:r>
      <w:r w:rsidR="00244C76" w:rsidRPr="004B5047">
        <w:rPr>
          <w:rFonts w:ascii="Aptos" w:hAnsi="Aptos"/>
        </w:rPr>
        <w:t xml:space="preserve">affordable </w:t>
      </w:r>
      <w:r w:rsidRPr="004B5047">
        <w:rPr>
          <w:rFonts w:ascii="Aptos" w:hAnsi="Aptos"/>
        </w:rPr>
        <w:t>health care, particularly in</w:t>
      </w:r>
      <w:r w:rsidR="00244C76" w:rsidRPr="004B5047">
        <w:rPr>
          <w:rFonts w:ascii="Aptos" w:hAnsi="Aptos"/>
        </w:rPr>
        <w:t xml:space="preserve"> areas</w:t>
      </w:r>
      <w:r w:rsidRPr="004B5047">
        <w:rPr>
          <w:rFonts w:ascii="Aptos" w:hAnsi="Aptos"/>
        </w:rPr>
        <w:t xml:space="preserve"> where hospitals and smaller providers operate with limited financial margins.  The one-size-fits-all </w:t>
      </w:r>
      <w:r w:rsidR="00CA4F33" w:rsidRPr="004B5047">
        <w:rPr>
          <w:rFonts w:ascii="Aptos" w:hAnsi="Aptos"/>
        </w:rPr>
        <w:t>proposal could</w:t>
      </w:r>
      <w:r w:rsidRPr="004B5047">
        <w:rPr>
          <w:rFonts w:ascii="Aptos" w:hAnsi="Aptos"/>
        </w:rPr>
        <w:t xml:space="preserve"> prevent providers from collecting outstanding debts from consumers who can pay but choose not to pay or </w:t>
      </w:r>
      <w:r w:rsidR="00BE6FD5" w:rsidRPr="004B5047">
        <w:rPr>
          <w:rFonts w:ascii="Aptos" w:hAnsi="Aptos"/>
        </w:rPr>
        <w:t xml:space="preserve">refuse to </w:t>
      </w:r>
      <w:r w:rsidRPr="004B5047">
        <w:rPr>
          <w:rFonts w:ascii="Aptos" w:hAnsi="Aptos"/>
        </w:rPr>
        <w:t>file the proper insurance forms. This will lead to service reductions across the state or even closures. Smaller facilities and providers would see the greatest impact if subjected to these new restrictions.</w:t>
      </w:r>
    </w:p>
    <w:p w14:paraId="518FDB15" w14:textId="77777777" w:rsidR="00DA0A6D" w:rsidRPr="004B5047" w:rsidRDefault="00DA0A6D" w:rsidP="00DA0A6D">
      <w:pPr>
        <w:pStyle w:val="NoSpacing"/>
        <w:rPr>
          <w:rFonts w:ascii="Aptos" w:hAnsi="Aptos"/>
        </w:rPr>
      </w:pPr>
    </w:p>
    <w:p w14:paraId="16D49F41" w14:textId="77777777" w:rsidR="00DA0A6D" w:rsidRPr="004B5047" w:rsidRDefault="00DA0A6D" w:rsidP="00DA0A6D">
      <w:pPr>
        <w:pStyle w:val="NoSpacing"/>
        <w:rPr>
          <w:rFonts w:ascii="Aptos" w:hAnsi="Aptos"/>
        </w:rPr>
      </w:pPr>
      <w:r w:rsidRPr="004B5047">
        <w:rPr>
          <w:rFonts w:ascii="Aptos" w:hAnsi="Aptos"/>
        </w:rPr>
        <w:t>As a result, all patients would see an increase in the cost of health care, and there would be a disproportionate impact on individuals already facing barriers to receiving quality health care. Health care facilities that are unable to collect outstanding debts will be forced to increase prices and move toward a pay-first model where estimated patient costs, such as copays and deductibles, will be due in advance.  This move to a “pay first” model has been documented is a recent</w:t>
      </w:r>
      <w:r w:rsidRPr="004B5047">
        <w:rPr>
          <w:rFonts w:ascii="Aptos" w:hAnsi="Aptos"/>
          <w:i/>
          <w:iCs/>
        </w:rPr>
        <w:t xml:space="preserve"> Wall Street Journal report, </w:t>
      </w:r>
      <w:r w:rsidRPr="004B5047">
        <w:rPr>
          <w:rFonts w:ascii="Aptos" w:hAnsi="Aptos"/>
        </w:rPr>
        <w:t xml:space="preserve">“Hospitals Are Refusing to Do Surgeries Unless You Pay in Full First.” </w:t>
      </w:r>
      <w:r w:rsidRPr="004B5047">
        <w:rPr>
          <w:rStyle w:val="FootnoteReference"/>
          <w:rFonts w:ascii="Aptos" w:hAnsi="Aptos"/>
        </w:rPr>
        <w:footnoteReference w:id="1"/>
      </w:r>
      <w:r w:rsidRPr="004B5047">
        <w:rPr>
          <w:rFonts w:ascii="Aptos" w:hAnsi="Aptos"/>
        </w:rPr>
        <w:t xml:space="preserve"> In fact, </w:t>
      </w:r>
      <w:r w:rsidRPr="00B232B4">
        <w:rPr>
          <w:rFonts w:ascii="Aptos" w:hAnsi="Aptos"/>
          <w:i/>
          <w:iCs/>
        </w:rPr>
        <w:t>The Wall Street Journal</w:t>
      </w:r>
      <w:r w:rsidRPr="004B5047">
        <w:rPr>
          <w:rFonts w:ascii="Aptos" w:hAnsi="Aptos"/>
        </w:rPr>
        <w:t xml:space="preserve"> reported that approximately 23%, or 425 out of 1,850 hospitals surveyed by Kodiak Solutions, a health care consulting company, are starting to require advance payments for nonemergency care because of the challenges and costs of unpaid bills.</w:t>
      </w:r>
      <w:r w:rsidRPr="004B5047">
        <w:rPr>
          <w:rFonts w:ascii="Aptos" w:hAnsi="Aptos"/>
        </w:rPr>
        <w:br/>
      </w:r>
    </w:p>
    <w:p w14:paraId="75EE464B" w14:textId="70942927" w:rsidR="00DA0A6D" w:rsidRPr="004B5047" w:rsidRDefault="00DA0A6D" w:rsidP="00DA0A6D">
      <w:pPr>
        <w:pStyle w:val="NoSpacing"/>
        <w:rPr>
          <w:rFonts w:ascii="Aptos" w:hAnsi="Aptos"/>
        </w:rPr>
      </w:pPr>
      <w:r w:rsidRPr="004B5047">
        <w:rPr>
          <w:rFonts w:ascii="Aptos" w:hAnsi="Aptos"/>
        </w:rPr>
        <w:t>A recent report by Andrew Rodrigo Nigrinis, Ph.D., “Economic Analysis of the Consumer Financial Protection Bureau’s Prohibition on Creditors and Consumer Reporting Agencies Concerning Medical Information (Regulation V)”</w:t>
      </w:r>
      <w:r w:rsidRPr="004B5047">
        <w:rPr>
          <w:rStyle w:val="FootnoteReference"/>
          <w:rFonts w:ascii="Aptos" w:hAnsi="Aptos"/>
        </w:rPr>
        <w:footnoteReference w:id="2"/>
      </w:r>
      <w:r w:rsidRPr="004B5047">
        <w:rPr>
          <w:rFonts w:ascii="Aptos" w:hAnsi="Aptos"/>
        </w:rPr>
        <w:t xml:space="preserve"> detailed the unintended consequences of a national prohibition on medical credit reporting and the economic harm the proposal </w:t>
      </w:r>
      <w:r w:rsidRPr="004B5047">
        <w:rPr>
          <w:rFonts w:ascii="Aptos" w:hAnsi="Aptos"/>
        </w:rPr>
        <w:lastRenderedPageBreak/>
        <w:t>would have on consumers and health</w:t>
      </w:r>
      <w:r w:rsidR="00F3263B" w:rsidRPr="004B5047">
        <w:rPr>
          <w:rFonts w:ascii="Aptos" w:hAnsi="Aptos"/>
        </w:rPr>
        <w:t xml:space="preserve"> </w:t>
      </w:r>
      <w:r w:rsidRPr="004B5047">
        <w:rPr>
          <w:rFonts w:ascii="Aptos" w:hAnsi="Aptos"/>
        </w:rPr>
        <w:t xml:space="preserve">care providers.    Dr. Nigrinis found that if enacted, medical providers would suffer a significant loss of income from non-payment of services. The loss in the first year is estimated to be $24 billion and the estimated range for the losses over time ranges from $82 billion to $655 billion. </w:t>
      </w:r>
    </w:p>
    <w:p w14:paraId="510BA89A" w14:textId="77777777" w:rsidR="00DA0A6D" w:rsidRPr="004B5047" w:rsidRDefault="00DA0A6D" w:rsidP="00DA0A6D">
      <w:pPr>
        <w:pStyle w:val="NoSpacing"/>
        <w:rPr>
          <w:rFonts w:ascii="Aptos" w:hAnsi="Aptos"/>
        </w:rPr>
      </w:pPr>
    </w:p>
    <w:p w14:paraId="474FF170" w14:textId="77777777" w:rsidR="00DA0A6D" w:rsidRPr="004B5047" w:rsidRDefault="00DA0A6D" w:rsidP="00DA0A6D">
      <w:pPr>
        <w:pStyle w:val="NoSpacing"/>
        <w:rPr>
          <w:rFonts w:ascii="Aptos" w:hAnsi="Aptos"/>
        </w:rPr>
      </w:pPr>
      <w:r w:rsidRPr="004B5047">
        <w:rPr>
          <w:rFonts w:ascii="Aptos" w:hAnsi="Aptos"/>
        </w:rPr>
        <w:t xml:space="preserve">Furthermore, the economic analysis found that if a national prohibition were enacted medical account collections referred to third-party debt collectors would decrease by 8%, thus reducing revenue for medical service providers. </w:t>
      </w:r>
    </w:p>
    <w:p w14:paraId="5E8A6A45" w14:textId="77777777" w:rsidR="00F925A7" w:rsidRPr="004B5047" w:rsidRDefault="00F925A7" w:rsidP="00DA0A6D">
      <w:pPr>
        <w:pStyle w:val="NoSpacing"/>
        <w:rPr>
          <w:rFonts w:ascii="Aptos" w:hAnsi="Aptos"/>
        </w:rPr>
      </w:pPr>
    </w:p>
    <w:p w14:paraId="7A9878F3" w14:textId="77777777" w:rsidR="0036607E" w:rsidRPr="004B5047" w:rsidRDefault="0036607E" w:rsidP="0036607E">
      <w:pPr>
        <w:pStyle w:val="NoSpacing"/>
        <w:ind w:left="48"/>
        <w:rPr>
          <w:rFonts w:ascii="Aptos" w:hAnsi="Aptos"/>
        </w:rPr>
      </w:pPr>
    </w:p>
    <w:p w14:paraId="4664FD3C" w14:textId="77777777" w:rsidR="0036607E" w:rsidRPr="004B5047" w:rsidRDefault="0036607E" w:rsidP="00EF740B">
      <w:pPr>
        <w:pStyle w:val="NoSpacing"/>
        <w:numPr>
          <w:ilvl w:val="0"/>
          <w:numId w:val="1"/>
        </w:numPr>
        <w:rPr>
          <w:rFonts w:ascii="Aptos" w:hAnsi="Aptos"/>
          <w:b/>
          <w:bCs/>
        </w:rPr>
      </w:pPr>
      <w:r w:rsidRPr="004B5047">
        <w:rPr>
          <w:rFonts w:ascii="Aptos" w:hAnsi="Aptos"/>
          <w:b/>
          <w:bCs/>
        </w:rPr>
        <w:t>Pending legal challenges to credit reporting bans should be allowed to play out</w:t>
      </w:r>
    </w:p>
    <w:p w14:paraId="2B53C37C" w14:textId="40CF2142" w:rsidR="0036607E" w:rsidRPr="004B5047" w:rsidRDefault="0036607E" w:rsidP="0036607E">
      <w:pPr>
        <w:pStyle w:val="NoSpacing"/>
        <w:ind w:left="48"/>
        <w:rPr>
          <w:rFonts w:ascii="Aptos" w:hAnsi="Aptos"/>
        </w:rPr>
      </w:pPr>
      <w:r w:rsidRPr="004B5047">
        <w:rPr>
          <w:rFonts w:ascii="Aptos" w:hAnsi="Aptos"/>
        </w:rPr>
        <w:br/>
        <w:t xml:space="preserve">There are at least 15 states that have passed laws prohibiting the reporting, furnishing, or use of medical debt information. Many of these state laws currently conflict with the federal FCRA standards on credit reporting. Several of these prohibitions on medical credit reporting are currently facing legal challenges.  </w:t>
      </w:r>
      <w:r w:rsidR="000F487A" w:rsidRPr="004B5047">
        <w:rPr>
          <w:rFonts w:ascii="Aptos" w:hAnsi="Aptos"/>
        </w:rPr>
        <w:t>In Colorado</w:t>
      </w:r>
      <w:r w:rsidRPr="004B5047">
        <w:rPr>
          <w:rFonts w:ascii="Aptos" w:hAnsi="Aptos"/>
        </w:rPr>
        <w:t xml:space="preserve"> ACA International and Creditors Bureau USA </w:t>
      </w:r>
      <w:r w:rsidR="00B232B4" w:rsidRPr="004B5047">
        <w:rPr>
          <w:rFonts w:ascii="Aptos" w:hAnsi="Aptos"/>
        </w:rPr>
        <w:t>ha</w:t>
      </w:r>
      <w:r w:rsidR="00B232B4">
        <w:rPr>
          <w:rFonts w:ascii="Aptos" w:hAnsi="Aptos"/>
        </w:rPr>
        <w:t>ve</w:t>
      </w:r>
      <w:r w:rsidR="00B232B4" w:rsidRPr="004B5047">
        <w:rPr>
          <w:rFonts w:ascii="Aptos" w:hAnsi="Aptos"/>
        </w:rPr>
        <w:t xml:space="preserve"> </w:t>
      </w:r>
      <w:r w:rsidRPr="004B5047">
        <w:rPr>
          <w:rFonts w:ascii="Aptos" w:hAnsi="Aptos"/>
        </w:rPr>
        <w:t xml:space="preserve">filed a federal lawsuit challenging </w:t>
      </w:r>
      <w:r w:rsidR="004362B5" w:rsidRPr="004B5047">
        <w:rPr>
          <w:rFonts w:ascii="Aptos" w:hAnsi="Aptos"/>
        </w:rPr>
        <w:t xml:space="preserve">the </w:t>
      </w:r>
      <w:r w:rsidR="000F487A" w:rsidRPr="004B5047">
        <w:rPr>
          <w:rFonts w:ascii="Aptos" w:hAnsi="Aptos"/>
        </w:rPr>
        <w:t>state’s prohibition</w:t>
      </w:r>
      <w:r w:rsidR="00202867" w:rsidRPr="004B5047">
        <w:rPr>
          <w:rFonts w:ascii="Aptos" w:hAnsi="Aptos"/>
        </w:rPr>
        <w:t xml:space="preserve"> on</w:t>
      </w:r>
      <w:r w:rsidR="004362B5" w:rsidRPr="004B5047">
        <w:rPr>
          <w:rFonts w:ascii="Aptos" w:hAnsi="Aptos"/>
        </w:rPr>
        <w:t xml:space="preserve"> medical debt credit </w:t>
      </w:r>
      <w:r w:rsidR="000F487A" w:rsidRPr="004B5047">
        <w:rPr>
          <w:rFonts w:ascii="Aptos" w:hAnsi="Aptos"/>
        </w:rPr>
        <w:t>reporting and</w:t>
      </w:r>
      <w:r w:rsidRPr="004B5047">
        <w:rPr>
          <w:rFonts w:ascii="Aptos" w:hAnsi="Aptos"/>
        </w:rPr>
        <w:t xml:space="preserve"> </w:t>
      </w:r>
      <w:r w:rsidR="004362B5" w:rsidRPr="004B5047">
        <w:rPr>
          <w:rFonts w:ascii="Aptos" w:hAnsi="Aptos"/>
        </w:rPr>
        <w:t>a lawsuit</w:t>
      </w:r>
      <w:r w:rsidRPr="004B5047">
        <w:rPr>
          <w:rFonts w:ascii="Aptos" w:hAnsi="Aptos"/>
        </w:rPr>
        <w:t xml:space="preserve"> filed by the Consumer Data Industry Association</w:t>
      </w:r>
      <w:r w:rsidR="004362B5" w:rsidRPr="004B5047">
        <w:rPr>
          <w:rFonts w:ascii="Aptos" w:hAnsi="Aptos"/>
        </w:rPr>
        <w:t xml:space="preserve"> is </w:t>
      </w:r>
      <w:r w:rsidR="00CB2216" w:rsidRPr="004B5047">
        <w:rPr>
          <w:rFonts w:ascii="Aptos" w:hAnsi="Aptos"/>
        </w:rPr>
        <w:t>pending before the U.S. District Court of Maine.</w:t>
      </w:r>
    </w:p>
    <w:p w14:paraId="477F39F9" w14:textId="77777777" w:rsidR="0036607E" w:rsidRPr="004B5047" w:rsidRDefault="0036607E" w:rsidP="0036607E">
      <w:pPr>
        <w:pStyle w:val="NoSpacing"/>
        <w:ind w:left="48"/>
        <w:rPr>
          <w:rFonts w:ascii="Aptos" w:hAnsi="Aptos"/>
        </w:rPr>
      </w:pPr>
    </w:p>
    <w:p w14:paraId="76DFDBB2" w14:textId="55F5E2ED" w:rsidR="0036607E" w:rsidRPr="004B5047" w:rsidRDefault="0036607E" w:rsidP="0036607E">
      <w:pPr>
        <w:pStyle w:val="NoSpacing"/>
        <w:ind w:left="48"/>
        <w:rPr>
          <w:rFonts w:ascii="Aptos" w:hAnsi="Aptos"/>
        </w:rPr>
      </w:pPr>
      <w:r w:rsidRPr="004B5047">
        <w:rPr>
          <w:rFonts w:ascii="Aptos" w:hAnsi="Aptos"/>
        </w:rPr>
        <w:t xml:space="preserve">The Department should allow these lawsuits to conclude before advancing this proposal.  </w:t>
      </w:r>
      <w:r w:rsidR="00D50F95" w:rsidRPr="004B5047">
        <w:rPr>
          <w:rFonts w:ascii="Aptos" w:hAnsi="Aptos"/>
        </w:rPr>
        <w:t xml:space="preserve">Allowing the legal process to </w:t>
      </w:r>
      <w:r w:rsidR="00202867" w:rsidRPr="004B5047">
        <w:rPr>
          <w:rFonts w:ascii="Aptos" w:hAnsi="Aptos"/>
        </w:rPr>
        <w:t xml:space="preserve">play out will </w:t>
      </w:r>
      <w:r w:rsidR="00D5614D" w:rsidRPr="004B5047">
        <w:rPr>
          <w:rFonts w:ascii="Aptos" w:hAnsi="Aptos"/>
        </w:rPr>
        <w:t xml:space="preserve">allow the </w:t>
      </w:r>
      <w:r w:rsidR="00CA4F33" w:rsidRPr="004B5047">
        <w:rPr>
          <w:rFonts w:ascii="Aptos" w:hAnsi="Aptos"/>
        </w:rPr>
        <w:t>Department</w:t>
      </w:r>
      <w:r w:rsidR="00D5614D" w:rsidRPr="004B5047">
        <w:rPr>
          <w:rFonts w:ascii="Aptos" w:hAnsi="Aptos"/>
        </w:rPr>
        <w:t xml:space="preserve"> to </w:t>
      </w:r>
      <w:r w:rsidR="00202867" w:rsidRPr="004B5047">
        <w:rPr>
          <w:rFonts w:ascii="Aptos" w:hAnsi="Aptos"/>
        </w:rPr>
        <w:t xml:space="preserve">avoid unnecessary </w:t>
      </w:r>
      <w:r w:rsidR="00B42C80" w:rsidRPr="004B5047">
        <w:rPr>
          <w:rFonts w:ascii="Aptos" w:hAnsi="Aptos"/>
        </w:rPr>
        <w:t xml:space="preserve">post enactment regulatory changes and </w:t>
      </w:r>
      <w:r w:rsidR="00C85D01" w:rsidRPr="004B5047">
        <w:rPr>
          <w:rFonts w:ascii="Aptos" w:hAnsi="Aptos"/>
        </w:rPr>
        <w:t xml:space="preserve">avoid costly operational changes </w:t>
      </w:r>
      <w:r w:rsidR="000F487A" w:rsidRPr="004B5047">
        <w:rPr>
          <w:rFonts w:ascii="Aptos" w:hAnsi="Aptos"/>
        </w:rPr>
        <w:t>for</w:t>
      </w:r>
      <w:r w:rsidR="00202867" w:rsidRPr="004B5047">
        <w:rPr>
          <w:rFonts w:ascii="Aptos" w:hAnsi="Aptos"/>
        </w:rPr>
        <w:t xml:space="preserve"> providers and</w:t>
      </w:r>
      <w:r w:rsidR="00CC5F94" w:rsidRPr="004B5047">
        <w:rPr>
          <w:rFonts w:ascii="Aptos" w:hAnsi="Aptos"/>
        </w:rPr>
        <w:t xml:space="preserve"> confusion for </w:t>
      </w:r>
      <w:r w:rsidR="00202867" w:rsidRPr="004B5047">
        <w:rPr>
          <w:rFonts w:ascii="Aptos" w:hAnsi="Aptos"/>
        </w:rPr>
        <w:t>consumers.</w:t>
      </w:r>
    </w:p>
    <w:p w14:paraId="0BC434A0" w14:textId="77777777" w:rsidR="008F7017" w:rsidRPr="004B5047" w:rsidRDefault="008F7017" w:rsidP="00B44F65">
      <w:pPr>
        <w:pStyle w:val="NoSpacing"/>
        <w:rPr>
          <w:rFonts w:ascii="Aptos" w:hAnsi="Aptos"/>
          <w:b/>
          <w:bCs/>
        </w:rPr>
      </w:pPr>
    </w:p>
    <w:p w14:paraId="7422E4C3" w14:textId="2DCEA69D" w:rsidR="00DA0A6D" w:rsidRPr="004B5047" w:rsidRDefault="00DA0A6D" w:rsidP="00EF740B">
      <w:pPr>
        <w:pStyle w:val="NoSpacing"/>
        <w:numPr>
          <w:ilvl w:val="0"/>
          <w:numId w:val="1"/>
        </w:numPr>
        <w:rPr>
          <w:rFonts w:ascii="Aptos" w:hAnsi="Aptos"/>
          <w:b/>
          <w:bCs/>
        </w:rPr>
      </w:pPr>
      <w:r w:rsidRPr="004B5047">
        <w:rPr>
          <w:rFonts w:ascii="Aptos" w:hAnsi="Aptos"/>
          <w:b/>
          <w:bCs/>
        </w:rPr>
        <w:t xml:space="preserve">   The proposal is preempted by federal law</w:t>
      </w:r>
    </w:p>
    <w:p w14:paraId="79AF0B64" w14:textId="77777777" w:rsidR="00DA0A6D" w:rsidRPr="004B5047" w:rsidRDefault="00DA0A6D" w:rsidP="00DA0A6D">
      <w:pPr>
        <w:pStyle w:val="NoSpacing"/>
        <w:rPr>
          <w:rFonts w:ascii="Aptos" w:hAnsi="Aptos"/>
        </w:rPr>
      </w:pPr>
    </w:p>
    <w:p w14:paraId="4B54F396" w14:textId="45118B4D" w:rsidR="00DA0A6D" w:rsidRPr="004B5047" w:rsidRDefault="00DA0A6D" w:rsidP="00DA0A6D">
      <w:pPr>
        <w:pStyle w:val="NoSpacing"/>
        <w:rPr>
          <w:rFonts w:ascii="Aptos" w:hAnsi="Aptos"/>
        </w:rPr>
      </w:pPr>
      <w:r w:rsidRPr="004B5047">
        <w:rPr>
          <w:rFonts w:ascii="Aptos" w:hAnsi="Aptos"/>
        </w:rPr>
        <w:t xml:space="preserve">The federal Fair Credit Reporting </w:t>
      </w:r>
      <w:r w:rsidR="000F487A" w:rsidRPr="004B5047">
        <w:rPr>
          <w:rFonts w:ascii="Aptos" w:hAnsi="Aptos"/>
        </w:rPr>
        <w:t>Act is</w:t>
      </w:r>
      <w:r w:rsidRPr="004B5047">
        <w:rPr>
          <w:rFonts w:ascii="Aptos" w:hAnsi="Aptos"/>
        </w:rPr>
        <w:t xml:space="preserve"> a statute intended to meet the needs of consumer credit for modern commerce in a manner that is “fair and equitable to the consumer, about the accuracy, relevancy, and proper utilization of such information. The proposed rule prohibits health</w:t>
      </w:r>
      <w:r w:rsidR="002C5B31" w:rsidRPr="004B5047">
        <w:rPr>
          <w:rFonts w:ascii="Aptos" w:hAnsi="Aptos"/>
        </w:rPr>
        <w:t xml:space="preserve"> </w:t>
      </w:r>
      <w:r w:rsidRPr="004B5047">
        <w:rPr>
          <w:rFonts w:ascii="Aptos" w:hAnsi="Aptos"/>
        </w:rPr>
        <w:t>care providers in the state from sharing accurate information about consumer obligations. Prohibiting credit reporting would block the only legal avenue of conveying credit risk information between furnishers and lenders.</w:t>
      </w:r>
    </w:p>
    <w:p w14:paraId="1511AFDD" w14:textId="77777777" w:rsidR="00DA0A6D" w:rsidRPr="004B5047" w:rsidRDefault="00DA0A6D" w:rsidP="00DA0A6D">
      <w:pPr>
        <w:pStyle w:val="NoSpacing"/>
        <w:rPr>
          <w:rFonts w:ascii="Aptos" w:hAnsi="Aptos"/>
        </w:rPr>
      </w:pPr>
    </w:p>
    <w:p w14:paraId="62947A1D" w14:textId="77777777" w:rsidR="00DA0A6D" w:rsidRPr="004B5047" w:rsidRDefault="00DA0A6D" w:rsidP="00DA0A6D">
      <w:pPr>
        <w:pStyle w:val="NoSpacing"/>
        <w:rPr>
          <w:rFonts w:ascii="Aptos" w:hAnsi="Aptos"/>
        </w:rPr>
      </w:pPr>
      <w:r w:rsidRPr="004B5047">
        <w:rPr>
          <w:rFonts w:ascii="Aptos" w:hAnsi="Aptos"/>
        </w:rPr>
        <w:t xml:space="preserve">Congress enacted the FCRA to establish uniform national standards for credit reporting, a system designed to avoid conflicting state rules that would fragment the market and undermine accuracy. The proposed rule does exactly what Congress sought to prevent: it imposes a state-specific prohibition on reporting medical debt, even when federal law expressly permits such reporting under defined conditions. </w:t>
      </w:r>
    </w:p>
    <w:p w14:paraId="0B9C83D2" w14:textId="77777777" w:rsidR="00DA0A6D" w:rsidRPr="004B5047" w:rsidRDefault="00DA0A6D" w:rsidP="00DA0A6D">
      <w:pPr>
        <w:pStyle w:val="NoSpacing"/>
        <w:rPr>
          <w:rFonts w:ascii="Aptos" w:hAnsi="Aptos"/>
        </w:rPr>
      </w:pPr>
    </w:p>
    <w:p w14:paraId="0E79D55A" w14:textId="77777777" w:rsidR="00DA0A6D" w:rsidRPr="004B5047" w:rsidRDefault="00DA0A6D" w:rsidP="00EF740B">
      <w:pPr>
        <w:pStyle w:val="NoSpacing"/>
        <w:numPr>
          <w:ilvl w:val="0"/>
          <w:numId w:val="1"/>
        </w:numPr>
        <w:rPr>
          <w:rFonts w:ascii="Aptos" w:hAnsi="Aptos"/>
          <w:b/>
          <w:bCs/>
        </w:rPr>
      </w:pPr>
      <w:r w:rsidRPr="004B5047">
        <w:rPr>
          <w:rFonts w:ascii="Aptos" w:hAnsi="Aptos"/>
          <w:b/>
          <w:bCs/>
        </w:rPr>
        <w:t>The proposal violates the First Amendment</w:t>
      </w:r>
    </w:p>
    <w:p w14:paraId="72FA8ACD" w14:textId="77777777" w:rsidR="00DA0A6D" w:rsidRPr="004B5047" w:rsidRDefault="00DA0A6D" w:rsidP="00DA0A6D">
      <w:pPr>
        <w:pStyle w:val="NoSpacing"/>
        <w:rPr>
          <w:rFonts w:ascii="Aptos" w:hAnsi="Aptos"/>
        </w:rPr>
      </w:pPr>
    </w:p>
    <w:p w14:paraId="62492B12" w14:textId="77777777" w:rsidR="00202867" w:rsidRPr="004B5047" w:rsidRDefault="00EF5326" w:rsidP="00EF5326">
      <w:pPr>
        <w:pStyle w:val="NoSpacing"/>
        <w:rPr>
          <w:rFonts w:ascii="Aptos" w:hAnsi="Aptos"/>
        </w:rPr>
      </w:pPr>
      <w:r w:rsidRPr="004B5047">
        <w:rPr>
          <w:rFonts w:ascii="Aptos" w:hAnsi="Aptos"/>
        </w:rPr>
        <w:t>Restrictions on credit reporting that prohibit the communication of truthful, non</w:t>
      </w:r>
      <w:r w:rsidRPr="004B5047">
        <w:rPr>
          <w:rFonts w:ascii="Cambria Math" w:hAnsi="Cambria Math" w:cs="Cambria Math"/>
        </w:rPr>
        <w:t>‑</w:t>
      </w:r>
      <w:r w:rsidRPr="004B5047">
        <w:rPr>
          <w:rFonts w:ascii="Aptos" w:hAnsi="Aptos"/>
        </w:rPr>
        <w:t xml:space="preserve">misleading information raise serious First Amendment concerns. Credit reports </w:t>
      </w:r>
      <w:r w:rsidRPr="004B5047">
        <w:rPr>
          <w:rFonts w:ascii="Aptos" w:hAnsi="Aptos"/>
        </w:rPr>
        <w:lastRenderedPageBreak/>
        <w:t>convey factual commercial information that is lawfully obtained and highly relevant to financial decision</w:t>
      </w:r>
      <w:r w:rsidRPr="004B5047">
        <w:rPr>
          <w:rFonts w:ascii="Cambria Math" w:hAnsi="Cambria Math" w:cs="Cambria Math"/>
        </w:rPr>
        <w:t>‑</w:t>
      </w:r>
      <w:r w:rsidRPr="004B5047">
        <w:rPr>
          <w:rFonts w:ascii="Aptos" w:hAnsi="Aptos"/>
        </w:rPr>
        <w:t xml:space="preserve">making. </w:t>
      </w:r>
    </w:p>
    <w:p w14:paraId="0ACA11C1" w14:textId="77777777" w:rsidR="00202867" w:rsidRPr="004B5047" w:rsidRDefault="00202867" w:rsidP="00EF5326">
      <w:pPr>
        <w:pStyle w:val="NoSpacing"/>
        <w:rPr>
          <w:rFonts w:ascii="Aptos" w:hAnsi="Aptos"/>
        </w:rPr>
      </w:pPr>
    </w:p>
    <w:p w14:paraId="12C28071" w14:textId="525DE5D7" w:rsidR="00EF5326" w:rsidRPr="004B5047" w:rsidRDefault="00FB37F1" w:rsidP="00EF5326">
      <w:pPr>
        <w:pStyle w:val="NoSpacing"/>
        <w:rPr>
          <w:rFonts w:ascii="Aptos" w:hAnsi="Aptos"/>
        </w:rPr>
      </w:pPr>
      <w:r w:rsidRPr="004B5047">
        <w:rPr>
          <w:rFonts w:ascii="Aptos" w:hAnsi="Aptos"/>
        </w:rPr>
        <w:t>P</w:t>
      </w:r>
      <w:r w:rsidR="00140553" w:rsidRPr="004B5047">
        <w:rPr>
          <w:rFonts w:ascii="Aptos" w:hAnsi="Aptos"/>
        </w:rPr>
        <w:t>rohibit</w:t>
      </w:r>
      <w:r w:rsidRPr="004B5047">
        <w:rPr>
          <w:rFonts w:ascii="Aptos" w:hAnsi="Aptos"/>
        </w:rPr>
        <w:t xml:space="preserve">ions </w:t>
      </w:r>
      <w:r w:rsidR="0092611C" w:rsidRPr="004B5047">
        <w:rPr>
          <w:rFonts w:ascii="Aptos" w:hAnsi="Aptos"/>
        </w:rPr>
        <w:t>on the</w:t>
      </w:r>
      <w:r w:rsidR="00EF5326" w:rsidRPr="004B5047">
        <w:rPr>
          <w:rFonts w:ascii="Aptos" w:hAnsi="Aptos"/>
        </w:rPr>
        <w:t xml:space="preserve"> reporting of adverse medical debt while permitting other categories of debt to be </w:t>
      </w:r>
      <w:r w:rsidR="00CA4F33" w:rsidRPr="004B5047">
        <w:rPr>
          <w:rFonts w:ascii="Aptos" w:hAnsi="Aptos"/>
        </w:rPr>
        <w:t>reported</w:t>
      </w:r>
      <w:r w:rsidR="00EF5326" w:rsidRPr="004B5047">
        <w:rPr>
          <w:rFonts w:ascii="Aptos" w:hAnsi="Aptos"/>
        </w:rPr>
        <w:t xml:space="preserve"> </w:t>
      </w:r>
      <w:r w:rsidR="004A7600" w:rsidRPr="004B5047">
        <w:rPr>
          <w:rFonts w:ascii="Aptos" w:hAnsi="Aptos"/>
        </w:rPr>
        <w:t>impose</w:t>
      </w:r>
      <w:r w:rsidR="00EF740B" w:rsidRPr="004B5047">
        <w:rPr>
          <w:rFonts w:ascii="Aptos" w:hAnsi="Aptos"/>
        </w:rPr>
        <w:t xml:space="preserve"> </w:t>
      </w:r>
      <w:r w:rsidR="000F487A" w:rsidRPr="004B5047">
        <w:rPr>
          <w:rFonts w:ascii="Aptos" w:hAnsi="Aptos"/>
        </w:rPr>
        <w:t>content</w:t>
      </w:r>
      <w:r w:rsidR="00EF740B" w:rsidRPr="004B5047">
        <w:rPr>
          <w:rFonts w:ascii="Aptos" w:hAnsi="Aptos"/>
        </w:rPr>
        <w:t>-</w:t>
      </w:r>
      <w:r w:rsidR="000F487A" w:rsidRPr="004B5047">
        <w:rPr>
          <w:rFonts w:ascii="Aptos" w:hAnsi="Aptos"/>
        </w:rPr>
        <w:t>based</w:t>
      </w:r>
      <w:r w:rsidR="00EF740B" w:rsidRPr="004B5047">
        <w:rPr>
          <w:rFonts w:ascii="Aptos" w:hAnsi="Aptos"/>
        </w:rPr>
        <w:t xml:space="preserve">, </w:t>
      </w:r>
      <w:r w:rsidR="000F487A" w:rsidRPr="004B5047">
        <w:rPr>
          <w:rFonts w:ascii="Aptos" w:hAnsi="Aptos"/>
        </w:rPr>
        <w:t>p</w:t>
      </w:r>
      <w:r w:rsidR="00EF740B" w:rsidRPr="004B5047">
        <w:rPr>
          <w:rFonts w:ascii="Aptos" w:hAnsi="Aptos"/>
        </w:rPr>
        <w:t>urpose-</w:t>
      </w:r>
      <w:r w:rsidR="000F487A" w:rsidRPr="004B5047">
        <w:rPr>
          <w:rFonts w:ascii="Aptos" w:hAnsi="Aptos"/>
        </w:rPr>
        <w:t xml:space="preserve">based </w:t>
      </w:r>
      <w:r w:rsidR="00EF740B" w:rsidRPr="004B5047">
        <w:rPr>
          <w:rFonts w:ascii="Aptos" w:hAnsi="Aptos"/>
        </w:rPr>
        <w:t xml:space="preserve">and </w:t>
      </w:r>
      <w:r w:rsidR="000F487A" w:rsidRPr="004B5047">
        <w:rPr>
          <w:rFonts w:ascii="Aptos" w:hAnsi="Aptos"/>
        </w:rPr>
        <w:t>listener</w:t>
      </w:r>
      <w:r w:rsidR="00EF740B" w:rsidRPr="004B5047">
        <w:rPr>
          <w:rFonts w:ascii="Aptos" w:hAnsi="Aptos"/>
        </w:rPr>
        <w:t>-</w:t>
      </w:r>
      <w:r w:rsidR="000F487A" w:rsidRPr="004B5047">
        <w:rPr>
          <w:rFonts w:ascii="Aptos" w:hAnsi="Aptos"/>
        </w:rPr>
        <w:t>based restrictions</w:t>
      </w:r>
      <w:r w:rsidR="00EF740B" w:rsidRPr="004B5047">
        <w:rPr>
          <w:rFonts w:ascii="Aptos" w:hAnsi="Aptos"/>
        </w:rPr>
        <w:t>.</w:t>
      </w:r>
      <w:r w:rsidR="00EF5326" w:rsidRPr="004B5047">
        <w:rPr>
          <w:rFonts w:ascii="Aptos" w:hAnsi="Aptos"/>
        </w:rPr>
        <w:t xml:space="preserve"> The Supreme Court has repeatedly held that commercial speech is protected by the First Amendment and that laws targeting speech based on its content are unconstitutional unless narrowly tailored to serve a compelling interest. Suppressing accurate information does not eliminate the underlying debt; instead, it restricts the flow of information between willing speakers and willing listeners, undermining transparency, and consumer understanding.</w:t>
      </w:r>
    </w:p>
    <w:p w14:paraId="1C1ECFDB" w14:textId="77777777" w:rsidR="00EF5326" w:rsidRPr="004B5047" w:rsidRDefault="00EF5326" w:rsidP="00DA0A6D">
      <w:pPr>
        <w:pStyle w:val="NoSpacing"/>
        <w:rPr>
          <w:rFonts w:ascii="Aptos" w:hAnsi="Aptos"/>
        </w:rPr>
      </w:pPr>
    </w:p>
    <w:p w14:paraId="10ABC1A7" w14:textId="0A27CB5E" w:rsidR="00DA0A6D" w:rsidRPr="004B5047" w:rsidRDefault="00DA0A6D" w:rsidP="00DA0A6D">
      <w:pPr>
        <w:pStyle w:val="NoSpacing"/>
        <w:rPr>
          <w:rFonts w:ascii="Aptos" w:hAnsi="Aptos"/>
        </w:rPr>
      </w:pPr>
      <w:r w:rsidRPr="004B5047">
        <w:rPr>
          <w:rFonts w:ascii="Aptos" w:hAnsi="Aptos"/>
        </w:rPr>
        <w:t xml:space="preserve">ACA members have a First Amendment right to receive protected commercial speech. ACA debt collector members have an ancillary right </w:t>
      </w:r>
      <w:r w:rsidR="00A66438" w:rsidRPr="004B5047">
        <w:rPr>
          <w:rFonts w:ascii="Aptos" w:hAnsi="Aptos"/>
        </w:rPr>
        <w:t>not to</w:t>
      </w:r>
      <w:r w:rsidR="009C5A5E">
        <w:rPr>
          <w:rFonts w:ascii="Aptos" w:hAnsi="Aptos"/>
          <w:b/>
          <w:bCs/>
        </w:rPr>
        <w:t xml:space="preserve"> </w:t>
      </w:r>
      <w:r w:rsidR="009C5A5E" w:rsidRPr="004B5047">
        <w:rPr>
          <w:rFonts w:ascii="Aptos" w:hAnsi="Aptos"/>
        </w:rPr>
        <w:t>be</w:t>
      </w:r>
      <w:r w:rsidRPr="004B5047">
        <w:rPr>
          <w:rFonts w:ascii="Aptos" w:hAnsi="Aptos"/>
        </w:rPr>
        <w:t xml:space="preserve"> forced to communicate speech that is unlawful and untruthful. The First Amendment protects not only the right to speak but the right to receive information, and the proposed ban on medical credit reporting violates both.</w:t>
      </w:r>
    </w:p>
    <w:p w14:paraId="2830DBCB" w14:textId="77777777" w:rsidR="00DA0A6D" w:rsidRPr="004B5047" w:rsidRDefault="00DA0A6D" w:rsidP="00DA0A6D">
      <w:pPr>
        <w:pStyle w:val="NoSpacing"/>
        <w:rPr>
          <w:rFonts w:ascii="Aptos" w:hAnsi="Aptos"/>
        </w:rPr>
      </w:pPr>
    </w:p>
    <w:p w14:paraId="756CB018" w14:textId="77777777" w:rsidR="00DA0A6D" w:rsidRPr="004B5047" w:rsidRDefault="00DA0A6D" w:rsidP="00DA0A6D">
      <w:pPr>
        <w:pStyle w:val="NoSpacing"/>
        <w:rPr>
          <w:rFonts w:ascii="Aptos" w:hAnsi="Aptos"/>
        </w:rPr>
      </w:pPr>
      <w:r w:rsidRPr="004B5047">
        <w:rPr>
          <w:rFonts w:ascii="Aptos" w:hAnsi="Aptos"/>
        </w:rPr>
        <w:t xml:space="preserve">ACA members and the clients they serve have a right to speak—and hear—through the Credit Reporting Agencies.  These rights are violated if they cannot share or receive banned speech. </w:t>
      </w:r>
    </w:p>
    <w:p w14:paraId="65AC6F25" w14:textId="77777777" w:rsidR="00DA0A6D" w:rsidRPr="004B5047" w:rsidRDefault="00DA0A6D" w:rsidP="00DA0A6D">
      <w:pPr>
        <w:pStyle w:val="NoSpacing"/>
        <w:rPr>
          <w:rFonts w:ascii="Aptos" w:hAnsi="Aptos"/>
        </w:rPr>
      </w:pPr>
    </w:p>
    <w:p w14:paraId="2330C3F9" w14:textId="24F03894" w:rsidR="00DA0A6D" w:rsidRPr="004B5047" w:rsidRDefault="00DA0A6D" w:rsidP="00DA0A6D">
      <w:pPr>
        <w:pStyle w:val="NoSpacing"/>
        <w:rPr>
          <w:rFonts w:ascii="Aptos" w:hAnsi="Aptos"/>
        </w:rPr>
      </w:pPr>
      <w:r w:rsidRPr="004B5047">
        <w:rPr>
          <w:rFonts w:ascii="Aptos" w:hAnsi="Aptos"/>
        </w:rPr>
        <w:t xml:space="preserve">If enacted, ACA creditor members will have lost their First Amendment right to receive medical debt information from CRAs. Consumers </w:t>
      </w:r>
      <w:r w:rsidR="00A66438">
        <w:rPr>
          <w:rFonts w:ascii="Aptos" w:hAnsi="Aptos"/>
        </w:rPr>
        <w:t xml:space="preserve">will </w:t>
      </w:r>
      <w:r w:rsidRPr="004B5047">
        <w:rPr>
          <w:rFonts w:ascii="Aptos" w:hAnsi="Aptos"/>
        </w:rPr>
        <w:t xml:space="preserve">have also lost their First Amendment right to receive furnished information about medical debt amounts they owe to creditors—communication that enables them to avoid other negative consequences. And furnishers lose their right to convey information about medical debt to other creditors and consumers. </w:t>
      </w:r>
    </w:p>
    <w:p w14:paraId="07C2EC5A" w14:textId="77777777" w:rsidR="00DA0A6D" w:rsidRPr="004B5047" w:rsidRDefault="00DA0A6D" w:rsidP="00DA0A6D">
      <w:pPr>
        <w:pStyle w:val="NoSpacing"/>
        <w:rPr>
          <w:rFonts w:ascii="Aptos" w:hAnsi="Aptos"/>
          <w:b/>
          <w:bCs/>
        </w:rPr>
      </w:pPr>
    </w:p>
    <w:p w14:paraId="5BF1F4A3" w14:textId="77777777" w:rsidR="00DA0A6D" w:rsidRPr="004B5047" w:rsidRDefault="00DA0A6D" w:rsidP="00EF740B">
      <w:pPr>
        <w:pStyle w:val="NoSpacing"/>
        <w:numPr>
          <w:ilvl w:val="0"/>
          <w:numId w:val="1"/>
        </w:numPr>
        <w:rPr>
          <w:rFonts w:ascii="Aptos" w:hAnsi="Aptos"/>
          <w:b/>
          <w:bCs/>
        </w:rPr>
      </w:pPr>
      <w:r w:rsidRPr="004B5047">
        <w:rPr>
          <w:rFonts w:ascii="Aptos" w:hAnsi="Aptos"/>
          <w:b/>
          <w:bCs/>
        </w:rPr>
        <w:t>Conclusion</w:t>
      </w:r>
    </w:p>
    <w:p w14:paraId="4F5C9F85" w14:textId="77777777" w:rsidR="00DA0A6D" w:rsidRPr="004B5047" w:rsidRDefault="00DA0A6D" w:rsidP="00DA0A6D">
      <w:pPr>
        <w:pStyle w:val="NoSpacing"/>
        <w:rPr>
          <w:rFonts w:ascii="Aptos" w:hAnsi="Aptos"/>
        </w:rPr>
      </w:pPr>
    </w:p>
    <w:p w14:paraId="2F60A30F" w14:textId="77777777" w:rsidR="00DA0A6D" w:rsidRPr="004B5047" w:rsidRDefault="00DA0A6D" w:rsidP="00DA0A6D">
      <w:pPr>
        <w:pStyle w:val="NoSpacing"/>
        <w:rPr>
          <w:rFonts w:ascii="Aptos" w:hAnsi="Aptos" w:cs="Calibri"/>
          <w:b/>
          <w:bCs/>
        </w:rPr>
      </w:pPr>
      <w:r w:rsidRPr="004B5047">
        <w:rPr>
          <w:rFonts w:ascii="Aptos" w:hAnsi="Aptos" w:cs="Calibri"/>
        </w:rPr>
        <w:t>Credit reports that do not account for financial obligations, including past-due medical bills, increase the chance of credit grantors extending credit that a consumer cannot afford, resulting in bankruptcy increases, stress, and additional financial burdens, as well as inappropriate losses for lenders.</w:t>
      </w:r>
    </w:p>
    <w:p w14:paraId="295C45F3" w14:textId="77777777" w:rsidR="00DA0A6D" w:rsidRPr="004B5047" w:rsidRDefault="00DA0A6D" w:rsidP="00DA0A6D">
      <w:pPr>
        <w:pStyle w:val="NoSpacing"/>
        <w:rPr>
          <w:rFonts w:ascii="Aptos" w:hAnsi="Aptos" w:cs="Calibri"/>
        </w:rPr>
      </w:pPr>
    </w:p>
    <w:p w14:paraId="53F44A67" w14:textId="77777777" w:rsidR="00DA0A6D" w:rsidRPr="004B5047" w:rsidRDefault="00DA0A6D" w:rsidP="00DA0A6D">
      <w:pPr>
        <w:pStyle w:val="NoSpacing"/>
        <w:rPr>
          <w:rFonts w:ascii="Aptos" w:hAnsi="Aptos" w:cs="Calibri"/>
          <w:b/>
          <w:bCs/>
        </w:rPr>
      </w:pPr>
      <w:r w:rsidRPr="004B5047">
        <w:rPr>
          <w:rFonts w:ascii="Aptos" w:hAnsi="Aptos" w:cs="Calibri"/>
        </w:rPr>
        <w:t xml:space="preserve">Consumers can learn about debts, such as medical bills, on their credit report. Setting an arbitrary threshold or delaying credit reporting can remove this vital communication tool.  </w:t>
      </w:r>
    </w:p>
    <w:p w14:paraId="148B8832" w14:textId="6C1BE67A" w:rsidR="00DA0A6D" w:rsidRPr="004B5047" w:rsidRDefault="00DA0A6D" w:rsidP="00DA0A6D">
      <w:pPr>
        <w:pStyle w:val="NoSpacing"/>
        <w:rPr>
          <w:rFonts w:ascii="Aptos" w:hAnsi="Aptos" w:cs="Calibri"/>
        </w:rPr>
      </w:pPr>
    </w:p>
    <w:p w14:paraId="47F4906C" w14:textId="77777777" w:rsidR="00DA0A6D" w:rsidRPr="004B5047" w:rsidRDefault="00DA0A6D" w:rsidP="00DA0A6D">
      <w:pPr>
        <w:pStyle w:val="NoSpacing"/>
        <w:rPr>
          <w:rFonts w:ascii="Aptos" w:hAnsi="Aptos" w:cs="Calibri"/>
        </w:rPr>
      </w:pPr>
      <w:r w:rsidRPr="004B5047">
        <w:rPr>
          <w:rFonts w:ascii="Aptos" w:hAnsi="Aptos" w:cs="Calibri"/>
        </w:rPr>
        <w:t>This could ultimately harm consumers by reducing access to credit or medical services and increasing costs.</w:t>
      </w:r>
    </w:p>
    <w:p w14:paraId="227C0F66" w14:textId="77777777" w:rsidR="00347675" w:rsidRPr="004B5047" w:rsidRDefault="00347675" w:rsidP="00347675">
      <w:pPr>
        <w:pStyle w:val="NoSpacing"/>
        <w:rPr>
          <w:rFonts w:ascii="Aptos" w:hAnsi="Aptos"/>
        </w:rPr>
      </w:pPr>
    </w:p>
    <w:p w14:paraId="0C678C4E" w14:textId="77777777" w:rsidR="00347675" w:rsidRPr="004B5047" w:rsidRDefault="00347675" w:rsidP="00347675">
      <w:pPr>
        <w:pStyle w:val="NoSpacing"/>
        <w:rPr>
          <w:rFonts w:ascii="Aptos" w:hAnsi="Aptos"/>
        </w:rPr>
      </w:pPr>
      <w:r w:rsidRPr="004B5047">
        <w:rPr>
          <w:rFonts w:ascii="Aptos" w:hAnsi="Aptos"/>
        </w:rPr>
        <w:lastRenderedPageBreak/>
        <w:t>States like Massachusetts should not selectively ban accurate debt information that undermines the accuracy of credit reports that business throughout the state and country rely on.</w:t>
      </w:r>
    </w:p>
    <w:p w14:paraId="0C556A29" w14:textId="77777777" w:rsidR="00DA0A6D" w:rsidRPr="004B5047" w:rsidRDefault="00DA0A6D" w:rsidP="00DA0A6D">
      <w:pPr>
        <w:pStyle w:val="NoSpacing"/>
        <w:rPr>
          <w:rFonts w:ascii="Aptos" w:hAnsi="Aptos" w:cs="Calibri"/>
        </w:rPr>
      </w:pPr>
    </w:p>
    <w:p w14:paraId="43D66217" w14:textId="647B2B88" w:rsidR="00DA0A6D" w:rsidRPr="004B5047" w:rsidRDefault="00347675" w:rsidP="00DA0A6D">
      <w:pPr>
        <w:pStyle w:val="NoSpacing"/>
        <w:rPr>
          <w:rFonts w:ascii="Aptos" w:hAnsi="Aptos" w:cs="Calibri"/>
        </w:rPr>
      </w:pPr>
      <w:r w:rsidRPr="004B5047">
        <w:rPr>
          <w:rFonts w:ascii="Aptos" w:hAnsi="Aptos" w:cs="Calibri"/>
        </w:rPr>
        <w:t xml:space="preserve">Thank you again for the </w:t>
      </w:r>
      <w:r w:rsidR="001511CF" w:rsidRPr="004B5047">
        <w:rPr>
          <w:rFonts w:ascii="Aptos" w:hAnsi="Aptos" w:cs="Calibri"/>
        </w:rPr>
        <w:t>opportunity</w:t>
      </w:r>
      <w:r w:rsidR="009E08BA" w:rsidRPr="004B5047">
        <w:rPr>
          <w:rFonts w:ascii="Aptos" w:hAnsi="Aptos" w:cs="Calibri"/>
        </w:rPr>
        <w:t xml:space="preserve"> to testify. I would like to encourage the </w:t>
      </w:r>
      <w:r w:rsidR="009E08BA" w:rsidRPr="00C90216">
        <w:rPr>
          <w:rFonts w:ascii="Aptos" w:hAnsi="Aptos" w:cs="Calibri"/>
        </w:rPr>
        <w:t>Dep</w:t>
      </w:r>
      <w:r w:rsidR="00953492" w:rsidRPr="00C90216">
        <w:rPr>
          <w:rFonts w:ascii="Aptos" w:hAnsi="Aptos" w:cs="Calibri"/>
        </w:rPr>
        <w:t>a</w:t>
      </w:r>
      <w:r w:rsidR="009E08BA" w:rsidRPr="00C90216">
        <w:rPr>
          <w:rFonts w:ascii="Aptos" w:hAnsi="Aptos" w:cs="Calibri"/>
        </w:rPr>
        <w:t>rtment</w:t>
      </w:r>
      <w:r w:rsidR="009E08BA" w:rsidRPr="004B5047">
        <w:rPr>
          <w:rFonts w:ascii="Aptos" w:hAnsi="Aptos" w:cs="Calibri"/>
        </w:rPr>
        <w:t xml:space="preserve"> to consider the </w:t>
      </w:r>
      <w:r w:rsidR="001511CF" w:rsidRPr="004B5047">
        <w:rPr>
          <w:rFonts w:ascii="Aptos" w:hAnsi="Aptos" w:cs="Calibri"/>
        </w:rPr>
        <w:t>concerns</w:t>
      </w:r>
      <w:r w:rsidR="009E08BA" w:rsidRPr="004B5047">
        <w:rPr>
          <w:rFonts w:ascii="Aptos" w:hAnsi="Aptos" w:cs="Calibri"/>
        </w:rPr>
        <w:t xml:space="preserve"> outlined above </w:t>
      </w:r>
      <w:r w:rsidR="001511CF" w:rsidRPr="004B5047">
        <w:rPr>
          <w:rFonts w:ascii="Aptos" w:hAnsi="Aptos" w:cs="Calibri"/>
        </w:rPr>
        <w:t>and</w:t>
      </w:r>
      <w:r w:rsidR="00DA0A6D" w:rsidRPr="004B5047">
        <w:rPr>
          <w:rFonts w:ascii="Aptos" w:hAnsi="Aptos" w:cs="Calibri"/>
        </w:rPr>
        <w:t xml:space="preserve"> reconsider the proposed </w:t>
      </w:r>
      <w:r w:rsidR="001511CF" w:rsidRPr="004B5047">
        <w:rPr>
          <w:rFonts w:ascii="Aptos" w:hAnsi="Aptos" w:cs="Calibri"/>
        </w:rPr>
        <w:t xml:space="preserve">outright </w:t>
      </w:r>
      <w:r w:rsidR="00DA0A6D" w:rsidRPr="004B5047">
        <w:rPr>
          <w:rFonts w:ascii="Aptos" w:hAnsi="Aptos" w:cs="Calibri"/>
        </w:rPr>
        <w:t xml:space="preserve">prohibition on medical credit reporting.  </w:t>
      </w:r>
    </w:p>
    <w:p w14:paraId="127DD2DE" w14:textId="77777777" w:rsidR="00DA0A6D" w:rsidRPr="004B5047" w:rsidRDefault="00DA0A6D" w:rsidP="00DA0A6D">
      <w:pPr>
        <w:pStyle w:val="NoSpacing"/>
        <w:rPr>
          <w:rFonts w:ascii="Aptos" w:hAnsi="Aptos" w:cs="Calibri"/>
        </w:rPr>
      </w:pPr>
    </w:p>
    <w:p w14:paraId="11C414E2" w14:textId="378E7EFF" w:rsidR="00BE3E86" w:rsidRPr="004B5047" w:rsidRDefault="00C83A5F" w:rsidP="00DA0A6D">
      <w:pPr>
        <w:pStyle w:val="NoSpacing"/>
        <w:rPr>
          <w:rFonts w:ascii="Aptos" w:hAnsi="Aptos" w:cs="Calibri"/>
        </w:rPr>
      </w:pPr>
      <w:r w:rsidRPr="004B5047">
        <w:rPr>
          <w:rFonts w:ascii="Aptos" w:hAnsi="Aptos" w:cs="Calibri"/>
        </w:rPr>
        <w:t>Sincerely,</w:t>
      </w:r>
    </w:p>
    <w:p w14:paraId="61B6FD3C" w14:textId="77777777" w:rsidR="00C83A5F" w:rsidRPr="004B5047" w:rsidRDefault="00C83A5F" w:rsidP="00DA0A6D">
      <w:pPr>
        <w:pStyle w:val="NoSpacing"/>
        <w:rPr>
          <w:rFonts w:ascii="Aptos" w:hAnsi="Aptos" w:cs="Calibri"/>
        </w:rPr>
      </w:pPr>
    </w:p>
    <w:p w14:paraId="000F3F35" w14:textId="77777777" w:rsidR="00DA0A6D" w:rsidRPr="004B5047" w:rsidRDefault="00DA0A6D" w:rsidP="00DA0A6D">
      <w:pPr>
        <w:pStyle w:val="NoSpacing"/>
        <w:rPr>
          <w:rFonts w:ascii="Aptos" w:hAnsi="Aptos" w:cs="Calibri"/>
        </w:rPr>
      </w:pPr>
      <w:r w:rsidRPr="004B5047">
        <w:rPr>
          <w:rFonts w:ascii="Aptos" w:hAnsi="Aptos" w:cs="Calibri"/>
        </w:rPr>
        <w:t>Jeff DiMatteo</w:t>
      </w:r>
    </w:p>
    <w:p w14:paraId="63F87C57" w14:textId="77777777" w:rsidR="00DA0A6D" w:rsidRPr="004B5047" w:rsidRDefault="00DA0A6D" w:rsidP="00DA0A6D">
      <w:pPr>
        <w:pStyle w:val="NoSpacing"/>
        <w:rPr>
          <w:rFonts w:ascii="Aptos" w:hAnsi="Aptos" w:cs="Calibri"/>
        </w:rPr>
      </w:pPr>
      <w:r w:rsidRPr="004B5047">
        <w:rPr>
          <w:rFonts w:ascii="Aptos" w:hAnsi="Aptos" w:cs="Calibri"/>
        </w:rPr>
        <w:t>President, ACA International</w:t>
      </w:r>
    </w:p>
    <w:p w14:paraId="4EC6F644" w14:textId="3E3465CF" w:rsidR="00DA0A6D" w:rsidRPr="004B5047" w:rsidRDefault="00DA0A6D" w:rsidP="00DA0A6D">
      <w:pPr>
        <w:pStyle w:val="NoSpacing"/>
        <w:rPr>
          <w:rFonts w:ascii="Aptos" w:hAnsi="Aptos" w:cs="Calibri"/>
        </w:rPr>
      </w:pPr>
      <w:r w:rsidRPr="004B5047">
        <w:rPr>
          <w:rFonts w:ascii="Aptos" w:hAnsi="Aptos" w:cs="Calibri"/>
        </w:rPr>
        <w:t>President</w:t>
      </w:r>
      <w:r w:rsidR="00F338A1" w:rsidRPr="004B5047">
        <w:rPr>
          <w:rFonts w:ascii="Aptos" w:hAnsi="Aptos" w:cs="Calibri"/>
        </w:rPr>
        <w:t>,</w:t>
      </w:r>
      <w:r w:rsidRPr="004B5047">
        <w:rPr>
          <w:rFonts w:ascii="Aptos" w:hAnsi="Aptos" w:cs="Calibri"/>
        </w:rPr>
        <w:t xml:space="preserve"> American Profit Recovery</w:t>
      </w:r>
    </w:p>
    <w:p w14:paraId="7E120C97" w14:textId="77777777" w:rsidR="00464A9C" w:rsidRDefault="00464A9C" w:rsidP="00464A9C">
      <w:pPr>
        <w:pStyle w:val="NoSpacing"/>
      </w:pPr>
      <w:r>
        <w:t>27 Concetta Way</w:t>
      </w:r>
    </w:p>
    <w:p w14:paraId="667B66F9" w14:textId="6F1C6953" w:rsidR="00364191" w:rsidRDefault="00364191" w:rsidP="00464A9C">
      <w:pPr>
        <w:pStyle w:val="NoSpacing"/>
        <w:rPr>
          <w:lang w:val="fr-FR"/>
        </w:rPr>
      </w:pPr>
      <w:r w:rsidRPr="00B177BB">
        <w:rPr>
          <w:lang w:val="fr-FR"/>
        </w:rPr>
        <w:t>Franklin, MA 02038</w:t>
      </w:r>
    </w:p>
    <w:p w14:paraId="06192C14" w14:textId="47F39432" w:rsidR="00364191" w:rsidRDefault="00B177BB" w:rsidP="00B177BB">
      <w:pPr>
        <w:pStyle w:val="NoSpacing"/>
        <w:rPr>
          <w:lang w:val="fr-FR"/>
        </w:rPr>
      </w:pPr>
      <w:r w:rsidRPr="00B177BB">
        <w:rPr>
          <w:lang w:val="fr-FR"/>
        </w:rPr>
        <w:t>Jeff.DiMatteo@americanprofit.net</w:t>
      </w:r>
    </w:p>
    <w:p w14:paraId="6D6D9E62" w14:textId="77777777" w:rsidR="00B177BB" w:rsidRPr="00B177BB" w:rsidRDefault="00B177BB" w:rsidP="00464A9C">
      <w:pPr>
        <w:pStyle w:val="NoSpacing"/>
        <w:rPr>
          <w:lang w:val="fr-FR"/>
        </w:rPr>
      </w:pPr>
    </w:p>
    <w:p w14:paraId="05C23C41" w14:textId="184A69AF" w:rsidR="00DA0A6D" w:rsidRPr="00464A9C" w:rsidRDefault="00DA0A6D" w:rsidP="00464A9C">
      <w:pPr>
        <w:pStyle w:val="NoSpacing"/>
        <w:rPr>
          <w:rFonts w:ascii="Aptos" w:hAnsi="Aptos" w:cs="Calibri"/>
          <w:lang w:val="fr-FR"/>
        </w:rPr>
      </w:pPr>
    </w:p>
    <w:p w14:paraId="129D98C7" w14:textId="77777777" w:rsidR="00DA0A6D" w:rsidRPr="00464A9C" w:rsidRDefault="00DA0A6D">
      <w:pPr>
        <w:rPr>
          <w:rFonts w:ascii="Aptos" w:hAnsi="Aptos"/>
          <w:lang w:val="fr-FR"/>
        </w:rPr>
      </w:pPr>
    </w:p>
    <w:p w14:paraId="1F0F1589" w14:textId="77777777" w:rsidR="004569EC" w:rsidRPr="00464A9C" w:rsidRDefault="004569EC">
      <w:pPr>
        <w:rPr>
          <w:rFonts w:ascii="Aptos" w:hAnsi="Aptos"/>
          <w:lang w:val="fr-FR"/>
        </w:rPr>
      </w:pPr>
    </w:p>
    <w:sectPr w:rsidR="004569EC" w:rsidRPr="00464A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0F616" w14:textId="77777777" w:rsidR="00B4686C" w:rsidRDefault="00B4686C" w:rsidP="00DA0A6D">
      <w:pPr>
        <w:spacing w:after="0" w:line="240" w:lineRule="auto"/>
      </w:pPr>
      <w:r>
        <w:separator/>
      </w:r>
    </w:p>
  </w:endnote>
  <w:endnote w:type="continuationSeparator" w:id="0">
    <w:p w14:paraId="410FC827" w14:textId="77777777" w:rsidR="00B4686C" w:rsidRDefault="00B4686C" w:rsidP="00DA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C2B31" w14:textId="77777777" w:rsidR="00B4686C" w:rsidRDefault="00B4686C" w:rsidP="00DA0A6D">
      <w:pPr>
        <w:spacing w:after="0" w:line="240" w:lineRule="auto"/>
      </w:pPr>
      <w:r>
        <w:separator/>
      </w:r>
    </w:p>
  </w:footnote>
  <w:footnote w:type="continuationSeparator" w:id="0">
    <w:p w14:paraId="02425AD1" w14:textId="77777777" w:rsidR="00B4686C" w:rsidRDefault="00B4686C" w:rsidP="00DA0A6D">
      <w:pPr>
        <w:spacing w:after="0" w:line="240" w:lineRule="auto"/>
      </w:pPr>
      <w:r>
        <w:continuationSeparator/>
      </w:r>
    </w:p>
  </w:footnote>
  <w:footnote w:id="1">
    <w:p w14:paraId="078E3F31" w14:textId="77777777" w:rsidR="00DA0A6D" w:rsidRDefault="00DA0A6D" w:rsidP="00DA0A6D">
      <w:pPr>
        <w:pStyle w:val="FootnoteText"/>
      </w:pPr>
      <w:r>
        <w:rPr>
          <w:rStyle w:val="FootnoteReference"/>
        </w:rPr>
        <w:footnoteRef/>
      </w:r>
      <w:r>
        <w:t xml:space="preserve"> </w:t>
      </w:r>
      <w:hyperlink r:id="rId1" w:history="1">
        <w:r w:rsidRPr="00256B00">
          <w:rPr>
            <w:rStyle w:val="Hyperlink"/>
          </w:rPr>
          <w:t>https://www.wsj.com/health/healthcare/hospitals-pay-before-treatment-patients-c477e2d6</w:t>
        </w:r>
      </w:hyperlink>
      <w:r>
        <w:t xml:space="preserve"> </w:t>
      </w:r>
    </w:p>
  </w:footnote>
  <w:footnote w:id="2">
    <w:p w14:paraId="771AE967" w14:textId="77777777" w:rsidR="00DA0A6D" w:rsidRDefault="00DA0A6D" w:rsidP="00DA0A6D">
      <w:pPr>
        <w:pStyle w:val="FootnoteText"/>
      </w:pPr>
      <w:r>
        <w:rPr>
          <w:rStyle w:val="FootnoteReference"/>
        </w:rPr>
        <w:footnoteRef/>
      </w:r>
      <w:r>
        <w:t xml:space="preserve"> </w:t>
      </w:r>
      <w:hyperlink r:id="rId2" w:history="1">
        <w:r w:rsidRPr="00256B00">
          <w:rPr>
            <w:rStyle w:val="Hyperlink"/>
          </w:rPr>
          <w:t>https://policymakers.acainternational.org/wp-content/uploads/2024/07/AndrewNigrinisEconomicAnalysis-CFPB-FCRA-NPRM-July2024.pdf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4CB5" w14:textId="70D35EAE" w:rsidR="005F7A6A" w:rsidRDefault="005F7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F68"/>
    <w:multiLevelType w:val="hybridMultilevel"/>
    <w:tmpl w:val="A622D50C"/>
    <w:lvl w:ilvl="0" w:tplc="FFFFFFFF">
      <w:start w:val="1"/>
      <w:numFmt w:val="upperRoman"/>
      <w:lvlText w:val="%1."/>
      <w:lvlJc w:val="left"/>
      <w:pPr>
        <w:ind w:left="768" w:hanging="720"/>
      </w:pPr>
      <w:rPr>
        <w:rFonts w:hint="default"/>
      </w:rPr>
    </w:lvl>
    <w:lvl w:ilvl="1" w:tplc="FFFFFFFF">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 w15:restartNumberingAfterBreak="0">
    <w:nsid w:val="6EDA6A3B"/>
    <w:multiLevelType w:val="hybridMultilevel"/>
    <w:tmpl w:val="49B892DA"/>
    <w:lvl w:ilvl="0" w:tplc="2B2A5D62">
      <w:start w:val="1"/>
      <w:numFmt w:val="upperRoman"/>
      <w:lvlText w:val="%1."/>
      <w:lvlJc w:val="left"/>
      <w:pPr>
        <w:ind w:left="768" w:hanging="72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598826128">
    <w:abstractNumId w:val="1"/>
  </w:num>
  <w:num w:numId="2" w16cid:durableId="31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6D"/>
    <w:rsid w:val="0002372B"/>
    <w:rsid w:val="00023BC2"/>
    <w:rsid w:val="00052852"/>
    <w:rsid w:val="0005464C"/>
    <w:rsid w:val="00073E4C"/>
    <w:rsid w:val="000F487A"/>
    <w:rsid w:val="00115506"/>
    <w:rsid w:val="00125F77"/>
    <w:rsid w:val="0012766F"/>
    <w:rsid w:val="00140553"/>
    <w:rsid w:val="00142BB4"/>
    <w:rsid w:val="001511CF"/>
    <w:rsid w:val="00157F7F"/>
    <w:rsid w:val="00160B4C"/>
    <w:rsid w:val="001661C1"/>
    <w:rsid w:val="00202867"/>
    <w:rsid w:val="00202E86"/>
    <w:rsid w:val="00231F07"/>
    <w:rsid w:val="00237620"/>
    <w:rsid w:val="00244C76"/>
    <w:rsid w:val="002539E1"/>
    <w:rsid w:val="0028379F"/>
    <w:rsid w:val="0028467B"/>
    <w:rsid w:val="002C5B31"/>
    <w:rsid w:val="002D328E"/>
    <w:rsid w:val="002E6120"/>
    <w:rsid w:val="00325DCB"/>
    <w:rsid w:val="003269CD"/>
    <w:rsid w:val="00331F20"/>
    <w:rsid w:val="00347675"/>
    <w:rsid w:val="00357728"/>
    <w:rsid w:val="00364191"/>
    <w:rsid w:val="0036607E"/>
    <w:rsid w:val="0038546C"/>
    <w:rsid w:val="00385E52"/>
    <w:rsid w:val="003A21D1"/>
    <w:rsid w:val="003B4993"/>
    <w:rsid w:val="003E4CBE"/>
    <w:rsid w:val="004362B5"/>
    <w:rsid w:val="004569EC"/>
    <w:rsid w:val="00464A9C"/>
    <w:rsid w:val="00481505"/>
    <w:rsid w:val="004A7600"/>
    <w:rsid w:val="004B5047"/>
    <w:rsid w:val="00530BEB"/>
    <w:rsid w:val="00532215"/>
    <w:rsid w:val="00545939"/>
    <w:rsid w:val="00546B2A"/>
    <w:rsid w:val="00550700"/>
    <w:rsid w:val="00577FD1"/>
    <w:rsid w:val="005823AD"/>
    <w:rsid w:val="005854F9"/>
    <w:rsid w:val="005A00D0"/>
    <w:rsid w:val="005A01AE"/>
    <w:rsid w:val="005D0F81"/>
    <w:rsid w:val="005D51C7"/>
    <w:rsid w:val="005F7A6A"/>
    <w:rsid w:val="00606B98"/>
    <w:rsid w:val="00616D34"/>
    <w:rsid w:val="00623A68"/>
    <w:rsid w:val="00647FA4"/>
    <w:rsid w:val="00674912"/>
    <w:rsid w:val="00676B93"/>
    <w:rsid w:val="00694968"/>
    <w:rsid w:val="006B2E18"/>
    <w:rsid w:val="006F0E20"/>
    <w:rsid w:val="006F7F74"/>
    <w:rsid w:val="0073311A"/>
    <w:rsid w:val="00751370"/>
    <w:rsid w:val="007544CE"/>
    <w:rsid w:val="00772918"/>
    <w:rsid w:val="007A3373"/>
    <w:rsid w:val="007B6B0A"/>
    <w:rsid w:val="008078D5"/>
    <w:rsid w:val="008213F3"/>
    <w:rsid w:val="008B6198"/>
    <w:rsid w:val="008C5BE7"/>
    <w:rsid w:val="008F7017"/>
    <w:rsid w:val="0092611C"/>
    <w:rsid w:val="00953492"/>
    <w:rsid w:val="009C5A5E"/>
    <w:rsid w:val="009E08BA"/>
    <w:rsid w:val="00A43CA2"/>
    <w:rsid w:val="00A66438"/>
    <w:rsid w:val="00A86F9C"/>
    <w:rsid w:val="00A96958"/>
    <w:rsid w:val="00AC51E9"/>
    <w:rsid w:val="00B12143"/>
    <w:rsid w:val="00B177BB"/>
    <w:rsid w:val="00B212B6"/>
    <w:rsid w:val="00B232B4"/>
    <w:rsid w:val="00B42C80"/>
    <w:rsid w:val="00B431B3"/>
    <w:rsid w:val="00B44F65"/>
    <w:rsid w:val="00B4686C"/>
    <w:rsid w:val="00B720C8"/>
    <w:rsid w:val="00B83C02"/>
    <w:rsid w:val="00B97897"/>
    <w:rsid w:val="00BC3940"/>
    <w:rsid w:val="00BE3E86"/>
    <w:rsid w:val="00BE6AD6"/>
    <w:rsid w:val="00BE6FD5"/>
    <w:rsid w:val="00C219E9"/>
    <w:rsid w:val="00C25CFD"/>
    <w:rsid w:val="00C83A5F"/>
    <w:rsid w:val="00C85D01"/>
    <w:rsid w:val="00C90216"/>
    <w:rsid w:val="00CA4F33"/>
    <w:rsid w:val="00CB2216"/>
    <w:rsid w:val="00CC5F94"/>
    <w:rsid w:val="00CD0E61"/>
    <w:rsid w:val="00D50F95"/>
    <w:rsid w:val="00D5614D"/>
    <w:rsid w:val="00D808CE"/>
    <w:rsid w:val="00DA0A6D"/>
    <w:rsid w:val="00DB2D50"/>
    <w:rsid w:val="00DD5A33"/>
    <w:rsid w:val="00E109A9"/>
    <w:rsid w:val="00E20F06"/>
    <w:rsid w:val="00E71EC0"/>
    <w:rsid w:val="00E86A61"/>
    <w:rsid w:val="00E901A5"/>
    <w:rsid w:val="00EA4EFA"/>
    <w:rsid w:val="00EC4F6F"/>
    <w:rsid w:val="00EF5326"/>
    <w:rsid w:val="00EF615B"/>
    <w:rsid w:val="00EF740B"/>
    <w:rsid w:val="00F3263B"/>
    <w:rsid w:val="00F338A1"/>
    <w:rsid w:val="00F925A7"/>
    <w:rsid w:val="00F95E4A"/>
    <w:rsid w:val="00FA0DE7"/>
    <w:rsid w:val="00FA74AA"/>
    <w:rsid w:val="00FB37F1"/>
    <w:rsid w:val="00FF0972"/>
    <w:rsid w:val="00FF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81955"/>
  <w15:chartTrackingRefBased/>
  <w15:docId w15:val="{54A178D0-00AA-48EF-A544-5C58373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6D"/>
    <w:rPr>
      <w:rFonts w:eastAsiaTheme="majorEastAsia" w:cstheme="majorBidi"/>
      <w:color w:val="272727" w:themeColor="text1" w:themeTint="D8"/>
    </w:rPr>
  </w:style>
  <w:style w:type="paragraph" w:styleId="Title">
    <w:name w:val="Title"/>
    <w:basedOn w:val="Normal"/>
    <w:next w:val="Normal"/>
    <w:link w:val="TitleChar"/>
    <w:uiPriority w:val="10"/>
    <w:qFormat/>
    <w:rsid w:val="00DA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6D"/>
    <w:pPr>
      <w:spacing w:before="160"/>
      <w:jc w:val="center"/>
    </w:pPr>
    <w:rPr>
      <w:i/>
      <w:iCs/>
      <w:color w:val="404040" w:themeColor="text1" w:themeTint="BF"/>
    </w:rPr>
  </w:style>
  <w:style w:type="character" w:customStyle="1" w:styleId="QuoteChar">
    <w:name w:val="Quote Char"/>
    <w:basedOn w:val="DefaultParagraphFont"/>
    <w:link w:val="Quote"/>
    <w:uiPriority w:val="29"/>
    <w:rsid w:val="00DA0A6D"/>
    <w:rPr>
      <w:i/>
      <w:iCs/>
      <w:color w:val="404040" w:themeColor="text1" w:themeTint="BF"/>
    </w:rPr>
  </w:style>
  <w:style w:type="paragraph" w:styleId="ListParagraph">
    <w:name w:val="List Paragraph"/>
    <w:basedOn w:val="Normal"/>
    <w:uiPriority w:val="34"/>
    <w:qFormat/>
    <w:rsid w:val="00DA0A6D"/>
    <w:pPr>
      <w:ind w:left="720"/>
      <w:contextualSpacing/>
    </w:pPr>
  </w:style>
  <w:style w:type="character" w:styleId="IntenseEmphasis">
    <w:name w:val="Intense Emphasis"/>
    <w:basedOn w:val="DefaultParagraphFont"/>
    <w:uiPriority w:val="21"/>
    <w:qFormat/>
    <w:rsid w:val="00DA0A6D"/>
    <w:rPr>
      <w:i/>
      <w:iCs/>
      <w:color w:val="0F4761" w:themeColor="accent1" w:themeShade="BF"/>
    </w:rPr>
  </w:style>
  <w:style w:type="paragraph" w:styleId="IntenseQuote">
    <w:name w:val="Intense Quote"/>
    <w:basedOn w:val="Normal"/>
    <w:next w:val="Normal"/>
    <w:link w:val="IntenseQuoteChar"/>
    <w:uiPriority w:val="30"/>
    <w:qFormat/>
    <w:rsid w:val="00DA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6D"/>
    <w:rPr>
      <w:i/>
      <w:iCs/>
      <w:color w:val="0F4761" w:themeColor="accent1" w:themeShade="BF"/>
    </w:rPr>
  </w:style>
  <w:style w:type="character" w:styleId="IntenseReference">
    <w:name w:val="Intense Reference"/>
    <w:basedOn w:val="DefaultParagraphFont"/>
    <w:uiPriority w:val="32"/>
    <w:qFormat/>
    <w:rsid w:val="00DA0A6D"/>
    <w:rPr>
      <w:b/>
      <w:bCs/>
      <w:smallCaps/>
      <w:color w:val="0F4761" w:themeColor="accent1" w:themeShade="BF"/>
      <w:spacing w:val="5"/>
    </w:rPr>
  </w:style>
  <w:style w:type="paragraph" w:styleId="NoSpacing">
    <w:name w:val="No Spacing"/>
    <w:uiPriority w:val="1"/>
    <w:qFormat/>
    <w:rsid w:val="00DA0A6D"/>
    <w:pPr>
      <w:spacing w:after="0" w:line="240" w:lineRule="auto"/>
    </w:pPr>
  </w:style>
  <w:style w:type="character" w:styleId="Hyperlink">
    <w:name w:val="Hyperlink"/>
    <w:basedOn w:val="DefaultParagraphFont"/>
    <w:uiPriority w:val="99"/>
    <w:unhideWhenUsed/>
    <w:rsid w:val="00DA0A6D"/>
    <w:rPr>
      <w:color w:val="467886" w:themeColor="hyperlink"/>
      <w:u w:val="single"/>
    </w:rPr>
  </w:style>
  <w:style w:type="paragraph" w:styleId="BodyText">
    <w:name w:val="Body Text"/>
    <w:basedOn w:val="Normal"/>
    <w:link w:val="BodyTextChar"/>
    <w:uiPriority w:val="1"/>
    <w:qFormat/>
    <w:rsid w:val="00DA0A6D"/>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A0A6D"/>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DA0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A6D"/>
    <w:rPr>
      <w:sz w:val="20"/>
      <w:szCs w:val="20"/>
    </w:rPr>
  </w:style>
  <w:style w:type="character" w:styleId="FootnoteReference">
    <w:name w:val="footnote reference"/>
    <w:basedOn w:val="DefaultParagraphFont"/>
    <w:uiPriority w:val="99"/>
    <w:semiHidden/>
    <w:unhideWhenUsed/>
    <w:rsid w:val="00DA0A6D"/>
    <w:rPr>
      <w:vertAlign w:val="superscript"/>
    </w:rPr>
  </w:style>
  <w:style w:type="character" w:styleId="CommentReference">
    <w:name w:val="annotation reference"/>
    <w:basedOn w:val="DefaultParagraphFont"/>
    <w:uiPriority w:val="99"/>
    <w:semiHidden/>
    <w:unhideWhenUsed/>
    <w:rsid w:val="00115506"/>
    <w:rPr>
      <w:sz w:val="16"/>
      <w:szCs w:val="16"/>
    </w:rPr>
  </w:style>
  <w:style w:type="paragraph" w:styleId="CommentText">
    <w:name w:val="annotation text"/>
    <w:basedOn w:val="Normal"/>
    <w:link w:val="CommentTextChar"/>
    <w:uiPriority w:val="99"/>
    <w:unhideWhenUsed/>
    <w:rsid w:val="00115506"/>
    <w:pPr>
      <w:spacing w:line="240" w:lineRule="auto"/>
    </w:pPr>
    <w:rPr>
      <w:sz w:val="20"/>
      <w:szCs w:val="20"/>
    </w:rPr>
  </w:style>
  <w:style w:type="character" w:customStyle="1" w:styleId="CommentTextChar">
    <w:name w:val="Comment Text Char"/>
    <w:basedOn w:val="DefaultParagraphFont"/>
    <w:link w:val="CommentText"/>
    <w:uiPriority w:val="99"/>
    <w:rsid w:val="00115506"/>
    <w:rPr>
      <w:sz w:val="20"/>
      <w:szCs w:val="20"/>
    </w:rPr>
  </w:style>
  <w:style w:type="paragraph" w:styleId="CommentSubject">
    <w:name w:val="annotation subject"/>
    <w:basedOn w:val="CommentText"/>
    <w:next w:val="CommentText"/>
    <w:link w:val="CommentSubjectChar"/>
    <w:uiPriority w:val="99"/>
    <w:semiHidden/>
    <w:unhideWhenUsed/>
    <w:rsid w:val="00115506"/>
    <w:rPr>
      <w:b/>
      <w:bCs/>
    </w:rPr>
  </w:style>
  <w:style w:type="character" w:customStyle="1" w:styleId="CommentSubjectChar">
    <w:name w:val="Comment Subject Char"/>
    <w:basedOn w:val="CommentTextChar"/>
    <w:link w:val="CommentSubject"/>
    <w:uiPriority w:val="99"/>
    <w:semiHidden/>
    <w:rsid w:val="00115506"/>
    <w:rPr>
      <w:b/>
      <w:bCs/>
      <w:sz w:val="20"/>
      <w:szCs w:val="20"/>
    </w:rPr>
  </w:style>
  <w:style w:type="paragraph" w:styleId="Revision">
    <w:name w:val="Revision"/>
    <w:hidden/>
    <w:uiPriority w:val="99"/>
    <w:semiHidden/>
    <w:rsid w:val="002E6120"/>
    <w:pPr>
      <w:spacing w:after="0" w:line="240" w:lineRule="auto"/>
    </w:pPr>
  </w:style>
  <w:style w:type="character" w:styleId="UnresolvedMention">
    <w:name w:val="Unresolved Mention"/>
    <w:basedOn w:val="DefaultParagraphFont"/>
    <w:uiPriority w:val="99"/>
    <w:semiHidden/>
    <w:unhideWhenUsed/>
    <w:rsid w:val="0073311A"/>
    <w:rPr>
      <w:color w:val="605E5C"/>
      <w:shd w:val="clear" w:color="auto" w:fill="E1DFDD"/>
    </w:rPr>
  </w:style>
  <w:style w:type="paragraph" w:styleId="Header">
    <w:name w:val="header"/>
    <w:basedOn w:val="Normal"/>
    <w:link w:val="HeaderChar"/>
    <w:uiPriority w:val="99"/>
    <w:unhideWhenUsed/>
    <w:rsid w:val="005F7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A6A"/>
  </w:style>
  <w:style w:type="paragraph" w:styleId="Footer">
    <w:name w:val="footer"/>
    <w:basedOn w:val="Normal"/>
    <w:link w:val="FooterChar"/>
    <w:uiPriority w:val="99"/>
    <w:unhideWhenUsed/>
    <w:rsid w:val="005F7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A6A"/>
  </w:style>
  <w:style w:type="character" w:styleId="Strong">
    <w:name w:val="Strong"/>
    <w:basedOn w:val="DefaultParagraphFont"/>
    <w:uiPriority w:val="22"/>
    <w:qFormat/>
    <w:rsid w:val="00125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g.Testimony@mass.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olicymakers.acainternational.org/wp-content/uploads/2024/07/AndrewNigrinisEconomicAnalysis-CFPB-FCRA-NPRM-July2024.pdf" TargetMode="External"/><Relationship Id="rId1" Type="http://schemas.openxmlformats.org/officeDocument/2006/relationships/hyperlink" Target="https://www.wsj.com/health/healthcare/hospitals-pay-before-treatment-patients-c477e2d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FC9F-FAA0-45DD-A5A3-C835A0C2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1857</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Madden</dc:creator>
  <cp:keywords/>
  <dc:description/>
  <cp:lastModifiedBy>Anderson, William (DPH)</cp:lastModifiedBy>
  <cp:revision>9</cp:revision>
  <dcterms:created xsi:type="dcterms:W3CDTF">2026-07-17T13:31:00Z</dcterms:created>
  <dcterms:modified xsi:type="dcterms:W3CDTF">2026-08-03T02:56:00Z</dcterms:modified>
</cp:coreProperties>
</file>