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C620F" w14:textId="6A6CB92F" w:rsidR="004249FC" w:rsidRDefault="00661CD7" w:rsidP="004249FC">
      <w:pPr>
        <w:pStyle w:val="Title"/>
      </w:pPr>
      <w:bookmarkStart w:id="0" w:name="_GoBack"/>
      <w:bookmarkEnd w:id="0"/>
      <w:r>
        <w:t xml:space="preserve">  </w:t>
      </w:r>
      <w:r w:rsidR="004249FC">
        <w:t>COMMONWEALTH OF MASSACHUSETTS</w:t>
      </w:r>
    </w:p>
    <w:p w14:paraId="558A84FB" w14:textId="77777777" w:rsidR="004249FC" w:rsidRDefault="004249FC" w:rsidP="004249FC">
      <w:pPr>
        <w:jc w:val="center"/>
        <w:rPr>
          <w:rFonts w:ascii="Courier New" w:hAnsi="Courier New" w:cs="Courier New"/>
          <w:b/>
          <w:bCs/>
        </w:rPr>
      </w:pPr>
    </w:p>
    <w:p w14:paraId="3E1C7F7A" w14:textId="77777777" w:rsidR="004249FC" w:rsidRDefault="004249FC" w:rsidP="004249FC">
      <w:pPr>
        <w:jc w:val="center"/>
        <w:rPr>
          <w:rFonts w:ascii="Courier New" w:hAnsi="Courier New" w:cs="Courier New"/>
          <w:b/>
          <w:bCs/>
        </w:rPr>
      </w:pPr>
      <w:r>
        <w:rPr>
          <w:rFonts w:ascii="Courier New" w:hAnsi="Courier New" w:cs="Courier New"/>
          <w:b/>
          <w:bCs/>
        </w:rPr>
        <w:t>APPELLATE TAX BOARD</w:t>
      </w:r>
    </w:p>
    <w:p w14:paraId="6653538B" w14:textId="77777777" w:rsidR="004249FC" w:rsidRDefault="004249FC" w:rsidP="004249FC">
      <w:pPr>
        <w:jc w:val="both"/>
        <w:rPr>
          <w:rFonts w:ascii="Courier New" w:hAnsi="Courier New" w:cs="Courier New"/>
          <w:b/>
          <w:bCs/>
        </w:rPr>
      </w:pPr>
    </w:p>
    <w:p w14:paraId="25B8EEBD" w14:textId="77777777" w:rsidR="004249FC" w:rsidRDefault="004249FC" w:rsidP="004249FC">
      <w:pPr>
        <w:jc w:val="both"/>
        <w:rPr>
          <w:rFonts w:ascii="Courier New" w:hAnsi="Courier New" w:cs="Courier New"/>
          <w:b/>
          <w:bCs/>
        </w:rPr>
      </w:pPr>
    </w:p>
    <w:p w14:paraId="42AB8A13" w14:textId="09F5CBA2" w:rsidR="004249FC" w:rsidRDefault="004249FC" w:rsidP="004249FC">
      <w:pPr>
        <w:pStyle w:val="Heading1"/>
        <w:tabs>
          <w:tab w:val="left" w:pos="4320"/>
        </w:tabs>
      </w:pPr>
      <w:r>
        <w:t xml:space="preserve">ATLANTIC UNION COLLEGE     </w:t>
      </w:r>
      <w:r w:rsidR="008C207C">
        <w:t xml:space="preserve"> </w:t>
      </w:r>
      <w:r w:rsidR="00DC2FDD">
        <w:t>    </w:t>
      </w:r>
      <w:r w:rsidR="008C207C">
        <w:t>v.</w:t>
      </w:r>
      <w:r w:rsidR="008C207C">
        <w:tab/>
        <w:t xml:space="preserve">  </w:t>
      </w:r>
      <w:r w:rsidR="00DC2FDD">
        <w:tab/>
      </w:r>
      <w:r>
        <w:t xml:space="preserve">BOARD OF ASSESSORS OF  </w:t>
      </w:r>
    </w:p>
    <w:p w14:paraId="49DCC455" w14:textId="3591ADCA" w:rsidR="004249FC" w:rsidRPr="00AE247F" w:rsidRDefault="004249FC" w:rsidP="004249FC">
      <w:pPr>
        <w:pStyle w:val="Heading1"/>
        <w:ind w:left="3600" w:hanging="3600"/>
      </w:pPr>
      <w:r>
        <w:tab/>
      </w:r>
      <w:r>
        <w:tab/>
      </w:r>
      <w:r>
        <w:tab/>
        <w:t> </w:t>
      </w:r>
      <w:r w:rsidR="008C207C">
        <w:t xml:space="preserve"> </w:t>
      </w:r>
      <w:r w:rsidR="00DC2FDD">
        <w:tab/>
      </w:r>
      <w:r>
        <w:t>THE TOWN OF LANCASTER</w:t>
      </w:r>
    </w:p>
    <w:p w14:paraId="3564CB05" w14:textId="77777777" w:rsidR="004249FC" w:rsidRDefault="004249FC" w:rsidP="004249FC">
      <w:pPr>
        <w:jc w:val="both"/>
        <w:rPr>
          <w:rFonts w:ascii="Courier New" w:hAnsi="Courier New" w:cs="Courier New"/>
        </w:rPr>
      </w:pPr>
    </w:p>
    <w:p w14:paraId="1391F78C" w14:textId="77777777" w:rsidR="00DE2D0A" w:rsidRDefault="00FC1FF8" w:rsidP="00DE2D0A">
      <w:pPr>
        <w:jc w:val="both"/>
        <w:rPr>
          <w:rFonts w:ascii="Courier New" w:hAnsi="Courier New" w:cs="Courier New"/>
        </w:rPr>
      </w:pPr>
      <w:r>
        <w:rPr>
          <w:rFonts w:ascii="Courier New" w:hAnsi="Courier New" w:cs="Courier New"/>
        </w:rPr>
        <w:t>Docket Nos.</w:t>
      </w:r>
      <w:r w:rsidR="00DE2D0A">
        <w:rPr>
          <w:rFonts w:ascii="Courier New" w:hAnsi="Courier New" w:cs="Courier New"/>
        </w:rPr>
        <w:t xml:space="preserve">  F324281-F324292,</w:t>
      </w:r>
      <w:r w:rsidR="00DE2D0A">
        <w:rPr>
          <w:rFonts w:ascii="Courier New" w:hAnsi="Courier New" w:cs="Courier New"/>
        </w:rPr>
        <w:tab/>
      </w:r>
      <w:r w:rsidR="00DE2D0A">
        <w:rPr>
          <w:rFonts w:ascii="Courier New" w:hAnsi="Courier New" w:cs="Courier New"/>
        </w:rPr>
        <w:tab/>
      </w:r>
      <w:r w:rsidR="00DE2D0A">
        <w:rPr>
          <w:rFonts w:ascii="Courier New" w:hAnsi="Courier New" w:cs="Courier New"/>
        </w:rPr>
        <w:tab/>
        <w:t>Promulgated:</w:t>
      </w:r>
      <w:r w:rsidR="00DE2D0A">
        <w:rPr>
          <w:rFonts w:ascii="Courier New" w:hAnsi="Courier New" w:cs="Courier New"/>
        </w:rPr>
        <w:tab/>
      </w:r>
      <w:r w:rsidR="00DE2D0A">
        <w:rPr>
          <w:rFonts w:ascii="Courier New" w:hAnsi="Courier New" w:cs="Courier New"/>
        </w:rPr>
        <w:tab/>
      </w:r>
      <w:r w:rsidR="00DE2D0A">
        <w:rPr>
          <w:rFonts w:ascii="Courier New" w:hAnsi="Courier New" w:cs="Courier New"/>
        </w:rPr>
        <w:tab/>
      </w:r>
    </w:p>
    <w:p w14:paraId="2DFAC55A" w14:textId="0D32B29E" w:rsidR="00DE2D0A" w:rsidRDefault="00DE2D0A" w:rsidP="00DE2D0A">
      <w:pPr>
        <w:jc w:val="both"/>
        <w:rPr>
          <w:rFonts w:ascii="Courier New" w:hAnsi="Courier New" w:cs="Courier New"/>
        </w:rPr>
      </w:pPr>
      <w:r>
        <w:rPr>
          <w:rFonts w:ascii="Courier New" w:hAnsi="Courier New" w:cs="Courier New"/>
        </w:rPr>
        <w:tab/>
      </w:r>
      <w:r>
        <w:rPr>
          <w:rFonts w:ascii="Courier New" w:hAnsi="Courier New" w:cs="Courier New"/>
        </w:rPr>
        <w:tab/>
        <w:t xml:space="preserve">   F326402-F326413,</w:t>
      </w:r>
      <w:r>
        <w:rPr>
          <w:rFonts w:ascii="Courier New" w:hAnsi="Courier New" w:cs="Courier New"/>
        </w:rPr>
        <w:tab/>
      </w:r>
      <w:r>
        <w:rPr>
          <w:rFonts w:ascii="Courier New" w:hAnsi="Courier New" w:cs="Courier New"/>
        </w:rPr>
        <w:tab/>
      </w:r>
      <w:r>
        <w:rPr>
          <w:rFonts w:ascii="Courier New" w:hAnsi="Courier New" w:cs="Courier New"/>
        </w:rPr>
        <w:tab/>
      </w:r>
      <w:r w:rsidR="00881D4F">
        <w:rPr>
          <w:rFonts w:ascii="Courier New" w:hAnsi="Courier New" w:cs="Courier New"/>
        </w:rPr>
        <w:t>October 12, 2018</w:t>
      </w:r>
    </w:p>
    <w:p w14:paraId="61D26955" w14:textId="3272EAB9" w:rsidR="00DE2D0A" w:rsidRDefault="00DE2D0A" w:rsidP="00DE2D0A">
      <w:pPr>
        <w:jc w:val="both"/>
        <w:rPr>
          <w:rFonts w:ascii="Courier New" w:hAnsi="Courier New" w:cs="Courier New"/>
        </w:rPr>
      </w:pPr>
      <w:r>
        <w:rPr>
          <w:rFonts w:ascii="Courier New" w:hAnsi="Courier New" w:cs="Courier New"/>
        </w:rPr>
        <w:tab/>
      </w:r>
      <w:r>
        <w:rPr>
          <w:rFonts w:ascii="Courier New" w:hAnsi="Courier New" w:cs="Courier New"/>
        </w:rPr>
        <w:tab/>
        <w:t xml:space="preserve">   F329370-F329381</w:t>
      </w:r>
      <w:r>
        <w:rPr>
          <w:rFonts w:ascii="Courier New" w:hAnsi="Courier New" w:cs="Courier New"/>
        </w:rPr>
        <w:tab/>
        <w:t xml:space="preserve">     </w:t>
      </w:r>
    </w:p>
    <w:p w14:paraId="3C0336E8" w14:textId="60F6A1B2" w:rsidR="00DE2D0A" w:rsidRDefault="00FC1FF8" w:rsidP="00DE2D0A">
      <w:pPr>
        <w:jc w:val="both"/>
        <w:rPr>
          <w:rFonts w:ascii="Courier New" w:hAnsi="Courier New" w:cs="Courier New"/>
        </w:rPr>
      </w:pPr>
      <w:r>
        <w:rPr>
          <w:rFonts w:ascii="Courier New" w:hAnsi="Courier New" w:cs="Courier New"/>
        </w:rPr>
        <w:tab/>
      </w:r>
      <w:r>
        <w:rPr>
          <w:rFonts w:ascii="Courier New" w:hAnsi="Courier New" w:cs="Courier New"/>
        </w:rPr>
        <w:tab/>
      </w:r>
    </w:p>
    <w:p w14:paraId="617A36DD" w14:textId="77AF4A27" w:rsidR="004249FC" w:rsidRDefault="004249FC" w:rsidP="004249FC">
      <w:pPr>
        <w:jc w:val="both"/>
        <w:rPr>
          <w:rFonts w:ascii="Courier New" w:hAnsi="Courier New" w:cs="Courier New"/>
        </w:rPr>
      </w:pPr>
      <w:r>
        <w:rPr>
          <w:rFonts w:ascii="Courier New" w:hAnsi="Courier New" w:cs="Courier New"/>
        </w:rPr>
        <w:tab/>
      </w:r>
      <w:r>
        <w:rPr>
          <w:rFonts w:ascii="Courier New" w:hAnsi="Courier New" w:cs="Courier New"/>
        </w:rPr>
        <w:tab/>
        <w:t xml:space="preserve"> </w:t>
      </w:r>
      <w:r w:rsidR="008C207C">
        <w:rPr>
          <w:rFonts w:ascii="Courier New" w:hAnsi="Courier New" w:cs="Courier New"/>
        </w:rPr>
        <w:t xml:space="preserve"> </w:t>
      </w:r>
      <w:r w:rsidR="00DC2FDD">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2897A509" w14:textId="49E47319" w:rsidR="004249FC" w:rsidRDefault="004249FC" w:rsidP="004249FC">
      <w:pPr>
        <w:spacing w:line="480" w:lineRule="auto"/>
        <w:jc w:val="both"/>
        <w:rPr>
          <w:rFonts w:ascii="Courier New" w:hAnsi="Courier New" w:cs="Courier New"/>
        </w:rPr>
      </w:pPr>
      <w:r>
        <w:rPr>
          <w:rFonts w:ascii="Courier New" w:hAnsi="Courier New" w:cs="Courier New"/>
        </w:rPr>
        <w:tab/>
        <w:t xml:space="preserve">These are appeals heard under the </w:t>
      </w:r>
      <w:r w:rsidRPr="00676B87">
        <w:rPr>
          <w:rFonts w:ascii="Courier New" w:hAnsi="Courier New" w:cs="Courier New"/>
        </w:rPr>
        <w:t>formal</w:t>
      </w:r>
      <w:r>
        <w:rPr>
          <w:rFonts w:ascii="Courier New" w:hAnsi="Courier New" w:cs="Courier New"/>
        </w:rPr>
        <w:t xml:space="preserve"> procedure pursuant to G.L. c. 58A, </w:t>
      </w:r>
      <w:r w:rsidRPr="00676B87">
        <w:rPr>
          <w:rFonts w:ascii="Courier New" w:hAnsi="Courier New" w:cs="Courier New"/>
        </w:rPr>
        <w:t>§ 7</w:t>
      </w:r>
      <w:r>
        <w:rPr>
          <w:rFonts w:ascii="Courier New" w:hAnsi="Courier New" w:cs="Courier New"/>
        </w:rPr>
        <w:t xml:space="preserve"> and G.L. c. 59, §§ 64 and 65, from the refusal of the Board of Assessors of the Town of Lancaster (“appellee” or “assessors”) to abate taxes on certain parcels of real estate located in Lancaster owned by and assessed to Atlantic Union College (“appellant”), under G.L. c. 59, §§ 11 an</w:t>
      </w:r>
      <w:r w:rsidR="0007500E">
        <w:rPr>
          <w:rFonts w:ascii="Courier New" w:hAnsi="Courier New" w:cs="Courier New"/>
        </w:rPr>
        <w:t xml:space="preserve">d 38, for fiscal years 2014, </w:t>
      </w:r>
      <w:r>
        <w:rPr>
          <w:rFonts w:ascii="Courier New" w:hAnsi="Courier New" w:cs="Courier New"/>
        </w:rPr>
        <w:t>2015</w:t>
      </w:r>
      <w:r w:rsidR="00FC1FF8">
        <w:rPr>
          <w:rFonts w:ascii="Courier New" w:hAnsi="Courier New" w:cs="Courier New"/>
        </w:rPr>
        <w:t>,</w:t>
      </w:r>
      <w:r w:rsidR="0007500E">
        <w:rPr>
          <w:rFonts w:ascii="Courier New" w:hAnsi="Courier New" w:cs="Courier New"/>
        </w:rPr>
        <w:t xml:space="preserve"> and 2016</w:t>
      </w:r>
      <w:r>
        <w:rPr>
          <w:rFonts w:ascii="Courier New" w:hAnsi="Courier New" w:cs="Courier New"/>
        </w:rPr>
        <w:t xml:space="preserve"> (“fiscal years at issue”).</w:t>
      </w:r>
    </w:p>
    <w:p w14:paraId="5CA3218F" w14:textId="77777777" w:rsidR="004249FC" w:rsidRDefault="004249FC" w:rsidP="004249FC">
      <w:pPr>
        <w:pStyle w:val="BodyText2"/>
        <w:spacing w:after="0"/>
        <w:jc w:val="both"/>
        <w:rPr>
          <w:rFonts w:ascii="Courier New" w:hAnsi="Courier New" w:cs="Courier New"/>
        </w:rPr>
      </w:pPr>
      <w:r>
        <w:tab/>
      </w:r>
      <w:r>
        <w:rPr>
          <w:rFonts w:ascii="Courier New" w:hAnsi="Courier New" w:cs="Courier New"/>
        </w:rPr>
        <w:t>Commissioner Rose</w:t>
      </w:r>
      <w:r w:rsidRPr="00B86AF5">
        <w:rPr>
          <w:rFonts w:ascii="Courier New" w:hAnsi="Courier New" w:cs="Courier New"/>
        </w:rPr>
        <w:t xml:space="preserve"> heard</w:t>
      </w:r>
      <w:r>
        <w:rPr>
          <w:rFonts w:ascii="Courier New" w:hAnsi="Courier New" w:cs="Courier New"/>
        </w:rPr>
        <w:t xml:space="preserve"> these appeals.  Chairman Hammond and Commissioners Scharaffa </w:t>
      </w:r>
      <w:r w:rsidRPr="007731F6">
        <w:rPr>
          <w:rFonts w:ascii="Courier New" w:hAnsi="Courier New" w:cs="Courier New"/>
        </w:rPr>
        <w:t>and Good</w:t>
      </w:r>
      <w:r>
        <w:rPr>
          <w:rFonts w:ascii="Courier New" w:hAnsi="Courier New" w:cs="Courier New"/>
        </w:rPr>
        <w:t xml:space="preserve"> joined him in the decisions for the appellant.  Commissioner Chmielinski dissented. </w:t>
      </w:r>
      <w:r w:rsidRPr="00B86AF5">
        <w:rPr>
          <w:rFonts w:ascii="Courier New" w:hAnsi="Courier New" w:cs="Courier New"/>
        </w:rPr>
        <w:t xml:space="preserve"> </w:t>
      </w:r>
    </w:p>
    <w:p w14:paraId="36F1F841" w14:textId="7A5668B7" w:rsidR="00DC2FDD" w:rsidRDefault="004249FC" w:rsidP="00DC2FDD">
      <w:pPr>
        <w:pStyle w:val="BodyText2"/>
        <w:spacing w:after="0"/>
        <w:ind w:firstLine="720"/>
        <w:jc w:val="both"/>
        <w:rPr>
          <w:rFonts w:ascii="Courier New" w:hAnsi="Courier New" w:cs="Courier New"/>
        </w:rPr>
      </w:pPr>
      <w:r w:rsidRPr="00B86AF5">
        <w:rPr>
          <w:rFonts w:ascii="Courier New" w:hAnsi="Courier New" w:cs="Courier New"/>
        </w:rPr>
        <w:t xml:space="preserve">These findings of fact and report are made pursuant to a </w:t>
      </w:r>
      <w:r w:rsidRPr="007731F6">
        <w:rPr>
          <w:rFonts w:ascii="Courier New" w:hAnsi="Courier New" w:cs="Courier New"/>
        </w:rPr>
        <w:t>request by the appellant</w:t>
      </w:r>
      <w:r w:rsidRPr="00B86AF5">
        <w:rPr>
          <w:rFonts w:ascii="Courier New" w:hAnsi="Courier New" w:cs="Courier New"/>
        </w:rPr>
        <w:t xml:space="preserve"> under G.L. c. 58A, § 13 and 831 CMR 1.32.</w:t>
      </w:r>
    </w:p>
    <w:p w14:paraId="5B7A22B4" w14:textId="77777777" w:rsidR="00DC2FDD" w:rsidRDefault="00DC2FDD" w:rsidP="00DC2FDD">
      <w:pPr>
        <w:pStyle w:val="BodyText2"/>
        <w:spacing w:after="0" w:line="240" w:lineRule="auto"/>
        <w:ind w:firstLine="720"/>
        <w:jc w:val="both"/>
        <w:rPr>
          <w:rFonts w:ascii="Courier New" w:hAnsi="Courier New" w:cs="Courier New"/>
        </w:rPr>
      </w:pPr>
    </w:p>
    <w:p w14:paraId="5B1E8293" w14:textId="77777777" w:rsidR="004249FC" w:rsidRDefault="004249FC" w:rsidP="004249FC">
      <w:pPr>
        <w:jc w:val="both"/>
        <w:rPr>
          <w:rFonts w:ascii="Courier New" w:hAnsi="Courier New" w:cs="Courier New"/>
        </w:rPr>
      </w:pPr>
      <w:r>
        <w:rPr>
          <w:rFonts w:ascii="Courier New" w:hAnsi="Courier New" w:cs="Courier New"/>
        </w:rPr>
        <w:tab/>
      </w:r>
      <w:r>
        <w:rPr>
          <w:rFonts w:ascii="Courier New" w:hAnsi="Courier New" w:cs="Courier New"/>
          <w:i/>
        </w:rPr>
        <w:t>David G. Saliba,</w:t>
      </w:r>
      <w:r>
        <w:rPr>
          <w:rFonts w:ascii="Courier New" w:hAnsi="Courier New" w:cs="Courier New"/>
        </w:rPr>
        <w:t xml:space="preserve"> Esq. for the appellant.</w:t>
      </w:r>
    </w:p>
    <w:p w14:paraId="3C842954" w14:textId="77777777" w:rsidR="004249FC" w:rsidRDefault="004249FC" w:rsidP="004249FC">
      <w:pPr>
        <w:jc w:val="both"/>
        <w:rPr>
          <w:rFonts w:ascii="Courier New" w:hAnsi="Courier New" w:cs="Courier New"/>
        </w:rPr>
      </w:pPr>
    </w:p>
    <w:p w14:paraId="353252E2" w14:textId="3F82707E" w:rsidR="004249FC" w:rsidRDefault="004249FC" w:rsidP="004249FC">
      <w:pPr>
        <w:jc w:val="both"/>
        <w:rPr>
          <w:rFonts w:ascii="Courier New" w:hAnsi="Courier New" w:cs="Courier New"/>
        </w:rPr>
      </w:pPr>
      <w:r>
        <w:rPr>
          <w:rFonts w:ascii="Courier New" w:hAnsi="Courier New" w:cs="Courier New"/>
        </w:rPr>
        <w:tab/>
      </w:r>
      <w:r>
        <w:rPr>
          <w:rFonts w:ascii="Courier New" w:hAnsi="Courier New" w:cs="Courier New"/>
          <w:i/>
        </w:rPr>
        <w:t>Ellen M. Hutchinson</w:t>
      </w:r>
      <w:r w:rsidR="00FC1FF8">
        <w:rPr>
          <w:rFonts w:ascii="Courier New" w:hAnsi="Courier New" w:cs="Courier New"/>
        </w:rPr>
        <w:t>, Esq.</w:t>
      </w:r>
      <w:r>
        <w:rPr>
          <w:rFonts w:ascii="Courier New" w:hAnsi="Courier New" w:cs="Courier New"/>
        </w:rPr>
        <w:t xml:space="preserve"> for the appellee.  </w:t>
      </w:r>
    </w:p>
    <w:p w14:paraId="66A279FF" w14:textId="77777777" w:rsidR="004249FC" w:rsidRDefault="004249FC" w:rsidP="004249FC">
      <w:pPr>
        <w:pStyle w:val="Heading2"/>
        <w:spacing w:line="480" w:lineRule="auto"/>
      </w:pPr>
      <w:r>
        <w:lastRenderedPageBreak/>
        <w:t>FINDINGS OF FACT AND REPORT</w:t>
      </w:r>
    </w:p>
    <w:p w14:paraId="022F19EF" w14:textId="77777777" w:rsidR="004249FC" w:rsidRDefault="004249FC" w:rsidP="004249FC">
      <w:pPr>
        <w:spacing w:line="480" w:lineRule="auto"/>
        <w:ind w:firstLine="720"/>
        <w:jc w:val="both"/>
        <w:rPr>
          <w:rFonts w:ascii="Courier New" w:hAnsi="Courier New" w:cs="Courier New"/>
        </w:rPr>
      </w:pPr>
      <w:r>
        <w:rPr>
          <w:rFonts w:ascii="Courier New" w:hAnsi="Courier New" w:cs="Courier New"/>
        </w:rPr>
        <w:t>On the basis of testimony and exhibits offered into evidence at the hearing of these appeals, the Appellate Tax Board (“Board”) made the following findings of fact.</w:t>
      </w:r>
    </w:p>
    <w:p w14:paraId="468C5E8A" w14:textId="79DBF15C" w:rsidR="00481D17" w:rsidRDefault="004249FC" w:rsidP="002E6D47">
      <w:pPr>
        <w:spacing w:line="480" w:lineRule="auto"/>
        <w:ind w:firstLine="720"/>
        <w:jc w:val="both"/>
        <w:rPr>
          <w:rFonts w:ascii="Courier New" w:hAnsi="Courier New" w:cs="Courier New"/>
        </w:rPr>
      </w:pPr>
      <w:r>
        <w:rPr>
          <w:rFonts w:ascii="Courier New" w:hAnsi="Courier New" w:cs="Courier New"/>
        </w:rPr>
        <w:t>On January 1, 2013</w:t>
      </w:r>
      <w:r w:rsidR="0007500E">
        <w:rPr>
          <w:rFonts w:ascii="Courier New" w:hAnsi="Courier New" w:cs="Courier New"/>
        </w:rPr>
        <w:t xml:space="preserve">, </w:t>
      </w:r>
      <w:r w:rsidR="0067188E">
        <w:rPr>
          <w:rFonts w:ascii="Courier New" w:hAnsi="Courier New" w:cs="Courier New"/>
        </w:rPr>
        <w:t>January 1, 2014</w:t>
      </w:r>
      <w:r>
        <w:rPr>
          <w:rFonts w:ascii="Courier New" w:hAnsi="Courier New" w:cs="Courier New"/>
        </w:rPr>
        <w:t>,</w:t>
      </w:r>
      <w:r w:rsidR="0007500E">
        <w:rPr>
          <w:rFonts w:ascii="Courier New" w:hAnsi="Courier New" w:cs="Courier New"/>
        </w:rPr>
        <w:t xml:space="preserve"> and January 1, 2015,</w:t>
      </w:r>
      <w:r>
        <w:rPr>
          <w:rFonts w:ascii="Courier New" w:hAnsi="Courier New" w:cs="Courier New"/>
        </w:rPr>
        <w:t xml:space="preserve"> the relevant valuation and assessment date</w:t>
      </w:r>
      <w:r w:rsidR="0067188E">
        <w:rPr>
          <w:rFonts w:ascii="Courier New" w:hAnsi="Courier New" w:cs="Courier New"/>
        </w:rPr>
        <w:t>s</w:t>
      </w:r>
      <w:r>
        <w:rPr>
          <w:rFonts w:ascii="Courier New" w:hAnsi="Courier New" w:cs="Courier New"/>
        </w:rPr>
        <w:t xml:space="preserve"> for the fiscal year</w:t>
      </w:r>
      <w:r w:rsidR="0067188E">
        <w:rPr>
          <w:rFonts w:ascii="Courier New" w:hAnsi="Courier New" w:cs="Courier New"/>
        </w:rPr>
        <w:t>s</w:t>
      </w:r>
      <w:r>
        <w:rPr>
          <w:rFonts w:ascii="Courier New" w:hAnsi="Courier New" w:cs="Courier New"/>
        </w:rPr>
        <w:t xml:space="preserve"> at issue, the appellant was the assessed owner of </w:t>
      </w:r>
      <w:r w:rsidR="002D613D">
        <w:rPr>
          <w:rFonts w:ascii="Courier New" w:hAnsi="Courier New" w:cs="Courier New"/>
        </w:rPr>
        <w:t>the 12</w:t>
      </w:r>
      <w:r>
        <w:rPr>
          <w:rFonts w:ascii="Courier New" w:hAnsi="Courier New" w:cs="Courier New"/>
        </w:rPr>
        <w:t xml:space="preserve"> parcels </w:t>
      </w:r>
      <w:r w:rsidR="002D613D">
        <w:rPr>
          <w:rFonts w:ascii="Courier New" w:hAnsi="Courier New" w:cs="Courier New"/>
        </w:rPr>
        <w:t xml:space="preserve">of real estate </w:t>
      </w:r>
      <w:r>
        <w:rPr>
          <w:rFonts w:ascii="Courier New" w:hAnsi="Courier New" w:cs="Courier New"/>
        </w:rPr>
        <w:t>at issue in these appeals</w:t>
      </w:r>
      <w:r w:rsidR="00CE7130">
        <w:rPr>
          <w:rFonts w:ascii="Courier New" w:hAnsi="Courier New" w:cs="Courier New"/>
        </w:rPr>
        <w:t xml:space="preserve"> (collectively “subject property”)</w:t>
      </w:r>
      <w:r w:rsidR="00F76605">
        <w:rPr>
          <w:rFonts w:ascii="Courier New" w:hAnsi="Courier New" w:cs="Courier New"/>
        </w:rPr>
        <w:t>.</w:t>
      </w:r>
      <w:r w:rsidR="00B457AF">
        <w:rPr>
          <w:rFonts w:ascii="Courier New" w:hAnsi="Courier New" w:cs="Courier New"/>
        </w:rPr>
        <w:t xml:space="preserve"> </w:t>
      </w:r>
      <w:r w:rsidR="00F76605">
        <w:rPr>
          <w:rFonts w:ascii="Courier New" w:hAnsi="Courier New" w:cs="Courier New"/>
        </w:rPr>
        <w:t xml:space="preserve">  </w:t>
      </w:r>
    </w:p>
    <w:p w14:paraId="7088E8F7" w14:textId="1EB50EF1" w:rsidR="002E6D47" w:rsidRDefault="002E6D47" w:rsidP="002E6D47">
      <w:pPr>
        <w:spacing w:line="480" w:lineRule="auto"/>
        <w:ind w:firstLine="720"/>
        <w:jc w:val="both"/>
        <w:rPr>
          <w:rFonts w:ascii="Courier New" w:hAnsi="Courier New" w:cs="Courier New"/>
        </w:rPr>
      </w:pPr>
      <w:r>
        <w:rPr>
          <w:rFonts w:ascii="Courier New" w:hAnsi="Courier New" w:cs="Courier New"/>
        </w:rPr>
        <w:t xml:space="preserve">For each </w:t>
      </w:r>
      <w:r w:rsidR="00360505">
        <w:rPr>
          <w:rFonts w:ascii="Courier New" w:hAnsi="Courier New" w:cs="Courier New"/>
        </w:rPr>
        <w:t xml:space="preserve">of the </w:t>
      </w:r>
      <w:r>
        <w:rPr>
          <w:rFonts w:ascii="Courier New" w:hAnsi="Courier New" w:cs="Courier New"/>
        </w:rPr>
        <w:t>fiscal year</w:t>
      </w:r>
      <w:r w:rsidR="00360505">
        <w:rPr>
          <w:rFonts w:ascii="Courier New" w:hAnsi="Courier New" w:cs="Courier New"/>
        </w:rPr>
        <w:t>s</w:t>
      </w:r>
      <w:r>
        <w:rPr>
          <w:rFonts w:ascii="Courier New" w:hAnsi="Courier New" w:cs="Courier New"/>
        </w:rPr>
        <w:t xml:space="preserve"> at issue, the appellant timely filed Forms 3 ABC and abatement applications for the subject property, which the assessors denied or deemed denied.  The appellant seasonably filed Petitions Under Formal Procedure with t</w:t>
      </w:r>
      <w:r w:rsidR="00FC1FF8">
        <w:rPr>
          <w:rFonts w:ascii="Courier New" w:hAnsi="Courier New" w:cs="Courier New"/>
        </w:rPr>
        <w:t>he Board</w:t>
      </w:r>
      <w:r>
        <w:rPr>
          <w:rFonts w:ascii="Courier New" w:hAnsi="Courier New" w:cs="Courier New"/>
        </w:rPr>
        <w:t xml:space="preserve"> for the subject property for each </w:t>
      </w:r>
      <w:r w:rsidR="00360505">
        <w:rPr>
          <w:rFonts w:ascii="Courier New" w:hAnsi="Courier New" w:cs="Courier New"/>
        </w:rPr>
        <w:t xml:space="preserve">of the </w:t>
      </w:r>
      <w:r>
        <w:rPr>
          <w:rFonts w:ascii="Courier New" w:hAnsi="Courier New" w:cs="Courier New"/>
        </w:rPr>
        <w:t>fiscal year</w:t>
      </w:r>
      <w:r w:rsidR="00360505">
        <w:rPr>
          <w:rFonts w:ascii="Courier New" w:hAnsi="Courier New" w:cs="Courier New"/>
        </w:rPr>
        <w:t>s</w:t>
      </w:r>
      <w:r>
        <w:rPr>
          <w:rFonts w:ascii="Courier New" w:hAnsi="Courier New" w:cs="Courier New"/>
        </w:rPr>
        <w:t xml:space="preserve"> at issue.  On the basis of its findings, the Board found and ruled that it had jurisdiction over the appeals for the fiscal years at issue. </w:t>
      </w:r>
    </w:p>
    <w:p w14:paraId="1213BA1D" w14:textId="3868C455" w:rsidR="00481D17" w:rsidRDefault="006C4544" w:rsidP="00481D17">
      <w:pPr>
        <w:spacing w:line="480" w:lineRule="auto"/>
        <w:ind w:firstLine="720"/>
        <w:jc w:val="both"/>
        <w:rPr>
          <w:rFonts w:ascii="Courier New" w:hAnsi="Courier New" w:cs="Courier New"/>
        </w:rPr>
      </w:pPr>
      <w:r>
        <w:rPr>
          <w:rFonts w:ascii="Courier New" w:hAnsi="Courier New" w:cs="Courier New"/>
        </w:rPr>
        <w:t>The appellant presented its case through the testimony of the following witnesses:  Dr. Carly</w:t>
      </w:r>
      <w:r w:rsidR="00E22151">
        <w:rPr>
          <w:rFonts w:ascii="Courier New" w:hAnsi="Courier New" w:cs="Courier New"/>
        </w:rPr>
        <w:t>l</w:t>
      </w:r>
      <w:r>
        <w:rPr>
          <w:rFonts w:ascii="Courier New" w:hAnsi="Courier New" w:cs="Courier New"/>
        </w:rPr>
        <w:t>e Simmons, Trustee of the appellant; Dr. Avis Hendrickson, President of the appellant; Milton Montague, Security Director</w:t>
      </w:r>
      <w:r w:rsidR="00FC1FF8">
        <w:rPr>
          <w:rFonts w:ascii="Courier New" w:hAnsi="Courier New" w:cs="Courier New"/>
        </w:rPr>
        <w:t xml:space="preserve"> of the appellant; Leslie Aho, Physical Plant M</w:t>
      </w:r>
      <w:r>
        <w:rPr>
          <w:rFonts w:ascii="Courier New" w:hAnsi="Courier New" w:cs="Courier New"/>
        </w:rPr>
        <w:t xml:space="preserve">anager of the appellant; and Silas McKinney, Chief Financial Officer and Vice President of Finance of the appellant. </w:t>
      </w:r>
      <w:r w:rsidR="00721FD7">
        <w:rPr>
          <w:rFonts w:ascii="Courier New" w:hAnsi="Courier New" w:cs="Courier New"/>
        </w:rPr>
        <w:t xml:space="preserve"> </w:t>
      </w:r>
      <w:r>
        <w:rPr>
          <w:rFonts w:ascii="Courier New" w:hAnsi="Courier New" w:cs="Courier New"/>
        </w:rPr>
        <w:t xml:space="preserve"> </w:t>
      </w:r>
    </w:p>
    <w:p w14:paraId="19D7A62E" w14:textId="7E078DEE" w:rsidR="00021738" w:rsidRDefault="008C372D" w:rsidP="00C0566B">
      <w:pPr>
        <w:spacing w:line="480" w:lineRule="auto"/>
        <w:ind w:firstLine="720"/>
        <w:jc w:val="both"/>
        <w:rPr>
          <w:rFonts w:ascii="Courier New" w:hAnsi="Courier New" w:cs="Courier New"/>
        </w:rPr>
      </w:pPr>
      <w:r>
        <w:rPr>
          <w:rFonts w:ascii="Courier New" w:hAnsi="Courier New" w:cs="Courier New"/>
        </w:rPr>
        <w:lastRenderedPageBreak/>
        <w:t>At all times relevant to this appeal, the appellant wa</w:t>
      </w:r>
      <w:r w:rsidR="00EA06C9">
        <w:rPr>
          <w:rFonts w:ascii="Courier New" w:hAnsi="Courier New" w:cs="Courier New"/>
        </w:rPr>
        <w:t>s a private liberal arts college affiliated with the</w:t>
      </w:r>
      <w:r w:rsidR="003808A2">
        <w:rPr>
          <w:rFonts w:ascii="Courier New" w:hAnsi="Courier New" w:cs="Courier New"/>
        </w:rPr>
        <w:t xml:space="preserve"> Seventh-day Adventist </w:t>
      </w:r>
      <w:r w:rsidR="00EA06C9">
        <w:rPr>
          <w:rFonts w:ascii="Courier New" w:hAnsi="Courier New" w:cs="Courier New"/>
        </w:rPr>
        <w:t xml:space="preserve">Church.  </w:t>
      </w:r>
      <w:r w:rsidR="00B457AF">
        <w:rPr>
          <w:rFonts w:ascii="Courier New" w:hAnsi="Courier New" w:cs="Courier New"/>
        </w:rPr>
        <w:t xml:space="preserve">The </w:t>
      </w:r>
      <w:r w:rsidR="00360505">
        <w:rPr>
          <w:rFonts w:ascii="Courier New" w:hAnsi="Courier New" w:cs="Courier New"/>
        </w:rPr>
        <w:t>appellant’s entire campus consisted of about 30 parcels, including the subject property.</w:t>
      </w:r>
      <w:r w:rsidR="00B457AF">
        <w:rPr>
          <w:rFonts w:ascii="Courier New" w:hAnsi="Courier New" w:cs="Courier New"/>
        </w:rPr>
        <w:t xml:space="preserve">  </w:t>
      </w:r>
      <w:r w:rsidR="0003665B">
        <w:rPr>
          <w:rFonts w:ascii="Courier New" w:hAnsi="Courier New" w:cs="Courier New"/>
        </w:rPr>
        <w:t xml:space="preserve">The </w:t>
      </w:r>
      <w:r w:rsidR="00360505">
        <w:rPr>
          <w:rFonts w:ascii="Courier New" w:hAnsi="Courier New" w:cs="Courier New"/>
        </w:rPr>
        <w:t>subject property was</w:t>
      </w:r>
      <w:r>
        <w:rPr>
          <w:rFonts w:ascii="Courier New" w:hAnsi="Courier New" w:cs="Courier New"/>
        </w:rPr>
        <w:t xml:space="preserve"> used as follows: 2 parcels we</w:t>
      </w:r>
      <w:r w:rsidR="0003665B">
        <w:rPr>
          <w:rFonts w:ascii="Courier New" w:hAnsi="Courier New" w:cs="Courier New"/>
        </w:rPr>
        <w:t xml:space="preserve">re </w:t>
      </w:r>
      <w:r w:rsidR="006F5A51">
        <w:rPr>
          <w:rFonts w:ascii="Courier New" w:hAnsi="Courier New" w:cs="Courier New"/>
        </w:rPr>
        <w:t>parking lot or storage areas</w:t>
      </w:r>
      <w:r>
        <w:rPr>
          <w:rFonts w:ascii="Courier New" w:hAnsi="Courier New" w:cs="Courier New"/>
        </w:rPr>
        <w:t>; 1 parcel wa</w:t>
      </w:r>
      <w:r w:rsidR="006F5A51">
        <w:rPr>
          <w:rFonts w:ascii="Courier New" w:hAnsi="Courier New" w:cs="Courier New"/>
        </w:rPr>
        <w:t>s a combination of classrooms, a c</w:t>
      </w:r>
      <w:r w:rsidR="00790CC4">
        <w:rPr>
          <w:rFonts w:ascii="Courier New" w:hAnsi="Courier New" w:cs="Courier New"/>
        </w:rPr>
        <w:t>afeteria</w:t>
      </w:r>
      <w:r w:rsidR="00360505">
        <w:rPr>
          <w:rFonts w:ascii="Courier New" w:hAnsi="Courier New" w:cs="Courier New"/>
        </w:rPr>
        <w:t>,</w:t>
      </w:r>
      <w:r w:rsidR="00790CC4">
        <w:rPr>
          <w:rFonts w:ascii="Courier New" w:hAnsi="Courier New" w:cs="Courier New"/>
        </w:rPr>
        <w:t xml:space="preserve"> and residences</w:t>
      </w:r>
      <w:r>
        <w:rPr>
          <w:rFonts w:ascii="Courier New" w:hAnsi="Courier New" w:cs="Courier New"/>
        </w:rPr>
        <w:t>; and the remaining 9 parcels we</w:t>
      </w:r>
      <w:r w:rsidR="00261F90">
        <w:rPr>
          <w:rFonts w:ascii="Courier New" w:hAnsi="Courier New" w:cs="Courier New"/>
        </w:rPr>
        <w:t>re student and faculty housing</w:t>
      </w:r>
      <w:r w:rsidR="006F5A51">
        <w:rPr>
          <w:rFonts w:ascii="Courier New" w:hAnsi="Courier New" w:cs="Courier New"/>
        </w:rPr>
        <w:t xml:space="preserve">.  </w:t>
      </w:r>
      <w:r w:rsidR="0001400B">
        <w:rPr>
          <w:rFonts w:ascii="Courier New" w:hAnsi="Courier New" w:cs="Courier New"/>
        </w:rPr>
        <w:t>The appellant was incorporated in 1883 and has had a</w:t>
      </w:r>
      <w:r w:rsidR="00A56A06">
        <w:rPr>
          <w:rFonts w:ascii="Courier New" w:hAnsi="Courier New" w:cs="Courier New"/>
        </w:rPr>
        <w:t xml:space="preserve"> </w:t>
      </w:r>
      <w:r w:rsidR="0001400B">
        <w:rPr>
          <w:rFonts w:ascii="Courier New" w:hAnsi="Courier New" w:cs="Courier New"/>
        </w:rPr>
        <w:t>lengthy history of</w:t>
      </w:r>
      <w:r w:rsidR="00084DE7">
        <w:rPr>
          <w:rFonts w:ascii="Courier New" w:hAnsi="Courier New" w:cs="Courier New"/>
        </w:rPr>
        <w:t xml:space="preserve"> exempt</w:t>
      </w:r>
      <w:r w:rsidR="0001400B">
        <w:rPr>
          <w:rFonts w:ascii="Courier New" w:hAnsi="Courier New" w:cs="Courier New"/>
        </w:rPr>
        <w:t>ion</w:t>
      </w:r>
      <w:r w:rsidR="00084DE7">
        <w:rPr>
          <w:rFonts w:ascii="Courier New" w:hAnsi="Courier New" w:cs="Courier New"/>
        </w:rPr>
        <w:t xml:space="preserve"> from taxation pursuant to G.L. c. 59,</w:t>
      </w:r>
      <w:r w:rsidR="00DC423B">
        <w:rPr>
          <w:rFonts w:ascii="Courier New" w:hAnsi="Courier New" w:cs="Courier New"/>
        </w:rPr>
        <w:t xml:space="preserve"> § 5,</w:t>
      </w:r>
      <w:r w:rsidR="009B6893">
        <w:rPr>
          <w:rFonts w:ascii="Courier New" w:hAnsi="Courier New" w:cs="Courier New"/>
        </w:rPr>
        <w:t xml:space="preserve"> Clause</w:t>
      </w:r>
      <w:r w:rsidR="00084DE7">
        <w:rPr>
          <w:rFonts w:ascii="Courier New" w:hAnsi="Courier New" w:cs="Courier New"/>
        </w:rPr>
        <w:t xml:space="preserve"> Third (“Clause Third”)</w:t>
      </w:r>
      <w:r w:rsidR="003237AD">
        <w:rPr>
          <w:rFonts w:ascii="Courier New" w:hAnsi="Courier New" w:cs="Courier New"/>
        </w:rPr>
        <w:t>.</w:t>
      </w:r>
      <w:r w:rsidR="00084DE7">
        <w:rPr>
          <w:rFonts w:ascii="Courier New" w:hAnsi="Courier New" w:cs="Courier New"/>
        </w:rPr>
        <w:t xml:space="preserve"> </w:t>
      </w:r>
      <w:r w:rsidR="00F76FFB">
        <w:rPr>
          <w:rFonts w:ascii="Courier New" w:hAnsi="Courier New" w:cs="Courier New"/>
        </w:rPr>
        <w:t xml:space="preserve"> </w:t>
      </w:r>
      <w:r w:rsidR="00261F90">
        <w:rPr>
          <w:rFonts w:ascii="Courier New" w:hAnsi="Courier New" w:cs="Courier New"/>
        </w:rPr>
        <w:t>I</w:t>
      </w:r>
      <w:r w:rsidR="00A56A06">
        <w:rPr>
          <w:rFonts w:ascii="Courier New" w:hAnsi="Courier New" w:cs="Courier New"/>
        </w:rPr>
        <w:t>n May of 2011, the</w:t>
      </w:r>
      <w:r w:rsidR="00481D17">
        <w:rPr>
          <w:rFonts w:ascii="Courier New" w:hAnsi="Courier New" w:cs="Courier New"/>
        </w:rPr>
        <w:t xml:space="preserve"> appellant suspended its bachelor of art</w:t>
      </w:r>
      <w:r w:rsidR="00360505">
        <w:rPr>
          <w:rFonts w:ascii="Courier New" w:hAnsi="Courier New" w:cs="Courier New"/>
        </w:rPr>
        <w:t>s</w:t>
      </w:r>
      <w:r w:rsidR="00481D17">
        <w:rPr>
          <w:rFonts w:ascii="Courier New" w:hAnsi="Courier New" w:cs="Courier New"/>
        </w:rPr>
        <w:t xml:space="preserve"> degree program</w:t>
      </w:r>
      <w:r w:rsidR="00A56A06">
        <w:rPr>
          <w:rFonts w:ascii="Courier New" w:hAnsi="Courier New" w:cs="Courier New"/>
        </w:rPr>
        <w:t xml:space="preserve"> at the subject property</w:t>
      </w:r>
      <w:r w:rsidR="00481D17">
        <w:rPr>
          <w:rFonts w:ascii="Courier New" w:hAnsi="Courier New" w:cs="Courier New"/>
        </w:rPr>
        <w:t xml:space="preserve"> after losing its accreditation b</w:t>
      </w:r>
      <w:r w:rsidR="00742EA6">
        <w:rPr>
          <w:rFonts w:ascii="Courier New" w:hAnsi="Courier New" w:cs="Courier New"/>
        </w:rPr>
        <w:t xml:space="preserve">ecause of financial hardship.  </w:t>
      </w:r>
      <w:r w:rsidR="00681B65">
        <w:rPr>
          <w:rFonts w:ascii="Courier New" w:hAnsi="Courier New" w:cs="Courier New"/>
        </w:rPr>
        <w:t>The appellee began to tax the subject property in fiscal year 2013.  Other parcels within the Atlantic Union College campus remain exempt.</w:t>
      </w:r>
    </w:p>
    <w:p w14:paraId="010EFCAB" w14:textId="2BE0C941" w:rsidR="002134DE" w:rsidRDefault="00742EA6" w:rsidP="00522DB9">
      <w:pPr>
        <w:spacing w:line="480" w:lineRule="auto"/>
        <w:ind w:firstLine="720"/>
        <w:jc w:val="both"/>
        <w:rPr>
          <w:rFonts w:ascii="Courier New" w:hAnsi="Courier New" w:cs="Courier New"/>
        </w:rPr>
      </w:pPr>
      <w:r>
        <w:rPr>
          <w:rFonts w:ascii="Courier New" w:hAnsi="Courier New" w:cs="Courier New"/>
        </w:rPr>
        <w:t>Dr. Simmons testified that t</w:t>
      </w:r>
      <w:r w:rsidR="00021738">
        <w:rPr>
          <w:rFonts w:ascii="Courier New" w:hAnsi="Courier New" w:cs="Courier New"/>
        </w:rPr>
        <w:t>he appellant</w:t>
      </w:r>
      <w:r w:rsidR="0003665B">
        <w:rPr>
          <w:rFonts w:ascii="Courier New" w:hAnsi="Courier New" w:cs="Courier New"/>
        </w:rPr>
        <w:t xml:space="preserve"> never lost its charter</w:t>
      </w:r>
      <w:r w:rsidR="00B8531A">
        <w:rPr>
          <w:rFonts w:ascii="Courier New" w:hAnsi="Courier New" w:cs="Courier New"/>
        </w:rPr>
        <w:t xml:space="preserve"> during the relevant time period</w:t>
      </w:r>
      <w:r w:rsidR="009B6893">
        <w:rPr>
          <w:rFonts w:ascii="Courier New" w:hAnsi="Courier New" w:cs="Courier New"/>
        </w:rPr>
        <w:t>s</w:t>
      </w:r>
      <w:r w:rsidR="002058B2">
        <w:rPr>
          <w:rFonts w:ascii="Courier New" w:hAnsi="Courier New" w:cs="Courier New"/>
        </w:rPr>
        <w:t>,</w:t>
      </w:r>
      <w:r w:rsidR="00021738">
        <w:rPr>
          <w:rFonts w:ascii="Courier New" w:hAnsi="Courier New" w:cs="Courier New"/>
        </w:rPr>
        <w:t xml:space="preserve"> and </w:t>
      </w:r>
      <w:r w:rsidR="00522DB9">
        <w:rPr>
          <w:rFonts w:ascii="Courier New" w:hAnsi="Courier New" w:cs="Courier New"/>
        </w:rPr>
        <w:t xml:space="preserve">that college administration and facilities </w:t>
      </w:r>
      <w:r w:rsidR="00704956">
        <w:rPr>
          <w:rFonts w:ascii="Courier New" w:hAnsi="Courier New" w:cs="Courier New"/>
        </w:rPr>
        <w:t xml:space="preserve">departments </w:t>
      </w:r>
      <w:r w:rsidR="00907F20">
        <w:rPr>
          <w:rFonts w:ascii="Courier New" w:hAnsi="Courier New" w:cs="Courier New"/>
        </w:rPr>
        <w:t>worked towards regaining accreditation</w:t>
      </w:r>
      <w:r w:rsidR="00522DB9">
        <w:rPr>
          <w:rFonts w:ascii="Courier New" w:hAnsi="Courier New" w:cs="Courier New"/>
        </w:rPr>
        <w:t xml:space="preserve"> during the suspension period between May of 2011 and August of 2015, when the appellant resumed its degree program at the subject property.</w:t>
      </w:r>
      <w:r w:rsidR="002134DE">
        <w:rPr>
          <w:rFonts w:ascii="Courier New" w:hAnsi="Courier New" w:cs="Courier New"/>
        </w:rPr>
        <w:t xml:space="preserve">  </w:t>
      </w:r>
      <w:r w:rsidR="00021738">
        <w:rPr>
          <w:rFonts w:ascii="Courier New" w:hAnsi="Courier New" w:cs="Courier New"/>
        </w:rPr>
        <w:t>Dr. Simmons testified that</w:t>
      </w:r>
      <w:r w:rsidR="002058B2">
        <w:rPr>
          <w:rFonts w:ascii="Courier New" w:hAnsi="Courier New" w:cs="Courier New"/>
        </w:rPr>
        <w:t>, after the suspension,</w:t>
      </w:r>
      <w:r w:rsidR="002134DE">
        <w:rPr>
          <w:rFonts w:ascii="Courier New" w:hAnsi="Courier New" w:cs="Courier New"/>
        </w:rPr>
        <w:t xml:space="preserve"> </w:t>
      </w:r>
      <w:r w:rsidR="002058B2">
        <w:rPr>
          <w:rFonts w:ascii="Courier New" w:hAnsi="Courier New" w:cs="Courier New"/>
        </w:rPr>
        <w:t>he and the</w:t>
      </w:r>
      <w:r w:rsidR="002134DE">
        <w:rPr>
          <w:rFonts w:ascii="Courier New" w:hAnsi="Courier New" w:cs="Courier New"/>
        </w:rPr>
        <w:t xml:space="preserve"> other members of the Board of Trustees immediately began communicating with the Massachusetts Department of Education</w:t>
      </w:r>
      <w:r w:rsidR="006D6FD3">
        <w:rPr>
          <w:rFonts w:ascii="Courier New" w:hAnsi="Courier New" w:cs="Courier New"/>
        </w:rPr>
        <w:t xml:space="preserve"> </w:t>
      </w:r>
      <w:r w:rsidR="006E4EB3">
        <w:rPr>
          <w:rFonts w:ascii="Courier New" w:hAnsi="Courier New" w:cs="Courier New"/>
        </w:rPr>
        <w:t xml:space="preserve">(“MDOE”) </w:t>
      </w:r>
      <w:r w:rsidR="006D6FD3">
        <w:rPr>
          <w:rFonts w:ascii="Courier New" w:hAnsi="Courier New" w:cs="Courier New"/>
        </w:rPr>
        <w:t xml:space="preserve">and the New </w:t>
      </w:r>
      <w:r w:rsidR="006D6FD3">
        <w:rPr>
          <w:rFonts w:ascii="Courier New" w:hAnsi="Courier New" w:cs="Courier New"/>
        </w:rPr>
        <w:lastRenderedPageBreak/>
        <w:t xml:space="preserve">England </w:t>
      </w:r>
      <w:r w:rsidR="006E4EB3">
        <w:rPr>
          <w:rFonts w:ascii="Courier New" w:hAnsi="Courier New" w:cs="Courier New"/>
        </w:rPr>
        <w:t>Association of Schools and Colleges</w:t>
      </w:r>
      <w:r w:rsidR="006D6FD3">
        <w:rPr>
          <w:rFonts w:ascii="Courier New" w:hAnsi="Courier New" w:cs="Courier New"/>
        </w:rPr>
        <w:t xml:space="preserve"> </w:t>
      </w:r>
      <w:r w:rsidR="006E4EB3">
        <w:rPr>
          <w:rFonts w:ascii="Courier New" w:hAnsi="Courier New" w:cs="Courier New"/>
        </w:rPr>
        <w:t xml:space="preserve">(“NEASC”) </w:t>
      </w:r>
      <w:r w:rsidR="006D6FD3">
        <w:rPr>
          <w:rFonts w:ascii="Courier New" w:hAnsi="Courier New" w:cs="Courier New"/>
        </w:rPr>
        <w:t>to discern the</w:t>
      </w:r>
      <w:r w:rsidR="00C935F8">
        <w:rPr>
          <w:rFonts w:ascii="Courier New" w:hAnsi="Courier New" w:cs="Courier New"/>
        </w:rPr>
        <w:t xml:space="preserve"> specific</w:t>
      </w:r>
      <w:r w:rsidR="002134DE">
        <w:rPr>
          <w:rFonts w:ascii="Courier New" w:hAnsi="Courier New" w:cs="Courier New"/>
        </w:rPr>
        <w:t xml:space="preserve"> steps required </w:t>
      </w:r>
      <w:r w:rsidR="00C935F8">
        <w:rPr>
          <w:rFonts w:ascii="Courier New" w:hAnsi="Courier New" w:cs="Courier New"/>
        </w:rPr>
        <w:t xml:space="preserve">for the college </w:t>
      </w:r>
      <w:r w:rsidR="002134DE">
        <w:rPr>
          <w:rFonts w:ascii="Courier New" w:hAnsi="Courier New" w:cs="Courier New"/>
        </w:rPr>
        <w:t>to regain accreditati</w:t>
      </w:r>
      <w:r w:rsidR="006E4EB3">
        <w:rPr>
          <w:rFonts w:ascii="Courier New" w:hAnsi="Courier New" w:cs="Courier New"/>
        </w:rPr>
        <w:t>o</w:t>
      </w:r>
      <w:r w:rsidR="00DE77E1">
        <w:rPr>
          <w:rFonts w:ascii="Courier New" w:hAnsi="Courier New" w:cs="Courier New"/>
        </w:rPr>
        <w:t>n.  He further testified that</w:t>
      </w:r>
      <w:r w:rsidR="006E4EB3">
        <w:rPr>
          <w:rFonts w:ascii="Courier New" w:hAnsi="Courier New" w:cs="Courier New"/>
        </w:rPr>
        <w:t xml:space="preserve"> the appellant, in fact,</w:t>
      </w:r>
      <w:r w:rsidR="003C453C">
        <w:rPr>
          <w:rFonts w:ascii="Courier New" w:hAnsi="Courier New" w:cs="Courier New"/>
        </w:rPr>
        <w:t xml:space="preserve"> hired a consultant to assist</w:t>
      </w:r>
      <w:r w:rsidR="006E4EB3">
        <w:rPr>
          <w:rFonts w:ascii="Courier New" w:hAnsi="Courier New" w:cs="Courier New"/>
        </w:rPr>
        <w:t xml:space="preserve"> in the process of regaining accreditation.  </w:t>
      </w:r>
      <w:r w:rsidR="003C453C">
        <w:rPr>
          <w:rFonts w:ascii="Courier New" w:hAnsi="Courier New" w:cs="Courier New"/>
        </w:rPr>
        <w:t>According to Dr. Simmons,</w:t>
      </w:r>
      <w:r w:rsidR="006964B5">
        <w:rPr>
          <w:rFonts w:ascii="Courier New" w:hAnsi="Courier New" w:cs="Courier New"/>
        </w:rPr>
        <w:t xml:space="preserve"> the appellant “maintained constant administrative structure for the institution” </w:t>
      </w:r>
      <w:r w:rsidR="00F16F91">
        <w:rPr>
          <w:rFonts w:ascii="Courier New" w:hAnsi="Courier New" w:cs="Courier New"/>
        </w:rPr>
        <w:t>through</w:t>
      </w:r>
      <w:r w:rsidR="006964B5">
        <w:rPr>
          <w:rFonts w:ascii="Courier New" w:hAnsi="Courier New" w:cs="Courier New"/>
        </w:rPr>
        <w:t xml:space="preserve"> monthly administrative meetings with the subject property’s caretakers</w:t>
      </w:r>
      <w:r w:rsidR="00F16F91">
        <w:rPr>
          <w:rFonts w:ascii="Courier New" w:hAnsi="Courier New" w:cs="Courier New"/>
        </w:rPr>
        <w:t>,</w:t>
      </w:r>
      <w:r w:rsidR="006964B5">
        <w:rPr>
          <w:rFonts w:ascii="Courier New" w:hAnsi="Courier New" w:cs="Courier New"/>
        </w:rPr>
        <w:t xml:space="preserve"> </w:t>
      </w:r>
      <w:r w:rsidR="00FA5449">
        <w:rPr>
          <w:rFonts w:ascii="Courier New" w:hAnsi="Courier New" w:cs="Courier New"/>
        </w:rPr>
        <w:t xml:space="preserve">the </w:t>
      </w:r>
      <w:r w:rsidR="006964B5">
        <w:rPr>
          <w:rFonts w:ascii="Courier New" w:hAnsi="Courier New" w:cs="Courier New"/>
        </w:rPr>
        <w:t>financial director of the college</w:t>
      </w:r>
      <w:r w:rsidR="00F16F91">
        <w:rPr>
          <w:rFonts w:ascii="Courier New" w:hAnsi="Courier New" w:cs="Courier New"/>
        </w:rPr>
        <w:t xml:space="preserve">, and the officers of the </w:t>
      </w:r>
      <w:r w:rsidR="00FA5449">
        <w:rPr>
          <w:rFonts w:ascii="Courier New" w:hAnsi="Courier New" w:cs="Courier New"/>
        </w:rPr>
        <w:t xml:space="preserve">appellant’s </w:t>
      </w:r>
      <w:r w:rsidR="00C22B60">
        <w:rPr>
          <w:rFonts w:ascii="Courier New" w:hAnsi="Courier New" w:cs="Courier New"/>
        </w:rPr>
        <w:t xml:space="preserve">employees’ </w:t>
      </w:r>
      <w:r w:rsidR="00F16F91">
        <w:rPr>
          <w:rFonts w:ascii="Courier New" w:hAnsi="Courier New" w:cs="Courier New"/>
        </w:rPr>
        <w:t>union</w:t>
      </w:r>
      <w:r w:rsidR="00E459AC">
        <w:rPr>
          <w:rFonts w:ascii="Courier New" w:hAnsi="Courier New" w:cs="Courier New"/>
        </w:rPr>
        <w:t>.  The</w:t>
      </w:r>
      <w:r w:rsidR="00F16F91">
        <w:rPr>
          <w:rFonts w:ascii="Courier New" w:hAnsi="Courier New" w:cs="Courier New"/>
        </w:rPr>
        <w:t xml:space="preserve"> Board of Trustees</w:t>
      </w:r>
      <w:r w:rsidR="00E459AC">
        <w:rPr>
          <w:rFonts w:ascii="Courier New" w:hAnsi="Courier New" w:cs="Courier New"/>
        </w:rPr>
        <w:t xml:space="preserve"> also continued to meet quarterly, and Dr.</w:t>
      </w:r>
      <w:r w:rsidR="00806B9F">
        <w:rPr>
          <w:rFonts w:ascii="Courier New" w:hAnsi="Courier New" w:cs="Courier New"/>
        </w:rPr>
        <w:t> </w:t>
      </w:r>
      <w:r w:rsidR="00E459AC">
        <w:rPr>
          <w:rFonts w:ascii="Courier New" w:hAnsi="Courier New" w:cs="Courier New"/>
        </w:rPr>
        <w:t>Simmons testified that at those</w:t>
      </w:r>
      <w:r w:rsidR="00F16F91">
        <w:rPr>
          <w:rFonts w:ascii="Courier New" w:hAnsi="Courier New" w:cs="Courier New"/>
        </w:rPr>
        <w:t xml:space="preserve"> meetings</w:t>
      </w:r>
      <w:r w:rsidR="00FA5449">
        <w:rPr>
          <w:rFonts w:ascii="Courier New" w:hAnsi="Courier New" w:cs="Courier New"/>
        </w:rPr>
        <w:t>,</w:t>
      </w:r>
      <w:r w:rsidR="00E459AC">
        <w:rPr>
          <w:rFonts w:ascii="Courier New" w:hAnsi="Courier New" w:cs="Courier New"/>
        </w:rPr>
        <w:t xml:space="preserve"> the officers discussed the financial state of the appellant, the maintenance and security m</w:t>
      </w:r>
      <w:r w:rsidR="003C453C">
        <w:rPr>
          <w:rFonts w:ascii="Courier New" w:hAnsi="Courier New" w:cs="Courier New"/>
        </w:rPr>
        <w:t>easures in place to ensure the subject property’s</w:t>
      </w:r>
      <w:r w:rsidR="00E459AC">
        <w:rPr>
          <w:rFonts w:ascii="Courier New" w:hAnsi="Courier New" w:cs="Courier New"/>
        </w:rPr>
        <w:t xml:space="preserve"> upkeep, “and of course . . . efforts to regain o</w:t>
      </w:r>
      <w:r w:rsidR="00806520">
        <w:rPr>
          <w:rFonts w:ascii="Courier New" w:hAnsi="Courier New" w:cs="Courier New"/>
        </w:rPr>
        <w:t>u</w:t>
      </w:r>
      <w:r w:rsidR="00E459AC">
        <w:rPr>
          <w:rFonts w:ascii="Courier New" w:hAnsi="Courier New" w:cs="Courier New"/>
        </w:rPr>
        <w:t>r accreditation.”</w:t>
      </w:r>
      <w:r w:rsidR="006964B5">
        <w:rPr>
          <w:rFonts w:ascii="Courier New" w:hAnsi="Courier New" w:cs="Courier New"/>
        </w:rPr>
        <w:t xml:space="preserve"> </w:t>
      </w:r>
      <w:r w:rsidR="00C0566B">
        <w:rPr>
          <w:rFonts w:ascii="Courier New" w:hAnsi="Courier New" w:cs="Courier New"/>
        </w:rPr>
        <w:t xml:space="preserve"> </w:t>
      </w:r>
    </w:p>
    <w:p w14:paraId="36FFEA50" w14:textId="04D6EBA4" w:rsidR="0003498A" w:rsidRDefault="00172913" w:rsidP="00522DB9">
      <w:pPr>
        <w:spacing w:line="480" w:lineRule="auto"/>
        <w:ind w:firstLine="720"/>
        <w:jc w:val="both"/>
        <w:rPr>
          <w:rFonts w:ascii="Courier New" w:hAnsi="Courier New" w:cs="Courier New"/>
        </w:rPr>
      </w:pPr>
      <w:r>
        <w:rPr>
          <w:rFonts w:ascii="Courier New" w:hAnsi="Courier New" w:cs="Courier New"/>
        </w:rPr>
        <w:t xml:space="preserve">Furthermore, Dr. Simmons testified, the appellant </w:t>
      </w:r>
      <w:r w:rsidR="00EF2A3B">
        <w:rPr>
          <w:rFonts w:ascii="Courier New" w:hAnsi="Courier New" w:cs="Courier New"/>
        </w:rPr>
        <w:t>continued to provide</w:t>
      </w:r>
      <w:r w:rsidR="00470D3E">
        <w:rPr>
          <w:rFonts w:ascii="Courier New" w:hAnsi="Courier New" w:cs="Courier New"/>
        </w:rPr>
        <w:t xml:space="preserve"> certain</w:t>
      </w:r>
      <w:r>
        <w:rPr>
          <w:rFonts w:ascii="Courier New" w:hAnsi="Courier New" w:cs="Courier New"/>
        </w:rPr>
        <w:t xml:space="preserve"> programs at the subject property during its loss of accreditation</w:t>
      </w:r>
      <w:r w:rsidR="00470D3E">
        <w:rPr>
          <w:rFonts w:ascii="Courier New" w:hAnsi="Courier New" w:cs="Courier New"/>
        </w:rPr>
        <w:t xml:space="preserve"> period</w:t>
      </w:r>
      <w:r>
        <w:rPr>
          <w:rFonts w:ascii="Courier New" w:hAnsi="Courier New" w:cs="Courier New"/>
        </w:rPr>
        <w:t>.</w:t>
      </w:r>
      <w:r w:rsidR="00EF2A3B">
        <w:rPr>
          <w:rFonts w:ascii="Courier New" w:hAnsi="Courier New" w:cs="Courier New"/>
        </w:rPr>
        <w:t xml:space="preserve">  First, the Thayer Performing Arts Center (“TPAC”) continued to ac</w:t>
      </w:r>
      <w:r w:rsidR="00BF65D8">
        <w:rPr>
          <w:rFonts w:ascii="Courier New" w:hAnsi="Courier New" w:cs="Courier New"/>
        </w:rPr>
        <w:t>cept students in</w:t>
      </w:r>
      <w:r w:rsidR="00FA5449">
        <w:rPr>
          <w:rFonts w:ascii="Courier New" w:hAnsi="Courier New" w:cs="Courier New"/>
        </w:rPr>
        <w:t>to</w:t>
      </w:r>
      <w:r w:rsidR="00BF65D8">
        <w:rPr>
          <w:rFonts w:ascii="Courier New" w:hAnsi="Courier New" w:cs="Courier New"/>
        </w:rPr>
        <w:t xml:space="preserve"> its</w:t>
      </w:r>
      <w:r w:rsidR="00EF2A3B">
        <w:rPr>
          <w:rFonts w:ascii="Courier New" w:hAnsi="Courier New" w:cs="Courier New"/>
        </w:rPr>
        <w:t xml:space="preserve"> music and performing arts</w:t>
      </w:r>
      <w:r w:rsidR="00552858">
        <w:rPr>
          <w:rFonts w:ascii="Courier New" w:hAnsi="Courier New" w:cs="Courier New"/>
        </w:rPr>
        <w:t xml:space="preserve"> </w:t>
      </w:r>
      <w:r w:rsidR="00BF65D8">
        <w:rPr>
          <w:rFonts w:ascii="Courier New" w:hAnsi="Courier New" w:cs="Courier New"/>
        </w:rPr>
        <w:t xml:space="preserve">programs </w:t>
      </w:r>
      <w:r w:rsidR="00552858">
        <w:rPr>
          <w:rFonts w:ascii="Courier New" w:hAnsi="Courier New" w:cs="Courier New"/>
        </w:rPr>
        <w:t>under the auspices of the college</w:t>
      </w:r>
      <w:r w:rsidR="00EF2A3B">
        <w:rPr>
          <w:rFonts w:ascii="Courier New" w:hAnsi="Courier New" w:cs="Courier New"/>
        </w:rPr>
        <w:t xml:space="preserve">.  </w:t>
      </w:r>
      <w:r w:rsidR="00137CAD">
        <w:rPr>
          <w:rFonts w:ascii="Courier New" w:hAnsi="Courier New" w:cs="Courier New"/>
        </w:rPr>
        <w:t>T</w:t>
      </w:r>
      <w:r w:rsidR="00EF2A3B">
        <w:rPr>
          <w:rFonts w:ascii="Courier New" w:hAnsi="Courier New" w:cs="Courier New"/>
        </w:rPr>
        <w:t>he Northeast Evangelism Training School (“NETS”), a certificate program designed to teach students the techniques and strategies of conducting Bible studies, evangelism</w:t>
      </w:r>
      <w:r w:rsidR="009B6893">
        <w:rPr>
          <w:rFonts w:ascii="Courier New" w:hAnsi="Courier New" w:cs="Courier New"/>
        </w:rPr>
        <w:t>,</w:t>
      </w:r>
      <w:r w:rsidR="00EF2A3B">
        <w:rPr>
          <w:rFonts w:ascii="Courier New" w:hAnsi="Courier New" w:cs="Courier New"/>
        </w:rPr>
        <w:t xml:space="preserve"> and healthy-living education, </w:t>
      </w:r>
      <w:r w:rsidR="00FA5449">
        <w:rPr>
          <w:rFonts w:ascii="Courier New" w:hAnsi="Courier New" w:cs="Courier New"/>
        </w:rPr>
        <w:t xml:space="preserve">which </w:t>
      </w:r>
      <w:r w:rsidR="00EF2A3B">
        <w:rPr>
          <w:rFonts w:ascii="Courier New" w:hAnsi="Courier New" w:cs="Courier New"/>
        </w:rPr>
        <w:t xml:space="preserve">began operating at the subject property in </w:t>
      </w:r>
      <w:r w:rsidR="00EF2A3B">
        <w:rPr>
          <w:rFonts w:ascii="Courier New" w:hAnsi="Courier New" w:cs="Courier New"/>
        </w:rPr>
        <w:lastRenderedPageBreak/>
        <w:t>2013</w:t>
      </w:r>
      <w:r w:rsidR="00FA5449">
        <w:rPr>
          <w:rFonts w:ascii="Courier New" w:hAnsi="Courier New" w:cs="Courier New"/>
        </w:rPr>
        <w:t>, also</w:t>
      </w:r>
      <w:r w:rsidR="00EF2A3B">
        <w:rPr>
          <w:rFonts w:ascii="Courier New" w:hAnsi="Courier New" w:cs="Courier New"/>
        </w:rPr>
        <w:t xml:space="preserve"> continued to operate during the relevant time periods.</w:t>
      </w:r>
      <w:r w:rsidR="00EF04B6">
        <w:rPr>
          <w:rFonts w:ascii="Courier New" w:hAnsi="Courier New" w:cs="Courier New"/>
        </w:rPr>
        <w:t xml:space="preserve"> </w:t>
      </w:r>
      <w:r w:rsidR="00137CAD">
        <w:rPr>
          <w:rFonts w:ascii="Courier New" w:hAnsi="Courier New" w:cs="Courier New"/>
        </w:rPr>
        <w:t xml:space="preserve"> T</w:t>
      </w:r>
      <w:r w:rsidR="00EF04B6">
        <w:rPr>
          <w:rFonts w:ascii="Courier New" w:hAnsi="Courier New" w:cs="Courier New"/>
        </w:rPr>
        <w:t xml:space="preserve">he </w:t>
      </w:r>
      <w:r w:rsidR="007409A0">
        <w:rPr>
          <w:rFonts w:ascii="Courier New" w:hAnsi="Courier New" w:cs="Courier New"/>
        </w:rPr>
        <w:t>Adult Education Program</w:t>
      </w:r>
      <w:r w:rsidR="00EF04B6">
        <w:rPr>
          <w:rFonts w:ascii="Courier New" w:hAnsi="Courier New" w:cs="Courier New"/>
        </w:rPr>
        <w:t xml:space="preserve"> </w:t>
      </w:r>
      <w:r w:rsidR="00137CAD">
        <w:rPr>
          <w:rFonts w:ascii="Courier New" w:hAnsi="Courier New" w:cs="Courier New"/>
        </w:rPr>
        <w:t xml:space="preserve">also </w:t>
      </w:r>
      <w:r w:rsidR="00FA5449">
        <w:rPr>
          <w:rFonts w:ascii="Courier New" w:hAnsi="Courier New" w:cs="Courier New"/>
        </w:rPr>
        <w:t>continued operating during this time.</w:t>
      </w:r>
      <w:r w:rsidR="007409A0">
        <w:rPr>
          <w:rFonts w:ascii="Courier New" w:hAnsi="Courier New" w:cs="Courier New"/>
        </w:rPr>
        <w:t xml:space="preserve">  Finally,</w:t>
      </w:r>
      <w:r w:rsidR="00EF04B6">
        <w:rPr>
          <w:rFonts w:ascii="Courier New" w:hAnsi="Courier New" w:cs="Courier New"/>
        </w:rPr>
        <w:t xml:space="preserve"> the Teach Out</w:t>
      </w:r>
      <w:r w:rsidR="00282EEC">
        <w:rPr>
          <w:rFonts w:ascii="Courier New" w:hAnsi="Courier New" w:cs="Courier New"/>
        </w:rPr>
        <w:t xml:space="preserve"> P</w:t>
      </w:r>
      <w:r w:rsidR="00EF04B6">
        <w:rPr>
          <w:rFonts w:ascii="Courier New" w:hAnsi="Courier New" w:cs="Courier New"/>
        </w:rPr>
        <w:t>rogram, which began shortly after accreditation ceased</w:t>
      </w:r>
      <w:r w:rsidR="00137CAD">
        <w:rPr>
          <w:rFonts w:ascii="Courier New" w:hAnsi="Courier New" w:cs="Courier New"/>
        </w:rPr>
        <w:t xml:space="preserve"> at the college, enabled nursing students </w:t>
      </w:r>
      <w:r w:rsidR="00EF04B6">
        <w:rPr>
          <w:rFonts w:ascii="Courier New" w:hAnsi="Courier New" w:cs="Courier New"/>
        </w:rPr>
        <w:t>who were in the process</w:t>
      </w:r>
      <w:r w:rsidR="00137CAD">
        <w:rPr>
          <w:rFonts w:ascii="Courier New" w:hAnsi="Courier New" w:cs="Courier New"/>
        </w:rPr>
        <w:t xml:space="preserve"> of completing their degrees to continue their studies at </w:t>
      </w:r>
      <w:r w:rsidR="00FA5449">
        <w:rPr>
          <w:rFonts w:ascii="Courier New" w:hAnsi="Courier New" w:cs="Courier New"/>
        </w:rPr>
        <w:t xml:space="preserve">neighboring </w:t>
      </w:r>
      <w:r w:rsidR="00137CAD">
        <w:rPr>
          <w:rFonts w:ascii="Courier New" w:hAnsi="Courier New" w:cs="Courier New"/>
        </w:rPr>
        <w:t>Wachusett Community College</w:t>
      </w:r>
      <w:r w:rsidR="00FA5449">
        <w:rPr>
          <w:rFonts w:ascii="Courier New" w:hAnsi="Courier New" w:cs="Courier New"/>
        </w:rPr>
        <w:t xml:space="preserve"> while some of them continued to live at the subject property.  The appellant </w:t>
      </w:r>
      <w:r w:rsidR="005E12AB">
        <w:rPr>
          <w:rFonts w:ascii="Courier New" w:hAnsi="Courier New" w:cs="Courier New"/>
        </w:rPr>
        <w:t xml:space="preserve">also </w:t>
      </w:r>
      <w:r w:rsidR="00FA5449">
        <w:rPr>
          <w:rFonts w:ascii="Courier New" w:hAnsi="Courier New" w:cs="Courier New"/>
        </w:rPr>
        <w:t>provided some professors and others</w:t>
      </w:r>
      <w:r w:rsidR="00A235EA">
        <w:rPr>
          <w:rFonts w:ascii="Courier New" w:hAnsi="Courier New" w:cs="Courier New"/>
        </w:rPr>
        <w:t xml:space="preserve"> who were em</w:t>
      </w:r>
      <w:r w:rsidR="00FA5449">
        <w:rPr>
          <w:rFonts w:ascii="Courier New" w:hAnsi="Courier New" w:cs="Courier New"/>
        </w:rPr>
        <w:t>ployed by the appellant, as well as some</w:t>
      </w:r>
      <w:r w:rsidR="00A235EA">
        <w:rPr>
          <w:rFonts w:ascii="Courier New" w:hAnsi="Courier New" w:cs="Courier New"/>
        </w:rPr>
        <w:t xml:space="preserve"> students </w:t>
      </w:r>
      <w:r w:rsidR="00282EEC">
        <w:rPr>
          <w:rFonts w:ascii="Courier New" w:hAnsi="Courier New" w:cs="Courier New"/>
        </w:rPr>
        <w:t>engaged in the Teach Out P</w:t>
      </w:r>
      <w:r w:rsidR="00FA5449">
        <w:rPr>
          <w:rFonts w:ascii="Courier New" w:hAnsi="Courier New" w:cs="Courier New"/>
        </w:rPr>
        <w:t xml:space="preserve">rogram, </w:t>
      </w:r>
      <w:r w:rsidR="005E12AB">
        <w:rPr>
          <w:rFonts w:ascii="Courier New" w:hAnsi="Courier New" w:cs="Courier New"/>
        </w:rPr>
        <w:t xml:space="preserve">with </w:t>
      </w:r>
      <w:r w:rsidR="00A235EA">
        <w:rPr>
          <w:rFonts w:ascii="Courier New" w:hAnsi="Courier New" w:cs="Courier New"/>
        </w:rPr>
        <w:t>continued</w:t>
      </w:r>
      <w:r w:rsidR="00137CAD">
        <w:rPr>
          <w:rFonts w:ascii="Courier New" w:hAnsi="Courier New" w:cs="Courier New"/>
        </w:rPr>
        <w:t xml:space="preserve"> living </w:t>
      </w:r>
      <w:r w:rsidR="00FA5449">
        <w:rPr>
          <w:rFonts w:ascii="Courier New" w:hAnsi="Courier New" w:cs="Courier New"/>
        </w:rPr>
        <w:t xml:space="preserve">quarters </w:t>
      </w:r>
      <w:r w:rsidR="00137CAD">
        <w:rPr>
          <w:rFonts w:ascii="Courier New" w:hAnsi="Courier New" w:cs="Courier New"/>
        </w:rPr>
        <w:t>at the subject property</w:t>
      </w:r>
      <w:r w:rsidR="00FA5449">
        <w:rPr>
          <w:rFonts w:ascii="Courier New" w:hAnsi="Courier New" w:cs="Courier New"/>
        </w:rPr>
        <w:t xml:space="preserve"> during the relevant time period</w:t>
      </w:r>
      <w:r w:rsidR="00282EEC">
        <w:rPr>
          <w:rFonts w:ascii="Courier New" w:hAnsi="Courier New" w:cs="Courier New"/>
        </w:rPr>
        <w:t>s</w:t>
      </w:r>
      <w:r w:rsidR="00A235EA">
        <w:rPr>
          <w:rFonts w:ascii="Courier New" w:hAnsi="Courier New" w:cs="Courier New"/>
        </w:rPr>
        <w:t>.</w:t>
      </w:r>
    </w:p>
    <w:p w14:paraId="12CCCFC4" w14:textId="65F49CE5" w:rsidR="0003498A" w:rsidRDefault="0003498A" w:rsidP="0003498A">
      <w:pPr>
        <w:spacing w:line="480" w:lineRule="auto"/>
        <w:ind w:firstLine="720"/>
        <w:jc w:val="both"/>
        <w:rPr>
          <w:rFonts w:ascii="Courier New" w:hAnsi="Courier New" w:cs="Courier New"/>
        </w:rPr>
      </w:pPr>
      <w:r>
        <w:rPr>
          <w:rFonts w:ascii="Courier New" w:hAnsi="Courier New" w:cs="Courier New"/>
        </w:rPr>
        <w:t xml:space="preserve">Moreover, Dr. Simmons </w:t>
      </w:r>
      <w:r w:rsidR="00714B70">
        <w:rPr>
          <w:rFonts w:ascii="Courier New" w:hAnsi="Courier New" w:cs="Courier New"/>
        </w:rPr>
        <w:t xml:space="preserve">and Dr. </w:t>
      </w:r>
      <w:r w:rsidR="00460662">
        <w:rPr>
          <w:rFonts w:ascii="Courier New" w:hAnsi="Courier New" w:cs="Courier New"/>
        </w:rPr>
        <w:t>Hendrickson</w:t>
      </w:r>
      <w:r w:rsidR="00714B70">
        <w:rPr>
          <w:rFonts w:ascii="Courier New" w:hAnsi="Courier New" w:cs="Courier New"/>
        </w:rPr>
        <w:t xml:space="preserve"> both </w:t>
      </w:r>
      <w:r>
        <w:rPr>
          <w:rFonts w:ascii="Courier New" w:hAnsi="Courier New" w:cs="Courier New"/>
        </w:rPr>
        <w:t>testified that t</w:t>
      </w:r>
      <w:r w:rsidR="00714B70">
        <w:rPr>
          <w:rFonts w:ascii="Courier New" w:hAnsi="Courier New" w:cs="Courier New"/>
        </w:rPr>
        <w:t>he appellant’s academic office was in continual operation</w:t>
      </w:r>
      <w:r>
        <w:rPr>
          <w:rFonts w:ascii="Courier New" w:hAnsi="Courier New" w:cs="Courier New"/>
        </w:rPr>
        <w:t xml:space="preserve"> to assist current students by providing housing, distributing transcripts</w:t>
      </w:r>
      <w:r w:rsidR="00282EEC">
        <w:rPr>
          <w:rFonts w:ascii="Courier New" w:hAnsi="Courier New" w:cs="Courier New"/>
        </w:rPr>
        <w:t>,</w:t>
      </w:r>
      <w:r>
        <w:rPr>
          <w:rFonts w:ascii="Courier New" w:hAnsi="Courier New" w:cs="Courier New"/>
        </w:rPr>
        <w:t xml:space="preserve"> and providing other business functions.  The appellant also continued to maintain the entire campus by paying all taxes, utilities</w:t>
      </w:r>
      <w:r w:rsidR="0019043F">
        <w:rPr>
          <w:rFonts w:ascii="Courier New" w:hAnsi="Courier New" w:cs="Courier New"/>
        </w:rPr>
        <w:t>,</w:t>
      </w:r>
      <w:r>
        <w:rPr>
          <w:rFonts w:ascii="Courier New" w:hAnsi="Courier New" w:cs="Courier New"/>
        </w:rPr>
        <w:t xml:space="preserve"> and insurance fees</w:t>
      </w:r>
      <w:r w:rsidR="0019043F">
        <w:rPr>
          <w:rFonts w:ascii="Courier New" w:hAnsi="Courier New" w:cs="Courier New"/>
        </w:rPr>
        <w:t>,</w:t>
      </w:r>
      <w:r w:rsidR="00D3463F">
        <w:rPr>
          <w:rFonts w:ascii="Courier New" w:hAnsi="Courier New" w:cs="Courier New"/>
        </w:rPr>
        <w:t xml:space="preserve"> and providing landscaping, maintenance</w:t>
      </w:r>
      <w:r w:rsidR="0019043F">
        <w:rPr>
          <w:rFonts w:ascii="Courier New" w:hAnsi="Courier New" w:cs="Courier New"/>
        </w:rPr>
        <w:t>,</w:t>
      </w:r>
      <w:r w:rsidR="00D3463F">
        <w:rPr>
          <w:rFonts w:ascii="Courier New" w:hAnsi="Courier New" w:cs="Courier New"/>
        </w:rPr>
        <w:t xml:space="preserve"> and repairs to the subject property</w:t>
      </w:r>
      <w:r w:rsidR="00D3463F" w:rsidRPr="005C190C">
        <w:rPr>
          <w:rFonts w:ascii="Courier New" w:hAnsi="Courier New" w:cs="Courier New"/>
        </w:rPr>
        <w:t>.</w:t>
      </w:r>
      <w:r w:rsidR="00D3463F">
        <w:rPr>
          <w:rFonts w:ascii="Courier New" w:hAnsi="Courier New" w:cs="Courier New"/>
        </w:rPr>
        <w:t xml:space="preserve"> </w:t>
      </w:r>
      <w:r w:rsidR="00772867">
        <w:rPr>
          <w:rFonts w:ascii="Courier New" w:hAnsi="Courier New" w:cs="Courier New"/>
        </w:rPr>
        <w:t xml:space="preserve"> </w:t>
      </w:r>
      <w:r w:rsidR="004B735D">
        <w:rPr>
          <w:rFonts w:ascii="Courier New" w:hAnsi="Courier New" w:cs="Courier New"/>
        </w:rPr>
        <w:t xml:space="preserve">Dr. </w:t>
      </w:r>
      <w:r w:rsidR="005C190C" w:rsidRPr="00721FD7">
        <w:rPr>
          <w:rFonts w:ascii="Courier New" w:hAnsi="Courier New" w:cs="Courier New"/>
        </w:rPr>
        <w:t>Hendrickson</w:t>
      </w:r>
      <w:r w:rsidR="00D56485">
        <w:rPr>
          <w:rFonts w:ascii="Courier New" w:hAnsi="Courier New" w:cs="Courier New"/>
        </w:rPr>
        <w:t xml:space="preserve"> testified</w:t>
      </w:r>
      <w:r w:rsidR="00231314">
        <w:rPr>
          <w:rFonts w:ascii="Courier New" w:hAnsi="Courier New" w:cs="Courier New"/>
        </w:rPr>
        <w:t xml:space="preserve"> that when </w:t>
      </w:r>
      <w:r w:rsidR="004773FD">
        <w:rPr>
          <w:rFonts w:ascii="Courier New" w:hAnsi="Courier New" w:cs="Courier New"/>
        </w:rPr>
        <w:t>s</w:t>
      </w:r>
      <w:r w:rsidR="00231314">
        <w:rPr>
          <w:rFonts w:ascii="Courier New" w:hAnsi="Courier New" w:cs="Courier New"/>
        </w:rPr>
        <w:t>he began h</w:t>
      </w:r>
      <w:r w:rsidR="004773FD">
        <w:rPr>
          <w:rFonts w:ascii="Courier New" w:hAnsi="Courier New" w:cs="Courier New"/>
        </w:rPr>
        <w:t>er</w:t>
      </w:r>
      <w:r w:rsidR="005C190C">
        <w:rPr>
          <w:rFonts w:ascii="Courier New" w:hAnsi="Courier New" w:cs="Courier New"/>
        </w:rPr>
        <w:t xml:space="preserve"> employment with </w:t>
      </w:r>
      <w:r w:rsidR="00282EEC">
        <w:rPr>
          <w:rFonts w:ascii="Courier New" w:hAnsi="Courier New" w:cs="Courier New"/>
        </w:rPr>
        <w:t>the appellant, on January 1,</w:t>
      </w:r>
      <w:r w:rsidR="005C190C">
        <w:rPr>
          <w:rFonts w:ascii="Courier New" w:hAnsi="Courier New" w:cs="Courier New"/>
        </w:rPr>
        <w:t xml:space="preserve"> 2015,</w:t>
      </w:r>
      <w:r w:rsidR="00D56485">
        <w:rPr>
          <w:rFonts w:ascii="Courier New" w:hAnsi="Courier New" w:cs="Courier New"/>
        </w:rPr>
        <w:t xml:space="preserve"> that </w:t>
      </w:r>
      <w:r w:rsidR="00C16903">
        <w:rPr>
          <w:rFonts w:ascii="Courier New" w:hAnsi="Courier New" w:cs="Courier New"/>
        </w:rPr>
        <w:t xml:space="preserve">the </w:t>
      </w:r>
      <w:r w:rsidR="00592D38">
        <w:rPr>
          <w:rFonts w:ascii="Courier New" w:hAnsi="Courier New" w:cs="Courier New"/>
        </w:rPr>
        <w:t>subject property was</w:t>
      </w:r>
      <w:r w:rsidR="004F3236">
        <w:rPr>
          <w:rFonts w:ascii="Courier New" w:hAnsi="Courier New" w:cs="Courier New"/>
        </w:rPr>
        <w:t xml:space="preserve"> being</w:t>
      </w:r>
      <w:r w:rsidR="00592D38">
        <w:rPr>
          <w:rFonts w:ascii="Courier New" w:hAnsi="Courier New" w:cs="Courier New"/>
        </w:rPr>
        <w:t xml:space="preserve"> </w:t>
      </w:r>
      <w:r w:rsidR="00787555">
        <w:rPr>
          <w:rFonts w:ascii="Courier New" w:hAnsi="Courier New" w:cs="Courier New"/>
        </w:rPr>
        <w:t>continuously occupied by the appellant</w:t>
      </w:r>
      <w:r w:rsidR="004F3236">
        <w:rPr>
          <w:rFonts w:ascii="Courier New" w:hAnsi="Courier New" w:cs="Courier New"/>
        </w:rPr>
        <w:t>, despite the suspension of granting degrees</w:t>
      </w:r>
      <w:r w:rsidR="00772867">
        <w:rPr>
          <w:rFonts w:ascii="Courier New" w:hAnsi="Courier New" w:cs="Courier New"/>
        </w:rPr>
        <w:t>.  S</w:t>
      </w:r>
      <w:r w:rsidR="00787555">
        <w:rPr>
          <w:rFonts w:ascii="Courier New" w:hAnsi="Courier New" w:cs="Courier New"/>
        </w:rPr>
        <w:t xml:space="preserve">he </w:t>
      </w:r>
      <w:r w:rsidR="00772867">
        <w:rPr>
          <w:rFonts w:ascii="Courier New" w:hAnsi="Courier New" w:cs="Courier New"/>
        </w:rPr>
        <w:t xml:space="preserve">further </w:t>
      </w:r>
      <w:r w:rsidR="00787555">
        <w:rPr>
          <w:rFonts w:ascii="Courier New" w:hAnsi="Courier New" w:cs="Courier New"/>
        </w:rPr>
        <w:t xml:space="preserve">testified that the suspension of admitting new students was </w:t>
      </w:r>
      <w:r w:rsidR="00787555">
        <w:rPr>
          <w:rFonts w:ascii="Courier New" w:hAnsi="Courier New" w:cs="Courier New"/>
        </w:rPr>
        <w:lastRenderedPageBreak/>
        <w:t>temporary, and that the appellant never intended to cease its operations at the subject property during the relevant time period</w:t>
      </w:r>
      <w:r w:rsidR="00282EEC">
        <w:rPr>
          <w:rFonts w:ascii="Courier New" w:hAnsi="Courier New" w:cs="Courier New"/>
        </w:rPr>
        <w:t>s</w:t>
      </w:r>
      <w:r w:rsidR="00787555">
        <w:rPr>
          <w:rFonts w:ascii="Courier New" w:hAnsi="Courier New" w:cs="Courier New"/>
        </w:rPr>
        <w:t>.</w:t>
      </w:r>
      <w:r w:rsidR="00E845EE">
        <w:rPr>
          <w:rFonts w:ascii="Courier New" w:hAnsi="Courier New" w:cs="Courier New"/>
        </w:rPr>
        <w:t xml:space="preserve">  The appellant began admitting new students again in August of 2015.</w:t>
      </w:r>
      <w:r w:rsidR="00787555">
        <w:rPr>
          <w:rFonts w:ascii="Courier New" w:hAnsi="Courier New" w:cs="Courier New"/>
        </w:rPr>
        <w:t xml:space="preserve"> </w:t>
      </w:r>
    </w:p>
    <w:p w14:paraId="564B42D5" w14:textId="45BB31F0" w:rsidR="00172913" w:rsidRDefault="00A235EA" w:rsidP="00522DB9">
      <w:pPr>
        <w:spacing w:line="480" w:lineRule="auto"/>
        <w:ind w:firstLine="720"/>
        <w:jc w:val="both"/>
        <w:rPr>
          <w:rFonts w:ascii="Courier New" w:hAnsi="Courier New" w:cs="Courier New"/>
        </w:rPr>
      </w:pPr>
      <w:r>
        <w:rPr>
          <w:rFonts w:ascii="Courier New" w:hAnsi="Courier New" w:cs="Courier New"/>
        </w:rPr>
        <w:t xml:space="preserve">  </w:t>
      </w:r>
      <w:r w:rsidR="00282EEC">
        <w:rPr>
          <w:rFonts w:ascii="Courier New" w:hAnsi="Courier New" w:cs="Courier New"/>
        </w:rPr>
        <w:t>Mr. Montague, Security Director of</w:t>
      </w:r>
      <w:r w:rsidR="00D3463F">
        <w:rPr>
          <w:rFonts w:ascii="Courier New" w:hAnsi="Courier New" w:cs="Courier New"/>
        </w:rPr>
        <w:t xml:space="preserve"> the appellant, corroborated </w:t>
      </w:r>
      <w:r w:rsidR="005E12AB">
        <w:rPr>
          <w:rFonts w:ascii="Courier New" w:hAnsi="Courier New" w:cs="Courier New"/>
        </w:rPr>
        <w:t xml:space="preserve">the testimony of Dr. Simmons and Dr. Hendrickson </w:t>
      </w:r>
      <w:r w:rsidR="00D3463F">
        <w:rPr>
          <w:rFonts w:ascii="Courier New" w:hAnsi="Courier New" w:cs="Courier New"/>
        </w:rPr>
        <w:t>that the college continued to maintain the campus</w:t>
      </w:r>
      <w:r w:rsidR="00362AA1">
        <w:rPr>
          <w:rFonts w:ascii="Courier New" w:hAnsi="Courier New" w:cs="Courier New"/>
        </w:rPr>
        <w:t>,</w:t>
      </w:r>
      <w:r w:rsidR="00D3463F">
        <w:rPr>
          <w:rFonts w:ascii="Courier New" w:hAnsi="Courier New" w:cs="Courier New"/>
        </w:rPr>
        <w:t xml:space="preserve"> and </w:t>
      </w:r>
      <w:r w:rsidR="00362AA1">
        <w:rPr>
          <w:rFonts w:ascii="Courier New" w:hAnsi="Courier New" w:cs="Courier New"/>
        </w:rPr>
        <w:t xml:space="preserve">he </w:t>
      </w:r>
      <w:r w:rsidR="00D3463F">
        <w:rPr>
          <w:rFonts w:ascii="Courier New" w:hAnsi="Courier New" w:cs="Courier New"/>
        </w:rPr>
        <w:t xml:space="preserve">further testified that the appellant continued to </w:t>
      </w:r>
      <w:r w:rsidR="00B01317">
        <w:rPr>
          <w:rFonts w:ascii="Courier New" w:hAnsi="Courier New" w:cs="Courier New"/>
        </w:rPr>
        <w:t xml:space="preserve">patrol and </w:t>
      </w:r>
      <w:r w:rsidR="00D3463F">
        <w:rPr>
          <w:rFonts w:ascii="Courier New" w:hAnsi="Courier New" w:cs="Courier New"/>
        </w:rPr>
        <w:t xml:space="preserve">provide security to all major parts of the campus during the relevant time periods.  </w:t>
      </w:r>
      <w:r w:rsidR="00362AA1">
        <w:rPr>
          <w:rFonts w:ascii="Courier New" w:hAnsi="Courier New" w:cs="Courier New"/>
        </w:rPr>
        <w:t>He also</w:t>
      </w:r>
      <w:r w:rsidR="00B01317">
        <w:rPr>
          <w:rFonts w:ascii="Courier New" w:hAnsi="Courier New" w:cs="Courier New"/>
        </w:rPr>
        <w:t xml:space="preserve"> testified that employees of the appellant continued to live on campus during the relevant time period</w:t>
      </w:r>
      <w:r w:rsidR="00282EEC">
        <w:rPr>
          <w:rFonts w:ascii="Courier New" w:hAnsi="Courier New" w:cs="Courier New"/>
        </w:rPr>
        <w:t>s</w:t>
      </w:r>
      <w:r w:rsidR="00B01317">
        <w:rPr>
          <w:rFonts w:ascii="Courier New" w:hAnsi="Courier New" w:cs="Courier New"/>
        </w:rPr>
        <w:t xml:space="preserve">, including the groundskeeper </w:t>
      </w:r>
      <w:r w:rsidR="0018121F">
        <w:rPr>
          <w:rFonts w:ascii="Courier New" w:hAnsi="Courier New" w:cs="Courier New"/>
        </w:rPr>
        <w:t xml:space="preserve">and the chief financial officer </w:t>
      </w:r>
      <w:r w:rsidR="00B01317">
        <w:rPr>
          <w:rFonts w:ascii="Courier New" w:hAnsi="Courier New" w:cs="Courier New"/>
        </w:rPr>
        <w:t xml:space="preserve">of the college, and that some students </w:t>
      </w:r>
      <w:r w:rsidR="00537395">
        <w:rPr>
          <w:rFonts w:ascii="Courier New" w:hAnsi="Courier New" w:cs="Courier New"/>
        </w:rPr>
        <w:t xml:space="preserve">also </w:t>
      </w:r>
      <w:r w:rsidR="00B01317">
        <w:rPr>
          <w:rFonts w:ascii="Courier New" w:hAnsi="Courier New" w:cs="Courier New"/>
        </w:rPr>
        <w:t>continued to live on campus even during</w:t>
      </w:r>
      <w:r w:rsidR="005E12AB">
        <w:rPr>
          <w:rFonts w:ascii="Courier New" w:hAnsi="Courier New" w:cs="Courier New"/>
        </w:rPr>
        <w:t xml:space="preserve"> the suspension of degree-granting authority</w:t>
      </w:r>
      <w:r w:rsidR="00B01317">
        <w:rPr>
          <w:rFonts w:ascii="Courier New" w:hAnsi="Courier New" w:cs="Courier New"/>
        </w:rPr>
        <w:t xml:space="preserve">.  Even with respect to the parts of campus where students were not residing during the suspension, the college continued to </w:t>
      </w:r>
      <w:r w:rsidR="00537395">
        <w:rPr>
          <w:rFonts w:ascii="Courier New" w:hAnsi="Courier New" w:cs="Courier New"/>
        </w:rPr>
        <w:t xml:space="preserve">secure the buildings and to </w:t>
      </w:r>
      <w:r w:rsidR="00B01317">
        <w:rPr>
          <w:rFonts w:ascii="Courier New" w:hAnsi="Courier New" w:cs="Courier New"/>
        </w:rPr>
        <w:t xml:space="preserve">provide heating and electrical service </w:t>
      </w:r>
      <w:r w:rsidR="00CD55A3">
        <w:rPr>
          <w:rFonts w:ascii="Courier New" w:hAnsi="Courier New" w:cs="Courier New"/>
        </w:rPr>
        <w:t>to the campus</w:t>
      </w:r>
      <w:r w:rsidR="00B01317">
        <w:rPr>
          <w:rFonts w:ascii="Courier New" w:hAnsi="Courier New" w:cs="Courier New"/>
        </w:rPr>
        <w:t xml:space="preserve"> as well as </w:t>
      </w:r>
      <w:r w:rsidR="006316A9">
        <w:rPr>
          <w:rFonts w:ascii="Courier New" w:hAnsi="Courier New" w:cs="Courier New"/>
        </w:rPr>
        <w:t>landscaping and snow removal</w:t>
      </w:r>
      <w:r w:rsidR="00651DFC">
        <w:rPr>
          <w:rFonts w:ascii="Courier New" w:hAnsi="Courier New" w:cs="Courier New"/>
        </w:rPr>
        <w:t xml:space="preserve"> and tending to issues with the </w:t>
      </w:r>
      <w:r w:rsidR="00282EEC">
        <w:rPr>
          <w:rFonts w:ascii="Courier New" w:hAnsi="Courier New" w:cs="Courier New"/>
        </w:rPr>
        <w:t xml:space="preserve">subject </w:t>
      </w:r>
      <w:r w:rsidR="00651DFC">
        <w:rPr>
          <w:rFonts w:ascii="Courier New" w:hAnsi="Courier New" w:cs="Courier New"/>
        </w:rPr>
        <w:t>property as they occurred</w:t>
      </w:r>
      <w:r w:rsidR="006316A9">
        <w:rPr>
          <w:rFonts w:ascii="Courier New" w:hAnsi="Courier New" w:cs="Courier New"/>
        </w:rPr>
        <w:t>.</w:t>
      </w:r>
      <w:r w:rsidR="00282EEC">
        <w:rPr>
          <w:rFonts w:ascii="Courier New" w:hAnsi="Courier New" w:cs="Courier New"/>
        </w:rPr>
        <w:t xml:space="preserve">  Mr. Aho, the Physical Plant Manager of</w:t>
      </w:r>
      <w:r w:rsidR="00CE2ABF">
        <w:rPr>
          <w:rFonts w:ascii="Courier New" w:hAnsi="Courier New" w:cs="Courier New"/>
        </w:rPr>
        <w:t xml:space="preserve"> the appellant, also corroborated the testimony regarding the upkeep</w:t>
      </w:r>
      <w:r w:rsidR="00CD55A3">
        <w:rPr>
          <w:rFonts w:ascii="Courier New" w:hAnsi="Courier New" w:cs="Courier New"/>
        </w:rPr>
        <w:t xml:space="preserve"> and repairs</w:t>
      </w:r>
      <w:r w:rsidR="00CE2ABF">
        <w:rPr>
          <w:rFonts w:ascii="Courier New" w:hAnsi="Courier New" w:cs="Courier New"/>
        </w:rPr>
        <w:t xml:space="preserve"> </w:t>
      </w:r>
      <w:r w:rsidR="00CD55A3">
        <w:rPr>
          <w:rFonts w:ascii="Courier New" w:hAnsi="Courier New" w:cs="Courier New"/>
        </w:rPr>
        <w:t>made to</w:t>
      </w:r>
      <w:r w:rsidR="00CE2ABF">
        <w:rPr>
          <w:rFonts w:ascii="Courier New" w:hAnsi="Courier New" w:cs="Courier New"/>
        </w:rPr>
        <w:t xml:space="preserve"> the subject property at all relevant time</w:t>
      </w:r>
      <w:r w:rsidR="00282EEC">
        <w:rPr>
          <w:rFonts w:ascii="Courier New" w:hAnsi="Courier New" w:cs="Courier New"/>
        </w:rPr>
        <w:t xml:space="preserve"> periods</w:t>
      </w:r>
      <w:r w:rsidR="0011404A">
        <w:rPr>
          <w:rFonts w:ascii="Courier New" w:hAnsi="Courier New" w:cs="Courier New"/>
        </w:rPr>
        <w:t>,</w:t>
      </w:r>
      <w:r w:rsidR="00CE2ABF">
        <w:rPr>
          <w:rFonts w:ascii="Courier New" w:hAnsi="Courier New" w:cs="Courier New"/>
        </w:rPr>
        <w:t xml:space="preserve"> and</w:t>
      </w:r>
      <w:r w:rsidR="0011404A">
        <w:rPr>
          <w:rFonts w:ascii="Courier New" w:hAnsi="Courier New" w:cs="Courier New"/>
        </w:rPr>
        <w:t xml:space="preserve"> he</w:t>
      </w:r>
      <w:r w:rsidR="00CE2ABF">
        <w:rPr>
          <w:rFonts w:ascii="Courier New" w:hAnsi="Courier New" w:cs="Courier New"/>
        </w:rPr>
        <w:t xml:space="preserve"> further testified to the proactive steps that he and the maintenance department took t</w:t>
      </w:r>
      <w:r w:rsidR="00A0379C">
        <w:rPr>
          <w:rFonts w:ascii="Courier New" w:hAnsi="Courier New" w:cs="Courier New"/>
        </w:rPr>
        <w:t xml:space="preserve">o respond to </w:t>
      </w:r>
      <w:r w:rsidR="00CD55A3">
        <w:rPr>
          <w:rFonts w:ascii="Courier New" w:hAnsi="Courier New" w:cs="Courier New"/>
        </w:rPr>
        <w:t xml:space="preserve">specific </w:t>
      </w:r>
      <w:r w:rsidR="00A0379C">
        <w:rPr>
          <w:rFonts w:ascii="Courier New" w:hAnsi="Courier New" w:cs="Courier New"/>
        </w:rPr>
        <w:t>issues</w:t>
      </w:r>
      <w:r w:rsidR="00CD55A3">
        <w:rPr>
          <w:rFonts w:ascii="Courier New" w:hAnsi="Courier New" w:cs="Courier New"/>
        </w:rPr>
        <w:t>,</w:t>
      </w:r>
      <w:r w:rsidR="00A0379C">
        <w:rPr>
          <w:rFonts w:ascii="Courier New" w:hAnsi="Courier New" w:cs="Courier New"/>
        </w:rPr>
        <w:t xml:space="preserve"> </w:t>
      </w:r>
      <w:r w:rsidR="00A0379C">
        <w:rPr>
          <w:rFonts w:ascii="Courier New" w:hAnsi="Courier New" w:cs="Courier New"/>
        </w:rPr>
        <w:lastRenderedPageBreak/>
        <w:t xml:space="preserve">including </w:t>
      </w:r>
      <w:r w:rsidR="00CE2ABF">
        <w:rPr>
          <w:rFonts w:ascii="Courier New" w:hAnsi="Courier New" w:cs="Courier New"/>
        </w:rPr>
        <w:t xml:space="preserve">suspected mold </w:t>
      </w:r>
      <w:r w:rsidR="00A0379C">
        <w:rPr>
          <w:rFonts w:ascii="Courier New" w:hAnsi="Courier New" w:cs="Courier New"/>
        </w:rPr>
        <w:t xml:space="preserve">in the basement area of one of the buildings </w:t>
      </w:r>
      <w:r w:rsidR="0019043F">
        <w:rPr>
          <w:rFonts w:ascii="Courier New" w:hAnsi="Courier New" w:cs="Courier New"/>
        </w:rPr>
        <w:t>located on the subject property</w:t>
      </w:r>
      <w:r w:rsidR="00A0379C">
        <w:rPr>
          <w:rFonts w:ascii="Courier New" w:hAnsi="Courier New" w:cs="Courier New"/>
        </w:rPr>
        <w:t xml:space="preserve">. </w:t>
      </w:r>
      <w:r w:rsidR="00C651B7">
        <w:rPr>
          <w:rFonts w:ascii="Courier New" w:hAnsi="Courier New" w:cs="Courier New"/>
        </w:rPr>
        <w:t xml:space="preserve">Finally, </w:t>
      </w:r>
      <w:r w:rsidR="00282EEC">
        <w:rPr>
          <w:rFonts w:ascii="Courier New" w:hAnsi="Courier New" w:cs="Courier New"/>
        </w:rPr>
        <w:t>Mr.</w:t>
      </w:r>
      <w:r w:rsidR="00806B9F">
        <w:rPr>
          <w:rFonts w:ascii="Courier New" w:hAnsi="Courier New" w:cs="Courier New"/>
        </w:rPr>
        <w:t> </w:t>
      </w:r>
      <w:r w:rsidR="00282EEC">
        <w:rPr>
          <w:rFonts w:ascii="Courier New" w:hAnsi="Courier New" w:cs="Courier New"/>
        </w:rPr>
        <w:t>McKinney, the Chief Financial Officer and Vice President of Finance of</w:t>
      </w:r>
      <w:r w:rsidR="00F8580E">
        <w:rPr>
          <w:rFonts w:ascii="Courier New" w:hAnsi="Courier New" w:cs="Courier New"/>
        </w:rPr>
        <w:t xml:space="preserve"> the appellant, </w:t>
      </w:r>
      <w:r w:rsidR="0011404A">
        <w:rPr>
          <w:rFonts w:ascii="Courier New" w:hAnsi="Courier New" w:cs="Courier New"/>
        </w:rPr>
        <w:t>also testified that the appellant continued to maintain and secure</w:t>
      </w:r>
      <w:r w:rsidR="00C95D41">
        <w:rPr>
          <w:rFonts w:ascii="Courier New" w:hAnsi="Courier New" w:cs="Courier New"/>
        </w:rPr>
        <w:t xml:space="preserve"> the subject property</w:t>
      </w:r>
      <w:r w:rsidR="0011404A">
        <w:rPr>
          <w:rFonts w:ascii="Courier New" w:hAnsi="Courier New" w:cs="Courier New"/>
        </w:rPr>
        <w:t xml:space="preserve"> during the relevant time period</w:t>
      </w:r>
      <w:r w:rsidR="00282EEC">
        <w:rPr>
          <w:rFonts w:ascii="Courier New" w:hAnsi="Courier New" w:cs="Courier New"/>
        </w:rPr>
        <w:t>s</w:t>
      </w:r>
      <w:r w:rsidR="00C95D41">
        <w:rPr>
          <w:rFonts w:ascii="Courier New" w:hAnsi="Courier New" w:cs="Courier New"/>
        </w:rPr>
        <w:t>.</w:t>
      </w:r>
      <w:r w:rsidR="00F8580E">
        <w:rPr>
          <w:rFonts w:ascii="Courier New" w:hAnsi="Courier New" w:cs="Courier New"/>
        </w:rPr>
        <w:t xml:space="preserve"> </w:t>
      </w:r>
      <w:r w:rsidR="00A0379C">
        <w:rPr>
          <w:rFonts w:ascii="Courier New" w:hAnsi="Courier New" w:cs="Courier New"/>
        </w:rPr>
        <w:t xml:space="preserve">  </w:t>
      </w:r>
    </w:p>
    <w:p w14:paraId="79E3EAE9" w14:textId="3E664DAE" w:rsidR="00B16020" w:rsidRDefault="00D802DD" w:rsidP="00522DB9">
      <w:pPr>
        <w:spacing w:line="480" w:lineRule="auto"/>
        <w:ind w:firstLine="720"/>
        <w:jc w:val="both"/>
        <w:rPr>
          <w:rFonts w:ascii="Courier New" w:hAnsi="Courier New" w:cs="Courier New"/>
        </w:rPr>
      </w:pPr>
      <w:r>
        <w:rPr>
          <w:rFonts w:ascii="Courier New" w:hAnsi="Courier New" w:cs="Courier New"/>
        </w:rPr>
        <w:t xml:space="preserve">The appellee presented as a witness Debra Sanders, the </w:t>
      </w:r>
      <w:r w:rsidR="00E952FA">
        <w:rPr>
          <w:rFonts w:ascii="Courier New" w:hAnsi="Courier New" w:cs="Courier New"/>
        </w:rPr>
        <w:t>principal assessor for the appellee.</w:t>
      </w:r>
      <w:r w:rsidR="00F43CF3">
        <w:rPr>
          <w:rFonts w:ascii="Courier New" w:hAnsi="Courier New" w:cs="Courier New"/>
        </w:rPr>
        <w:t xml:space="preserve">  She testified to the rationale behind assessing the subject property</w:t>
      </w:r>
      <w:r w:rsidR="00241D66">
        <w:rPr>
          <w:rFonts w:ascii="Courier New" w:hAnsi="Courier New" w:cs="Courier New"/>
        </w:rPr>
        <w:t xml:space="preserve">, explaining that by the start of fiscal year 2013, the appellant still had not regained accreditation, and the board </w:t>
      </w:r>
      <w:r w:rsidR="0019043F">
        <w:rPr>
          <w:rFonts w:ascii="Courier New" w:hAnsi="Courier New" w:cs="Courier New"/>
        </w:rPr>
        <w:t xml:space="preserve">of assessors </w:t>
      </w:r>
      <w:r w:rsidR="00241D66">
        <w:rPr>
          <w:rFonts w:ascii="Courier New" w:hAnsi="Courier New" w:cs="Courier New"/>
        </w:rPr>
        <w:t>“wanting to be as fair as possible” reviewed the exemption as follows</w:t>
      </w:r>
      <w:r w:rsidR="00B16020">
        <w:rPr>
          <w:rFonts w:ascii="Courier New" w:hAnsi="Courier New" w:cs="Courier New"/>
        </w:rPr>
        <w:t xml:space="preserve">: </w:t>
      </w:r>
    </w:p>
    <w:p w14:paraId="509E3989" w14:textId="547CB3B5" w:rsidR="00B16020" w:rsidRDefault="00B16020" w:rsidP="00B16020">
      <w:pPr>
        <w:ind w:left="720" w:right="720"/>
        <w:jc w:val="both"/>
        <w:rPr>
          <w:rFonts w:ascii="Courier New" w:hAnsi="Courier New" w:cs="Courier New"/>
        </w:rPr>
      </w:pPr>
      <w:r>
        <w:rPr>
          <w:rFonts w:ascii="Courier New" w:hAnsi="Courier New" w:cs="Courier New"/>
        </w:rPr>
        <w:t>So the board looked at it in two ways.  They looked at the educational buildings, and then they looked at the residential buildings.  They felt that the educational buildings should be exempt, but as far as the residential buildings, they felt that beca</w:t>
      </w:r>
      <w:r w:rsidR="00EB76F2">
        <w:rPr>
          <w:rFonts w:ascii="Courier New" w:hAnsi="Courier New" w:cs="Courier New"/>
        </w:rPr>
        <w:t>use there was no</w:t>
      </w:r>
      <w:r>
        <w:rPr>
          <w:rFonts w:ascii="Courier New" w:hAnsi="Courier New" w:cs="Courier New"/>
        </w:rPr>
        <w:t xml:space="preserve"> students in those buildings that they needed to be taxed.</w:t>
      </w:r>
    </w:p>
    <w:p w14:paraId="77F5A6A1" w14:textId="77777777" w:rsidR="00B16020" w:rsidRDefault="00B16020" w:rsidP="0019043F">
      <w:pPr>
        <w:jc w:val="both"/>
        <w:rPr>
          <w:rFonts w:ascii="Courier New" w:hAnsi="Courier New" w:cs="Courier New"/>
        </w:rPr>
      </w:pPr>
    </w:p>
    <w:p w14:paraId="27A63391" w14:textId="1E99444E" w:rsidR="0059570B" w:rsidRDefault="0059570B" w:rsidP="00522DB9">
      <w:pPr>
        <w:spacing w:line="480" w:lineRule="auto"/>
        <w:ind w:firstLine="720"/>
        <w:jc w:val="both"/>
        <w:rPr>
          <w:rFonts w:ascii="Courier New" w:hAnsi="Courier New" w:cs="Courier New"/>
        </w:rPr>
      </w:pPr>
      <w:r>
        <w:rPr>
          <w:rFonts w:ascii="Courier New" w:hAnsi="Courier New" w:cs="Courier New"/>
        </w:rPr>
        <w:t>On the basis of the evidence of record, the Board found that the</w:t>
      </w:r>
      <w:r w:rsidR="00DD2A10">
        <w:rPr>
          <w:rFonts w:ascii="Courier New" w:hAnsi="Courier New" w:cs="Courier New"/>
        </w:rPr>
        <w:t xml:space="preserve"> appellant continued to operate in furtherance of its charitable purpose</w:t>
      </w:r>
      <w:r>
        <w:rPr>
          <w:rFonts w:ascii="Courier New" w:hAnsi="Courier New" w:cs="Courier New"/>
        </w:rPr>
        <w:t xml:space="preserve"> during the relevant time period</w:t>
      </w:r>
      <w:r w:rsidR="00282EEC">
        <w:rPr>
          <w:rFonts w:ascii="Courier New" w:hAnsi="Courier New" w:cs="Courier New"/>
        </w:rPr>
        <w:t>s</w:t>
      </w:r>
      <w:r>
        <w:rPr>
          <w:rFonts w:ascii="Courier New" w:hAnsi="Courier New" w:cs="Courier New"/>
        </w:rPr>
        <w:t>, despite the suspension of its ability to confer academic degrees.  The TPAC, NETS</w:t>
      </w:r>
      <w:r w:rsidR="00282EEC">
        <w:rPr>
          <w:rFonts w:ascii="Courier New" w:hAnsi="Courier New" w:cs="Courier New"/>
        </w:rPr>
        <w:t>,</w:t>
      </w:r>
      <w:r>
        <w:rPr>
          <w:rFonts w:ascii="Courier New" w:hAnsi="Courier New" w:cs="Courier New"/>
        </w:rPr>
        <w:t xml:space="preserve"> and Adult Education programs continued to operate on campus, as the appellant continued to provide housing to those students participating in the Teach Out Program in conjunction with neighboring Wachusett Community College.  Moreover, the </w:t>
      </w:r>
      <w:r>
        <w:rPr>
          <w:rFonts w:ascii="Courier New" w:hAnsi="Courier New" w:cs="Courier New"/>
        </w:rPr>
        <w:lastRenderedPageBreak/>
        <w:t xml:space="preserve">appellant’s academic offices remained open to assist students with finding housing and other academic support during the suspension period.  Furthermore, the appellant regarded its loss of accreditation as a temporary phase.  The appellant continually strove to reopen and took active steps towards that goal, including communications with MDOE and NEASC as well as monthly </w:t>
      </w:r>
      <w:r w:rsidR="00282EEC">
        <w:rPr>
          <w:rFonts w:ascii="Courier New" w:hAnsi="Courier New" w:cs="Courier New"/>
        </w:rPr>
        <w:t xml:space="preserve">Board of </w:t>
      </w:r>
      <w:r>
        <w:rPr>
          <w:rFonts w:ascii="Courier New" w:hAnsi="Courier New" w:cs="Courier New"/>
        </w:rPr>
        <w:t>Trustee</w:t>
      </w:r>
      <w:r w:rsidR="0019043F">
        <w:rPr>
          <w:rFonts w:ascii="Courier New" w:hAnsi="Courier New" w:cs="Courier New"/>
        </w:rPr>
        <w:t>s</w:t>
      </w:r>
      <w:r>
        <w:rPr>
          <w:rFonts w:ascii="Courier New" w:hAnsi="Courier New" w:cs="Courier New"/>
        </w:rPr>
        <w:t xml:space="preserve"> meetings.  </w:t>
      </w:r>
      <w:r w:rsidR="0018587C">
        <w:rPr>
          <w:rFonts w:ascii="Courier New" w:hAnsi="Courier New" w:cs="Courier New"/>
        </w:rPr>
        <w:t xml:space="preserve">These active steps included maintenance of the </w:t>
      </w:r>
      <w:r w:rsidR="0019043F">
        <w:rPr>
          <w:rFonts w:ascii="Courier New" w:hAnsi="Courier New" w:cs="Courier New"/>
        </w:rPr>
        <w:t>subject property</w:t>
      </w:r>
      <w:r w:rsidR="0018587C">
        <w:rPr>
          <w:rFonts w:ascii="Courier New" w:hAnsi="Courier New" w:cs="Courier New"/>
        </w:rPr>
        <w:t>; during the relevant time, the appellant</w:t>
      </w:r>
      <w:r w:rsidR="004C25A2">
        <w:rPr>
          <w:rFonts w:ascii="Courier New" w:hAnsi="Courier New" w:cs="Courier New"/>
        </w:rPr>
        <w:t xml:space="preserve"> </w:t>
      </w:r>
      <w:r>
        <w:rPr>
          <w:rFonts w:ascii="Courier New" w:hAnsi="Courier New" w:cs="Courier New"/>
        </w:rPr>
        <w:t>continued to maintain the subject property by providing repairs, security</w:t>
      </w:r>
      <w:r w:rsidR="00DB7763">
        <w:rPr>
          <w:rFonts w:ascii="Courier New" w:hAnsi="Courier New" w:cs="Courier New"/>
        </w:rPr>
        <w:t>,</w:t>
      </w:r>
      <w:r>
        <w:rPr>
          <w:rFonts w:ascii="Courier New" w:hAnsi="Courier New" w:cs="Courier New"/>
        </w:rPr>
        <w:t xml:space="preserve"> and snow removal services</w:t>
      </w:r>
      <w:r w:rsidR="003B0104">
        <w:rPr>
          <w:rFonts w:ascii="Courier New" w:hAnsi="Courier New" w:cs="Courier New"/>
        </w:rPr>
        <w:t>, as well as housing to professors, employees</w:t>
      </w:r>
      <w:r w:rsidR="00282EEC">
        <w:rPr>
          <w:rFonts w:ascii="Courier New" w:hAnsi="Courier New" w:cs="Courier New"/>
        </w:rPr>
        <w:t>,</w:t>
      </w:r>
      <w:r w:rsidR="003B0104">
        <w:rPr>
          <w:rFonts w:ascii="Courier New" w:hAnsi="Courier New" w:cs="Courier New"/>
        </w:rPr>
        <w:t xml:space="preserve"> and students</w:t>
      </w:r>
      <w:r>
        <w:rPr>
          <w:rFonts w:ascii="Courier New" w:hAnsi="Courier New" w:cs="Courier New"/>
        </w:rPr>
        <w:t>.</w:t>
      </w:r>
      <w:r w:rsidR="0018587C">
        <w:rPr>
          <w:rFonts w:ascii="Courier New" w:hAnsi="Courier New" w:cs="Courier New"/>
        </w:rPr>
        <w:t xml:space="preserve">  The Board found it illogical that the appellee concedes that the academic portions of the campus should continue to be exempt during the accreditation suspension and yet taxed the residential portions</w:t>
      </w:r>
      <w:r w:rsidR="001304BA">
        <w:rPr>
          <w:rFonts w:ascii="Courier New" w:hAnsi="Courier New" w:cs="Courier New"/>
        </w:rPr>
        <w:t xml:space="preserve"> </w:t>
      </w:r>
      <w:r w:rsidR="0019043F">
        <w:rPr>
          <w:rFonts w:ascii="Courier New" w:hAnsi="Courier New" w:cs="Courier New"/>
        </w:rPr>
        <w:t xml:space="preserve">that </w:t>
      </w:r>
      <w:r w:rsidR="001304BA">
        <w:rPr>
          <w:rFonts w:ascii="Courier New" w:hAnsi="Courier New" w:cs="Courier New"/>
        </w:rPr>
        <w:t xml:space="preserve">were no less utilized or maintained during the </w:t>
      </w:r>
      <w:r w:rsidR="0019043F">
        <w:rPr>
          <w:rFonts w:ascii="Courier New" w:hAnsi="Courier New" w:cs="Courier New"/>
        </w:rPr>
        <w:t>relevant time periods</w:t>
      </w:r>
      <w:r w:rsidR="0018587C">
        <w:rPr>
          <w:rFonts w:ascii="Courier New" w:hAnsi="Courier New" w:cs="Courier New"/>
        </w:rPr>
        <w:t>.</w:t>
      </w:r>
    </w:p>
    <w:p w14:paraId="3BADFCAB" w14:textId="77777777" w:rsidR="003B0104" w:rsidRDefault="003B0104" w:rsidP="0018587C">
      <w:pPr>
        <w:spacing w:line="480" w:lineRule="auto"/>
        <w:ind w:firstLine="720"/>
        <w:jc w:val="both"/>
        <w:rPr>
          <w:rFonts w:ascii="Courier New" w:hAnsi="Courier New" w:cs="Courier New"/>
        </w:rPr>
      </w:pPr>
      <w:r>
        <w:rPr>
          <w:rFonts w:ascii="Courier New" w:hAnsi="Courier New" w:cs="Courier New"/>
        </w:rPr>
        <w:t xml:space="preserve">The Board found and ruled that </w:t>
      </w:r>
      <w:r w:rsidR="00DD2A10">
        <w:rPr>
          <w:rFonts w:ascii="Courier New" w:hAnsi="Courier New" w:cs="Courier New"/>
        </w:rPr>
        <w:t xml:space="preserve">the appellant’s occupancy of the subject property was in furtherance </w:t>
      </w:r>
      <w:r>
        <w:rPr>
          <w:rFonts w:ascii="Courier New" w:hAnsi="Courier New" w:cs="Courier New"/>
        </w:rPr>
        <w:t xml:space="preserve">of its </w:t>
      </w:r>
      <w:r w:rsidR="00805C50">
        <w:rPr>
          <w:rFonts w:ascii="Courier New" w:hAnsi="Courier New" w:cs="Courier New"/>
        </w:rPr>
        <w:t>education</w:t>
      </w:r>
      <w:r>
        <w:rPr>
          <w:rFonts w:ascii="Courier New" w:hAnsi="Courier New" w:cs="Courier New"/>
        </w:rPr>
        <w:t>al purpose</w:t>
      </w:r>
      <w:r w:rsidR="00805C50">
        <w:rPr>
          <w:rFonts w:ascii="Courier New" w:hAnsi="Courier New" w:cs="Courier New"/>
        </w:rPr>
        <w:t xml:space="preserve">, which is </w:t>
      </w:r>
      <w:r w:rsidR="00DD2A10">
        <w:rPr>
          <w:rFonts w:ascii="Courier New" w:hAnsi="Courier New" w:cs="Courier New"/>
        </w:rPr>
        <w:t xml:space="preserve">a traditionally charitable purpose. </w:t>
      </w:r>
      <w:r>
        <w:rPr>
          <w:rFonts w:ascii="Courier New" w:hAnsi="Courier New" w:cs="Courier New"/>
        </w:rPr>
        <w:t xml:space="preserve"> </w:t>
      </w:r>
      <w:r w:rsidR="00DD2A10">
        <w:rPr>
          <w:rFonts w:ascii="Courier New" w:hAnsi="Courier New" w:cs="Courier New"/>
        </w:rPr>
        <w:t>Therefore, the Board found and ruled that the subject proper</w:t>
      </w:r>
      <w:r>
        <w:rPr>
          <w:rFonts w:ascii="Courier New" w:hAnsi="Courier New" w:cs="Courier New"/>
        </w:rPr>
        <w:t>ty was entitled to exemption.</w:t>
      </w:r>
      <w:r w:rsidR="00DD2A10">
        <w:rPr>
          <w:rFonts w:ascii="Courier New" w:hAnsi="Courier New" w:cs="Courier New"/>
        </w:rPr>
        <w:t xml:space="preserve"> </w:t>
      </w:r>
      <w:r>
        <w:rPr>
          <w:rFonts w:ascii="Courier New" w:hAnsi="Courier New" w:cs="Courier New"/>
        </w:rPr>
        <w:t xml:space="preserve"> </w:t>
      </w:r>
    </w:p>
    <w:p w14:paraId="204FBACD" w14:textId="5DFA86E7" w:rsidR="00415179" w:rsidRPr="00A10188" w:rsidRDefault="003B0104" w:rsidP="003B0104">
      <w:pPr>
        <w:spacing w:line="480" w:lineRule="auto"/>
        <w:ind w:firstLine="720"/>
        <w:jc w:val="both"/>
        <w:rPr>
          <w:rFonts w:ascii="Courier New" w:hAnsi="Courier New" w:cs="Courier New"/>
        </w:rPr>
      </w:pPr>
      <w:r>
        <w:rPr>
          <w:rFonts w:ascii="Courier New" w:hAnsi="Courier New" w:cs="Courier New"/>
        </w:rPr>
        <w:t>A</w:t>
      </w:r>
      <w:r w:rsidR="00DD2A10">
        <w:rPr>
          <w:rFonts w:ascii="Courier New" w:hAnsi="Courier New" w:cs="Courier New"/>
        </w:rPr>
        <w:t>ccordingly</w:t>
      </w:r>
      <w:r>
        <w:rPr>
          <w:rFonts w:ascii="Courier New" w:hAnsi="Courier New" w:cs="Courier New"/>
        </w:rPr>
        <w:t>, the Board</w:t>
      </w:r>
      <w:r w:rsidR="00DD2A10">
        <w:rPr>
          <w:rFonts w:ascii="Courier New" w:hAnsi="Courier New" w:cs="Courier New"/>
        </w:rPr>
        <w:t xml:space="preserve"> issued decisions abating the taxes at issue. </w:t>
      </w:r>
    </w:p>
    <w:p w14:paraId="2DBE00A6" w14:textId="77777777" w:rsidR="00415179" w:rsidRDefault="00415179" w:rsidP="004249FC">
      <w:pPr>
        <w:spacing w:line="480" w:lineRule="auto"/>
        <w:ind w:firstLine="720"/>
        <w:jc w:val="both"/>
      </w:pPr>
    </w:p>
    <w:p w14:paraId="6D2BA04B" w14:textId="77777777" w:rsidR="00415179" w:rsidRPr="0009120F" w:rsidRDefault="0009120F" w:rsidP="0009120F">
      <w:pPr>
        <w:spacing w:line="480" w:lineRule="auto"/>
        <w:jc w:val="center"/>
        <w:rPr>
          <w:rFonts w:ascii="Courier New" w:hAnsi="Courier New" w:cs="Courier New"/>
          <w:b/>
        </w:rPr>
      </w:pPr>
      <w:r w:rsidRPr="0009120F">
        <w:rPr>
          <w:rFonts w:ascii="Courier New" w:hAnsi="Courier New" w:cs="Courier New"/>
          <w:b/>
        </w:rPr>
        <w:lastRenderedPageBreak/>
        <w:t>OPINION</w:t>
      </w:r>
    </w:p>
    <w:p w14:paraId="278BA1F9" w14:textId="78A709E1" w:rsidR="0052271A" w:rsidRPr="00F45EBC" w:rsidRDefault="00AB1849" w:rsidP="0052271A">
      <w:pPr>
        <w:spacing w:line="480" w:lineRule="auto"/>
        <w:ind w:firstLine="720"/>
        <w:jc w:val="both"/>
        <w:rPr>
          <w:rFonts w:ascii="Courier New" w:hAnsi="Courier New" w:cs="Courier New"/>
        </w:rPr>
      </w:pPr>
      <w:r>
        <w:rPr>
          <w:rFonts w:ascii="Courier New" w:hAnsi="Courier New" w:cs="Courier New"/>
        </w:rPr>
        <w:t>Clause Third</w:t>
      </w:r>
      <w:r w:rsidR="0052271A" w:rsidRPr="00AE6117">
        <w:rPr>
          <w:rFonts w:ascii="Courier New" w:hAnsi="Courier New" w:cs="Courier New"/>
        </w:rPr>
        <w:t xml:space="preserve"> provid</w:t>
      </w:r>
      <w:r w:rsidR="0052271A">
        <w:rPr>
          <w:rFonts w:ascii="Courier New" w:hAnsi="Courier New" w:cs="Courier New"/>
        </w:rPr>
        <w:t>es that real estate owned by a “</w:t>
      </w:r>
      <w:r w:rsidR="0052271A" w:rsidRPr="00AE6117">
        <w:rPr>
          <w:rFonts w:ascii="Courier New" w:hAnsi="Courier New" w:cs="Courier New"/>
        </w:rPr>
        <w:t>charitable organization and occupied by it or its</w:t>
      </w:r>
      <w:r w:rsidR="0052271A">
        <w:rPr>
          <w:rFonts w:ascii="Courier New" w:hAnsi="Courier New" w:cs="Courier New"/>
        </w:rPr>
        <w:t xml:space="preserve"> </w:t>
      </w:r>
      <w:r w:rsidR="0052271A" w:rsidRPr="00AE6117">
        <w:rPr>
          <w:rFonts w:ascii="Courier New" w:hAnsi="Courier New" w:cs="Courier New"/>
        </w:rPr>
        <w:t>officers for the pur</w:t>
      </w:r>
      <w:r w:rsidR="0052271A">
        <w:rPr>
          <w:rFonts w:ascii="Courier New" w:hAnsi="Courier New" w:cs="Courier New"/>
        </w:rPr>
        <w:t>poses for which it is organized”</w:t>
      </w:r>
      <w:r w:rsidR="0052271A" w:rsidRPr="00AE6117">
        <w:rPr>
          <w:rFonts w:ascii="Courier New" w:hAnsi="Courier New" w:cs="Courier New"/>
        </w:rPr>
        <w:t xml:space="preserve"> is exempt from taxation</w:t>
      </w:r>
      <w:r w:rsidR="0052271A">
        <w:rPr>
          <w:rFonts w:ascii="Courier New" w:hAnsi="Courier New" w:cs="Courier New"/>
        </w:rPr>
        <w:t>.  Clause Third defines a charitable organization as “</w:t>
      </w:r>
      <w:r w:rsidR="0052271A" w:rsidRPr="00AE6117">
        <w:rPr>
          <w:rFonts w:ascii="Courier New" w:hAnsi="Courier New" w:cs="Courier New"/>
        </w:rPr>
        <w:t>a literary, benevolent, charitable or scientific institution or temperance society in</w:t>
      </w:r>
      <w:r w:rsidR="0052271A">
        <w:rPr>
          <w:rFonts w:ascii="Courier New" w:hAnsi="Courier New" w:cs="Courier New"/>
        </w:rPr>
        <w:t>corporated in the commonwealth.”  “</w:t>
      </w:r>
      <w:r w:rsidR="0052271A" w:rsidRPr="00AE6117">
        <w:rPr>
          <w:rFonts w:ascii="Courier New" w:hAnsi="Courier New" w:cs="Courier New"/>
        </w:rPr>
        <w:t>For purposes of the local pr</w:t>
      </w:r>
      <w:r w:rsidR="0052271A">
        <w:rPr>
          <w:rFonts w:ascii="Courier New" w:hAnsi="Courier New" w:cs="Courier New"/>
        </w:rPr>
        <w:t>operty tax exemption, the term ‘charity’</w:t>
      </w:r>
      <w:r w:rsidR="0052271A" w:rsidRPr="00AE6117">
        <w:rPr>
          <w:rFonts w:ascii="Courier New" w:hAnsi="Courier New" w:cs="Courier New"/>
        </w:rPr>
        <w:t xml:space="preserve"> includes more than almsgiving and assistance to the needy.</w:t>
      </w:r>
      <w:r w:rsidR="0052271A">
        <w:rPr>
          <w:rFonts w:ascii="Courier New" w:hAnsi="Courier New" w:cs="Courier New"/>
        </w:rPr>
        <w:t>”</w:t>
      </w:r>
      <w:r w:rsidR="0052271A" w:rsidRPr="00AE6117">
        <w:rPr>
          <w:rFonts w:ascii="Courier New" w:hAnsi="Courier New" w:cs="Courier New"/>
        </w:rPr>
        <w:t xml:space="preserve"> </w:t>
      </w:r>
      <w:r w:rsidR="0052271A">
        <w:rPr>
          <w:rFonts w:ascii="Courier New" w:hAnsi="Courier New" w:cs="Courier New"/>
        </w:rPr>
        <w:t xml:space="preserve"> </w:t>
      </w:r>
      <w:r w:rsidR="0052271A" w:rsidRPr="00AE6117">
        <w:rPr>
          <w:rFonts w:ascii="Courier New" w:hAnsi="Courier New" w:cs="Courier New"/>
          <w:b/>
          <w:i/>
        </w:rPr>
        <w:t>New England Legal Found. v. Boston</w:t>
      </w:r>
      <w:r w:rsidR="0052271A" w:rsidRPr="00AE6117">
        <w:rPr>
          <w:rFonts w:ascii="Courier New" w:hAnsi="Courier New" w:cs="Courier New"/>
        </w:rPr>
        <w:t>,</w:t>
      </w:r>
      <w:r w:rsidR="0052271A" w:rsidRPr="00F45EBC">
        <w:rPr>
          <w:rFonts w:ascii="Courier New" w:hAnsi="Courier New" w:cs="Courier New"/>
        </w:rPr>
        <w:t> </w:t>
      </w:r>
      <w:hyperlink r:id="rId8" w:history="1">
        <w:r w:rsidR="0052271A" w:rsidRPr="00F45EBC">
          <w:rPr>
            <w:rFonts w:ascii="Courier New" w:hAnsi="Courier New" w:cs="Courier New"/>
          </w:rPr>
          <w:t>423 Mass. 602</w:t>
        </w:r>
      </w:hyperlink>
      <w:r w:rsidR="0052271A" w:rsidRPr="00AE6117">
        <w:rPr>
          <w:rFonts w:ascii="Courier New" w:hAnsi="Courier New" w:cs="Courier New"/>
        </w:rPr>
        <w:t>, 609 (1996)</w:t>
      </w:r>
      <w:r w:rsidR="0052271A">
        <w:rPr>
          <w:rFonts w:ascii="Courier New" w:hAnsi="Courier New" w:cs="Courier New"/>
        </w:rPr>
        <w:t xml:space="preserve">.  </w:t>
      </w:r>
      <w:r w:rsidR="0052271A" w:rsidRPr="000D7AC4">
        <w:rPr>
          <w:rFonts w:ascii="Courier New" w:hAnsi="Courier New" w:cs="Courier New"/>
        </w:rPr>
        <w:t>“A charity, in the legal sense, may be more fully defined as a gift to be applied consistently with existing laws, for the benefit of an indefinite number of persons, either by bringing their minds or hearts under the influence of education or religion, by relieving their bodies from disease, suffering or constraint, by assisting them to establish themselves in life, or by erecting or maintaining public buildings or works or otherwise lessening the burdens of government.”</w:t>
      </w:r>
      <w:r w:rsidR="0052271A" w:rsidRPr="00AE6117">
        <w:rPr>
          <w:rFonts w:ascii="Courier New" w:hAnsi="Courier New" w:cs="Courier New"/>
        </w:rPr>
        <w:t xml:space="preserve"> </w:t>
      </w:r>
      <w:r w:rsidR="0052271A">
        <w:rPr>
          <w:rFonts w:ascii="Courier New" w:hAnsi="Courier New" w:cs="Courier New"/>
        </w:rPr>
        <w:t xml:space="preserve"> </w:t>
      </w:r>
      <w:r w:rsidR="0052271A" w:rsidRPr="000D7AC4">
        <w:rPr>
          <w:rFonts w:ascii="Courier New" w:hAnsi="Courier New" w:cs="Courier New"/>
          <w:b/>
          <w:i/>
        </w:rPr>
        <w:t>Boston Symphony Orchestra, Inc. v. Assessors of Boston</w:t>
      </w:r>
      <w:r w:rsidR="0052271A" w:rsidRPr="00AE6117">
        <w:rPr>
          <w:rFonts w:ascii="Courier New" w:hAnsi="Courier New" w:cs="Courier New"/>
        </w:rPr>
        <w:t>,</w:t>
      </w:r>
      <w:r w:rsidR="0052271A" w:rsidRPr="00F45EBC">
        <w:rPr>
          <w:rFonts w:ascii="Courier New" w:hAnsi="Courier New" w:cs="Courier New"/>
        </w:rPr>
        <w:t> </w:t>
      </w:r>
      <w:bookmarkStart w:id="1" w:name="cite_294mass248"/>
      <w:r w:rsidR="0052271A" w:rsidRPr="00AE6117">
        <w:rPr>
          <w:rFonts w:ascii="Courier New" w:hAnsi="Courier New" w:cs="Courier New"/>
        </w:rPr>
        <w:fldChar w:fldCharType="begin"/>
      </w:r>
      <w:r w:rsidR="0052271A" w:rsidRPr="00AE6117">
        <w:rPr>
          <w:rFonts w:ascii="Courier New" w:hAnsi="Courier New" w:cs="Courier New"/>
        </w:rPr>
        <w:instrText xml:space="preserve"> HYPERLINK "http://masscases.com/cases/sjc/294/294mass248.html" </w:instrText>
      </w:r>
      <w:r w:rsidR="0052271A" w:rsidRPr="00AE6117">
        <w:rPr>
          <w:rFonts w:ascii="Courier New" w:hAnsi="Courier New" w:cs="Courier New"/>
        </w:rPr>
        <w:fldChar w:fldCharType="separate"/>
      </w:r>
      <w:r w:rsidR="0052271A" w:rsidRPr="00F45EBC">
        <w:rPr>
          <w:rFonts w:ascii="Courier New" w:hAnsi="Courier New" w:cs="Courier New"/>
        </w:rPr>
        <w:t>294 Mass. 248</w:t>
      </w:r>
      <w:r w:rsidR="0052271A" w:rsidRPr="00AE6117">
        <w:rPr>
          <w:rFonts w:ascii="Courier New" w:hAnsi="Courier New" w:cs="Courier New"/>
        </w:rPr>
        <w:fldChar w:fldCharType="end"/>
      </w:r>
      <w:bookmarkEnd w:id="1"/>
      <w:r w:rsidR="0052271A">
        <w:rPr>
          <w:rFonts w:ascii="Courier New" w:hAnsi="Courier New" w:cs="Courier New"/>
        </w:rPr>
        <w:t>, 254-55 (1936) (</w:t>
      </w:r>
      <w:r w:rsidR="0052271A" w:rsidRPr="00AE6117">
        <w:rPr>
          <w:rFonts w:ascii="Courier New" w:hAnsi="Courier New" w:cs="Courier New"/>
        </w:rPr>
        <w:t xml:space="preserve">quoting </w:t>
      </w:r>
      <w:r w:rsidR="0052271A" w:rsidRPr="000D7AC4">
        <w:rPr>
          <w:rFonts w:ascii="Courier New" w:hAnsi="Courier New" w:cs="Courier New"/>
          <w:b/>
          <w:i/>
        </w:rPr>
        <w:t>Jackson v. Phillips</w:t>
      </w:r>
      <w:r w:rsidR="0052271A" w:rsidRPr="00AE6117">
        <w:rPr>
          <w:rFonts w:ascii="Courier New" w:hAnsi="Courier New" w:cs="Courier New"/>
        </w:rPr>
        <w:t>,</w:t>
      </w:r>
      <w:r w:rsidR="0052271A" w:rsidRPr="00F45EBC">
        <w:rPr>
          <w:rFonts w:ascii="Courier New" w:hAnsi="Courier New" w:cs="Courier New"/>
        </w:rPr>
        <w:t> </w:t>
      </w:r>
      <w:bookmarkStart w:id="2" w:name="cite_96mass539"/>
      <w:r w:rsidR="0052271A" w:rsidRPr="00AE6117">
        <w:rPr>
          <w:rFonts w:ascii="Courier New" w:hAnsi="Courier New" w:cs="Courier New"/>
        </w:rPr>
        <w:fldChar w:fldCharType="begin"/>
      </w:r>
      <w:r w:rsidR="0052271A" w:rsidRPr="00AE6117">
        <w:rPr>
          <w:rFonts w:ascii="Courier New" w:hAnsi="Courier New" w:cs="Courier New"/>
        </w:rPr>
        <w:instrText xml:space="preserve"> HYPERLINK "http://masscases.com/cases/sjc/96/96mass539.html" </w:instrText>
      </w:r>
      <w:r w:rsidR="0052271A" w:rsidRPr="00AE6117">
        <w:rPr>
          <w:rFonts w:ascii="Courier New" w:hAnsi="Courier New" w:cs="Courier New"/>
        </w:rPr>
        <w:fldChar w:fldCharType="separate"/>
      </w:r>
      <w:r w:rsidR="0052271A" w:rsidRPr="00F45EBC">
        <w:rPr>
          <w:rFonts w:ascii="Courier New" w:hAnsi="Courier New" w:cs="Courier New"/>
        </w:rPr>
        <w:t>14 Allen 539</w:t>
      </w:r>
      <w:r w:rsidR="0052271A" w:rsidRPr="00AE6117">
        <w:rPr>
          <w:rFonts w:ascii="Courier New" w:hAnsi="Courier New" w:cs="Courier New"/>
        </w:rPr>
        <w:fldChar w:fldCharType="end"/>
      </w:r>
      <w:bookmarkEnd w:id="2"/>
      <w:r w:rsidR="0052271A">
        <w:rPr>
          <w:rFonts w:ascii="Courier New" w:hAnsi="Courier New" w:cs="Courier New"/>
        </w:rPr>
        <w:t xml:space="preserve">, 556 (1867)). </w:t>
      </w:r>
    </w:p>
    <w:p w14:paraId="25FBE718" w14:textId="3CA8A7B5" w:rsidR="00174779" w:rsidRDefault="00174779" w:rsidP="00174779">
      <w:pPr>
        <w:pStyle w:val="NormalWeb"/>
        <w:spacing w:before="0" w:beforeAutospacing="0" w:after="0" w:afterAutospacing="0" w:line="480" w:lineRule="auto"/>
        <w:ind w:firstLine="720"/>
        <w:jc w:val="both"/>
        <w:rPr>
          <w:rFonts w:ascii="Courier New" w:hAnsi="Courier New" w:cs="Courier New"/>
          <w:color w:val="000000"/>
        </w:rPr>
      </w:pPr>
      <w:r>
        <w:rPr>
          <w:rFonts w:ascii="Courier New" w:hAnsi="Courier New" w:cs="Courier New"/>
          <w:color w:val="000000"/>
        </w:rPr>
        <w:t xml:space="preserve">As observed by the Appeals Court, the Supreme Judicial Court in </w:t>
      </w:r>
      <w:r w:rsidRPr="000D7AC4">
        <w:rPr>
          <w:rFonts w:ascii="Courier New" w:hAnsi="Courier New" w:cs="Courier New"/>
          <w:b/>
          <w:i/>
          <w:color w:val="000000"/>
        </w:rPr>
        <w:t>New Habitat, Inc. v. Tax Collector of Cambridge</w:t>
      </w:r>
      <w:r>
        <w:rPr>
          <w:rFonts w:ascii="Courier New" w:hAnsi="Courier New" w:cs="Courier New"/>
          <w:color w:val="000000"/>
        </w:rPr>
        <w:t>, 451</w:t>
      </w:r>
      <w:r w:rsidR="00806B9F">
        <w:rPr>
          <w:rFonts w:ascii="Courier New" w:hAnsi="Courier New" w:cs="Courier New"/>
          <w:color w:val="000000"/>
        </w:rPr>
        <w:t> </w:t>
      </w:r>
      <w:r>
        <w:rPr>
          <w:rFonts w:ascii="Courier New" w:hAnsi="Courier New" w:cs="Courier New"/>
          <w:color w:val="000000"/>
        </w:rPr>
        <w:t>Mass. 729 (2008) provided</w:t>
      </w:r>
      <w:r w:rsidRPr="001F237E">
        <w:rPr>
          <w:rFonts w:ascii="Courier New" w:hAnsi="Courier New" w:cs="Courier New"/>
          <w:color w:val="000000"/>
        </w:rPr>
        <w:t xml:space="preserve"> </w:t>
      </w:r>
      <w:r>
        <w:rPr>
          <w:rFonts w:ascii="Courier New" w:hAnsi="Courier New" w:cs="Courier New"/>
          <w:color w:val="000000"/>
        </w:rPr>
        <w:t>“</w:t>
      </w:r>
      <w:r w:rsidRPr="001F237E">
        <w:rPr>
          <w:rFonts w:ascii="Courier New" w:hAnsi="Courier New" w:cs="Courier New"/>
          <w:color w:val="000000"/>
        </w:rPr>
        <w:t xml:space="preserve">an interpretive lens through which </w:t>
      </w:r>
      <w:r>
        <w:rPr>
          <w:rFonts w:ascii="Courier New" w:hAnsi="Courier New" w:cs="Courier New"/>
          <w:color w:val="000000"/>
        </w:rPr>
        <w:t>we</w:t>
      </w:r>
      <w:r w:rsidRPr="001F237E">
        <w:rPr>
          <w:rFonts w:ascii="Courier New" w:hAnsi="Courier New" w:cs="Courier New"/>
          <w:color w:val="000000"/>
        </w:rPr>
        <w:t xml:space="preserve"> now view</w:t>
      </w:r>
      <w:r>
        <w:rPr>
          <w:rFonts w:ascii="Courier New" w:hAnsi="Courier New" w:cs="Courier New"/>
          <w:color w:val="000000"/>
        </w:rPr>
        <w:t xml:space="preserve">” charitable exemption cases.  </w:t>
      </w:r>
      <w:r w:rsidRPr="002D4C08">
        <w:rPr>
          <w:rFonts w:ascii="Courier New" w:hAnsi="Courier New" w:cs="Courier New"/>
          <w:b/>
          <w:i/>
          <w:color w:val="000000"/>
        </w:rPr>
        <w:t xml:space="preserve">Mary Ann Morse </w:t>
      </w:r>
      <w:r w:rsidRPr="002D4C08">
        <w:rPr>
          <w:rFonts w:ascii="Courier New" w:hAnsi="Courier New" w:cs="Courier New"/>
          <w:b/>
          <w:i/>
          <w:color w:val="000000"/>
        </w:rPr>
        <w:lastRenderedPageBreak/>
        <w:t>Healthcare Corp. v. Assessors of Framingham</w:t>
      </w:r>
      <w:r>
        <w:rPr>
          <w:rFonts w:ascii="Courier New" w:hAnsi="Courier New" w:cs="Courier New"/>
          <w:color w:val="000000"/>
        </w:rPr>
        <w:t xml:space="preserve">, 74 Mass. App. Ct. 701, 703 (2009). </w:t>
      </w:r>
      <w:r w:rsidRPr="001F237E">
        <w:rPr>
          <w:rFonts w:ascii="Courier New" w:hAnsi="Courier New" w:cs="Courier New"/>
          <w:color w:val="000000"/>
        </w:rPr>
        <w:t xml:space="preserve"> </w:t>
      </w:r>
      <w:r>
        <w:rPr>
          <w:rFonts w:ascii="Courier New" w:hAnsi="Courier New" w:cs="Courier New"/>
          <w:color w:val="000000"/>
        </w:rPr>
        <w:t xml:space="preserve">As the Appeals Court explained, </w:t>
      </w:r>
    </w:p>
    <w:p w14:paraId="4BDD5ADC" w14:textId="2B3322EB" w:rsidR="00174779" w:rsidRDefault="00174779" w:rsidP="00174779">
      <w:pPr>
        <w:pStyle w:val="NormalWeb"/>
        <w:spacing w:before="0" w:beforeAutospacing="0" w:after="0" w:afterAutospacing="0"/>
        <w:ind w:left="720" w:right="720"/>
        <w:jc w:val="both"/>
        <w:rPr>
          <w:rFonts w:ascii="Courier New" w:hAnsi="Courier New" w:cs="Courier New"/>
          <w:color w:val="000000"/>
        </w:rPr>
      </w:pPr>
      <w:r>
        <w:rPr>
          <w:rFonts w:ascii="Courier New" w:hAnsi="Courier New" w:cs="Courier New"/>
          <w:color w:val="000000"/>
        </w:rPr>
        <w:t>[t]</w:t>
      </w:r>
      <w:r w:rsidRPr="001F237E">
        <w:rPr>
          <w:rFonts w:ascii="Courier New" w:hAnsi="Courier New" w:cs="Courier New"/>
          <w:color w:val="000000"/>
        </w:rPr>
        <w:t>he</w:t>
      </w:r>
      <w:r>
        <w:rPr>
          <w:rFonts w:ascii="Courier New" w:hAnsi="Courier New" w:cs="Courier New"/>
          <w:color w:val="000000"/>
        </w:rPr>
        <w:t xml:space="preserve"> </w:t>
      </w:r>
      <w:r w:rsidRPr="001F237E">
        <w:rPr>
          <w:rFonts w:ascii="Courier New" w:hAnsi="Courier New" w:cs="Courier New"/>
          <w:color w:val="000000"/>
        </w:rPr>
        <w:t>number of individuals receiving services, whether they are from diverse walks of life, the fees charged to those individuals, and the relationship between the service fees and the cost of t</w:t>
      </w:r>
      <w:r w:rsidR="00282EEC">
        <w:rPr>
          <w:rFonts w:ascii="Courier New" w:hAnsi="Courier New" w:cs="Courier New"/>
          <w:color w:val="000000"/>
        </w:rPr>
        <w:t>hose services to the provider -</w:t>
      </w:r>
      <w:r w:rsidRPr="001F237E">
        <w:rPr>
          <w:rFonts w:ascii="Courier New" w:hAnsi="Courier New" w:cs="Courier New"/>
          <w:color w:val="000000"/>
        </w:rPr>
        <w:t xml:space="preserve"> all these are factors that inform a decision under the community benefit test; where however an organization is found to be traditionally charitable</w:t>
      </w:r>
      <w:r>
        <w:rPr>
          <w:rFonts w:ascii="Courier New" w:hAnsi="Courier New" w:cs="Courier New"/>
          <w:color w:val="000000"/>
        </w:rPr>
        <w:t xml:space="preserve"> in nature, these factors play “</w:t>
      </w:r>
      <w:r w:rsidRPr="001F237E">
        <w:rPr>
          <w:rFonts w:ascii="Courier New" w:hAnsi="Courier New" w:cs="Courier New"/>
          <w:color w:val="000000"/>
        </w:rPr>
        <w:t>a less significant role in our determi</w:t>
      </w:r>
      <w:r>
        <w:rPr>
          <w:rFonts w:ascii="Courier New" w:hAnsi="Courier New" w:cs="Courier New"/>
          <w:color w:val="000000"/>
        </w:rPr>
        <w:t>nation of its charitable status”</w:t>
      </w:r>
      <w:r w:rsidRPr="001F237E">
        <w:rPr>
          <w:rFonts w:ascii="Courier New" w:hAnsi="Courier New" w:cs="Courier New"/>
          <w:color w:val="000000"/>
        </w:rPr>
        <w:t xml:space="preserve"> for purposes of pr</w:t>
      </w:r>
      <w:r>
        <w:rPr>
          <w:rFonts w:ascii="Courier New" w:hAnsi="Courier New" w:cs="Courier New"/>
          <w:color w:val="000000"/>
        </w:rPr>
        <w:t xml:space="preserve">operty tax exemption. </w:t>
      </w:r>
    </w:p>
    <w:p w14:paraId="05F38D48" w14:textId="77777777" w:rsidR="00174779" w:rsidRPr="009128CA" w:rsidRDefault="00174779" w:rsidP="00174779">
      <w:pPr>
        <w:pStyle w:val="NormalWeb"/>
        <w:spacing w:before="0" w:beforeAutospacing="0" w:after="0" w:afterAutospacing="0"/>
        <w:ind w:left="720" w:right="720"/>
        <w:jc w:val="both"/>
        <w:rPr>
          <w:rFonts w:ascii="Courier New" w:hAnsi="Courier New" w:cs="Courier New"/>
          <w:color w:val="000000"/>
        </w:rPr>
      </w:pPr>
    </w:p>
    <w:p w14:paraId="6B7FB116" w14:textId="5A775FF4" w:rsidR="00174779" w:rsidRDefault="00174779" w:rsidP="00174779">
      <w:pPr>
        <w:spacing w:line="480" w:lineRule="auto"/>
        <w:jc w:val="both"/>
        <w:rPr>
          <w:rFonts w:ascii="Courier New" w:hAnsi="Courier New" w:cs="Courier New"/>
        </w:rPr>
      </w:pPr>
      <w:r w:rsidRPr="00703F2F">
        <w:rPr>
          <w:rFonts w:ascii="Courier New" w:hAnsi="Courier New" w:cs="Courier New"/>
          <w:b/>
          <w:i/>
        </w:rPr>
        <w:t>Id</w:t>
      </w:r>
      <w:r>
        <w:rPr>
          <w:rFonts w:ascii="Courier New" w:hAnsi="Courier New" w:cs="Courier New"/>
        </w:rPr>
        <w:t xml:space="preserve">. at 704 (quoting </w:t>
      </w:r>
      <w:r w:rsidRPr="00703F2F">
        <w:rPr>
          <w:rFonts w:ascii="Courier New" w:hAnsi="Courier New" w:cs="Courier New"/>
          <w:b/>
          <w:i/>
        </w:rPr>
        <w:t>New Habitat</w:t>
      </w:r>
      <w:r>
        <w:rPr>
          <w:rFonts w:ascii="Courier New" w:hAnsi="Courier New" w:cs="Courier New"/>
        </w:rPr>
        <w:t>, 451 Mass. at 737)</w:t>
      </w:r>
      <w:r w:rsidR="00BD7117">
        <w:rPr>
          <w:rFonts w:ascii="Courier New" w:hAnsi="Courier New" w:cs="Courier New"/>
        </w:rPr>
        <w:t>.</w:t>
      </w:r>
    </w:p>
    <w:p w14:paraId="3DB13BBB" w14:textId="16B7D8F0" w:rsidR="00415179" w:rsidRDefault="00174779" w:rsidP="004B5025">
      <w:pPr>
        <w:spacing w:line="480" w:lineRule="auto"/>
        <w:ind w:firstLine="720"/>
        <w:jc w:val="both"/>
        <w:rPr>
          <w:rFonts w:ascii="Courier New" w:hAnsi="Courier New" w:cs="Courier New"/>
        </w:rPr>
      </w:pPr>
      <w:r>
        <w:rPr>
          <w:rFonts w:ascii="Courier New" w:hAnsi="Courier New" w:cs="Courier New"/>
        </w:rPr>
        <w:t>The Supreme Judicial Court has long recognized that “bringing [recipients’]</w:t>
      </w:r>
      <w:r w:rsidRPr="000D7AC4">
        <w:rPr>
          <w:rFonts w:ascii="Courier New" w:hAnsi="Courier New" w:cs="Courier New"/>
        </w:rPr>
        <w:t xml:space="preserve"> minds or hearts under the influence of education</w:t>
      </w:r>
      <w:r>
        <w:rPr>
          <w:rFonts w:ascii="Courier New" w:hAnsi="Courier New" w:cs="Courier New"/>
        </w:rPr>
        <w:t xml:space="preserve">” is a traditionally charitable purpose.  </w:t>
      </w:r>
      <w:r w:rsidRPr="0072636E">
        <w:rPr>
          <w:rFonts w:ascii="Courier New" w:hAnsi="Courier New" w:cs="Courier New"/>
          <w:b/>
          <w:i/>
        </w:rPr>
        <w:t>Boston Symphony Orchestra</w:t>
      </w:r>
      <w:r>
        <w:rPr>
          <w:rFonts w:ascii="Courier New" w:hAnsi="Courier New" w:cs="Courier New"/>
        </w:rPr>
        <w:t>, 294 Mass. at 254-</w:t>
      </w:r>
      <w:r w:rsidRPr="00AE6117">
        <w:rPr>
          <w:rFonts w:ascii="Courier New" w:hAnsi="Courier New" w:cs="Courier New"/>
        </w:rPr>
        <w:t>55</w:t>
      </w:r>
      <w:r w:rsidR="00C11ADF">
        <w:rPr>
          <w:rFonts w:ascii="Courier New" w:hAnsi="Courier New" w:cs="Courier New"/>
        </w:rPr>
        <w:t>;</w:t>
      </w:r>
      <w:r>
        <w:rPr>
          <w:rFonts w:ascii="Courier New" w:hAnsi="Courier New" w:cs="Courier New"/>
        </w:rPr>
        <w:t xml:space="preserve"> </w:t>
      </w:r>
      <w:r w:rsidR="003D5CEC" w:rsidRPr="00551687">
        <w:rPr>
          <w:rFonts w:ascii="Courier New" w:hAnsi="Courier New" w:cs="Courier New"/>
          <w:b/>
          <w:i/>
        </w:rPr>
        <w:t>Assessors of Boston v. Garland Sch. of Home Making</w:t>
      </w:r>
      <w:r w:rsidR="00282EEC">
        <w:rPr>
          <w:rFonts w:ascii="Courier New" w:hAnsi="Courier New" w:cs="Courier New"/>
          <w:b/>
          <w:i/>
        </w:rPr>
        <w:t>,</w:t>
      </w:r>
      <w:r w:rsidR="003D5CEC">
        <w:rPr>
          <w:rFonts w:ascii="Courier New" w:hAnsi="Courier New" w:cs="Courier New"/>
        </w:rPr>
        <w:t xml:space="preserve"> 296 Mass</w:t>
      </w:r>
      <w:r w:rsidR="00282EEC">
        <w:rPr>
          <w:rFonts w:ascii="Courier New" w:hAnsi="Courier New" w:cs="Courier New"/>
        </w:rPr>
        <w:t>.</w:t>
      </w:r>
      <w:r w:rsidR="003D5CEC">
        <w:rPr>
          <w:rFonts w:ascii="Courier New" w:hAnsi="Courier New" w:cs="Courier New"/>
        </w:rPr>
        <w:t xml:space="preserve"> 378</w:t>
      </w:r>
      <w:r w:rsidR="00434223">
        <w:rPr>
          <w:rFonts w:ascii="Courier New" w:hAnsi="Courier New" w:cs="Courier New"/>
        </w:rPr>
        <w:t xml:space="preserve"> (1937)</w:t>
      </w:r>
      <w:r w:rsidR="004B5025">
        <w:rPr>
          <w:rFonts w:ascii="Courier New" w:hAnsi="Courier New" w:cs="Courier New"/>
        </w:rPr>
        <w:t>.  Therefore, b</w:t>
      </w:r>
      <w:r w:rsidR="00415179" w:rsidRPr="00A4488F">
        <w:rPr>
          <w:rFonts w:ascii="Courier New" w:hAnsi="Courier New" w:cs="Courier New"/>
        </w:rPr>
        <w:t>ecause education is a traditional</w:t>
      </w:r>
      <w:r w:rsidR="00415179">
        <w:rPr>
          <w:rFonts w:ascii="Courier New" w:hAnsi="Courier New" w:cs="Courier New"/>
        </w:rPr>
        <w:t>ly charitable purpose, factors like fees and the nu</w:t>
      </w:r>
      <w:r w:rsidR="00282EEC">
        <w:rPr>
          <w:rFonts w:ascii="Courier New" w:hAnsi="Courier New" w:cs="Courier New"/>
        </w:rPr>
        <w:t>mber of people benefitted by the appellant</w:t>
      </w:r>
      <w:r w:rsidR="00415179">
        <w:rPr>
          <w:rFonts w:ascii="Courier New" w:hAnsi="Courier New" w:cs="Courier New"/>
        </w:rPr>
        <w:t xml:space="preserve">’s </w:t>
      </w:r>
      <w:r w:rsidR="00415179" w:rsidRPr="00DF5FD7">
        <w:rPr>
          <w:rFonts w:ascii="Courier New" w:hAnsi="Courier New" w:cs="Courier New"/>
        </w:rPr>
        <w:t>programs</w:t>
      </w:r>
      <w:r w:rsidR="00415179">
        <w:rPr>
          <w:rFonts w:ascii="Courier New" w:hAnsi="Courier New" w:cs="Courier New"/>
        </w:rPr>
        <w:t xml:space="preserve"> are less important in determining the appellant’s charitable status.  </w:t>
      </w:r>
      <w:r w:rsidR="00415179" w:rsidRPr="00DF5FD7">
        <w:rPr>
          <w:rFonts w:ascii="Courier New" w:hAnsi="Courier New" w:cs="Courier New"/>
          <w:i/>
        </w:rPr>
        <w:t>See</w:t>
      </w:r>
      <w:r w:rsidR="00415179" w:rsidRPr="00DF5FD7">
        <w:rPr>
          <w:rFonts w:ascii="Courier New" w:hAnsi="Courier New" w:cs="Courier New"/>
        </w:rPr>
        <w:t xml:space="preserve"> </w:t>
      </w:r>
      <w:r w:rsidR="00415179" w:rsidRPr="00DF5FD7">
        <w:rPr>
          <w:rFonts w:ascii="Courier New" w:hAnsi="Courier New" w:cs="Courier New"/>
          <w:b/>
          <w:i/>
        </w:rPr>
        <w:t>New Habitat</w:t>
      </w:r>
      <w:r w:rsidR="00415179" w:rsidRPr="00DF5FD7">
        <w:rPr>
          <w:rFonts w:ascii="Courier New" w:hAnsi="Courier New" w:cs="Courier New"/>
        </w:rPr>
        <w:t xml:space="preserve">, 451 Mass. at </w:t>
      </w:r>
      <w:r w:rsidR="00415179" w:rsidRPr="00677512">
        <w:rPr>
          <w:rFonts w:ascii="Courier New" w:hAnsi="Courier New" w:cs="Courier New"/>
        </w:rPr>
        <w:t>736-</w:t>
      </w:r>
      <w:r w:rsidR="00415179">
        <w:rPr>
          <w:rFonts w:ascii="Courier New" w:hAnsi="Courier New" w:cs="Courier New"/>
        </w:rPr>
        <w:t>3</w:t>
      </w:r>
      <w:r w:rsidR="00415179" w:rsidRPr="00677512">
        <w:rPr>
          <w:rFonts w:ascii="Courier New" w:hAnsi="Courier New" w:cs="Courier New"/>
        </w:rPr>
        <w:t>7 (</w:t>
      </w:r>
      <w:r w:rsidR="00B82CC1">
        <w:rPr>
          <w:rFonts w:ascii="Courier New" w:hAnsi="Courier New" w:cs="Courier New"/>
        </w:rPr>
        <w:t>finding an</w:t>
      </w:r>
      <w:r w:rsidR="00415179">
        <w:rPr>
          <w:rFonts w:ascii="Courier New" w:hAnsi="Courier New" w:cs="Courier New"/>
        </w:rPr>
        <w:t xml:space="preserve"> </w:t>
      </w:r>
      <w:r w:rsidR="00415179" w:rsidRPr="00677512">
        <w:rPr>
          <w:rFonts w:ascii="Courier New" w:hAnsi="Courier New" w:cs="Courier New"/>
        </w:rPr>
        <w:t>organization</w:t>
      </w:r>
      <w:r w:rsidR="00415179">
        <w:rPr>
          <w:rFonts w:ascii="Courier New" w:hAnsi="Courier New" w:cs="Courier New"/>
        </w:rPr>
        <w:t xml:space="preserve"> to be</w:t>
      </w:r>
      <w:r w:rsidR="00415179" w:rsidRPr="00677512">
        <w:rPr>
          <w:rFonts w:ascii="Courier New" w:hAnsi="Courier New" w:cs="Courier New"/>
        </w:rPr>
        <w:t xml:space="preserve"> charitable where it had small</w:t>
      </w:r>
      <w:r w:rsidR="00415179">
        <w:rPr>
          <w:rFonts w:ascii="Courier New" w:hAnsi="Courier New" w:cs="Courier New"/>
        </w:rPr>
        <w:t xml:space="preserve"> number of beneficiaries but</w:t>
      </w:r>
      <w:r w:rsidR="00415179" w:rsidRPr="00677512">
        <w:rPr>
          <w:rFonts w:ascii="Courier New" w:hAnsi="Courier New" w:cs="Courier New"/>
        </w:rPr>
        <w:t xml:space="preserve"> traditionally charitable purposes and </w:t>
      </w:r>
      <w:r w:rsidR="00415179">
        <w:rPr>
          <w:rFonts w:ascii="Courier New" w:hAnsi="Courier New" w:cs="Courier New"/>
        </w:rPr>
        <w:t>methods) (citing</w:t>
      </w:r>
      <w:r w:rsidR="00415179" w:rsidRPr="00677512">
        <w:rPr>
          <w:rFonts w:ascii="Courier New" w:hAnsi="Courier New" w:cs="Courier New"/>
        </w:rPr>
        <w:t xml:space="preserve"> </w:t>
      </w:r>
      <w:r w:rsidR="00415179" w:rsidRPr="00677512">
        <w:rPr>
          <w:rFonts w:ascii="Courier New" w:hAnsi="Courier New" w:cs="Courier New"/>
          <w:b/>
          <w:i/>
        </w:rPr>
        <w:t>Dover v. Dominican Fathers Province of St. Joseph</w:t>
      </w:r>
      <w:r w:rsidR="00415179" w:rsidRPr="00677512">
        <w:rPr>
          <w:rFonts w:ascii="Courier New" w:hAnsi="Courier New" w:cs="Courier New"/>
        </w:rPr>
        <w:t>, </w:t>
      </w:r>
      <w:hyperlink r:id="rId9" w:history="1">
        <w:r w:rsidR="00415179" w:rsidRPr="00677512">
          <w:rPr>
            <w:rFonts w:ascii="Courier New" w:hAnsi="Courier New" w:cs="Courier New"/>
          </w:rPr>
          <w:t>334 Mass. 530</w:t>
        </w:r>
      </w:hyperlink>
      <w:r w:rsidR="00415179" w:rsidRPr="00677512">
        <w:rPr>
          <w:rFonts w:ascii="Courier New" w:hAnsi="Courier New" w:cs="Courier New"/>
        </w:rPr>
        <w:t>, 539 (1956)</w:t>
      </w:r>
      <w:r w:rsidR="00415179">
        <w:rPr>
          <w:rFonts w:ascii="Courier New" w:hAnsi="Courier New" w:cs="Courier New"/>
        </w:rPr>
        <w:t>)</w:t>
      </w:r>
      <w:r w:rsidR="00415179" w:rsidRPr="00150E84">
        <w:rPr>
          <w:rFonts w:ascii="Courier New" w:hAnsi="Courier New" w:cs="Courier New"/>
        </w:rPr>
        <w:t xml:space="preserve">.  </w:t>
      </w:r>
      <w:r w:rsidR="00415179">
        <w:rPr>
          <w:rFonts w:ascii="Courier New" w:hAnsi="Courier New" w:cs="Courier New"/>
        </w:rPr>
        <w:t>Instead</w:t>
      </w:r>
      <w:r w:rsidR="00415179" w:rsidRPr="00150E84">
        <w:rPr>
          <w:rFonts w:ascii="Courier New" w:hAnsi="Courier New" w:cs="Courier New"/>
        </w:rPr>
        <w:t xml:space="preserve">, </w:t>
      </w:r>
      <w:r w:rsidR="00C11ADF">
        <w:rPr>
          <w:rFonts w:ascii="Courier New" w:hAnsi="Courier New" w:cs="Courier New"/>
        </w:rPr>
        <w:t>a court should</w:t>
      </w:r>
      <w:r w:rsidR="00415179" w:rsidRPr="00150E84">
        <w:rPr>
          <w:rFonts w:ascii="Courier New" w:hAnsi="Courier New" w:cs="Courier New"/>
        </w:rPr>
        <w:t xml:space="preserve"> </w:t>
      </w:r>
      <w:r w:rsidR="00C11ADF">
        <w:rPr>
          <w:rFonts w:ascii="Courier New" w:hAnsi="Courier New" w:cs="Courier New"/>
        </w:rPr>
        <w:t>“</w:t>
      </w:r>
      <w:r w:rsidR="00415179" w:rsidRPr="00150E84">
        <w:rPr>
          <w:rFonts w:ascii="Courier New" w:hAnsi="Courier New" w:cs="Courier New"/>
        </w:rPr>
        <w:t>consider whethe</w:t>
      </w:r>
      <w:r w:rsidR="00415179">
        <w:rPr>
          <w:rFonts w:ascii="Courier New" w:hAnsi="Courier New" w:cs="Courier New"/>
        </w:rPr>
        <w:t>r the number of an organization’</w:t>
      </w:r>
      <w:r w:rsidR="00415179" w:rsidRPr="00150E84">
        <w:rPr>
          <w:rFonts w:ascii="Courier New" w:hAnsi="Courier New" w:cs="Courier New"/>
        </w:rPr>
        <w:t xml:space="preserve">s beneficiaries helps to advance the </w:t>
      </w:r>
      <w:r w:rsidR="00415179">
        <w:rPr>
          <w:rFonts w:ascii="Courier New" w:hAnsi="Courier New" w:cs="Courier New"/>
        </w:rPr>
        <w:t>organization’</w:t>
      </w:r>
      <w:r w:rsidR="00415179" w:rsidRPr="00941AD6">
        <w:rPr>
          <w:rFonts w:ascii="Courier New" w:hAnsi="Courier New" w:cs="Courier New"/>
        </w:rPr>
        <w:t>s charitable purpose.”</w:t>
      </w:r>
      <w:r w:rsidR="00415179">
        <w:rPr>
          <w:rFonts w:ascii="Courier New" w:hAnsi="Courier New" w:cs="Courier New"/>
        </w:rPr>
        <w:t xml:space="preserve">  </w:t>
      </w:r>
      <w:r w:rsidR="00415179" w:rsidRPr="00941AD6">
        <w:rPr>
          <w:rFonts w:ascii="Courier New" w:hAnsi="Courier New" w:cs="Courier New"/>
          <w:b/>
          <w:i/>
        </w:rPr>
        <w:t xml:space="preserve">New </w:t>
      </w:r>
      <w:r w:rsidR="00415179" w:rsidRPr="00941AD6">
        <w:rPr>
          <w:rFonts w:ascii="Courier New" w:hAnsi="Courier New" w:cs="Courier New"/>
          <w:b/>
          <w:i/>
        </w:rPr>
        <w:lastRenderedPageBreak/>
        <w:t>Habitat</w:t>
      </w:r>
      <w:r w:rsidR="00415179">
        <w:rPr>
          <w:rFonts w:ascii="Courier New" w:hAnsi="Courier New" w:cs="Courier New"/>
        </w:rPr>
        <w:t>, 451 Mass. at 737</w:t>
      </w:r>
      <w:r w:rsidR="00415179" w:rsidRPr="00941AD6">
        <w:rPr>
          <w:rFonts w:ascii="Courier New" w:hAnsi="Courier New" w:cs="Courier New"/>
        </w:rPr>
        <w:t xml:space="preserve"> </w:t>
      </w:r>
      <w:r w:rsidR="00415179">
        <w:rPr>
          <w:rFonts w:ascii="Courier New" w:hAnsi="Courier New" w:cs="Courier New"/>
        </w:rPr>
        <w:t>(</w:t>
      </w:r>
      <w:r w:rsidR="00415179" w:rsidRPr="00941AD6">
        <w:rPr>
          <w:rFonts w:ascii="Courier New" w:hAnsi="Courier New" w:cs="Courier New"/>
        </w:rPr>
        <w:t xml:space="preserve">citing </w:t>
      </w:r>
      <w:r w:rsidR="00415179" w:rsidRPr="00941AD6">
        <w:rPr>
          <w:rFonts w:ascii="Courier New" w:hAnsi="Courier New" w:cs="Courier New"/>
          <w:b/>
          <w:i/>
        </w:rPr>
        <w:t>New England Legal Found.</w:t>
      </w:r>
      <w:r w:rsidR="00415179" w:rsidRPr="00941AD6">
        <w:rPr>
          <w:rFonts w:ascii="Courier New" w:hAnsi="Courier New" w:cs="Courier New"/>
        </w:rPr>
        <w:t xml:space="preserve">, </w:t>
      </w:r>
      <w:hyperlink r:id="rId10" w:history="1">
        <w:r w:rsidR="00415179" w:rsidRPr="00941AD6">
          <w:rPr>
            <w:rFonts w:ascii="Courier New" w:hAnsi="Courier New" w:cs="Courier New"/>
          </w:rPr>
          <w:t xml:space="preserve">423 Mass. </w:t>
        </w:r>
        <w:r w:rsidR="0019043F">
          <w:rPr>
            <w:rFonts w:ascii="Courier New" w:hAnsi="Courier New" w:cs="Courier New"/>
          </w:rPr>
          <w:t xml:space="preserve">at </w:t>
        </w:r>
      </w:hyperlink>
      <w:r w:rsidR="00415179" w:rsidRPr="00941AD6">
        <w:rPr>
          <w:rFonts w:ascii="Courier New" w:hAnsi="Courier New" w:cs="Courier New"/>
        </w:rPr>
        <w:t>612 (“at any given moment an organization may serve only a relatively small number of persons”</w:t>
      </w:r>
      <w:r w:rsidR="00415179">
        <w:rPr>
          <w:rFonts w:ascii="Courier New" w:hAnsi="Courier New" w:cs="Courier New"/>
        </w:rPr>
        <w:t xml:space="preserve"> but still</w:t>
      </w:r>
      <w:r w:rsidR="00415179" w:rsidRPr="00941AD6">
        <w:rPr>
          <w:rFonts w:ascii="Courier New" w:hAnsi="Courier New" w:cs="Courier New"/>
        </w:rPr>
        <w:t xml:space="preserve"> be found </w:t>
      </w:r>
      <w:r w:rsidR="00415179">
        <w:rPr>
          <w:rFonts w:ascii="Courier New" w:hAnsi="Courier New" w:cs="Courier New"/>
        </w:rPr>
        <w:t>to be charitable if operating according to its stated charitable purpose</w:t>
      </w:r>
      <w:r w:rsidR="00282EEC">
        <w:rPr>
          <w:rFonts w:ascii="Courier New" w:hAnsi="Courier New" w:cs="Courier New"/>
        </w:rPr>
        <w:t>”</w:t>
      </w:r>
      <w:r w:rsidR="00415179" w:rsidRPr="00150E84">
        <w:rPr>
          <w:rFonts w:ascii="Courier New" w:hAnsi="Courier New" w:cs="Courier New"/>
        </w:rPr>
        <w:t>)</w:t>
      </w:r>
      <w:r w:rsidR="00415179">
        <w:rPr>
          <w:rFonts w:ascii="Courier New" w:hAnsi="Courier New" w:cs="Courier New"/>
        </w:rPr>
        <w:t>)</w:t>
      </w:r>
      <w:r w:rsidR="00415179" w:rsidRPr="00150E84">
        <w:rPr>
          <w:rFonts w:ascii="Courier New" w:hAnsi="Courier New" w:cs="Courier New"/>
        </w:rPr>
        <w:t>.</w:t>
      </w:r>
      <w:r w:rsidR="00415179">
        <w:rPr>
          <w:rFonts w:ascii="Courier New" w:hAnsi="Courier New" w:cs="Courier New"/>
        </w:rPr>
        <w:t xml:space="preserve"> </w:t>
      </w:r>
    </w:p>
    <w:p w14:paraId="1A09FA1C" w14:textId="68298A4D" w:rsidR="00C33009" w:rsidRDefault="001B1D3A" w:rsidP="00C71F23">
      <w:pPr>
        <w:spacing w:line="480" w:lineRule="auto"/>
        <w:ind w:firstLine="720"/>
        <w:jc w:val="both"/>
        <w:rPr>
          <w:rFonts w:ascii="Courier New" w:hAnsi="Courier New" w:cs="Courier New"/>
        </w:rPr>
      </w:pPr>
      <w:r>
        <w:rPr>
          <w:rFonts w:ascii="Courier New" w:hAnsi="Courier New" w:cs="Courier New"/>
        </w:rPr>
        <w:t>In the instant appeal, the appellant had lost its accreditation</w:t>
      </w:r>
      <w:r w:rsidR="00B92206">
        <w:rPr>
          <w:rFonts w:ascii="Courier New" w:hAnsi="Courier New" w:cs="Courier New"/>
        </w:rPr>
        <w:t xml:space="preserve"> </w:t>
      </w:r>
      <w:r w:rsidR="00B92206" w:rsidRPr="00B92206">
        <w:rPr>
          <w:rFonts w:ascii="Courier New" w:hAnsi="Courier New" w:cs="Courier New"/>
        </w:rPr>
        <w:t>prior to the start of the fiscal years at issue</w:t>
      </w:r>
      <w:r>
        <w:rPr>
          <w:rFonts w:ascii="Courier New" w:hAnsi="Courier New" w:cs="Courier New"/>
        </w:rPr>
        <w:t>,</w:t>
      </w:r>
      <w:r w:rsidR="00F54C24">
        <w:rPr>
          <w:rFonts w:ascii="Courier New" w:hAnsi="Courier New" w:cs="Courier New"/>
        </w:rPr>
        <w:t xml:space="preserve"> and so</w:t>
      </w:r>
      <w:r>
        <w:rPr>
          <w:rFonts w:ascii="Courier New" w:hAnsi="Courier New" w:cs="Courier New"/>
        </w:rPr>
        <w:t xml:space="preserve"> the majority of its students had sought other academic opportunities.  However, the Board found credible the witn</w:t>
      </w:r>
      <w:r w:rsidR="00E5622E">
        <w:rPr>
          <w:rFonts w:ascii="Courier New" w:hAnsi="Courier New" w:cs="Courier New"/>
        </w:rPr>
        <w:t>esses’ testimony</w:t>
      </w:r>
      <w:r>
        <w:rPr>
          <w:rFonts w:ascii="Courier New" w:hAnsi="Courier New" w:cs="Courier New"/>
        </w:rPr>
        <w:t xml:space="preserve"> regarding the appellant’s efforts to regain its accreditatio</w:t>
      </w:r>
      <w:r w:rsidR="00C33009">
        <w:rPr>
          <w:rFonts w:ascii="Courier New" w:hAnsi="Courier New" w:cs="Courier New"/>
        </w:rPr>
        <w:t>n</w:t>
      </w:r>
      <w:r w:rsidR="00C71F23">
        <w:rPr>
          <w:rFonts w:ascii="Courier New" w:hAnsi="Courier New" w:cs="Courier New"/>
        </w:rPr>
        <w:t xml:space="preserve">, including meetings with the MDOE and NEASC as well as monthly </w:t>
      </w:r>
      <w:r w:rsidR="00282EEC">
        <w:rPr>
          <w:rFonts w:ascii="Courier New" w:hAnsi="Courier New" w:cs="Courier New"/>
        </w:rPr>
        <w:t xml:space="preserve">Board of </w:t>
      </w:r>
      <w:r w:rsidR="00C71F23">
        <w:rPr>
          <w:rFonts w:ascii="Courier New" w:hAnsi="Courier New" w:cs="Courier New"/>
        </w:rPr>
        <w:t>Trustee</w:t>
      </w:r>
      <w:r w:rsidR="0019043F">
        <w:rPr>
          <w:rFonts w:ascii="Courier New" w:hAnsi="Courier New" w:cs="Courier New"/>
        </w:rPr>
        <w:t>s</w:t>
      </w:r>
      <w:r w:rsidR="00C71F23">
        <w:rPr>
          <w:rFonts w:ascii="Courier New" w:hAnsi="Courier New" w:cs="Courier New"/>
        </w:rPr>
        <w:t xml:space="preserve"> meetings</w:t>
      </w:r>
      <w:r w:rsidR="00C33009">
        <w:rPr>
          <w:rFonts w:ascii="Courier New" w:hAnsi="Courier New" w:cs="Courier New"/>
        </w:rPr>
        <w:t>.</w:t>
      </w:r>
      <w:r>
        <w:rPr>
          <w:rFonts w:ascii="Courier New" w:hAnsi="Courier New" w:cs="Courier New"/>
        </w:rPr>
        <w:t xml:space="preserve"> </w:t>
      </w:r>
      <w:r w:rsidR="00B92206">
        <w:rPr>
          <w:rFonts w:ascii="Courier New" w:hAnsi="Courier New" w:cs="Courier New"/>
        </w:rPr>
        <w:t xml:space="preserve"> The appellant never lost its charter during the relevant time period</w:t>
      </w:r>
      <w:r w:rsidR="00282EEC">
        <w:rPr>
          <w:rFonts w:ascii="Courier New" w:hAnsi="Courier New" w:cs="Courier New"/>
        </w:rPr>
        <w:t xml:space="preserve">s, and it </w:t>
      </w:r>
      <w:r w:rsidR="00C71F23">
        <w:rPr>
          <w:rFonts w:ascii="Courier New" w:hAnsi="Courier New" w:cs="Courier New"/>
        </w:rPr>
        <w:t>kept its academic offices open to continue to assist students during the suspension period.</w:t>
      </w:r>
      <w:r w:rsidR="00C33009">
        <w:rPr>
          <w:rFonts w:ascii="Courier New" w:hAnsi="Courier New" w:cs="Courier New"/>
        </w:rPr>
        <w:t xml:space="preserve"> </w:t>
      </w:r>
      <w:r w:rsidR="00C71F23">
        <w:rPr>
          <w:rFonts w:ascii="Courier New" w:hAnsi="Courier New" w:cs="Courier New"/>
        </w:rPr>
        <w:t xml:space="preserve"> S</w:t>
      </w:r>
      <w:r w:rsidR="00C33009">
        <w:rPr>
          <w:rFonts w:ascii="Courier New" w:hAnsi="Courier New" w:cs="Courier New"/>
        </w:rPr>
        <w:t>ome employees and students of the appellant continued to reside in campus housing, the former continuing to maintain the subject property and the lat</w:t>
      </w:r>
      <w:r w:rsidR="00BE251D">
        <w:rPr>
          <w:rFonts w:ascii="Courier New" w:hAnsi="Courier New" w:cs="Courier New"/>
        </w:rPr>
        <w:t>t</w:t>
      </w:r>
      <w:r w:rsidR="00C33009">
        <w:rPr>
          <w:rFonts w:ascii="Courier New" w:hAnsi="Courier New" w:cs="Courier New"/>
        </w:rPr>
        <w:t>er</w:t>
      </w:r>
      <w:r w:rsidR="00433F1E">
        <w:rPr>
          <w:rFonts w:ascii="Courier New" w:hAnsi="Courier New" w:cs="Courier New"/>
        </w:rPr>
        <w:t xml:space="preserve"> furthering</w:t>
      </w:r>
      <w:r w:rsidR="00C33009">
        <w:rPr>
          <w:rFonts w:ascii="Courier New" w:hAnsi="Courier New" w:cs="Courier New"/>
        </w:rPr>
        <w:t xml:space="preserve"> their academic careers through initiatives like Teach Out with a neighboring college.</w:t>
      </w:r>
      <w:r w:rsidR="00B92206">
        <w:rPr>
          <w:rFonts w:ascii="Courier New" w:hAnsi="Courier New" w:cs="Courier New"/>
        </w:rPr>
        <w:t xml:space="preserve">  </w:t>
      </w:r>
      <w:r w:rsidR="00A8712C">
        <w:rPr>
          <w:rFonts w:ascii="Courier New" w:hAnsi="Courier New" w:cs="Courier New"/>
        </w:rPr>
        <w:t xml:space="preserve">Moreover, the appellant continued to offer and teach students in its non-degree and certificate education programs, specifically </w:t>
      </w:r>
      <w:r w:rsidR="00A8712C" w:rsidRPr="00B92206">
        <w:rPr>
          <w:rFonts w:ascii="Courier New" w:hAnsi="Courier New" w:cs="Courier New"/>
        </w:rPr>
        <w:t>TPAC, NETS</w:t>
      </w:r>
      <w:r w:rsidR="0019043F">
        <w:rPr>
          <w:rFonts w:ascii="Courier New" w:hAnsi="Courier New" w:cs="Courier New"/>
        </w:rPr>
        <w:t>,</w:t>
      </w:r>
      <w:r w:rsidR="00A8712C" w:rsidRPr="00B92206">
        <w:rPr>
          <w:rFonts w:ascii="Courier New" w:hAnsi="Courier New" w:cs="Courier New"/>
        </w:rPr>
        <w:t xml:space="preserve"> and</w:t>
      </w:r>
      <w:r w:rsidR="00A8712C">
        <w:rPr>
          <w:rFonts w:ascii="Courier New" w:hAnsi="Courier New" w:cs="Courier New"/>
        </w:rPr>
        <w:t xml:space="preserve"> the Adult Education Program.  T</w:t>
      </w:r>
      <w:r w:rsidR="00C33009">
        <w:rPr>
          <w:rFonts w:ascii="Courier New" w:hAnsi="Courier New" w:cs="Courier New"/>
        </w:rPr>
        <w:t>he Board</w:t>
      </w:r>
      <w:r w:rsidR="00A8712C">
        <w:rPr>
          <w:rFonts w:ascii="Courier New" w:hAnsi="Courier New" w:cs="Courier New"/>
        </w:rPr>
        <w:t xml:space="preserve"> thus</w:t>
      </w:r>
      <w:r w:rsidR="00C33009">
        <w:rPr>
          <w:rFonts w:ascii="Courier New" w:hAnsi="Courier New" w:cs="Courier New"/>
        </w:rPr>
        <w:t xml:space="preserve"> found and ruled that the subject property was still being operated as </w:t>
      </w:r>
      <w:r w:rsidR="005C6B4C">
        <w:rPr>
          <w:rFonts w:ascii="Courier New" w:hAnsi="Courier New" w:cs="Courier New"/>
        </w:rPr>
        <w:t xml:space="preserve">part of </w:t>
      </w:r>
      <w:r w:rsidR="00C33009">
        <w:rPr>
          <w:rFonts w:ascii="Courier New" w:hAnsi="Courier New" w:cs="Courier New"/>
        </w:rPr>
        <w:t>an educational institution, a traditionally charitable endeavor</w:t>
      </w:r>
      <w:r w:rsidR="005C6B4C">
        <w:rPr>
          <w:rFonts w:ascii="Courier New" w:hAnsi="Courier New" w:cs="Courier New"/>
        </w:rPr>
        <w:t xml:space="preserve">, </w:t>
      </w:r>
      <w:r w:rsidR="005C6B4C">
        <w:rPr>
          <w:rFonts w:ascii="Courier New" w:hAnsi="Courier New" w:cs="Courier New"/>
        </w:rPr>
        <w:lastRenderedPageBreak/>
        <w:t xml:space="preserve">and that the </w:t>
      </w:r>
      <w:r w:rsidR="0019043F">
        <w:rPr>
          <w:rFonts w:ascii="Courier New" w:hAnsi="Courier New" w:cs="Courier New"/>
        </w:rPr>
        <w:t>subject property</w:t>
      </w:r>
      <w:r w:rsidR="005C6B4C">
        <w:rPr>
          <w:rFonts w:ascii="Courier New" w:hAnsi="Courier New" w:cs="Courier New"/>
        </w:rPr>
        <w:t xml:space="preserve"> w</w:t>
      </w:r>
      <w:r w:rsidR="0019043F">
        <w:rPr>
          <w:rFonts w:ascii="Courier New" w:hAnsi="Courier New" w:cs="Courier New"/>
        </w:rPr>
        <w:t>as</w:t>
      </w:r>
      <w:r w:rsidR="005C6B4C">
        <w:rPr>
          <w:rFonts w:ascii="Courier New" w:hAnsi="Courier New" w:cs="Courier New"/>
        </w:rPr>
        <w:t xml:space="preserve"> being no less utilized and maintained than the </w:t>
      </w:r>
      <w:r w:rsidR="0019043F">
        <w:rPr>
          <w:rFonts w:ascii="Courier New" w:hAnsi="Courier New" w:cs="Courier New"/>
        </w:rPr>
        <w:t xml:space="preserve">other </w:t>
      </w:r>
      <w:r w:rsidR="005C6B4C">
        <w:rPr>
          <w:rFonts w:ascii="Courier New" w:hAnsi="Courier New" w:cs="Courier New"/>
        </w:rPr>
        <w:t>campus parcels, which the appellee concedes were exempt</w:t>
      </w:r>
      <w:r w:rsidR="00C33009">
        <w:rPr>
          <w:rFonts w:ascii="Courier New" w:hAnsi="Courier New" w:cs="Courier New"/>
        </w:rPr>
        <w:t xml:space="preserve">. </w:t>
      </w:r>
      <w:r w:rsidR="00B92206">
        <w:rPr>
          <w:rFonts w:ascii="Courier New" w:hAnsi="Courier New" w:cs="Courier New"/>
        </w:rPr>
        <w:t xml:space="preserve"> The fact</w:t>
      </w:r>
      <w:r w:rsidR="00745174">
        <w:rPr>
          <w:rFonts w:ascii="Courier New" w:hAnsi="Courier New" w:cs="Courier New"/>
        </w:rPr>
        <w:t xml:space="preserve"> th</w:t>
      </w:r>
      <w:r w:rsidR="00B92206">
        <w:rPr>
          <w:rFonts w:ascii="Courier New" w:hAnsi="Courier New" w:cs="Courier New"/>
        </w:rPr>
        <w:t xml:space="preserve">at </w:t>
      </w:r>
      <w:r w:rsidR="00A8712C">
        <w:rPr>
          <w:rFonts w:ascii="Courier New" w:hAnsi="Courier New" w:cs="Courier New"/>
        </w:rPr>
        <w:t>a small number of</w:t>
      </w:r>
      <w:r w:rsidR="00B92206">
        <w:rPr>
          <w:rFonts w:ascii="Courier New" w:hAnsi="Courier New" w:cs="Courier New"/>
        </w:rPr>
        <w:t xml:space="preserve"> students were served during the suspension period </w:t>
      </w:r>
      <w:r w:rsidR="00745174">
        <w:rPr>
          <w:rFonts w:ascii="Courier New" w:hAnsi="Courier New" w:cs="Courier New"/>
        </w:rPr>
        <w:t xml:space="preserve">is not of concern when the organization is traditionally charitable in nature.  See </w:t>
      </w:r>
      <w:r w:rsidR="00745174" w:rsidRPr="00941AD6">
        <w:rPr>
          <w:rFonts w:ascii="Courier New" w:hAnsi="Courier New" w:cs="Courier New"/>
          <w:b/>
          <w:i/>
        </w:rPr>
        <w:t>New Habitat</w:t>
      </w:r>
      <w:r w:rsidR="00745174">
        <w:rPr>
          <w:rFonts w:ascii="Courier New" w:hAnsi="Courier New" w:cs="Courier New"/>
        </w:rPr>
        <w:t xml:space="preserve">, 451 Mass. at 737.  </w:t>
      </w:r>
    </w:p>
    <w:p w14:paraId="5AD1DB55" w14:textId="5F330BE3" w:rsidR="00A76942" w:rsidRPr="000D4761" w:rsidRDefault="000D4761" w:rsidP="000D4761">
      <w:pPr>
        <w:spacing w:line="480" w:lineRule="auto"/>
        <w:ind w:right="-180" w:firstLine="720"/>
        <w:jc w:val="both"/>
        <w:rPr>
          <w:rFonts w:ascii="Courier New" w:hAnsi="Courier New" w:cs="Courier New"/>
        </w:rPr>
      </w:pPr>
      <w:r>
        <w:rPr>
          <w:rFonts w:ascii="Courier New" w:hAnsi="Courier New" w:cs="Courier New"/>
        </w:rPr>
        <w:t>When the property at issue</w:t>
      </w:r>
      <w:r w:rsidR="00A8712C">
        <w:rPr>
          <w:rFonts w:ascii="Courier New" w:hAnsi="Courier New" w:cs="Courier New"/>
        </w:rPr>
        <w:t xml:space="preserve"> involves a residential facility</w:t>
      </w:r>
      <w:r>
        <w:rPr>
          <w:rFonts w:ascii="Courier New" w:hAnsi="Courier New" w:cs="Courier New"/>
        </w:rPr>
        <w:t xml:space="preserve"> owned by a char</w:t>
      </w:r>
      <w:r w:rsidR="00EE0E09">
        <w:rPr>
          <w:rFonts w:ascii="Courier New" w:hAnsi="Courier New" w:cs="Courier New"/>
        </w:rPr>
        <w:t>itable organization, a</w:t>
      </w:r>
      <w:r>
        <w:rPr>
          <w:rFonts w:ascii="Courier New" w:hAnsi="Courier New" w:cs="Courier New"/>
        </w:rPr>
        <w:t xml:space="preserve"> determination must be made as to whether the property is occupied by the residents in their individual capacities or by the organization itself.  </w:t>
      </w:r>
      <w:r w:rsidRPr="00EB367E">
        <w:rPr>
          <w:rFonts w:ascii="Courier New" w:hAnsi="Courier New" w:cs="Courier New"/>
          <w:b/>
          <w:i/>
        </w:rPr>
        <w:t>Mary</w:t>
      </w:r>
      <w:r>
        <w:rPr>
          <w:rFonts w:ascii="Courier New" w:hAnsi="Courier New" w:cs="Courier New"/>
          <w:b/>
          <w:i/>
        </w:rPr>
        <w:t xml:space="preserve"> </w:t>
      </w:r>
      <w:r w:rsidRPr="00EB367E">
        <w:rPr>
          <w:rFonts w:ascii="Courier New" w:hAnsi="Courier New" w:cs="Courier New"/>
          <w:b/>
          <w:i/>
        </w:rPr>
        <w:t>Ann Mor</w:t>
      </w:r>
      <w:r w:rsidR="00825D38">
        <w:rPr>
          <w:rFonts w:ascii="Courier New" w:hAnsi="Courier New" w:cs="Courier New"/>
          <w:b/>
          <w:i/>
        </w:rPr>
        <w:t>se Healthcare Corp.</w:t>
      </w:r>
      <w:r w:rsidR="00825D38">
        <w:rPr>
          <w:rFonts w:ascii="Courier New" w:hAnsi="Courier New" w:cs="Courier New"/>
        </w:rPr>
        <w:t>, 74 Mass. App. Ct. at</w:t>
      </w:r>
      <w:r>
        <w:rPr>
          <w:rFonts w:ascii="Courier New" w:hAnsi="Courier New" w:cs="Courier New"/>
        </w:rPr>
        <w:t xml:space="preserve"> </w:t>
      </w:r>
      <w:r w:rsidR="0035380B" w:rsidRPr="0035380B">
        <w:rPr>
          <w:rFonts w:ascii="Courier New" w:hAnsi="Courier New" w:cs="Courier New"/>
        </w:rPr>
        <w:t>70</w:t>
      </w:r>
      <w:r w:rsidR="0035380B">
        <w:rPr>
          <w:rFonts w:ascii="Courier New" w:hAnsi="Courier New" w:cs="Courier New"/>
        </w:rPr>
        <w:t>4</w:t>
      </w:r>
      <w:r>
        <w:rPr>
          <w:rFonts w:ascii="Courier New" w:hAnsi="Courier New" w:cs="Courier New"/>
          <w:b/>
          <w:i/>
        </w:rPr>
        <w:t xml:space="preserve">.  </w:t>
      </w:r>
      <w:r w:rsidR="00C33009">
        <w:rPr>
          <w:rFonts w:ascii="Courier New" w:hAnsi="Courier New" w:cs="Courier New"/>
        </w:rPr>
        <w:t>T</w:t>
      </w:r>
      <w:r w:rsidR="00D77467">
        <w:rPr>
          <w:rFonts w:ascii="Courier New" w:hAnsi="Courier New" w:cs="Courier New"/>
        </w:rPr>
        <w:t xml:space="preserve">he Supreme Judicial </w:t>
      </w:r>
      <w:r w:rsidR="00D77467" w:rsidRPr="00DD1453">
        <w:rPr>
          <w:rFonts w:ascii="Courier New" w:hAnsi="Courier New" w:cs="Courier New"/>
        </w:rPr>
        <w:t xml:space="preserve">Court has specifically found that the occupation of dormitories is not by the individual students but by the charitable organization.  </w:t>
      </w:r>
      <w:r w:rsidR="007B6B52" w:rsidRPr="00DD1453">
        <w:rPr>
          <w:rFonts w:ascii="Courier New" w:hAnsi="Courier New" w:cs="Courier New"/>
        </w:rPr>
        <w:t>“</w:t>
      </w:r>
      <w:r w:rsidR="007B6B52" w:rsidRPr="00DD1453">
        <w:rPr>
          <w:rFonts w:ascii="Courier New" w:hAnsi="Courier New" w:cs="Courier New"/>
          <w:shd w:val="clear" w:color="auto" w:fill="FFFFFF"/>
        </w:rPr>
        <w:t>Dormitories, dining halls and boarding houses intended primarily for and actually devoted to the use and benefit of students attending incorporated institutions of learning are exempt from taxation.”</w:t>
      </w:r>
      <w:r w:rsidR="00C35963">
        <w:rPr>
          <w:rFonts w:ascii="Courier New" w:hAnsi="Courier New" w:cs="Courier New"/>
          <w:shd w:val="clear" w:color="auto" w:fill="FFFFFF"/>
        </w:rPr>
        <w:t xml:space="preserve"> </w:t>
      </w:r>
      <w:r w:rsidR="007B6B52" w:rsidRPr="00DD1453">
        <w:rPr>
          <w:rFonts w:ascii="Courier New" w:hAnsi="Courier New" w:cs="Courier New"/>
          <w:shd w:val="clear" w:color="auto" w:fill="FFFFFF"/>
        </w:rPr>
        <w:t xml:space="preserve"> </w:t>
      </w:r>
      <w:r w:rsidR="007B6B52" w:rsidRPr="00DD1453">
        <w:rPr>
          <w:rFonts w:ascii="Courier New" w:hAnsi="Courier New" w:cs="Courier New"/>
          <w:b/>
          <w:i/>
          <w:shd w:val="clear" w:color="auto" w:fill="FFFFFF"/>
        </w:rPr>
        <w:t>Springfield YMCA v. Assessors of Springfield</w:t>
      </w:r>
      <w:r w:rsidR="007B6B52" w:rsidRPr="00DD1453">
        <w:rPr>
          <w:rFonts w:ascii="Courier New" w:hAnsi="Courier New" w:cs="Courier New"/>
          <w:shd w:val="clear" w:color="auto" w:fill="FFFFFF"/>
        </w:rPr>
        <w:t>, 284 Mass. 1, 6 (1933)</w:t>
      </w:r>
      <w:r w:rsidR="007B6B52" w:rsidRPr="00DD1453">
        <w:rPr>
          <w:rStyle w:val="apple-converted-space"/>
          <w:rFonts w:ascii="Courier New" w:hAnsi="Courier New" w:cs="Courier New"/>
          <w:shd w:val="clear" w:color="auto" w:fill="FFFFFF"/>
        </w:rPr>
        <w:t xml:space="preserve"> (citing </w:t>
      </w:r>
      <w:hyperlink r:id="rId11" w:history="1">
        <w:r w:rsidR="007B6B52" w:rsidRPr="00DD1453">
          <w:rPr>
            <w:rStyle w:val="ssit"/>
            <w:rFonts w:ascii="Courier New" w:hAnsi="Courier New" w:cs="Courier New"/>
            <w:b/>
            <w:i/>
            <w:iCs/>
            <w:bdr w:val="none" w:sz="0" w:space="0" w:color="auto" w:frame="1"/>
            <w:shd w:val="clear" w:color="auto" w:fill="FFFFFF"/>
          </w:rPr>
          <w:t>Phillips Academy</w:t>
        </w:r>
        <w:r w:rsidR="003A3F67">
          <w:rPr>
            <w:rStyle w:val="ssit"/>
            <w:rFonts w:ascii="Courier New" w:hAnsi="Courier New" w:cs="Courier New"/>
            <w:b/>
            <w:i/>
            <w:iCs/>
            <w:bdr w:val="none" w:sz="0" w:space="0" w:color="auto" w:frame="1"/>
            <w:shd w:val="clear" w:color="auto" w:fill="FFFFFF"/>
          </w:rPr>
          <w:t xml:space="preserve"> v.</w:t>
        </w:r>
        <w:r w:rsidR="007B6B52" w:rsidRPr="00DD1453">
          <w:rPr>
            <w:rStyle w:val="apple-converted-space"/>
            <w:rFonts w:ascii="Courier New" w:hAnsi="Courier New" w:cs="Courier New"/>
            <w:b/>
            <w:i/>
            <w:iCs/>
            <w:bdr w:val="none" w:sz="0" w:space="0" w:color="auto" w:frame="1"/>
            <w:shd w:val="clear" w:color="auto" w:fill="FFFFFF"/>
          </w:rPr>
          <w:t> </w:t>
        </w:r>
        <w:r w:rsidR="007B6B52" w:rsidRPr="00DD1453">
          <w:rPr>
            <w:rStyle w:val="ssit"/>
            <w:rFonts w:ascii="Courier New" w:hAnsi="Courier New" w:cs="Courier New"/>
            <w:b/>
            <w:i/>
            <w:iCs/>
            <w:bdr w:val="none" w:sz="0" w:space="0" w:color="auto" w:frame="1"/>
            <w:shd w:val="clear" w:color="auto" w:fill="FFFFFF"/>
          </w:rPr>
          <w:t>Andover</w:t>
        </w:r>
        <w:r w:rsidR="003A3F67">
          <w:rPr>
            <w:rStyle w:val="ssit"/>
            <w:rFonts w:ascii="Courier New" w:hAnsi="Courier New" w:cs="Courier New"/>
            <w:b/>
            <w:i/>
            <w:iCs/>
            <w:bdr w:val="none" w:sz="0" w:space="0" w:color="auto" w:frame="1"/>
            <w:shd w:val="clear" w:color="auto" w:fill="FFFFFF"/>
          </w:rPr>
          <w:t xml:space="preserve">, </w:t>
        </w:r>
        <w:r w:rsidR="003A3F67" w:rsidRPr="003A3F67">
          <w:rPr>
            <w:rStyle w:val="ssit"/>
            <w:rFonts w:ascii="Courier New" w:hAnsi="Courier New" w:cs="Courier New"/>
            <w:iCs/>
            <w:bdr w:val="none" w:sz="0" w:space="0" w:color="auto" w:frame="1"/>
            <w:shd w:val="clear" w:color="auto" w:fill="FFFFFF"/>
          </w:rPr>
          <w:t>175 Mass. 118, 125 (1900)).</w:t>
        </w:r>
        <w:r w:rsidR="007B6B52" w:rsidRPr="00DD1453">
          <w:rPr>
            <w:rStyle w:val="Hyperlink"/>
            <w:rFonts w:ascii="Courier New" w:hAnsi="Courier New" w:cs="Courier New"/>
            <w:color w:val="auto"/>
            <w:u w:val="none"/>
            <w:bdr w:val="none" w:sz="0" w:space="0" w:color="auto" w:frame="1"/>
            <w:shd w:val="clear" w:color="auto" w:fill="FFFFFF"/>
          </w:rPr>
          <w:t xml:space="preserve"> </w:t>
        </w:r>
      </w:hyperlink>
      <w:r w:rsidR="007B6B52" w:rsidRPr="00DD1453">
        <w:rPr>
          <w:rFonts w:ascii="Courier New" w:hAnsi="Courier New" w:cs="Courier New"/>
        </w:rPr>
        <w:t xml:space="preserve"> </w:t>
      </w:r>
      <w:r w:rsidR="007B6B52" w:rsidRPr="00083420">
        <w:rPr>
          <w:rFonts w:ascii="Courier New" w:hAnsi="Courier New" w:cs="Courier New"/>
          <w:i/>
        </w:rPr>
        <w:t>See also</w:t>
      </w:r>
      <w:r w:rsidR="00201D58">
        <w:rPr>
          <w:rFonts w:ascii="Courier New" w:hAnsi="Courier New" w:cs="Courier New"/>
        </w:rPr>
        <w:t xml:space="preserve"> </w:t>
      </w:r>
      <w:r w:rsidR="00201D58">
        <w:rPr>
          <w:rFonts w:ascii="Courier New" w:hAnsi="Courier New" w:cs="Courier New"/>
          <w:b/>
          <w:i/>
        </w:rPr>
        <w:t>M.I.T. Student House, Inc. v. Assessors of Boston</w:t>
      </w:r>
      <w:r w:rsidR="00201D58">
        <w:rPr>
          <w:rFonts w:ascii="Courier New" w:hAnsi="Courier New" w:cs="Courier New"/>
        </w:rPr>
        <w:t xml:space="preserve">, 350 Mass. 539, 542 (1966) (finding that a “student house” that was occupied by needy students who paid a small rental fee to the taxpayer was like “a ‘dormitory or boarding house’” and that the occupation of such is by the corporation itself and not the residents, “just as the </w:t>
      </w:r>
      <w:r w:rsidR="00201D58">
        <w:rPr>
          <w:rFonts w:ascii="Courier New" w:hAnsi="Courier New" w:cs="Courier New"/>
        </w:rPr>
        <w:lastRenderedPageBreak/>
        <w:t xml:space="preserve">occupation of a college dormitory [] is that of the institution of learning”);  </w:t>
      </w:r>
      <w:r w:rsidR="00EE1C7C" w:rsidRPr="00DD1453">
        <w:rPr>
          <w:rFonts w:ascii="Courier New" w:hAnsi="Courier New" w:cs="Courier New"/>
          <w:b/>
          <w:i/>
        </w:rPr>
        <w:t>Franklin Square House v. Boston</w:t>
      </w:r>
      <w:r w:rsidR="00EE1C7C" w:rsidRPr="00DD1453">
        <w:rPr>
          <w:rFonts w:ascii="Courier New" w:hAnsi="Courier New" w:cs="Courier New"/>
        </w:rPr>
        <w:t>, </w:t>
      </w:r>
      <w:bookmarkStart w:id="3" w:name="cite_188mass409"/>
      <w:r w:rsidR="00EE1C7C" w:rsidRPr="00DD1453">
        <w:rPr>
          <w:rFonts w:ascii="Courier New" w:hAnsi="Courier New" w:cs="Courier New"/>
        </w:rPr>
        <w:fldChar w:fldCharType="begin"/>
      </w:r>
      <w:r w:rsidR="00EE1C7C" w:rsidRPr="00DD1453">
        <w:rPr>
          <w:rFonts w:ascii="Courier New" w:hAnsi="Courier New" w:cs="Courier New"/>
        </w:rPr>
        <w:instrText xml:space="preserve"> HYPERLINK "http://masscases.com/cases/sjc/188/188mass409.html" </w:instrText>
      </w:r>
      <w:r w:rsidR="00EE1C7C" w:rsidRPr="00DD1453">
        <w:rPr>
          <w:rFonts w:ascii="Courier New" w:hAnsi="Courier New" w:cs="Courier New"/>
        </w:rPr>
        <w:fldChar w:fldCharType="separate"/>
      </w:r>
      <w:r w:rsidR="00EE1C7C" w:rsidRPr="00DD1453">
        <w:rPr>
          <w:rStyle w:val="Hyperlink"/>
          <w:rFonts w:ascii="Courier New" w:hAnsi="Courier New" w:cs="Courier New"/>
          <w:color w:val="auto"/>
          <w:u w:val="none"/>
        </w:rPr>
        <w:t>188 Mass. 409</w:t>
      </w:r>
      <w:r w:rsidR="00EE1C7C" w:rsidRPr="00DD1453">
        <w:rPr>
          <w:rFonts w:ascii="Courier New" w:hAnsi="Courier New" w:cs="Courier New"/>
        </w:rPr>
        <w:fldChar w:fldCharType="end"/>
      </w:r>
      <w:bookmarkEnd w:id="3"/>
      <w:r w:rsidR="00A76942">
        <w:rPr>
          <w:rFonts w:ascii="Courier New" w:hAnsi="Courier New" w:cs="Courier New"/>
        </w:rPr>
        <w:t xml:space="preserve">, 411 </w:t>
      </w:r>
      <w:r w:rsidR="003A3F67">
        <w:rPr>
          <w:rFonts w:ascii="Courier New" w:hAnsi="Courier New" w:cs="Courier New"/>
        </w:rPr>
        <w:t>(1905</w:t>
      </w:r>
      <w:r w:rsidR="00E20908">
        <w:rPr>
          <w:rFonts w:ascii="Courier New" w:hAnsi="Courier New" w:cs="Courier New"/>
        </w:rPr>
        <w:t>)</w:t>
      </w:r>
      <w:r w:rsidR="00EE1C7C" w:rsidRPr="00DD1453">
        <w:rPr>
          <w:rFonts w:ascii="Courier New" w:hAnsi="Courier New" w:cs="Courier New"/>
        </w:rPr>
        <w:t xml:space="preserve"> </w:t>
      </w:r>
      <w:r w:rsidR="00D77467" w:rsidRPr="00DD1453">
        <w:rPr>
          <w:rFonts w:ascii="Courier New" w:hAnsi="Courier New" w:cs="Courier New"/>
        </w:rPr>
        <w:t>(</w:t>
      </w:r>
      <w:r w:rsidR="00EE1C7C" w:rsidRPr="00DD1453">
        <w:rPr>
          <w:rFonts w:ascii="Courier New" w:hAnsi="Courier New" w:cs="Courier New"/>
        </w:rPr>
        <w:t>“</w:t>
      </w:r>
      <w:r w:rsidR="00D77467" w:rsidRPr="00DD1453">
        <w:rPr>
          <w:rFonts w:ascii="Courier New" w:hAnsi="Courier New" w:cs="Courier New"/>
        </w:rPr>
        <w:t>T</w:t>
      </w:r>
      <w:r w:rsidR="00EE1C7C" w:rsidRPr="00DD1453">
        <w:rPr>
          <w:rFonts w:ascii="Courier New" w:hAnsi="Courier New" w:cs="Courier New"/>
        </w:rPr>
        <w:t xml:space="preserve">he occupation of the property is that of the corporation itself, and not of those to whom it affords a home, just as the occupation of a college dormitory or </w:t>
      </w:r>
      <w:r w:rsidR="00EE1C7C" w:rsidRPr="001C4328">
        <w:rPr>
          <w:rFonts w:ascii="Courier New" w:hAnsi="Courier New" w:cs="Courier New"/>
          <w:color w:val="000000"/>
        </w:rPr>
        <w:t>refectory is that of the institution of learning ra</w:t>
      </w:r>
      <w:r w:rsidR="00EE1C7C">
        <w:rPr>
          <w:rFonts w:ascii="Courier New" w:hAnsi="Courier New" w:cs="Courier New"/>
          <w:color w:val="000000"/>
        </w:rPr>
        <w:t>ther than that of its students.”</w:t>
      </w:r>
      <w:r w:rsidR="00201D58">
        <w:rPr>
          <w:rFonts w:ascii="Courier New" w:hAnsi="Courier New" w:cs="Courier New"/>
          <w:color w:val="000000"/>
        </w:rPr>
        <w:t>)</w:t>
      </w:r>
      <w:r w:rsidR="00A76942">
        <w:rPr>
          <w:rFonts w:ascii="Courier New" w:hAnsi="Courier New" w:cs="Courier New"/>
          <w:color w:val="000000"/>
        </w:rPr>
        <w:t>.</w:t>
      </w:r>
    </w:p>
    <w:p w14:paraId="42C74799" w14:textId="13CCD085" w:rsidR="00C71F23" w:rsidRDefault="000D4761" w:rsidP="00C33009">
      <w:pPr>
        <w:spacing w:line="480" w:lineRule="auto"/>
        <w:ind w:firstLine="720"/>
        <w:jc w:val="both"/>
        <w:rPr>
          <w:rFonts w:ascii="Courier New" w:hAnsi="Courier New" w:cs="Courier New"/>
        </w:rPr>
      </w:pPr>
      <w:r>
        <w:rPr>
          <w:rFonts w:ascii="Courier New" w:hAnsi="Courier New" w:cs="Courier New"/>
          <w:color w:val="000000"/>
        </w:rPr>
        <w:t>So long as a</w:t>
      </w:r>
      <w:r w:rsidR="00A76942">
        <w:rPr>
          <w:rFonts w:ascii="Courier New" w:hAnsi="Courier New" w:cs="Courier New"/>
          <w:color w:val="000000"/>
        </w:rPr>
        <w:t xml:space="preserve"> property is occupied by the charitable organization for the purpose for which it was organized</w:t>
      </w:r>
      <w:r>
        <w:rPr>
          <w:rFonts w:ascii="Courier New" w:hAnsi="Courier New" w:cs="Courier New"/>
          <w:color w:val="000000"/>
        </w:rPr>
        <w:t xml:space="preserve">, the occupancy will satisfy Clause Third.  See </w:t>
      </w:r>
      <w:r w:rsidRPr="00EB367E">
        <w:rPr>
          <w:rFonts w:ascii="Courier New" w:hAnsi="Courier New" w:cs="Courier New"/>
          <w:b/>
          <w:i/>
        </w:rPr>
        <w:t>Mary</w:t>
      </w:r>
      <w:r>
        <w:rPr>
          <w:rFonts w:ascii="Courier New" w:hAnsi="Courier New" w:cs="Courier New"/>
          <w:b/>
          <w:i/>
        </w:rPr>
        <w:t xml:space="preserve"> </w:t>
      </w:r>
      <w:r w:rsidRPr="00EB367E">
        <w:rPr>
          <w:rFonts w:ascii="Courier New" w:hAnsi="Courier New" w:cs="Courier New"/>
          <w:b/>
          <w:i/>
        </w:rPr>
        <w:t>Ann Mor</w:t>
      </w:r>
      <w:r w:rsidR="00825D38">
        <w:rPr>
          <w:rFonts w:ascii="Courier New" w:hAnsi="Courier New" w:cs="Courier New"/>
          <w:b/>
          <w:i/>
        </w:rPr>
        <w:t>se Healthcare Corp.</w:t>
      </w:r>
      <w:r w:rsidR="00825D38">
        <w:rPr>
          <w:rFonts w:ascii="Courier New" w:hAnsi="Courier New" w:cs="Courier New"/>
        </w:rPr>
        <w:t>, 74 Mass. App. Ct. at 706</w:t>
      </w:r>
      <w:r>
        <w:rPr>
          <w:rFonts w:ascii="Courier New" w:hAnsi="Courier New" w:cs="Courier New"/>
        </w:rPr>
        <w:t xml:space="preserve"> (ruling that the provision of housing to elderly residents was consistent with organization’s charitable purpose).  </w:t>
      </w:r>
      <w:r w:rsidR="007D50B0">
        <w:rPr>
          <w:rFonts w:ascii="Courier New" w:hAnsi="Courier New" w:cs="Courier New"/>
        </w:rPr>
        <w:t>The Board found that the use of the subject property to h</w:t>
      </w:r>
      <w:r w:rsidR="00B92206">
        <w:rPr>
          <w:rFonts w:ascii="Courier New" w:hAnsi="Courier New" w:cs="Courier New"/>
        </w:rPr>
        <w:t>ouse employees of the appellant</w:t>
      </w:r>
      <w:r w:rsidR="007D50B0">
        <w:rPr>
          <w:rFonts w:ascii="Courier New" w:hAnsi="Courier New" w:cs="Courier New"/>
        </w:rPr>
        <w:t xml:space="preserve"> wh</w:t>
      </w:r>
      <w:r w:rsidR="00825D38">
        <w:rPr>
          <w:rFonts w:ascii="Courier New" w:hAnsi="Courier New" w:cs="Courier New"/>
        </w:rPr>
        <w:t>o were continuing to maintain</w:t>
      </w:r>
      <w:r w:rsidR="007D50B0">
        <w:rPr>
          <w:rFonts w:ascii="Courier New" w:hAnsi="Courier New" w:cs="Courier New"/>
        </w:rPr>
        <w:t xml:space="preserve"> the subject property while the administration was working towards regaining</w:t>
      </w:r>
      <w:r w:rsidR="00B92206">
        <w:rPr>
          <w:rFonts w:ascii="Courier New" w:hAnsi="Courier New" w:cs="Courier New"/>
        </w:rPr>
        <w:t xml:space="preserve"> accreditation, and by students </w:t>
      </w:r>
      <w:r w:rsidR="007D50B0">
        <w:rPr>
          <w:rFonts w:ascii="Courier New" w:hAnsi="Courier New" w:cs="Courier New"/>
        </w:rPr>
        <w:t xml:space="preserve">who were continuing to pursue their academic degrees at another institution while their degrees from the appellant were on hold, was consistent with and in furtherance of the appellant’s charitable purposes.  </w:t>
      </w:r>
      <w:r w:rsidR="00197B28">
        <w:rPr>
          <w:rFonts w:ascii="Courier New" w:hAnsi="Courier New" w:cs="Courier New"/>
        </w:rPr>
        <w:t xml:space="preserve">The endeavors of the employees and the students contributed to the promotion of the academic program and therefore the charitable purpose of the appellant.  </w:t>
      </w:r>
      <w:r w:rsidR="00197B28" w:rsidRPr="00197B28">
        <w:rPr>
          <w:rFonts w:ascii="Courier New" w:hAnsi="Courier New" w:cs="Courier New"/>
          <w:i/>
        </w:rPr>
        <w:t>See, e.g.</w:t>
      </w:r>
      <w:r w:rsidR="00197B28">
        <w:rPr>
          <w:rFonts w:ascii="Courier New" w:hAnsi="Courier New" w:cs="Courier New"/>
        </w:rPr>
        <w:t xml:space="preserve">, </w:t>
      </w:r>
      <w:r w:rsidR="00197B28" w:rsidRPr="00197B28">
        <w:rPr>
          <w:rFonts w:ascii="Courier New" w:hAnsi="Courier New" w:cs="Courier New"/>
          <w:b/>
          <w:i/>
        </w:rPr>
        <w:t>The Sterling and Francine Clark Art Institute, Inc. v. Assessors of the Town of Williamstown</w:t>
      </w:r>
      <w:r w:rsidR="00197B28">
        <w:rPr>
          <w:rFonts w:ascii="Courier New" w:hAnsi="Courier New" w:cs="Courier New"/>
        </w:rPr>
        <w:t>, Mass. ATB Findings of F</w:t>
      </w:r>
      <w:r w:rsidR="008F38AD">
        <w:rPr>
          <w:rFonts w:ascii="Courier New" w:hAnsi="Courier New" w:cs="Courier New"/>
        </w:rPr>
        <w:t>act and Reports 2015-581, 591</w:t>
      </w:r>
      <w:r w:rsidR="00197B28">
        <w:rPr>
          <w:rFonts w:ascii="Courier New" w:hAnsi="Courier New" w:cs="Courier New"/>
        </w:rPr>
        <w:t xml:space="preserve">.  </w:t>
      </w:r>
    </w:p>
    <w:p w14:paraId="4E79EF62" w14:textId="3DE97A53" w:rsidR="00F12047" w:rsidRDefault="00C71F23" w:rsidP="00825D38">
      <w:pPr>
        <w:spacing w:line="480" w:lineRule="auto"/>
        <w:ind w:firstLine="720"/>
        <w:jc w:val="both"/>
        <w:rPr>
          <w:rFonts w:ascii="Courier New" w:hAnsi="Courier New" w:cs="Courier New"/>
        </w:rPr>
      </w:pPr>
      <w:r>
        <w:rPr>
          <w:rFonts w:ascii="Courier New" w:hAnsi="Courier New" w:cs="Courier New"/>
        </w:rPr>
        <w:lastRenderedPageBreak/>
        <w:t>On the basis of its findings, the Board ruled that the appellant continued to operate the subject property in furtherance of its charitable purpose</w:t>
      </w:r>
      <w:r w:rsidR="008C207C">
        <w:rPr>
          <w:rFonts w:ascii="Courier New" w:hAnsi="Courier New" w:cs="Courier New"/>
        </w:rPr>
        <w:t xml:space="preserve"> of education</w:t>
      </w:r>
      <w:r>
        <w:rPr>
          <w:rFonts w:ascii="Courier New" w:hAnsi="Courier New" w:cs="Courier New"/>
        </w:rPr>
        <w:t>.  Therefore, the Board found that the subject property satisfied Clause Third during the relevant time period</w:t>
      </w:r>
      <w:r w:rsidR="00825D38">
        <w:rPr>
          <w:rFonts w:ascii="Courier New" w:hAnsi="Courier New" w:cs="Courier New"/>
        </w:rPr>
        <w:t>s</w:t>
      </w:r>
      <w:r>
        <w:rPr>
          <w:rFonts w:ascii="Courier New" w:hAnsi="Courier New" w:cs="Courier New"/>
        </w:rPr>
        <w:t>.</w:t>
      </w:r>
      <w:r w:rsidR="00197B28" w:rsidRPr="00677512">
        <w:rPr>
          <w:rFonts w:ascii="Courier New" w:hAnsi="Courier New" w:cs="Courier New"/>
        </w:rPr>
        <w:t xml:space="preserve"> </w:t>
      </w:r>
      <w:r w:rsidR="00197B28">
        <w:rPr>
          <w:rFonts w:ascii="Courier New" w:hAnsi="Courier New" w:cs="Courier New"/>
        </w:rPr>
        <w:t xml:space="preserve"> </w:t>
      </w:r>
    </w:p>
    <w:p w14:paraId="1932ACA9" w14:textId="65B4131F" w:rsidR="00890A73" w:rsidRDefault="00890A73" w:rsidP="00890A73">
      <w:pPr>
        <w:spacing w:line="480" w:lineRule="auto"/>
        <w:ind w:firstLine="720"/>
        <w:jc w:val="both"/>
        <w:rPr>
          <w:rFonts w:ascii="Courier New" w:hAnsi="Courier New" w:cs="Courier New"/>
        </w:rPr>
      </w:pPr>
      <w:r>
        <w:rPr>
          <w:rFonts w:ascii="Courier New" w:hAnsi="Courier New" w:cs="Courier New"/>
        </w:rPr>
        <w:t>Accordingly, the Board issued decisions for the appellant in these appeals.</w:t>
      </w:r>
    </w:p>
    <w:p w14:paraId="48168FD5" w14:textId="77777777" w:rsidR="00890A73" w:rsidRDefault="00890A73" w:rsidP="00890A73">
      <w:pPr>
        <w:spacing w:line="480" w:lineRule="auto"/>
        <w:jc w:val="both"/>
        <w:rPr>
          <w:rFonts w:ascii="Courier New" w:hAnsi="Courier New" w:cs="Courier New"/>
        </w:rPr>
      </w:pPr>
    </w:p>
    <w:p w14:paraId="2498C050" w14:textId="77777777" w:rsidR="00890A73" w:rsidRDefault="00890A73" w:rsidP="00890A73">
      <w:pPr>
        <w:ind w:left="2880" w:firstLine="720"/>
        <w:jc w:val="both"/>
        <w:rPr>
          <w:rFonts w:ascii="Courier New" w:hAnsi="Courier New" w:cs="Courier New"/>
          <w:b/>
        </w:rPr>
      </w:pPr>
      <w:r>
        <w:rPr>
          <w:rFonts w:ascii="Courier New" w:hAnsi="Courier New" w:cs="Courier New"/>
          <w:b/>
        </w:rPr>
        <w:t>  </w:t>
      </w:r>
      <w:r w:rsidRPr="006C660D">
        <w:rPr>
          <w:rFonts w:ascii="Courier New" w:hAnsi="Courier New" w:cs="Courier New"/>
          <w:b/>
        </w:rPr>
        <w:t>THE APPELLATE TAX BOARD</w:t>
      </w:r>
    </w:p>
    <w:p w14:paraId="1316800D" w14:textId="77777777" w:rsidR="00890A73" w:rsidRDefault="00890A73" w:rsidP="00890A73">
      <w:pPr>
        <w:ind w:left="2880" w:firstLine="720"/>
        <w:jc w:val="both"/>
        <w:rPr>
          <w:rFonts w:ascii="Courier New" w:hAnsi="Courier New" w:cs="Courier New"/>
          <w:b/>
        </w:rPr>
      </w:pPr>
    </w:p>
    <w:p w14:paraId="613B3508" w14:textId="77777777" w:rsidR="00890A73" w:rsidRDefault="00890A73" w:rsidP="00890A73">
      <w:pPr>
        <w:ind w:left="2880" w:firstLine="720"/>
        <w:jc w:val="both"/>
        <w:rPr>
          <w:rFonts w:ascii="Courier New" w:hAnsi="Courier New" w:cs="Courier New"/>
          <w:b/>
        </w:rPr>
      </w:pPr>
    </w:p>
    <w:p w14:paraId="376E6A98" w14:textId="77777777" w:rsidR="00890A73" w:rsidRPr="006C660D" w:rsidRDefault="00890A73" w:rsidP="00890A73">
      <w:pPr>
        <w:ind w:left="2880" w:firstLine="720"/>
        <w:jc w:val="both"/>
        <w:rPr>
          <w:rFonts w:ascii="Courier New" w:hAnsi="Courier New" w:cs="Courier New"/>
          <w:b/>
        </w:rPr>
      </w:pPr>
    </w:p>
    <w:p w14:paraId="21FC1845" w14:textId="2D36A053" w:rsidR="00890A73" w:rsidRDefault="00890A73" w:rsidP="00890A73">
      <w:pPr>
        <w:ind w:left="2160" w:firstLine="720"/>
        <w:jc w:val="both"/>
        <w:rPr>
          <w:rFonts w:ascii="Courier New" w:hAnsi="Courier New" w:cs="Courier New"/>
          <w:b/>
        </w:rPr>
      </w:pPr>
      <w:r w:rsidRPr="006C660D">
        <w:rPr>
          <w:rFonts w:ascii="Courier New" w:hAnsi="Courier New" w:cs="Courier New"/>
          <w:b/>
        </w:rPr>
        <w:t>B</w:t>
      </w:r>
      <w:r>
        <w:rPr>
          <w:rFonts w:ascii="Courier New" w:hAnsi="Courier New" w:cs="Courier New"/>
          <w:b/>
        </w:rPr>
        <w:t>y:    _______________________________</w:t>
      </w:r>
      <w:r w:rsidR="00806B9F">
        <w:rPr>
          <w:rFonts w:ascii="Courier New" w:hAnsi="Courier New" w:cs="Courier New"/>
          <w:b/>
        </w:rPr>
        <w:t>_</w:t>
      </w:r>
      <w:r>
        <w:rPr>
          <w:rFonts w:ascii="Courier New" w:hAnsi="Courier New" w:cs="Courier New"/>
          <w:b/>
        </w:rPr>
        <w:t xml:space="preserve">       </w:t>
      </w:r>
    </w:p>
    <w:p w14:paraId="5F3BDABE" w14:textId="77777777" w:rsidR="00890A73" w:rsidRPr="006C660D" w:rsidRDefault="00890A73" w:rsidP="00890A73">
      <w:pPr>
        <w:ind w:left="3315" w:firstLine="285"/>
        <w:jc w:val="both"/>
        <w:rPr>
          <w:rFonts w:ascii="Courier New" w:hAnsi="Courier New" w:cs="Courier New"/>
          <w:b/>
        </w:rPr>
      </w:pPr>
      <w:r>
        <w:rPr>
          <w:rFonts w:ascii="Courier New" w:hAnsi="Courier New" w:cs="Courier New"/>
          <w:b/>
        </w:rPr>
        <w:t xml:space="preserve">  </w:t>
      </w:r>
      <w:r w:rsidRPr="006C660D">
        <w:rPr>
          <w:rFonts w:ascii="Courier New" w:hAnsi="Courier New" w:cs="Courier New"/>
          <w:b/>
        </w:rPr>
        <w:t xml:space="preserve">Thomas </w:t>
      </w:r>
      <w:r>
        <w:rPr>
          <w:rFonts w:ascii="Courier New" w:hAnsi="Courier New" w:cs="Courier New"/>
          <w:b/>
        </w:rPr>
        <w:t>W. Hammond, Jr.</w:t>
      </w:r>
      <w:r w:rsidRPr="006C660D">
        <w:rPr>
          <w:rFonts w:ascii="Courier New" w:hAnsi="Courier New" w:cs="Courier New"/>
          <w:b/>
        </w:rPr>
        <w:t>, C</w:t>
      </w:r>
      <w:r>
        <w:rPr>
          <w:rFonts w:ascii="Courier New" w:hAnsi="Courier New" w:cs="Courier New"/>
          <w:b/>
        </w:rPr>
        <w:t>hairman</w:t>
      </w:r>
      <w:r w:rsidRPr="006C660D">
        <w:rPr>
          <w:rFonts w:ascii="Courier New" w:hAnsi="Courier New" w:cs="Courier New"/>
          <w:b/>
        </w:rPr>
        <w:t xml:space="preserve"> </w:t>
      </w:r>
    </w:p>
    <w:p w14:paraId="16439666" w14:textId="77777777" w:rsidR="00890A73" w:rsidRPr="006C660D" w:rsidRDefault="00890A73" w:rsidP="00890A73">
      <w:pPr>
        <w:jc w:val="both"/>
        <w:rPr>
          <w:rFonts w:ascii="Courier New" w:hAnsi="Courier New" w:cs="Courier New"/>
          <w:b/>
        </w:rPr>
      </w:pPr>
    </w:p>
    <w:p w14:paraId="39ED85B2" w14:textId="77777777" w:rsidR="00890A73" w:rsidRDefault="00890A73" w:rsidP="00890A73">
      <w:pPr>
        <w:jc w:val="both"/>
        <w:rPr>
          <w:rFonts w:ascii="Courier New" w:hAnsi="Courier New" w:cs="Courier New"/>
          <w:b/>
        </w:rPr>
      </w:pPr>
    </w:p>
    <w:p w14:paraId="682ED1CE" w14:textId="77777777" w:rsidR="00890A73" w:rsidRDefault="00890A73" w:rsidP="00890A73">
      <w:pPr>
        <w:jc w:val="both"/>
        <w:rPr>
          <w:rFonts w:ascii="Courier New" w:hAnsi="Courier New" w:cs="Courier New"/>
          <w:b/>
        </w:rPr>
      </w:pPr>
    </w:p>
    <w:p w14:paraId="749DED38" w14:textId="77777777" w:rsidR="00661CD7" w:rsidRDefault="00661CD7" w:rsidP="00661CD7">
      <w:pPr>
        <w:jc w:val="both"/>
        <w:rPr>
          <w:rFonts w:ascii="Courier New" w:hAnsi="Courier New" w:cs="Courier New"/>
          <w:b/>
        </w:rPr>
      </w:pPr>
      <w:r w:rsidRPr="006C660D">
        <w:rPr>
          <w:rFonts w:ascii="Courier New" w:hAnsi="Courier New" w:cs="Courier New"/>
          <w:b/>
        </w:rPr>
        <w:t xml:space="preserve">A </w:t>
      </w:r>
      <w:r w:rsidRPr="00EB27DC">
        <w:rPr>
          <w:rFonts w:ascii="Courier New" w:hAnsi="Courier New" w:cs="Courier New"/>
          <w:b/>
        </w:rPr>
        <w:t>true copy,</w:t>
      </w:r>
    </w:p>
    <w:p w14:paraId="69A26199" w14:textId="77777777" w:rsidR="00661CD7" w:rsidRDefault="00661CD7" w:rsidP="00661CD7">
      <w:pPr>
        <w:jc w:val="both"/>
        <w:rPr>
          <w:rFonts w:ascii="Courier New" w:hAnsi="Courier New" w:cs="Courier New"/>
          <w:b/>
        </w:rPr>
      </w:pPr>
    </w:p>
    <w:p w14:paraId="15871150" w14:textId="77777777" w:rsidR="00661CD7" w:rsidRPr="00EB27DC" w:rsidRDefault="00661CD7" w:rsidP="00661CD7">
      <w:pPr>
        <w:jc w:val="both"/>
        <w:rPr>
          <w:rFonts w:ascii="Courier New" w:hAnsi="Courier New" w:cs="Courier New"/>
          <w:b/>
        </w:rPr>
      </w:pPr>
    </w:p>
    <w:p w14:paraId="79AFDEA9" w14:textId="77777777" w:rsidR="00661CD7" w:rsidRDefault="00661CD7" w:rsidP="00661CD7">
      <w:pPr>
        <w:jc w:val="both"/>
        <w:rPr>
          <w:rFonts w:ascii="Courier New" w:hAnsi="Courier New" w:cs="Courier New"/>
          <w:b/>
          <w:u w:val="single"/>
        </w:rPr>
      </w:pPr>
      <w:r w:rsidRPr="00EB27DC">
        <w:rPr>
          <w:rFonts w:ascii="Courier New" w:hAnsi="Courier New" w:cs="Courier New"/>
          <w:b/>
        </w:rPr>
        <w:t>Atte</w:t>
      </w:r>
      <w:r>
        <w:rPr>
          <w:rFonts w:ascii="Courier New" w:hAnsi="Courier New" w:cs="Courier New"/>
          <w:b/>
        </w:rPr>
        <w:t>st: ________________________</w:t>
      </w:r>
    </w:p>
    <w:p w14:paraId="6AFDE6DD" w14:textId="77777777" w:rsidR="00661CD7" w:rsidRPr="00F658D5" w:rsidRDefault="00661CD7" w:rsidP="00661CD7">
      <w:pPr>
        <w:jc w:val="both"/>
        <w:rPr>
          <w:rFonts w:ascii="Courier New" w:hAnsi="Courier New" w:cs="Courier New"/>
          <w:b/>
        </w:rPr>
      </w:pPr>
      <w:r w:rsidRPr="00EB27DC">
        <w:rPr>
          <w:rFonts w:ascii="Courier New" w:hAnsi="Courier New" w:cs="Courier New"/>
        </w:rPr>
        <w:tab/>
      </w:r>
      <w:r w:rsidRPr="00EB27DC">
        <w:rPr>
          <w:rFonts w:ascii="Courier New" w:hAnsi="Courier New" w:cs="Courier New"/>
          <w:b/>
        </w:rPr>
        <w:t xml:space="preserve">  </w:t>
      </w:r>
      <w:r>
        <w:rPr>
          <w:rFonts w:ascii="Courier New" w:hAnsi="Courier New" w:cs="Courier New"/>
          <w:b/>
        </w:rPr>
        <w:t xml:space="preserve">   </w:t>
      </w:r>
      <w:r w:rsidRPr="00EB27DC">
        <w:rPr>
          <w:rFonts w:ascii="Courier New" w:hAnsi="Courier New" w:cs="Courier New"/>
          <w:b/>
        </w:rPr>
        <w:t xml:space="preserve"> Clerk of the Board</w:t>
      </w:r>
    </w:p>
    <w:p w14:paraId="298E94A9" w14:textId="77777777" w:rsidR="00661CD7" w:rsidRDefault="00661CD7" w:rsidP="00661CD7">
      <w:pPr>
        <w:rPr>
          <w:rFonts w:ascii="Courier New" w:hAnsi="Courier New" w:cs="Courier New"/>
        </w:rPr>
      </w:pPr>
    </w:p>
    <w:p w14:paraId="5DE9F248" w14:textId="77777777" w:rsidR="00661CD7" w:rsidRPr="003C370E" w:rsidRDefault="00661CD7" w:rsidP="00661CD7">
      <w:pPr>
        <w:tabs>
          <w:tab w:val="left" w:pos="3423"/>
        </w:tabs>
        <w:rPr>
          <w:rFonts w:ascii="Courier New" w:hAnsi="Courier New" w:cs="Courier New"/>
        </w:rPr>
      </w:pPr>
      <w:r>
        <w:rPr>
          <w:rFonts w:ascii="Courier New" w:hAnsi="Courier New" w:cs="Courier New"/>
        </w:rPr>
        <w:tab/>
      </w:r>
    </w:p>
    <w:p w14:paraId="73009AA8" w14:textId="77777777" w:rsidR="00661CD7" w:rsidRDefault="00661CD7" w:rsidP="00661CD7">
      <w:pPr>
        <w:jc w:val="both"/>
        <w:rPr>
          <w:rFonts w:ascii="Courier New" w:hAnsi="Courier New" w:cs="Courier New"/>
          <w:b/>
        </w:rPr>
      </w:pPr>
    </w:p>
    <w:p w14:paraId="6733CB5D" w14:textId="77777777" w:rsidR="00890A73" w:rsidRDefault="00890A73" w:rsidP="00890A73">
      <w:pPr>
        <w:jc w:val="both"/>
        <w:rPr>
          <w:rFonts w:ascii="Courier New" w:hAnsi="Courier New" w:cs="Courier New"/>
          <w:b/>
        </w:rPr>
      </w:pPr>
    </w:p>
    <w:sectPr w:rsidR="00890A73" w:rsidSect="00661CD7">
      <w:footerReference w:type="default" r:id="rId12"/>
      <w:pgSz w:w="12240" w:h="15840"/>
      <w:pgMar w:top="1440" w:right="1440" w:bottom="1440" w:left="1440" w:header="720" w:footer="720" w:gutter="0"/>
      <w:pgNumType w:start="4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E15E0" w14:textId="77777777" w:rsidR="00E158F2" w:rsidRDefault="00E158F2" w:rsidP="00CD21E7">
      <w:r>
        <w:separator/>
      </w:r>
    </w:p>
  </w:endnote>
  <w:endnote w:type="continuationSeparator" w:id="0">
    <w:p w14:paraId="432E4DB9" w14:textId="77777777" w:rsidR="00E158F2" w:rsidRDefault="00E158F2" w:rsidP="00CD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149745860"/>
      <w:docPartObj>
        <w:docPartGallery w:val="Page Numbers (Bottom of Page)"/>
        <w:docPartUnique/>
      </w:docPartObj>
    </w:sdtPr>
    <w:sdtEndPr>
      <w:rPr>
        <w:noProof/>
      </w:rPr>
    </w:sdtEndPr>
    <w:sdtContent>
      <w:p w14:paraId="5C5BB63B" w14:textId="2CC9EAEA" w:rsidR="00E66BFC" w:rsidRPr="00E66BFC" w:rsidRDefault="00E66BFC">
        <w:pPr>
          <w:pStyle w:val="Footer"/>
          <w:jc w:val="center"/>
          <w:rPr>
            <w:rFonts w:ascii="Courier New" w:hAnsi="Courier New" w:cs="Courier New"/>
            <w:b/>
          </w:rPr>
        </w:pPr>
        <w:r w:rsidRPr="00E66BFC">
          <w:rPr>
            <w:rFonts w:ascii="Courier New" w:hAnsi="Courier New" w:cs="Courier New"/>
            <w:b/>
          </w:rPr>
          <w:t>ATB 2018-</w:t>
        </w:r>
        <w:r w:rsidRPr="00E66BFC">
          <w:rPr>
            <w:rFonts w:ascii="Courier New" w:hAnsi="Courier New" w:cs="Courier New"/>
            <w:b/>
          </w:rPr>
          <w:fldChar w:fldCharType="begin"/>
        </w:r>
        <w:r w:rsidRPr="00E66BFC">
          <w:rPr>
            <w:rFonts w:ascii="Courier New" w:hAnsi="Courier New" w:cs="Courier New"/>
            <w:b/>
          </w:rPr>
          <w:instrText xml:space="preserve"> PAGE   \* MERGEFORMAT </w:instrText>
        </w:r>
        <w:r w:rsidRPr="00E66BFC">
          <w:rPr>
            <w:rFonts w:ascii="Courier New" w:hAnsi="Courier New" w:cs="Courier New"/>
            <w:b/>
          </w:rPr>
          <w:fldChar w:fldCharType="separate"/>
        </w:r>
        <w:r w:rsidR="000455AE">
          <w:rPr>
            <w:rFonts w:ascii="Courier New" w:hAnsi="Courier New" w:cs="Courier New"/>
            <w:b/>
            <w:noProof/>
          </w:rPr>
          <w:t>472</w:t>
        </w:r>
        <w:r w:rsidRPr="00E66BFC">
          <w:rPr>
            <w:rFonts w:ascii="Courier New" w:hAnsi="Courier New" w:cs="Courier New"/>
            <w:b/>
            <w:noProof/>
          </w:rPr>
          <w:fldChar w:fldCharType="end"/>
        </w:r>
      </w:p>
    </w:sdtContent>
  </w:sdt>
  <w:p w14:paraId="3731E669" w14:textId="77777777" w:rsidR="00E158F2" w:rsidRPr="000F3332" w:rsidRDefault="00E158F2">
    <w:pPr>
      <w:pStyle w:val="Footer"/>
      <w:rPr>
        <w:rFonts w:ascii="Courier New" w:hAnsi="Courier New" w:cs="Courier Ne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E903D" w14:textId="77777777" w:rsidR="00E158F2" w:rsidRDefault="00E158F2" w:rsidP="00CD21E7">
      <w:r>
        <w:separator/>
      </w:r>
    </w:p>
  </w:footnote>
  <w:footnote w:type="continuationSeparator" w:id="0">
    <w:p w14:paraId="672C9ABD" w14:textId="77777777" w:rsidR="00E158F2" w:rsidRDefault="00E158F2" w:rsidP="00CD2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9FC"/>
    <w:rsid w:val="00006BB7"/>
    <w:rsid w:val="00007668"/>
    <w:rsid w:val="0001400B"/>
    <w:rsid w:val="0001578A"/>
    <w:rsid w:val="00021738"/>
    <w:rsid w:val="00023D43"/>
    <w:rsid w:val="0003498A"/>
    <w:rsid w:val="0003665B"/>
    <w:rsid w:val="0004299D"/>
    <w:rsid w:val="00042CCE"/>
    <w:rsid w:val="000455AE"/>
    <w:rsid w:val="00056C84"/>
    <w:rsid w:val="00074634"/>
    <w:rsid w:val="0007500E"/>
    <w:rsid w:val="00083420"/>
    <w:rsid w:val="00084187"/>
    <w:rsid w:val="00084DE7"/>
    <w:rsid w:val="0009120F"/>
    <w:rsid w:val="000D4761"/>
    <w:rsid w:val="000F3332"/>
    <w:rsid w:val="001104D5"/>
    <w:rsid w:val="0011404A"/>
    <w:rsid w:val="001242C3"/>
    <w:rsid w:val="001304BA"/>
    <w:rsid w:val="00137CAD"/>
    <w:rsid w:val="00155CD5"/>
    <w:rsid w:val="00167ECE"/>
    <w:rsid w:val="00172913"/>
    <w:rsid w:val="00174779"/>
    <w:rsid w:val="0018121F"/>
    <w:rsid w:val="0018587C"/>
    <w:rsid w:val="0019043F"/>
    <w:rsid w:val="00194901"/>
    <w:rsid w:val="00197B28"/>
    <w:rsid w:val="001B1D3A"/>
    <w:rsid w:val="001B4E72"/>
    <w:rsid w:val="001D5CC3"/>
    <w:rsid w:val="001F778E"/>
    <w:rsid w:val="00201D58"/>
    <w:rsid w:val="00205136"/>
    <w:rsid w:val="002058B2"/>
    <w:rsid w:val="002102D9"/>
    <w:rsid w:val="002134DE"/>
    <w:rsid w:val="00217C7E"/>
    <w:rsid w:val="00231314"/>
    <w:rsid w:val="0023594A"/>
    <w:rsid w:val="002379A0"/>
    <w:rsid w:val="00241D66"/>
    <w:rsid w:val="00247F93"/>
    <w:rsid w:val="00251BFA"/>
    <w:rsid w:val="00261F90"/>
    <w:rsid w:val="00273C64"/>
    <w:rsid w:val="00282EEC"/>
    <w:rsid w:val="00290C10"/>
    <w:rsid w:val="00291097"/>
    <w:rsid w:val="00297E40"/>
    <w:rsid w:val="002C5662"/>
    <w:rsid w:val="002C752D"/>
    <w:rsid w:val="002D4E19"/>
    <w:rsid w:val="002D613D"/>
    <w:rsid w:val="002D6839"/>
    <w:rsid w:val="002E1019"/>
    <w:rsid w:val="002E47E1"/>
    <w:rsid w:val="002E6D47"/>
    <w:rsid w:val="002F671A"/>
    <w:rsid w:val="00306B72"/>
    <w:rsid w:val="00306BC0"/>
    <w:rsid w:val="00311AC4"/>
    <w:rsid w:val="0031690F"/>
    <w:rsid w:val="00320276"/>
    <w:rsid w:val="003237AD"/>
    <w:rsid w:val="0035380B"/>
    <w:rsid w:val="00355EB5"/>
    <w:rsid w:val="00360505"/>
    <w:rsid w:val="00362AA1"/>
    <w:rsid w:val="00366D01"/>
    <w:rsid w:val="00366F8E"/>
    <w:rsid w:val="00377A4A"/>
    <w:rsid w:val="003808A2"/>
    <w:rsid w:val="00395752"/>
    <w:rsid w:val="00395A1F"/>
    <w:rsid w:val="003A3F67"/>
    <w:rsid w:val="003B0104"/>
    <w:rsid w:val="003B2646"/>
    <w:rsid w:val="003C370E"/>
    <w:rsid w:val="003C453C"/>
    <w:rsid w:val="003D5CEC"/>
    <w:rsid w:val="003E4ED7"/>
    <w:rsid w:val="00415179"/>
    <w:rsid w:val="00424432"/>
    <w:rsid w:val="004249FC"/>
    <w:rsid w:val="00433F1E"/>
    <w:rsid w:val="00434223"/>
    <w:rsid w:val="00435D3B"/>
    <w:rsid w:val="00460662"/>
    <w:rsid w:val="004614C7"/>
    <w:rsid w:val="0046666D"/>
    <w:rsid w:val="00470D3E"/>
    <w:rsid w:val="004726E4"/>
    <w:rsid w:val="00473AEB"/>
    <w:rsid w:val="00475CC4"/>
    <w:rsid w:val="004773FD"/>
    <w:rsid w:val="00481D17"/>
    <w:rsid w:val="004963EA"/>
    <w:rsid w:val="004B11AD"/>
    <w:rsid w:val="004B5025"/>
    <w:rsid w:val="004B6596"/>
    <w:rsid w:val="004B735D"/>
    <w:rsid w:val="004C25A2"/>
    <w:rsid w:val="004E292A"/>
    <w:rsid w:val="004E3B52"/>
    <w:rsid w:val="004F3236"/>
    <w:rsid w:val="00502995"/>
    <w:rsid w:val="00502BD6"/>
    <w:rsid w:val="00502E65"/>
    <w:rsid w:val="00503D1C"/>
    <w:rsid w:val="00504919"/>
    <w:rsid w:val="0052271A"/>
    <w:rsid w:val="00522DB9"/>
    <w:rsid w:val="00537395"/>
    <w:rsid w:val="00540836"/>
    <w:rsid w:val="005443A5"/>
    <w:rsid w:val="005456E6"/>
    <w:rsid w:val="00551687"/>
    <w:rsid w:val="00552858"/>
    <w:rsid w:val="0055720B"/>
    <w:rsid w:val="0057224E"/>
    <w:rsid w:val="00583A46"/>
    <w:rsid w:val="00592D38"/>
    <w:rsid w:val="0059570B"/>
    <w:rsid w:val="005A08DD"/>
    <w:rsid w:val="005A238B"/>
    <w:rsid w:val="005A71B5"/>
    <w:rsid w:val="005B4C6E"/>
    <w:rsid w:val="005C190C"/>
    <w:rsid w:val="005C6B4C"/>
    <w:rsid w:val="005D0C82"/>
    <w:rsid w:val="005D3E57"/>
    <w:rsid w:val="005E1027"/>
    <w:rsid w:val="005E12AB"/>
    <w:rsid w:val="005E7539"/>
    <w:rsid w:val="00602349"/>
    <w:rsid w:val="006271AD"/>
    <w:rsid w:val="006316A9"/>
    <w:rsid w:val="0063550E"/>
    <w:rsid w:val="00651DFC"/>
    <w:rsid w:val="0065237B"/>
    <w:rsid w:val="0065636E"/>
    <w:rsid w:val="00660F13"/>
    <w:rsid w:val="00661CD7"/>
    <w:rsid w:val="0067188E"/>
    <w:rsid w:val="00681B65"/>
    <w:rsid w:val="00687AE2"/>
    <w:rsid w:val="00690907"/>
    <w:rsid w:val="006915EE"/>
    <w:rsid w:val="00695E0D"/>
    <w:rsid w:val="006964B5"/>
    <w:rsid w:val="006C4544"/>
    <w:rsid w:val="006D2E92"/>
    <w:rsid w:val="006D6FD3"/>
    <w:rsid w:val="006E4EB3"/>
    <w:rsid w:val="006E6C42"/>
    <w:rsid w:val="006F5A51"/>
    <w:rsid w:val="00704956"/>
    <w:rsid w:val="007072D8"/>
    <w:rsid w:val="00714B70"/>
    <w:rsid w:val="00717093"/>
    <w:rsid w:val="00721FD7"/>
    <w:rsid w:val="007339DC"/>
    <w:rsid w:val="007409A0"/>
    <w:rsid w:val="00742EA6"/>
    <w:rsid w:val="00745174"/>
    <w:rsid w:val="00760811"/>
    <w:rsid w:val="00767BDD"/>
    <w:rsid w:val="007703F9"/>
    <w:rsid w:val="00772867"/>
    <w:rsid w:val="00787555"/>
    <w:rsid w:val="00790CC4"/>
    <w:rsid w:val="007A5B1E"/>
    <w:rsid w:val="007B6B52"/>
    <w:rsid w:val="007D50B0"/>
    <w:rsid w:val="007D6480"/>
    <w:rsid w:val="00805C50"/>
    <w:rsid w:val="00806520"/>
    <w:rsid w:val="00806B9F"/>
    <w:rsid w:val="00811559"/>
    <w:rsid w:val="00825463"/>
    <w:rsid w:val="00825953"/>
    <w:rsid w:val="00825D38"/>
    <w:rsid w:val="00833CEC"/>
    <w:rsid w:val="008527D1"/>
    <w:rsid w:val="00860B01"/>
    <w:rsid w:val="00861D1B"/>
    <w:rsid w:val="00881D4F"/>
    <w:rsid w:val="00890A73"/>
    <w:rsid w:val="00891F73"/>
    <w:rsid w:val="008A28BC"/>
    <w:rsid w:val="008A32EA"/>
    <w:rsid w:val="008C207C"/>
    <w:rsid w:val="008C372D"/>
    <w:rsid w:val="008C7201"/>
    <w:rsid w:val="008F38AD"/>
    <w:rsid w:val="00903F91"/>
    <w:rsid w:val="00907F20"/>
    <w:rsid w:val="009254CB"/>
    <w:rsid w:val="00934D5C"/>
    <w:rsid w:val="00950887"/>
    <w:rsid w:val="00957EE9"/>
    <w:rsid w:val="0097164B"/>
    <w:rsid w:val="00974D7D"/>
    <w:rsid w:val="009B140F"/>
    <w:rsid w:val="009B1C2F"/>
    <w:rsid w:val="009B22C8"/>
    <w:rsid w:val="009B5B44"/>
    <w:rsid w:val="009B6893"/>
    <w:rsid w:val="009F2A7D"/>
    <w:rsid w:val="00A02726"/>
    <w:rsid w:val="00A0379C"/>
    <w:rsid w:val="00A10188"/>
    <w:rsid w:val="00A235EA"/>
    <w:rsid w:val="00A56A06"/>
    <w:rsid w:val="00A76942"/>
    <w:rsid w:val="00A86E88"/>
    <w:rsid w:val="00A8712C"/>
    <w:rsid w:val="00AA221C"/>
    <w:rsid w:val="00AA391C"/>
    <w:rsid w:val="00AB1849"/>
    <w:rsid w:val="00AD00F9"/>
    <w:rsid w:val="00AD0A4A"/>
    <w:rsid w:val="00AE29BF"/>
    <w:rsid w:val="00AF402A"/>
    <w:rsid w:val="00B01317"/>
    <w:rsid w:val="00B01F25"/>
    <w:rsid w:val="00B10814"/>
    <w:rsid w:val="00B10E33"/>
    <w:rsid w:val="00B13DAF"/>
    <w:rsid w:val="00B16020"/>
    <w:rsid w:val="00B16C63"/>
    <w:rsid w:val="00B276DF"/>
    <w:rsid w:val="00B40643"/>
    <w:rsid w:val="00B457AF"/>
    <w:rsid w:val="00B475B5"/>
    <w:rsid w:val="00B60273"/>
    <w:rsid w:val="00B74AD2"/>
    <w:rsid w:val="00B82CC1"/>
    <w:rsid w:val="00B8531A"/>
    <w:rsid w:val="00B92206"/>
    <w:rsid w:val="00B9230A"/>
    <w:rsid w:val="00BB3A90"/>
    <w:rsid w:val="00BD0E1A"/>
    <w:rsid w:val="00BD540D"/>
    <w:rsid w:val="00BD7117"/>
    <w:rsid w:val="00BE251D"/>
    <w:rsid w:val="00BE682F"/>
    <w:rsid w:val="00BF65D8"/>
    <w:rsid w:val="00C0566B"/>
    <w:rsid w:val="00C073A6"/>
    <w:rsid w:val="00C11ADF"/>
    <w:rsid w:val="00C16903"/>
    <w:rsid w:val="00C22B60"/>
    <w:rsid w:val="00C2716C"/>
    <w:rsid w:val="00C318E4"/>
    <w:rsid w:val="00C32D3C"/>
    <w:rsid w:val="00C33009"/>
    <w:rsid w:val="00C33D6C"/>
    <w:rsid w:val="00C35963"/>
    <w:rsid w:val="00C35BE5"/>
    <w:rsid w:val="00C360E4"/>
    <w:rsid w:val="00C53418"/>
    <w:rsid w:val="00C61176"/>
    <w:rsid w:val="00C63E3E"/>
    <w:rsid w:val="00C63F93"/>
    <w:rsid w:val="00C651B7"/>
    <w:rsid w:val="00C65319"/>
    <w:rsid w:val="00C65906"/>
    <w:rsid w:val="00C71F23"/>
    <w:rsid w:val="00C76CCD"/>
    <w:rsid w:val="00C80D31"/>
    <w:rsid w:val="00C8200A"/>
    <w:rsid w:val="00C92DCE"/>
    <w:rsid w:val="00C935F8"/>
    <w:rsid w:val="00C95D41"/>
    <w:rsid w:val="00CD21E7"/>
    <w:rsid w:val="00CD55A3"/>
    <w:rsid w:val="00CE014D"/>
    <w:rsid w:val="00CE2ABF"/>
    <w:rsid w:val="00CE7130"/>
    <w:rsid w:val="00D030BF"/>
    <w:rsid w:val="00D04FEB"/>
    <w:rsid w:val="00D10452"/>
    <w:rsid w:val="00D11B0E"/>
    <w:rsid w:val="00D13B9C"/>
    <w:rsid w:val="00D30905"/>
    <w:rsid w:val="00D3463F"/>
    <w:rsid w:val="00D35671"/>
    <w:rsid w:val="00D56485"/>
    <w:rsid w:val="00D65009"/>
    <w:rsid w:val="00D66AEB"/>
    <w:rsid w:val="00D70E09"/>
    <w:rsid w:val="00D70E9C"/>
    <w:rsid w:val="00D77467"/>
    <w:rsid w:val="00D802DD"/>
    <w:rsid w:val="00D808EF"/>
    <w:rsid w:val="00D81935"/>
    <w:rsid w:val="00D844E7"/>
    <w:rsid w:val="00D86B15"/>
    <w:rsid w:val="00DB7763"/>
    <w:rsid w:val="00DC2FDD"/>
    <w:rsid w:val="00DC423B"/>
    <w:rsid w:val="00DC512A"/>
    <w:rsid w:val="00DD1453"/>
    <w:rsid w:val="00DD2A10"/>
    <w:rsid w:val="00DD2B02"/>
    <w:rsid w:val="00DD340B"/>
    <w:rsid w:val="00DD4EB4"/>
    <w:rsid w:val="00DE2D0A"/>
    <w:rsid w:val="00DE77E1"/>
    <w:rsid w:val="00E158F2"/>
    <w:rsid w:val="00E20908"/>
    <w:rsid w:val="00E22151"/>
    <w:rsid w:val="00E227B4"/>
    <w:rsid w:val="00E32078"/>
    <w:rsid w:val="00E32288"/>
    <w:rsid w:val="00E35207"/>
    <w:rsid w:val="00E459AC"/>
    <w:rsid w:val="00E46AD7"/>
    <w:rsid w:val="00E5622E"/>
    <w:rsid w:val="00E56D07"/>
    <w:rsid w:val="00E607EF"/>
    <w:rsid w:val="00E6368E"/>
    <w:rsid w:val="00E6653A"/>
    <w:rsid w:val="00E66BFC"/>
    <w:rsid w:val="00E73593"/>
    <w:rsid w:val="00E845EE"/>
    <w:rsid w:val="00E8573E"/>
    <w:rsid w:val="00E86BC6"/>
    <w:rsid w:val="00E915D2"/>
    <w:rsid w:val="00E952FA"/>
    <w:rsid w:val="00EA06C9"/>
    <w:rsid w:val="00EA4965"/>
    <w:rsid w:val="00EA6D85"/>
    <w:rsid w:val="00EB76F2"/>
    <w:rsid w:val="00EC3462"/>
    <w:rsid w:val="00EC37CC"/>
    <w:rsid w:val="00ED067E"/>
    <w:rsid w:val="00ED3262"/>
    <w:rsid w:val="00EE0E09"/>
    <w:rsid w:val="00EE1C7C"/>
    <w:rsid w:val="00EF04B6"/>
    <w:rsid w:val="00EF2A3B"/>
    <w:rsid w:val="00F0401F"/>
    <w:rsid w:val="00F12047"/>
    <w:rsid w:val="00F16F91"/>
    <w:rsid w:val="00F201A5"/>
    <w:rsid w:val="00F210D4"/>
    <w:rsid w:val="00F227B0"/>
    <w:rsid w:val="00F41710"/>
    <w:rsid w:val="00F43CF3"/>
    <w:rsid w:val="00F54C24"/>
    <w:rsid w:val="00F6057D"/>
    <w:rsid w:val="00F6629A"/>
    <w:rsid w:val="00F76605"/>
    <w:rsid w:val="00F76FFB"/>
    <w:rsid w:val="00F84C13"/>
    <w:rsid w:val="00F8580E"/>
    <w:rsid w:val="00F872D7"/>
    <w:rsid w:val="00FA5449"/>
    <w:rsid w:val="00FB109F"/>
    <w:rsid w:val="00FC00A5"/>
    <w:rsid w:val="00FC1FF8"/>
    <w:rsid w:val="00FD54C1"/>
    <w:rsid w:val="00FD567F"/>
    <w:rsid w:val="00FE0826"/>
    <w:rsid w:val="00FF6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9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9FC"/>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49FC"/>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4249FC"/>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9FC"/>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4249FC"/>
    <w:rPr>
      <w:rFonts w:ascii="Courier New" w:eastAsia="Times New Roman" w:hAnsi="Courier New" w:cs="Courier New"/>
      <w:b/>
      <w:bCs/>
      <w:sz w:val="24"/>
      <w:szCs w:val="24"/>
    </w:rPr>
  </w:style>
  <w:style w:type="paragraph" w:styleId="Title">
    <w:name w:val="Title"/>
    <w:basedOn w:val="Normal"/>
    <w:link w:val="TitleChar"/>
    <w:qFormat/>
    <w:rsid w:val="004249FC"/>
    <w:pPr>
      <w:jc w:val="center"/>
    </w:pPr>
    <w:rPr>
      <w:rFonts w:ascii="Courier New" w:hAnsi="Courier New" w:cs="Courier New"/>
      <w:b/>
      <w:bCs/>
    </w:rPr>
  </w:style>
  <w:style w:type="character" w:customStyle="1" w:styleId="TitleChar">
    <w:name w:val="Title Char"/>
    <w:basedOn w:val="DefaultParagraphFont"/>
    <w:link w:val="Title"/>
    <w:rsid w:val="004249FC"/>
    <w:rPr>
      <w:rFonts w:ascii="Courier New" w:eastAsia="Times New Roman" w:hAnsi="Courier New" w:cs="Courier New"/>
      <w:b/>
      <w:bCs/>
      <w:sz w:val="24"/>
      <w:szCs w:val="24"/>
    </w:rPr>
  </w:style>
  <w:style w:type="paragraph" w:styleId="BodyText2">
    <w:name w:val="Body Text 2"/>
    <w:basedOn w:val="Normal"/>
    <w:link w:val="BodyText2Char"/>
    <w:rsid w:val="004249FC"/>
    <w:pPr>
      <w:spacing w:after="120" w:line="480" w:lineRule="auto"/>
    </w:pPr>
  </w:style>
  <w:style w:type="character" w:customStyle="1" w:styleId="BodyText2Char">
    <w:name w:val="Body Text 2 Char"/>
    <w:basedOn w:val="DefaultParagraphFont"/>
    <w:link w:val="BodyText2"/>
    <w:rsid w:val="004249FC"/>
    <w:rPr>
      <w:rFonts w:ascii="Times New Roman" w:eastAsia="Times New Roman" w:hAnsi="Times New Roman" w:cs="Times New Roman"/>
      <w:sz w:val="24"/>
      <w:szCs w:val="24"/>
    </w:rPr>
  </w:style>
  <w:style w:type="table" w:styleId="TableGrid">
    <w:name w:val="Table Grid"/>
    <w:basedOn w:val="TableNormal"/>
    <w:uiPriority w:val="59"/>
    <w:rsid w:val="00F7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21E7"/>
    <w:rPr>
      <w:sz w:val="20"/>
      <w:szCs w:val="20"/>
    </w:rPr>
  </w:style>
  <w:style w:type="character" w:customStyle="1" w:styleId="FootnoteTextChar">
    <w:name w:val="Footnote Text Char"/>
    <w:basedOn w:val="DefaultParagraphFont"/>
    <w:link w:val="FootnoteText"/>
    <w:uiPriority w:val="99"/>
    <w:semiHidden/>
    <w:rsid w:val="00CD21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21E7"/>
    <w:rPr>
      <w:vertAlign w:val="superscript"/>
    </w:rPr>
  </w:style>
  <w:style w:type="paragraph" w:styleId="Header">
    <w:name w:val="header"/>
    <w:basedOn w:val="Normal"/>
    <w:link w:val="HeaderChar"/>
    <w:uiPriority w:val="99"/>
    <w:unhideWhenUsed/>
    <w:rsid w:val="00EC3462"/>
    <w:pPr>
      <w:tabs>
        <w:tab w:val="center" w:pos="4680"/>
        <w:tab w:val="right" w:pos="9360"/>
      </w:tabs>
    </w:pPr>
  </w:style>
  <w:style w:type="character" w:customStyle="1" w:styleId="HeaderChar">
    <w:name w:val="Header Char"/>
    <w:basedOn w:val="DefaultParagraphFont"/>
    <w:link w:val="Header"/>
    <w:uiPriority w:val="99"/>
    <w:rsid w:val="00EC34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3462"/>
    <w:pPr>
      <w:tabs>
        <w:tab w:val="center" w:pos="4680"/>
        <w:tab w:val="right" w:pos="9360"/>
      </w:tabs>
    </w:pPr>
  </w:style>
  <w:style w:type="character" w:customStyle="1" w:styleId="FooterChar">
    <w:name w:val="Footer Char"/>
    <w:basedOn w:val="DefaultParagraphFont"/>
    <w:link w:val="Footer"/>
    <w:uiPriority w:val="99"/>
    <w:rsid w:val="00EC3462"/>
    <w:rPr>
      <w:rFonts w:ascii="Times New Roman" w:eastAsia="Times New Roman" w:hAnsi="Times New Roman" w:cs="Times New Roman"/>
      <w:sz w:val="24"/>
      <w:szCs w:val="24"/>
    </w:rPr>
  </w:style>
  <w:style w:type="paragraph" w:styleId="NormalWeb">
    <w:name w:val="Normal (Web)"/>
    <w:basedOn w:val="Normal"/>
    <w:uiPriority w:val="99"/>
    <w:unhideWhenUsed/>
    <w:rsid w:val="00174779"/>
    <w:pPr>
      <w:spacing w:before="100" w:beforeAutospacing="1" w:after="100" w:afterAutospacing="1"/>
    </w:pPr>
  </w:style>
  <w:style w:type="character" w:customStyle="1" w:styleId="apple-converted-space">
    <w:name w:val="apple-converted-space"/>
    <w:basedOn w:val="DefaultParagraphFont"/>
    <w:rsid w:val="002C5662"/>
  </w:style>
  <w:style w:type="character" w:customStyle="1" w:styleId="sssh">
    <w:name w:val="ss_sh"/>
    <w:basedOn w:val="DefaultParagraphFont"/>
    <w:rsid w:val="002C5662"/>
  </w:style>
  <w:style w:type="paragraph" w:styleId="BalloonText">
    <w:name w:val="Balloon Text"/>
    <w:basedOn w:val="Normal"/>
    <w:link w:val="BalloonTextChar"/>
    <w:uiPriority w:val="99"/>
    <w:semiHidden/>
    <w:unhideWhenUsed/>
    <w:rsid w:val="00155CD5"/>
    <w:rPr>
      <w:rFonts w:ascii="Tahoma" w:hAnsi="Tahoma" w:cs="Tahoma"/>
      <w:sz w:val="16"/>
      <w:szCs w:val="16"/>
    </w:rPr>
  </w:style>
  <w:style w:type="character" w:customStyle="1" w:styleId="BalloonTextChar">
    <w:name w:val="Balloon Text Char"/>
    <w:basedOn w:val="DefaultParagraphFont"/>
    <w:link w:val="BalloonText"/>
    <w:uiPriority w:val="99"/>
    <w:semiHidden/>
    <w:rsid w:val="00155CD5"/>
    <w:rPr>
      <w:rFonts w:ascii="Tahoma" w:eastAsia="Times New Roman" w:hAnsi="Tahoma" w:cs="Tahoma"/>
      <w:sz w:val="16"/>
      <w:szCs w:val="16"/>
    </w:rPr>
  </w:style>
  <w:style w:type="character" w:styleId="Hyperlink">
    <w:name w:val="Hyperlink"/>
    <w:basedOn w:val="DefaultParagraphFont"/>
    <w:uiPriority w:val="99"/>
    <w:semiHidden/>
    <w:unhideWhenUsed/>
    <w:rsid w:val="00EE1C7C"/>
    <w:rPr>
      <w:color w:val="0000FF"/>
      <w:u w:val="single"/>
    </w:rPr>
  </w:style>
  <w:style w:type="character" w:customStyle="1" w:styleId="ssit">
    <w:name w:val="ss_it"/>
    <w:basedOn w:val="DefaultParagraphFont"/>
    <w:rsid w:val="007B6B52"/>
  </w:style>
  <w:style w:type="character" w:styleId="FollowedHyperlink">
    <w:name w:val="FollowedHyperlink"/>
    <w:basedOn w:val="DefaultParagraphFont"/>
    <w:uiPriority w:val="99"/>
    <w:semiHidden/>
    <w:unhideWhenUsed/>
    <w:rsid w:val="003A3F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9FC"/>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49FC"/>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4249FC"/>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9FC"/>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4249FC"/>
    <w:rPr>
      <w:rFonts w:ascii="Courier New" w:eastAsia="Times New Roman" w:hAnsi="Courier New" w:cs="Courier New"/>
      <w:b/>
      <w:bCs/>
      <w:sz w:val="24"/>
      <w:szCs w:val="24"/>
    </w:rPr>
  </w:style>
  <w:style w:type="paragraph" w:styleId="Title">
    <w:name w:val="Title"/>
    <w:basedOn w:val="Normal"/>
    <w:link w:val="TitleChar"/>
    <w:qFormat/>
    <w:rsid w:val="004249FC"/>
    <w:pPr>
      <w:jc w:val="center"/>
    </w:pPr>
    <w:rPr>
      <w:rFonts w:ascii="Courier New" w:hAnsi="Courier New" w:cs="Courier New"/>
      <w:b/>
      <w:bCs/>
    </w:rPr>
  </w:style>
  <w:style w:type="character" w:customStyle="1" w:styleId="TitleChar">
    <w:name w:val="Title Char"/>
    <w:basedOn w:val="DefaultParagraphFont"/>
    <w:link w:val="Title"/>
    <w:rsid w:val="004249FC"/>
    <w:rPr>
      <w:rFonts w:ascii="Courier New" w:eastAsia="Times New Roman" w:hAnsi="Courier New" w:cs="Courier New"/>
      <w:b/>
      <w:bCs/>
      <w:sz w:val="24"/>
      <w:szCs w:val="24"/>
    </w:rPr>
  </w:style>
  <w:style w:type="paragraph" w:styleId="BodyText2">
    <w:name w:val="Body Text 2"/>
    <w:basedOn w:val="Normal"/>
    <w:link w:val="BodyText2Char"/>
    <w:rsid w:val="004249FC"/>
    <w:pPr>
      <w:spacing w:after="120" w:line="480" w:lineRule="auto"/>
    </w:pPr>
  </w:style>
  <w:style w:type="character" w:customStyle="1" w:styleId="BodyText2Char">
    <w:name w:val="Body Text 2 Char"/>
    <w:basedOn w:val="DefaultParagraphFont"/>
    <w:link w:val="BodyText2"/>
    <w:rsid w:val="004249FC"/>
    <w:rPr>
      <w:rFonts w:ascii="Times New Roman" w:eastAsia="Times New Roman" w:hAnsi="Times New Roman" w:cs="Times New Roman"/>
      <w:sz w:val="24"/>
      <w:szCs w:val="24"/>
    </w:rPr>
  </w:style>
  <w:style w:type="table" w:styleId="TableGrid">
    <w:name w:val="Table Grid"/>
    <w:basedOn w:val="TableNormal"/>
    <w:uiPriority w:val="59"/>
    <w:rsid w:val="00F7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21E7"/>
    <w:rPr>
      <w:sz w:val="20"/>
      <w:szCs w:val="20"/>
    </w:rPr>
  </w:style>
  <w:style w:type="character" w:customStyle="1" w:styleId="FootnoteTextChar">
    <w:name w:val="Footnote Text Char"/>
    <w:basedOn w:val="DefaultParagraphFont"/>
    <w:link w:val="FootnoteText"/>
    <w:uiPriority w:val="99"/>
    <w:semiHidden/>
    <w:rsid w:val="00CD21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21E7"/>
    <w:rPr>
      <w:vertAlign w:val="superscript"/>
    </w:rPr>
  </w:style>
  <w:style w:type="paragraph" w:styleId="Header">
    <w:name w:val="header"/>
    <w:basedOn w:val="Normal"/>
    <w:link w:val="HeaderChar"/>
    <w:uiPriority w:val="99"/>
    <w:unhideWhenUsed/>
    <w:rsid w:val="00EC3462"/>
    <w:pPr>
      <w:tabs>
        <w:tab w:val="center" w:pos="4680"/>
        <w:tab w:val="right" w:pos="9360"/>
      </w:tabs>
    </w:pPr>
  </w:style>
  <w:style w:type="character" w:customStyle="1" w:styleId="HeaderChar">
    <w:name w:val="Header Char"/>
    <w:basedOn w:val="DefaultParagraphFont"/>
    <w:link w:val="Header"/>
    <w:uiPriority w:val="99"/>
    <w:rsid w:val="00EC34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3462"/>
    <w:pPr>
      <w:tabs>
        <w:tab w:val="center" w:pos="4680"/>
        <w:tab w:val="right" w:pos="9360"/>
      </w:tabs>
    </w:pPr>
  </w:style>
  <w:style w:type="character" w:customStyle="1" w:styleId="FooterChar">
    <w:name w:val="Footer Char"/>
    <w:basedOn w:val="DefaultParagraphFont"/>
    <w:link w:val="Footer"/>
    <w:uiPriority w:val="99"/>
    <w:rsid w:val="00EC3462"/>
    <w:rPr>
      <w:rFonts w:ascii="Times New Roman" w:eastAsia="Times New Roman" w:hAnsi="Times New Roman" w:cs="Times New Roman"/>
      <w:sz w:val="24"/>
      <w:szCs w:val="24"/>
    </w:rPr>
  </w:style>
  <w:style w:type="paragraph" w:styleId="NormalWeb">
    <w:name w:val="Normal (Web)"/>
    <w:basedOn w:val="Normal"/>
    <w:uiPriority w:val="99"/>
    <w:unhideWhenUsed/>
    <w:rsid w:val="00174779"/>
    <w:pPr>
      <w:spacing w:before="100" w:beforeAutospacing="1" w:after="100" w:afterAutospacing="1"/>
    </w:pPr>
  </w:style>
  <w:style w:type="character" w:customStyle="1" w:styleId="apple-converted-space">
    <w:name w:val="apple-converted-space"/>
    <w:basedOn w:val="DefaultParagraphFont"/>
    <w:rsid w:val="002C5662"/>
  </w:style>
  <w:style w:type="character" w:customStyle="1" w:styleId="sssh">
    <w:name w:val="ss_sh"/>
    <w:basedOn w:val="DefaultParagraphFont"/>
    <w:rsid w:val="002C5662"/>
  </w:style>
  <w:style w:type="paragraph" w:styleId="BalloonText">
    <w:name w:val="Balloon Text"/>
    <w:basedOn w:val="Normal"/>
    <w:link w:val="BalloonTextChar"/>
    <w:uiPriority w:val="99"/>
    <w:semiHidden/>
    <w:unhideWhenUsed/>
    <w:rsid w:val="00155CD5"/>
    <w:rPr>
      <w:rFonts w:ascii="Tahoma" w:hAnsi="Tahoma" w:cs="Tahoma"/>
      <w:sz w:val="16"/>
      <w:szCs w:val="16"/>
    </w:rPr>
  </w:style>
  <w:style w:type="character" w:customStyle="1" w:styleId="BalloonTextChar">
    <w:name w:val="Balloon Text Char"/>
    <w:basedOn w:val="DefaultParagraphFont"/>
    <w:link w:val="BalloonText"/>
    <w:uiPriority w:val="99"/>
    <w:semiHidden/>
    <w:rsid w:val="00155CD5"/>
    <w:rPr>
      <w:rFonts w:ascii="Tahoma" w:eastAsia="Times New Roman" w:hAnsi="Tahoma" w:cs="Tahoma"/>
      <w:sz w:val="16"/>
      <w:szCs w:val="16"/>
    </w:rPr>
  </w:style>
  <w:style w:type="character" w:styleId="Hyperlink">
    <w:name w:val="Hyperlink"/>
    <w:basedOn w:val="DefaultParagraphFont"/>
    <w:uiPriority w:val="99"/>
    <w:semiHidden/>
    <w:unhideWhenUsed/>
    <w:rsid w:val="00EE1C7C"/>
    <w:rPr>
      <w:color w:val="0000FF"/>
      <w:u w:val="single"/>
    </w:rPr>
  </w:style>
  <w:style w:type="character" w:customStyle="1" w:styleId="ssit">
    <w:name w:val="ss_it"/>
    <w:basedOn w:val="DefaultParagraphFont"/>
    <w:rsid w:val="007B6B52"/>
  </w:style>
  <w:style w:type="character" w:styleId="FollowedHyperlink">
    <w:name w:val="FollowedHyperlink"/>
    <w:basedOn w:val="DefaultParagraphFont"/>
    <w:uiPriority w:val="99"/>
    <w:semiHidden/>
    <w:unhideWhenUsed/>
    <w:rsid w:val="003A3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6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cases.com/cases/sjc/423/423mass602.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search/?pdmfid=1000516&amp;crid=180ef427-8b5a-433b-9f71-8fa04b283838&amp;pdsearchterms=284+mass+1&amp;pdstartin=hlct%3A1%3A1&amp;pdtypeofsearch=searchboxclick&amp;pdsearchtype=SearchBox&amp;pdqttype=and&amp;pdquerytemplateid=&amp;ecomp=532bk&amp;prid=92890311-f68c-4f26-9868-fbbd5c1bc328" TargetMode="External"/><Relationship Id="rId5" Type="http://schemas.openxmlformats.org/officeDocument/2006/relationships/webSettings" Target="webSettings.xml"/><Relationship Id="rId10" Type="http://schemas.openxmlformats.org/officeDocument/2006/relationships/hyperlink" Target="http://masscases.com/cases/sjc/423/423mass602.html" TargetMode="External"/><Relationship Id="rId4" Type="http://schemas.openxmlformats.org/officeDocument/2006/relationships/settings" Target="settings.xml"/><Relationship Id="rId9" Type="http://schemas.openxmlformats.org/officeDocument/2006/relationships/hyperlink" Target="http://masscases.com/cases/sjc/334/334mass53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5549-BDA2-4F24-835A-C10F34B1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2018-10-11T17:34:00Z</cp:lastPrinted>
  <dcterms:created xsi:type="dcterms:W3CDTF">2018-10-11T17:40:00Z</dcterms:created>
  <dcterms:modified xsi:type="dcterms:W3CDTF">2018-10-11T17:40:00Z</dcterms:modified>
</cp:coreProperties>
</file>