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48" w:rsidRDefault="00115A4F" w:rsidP="00D85BFE">
      <w:pPr>
        <w:ind w:right="720"/>
        <w:rPr>
          <w:rFonts w:ascii="Segoe UI" w:hAnsi="Segoe UI" w:cs="Segoe UI"/>
        </w:rPr>
      </w:pPr>
      <w:bookmarkStart w:id="0" w:name="_GoBack"/>
      <w:bookmarkEnd w:id="0"/>
      <w:r w:rsidRPr="00C9690F">
        <w:rPr>
          <w:noProof/>
          <w:color w:val="595959" w:themeColor="text1" w:themeTint="A6"/>
          <w:sz w:val="16"/>
        </w:rPr>
        <w:drawing>
          <wp:anchor distT="0" distB="0" distL="114300" distR="114300" simplePos="0" relativeHeight="251659264" behindDoc="0" locked="0" layoutInCell="1" allowOverlap="1" wp14:anchorId="33B9182B" wp14:editId="2774FD33">
            <wp:simplePos x="0" y="0"/>
            <wp:positionH relativeFrom="column">
              <wp:posOffset>-266700</wp:posOffset>
            </wp:positionH>
            <wp:positionV relativeFrom="paragraph">
              <wp:posOffset>-137795</wp:posOffset>
            </wp:positionV>
            <wp:extent cx="2705100" cy="70161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rius Health Two Colo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701619"/>
                    </a:xfrm>
                    <a:prstGeom prst="rect">
                      <a:avLst/>
                    </a:prstGeom>
                  </pic:spPr>
                </pic:pic>
              </a:graphicData>
            </a:graphic>
            <wp14:sizeRelH relativeFrom="page">
              <wp14:pctWidth>0</wp14:pctWidth>
            </wp14:sizeRelH>
            <wp14:sizeRelV relativeFrom="page">
              <wp14:pctHeight>0</wp14:pctHeight>
            </wp14:sizeRelV>
          </wp:anchor>
        </w:drawing>
      </w:r>
    </w:p>
    <w:p w:rsidR="007F2E48" w:rsidRDefault="007F2E48" w:rsidP="00D85BFE">
      <w:pPr>
        <w:ind w:right="720"/>
        <w:rPr>
          <w:rFonts w:ascii="Segoe UI" w:hAnsi="Segoe UI" w:cs="Segoe UI"/>
        </w:rPr>
      </w:pPr>
    </w:p>
    <w:p w:rsidR="007F2E48" w:rsidRDefault="007F2E48" w:rsidP="00D85BFE">
      <w:pPr>
        <w:ind w:right="720"/>
        <w:rPr>
          <w:rFonts w:ascii="Segoe UI" w:hAnsi="Segoe UI" w:cs="Segoe UI"/>
        </w:rPr>
      </w:pPr>
    </w:p>
    <w:p w:rsidR="00FB5A1B" w:rsidRPr="00C80847" w:rsidRDefault="00FB5A1B" w:rsidP="00C1073F">
      <w:pPr>
        <w:ind w:right="720"/>
        <w:rPr>
          <w:rFonts w:ascii="Garamond" w:hAnsi="Garamond"/>
          <w:sz w:val="24"/>
          <w:szCs w:val="24"/>
        </w:rPr>
      </w:pPr>
    </w:p>
    <w:p w:rsidR="00867465" w:rsidRPr="00C80847" w:rsidRDefault="00867465" w:rsidP="00C1073F">
      <w:pPr>
        <w:ind w:right="720"/>
        <w:rPr>
          <w:rFonts w:ascii="Garamond" w:hAnsi="Garamond"/>
          <w:sz w:val="24"/>
          <w:szCs w:val="24"/>
        </w:rPr>
      </w:pPr>
      <w:r w:rsidRPr="00C80847">
        <w:rPr>
          <w:rFonts w:ascii="Garamond" w:hAnsi="Garamond"/>
          <w:sz w:val="24"/>
          <w:szCs w:val="24"/>
        </w:rPr>
        <w:t>BY ELECTRONIC MAIL</w:t>
      </w:r>
    </w:p>
    <w:p w:rsidR="00355C15" w:rsidRPr="00C80847" w:rsidRDefault="00355C15" w:rsidP="00C1073F">
      <w:pPr>
        <w:ind w:right="720"/>
        <w:rPr>
          <w:rFonts w:ascii="Garamond" w:hAnsi="Garamond"/>
          <w:sz w:val="24"/>
          <w:szCs w:val="24"/>
        </w:rPr>
      </w:pPr>
    </w:p>
    <w:p w:rsidR="00867465" w:rsidRPr="00C80847" w:rsidRDefault="00A748D1" w:rsidP="00C1073F">
      <w:pPr>
        <w:ind w:right="720"/>
        <w:rPr>
          <w:rFonts w:ascii="Garamond" w:hAnsi="Garamond"/>
          <w:sz w:val="24"/>
          <w:szCs w:val="24"/>
        </w:rPr>
      </w:pPr>
      <w:r w:rsidRPr="00C80847">
        <w:rPr>
          <w:rFonts w:ascii="Garamond" w:hAnsi="Garamond"/>
          <w:sz w:val="24"/>
          <w:szCs w:val="24"/>
        </w:rPr>
        <w:t>October 28</w:t>
      </w:r>
      <w:r w:rsidR="00466623" w:rsidRPr="00C80847">
        <w:rPr>
          <w:rFonts w:ascii="Garamond" w:hAnsi="Garamond"/>
          <w:sz w:val="24"/>
          <w:szCs w:val="24"/>
        </w:rPr>
        <w:t>, 2016</w:t>
      </w:r>
    </w:p>
    <w:p w:rsidR="00867465" w:rsidRPr="00C80847" w:rsidRDefault="00867465" w:rsidP="00C1073F">
      <w:pPr>
        <w:rPr>
          <w:rFonts w:ascii="Garamond" w:hAnsi="Garamond"/>
          <w:sz w:val="24"/>
          <w:szCs w:val="24"/>
        </w:rPr>
      </w:pPr>
    </w:p>
    <w:p w:rsidR="00355C15" w:rsidRDefault="00926B54" w:rsidP="00C1073F">
      <w:pPr>
        <w:rPr>
          <w:rFonts w:ascii="Garamond" w:hAnsi="Garamond"/>
          <w:sz w:val="24"/>
          <w:szCs w:val="24"/>
        </w:rPr>
      </w:pPr>
      <w:r>
        <w:rPr>
          <w:rFonts w:ascii="Garamond" w:hAnsi="Garamond"/>
          <w:sz w:val="24"/>
          <w:szCs w:val="24"/>
        </w:rPr>
        <w:t xml:space="preserve">Monica </w:t>
      </w:r>
      <w:proofErr w:type="spellStart"/>
      <w:r>
        <w:rPr>
          <w:rFonts w:ascii="Garamond" w:hAnsi="Garamond"/>
          <w:sz w:val="24"/>
          <w:szCs w:val="24"/>
        </w:rPr>
        <w:t>Bharel</w:t>
      </w:r>
      <w:proofErr w:type="spellEnd"/>
      <w:r>
        <w:rPr>
          <w:rFonts w:ascii="Garamond" w:hAnsi="Garamond"/>
          <w:sz w:val="24"/>
          <w:szCs w:val="24"/>
        </w:rPr>
        <w:t>, MD, MPH</w:t>
      </w:r>
    </w:p>
    <w:p w:rsidR="00926B54" w:rsidRDefault="00926B54" w:rsidP="00C1073F">
      <w:pPr>
        <w:rPr>
          <w:rFonts w:ascii="Garamond" w:hAnsi="Garamond"/>
          <w:sz w:val="24"/>
          <w:szCs w:val="24"/>
        </w:rPr>
      </w:pPr>
      <w:r>
        <w:rPr>
          <w:rFonts w:ascii="Garamond" w:hAnsi="Garamond"/>
          <w:sz w:val="24"/>
          <w:szCs w:val="24"/>
        </w:rPr>
        <w:t xml:space="preserve">Commissioner </w:t>
      </w:r>
    </w:p>
    <w:p w:rsidR="00867465" w:rsidRPr="00C80847" w:rsidRDefault="00867465" w:rsidP="00C1073F">
      <w:pPr>
        <w:rPr>
          <w:rFonts w:ascii="Garamond" w:hAnsi="Garamond"/>
          <w:sz w:val="24"/>
          <w:szCs w:val="24"/>
        </w:rPr>
      </w:pPr>
      <w:r w:rsidRPr="00C80847">
        <w:rPr>
          <w:rFonts w:ascii="Garamond" w:hAnsi="Garamond"/>
          <w:sz w:val="24"/>
          <w:szCs w:val="24"/>
        </w:rPr>
        <w:t>Massachusetts Department of Public Health</w:t>
      </w:r>
    </w:p>
    <w:p w:rsidR="00867465" w:rsidRPr="00C80847" w:rsidRDefault="00867465" w:rsidP="00C1073F">
      <w:pPr>
        <w:rPr>
          <w:rFonts w:ascii="Garamond" w:hAnsi="Garamond"/>
          <w:sz w:val="24"/>
          <w:szCs w:val="24"/>
        </w:rPr>
      </w:pPr>
      <w:r w:rsidRPr="00C80847">
        <w:rPr>
          <w:rFonts w:ascii="Garamond" w:hAnsi="Garamond"/>
          <w:sz w:val="24"/>
          <w:szCs w:val="24"/>
        </w:rPr>
        <w:t xml:space="preserve">250 Washington Street </w:t>
      </w:r>
    </w:p>
    <w:p w:rsidR="00867465" w:rsidRPr="00C80847" w:rsidRDefault="00867465" w:rsidP="00C1073F">
      <w:pPr>
        <w:rPr>
          <w:rFonts w:ascii="Garamond" w:hAnsi="Garamond"/>
          <w:sz w:val="24"/>
          <w:szCs w:val="24"/>
        </w:rPr>
      </w:pPr>
      <w:r w:rsidRPr="00C80847">
        <w:rPr>
          <w:rFonts w:ascii="Garamond" w:hAnsi="Garamond"/>
          <w:sz w:val="24"/>
          <w:szCs w:val="24"/>
        </w:rPr>
        <w:t>2nd Floor</w:t>
      </w:r>
    </w:p>
    <w:p w:rsidR="00867465" w:rsidRPr="00C80847" w:rsidRDefault="00867465" w:rsidP="00355C15">
      <w:pPr>
        <w:tabs>
          <w:tab w:val="left" w:pos="5630"/>
        </w:tabs>
        <w:rPr>
          <w:rFonts w:ascii="Garamond" w:hAnsi="Garamond"/>
          <w:sz w:val="24"/>
          <w:szCs w:val="24"/>
        </w:rPr>
      </w:pPr>
      <w:r w:rsidRPr="00C80847">
        <w:rPr>
          <w:rFonts w:ascii="Garamond" w:hAnsi="Garamond"/>
          <w:sz w:val="24"/>
          <w:szCs w:val="24"/>
        </w:rPr>
        <w:t>Boston, MA  02108-4619</w:t>
      </w:r>
      <w:r w:rsidR="00355C15">
        <w:rPr>
          <w:rFonts w:ascii="Garamond" w:hAnsi="Garamond"/>
          <w:sz w:val="24"/>
          <w:szCs w:val="24"/>
        </w:rPr>
        <w:tab/>
      </w:r>
    </w:p>
    <w:p w:rsidR="00867465" w:rsidRPr="00C80847" w:rsidRDefault="00867465" w:rsidP="00C1073F">
      <w:pPr>
        <w:rPr>
          <w:rFonts w:ascii="Garamond" w:hAnsi="Garamond"/>
          <w:sz w:val="24"/>
          <w:szCs w:val="24"/>
        </w:rPr>
      </w:pPr>
    </w:p>
    <w:p w:rsidR="00867465" w:rsidRPr="00C80847" w:rsidRDefault="00355C15" w:rsidP="00C1073F">
      <w:pPr>
        <w:rPr>
          <w:rFonts w:ascii="Garamond" w:hAnsi="Garamond"/>
          <w:sz w:val="24"/>
          <w:szCs w:val="24"/>
        </w:rPr>
      </w:pPr>
      <w:r>
        <w:rPr>
          <w:rFonts w:ascii="Garamond" w:hAnsi="Garamond"/>
          <w:sz w:val="24"/>
          <w:szCs w:val="24"/>
        </w:rPr>
        <w:tab/>
      </w:r>
      <w:r w:rsidR="00867465" w:rsidRPr="00C80847">
        <w:rPr>
          <w:rFonts w:ascii="Garamond" w:hAnsi="Garamond"/>
          <w:sz w:val="24"/>
          <w:szCs w:val="24"/>
        </w:rPr>
        <w:t>Re:</w:t>
      </w:r>
      <w:r w:rsidR="00867465" w:rsidRPr="00C80847">
        <w:rPr>
          <w:rFonts w:ascii="Garamond" w:hAnsi="Garamond"/>
          <w:sz w:val="24"/>
          <w:szCs w:val="24"/>
        </w:rPr>
        <w:tab/>
        <w:t xml:space="preserve">Comments on Proposed Amendments to 105 CMR </w:t>
      </w:r>
      <w:r w:rsidR="00A748D1" w:rsidRPr="00C80847">
        <w:rPr>
          <w:rFonts w:ascii="Garamond" w:hAnsi="Garamond"/>
          <w:sz w:val="24"/>
          <w:szCs w:val="24"/>
        </w:rPr>
        <w:t>140</w:t>
      </w:r>
      <w:r w:rsidR="00255D3D" w:rsidRPr="00C80847">
        <w:rPr>
          <w:rFonts w:ascii="Garamond" w:hAnsi="Garamond"/>
          <w:sz w:val="24"/>
          <w:szCs w:val="24"/>
        </w:rPr>
        <w:t>.000</w:t>
      </w:r>
      <w:r w:rsidR="0053308F" w:rsidRPr="00C80847">
        <w:rPr>
          <w:rFonts w:ascii="Garamond" w:hAnsi="Garamond"/>
          <w:sz w:val="24"/>
          <w:szCs w:val="24"/>
        </w:rPr>
        <w:t xml:space="preserve"> – </w:t>
      </w:r>
      <w:r w:rsidR="00A748D1" w:rsidRPr="00C80847">
        <w:rPr>
          <w:rFonts w:ascii="Garamond" w:hAnsi="Garamond"/>
          <w:sz w:val="24"/>
          <w:szCs w:val="24"/>
        </w:rPr>
        <w:t>Clinic Licensure</w:t>
      </w:r>
    </w:p>
    <w:p w:rsidR="00867465" w:rsidRPr="00C80847" w:rsidRDefault="00867465" w:rsidP="00C1073F">
      <w:pPr>
        <w:rPr>
          <w:rFonts w:ascii="Garamond" w:hAnsi="Garamond"/>
          <w:sz w:val="24"/>
          <w:szCs w:val="24"/>
        </w:rPr>
      </w:pPr>
    </w:p>
    <w:p w:rsidR="00867465" w:rsidRPr="00C80847" w:rsidRDefault="00867465" w:rsidP="00C1073F">
      <w:pPr>
        <w:pStyle w:val="BodyText"/>
        <w:ind w:left="0"/>
        <w:rPr>
          <w:rFonts w:ascii="Garamond" w:hAnsi="Garamond"/>
          <w:sz w:val="24"/>
          <w:szCs w:val="24"/>
        </w:rPr>
      </w:pPr>
      <w:r w:rsidRPr="00C80847">
        <w:rPr>
          <w:rFonts w:ascii="Garamond" w:hAnsi="Garamond"/>
          <w:sz w:val="24"/>
          <w:szCs w:val="24"/>
        </w:rPr>
        <w:t xml:space="preserve">Dear </w:t>
      </w:r>
      <w:r w:rsidR="00926B54">
        <w:rPr>
          <w:rFonts w:ascii="Garamond" w:hAnsi="Garamond"/>
          <w:sz w:val="24"/>
          <w:szCs w:val="24"/>
        </w:rPr>
        <w:t xml:space="preserve">Commissioner </w:t>
      </w:r>
      <w:proofErr w:type="spellStart"/>
      <w:r w:rsidR="00926B54">
        <w:rPr>
          <w:rFonts w:ascii="Garamond" w:hAnsi="Garamond"/>
          <w:sz w:val="24"/>
          <w:szCs w:val="24"/>
        </w:rPr>
        <w:t>Bharel</w:t>
      </w:r>
      <w:proofErr w:type="spellEnd"/>
    </w:p>
    <w:p w:rsidR="00867465" w:rsidRPr="00C80847" w:rsidRDefault="00867465" w:rsidP="00C1073F">
      <w:pPr>
        <w:pStyle w:val="BodyText"/>
        <w:ind w:left="0"/>
        <w:rPr>
          <w:rFonts w:ascii="Garamond" w:hAnsi="Garamond"/>
          <w:sz w:val="24"/>
          <w:szCs w:val="24"/>
        </w:rPr>
      </w:pPr>
    </w:p>
    <w:p w:rsidR="00867465" w:rsidRPr="00C80847" w:rsidRDefault="00867465" w:rsidP="00C1073F">
      <w:pPr>
        <w:pStyle w:val="BodyText"/>
        <w:tabs>
          <w:tab w:val="left" w:pos="5760"/>
        </w:tabs>
        <w:ind w:left="0"/>
        <w:rPr>
          <w:rFonts w:ascii="Garamond" w:hAnsi="Garamond"/>
          <w:sz w:val="24"/>
          <w:szCs w:val="24"/>
        </w:rPr>
      </w:pPr>
      <w:r w:rsidRPr="00C80847">
        <w:rPr>
          <w:rFonts w:ascii="Garamond" w:hAnsi="Garamond"/>
          <w:sz w:val="24"/>
          <w:szCs w:val="24"/>
        </w:rPr>
        <w:t>On behalf of Atrius Health, I am writing to provide comments on proposed amendments to t</w:t>
      </w:r>
      <w:r w:rsidR="007F2E48" w:rsidRPr="00C80847">
        <w:rPr>
          <w:rFonts w:ascii="Garamond" w:hAnsi="Garamond"/>
          <w:sz w:val="24"/>
          <w:szCs w:val="24"/>
        </w:rPr>
        <w:t xml:space="preserve">he Department of Public Health </w:t>
      </w:r>
      <w:r w:rsidR="00B45CE6" w:rsidRPr="00C80847">
        <w:rPr>
          <w:rFonts w:ascii="Garamond" w:hAnsi="Garamond"/>
          <w:sz w:val="24"/>
          <w:szCs w:val="24"/>
        </w:rPr>
        <w:t>(“DPH” or the “Department”)) r</w:t>
      </w:r>
      <w:r w:rsidRPr="00C80847">
        <w:rPr>
          <w:rFonts w:ascii="Garamond" w:hAnsi="Garamond"/>
          <w:sz w:val="24"/>
          <w:szCs w:val="24"/>
        </w:rPr>
        <w:t>egulations</w:t>
      </w:r>
      <w:r w:rsidR="00044417">
        <w:rPr>
          <w:rFonts w:ascii="Garamond" w:hAnsi="Garamond"/>
          <w:sz w:val="24"/>
          <w:szCs w:val="24"/>
        </w:rPr>
        <w:t>,</w:t>
      </w:r>
      <w:r w:rsidRPr="00C80847">
        <w:rPr>
          <w:rFonts w:ascii="Garamond" w:hAnsi="Garamond"/>
          <w:sz w:val="24"/>
          <w:szCs w:val="24"/>
        </w:rPr>
        <w:t xml:space="preserve"> 105 </w:t>
      </w:r>
      <w:r w:rsidR="004F7E33" w:rsidRPr="00C80847">
        <w:rPr>
          <w:rFonts w:ascii="Garamond" w:hAnsi="Garamond"/>
          <w:sz w:val="24"/>
          <w:szCs w:val="24"/>
        </w:rPr>
        <w:t xml:space="preserve">CMR </w:t>
      </w:r>
      <w:r w:rsidR="00A748D1" w:rsidRPr="00C80847">
        <w:rPr>
          <w:rFonts w:ascii="Garamond" w:hAnsi="Garamond"/>
          <w:sz w:val="24"/>
          <w:szCs w:val="24"/>
        </w:rPr>
        <w:t>140</w:t>
      </w:r>
      <w:r w:rsidR="00255D3D" w:rsidRPr="00C80847">
        <w:rPr>
          <w:rFonts w:ascii="Garamond" w:hAnsi="Garamond"/>
          <w:sz w:val="24"/>
          <w:szCs w:val="24"/>
        </w:rPr>
        <w:t>.000</w:t>
      </w:r>
      <w:r w:rsidR="00044417">
        <w:rPr>
          <w:rFonts w:ascii="Garamond" w:hAnsi="Garamond"/>
          <w:sz w:val="24"/>
          <w:szCs w:val="24"/>
        </w:rPr>
        <w:t>,</w:t>
      </w:r>
      <w:r w:rsidR="00255D3D" w:rsidRPr="00C80847">
        <w:rPr>
          <w:rFonts w:ascii="Garamond" w:hAnsi="Garamond"/>
          <w:sz w:val="24"/>
          <w:szCs w:val="24"/>
        </w:rPr>
        <w:t xml:space="preserve"> </w:t>
      </w:r>
      <w:r w:rsidR="00A748D1" w:rsidRPr="00C80847">
        <w:rPr>
          <w:rFonts w:ascii="Garamond" w:hAnsi="Garamond"/>
          <w:sz w:val="24"/>
          <w:szCs w:val="24"/>
        </w:rPr>
        <w:t xml:space="preserve">Licensure </w:t>
      </w:r>
      <w:r w:rsidR="00044417">
        <w:rPr>
          <w:rFonts w:ascii="Garamond" w:hAnsi="Garamond"/>
          <w:sz w:val="24"/>
          <w:szCs w:val="24"/>
        </w:rPr>
        <w:t xml:space="preserve">of Clinics </w:t>
      </w:r>
      <w:r w:rsidR="00A748D1" w:rsidRPr="00C80847">
        <w:rPr>
          <w:rFonts w:ascii="Garamond" w:hAnsi="Garamond"/>
          <w:sz w:val="24"/>
          <w:szCs w:val="24"/>
        </w:rPr>
        <w:t>(the “Clinic Regulations”</w:t>
      </w:r>
      <w:r w:rsidR="00044417">
        <w:rPr>
          <w:rFonts w:ascii="Garamond" w:hAnsi="Garamond"/>
          <w:sz w:val="24"/>
          <w:szCs w:val="24"/>
        </w:rPr>
        <w:t xml:space="preserve"> or “Proposed Regulations”</w:t>
      </w:r>
      <w:r w:rsidR="00A748D1" w:rsidRPr="00C80847">
        <w:rPr>
          <w:rFonts w:ascii="Garamond" w:hAnsi="Garamond"/>
          <w:sz w:val="24"/>
          <w:szCs w:val="24"/>
        </w:rPr>
        <w:t>)</w:t>
      </w:r>
      <w:r w:rsidR="0053308F" w:rsidRPr="00C80847">
        <w:rPr>
          <w:rFonts w:ascii="Garamond" w:hAnsi="Garamond"/>
          <w:sz w:val="24"/>
          <w:szCs w:val="24"/>
        </w:rPr>
        <w:t>.</w:t>
      </w:r>
    </w:p>
    <w:p w:rsidR="0053308F" w:rsidRPr="00C80847" w:rsidRDefault="0053308F" w:rsidP="00C1073F">
      <w:pPr>
        <w:pStyle w:val="BodyText"/>
        <w:tabs>
          <w:tab w:val="left" w:pos="5760"/>
        </w:tabs>
        <w:ind w:left="0"/>
        <w:rPr>
          <w:rFonts w:ascii="Garamond" w:hAnsi="Garamond"/>
          <w:sz w:val="24"/>
          <w:szCs w:val="24"/>
        </w:rPr>
      </w:pPr>
    </w:p>
    <w:p w:rsidR="00A748D1" w:rsidRDefault="0053308F" w:rsidP="00C1073F">
      <w:pPr>
        <w:pStyle w:val="BodyText"/>
        <w:tabs>
          <w:tab w:val="left" w:pos="5760"/>
        </w:tabs>
        <w:ind w:left="0"/>
        <w:rPr>
          <w:rFonts w:ascii="Garamond" w:hAnsi="Garamond"/>
          <w:sz w:val="24"/>
          <w:szCs w:val="24"/>
        </w:rPr>
      </w:pPr>
      <w:r w:rsidRPr="00C80847">
        <w:rPr>
          <w:rFonts w:ascii="Garamond" w:hAnsi="Garamond"/>
          <w:sz w:val="24"/>
          <w:szCs w:val="24"/>
        </w:rPr>
        <w:t xml:space="preserve">We </w:t>
      </w:r>
      <w:r w:rsidR="00A748D1" w:rsidRPr="00C80847">
        <w:rPr>
          <w:rFonts w:ascii="Garamond" w:hAnsi="Garamond"/>
          <w:sz w:val="24"/>
          <w:szCs w:val="24"/>
        </w:rPr>
        <w:t xml:space="preserve">provided suggestions </w:t>
      </w:r>
      <w:r w:rsidR="00B45CE6" w:rsidRPr="00C80847">
        <w:rPr>
          <w:rFonts w:ascii="Garamond" w:hAnsi="Garamond"/>
          <w:sz w:val="24"/>
          <w:szCs w:val="24"/>
        </w:rPr>
        <w:t xml:space="preserve">to the </w:t>
      </w:r>
      <w:r w:rsidR="00A748D1" w:rsidRPr="00C80847">
        <w:rPr>
          <w:rFonts w:ascii="Garamond" w:hAnsi="Garamond"/>
          <w:sz w:val="24"/>
          <w:szCs w:val="24"/>
        </w:rPr>
        <w:t xml:space="preserve">Department for </w:t>
      </w:r>
      <w:r w:rsidR="00B45CE6" w:rsidRPr="00C80847">
        <w:rPr>
          <w:rFonts w:ascii="Garamond" w:hAnsi="Garamond"/>
          <w:sz w:val="24"/>
          <w:szCs w:val="24"/>
        </w:rPr>
        <w:t xml:space="preserve">revisions to </w:t>
      </w:r>
      <w:r w:rsidR="00A748D1" w:rsidRPr="00C80847">
        <w:rPr>
          <w:rFonts w:ascii="Garamond" w:hAnsi="Garamond"/>
          <w:sz w:val="24"/>
          <w:szCs w:val="24"/>
        </w:rPr>
        <w:t>the Clinic Re</w:t>
      </w:r>
      <w:r w:rsidR="00962E7A" w:rsidRPr="00C80847">
        <w:rPr>
          <w:rFonts w:ascii="Garamond" w:hAnsi="Garamond"/>
          <w:sz w:val="24"/>
          <w:szCs w:val="24"/>
        </w:rPr>
        <w:t>gulations in April of this year (</w:t>
      </w:r>
      <w:r w:rsidR="00044417" w:rsidRPr="00C80847">
        <w:rPr>
          <w:rFonts w:ascii="Garamond" w:hAnsi="Garamond"/>
          <w:sz w:val="24"/>
          <w:szCs w:val="24"/>
        </w:rPr>
        <w:t>“</w:t>
      </w:r>
      <w:r w:rsidR="005D3C53">
        <w:rPr>
          <w:rFonts w:ascii="Garamond" w:hAnsi="Garamond"/>
          <w:sz w:val="24"/>
          <w:szCs w:val="24"/>
        </w:rPr>
        <w:t xml:space="preserve">the </w:t>
      </w:r>
      <w:r w:rsidR="00044417" w:rsidRPr="00C80847">
        <w:rPr>
          <w:rFonts w:ascii="Garamond" w:hAnsi="Garamond"/>
          <w:sz w:val="24"/>
          <w:szCs w:val="24"/>
        </w:rPr>
        <w:t>April Letter</w:t>
      </w:r>
      <w:r w:rsidR="005D3C53">
        <w:rPr>
          <w:rFonts w:ascii="Garamond" w:hAnsi="Garamond"/>
          <w:sz w:val="24"/>
          <w:szCs w:val="24"/>
        </w:rPr>
        <w:t>,</w:t>
      </w:r>
      <w:r w:rsidR="00044417" w:rsidRPr="00C80847">
        <w:rPr>
          <w:rFonts w:ascii="Garamond" w:hAnsi="Garamond"/>
          <w:sz w:val="24"/>
          <w:szCs w:val="24"/>
        </w:rPr>
        <w:t xml:space="preserve">” </w:t>
      </w:r>
      <w:r w:rsidR="00A748D1" w:rsidRPr="00C80847">
        <w:rPr>
          <w:rFonts w:ascii="Garamond" w:hAnsi="Garamond"/>
          <w:sz w:val="24"/>
          <w:szCs w:val="24"/>
        </w:rPr>
        <w:t xml:space="preserve">a copy of </w:t>
      </w:r>
      <w:r w:rsidR="00044417" w:rsidRPr="00C80847">
        <w:rPr>
          <w:rFonts w:ascii="Garamond" w:hAnsi="Garamond"/>
          <w:sz w:val="24"/>
          <w:szCs w:val="24"/>
        </w:rPr>
        <w:t xml:space="preserve">which </w:t>
      </w:r>
      <w:r w:rsidR="00962E7A" w:rsidRPr="00C80847">
        <w:rPr>
          <w:rFonts w:ascii="Garamond" w:hAnsi="Garamond"/>
          <w:sz w:val="24"/>
          <w:szCs w:val="24"/>
        </w:rPr>
        <w:t>is attached</w:t>
      </w:r>
      <w:r w:rsidR="00044417" w:rsidRPr="00C80847">
        <w:rPr>
          <w:rFonts w:ascii="Garamond" w:hAnsi="Garamond"/>
          <w:sz w:val="24"/>
          <w:szCs w:val="24"/>
        </w:rPr>
        <w:t xml:space="preserve"> for your reference</w:t>
      </w:r>
      <w:r w:rsidR="00962E7A" w:rsidRPr="00C80847">
        <w:rPr>
          <w:rFonts w:ascii="Garamond" w:hAnsi="Garamond"/>
          <w:sz w:val="24"/>
          <w:szCs w:val="24"/>
        </w:rPr>
        <w:t>)</w:t>
      </w:r>
      <w:r w:rsidR="00B45CE6" w:rsidRPr="00C80847">
        <w:rPr>
          <w:rFonts w:ascii="Garamond" w:hAnsi="Garamond"/>
          <w:sz w:val="24"/>
          <w:szCs w:val="24"/>
        </w:rPr>
        <w:t xml:space="preserve">.  </w:t>
      </w:r>
      <w:r w:rsidR="00E021E7">
        <w:rPr>
          <w:rFonts w:ascii="Garamond" w:hAnsi="Garamond"/>
          <w:sz w:val="24"/>
          <w:szCs w:val="24"/>
        </w:rPr>
        <w:t xml:space="preserve">We </w:t>
      </w:r>
      <w:r w:rsidR="00044417" w:rsidRPr="00C80847">
        <w:rPr>
          <w:rFonts w:ascii="Garamond" w:hAnsi="Garamond"/>
          <w:sz w:val="24"/>
          <w:szCs w:val="24"/>
        </w:rPr>
        <w:t>recognize that</w:t>
      </w:r>
      <w:r w:rsidR="00A748D1" w:rsidRPr="00C80847">
        <w:rPr>
          <w:rFonts w:ascii="Garamond" w:hAnsi="Garamond"/>
          <w:sz w:val="24"/>
          <w:szCs w:val="24"/>
        </w:rPr>
        <w:t xml:space="preserve"> </w:t>
      </w:r>
      <w:r w:rsidR="00044417" w:rsidRPr="00C80847">
        <w:rPr>
          <w:rFonts w:ascii="Garamond" w:hAnsi="Garamond"/>
          <w:sz w:val="24"/>
          <w:szCs w:val="24"/>
        </w:rPr>
        <w:t xml:space="preserve">the Department has recommended </w:t>
      </w:r>
      <w:r w:rsidR="00E021E7">
        <w:rPr>
          <w:rFonts w:ascii="Garamond" w:hAnsi="Garamond"/>
          <w:sz w:val="24"/>
          <w:szCs w:val="24"/>
        </w:rPr>
        <w:t xml:space="preserve">some </w:t>
      </w:r>
      <w:r w:rsidR="00A748D1" w:rsidRPr="00C80847">
        <w:rPr>
          <w:rFonts w:ascii="Garamond" w:hAnsi="Garamond"/>
          <w:sz w:val="24"/>
          <w:szCs w:val="24"/>
        </w:rPr>
        <w:t>revisions</w:t>
      </w:r>
      <w:r w:rsidR="00044417" w:rsidRPr="00C80847">
        <w:rPr>
          <w:rFonts w:ascii="Garamond" w:hAnsi="Garamond"/>
          <w:sz w:val="24"/>
          <w:szCs w:val="24"/>
        </w:rPr>
        <w:t xml:space="preserve">; however, </w:t>
      </w:r>
      <w:r w:rsidR="00A748D1" w:rsidRPr="00C80847">
        <w:rPr>
          <w:rFonts w:ascii="Garamond" w:hAnsi="Garamond"/>
          <w:sz w:val="24"/>
          <w:szCs w:val="24"/>
        </w:rPr>
        <w:t>we were</w:t>
      </w:r>
      <w:r w:rsidR="00E021E7">
        <w:rPr>
          <w:rFonts w:ascii="Garamond" w:hAnsi="Garamond"/>
          <w:sz w:val="24"/>
          <w:szCs w:val="24"/>
        </w:rPr>
        <w:t xml:space="preserve"> hopeful</w:t>
      </w:r>
      <w:r w:rsidR="00A748D1" w:rsidRPr="00C80847">
        <w:rPr>
          <w:rFonts w:ascii="Garamond" w:hAnsi="Garamond"/>
          <w:sz w:val="24"/>
          <w:szCs w:val="24"/>
        </w:rPr>
        <w:t xml:space="preserve"> the Department </w:t>
      </w:r>
      <w:r w:rsidR="00E021E7">
        <w:rPr>
          <w:rFonts w:ascii="Garamond" w:hAnsi="Garamond"/>
          <w:sz w:val="24"/>
          <w:szCs w:val="24"/>
        </w:rPr>
        <w:t xml:space="preserve">would make more </w:t>
      </w:r>
      <w:r w:rsidR="00A748D1" w:rsidRPr="00C80847">
        <w:rPr>
          <w:rFonts w:ascii="Garamond" w:hAnsi="Garamond"/>
          <w:sz w:val="24"/>
          <w:szCs w:val="24"/>
        </w:rPr>
        <w:t xml:space="preserve">substantive changes </w:t>
      </w:r>
      <w:r w:rsidR="00E021E7">
        <w:rPr>
          <w:rFonts w:ascii="Garamond" w:hAnsi="Garamond"/>
          <w:sz w:val="24"/>
          <w:szCs w:val="24"/>
        </w:rPr>
        <w:t xml:space="preserve">and </w:t>
      </w:r>
      <w:r w:rsidR="00044417" w:rsidRPr="00C80847">
        <w:rPr>
          <w:rFonts w:ascii="Garamond" w:hAnsi="Garamond"/>
          <w:sz w:val="24"/>
          <w:szCs w:val="24"/>
        </w:rPr>
        <w:t xml:space="preserve">improvements </w:t>
      </w:r>
      <w:r w:rsidR="00A748D1" w:rsidRPr="00C80847">
        <w:rPr>
          <w:rFonts w:ascii="Garamond" w:hAnsi="Garamond"/>
          <w:sz w:val="24"/>
          <w:szCs w:val="24"/>
        </w:rPr>
        <w:t>to the Clinic Regulations</w:t>
      </w:r>
      <w:r w:rsidR="00F71CFC" w:rsidRPr="00C80847">
        <w:rPr>
          <w:rFonts w:ascii="Garamond" w:hAnsi="Garamond"/>
          <w:sz w:val="24"/>
          <w:szCs w:val="24"/>
        </w:rPr>
        <w:t xml:space="preserve">.  </w:t>
      </w:r>
      <w:r w:rsidR="00044417" w:rsidRPr="00C80847">
        <w:rPr>
          <w:rFonts w:ascii="Garamond" w:hAnsi="Garamond"/>
          <w:sz w:val="24"/>
          <w:szCs w:val="24"/>
        </w:rPr>
        <w:t xml:space="preserve">We </w:t>
      </w:r>
      <w:r w:rsidR="00E021E7">
        <w:rPr>
          <w:rFonts w:ascii="Garamond" w:hAnsi="Garamond"/>
          <w:sz w:val="24"/>
          <w:szCs w:val="24"/>
        </w:rPr>
        <w:t>are concerned</w:t>
      </w:r>
      <w:r w:rsidR="00044417" w:rsidRPr="00C80847">
        <w:rPr>
          <w:rFonts w:ascii="Garamond" w:hAnsi="Garamond"/>
          <w:sz w:val="24"/>
          <w:szCs w:val="24"/>
        </w:rPr>
        <w:t xml:space="preserve"> that s</w:t>
      </w:r>
      <w:r w:rsidR="00F71CFC" w:rsidRPr="00C80847">
        <w:rPr>
          <w:rFonts w:ascii="Garamond" w:hAnsi="Garamond"/>
          <w:sz w:val="24"/>
          <w:szCs w:val="24"/>
        </w:rPr>
        <w:t xml:space="preserve">ome of these </w:t>
      </w:r>
      <w:r w:rsidR="00A748D1" w:rsidRPr="00C80847">
        <w:rPr>
          <w:rFonts w:ascii="Garamond" w:hAnsi="Garamond"/>
          <w:sz w:val="24"/>
          <w:szCs w:val="24"/>
        </w:rPr>
        <w:t>changes</w:t>
      </w:r>
      <w:r w:rsidR="00044417" w:rsidRPr="00C80847">
        <w:rPr>
          <w:rFonts w:ascii="Garamond" w:hAnsi="Garamond"/>
          <w:sz w:val="24"/>
          <w:szCs w:val="24"/>
        </w:rPr>
        <w:t xml:space="preserve"> </w:t>
      </w:r>
      <w:r w:rsidR="006E4F0C" w:rsidRPr="00044417">
        <w:rPr>
          <w:rFonts w:ascii="Garamond" w:hAnsi="Garamond"/>
          <w:sz w:val="24"/>
          <w:szCs w:val="24"/>
        </w:rPr>
        <w:t>actually increase</w:t>
      </w:r>
      <w:r w:rsidR="00A748D1" w:rsidRPr="00C80847">
        <w:rPr>
          <w:rFonts w:ascii="Garamond" w:hAnsi="Garamond"/>
          <w:sz w:val="24"/>
          <w:szCs w:val="24"/>
        </w:rPr>
        <w:t>, rather than decrease, administrative burden and cost on clinic</w:t>
      </w:r>
      <w:r w:rsidR="00044417" w:rsidRPr="00C80847">
        <w:rPr>
          <w:rFonts w:ascii="Garamond" w:hAnsi="Garamond"/>
          <w:sz w:val="24"/>
          <w:szCs w:val="24"/>
        </w:rPr>
        <w:t>s.</w:t>
      </w:r>
      <w:r w:rsidR="00A748D1" w:rsidRPr="00C80847">
        <w:rPr>
          <w:rFonts w:ascii="Garamond" w:hAnsi="Garamond"/>
          <w:sz w:val="24"/>
          <w:szCs w:val="24"/>
        </w:rPr>
        <w:t xml:space="preserve"> </w:t>
      </w:r>
      <w:r w:rsidR="00962E7A" w:rsidRPr="00C80847">
        <w:rPr>
          <w:rFonts w:ascii="Garamond" w:hAnsi="Garamond"/>
          <w:sz w:val="24"/>
          <w:szCs w:val="24"/>
        </w:rPr>
        <w:t xml:space="preserve"> </w:t>
      </w:r>
      <w:r w:rsidR="00044417" w:rsidRPr="00C80847">
        <w:rPr>
          <w:rFonts w:ascii="Garamond" w:hAnsi="Garamond"/>
          <w:sz w:val="24"/>
          <w:szCs w:val="24"/>
        </w:rPr>
        <w:t xml:space="preserve"> Since </w:t>
      </w:r>
      <w:r w:rsidR="00053B73" w:rsidRPr="00C80847">
        <w:rPr>
          <w:rFonts w:ascii="Garamond" w:hAnsi="Garamond"/>
          <w:sz w:val="24"/>
          <w:szCs w:val="24"/>
        </w:rPr>
        <w:t>so few changes were made, we believe</w:t>
      </w:r>
      <w:r w:rsidR="00A748D1" w:rsidRPr="00C80847">
        <w:rPr>
          <w:rFonts w:ascii="Garamond" w:hAnsi="Garamond"/>
          <w:sz w:val="24"/>
          <w:szCs w:val="24"/>
        </w:rPr>
        <w:t xml:space="preserve"> the proposed Clinic Regulations continue to be </w:t>
      </w:r>
      <w:r w:rsidR="00053B73" w:rsidRPr="00C80847">
        <w:rPr>
          <w:rFonts w:ascii="Garamond" w:hAnsi="Garamond"/>
          <w:sz w:val="24"/>
          <w:szCs w:val="24"/>
        </w:rPr>
        <w:t>un</w:t>
      </w:r>
      <w:r w:rsidR="00044417" w:rsidRPr="00C80847">
        <w:rPr>
          <w:rFonts w:ascii="Garamond" w:hAnsi="Garamond"/>
          <w:sz w:val="24"/>
          <w:szCs w:val="24"/>
        </w:rPr>
        <w:t xml:space="preserve">necessarily </w:t>
      </w:r>
      <w:r w:rsidR="00053B73" w:rsidRPr="00C80847">
        <w:rPr>
          <w:rFonts w:ascii="Garamond" w:hAnsi="Garamond"/>
          <w:sz w:val="24"/>
          <w:szCs w:val="24"/>
        </w:rPr>
        <w:t>restrictive</w:t>
      </w:r>
      <w:r w:rsidR="00B45CE6" w:rsidRPr="00C80847">
        <w:rPr>
          <w:rFonts w:ascii="Garamond" w:hAnsi="Garamond"/>
          <w:sz w:val="24"/>
          <w:szCs w:val="24"/>
        </w:rPr>
        <w:t xml:space="preserve"> and </w:t>
      </w:r>
      <w:r w:rsidR="00A748D1" w:rsidRPr="00C80847">
        <w:rPr>
          <w:rFonts w:ascii="Garamond" w:hAnsi="Garamond"/>
          <w:sz w:val="24"/>
          <w:szCs w:val="24"/>
        </w:rPr>
        <w:t>out of sync with the current health care environment in Massachusetts</w:t>
      </w:r>
      <w:r w:rsidR="00B45CE6" w:rsidRPr="00C80847">
        <w:rPr>
          <w:rFonts w:ascii="Garamond" w:hAnsi="Garamond"/>
          <w:sz w:val="24"/>
          <w:szCs w:val="24"/>
        </w:rPr>
        <w:t xml:space="preserve"> and will impede the development of innovative </w:t>
      </w:r>
      <w:r w:rsidR="00F71CFC" w:rsidRPr="00C80847">
        <w:rPr>
          <w:rFonts w:ascii="Garamond" w:hAnsi="Garamond"/>
          <w:sz w:val="24"/>
          <w:szCs w:val="24"/>
        </w:rPr>
        <w:t>delivery system models and coordinated care.</w:t>
      </w:r>
      <w:r w:rsidR="00044417" w:rsidRPr="00C80847">
        <w:rPr>
          <w:rFonts w:ascii="Garamond" w:hAnsi="Garamond"/>
          <w:sz w:val="24"/>
          <w:szCs w:val="24"/>
        </w:rPr>
        <w:t xml:space="preserve">  We respectfully request that you reconsider Atrius Health’s comments in the April Letter and the comments set forth below</w:t>
      </w:r>
      <w:r w:rsidR="00E021E7">
        <w:rPr>
          <w:rFonts w:ascii="Garamond" w:hAnsi="Garamond"/>
          <w:sz w:val="24"/>
          <w:szCs w:val="24"/>
        </w:rPr>
        <w:t xml:space="preserve"> before issuing final regulations</w:t>
      </w:r>
      <w:r w:rsidR="00044417" w:rsidRPr="00C80847">
        <w:rPr>
          <w:rFonts w:ascii="Garamond" w:hAnsi="Garamond"/>
          <w:sz w:val="24"/>
          <w:szCs w:val="24"/>
        </w:rPr>
        <w:t>.</w:t>
      </w:r>
    </w:p>
    <w:p w:rsidR="00355C15" w:rsidRPr="00C80847" w:rsidRDefault="00355C15" w:rsidP="00C1073F">
      <w:pPr>
        <w:pStyle w:val="BodyText"/>
        <w:tabs>
          <w:tab w:val="left" w:pos="5760"/>
        </w:tabs>
        <w:ind w:left="0"/>
        <w:rPr>
          <w:rFonts w:ascii="Garamond" w:hAnsi="Garamond"/>
          <w:sz w:val="24"/>
          <w:szCs w:val="24"/>
        </w:rPr>
      </w:pPr>
    </w:p>
    <w:p w:rsidR="00962E7A" w:rsidRPr="00C80847" w:rsidRDefault="00962E7A" w:rsidP="00C1073F">
      <w:pPr>
        <w:pStyle w:val="BodyText"/>
        <w:tabs>
          <w:tab w:val="left" w:pos="5760"/>
        </w:tabs>
        <w:ind w:left="0"/>
        <w:rPr>
          <w:rFonts w:ascii="Garamond" w:hAnsi="Garamond"/>
          <w:b/>
          <w:sz w:val="24"/>
          <w:szCs w:val="24"/>
          <w:u w:val="single"/>
        </w:rPr>
      </w:pPr>
      <w:r w:rsidRPr="00C80847">
        <w:rPr>
          <w:rFonts w:ascii="Garamond" w:hAnsi="Garamond"/>
          <w:b/>
          <w:sz w:val="24"/>
          <w:szCs w:val="24"/>
          <w:u w:val="single"/>
        </w:rPr>
        <w:t>Background</w:t>
      </w:r>
    </w:p>
    <w:p w:rsidR="00962E7A" w:rsidRPr="00C80847" w:rsidRDefault="00962E7A" w:rsidP="001E3044">
      <w:pPr>
        <w:rPr>
          <w:rFonts w:ascii="Garamond" w:hAnsi="Garamond"/>
          <w:sz w:val="24"/>
          <w:szCs w:val="24"/>
        </w:rPr>
      </w:pPr>
    </w:p>
    <w:p w:rsidR="002047A4" w:rsidRPr="00C80847" w:rsidRDefault="00962E7A" w:rsidP="001E3044">
      <w:pPr>
        <w:rPr>
          <w:rFonts w:ascii="Garamond" w:eastAsia="Calibri" w:hAnsi="Garamond"/>
          <w:b/>
          <w:sz w:val="24"/>
          <w:szCs w:val="24"/>
        </w:rPr>
      </w:pPr>
      <w:r w:rsidRPr="00C80847">
        <w:rPr>
          <w:rFonts w:ascii="Garamond" w:hAnsi="Garamond"/>
          <w:sz w:val="24"/>
          <w:szCs w:val="24"/>
        </w:rPr>
        <w:t>Atrius Health is a Massachusetts charitable corporation under M.G.L. c. 180, tax-exempt under Section 501(c</w:t>
      </w:r>
      <w:proofErr w:type="gramStart"/>
      <w:r w:rsidRPr="00C80847">
        <w:rPr>
          <w:rFonts w:ascii="Garamond" w:hAnsi="Garamond"/>
          <w:sz w:val="24"/>
          <w:szCs w:val="24"/>
        </w:rPr>
        <w:t>)(</w:t>
      </w:r>
      <w:proofErr w:type="gramEnd"/>
      <w:r w:rsidRPr="00C80847">
        <w:rPr>
          <w:rFonts w:ascii="Garamond" w:hAnsi="Garamond"/>
          <w:sz w:val="24"/>
          <w:szCs w:val="24"/>
        </w:rPr>
        <w:t>3) of the Internal Revenue Code, with a multi-specialty, multi-site medical group practice serving patients throughout eastern Massachusetts.  Atrius Health has a long history of delivering integrated health care services to its patients through a care model that focuses on providing patient-centered, coordinated care.  Atrius Health continues to use the name Harvard Vanguard Medical Associates, and currently has seventeen (17) Harvard Vanguard locations th</w:t>
      </w:r>
      <w:r w:rsidR="003C3409" w:rsidRPr="00C80847">
        <w:rPr>
          <w:rFonts w:ascii="Garamond" w:hAnsi="Garamond"/>
          <w:sz w:val="24"/>
          <w:szCs w:val="24"/>
        </w:rPr>
        <w:t xml:space="preserve">at are clinics licensed by DPH.  </w:t>
      </w:r>
      <w:r w:rsidR="00B45CE6" w:rsidRPr="00C80847">
        <w:rPr>
          <w:rFonts w:ascii="Garamond" w:hAnsi="Garamond"/>
          <w:sz w:val="24"/>
          <w:szCs w:val="24"/>
        </w:rPr>
        <w:t xml:space="preserve">The </w:t>
      </w:r>
      <w:r w:rsidR="00044417" w:rsidRPr="00C80847">
        <w:rPr>
          <w:rFonts w:ascii="Garamond" w:hAnsi="Garamond"/>
          <w:sz w:val="24"/>
          <w:szCs w:val="24"/>
        </w:rPr>
        <w:t xml:space="preserve">April </w:t>
      </w:r>
      <w:r w:rsidR="00355C15" w:rsidRPr="00C80847">
        <w:rPr>
          <w:rFonts w:ascii="Garamond" w:hAnsi="Garamond"/>
          <w:sz w:val="24"/>
          <w:szCs w:val="24"/>
        </w:rPr>
        <w:t>Letter provides</w:t>
      </w:r>
      <w:r w:rsidR="00B45CE6" w:rsidRPr="00C80847">
        <w:rPr>
          <w:rFonts w:ascii="Garamond" w:hAnsi="Garamond"/>
          <w:sz w:val="24"/>
          <w:szCs w:val="24"/>
        </w:rPr>
        <w:t xml:space="preserve"> </w:t>
      </w:r>
      <w:r w:rsidRPr="00C80847">
        <w:rPr>
          <w:rFonts w:ascii="Garamond" w:hAnsi="Garamond"/>
          <w:sz w:val="24"/>
          <w:szCs w:val="24"/>
        </w:rPr>
        <w:t xml:space="preserve">additional </w:t>
      </w:r>
      <w:r w:rsidR="00B45CE6" w:rsidRPr="00C80847">
        <w:rPr>
          <w:rFonts w:ascii="Garamond" w:hAnsi="Garamond"/>
          <w:sz w:val="24"/>
          <w:szCs w:val="24"/>
        </w:rPr>
        <w:t xml:space="preserve">background on our organization.  </w:t>
      </w:r>
    </w:p>
    <w:p w:rsidR="008A6A4F" w:rsidRPr="00C80847" w:rsidRDefault="008A6A4F" w:rsidP="002047A4">
      <w:pPr>
        <w:rPr>
          <w:rFonts w:ascii="Garamond" w:eastAsia="Calibri" w:hAnsi="Garamond"/>
          <w:sz w:val="24"/>
          <w:szCs w:val="24"/>
        </w:rPr>
      </w:pPr>
    </w:p>
    <w:p w:rsidR="008A6A4F" w:rsidRPr="00C80847" w:rsidRDefault="001C0DA7" w:rsidP="002047A4">
      <w:pPr>
        <w:rPr>
          <w:rFonts w:ascii="Garamond" w:eastAsia="Calibri" w:hAnsi="Garamond"/>
          <w:b/>
          <w:sz w:val="24"/>
          <w:szCs w:val="24"/>
          <w:u w:val="single"/>
        </w:rPr>
      </w:pPr>
      <w:r w:rsidRPr="00C80847">
        <w:rPr>
          <w:rFonts w:ascii="Garamond" w:eastAsia="Calibri" w:hAnsi="Garamond"/>
          <w:b/>
          <w:sz w:val="24"/>
          <w:szCs w:val="24"/>
          <w:u w:val="single"/>
        </w:rPr>
        <w:t>General Comments</w:t>
      </w:r>
    </w:p>
    <w:p w:rsidR="00B47359" w:rsidRPr="00C80847" w:rsidRDefault="00B47359" w:rsidP="002047A4">
      <w:pPr>
        <w:rPr>
          <w:rFonts w:ascii="Garamond" w:eastAsia="Calibri" w:hAnsi="Garamond"/>
          <w:sz w:val="24"/>
          <w:szCs w:val="24"/>
        </w:rPr>
      </w:pPr>
    </w:p>
    <w:p w:rsidR="00E05294" w:rsidRDefault="001E3044" w:rsidP="002047A4">
      <w:pPr>
        <w:rPr>
          <w:rFonts w:ascii="Garamond" w:eastAsia="Calibri" w:hAnsi="Garamond"/>
          <w:sz w:val="24"/>
          <w:szCs w:val="24"/>
        </w:rPr>
      </w:pPr>
      <w:r w:rsidRPr="00C80847">
        <w:rPr>
          <w:rFonts w:ascii="Garamond" w:eastAsia="Calibri" w:hAnsi="Garamond"/>
          <w:sz w:val="24"/>
          <w:szCs w:val="24"/>
        </w:rPr>
        <w:t xml:space="preserve">We </w:t>
      </w:r>
      <w:r w:rsidR="006A4590" w:rsidRPr="00C80847">
        <w:rPr>
          <w:rFonts w:ascii="Garamond" w:eastAsia="Calibri" w:hAnsi="Garamond"/>
          <w:sz w:val="24"/>
          <w:szCs w:val="24"/>
        </w:rPr>
        <w:t xml:space="preserve">appreciate the updating of certain </w:t>
      </w:r>
      <w:r w:rsidR="00962E7A" w:rsidRPr="00C80847">
        <w:rPr>
          <w:rFonts w:ascii="Garamond" w:eastAsia="Calibri" w:hAnsi="Garamond"/>
          <w:sz w:val="24"/>
          <w:szCs w:val="24"/>
        </w:rPr>
        <w:t xml:space="preserve">provisions </w:t>
      </w:r>
      <w:r w:rsidR="006A4590" w:rsidRPr="00C80847">
        <w:rPr>
          <w:rFonts w:ascii="Garamond" w:eastAsia="Calibri" w:hAnsi="Garamond"/>
          <w:sz w:val="24"/>
          <w:szCs w:val="24"/>
        </w:rPr>
        <w:t>of the Clinic Regulations</w:t>
      </w:r>
      <w:r w:rsidR="00F71CFC" w:rsidRPr="00C80847">
        <w:rPr>
          <w:rFonts w:ascii="Garamond" w:eastAsia="Calibri" w:hAnsi="Garamond"/>
          <w:sz w:val="24"/>
          <w:szCs w:val="24"/>
        </w:rPr>
        <w:t>,</w:t>
      </w:r>
      <w:r w:rsidR="006A4590" w:rsidRPr="00C80847">
        <w:rPr>
          <w:rFonts w:ascii="Garamond" w:eastAsia="Calibri" w:hAnsi="Garamond"/>
          <w:sz w:val="24"/>
          <w:szCs w:val="24"/>
        </w:rPr>
        <w:t xml:space="preserve"> such as </w:t>
      </w:r>
      <w:r w:rsidR="0094276F" w:rsidRPr="00C80847">
        <w:rPr>
          <w:rFonts w:ascii="Garamond" w:eastAsia="Calibri" w:hAnsi="Garamond"/>
          <w:sz w:val="24"/>
          <w:szCs w:val="24"/>
        </w:rPr>
        <w:t>eliminating the requirement for written</w:t>
      </w:r>
      <w:r w:rsidR="006A4590" w:rsidRPr="00C80847">
        <w:rPr>
          <w:rFonts w:ascii="Garamond" w:eastAsia="Calibri" w:hAnsi="Garamond"/>
          <w:sz w:val="24"/>
          <w:szCs w:val="24"/>
        </w:rPr>
        <w:t xml:space="preserve"> emergency transfer agreements with hospitals</w:t>
      </w:r>
      <w:r w:rsidR="005D3C53">
        <w:rPr>
          <w:rFonts w:ascii="Garamond" w:eastAsia="Calibri" w:hAnsi="Garamond"/>
          <w:sz w:val="24"/>
          <w:szCs w:val="24"/>
        </w:rPr>
        <w:t xml:space="preserve">. </w:t>
      </w:r>
      <w:r w:rsidR="00F71CFC" w:rsidRPr="00C80847">
        <w:rPr>
          <w:rFonts w:ascii="Garamond" w:eastAsia="Calibri" w:hAnsi="Garamond"/>
          <w:sz w:val="24"/>
          <w:szCs w:val="24"/>
        </w:rPr>
        <w:t xml:space="preserve"> However, </w:t>
      </w:r>
      <w:r w:rsidR="00044417" w:rsidRPr="00C80847">
        <w:rPr>
          <w:rFonts w:ascii="Garamond" w:eastAsia="Calibri" w:hAnsi="Garamond"/>
          <w:sz w:val="24"/>
          <w:szCs w:val="24"/>
        </w:rPr>
        <w:t xml:space="preserve">we believe </w:t>
      </w:r>
    </w:p>
    <w:p w:rsidR="00E05294" w:rsidRDefault="00E05294">
      <w:pPr>
        <w:spacing w:after="160" w:line="259" w:lineRule="auto"/>
        <w:rPr>
          <w:rFonts w:ascii="Garamond" w:eastAsia="Calibri" w:hAnsi="Garamond"/>
          <w:sz w:val="24"/>
          <w:szCs w:val="24"/>
        </w:rPr>
      </w:pPr>
      <w:r>
        <w:rPr>
          <w:rFonts w:ascii="Garamond" w:eastAsia="Calibri" w:hAnsi="Garamond"/>
          <w:sz w:val="24"/>
          <w:szCs w:val="24"/>
        </w:rPr>
        <w:br w:type="page"/>
      </w:r>
    </w:p>
    <w:p w:rsidR="00C469F5" w:rsidRPr="00C80847" w:rsidRDefault="00355C15" w:rsidP="002047A4">
      <w:pPr>
        <w:rPr>
          <w:rFonts w:ascii="Garamond" w:eastAsia="Calibri" w:hAnsi="Garamond"/>
          <w:sz w:val="24"/>
          <w:szCs w:val="24"/>
        </w:rPr>
      </w:pPr>
      <w:r w:rsidRPr="00C80847">
        <w:rPr>
          <w:rFonts w:ascii="Garamond" w:eastAsia="Calibri" w:hAnsi="Garamond"/>
          <w:sz w:val="24"/>
          <w:szCs w:val="24"/>
        </w:rPr>
        <w:lastRenderedPageBreak/>
        <w:t>that more</w:t>
      </w:r>
      <w:r w:rsidR="00F71CFC" w:rsidRPr="00C80847">
        <w:rPr>
          <w:rFonts w:ascii="Garamond" w:eastAsia="Calibri" w:hAnsi="Garamond"/>
          <w:sz w:val="24"/>
          <w:szCs w:val="24"/>
        </w:rPr>
        <w:t xml:space="preserve"> substantive changes </w:t>
      </w:r>
      <w:r w:rsidRPr="00C80847">
        <w:rPr>
          <w:rFonts w:ascii="Garamond" w:eastAsia="Calibri" w:hAnsi="Garamond"/>
          <w:sz w:val="24"/>
          <w:szCs w:val="24"/>
        </w:rPr>
        <w:t>to the</w:t>
      </w:r>
      <w:r w:rsidR="00F71CFC" w:rsidRPr="00C80847">
        <w:rPr>
          <w:rFonts w:ascii="Garamond" w:eastAsia="Calibri" w:hAnsi="Garamond"/>
          <w:sz w:val="24"/>
          <w:szCs w:val="24"/>
        </w:rPr>
        <w:t xml:space="preserve"> </w:t>
      </w:r>
      <w:r w:rsidR="00044417">
        <w:rPr>
          <w:rFonts w:ascii="Garamond" w:eastAsia="Calibri" w:hAnsi="Garamond"/>
          <w:sz w:val="24"/>
          <w:szCs w:val="24"/>
        </w:rPr>
        <w:t xml:space="preserve">Clinic </w:t>
      </w:r>
      <w:r w:rsidR="00044417" w:rsidRPr="00C80847">
        <w:rPr>
          <w:rFonts w:ascii="Garamond" w:eastAsia="Calibri" w:hAnsi="Garamond"/>
          <w:sz w:val="24"/>
          <w:szCs w:val="24"/>
        </w:rPr>
        <w:t>R</w:t>
      </w:r>
      <w:r w:rsidR="00F71CFC" w:rsidRPr="00C80847">
        <w:rPr>
          <w:rFonts w:ascii="Garamond" w:eastAsia="Calibri" w:hAnsi="Garamond"/>
          <w:sz w:val="24"/>
          <w:szCs w:val="24"/>
        </w:rPr>
        <w:t xml:space="preserve">egulations </w:t>
      </w:r>
      <w:r w:rsidR="00C8283D">
        <w:rPr>
          <w:rFonts w:ascii="Garamond" w:eastAsia="Calibri" w:hAnsi="Garamond"/>
          <w:sz w:val="24"/>
          <w:szCs w:val="24"/>
        </w:rPr>
        <w:t xml:space="preserve">would be helpful </w:t>
      </w:r>
      <w:r w:rsidR="00F71CFC" w:rsidRPr="00C80847">
        <w:rPr>
          <w:rFonts w:ascii="Garamond" w:eastAsia="Calibri" w:hAnsi="Garamond"/>
          <w:sz w:val="24"/>
          <w:szCs w:val="24"/>
        </w:rPr>
        <w:t xml:space="preserve">to reflect the dynamics of the health care environment in Massachusetts and give </w:t>
      </w:r>
      <w:r w:rsidR="00044417" w:rsidRPr="00C80847">
        <w:rPr>
          <w:rFonts w:ascii="Garamond" w:eastAsia="Calibri" w:hAnsi="Garamond"/>
          <w:sz w:val="24"/>
          <w:szCs w:val="24"/>
        </w:rPr>
        <w:t xml:space="preserve">health care </w:t>
      </w:r>
      <w:r w:rsidR="00F71CFC" w:rsidRPr="00C80847">
        <w:rPr>
          <w:rFonts w:ascii="Garamond" w:eastAsia="Calibri" w:hAnsi="Garamond"/>
          <w:sz w:val="24"/>
          <w:szCs w:val="24"/>
        </w:rPr>
        <w:t>organizations the flexibility to adapt</w:t>
      </w:r>
      <w:r w:rsidR="00044417" w:rsidRPr="00C80847">
        <w:rPr>
          <w:rFonts w:ascii="Garamond" w:eastAsia="Calibri" w:hAnsi="Garamond"/>
          <w:sz w:val="24"/>
          <w:szCs w:val="24"/>
        </w:rPr>
        <w:t xml:space="preserve"> while continuing to achieve DPH’s mission to</w:t>
      </w:r>
      <w:r w:rsidR="00044417" w:rsidRPr="00C80847">
        <w:rPr>
          <w:rFonts w:ascii="Garamond" w:eastAsiaTheme="minorHAnsi" w:hAnsi="Garamond"/>
          <w:sz w:val="24"/>
          <w:szCs w:val="24"/>
        </w:rPr>
        <w:t>: prevent illness, injury, and premature death; assure access to high quality public health and health care services; and promote wellness and health equity for all people within the Commonwealth</w:t>
      </w:r>
      <w:r w:rsidR="00044417" w:rsidRPr="00C80847">
        <w:rPr>
          <w:rFonts w:ascii="Garamond" w:eastAsia="Calibri" w:hAnsi="Garamond"/>
          <w:sz w:val="24"/>
          <w:szCs w:val="24"/>
        </w:rPr>
        <w:t xml:space="preserve"> </w:t>
      </w:r>
    </w:p>
    <w:p w:rsidR="00C469F5" w:rsidRPr="00C80847" w:rsidRDefault="00C469F5" w:rsidP="002047A4">
      <w:pPr>
        <w:rPr>
          <w:rFonts w:ascii="Garamond" w:eastAsia="Calibri" w:hAnsi="Garamond"/>
          <w:sz w:val="24"/>
          <w:szCs w:val="24"/>
        </w:rPr>
      </w:pPr>
    </w:p>
    <w:p w:rsidR="00701D10" w:rsidRPr="00C80847" w:rsidRDefault="008177C2" w:rsidP="00701D10">
      <w:pPr>
        <w:rPr>
          <w:rFonts w:ascii="Garamond" w:eastAsia="Calibri" w:hAnsi="Garamond"/>
          <w:sz w:val="24"/>
          <w:szCs w:val="24"/>
        </w:rPr>
      </w:pPr>
      <w:r w:rsidRPr="00C80847">
        <w:rPr>
          <w:rFonts w:ascii="Garamond" w:eastAsia="Calibri" w:hAnsi="Garamond"/>
          <w:b/>
          <w:sz w:val="24"/>
          <w:szCs w:val="24"/>
          <w:u w:val="single"/>
        </w:rPr>
        <w:t>Specific Comments</w:t>
      </w:r>
    </w:p>
    <w:p w:rsidR="00A705D7" w:rsidRPr="00C80847" w:rsidRDefault="00A705D7" w:rsidP="00701D10">
      <w:pPr>
        <w:rPr>
          <w:rFonts w:ascii="Garamond" w:eastAsia="Calibri" w:hAnsi="Garamond"/>
          <w:sz w:val="24"/>
          <w:szCs w:val="24"/>
        </w:rPr>
      </w:pPr>
    </w:p>
    <w:p w:rsidR="00A705D7" w:rsidRPr="00C80847" w:rsidRDefault="00082FE0" w:rsidP="00701D10">
      <w:pPr>
        <w:rPr>
          <w:rFonts w:ascii="Garamond" w:eastAsia="Calibri" w:hAnsi="Garamond"/>
          <w:sz w:val="24"/>
          <w:szCs w:val="24"/>
        </w:rPr>
      </w:pPr>
      <w:r w:rsidRPr="00C80847">
        <w:rPr>
          <w:rFonts w:ascii="Garamond" w:eastAsia="Calibri" w:hAnsi="Garamond"/>
          <w:b/>
          <w:sz w:val="24"/>
          <w:szCs w:val="24"/>
        </w:rPr>
        <w:t xml:space="preserve">140.010 </w:t>
      </w:r>
      <w:r w:rsidR="00A705D7" w:rsidRPr="00C80847">
        <w:rPr>
          <w:rFonts w:ascii="Garamond" w:eastAsia="Calibri" w:hAnsi="Garamond"/>
          <w:b/>
          <w:sz w:val="24"/>
          <w:szCs w:val="24"/>
        </w:rPr>
        <w:t>Scope</w:t>
      </w:r>
      <w:r w:rsidR="00A705D7" w:rsidRPr="00C80847">
        <w:rPr>
          <w:rFonts w:ascii="Garamond" w:eastAsia="Calibri" w:hAnsi="Garamond"/>
          <w:sz w:val="24"/>
          <w:szCs w:val="24"/>
        </w:rPr>
        <w:t xml:space="preserve">:  The </w:t>
      </w:r>
      <w:r w:rsidR="00044417">
        <w:rPr>
          <w:rFonts w:ascii="Garamond" w:eastAsia="Calibri" w:hAnsi="Garamond"/>
          <w:sz w:val="24"/>
          <w:szCs w:val="24"/>
        </w:rPr>
        <w:t>P</w:t>
      </w:r>
      <w:r w:rsidR="00A705D7" w:rsidRPr="00C80847">
        <w:rPr>
          <w:rFonts w:ascii="Garamond" w:eastAsia="Calibri" w:hAnsi="Garamond"/>
          <w:sz w:val="24"/>
          <w:szCs w:val="24"/>
        </w:rPr>
        <w:t xml:space="preserve">roposed </w:t>
      </w:r>
      <w:r w:rsidR="00044417">
        <w:rPr>
          <w:rFonts w:ascii="Garamond" w:eastAsia="Calibri" w:hAnsi="Garamond"/>
          <w:sz w:val="24"/>
          <w:szCs w:val="24"/>
        </w:rPr>
        <w:t>R</w:t>
      </w:r>
      <w:r w:rsidR="00A705D7" w:rsidRPr="00C80847">
        <w:rPr>
          <w:rFonts w:ascii="Garamond" w:eastAsia="Calibri" w:hAnsi="Garamond"/>
          <w:sz w:val="24"/>
          <w:szCs w:val="24"/>
        </w:rPr>
        <w:t xml:space="preserve">egulations </w:t>
      </w:r>
      <w:r w:rsidR="00044417">
        <w:rPr>
          <w:rFonts w:ascii="Garamond" w:eastAsia="Calibri" w:hAnsi="Garamond"/>
          <w:sz w:val="24"/>
          <w:szCs w:val="24"/>
        </w:rPr>
        <w:t xml:space="preserve">added language which states that the scope of the </w:t>
      </w:r>
      <w:r w:rsidR="00355C15">
        <w:rPr>
          <w:rFonts w:ascii="Garamond" w:eastAsia="Calibri" w:hAnsi="Garamond"/>
          <w:sz w:val="24"/>
          <w:szCs w:val="24"/>
        </w:rPr>
        <w:t xml:space="preserve">Regulations </w:t>
      </w:r>
      <w:r w:rsidR="00355C15" w:rsidRPr="00C80847">
        <w:rPr>
          <w:rFonts w:ascii="Garamond" w:eastAsia="Calibri" w:hAnsi="Garamond"/>
          <w:sz w:val="24"/>
          <w:szCs w:val="24"/>
        </w:rPr>
        <w:t>apply</w:t>
      </w:r>
      <w:r w:rsidR="00A705D7" w:rsidRPr="00C80847">
        <w:rPr>
          <w:rFonts w:ascii="Garamond" w:eastAsia="Calibri" w:hAnsi="Garamond"/>
          <w:sz w:val="24"/>
          <w:szCs w:val="24"/>
        </w:rPr>
        <w:t xml:space="preserve"> to “affiliates of a licensed clinic that are not independently licensed.”  “</w:t>
      </w:r>
      <w:r w:rsidR="00044417">
        <w:rPr>
          <w:rFonts w:ascii="Garamond" w:eastAsia="Calibri" w:hAnsi="Garamond"/>
          <w:sz w:val="24"/>
          <w:szCs w:val="24"/>
        </w:rPr>
        <w:t>[</w:t>
      </w:r>
      <w:r w:rsidR="00A705D7" w:rsidRPr="00C80847">
        <w:rPr>
          <w:rFonts w:ascii="Garamond" w:eastAsia="Calibri" w:hAnsi="Garamond"/>
          <w:sz w:val="24"/>
          <w:szCs w:val="24"/>
        </w:rPr>
        <w:t>A</w:t>
      </w:r>
      <w:r w:rsidR="00044417">
        <w:rPr>
          <w:rFonts w:ascii="Garamond" w:eastAsia="Calibri" w:hAnsi="Garamond"/>
          <w:sz w:val="24"/>
          <w:szCs w:val="24"/>
        </w:rPr>
        <w:t>]</w:t>
      </w:r>
      <w:proofErr w:type="spellStart"/>
      <w:r w:rsidR="00A705D7" w:rsidRPr="00C80847">
        <w:rPr>
          <w:rFonts w:ascii="Garamond" w:eastAsia="Calibri" w:hAnsi="Garamond"/>
          <w:sz w:val="24"/>
          <w:szCs w:val="24"/>
        </w:rPr>
        <w:t>ffiliate</w:t>
      </w:r>
      <w:proofErr w:type="spellEnd"/>
      <w:r w:rsidR="00A705D7" w:rsidRPr="00C80847">
        <w:rPr>
          <w:rFonts w:ascii="Garamond" w:eastAsia="Calibri" w:hAnsi="Garamond"/>
          <w:sz w:val="24"/>
          <w:szCs w:val="24"/>
        </w:rPr>
        <w:t>” is not defined</w:t>
      </w:r>
      <w:r w:rsidR="00044417">
        <w:rPr>
          <w:rFonts w:ascii="Garamond" w:eastAsia="Calibri" w:hAnsi="Garamond"/>
          <w:sz w:val="24"/>
          <w:szCs w:val="24"/>
        </w:rPr>
        <w:t xml:space="preserve"> in the Proposed Regulation</w:t>
      </w:r>
      <w:r w:rsidR="005D3C53">
        <w:rPr>
          <w:rFonts w:ascii="Garamond" w:eastAsia="Calibri" w:hAnsi="Garamond"/>
          <w:sz w:val="24"/>
          <w:szCs w:val="24"/>
        </w:rPr>
        <w:t>s</w:t>
      </w:r>
      <w:r w:rsidR="00044417">
        <w:rPr>
          <w:rFonts w:ascii="Garamond" w:eastAsia="Calibri" w:hAnsi="Garamond"/>
          <w:sz w:val="24"/>
          <w:szCs w:val="24"/>
        </w:rPr>
        <w:t xml:space="preserve"> and is not included in the statutory definition of Clinic</w:t>
      </w:r>
      <w:r w:rsidR="00A705D7" w:rsidRPr="00C80847">
        <w:rPr>
          <w:rFonts w:ascii="Garamond" w:eastAsia="Calibri" w:hAnsi="Garamond"/>
          <w:sz w:val="24"/>
          <w:szCs w:val="24"/>
        </w:rPr>
        <w:t>; accordingly, th</w:t>
      </w:r>
      <w:r w:rsidR="00044417">
        <w:rPr>
          <w:rFonts w:ascii="Garamond" w:eastAsia="Calibri" w:hAnsi="Garamond"/>
          <w:sz w:val="24"/>
          <w:szCs w:val="24"/>
        </w:rPr>
        <w:t xml:space="preserve">is addition to the Regulations </w:t>
      </w:r>
      <w:r w:rsidR="00A705D7" w:rsidRPr="00C80847">
        <w:rPr>
          <w:rFonts w:ascii="Garamond" w:eastAsia="Calibri" w:hAnsi="Garamond"/>
          <w:sz w:val="24"/>
          <w:szCs w:val="24"/>
        </w:rPr>
        <w:t>is not clear</w:t>
      </w:r>
      <w:r w:rsidR="00044417">
        <w:rPr>
          <w:rFonts w:ascii="Garamond" w:eastAsia="Calibri" w:hAnsi="Garamond"/>
          <w:sz w:val="24"/>
          <w:szCs w:val="24"/>
        </w:rPr>
        <w:t xml:space="preserve"> and adds confusion to the purview of the Department’s oversight of what it might consider “affiliates</w:t>
      </w:r>
      <w:r w:rsidR="005D3C53">
        <w:rPr>
          <w:rFonts w:ascii="Garamond" w:eastAsia="Calibri" w:hAnsi="Garamond"/>
          <w:sz w:val="24"/>
          <w:szCs w:val="24"/>
        </w:rPr>
        <w:t>.</w:t>
      </w:r>
      <w:r w:rsidR="00044417">
        <w:rPr>
          <w:rFonts w:ascii="Garamond" w:eastAsia="Calibri" w:hAnsi="Garamond"/>
          <w:sz w:val="24"/>
          <w:szCs w:val="24"/>
        </w:rPr>
        <w:t xml:space="preserve">”  We request that this language be deleted in its </w:t>
      </w:r>
      <w:r w:rsidR="00355C15">
        <w:rPr>
          <w:rFonts w:ascii="Garamond" w:eastAsia="Calibri" w:hAnsi="Garamond"/>
          <w:sz w:val="24"/>
          <w:szCs w:val="24"/>
        </w:rPr>
        <w:t>entirety and</w:t>
      </w:r>
      <w:r w:rsidR="00044417">
        <w:rPr>
          <w:rFonts w:ascii="Garamond" w:eastAsia="Calibri" w:hAnsi="Garamond"/>
          <w:sz w:val="24"/>
          <w:szCs w:val="24"/>
        </w:rPr>
        <w:t xml:space="preserve"> if not deleted</w:t>
      </w:r>
      <w:r w:rsidR="00C8283D">
        <w:rPr>
          <w:rFonts w:ascii="Garamond" w:eastAsia="Calibri" w:hAnsi="Garamond"/>
          <w:sz w:val="24"/>
          <w:szCs w:val="24"/>
        </w:rPr>
        <w:t>,</w:t>
      </w:r>
      <w:r w:rsidR="00044417">
        <w:rPr>
          <w:rFonts w:ascii="Garamond" w:eastAsia="Calibri" w:hAnsi="Garamond"/>
          <w:sz w:val="24"/>
          <w:szCs w:val="24"/>
        </w:rPr>
        <w:t xml:space="preserve"> then further defined in a manner consistent with the statutory definition of Clinic as included in the Clinic Regulations.</w:t>
      </w:r>
    </w:p>
    <w:p w:rsidR="00A705D7" w:rsidRPr="00C80847" w:rsidRDefault="00A705D7" w:rsidP="00701D10">
      <w:pPr>
        <w:rPr>
          <w:rFonts w:ascii="Garamond" w:eastAsia="Calibri" w:hAnsi="Garamond"/>
          <w:sz w:val="24"/>
          <w:szCs w:val="24"/>
        </w:rPr>
      </w:pPr>
    </w:p>
    <w:p w:rsidR="00A705D7" w:rsidRDefault="00082FE0" w:rsidP="00701D10">
      <w:pPr>
        <w:rPr>
          <w:rFonts w:ascii="Garamond" w:eastAsia="Calibri" w:hAnsi="Garamond"/>
          <w:sz w:val="24"/>
          <w:szCs w:val="24"/>
        </w:rPr>
      </w:pPr>
      <w:r w:rsidRPr="00C80847">
        <w:rPr>
          <w:rFonts w:ascii="Garamond" w:eastAsia="Calibri" w:hAnsi="Garamond"/>
          <w:b/>
          <w:sz w:val="24"/>
          <w:szCs w:val="24"/>
        </w:rPr>
        <w:t xml:space="preserve">140.020 </w:t>
      </w:r>
      <w:r w:rsidR="00A705D7" w:rsidRPr="00C80847">
        <w:rPr>
          <w:rFonts w:ascii="Garamond" w:eastAsia="Calibri" w:hAnsi="Garamond"/>
          <w:b/>
          <w:sz w:val="24"/>
          <w:szCs w:val="24"/>
        </w:rPr>
        <w:t>Definitions</w:t>
      </w:r>
      <w:r w:rsidR="00A705D7" w:rsidRPr="00C80847">
        <w:rPr>
          <w:rFonts w:ascii="Garamond" w:eastAsia="Calibri" w:hAnsi="Garamond"/>
          <w:sz w:val="24"/>
          <w:szCs w:val="24"/>
        </w:rPr>
        <w:t>:</w:t>
      </w:r>
    </w:p>
    <w:p w:rsidR="00355C15" w:rsidRPr="00C80847" w:rsidRDefault="00355C15" w:rsidP="00701D10">
      <w:pPr>
        <w:rPr>
          <w:rFonts w:ascii="Garamond" w:eastAsia="Calibri" w:hAnsi="Garamond"/>
          <w:sz w:val="24"/>
          <w:szCs w:val="24"/>
        </w:rPr>
      </w:pPr>
    </w:p>
    <w:p w:rsidR="00FF6026" w:rsidRPr="00355C15" w:rsidRDefault="00887D02" w:rsidP="00355C15">
      <w:pPr>
        <w:rPr>
          <w:rFonts w:ascii="Garamond" w:eastAsia="Calibri" w:hAnsi="Garamond"/>
          <w:sz w:val="24"/>
          <w:szCs w:val="24"/>
        </w:rPr>
      </w:pPr>
      <w:r w:rsidRPr="00355C15">
        <w:rPr>
          <w:rFonts w:ascii="Garamond" w:eastAsia="Calibri" w:hAnsi="Garamond"/>
          <w:sz w:val="24"/>
          <w:szCs w:val="24"/>
          <w:u w:val="single"/>
        </w:rPr>
        <w:t>“Surgical Service.”</w:t>
      </w:r>
      <w:r w:rsidRPr="00355C15">
        <w:rPr>
          <w:rFonts w:ascii="Garamond" w:eastAsia="Calibri" w:hAnsi="Garamond"/>
          <w:sz w:val="24"/>
          <w:szCs w:val="24"/>
        </w:rPr>
        <w:t xml:space="preserve">  We are not clear on the intent of the</w:t>
      </w:r>
      <w:r w:rsidR="00962E7A" w:rsidRPr="00355C15">
        <w:rPr>
          <w:rFonts w:ascii="Garamond" w:eastAsia="Calibri" w:hAnsi="Garamond"/>
          <w:sz w:val="24"/>
          <w:szCs w:val="24"/>
        </w:rPr>
        <w:t xml:space="preserve"> proposed</w:t>
      </w:r>
      <w:r w:rsidRPr="00355C15">
        <w:rPr>
          <w:rFonts w:ascii="Garamond" w:eastAsia="Calibri" w:hAnsi="Garamond"/>
          <w:sz w:val="24"/>
          <w:szCs w:val="24"/>
        </w:rPr>
        <w:t xml:space="preserve"> changes</w:t>
      </w:r>
      <w:r w:rsidR="00962E7A" w:rsidRPr="00355C15">
        <w:rPr>
          <w:rFonts w:ascii="Garamond" w:eastAsia="Calibri" w:hAnsi="Garamond"/>
          <w:sz w:val="24"/>
          <w:szCs w:val="24"/>
        </w:rPr>
        <w:t xml:space="preserve"> which do not appear to be substantive.</w:t>
      </w:r>
      <w:r w:rsidRPr="00355C15">
        <w:rPr>
          <w:rFonts w:ascii="Garamond" w:eastAsia="Calibri" w:hAnsi="Garamond"/>
          <w:sz w:val="24"/>
          <w:szCs w:val="24"/>
        </w:rPr>
        <w:t xml:space="preserve">  </w:t>
      </w:r>
      <w:r w:rsidR="00962E7A" w:rsidRPr="00355C15">
        <w:rPr>
          <w:rFonts w:ascii="Garamond" w:eastAsia="Calibri" w:hAnsi="Garamond"/>
          <w:sz w:val="24"/>
          <w:szCs w:val="24"/>
        </w:rPr>
        <w:t>Under the current regulations, and as proposed,</w:t>
      </w:r>
      <w:r w:rsidRPr="00355C15">
        <w:rPr>
          <w:rFonts w:ascii="Garamond" w:eastAsia="Calibri" w:hAnsi="Garamond"/>
          <w:sz w:val="24"/>
          <w:szCs w:val="24"/>
        </w:rPr>
        <w:t xml:space="preserve"> only those endoscopic or operative procedures that require regi</w:t>
      </w:r>
      <w:r w:rsidR="00962E7A" w:rsidRPr="00355C15">
        <w:rPr>
          <w:rFonts w:ascii="Garamond" w:eastAsia="Calibri" w:hAnsi="Garamond"/>
          <w:sz w:val="24"/>
          <w:szCs w:val="24"/>
        </w:rPr>
        <w:t>onal or general anesthesia</w:t>
      </w:r>
      <w:r w:rsidRPr="00355C15">
        <w:rPr>
          <w:rFonts w:ascii="Garamond" w:eastAsia="Calibri" w:hAnsi="Garamond"/>
          <w:sz w:val="24"/>
          <w:szCs w:val="24"/>
        </w:rPr>
        <w:t xml:space="preserve"> constitute “Surgical Services,” and any procedures (endoscopic or operative) that do not require regional or general anesthesia are not “Surgical Services.”</w:t>
      </w:r>
      <w:r w:rsidR="00044417" w:rsidRPr="00355C15">
        <w:rPr>
          <w:rFonts w:ascii="Garamond" w:eastAsia="Calibri" w:hAnsi="Garamond"/>
          <w:sz w:val="24"/>
          <w:szCs w:val="24"/>
        </w:rPr>
        <w:t xml:space="preserve">   We request that the Department more explicitly state the intent and impact of simply changing the order of two words in the definition.    </w:t>
      </w:r>
    </w:p>
    <w:p w:rsidR="00044417" w:rsidRDefault="00044417" w:rsidP="00355C15">
      <w:pPr>
        <w:rPr>
          <w:rFonts w:ascii="Garamond" w:eastAsia="Calibri" w:hAnsi="Garamond"/>
          <w:sz w:val="24"/>
          <w:szCs w:val="24"/>
        </w:rPr>
      </w:pPr>
    </w:p>
    <w:p w:rsidR="00355C15" w:rsidRPr="00355C15" w:rsidRDefault="00355C15" w:rsidP="00355C15">
      <w:pPr>
        <w:rPr>
          <w:rFonts w:ascii="Garamond" w:eastAsia="Calibri" w:hAnsi="Garamond"/>
          <w:sz w:val="24"/>
          <w:szCs w:val="24"/>
        </w:rPr>
      </w:pPr>
    </w:p>
    <w:p w:rsidR="00082FE0" w:rsidRPr="00C80847" w:rsidRDefault="00082FE0" w:rsidP="00701D10">
      <w:pPr>
        <w:rPr>
          <w:rFonts w:ascii="Garamond" w:eastAsia="Calibri" w:hAnsi="Garamond"/>
          <w:b/>
          <w:sz w:val="24"/>
          <w:szCs w:val="24"/>
        </w:rPr>
      </w:pPr>
      <w:r w:rsidRPr="00C80847">
        <w:rPr>
          <w:rFonts w:ascii="Garamond" w:eastAsia="Calibri" w:hAnsi="Garamond"/>
          <w:b/>
          <w:sz w:val="24"/>
          <w:szCs w:val="24"/>
        </w:rPr>
        <w:t>140.101 Requirement of License.</w:t>
      </w:r>
    </w:p>
    <w:p w:rsidR="00355C15" w:rsidRDefault="006E4F0C" w:rsidP="00701D10">
      <w:pPr>
        <w:rPr>
          <w:rFonts w:ascii="Garamond" w:eastAsia="Calibri" w:hAnsi="Garamond"/>
          <w:sz w:val="24"/>
          <w:szCs w:val="24"/>
        </w:rPr>
      </w:pPr>
      <w:r>
        <w:rPr>
          <w:rFonts w:ascii="Garamond" w:eastAsia="Calibri" w:hAnsi="Garamond"/>
          <w:sz w:val="24"/>
          <w:szCs w:val="24"/>
        </w:rPr>
        <w:t xml:space="preserve">The Proposed Regulations add the following </w:t>
      </w:r>
      <w:r w:rsidR="00082FE0" w:rsidRPr="00C80847">
        <w:rPr>
          <w:rFonts w:ascii="Garamond" w:eastAsia="Calibri" w:hAnsi="Garamond"/>
          <w:sz w:val="24"/>
          <w:szCs w:val="24"/>
        </w:rPr>
        <w:t>“for all locations at which the clinic provides services”</w:t>
      </w:r>
      <w:r>
        <w:rPr>
          <w:rFonts w:ascii="Garamond" w:eastAsia="Calibri" w:hAnsi="Garamond"/>
          <w:sz w:val="24"/>
          <w:szCs w:val="24"/>
        </w:rPr>
        <w:t>.  We request that the Department either delete this clause or provide further clarifying language as to the intent and applicability of this new requirement with specific examples.  Based on the current Regulations, a licensed clinic would need to license satellite clinics</w:t>
      </w:r>
      <w:r w:rsidR="00745D30">
        <w:rPr>
          <w:rFonts w:ascii="Garamond" w:eastAsia="Calibri" w:hAnsi="Garamond"/>
          <w:sz w:val="24"/>
          <w:szCs w:val="24"/>
        </w:rPr>
        <w:t>;</w:t>
      </w:r>
      <w:r>
        <w:rPr>
          <w:rFonts w:ascii="Garamond" w:eastAsia="Calibri" w:hAnsi="Garamond"/>
          <w:sz w:val="24"/>
          <w:szCs w:val="24"/>
        </w:rPr>
        <w:t xml:space="preserve"> accordingly, the meaning of th</w:t>
      </w:r>
      <w:r w:rsidR="00745D30">
        <w:rPr>
          <w:rFonts w:ascii="Garamond" w:eastAsia="Calibri" w:hAnsi="Garamond"/>
          <w:sz w:val="24"/>
          <w:szCs w:val="24"/>
        </w:rPr>
        <w:t>e</w:t>
      </w:r>
      <w:r w:rsidR="00355C15">
        <w:rPr>
          <w:rFonts w:ascii="Garamond" w:eastAsia="Calibri" w:hAnsi="Garamond"/>
          <w:sz w:val="24"/>
          <w:szCs w:val="24"/>
        </w:rPr>
        <w:t xml:space="preserve"> </w:t>
      </w:r>
      <w:r>
        <w:rPr>
          <w:rFonts w:ascii="Garamond" w:eastAsia="Calibri" w:hAnsi="Garamond"/>
          <w:sz w:val="24"/>
          <w:szCs w:val="24"/>
        </w:rPr>
        <w:t>additional language is confusing.  For example, a health system organized under M.G.L. c. 180 may have licensed clinics within its system and also have locations that are not licensed</w:t>
      </w:r>
      <w:r w:rsidR="00745D30">
        <w:rPr>
          <w:rFonts w:ascii="Garamond" w:eastAsia="Calibri" w:hAnsi="Garamond"/>
          <w:sz w:val="24"/>
          <w:szCs w:val="24"/>
        </w:rPr>
        <w:t>,</w:t>
      </w:r>
      <w:r>
        <w:rPr>
          <w:rFonts w:ascii="Garamond" w:eastAsia="Calibri" w:hAnsi="Garamond"/>
          <w:sz w:val="24"/>
          <w:szCs w:val="24"/>
        </w:rPr>
        <w:t xml:space="preserve"> but by definition these are not locations at which the clinic provides services; it is the health system that provides and arranges for the services at both licensed and unlicensed locations.   </w:t>
      </w:r>
    </w:p>
    <w:p w:rsidR="00355C15" w:rsidRDefault="00355C15" w:rsidP="00701D10">
      <w:pPr>
        <w:rPr>
          <w:rFonts w:ascii="Garamond" w:eastAsia="Calibri" w:hAnsi="Garamond"/>
          <w:sz w:val="24"/>
          <w:szCs w:val="24"/>
        </w:rPr>
      </w:pPr>
    </w:p>
    <w:p w:rsidR="00082FE0" w:rsidRDefault="00E57117" w:rsidP="00701D10">
      <w:pPr>
        <w:rPr>
          <w:rFonts w:ascii="Garamond" w:eastAsia="Calibri" w:hAnsi="Garamond"/>
          <w:b/>
          <w:sz w:val="24"/>
          <w:szCs w:val="24"/>
        </w:rPr>
      </w:pPr>
      <w:r w:rsidRPr="00C80847">
        <w:rPr>
          <w:rFonts w:ascii="Garamond" w:eastAsia="Calibri" w:hAnsi="Garamond"/>
          <w:b/>
          <w:sz w:val="24"/>
          <w:szCs w:val="24"/>
        </w:rPr>
        <w:t>140.303 Posting of Notice of Patients’ Rights</w:t>
      </w:r>
    </w:p>
    <w:p w:rsidR="006E4F0C" w:rsidRPr="00C80847" w:rsidRDefault="006E4F0C" w:rsidP="00701D10">
      <w:pPr>
        <w:rPr>
          <w:rFonts w:ascii="Garamond" w:eastAsia="Calibri" w:hAnsi="Garamond"/>
          <w:b/>
          <w:sz w:val="24"/>
          <w:szCs w:val="24"/>
        </w:rPr>
      </w:pPr>
    </w:p>
    <w:p w:rsidR="0094276F" w:rsidRPr="00C80847" w:rsidRDefault="0094276F" w:rsidP="00701D10">
      <w:pPr>
        <w:rPr>
          <w:rFonts w:ascii="Garamond" w:eastAsia="Calibri" w:hAnsi="Garamond"/>
          <w:sz w:val="24"/>
          <w:szCs w:val="24"/>
        </w:rPr>
      </w:pPr>
      <w:r w:rsidRPr="00C80847">
        <w:rPr>
          <w:rFonts w:ascii="Garamond" w:eastAsia="Calibri" w:hAnsi="Garamond"/>
          <w:sz w:val="24"/>
          <w:szCs w:val="24"/>
        </w:rPr>
        <w:t xml:space="preserve">Requiring that clinics provide patients with the Notice of Patient Rights in the major languages spoken by the clinic’s patients is redundant of new federal requirements under Section 1557 of the Affordable Care Act.  Providers are currently struggling with the administrative burden of meeting those requirements; while we support provision of important notices to patients with limited English proficiency, compliance with the federal law in this area should be sufficient. </w:t>
      </w:r>
      <w:r w:rsidR="006E4F0C">
        <w:rPr>
          <w:rFonts w:ascii="Garamond" w:eastAsia="Calibri" w:hAnsi="Garamond"/>
          <w:sz w:val="24"/>
          <w:szCs w:val="24"/>
        </w:rPr>
        <w:t>Accordingly, we request that the clause added to this Section be deleted.</w:t>
      </w:r>
    </w:p>
    <w:p w:rsidR="00C42C02" w:rsidRPr="00C80847" w:rsidRDefault="00C42C02" w:rsidP="00701D10">
      <w:pPr>
        <w:rPr>
          <w:rFonts w:ascii="Garamond" w:eastAsia="Calibri" w:hAnsi="Garamond"/>
          <w:sz w:val="24"/>
          <w:szCs w:val="24"/>
        </w:rPr>
      </w:pPr>
    </w:p>
    <w:p w:rsidR="00C42C02" w:rsidRDefault="00C42C02" w:rsidP="00701D10">
      <w:pPr>
        <w:rPr>
          <w:rFonts w:ascii="Garamond" w:eastAsia="Calibri" w:hAnsi="Garamond"/>
          <w:b/>
          <w:sz w:val="24"/>
          <w:szCs w:val="24"/>
        </w:rPr>
      </w:pPr>
      <w:r w:rsidRPr="00C80847">
        <w:rPr>
          <w:rFonts w:ascii="Garamond" w:eastAsia="Calibri" w:hAnsi="Garamond"/>
          <w:b/>
          <w:sz w:val="24"/>
          <w:szCs w:val="24"/>
        </w:rPr>
        <w:t>140.</w:t>
      </w:r>
      <w:r w:rsidR="00F71CFC" w:rsidRPr="00C80847">
        <w:rPr>
          <w:rFonts w:ascii="Garamond" w:eastAsia="Calibri" w:hAnsi="Garamond"/>
          <w:b/>
          <w:sz w:val="24"/>
          <w:szCs w:val="24"/>
        </w:rPr>
        <w:t>510-560 Mental Health Services</w:t>
      </w:r>
    </w:p>
    <w:p w:rsidR="00355C15" w:rsidRDefault="00355C15" w:rsidP="00F71CFC">
      <w:pPr>
        <w:rPr>
          <w:rFonts w:ascii="Garamond" w:eastAsia="Calibri" w:hAnsi="Garamond"/>
          <w:sz w:val="24"/>
          <w:szCs w:val="24"/>
        </w:rPr>
      </w:pPr>
    </w:p>
    <w:p w:rsidR="00F71CFC" w:rsidRPr="00C80847" w:rsidRDefault="00F71CFC" w:rsidP="00F71CFC">
      <w:pPr>
        <w:rPr>
          <w:rFonts w:ascii="Garamond" w:eastAsia="Calibri" w:hAnsi="Garamond"/>
          <w:sz w:val="24"/>
          <w:szCs w:val="24"/>
        </w:rPr>
      </w:pPr>
      <w:r w:rsidRPr="00C80847">
        <w:rPr>
          <w:rFonts w:ascii="Garamond" w:eastAsia="Calibri" w:hAnsi="Garamond"/>
          <w:sz w:val="24"/>
          <w:szCs w:val="24"/>
        </w:rPr>
        <w:t xml:space="preserve">We support the proposed changes to the mental health services provisions, but we </w:t>
      </w:r>
      <w:r w:rsidR="00962E7A" w:rsidRPr="00C80847">
        <w:rPr>
          <w:rFonts w:ascii="Garamond" w:eastAsia="Calibri" w:hAnsi="Garamond"/>
          <w:sz w:val="24"/>
          <w:szCs w:val="24"/>
        </w:rPr>
        <w:t xml:space="preserve">strongly </w:t>
      </w:r>
      <w:r w:rsidRPr="00C80847">
        <w:rPr>
          <w:rFonts w:ascii="Garamond" w:eastAsia="Calibri" w:hAnsi="Garamond"/>
          <w:sz w:val="24"/>
          <w:szCs w:val="24"/>
        </w:rPr>
        <w:t>urge the Department to revise the Clinic Regulations further to allow greater flexibility in both staffing and service requirements for clinics providing mental health services.  The shortage of mental health clinicians and services in Massachusetts has been well documented, and the Clinic Regulation</w:t>
      </w:r>
      <w:r w:rsidR="006E4F0C">
        <w:rPr>
          <w:rFonts w:ascii="Garamond" w:eastAsia="Calibri" w:hAnsi="Garamond"/>
          <w:sz w:val="24"/>
          <w:szCs w:val="24"/>
        </w:rPr>
        <w:t>’s</w:t>
      </w:r>
      <w:r w:rsidRPr="00C80847">
        <w:rPr>
          <w:rFonts w:ascii="Garamond" w:eastAsia="Calibri" w:hAnsi="Garamond"/>
          <w:sz w:val="24"/>
          <w:szCs w:val="24"/>
        </w:rPr>
        <w:t xml:space="preserve"> staffing and service requirements, even with the proposed changes, </w:t>
      </w:r>
      <w:r w:rsidR="00962E7A" w:rsidRPr="00C80847">
        <w:rPr>
          <w:rFonts w:ascii="Garamond" w:eastAsia="Calibri" w:hAnsi="Garamond"/>
          <w:sz w:val="24"/>
          <w:szCs w:val="24"/>
        </w:rPr>
        <w:t xml:space="preserve">limit </w:t>
      </w:r>
      <w:r w:rsidRPr="00C80847">
        <w:rPr>
          <w:rFonts w:ascii="Garamond" w:eastAsia="Calibri" w:hAnsi="Garamond"/>
          <w:sz w:val="24"/>
          <w:szCs w:val="24"/>
        </w:rPr>
        <w:t xml:space="preserve">the ability of clinics to provide mental health services. We have been committed to providing </w:t>
      </w:r>
      <w:r w:rsidR="00962E7A" w:rsidRPr="00C80847">
        <w:rPr>
          <w:rFonts w:ascii="Garamond" w:eastAsia="Calibri" w:hAnsi="Garamond"/>
          <w:sz w:val="24"/>
          <w:szCs w:val="24"/>
        </w:rPr>
        <w:t xml:space="preserve">mental </w:t>
      </w:r>
      <w:r w:rsidRPr="00C80847">
        <w:rPr>
          <w:rFonts w:ascii="Garamond" w:eastAsia="Calibri" w:hAnsi="Garamond"/>
          <w:sz w:val="24"/>
          <w:szCs w:val="24"/>
        </w:rPr>
        <w:t>health services to our patients despite low reimbursement because we beli</w:t>
      </w:r>
      <w:r w:rsidR="00962E7A" w:rsidRPr="00C80847">
        <w:rPr>
          <w:rFonts w:ascii="Garamond" w:eastAsia="Calibri" w:hAnsi="Garamond"/>
          <w:sz w:val="24"/>
          <w:szCs w:val="24"/>
        </w:rPr>
        <w:t xml:space="preserve">eve that mental health is </w:t>
      </w:r>
      <w:r w:rsidRPr="00C80847">
        <w:rPr>
          <w:rFonts w:ascii="Garamond" w:eastAsia="Calibri" w:hAnsi="Garamond"/>
          <w:sz w:val="24"/>
          <w:szCs w:val="24"/>
        </w:rPr>
        <w:t>critical to improving overall health; however, it has become increasingly difficult for us to staff our practice in compliance with the Clinic Regulations</w:t>
      </w:r>
      <w:r w:rsidR="00A47EA8">
        <w:rPr>
          <w:rFonts w:ascii="Garamond" w:eastAsia="Calibri" w:hAnsi="Garamond"/>
          <w:sz w:val="24"/>
          <w:szCs w:val="24"/>
        </w:rPr>
        <w:t>.</w:t>
      </w:r>
      <w:r w:rsidRPr="00C80847">
        <w:rPr>
          <w:rFonts w:ascii="Garamond" w:eastAsia="Calibri" w:hAnsi="Garamond"/>
          <w:sz w:val="24"/>
          <w:szCs w:val="24"/>
        </w:rPr>
        <w:t xml:space="preserve"> The consensus in Massachusetts and nationally is that mental health care needs to be better integrated into general medical practice, especially primary care.  The Clinic Regulations </w:t>
      </w:r>
      <w:r w:rsidR="00962E7A" w:rsidRPr="00C80847">
        <w:rPr>
          <w:rFonts w:ascii="Garamond" w:eastAsia="Calibri" w:hAnsi="Garamond"/>
          <w:sz w:val="24"/>
          <w:szCs w:val="24"/>
        </w:rPr>
        <w:t xml:space="preserve">as proposed </w:t>
      </w:r>
      <w:r w:rsidRPr="00C80847">
        <w:rPr>
          <w:rFonts w:ascii="Garamond" w:eastAsia="Calibri" w:hAnsi="Garamond"/>
          <w:sz w:val="24"/>
          <w:szCs w:val="24"/>
        </w:rPr>
        <w:t>do not promote this goal.</w:t>
      </w:r>
      <w:r w:rsidR="006E4F0C">
        <w:rPr>
          <w:rFonts w:ascii="Garamond" w:eastAsia="Calibri" w:hAnsi="Garamond"/>
          <w:sz w:val="24"/>
          <w:szCs w:val="24"/>
        </w:rPr>
        <w:t xml:space="preserve">  In addition, our mental health clinicians do not believe that simplifying and limi</w:t>
      </w:r>
      <w:r w:rsidR="00745D30">
        <w:rPr>
          <w:rFonts w:ascii="Garamond" w:eastAsia="Calibri" w:hAnsi="Garamond"/>
          <w:sz w:val="24"/>
          <w:szCs w:val="24"/>
        </w:rPr>
        <w:t>ting</w:t>
      </w:r>
      <w:r w:rsidR="006E4F0C">
        <w:rPr>
          <w:rFonts w:ascii="Garamond" w:eastAsia="Calibri" w:hAnsi="Garamond"/>
          <w:sz w:val="24"/>
          <w:szCs w:val="24"/>
        </w:rPr>
        <w:t xml:space="preserve"> the regulations will diminish the quality of care.  In fact, such changes would open up resources to better provide these services to our patients and to support our primary care clinicians.</w:t>
      </w:r>
    </w:p>
    <w:p w:rsidR="0094276F" w:rsidRPr="00C80847" w:rsidRDefault="0094276F" w:rsidP="00701D10">
      <w:pPr>
        <w:rPr>
          <w:rFonts w:ascii="Garamond" w:eastAsia="Calibri" w:hAnsi="Garamond"/>
          <w:sz w:val="24"/>
          <w:szCs w:val="24"/>
        </w:rPr>
      </w:pPr>
    </w:p>
    <w:p w:rsidR="00867465" w:rsidRPr="00C80847" w:rsidRDefault="00867465" w:rsidP="00701D10">
      <w:pPr>
        <w:rPr>
          <w:rFonts w:ascii="Garamond" w:hAnsi="Garamond"/>
          <w:sz w:val="24"/>
          <w:szCs w:val="24"/>
        </w:rPr>
      </w:pPr>
      <w:r w:rsidRPr="00C80847">
        <w:rPr>
          <w:rFonts w:ascii="Garamond" w:hAnsi="Garamond"/>
          <w:sz w:val="24"/>
          <w:szCs w:val="24"/>
        </w:rPr>
        <w:t>Thank you again for the opportunity to provide comments.  If you have any questions regarding this testimony or require further information, please contact me at (617) 559-</w:t>
      </w:r>
      <w:r w:rsidR="00C04A6A" w:rsidRPr="00C80847">
        <w:rPr>
          <w:rFonts w:ascii="Garamond" w:hAnsi="Garamond"/>
          <w:sz w:val="24"/>
          <w:szCs w:val="24"/>
        </w:rPr>
        <w:t>8393</w:t>
      </w:r>
      <w:r w:rsidRPr="00C80847">
        <w:rPr>
          <w:rFonts w:ascii="Garamond" w:hAnsi="Garamond"/>
          <w:sz w:val="24"/>
          <w:szCs w:val="24"/>
        </w:rPr>
        <w:t xml:space="preserve"> or Kathy Keough, </w:t>
      </w:r>
      <w:r w:rsidR="00D85BFE" w:rsidRPr="00C80847">
        <w:rPr>
          <w:rFonts w:ascii="Garamond" w:hAnsi="Garamond"/>
          <w:sz w:val="24"/>
          <w:szCs w:val="24"/>
        </w:rPr>
        <w:t xml:space="preserve">Director of </w:t>
      </w:r>
      <w:r w:rsidRPr="00C80847">
        <w:rPr>
          <w:rFonts w:ascii="Garamond" w:hAnsi="Garamond"/>
          <w:sz w:val="24"/>
          <w:szCs w:val="24"/>
        </w:rPr>
        <w:t xml:space="preserve">Government Relations at (617) 559-8561. </w:t>
      </w:r>
    </w:p>
    <w:p w:rsidR="00867465" w:rsidRPr="00C80847" w:rsidRDefault="00867465" w:rsidP="00C1073F">
      <w:pPr>
        <w:pStyle w:val="NoSpacing"/>
        <w:rPr>
          <w:rFonts w:ascii="Garamond" w:hAnsi="Garamond"/>
          <w:sz w:val="24"/>
          <w:szCs w:val="24"/>
        </w:rPr>
      </w:pPr>
    </w:p>
    <w:p w:rsidR="004F7E33" w:rsidRPr="00C80847" w:rsidRDefault="004F7E33" w:rsidP="00C1073F">
      <w:pPr>
        <w:pStyle w:val="NoSpacing"/>
        <w:rPr>
          <w:rFonts w:ascii="Garamond" w:hAnsi="Garamond"/>
          <w:sz w:val="24"/>
          <w:szCs w:val="24"/>
        </w:rPr>
      </w:pPr>
    </w:p>
    <w:p w:rsidR="00867465" w:rsidRPr="00C80847" w:rsidRDefault="00867465" w:rsidP="00C1073F">
      <w:pPr>
        <w:pStyle w:val="NoSpacing"/>
        <w:rPr>
          <w:rFonts w:ascii="Garamond" w:hAnsi="Garamond"/>
          <w:sz w:val="24"/>
          <w:szCs w:val="24"/>
        </w:rPr>
      </w:pPr>
      <w:r w:rsidRPr="00C80847">
        <w:rPr>
          <w:rFonts w:ascii="Garamond" w:hAnsi="Garamond"/>
          <w:sz w:val="24"/>
          <w:szCs w:val="24"/>
        </w:rPr>
        <w:t>Sincerely,</w:t>
      </w:r>
    </w:p>
    <w:p w:rsidR="00867465" w:rsidRPr="00C80847" w:rsidRDefault="00867465" w:rsidP="00C1073F">
      <w:pPr>
        <w:pStyle w:val="NoSpacing"/>
        <w:rPr>
          <w:rFonts w:ascii="Garamond" w:hAnsi="Garamond"/>
          <w:sz w:val="24"/>
          <w:szCs w:val="24"/>
        </w:rPr>
      </w:pPr>
    </w:p>
    <w:p w:rsidR="00867465" w:rsidRPr="00C80847" w:rsidRDefault="00867465" w:rsidP="00C1073F">
      <w:pPr>
        <w:pStyle w:val="NoSpacing"/>
        <w:rPr>
          <w:rFonts w:ascii="Garamond" w:hAnsi="Garamond"/>
          <w:sz w:val="24"/>
          <w:szCs w:val="24"/>
        </w:rPr>
      </w:pPr>
    </w:p>
    <w:p w:rsidR="00255D3D" w:rsidRPr="00C80847" w:rsidRDefault="00255D3D" w:rsidP="00C1073F">
      <w:pPr>
        <w:pStyle w:val="NoSpacing"/>
        <w:rPr>
          <w:rFonts w:ascii="Garamond" w:hAnsi="Garamond"/>
          <w:sz w:val="24"/>
          <w:szCs w:val="24"/>
        </w:rPr>
      </w:pPr>
    </w:p>
    <w:p w:rsidR="00255D3D" w:rsidRPr="00C80847" w:rsidRDefault="00255D3D" w:rsidP="00C1073F">
      <w:pPr>
        <w:pStyle w:val="NoSpacing"/>
        <w:rPr>
          <w:rFonts w:ascii="Garamond" w:hAnsi="Garamond"/>
          <w:sz w:val="24"/>
          <w:szCs w:val="24"/>
        </w:rPr>
      </w:pPr>
    </w:p>
    <w:p w:rsidR="006E4F0C" w:rsidRDefault="00255D3D" w:rsidP="00C1073F">
      <w:pPr>
        <w:pStyle w:val="NoSpacing"/>
        <w:rPr>
          <w:rFonts w:ascii="Garamond" w:hAnsi="Garamond"/>
          <w:sz w:val="24"/>
          <w:szCs w:val="24"/>
        </w:rPr>
      </w:pPr>
      <w:r w:rsidRPr="00C80847">
        <w:rPr>
          <w:rFonts w:ascii="Garamond" w:hAnsi="Garamond"/>
          <w:sz w:val="24"/>
          <w:szCs w:val="24"/>
        </w:rPr>
        <w:t>Steve Strongwater, MD</w:t>
      </w:r>
    </w:p>
    <w:p w:rsidR="00867465" w:rsidRPr="00C80847" w:rsidRDefault="00255D3D" w:rsidP="00C1073F">
      <w:pPr>
        <w:pStyle w:val="NoSpacing"/>
        <w:rPr>
          <w:rFonts w:ascii="Garamond" w:hAnsi="Garamond"/>
          <w:sz w:val="24"/>
          <w:szCs w:val="24"/>
        </w:rPr>
      </w:pPr>
      <w:r w:rsidRPr="00C80847">
        <w:rPr>
          <w:rFonts w:ascii="Garamond" w:hAnsi="Garamond"/>
          <w:sz w:val="24"/>
          <w:szCs w:val="24"/>
        </w:rPr>
        <w:t xml:space="preserve">President </w:t>
      </w:r>
      <w:r w:rsidR="006E4F0C">
        <w:rPr>
          <w:rFonts w:ascii="Garamond" w:hAnsi="Garamond"/>
          <w:sz w:val="24"/>
          <w:szCs w:val="24"/>
        </w:rPr>
        <w:t>and</w:t>
      </w:r>
      <w:r w:rsidRPr="00C80847">
        <w:rPr>
          <w:rFonts w:ascii="Garamond" w:hAnsi="Garamond"/>
          <w:sz w:val="24"/>
          <w:szCs w:val="24"/>
        </w:rPr>
        <w:t xml:space="preserve"> CEO</w:t>
      </w:r>
    </w:p>
    <w:p w:rsidR="00867465" w:rsidRPr="00C80847" w:rsidRDefault="00867465" w:rsidP="00C1073F">
      <w:pPr>
        <w:pStyle w:val="NoSpacing"/>
        <w:rPr>
          <w:rFonts w:ascii="Garamond" w:hAnsi="Garamond"/>
          <w:sz w:val="24"/>
          <w:szCs w:val="24"/>
        </w:rPr>
      </w:pPr>
    </w:p>
    <w:p w:rsidR="00867465" w:rsidRPr="00C80847" w:rsidRDefault="00867465" w:rsidP="00C1073F">
      <w:pPr>
        <w:pStyle w:val="NoSpacing"/>
        <w:rPr>
          <w:rFonts w:ascii="Garamond" w:hAnsi="Garamond"/>
          <w:sz w:val="24"/>
          <w:szCs w:val="24"/>
        </w:rPr>
      </w:pPr>
    </w:p>
    <w:p w:rsidR="00255D3D" w:rsidRPr="00C80847" w:rsidRDefault="00255D3D" w:rsidP="00C1073F">
      <w:pPr>
        <w:pStyle w:val="NoSpacing"/>
        <w:rPr>
          <w:rFonts w:ascii="Garamond" w:hAnsi="Garamond"/>
          <w:sz w:val="24"/>
          <w:szCs w:val="24"/>
        </w:rPr>
      </w:pPr>
    </w:p>
    <w:p w:rsidR="00867465" w:rsidRPr="00C80847" w:rsidRDefault="00115A4F" w:rsidP="00C1073F">
      <w:pPr>
        <w:pStyle w:val="NoSpacing"/>
        <w:rPr>
          <w:rFonts w:ascii="Garamond" w:hAnsi="Garamond"/>
          <w:sz w:val="24"/>
          <w:szCs w:val="24"/>
        </w:rPr>
      </w:pPr>
      <w:r w:rsidRPr="00C80847">
        <w:rPr>
          <w:rFonts w:ascii="Garamond" w:hAnsi="Garamond"/>
          <w:sz w:val="24"/>
          <w:szCs w:val="24"/>
        </w:rPr>
        <w:t>c</w:t>
      </w:r>
      <w:r w:rsidR="00867465" w:rsidRPr="00C80847">
        <w:rPr>
          <w:rFonts w:ascii="Garamond" w:hAnsi="Garamond"/>
          <w:sz w:val="24"/>
          <w:szCs w:val="24"/>
        </w:rPr>
        <w:t xml:space="preserve">c: </w:t>
      </w:r>
      <w:r w:rsidR="00867465" w:rsidRPr="00C80847">
        <w:rPr>
          <w:rFonts w:ascii="Garamond" w:hAnsi="Garamond"/>
          <w:sz w:val="24"/>
          <w:szCs w:val="24"/>
        </w:rPr>
        <w:tab/>
        <w:t xml:space="preserve">Marci Sindell, Chief </w:t>
      </w:r>
      <w:r w:rsidR="00466623" w:rsidRPr="00C80847">
        <w:rPr>
          <w:rFonts w:ascii="Garamond" w:hAnsi="Garamond"/>
          <w:sz w:val="24"/>
          <w:szCs w:val="24"/>
        </w:rPr>
        <w:t>Strategy</w:t>
      </w:r>
      <w:r w:rsidR="00867465" w:rsidRPr="00C80847">
        <w:rPr>
          <w:rFonts w:ascii="Garamond" w:hAnsi="Garamond"/>
          <w:sz w:val="24"/>
          <w:szCs w:val="24"/>
        </w:rPr>
        <w:t xml:space="preserve"> Officer</w:t>
      </w:r>
      <w:r w:rsidR="007F2E48" w:rsidRPr="00C80847">
        <w:rPr>
          <w:rFonts w:ascii="Garamond" w:hAnsi="Garamond"/>
          <w:sz w:val="24"/>
          <w:szCs w:val="24"/>
        </w:rPr>
        <w:t xml:space="preserve"> and SVP of External Affairs</w:t>
      </w:r>
    </w:p>
    <w:p w:rsidR="00C56332" w:rsidRPr="00C80847" w:rsidRDefault="00867465" w:rsidP="00115A4F">
      <w:pPr>
        <w:pStyle w:val="NoSpacing"/>
        <w:rPr>
          <w:rFonts w:ascii="Garamond" w:hAnsi="Garamond"/>
          <w:sz w:val="24"/>
          <w:szCs w:val="24"/>
        </w:rPr>
      </w:pPr>
      <w:r w:rsidRPr="00C80847">
        <w:rPr>
          <w:rFonts w:ascii="Garamond" w:hAnsi="Garamond"/>
          <w:sz w:val="24"/>
          <w:szCs w:val="24"/>
        </w:rPr>
        <w:tab/>
        <w:t>Kathy Keou</w:t>
      </w:r>
      <w:r w:rsidR="007F2E48" w:rsidRPr="00C80847">
        <w:rPr>
          <w:rFonts w:ascii="Garamond" w:hAnsi="Garamond"/>
          <w:sz w:val="24"/>
          <w:szCs w:val="24"/>
        </w:rPr>
        <w:t xml:space="preserve">gh, Director of Government Relations </w:t>
      </w:r>
    </w:p>
    <w:p w:rsidR="00044417" w:rsidRDefault="00044417" w:rsidP="00115A4F">
      <w:pPr>
        <w:pStyle w:val="NoSpacing"/>
        <w:rPr>
          <w:rFonts w:ascii="Garamond" w:hAnsi="Garamond"/>
          <w:sz w:val="24"/>
          <w:szCs w:val="24"/>
        </w:rPr>
      </w:pPr>
    </w:p>
    <w:p w:rsidR="00926B54" w:rsidRDefault="00926B54" w:rsidP="00115A4F">
      <w:pPr>
        <w:pStyle w:val="NoSpacing"/>
        <w:rPr>
          <w:rFonts w:ascii="Garamond" w:hAnsi="Garamond"/>
          <w:sz w:val="24"/>
          <w:szCs w:val="24"/>
        </w:rPr>
      </w:pPr>
      <w:r>
        <w:rPr>
          <w:rFonts w:ascii="Garamond" w:hAnsi="Garamond"/>
          <w:sz w:val="24"/>
          <w:szCs w:val="24"/>
        </w:rPr>
        <w:t>Attachment</w:t>
      </w:r>
    </w:p>
    <w:p w:rsidR="00926B54" w:rsidRDefault="00926B54">
      <w:pPr>
        <w:spacing w:after="160" w:line="259" w:lineRule="auto"/>
        <w:rPr>
          <w:rFonts w:ascii="Garamond" w:eastAsia="Calibri" w:hAnsi="Garamond"/>
          <w:sz w:val="24"/>
          <w:szCs w:val="24"/>
        </w:rPr>
      </w:pPr>
      <w:r>
        <w:rPr>
          <w:rFonts w:ascii="Garamond" w:hAnsi="Garamond"/>
          <w:sz w:val="24"/>
          <w:szCs w:val="24"/>
        </w:rPr>
        <w:br w:type="page"/>
      </w:r>
    </w:p>
    <w:p w:rsidR="00926B54" w:rsidRPr="00926B54" w:rsidRDefault="00926B54" w:rsidP="00926B54">
      <w:pPr>
        <w:keepLines/>
        <w:tabs>
          <w:tab w:val="left" w:pos="1152"/>
        </w:tabs>
        <w:spacing w:line="240" w:lineRule="atLeast"/>
        <w:ind w:left="1080" w:hanging="1080"/>
        <w:jc w:val="right"/>
        <w:rPr>
          <w:rFonts w:ascii="Garamond" w:hAnsi="Garamond"/>
          <w:caps/>
          <w:spacing w:val="-140"/>
          <w:sz w:val="28"/>
        </w:rPr>
      </w:pPr>
      <w:r>
        <w:rPr>
          <w:rFonts w:ascii="Garamond" w:hAnsi="Garamond"/>
          <w:caps/>
          <w:noProof/>
          <w:spacing w:val="-140"/>
          <w:sz w:val="28"/>
        </w:rPr>
        <w:lastRenderedPageBreak/>
        <mc:AlternateContent>
          <mc:Choice Requires="wps">
            <w:drawing>
              <wp:anchor distT="0" distB="0" distL="114300" distR="114300" simplePos="0" relativeHeight="251663360" behindDoc="0" locked="0" layoutInCell="1" allowOverlap="1">
                <wp:simplePos x="0" y="0"/>
                <wp:positionH relativeFrom="column">
                  <wp:posOffset>1380490</wp:posOffset>
                </wp:positionH>
                <wp:positionV relativeFrom="paragraph">
                  <wp:posOffset>-546100</wp:posOffset>
                </wp:positionV>
                <wp:extent cx="2787650"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7876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6B54" w:rsidRDefault="00926B54" w:rsidP="00926B54">
                            <w:pPr>
                              <w:jc w:val="center"/>
                            </w:pPr>
                            <w:r>
                              <w:t>Attachment:  April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8.7pt;margin-top:-43pt;width:219.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" fillcolor="white [3201]" stroked="f" strokeweight=".5pt">
                <v:textbox>
                  <w:txbxContent>
                    <w:p w:rsidR="00926B54" w:rsidRDefault="00926B54" w:rsidP="00926B54">
                      <w:pPr>
                        <w:jc w:val="center"/>
                      </w:pPr>
                      <w:r>
                        <w:t>Attachment:  April Letter</w:t>
                      </w:r>
                    </w:p>
                  </w:txbxContent>
                </v:textbox>
              </v:shape>
            </w:pict>
          </mc:Fallback>
        </mc:AlternateContent>
      </w:r>
    </w:p>
    <w:tbl>
      <w:tblPr>
        <w:tblW w:w="0" w:type="auto"/>
        <w:tblInd w:w="-72" w:type="dxa"/>
        <w:tblLayout w:type="fixed"/>
        <w:tblLook w:val="0000" w:firstRow="0" w:lastRow="0" w:firstColumn="0" w:lastColumn="0" w:noHBand="0" w:noVBand="0"/>
      </w:tblPr>
      <w:tblGrid>
        <w:gridCol w:w="3600"/>
        <w:gridCol w:w="6300"/>
      </w:tblGrid>
      <w:tr w:rsidR="00926B54" w:rsidRPr="00926B54" w:rsidTr="0058316D">
        <w:tc>
          <w:tcPr>
            <w:tcW w:w="3600" w:type="dxa"/>
          </w:tcPr>
          <w:p w:rsidR="00926B54" w:rsidRPr="00926B54" w:rsidRDefault="00926B54" w:rsidP="00926B54">
            <w:pPr>
              <w:keepLines/>
              <w:tabs>
                <w:tab w:val="left" w:pos="92"/>
                <w:tab w:val="left" w:pos="1152"/>
              </w:tabs>
              <w:spacing w:line="240" w:lineRule="atLeast"/>
              <w:ind w:left="-1190"/>
              <w:jc w:val="right"/>
              <w:rPr>
                <w:rFonts w:ascii="Garamond" w:hAnsi="Garamond"/>
                <w:caps/>
                <w:spacing w:val="-140"/>
                <w:sz w:val="28"/>
              </w:rPr>
            </w:pPr>
            <w:r w:rsidRPr="00926B54">
              <w:rPr>
                <w:rFonts w:ascii="Garamond" w:hAnsi="Garamond"/>
                <w:caps/>
                <w:noProof/>
                <w:sz w:val="18"/>
              </w:rPr>
              <w:drawing>
                <wp:inline distT="0" distB="0" distL="0" distR="0" wp14:anchorId="59FBA812" wp14:editId="266BB07A">
                  <wp:extent cx="2141220" cy="457200"/>
                  <wp:effectExtent l="0" t="0" r="0" b="0"/>
                  <wp:docPr id="2" name="Picture 2" descr="Atrius Logo 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rius Logo in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220" cy="457200"/>
                          </a:xfrm>
                          <a:prstGeom prst="rect">
                            <a:avLst/>
                          </a:prstGeom>
                          <a:noFill/>
                          <a:ln>
                            <a:noFill/>
                          </a:ln>
                        </pic:spPr>
                      </pic:pic>
                    </a:graphicData>
                  </a:graphic>
                </wp:inline>
              </w:drawing>
            </w:r>
          </w:p>
        </w:tc>
        <w:tc>
          <w:tcPr>
            <w:tcW w:w="6300" w:type="dxa"/>
          </w:tcPr>
          <w:p w:rsidR="00926B54" w:rsidRPr="00926B54" w:rsidRDefault="00926B54" w:rsidP="00926B54">
            <w:pPr>
              <w:ind w:left="3582"/>
              <w:rPr>
                <w:rFonts w:ascii="Arial Narrow" w:hAnsi="Arial Narrow"/>
                <w:sz w:val="16"/>
              </w:rPr>
            </w:pPr>
          </w:p>
          <w:p w:rsidR="00926B54" w:rsidRPr="00926B54" w:rsidRDefault="00926B54" w:rsidP="00926B54">
            <w:pPr>
              <w:ind w:left="3582"/>
              <w:rPr>
                <w:rFonts w:ascii="Arial Narrow" w:hAnsi="Arial Narrow"/>
                <w:b/>
                <w:sz w:val="16"/>
              </w:rPr>
            </w:pPr>
          </w:p>
          <w:p w:rsidR="00926B54" w:rsidRPr="00926B54" w:rsidRDefault="00926B54" w:rsidP="00926B54">
            <w:pPr>
              <w:ind w:left="3942"/>
              <w:rPr>
                <w:rFonts w:ascii="Arial Narrow" w:hAnsi="Arial Narrow"/>
                <w:color w:val="808080"/>
                <w:sz w:val="16"/>
              </w:rPr>
            </w:pPr>
            <w:r w:rsidRPr="00926B54">
              <w:rPr>
                <w:rFonts w:ascii="Arial Narrow" w:hAnsi="Arial Narrow"/>
                <w:b/>
                <w:color w:val="808080"/>
                <w:sz w:val="16"/>
              </w:rPr>
              <w:t>Riverside Center</w:t>
            </w:r>
          </w:p>
          <w:p w:rsidR="00926B54" w:rsidRPr="00926B54" w:rsidRDefault="00926B54" w:rsidP="00926B54">
            <w:pPr>
              <w:ind w:left="3942"/>
              <w:rPr>
                <w:rFonts w:ascii="Arial Narrow" w:hAnsi="Arial Narrow"/>
                <w:color w:val="808080"/>
                <w:sz w:val="16"/>
              </w:rPr>
            </w:pPr>
            <w:r w:rsidRPr="00926B54">
              <w:rPr>
                <w:rFonts w:ascii="Arial Narrow" w:hAnsi="Arial Narrow"/>
                <w:color w:val="808080"/>
                <w:sz w:val="16"/>
              </w:rPr>
              <w:t>275 Grove Street, Suite 3-300</w:t>
            </w:r>
          </w:p>
          <w:p w:rsidR="00926B54" w:rsidRPr="00926B54" w:rsidRDefault="00926B54" w:rsidP="00926B54">
            <w:pPr>
              <w:ind w:left="3942"/>
              <w:rPr>
                <w:rFonts w:ascii="Arial Narrow" w:hAnsi="Arial Narrow"/>
                <w:color w:val="808080"/>
                <w:sz w:val="16"/>
              </w:rPr>
            </w:pPr>
            <w:r w:rsidRPr="00926B54">
              <w:rPr>
                <w:rFonts w:ascii="Arial Narrow" w:hAnsi="Arial Narrow"/>
                <w:color w:val="808080"/>
                <w:sz w:val="16"/>
              </w:rPr>
              <w:t>Newton, MA 02466-2275</w:t>
            </w:r>
          </w:p>
          <w:p w:rsidR="00926B54" w:rsidRPr="00926B54" w:rsidRDefault="00926B54" w:rsidP="00926B54">
            <w:pPr>
              <w:ind w:left="3942"/>
              <w:rPr>
                <w:rFonts w:ascii="Arial Narrow" w:hAnsi="Arial Narrow"/>
                <w:color w:val="808080"/>
                <w:sz w:val="16"/>
              </w:rPr>
            </w:pPr>
          </w:p>
          <w:p w:rsidR="00926B54" w:rsidRPr="00926B54" w:rsidRDefault="00926B54" w:rsidP="00926B54">
            <w:pPr>
              <w:ind w:left="3942"/>
              <w:rPr>
                <w:rFonts w:ascii="Arial Narrow" w:hAnsi="Arial Narrow"/>
                <w:color w:val="808080"/>
                <w:sz w:val="16"/>
              </w:rPr>
            </w:pPr>
            <w:r w:rsidRPr="00926B54">
              <w:rPr>
                <w:rFonts w:ascii="Arial Narrow" w:hAnsi="Arial Narrow"/>
                <w:color w:val="808080"/>
                <w:sz w:val="16"/>
              </w:rPr>
              <w:t>www.atriushealth.org</w:t>
            </w:r>
          </w:p>
          <w:p w:rsidR="00926B54" w:rsidRPr="00926B54" w:rsidRDefault="00926B54" w:rsidP="00926B54">
            <w:pPr>
              <w:ind w:left="3582"/>
              <w:rPr>
                <w:rFonts w:ascii="Arial Narrow" w:hAnsi="Arial Narrow"/>
                <w:spacing w:val="-140"/>
                <w:sz w:val="16"/>
              </w:rPr>
            </w:pPr>
          </w:p>
        </w:tc>
      </w:tr>
    </w:tbl>
    <w:p w:rsidR="00926B54" w:rsidRPr="00926B54" w:rsidRDefault="00926B54" w:rsidP="00926B54">
      <w:pPr>
        <w:ind w:left="630"/>
      </w:pPr>
    </w:p>
    <w:p w:rsidR="00926B54" w:rsidRPr="00926B54" w:rsidRDefault="00926B54" w:rsidP="00926B54">
      <w:pPr>
        <w:spacing w:before="42" w:line="203" w:lineRule="exact"/>
        <w:textAlignment w:val="baseline"/>
        <w:rPr>
          <w:rFonts w:ascii="Tahoma" w:eastAsia="Tahoma" w:hAnsi="Tahoma"/>
          <w:color w:val="000000"/>
          <w:spacing w:val="5"/>
          <w:sz w:val="17"/>
          <w:szCs w:val="22"/>
        </w:rPr>
      </w:pPr>
      <w:r w:rsidRPr="00926B54">
        <w:rPr>
          <w:rFonts w:ascii="Tahoma" w:eastAsia="Tahoma" w:hAnsi="Tahoma"/>
          <w:color w:val="000000"/>
          <w:spacing w:val="5"/>
          <w:sz w:val="17"/>
          <w:szCs w:val="22"/>
        </w:rPr>
        <w:t>April 22, 2016</w:t>
      </w:r>
    </w:p>
    <w:p w:rsidR="00926B54" w:rsidRPr="00926B54" w:rsidRDefault="00926B54" w:rsidP="00926B54">
      <w:pPr>
        <w:spacing w:before="780" w:line="208" w:lineRule="exact"/>
        <w:textAlignment w:val="baseline"/>
        <w:rPr>
          <w:rFonts w:ascii="Tahoma" w:eastAsia="Tahoma" w:hAnsi="Tahoma"/>
          <w:color w:val="000000"/>
          <w:spacing w:val="6"/>
          <w:sz w:val="17"/>
          <w:szCs w:val="22"/>
        </w:rPr>
      </w:pPr>
      <w:r w:rsidRPr="00926B54">
        <w:rPr>
          <w:rFonts w:ascii="Tahoma" w:eastAsia="Tahoma" w:hAnsi="Tahoma"/>
          <w:color w:val="000000"/>
          <w:spacing w:val="6"/>
          <w:sz w:val="17"/>
          <w:szCs w:val="22"/>
        </w:rPr>
        <w:t>By Electronic Mail and Federal Express</w:t>
      </w:r>
    </w:p>
    <w:p w:rsidR="00926B54" w:rsidRPr="00926B54" w:rsidRDefault="00926B54" w:rsidP="00926B54">
      <w:pPr>
        <w:spacing w:before="276" w:line="208" w:lineRule="exact"/>
        <w:textAlignment w:val="baseline"/>
        <w:rPr>
          <w:rFonts w:ascii="Tahoma" w:eastAsia="Tahoma" w:hAnsi="Tahoma"/>
          <w:color w:val="000000"/>
          <w:spacing w:val="9"/>
          <w:sz w:val="17"/>
          <w:szCs w:val="22"/>
        </w:rPr>
      </w:pPr>
      <w:r w:rsidRPr="00926B54">
        <w:rPr>
          <w:rFonts w:ascii="Tahoma" w:eastAsia="Tahoma" w:hAnsi="Tahoma"/>
          <w:color w:val="000000"/>
          <w:spacing w:val="9"/>
          <w:sz w:val="17"/>
          <w:szCs w:val="22"/>
        </w:rPr>
        <w:t xml:space="preserve">Monica </w:t>
      </w:r>
      <w:proofErr w:type="spellStart"/>
      <w:r w:rsidRPr="00926B54">
        <w:rPr>
          <w:rFonts w:ascii="Tahoma" w:eastAsia="Tahoma" w:hAnsi="Tahoma"/>
          <w:color w:val="000000"/>
          <w:spacing w:val="9"/>
          <w:sz w:val="17"/>
          <w:szCs w:val="22"/>
        </w:rPr>
        <w:t>Bharel</w:t>
      </w:r>
      <w:proofErr w:type="spellEnd"/>
      <w:r w:rsidRPr="00926B54">
        <w:rPr>
          <w:rFonts w:ascii="Tahoma" w:eastAsia="Tahoma" w:hAnsi="Tahoma"/>
          <w:color w:val="000000"/>
          <w:spacing w:val="9"/>
          <w:sz w:val="17"/>
          <w:szCs w:val="22"/>
        </w:rPr>
        <w:t>, MD, MPH</w:t>
      </w:r>
    </w:p>
    <w:p w:rsidR="00926B54" w:rsidRPr="00926B54" w:rsidRDefault="00926B54" w:rsidP="00926B54">
      <w:pPr>
        <w:spacing w:before="42" w:line="203" w:lineRule="exact"/>
        <w:textAlignment w:val="baseline"/>
        <w:rPr>
          <w:rFonts w:ascii="Tahoma" w:eastAsia="Tahoma" w:hAnsi="Tahoma"/>
          <w:color w:val="000000"/>
          <w:spacing w:val="8"/>
          <w:sz w:val="17"/>
          <w:szCs w:val="22"/>
        </w:rPr>
      </w:pPr>
      <w:r w:rsidRPr="00926B54">
        <w:rPr>
          <w:rFonts w:ascii="Tahoma" w:eastAsia="Tahoma" w:hAnsi="Tahoma"/>
          <w:color w:val="000000"/>
          <w:spacing w:val="8"/>
          <w:sz w:val="17"/>
          <w:szCs w:val="22"/>
        </w:rPr>
        <w:t>Commissioner</w:t>
      </w:r>
    </w:p>
    <w:p w:rsidR="00926B54" w:rsidRPr="00926B54" w:rsidRDefault="00926B54" w:rsidP="00926B54">
      <w:pPr>
        <w:spacing w:before="42" w:line="203" w:lineRule="exact"/>
        <w:textAlignment w:val="baseline"/>
        <w:rPr>
          <w:rFonts w:ascii="Tahoma" w:eastAsia="Tahoma" w:hAnsi="Tahoma"/>
          <w:color w:val="000000"/>
          <w:spacing w:val="8"/>
          <w:sz w:val="17"/>
          <w:szCs w:val="22"/>
        </w:rPr>
      </w:pPr>
      <w:r w:rsidRPr="00926B54">
        <w:rPr>
          <w:rFonts w:ascii="Tahoma" w:eastAsia="Tahoma" w:hAnsi="Tahoma"/>
          <w:color w:val="000000"/>
          <w:spacing w:val="8"/>
          <w:sz w:val="17"/>
          <w:szCs w:val="22"/>
        </w:rPr>
        <w:t>Massachusetts Department of Public Health</w:t>
      </w:r>
    </w:p>
    <w:p w:rsidR="00926B54" w:rsidRPr="00926B54" w:rsidRDefault="00926B54" w:rsidP="00926B54">
      <w:pPr>
        <w:spacing w:before="42" w:line="203" w:lineRule="exact"/>
        <w:textAlignment w:val="baseline"/>
        <w:rPr>
          <w:rFonts w:ascii="Tahoma" w:eastAsia="Tahoma" w:hAnsi="Tahoma"/>
          <w:color w:val="000000"/>
          <w:spacing w:val="3"/>
          <w:sz w:val="17"/>
          <w:szCs w:val="22"/>
        </w:rPr>
      </w:pPr>
      <w:r w:rsidRPr="00926B54">
        <w:rPr>
          <w:rFonts w:ascii="Tahoma" w:eastAsia="Tahoma" w:hAnsi="Tahoma"/>
          <w:color w:val="000000"/>
          <w:spacing w:val="3"/>
          <w:sz w:val="17"/>
          <w:szCs w:val="22"/>
        </w:rPr>
        <w:t xml:space="preserve">99 </w:t>
      </w:r>
      <w:proofErr w:type="spellStart"/>
      <w:r w:rsidRPr="00926B54">
        <w:rPr>
          <w:rFonts w:ascii="Tahoma" w:eastAsia="Tahoma" w:hAnsi="Tahoma"/>
          <w:color w:val="000000"/>
          <w:spacing w:val="3"/>
          <w:sz w:val="17"/>
          <w:szCs w:val="22"/>
        </w:rPr>
        <w:t>Chauncy</w:t>
      </w:r>
      <w:proofErr w:type="spellEnd"/>
      <w:r w:rsidRPr="00926B54">
        <w:rPr>
          <w:rFonts w:ascii="Tahoma" w:eastAsia="Tahoma" w:hAnsi="Tahoma"/>
          <w:color w:val="000000"/>
          <w:spacing w:val="3"/>
          <w:sz w:val="17"/>
          <w:szCs w:val="22"/>
        </w:rPr>
        <w:t xml:space="preserve"> St., 11</w:t>
      </w:r>
      <w:r w:rsidRPr="00926B54">
        <w:rPr>
          <w:rFonts w:ascii="Tahoma" w:eastAsia="Tahoma" w:hAnsi="Tahoma"/>
          <w:color w:val="000000"/>
          <w:spacing w:val="3"/>
          <w:sz w:val="17"/>
          <w:szCs w:val="22"/>
          <w:vertAlign w:val="superscript"/>
        </w:rPr>
        <w:t>th</w:t>
      </w:r>
      <w:r w:rsidRPr="00926B54">
        <w:rPr>
          <w:rFonts w:ascii="Tahoma" w:eastAsia="Tahoma" w:hAnsi="Tahoma"/>
          <w:color w:val="000000"/>
          <w:spacing w:val="3"/>
          <w:sz w:val="17"/>
          <w:szCs w:val="22"/>
        </w:rPr>
        <w:t xml:space="preserve"> Floor</w:t>
      </w:r>
    </w:p>
    <w:p w:rsidR="00926B54" w:rsidRPr="00926B54" w:rsidRDefault="00926B54" w:rsidP="00926B54">
      <w:pPr>
        <w:spacing w:before="41" w:line="204" w:lineRule="exact"/>
        <w:textAlignment w:val="baseline"/>
        <w:rPr>
          <w:rFonts w:ascii="Tahoma" w:eastAsia="Tahoma" w:hAnsi="Tahoma"/>
          <w:color w:val="000000"/>
          <w:spacing w:val="10"/>
          <w:sz w:val="17"/>
          <w:szCs w:val="22"/>
        </w:rPr>
      </w:pPr>
      <w:r w:rsidRPr="00926B54">
        <w:rPr>
          <w:rFonts w:ascii="Tahoma" w:eastAsia="Tahoma" w:hAnsi="Tahoma"/>
          <w:color w:val="000000"/>
          <w:spacing w:val="10"/>
          <w:sz w:val="17"/>
          <w:szCs w:val="22"/>
        </w:rPr>
        <w:t>Boston, MA 02111</w:t>
      </w:r>
    </w:p>
    <w:p w:rsidR="00926B54" w:rsidRPr="00926B54" w:rsidRDefault="00926B54" w:rsidP="00926B54">
      <w:pPr>
        <w:spacing w:before="286" w:line="203" w:lineRule="exact"/>
        <w:textAlignment w:val="baseline"/>
        <w:rPr>
          <w:rFonts w:ascii="Tahoma" w:eastAsia="Tahoma" w:hAnsi="Tahoma"/>
          <w:color w:val="000000"/>
          <w:spacing w:val="7"/>
          <w:sz w:val="17"/>
          <w:szCs w:val="22"/>
        </w:rPr>
      </w:pPr>
      <w:r w:rsidRPr="00926B54">
        <w:rPr>
          <w:rFonts w:ascii="Tahoma" w:eastAsia="Tahoma" w:hAnsi="Tahoma"/>
          <w:color w:val="000000"/>
          <w:spacing w:val="7"/>
          <w:sz w:val="17"/>
          <w:szCs w:val="22"/>
        </w:rPr>
        <w:t xml:space="preserve">Dear Commissioner </w:t>
      </w:r>
      <w:proofErr w:type="spellStart"/>
      <w:r w:rsidRPr="00926B54">
        <w:rPr>
          <w:rFonts w:ascii="Tahoma" w:eastAsia="Tahoma" w:hAnsi="Tahoma"/>
          <w:color w:val="000000"/>
          <w:spacing w:val="7"/>
          <w:sz w:val="17"/>
          <w:szCs w:val="22"/>
        </w:rPr>
        <w:t>Bharel</w:t>
      </w:r>
      <w:proofErr w:type="spellEnd"/>
      <w:r w:rsidRPr="00926B54">
        <w:rPr>
          <w:rFonts w:ascii="Tahoma" w:eastAsia="Tahoma" w:hAnsi="Tahoma"/>
          <w:color w:val="000000"/>
          <w:spacing w:val="7"/>
          <w:sz w:val="17"/>
          <w:szCs w:val="22"/>
        </w:rPr>
        <w:t>:</w:t>
      </w:r>
    </w:p>
    <w:p w:rsidR="00926B54" w:rsidRPr="00926B54" w:rsidRDefault="00926B54" w:rsidP="00926B54">
      <w:pPr>
        <w:spacing w:before="254" w:line="245" w:lineRule="exact"/>
        <w:ind w:right="72"/>
        <w:textAlignment w:val="baseline"/>
        <w:rPr>
          <w:rFonts w:ascii="Tahoma" w:eastAsia="Tahoma" w:hAnsi="Tahoma"/>
          <w:color w:val="000000"/>
          <w:spacing w:val="7"/>
          <w:sz w:val="17"/>
          <w:szCs w:val="22"/>
        </w:rPr>
      </w:pPr>
      <w:r w:rsidRPr="00926B54">
        <w:rPr>
          <w:rFonts w:ascii="Tahoma" w:eastAsia="Tahoma" w:hAnsi="Tahoma"/>
          <w:color w:val="000000"/>
          <w:spacing w:val="7"/>
          <w:sz w:val="17"/>
          <w:szCs w:val="22"/>
        </w:rPr>
        <w:t>We understand that the Department of Public Health (DPH) is currently reviewing its regulations as required by Executive Order 562 issued on March 31, 2015. As DPH conducts this review, Atrius Health would like to offer some comments and recommendations for changes in the current regulatory framework related to clinic licensure (105 CMR 140.000 et seq.) and the Determination of Need (DON) (105 CMR 100.00 et seq.) which we believe would reduce the complexity and improve the cost effectiveness of the regulations and provision of health care in the Commonwealth without negatively impacting patient care and clinical quality. We also thought it would be helpful to provide an overview of Atrius Health.</w:t>
      </w:r>
    </w:p>
    <w:p w:rsidR="00926B54" w:rsidRPr="00926B54" w:rsidRDefault="00926B54" w:rsidP="00926B54">
      <w:pPr>
        <w:spacing w:before="275" w:line="210" w:lineRule="exact"/>
        <w:textAlignment w:val="baseline"/>
        <w:rPr>
          <w:rFonts w:ascii="Tahoma" w:eastAsia="Tahoma" w:hAnsi="Tahoma"/>
          <w:color w:val="000000"/>
          <w:spacing w:val="8"/>
          <w:sz w:val="17"/>
          <w:szCs w:val="22"/>
          <w:u w:val="single"/>
        </w:rPr>
      </w:pPr>
      <w:r w:rsidRPr="00926B54">
        <w:rPr>
          <w:rFonts w:ascii="Tahoma" w:eastAsia="Tahoma" w:hAnsi="Tahoma"/>
          <w:color w:val="000000"/>
          <w:spacing w:val="8"/>
          <w:sz w:val="17"/>
          <w:szCs w:val="22"/>
          <w:u w:val="single"/>
        </w:rPr>
        <w:t>Background</w:t>
      </w:r>
    </w:p>
    <w:p w:rsidR="00926B54" w:rsidRPr="00926B54" w:rsidRDefault="00926B54" w:rsidP="00926B54">
      <w:pPr>
        <w:spacing w:before="247" w:line="245" w:lineRule="exact"/>
        <w:textAlignment w:val="baseline"/>
        <w:rPr>
          <w:rFonts w:ascii="Tahoma" w:eastAsia="Tahoma" w:hAnsi="Tahoma"/>
          <w:color w:val="000000"/>
          <w:spacing w:val="7"/>
          <w:sz w:val="17"/>
          <w:szCs w:val="22"/>
        </w:rPr>
      </w:pPr>
      <w:r w:rsidRPr="00926B54">
        <w:rPr>
          <w:rFonts w:ascii="Tahoma" w:eastAsia="Tahoma" w:hAnsi="Tahoma"/>
          <w:color w:val="000000"/>
          <w:spacing w:val="7"/>
          <w:sz w:val="17"/>
          <w:szCs w:val="22"/>
        </w:rPr>
        <w:t>Atrius Health is a Massachusetts charitable corporation under M.G.L. c. 180, tax-exempt under Section 501(c</w:t>
      </w:r>
      <w:proofErr w:type="gramStart"/>
      <w:r w:rsidRPr="00926B54">
        <w:rPr>
          <w:rFonts w:ascii="Tahoma" w:eastAsia="Tahoma" w:hAnsi="Tahoma"/>
          <w:color w:val="000000"/>
          <w:spacing w:val="7"/>
          <w:sz w:val="17"/>
          <w:szCs w:val="22"/>
        </w:rPr>
        <w:t>)(</w:t>
      </w:r>
      <w:proofErr w:type="gramEnd"/>
      <w:r w:rsidRPr="00926B54">
        <w:rPr>
          <w:rFonts w:ascii="Tahoma" w:eastAsia="Tahoma" w:hAnsi="Tahoma"/>
          <w:color w:val="000000"/>
          <w:spacing w:val="7"/>
          <w:sz w:val="17"/>
          <w:szCs w:val="22"/>
        </w:rPr>
        <w:t>3) of the Internal Revenue Code, with a multi-specialty, multi-site medical group practice serving patients throughout eastern Massachusetts. On May 1, 2015, Harvard Vanguard Medical Associates changed its corporate name to Atrius Health, Inc. On July 1, 2015, it merged with Granite Medical Group and Dedham Medical Associates, and their parent Atrius Health, Inc., leaving Harvard Vanguard Medical Associates, now known as Atrius Health, as the surviving entity. Atrius Health filed "doing business as" Harvard Vanguard Medical Associates, Dedham Medical Associates and Granite Medical Group in each community with a clinical site. In 2013, VNA Care Network Foundation became a subsidiary of Atrius Health, although they continue to provide services to non-Atrius Health patients. VNA Care Network Foundation includes VNA Care Network and VNA of Boston which provide home health services, VNA Hospice Care which provides hospice services in the home and in three hospice houses, and VNA Care Advantage which provides some nursing services at assisted living facilities.</w:t>
      </w:r>
    </w:p>
    <w:p w:rsidR="00926B54" w:rsidRPr="00926B54" w:rsidRDefault="00926B54" w:rsidP="00926B54">
      <w:pPr>
        <w:spacing w:before="247" w:line="245" w:lineRule="exact"/>
        <w:textAlignment w:val="baseline"/>
        <w:rPr>
          <w:rFonts w:ascii="Tahoma" w:eastAsia="Tahoma" w:hAnsi="Tahoma"/>
          <w:color w:val="000000"/>
          <w:spacing w:val="6"/>
          <w:sz w:val="17"/>
          <w:szCs w:val="22"/>
        </w:rPr>
      </w:pPr>
      <w:r w:rsidRPr="00926B54">
        <w:rPr>
          <w:rFonts w:ascii="Tahoma" w:eastAsia="Tahoma" w:hAnsi="Tahoma"/>
          <w:noProof/>
          <w:color w:val="000000"/>
          <w:spacing w:val="6"/>
          <w:sz w:val="17"/>
          <w:szCs w:val="22"/>
        </w:rPr>
        <mc:AlternateContent>
          <mc:Choice Requires="wps">
            <w:drawing>
              <wp:anchor distT="0" distB="0" distL="114300" distR="114300" simplePos="0" relativeHeight="251661312" behindDoc="0" locked="0" layoutInCell="1" allowOverlap="1" wp14:anchorId="0C5E0E6B" wp14:editId="0F5BC709">
                <wp:simplePos x="0" y="0"/>
                <wp:positionH relativeFrom="column">
                  <wp:posOffset>-11430</wp:posOffset>
                </wp:positionH>
                <wp:positionV relativeFrom="paragraph">
                  <wp:posOffset>1774825</wp:posOffset>
                </wp:positionV>
                <wp:extent cx="5775960" cy="2133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5775960" cy="213360"/>
                        </a:xfrm>
                        <a:prstGeom prst="rect">
                          <a:avLst/>
                        </a:prstGeom>
                        <a:solidFill>
                          <a:sysClr val="window" lastClr="FFFFFF"/>
                        </a:solidFill>
                        <a:ln w="6350">
                          <a:solidFill>
                            <a:sysClr val="window" lastClr="FFFFFF"/>
                          </a:solidFill>
                        </a:ln>
                        <a:effectLst/>
                      </wps:spPr>
                      <wps:txbx>
                        <w:txbxContent>
                          <w:p w:rsidR="00926B54" w:rsidRPr="00032059" w:rsidRDefault="00926B54" w:rsidP="00926B54">
                            <w:pPr>
                              <w:tabs>
                                <w:tab w:val="center" w:pos="4320"/>
                                <w:tab w:val="right" w:pos="8640"/>
                              </w:tabs>
                              <w:jc w:val="center"/>
                              <w:rPr>
                                <w:rFonts w:ascii="Arial Narrow" w:hAnsi="Arial Narrow"/>
                                <w:color w:val="808080"/>
                                <w:sz w:val="18"/>
                              </w:rPr>
                            </w:pPr>
                            <w:r w:rsidRPr="00032059">
                              <w:rPr>
                                <w:rFonts w:ascii="Arial Narrow" w:hAnsi="Arial Narrow"/>
                                <w:color w:val="808080"/>
                                <w:sz w:val="18"/>
                              </w:rPr>
                              <w:t>Dedham Medical Associates | Granite Medical Group | Harvard Vanguard Medical Associates | VNA Care Network</w:t>
                            </w:r>
                          </w:p>
                          <w:p w:rsidR="00926B54" w:rsidRDefault="00926B54" w:rsidP="00926B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5E0E6B" id="Text Box 3" o:spid="_x0000_s1027" type="#_x0000_t202" style="position:absolute;margin-left:-.9pt;margin-top:139.75pt;width:454.8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" fillcolor="window" strokecolor="window" strokeweight=".5pt">
                <v:textbox>
                  <w:txbxContent>
                    <w:p w:rsidR="00926B54" w:rsidRPr="00032059" w:rsidRDefault="00926B54" w:rsidP="00926B54">
                      <w:pPr>
                        <w:tabs>
                          <w:tab w:val="center" w:pos="4320"/>
                          <w:tab w:val="right" w:pos="8640"/>
                        </w:tabs>
                        <w:jc w:val="center"/>
                        <w:rPr>
                          <w:rFonts w:ascii="Arial Narrow" w:hAnsi="Arial Narrow"/>
                          <w:color w:val="808080"/>
                          <w:sz w:val="18"/>
                        </w:rPr>
                      </w:pPr>
                      <w:r w:rsidRPr="00032059">
                        <w:rPr>
                          <w:rFonts w:ascii="Arial Narrow" w:hAnsi="Arial Narrow"/>
                          <w:color w:val="808080"/>
                          <w:sz w:val="18"/>
                        </w:rPr>
                        <w:t>Dedham Medical Associates | Granite Medical Group | Harvard Vanguard Medical Associates | VNA Care Network</w:t>
                      </w:r>
                    </w:p>
                    <w:p w:rsidR="00926B54" w:rsidRDefault="00926B54" w:rsidP="00926B54"/>
                  </w:txbxContent>
                </v:textbox>
              </v:shape>
            </w:pict>
          </mc:Fallback>
        </mc:AlternateContent>
      </w:r>
      <w:r w:rsidRPr="00926B54">
        <w:rPr>
          <w:rFonts w:ascii="Tahoma" w:eastAsia="Tahoma" w:hAnsi="Tahoma"/>
          <w:color w:val="000000"/>
          <w:spacing w:val="6"/>
          <w:sz w:val="17"/>
          <w:szCs w:val="22"/>
        </w:rPr>
        <w:t xml:space="preserve">As noted above Atrius Health continues to use the name Harvard Vanguard Medical Associates, and currently has seventeen (17) Harvard Vanguard locations that are clinics licensed by DPH (Clinics). Atrius Health also has practice sites that are not licensed by the DPH, most of which were community medical group practices that joined Atrius Health. The clinicians in both settings are Atrius Health employees, following Atrius </w:t>
      </w:r>
      <w:proofErr w:type="gramStart"/>
      <w:r w:rsidRPr="00926B54">
        <w:rPr>
          <w:rFonts w:ascii="Tahoma" w:eastAsia="Tahoma" w:hAnsi="Tahoma"/>
          <w:color w:val="000000"/>
          <w:spacing w:val="6"/>
          <w:sz w:val="17"/>
          <w:szCs w:val="22"/>
        </w:rPr>
        <w:t>Health  policies</w:t>
      </w:r>
      <w:proofErr w:type="gramEnd"/>
      <w:r w:rsidRPr="00926B54">
        <w:rPr>
          <w:rFonts w:ascii="Tahoma" w:eastAsia="Tahoma" w:hAnsi="Tahoma"/>
          <w:color w:val="000000"/>
          <w:spacing w:val="6"/>
          <w:sz w:val="17"/>
          <w:szCs w:val="22"/>
        </w:rPr>
        <w:t xml:space="preserve"> and procedures, subject to the same payer contracts and all using the same fully integrated Electronic Medical Record (EMR). Atrius Health's 750 primary care and specialty physicians and their clinical teams currently serve approximately 675,000 adult and pediatric patients across eastern Massachusetts with over   two (2) million visits annually. Approximately sixty percent (60%) of our patients have signed up for a patient portal for online access to portions of their medical record. We also have a data warehouse in which we store</w:t>
      </w:r>
    </w:p>
    <w:p w:rsidR="00926B54" w:rsidRPr="00926B54" w:rsidRDefault="00926B54" w:rsidP="00926B54">
      <w:pPr>
        <w:rPr>
          <w:rFonts w:eastAsia="PMingLiU"/>
          <w:sz w:val="22"/>
          <w:szCs w:val="22"/>
        </w:rPr>
        <w:sectPr w:rsidR="00926B54" w:rsidRPr="00926B54">
          <w:pgSz w:w="12240" w:h="15840"/>
          <w:pgMar w:top="1460" w:right="1374" w:bottom="525" w:left="1786" w:header="720" w:footer="720" w:gutter="0"/>
          <w:cols w:space="720"/>
        </w:sectPr>
      </w:pPr>
    </w:p>
    <w:p w:rsidR="00926B54" w:rsidRPr="00926B54" w:rsidRDefault="00926B54" w:rsidP="00926B54">
      <w:pPr>
        <w:spacing w:before="3" w:line="205" w:lineRule="exact"/>
        <w:ind w:right="72"/>
        <w:textAlignment w:val="baseline"/>
        <w:rPr>
          <w:rFonts w:ascii="Arial" w:eastAsia="Arial" w:hAnsi="Arial"/>
          <w:i/>
          <w:color w:val="000000"/>
          <w:spacing w:val="6"/>
          <w:sz w:val="17"/>
          <w:szCs w:val="22"/>
        </w:rPr>
      </w:pPr>
      <w:r w:rsidRPr="00926B54">
        <w:rPr>
          <w:rFonts w:eastAsia="PMingLiU"/>
          <w:noProof/>
          <w:sz w:val="22"/>
          <w:szCs w:val="22"/>
        </w:rPr>
        <w:lastRenderedPageBreak/>
        <mc:AlternateContent>
          <mc:Choice Requires="wps">
            <w:drawing>
              <wp:anchor distT="0" distB="0" distL="0" distR="0" simplePos="0" relativeHeight="251662336" behindDoc="1" locked="0" layoutInCell="1" allowOverlap="1">
                <wp:simplePos x="0" y="0"/>
                <wp:positionH relativeFrom="page">
                  <wp:posOffset>1155065</wp:posOffset>
                </wp:positionH>
                <wp:positionV relativeFrom="page">
                  <wp:posOffset>8665845</wp:posOffset>
                </wp:positionV>
                <wp:extent cx="5641975" cy="332105"/>
                <wp:effectExtent l="2540" t="0" r="381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B54" w:rsidRDefault="00926B54" w:rsidP="00926B54">
                            <w:pPr>
                              <w:spacing w:before="26" w:after="4" w:line="246" w:lineRule="exact"/>
                              <w:textAlignment w:val="baseline"/>
                              <w:rPr>
                                <w:rFonts w:ascii="Tahoma" w:eastAsia="Tahoma" w:hAnsi="Tahoma"/>
                                <w:b/>
                                <w:color w:val="000000"/>
                                <w:sz w:val="17"/>
                              </w:rPr>
                            </w:pPr>
                            <w:r>
                              <w:rPr>
                                <w:rFonts w:ascii="Tahoma" w:eastAsia="Tahoma" w:hAnsi="Tahoma"/>
                                <w:b/>
                                <w:color w:val="000000"/>
                                <w:sz w:val="17"/>
                              </w:rPr>
                              <w:t xml:space="preserve">Specific service requirements (e.g., 105 CMR 140.510 et seq., 140.352). </w:t>
                            </w:r>
                            <w:r>
                              <w:rPr>
                                <w:rFonts w:ascii="Tahoma" w:eastAsia="Tahoma" w:hAnsi="Tahoma"/>
                                <w:color w:val="000000"/>
                                <w:sz w:val="17"/>
                              </w:rPr>
                              <w:t>In particular, the regulations dictating the nature and scope of a clinic's behavioral health practice should be significantly revised to reflect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95pt;margin-top:682.35pt;width:444.25pt;height:26.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Y9rQIAAKk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" filled="f" stroked="f">
                <v:textbox inset="0,0,0,0">
                  <w:txbxContent>
                    <w:p w:rsidR="00926B54" w:rsidRDefault="00926B54" w:rsidP="00926B54">
                      <w:pPr>
                        <w:spacing w:before="26" w:after="4" w:line="246" w:lineRule="exact"/>
                        <w:textAlignment w:val="baseline"/>
                        <w:rPr>
                          <w:rFonts w:ascii="Tahoma" w:eastAsia="Tahoma" w:hAnsi="Tahoma"/>
                          <w:b/>
                          <w:color w:val="000000"/>
                          <w:sz w:val="17"/>
                        </w:rPr>
                      </w:pPr>
                      <w:r>
                        <w:rPr>
                          <w:rFonts w:ascii="Tahoma" w:eastAsia="Tahoma" w:hAnsi="Tahoma"/>
                          <w:b/>
                          <w:color w:val="000000"/>
                          <w:sz w:val="17"/>
                        </w:rPr>
                        <w:t xml:space="preserve">Specific service requirements (e.g., 105 CMR 140.510 et seq., 140.352). </w:t>
                      </w:r>
                      <w:r>
                        <w:rPr>
                          <w:rFonts w:ascii="Tahoma" w:eastAsia="Tahoma" w:hAnsi="Tahoma"/>
                          <w:color w:val="000000"/>
                          <w:sz w:val="17"/>
                        </w:rPr>
                        <w:t>In particular, the regulations dictating the nature and scope of a clinic's behavioral health practice should be significantly revised to reflect</w:t>
                      </w:r>
                    </w:p>
                  </w:txbxContent>
                </v:textbox>
                <w10:wrap type="square" anchorx="page" anchory="page"/>
              </v:shape>
            </w:pict>
          </mc:Fallback>
        </mc:AlternateContent>
      </w:r>
      <w:r w:rsidRPr="00926B54">
        <w:rPr>
          <w:rFonts w:ascii="Arial" w:eastAsia="Arial" w:hAnsi="Arial"/>
          <w:i/>
          <w:color w:val="000000"/>
          <w:spacing w:val="6"/>
          <w:sz w:val="17"/>
          <w:szCs w:val="22"/>
        </w:rPr>
        <w:t xml:space="preserve">Page 2 - Letter to Monica </w:t>
      </w:r>
      <w:proofErr w:type="spellStart"/>
      <w:r w:rsidRPr="00926B54">
        <w:rPr>
          <w:rFonts w:ascii="Arial" w:eastAsia="Arial" w:hAnsi="Arial"/>
          <w:i/>
          <w:color w:val="000000"/>
          <w:spacing w:val="6"/>
          <w:sz w:val="17"/>
          <w:szCs w:val="22"/>
        </w:rPr>
        <w:t>Bharel</w:t>
      </w:r>
      <w:proofErr w:type="spellEnd"/>
      <w:r w:rsidRPr="00926B54">
        <w:rPr>
          <w:rFonts w:ascii="Arial" w:eastAsia="Arial" w:hAnsi="Arial"/>
          <w:i/>
          <w:color w:val="000000"/>
          <w:spacing w:val="6"/>
          <w:sz w:val="17"/>
          <w:szCs w:val="22"/>
        </w:rPr>
        <w:t xml:space="preserve"> from Steven Strongwater</w:t>
      </w:r>
    </w:p>
    <w:p w:rsidR="00926B54" w:rsidRPr="00926B54" w:rsidRDefault="00926B54" w:rsidP="00926B54">
      <w:pPr>
        <w:spacing w:before="247" w:line="245" w:lineRule="exact"/>
        <w:ind w:right="576"/>
        <w:textAlignment w:val="baseline"/>
        <w:rPr>
          <w:rFonts w:ascii="Tahoma" w:eastAsia="Tahoma" w:hAnsi="Tahoma"/>
          <w:color w:val="000000"/>
          <w:sz w:val="17"/>
          <w:szCs w:val="22"/>
        </w:rPr>
      </w:pPr>
      <w:proofErr w:type="gramStart"/>
      <w:r w:rsidRPr="00926B54">
        <w:rPr>
          <w:rFonts w:ascii="Tahoma" w:eastAsia="Tahoma" w:hAnsi="Tahoma"/>
          <w:color w:val="000000"/>
          <w:sz w:val="17"/>
          <w:szCs w:val="22"/>
        </w:rPr>
        <w:t>claims</w:t>
      </w:r>
      <w:proofErr w:type="gramEnd"/>
      <w:r w:rsidRPr="00926B54">
        <w:rPr>
          <w:rFonts w:ascii="Tahoma" w:eastAsia="Tahoma" w:hAnsi="Tahoma"/>
          <w:color w:val="000000"/>
          <w:sz w:val="17"/>
          <w:szCs w:val="22"/>
        </w:rPr>
        <w:t xml:space="preserve"> data on patients for whom we accept risk, and we utilize sophisticated tools for data analysis and reporting to support management of population health, quality and cost</w:t>
      </w:r>
    </w:p>
    <w:p w:rsidR="00926B54" w:rsidRPr="00926B54" w:rsidRDefault="00926B54" w:rsidP="00926B54">
      <w:pPr>
        <w:spacing w:before="238" w:line="245" w:lineRule="exact"/>
        <w:ind w:right="72"/>
        <w:textAlignment w:val="baseline"/>
        <w:rPr>
          <w:rFonts w:ascii="Tahoma" w:eastAsia="Tahoma" w:hAnsi="Tahoma"/>
          <w:color w:val="000000"/>
          <w:spacing w:val="7"/>
          <w:sz w:val="17"/>
          <w:szCs w:val="22"/>
        </w:rPr>
      </w:pPr>
      <w:r w:rsidRPr="00926B54">
        <w:rPr>
          <w:rFonts w:ascii="Tahoma" w:eastAsia="Tahoma" w:hAnsi="Tahoma"/>
          <w:color w:val="000000"/>
          <w:spacing w:val="7"/>
          <w:sz w:val="17"/>
          <w:szCs w:val="22"/>
        </w:rPr>
        <w:t xml:space="preserve">Atrius Health has a long history of delivering integrated health care services to its patients through a care model that focuses on providing patient-centered, coordinated care. We have also been a market leader in accepting alternative payment arrangements; Atrius Health currently has payer contracts under which we accept full financial risk for the care of about 300,000 of our patients. Under these payment arrangements, we accept accountability for the quality and the total cost of care for our patients, including specialty care provided outside of our own specialists, hospital care, post-acute care, and pharmacy. Atrius Health believes that accepting global risk for the care of our </w:t>
      </w:r>
      <w:proofErr w:type="gramStart"/>
      <w:r w:rsidRPr="00926B54">
        <w:rPr>
          <w:rFonts w:ascii="Tahoma" w:eastAsia="Tahoma" w:hAnsi="Tahoma"/>
          <w:color w:val="000000"/>
          <w:spacing w:val="7"/>
          <w:sz w:val="17"/>
          <w:szCs w:val="22"/>
        </w:rPr>
        <w:t>patients</w:t>
      </w:r>
      <w:proofErr w:type="gramEnd"/>
      <w:r w:rsidRPr="00926B54">
        <w:rPr>
          <w:rFonts w:ascii="Tahoma" w:eastAsia="Tahoma" w:hAnsi="Tahoma"/>
          <w:color w:val="000000"/>
          <w:spacing w:val="7"/>
          <w:sz w:val="17"/>
          <w:szCs w:val="22"/>
        </w:rPr>
        <w:t xml:space="preserve"> results in better, more efficient patient care that allows us to achieve our mission: </w:t>
      </w:r>
      <w:r w:rsidRPr="00926B54">
        <w:rPr>
          <w:rFonts w:ascii="Arial" w:eastAsia="Arial" w:hAnsi="Arial"/>
          <w:i/>
          <w:color w:val="000000"/>
          <w:spacing w:val="7"/>
          <w:sz w:val="17"/>
          <w:szCs w:val="22"/>
        </w:rPr>
        <w:t>We provide the right care with kindness and compassion every day for every person we serve.</w:t>
      </w:r>
    </w:p>
    <w:p w:rsidR="00926B54" w:rsidRPr="00926B54" w:rsidRDefault="00926B54" w:rsidP="00926B54">
      <w:pPr>
        <w:spacing w:before="249" w:line="245" w:lineRule="exact"/>
        <w:ind w:right="72"/>
        <w:textAlignment w:val="baseline"/>
        <w:rPr>
          <w:rFonts w:ascii="Tahoma" w:eastAsia="Tahoma" w:hAnsi="Tahoma"/>
          <w:color w:val="000000"/>
          <w:spacing w:val="7"/>
          <w:sz w:val="17"/>
          <w:szCs w:val="22"/>
        </w:rPr>
      </w:pPr>
      <w:r w:rsidRPr="00926B54">
        <w:rPr>
          <w:rFonts w:ascii="Tahoma" w:eastAsia="Tahoma" w:hAnsi="Tahoma"/>
          <w:color w:val="000000"/>
          <w:spacing w:val="7"/>
          <w:sz w:val="17"/>
          <w:szCs w:val="22"/>
        </w:rPr>
        <w:t>Since the DPH Clinic Regulations have not been thoroughly updated in a meaningful way for a number of years and given all the changes in health care and health care delivery systems we believe that certain of the regulations are somewhat out of sync with the current environment. In just the last 5 years there have been exponential changes to in health care organizational structures, technology, payment models, and out-patient and in-patient clinical services. The following are examples of some of the current requirements that we respectfully suggest should be considered by DPH:</w:t>
      </w:r>
    </w:p>
    <w:p w:rsidR="00926B54" w:rsidRPr="00926B54" w:rsidRDefault="00926B54" w:rsidP="00926B54">
      <w:pPr>
        <w:spacing w:before="242" w:line="245" w:lineRule="exact"/>
        <w:ind w:right="72"/>
        <w:textAlignment w:val="baseline"/>
        <w:rPr>
          <w:rFonts w:ascii="Tahoma" w:eastAsia="Tahoma" w:hAnsi="Tahoma"/>
          <w:b/>
          <w:color w:val="000000"/>
          <w:spacing w:val="6"/>
          <w:sz w:val="17"/>
          <w:szCs w:val="22"/>
        </w:rPr>
      </w:pPr>
      <w:r w:rsidRPr="00926B54">
        <w:rPr>
          <w:rFonts w:ascii="Tahoma" w:eastAsia="Tahoma" w:hAnsi="Tahoma"/>
          <w:b/>
          <w:color w:val="000000"/>
          <w:spacing w:val="6"/>
          <w:sz w:val="17"/>
          <w:szCs w:val="22"/>
        </w:rPr>
        <w:t xml:space="preserve">Requirements for the retention, review and maintenance of administrative and patient records (e.g., 105 CMR 140.301, 140.302, 140.363(4)). </w:t>
      </w:r>
      <w:r w:rsidRPr="00926B54">
        <w:rPr>
          <w:rFonts w:ascii="Tahoma" w:eastAsia="Tahoma" w:hAnsi="Tahoma"/>
          <w:color w:val="000000"/>
          <w:spacing w:val="6"/>
          <w:sz w:val="17"/>
          <w:szCs w:val="22"/>
        </w:rPr>
        <w:t xml:space="preserve">The current regulations do not sufficiently address </w:t>
      </w:r>
      <w:r w:rsidRPr="00926B54">
        <w:rPr>
          <w:rFonts w:ascii="Tahoma" w:eastAsia="Tahoma" w:hAnsi="Tahoma"/>
          <w:b/>
          <w:color w:val="000000"/>
          <w:spacing w:val="6"/>
          <w:sz w:val="17"/>
          <w:szCs w:val="22"/>
        </w:rPr>
        <w:t xml:space="preserve">the now </w:t>
      </w:r>
      <w:r w:rsidRPr="00926B54">
        <w:rPr>
          <w:rFonts w:ascii="Tahoma" w:eastAsia="Tahoma" w:hAnsi="Tahoma"/>
          <w:color w:val="000000"/>
          <w:spacing w:val="6"/>
          <w:sz w:val="17"/>
          <w:szCs w:val="22"/>
        </w:rPr>
        <w:t xml:space="preserve">common </w:t>
      </w:r>
      <w:r w:rsidRPr="00926B54">
        <w:rPr>
          <w:rFonts w:ascii="Tahoma" w:eastAsia="Tahoma" w:hAnsi="Tahoma"/>
          <w:b/>
          <w:color w:val="000000"/>
          <w:spacing w:val="6"/>
          <w:sz w:val="17"/>
          <w:szCs w:val="22"/>
        </w:rPr>
        <w:t xml:space="preserve">and </w:t>
      </w:r>
      <w:r w:rsidRPr="00926B54">
        <w:rPr>
          <w:rFonts w:ascii="Tahoma" w:eastAsia="Tahoma" w:hAnsi="Tahoma"/>
          <w:color w:val="000000"/>
          <w:spacing w:val="6"/>
          <w:sz w:val="17"/>
          <w:szCs w:val="22"/>
        </w:rPr>
        <w:t>required use of centralized electronic medical record systems. Instead the regulations include outdated requirements that were appropriate for a "paper record" with very little reference to electronic medical records. In addition, with the advent of digital imaging, the requirement for adequate storage space for filing of x-ray films is unnecessary. Other federal and state laws and regulations, including Medicare rules, HIPAA and rules promulgated by the Board of Registration in Medicine, already establish parameters for medical record documentation, maintenance, retention, confidentiality and access. The public health benefit and/or policy rationale is unclear for having a different and often more burdensome (e.g., 20 year record retention requirement versus 7 years for physicians) set of rules for medical records in a clinic practice as opposed to a private practice.</w:t>
      </w:r>
    </w:p>
    <w:p w:rsidR="00926B54" w:rsidRPr="00926B54" w:rsidRDefault="00926B54" w:rsidP="00926B54">
      <w:pPr>
        <w:spacing w:before="245" w:line="245" w:lineRule="exact"/>
        <w:ind w:right="72"/>
        <w:textAlignment w:val="baseline"/>
        <w:rPr>
          <w:rFonts w:ascii="Tahoma" w:eastAsia="Tahoma" w:hAnsi="Tahoma"/>
          <w:b/>
          <w:color w:val="000000"/>
          <w:spacing w:val="6"/>
          <w:sz w:val="17"/>
          <w:szCs w:val="22"/>
        </w:rPr>
      </w:pPr>
      <w:r w:rsidRPr="00926B54">
        <w:rPr>
          <w:rFonts w:ascii="Tahoma" w:eastAsia="Tahoma" w:hAnsi="Tahoma"/>
          <w:b/>
          <w:color w:val="000000"/>
          <w:spacing w:val="6"/>
          <w:sz w:val="17"/>
          <w:szCs w:val="22"/>
        </w:rPr>
        <w:t xml:space="preserve">Requirements for policies and standards of review (e.g., 105 CMR 140.301. 140.303). </w:t>
      </w:r>
      <w:r w:rsidRPr="00926B54">
        <w:rPr>
          <w:rFonts w:ascii="Tahoma" w:eastAsia="Tahoma" w:hAnsi="Tahoma"/>
          <w:color w:val="000000"/>
          <w:spacing w:val="6"/>
          <w:sz w:val="17"/>
          <w:szCs w:val="22"/>
        </w:rPr>
        <w:t>These requirements do not permit the exercise of reasonable professional and business judgment in determining what policies make sense for a particular clinic's business model and organization. The range of these requirements is in need of updating: for example, patients are not "admitted" to clinics, and the purpose of "patient admission criteria" is not clear; the need for a non-smoking policy addressing the comfort of patients in waiting areas is from another era; and the requirement that all patients should be provided with a copy of the notice of patients' rights "upon admittance to the clinic" is unnecessary when the notice can be posted on the website, provided electronically, and is posted at the clinic. In addition, not all policies warrant annual reviews and updates. While regulatory or organizational changes should prompt policy review and revision on an as needed basis, and periodic review is desirable, mandated annual review of all policies creates unnecessary administrative burden and cost.</w:t>
      </w:r>
    </w:p>
    <w:p w:rsidR="00926B54" w:rsidRPr="00926B54" w:rsidRDefault="00926B54" w:rsidP="00926B54">
      <w:pPr>
        <w:spacing w:before="251" w:line="245" w:lineRule="exact"/>
        <w:ind w:right="216"/>
        <w:textAlignment w:val="baseline"/>
        <w:rPr>
          <w:rFonts w:ascii="Tahoma" w:eastAsia="Tahoma" w:hAnsi="Tahoma"/>
          <w:b/>
          <w:color w:val="000000"/>
          <w:sz w:val="17"/>
          <w:szCs w:val="22"/>
        </w:rPr>
      </w:pPr>
      <w:r w:rsidRPr="00926B54">
        <w:rPr>
          <w:rFonts w:ascii="Tahoma" w:eastAsia="Tahoma" w:hAnsi="Tahoma"/>
          <w:b/>
          <w:color w:val="000000"/>
          <w:sz w:val="17"/>
          <w:szCs w:val="22"/>
        </w:rPr>
        <w:t xml:space="preserve">Requirements for written transfer agreements and other hospital relationships (e.g., 105 CMR 140.305). </w:t>
      </w:r>
      <w:r w:rsidRPr="00926B54">
        <w:rPr>
          <w:rFonts w:ascii="Tahoma" w:eastAsia="Tahoma" w:hAnsi="Tahoma"/>
          <w:color w:val="000000"/>
          <w:sz w:val="17"/>
          <w:szCs w:val="22"/>
        </w:rPr>
        <w:t>The requirement for a written agreement with a hospital for transfer of patients for emergency treatment is unnecessary. The requirements for arranging hospital deliveries for pregnant women is also unnecessary.</w:t>
      </w:r>
    </w:p>
    <w:p w:rsidR="00926B54" w:rsidRPr="00926B54" w:rsidRDefault="00926B54" w:rsidP="00926B54">
      <w:pPr>
        <w:rPr>
          <w:rFonts w:eastAsia="PMingLiU"/>
          <w:sz w:val="22"/>
          <w:szCs w:val="22"/>
        </w:rPr>
        <w:sectPr w:rsidR="00926B54" w:rsidRPr="00926B54">
          <w:pgSz w:w="12240" w:h="15840"/>
          <w:pgMar w:top="1460" w:right="1400" w:bottom="1797" w:left="1760" w:header="720" w:footer="720" w:gutter="0"/>
          <w:cols w:space="720"/>
        </w:sectPr>
      </w:pPr>
    </w:p>
    <w:p w:rsidR="00926B54" w:rsidRPr="00926B54" w:rsidRDefault="00926B54" w:rsidP="00926B54">
      <w:pPr>
        <w:spacing w:line="200" w:lineRule="exact"/>
        <w:textAlignment w:val="baseline"/>
        <w:rPr>
          <w:rFonts w:ascii="Arial" w:eastAsia="Arial" w:hAnsi="Arial"/>
          <w:i/>
          <w:color w:val="000000"/>
          <w:spacing w:val="6"/>
          <w:sz w:val="17"/>
          <w:szCs w:val="22"/>
        </w:rPr>
      </w:pPr>
      <w:r w:rsidRPr="00926B54">
        <w:rPr>
          <w:rFonts w:ascii="Arial" w:eastAsia="Arial" w:hAnsi="Arial"/>
          <w:i/>
          <w:color w:val="000000"/>
          <w:spacing w:val="6"/>
          <w:sz w:val="17"/>
          <w:szCs w:val="22"/>
        </w:rPr>
        <w:lastRenderedPageBreak/>
        <w:t xml:space="preserve">Page 3 - Letter to Monica </w:t>
      </w:r>
      <w:proofErr w:type="spellStart"/>
      <w:r w:rsidRPr="00926B54">
        <w:rPr>
          <w:rFonts w:ascii="Arial" w:eastAsia="Arial" w:hAnsi="Arial"/>
          <w:i/>
          <w:color w:val="000000"/>
          <w:spacing w:val="6"/>
          <w:sz w:val="17"/>
          <w:szCs w:val="22"/>
        </w:rPr>
        <w:t>Bharel</w:t>
      </w:r>
      <w:proofErr w:type="spellEnd"/>
      <w:r w:rsidRPr="00926B54">
        <w:rPr>
          <w:rFonts w:ascii="Arial" w:eastAsia="Arial" w:hAnsi="Arial"/>
          <w:i/>
          <w:color w:val="000000"/>
          <w:spacing w:val="6"/>
          <w:sz w:val="17"/>
          <w:szCs w:val="22"/>
        </w:rPr>
        <w:t xml:space="preserve"> from Steven Strongwater</w:t>
      </w:r>
    </w:p>
    <w:p w:rsidR="00926B54" w:rsidRPr="00926B54" w:rsidRDefault="00926B54" w:rsidP="00926B54">
      <w:pPr>
        <w:spacing w:before="240" w:line="245" w:lineRule="exact"/>
        <w:ind w:right="72"/>
        <w:textAlignment w:val="baseline"/>
        <w:rPr>
          <w:rFonts w:ascii="Tahoma" w:eastAsia="Tahoma" w:hAnsi="Tahoma"/>
          <w:color w:val="000000"/>
          <w:spacing w:val="7"/>
          <w:sz w:val="17"/>
          <w:szCs w:val="22"/>
        </w:rPr>
      </w:pPr>
      <w:proofErr w:type="gramStart"/>
      <w:r w:rsidRPr="00926B54">
        <w:rPr>
          <w:rFonts w:ascii="Tahoma" w:eastAsia="Tahoma" w:hAnsi="Tahoma"/>
          <w:color w:val="000000"/>
          <w:spacing w:val="7"/>
          <w:sz w:val="17"/>
          <w:szCs w:val="22"/>
        </w:rPr>
        <w:t>the</w:t>
      </w:r>
      <w:proofErr w:type="gramEnd"/>
      <w:r w:rsidRPr="00926B54">
        <w:rPr>
          <w:rFonts w:ascii="Tahoma" w:eastAsia="Tahoma" w:hAnsi="Tahoma"/>
          <w:color w:val="000000"/>
          <w:spacing w:val="7"/>
          <w:sz w:val="17"/>
          <w:szCs w:val="22"/>
        </w:rPr>
        <w:t xml:space="preserve"> evolution of behavioral health care and its integration into general medical practice. The mandates for staffing, documentation, and case review are particularly burdensome, and limit clinics in their ability to provide behavioral health services at a time when such services are in short and dwindling supply in the Commonwealth. With respect to laboratory services, the required submission of an annual affidavit seems unnecessary given the other regulatory and accreditation requirements that clinic laboratories are required to meet, including CLIA and CAP.</w:t>
      </w:r>
    </w:p>
    <w:p w:rsidR="00926B54" w:rsidRPr="00926B54" w:rsidRDefault="00926B54" w:rsidP="00926B54">
      <w:pPr>
        <w:spacing w:before="248" w:line="245" w:lineRule="exact"/>
        <w:ind w:right="72"/>
        <w:textAlignment w:val="baseline"/>
        <w:rPr>
          <w:rFonts w:ascii="Tahoma" w:eastAsia="Tahoma" w:hAnsi="Tahoma"/>
          <w:b/>
          <w:color w:val="000000"/>
          <w:spacing w:val="3"/>
          <w:sz w:val="17"/>
          <w:szCs w:val="22"/>
        </w:rPr>
      </w:pPr>
      <w:r w:rsidRPr="00926B54">
        <w:rPr>
          <w:rFonts w:ascii="Tahoma" w:eastAsia="Tahoma" w:hAnsi="Tahoma"/>
          <w:b/>
          <w:color w:val="000000"/>
          <w:spacing w:val="3"/>
          <w:sz w:val="17"/>
          <w:szCs w:val="22"/>
        </w:rPr>
        <w:t xml:space="preserve">Staffing and program requirements (e.g., 105 CMR 140.310 -318; 105 CMR 140.363, 140.370, 140.530). </w:t>
      </w:r>
      <w:r w:rsidRPr="00926B54">
        <w:rPr>
          <w:rFonts w:ascii="Tahoma" w:eastAsia="Tahoma" w:hAnsi="Tahoma"/>
          <w:color w:val="000000"/>
          <w:spacing w:val="3"/>
          <w:sz w:val="17"/>
          <w:szCs w:val="22"/>
        </w:rPr>
        <w:t xml:space="preserve">The current regulations do not provide clinics with flexibility in staffing which they need to accommodate changes in the market, including changes in the scope of practice of various health care professionals and ancillary providers. Mandating an in-service training program for all staff </w:t>
      </w:r>
      <w:r w:rsidRPr="00926B54">
        <w:rPr>
          <w:rFonts w:ascii="Tahoma" w:eastAsia="Tahoma" w:hAnsi="Tahoma"/>
          <w:b/>
          <w:color w:val="000000"/>
          <w:spacing w:val="3"/>
          <w:sz w:val="17"/>
          <w:szCs w:val="22"/>
        </w:rPr>
        <w:t xml:space="preserve">is </w:t>
      </w:r>
      <w:r w:rsidRPr="00926B54">
        <w:rPr>
          <w:rFonts w:ascii="Tahoma" w:eastAsia="Tahoma" w:hAnsi="Tahoma"/>
          <w:color w:val="000000"/>
          <w:spacing w:val="3"/>
          <w:sz w:val="17"/>
          <w:szCs w:val="22"/>
        </w:rPr>
        <w:t>unnecessary when job requirements as well as licensure and certification demand that health care staff stay current and participate in continuing education. Clinics should be clearly permitted to operate centralized quality programs; requiring every clinic satellite to have a separate program is expensive and inefficient.</w:t>
      </w:r>
    </w:p>
    <w:p w:rsidR="00926B54" w:rsidRPr="00926B54" w:rsidRDefault="00926B54" w:rsidP="00926B54">
      <w:pPr>
        <w:spacing w:before="246" w:line="245" w:lineRule="exact"/>
        <w:textAlignment w:val="baseline"/>
        <w:rPr>
          <w:rFonts w:ascii="Tahoma" w:eastAsia="Tahoma" w:hAnsi="Tahoma"/>
          <w:b/>
          <w:color w:val="000000"/>
          <w:spacing w:val="7"/>
          <w:sz w:val="17"/>
          <w:szCs w:val="22"/>
        </w:rPr>
      </w:pPr>
      <w:r w:rsidRPr="00926B54">
        <w:rPr>
          <w:rFonts w:ascii="Tahoma" w:eastAsia="Tahoma" w:hAnsi="Tahoma"/>
          <w:b/>
          <w:color w:val="000000"/>
          <w:spacing w:val="7"/>
          <w:sz w:val="17"/>
          <w:szCs w:val="22"/>
        </w:rPr>
        <w:t xml:space="preserve">Determination of Need Requirements, M.G.L. c. 111, sections 25B, 25C, 25C1/2, 105 CMR 100. </w:t>
      </w:r>
      <w:r w:rsidRPr="00926B54">
        <w:rPr>
          <w:rFonts w:ascii="Tahoma" w:eastAsia="Tahoma" w:hAnsi="Tahoma"/>
          <w:color w:val="000000"/>
          <w:spacing w:val="7"/>
          <w:sz w:val="17"/>
          <w:szCs w:val="22"/>
        </w:rPr>
        <w:t xml:space="preserve">The following are examples of </w:t>
      </w:r>
      <w:proofErr w:type="spellStart"/>
      <w:r w:rsidRPr="00926B54">
        <w:rPr>
          <w:rFonts w:ascii="Tahoma" w:eastAsia="Tahoma" w:hAnsi="Tahoma"/>
          <w:color w:val="000000"/>
          <w:spacing w:val="7"/>
          <w:sz w:val="17"/>
          <w:szCs w:val="22"/>
        </w:rPr>
        <w:t>DoN</w:t>
      </w:r>
      <w:proofErr w:type="spellEnd"/>
      <w:r w:rsidRPr="00926B54">
        <w:rPr>
          <w:rFonts w:ascii="Tahoma" w:eastAsia="Tahoma" w:hAnsi="Tahoma"/>
          <w:color w:val="000000"/>
          <w:spacing w:val="7"/>
          <w:sz w:val="17"/>
          <w:szCs w:val="22"/>
        </w:rPr>
        <w:t xml:space="preserve"> </w:t>
      </w:r>
      <w:proofErr w:type="gramStart"/>
      <w:r w:rsidRPr="00926B54">
        <w:rPr>
          <w:rFonts w:ascii="Tahoma" w:eastAsia="Tahoma" w:hAnsi="Tahoma"/>
          <w:color w:val="000000"/>
          <w:spacing w:val="7"/>
          <w:sz w:val="17"/>
          <w:szCs w:val="22"/>
        </w:rPr>
        <w:t>regulations</w:t>
      </w:r>
      <w:proofErr w:type="gramEnd"/>
      <w:r w:rsidRPr="00926B54">
        <w:rPr>
          <w:rFonts w:ascii="Tahoma" w:eastAsia="Tahoma" w:hAnsi="Tahoma"/>
          <w:color w:val="000000"/>
          <w:spacing w:val="7"/>
          <w:sz w:val="17"/>
          <w:szCs w:val="22"/>
        </w:rPr>
        <w:t xml:space="preserve"> that we believe should be revised: (</w:t>
      </w:r>
      <w:proofErr w:type="spellStart"/>
      <w:r w:rsidRPr="00926B54">
        <w:rPr>
          <w:rFonts w:ascii="Tahoma" w:eastAsia="Tahoma" w:hAnsi="Tahoma"/>
          <w:color w:val="000000"/>
          <w:spacing w:val="7"/>
          <w:sz w:val="17"/>
          <w:szCs w:val="22"/>
        </w:rPr>
        <w:t>i</w:t>
      </w:r>
      <w:proofErr w:type="spellEnd"/>
      <w:r w:rsidRPr="00926B54">
        <w:rPr>
          <w:rFonts w:ascii="Tahoma" w:eastAsia="Tahoma" w:hAnsi="Tahoma"/>
          <w:color w:val="000000"/>
          <w:spacing w:val="7"/>
          <w:sz w:val="17"/>
          <w:szCs w:val="22"/>
        </w:rPr>
        <w:t xml:space="preserve">) the regulations continue to define Magnetic Resonance Imaging as "new technology" thus making MRIs subject to the </w:t>
      </w:r>
      <w:proofErr w:type="spellStart"/>
      <w:r w:rsidRPr="00926B54">
        <w:rPr>
          <w:rFonts w:ascii="Tahoma" w:eastAsia="Tahoma" w:hAnsi="Tahoma"/>
          <w:color w:val="000000"/>
          <w:spacing w:val="7"/>
          <w:sz w:val="17"/>
          <w:szCs w:val="22"/>
        </w:rPr>
        <w:t>DoN</w:t>
      </w:r>
      <w:proofErr w:type="spellEnd"/>
      <w:r w:rsidRPr="00926B54">
        <w:rPr>
          <w:rFonts w:ascii="Tahoma" w:eastAsia="Tahoma" w:hAnsi="Tahoma"/>
          <w:color w:val="000000"/>
          <w:spacing w:val="7"/>
          <w:sz w:val="17"/>
          <w:szCs w:val="22"/>
        </w:rPr>
        <w:t xml:space="preserve"> process. MRIs have been in use since the 1970s and should </w:t>
      </w:r>
      <w:r w:rsidRPr="00926B54">
        <w:rPr>
          <w:rFonts w:ascii="Tahoma" w:eastAsia="Tahoma" w:hAnsi="Tahoma"/>
          <w:b/>
          <w:color w:val="000000"/>
          <w:spacing w:val="7"/>
          <w:sz w:val="17"/>
          <w:szCs w:val="22"/>
        </w:rPr>
        <w:t xml:space="preserve">no </w:t>
      </w:r>
      <w:r w:rsidRPr="00926B54">
        <w:rPr>
          <w:rFonts w:ascii="Tahoma" w:eastAsia="Tahoma" w:hAnsi="Tahoma"/>
          <w:color w:val="000000"/>
          <w:spacing w:val="7"/>
          <w:sz w:val="17"/>
          <w:szCs w:val="22"/>
        </w:rPr>
        <w:t xml:space="preserve">longer be considered a new technology subject to these regulations; and (ii) the definition of minimum capital expenditure for clinics should be based on a formula related to the size of the entity, not the type of entity. By way of example the 2016 minimum total capital expenditure requiring a </w:t>
      </w:r>
      <w:proofErr w:type="spellStart"/>
      <w:r w:rsidRPr="00926B54">
        <w:rPr>
          <w:rFonts w:ascii="Tahoma" w:eastAsia="Tahoma" w:hAnsi="Tahoma"/>
          <w:color w:val="000000"/>
          <w:spacing w:val="7"/>
          <w:sz w:val="17"/>
          <w:szCs w:val="22"/>
        </w:rPr>
        <w:t>DoN</w:t>
      </w:r>
      <w:proofErr w:type="spellEnd"/>
      <w:r w:rsidRPr="00926B54">
        <w:rPr>
          <w:rFonts w:ascii="Tahoma" w:eastAsia="Tahoma" w:hAnsi="Tahoma"/>
          <w:color w:val="000000"/>
          <w:spacing w:val="7"/>
          <w:sz w:val="17"/>
          <w:szCs w:val="22"/>
        </w:rPr>
        <w:t xml:space="preserve"> for clinics is $1,906,809 and for hospitals is $17,826,988. Given the range in the size of various hospitals and clinics, this discrepancy seems somewhat arbitrary and burdensome to organizations like Atrius Health, which has annual revenues greater than a number of Massachusetts hospitals. Thank you for your consideration of these issues. We hope this input provides you with potential opportunities to update and/or streamline the regulations without negatively impacting the quality of patient care. We would be happy to meet with you or DPH staff to discuss these or any other matters. We have met with DPH staff a number of times and find their approach and willingness to seek input from Atrius Health and other organizations regarding DPH programs and regulations very worthwhile and constructive. Please let us know if you have any questions regarding the above.</w:t>
      </w:r>
    </w:p>
    <w:p w:rsidR="00926B54" w:rsidRPr="00926B54" w:rsidRDefault="00926B54" w:rsidP="00926B54">
      <w:pPr>
        <w:spacing w:before="281" w:after="43" w:line="214" w:lineRule="exact"/>
        <w:textAlignment w:val="baseline"/>
        <w:rPr>
          <w:rFonts w:ascii="Tahoma" w:eastAsia="Tahoma" w:hAnsi="Tahoma"/>
          <w:color w:val="000000"/>
          <w:spacing w:val="4"/>
          <w:sz w:val="17"/>
          <w:szCs w:val="22"/>
        </w:rPr>
      </w:pPr>
      <w:r w:rsidRPr="00926B54">
        <w:rPr>
          <w:rFonts w:ascii="Tahoma" w:eastAsia="Tahoma" w:hAnsi="Tahoma"/>
          <w:color w:val="000000"/>
          <w:spacing w:val="4"/>
          <w:sz w:val="17"/>
          <w:szCs w:val="22"/>
        </w:rPr>
        <w:t>Sincerely,</w:t>
      </w:r>
    </w:p>
    <w:p w:rsidR="00926B54" w:rsidRPr="00926B54" w:rsidRDefault="00926B54" w:rsidP="00926B54">
      <w:pPr>
        <w:spacing w:after="38"/>
        <w:ind w:left="225" w:right="5884"/>
        <w:textAlignment w:val="baseline"/>
        <w:rPr>
          <w:rFonts w:eastAsia="PMingLiU"/>
          <w:noProof/>
          <w:sz w:val="22"/>
          <w:szCs w:val="22"/>
        </w:rPr>
      </w:pPr>
    </w:p>
    <w:p w:rsidR="00926B54" w:rsidRPr="00926B54" w:rsidRDefault="00926B54" w:rsidP="00926B54">
      <w:pPr>
        <w:spacing w:after="38"/>
        <w:ind w:left="225" w:right="5884"/>
        <w:textAlignment w:val="baseline"/>
        <w:rPr>
          <w:rFonts w:eastAsia="PMingLiU"/>
          <w:noProof/>
          <w:sz w:val="22"/>
          <w:szCs w:val="22"/>
        </w:rPr>
      </w:pPr>
    </w:p>
    <w:p w:rsidR="00926B54" w:rsidRPr="00926B54" w:rsidRDefault="00926B54" w:rsidP="00926B54">
      <w:pPr>
        <w:spacing w:after="38"/>
        <w:ind w:left="225" w:right="5884"/>
        <w:textAlignment w:val="baseline"/>
        <w:rPr>
          <w:rFonts w:eastAsia="PMingLiU"/>
          <w:noProof/>
          <w:sz w:val="22"/>
          <w:szCs w:val="22"/>
        </w:rPr>
      </w:pPr>
    </w:p>
    <w:p w:rsidR="00926B54" w:rsidRPr="00926B54" w:rsidRDefault="00926B54" w:rsidP="00926B54">
      <w:pPr>
        <w:spacing w:after="38"/>
        <w:ind w:left="225" w:right="5884"/>
        <w:textAlignment w:val="baseline"/>
        <w:rPr>
          <w:rFonts w:eastAsia="PMingLiU"/>
          <w:sz w:val="22"/>
          <w:szCs w:val="22"/>
        </w:rPr>
      </w:pPr>
    </w:p>
    <w:p w:rsidR="00926B54" w:rsidRPr="00926B54" w:rsidRDefault="00926B54" w:rsidP="00926B54">
      <w:pPr>
        <w:spacing w:before="36" w:line="209" w:lineRule="exact"/>
        <w:textAlignment w:val="baseline"/>
        <w:rPr>
          <w:rFonts w:ascii="Tahoma" w:eastAsia="Tahoma" w:hAnsi="Tahoma"/>
          <w:color w:val="000000"/>
          <w:spacing w:val="7"/>
          <w:sz w:val="17"/>
          <w:szCs w:val="22"/>
        </w:rPr>
      </w:pPr>
      <w:r w:rsidRPr="00926B54">
        <w:rPr>
          <w:rFonts w:ascii="Tahoma" w:eastAsia="Tahoma" w:hAnsi="Tahoma"/>
          <w:color w:val="000000"/>
          <w:spacing w:val="7"/>
          <w:sz w:val="17"/>
          <w:szCs w:val="22"/>
        </w:rPr>
        <w:t>Steven Strongwater, MD</w:t>
      </w:r>
    </w:p>
    <w:p w:rsidR="00926B54" w:rsidRPr="00926B54" w:rsidRDefault="00926B54" w:rsidP="00926B54">
      <w:pPr>
        <w:spacing w:before="36" w:line="208" w:lineRule="exact"/>
        <w:textAlignment w:val="baseline"/>
        <w:rPr>
          <w:rFonts w:ascii="Tahoma" w:eastAsia="Tahoma" w:hAnsi="Tahoma"/>
          <w:color w:val="000000"/>
          <w:spacing w:val="6"/>
          <w:sz w:val="17"/>
          <w:szCs w:val="22"/>
        </w:rPr>
      </w:pPr>
      <w:r w:rsidRPr="00926B54">
        <w:rPr>
          <w:rFonts w:ascii="Tahoma" w:eastAsia="Tahoma" w:hAnsi="Tahoma"/>
          <w:color w:val="000000"/>
          <w:spacing w:val="6"/>
          <w:sz w:val="17"/>
          <w:szCs w:val="22"/>
        </w:rPr>
        <w:t>President and Chief Executive Officer</w:t>
      </w:r>
    </w:p>
    <w:p w:rsidR="00926B54" w:rsidRPr="00926B54" w:rsidRDefault="00926B54" w:rsidP="00926B54">
      <w:pPr>
        <w:tabs>
          <w:tab w:val="left" w:pos="792"/>
        </w:tabs>
        <w:spacing w:before="279" w:line="211" w:lineRule="exact"/>
        <w:textAlignment w:val="baseline"/>
        <w:rPr>
          <w:rFonts w:ascii="Tahoma" w:eastAsia="Tahoma" w:hAnsi="Tahoma"/>
          <w:color w:val="000000"/>
          <w:spacing w:val="5"/>
          <w:sz w:val="17"/>
          <w:szCs w:val="22"/>
        </w:rPr>
      </w:pPr>
      <w:r w:rsidRPr="00926B54">
        <w:rPr>
          <w:rFonts w:ascii="Tahoma" w:eastAsia="Tahoma" w:hAnsi="Tahoma"/>
          <w:color w:val="000000"/>
          <w:spacing w:val="5"/>
          <w:sz w:val="17"/>
          <w:szCs w:val="22"/>
        </w:rPr>
        <w:t>cc:</w:t>
      </w:r>
      <w:r w:rsidRPr="00926B54">
        <w:rPr>
          <w:rFonts w:ascii="Tahoma" w:eastAsia="Tahoma" w:hAnsi="Tahoma"/>
          <w:color w:val="000000"/>
          <w:spacing w:val="5"/>
          <w:sz w:val="17"/>
          <w:szCs w:val="22"/>
        </w:rPr>
        <w:tab/>
        <w:t>Eric Sheehan, Interim Director, Bureau of Health Care Safety and Quality</w:t>
      </w:r>
    </w:p>
    <w:p w:rsidR="00926B54" w:rsidRPr="00926B54" w:rsidRDefault="00926B54" w:rsidP="00926B54">
      <w:pPr>
        <w:spacing w:line="245" w:lineRule="exact"/>
        <w:ind w:left="792" w:right="2088"/>
        <w:textAlignment w:val="baseline"/>
        <w:rPr>
          <w:rFonts w:ascii="Tahoma" w:eastAsia="Tahoma" w:hAnsi="Tahoma"/>
          <w:color w:val="000000"/>
          <w:spacing w:val="14"/>
          <w:sz w:val="17"/>
          <w:szCs w:val="22"/>
        </w:rPr>
      </w:pPr>
      <w:r w:rsidRPr="00926B54">
        <w:rPr>
          <w:rFonts w:ascii="Tahoma" w:eastAsia="Tahoma" w:hAnsi="Tahoma"/>
          <w:color w:val="000000"/>
          <w:spacing w:val="14"/>
          <w:sz w:val="17"/>
          <w:szCs w:val="22"/>
        </w:rPr>
        <w:t xml:space="preserve">Sherman </w:t>
      </w:r>
      <w:proofErr w:type="spellStart"/>
      <w:r w:rsidRPr="00926B54">
        <w:rPr>
          <w:rFonts w:ascii="Tahoma" w:eastAsia="Tahoma" w:hAnsi="Tahoma"/>
          <w:color w:val="000000"/>
          <w:spacing w:val="14"/>
          <w:sz w:val="17"/>
          <w:szCs w:val="22"/>
        </w:rPr>
        <w:t>Lohnes</w:t>
      </w:r>
      <w:proofErr w:type="spellEnd"/>
      <w:r w:rsidRPr="00926B54">
        <w:rPr>
          <w:rFonts w:ascii="Tahoma" w:eastAsia="Tahoma" w:hAnsi="Tahoma"/>
          <w:color w:val="000000"/>
          <w:spacing w:val="14"/>
          <w:sz w:val="17"/>
          <w:szCs w:val="22"/>
        </w:rPr>
        <w:t>, Director of Health Care Facility Licensure and Certification Suzanne Cray, Director of Health Care Integration Lauren Nelson, Director of Policy and Planning</w:t>
      </w:r>
    </w:p>
    <w:p w:rsidR="00926B54" w:rsidRPr="00926B54" w:rsidRDefault="00926B54" w:rsidP="00926B54">
      <w:pPr>
        <w:rPr>
          <w:rFonts w:ascii="Tahoma" w:eastAsia="Tahoma" w:hAnsi="Tahoma"/>
          <w:color w:val="000000"/>
          <w:spacing w:val="14"/>
          <w:sz w:val="17"/>
          <w:szCs w:val="22"/>
        </w:rPr>
      </w:pPr>
    </w:p>
    <w:p w:rsidR="00926B54" w:rsidRPr="00C80847" w:rsidRDefault="00926B54" w:rsidP="00115A4F">
      <w:pPr>
        <w:pStyle w:val="NoSpacing"/>
        <w:rPr>
          <w:rFonts w:ascii="Garamond" w:hAnsi="Garamond"/>
          <w:sz w:val="24"/>
          <w:szCs w:val="24"/>
        </w:rPr>
      </w:pPr>
    </w:p>
    <w:p w:rsidR="00044417" w:rsidRPr="00C80847" w:rsidRDefault="00044417" w:rsidP="00044417">
      <w:pPr>
        <w:autoSpaceDE w:val="0"/>
        <w:autoSpaceDN w:val="0"/>
        <w:adjustRightInd w:val="0"/>
        <w:rPr>
          <w:rFonts w:ascii="Garamond" w:eastAsiaTheme="minorHAnsi" w:hAnsi="Garamond" w:cs="Arial"/>
          <w:color w:val="000000"/>
          <w:sz w:val="24"/>
          <w:szCs w:val="24"/>
        </w:rPr>
      </w:pPr>
    </w:p>
    <w:p w:rsidR="00044417" w:rsidRPr="00C80847" w:rsidRDefault="00044417" w:rsidP="00115A4F">
      <w:pPr>
        <w:pStyle w:val="NoSpacing"/>
        <w:rPr>
          <w:rFonts w:ascii="Garamond" w:hAnsi="Garamond"/>
          <w:sz w:val="24"/>
          <w:szCs w:val="24"/>
        </w:rPr>
      </w:pPr>
    </w:p>
    <w:sectPr w:rsidR="00044417" w:rsidRPr="00C80847">
      <w:headerReference w:type="default" r:id="rId9"/>
      <w:footerReference w:type="default" r:id="rId10"/>
      <w:pgSz w:w="12240" w:h="15840"/>
      <w:pgMar w:top="864" w:right="1728"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2A" w:rsidRDefault="006F172A" w:rsidP="00931AB8">
      <w:r>
        <w:separator/>
      </w:r>
    </w:p>
  </w:endnote>
  <w:endnote w:type="continuationSeparator" w:id="0">
    <w:p w:rsidR="006F172A" w:rsidRDefault="006F172A" w:rsidP="0093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385158"/>
      <w:docPartObj>
        <w:docPartGallery w:val="Page Numbers (Bottom of Page)"/>
        <w:docPartUnique/>
      </w:docPartObj>
    </w:sdtPr>
    <w:sdtEndPr>
      <w:rPr>
        <w:color w:val="808080" w:themeColor="background1" w:themeShade="80"/>
        <w:spacing w:val="60"/>
      </w:rPr>
    </w:sdtEndPr>
    <w:sdtContent>
      <w:p w:rsidR="00B93AA2" w:rsidRDefault="00B93AA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47EA8" w:rsidRPr="00A47EA8">
          <w:rPr>
            <w:b/>
            <w:bCs/>
            <w:noProof/>
          </w:rPr>
          <w:t>6</w:t>
        </w:r>
        <w:r>
          <w:rPr>
            <w:b/>
            <w:bCs/>
            <w:noProof/>
          </w:rPr>
          <w:fldChar w:fldCharType="end"/>
        </w:r>
        <w:r>
          <w:rPr>
            <w:b/>
            <w:bCs/>
          </w:rPr>
          <w:t xml:space="preserve"> | </w:t>
        </w:r>
        <w:r>
          <w:rPr>
            <w:color w:val="808080" w:themeColor="background1" w:themeShade="80"/>
            <w:spacing w:val="60"/>
          </w:rPr>
          <w:t>Page</w:t>
        </w:r>
      </w:p>
    </w:sdtContent>
  </w:sdt>
  <w:p w:rsidR="007F2E48" w:rsidRDefault="007F2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2A" w:rsidRDefault="006F172A" w:rsidP="00931AB8">
      <w:r>
        <w:separator/>
      </w:r>
    </w:p>
  </w:footnote>
  <w:footnote w:type="continuationSeparator" w:id="0">
    <w:p w:rsidR="006F172A" w:rsidRDefault="006F172A" w:rsidP="00931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8D1" w:rsidRDefault="00A74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C748B"/>
    <w:multiLevelType w:val="hybridMultilevel"/>
    <w:tmpl w:val="02327D5E"/>
    <w:lvl w:ilvl="0" w:tplc="E398E530">
      <w:start w:val="1"/>
      <w:numFmt w:val="lowerLetter"/>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530CD3"/>
    <w:multiLevelType w:val="hybridMultilevel"/>
    <w:tmpl w:val="FD02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71BB1"/>
    <w:multiLevelType w:val="hybridMultilevel"/>
    <w:tmpl w:val="CA2ECB08"/>
    <w:lvl w:ilvl="0" w:tplc="79786B10">
      <w:start w:val="1"/>
      <w:numFmt w:val="upperLetter"/>
      <w:lvlText w:val="(%1)"/>
      <w:lvlJc w:val="left"/>
      <w:pPr>
        <w:ind w:left="1410" w:hanging="360"/>
      </w:pPr>
      <w:rPr>
        <w:rFonts w:hint="default"/>
      </w:rPr>
    </w:lvl>
    <w:lvl w:ilvl="1" w:tplc="04090019">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3C555502"/>
    <w:multiLevelType w:val="hybridMultilevel"/>
    <w:tmpl w:val="C948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90336"/>
    <w:multiLevelType w:val="hybridMultilevel"/>
    <w:tmpl w:val="1B643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65"/>
    <w:rsid w:val="00000073"/>
    <w:rsid w:val="00000628"/>
    <w:rsid w:val="000012C7"/>
    <w:rsid w:val="0000175C"/>
    <w:rsid w:val="00001C6F"/>
    <w:rsid w:val="00002473"/>
    <w:rsid w:val="00005F50"/>
    <w:rsid w:val="0001130E"/>
    <w:rsid w:val="00011806"/>
    <w:rsid w:val="00011F90"/>
    <w:rsid w:val="000124C7"/>
    <w:rsid w:val="0001260A"/>
    <w:rsid w:val="00013E02"/>
    <w:rsid w:val="00014105"/>
    <w:rsid w:val="00014243"/>
    <w:rsid w:val="00014471"/>
    <w:rsid w:val="00014F74"/>
    <w:rsid w:val="00015247"/>
    <w:rsid w:val="00020BD6"/>
    <w:rsid w:val="0002251F"/>
    <w:rsid w:val="000242A7"/>
    <w:rsid w:val="00024F03"/>
    <w:rsid w:val="000265BE"/>
    <w:rsid w:val="000277E5"/>
    <w:rsid w:val="00027AF2"/>
    <w:rsid w:val="00027FCA"/>
    <w:rsid w:val="000303DC"/>
    <w:rsid w:val="00031153"/>
    <w:rsid w:val="00031AD8"/>
    <w:rsid w:val="00031B5F"/>
    <w:rsid w:val="00031C95"/>
    <w:rsid w:val="000336C1"/>
    <w:rsid w:val="000345C2"/>
    <w:rsid w:val="00036E51"/>
    <w:rsid w:val="00040EC2"/>
    <w:rsid w:val="00041ACC"/>
    <w:rsid w:val="000430BA"/>
    <w:rsid w:val="00044417"/>
    <w:rsid w:val="000457F7"/>
    <w:rsid w:val="00045AE9"/>
    <w:rsid w:val="0004756E"/>
    <w:rsid w:val="000477FE"/>
    <w:rsid w:val="00047802"/>
    <w:rsid w:val="00047A3A"/>
    <w:rsid w:val="000500B5"/>
    <w:rsid w:val="000500DC"/>
    <w:rsid w:val="00053B73"/>
    <w:rsid w:val="000554B4"/>
    <w:rsid w:val="0005669B"/>
    <w:rsid w:val="00056788"/>
    <w:rsid w:val="000578E0"/>
    <w:rsid w:val="000604C9"/>
    <w:rsid w:val="00062DF1"/>
    <w:rsid w:val="00062FF0"/>
    <w:rsid w:val="00063D5A"/>
    <w:rsid w:val="00063E38"/>
    <w:rsid w:val="0006412E"/>
    <w:rsid w:val="00064FD3"/>
    <w:rsid w:val="0007064B"/>
    <w:rsid w:val="00071994"/>
    <w:rsid w:val="00072029"/>
    <w:rsid w:val="00072B8B"/>
    <w:rsid w:val="00072DAA"/>
    <w:rsid w:val="00073039"/>
    <w:rsid w:val="000743D7"/>
    <w:rsid w:val="0007537E"/>
    <w:rsid w:val="0007607A"/>
    <w:rsid w:val="00080827"/>
    <w:rsid w:val="00081970"/>
    <w:rsid w:val="00082B3C"/>
    <w:rsid w:val="00082FE0"/>
    <w:rsid w:val="0008303F"/>
    <w:rsid w:val="00083D3F"/>
    <w:rsid w:val="000841C4"/>
    <w:rsid w:val="00084B02"/>
    <w:rsid w:val="00085274"/>
    <w:rsid w:val="00085F31"/>
    <w:rsid w:val="000867C4"/>
    <w:rsid w:val="00086DEC"/>
    <w:rsid w:val="00086ED6"/>
    <w:rsid w:val="000905D9"/>
    <w:rsid w:val="00090926"/>
    <w:rsid w:val="00091961"/>
    <w:rsid w:val="00092532"/>
    <w:rsid w:val="00092EF6"/>
    <w:rsid w:val="00093A2E"/>
    <w:rsid w:val="00093BC6"/>
    <w:rsid w:val="00096129"/>
    <w:rsid w:val="00096219"/>
    <w:rsid w:val="0009653A"/>
    <w:rsid w:val="00097C25"/>
    <w:rsid w:val="000A0976"/>
    <w:rsid w:val="000A153D"/>
    <w:rsid w:val="000A1EC5"/>
    <w:rsid w:val="000A1F83"/>
    <w:rsid w:val="000A4CD6"/>
    <w:rsid w:val="000A4E15"/>
    <w:rsid w:val="000A575C"/>
    <w:rsid w:val="000A62B7"/>
    <w:rsid w:val="000A6649"/>
    <w:rsid w:val="000A6A91"/>
    <w:rsid w:val="000B0169"/>
    <w:rsid w:val="000B3340"/>
    <w:rsid w:val="000B57FA"/>
    <w:rsid w:val="000B7848"/>
    <w:rsid w:val="000B78FF"/>
    <w:rsid w:val="000B7C15"/>
    <w:rsid w:val="000C0AC8"/>
    <w:rsid w:val="000C0F11"/>
    <w:rsid w:val="000D02FB"/>
    <w:rsid w:val="000D0C30"/>
    <w:rsid w:val="000D190E"/>
    <w:rsid w:val="000D1943"/>
    <w:rsid w:val="000D342E"/>
    <w:rsid w:val="000D3758"/>
    <w:rsid w:val="000D57DD"/>
    <w:rsid w:val="000D75CB"/>
    <w:rsid w:val="000D7E99"/>
    <w:rsid w:val="000E115A"/>
    <w:rsid w:val="000E168D"/>
    <w:rsid w:val="000E3450"/>
    <w:rsid w:val="000E3E1F"/>
    <w:rsid w:val="000E46B4"/>
    <w:rsid w:val="000E61C9"/>
    <w:rsid w:val="000E642D"/>
    <w:rsid w:val="000E6DEC"/>
    <w:rsid w:val="000E7347"/>
    <w:rsid w:val="000E7669"/>
    <w:rsid w:val="000F18C3"/>
    <w:rsid w:val="000F1C56"/>
    <w:rsid w:val="000F2143"/>
    <w:rsid w:val="000F23DC"/>
    <w:rsid w:val="000F34A4"/>
    <w:rsid w:val="000F39AE"/>
    <w:rsid w:val="000F3E60"/>
    <w:rsid w:val="000F451F"/>
    <w:rsid w:val="000F4578"/>
    <w:rsid w:val="000F541E"/>
    <w:rsid w:val="000F56BA"/>
    <w:rsid w:val="000F6950"/>
    <w:rsid w:val="000F6B67"/>
    <w:rsid w:val="000F7BF1"/>
    <w:rsid w:val="00100847"/>
    <w:rsid w:val="00100ACE"/>
    <w:rsid w:val="001022AA"/>
    <w:rsid w:val="001024E3"/>
    <w:rsid w:val="00102902"/>
    <w:rsid w:val="001051DF"/>
    <w:rsid w:val="00105605"/>
    <w:rsid w:val="00106315"/>
    <w:rsid w:val="00106A7C"/>
    <w:rsid w:val="00110954"/>
    <w:rsid w:val="00110A9E"/>
    <w:rsid w:val="0011130C"/>
    <w:rsid w:val="00112813"/>
    <w:rsid w:val="00113989"/>
    <w:rsid w:val="00115A4F"/>
    <w:rsid w:val="00115B02"/>
    <w:rsid w:val="00117BF4"/>
    <w:rsid w:val="00120041"/>
    <w:rsid w:val="00120085"/>
    <w:rsid w:val="001209B3"/>
    <w:rsid w:val="00121694"/>
    <w:rsid w:val="0012210F"/>
    <w:rsid w:val="00122242"/>
    <w:rsid w:val="001222E5"/>
    <w:rsid w:val="001229AF"/>
    <w:rsid w:val="00123256"/>
    <w:rsid w:val="001233F7"/>
    <w:rsid w:val="001240F2"/>
    <w:rsid w:val="00125D22"/>
    <w:rsid w:val="00125D38"/>
    <w:rsid w:val="00127F22"/>
    <w:rsid w:val="00127F92"/>
    <w:rsid w:val="001315C8"/>
    <w:rsid w:val="001316B3"/>
    <w:rsid w:val="00131989"/>
    <w:rsid w:val="00131A6D"/>
    <w:rsid w:val="00132478"/>
    <w:rsid w:val="00133C32"/>
    <w:rsid w:val="0013454D"/>
    <w:rsid w:val="00134FC7"/>
    <w:rsid w:val="0013565E"/>
    <w:rsid w:val="001359A2"/>
    <w:rsid w:val="00136827"/>
    <w:rsid w:val="00136EF2"/>
    <w:rsid w:val="001374B3"/>
    <w:rsid w:val="001376E6"/>
    <w:rsid w:val="00140A07"/>
    <w:rsid w:val="0014177A"/>
    <w:rsid w:val="00141A22"/>
    <w:rsid w:val="00142B02"/>
    <w:rsid w:val="00143C3A"/>
    <w:rsid w:val="00143EC9"/>
    <w:rsid w:val="00145868"/>
    <w:rsid w:val="00146023"/>
    <w:rsid w:val="00146828"/>
    <w:rsid w:val="00146E37"/>
    <w:rsid w:val="00150791"/>
    <w:rsid w:val="00151BE6"/>
    <w:rsid w:val="0015314A"/>
    <w:rsid w:val="00153F92"/>
    <w:rsid w:val="001541AD"/>
    <w:rsid w:val="00154637"/>
    <w:rsid w:val="00154792"/>
    <w:rsid w:val="00156793"/>
    <w:rsid w:val="00156BAA"/>
    <w:rsid w:val="00156D11"/>
    <w:rsid w:val="00157810"/>
    <w:rsid w:val="00157BDB"/>
    <w:rsid w:val="00160E69"/>
    <w:rsid w:val="00161827"/>
    <w:rsid w:val="001628FB"/>
    <w:rsid w:val="001646E1"/>
    <w:rsid w:val="00164E4A"/>
    <w:rsid w:val="001652CE"/>
    <w:rsid w:val="00165EA9"/>
    <w:rsid w:val="00166219"/>
    <w:rsid w:val="00166788"/>
    <w:rsid w:val="00166D60"/>
    <w:rsid w:val="0016785F"/>
    <w:rsid w:val="00172874"/>
    <w:rsid w:val="00172EF7"/>
    <w:rsid w:val="00174331"/>
    <w:rsid w:val="001749A8"/>
    <w:rsid w:val="00175338"/>
    <w:rsid w:val="0017613F"/>
    <w:rsid w:val="00176B20"/>
    <w:rsid w:val="00176B61"/>
    <w:rsid w:val="001779B8"/>
    <w:rsid w:val="00180E4B"/>
    <w:rsid w:val="001814B7"/>
    <w:rsid w:val="00181A39"/>
    <w:rsid w:val="00181A5C"/>
    <w:rsid w:val="00184536"/>
    <w:rsid w:val="00184998"/>
    <w:rsid w:val="00184A1A"/>
    <w:rsid w:val="00184CAA"/>
    <w:rsid w:val="00185B51"/>
    <w:rsid w:val="0018633A"/>
    <w:rsid w:val="00187B83"/>
    <w:rsid w:val="00187BFB"/>
    <w:rsid w:val="00190E5F"/>
    <w:rsid w:val="00192030"/>
    <w:rsid w:val="001972BE"/>
    <w:rsid w:val="001A0DD5"/>
    <w:rsid w:val="001A14FB"/>
    <w:rsid w:val="001A1A90"/>
    <w:rsid w:val="001A22E4"/>
    <w:rsid w:val="001A2C1A"/>
    <w:rsid w:val="001A5427"/>
    <w:rsid w:val="001A5EB3"/>
    <w:rsid w:val="001A637A"/>
    <w:rsid w:val="001A645B"/>
    <w:rsid w:val="001A6AD0"/>
    <w:rsid w:val="001A6DC9"/>
    <w:rsid w:val="001A7159"/>
    <w:rsid w:val="001A75F9"/>
    <w:rsid w:val="001A7B5C"/>
    <w:rsid w:val="001B0211"/>
    <w:rsid w:val="001B0959"/>
    <w:rsid w:val="001B0A63"/>
    <w:rsid w:val="001B0BF5"/>
    <w:rsid w:val="001B1092"/>
    <w:rsid w:val="001B163B"/>
    <w:rsid w:val="001B17D1"/>
    <w:rsid w:val="001B3E81"/>
    <w:rsid w:val="001B4E8F"/>
    <w:rsid w:val="001B500C"/>
    <w:rsid w:val="001B538A"/>
    <w:rsid w:val="001B574B"/>
    <w:rsid w:val="001B5DAF"/>
    <w:rsid w:val="001B6644"/>
    <w:rsid w:val="001B6887"/>
    <w:rsid w:val="001B69E0"/>
    <w:rsid w:val="001B7352"/>
    <w:rsid w:val="001C020A"/>
    <w:rsid w:val="001C0357"/>
    <w:rsid w:val="001C0A28"/>
    <w:rsid w:val="001C0AAF"/>
    <w:rsid w:val="001C0DA7"/>
    <w:rsid w:val="001C209D"/>
    <w:rsid w:val="001C2FCB"/>
    <w:rsid w:val="001C53E8"/>
    <w:rsid w:val="001C5536"/>
    <w:rsid w:val="001C5803"/>
    <w:rsid w:val="001C6367"/>
    <w:rsid w:val="001C7929"/>
    <w:rsid w:val="001C7EA2"/>
    <w:rsid w:val="001D0BCA"/>
    <w:rsid w:val="001D1938"/>
    <w:rsid w:val="001D31AA"/>
    <w:rsid w:val="001D3796"/>
    <w:rsid w:val="001D4F3A"/>
    <w:rsid w:val="001E047B"/>
    <w:rsid w:val="001E0772"/>
    <w:rsid w:val="001E0DEC"/>
    <w:rsid w:val="001E22DC"/>
    <w:rsid w:val="001E3044"/>
    <w:rsid w:val="001E3B0B"/>
    <w:rsid w:val="001E407E"/>
    <w:rsid w:val="001E6219"/>
    <w:rsid w:val="001E7236"/>
    <w:rsid w:val="001F142F"/>
    <w:rsid w:val="001F1F6F"/>
    <w:rsid w:val="001F21EB"/>
    <w:rsid w:val="001F2EAB"/>
    <w:rsid w:val="001F46FA"/>
    <w:rsid w:val="001F5C20"/>
    <w:rsid w:val="001F6094"/>
    <w:rsid w:val="001F642A"/>
    <w:rsid w:val="001F7D8F"/>
    <w:rsid w:val="002000BD"/>
    <w:rsid w:val="00200278"/>
    <w:rsid w:val="0020064A"/>
    <w:rsid w:val="00200874"/>
    <w:rsid w:val="00200B1C"/>
    <w:rsid w:val="00200F80"/>
    <w:rsid w:val="002015E5"/>
    <w:rsid w:val="00201B20"/>
    <w:rsid w:val="00202A4C"/>
    <w:rsid w:val="00204703"/>
    <w:rsid w:val="002047A4"/>
    <w:rsid w:val="00204B62"/>
    <w:rsid w:val="00204EC7"/>
    <w:rsid w:val="0020696A"/>
    <w:rsid w:val="00206B25"/>
    <w:rsid w:val="00210CC9"/>
    <w:rsid w:val="00210DEE"/>
    <w:rsid w:val="00214B08"/>
    <w:rsid w:val="00214E2C"/>
    <w:rsid w:val="00217830"/>
    <w:rsid w:val="00220D2D"/>
    <w:rsid w:val="00221DDE"/>
    <w:rsid w:val="00222824"/>
    <w:rsid w:val="00224893"/>
    <w:rsid w:val="00225909"/>
    <w:rsid w:val="00225B29"/>
    <w:rsid w:val="002262C6"/>
    <w:rsid w:val="002271C9"/>
    <w:rsid w:val="00227C7A"/>
    <w:rsid w:val="00231627"/>
    <w:rsid w:val="00231A3A"/>
    <w:rsid w:val="0023203E"/>
    <w:rsid w:val="00232ED6"/>
    <w:rsid w:val="00232F68"/>
    <w:rsid w:val="0023310B"/>
    <w:rsid w:val="0023473D"/>
    <w:rsid w:val="00235793"/>
    <w:rsid w:val="002357E4"/>
    <w:rsid w:val="00236477"/>
    <w:rsid w:val="00236C7B"/>
    <w:rsid w:val="002372EE"/>
    <w:rsid w:val="00241116"/>
    <w:rsid w:val="00241133"/>
    <w:rsid w:val="00241484"/>
    <w:rsid w:val="00242775"/>
    <w:rsid w:val="0024428C"/>
    <w:rsid w:val="00250117"/>
    <w:rsid w:val="002515B2"/>
    <w:rsid w:val="002517FD"/>
    <w:rsid w:val="002525BD"/>
    <w:rsid w:val="0025278A"/>
    <w:rsid w:val="00254420"/>
    <w:rsid w:val="002551C8"/>
    <w:rsid w:val="00255D3D"/>
    <w:rsid w:val="00255F28"/>
    <w:rsid w:val="002561AF"/>
    <w:rsid w:val="00256F4E"/>
    <w:rsid w:val="00260786"/>
    <w:rsid w:val="002609E6"/>
    <w:rsid w:val="00261048"/>
    <w:rsid w:val="0026443A"/>
    <w:rsid w:val="00265761"/>
    <w:rsid w:val="002659B7"/>
    <w:rsid w:val="002660A6"/>
    <w:rsid w:val="002674C4"/>
    <w:rsid w:val="00271EF3"/>
    <w:rsid w:val="002734AF"/>
    <w:rsid w:val="0027422D"/>
    <w:rsid w:val="0027514D"/>
    <w:rsid w:val="00275653"/>
    <w:rsid w:val="00276491"/>
    <w:rsid w:val="00276C72"/>
    <w:rsid w:val="002776B0"/>
    <w:rsid w:val="00280CC3"/>
    <w:rsid w:val="00281306"/>
    <w:rsid w:val="002843C8"/>
    <w:rsid w:val="00285566"/>
    <w:rsid w:val="00287C7F"/>
    <w:rsid w:val="00287E67"/>
    <w:rsid w:val="00287EB1"/>
    <w:rsid w:val="0029065B"/>
    <w:rsid w:val="002906ED"/>
    <w:rsid w:val="00291368"/>
    <w:rsid w:val="00292B88"/>
    <w:rsid w:val="002933B5"/>
    <w:rsid w:val="00293C00"/>
    <w:rsid w:val="00294E26"/>
    <w:rsid w:val="00294F09"/>
    <w:rsid w:val="002971AA"/>
    <w:rsid w:val="002973B0"/>
    <w:rsid w:val="002A24B7"/>
    <w:rsid w:val="002A2A06"/>
    <w:rsid w:val="002A2C04"/>
    <w:rsid w:val="002A41D6"/>
    <w:rsid w:val="002A66A7"/>
    <w:rsid w:val="002A6764"/>
    <w:rsid w:val="002A7237"/>
    <w:rsid w:val="002B103C"/>
    <w:rsid w:val="002B2827"/>
    <w:rsid w:val="002B2BDC"/>
    <w:rsid w:val="002B36F1"/>
    <w:rsid w:val="002B389A"/>
    <w:rsid w:val="002B414E"/>
    <w:rsid w:val="002B4448"/>
    <w:rsid w:val="002B46A8"/>
    <w:rsid w:val="002B47ED"/>
    <w:rsid w:val="002B5172"/>
    <w:rsid w:val="002B57D4"/>
    <w:rsid w:val="002B6954"/>
    <w:rsid w:val="002B7A50"/>
    <w:rsid w:val="002C201C"/>
    <w:rsid w:val="002C2085"/>
    <w:rsid w:val="002C24AA"/>
    <w:rsid w:val="002C3192"/>
    <w:rsid w:val="002C3BE6"/>
    <w:rsid w:val="002C4A42"/>
    <w:rsid w:val="002C55F6"/>
    <w:rsid w:val="002C56EA"/>
    <w:rsid w:val="002C6392"/>
    <w:rsid w:val="002C6971"/>
    <w:rsid w:val="002C6D07"/>
    <w:rsid w:val="002C7528"/>
    <w:rsid w:val="002D013A"/>
    <w:rsid w:val="002D025D"/>
    <w:rsid w:val="002D1148"/>
    <w:rsid w:val="002D1CD6"/>
    <w:rsid w:val="002D2AE4"/>
    <w:rsid w:val="002D344F"/>
    <w:rsid w:val="002D3AF7"/>
    <w:rsid w:val="002D3B05"/>
    <w:rsid w:val="002D4551"/>
    <w:rsid w:val="002D52FB"/>
    <w:rsid w:val="002D5EF2"/>
    <w:rsid w:val="002E03EB"/>
    <w:rsid w:val="002E0EBC"/>
    <w:rsid w:val="002E0F5D"/>
    <w:rsid w:val="002E35DE"/>
    <w:rsid w:val="002E6E52"/>
    <w:rsid w:val="002F0CFC"/>
    <w:rsid w:val="002F110B"/>
    <w:rsid w:val="002F1AEF"/>
    <w:rsid w:val="002F1D3D"/>
    <w:rsid w:val="002F2A61"/>
    <w:rsid w:val="002F405F"/>
    <w:rsid w:val="002F4AE1"/>
    <w:rsid w:val="002F4F1F"/>
    <w:rsid w:val="002F56D2"/>
    <w:rsid w:val="002F70E4"/>
    <w:rsid w:val="003009F1"/>
    <w:rsid w:val="003012EA"/>
    <w:rsid w:val="003015D0"/>
    <w:rsid w:val="0030213A"/>
    <w:rsid w:val="003025D9"/>
    <w:rsid w:val="00307423"/>
    <w:rsid w:val="003079B0"/>
    <w:rsid w:val="003079C4"/>
    <w:rsid w:val="00310CB5"/>
    <w:rsid w:val="00313355"/>
    <w:rsid w:val="0031352D"/>
    <w:rsid w:val="003149A2"/>
    <w:rsid w:val="00314E7E"/>
    <w:rsid w:val="0031506D"/>
    <w:rsid w:val="003158DA"/>
    <w:rsid w:val="00315A40"/>
    <w:rsid w:val="00315B76"/>
    <w:rsid w:val="00315D60"/>
    <w:rsid w:val="00316713"/>
    <w:rsid w:val="00316ED0"/>
    <w:rsid w:val="00316F1F"/>
    <w:rsid w:val="00316F98"/>
    <w:rsid w:val="00317535"/>
    <w:rsid w:val="00321A6A"/>
    <w:rsid w:val="00321FA4"/>
    <w:rsid w:val="0032298A"/>
    <w:rsid w:val="00324665"/>
    <w:rsid w:val="00324DC2"/>
    <w:rsid w:val="00325084"/>
    <w:rsid w:val="00325B0F"/>
    <w:rsid w:val="00326597"/>
    <w:rsid w:val="0032688C"/>
    <w:rsid w:val="0033287F"/>
    <w:rsid w:val="00333A99"/>
    <w:rsid w:val="003344AC"/>
    <w:rsid w:val="00334B23"/>
    <w:rsid w:val="00336B96"/>
    <w:rsid w:val="003403B6"/>
    <w:rsid w:val="00341F7E"/>
    <w:rsid w:val="00342B83"/>
    <w:rsid w:val="00342D37"/>
    <w:rsid w:val="00342FA8"/>
    <w:rsid w:val="003433BD"/>
    <w:rsid w:val="003436F1"/>
    <w:rsid w:val="003439A0"/>
    <w:rsid w:val="0034481A"/>
    <w:rsid w:val="00345F3D"/>
    <w:rsid w:val="003461A1"/>
    <w:rsid w:val="0034663F"/>
    <w:rsid w:val="00346D33"/>
    <w:rsid w:val="00346D4B"/>
    <w:rsid w:val="00350DE5"/>
    <w:rsid w:val="00350EE9"/>
    <w:rsid w:val="0035314E"/>
    <w:rsid w:val="0035401E"/>
    <w:rsid w:val="0035403C"/>
    <w:rsid w:val="0035408F"/>
    <w:rsid w:val="003546A8"/>
    <w:rsid w:val="00354716"/>
    <w:rsid w:val="003548DF"/>
    <w:rsid w:val="00355C15"/>
    <w:rsid w:val="00355E4D"/>
    <w:rsid w:val="0035624B"/>
    <w:rsid w:val="00356CB6"/>
    <w:rsid w:val="00356D04"/>
    <w:rsid w:val="003574AF"/>
    <w:rsid w:val="0036050C"/>
    <w:rsid w:val="00360D15"/>
    <w:rsid w:val="003641A9"/>
    <w:rsid w:val="0036454D"/>
    <w:rsid w:val="00364945"/>
    <w:rsid w:val="00364B29"/>
    <w:rsid w:val="00365501"/>
    <w:rsid w:val="003664FD"/>
    <w:rsid w:val="00366A20"/>
    <w:rsid w:val="00366A90"/>
    <w:rsid w:val="00367793"/>
    <w:rsid w:val="00367838"/>
    <w:rsid w:val="00367DEF"/>
    <w:rsid w:val="00367E3C"/>
    <w:rsid w:val="003704A6"/>
    <w:rsid w:val="0037063E"/>
    <w:rsid w:val="00370A10"/>
    <w:rsid w:val="00370A8F"/>
    <w:rsid w:val="00370C00"/>
    <w:rsid w:val="00374B5C"/>
    <w:rsid w:val="0037583A"/>
    <w:rsid w:val="00375E84"/>
    <w:rsid w:val="0037625F"/>
    <w:rsid w:val="00376883"/>
    <w:rsid w:val="00377540"/>
    <w:rsid w:val="00380100"/>
    <w:rsid w:val="003808B7"/>
    <w:rsid w:val="003810E5"/>
    <w:rsid w:val="00381BF6"/>
    <w:rsid w:val="00382158"/>
    <w:rsid w:val="003822BB"/>
    <w:rsid w:val="00382472"/>
    <w:rsid w:val="0038261D"/>
    <w:rsid w:val="00382A5C"/>
    <w:rsid w:val="00384C14"/>
    <w:rsid w:val="003858E1"/>
    <w:rsid w:val="0038677B"/>
    <w:rsid w:val="003872D1"/>
    <w:rsid w:val="00387CBF"/>
    <w:rsid w:val="003920BA"/>
    <w:rsid w:val="00392C6F"/>
    <w:rsid w:val="00392F00"/>
    <w:rsid w:val="00393869"/>
    <w:rsid w:val="00393BF4"/>
    <w:rsid w:val="0039480D"/>
    <w:rsid w:val="00394FA0"/>
    <w:rsid w:val="00395F7C"/>
    <w:rsid w:val="0039796B"/>
    <w:rsid w:val="00397C64"/>
    <w:rsid w:val="003A192C"/>
    <w:rsid w:val="003A38F3"/>
    <w:rsid w:val="003A4A7B"/>
    <w:rsid w:val="003A4CFD"/>
    <w:rsid w:val="003A539C"/>
    <w:rsid w:val="003A638C"/>
    <w:rsid w:val="003A6896"/>
    <w:rsid w:val="003A75B4"/>
    <w:rsid w:val="003A7E14"/>
    <w:rsid w:val="003B0195"/>
    <w:rsid w:val="003B09B7"/>
    <w:rsid w:val="003B2A09"/>
    <w:rsid w:val="003B34ED"/>
    <w:rsid w:val="003B3800"/>
    <w:rsid w:val="003B4218"/>
    <w:rsid w:val="003B447C"/>
    <w:rsid w:val="003B4AC9"/>
    <w:rsid w:val="003B558A"/>
    <w:rsid w:val="003B61F2"/>
    <w:rsid w:val="003B684D"/>
    <w:rsid w:val="003B7211"/>
    <w:rsid w:val="003C0694"/>
    <w:rsid w:val="003C0960"/>
    <w:rsid w:val="003C0E4A"/>
    <w:rsid w:val="003C1099"/>
    <w:rsid w:val="003C195E"/>
    <w:rsid w:val="003C1A27"/>
    <w:rsid w:val="003C2414"/>
    <w:rsid w:val="003C2C4C"/>
    <w:rsid w:val="003C3124"/>
    <w:rsid w:val="003C3409"/>
    <w:rsid w:val="003C4ACA"/>
    <w:rsid w:val="003D0012"/>
    <w:rsid w:val="003D2B6E"/>
    <w:rsid w:val="003D4B2A"/>
    <w:rsid w:val="003D4B77"/>
    <w:rsid w:val="003D4DDC"/>
    <w:rsid w:val="003D54AF"/>
    <w:rsid w:val="003D7198"/>
    <w:rsid w:val="003E0095"/>
    <w:rsid w:val="003E03B4"/>
    <w:rsid w:val="003E053B"/>
    <w:rsid w:val="003E09CF"/>
    <w:rsid w:val="003E35F3"/>
    <w:rsid w:val="003E4B8A"/>
    <w:rsid w:val="003E6094"/>
    <w:rsid w:val="003E6E46"/>
    <w:rsid w:val="003E6F90"/>
    <w:rsid w:val="003E7EF6"/>
    <w:rsid w:val="003F0EA8"/>
    <w:rsid w:val="003F13DB"/>
    <w:rsid w:val="003F18DE"/>
    <w:rsid w:val="003F2A71"/>
    <w:rsid w:val="003F2EB5"/>
    <w:rsid w:val="003F30BF"/>
    <w:rsid w:val="003F30FD"/>
    <w:rsid w:val="003F5770"/>
    <w:rsid w:val="00400A42"/>
    <w:rsid w:val="00400BB5"/>
    <w:rsid w:val="00400EE2"/>
    <w:rsid w:val="00401803"/>
    <w:rsid w:val="00401BB3"/>
    <w:rsid w:val="00402519"/>
    <w:rsid w:val="004042A4"/>
    <w:rsid w:val="00404671"/>
    <w:rsid w:val="00404C64"/>
    <w:rsid w:val="00404E91"/>
    <w:rsid w:val="00405A4C"/>
    <w:rsid w:val="00406646"/>
    <w:rsid w:val="00406B7D"/>
    <w:rsid w:val="0040712A"/>
    <w:rsid w:val="0041061A"/>
    <w:rsid w:val="00411722"/>
    <w:rsid w:val="004141F3"/>
    <w:rsid w:val="0041473F"/>
    <w:rsid w:val="00414DF4"/>
    <w:rsid w:val="0041614D"/>
    <w:rsid w:val="0041689A"/>
    <w:rsid w:val="00417A81"/>
    <w:rsid w:val="00420BDE"/>
    <w:rsid w:val="00420C41"/>
    <w:rsid w:val="004217A7"/>
    <w:rsid w:val="00421EA8"/>
    <w:rsid w:val="00422254"/>
    <w:rsid w:val="00422FDC"/>
    <w:rsid w:val="0042571B"/>
    <w:rsid w:val="00426C29"/>
    <w:rsid w:val="00430986"/>
    <w:rsid w:val="00430B0D"/>
    <w:rsid w:val="00431DA2"/>
    <w:rsid w:val="00431DB9"/>
    <w:rsid w:val="00432BC9"/>
    <w:rsid w:val="00432CFE"/>
    <w:rsid w:val="00433EC6"/>
    <w:rsid w:val="00434D85"/>
    <w:rsid w:val="004362D2"/>
    <w:rsid w:val="004363B6"/>
    <w:rsid w:val="004363BA"/>
    <w:rsid w:val="0043686F"/>
    <w:rsid w:val="00436BBB"/>
    <w:rsid w:val="004376B9"/>
    <w:rsid w:val="00440EA2"/>
    <w:rsid w:val="00441F9D"/>
    <w:rsid w:val="00442564"/>
    <w:rsid w:val="004430E8"/>
    <w:rsid w:val="004469CA"/>
    <w:rsid w:val="0044703B"/>
    <w:rsid w:val="00447776"/>
    <w:rsid w:val="004500C6"/>
    <w:rsid w:val="004501EE"/>
    <w:rsid w:val="004508B5"/>
    <w:rsid w:val="00450DD0"/>
    <w:rsid w:val="00452A8B"/>
    <w:rsid w:val="00452F68"/>
    <w:rsid w:val="00453DE5"/>
    <w:rsid w:val="00454487"/>
    <w:rsid w:val="0045699B"/>
    <w:rsid w:val="00461219"/>
    <w:rsid w:val="00461B67"/>
    <w:rsid w:val="00461C32"/>
    <w:rsid w:val="004625AB"/>
    <w:rsid w:val="00463574"/>
    <w:rsid w:val="00465F53"/>
    <w:rsid w:val="00466623"/>
    <w:rsid w:val="00467509"/>
    <w:rsid w:val="004705D4"/>
    <w:rsid w:val="0047073E"/>
    <w:rsid w:val="00470AD2"/>
    <w:rsid w:val="00472F3D"/>
    <w:rsid w:val="004773DA"/>
    <w:rsid w:val="00477F5E"/>
    <w:rsid w:val="004803C0"/>
    <w:rsid w:val="004819B2"/>
    <w:rsid w:val="00481A70"/>
    <w:rsid w:val="00481C64"/>
    <w:rsid w:val="00481D99"/>
    <w:rsid w:val="00482B49"/>
    <w:rsid w:val="00483E84"/>
    <w:rsid w:val="00483F94"/>
    <w:rsid w:val="00484348"/>
    <w:rsid w:val="00485085"/>
    <w:rsid w:val="004854B8"/>
    <w:rsid w:val="00485AF8"/>
    <w:rsid w:val="004862CD"/>
    <w:rsid w:val="00486B46"/>
    <w:rsid w:val="00490660"/>
    <w:rsid w:val="00491865"/>
    <w:rsid w:val="00491FC9"/>
    <w:rsid w:val="004922B6"/>
    <w:rsid w:val="00492F13"/>
    <w:rsid w:val="00493C64"/>
    <w:rsid w:val="00494AE5"/>
    <w:rsid w:val="00496107"/>
    <w:rsid w:val="004970A2"/>
    <w:rsid w:val="004A26CF"/>
    <w:rsid w:val="004A4817"/>
    <w:rsid w:val="004A5C71"/>
    <w:rsid w:val="004A5D82"/>
    <w:rsid w:val="004A6517"/>
    <w:rsid w:val="004B1266"/>
    <w:rsid w:val="004B1C19"/>
    <w:rsid w:val="004B2BC4"/>
    <w:rsid w:val="004B2C20"/>
    <w:rsid w:val="004B3298"/>
    <w:rsid w:val="004B3F74"/>
    <w:rsid w:val="004B4300"/>
    <w:rsid w:val="004B540E"/>
    <w:rsid w:val="004B5A75"/>
    <w:rsid w:val="004C0E4B"/>
    <w:rsid w:val="004C2423"/>
    <w:rsid w:val="004C2517"/>
    <w:rsid w:val="004C3073"/>
    <w:rsid w:val="004C37B6"/>
    <w:rsid w:val="004C4403"/>
    <w:rsid w:val="004C4583"/>
    <w:rsid w:val="004C4AF4"/>
    <w:rsid w:val="004C6E5F"/>
    <w:rsid w:val="004C6FF7"/>
    <w:rsid w:val="004C713D"/>
    <w:rsid w:val="004C7610"/>
    <w:rsid w:val="004D01B8"/>
    <w:rsid w:val="004D20FC"/>
    <w:rsid w:val="004D2BD9"/>
    <w:rsid w:val="004D3DA9"/>
    <w:rsid w:val="004D3F74"/>
    <w:rsid w:val="004D4B13"/>
    <w:rsid w:val="004D5629"/>
    <w:rsid w:val="004D6E5A"/>
    <w:rsid w:val="004E22F2"/>
    <w:rsid w:val="004E3F40"/>
    <w:rsid w:val="004E413B"/>
    <w:rsid w:val="004E46EC"/>
    <w:rsid w:val="004E4F82"/>
    <w:rsid w:val="004E6502"/>
    <w:rsid w:val="004E78B0"/>
    <w:rsid w:val="004F026B"/>
    <w:rsid w:val="004F1970"/>
    <w:rsid w:val="004F19AE"/>
    <w:rsid w:val="004F21DA"/>
    <w:rsid w:val="004F2299"/>
    <w:rsid w:val="004F2BB4"/>
    <w:rsid w:val="004F31B3"/>
    <w:rsid w:val="004F38C1"/>
    <w:rsid w:val="004F64A0"/>
    <w:rsid w:val="004F6516"/>
    <w:rsid w:val="004F6636"/>
    <w:rsid w:val="004F6949"/>
    <w:rsid w:val="004F6EF8"/>
    <w:rsid w:val="004F7359"/>
    <w:rsid w:val="004F7689"/>
    <w:rsid w:val="004F7E33"/>
    <w:rsid w:val="004F7E87"/>
    <w:rsid w:val="00500374"/>
    <w:rsid w:val="005004CA"/>
    <w:rsid w:val="00501766"/>
    <w:rsid w:val="005037A1"/>
    <w:rsid w:val="00503A91"/>
    <w:rsid w:val="0050501F"/>
    <w:rsid w:val="00505F29"/>
    <w:rsid w:val="00506116"/>
    <w:rsid w:val="005105DE"/>
    <w:rsid w:val="00510CA5"/>
    <w:rsid w:val="00513024"/>
    <w:rsid w:val="00513244"/>
    <w:rsid w:val="00513276"/>
    <w:rsid w:val="0051364E"/>
    <w:rsid w:val="00513710"/>
    <w:rsid w:val="00513BAA"/>
    <w:rsid w:val="00514D5B"/>
    <w:rsid w:val="005179B5"/>
    <w:rsid w:val="00517ABE"/>
    <w:rsid w:val="00520FEF"/>
    <w:rsid w:val="005229A8"/>
    <w:rsid w:val="00523517"/>
    <w:rsid w:val="00524A16"/>
    <w:rsid w:val="00524F8E"/>
    <w:rsid w:val="00524FDD"/>
    <w:rsid w:val="005251C1"/>
    <w:rsid w:val="00525913"/>
    <w:rsid w:val="0053270B"/>
    <w:rsid w:val="0053306A"/>
    <w:rsid w:val="0053308F"/>
    <w:rsid w:val="00536378"/>
    <w:rsid w:val="005377E7"/>
    <w:rsid w:val="00537E54"/>
    <w:rsid w:val="00540F68"/>
    <w:rsid w:val="00541715"/>
    <w:rsid w:val="00541F56"/>
    <w:rsid w:val="00542660"/>
    <w:rsid w:val="00543857"/>
    <w:rsid w:val="00545E70"/>
    <w:rsid w:val="00545FCF"/>
    <w:rsid w:val="005464F8"/>
    <w:rsid w:val="00546530"/>
    <w:rsid w:val="0055020A"/>
    <w:rsid w:val="0055207A"/>
    <w:rsid w:val="00553225"/>
    <w:rsid w:val="005532EB"/>
    <w:rsid w:val="005539BF"/>
    <w:rsid w:val="00554A8F"/>
    <w:rsid w:val="00555069"/>
    <w:rsid w:val="005555BA"/>
    <w:rsid w:val="00555BF5"/>
    <w:rsid w:val="00557E96"/>
    <w:rsid w:val="00557EF3"/>
    <w:rsid w:val="00560B49"/>
    <w:rsid w:val="00560ED9"/>
    <w:rsid w:val="00561395"/>
    <w:rsid w:val="00561C31"/>
    <w:rsid w:val="005625F6"/>
    <w:rsid w:val="00565AE9"/>
    <w:rsid w:val="00565B3B"/>
    <w:rsid w:val="0056696E"/>
    <w:rsid w:val="00566B87"/>
    <w:rsid w:val="005674FE"/>
    <w:rsid w:val="00570140"/>
    <w:rsid w:val="00570273"/>
    <w:rsid w:val="005718B8"/>
    <w:rsid w:val="005722D5"/>
    <w:rsid w:val="00572854"/>
    <w:rsid w:val="0057372F"/>
    <w:rsid w:val="00574108"/>
    <w:rsid w:val="0057427D"/>
    <w:rsid w:val="00575243"/>
    <w:rsid w:val="00576B17"/>
    <w:rsid w:val="0057713B"/>
    <w:rsid w:val="0057721F"/>
    <w:rsid w:val="00577361"/>
    <w:rsid w:val="00580C48"/>
    <w:rsid w:val="005811C8"/>
    <w:rsid w:val="00581B90"/>
    <w:rsid w:val="00583DDC"/>
    <w:rsid w:val="00583EF5"/>
    <w:rsid w:val="005845C0"/>
    <w:rsid w:val="0058486B"/>
    <w:rsid w:val="005858CC"/>
    <w:rsid w:val="00585AC9"/>
    <w:rsid w:val="00585D58"/>
    <w:rsid w:val="00585E06"/>
    <w:rsid w:val="00586CAA"/>
    <w:rsid w:val="0058789A"/>
    <w:rsid w:val="005937C0"/>
    <w:rsid w:val="005943A2"/>
    <w:rsid w:val="0059472C"/>
    <w:rsid w:val="005949E1"/>
    <w:rsid w:val="00594DF8"/>
    <w:rsid w:val="0059517F"/>
    <w:rsid w:val="00595264"/>
    <w:rsid w:val="00595830"/>
    <w:rsid w:val="00596753"/>
    <w:rsid w:val="0059738D"/>
    <w:rsid w:val="0059744A"/>
    <w:rsid w:val="00597532"/>
    <w:rsid w:val="005A0CC8"/>
    <w:rsid w:val="005A18E6"/>
    <w:rsid w:val="005A1C84"/>
    <w:rsid w:val="005A1D81"/>
    <w:rsid w:val="005A20A9"/>
    <w:rsid w:val="005A32C3"/>
    <w:rsid w:val="005A3E16"/>
    <w:rsid w:val="005A3E31"/>
    <w:rsid w:val="005A5FB1"/>
    <w:rsid w:val="005A6671"/>
    <w:rsid w:val="005A6FAB"/>
    <w:rsid w:val="005A706A"/>
    <w:rsid w:val="005B21A2"/>
    <w:rsid w:val="005B24EA"/>
    <w:rsid w:val="005B2FE3"/>
    <w:rsid w:val="005B3AFE"/>
    <w:rsid w:val="005B3D0F"/>
    <w:rsid w:val="005B3D6F"/>
    <w:rsid w:val="005B4BB0"/>
    <w:rsid w:val="005B58BB"/>
    <w:rsid w:val="005B60A8"/>
    <w:rsid w:val="005B6EE5"/>
    <w:rsid w:val="005B736A"/>
    <w:rsid w:val="005B75F5"/>
    <w:rsid w:val="005C0122"/>
    <w:rsid w:val="005C03E5"/>
    <w:rsid w:val="005C047B"/>
    <w:rsid w:val="005C2BCF"/>
    <w:rsid w:val="005C2FBE"/>
    <w:rsid w:val="005C374D"/>
    <w:rsid w:val="005C54C3"/>
    <w:rsid w:val="005C56E6"/>
    <w:rsid w:val="005C728A"/>
    <w:rsid w:val="005D1881"/>
    <w:rsid w:val="005D2AD3"/>
    <w:rsid w:val="005D3205"/>
    <w:rsid w:val="005D3C53"/>
    <w:rsid w:val="005D3F21"/>
    <w:rsid w:val="005D4399"/>
    <w:rsid w:val="005D4AC6"/>
    <w:rsid w:val="005D4D23"/>
    <w:rsid w:val="005D4E69"/>
    <w:rsid w:val="005D5337"/>
    <w:rsid w:val="005D708E"/>
    <w:rsid w:val="005D7127"/>
    <w:rsid w:val="005D7861"/>
    <w:rsid w:val="005D7E86"/>
    <w:rsid w:val="005E0F38"/>
    <w:rsid w:val="005E2752"/>
    <w:rsid w:val="005E39B2"/>
    <w:rsid w:val="005E412A"/>
    <w:rsid w:val="005E41A2"/>
    <w:rsid w:val="005E604B"/>
    <w:rsid w:val="005E6F76"/>
    <w:rsid w:val="005E7BCE"/>
    <w:rsid w:val="005E7D0E"/>
    <w:rsid w:val="005E7E1D"/>
    <w:rsid w:val="005F0730"/>
    <w:rsid w:val="005F15DA"/>
    <w:rsid w:val="005F1E57"/>
    <w:rsid w:val="005F3396"/>
    <w:rsid w:val="005F3410"/>
    <w:rsid w:val="005F43BD"/>
    <w:rsid w:val="005F5151"/>
    <w:rsid w:val="005F5327"/>
    <w:rsid w:val="005F55E8"/>
    <w:rsid w:val="005F707C"/>
    <w:rsid w:val="00601587"/>
    <w:rsid w:val="00602A00"/>
    <w:rsid w:val="00602ECC"/>
    <w:rsid w:val="00603080"/>
    <w:rsid w:val="00604176"/>
    <w:rsid w:val="006056FF"/>
    <w:rsid w:val="006059DD"/>
    <w:rsid w:val="006061B9"/>
    <w:rsid w:val="006108D9"/>
    <w:rsid w:val="00611722"/>
    <w:rsid w:val="00612419"/>
    <w:rsid w:val="00612496"/>
    <w:rsid w:val="00612636"/>
    <w:rsid w:val="00613A10"/>
    <w:rsid w:val="00614B91"/>
    <w:rsid w:val="00615001"/>
    <w:rsid w:val="00615E9D"/>
    <w:rsid w:val="00617B1A"/>
    <w:rsid w:val="006210A8"/>
    <w:rsid w:val="00622579"/>
    <w:rsid w:val="00622C55"/>
    <w:rsid w:val="00623C18"/>
    <w:rsid w:val="00624785"/>
    <w:rsid w:val="00625B82"/>
    <w:rsid w:val="00626C41"/>
    <w:rsid w:val="00631404"/>
    <w:rsid w:val="00631E0A"/>
    <w:rsid w:val="00632E26"/>
    <w:rsid w:val="00633A7D"/>
    <w:rsid w:val="00634A47"/>
    <w:rsid w:val="00635546"/>
    <w:rsid w:val="00636A4D"/>
    <w:rsid w:val="006373A9"/>
    <w:rsid w:val="00637AF3"/>
    <w:rsid w:val="006405CE"/>
    <w:rsid w:val="00640ECD"/>
    <w:rsid w:val="00641646"/>
    <w:rsid w:val="00641970"/>
    <w:rsid w:val="0064230D"/>
    <w:rsid w:val="00643695"/>
    <w:rsid w:val="00644530"/>
    <w:rsid w:val="00644E30"/>
    <w:rsid w:val="00645CF4"/>
    <w:rsid w:val="006465EF"/>
    <w:rsid w:val="0064791E"/>
    <w:rsid w:val="00651790"/>
    <w:rsid w:val="00652839"/>
    <w:rsid w:val="0065336D"/>
    <w:rsid w:val="0065379A"/>
    <w:rsid w:val="0065388E"/>
    <w:rsid w:val="006552EF"/>
    <w:rsid w:val="0065565F"/>
    <w:rsid w:val="00655F7E"/>
    <w:rsid w:val="006616C0"/>
    <w:rsid w:val="00661F1F"/>
    <w:rsid w:val="00662082"/>
    <w:rsid w:val="00664287"/>
    <w:rsid w:val="00664458"/>
    <w:rsid w:val="006650B3"/>
    <w:rsid w:val="00665843"/>
    <w:rsid w:val="00665E06"/>
    <w:rsid w:val="00666451"/>
    <w:rsid w:val="006667A6"/>
    <w:rsid w:val="00667155"/>
    <w:rsid w:val="00667291"/>
    <w:rsid w:val="00667BA6"/>
    <w:rsid w:val="00671E04"/>
    <w:rsid w:val="006730AE"/>
    <w:rsid w:val="00673186"/>
    <w:rsid w:val="006731E4"/>
    <w:rsid w:val="00673356"/>
    <w:rsid w:val="00673534"/>
    <w:rsid w:val="0067357A"/>
    <w:rsid w:val="00673BE0"/>
    <w:rsid w:val="00676473"/>
    <w:rsid w:val="00676DAB"/>
    <w:rsid w:val="00677726"/>
    <w:rsid w:val="00677C0A"/>
    <w:rsid w:val="00680F4E"/>
    <w:rsid w:val="00681B43"/>
    <w:rsid w:val="00683FD2"/>
    <w:rsid w:val="0068501A"/>
    <w:rsid w:val="00685435"/>
    <w:rsid w:val="006859EB"/>
    <w:rsid w:val="00685C55"/>
    <w:rsid w:val="0068619F"/>
    <w:rsid w:val="00686742"/>
    <w:rsid w:val="006867CD"/>
    <w:rsid w:val="00687052"/>
    <w:rsid w:val="006915B2"/>
    <w:rsid w:val="006935C9"/>
    <w:rsid w:val="0069388F"/>
    <w:rsid w:val="006943D8"/>
    <w:rsid w:val="0069538C"/>
    <w:rsid w:val="00696047"/>
    <w:rsid w:val="006973A0"/>
    <w:rsid w:val="00697A79"/>
    <w:rsid w:val="006A05FD"/>
    <w:rsid w:val="006A0872"/>
    <w:rsid w:val="006A0A55"/>
    <w:rsid w:val="006A0E81"/>
    <w:rsid w:val="006A2097"/>
    <w:rsid w:val="006A2438"/>
    <w:rsid w:val="006A3BA2"/>
    <w:rsid w:val="006A447A"/>
    <w:rsid w:val="006A4590"/>
    <w:rsid w:val="006A5000"/>
    <w:rsid w:val="006A7205"/>
    <w:rsid w:val="006B0C37"/>
    <w:rsid w:val="006B1BDE"/>
    <w:rsid w:val="006B1FA6"/>
    <w:rsid w:val="006B35B7"/>
    <w:rsid w:val="006B3695"/>
    <w:rsid w:val="006B490A"/>
    <w:rsid w:val="006B4AE2"/>
    <w:rsid w:val="006B5511"/>
    <w:rsid w:val="006B55DF"/>
    <w:rsid w:val="006B5EA9"/>
    <w:rsid w:val="006B5FDC"/>
    <w:rsid w:val="006B6357"/>
    <w:rsid w:val="006B6527"/>
    <w:rsid w:val="006B6CDA"/>
    <w:rsid w:val="006B70F4"/>
    <w:rsid w:val="006B7742"/>
    <w:rsid w:val="006C029B"/>
    <w:rsid w:val="006C1116"/>
    <w:rsid w:val="006C1318"/>
    <w:rsid w:val="006C1388"/>
    <w:rsid w:val="006C13A3"/>
    <w:rsid w:val="006C157E"/>
    <w:rsid w:val="006C3721"/>
    <w:rsid w:val="006C3E4B"/>
    <w:rsid w:val="006C4C7A"/>
    <w:rsid w:val="006C6FFF"/>
    <w:rsid w:val="006C7D60"/>
    <w:rsid w:val="006D0B41"/>
    <w:rsid w:val="006D1F38"/>
    <w:rsid w:val="006D2391"/>
    <w:rsid w:val="006D2BDF"/>
    <w:rsid w:val="006D416B"/>
    <w:rsid w:val="006D469C"/>
    <w:rsid w:val="006D46CD"/>
    <w:rsid w:val="006D5FA8"/>
    <w:rsid w:val="006E0A05"/>
    <w:rsid w:val="006E1056"/>
    <w:rsid w:val="006E14F4"/>
    <w:rsid w:val="006E2794"/>
    <w:rsid w:val="006E2E62"/>
    <w:rsid w:val="006E311A"/>
    <w:rsid w:val="006E4F0C"/>
    <w:rsid w:val="006E4F80"/>
    <w:rsid w:val="006E55B3"/>
    <w:rsid w:val="006E55D5"/>
    <w:rsid w:val="006E58A2"/>
    <w:rsid w:val="006E5E0D"/>
    <w:rsid w:val="006E6241"/>
    <w:rsid w:val="006E67E2"/>
    <w:rsid w:val="006E6D22"/>
    <w:rsid w:val="006F0573"/>
    <w:rsid w:val="006F06AD"/>
    <w:rsid w:val="006F0B7E"/>
    <w:rsid w:val="006F0C24"/>
    <w:rsid w:val="006F0CBE"/>
    <w:rsid w:val="006F0D98"/>
    <w:rsid w:val="006F172A"/>
    <w:rsid w:val="006F199C"/>
    <w:rsid w:val="006F2309"/>
    <w:rsid w:val="006F23BD"/>
    <w:rsid w:val="006F3226"/>
    <w:rsid w:val="006F3612"/>
    <w:rsid w:val="006F3CF7"/>
    <w:rsid w:val="006F3D60"/>
    <w:rsid w:val="006F4D06"/>
    <w:rsid w:val="006F51DC"/>
    <w:rsid w:val="006F5A46"/>
    <w:rsid w:val="006F61D9"/>
    <w:rsid w:val="006F6B75"/>
    <w:rsid w:val="006F765F"/>
    <w:rsid w:val="007011E0"/>
    <w:rsid w:val="0070160C"/>
    <w:rsid w:val="00701B67"/>
    <w:rsid w:val="00701D10"/>
    <w:rsid w:val="007023D0"/>
    <w:rsid w:val="0070293F"/>
    <w:rsid w:val="00702DA7"/>
    <w:rsid w:val="007031D5"/>
    <w:rsid w:val="007034BB"/>
    <w:rsid w:val="00704CF8"/>
    <w:rsid w:val="00704CFE"/>
    <w:rsid w:val="0070783B"/>
    <w:rsid w:val="00707BA0"/>
    <w:rsid w:val="00712173"/>
    <w:rsid w:val="007127D5"/>
    <w:rsid w:val="00713B0F"/>
    <w:rsid w:val="00713F5D"/>
    <w:rsid w:val="00714421"/>
    <w:rsid w:val="0071514F"/>
    <w:rsid w:val="007152BB"/>
    <w:rsid w:val="0071644A"/>
    <w:rsid w:val="0071681A"/>
    <w:rsid w:val="00717D72"/>
    <w:rsid w:val="00720B6B"/>
    <w:rsid w:val="007230E0"/>
    <w:rsid w:val="007247B1"/>
    <w:rsid w:val="00725714"/>
    <w:rsid w:val="00725AA7"/>
    <w:rsid w:val="00727FFE"/>
    <w:rsid w:val="007306E2"/>
    <w:rsid w:val="007319FC"/>
    <w:rsid w:val="007329DC"/>
    <w:rsid w:val="0073316C"/>
    <w:rsid w:val="007358D0"/>
    <w:rsid w:val="00735D31"/>
    <w:rsid w:val="0073718A"/>
    <w:rsid w:val="0073779B"/>
    <w:rsid w:val="00737C28"/>
    <w:rsid w:val="00740A89"/>
    <w:rsid w:val="00740C80"/>
    <w:rsid w:val="00740D89"/>
    <w:rsid w:val="00741222"/>
    <w:rsid w:val="00741A57"/>
    <w:rsid w:val="00745D30"/>
    <w:rsid w:val="00745E3E"/>
    <w:rsid w:val="00745F7A"/>
    <w:rsid w:val="00746A93"/>
    <w:rsid w:val="0075049B"/>
    <w:rsid w:val="00752BC0"/>
    <w:rsid w:val="00753061"/>
    <w:rsid w:val="00755C6F"/>
    <w:rsid w:val="007565F8"/>
    <w:rsid w:val="007568E8"/>
    <w:rsid w:val="007568ED"/>
    <w:rsid w:val="00756BC5"/>
    <w:rsid w:val="007579EF"/>
    <w:rsid w:val="00761AF1"/>
    <w:rsid w:val="00762280"/>
    <w:rsid w:val="00762808"/>
    <w:rsid w:val="007638A4"/>
    <w:rsid w:val="00764ABF"/>
    <w:rsid w:val="007659A9"/>
    <w:rsid w:val="00766AFC"/>
    <w:rsid w:val="00773396"/>
    <w:rsid w:val="00773FB1"/>
    <w:rsid w:val="00774AB3"/>
    <w:rsid w:val="0077653F"/>
    <w:rsid w:val="00776E62"/>
    <w:rsid w:val="00777179"/>
    <w:rsid w:val="00777197"/>
    <w:rsid w:val="00777446"/>
    <w:rsid w:val="00780198"/>
    <w:rsid w:val="00780749"/>
    <w:rsid w:val="007826EC"/>
    <w:rsid w:val="00783458"/>
    <w:rsid w:val="007866A7"/>
    <w:rsid w:val="0078685F"/>
    <w:rsid w:val="00787404"/>
    <w:rsid w:val="00787511"/>
    <w:rsid w:val="00787C30"/>
    <w:rsid w:val="00790462"/>
    <w:rsid w:val="007919DC"/>
    <w:rsid w:val="00792948"/>
    <w:rsid w:val="007929AE"/>
    <w:rsid w:val="0079402F"/>
    <w:rsid w:val="0079484A"/>
    <w:rsid w:val="0079655F"/>
    <w:rsid w:val="00796970"/>
    <w:rsid w:val="007974DC"/>
    <w:rsid w:val="007A0053"/>
    <w:rsid w:val="007A0313"/>
    <w:rsid w:val="007A1A48"/>
    <w:rsid w:val="007A2D77"/>
    <w:rsid w:val="007A2F6F"/>
    <w:rsid w:val="007A404C"/>
    <w:rsid w:val="007A4068"/>
    <w:rsid w:val="007A582F"/>
    <w:rsid w:val="007A6242"/>
    <w:rsid w:val="007A7651"/>
    <w:rsid w:val="007B0F78"/>
    <w:rsid w:val="007B34F0"/>
    <w:rsid w:val="007B3762"/>
    <w:rsid w:val="007B4508"/>
    <w:rsid w:val="007B4D63"/>
    <w:rsid w:val="007B5A24"/>
    <w:rsid w:val="007B5C24"/>
    <w:rsid w:val="007B6B68"/>
    <w:rsid w:val="007C0645"/>
    <w:rsid w:val="007C06F9"/>
    <w:rsid w:val="007C0750"/>
    <w:rsid w:val="007C2630"/>
    <w:rsid w:val="007C3388"/>
    <w:rsid w:val="007C3EBF"/>
    <w:rsid w:val="007C4235"/>
    <w:rsid w:val="007C5EE9"/>
    <w:rsid w:val="007C6037"/>
    <w:rsid w:val="007C6594"/>
    <w:rsid w:val="007C67F6"/>
    <w:rsid w:val="007C7960"/>
    <w:rsid w:val="007D0189"/>
    <w:rsid w:val="007D0E28"/>
    <w:rsid w:val="007D167E"/>
    <w:rsid w:val="007D24EB"/>
    <w:rsid w:val="007D26AB"/>
    <w:rsid w:val="007D272B"/>
    <w:rsid w:val="007D3C5E"/>
    <w:rsid w:val="007D41C8"/>
    <w:rsid w:val="007D56F0"/>
    <w:rsid w:val="007D6107"/>
    <w:rsid w:val="007D655B"/>
    <w:rsid w:val="007D703D"/>
    <w:rsid w:val="007E02D9"/>
    <w:rsid w:val="007E0584"/>
    <w:rsid w:val="007E08CB"/>
    <w:rsid w:val="007E0AFF"/>
    <w:rsid w:val="007E0B74"/>
    <w:rsid w:val="007E0B83"/>
    <w:rsid w:val="007E0C48"/>
    <w:rsid w:val="007E0D82"/>
    <w:rsid w:val="007E31A9"/>
    <w:rsid w:val="007E44A8"/>
    <w:rsid w:val="007E4616"/>
    <w:rsid w:val="007E4BE0"/>
    <w:rsid w:val="007E4E24"/>
    <w:rsid w:val="007E5148"/>
    <w:rsid w:val="007E5386"/>
    <w:rsid w:val="007E7724"/>
    <w:rsid w:val="007E79DF"/>
    <w:rsid w:val="007E7FA6"/>
    <w:rsid w:val="007E7FE8"/>
    <w:rsid w:val="007F0CE3"/>
    <w:rsid w:val="007F1093"/>
    <w:rsid w:val="007F14BD"/>
    <w:rsid w:val="007F2851"/>
    <w:rsid w:val="007F2ABB"/>
    <w:rsid w:val="007F2E48"/>
    <w:rsid w:val="007F4790"/>
    <w:rsid w:val="007F5E1F"/>
    <w:rsid w:val="007F6246"/>
    <w:rsid w:val="007F6593"/>
    <w:rsid w:val="007F6DF4"/>
    <w:rsid w:val="007F7025"/>
    <w:rsid w:val="007F78D5"/>
    <w:rsid w:val="008006B7"/>
    <w:rsid w:val="008010BC"/>
    <w:rsid w:val="00801588"/>
    <w:rsid w:val="00802774"/>
    <w:rsid w:val="00802CF3"/>
    <w:rsid w:val="00802D83"/>
    <w:rsid w:val="00803808"/>
    <w:rsid w:val="00804812"/>
    <w:rsid w:val="008061AA"/>
    <w:rsid w:val="008066D3"/>
    <w:rsid w:val="0080740E"/>
    <w:rsid w:val="0081003A"/>
    <w:rsid w:val="00810739"/>
    <w:rsid w:val="00812CA6"/>
    <w:rsid w:val="00812E8F"/>
    <w:rsid w:val="008139B5"/>
    <w:rsid w:val="00813CFB"/>
    <w:rsid w:val="00815463"/>
    <w:rsid w:val="00815476"/>
    <w:rsid w:val="00815B57"/>
    <w:rsid w:val="00815E69"/>
    <w:rsid w:val="008167CC"/>
    <w:rsid w:val="008177C2"/>
    <w:rsid w:val="0082242C"/>
    <w:rsid w:val="00822B85"/>
    <w:rsid w:val="008231AF"/>
    <w:rsid w:val="0082340C"/>
    <w:rsid w:val="00823622"/>
    <w:rsid w:val="00823D8D"/>
    <w:rsid w:val="00823EBE"/>
    <w:rsid w:val="00824D74"/>
    <w:rsid w:val="00825794"/>
    <w:rsid w:val="008257C8"/>
    <w:rsid w:val="00825A4B"/>
    <w:rsid w:val="00831CFA"/>
    <w:rsid w:val="00831F4B"/>
    <w:rsid w:val="00832C74"/>
    <w:rsid w:val="00832DC2"/>
    <w:rsid w:val="008334E0"/>
    <w:rsid w:val="00834609"/>
    <w:rsid w:val="00834962"/>
    <w:rsid w:val="00835960"/>
    <w:rsid w:val="00835E3B"/>
    <w:rsid w:val="0083791A"/>
    <w:rsid w:val="0083793A"/>
    <w:rsid w:val="0084148E"/>
    <w:rsid w:val="00842017"/>
    <w:rsid w:val="00843DCA"/>
    <w:rsid w:val="00846E22"/>
    <w:rsid w:val="0084720E"/>
    <w:rsid w:val="008472C5"/>
    <w:rsid w:val="008473E6"/>
    <w:rsid w:val="00847791"/>
    <w:rsid w:val="008504B0"/>
    <w:rsid w:val="008513F9"/>
    <w:rsid w:val="00852494"/>
    <w:rsid w:val="008524E1"/>
    <w:rsid w:val="00855270"/>
    <w:rsid w:val="00860CA0"/>
    <w:rsid w:val="0086159D"/>
    <w:rsid w:val="00862B68"/>
    <w:rsid w:val="00862F06"/>
    <w:rsid w:val="00863491"/>
    <w:rsid w:val="00864E5E"/>
    <w:rsid w:val="00865872"/>
    <w:rsid w:val="0086649D"/>
    <w:rsid w:val="00866E9E"/>
    <w:rsid w:val="00867465"/>
    <w:rsid w:val="0087095E"/>
    <w:rsid w:val="00875713"/>
    <w:rsid w:val="00875E51"/>
    <w:rsid w:val="0087769A"/>
    <w:rsid w:val="008776B2"/>
    <w:rsid w:val="00880909"/>
    <w:rsid w:val="008810BA"/>
    <w:rsid w:val="008810CF"/>
    <w:rsid w:val="0088237C"/>
    <w:rsid w:val="00882482"/>
    <w:rsid w:val="00883731"/>
    <w:rsid w:val="00883F67"/>
    <w:rsid w:val="008851DA"/>
    <w:rsid w:val="00885550"/>
    <w:rsid w:val="00886676"/>
    <w:rsid w:val="00886EE2"/>
    <w:rsid w:val="00886EF1"/>
    <w:rsid w:val="00887D02"/>
    <w:rsid w:val="00887E5A"/>
    <w:rsid w:val="008900F5"/>
    <w:rsid w:val="00890AD2"/>
    <w:rsid w:val="00890B6A"/>
    <w:rsid w:val="008917B2"/>
    <w:rsid w:val="00892474"/>
    <w:rsid w:val="0089279C"/>
    <w:rsid w:val="00892EC4"/>
    <w:rsid w:val="00893CD0"/>
    <w:rsid w:val="00894953"/>
    <w:rsid w:val="00896149"/>
    <w:rsid w:val="0089631A"/>
    <w:rsid w:val="00896EA4"/>
    <w:rsid w:val="00897861"/>
    <w:rsid w:val="008A2111"/>
    <w:rsid w:val="008A236E"/>
    <w:rsid w:val="008A3EAE"/>
    <w:rsid w:val="008A539F"/>
    <w:rsid w:val="008A5563"/>
    <w:rsid w:val="008A6A4F"/>
    <w:rsid w:val="008A6AAA"/>
    <w:rsid w:val="008A7C3A"/>
    <w:rsid w:val="008B0A14"/>
    <w:rsid w:val="008B0FC7"/>
    <w:rsid w:val="008B192E"/>
    <w:rsid w:val="008B1C46"/>
    <w:rsid w:val="008B1CBB"/>
    <w:rsid w:val="008B1F86"/>
    <w:rsid w:val="008B1FFF"/>
    <w:rsid w:val="008B20C0"/>
    <w:rsid w:val="008B30D5"/>
    <w:rsid w:val="008B3C42"/>
    <w:rsid w:val="008B4271"/>
    <w:rsid w:val="008B497F"/>
    <w:rsid w:val="008B50A1"/>
    <w:rsid w:val="008B5C34"/>
    <w:rsid w:val="008B6BB8"/>
    <w:rsid w:val="008B70AA"/>
    <w:rsid w:val="008B783B"/>
    <w:rsid w:val="008C063C"/>
    <w:rsid w:val="008C2673"/>
    <w:rsid w:val="008C28B4"/>
    <w:rsid w:val="008C31C1"/>
    <w:rsid w:val="008C40CD"/>
    <w:rsid w:val="008C60BE"/>
    <w:rsid w:val="008C6AA1"/>
    <w:rsid w:val="008C73EA"/>
    <w:rsid w:val="008C7917"/>
    <w:rsid w:val="008D08A7"/>
    <w:rsid w:val="008D0DDD"/>
    <w:rsid w:val="008D0E8C"/>
    <w:rsid w:val="008D1920"/>
    <w:rsid w:val="008D1BB8"/>
    <w:rsid w:val="008D25A0"/>
    <w:rsid w:val="008D33A5"/>
    <w:rsid w:val="008D69FB"/>
    <w:rsid w:val="008E1F74"/>
    <w:rsid w:val="008E2194"/>
    <w:rsid w:val="008E2D81"/>
    <w:rsid w:val="008E362F"/>
    <w:rsid w:val="008E4E29"/>
    <w:rsid w:val="008E54DE"/>
    <w:rsid w:val="008E60F4"/>
    <w:rsid w:val="008E78DB"/>
    <w:rsid w:val="008E7EC5"/>
    <w:rsid w:val="008E7F55"/>
    <w:rsid w:val="008F044E"/>
    <w:rsid w:val="008F1A96"/>
    <w:rsid w:val="008F2157"/>
    <w:rsid w:val="008F350E"/>
    <w:rsid w:val="008F47BD"/>
    <w:rsid w:val="008F50F3"/>
    <w:rsid w:val="008F5F41"/>
    <w:rsid w:val="008F679E"/>
    <w:rsid w:val="008F72C0"/>
    <w:rsid w:val="008F7DEA"/>
    <w:rsid w:val="00900379"/>
    <w:rsid w:val="0090042A"/>
    <w:rsid w:val="009014B8"/>
    <w:rsid w:val="0090222C"/>
    <w:rsid w:val="00902507"/>
    <w:rsid w:val="00902FFF"/>
    <w:rsid w:val="00903BFF"/>
    <w:rsid w:val="00906681"/>
    <w:rsid w:val="00906DF6"/>
    <w:rsid w:val="0091067F"/>
    <w:rsid w:val="00910D7E"/>
    <w:rsid w:val="00912472"/>
    <w:rsid w:val="009124EF"/>
    <w:rsid w:val="00912791"/>
    <w:rsid w:val="00912B0F"/>
    <w:rsid w:val="00913A49"/>
    <w:rsid w:val="00913D20"/>
    <w:rsid w:val="0091481E"/>
    <w:rsid w:val="0091492B"/>
    <w:rsid w:val="00914D41"/>
    <w:rsid w:val="0091560A"/>
    <w:rsid w:val="00915E14"/>
    <w:rsid w:val="00915E24"/>
    <w:rsid w:val="00917BBD"/>
    <w:rsid w:val="00920FD7"/>
    <w:rsid w:val="009211F7"/>
    <w:rsid w:val="00921722"/>
    <w:rsid w:val="00922E4F"/>
    <w:rsid w:val="009235D3"/>
    <w:rsid w:val="009250A8"/>
    <w:rsid w:val="00925D96"/>
    <w:rsid w:val="00925F21"/>
    <w:rsid w:val="00926B54"/>
    <w:rsid w:val="00926DE1"/>
    <w:rsid w:val="0092760E"/>
    <w:rsid w:val="00930699"/>
    <w:rsid w:val="00931414"/>
    <w:rsid w:val="00931858"/>
    <w:rsid w:val="00931AB8"/>
    <w:rsid w:val="00932879"/>
    <w:rsid w:val="0093344A"/>
    <w:rsid w:val="00933515"/>
    <w:rsid w:val="00933F96"/>
    <w:rsid w:val="00936FF0"/>
    <w:rsid w:val="00937111"/>
    <w:rsid w:val="00940C42"/>
    <w:rsid w:val="00941AA4"/>
    <w:rsid w:val="0094276F"/>
    <w:rsid w:val="0094318A"/>
    <w:rsid w:val="00943197"/>
    <w:rsid w:val="0094336E"/>
    <w:rsid w:val="00943797"/>
    <w:rsid w:val="009447BE"/>
    <w:rsid w:val="0094497C"/>
    <w:rsid w:val="009454B7"/>
    <w:rsid w:val="00945C8C"/>
    <w:rsid w:val="00945DCB"/>
    <w:rsid w:val="00946BFA"/>
    <w:rsid w:val="0095003E"/>
    <w:rsid w:val="009521B7"/>
    <w:rsid w:val="00952A46"/>
    <w:rsid w:val="009530F7"/>
    <w:rsid w:val="009537AB"/>
    <w:rsid w:val="00953809"/>
    <w:rsid w:val="009605B5"/>
    <w:rsid w:val="009610A1"/>
    <w:rsid w:val="00961621"/>
    <w:rsid w:val="00962E7A"/>
    <w:rsid w:val="009632CD"/>
    <w:rsid w:val="00964661"/>
    <w:rsid w:val="009650EC"/>
    <w:rsid w:val="00966D81"/>
    <w:rsid w:val="009673A4"/>
    <w:rsid w:val="00970AB5"/>
    <w:rsid w:val="009718C1"/>
    <w:rsid w:val="009730AD"/>
    <w:rsid w:val="009731A2"/>
    <w:rsid w:val="00974ED2"/>
    <w:rsid w:val="00975152"/>
    <w:rsid w:val="00975917"/>
    <w:rsid w:val="00976E24"/>
    <w:rsid w:val="00977965"/>
    <w:rsid w:val="0097798E"/>
    <w:rsid w:val="00977E1C"/>
    <w:rsid w:val="00980D1E"/>
    <w:rsid w:val="009815F5"/>
    <w:rsid w:val="00981BB3"/>
    <w:rsid w:val="00984A15"/>
    <w:rsid w:val="0098562D"/>
    <w:rsid w:val="00985D69"/>
    <w:rsid w:val="00990ED8"/>
    <w:rsid w:val="00991B5C"/>
    <w:rsid w:val="00993DC9"/>
    <w:rsid w:val="0099532B"/>
    <w:rsid w:val="0099562F"/>
    <w:rsid w:val="009976BC"/>
    <w:rsid w:val="009A089D"/>
    <w:rsid w:val="009A12F2"/>
    <w:rsid w:val="009A32D5"/>
    <w:rsid w:val="009A5004"/>
    <w:rsid w:val="009A52BD"/>
    <w:rsid w:val="009A5865"/>
    <w:rsid w:val="009A593E"/>
    <w:rsid w:val="009A615F"/>
    <w:rsid w:val="009A74F6"/>
    <w:rsid w:val="009A79AB"/>
    <w:rsid w:val="009B0170"/>
    <w:rsid w:val="009B055D"/>
    <w:rsid w:val="009B0F96"/>
    <w:rsid w:val="009B168E"/>
    <w:rsid w:val="009B2874"/>
    <w:rsid w:val="009B294C"/>
    <w:rsid w:val="009B4980"/>
    <w:rsid w:val="009B4A3D"/>
    <w:rsid w:val="009B4CA4"/>
    <w:rsid w:val="009B6D27"/>
    <w:rsid w:val="009B7A3A"/>
    <w:rsid w:val="009C0554"/>
    <w:rsid w:val="009C0689"/>
    <w:rsid w:val="009C199F"/>
    <w:rsid w:val="009C1C68"/>
    <w:rsid w:val="009C3B2D"/>
    <w:rsid w:val="009C57D0"/>
    <w:rsid w:val="009C7FA6"/>
    <w:rsid w:val="009D06A0"/>
    <w:rsid w:val="009D111D"/>
    <w:rsid w:val="009D1130"/>
    <w:rsid w:val="009D1155"/>
    <w:rsid w:val="009D150F"/>
    <w:rsid w:val="009D1D19"/>
    <w:rsid w:val="009D3990"/>
    <w:rsid w:val="009D4873"/>
    <w:rsid w:val="009D5147"/>
    <w:rsid w:val="009D5571"/>
    <w:rsid w:val="009D5B31"/>
    <w:rsid w:val="009D5C8E"/>
    <w:rsid w:val="009D67D3"/>
    <w:rsid w:val="009D788F"/>
    <w:rsid w:val="009E0C1E"/>
    <w:rsid w:val="009E1131"/>
    <w:rsid w:val="009E2D20"/>
    <w:rsid w:val="009E2F03"/>
    <w:rsid w:val="009E398D"/>
    <w:rsid w:val="009E4E21"/>
    <w:rsid w:val="009E51B2"/>
    <w:rsid w:val="009E57E6"/>
    <w:rsid w:val="009E6130"/>
    <w:rsid w:val="009E79B4"/>
    <w:rsid w:val="009E7B17"/>
    <w:rsid w:val="009E7E42"/>
    <w:rsid w:val="009F3B84"/>
    <w:rsid w:val="009F4029"/>
    <w:rsid w:val="009F480E"/>
    <w:rsid w:val="009F5023"/>
    <w:rsid w:val="009F535F"/>
    <w:rsid w:val="009F653F"/>
    <w:rsid w:val="009F6735"/>
    <w:rsid w:val="009F7856"/>
    <w:rsid w:val="009F7D20"/>
    <w:rsid w:val="00A0139E"/>
    <w:rsid w:val="00A030F1"/>
    <w:rsid w:val="00A0331A"/>
    <w:rsid w:val="00A04027"/>
    <w:rsid w:val="00A049FA"/>
    <w:rsid w:val="00A04CA5"/>
    <w:rsid w:val="00A06221"/>
    <w:rsid w:val="00A1088B"/>
    <w:rsid w:val="00A10F37"/>
    <w:rsid w:val="00A1167A"/>
    <w:rsid w:val="00A12249"/>
    <w:rsid w:val="00A1567C"/>
    <w:rsid w:val="00A15DA6"/>
    <w:rsid w:val="00A1705A"/>
    <w:rsid w:val="00A17150"/>
    <w:rsid w:val="00A1729A"/>
    <w:rsid w:val="00A1779E"/>
    <w:rsid w:val="00A17F29"/>
    <w:rsid w:val="00A17FDB"/>
    <w:rsid w:val="00A208A0"/>
    <w:rsid w:val="00A230D2"/>
    <w:rsid w:val="00A238AD"/>
    <w:rsid w:val="00A253AD"/>
    <w:rsid w:val="00A27D64"/>
    <w:rsid w:val="00A30793"/>
    <w:rsid w:val="00A30ACF"/>
    <w:rsid w:val="00A31D91"/>
    <w:rsid w:val="00A3253F"/>
    <w:rsid w:val="00A3271E"/>
    <w:rsid w:val="00A33280"/>
    <w:rsid w:val="00A335E2"/>
    <w:rsid w:val="00A3385E"/>
    <w:rsid w:val="00A33A6A"/>
    <w:rsid w:val="00A34937"/>
    <w:rsid w:val="00A356F4"/>
    <w:rsid w:val="00A358E3"/>
    <w:rsid w:val="00A36050"/>
    <w:rsid w:val="00A367E7"/>
    <w:rsid w:val="00A37C24"/>
    <w:rsid w:val="00A37D86"/>
    <w:rsid w:val="00A400E9"/>
    <w:rsid w:val="00A4027B"/>
    <w:rsid w:val="00A40B2A"/>
    <w:rsid w:val="00A40BE7"/>
    <w:rsid w:val="00A40CFA"/>
    <w:rsid w:val="00A41609"/>
    <w:rsid w:val="00A42393"/>
    <w:rsid w:val="00A42575"/>
    <w:rsid w:val="00A42C26"/>
    <w:rsid w:val="00A44394"/>
    <w:rsid w:val="00A45DAC"/>
    <w:rsid w:val="00A45E96"/>
    <w:rsid w:val="00A471A1"/>
    <w:rsid w:val="00A47272"/>
    <w:rsid w:val="00A47EA8"/>
    <w:rsid w:val="00A50348"/>
    <w:rsid w:val="00A508AB"/>
    <w:rsid w:val="00A50E1B"/>
    <w:rsid w:val="00A5166A"/>
    <w:rsid w:val="00A52507"/>
    <w:rsid w:val="00A52893"/>
    <w:rsid w:val="00A53A63"/>
    <w:rsid w:val="00A5443E"/>
    <w:rsid w:val="00A54488"/>
    <w:rsid w:val="00A54BB3"/>
    <w:rsid w:val="00A55409"/>
    <w:rsid w:val="00A56049"/>
    <w:rsid w:val="00A56248"/>
    <w:rsid w:val="00A56623"/>
    <w:rsid w:val="00A56DF8"/>
    <w:rsid w:val="00A6071C"/>
    <w:rsid w:val="00A60B54"/>
    <w:rsid w:val="00A619DB"/>
    <w:rsid w:val="00A61C8C"/>
    <w:rsid w:val="00A61FF2"/>
    <w:rsid w:val="00A632E8"/>
    <w:rsid w:val="00A64525"/>
    <w:rsid w:val="00A649E9"/>
    <w:rsid w:val="00A64D4E"/>
    <w:rsid w:val="00A655E4"/>
    <w:rsid w:val="00A66A4A"/>
    <w:rsid w:val="00A67A62"/>
    <w:rsid w:val="00A705D7"/>
    <w:rsid w:val="00A706DA"/>
    <w:rsid w:val="00A70C17"/>
    <w:rsid w:val="00A722E1"/>
    <w:rsid w:val="00A724D1"/>
    <w:rsid w:val="00A748D1"/>
    <w:rsid w:val="00A753F4"/>
    <w:rsid w:val="00A756E6"/>
    <w:rsid w:val="00A76994"/>
    <w:rsid w:val="00A7755B"/>
    <w:rsid w:val="00A77908"/>
    <w:rsid w:val="00A80EEC"/>
    <w:rsid w:val="00A84521"/>
    <w:rsid w:val="00A84B2F"/>
    <w:rsid w:val="00A85185"/>
    <w:rsid w:val="00A85A48"/>
    <w:rsid w:val="00A86524"/>
    <w:rsid w:val="00A90A91"/>
    <w:rsid w:val="00A93D6F"/>
    <w:rsid w:val="00A95150"/>
    <w:rsid w:val="00A95971"/>
    <w:rsid w:val="00A9684D"/>
    <w:rsid w:val="00A9695A"/>
    <w:rsid w:val="00AA038B"/>
    <w:rsid w:val="00AA09DC"/>
    <w:rsid w:val="00AA23AD"/>
    <w:rsid w:val="00AA3517"/>
    <w:rsid w:val="00AA4BDF"/>
    <w:rsid w:val="00AA6B86"/>
    <w:rsid w:val="00AA7BC6"/>
    <w:rsid w:val="00AB085C"/>
    <w:rsid w:val="00AB1CFD"/>
    <w:rsid w:val="00AB3B6B"/>
    <w:rsid w:val="00AB580A"/>
    <w:rsid w:val="00AC0324"/>
    <w:rsid w:val="00AC0CE6"/>
    <w:rsid w:val="00AC0D40"/>
    <w:rsid w:val="00AC3071"/>
    <w:rsid w:val="00AC4BB9"/>
    <w:rsid w:val="00AC699C"/>
    <w:rsid w:val="00AC717A"/>
    <w:rsid w:val="00AD0E78"/>
    <w:rsid w:val="00AD2472"/>
    <w:rsid w:val="00AD2A7C"/>
    <w:rsid w:val="00AD2E85"/>
    <w:rsid w:val="00AD4187"/>
    <w:rsid w:val="00AD43FE"/>
    <w:rsid w:val="00AD4676"/>
    <w:rsid w:val="00AD583A"/>
    <w:rsid w:val="00AD605E"/>
    <w:rsid w:val="00AD7CF3"/>
    <w:rsid w:val="00AD7DFB"/>
    <w:rsid w:val="00AE06ED"/>
    <w:rsid w:val="00AE0AF1"/>
    <w:rsid w:val="00AE1BEC"/>
    <w:rsid w:val="00AE28B5"/>
    <w:rsid w:val="00AE4208"/>
    <w:rsid w:val="00AE50AC"/>
    <w:rsid w:val="00AE5E9C"/>
    <w:rsid w:val="00AE6DD7"/>
    <w:rsid w:val="00AE7A38"/>
    <w:rsid w:val="00AF0644"/>
    <w:rsid w:val="00AF19B1"/>
    <w:rsid w:val="00AF2536"/>
    <w:rsid w:val="00AF272C"/>
    <w:rsid w:val="00AF305F"/>
    <w:rsid w:val="00AF50DC"/>
    <w:rsid w:val="00AF5246"/>
    <w:rsid w:val="00AF5976"/>
    <w:rsid w:val="00AF5AE6"/>
    <w:rsid w:val="00AF5EB9"/>
    <w:rsid w:val="00AF69CF"/>
    <w:rsid w:val="00B005FE"/>
    <w:rsid w:val="00B014AC"/>
    <w:rsid w:val="00B019C3"/>
    <w:rsid w:val="00B03813"/>
    <w:rsid w:val="00B04529"/>
    <w:rsid w:val="00B047D6"/>
    <w:rsid w:val="00B0748D"/>
    <w:rsid w:val="00B120D4"/>
    <w:rsid w:val="00B1213C"/>
    <w:rsid w:val="00B1223A"/>
    <w:rsid w:val="00B137EC"/>
    <w:rsid w:val="00B13F01"/>
    <w:rsid w:val="00B1509C"/>
    <w:rsid w:val="00B153C4"/>
    <w:rsid w:val="00B1588A"/>
    <w:rsid w:val="00B21108"/>
    <w:rsid w:val="00B21D81"/>
    <w:rsid w:val="00B22518"/>
    <w:rsid w:val="00B22BCD"/>
    <w:rsid w:val="00B23655"/>
    <w:rsid w:val="00B23DB4"/>
    <w:rsid w:val="00B25A33"/>
    <w:rsid w:val="00B25EED"/>
    <w:rsid w:val="00B26185"/>
    <w:rsid w:val="00B2691A"/>
    <w:rsid w:val="00B26C1C"/>
    <w:rsid w:val="00B308C6"/>
    <w:rsid w:val="00B30C78"/>
    <w:rsid w:val="00B31560"/>
    <w:rsid w:val="00B32967"/>
    <w:rsid w:val="00B34AAF"/>
    <w:rsid w:val="00B37882"/>
    <w:rsid w:val="00B40183"/>
    <w:rsid w:val="00B40309"/>
    <w:rsid w:val="00B40806"/>
    <w:rsid w:val="00B40A87"/>
    <w:rsid w:val="00B40B8F"/>
    <w:rsid w:val="00B421E4"/>
    <w:rsid w:val="00B45CE6"/>
    <w:rsid w:val="00B45E47"/>
    <w:rsid w:val="00B46B42"/>
    <w:rsid w:val="00B47359"/>
    <w:rsid w:val="00B4750A"/>
    <w:rsid w:val="00B478A1"/>
    <w:rsid w:val="00B47B5E"/>
    <w:rsid w:val="00B505CA"/>
    <w:rsid w:val="00B5105C"/>
    <w:rsid w:val="00B5117D"/>
    <w:rsid w:val="00B51467"/>
    <w:rsid w:val="00B514CB"/>
    <w:rsid w:val="00B52035"/>
    <w:rsid w:val="00B536C9"/>
    <w:rsid w:val="00B53CDC"/>
    <w:rsid w:val="00B55FD0"/>
    <w:rsid w:val="00B56DFD"/>
    <w:rsid w:val="00B573D1"/>
    <w:rsid w:val="00B57468"/>
    <w:rsid w:val="00B578DC"/>
    <w:rsid w:val="00B60024"/>
    <w:rsid w:val="00B600A1"/>
    <w:rsid w:val="00B64809"/>
    <w:rsid w:val="00B64B84"/>
    <w:rsid w:val="00B64F17"/>
    <w:rsid w:val="00B655DC"/>
    <w:rsid w:val="00B660BA"/>
    <w:rsid w:val="00B660EF"/>
    <w:rsid w:val="00B663B2"/>
    <w:rsid w:val="00B66531"/>
    <w:rsid w:val="00B66663"/>
    <w:rsid w:val="00B66E93"/>
    <w:rsid w:val="00B67E5A"/>
    <w:rsid w:val="00B704EB"/>
    <w:rsid w:val="00B70989"/>
    <w:rsid w:val="00B72A6F"/>
    <w:rsid w:val="00B74A70"/>
    <w:rsid w:val="00B74C00"/>
    <w:rsid w:val="00B7540E"/>
    <w:rsid w:val="00B7552C"/>
    <w:rsid w:val="00B757FF"/>
    <w:rsid w:val="00B75CD5"/>
    <w:rsid w:val="00B80B99"/>
    <w:rsid w:val="00B80DB7"/>
    <w:rsid w:val="00B83599"/>
    <w:rsid w:val="00B845DB"/>
    <w:rsid w:val="00B86BC1"/>
    <w:rsid w:val="00B9050A"/>
    <w:rsid w:val="00B924F4"/>
    <w:rsid w:val="00B932A3"/>
    <w:rsid w:val="00B936B1"/>
    <w:rsid w:val="00B936E2"/>
    <w:rsid w:val="00B9383E"/>
    <w:rsid w:val="00B93AA2"/>
    <w:rsid w:val="00B95250"/>
    <w:rsid w:val="00B968E1"/>
    <w:rsid w:val="00B970D1"/>
    <w:rsid w:val="00B972B9"/>
    <w:rsid w:val="00B9750A"/>
    <w:rsid w:val="00B97AF9"/>
    <w:rsid w:val="00BA0828"/>
    <w:rsid w:val="00BA287A"/>
    <w:rsid w:val="00BA520D"/>
    <w:rsid w:val="00BA5B74"/>
    <w:rsid w:val="00BA60FB"/>
    <w:rsid w:val="00BA7F9B"/>
    <w:rsid w:val="00BB0352"/>
    <w:rsid w:val="00BB23A1"/>
    <w:rsid w:val="00BB491B"/>
    <w:rsid w:val="00BB54CE"/>
    <w:rsid w:val="00BB5546"/>
    <w:rsid w:val="00BB7425"/>
    <w:rsid w:val="00BC0133"/>
    <w:rsid w:val="00BC0794"/>
    <w:rsid w:val="00BC253E"/>
    <w:rsid w:val="00BC391F"/>
    <w:rsid w:val="00BC4478"/>
    <w:rsid w:val="00BC57B7"/>
    <w:rsid w:val="00BC6902"/>
    <w:rsid w:val="00BC69F9"/>
    <w:rsid w:val="00BC6C0B"/>
    <w:rsid w:val="00BC7174"/>
    <w:rsid w:val="00BC7B55"/>
    <w:rsid w:val="00BD0755"/>
    <w:rsid w:val="00BD1DA7"/>
    <w:rsid w:val="00BD1EE4"/>
    <w:rsid w:val="00BD3203"/>
    <w:rsid w:val="00BD3A58"/>
    <w:rsid w:val="00BD4F59"/>
    <w:rsid w:val="00BD5F45"/>
    <w:rsid w:val="00BD7C68"/>
    <w:rsid w:val="00BD7CBB"/>
    <w:rsid w:val="00BE04E3"/>
    <w:rsid w:val="00BE12AF"/>
    <w:rsid w:val="00BE1E9D"/>
    <w:rsid w:val="00BE22B6"/>
    <w:rsid w:val="00BE393E"/>
    <w:rsid w:val="00BE478E"/>
    <w:rsid w:val="00BE6066"/>
    <w:rsid w:val="00BE6511"/>
    <w:rsid w:val="00BE6A6C"/>
    <w:rsid w:val="00BE7800"/>
    <w:rsid w:val="00BF14C8"/>
    <w:rsid w:val="00BF1509"/>
    <w:rsid w:val="00BF2227"/>
    <w:rsid w:val="00BF574F"/>
    <w:rsid w:val="00BF5DB7"/>
    <w:rsid w:val="00C003C9"/>
    <w:rsid w:val="00C01011"/>
    <w:rsid w:val="00C015CB"/>
    <w:rsid w:val="00C0208E"/>
    <w:rsid w:val="00C02975"/>
    <w:rsid w:val="00C0360F"/>
    <w:rsid w:val="00C03CD0"/>
    <w:rsid w:val="00C044CD"/>
    <w:rsid w:val="00C04A6A"/>
    <w:rsid w:val="00C050F4"/>
    <w:rsid w:val="00C05BBC"/>
    <w:rsid w:val="00C05E42"/>
    <w:rsid w:val="00C06D05"/>
    <w:rsid w:val="00C1073F"/>
    <w:rsid w:val="00C10F69"/>
    <w:rsid w:val="00C11FD7"/>
    <w:rsid w:val="00C121A3"/>
    <w:rsid w:val="00C12452"/>
    <w:rsid w:val="00C12583"/>
    <w:rsid w:val="00C13F3D"/>
    <w:rsid w:val="00C15709"/>
    <w:rsid w:val="00C15BDC"/>
    <w:rsid w:val="00C1685D"/>
    <w:rsid w:val="00C2009C"/>
    <w:rsid w:val="00C23086"/>
    <w:rsid w:val="00C23808"/>
    <w:rsid w:val="00C24099"/>
    <w:rsid w:val="00C24439"/>
    <w:rsid w:val="00C26541"/>
    <w:rsid w:val="00C26EA4"/>
    <w:rsid w:val="00C273FD"/>
    <w:rsid w:val="00C27947"/>
    <w:rsid w:val="00C30EA7"/>
    <w:rsid w:val="00C30FCD"/>
    <w:rsid w:val="00C32295"/>
    <w:rsid w:val="00C32483"/>
    <w:rsid w:val="00C33B4A"/>
    <w:rsid w:val="00C34170"/>
    <w:rsid w:val="00C3473A"/>
    <w:rsid w:val="00C353EC"/>
    <w:rsid w:val="00C35673"/>
    <w:rsid w:val="00C36191"/>
    <w:rsid w:val="00C3692F"/>
    <w:rsid w:val="00C40893"/>
    <w:rsid w:val="00C40C7A"/>
    <w:rsid w:val="00C414F6"/>
    <w:rsid w:val="00C4172B"/>
    <w:rsid w:val="00C41A64"/>
    <w:rsid w:val="00C420B3"/>
    <w:rsid w:val="00C42C02"/>
    <w:rsid w:val="00C42ED9"/>
    <w:rsid w:val="00C45A40"/>
    <w:rsid w:val="00C45ACF"/>
    <w:rsid w:val="00C4611A"/>
    <w:rsid w:val="00C468CF"/>
    <w:rsid w:val="00C469F5"/>
    <w:rsid w:val="00C46F64"/>
    <w:rsid w:val="00C4780B"/>
    <w:rsid w:val="00C50B9C"/>
    <w:rsid w:val="00C51054"/>
    <w:rsid w:val="00C52443"/>
    <w:rsid w:val="00C5279E"/>
    <w:rsid w:val="00C52A5B"/>
    <w:rsid w:val="00C5368C"/>
    <w:rsid w:val="00C543B5"/>
    <w:rsid w:val="00C54AFC"/>
    <w:rsid w:val="00C56332"/>
    <w:rsid w:val="00C56C0C"/>
    <w:rsid w:val="00C56C21"/>
    <w:rsid w:val="00C573C8"/>
    <w:rsid w:val="00C57998"/>
    <w:rsid w:val="00C57B8D"/>
    <w:rsid w:val="00C61A9B"/>
    <w:rsid w:val="00C6400C"/>
    <w:rsid w:val="00C64335"/>
    <w:rsid w:val="00C648BA"/>
    <w:rsid w:val="00C6757F"/>
    <w:rsid w:val="00C67F31"/>
    <w:rsid w:val="00C7266B"/>
    <w:rsid w:val="00C73D18"/>
    <w:rsid w:val="00C73EAF"/>
    <w:rsid w:val="00C7423E"/>
    <w:rsid w:val="00C778F2"/>
    <w:rsid w:val="00C80847"/>
    <w:rsid w:val="00C80F8A"/>
    <w:rsid w:val="00C81908"/>
    <w:rsid w:val="00C8283D"/>
    <w:rsid w:val="00C82BBD"/>
    <w:rsid w:val="00C83AA5"/>
    <w:rsid w:val="00C8422B"/>
    <w:rsid w:val="00C84DC5"/>
    <w:rsid w:val="00C85522"/>
    <w:rsid w:val="00C86CCB"/>
    <w:rsid w:val="00C87017"/>
    <w:rsid w:val="00C87841"/>
    <w:rsid w:val="00C9030D"/>
    <w:rsid w:val="00C90E93"/>
    <w:rsid w:val="00C910C9"/>
    <w:rsid w:val="00C91319"/>
    <w:rsid w:val="00C9375E"/>
    <w:rsid w:val="00C95B14"/>
    <w:rsid w:val="00C96322"/>
    <w:rsid w:val="00C96567"/>
    <w:rsid w:val="00C96594"/>
    <w:rsid w:val="00C97651"/>
    <w:rsid w:val="00CA158F"/>
    <w:rsid w:val="00CA190A"/>
    <w:rsid w:val="00CA2F81"/>
    <w:rsid w:val="00CA30AC"/>
    <w:rsid w:val="00CA3EC2"/>
    <w:rsid w:val="00CA606E"/>
    <w:rsid w:val="00CA60D0"/>
    <w:rsid w:val="00CA621E"/>
    <w:rsid w:val="00CA6285"/>
    <w:rsid w:val="00CA64EE"/>
    <w:rsid w:val="00CA6973"/>
    <w:rsid w:val="00CA698A"/>
    <w:rsid w:val="00CA7043"/>
    <w:rsid w:val="00CB122B"/>
    <w:rsid w:val="00CB1780"/>
    <w:rsid w:val="00CB27DB"/>
    <w:rsid w:val="00CB28C9"/>
    <w:rsid w:val="00CB2B5A"/>
    <w:rsid w:val="00CB5C9F"/>
    <w:rsid w:val="00CB5F69"/>
    <w:rsid w:val="00CB6D1E"/>
    <w:rsid w:val="00CB734C"/>
    <w:rsid w:val="00CC08B7"/>
    <w:rsid w:val="00CC1D17"/>
    <w:rsid w:val="00CC1F00"/>
    <w:rsid w:val="00CC35F1"/>
    <w:rsid w:val="00CC6D39"/>
    <w:rsid w:val="00CC7767"/>
    <w:rsid w:val="00CD0B1E"/>
    <w:rsid w:val="00CD0D22"/>
    <w:rsid w:val="00CD1CCE"/>
    <w:rsid w:val="00CD1F85"/>
    <w:rsid w:val="00CD2200"/>
    <w:rsid w:val="00CD2898"/>
    <w:rsid w:val="00CD2943"/>
    <w:rsid w:val="00CD2A51"/>
    <w:rsid w:val="00CD4AA3"/>
    <w:rsid w:val="00CD4E89"/>
    <w:rsid w:val="00CE0C62"/>
    <w:rsid w:val="00CE0CA0"/>
    <w:rsid w:val="00CE3F91"/>
    <w:rsid w:val="00CE4B89"/>
    <w:rsid w:val="00CE4BBB"/>
    <w:rsid w:val="00CE54BA"/>
    <w:rsid w:val="00CE6C93"/>
    <w:rsid w:val="00CE7074"/>
    <w:rsid w:val="00CF0540"/>
    <w:rsid w:val="00CF054F"/>
    <w:rsid w:val="00CF138E"/>
    <w:rsid w:val="00CF22CC"/>
    <w:rsid w:val="00CF3334"/>
    <w:rsid w:val="00CF355E"/>
    <w:rsid w:val="00CF3907"/>
    <w:rsid w:val="00CF3DC7"/>
    <w:rsid w:val="00CF3FED"/>
    <w:rsid w:val="00CF46BE"/>
    <w:rsid w:val="00CF650F"/>
    <w:rsid w:val="00CF76E8"/>
    <w:rsid w:val="00D011E4"/>
    <w:rsid w:val="00D018BA"/>
    <w:rsid w:val="00D01C1F"/>
    <w:rsid w:val="00D02C5A"/>
    <w:rsid w:val="00D0365C"/>
    <w:rsid w:val="00D03DEE"/>
    <w:rsid w:val="00D04E93"/>
    <w:rsid w:val="00D06E7B"/>
    <w:rsid w:val="00D06FE0"/>
    <w:rsid w:val="00D07214"/>
    <w:rsid w:val="00D07A0C"/>
    <w:rsid w:val="00D1071B"/>
    <w:rsid w:val="00D1103D"/>
    <w:rsid w:val="00D1148B"/>
    <w:rsid w:val="00D1180C"/>
    <w:rsid w:val="00D128CE"/>
    <w:rsid w:val="00D13DA3"/>
    <w:rsid w:val="00D143B1"/>
    <w:rsid w:val="00D1482C"/>
    <w:rsid w:val="00D16279"/>
    <w:rsid w:val="00D1632C"/>
    <w:rsid w:val="00D16468"/>
    <w:rsid w:val="00D16E75"/>
    <w:rsid w:val="00D1725D"/>
    <w:rsid w:val="00D17E9A"/>
    <w:rsid w:val="00D2008A"/>
    <w:rsid w:val="00D20679"/>
    <w:rsid w:val="00D20778"/>
    <w:rsid w:val="00D2085C"/>
    <w:rsid w:val="00D21F87"/>
    <w:rsid w:val="00D21FFF"/>
    <w:rsid w:val="00D22BC0"/>
    <w:rsid w:val="00D23099"/>
    <w:rsid w:val="00D2332A"/>
    <w:rsid w:val="00D242A9"/>
    <w:rsid w:val="00D24C23"/>
    <w:rsid w:val="00D26ACE"/>
    <w:rsid w:val="00D26BA9"/>
    <w:rsid w:val="00D26C1E"/>
    <w:rsid w:val="00D30633"/>
    <w:rsid w:val="00D30766"/>
    <w:rsid w:val="00D316E0"/>
    <w:rsid w:val="00D31C06"/>
    <w:rsid w:val="00D31EB7"/>
    <w:rsid w:val="00D31F3C"/>
    <w:rsid w:val="00D33845"/>
    <w:rsid w:val="00D34F71"/>
    <w:rsid w:val="00D37616"/>
    <w:rsid w:val="00D377A1"/>
    <w:rsid w:val="00D408BD"/>
    <w:rsid w:val="00D40C34"/>
    <w:rsid w:val="00D41D30"/>
    <w:rsid w:val="00D42296"/>
    <w:rsid w:val="00D426E4"/>
    <w:rsid w:val="00D42CEF"/>
    <w:rsid w:val="00D43683"/>
    <w:rsid w:val="00D45B02"/>
    <w:rsid w:val="00D468A4"/>
    <w:rsid w:val="00D468C9"/>
    <w:rsid w:val="00D46E21"/>
    <w:rsid w:val="00D50147"/>
    <w:rsid w:val="00D5025F"/>
    <w:rsid w:val="00D51B81"/>
    <w:rsid w:val="00D52066"/>
    <w:rsid w:val="00D520BF"/>
    <w:rsid w:val="00D53170"/>
    <w:rsid w:val="00D53CDA"/>
    <w:rsid w:val="00D5449B"/>
    <w:rsid w:val="00D548E4"/>
    <w:rsid w:val="00D5529C"/>
    <w:rsid w:val="00D5541C"/>
    <w:rsid w:val="00D55965"/>
    <w:rsid w:val="00D56527"/>
    <w:rsid w:val="00D56AB8"/>
    <w:rsid w:val="00D57DD5"/>
    <w:rsid w:val="00D60FEE"/>
    <w:rsid w:val="00D62277"/>
    <w:rsid w:val="00D6252E"/>
    <w:rsid w:val="00D6284B"/>
    <w:rsid w:val="00D6311C"/>
    <w:rsid w:val="00D64113"/>
    <w:rsid w:val="00D64198"/>
    <w:rsid w:val="00D64F93"/>
    <w:rsid w:val="00D652BF"/>
    <w:rsid w:val="00D65D8B"/>
    <w:rsid w:val="00D66031"/>
    <w:rsid w:val="00D66318"/>
    <w:rsid w:val="00D679D9"/>
    <w:rsid w:val="00D70DC2"/>
    <w:rsid w:val="00D70EB1"/>
    <w:rsid w:val="00D71C3A"/>
    <w:rsid w:val="00D71F96"/>
    <w:rsid w:val="00D72407"/>
    <w:rsid w:val="00D74339"/>
    <w:rsid w:val="00D758B2"/>
    <w:rsid w:val="00D76AC6"/>
    <w:rsid w:val="00D76CF1"/>
    <w:rsid w:val="00D771E6"/>
    <w:rsid w:val="00D77A7B"/>
    <w:rsid w:val="00D83328"/>
    <w:rsid w:val="00D834F1"/>
    <w:rsid w:val="00D83DEC"/>
    <w:rsid w:val="00D83E54"/>
    <w:rsid w:val="00D8466B"/>
    <w:rsid w:val="00D84ED7"/>
    <w:rsid w:val="00D8528F"/>
    <w:rsid w:val="00D85BFE"/>
    <w:rsid w:val="00D90109"/>
    <w:rsid w:val="00D90A7B"/>
    <w:rsid w:val="00D922DB"/>
    <w:rsid w:val="00D92775"/>
    <w:rsid w:val="00D937D8"/>
    <w:rsid w:val="00D9415B"/>
    <w:rsid w:val="00D942F4"/>
    <w:rsid w:val="00D94CF7"/>
    <w:rsid w:val="00D950F1"/>
    <w:rsid w:val="00D9555E"/>
    <w:rsid w:val="00D9700C"/>
    <w:rsid w:val="00D974C7"/>
    <w:rsid w:val="00D97CCF"/>
    <w:rsid w:val="00DA1E43"/>
    <w:rsid w:val="00DA2A29"/>
    <w:rsid w:val="00DA2A49"/>
    <w:rsid w:val="00DA6C63"/>
    <w:rsid w:val="00DA7478"/>
    <w:rsid w:val="00DB017B"/>
    <w:rsid w:val="00DB101E"/>
    <w:rsid w:val="00DB1693"/>
    <w:rsid w:val="00DB2887"/>
    <w:rsid w:val="00DB4C25"/>
    <w:rsid w:val="00DB4EE1"/>
    <w:rsid w:val="00DB5B78"/>
    <w:rsid w:val="00DB6678"/>
    <w:rsid w:val="00DB6ED5"/>
    <w:rsid w:val="00DB7168"/>
    <w:rsid w:val="00DC2DF4"/>
    <w:rsid w:val="00DC386A"/>
    <w:rsid w:val="00DC3C4E"/>
    <w:rsid w:val="00DC3D44"/>
    <w:rsid w:val="00DC72E5"/>
    <w:rsid w:val="00DC7CEB"/>
    <w:rsid w:val="00DD12BF"/>
    <w:rsid w:val="00DD2118"/>
    <w:rsid w:val="00DD2ECE"/>
    <w:rsid w:val="00DD3D2B"/>
    <w:rsid w:val="00DD4209"/>
    <w:rsid w:val="00DD5B9E"/>
    <w:rsid w:val="00DE02B1"/>
    <w:rsid w:val="00DE1FE1"/>
    <w:rsid w:val="00DE2208"/>
    <w:rsid w:val="00DE52F4"/>
    <w:rsid w:val="00DE57C0"/>
    <w:rsid w:val="00DE5D85"/>
    <w:rsid w:val="00DE6D9A"/>
    <w:rsid w:val="00DE7630"/>
    <w:rsid w:val="00DF147F"/>
    <w:rsid w:val="00DF1CB2"/>
    <w:rsid w:val="00DF42A1"/>
    <w:rsid w:val="00DF448D"/>
    <w:rsid w:val="00DF48AF"/>
    <w:rsid w:val="00DF49F5"/>
    <w:rsid w:val="00DF70C6"/>
    <w:rsid w:val="00DF7812"/>
    <w:rsid w:val="00E008FA"/>
    <w:rsid w:val="00E00B34"/>
    <w:rsid w:val="00E00FF5"/>
    <w:rsid w:val="00E021E7"/>
    <w:rsid w:val="00E02C84"/>
    <w:rsid w:val="00E03D34"/>
    <w:rsid w:val="00E04458"/>
    <w:rsid w:val="00E044A0"/>
    <w:rsid w:val="00E04A33"/>
    <w:rsid w:val="00E05158"/>
    <w:rsid w:val="00E05294"/>
    <w:rsid w:val="00E06D7D"/>
    <w:rsid w:val="00E07FD6"/>
    <w:rsid w:val="00E10555"/>
    <w:rsid w:val="00E11075"/>
    <w:rsid w:val="00E11396"/>
    <w:rsid w:val="00E117A9"/>
    <w:rsid w:val="00E13893"/>
    <w:rsid w:val="00E14F91"/>
    <w:rsid w:val="00E1573B"/>
    <w:rsid w:val="00E1589E"/>
    <w:rsid w:val="00E1589F"/>
    <w:rsid w:val="00E15C0F"/>
    <w:rsid w:val="00E1611E"/>
    <w:rsid w:val="00E16A9C"/>
    <w:rsid w:val="00E1766B"/>
    <w:rsid w:val="00E178A4"/>
    <w:rsid w:val="00E178F4"/>
    <w:rsid w:val="00E17B79"/>
    <w:rsid w:val="00E20DFE"/>
    <w:rsid w:val="00E21661"/>
    <w:rsid w:val="00E21BFE"/>
    <w:rsid w:val="00E220DF"/>
    <w:rsid w:val="00E22A93"/>
    <w:rsid w:val="00E236CC"/>
    <w:rsid w:val="00E2389C"/>
    <w:rsid w:val="00E24452"/>
    <w:rsid w:val="00E2487B"/>
    <w:rsid w:val="00E24D19"/>
    <w:rsid w:val="00E26E13"/>
    <w:rsid w:val="00E27D24"/>
    <w:rsid w:val="00E30033"/>
    <w:rsid w:val="00E30225"/>
    <w:rsid w:val="00E30DD7"/>
    <w:rsid w:val="00E32E71"/>
    <w:rsid w:val="00E33D68"/>
    <w:rsid w:val="00E34E1C"/>
    <w:rsid w:val="00E357A6"/>
    <w:rsid w:val="00E37C6B"/>
    <w:rsid w:val="00E403E4"/>
    <w:rsid w:val="00E409B7"/>
    <w:rsid w:val="00E41234"/>
    <w:rsid w:val="00E417CE"/>
    <w:rsid w:val="00E41AE6"/>
    <w:rsid w:val="00E420BE"/>
    <w:rsid w:val="00E42AE7"/>
    <w:rsid w:val="00E45D48"/>
    <w:rsid w:val="00E4611A"/>
    <w:rsid w:val="00E464D0"/>
    <w:rsid w:val="00E47652"/>
    <w:rsid w:val="00E47671"/>
    <w:rsid w:val="00E47719"/>
    <w:rsid w:val="00E47727"/>
    <w:rsid w:val="00E5043C"/>
    <w:rsid w:val="00E51569"/>
    <w:rsid w:val="00E52EA9"/>
    <w:rsid w:val="00E53A5C"/>
    <w:rsid w:val="00E53D5A"/>
    <w:rsid w:val="00E554F0"/>
    <w:rsid w:val="00E55FAF"/>
    <w:rsid w:val="00E55FB0"/>
    <w:rsid w:val="00E56CC1"/>
    <w:rsid w:val="00E56F4A"/>
    <w:rsid w:val="00E5710D"/>
    <w:rsid w:val="00E57117"/>
    <w:rsid w:val="00E57960"/>
    <w:rsid w:val="00E60466"/>
    <w:rsid w:val="00E61734"/>
    <w:rsid w:val="00E62273"/>
    <w:rsid w:val="00E622F5"/>
    <w:rsid w:val="00E631FD"/>
    <w:rsid w:val="00E63D11"/>
    <w:rsid w:val="00E64080"/>
    <w:rsid w:val="00E6466A"/>
    <w:rsid w:val="00E64DDD"/>
    <w:rsid w:val="00E654E4"/>
    <w:rsid w:val="00E66168"/>
    <w:rsid w:val="00E70A90"/>
    <w:rsid w:val="00E70B34"/>
    <w:rsid w:val="00E7155A"/>
    <w:rsid w:val="00E71B5C"/>
    <w:rsid w:val="00E72399"/>
    <w:rsid w:val="00E72E72"/>
    <w:rsid w:val="00E748AA"/>
    <w:rsid w:val="00E74DBF"/>
    <w:rsid w:val="00E75A67"/>
    <w:rsid w:val="00E77407"/>
    <w:rsid w:val="00E82F95"/>
    <w:rsid w:val="00E8350E"/>
    <w:rsid w:val="00E83E5B"/>
    <w:rsid w:val="00E8462A"/>
    <w:rsid w:val="00E848F7"/>
    <w:rsid w:val="00E86818"/>
    <w:rsid w:val="00E86F89"/>
    <w:rsid w:val="00E87A1A"/>
    <w:rsid w:val="00E92C16"/>
    <w:rsid w:val="00E92C34"/>
    <w:rsid w:val="00E953BC"/>
    <w:rsid w:val="00E95CCC"/>
    <w:rsid w:val="00E9621C"/>
    <w:rsid w:val="00E96D1F"/>
    <w:rsid w:val="00EA1249"/>
    <w:rsid w:val="00EA1C82"/>
    <w:rsid w:val="00EA1EA1"/>
    <w:rsid w:val="00EA2352"/>
    <w:rsid w:val="00EA236E"/>
    <w:rsid w:val="00EA241C"/>
    <w:rsid w:val="00EA27A5"/>
    <w:rsid w:val="00EA509B"/>
    <w:rsid w:val="00EA6BB7"/>
    <w:rsid w:val="00EA7A37"/>
    <w:rsid w:val="00EB12E3"/>
    <w:rsid w:val="00EB1FCC"/>
    <w:rsid w:val="00EB45B7"/>
    <w:rsid w:val="00EB4710"/>
    <w:rsid w:val="00EB4E73"/>
    <w:rsid w:val="00EB5C00"/>
    <w:rsid w:val="00EC04CE"/>
    <w:rsid w:val="00EC10F7"/>
    <w:rsid w:val="00EC123D"/>
    <w:rsid w:val="00EC2464"/>
    <w:rsid w:val="00EC299B"/>
    <w:rsid w:val="00EC35BD"/>
    <w:rsid w:val="00EC4149"/>
    <w:rsid w:val="00EC4F7B"/>
    <w:rsid w:val="00EC5721"/>
    <w:rsid w:val="00EC5CD1"/>
    <w:rsid w:val="00EC6A5E"/>
    <w:rsid w:val="00EC7AA3"/>
    <w:rsid w:val="00ED26BE"/>
    <w:rsid w:val="00ED293F"/>
    <w:rsid w:val="00ED3C53"/>
    <w:rsid w:val="00ED422F"/>
    <w:rsid w:val="00ED5382"/>
    <w:rsid w:val="00ED60F5"/>
    <w:rsid w:val="00ED6932"/>
    <w:rsid w:val="00ED6FD2"/>
    <w:rsid w:val="00EE0443"/>
    <w:rsid w:val="00EE143E"/>
    <w:rsid w:val="00EE2527"/>
    <w:rsid w:val="00EE3CFC"/>
    <w:rsid w:val="00EE3DF9"/>
    <w:rsid w:val="00EE69A7"/>
    <w:rsid w:val="00EF0E04"/>
    <w:rsid w:val="00EF0FB5"/>
    <w:rsid w:val="00EF3A73"/>
    <w:rsid w:val="00EF53FF"/>
    <w:rsid w:val="00EF5D52"/>
    <w:rsid w:val="00EF6A38"/>
    <w:rsid w:val="00EF6F21"/>
    <w:rsid w:val="00F02440"/>
    <w:rsid w:val="00F036DC"/>
    <w:rsid w:val="00F039B9"/>
    <w:rsid w:val="00F03BDF"/>
    <w:rsid w:val="00F04664"/>
    <w:rsid w:val="00F05192"/>
    <w:rsid w:val="00F05380"/>
    <w:rsid w:val="00F05AD5"/>
    <w:rsid w:val="00F11674"/>
    <w:rsid w:val="00F135D0"/>
    <w:rsid w:val="00F14E96"/>
    <w:rsid w:val="00F15671"/>
    <w:rsid w:val="00F1627F"/>
    <w:rsid w:val="00F167B6"/>
    <w:rsid w:val="00F1729C"/>
    <w:rsid w:val="00F178D4"/>
    <w:rsid w:val="00F17E6A"/>
    <w:rsid w:val="00F20880"/>
    <w:rsid w:val="00F20A8D"/>
    <w:rsid w:val="00F2178D"/>
    <w:rsid w:val="00F245A6"/>
    <w:rsid w:val="00F24F11"/>
    <w:rsid w:val="00F2610D"/>
    <w:rsid w:val="00F30E60"/>
    <w:rsid w:val="00F31BFF"/>
    <w:rsid w:val="00F3382A"/>
    <w:rsid w:val="00F3490E"/>
    <w:rsid w:val="00F35204"/>
    <w:rsid w:val="00F36641"/>
    <w:rsid w:val="00F366B6"/>
    <w:rsid w:val="00F366D8"/>
    <w:rsid w:val="00F37623"/>
    <w:rsid w:val="00F40FA2"/>
    <w:rsid w:val="00F413E9"/>
    <w:rsid w:val="00F4364E"/>
    <w:rsid w:val="00F44349"/>
    <w:rsid w:val="00F448A5"/>
    <w:rsid w:val="00F44B68"/>
    <w:rsid w:val="00F44B9B"/>
    <w:rsid w:val="00F453A6"/>
    <w:rsid w:val="00F46975"/>
    <w:rsid w:val="00F50324"/>
    <w:rsid w:val="00F50508"/>
    <w:rsid w:val="00F50DDE"/>
    <w:rsid w:val="00F51847"/>
    <w:rsid w:val="00F51B2E"/>
    <w:rsid w:val="00F5273B"/>
    <w:rsid w:val="00F52D30"/>
    <w:rsid w:val="00F56760"/>
    <w:rsid w:val="00F56FAA"/>
    <w:rsid w:val="00F575F8"/>
    <w:rsid w:val="00F600A8"/>
    <w:rsid w:val="00F60A48"/>
    <w:rsid w:val="00F610F9"/>
    <w:rsid w:val="00F6260F"/>
    <w:rsid w:val="00F64B8F"/>
    <w:rsid w:val="00F655C4"/>
    <w:rsid w:val="00F657D8"/>
    <w:rsid w:val="00F65EEB"/>
    <w:rsid w:val="00F667DB"/>
    <w:rsid w:val="00F67EDA"/>
    <w:rsid w:val="00F70441"/>
    <w:rsid w:val="00F70C21"/>
    <w:rsid w:val="00F711F7"/>
    <w:rsid w:val="00F71CFC"/>
    <w:rsid w:val="00F747BB"/>
    <w:rsid w:val="00F76029"/>
    <w:rsid w:val="00F76C44"/>
    <w:rsid w:val="00F770E0"/>
    <w:rsid w:val="00F7729D"/>
    <w:rsid w:val="00F81C4E"/>
    <w:rsid w:val="00F81FF1"/>
    <w:rsid w:val="00F82383"/>
    <w:rsid w:val="00F82822"/>
    <w:rsid w:val="00F83D13"/>
    <w:rsid w:val="00F8401E"/>
    <w:rsid w:val="00F8431E"/>
    <w:rsid w:val="00F8434A"/>
    <w:rsid w:val="00F85253"/>
    <w:rsid w:val="00F85924"/>
    <w:rsid w:val="00F86F7D"/>
    <w:rsid w:val="00F86FDF"/>
    <w:rsid w:val="00F87170"/>
    <w:rsid w:val="00F90992"/>
    <w:rsid w:val="00F913D5"/>
    <w:rsid w:val="00F91A67"/>
    <w:rsid w:val="00F9225C"/>
    <w:rsid w:val="00F93096"/>
    <w:rsid w:val="00F93F81"/>
    <w:rsid w:val="00F941CD"/>
    <w:rsid w:val="00F9450C"/>
    <w:rsid w:val="00F94BC7"/>
    <w:rsid w:val="00F94C4A"/>
    <w:rsid w:val="00F952C5"/>
    <w:rsid w:val="00F9613B"/>
    <w:rsid w:val="00F96B0E"/>
    <w:rsid w:val="00FA007A"/>
    <w:rsid w:val="00FA04AD"/>
    <w:rsid w:val="00FA06C9"/>
    <w:rsid w:val="00FA0722"/>
    <w:rsid w:val="00FA1C80"/>
    <w:rsid w:val="00FA1EB7"/>
    <w:rsid w:val="00FA20C4"/>
    <w:rsid w:val="00FA3258"/>
    <w:rsid w:val="00FA3EDF"/>
    <w:rsid w:val="00FA4617"/>
    <w:rsid w:val="00FA4EF0"/>
    <w:rsid w:val="00FA598D"/>
    <w:rsid w:val="00FA5C2D"/>
    <w:rsid w:val="00FA62DC"/>
    <w:rsid w:val="00FA6F85"/>
    <w:rsid w:val="00FA78E0"/>
    <w:rsid w:val="00FA7D2D"/>
    <w:rsid w:val="00FB159B"/>
    <w:rsid w:val="00FB41F2"/>
    <w:rsid w:val="00FB4C92"/>
    <w:rsid w:val="00FB5A1B"/>
    <w:rsid w:val="00FC1FA8"/>
    <w:rsid w:val="00FC2653"/>
    <w:rsid w:val="00FC3984"/>
    <w:rsid w:val="00FC4CED"/>
    <w:rsid w:val="00FC5551"/>
    <w:rsid w:val="00FC6E09"/>
    <w:rsid w:val="00FD02F7"/>
    <w:rsid w:val="00FD11B8"/>
    <w:rsid w:val="00FD1F0A"/>
    <w:rsid w:val="00FD3639"/>
    <w:rsid w:val="00FD5229"/>
    <w:rsid w:val="00FD55C0"/>
    <w:rsid w:val="00FD5681"/>
    <w:rsid w:val="00FD6876"/>
    <w:rsid w:val="00FD6C9D"/>
    <w:rsid w:val="00FD7A62"/>
    <w:rsid w:val="00FD7CF3"/>
    <w:rsid w:val="00FE23B1"/>
    <w:rsid w:val="00FE276D"/>
    <w:rsid w:val="00FE2D5D"/>
    <w:rsid w:val="00FE3D02"/>
    <w:rsid w:val="00FE3F3B"/>
    <w:rsid w:val="00FE5AE3"/>
    <w:rsid w:val="00FE6F53"/>
    <w:rsid w:val="00FF0560"/>
    <w:rsid w:val="00FF0E23"/>
    <w:rsid w:val="00FF1C5C"/>
    <w:rsid w:val="00FF27A2"/>
    <w:rsid w:val="00FF53C8"/>
    <w:rsid w:val="00FF6026"/>
    <w:rsid w:val="00FF65FD"/>
    <w:rsid w:val="00FF6BF1"/>
    <w:rsid w:val="00FF753A"/>
    <w:rsid w:val="00FF7AED"/>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58DFD73-FE1B-4652-8247-2E5D5F73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67465"/>
    <w:pPr>
      <w:tabs>
        <w:tab w:val="left" w:pos="1152"/>
      </w:tabs>
      <w:ind w:left="720"/>
    </w:pPr>
    <w:rPr>
      <w:sz w:val="22"/>
    </w:rPr>
  </w:style>
  <w:style w:type="character" w:customStyle="1" w:styleId="BodyTextChar">
    <w:name w:val="Body Text Char"/>
    <w:basedOn w:val="DefaultParagraphFont"/>
    <w:link w:val="BodyText"/>
    <w:semiHidden/>
    <w:rsid w:val="00867465"/>
    <w:rPr>
      <w:rFonts w:ascii="Times New Roman" w:eastAsia="Times New Roman" w:hAnsi="Times New Roman" w:cs="Times New Roman"/>
      <w:szCs w:val="20"/>
    </w:rPr>
  </w:style>
  <w:style w:type="paragraph" w:styleId="Footer">
    <w:name w:val="footer"/>
    <w:basedOn w:val="Normal"/>
    <w:link w:val="FooterChar"/>
    <w:uiPriority w:val="99"/>
    <w:rsid w:val="00867465"/>
    <w:pPr>
      <w:tabs>
        <w:tab w:val="center" w:pos="4320"/>
        <w:tab w:val="right" w:pos="8640"/>
      </w:tabs>
    </w:pPr>
  </w:style>
  <w:style w:type="character" w:customStyle="1" w:styleId="FooterChar">
    <w:name w:val="Footer Char"/>
    <w:basedOn w:val="DefaultParagraphFont"/>
    <w:link w:val="Footer"/>
    <w:uiPriority w:val="99"/>
    <w:rsid w:val="00867465"/>
    <w:rPr>
      <w:rFonts w:ascii="Times New Roman" w:eastAsia="Times New Roman" w:hAnsi="Times New Roman" w:cs="Times New Roman"/>
      <w:sz w:val="20"/>
      <w:szCs w:val="20"/>
    </w:rPr>
  </w:style>
  <w:style w:type="paragraph" w:styleId="NoSpacing">
    <w:name w:val="No Spacing"/>
    <w:uiPriority w:val="1"/>
    <w:qFormat/>
    <w:rsid w:val="00867465"/>
    <w:pPr>
      <w:spacing w:after="0" w:line="240" w:lineRule="auto"/>
    </w:pPr>
    <w:rPr>
      <w:rFonts w:ascii="Calibri" w:eastAsia="Calibri" w:hAnsi="Calibri" w:cs="Times New Roman"/>
    </w:rPr>
  </w:style>
  <w:style w:type="paragraph" w:styleId="ListParagraph">
    <w:name w:val="List Paragraph"/>
    <w:basedOn w:val="Normal"/>
    <w:uiPriority w:val="34"/>
    <w:qFormat/>
    <w:rsid w:val="00867465"/>
    <w:pPr>
      <w:ind w:left="720"/>
      <w:contextualSpacing/>
    </w:pPr>
  </w:style>
  <w:style w:type="paragraph" w:customStyle="1" w:styleId="CM35">
    <w:name w:val="CM35"/>
    <w:basedOn w:val="Normal"/>
    <w:next w:val="Normal"/>
    <w:uiPriority w:val="99"/>
    <w:rsid w:val="00931AB8"/>
    <w:pPr>
      <w:autoSpaceDE w:val="0"/>
      <w:autoSpaceDN w:val="0"/>
      <w:adjustRightInd w:val="0"/>
    </w:pPr>
    <w:rPr>
      <w:rFonts w:eastAsiaTheme="minorHAnsi"/>
      <w:sz w:val="24"/>
      <w:szCs w:val="24"/>
    </w:rPr>
  </w:style>
  <w:style w:type="paragraph" w:styleId="FootnoteText">
    <w:name w:val="footnote text"/>
    <w:basedOn w:val="Normal"/>
    <w:link w:val="FootnoteTextChar"/>
    <w:uiPriority w:val="99"/>
    <w:semiHidden/>
    <w:unhideWhenUsed/>
    <w:rsid w:val="00931AB8"/>
    <w:rPr>
      <w:rFonts w:ascii="Arial" w:hAnsi="Arial"/>
    </w:rPr>
  </w:style>
  <w:style w:type="character" w:customStyle="1" w:styleId="FootnoteTextChar">
    <w:name w:val="Footnote Text Char"/>
    <w:basedOn w:val="DefaultParagraphFont"/>
    <w:link w:val="FootnoteText"/>
    <w:uiPriority w:val="99"/>
    <w:semiHidden/>
    <w:rsid w:val="00931AB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31AB8"/>
    <w:rPr>
      <w:vertAlign w:val="superscript"/>
    </w:rPr>
  </w:style>
  <w:style w:type="paragraph" w:customStyle="1" w:styleId="Default">
    <w:name w:val="Default"/>
    <w:rsid w:val="00ED60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85BFE"/>
    <w:pPr>
      <w:tabs>
        <w:tab w:val="center" w:pos="4680"/>
        <w:tab w:val="right" w:pos="9360"/>
      </w:tabs>
    </w:pPr>
  </w:style>
  <w:style w:type="character" w:customStyle="1" w:styleId="HeaderChar">
    <w:name w:val="Header Char"/>
    <w:basedOn w:val="DefaultParagraphFont"/>
    <w:link w:val="Header"/>
    <w:uiPriority w:val="99"/>
    <w:rsid w:val="00D85BF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1CB2"/>
    <w:rPr>
      <w:sz w:val="18"/>
      <w:szCs w:val="18"/>
    </w:rPr>
  </w:style>
  <w:style w:type="paragraph" w:styleId="CommentText">
    <w:name w:val="annotation text"/>
    <w:basedOn w:val="Normal"/>
    <w:link w:val="CommentTextChar"/>
    <w:uiPriority w:val="99"/>
    <w:semiHidden/>
    <w:unhideWhenUsed/>
    <w:rsid w:val="00DF1CB2"/>
    <w:rPr>
      <w:sz w:val="24"/>
      <w:szCs w:val="24"/>
    </w:rPr>
  </w:style>
  <w:style w:type="character" w:customStyle="1" w:styleId="CommentTextChar">
    <w:name w:val="Comment Text Char"/>
    <w:basedOn w:val="DefaultParagraphFont"/>
    <w:link w:val="CommentText"/>
    <w:uiPriority w:val="99"/>
    <w:semiHidden/>
    <w:rsid w:val="00DF1CB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1CB2"/>
    <w:rPr>
      <w:b/>
      <w:bCs/>
      <w:sz w:val="20"/>
      <w:szCs w:val="20"/>
    </w:rPr>
  </w:style>
  <w:style w:type="character" w:customStyle="1" w:styleId="CommentSubjectChar">
    <w:name w:val="Comment Subject Char"/>
    <w:basedOn w:val="CommentTextChar"/>
    <w:link w:val="CommentSubject"/>
    <w:uiPriority w:val="99"/>
    <w:semiHidden/>
    <w:rsid w:val="00DF1CB2"/>
    <w:rPr>
      <w:rFonts w:ascii="Times New Roman" w:eastAsia="Times New Roman" w:hAnsi="Times New Roman" w:cs="Times New Roman"/>
      <w:b/>
      <w:bCs/>
      <w:sz w:val="20"/>
      <w:szCs w:val="20"/>
    </w:rPr>
  </w:style>
  <w:style w:type="paragraph" w:styleId="Revision">
    <w:name w:val="Revision"/>
    <w:hidden/>
    <w:uiPriority w:val="99"/>
    <w:semiHidden/>
    <w:rsid w:val="00DF1CB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F1C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CB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1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Harvard Vanguard Medical Associates</Company>
  <LinksUpToDate>false</LinksUpToDate>
  <CharactersWithSpaces>17852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2016-10-28T20:34:00Z</dcterms:created>
  <dc:creator>Nelson, Kim</dc:creator>
  <lastModifiedBy>Miller, Jessica</lastModifiedBy>
  <lastPrinted>2016-10-28T20:15:00Z</lastPrinted>
  <dcterms:modified xsi:type="dcterms:W3CDTF">2016-10-28T20:46:00Z</dcterms:modified>
  <revision>3</revision>
  <dc:title>Atrius Health</dc:title>
</coreProperties>
</file>