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Layout w:type="fixed"/>
        <w:tblLook w:val="0000" w:firstRow="0" w:lastRow="0" w:firstColumn="0" w:lastColumn="0" w:noHBand="0" w:noVBand="0"/>
      </w:tblPr>
      <w:tblGrid>
        <w:gridCol w:w="3600"/>
        <w:gridCol w:w="6300"/>
      </w:tblGrid>
      <w:tr w:rsidR="00D249B5" w:rsidRPr="00D249B5" w:rsidTr="001104F2">
        <w:tc>
          <w:tcPr>
            <w:tcW w:w="3600" w:type="dxa"/>
          </w:tcPr>
          <w:p w:rsidR="00D249B5" w:rsidRPr="00D249B5" w:rsidRDefault="00D249B5" w:rsidP="00D249B5">
            <w:pPr>
              <w:keepLines/>
              <w:tabs>
                <w:tab w:val="left" w:pos="92"/>
                <w:tab w:val="left" w:pos="1152"/>
              </w:tabs>
              <w:spacing w:line="240" w:lineRule="atLeast"/>
              <w:ind w:left="-1190"/>
              <w:jc w:val="right"/>
              <w:rPr>
                <w:rFonts w:ascii="Garamond" w:hAnsi="Garamond"/>
                <w:caps/>
                <w:spacing w:val="-140"/>
                <w:sz w:val="28"/>
              </w:rPr>
            </w:pPr>
            <w:bookmarkStart w:id="0" w:name="_GoBack"/>
            <w:bookmarkEnd w:id="0"/>
            <w:r w:rsidRPr="00D249B5">
              <w:rPr>
                <w:rFonts w:ascii="Garamond" w:hAnsi="Garamond"/>
                <w:caps/>
                <w:noProof/>
                <w:sz w:val="18"/>
              </w:rPr>
              <w:drawing>
                <wp:inline distT="0" distB="0" distL="0" distR="0" wp14:anchorId="46C48B6F" wp14:editId="7D25F89D">
                  <wp:extent cx="2141220" cy="457200"/>
                  <wp:effectExtent l="0" t="0" r="0" b="0"/>
                  <wp:docPr id="2" name="Picture 2" descr="Atrius Logo in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rius Logo in Col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41220" cy="457200"/>
                          </a:xfrm>
                          <a:prstGeom prst="rect">
                            <a:avLst/>
                          </a:prstGeom>
                          <a:noFill/>
                          <a:ln>
                            <a:noFill/>
                          </a:ln>
                        </pic:spPr>
                      </pic:pic>
                    </a:graphicData>
                  </a:graphic>
                </wp:inline>
              </w:drawing>
            </w:r>
          </w:p>
        </w:tc>
        <w:tc>
          <w:tcPr>
            <w:tcW w:w="6300" w:type="dxa"/>
          </w:tcPr>
          <w:p w:rsidR="00D249B5" w:rsidRPr="00D249B5" w:rsidRDefault="00D249B5" w:rsidP="00D249B5">
            <w:pPr>
              <w:ind w:left="3582"/>
              <w:rPr>
                <w:rFonts w:ascii="Arial Narrow" w:hAnsi="Arial Narrow"/>
                <w:sz w:val="16"/>
              </w:rPr>
            </w:pPr>
          </w:p>
          <w:p w:rsidR="00D249B5" w:rsidRPr="00D249B5" w:rsidRDefault="00D249B5" w:rsidP="00D249B5">
            <w:pPr>
              <w:ind w:left="3582"/>
              <w:rPr>
                <w:rFonts w:ascii="Arial Narrow" w:hAnsi="Arial Narrow"/>
                <w:b/>
                <w:sz w:val="16"/>
              </w:rPr>
            </w:pPr>
          </w:p>
          <w:p w:rsidR="00D249B5" w:rsidRPr="00D249B5" w:rsidRDefault="00D249B5" w:rsidP="00D249B5">
            <w:pPr>
              <w:ind w:left="3942"/>
              <w:rPr>
                <w:rFonts w:ascii="Arial Narrow" w:hAnsi="Arial Narrow"/>
                <w:color w:val="808080" w:themeColor="background1" w:themeShade="80"/>
                <w:sz w:val="16"/>
              </w:rPr>
            </w:pPr>
            <w:r w:rsidRPr="00D249B5">
              <w:rPr>
                <w:rFonts w:ascii="Arial Narrow" w:hAnsi="Arial Narrow"/>
                <w:b/>
                <w:color w:val="808080" w:themeColor="background1" w:themeShade="80"/>
                <w:sz w:val="16"/>
              </w:rPr>
              <w:t>Riverside Center</w:t>
            </w:r>
          </w:p>
          <w:p w:rsidR="00D249B5" w:rsidRPr="00D249B5" w:rsidRDefault="00D249B5" w:rsidP="00D249B5">
            <w:pPr>
              <w:ind w:left="3942"/>
              <w:rPr>
                <w:rFonts w:ascii="Arial Narrow" w:hAnsi="Arial Narrow"/>
                <w:color w:val="808080" w:themeColor="background1" w:themeShade="80"/>
                <w:sz w:val="16"/>
              </w:rPr>
            </w:pPr>
            <w:r w:rsidRPr="00D249B5">
              <w:rPr>
                <w:rFonts w:ascii="Arial Narrow" w:hAnsi="Arial Narrow"/>
                <w:color w:val="808080" w:themeColor="background1" w:themeShade="80"/>
                <w:sz w:val="16"/>
              </w:rPr>
              <w:t>275 Grove Street, Suite 3-300</w:t>
            </w:r>
          </w:p>
          <w:p w:rsidR="00D249B5" w:rsidRPr="00D249B5" w:rsidRDefault="00D249B5" w:rsidP="00D249B5">
            <w:pPr>
              <w:ind w:left="3942"/>
              <w:rPr>
                <w:rFonts w:ascii="Arial Narrow" w:hAnsi="Arial Narrow"/>
                <w:color w:val="808080" w:themeColor="background1" w:themeShade="80"/>
                <w:sz w:val="16"/>
              </w:rPr>
            </w:pPr>
            <w:r w:rsidRPr="00D249B5">
              <w:rPr>
                <w:rFonts w:ascii="Arial Narrow" w:hAnsi="Arial Narrow"/>
                <w:color w:val="808080" w:themeColor="background1" w:themeShade="80"/>
                <w:sz w:val="16"/>
              </w:rPr>
              <w:t>Newton, MA 02466-2275</w:t>
            </w:r>
          </w:p>
          <w:p w:rsidR="00D249B5" w:rsidRPr="00D249B5" w:rsidRDefault="00D249B5" w:rsidP="00D249B5">
            <w:pPr>
              <w:ind w:left="3942"/>
              <w:rPr>
                <w:rFonts w:ascii="Arial Narrow" w:hAnsi="Arial Narrow"/>
                <w:color w:val="808080" w:themeColor="background1" w:themeShade="80"/>
                <w:sz w:val="16"/>
              </w:rPr>
            </w:pPr>
          </w:p>
          <w:p w:rsidR="00D249B5" w:rsidRPr="00D249B5" w:rsidRDefault="00D249B5" w:rsidP="00D249B5">
            <w:pPr>
              <w:ind w:left="3942"/>
              <w:rPr>
                <w:rFonts w:ascii="Arial Narrow" w:hAnsi="Arial Narrow"/>
                <w:color w:val="808080" w:themeColor="background1" w:themeShade="80"/>
                <w:sz w:val="16"/>
              </w:rPr>
            </w:pPr>
            <w:r w:rsidRPr="00D249B5">
              <w:rPr>
                <w:rFonts w:ascii="Arial Narrow" w:hAnsi="Arial Narrow"/>
                <w:color w:val="808080" w:themeColor="background1" w:themeShade="80"/>
                <w:sz w:val="16"/>
              </w:rPr>
              <w:t>www.atriushealth.org</w:t>
            </w:r>
          </w:p>
          <w:p w:rsidR="00D249B5" w:rsidRPr="00D249B5" w:rsidRDefault="00D249B5" w:rsidP="00D249B5">
            <w:pPr>
              <w:ind w:left="3582"/>
              <w:rPr>
                <w:rFonts w:ascii="Arial Narrow" w:hAnsi="Arial Narrow"/>
                <w:spacing w:val="-140"/>
                <w:sz w:val="16"/>
              </w:rPr>
            </w:pPr>
          </w:p>
        </w:tc>
      </w:tr>
    </w:tbl>
    <w:p w:rsidR="00D249B5" w:rsidRPr="00D249B5" w:rsidRDefault="00D249B5" w:rsidP="00D249B5">
      <w:pPr>
        <w:ind w:left="630"/>
      </w:pPr>
    </w:p>
    <w:p w:rsidR="00AC3DE4" w:rsidRPr="00F15505" w:rsidRDefault="00AC3DE4" w:rsidP="00AC3DE4">
      <w:pPr>
        <w:ind w:right="720"/>
        <w:rPr>
          <w:sz w:val="24"/>
          <w:szCs w:val="24"/>
        </w:rPr>
      </w:pPr>
      <w:r w:rsidRPr="00F15505">
        <w:rPr>
          <w:sz w:val="24"/>
          <w:szCs w:val="24"/>
        </w:rPr>
        <w:t>BY ELECTRONIC MAIL</w:t>
      </w:r>
      <w:r w:rsidR="00D249B5" w:rsidRPr="00F15505">
        <w:rPr>
          <w:sz w:val="24"/>
          <w:szCs w:val="24"/>
        </w:rPr>
        <w:t>:</w:t>
      </w:r>
      <w:r w:rsidRPr="00F15505">
        <w:rPr>
          <w:sz w:val="24"/>
          <w:szCs w:val="24"/>
        </w:rPr>
        <w:t xml:space="preserve">  Eileen.Prebensen@state.ma.us</w:t>
      </w:r>
    </w:p>
    <w:p w:rsidR="00AC3DE4" w:rsidRPr="00F15505" w:rsidRDefault="00AC3DE4" w:rsidP="00AC3DE4">
      <w:pPr>
        <w:ind w:right="720"/>
        <w:rPr>
          <w:sz w:val="24"/>
          <w:szCs w:val="24"/>
        </w:rPr>
      </w:pPr>
    </w:p>
    <w:p w:rsidR="00AC3DE4" w:rsidRPr="00F15505" w:rsidRDefault="00AC3DE4" w:rsidP="00AC3DE4">
      <w:pPr>
        <w:ind w:right="720"/>
        <w:rPr>
          <w:sz w:val="24"/>
          <w:szCs w:val="24"/>
        </w:rPr>
      </w:pPr>
      <w:r w:rsidRPr="00F15505">
        <w:rPr>
          <w:sz w:val="24"/>
          <w:szCs w:val="24"/>
        </w:rPr>
        <w:t>May 1</w:t>
      </w:r>
      <w:r w:rsidR="00ED25FC">
        <w:rPr>
          <w:sz w:val="24"/>
          <w:szCs w:val="24"/>
        </w:rPr>
        <w:t>9</w:t>
      </w:r>
      <w:r w:rsidRPr="00F15505">
        <w:rPr>
          <w:sz w:val="24"/>
          <w:szCs w:val="24"/>
        </w:rPr>
        <w:t>, 2017</w:t>
      </w:r>
    </w:p>
    <w:p w:rsidR="00AC3DE4" w:rsidRPr="00F15505" w:rsidRDefault="00AC3DE4" w:rsidP="00AC3DE4">
      <w:pPr>
        <w:rPr>
          <w:sz w:val="24"/>
          <w:szCs w:val="24"/>
        </w:rPr>
      </w:pPr>
    </w:p>
    <w:p w:rsidR="00AC3DE4" w:rsidRPr="00F15505" w:rsidRDefault="00AC3DE4" w:rsidP="00AC3DE4">
      <w:pPr>
        <w:rPr>
          <w:sz w:val="24"/>
          <w:szCs w:val="24"/>
        </w:rPr>
      </w:pPr>
      <w:r w:rsidRPr="00F15505">
        <w:rPr>
          <w:sz w:val="24"/>
          <w:szCs w:val="24"/>
        </w:rPr>
        <w:t>George Zachos</w:t>
      </w:r>
    </w:p>
    <w:p w:rsidR="00AC3DE4" w:rsidRPr="00F15505" w:rsidRDefault="00AC3DE4" w:rsidP="00AC3DE4">
      <w:pPr>
        <w:rPr>
          <w:sz w:val="24"/>
          <w:szCs w:val="24"/>
        </w:rPr>
      </w:pPr>
      <w:r w:rsidRPr="00F15505">
        <w:rPr>
          <w:sz w:val="24"/>
          <w:szCs w:val="24"/>
        </w:rPr>
        <w:t>Executive Director</w:t>
      </w:r>
    </w:p>
    <w:p w:rsidR="00AC3DE4" w:rsidRPr="00F15505" w:rsidRDefault="00AC3DE4" w:rsidP="00AC3DE4">
      <w:pPr>
        <w:rPr>
          <w:sz w:val="24"/>
          <w:szCs w:val="24"/>
        </w:rPr>
      </w:pPr>
      <w:r w:rsidRPr="00F15505">
        <w:rPr>
          <w:sz w:val="24"/>
          <w:szCs w:val="24"/>
        </w:rPr>
        <w:t>Board of Registration in Medicine</w:t>
      </w:r>
    </w:p>
    <w:p w:rsidR="00AC3DE4" w:rsidRPr="00F15505" w:rsidRDefault="00AC3DE4" w:rsidP="00AC3DE4">
      <w:pPr>
        <w:rPr>
          <w:sz w:val="24"/>
          <w:szCs w:val="24"/>
        </w:rPr>
      </w:pPr>
      <w:r w:rsidRPr="00F15505">
        <w:rPr>
          <w:sz w:val="24"/>
          <w:szCs w:val="24"/>
        </w:rPr>
        <w:t>200 Harvard Mills Square</w:t>
      </w:r>
    </w:p>
    <w:p w:rsidR="00AC3DE4" w:rsidRPr="00F15505" w:rsidRDefault="00AC3DE4" w:rsidP="00AC3DE4">
      <w:pPr>
        <w:rPr>
          <w:sz w:val="24"/>
          <w:szCs w:val="24"/>
        </w:rPr>
      </w:pPr>
      <w:r w:rsidRPr="00F15505">
        <w:rPr>
          <w:sz w:val="24"/>
          <w:szCs w:val="24"/>
        </w:rPr>
        <w:t>Suite 330</w:t>
      </w:r>
    </w:p>
    <w:p w:rsidR="00AC3DE4" w:rsidRPr="00F15505" w:rsidRDefault="00AC3DE4" w:rsidP="00AC3DE4">
      <w:pPr>
        <w:rPr>
          <w:sz w:val="24"/>
          <w:szCs w:val="24"/>
        </w:rPr>
      </w:pPr>
      <w:r w:rsidRPr="00F15505">
        <w:rPr>
          <w:sz w:val="24"/>
          <w:szCs w:val="24"/>
        </w:rPr>
        <w:t>Wakefield, MA  01880</w:t>
      </w:r>
    </w:p>
    <w:p w:rsidR="00AC3DE4" w:rsidRPr="00F15505" w:rsidRDefault="00AC3DE4" w:rsidP="00AC3DE4">
      <w:pPr>
        <w:tabs>
          <w:tab w:val="left" w:pos="5630"/>
        </w:tabs>
        <w:rPr>
          <w:sz w:val="24"/>
          <w:szCs w:val="24"/>
        </w:rPr>
      </w:pPr>
      <w:r w:rsidRPr="00F15505">
        <w:rPr>
          <w:sz w:val="24"/>
          <w:szCs w:val="24"/>
        </w:rPr>
        <w:tab/>
      </w:r>
    </w:p>
    <w:p w:rsidR="00AC3DE4" w:rsidRPr="00F15505" w:rsidRDefault="00D249B5" w:rsidP="00AC3DE4">
      <w:pPr>
        <w:rPr>
          <w:b/>
          <w:sz w:val="24"/>
          <w:szCs w:val="24"/>
        </w:rPr>
      </w:pPr>
      <w:r w:rsidRPr="00F15505">
        <w:rPr>
          <w:b/>
          <w:sz w:val="24"/>
          <w:szCs w:val="24"/>
        </w:rPr>
        <w:tab/>
      </w:r>
      <w:r w:rsidR="00AC3DE4" w:rsidRPr="00F15505">
        <w:rPr>
          <w:b/>
          <w:sz w:val="24"/>
          <w:szCs w:val="24"/>
        </w:rPr>
        <w:t>Re:</w:t>
      </w:r>
      <w:r w:rsidR="00AC3DE4" w:rsidRPr="00F15505">
        <w:rPr>
          <w:b/>
          <w:sz w:val="24"/>
          <w:szCs w:val="24"/>
        </w:rPr>
        <w:tab/>
        <w:t>Comments on Proposed Amendments to 243 CMR 2.07(26)</w:t>
      </w:r>
    </w:p>
    <w:p w:rsidR="00D249B5" w:rsidRPr="00F15505" w:rsidRDefault="00D249B5" w:rsidP="00AC3DE4">
      <w:pPr>
        <w:rPr>
          <w:b/>
          <w:sz w:val="24"/>
          <w:szCs w:val="24"/>
        </w:rPr>
      </w:pPr>
    </w:p>
    <w:p w:rsidR="00AC3DE4" w:rsidRPr="00F15505" w:rsidRDefault="00AC3DE4" w:rsidP="00AC3DE4">
      <w:pPr>
        <w:rPr>
          <w:sz w:val="24"/>
          <w:szCs w:val="24"/>
        </w:rPr>
      </w:pPr>
    </w:p>
    <w:p w:rsidR="00AC3DE4" w:rsidRPr="00F15505" w:rsidRDefault="00AC3DE4" w:rsidP="00AC3DE4">
      <w:pPr>
        <w:pStyle w:val="BodyText"/>
        <w:ind w:left="0"/>
        <w:rPr>
          <w:sz w:val="24"/>
          <w:szCs w:val="24"/>
        </w:rPr>
      </w:pPr>
      <w:r w:rsidRPr="00F15505">
        <w:rPr>
          <w:sz w:val="24"/>
          <w:szCs w:val="24"/>
        </w:rPr>
        <w:t>Dear Executive Director Zachos:</w:t>
      </w:r>
    </w:p>
    <w:p w:rsidR="00AC3DE4" w:rsidRPr="00F15505" w:rsidRDefault="00AC3DE4" w:rsidP="00681E88">
      <w:pPr>
        <w:pStyle w:val="BodyText"/>
        <w:ind w:left="0"/>
        <w:jc w:val="both"/>
        <w:rPr>
          <w:sz w:val="24"/>
          <w:szCs w:val="24"/>
        </w:rPr>
      </w:pPr>
    </w:p>
    <w:p w:rsidR="0026535C" w:rsidRPr="00F15505" w:rsidRDefault="00AC3DE4" w:rsidP="00681E88">
      <w:pPr>
        <w:pStyle w:val="BodyText"/>
        <w:tabs>
          <w:tab w:val="left" w:pos="5760"/>
        </w:tabs>
        <w:ind w:left="0"/>
        <w:jc w:val="both"/>
        <w:rPr>
          <w:sz w:val="24"/>
          <w:szCs w:val="24"/>
        </w:rPr>
      </w:pPr>
      <w:r w:rsidRPr="00F15505">
        <w:rPr>
          <w:sz w:val="24"/>
          <w:szCs w:val="24"/>
        </w:rPr>
        <w:t>On behalf of Atrius Health, we are writing to provide comments on proposed amendments to the Boar</w:t>
      </w:r>
      <w:r w:rsidR="00ED25FC">
        <w:rPr>
          <w:sz w:val="24"/>
          <w:szCs w:val="24"/>
        </w:rPr>
        <w:t>d of Registration in Medicine (</w:t>
      </w:r>
      <w:r w:rsidR="00F50D99" w:rsidRPr="00F15505">
        <w:rPr>
          <w:sz w:val="24"/>
          <w:szCs w:val="24"/>
        </w:rPr>
        <w:t>the “Board”) R</w:t>
      </w:r>
      <w:r w:rsidRPr="00F15505">
        <w:rPr>
          <w:sz w:val="24"/>
          <w:szCs w:val="24"/>
        </w:rPr>
        <w:t xml:space="preserve">egulations, 243 CMR 2.07(26) (“Regulations”).  We want to thank the Board for undertaking this review and we support many of the proposed changes.  However, Atrius Health believes the Board should reconsider </w:t>
      </w:r>
      <w:r w:rsidR="0026535C" w:rsidRPr="00F15505">
        <w:rPr>
          <w:sz w:val="24"/>
          <w:szCs w:val="24"/>
        </w:rPr>
        <w:t>the proposed revisions to the informed consent requirements</w:t>
      </w:r>
      <w:r w:rsidRPr="00F15505">
        <w:rPr>
          <w:sz w:val="24"/>
          <w:szCs w:val="24"/>
        </w:rPr>
        <w:t xml:space="preserve"> </w:t>
      </w:r>
      <w:r w:rsidR="0026535C" w:rsidRPr="00F15505">
        <w:rPr>
          <w:sz w:val="24"/>
          <w:szCs w:val="24"/>
        </w:rPr>
        <w:t xml:space="preserve">set forth in the proposed Regulations at 243 CMR 2.07(26) and 243 CMR 3.10. </w:t>
      </w:r>
    </w:p>
    <w:p w:rsidR="008847C1" w:rsidRPr="00F15505" w:rsidRDefault="008847C1" w:rsidP="00681E88">
      <w:pPr>
        <w:pStyle w:val="BodyText"/>
        <w:tabs>
          <w:tab w:val="left" w:pos="5760"/>
        </w:tabs>
        <w:ind w:left="0"/>
        <w:jc w:val="both"/>
        <w:rPr>
          <w:sz w:val="24"/>
          <w:szCs w:val="24"/>
        </w:rPr>
      </w:pPr>
    </w:p>
    <w:p w:rsidR="00AC3DE4" w:rsidRPr="00F15505" w:rsidRDefault="00AC3DE4" w:rsidP="00681E88">
      <w:pPr>
        <w:pStyle w:val="BodyText"/>
        <w:tabs>
          <w:tab w:val="left" w:pos="5760"/>
        </w:tabs>
        <w:ind w:left="0"/>
        <w:jc w:val="both"/>
        <w:rPr>
          <w:b/>
          <w:sz w:val="24"/>
          <w:szCs w:val="24"/>
          <w:u w:val="single"/>
        </w:rPr>
      </w:pPr>
      <w:r w:rsidRPr="00F15505">
        <w:rPr>
          <w:b/>
          <w:sz w:val="24"/>
          <w:szCs w:val="24"/>
          <w:u w:val="single"/>
        </w:rPr>
        <w:t>Background</w:t>
      </w:r>
    </w:p>
    <w:p w:rsidR="00AC3DE4" w:rsidRPr="00F15505" w:rsidRDefault="00AC3DE4" w:rsidP="00681E88">
      <w:pPr>
        <w:jc w:val="both"/>
        <w:rPr>
          <w:sz w:val="24"/>
          <w:szCs w:val="24"/>
        </w:rPr>
      </w:pPr>
    </w:p>
    <w:p w:rsidR="00AC3DE4" w:rsidRPr="00F15505" w:rsidRDefault="00AC3DE4" w:rsidP="00681E88">
      <w:pPr>
        <w:jc w:val="both"/>
        <w:rPr>
          <w:sz w:val="24"/>
          <w:szCs w:val="24"/>
        </w:rPr>
      </w:pPr>
      <w:r w:rsidRPr="00F15505">
        <w:rPr>
          <w:sz w:val="24"/>
          <w:szCs w:val="24"/>
        </w:rPr>
        <w:t xml:space="preserve">Atrius Health, an innovative nonprofit healthcare leader, delivers an effective system of connected care for more than 675,000 adult and pediatric patients in eastern and central Massachusetts. Atrius Health’s 29 medical practices, with more than 35 specialties and 750 physicians, work together with the home health and hospice services of its VNA Care Network Foundation subsidiary and in close collaboration with hospital partners, community specialists and skilled nursing facilities. Atrius Health continues to do business as Harvard Vanguard Medical Associates, and currently has seventeen (17) Harvard Vanguard practice locations that are clinics licensed by the Department of Public Health (“DPH”) in accordance with M.G.L. c. 111 s. 51 and 105 CMR 140 (“Clinics”).   </w:t>
      </w:r>
    </w:p>
    <w:p w:rsidR="00AC3DE4" w:rsidRPr="00F15505" w:rsidRDefault="00AC3DE4" w:rsidP="00681E88">
      <w:pPr>
        <w:autoSpaceDE w:val="0"/>
        <w:autoSpaceDN w:val="0"/>
        <w:adjustRightInd w:val="0"/>
        <w:jc w:val="both"/>
        <w:rPr>
          <w:rFonts w:eastAsia="Calibri"/>
          <w:sz w:val="24"/>
          <w:szCs w:val="24"/>
        </w:rPr>
      </w:pPr>
    </w:p>
    <w:p w:rsidR="00AC3DE4" w:rsidRPr="00F15505" w:rsidRDefault="00AC3DE4" w:rsidP="00681E88">
      <w:pPr>
        <w:jc w:val="both"/>
        <w:rPr>
          <w:rFonts w:eastAsia="Calibri"/>
          <w:b/>
          <w:sz w:val="24"/>
          <w:szCs w:val="24"/>
          <w:u w:val="single"/>
        </w:rPr>
      </w:pPr>
      <w:r w:rsidRPr="00F15505">
        <w:rPr>
          <w:rFonts w:eastAsia="Calibri"/>
          <w:b/>
          <w:sz w:val="24"/>
          <w:szCs w:val="24"/>
          <w:u w:val="single"/>
        </w:rPr>
        <w:t>Comments</w:t>
      </w:r>
      <w:r w:rsidR="008847C1" w:rsidRPr="00F15505">
        <w:rPr>
          <w:rFonts w:eastAsia="Calibri"/>
          <w:b/>
          <w:sz w:val="24"/>
          <w:szCs w:val="24"/>
          <w:u w:val="single"/>
        </w:rPr>
        <w:t xml:space="preserve"> - </w:t>
      </w:r>
      <w:r w:rsidR="008847C1" w:rsidRPr="00F15505">
        <w:rPr>
          <w:b/>
          <w:sz w:val="24"/>
          <w:szCs w:val="24"/>
          <w:u w:val="single"/>
        </w:rPr>
        <w:t>243 CMR 2.07(26)</w:t>
      </w:r>
    </w:p>
    <w:p w:rsidR="0026535C" w:rsidRPr="00F15505" w:rsidRDefault="0026535C" w:rsidP="00681E88">
      <w:pPr>
        <w:jc w:val="both"/>
        <w:rPr>
          <w:rFonts w:eastAsia="Calibri"/>
          <w:b/>
          <w:sz w:val="24"/>
          <w:szCs w:val="24"/>
          <w:u w:val="single"/>
        </w:rPr>
      </w:pPr>
    </w:p>
    <w:p w:rsidR="00681E88" w:rsidRPr="00F15505" w:rsidRDefault="005A3CD1" w:rsidP="00681E88">
      <w:pPr>
        <w:jc w:val="both"/>
        <w:rPr>
          <w:sz w:val="24"/>
          <w:szCs w:val="24"/>
        </w:rPr>
      </w:pPr>
      <w:r w:rsidRPr="00F15505">
        <w:rPr>
          <w:sz w:val="24"/>
          <w:szCs w:val="24"/>
        </w:rPr>
        <w:t xml:space="preserve">The </w:t>
      </w:r>
      <w:r w:rsidR="009338B3" w:rsidRPr="00F15505">
        <w:rPr>
          <w:sz w:val="24"/>
          <w:szCs w:val="24"/>
        </w:rPr>
        <w:t xml:space="preserve">new </w:t>
      </w:r>
      <w:r w:rsidRPr="00F15505">
        <w:rPr>
          <w:sz w:val="24"/>
          <w:szCs w:val="24"/>
        </w:rPr>
        <w:t xml:space="preserve">language regarding informed consent </w:t>
      </w:r>
      <w:r w:rsidR="009338B3" w:rsidRPr="00F15505">
        <w:rPr>
          <w:sz w:val="24"/>
          <w:szCs w:val="24"/>
        </w:rPr>
        <w:t>set forth in 243 CMR 2.07(26) and 243 CMR 3.10(1) provides</w:t>
      </w:r>
      <w:r w:rsidR="00222F42" w:rsidRPr="00F15505">
        <w:rPr>
          <w:sz w:val="24"/>
          <w:szCs w:val="24"/>
        </w:rPr>
        <w:t xml:space="preserve"> in part</w:t>
      </w:r>
      <w:r w:rsidR="009338B3" w:rsidRPr="00F15505">
        <w:rPr>
          <w:sz w:val="24"/>
          <w:szCs w:val="24"/>
        </w:rPr>
        <w:t xml:space="preserve">:  </w:t>
      </w:r>
      <w:r w:rsidR="00222F42" w:rsidRPr="00F15505">
        <w:rPr>
          <w:sz w:val="24"/>
          <w:szCs w:val="24"/>
        </w:rPr>
        <w:t>“</w:t>
      </w:r>
      <w:r w:rsidR="009338B3" w:rsidRPr="00F15505">
        <w:rPr>
          <w:sz w:val="24"/>
          <w:szCs w:val="24"/>
          <w:u w:val="single"/>
        </w:rPr>
        <w:t>Informed Consent</w:t>
      </w:r>
      <w:r w:rsidR="009338B3" w:rsidRPr="00F15505">
        <w:rPr>
          <w:sz w:val="24"/>
          <w:szCs w:val="24"/>
        </w:rPr>
        <w:t>. A physician has the obligation to obtain and record a patient’s written informed consent before diagnostic, therapeutic or invasive procedures, medical interventions or treatments.</w:t>
      </w:r>
      <w:r w:rsidR="00222F42" w:rsidRPr="00F15505">
        <w:rPr>
          <w:sz w:val="24"/>
          <w:szCs w:val="24"/>
        </w:rPr>
        <w:t>”</w:t>
      </w:r>
      <w:r w:rsidR="009338B3" w:rsidRPr="00F15505">
        <w:rPr>
          <w:sz w:val="24"/>
          <w:szCs w:val="24"/>
        </w:rPr>
        <w:t xml:space="preserve">  The redlined Regulations show that the word “major” between the wor</w:t>
      </w:r>
      <w:r w:rsidR="00D249B5" w:rsidRPr="00F15505">
        <w:rPr>
          <w:sz w:val="24"/>
          <w:szCs w:val="24"/>
        </w:rPr>
        <w:t>d</w:t>
      </w:r>
      <w:r w:rsidR="009338B3" w:rsidRPr="00F15505">
        <w:rPr>
          <w:sz w:val="24"/>
          <w:szCs w:val="24"/>
        </w:rPr>
        <w:t>s “before” and “</w:t>
      </w:r>
      <w:r w:rsidR="00D249B5" w:rsidRPr="00F15505">
        <w:rPr>
          <w:sz w:val="24"/>
          <w:szCs w:val="24"/>
        </w:rPr>
        <w:t>diagnostic” has</w:t>
      </w:r>
      <w:r w:rsidR="00E02B4E" w:rsidRPr="00F15505">
        <w:rPr>
          <w:sz w:val="24"/>
          <w:szCs w:val="24"/>
        </w:rPr>
        <w:t xml:space="preserve"> been </w:t>
      </w:r>
      <w:r w:rsidR="009338B3" w:rsidRPr="00F15505">
        <w:rPr>
          <w:sz w:val="24"/>
          <w:szCs w:val="24"/>
        </w:rPr>
        <w:t xml:space="preserve">deleted in the current draft of the proposed Regulations.  Atrius Health believes that deleting the word “major” results in an overly </w:t>
      </w:r>
      <w:r w:rsidR="009338B3" w:rsidRPr="00F15505">
        <w:rPr>
          <w:sz w:val="24"/>
          <w:szCs w:val="24"/>
        </w:rPr>
        <w:lastRenderedPageBreak/>
        <w:t xml:space="preserve">broad and burdensome </w:t>
      </w:r>
      <w:r w:rsidR="00681E88" w:rsidRPr="00F15505">
        <w:rPr>
          <w:sz w:val="24"/>
          <w:szCs w:val="24"/>
        </w:rPr>
        <w:t>application of the</w:t>
      </w:r>
      <w:r w:rsidR="00F15505" w:rsidRPr="00F15505">
        <w:rPr>
          <w:sz w:val="24"/>
          <w:szCs w:val="24"/>
        </w:rPr>
        <w:t xml:space="preserve"> written informed consent requirements for physicians,</w:t>
      </w:r>
      <w:r w:rsidR="00F15505">
        <w:rPr>
          <w:sz w:val="24"/>
          <w:szCs w:val="24"/>
        </w:rPr>
        <w:t xml:space="preserve"> </w:t>
      </w:r>
      <w:r w:rsidR="00681E88" w:rsidRPr="00F15505">
        <w:rPr>
          <w:sz w:val="24"/>
          <w:szCs w:val="24"/>
        </w:rPr>
        <w:t xml:space="preserve">which are inconsistent with well-established legal standards regarding informed consent.  </w:t>
      </w:r>
      <w:r w:rsidR="00681E88" w:rsidRPr="00F15505">
        <w:rPr>
          <w:sz w:val="24"/>
          <w:szCs w:val="24"/>
        </w:rPr>
        <w:br w:type="page"/>
      </w:r>
    </w:p>
    <w:p w:rsidR="00F15505" w:rsidRDefault="00F15505" w:rsidP="00681E88">
      <w:pPr>
        <w:jc w:val="both"/>
        <w:rPr>
          <w:sz w:val="24"/>
          <w:szCs w:val="24"/>
        </w:rPr>
      </w:pPr>
    </w:p>
    <w:p w:rsidR="00F15505" w:rsidRDefault="00F15505" w:rsidP="00F15505">
      <w:pPr>
        <w:tabs>
          <w:tab w:val="left" w:pos="8412"/>
        </w:tabs>
        <w:jc w:val="both"/>
        <w:rPr>
          <w:sz w:val="24"/>
          <w:szCs w:val="24"/>
        </w:rPr>
      </w:pPr>
      <w:r>
        <w:rPr>
          <w:sz w:val="24"/>
          <w:szCs w:val="24"/>
        </w:rPr>
        <w:tab/>
      </w:r>
    </w:p>
    <w:p w:rsidR="00681E88" w:rsidRPr="00F15505" w:rsidRDefault="00681E88" w:rsidP="00681E88">
      <w:pPr>
        <w:jc w:val="both"/>
        <w:rPr>
          <w:sz w:val="24"/>
          <w:szCs w:val="24"/>
        </w:rPr>
      </w:pPr>
      <w:r w:rsidRPr="00F15505">
        <w:rPr>
          <w:sz w:val="24"/>
          <w:szCs w:val="24"/>
        </w:rPr>
        <w:t>George Zachos, Executive Director</w:t>
      </w:r>
    </w:p>
    <w:p w:rsidR="00681E88" w:rsidRPr="00F15505" w:rsidRDefault="00681E88" w:rsidP="00681E88">
      <w:pPr>
        <w:jc w:val="both"/>
        <w:rPr>
          <w:sz w:val="24"/>
          <w:szCs w:val="24"/>
        </w:rPr>
      </w:pPr>
      <w:r w:rsidRPr="00F15505">
        <w:rPr>
          <w:sz w:val="24"/>
          <w:szCs w:val="24"/>
        </w:rPr>
        <w:t>Re: Comments on Proposed Amendments to 243 CMR 2.07(26)</w:t>
      </w:r>
    </w:p>
    <w:p w:rsidR="00681E88" w:rsidRPr="00F15505" w:rsidRDefault="00681E88" w:rsidP="00681E88">
      <w:pPr>
        <w:jc w:val="both"/>
        <w:rPr>
          <w:sz w:val="24"/>
          <w:szCs w:val="24"/>
        </w:rPr>
      </w:pPr>
      <w:r w:rsidRPr="00F15505">
        <w:rPr>
          <w:sz w:val="24"/>
          <w:szCs w:val="24"/>
        </w:rPr>
        <w:t>May 19, 2017</w:t>
      </w:r>
    </w:p>
    <w:p w:rsidR="00681E88" w:rsidRPr="00F15505" w:rsidRDefault="00681E88" w:rsidP="00681E88">
      <w:pPr>
        <w:jc w:val="both"/>
        <w:rPr>
          <w:sz w:val="24"/>
          <w:szCs w:val="24"/>
        </w:rPr>
      </w:pPr>
      <w:r w:rsidRPr="00F15505">
        <w:rPr>
          <w:sz w:val="24"/>
          <w:szCs w:val="24"/>
        </w:rPr>
        <w:t>Page Two</w:t>
      </w:r>
    </w:p>
    <w:p w:rsidR="00681E88" w:rsidRPr="00F15505" w:rsidRDefault="00681E88" w:rsidP="00681E88">
      <w:pPr>
        <w:jc w:val="both"/>
        <w:rPr>
          <w:sz w:val="24"/>
          <w:szCs w:val="24"/>
        </w:rPr>
      </w:pPr>
    </w:p>
    <w:p w:rsidR="00222F42" w:rsidRPr="00F15505" w:rsidRDefault="00222F42" w:rsidP="00681E88">
      <w:pPr>
        <w:jc w:val="both"/>
        <w:rPr>
          <w:sz w:val="24"/>
          <w:szCs w:val="24"/>
        </w:rPr>
      </w:pPr>
    </w:p>
    <w:p w:rsidR="0007491D" w:rsidRPr="00F15505" w:rsidRDefault="008847C1" w:rsidP="00681E88">
      <w:pPr>
        <w:jc w:val="both"/>
        <w:rPr>
          <w:sz w:val="24"/>
          <w:szCs w:val="24"/>
        </w:rPr>
      </w:pPr>
      <w:r w:rsidRPr="00F15505">
        <w:rPr>
          <w:sz w:val="24"/>
          <w:szCs w:val="24"/>
        </w:rPr>
        <w:t xml:space="preserve">As a multi-specialty </w:t>
      </w:r>
      <w:r w:rsidR="005A3CD1" w:rsidRPr="00F15505">
        <w:rPr>
          <w:sz w:val="24"/>
          <w:szCs w:val="24"/>
        </w:rPr>
        <w:t>ambulatory medical group practice, Atrius Health clinicians provide care and treatment to their patients for a broad range of conditions that require “medical interventions or treatments</w:t>
      </w:r>
      <w:r w:rsidR="00E02B4E" w:rsidRPr="00F15505">
        <w:rPr>
          <w:sz w:val="24"/>
          <w:szCs w:val="24"/>
        </w:rPr>
        <w:t>.</w:t>
      </w:r>
      <w:r w:rsidR="005A3CD1" w:rsidRPr="00F15505">
        <w:rPr>
          <w:sz w:val="24"/>
          <w:szCs w:val="24"/>
        </w:rPr>
        <w:t>”</w:t>
      </w:r>
      <w:r w:rsidR="00D249B5" w:rsidRPr="00F15505">
        <w:rPr>
          <w:sz w:val="24"/>
          <w:szCs w:val="24"/>
        </w:rPr>
        <w:t xml:space="preserve"> </w:t>
      </w:r>
      <w:r w:rsidR="006A0B2D" w:rsidRPr="00F15505">
        <w:rPr>
          <w:sz w:val="24"/>
          <w:szCs w:val="24"/>
        </w:rPr>
        <w:t xml:space="preserve"> Atrius Health physicians have expressed appropriate concern that the proposed Regulations could be construed to require written informed consent for virtually all care </w:t>
      </w:r>
      <w:r w:rsidR="00E02B4E" w:rsidRPr="00F15505">
        <w:rPr>
          <w:sz w:val="24"/>
          <w:szCs w:val="24"/>
        </w:rPr>
        <w:t xml:space="preserve">and </w:t>
      </w:r>
      <w:r w:rsidR="00D249B5" w:rsidRPr="00F15505">
        <w:rPr>
          <w:sz w:val="24"/>
          <w:szCs w:val="24"/>
        </w:rPr>
        <w:t>treatment</w:t>
      </w:r>
      <w:r w:rsidR="006A0B2D" w:rsidRPr="00F15505">
        <w:rPr>
          <w:sz w:val="24"/>
          <w:szCs w:val="24"/>
        </w:rPr>
        <w:t>,</w:t>
      </w:r>
      <w:r w:rsidR="00E02B4E" w:rsidRPr="00F15505">
        <w:rPr>
          <w:sz w:val="24"/>
          <w:szCs w:val="24"/>
        </w:rPr>
        <w:t xml:space="preserve"> including</w:t>
      </w:r>
      <w:r w:rsidR="006A0B2D" w:rsidRPr="00F15505">
        <w:rPr>
          <w:sz w:val="24"/>
          <w:szCs w:val="24"/>
        </w:rPr>
        <w:t xml:space="preserve"> </w:t>
      </w:r>
      <w:r w:rsidR="00222F42" w:rsidRPr="00F15505">
        <w:rPr>
          <w:sz w:val="24"/>
          <w:szCs w:val="24"/>
        </w:rPr>
        <w:t>common prescripti</w:t>
      </w:r>
      <w:r w:rsidR="006A0B2D" w:rsidRPr="00F15505">
        <w:rPr>
          <w:sz w:val="24"/>
          <w:szCs w:val="24"/>
        </w:rPr>
        <w:t>ons, chest x-ray order</w:t>
      </w:r>
      <w:r w:rsidR="00E02B4E" w:rsidRPr="00F15505">
        <w:rPr>
          <w:sz w:val="24"/>
          <w:szCs w:val="24"/>
        </w:rPr>
        <w:t>s</w:t>
      </w:r>
      <w:r w:rsidR="006A0B2D" w:rsidRPr="00F15505">
        <w:rPr>
          <w:sz w:val="24"/>
          <w:szCs w:val="24"/>
        </w:rPr>
        <w:t>,</w:t>
      </w:r>
      <w:r w:rsidR="00E02B4E" w:rsidRPr="00F15505">
        <w:rPr>
          <w:sz w:val="24"/>
          <w:szCs w:val="24"/>
        </w:rPr>
        <w:t xml:space="preserve"> and</w:t>
      </w:r>
      <w:r w:rsidR="006A0B2D" w:rsidRPr="00F15505">
        <w:rPr>
          <w:sz w:val="24"/>
          <w:szCs w:val="24"/>
        </w:rPr>
        <w:t xml:space="preserve"> minor </w:t>
      </w:r>
      <w:r w:rsidR="00222F42" w:rsidRPr="00F15505">
        <w:rPr>
          <w:sz w:val="24"/>
          <w:szCs w:val="24"/>
        </w:rPr>
        <w:t>dermatology procedures</w:t>
      </w:r>
      <w:r w:rsidR="00E02B4E" w:rsidRPr="00F15505">
        <w:rPr>
          <w:sz w:val="24"/>
          <w:szCs w:val="24"/>
        </w:rPr>
        <w:t>.</w:t>
      </w:r>
      <w:r w:rsidR="00222F42" w:rsidRPr="00F15505">
        <w:rPr>
          <w:sz w:val="24"/>
          <w:szCs w:val="24"/>
        </w:rPr>
        <w:t xml:space="preserve">  Atrius Health requests that the Board provide further clarification on the intent of the new requirements including examples of the specific “diagnostic, therapeutic or invasive procedures, medical interventions or treatments” for which the Board expects the physician to obtain written informed consent. </w:t>
      </w:r>
      <w:r w:rsidR="00D249B5" w:rsidRPr="00F15505">
        <w:rPr>
          <w:sz w:val="24"/>
          <w:szCs w:val="24"/>
        </w:rPr>
        <w:t xml:space="preserve"> </w:t>
      </w:r>
      <w:r w:rsidR="00222F42" w:rsidRPr="00F15505">
        <w:rPr>
          <w:sz w:val="24"/>
          <w:szCs w:val="24"/>
        </w:rPr>
        <w:t>In addition, Atrius Health supports</w:t>
      </w:r>
      <w:r w:rsidR="0026535C" w:rsidRPr="00F15505">
        <w:rPr>
          <w:sz w:val="24"/>
          <w:szCs w:val="24"/>
        </w:rPr>
        <w:t xml:space="preserve"> </w:t>
      </w:r>
      <w:r w:rsidR="0007491D" w:rsidRPr="00F15505">
        <w:rPr>
          <w:sz w:val="24"/>
          <w:szCs w:val="24"/>
        </w:rPr>
        <w:t xml:space="preserve">the comments </w:t>
      </w:r>
      <w:r w:rsidR="00D71022" w:rsidRPr="00F15505">
        <w:rPr>
          <w:sz w:val="24"/>
          <w:szCs w:val="24"/>
        </w:rPr>
        <w:t xml:space="preserve">previously </w:t>
      </w:r>
      <w:r w:rsidR="0007491D" w:rsidRPr="00F15505">
        <w:rPr>
          <w:sz w:val="24"/>
          <w:szCs w:val="24"/>
        </w:rPr>
        <w:t xml:space="preserve">submitted by </w:t>
      </w:r>
      <w:r w:rsidR="00D71022" w:rsidRPr="00F15505">
        <w:rPr>
          <w:sz w:val="24"/>
          <w:szCs w:val="24"/>
        </w:rPr>
        <w:t xml:space="preserve">the </w:t>
      </w:r>
      <w:r w:rsidR="0007491D" w:rsidRPr="00F15505">
        <w:rPr>
          <w:rFonts w:eastAsia="Calibri"/>
          <w:sz w:val="24"/>
          <w:szCs w:val="24"/>
        </w:rPr>
        <w:t>Massachusetts Medical Societ</w:t>
      </w:r>
      <w:r w:rsidR="00D71022" w:rsidRPr="00F15505">
        <w:rPr>
          <w:rFonts w:eastAsia="Calibri"/>
          <w:sz w:val="24"/>
          <w:szCs w:val="24"/>
        </w:rPr>
        <w:t>y and the Massachusetts Health and</w:t>
      </w:r>
      <w:r w:rsidR="0007491D" w:rsidRPr="00F15505">
        <w:rPr>
          <w:rFonts w:eastAsia="Calibri"/>
          <w:sz w:val="24"/>
          <w:szCs w:val="24"/>
        </w:rPr>
        <w:t xml:space="preserve"> Hospital Association</w:t>
      </w:r>
      <w:r w:rsidR="0007491D" w:rsidRPr="00F15505">
        <w:rPr>
          <w:sz w:val="24"/>
          <w:szCs w:val="24"/>
        </w:rPr>
        <w:t>, as well as the comments submitted by many other provider entities, with regard to the proposed inform</w:t>
      </w:r>
      <w:r w:rsidR="00D71022" w:rsidRPr="00F15505">
        <w:rPr>
          <w:sz w:val="24"/>
          <w:szCs w:val="24"/>
        </w:rPr>
        <w:t xml:space="preserve">ed </w:t>
      </w:r>
      <w:r w:rsidR="0007491D" w:rsidRPr="00F15505">
        <w:rPr>
          <w:sz w:val="24"/>
          <w:szCs w:val="24"/>
        </w:rPr>
        <w:t>consent language set forth in 243 CMR 3</w:t>
      </w:r>
      <w:r w:rsidR="00A75BEE" w:rsidRPr="00F15505">
        <w:rPr>
          <w:sz w:val="24"/>
          <w:szCs w:val="24"/>
        </w:rPr>
        <w:t>.</w:t>
      </w:r>
      <w:r w:rsidR="0007491D" w:rsidRPr="00F15505">
        <w:rPr>
          <w:sz w:val="24"/>
          <w:szCs w:val="24"/>
        </w:rPr>
        <w:t>10(1)</w:t>
      </w:r>
      <w:r w:rsidR="0026535C" w:rsidRPr="00F15505">
        <w:rPr>
          <w:sz w:val="24"/>
          <w:szCs w:val="24"/>
        </w:rPr>
        <w:t xml:space="preserve"> </w:t>
      </w:r>
      <w:r w:rsidR="0007491D" w:rsidRPr="00F15505">
        <w:rPr>
          <w:sz w:val="24"/>
          <w:szCs w:val="24"/>
        </w:rPr>
        <w:t>(</w:t>
      </w:r>
      <w:r w:rsidR="00D71022" w:rsidRPr="00F15505">
        <w:rPr>
          <w:sz w:val="24"/>
          <w:szCs w:val="24"/>
        </w:rPr>
        <w:t xml:space="preserve">which is identical to the </w:t>
      </w:r>
      <w:r w:rsidR="0007491D" w:rsidRPr="00F15505">
        <w:rPr>
          <w:sz w:val="24"/>
          <w:szCs w:val="24"/>
        </w:rPr>
        <w:t xml:space="preserve">language </w:t>
      </w:r>
      <w:r w:rsidR="00D71022" w:rsidRPr="00F15505">
        <w:rPr>
          <w:sz w:val="24"/>
          <w:szCs w:val="24"/>
        </w:rPr>
        <w:t>in</w:t>
      </w:r>
      <w:r w:rsidR="0007491D" w:rsidRPr="00F15505">
        <w:rPr>
          <w:sz w:val="24"/>
          <w:szCs w:val="24"/>
        </w:rPr>
        <w:t xml:space="preserve"> 243 CMR 2.07(26)).</w:t>
      </w:r>
    </w:p>
    <w:p w:rsidR="0007491D" w:rsidRPr="00F15505" w:rsidRDefault="0007491D" w:rsidP="00681E88">
      <w:pPr>
        <w:jc w:val="both"/>
        <w:rPr>
          <w:sz w:val="24"/>
          <w:szCs w:val="24"/>
        </w:rPr>
      </w:pPr>
    </w:p>
    <w:p w:rsidR="0026535C" w:rsidRPr="00F15505" w:rsidRDefault="0007491D" w:rsidP="00681E88">
      <w:pPr>
        <w:jc w:val="both"/>
        <w:rPr>
          <w:sz w:val="24"/>
          <w:szCs w:val="24"/>
        </w:rPr>
      </w:pPr>
      <w:r w:rsidRPr="00F15505">
        <w:rPr>
          <w:sz w:val="24"/>
          <w:szCs w:val="24"/>
        </w:rPr>
        <w:t>Atrius Health fully supports a patient’s right to understand all care and treatment and related risks, benefits and alternatives</w:t>
      </w:r>
      <w:r w:rsidR="00D71022" w:rsidRPr="00F15505">
        <w:rPr>
          <w:sz w:val="24"/>
          <w:szCs w:val="24"/>
        </w:rPr>
        <w:t xml:space="preserve"> and to make personal choices as to such care and treatment</w:t>
      </w:r>
      <w:r w:rsidRPr="00F15505">
        <w:rPr>
          <w:sz w:val="24"/>
          <w:szCs w:val="24"/>
        </w:rPr>
        <w:t>.  T</w:t>
      </w:r>
      <w:r w:rsidR="0026535C" w:rsidRPr="00F15505">
        <w:rPr>
          <w:sz w:val="24"/>
          <w:szCs w:val="24"/>
        </w:rPr>
        <w:t xml:space="preserve">he proposed </w:t>
      </w:r>
      <w:r w:rsidRPr="00F15505">
        <w:rPr>
          <w:sz w:val="24"/>
          <w:szCs w:val="24"/>
        </w:rPr>
        <w:t>Regulations, however, establish requirements</w:t>
      </w:r>
      <w:r w:rsidR="0026535C" w:rsidRPr="00F15505">
        <w:rPr>
          <w:sz w:val="24"/>
          <w:szCs w:val="24"/>
        </w:rPr>
        <w:t xml:space="preserve"> for obtaining and documenting informed consent </w:t>
      </w:r>
      <w:r w:rsidRPr="00F15505">
        <w:rPr>
          <w:sz w:val="24"/>
          <w:szCs w:val="24"/>
        </w:rPr>
        <w:t xml:space="preserve">that </w:t>
      </w:r>
      <w:r w:rsidR="0026535C" w:rsidRPr="00F15505">
        <w:rPr>
          <w:sz w:val="24"/>
          <w:szCs w:val="24"/>
        </w:rPr>
        <w:t>are</w:t>
      </w:r>
      <w:r w:rsidRPr="00F15505">
        <w:rPr>
          <w:sz w:val="24"/>
          <w:szCs w:val="24"/>
        </w:rPr>
        <w:t xml:space="preserve"> unnecessary, extremely</w:t>
      </w:r>
      <w:r w:rsidR="0026535C" w:rsidRPr="00F15505">
        <w:rPr>
          <w:sz w:val="24"/>
          <w:szCs w:val="24"/>
        </w:rPr>
        <w:t xml:space="preserve"> burdensome, and go </w:t>
      </w:r>
      <w:r w:rsidRPr="00F15505">
        <w:rPr>
          <w:sz w:val="24"/>
          <w:szCs w:val="24"/>
        </w:rPr>
        <w:t xml:space="preserve">well </w:t>
      </w:r>
      <w:r w:rsidR="00D71022" w:rsidRPr="00F15505">
        <w:rPr>
          <w:sz w:val="24"/>
          <w:szCs w:val="24"/>
        </w:rPr>
        <w:t>beyond what are</w:t>
      </w:r>
      <w:r w:rsidR="0026535C" w:rsidRPr="00F15505">
        <w:rPr>
          <w:sz w:val="24"/>
          <w:szCs w:val="24"/>
        </w:rPr>
        <w:t xml:space="preserve"> </w:t>
      </w:r>
      <w:r w:rsidRPr="00F15505">
        <w:rPr>
          <w:sz w:val="24"/>
          <w:szCs w:val="24"/>
        </w:rPr>
        <w:t xml:space="preserve">the well accepted legal and community standards </w:t>
      </w:r>
      <w:r w:rsidR="0026535C" w:rsidRPr="00F15505">
        <w:rPr>
          <w:sz w:val="24"/>
          <w:szCs w:val="24"/>
        </w:rPr>
        <w:t xml:space="preserve">traditionally required for informed consent.  At a minimum, we </w:t>
      </w:r>
      <w:r w:rsidRPr="00F15505">
        <w:rPr>
          <w:sz w:val="24"/>
          <w:szCs w:val="24"/>
        </w:rPr>
        <w:t>request that</w:t>
      </w:r>
      <w:r w:rsidR="00D71022" w:rsidRPr="00F15505">
        <w:rPr>
          <w:sz w:val="24"/>
          <w:szCs w:val="24"/>
        </w:rPr>
        <w:t xml:space="preserve"> the Board reinsert the word “major” as described above</w:t>
      </w:r>
      <w:r w:rsidR="0026535C" w:rsidRPr="00F15505">
        <w:rPr>
          <w:sz w:val="24"/>
          <w:szCs w:val="24"/>
        </w:rPr>
        <w:t xml:space="preserve">. </w:t>
      </w:r>
      <w:r w:rsidRPr="00F15505">
        <w:rPr>
          <w:sz w:val="24"/>
          <w:szCs w:val="24"/>
        </w:rPr>
        <w:t xml:space="preserve"> We believe, a</w:t>
      </w:r>
      <w:r w:rsidR="0026535C" w:rsidRPr="00F15505">
        <w:rPr>
          <w:sz w:val="24"/>
          <w:szCs w:val="24"/>
        </w:rPr>
        <w:t>s currently drafted</w:t>
      </w:r>
      <w:r w:rsidRPr="00F15505">
        <w:rPr>
          <w:sz w:val="24"/>
          <w:szCs w:val="24"/>
        </w:rPr>
        <w:t>, the requirements to obtain</w:t>
      </w:r>
      <w:r w:rsidR="0026535C" w:rsidRPr="00F15505">
        <w:rPr>
          <w:sz w:val="24"/>
          <w:szCs w:val="24"/>
        </w:rPr>
        <w:t xml:space="preserve"> written informed consent would </w:t>
      </w:r>
      <w:r w:rsidR="00D71022" w:rsidRPr="00F15505">
        <w:rPr>
          <w:sz w:val="24"/>
          <w:szCs w:val="24"/>
        </w:rPr>
        <w:t>involve</w:t>
      </w:r>
      <w:r w:rsidR="0026535C" w:rsidRPr="00F15505">
        <w:rPr>
          <w:sz w:val="24"/>
          <w:szCs w:val="24"/>
        </w:rPr>
        <w:t xml:space="preserve"> significant provider resources, taking providers away from actually treating patients.  </w:t>
      </w:r>
    </w:p>
    <w:p w:rsidR="00AC3DE4" w:rsidRPr="00F15505" w:rsidRDefault="00AC3DE4" w:rsidP="00681E88">
      <w:pPr>
        <w:jc w:val="both"/>
        <w:rPr>
          <w:rFonts w:eastAsia="Calibri"/>
          <w:sz w:val="24"/>
          <w:szCs w:val="24"/>
        </w:rPr>
      </w:pPr>
    </w:p>
    <w:p w:rsidR="00AC3DE4" w:rsidRPr="00F15505" w:rsidRDefault="00AC3DE4" w:rsidP="00681E88">
      <w:pPr>
        <w:jc w:val="both"/>
        <w:rPr>
          <w:sz w:val="24"/>
          <w:szCs w:val="24"/>
        </w:rPr>
      </w:pPr>
      <w:r w:rsidRPr="00F15505">
        <w:rPr>
          <w:sz w:val="24"/>
          <w:szCs w:val="24"/>
        </w:rPr>
        <w:t xml:space="preserve">Thank you again for the opportunity to provide comments.  If you have any questions regarding this testimony or require further information, please contact Kathy Keough, Director of Government Relations at (617) 559-8561. </w:t>
      </w:r>
    </w:p>
    <w:p w:rsidR="00AC3DE4" w:rsidRPr="00F15505" w:rsidRDefault="00AC3DE4" w:rsidP="00AC3DE4">
      <w:pPr>
        <w:pStyle w:val="NoSpacing"/>
        <w:rPr>
          <w:rFonts w:ascii="Times New Roman" w:hAnsi="Times New Roman"/>
          <w:sz w:val="24"/>
          <w:szCs w:val="24"/>
        </w:rPr>
      </w:pPr>
    </w:p>
    <w:p w:rsidR="00AC3DE4" w:rsidRPr="00F15505" w:rsidRDefault="00AC3DE4" w:rsidP="00AC3DE4">
      <w:pPr>
        <w:pStyle w:val="NoSpacing"/>
        <w:rPr>
          <w:rFonts w:ascii="Times New Roman" w:hAnsi="Times New Roman"/>
          <w:sz w:val="24"/>
          <w:szCs w:val="24"/>
        </w:rPr>
      </w:pPr>
      <w:r w:rsidRPr="00F15505">
        <w:rPr>
          <w:rFonts w:ascii="Times New Roman" w:hAnsi="Times New Roman"/>
          <w:sz w:val="24"/>
          <w:szCs w:val="24"/>
        </w:rPr>
        <w:t>Sincerely,</w:t>
      </w:r>
    </w:p>
    <w:p w:rsidR="00AC3DE4" w:rsidRPr="00F15505" w:rsidRDefault="00AC3DE4" w:rsidP="00AC3DE4">
      <w:pPr>
        <w:pStyle w:val="NoSpacing"/>
        <w:rPr>
          <w:rFonts w:ascii="Times New Roman" w:hAnsi="Times New Roman"/>
          <w:sz w:val="24"/>
          <w:szCs w:val="24"/>
        </w:rPr>
      </w:pPr>
    </w:p>
    <w:p w:rsidR="00D249B5" w:rsidRPr="00F15505" w:rsidRDefault="00D249B5" w:rsidP="00AC3DE4">
      <w:pPr>
        <w:pStyle w:val="NoSpacing"/>
        <w:rPr>
          <w:rFonts w:ascii="Times New Roman" w:hAnsi="Times New Roman"/>
          <w:sz w:val="24"/>
          <w:szCs w:val="24"/>
        </w:rPr>
      </w:pPr>
    </w:p>
    <w:p w:rsidR="00D249B5" w:rsidRPr="00F15505" w:rsidRDefault="00D249B5" w:rsidP="00AC3DE4">
      <w:pPr>
        <w:pStyle w:val="NoSpacing"/>
        <w:rPr>
          <w:rFonts w:ascii="Times New Roman" w:hAnsi="Times New Roman"/>
          <w:sz w:val="24"/>
          <w:szCs w:val="24"/>
        </w:rPr>
      </w:pPr>
    </w:p>
    <w:p w:rsidR="00AC3DE4" w:rsidRPr="00F15505" w:rsidRDefault="00AC3DE4" w:rsidP="00AC3DE4">
      <w:pPr>
        <w:pStyle w:val="NoSpacing"/>
        <w:rPr>
          <w:rFonts w:ascii="Times New Roman" w:hAnsi="Times New Roman"/>
          <w:sz w:val="24"/>
          <w:szCs w:val="24"/>
        </w:rPr>
      </w:pPr>
    </w:p>
    <w:p w:rsidR="00AC3DE4" w:rsidRPr="00F15505" w:rsidRDefault="00AC3DE4" w:rsidP="00AC3DE4">
      <w:pPr>
        <w:pStyle w:val="NoSpacing"/>
        <w:rPr>
          <w:rFonts w:ascii="Times New Roman" w:hAnsi="Times New Roman"/>
          <w:sz w:val="24"/>
          <w:szCs w:val="24"/>
        </w:rPr>
      </w:pPr>
      <w:r w:rsidRPr="00F15505">
        <w:rPr>
          <w:rFonts w:ascii="Times New Roman" w:hAnsi="Times New Roman"/>
          <w:sz w:val="24"/>
          <w:szCs w:val="24"/>
        </w:rPr>
        <w:t>Joe Kimura, MD</w:t>
      </w:r>
    </w:p>
    <w:p w:rsidR="00AC3DE4" w:rsidRPr="00F15505" w:rsidRDefault="00AC3DE4" w:rsidP="00AC3DE4">
      <w:pPr>
        <w:pStyle w:val="NoSpacing"/>
        <w:rPr>
          <w:rFonts w:ascii="Times New Roman" w:hAnsi="Times New Roman"/>
          <w:sz w:val="24"/>
          <w:szCs w:val="24"/>
        </w:rPr>
      </w:pPr>
      <w:r w:rsidRPr="00F15505">
        <w:rPr>
          <w:rFonts w:ascii="Times New Roman" w:hAnsi="Times New Roman"/>
          <w:sz w:val="24"/>
          <w:szCs w:val="24"/>
        </w:rPr>
        <w:t>Chief Medical Officer</w:t>
      </w:r>
    </w:p>
    <w:p w:rsidR="00AC3DE4" w:rsidRPr="00F15505" w:rsidRDefault="00AC3DE4" w:rsidP="00AC3DE4">
      <w:pPr>
        <w:pStyle w:val="NoSpacing"/>
        <w:rPr>
          <w:rFonts w:ascii="Times New Roman" w:hAnsi="Times New Roman"/>
          <w:sz w:val="24"/>
          <w:szCs w:val="24"/>
        </w:rPr>
      </w:pPr>
    </w:p>
    <w:p w:rsidR="00AC3DE4" w:rsidRPr="00F15505" w:rsidRDefault="00AC3DE4" w:rsidP="00AC3DE4">
      <w:pPr>
        <w:pStyle w:val="NoSpacing"/>
        <w:rPr>
          <w:rFonts w:ascii="Times New Roman" w:hAnsi="Times New Roman"/>
          <w:sz w:val="24"/>
          <w:szCs w:val="24"/>
        </w:rPr>
      </w:pPr>
    </w:p>
    <w:p w:rsidR="00AC3DE4" w:rsidRPr="00F15505" w:rsidRDefault="00AC3DE4" w:rsidP="00AC3DE4">
      <w:pPr>
        <w:pStyle w:val="NoSpacing"/>
        <w:rPr>
          <w:rFonts w:ascii="Times New Roman" w:hAnsi="Times New Roman"/>
          <w:sz w:val="24"/>
          <w:szCs w:val="24"/>
        </w:rPr>
      </w:pPr>
    </w:p>
    <w:p w:rsidR="00AC3DE4" w:rsidRPr="00F15505" w:rsidRDefault="00AC3DE4" w:rsidP="00AC3DE4">
      <w:pPr>
        <w:pStyle w:val="NoSpacing"/>
        <w:rPr>
          <w:rFonts w:ascii="Times New Roman" w:hAnsi="Times New Roman"/>
          <w:sz w:val="24"/>
          <w:szCs w:val="24"/>
        </w:rPr>
      </w:pPr>
    </w:p>
    <w:p w:rsidR="00AC3DE4" w:rsidRPr="00F15505" w:rsidRDefault="00D249B5" w:rsidP="00AC3DE4">
      <w:pPr>
        <w:pStyle w:val="NoSpacing"/>
        <w:rPr>
          <w:rFonts w:ascii="Times New Roman" w:hAnsi="Times New Roman"/>
          <w:sz w:val="24"/>
          <w:szCs w:val="24"/>
        </w:rPr>
      </w:pPr>
      <w:r w:rsidRPr="00F15505">
        <w:rPr>
          <w:rFonts w:ascii="Times New Roman" w:hAnsi="Times New Roman"/>
          <w:sz w:val="24"/>
          <w:szCs w:val="24"/>
        </w:rPr>
        <w:t>Kim Nelson</w:t>
      </w:r>
    </w:p>
    <w:p w:rsidR="00AC3DE4" w:rsidRPr="00F15505" w:rsidRDefault="00AC3DE4" w:rsidP="00AC3DE4">
      <w:pPr>
        <w:pStyle w:val="NoSpacing"/>
        <w:rPr>
          <w:rFonts w:ascii="Times New Roman" w:hAnsi="Times New Roman"/>
          <w:sz w:val="24"/>
          <w:szCs w:val="24"/>
        </w:rPr>
      </w:pPr>
      <w:r w:rsidRPr="00F15505">
        <w:rPr>
          <w:rFonts w:ascii="Times New Roman" w:hAnsi="Times New Roman"/>
          <w:sz w:val="24"/>
          <w:szCs w:val="24"/>
        </w:rPr>
        <w:t>Chief Legal Officer</w:t>
      </w:r>
    </w:p>
    <w:p w:rsidR="00AC3DE4" w:rsidRPr="00F15505" w:rsidRDefault="00AC3DE4">
      <w:pPr>
        <w:rPr>
          <w:sz w:val="24"/>
          <w:szCs w:val="24"/>
        </w:rPr>
      </w:pPr>
    </w:p>
    <w:sectPr w:rsidR="00AC3DE4" w:rsidRPr="00F15505" w:rsidSect="00F15505">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D3E91"/>
    <w:multiLevelType w:val="hybridMultilevel"/>
    <w:tmpl w:val="2640B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DE4"/>
    <w:rsid w:val="0007491D"/>
    <w:rsid w:val="00101BBC"/>
    <w:rsid w:val="001B349E"/>
    <w:rsid w:val="00222F42"/>
    <w:rsid w:val="0026535C"/>
    <w:rsid w:val="004F4245"/>
    <w:rsid w:val="005A3CD1"/>
    <w:rsid w:val="00681E88"/>
    <w:rsid w:val="006A0B2D"/>
    <w:rsid w:val="008847C1"/>
    <w:rsid w:val="008D2686"/>
    <w:rsid w:val="009338B3"/>
    <w:rsid w:val="00A75BEE"/>
    <w:rsid w:val="00AC3DE4"/>
    <w:rsid w:val="00AD1BC0"/>
    <w:rsid w:val="00D249B5"/>
    <w:rsid w:val="00D71022"/>
    <w:rsid w:val="00DC3979"/>
    <w:rsid w:val="00E02B4E"/>
    <w:rsid w:val="00E961C7"/>
    <w:rsid w:val="00ED25FC"/>
    <w:rsid w:val="00F15505"/>
    <w:rsid w:val="00F50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DE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AC3DE4"/>
    <w:pPr>
      <w:tabs>
        <w:tab w:val="left" w:pos="1152"/>
      </w:tabs>
      <w:ind w:left="720"/>
    </w:pPr>
    <w:rPr>
      <w:sz w:val="22"/>
    </w:rPr>
  </w:style>
  <w:style w:type="character" w:customStyle="1" w:styleId="BodyTextChar">
    <w:name w:val="Body Text Char"/>
    <w:basedOn w:val="DefaultParagraphFont"/>
    <w:link w:val="BodyText"/>
    <w:semiHidden/>
    <w:rsid w:val="00AC3DE4"/>
    <w:rPr>
      <w:rFonts w:ascii="Times New Roman" w:eastAsia="Times New Roman" w:hAnsi="Times New Roman" w:cs="Times New Roman"/>
      <w:szCs w:val="20"/>
    </w:rPr>
  </w:style>
  <w:style w:type="paragraph" w:styleId="NoSpacing">
    <w:name w:val="No Spacing"/>
    <w:uiPriority w:val="1"/>
    <w:qFormat/>
    <w:rsid w:val="00AC3DE4"/>
    <w:pPr>
      <w:spacing w:after="0" w:line="240" w:lineRule="auto"/>
    </w:pPr>
    <w:rPr>
      <w:rFonts w:ascii="Calibri" w:eastAsia="Calibri" w:hAnsi="Calibri" w:cs="Times New Roman"/>
    </w:rPr>
  </w:style>
  <w:style w:type="paragraph" w:styleId="ListParagraph">
    <w:name w:val="List Paragraph"/>
    <w:basedOn w:val="Normal"/>
    <w:uiPriority w:val="34"/>
    <w:qFormat/>
    <w:rsid w:val="0026535C"/>
    <w:pPr>
      <w:ind w:left="720"/>
      <w:contextualSpacing/>
    </w:pPr>
  </w:style>
  <w:style w:type="paragraph" w:styleId="BalloonText">
    <w:name w:val="Balloon Text"/>
    <w:basedOn w:val="Normal"/>
    <w:link w:val="BalloonTextChar"/>
    <w:uiPriority w:val="99"/>
    <w:semiHidden/>
    <w:unhideWhenUsed/>
    <w:rsid w:val="00D249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9B5"/>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DE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AC3DE4"/>
    <w:pPr>
      <w:tabs>
        <w:tab w:val="left" w:pos="1152"/>
      </w:tabs>
      <w:ind w:left="720"/>
    </w:pPr>
    <w:rPr>
      <w:sz w:val="22"/>
    </w:rPr>
  </w:style>
  <w:style w:type="character" w:customStyle="1" w:styleId="BodyTextChar">
    <w:name w:val="Body Text Char"/>
    <w:basedOn w:val="DefaultParagraphFont"/>
    <w:link w:val="BodyText"/>
    <w:semiHidden/>
    <w:rsid w:val="00AC3DE4"/>
    <w:rPr>
      <w:rFonts w:ascii="Times New Roman" w:eastAsia="Times New Roman" w:hAnsi="Times New Roman" w:cs="Times New Roman"/>
      <w:szCs w:val="20"/>
    </w:rPr>
  </w:style>
  <w:style w:type="paragraph" w:styleId="NoSpacing">
    <w:name w:val="No Spacing"/>
    <w:uiPriority w:val="1"/>
    <w:qFormat/>
    <w:rsid w:val="00AC3DE4"/>
    <w:pPr>
      <w:spacing w:after="0" w:line="240" w:lineRule="auto"/>
    </w:pPr>
    <w:rPr>
      <w:rFonts w:ascii="Calibri" w:eastAsia="Calibri" w:hAnsi="Calibri" w:cs="Times New Roman"/>
    </w:rPr>
  </w:style>
  <w:style w:type="paragraph" w:styleId="ListParagraph">
    <w:name w:val="List Paragraph"/>
    <w:basedOn w:val="Normal"/>
    <w:uiPriority w:val="34"/>
    <w:qFormat/>
    <w:rsid w:val="0026535C"/>
    <w:pPr>
      <w:ind w:left="720"/>
      <w:contextualSpacing/>
    </w:pPr>
  </w:style>
  <w:style w:type="paragraph" w:styleId="BalloonText">
    <w:name w:val="Balloon Text"/>
    <w:basedOn w:val="Normal"/>
    <w:link w:val="BalloonTextChar"/>
    <w:uiPriority w:val="99"/>
    <w:semiHidden/>
    <w:unhideWhenUsed/>
    <w:rsid w:val="00D249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9B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01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image" Target="media/image1.jpeg"/>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4043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Atrius Health</Company>
  <LinksUpToDate>false</LinksUpToDate>
  <CharactersWithSpaces>4743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2017-05-19T19:26:00Z</dcterms:created>
  <dc:creator>Nelson, Kim</dc:creator>
  <lastModifiedBy>Prelim Recommendations</lastModifiedBy>
  <lastPrinted>2017-05-19T18:49:00Z</lastPrinted>
  <dcterms:modified xsi:type="dcterms:W3CDTF">2017-05-19T19:26:00Z</dcterms:modified>
  <revision>2</revision>
</coreProperties>
</file>