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20"/>
        <w:rPr>
          <w:rFonts w:ascii="Times New Roman"/>
          <w:sz w:val="20"/>
        </w:rPr>
      </w:pPr>
      <w:r>
        <w:rPr>
          <w:rFonts w:ascii="Times New Roman"/>
          <w:sz w:val="20"/>
        </w:rPr>
        <w:drawing>
          <wp:inline distT="0" distB="0" distL="0" distR="0">
            <wp:extent cx="1975104" cy="344424"/>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975104" cy="344424"/>
                    </a:xfrm>
                    <a:prstGeom prst="rect">
                      <a:avLst/>
                    </a:prstGeom>
                  </pic:spPr>
                </pic:pic>
              </a:graphicData>
            </a:graphic>
          </wp:inline>
        </w:drawing>
      </w:r>
      <w:r>
        <w:rPr>
          <w:rFonts w:ascii="Times New Roman"/>
          <w:sz w:val="20"/>
        </w:rPr>
      </w:r>
    </w:p>
    <w:p>
      <w:pPr>
        <w:pStyle w:val="BodyText"/>
        <w:rPr>
          <w:rFonts w:ascii="Times New Roman"/>
        </w:rPr>
      </w:pPr>
    </w:p>
    <w:p>
      <w:pPr>
        <w:pStyle w:val="BodyText"/>
        <w:rPr>
          <w:rFonts w:ascii="Times New Roman"/>
        </w:rPr>
      </w:pPr>
    </w:p>
    <w:p>
      <w:pPr>
        <w:pStyle w:val="BodyText"/>
        <w:spacing w:before="261"/>
        <w:rPr>
          <w:rFonts w:ascii="Times New Roman"/>
        </w:rPr>
      </w:pPr>
    </w:p>
    <w:p>
      <w:pPr>
        <w:pStyle w:val="BodyText"/>
        <w:ind w:left="120" w:right="7330"/>
      </w:pPr>
      <w:r>
        <w:rPr/>
        <w:t>February</w:t>
      </w:r>
      <w:r>
        <w:rPr>
          <w:spacing w:val="-13"/>
        </w:rPr>
        <w:t> </w:t>
      </w:r>
      <w:r>
        <w:rPr/>
        <w:t>21,</w:t>
      </w:r>
      <w:r>
        <w:rPr>
          <w:spacing w:val="-13"/>
        </w:rPr>
        <w:t> </w:t>
      </w:r>
      <w:r>
        <w:rPr/>
        <w:t>2023 Kerry A. Collins</w:t>
      </w:r>
    </w:p>
    <w:p>
      <w:pPr>
        <w:pStyle w:val="BodyText"/>
        <w:ind w:left="120" w:right="3754"/>
      </w:pPr>
      <w:r>
        <w:rPr/>
        <w:t>Undersecretary</w:t>
      </w:r>
      <w:r>
        <w:rPr>
          <w:spacing w:val="-9"/>
        </w:rPr>
        <w:t> </w:t>
      </w:r>
      <w:r>
        <w:rPr/>
        <w:t>for</w:t>
      </w:r>
      <w:r>
        <w:rPr>
          <w:spacing w:val="-9"/>
        </w:rPr>
        <w:t> </w:t>
      </w:r>
      <w:r>
        <w:rPr/>
        <w:t>Forensic</w:t>
      </w:r>
      <w:r>
        <w:rPr>
          <w:spacing w:val="-7"/>
        </w:rPr>
        <w:t> </w:t>
      </w:r>
      <w:r>
        <w:rPr/>
        <w:t>Science</w:t>
      </w:r>
      <w:r>
        <w:rPr>
          <w:spacing w:val="-7"/>
        </w:rPr>
        <w:t> </w:t>
      </w:r>
      <w:r>
        <w:rPr/>
        <w:t>and</w:t>
      </w:r>
      <w:r>
        <w:rPr>
          <w:spacing w:val="-9"/>
        </w:rPr>
        <w:t> </w:t>
      </w:r>
      <w:r>
        <w:rPr/>
        <w:t>Technology Executive office of Public Safety and Security</w:t>
      </w:r>
    </w:p>
    <w:p>
      <w:pPr>
        <w:pStyle w:val="BodyText"/>
        <w:ind w:left="120"/>
      </w:pPr>
      <w:r>
        <w:rPr/>
        <w:t>1</w:t>
      </w:r>
      <w:r>
        <w:rPr>
          <w:spacing w:val="-3"/>
        </w:rPr>
        <w:t> </w:t>
      </w:r>
      <w:r>
        <w:rPr/>
        <w:t>Ashburton</w:t>
      </w:r>
      <w:r>
        <w:rPr>
          <w:spacing w:val="-4"/>
        </w:rPr>
        <w:t> </w:t>
      </w:r>
      <w:r>
        <w:rPr>
          <w:spacing w:val="-2"/>
        </w:rPr>
        <w:t>Place</w:t>
      </w:r>
    </w:p>
    <w:p>
      <w:pPr>
        <w:pStyle w:val="BodyText"/>
        <w:spacing w:line="480" w:lineRule="auto" w:before="1"/>
        <w:ind w:left="120" w:right="7298"/>
      </w:pPr>
      <w:r>
        <w:rPr/>
        <w:t>Boston, MA 02108 Undersecretary</w:t>
      </w:r>
      <w:r>
        <w:rPr>
          <w:spacing w:val="-13"/>
        </w:rPr>
        <w:t> </w:t>
      </w:r>
      <w:r>
        <w:rPr/>
        <w:t>Collins,</w:t>
      </w:r>
    </w:p>
    <w:p>
      <w:pPr>
        <w:pStyle w:val="BodyText"/>
        <w:ind w:left="119" w:right="114"/>
        <w:jc w:val="both"/>
      </w:pPr>
      <w:r>
        <w:rPr/>
        <w:t>Thank</w:t>
      </w:r>
      <w:r>
        <w:rPr>
          <w:spacing w:val="-3"/>
        </w:rPr>
        <w:t> </w:t>
      </w:r>
      <w:r>
        <w:rPr/>
        <w:t>you</w:t>
      </w:r>
      <w:r>
        <w:rPr>
          <w:spacing w:val="-5"/>
        </w:rPr>
        <w:t> </w:t>
      </w:r>
      <w:r>
        <w:rPr/>
        <w:t>for</w:t>
      </w:r>
      <w:r>
        <w:rPr>
          <w:spacing w:val="-5"/>
        </w:rPr>
        <w:t> </w:t>
      </w:r>
      <w:r>
        <w:rPr/>
        <w:t>submitting</w:t>
      </w:r>
      <w:r>
        <w:rPr>
          <w:spacing w:val="-4"/>
        </w:rPr>
        <w:t> </w:t>
      </w:r>
      <w:r>
        <w:rPr/>
        <w:t>information</w:t>
      </w:r>
      <w:r>
        <w:rPr>
          <w:spacing w:val="-7"/>
        </w:rPr>
        <w:t> </w:t>
      </w:r>
      <w:r>
        <w:rPr/>
        <w:t>related</w:t>
      </w:r>
      <w:r>
        <w:rPr>
          <w:spacing w:val="-5"/>
        </w:rPr>
        <w:t> </w:t>
      </w:r>
      <w:r>
        <w:rPr/>
        <w:t>to</w:t>
      </w:r>
      <w:r>
        <w:rPr>
          <w:spacing w:val="-6"/>
        </w:rPr>
        <w:t> </w:t>
      </w:r>
      <w:r>
        <w:rPr/>
        <w:t>the</w:t>
      </w:r>
      <w:r>
        <w:rPr>
          <w:spacing w:val="-6"/>
        </w:rPr>
        <w:t> </w:t>
      </w:r>
      <w:r>
        <w:rPr/>
        <w:t>sexual</w:t>
      </w:r>
      <w:r>
        <w:rPr>
          <w:spacing w:val="-7"/>
        </w:rPr>
        <w:t> </w:t>
      </w:r>
      <w:r>
        <w:rPr/>
        <w:t>assault</w:t>
      </w:r>
      <w:r>
        <w:rPr>
          <w:spacing w:val="-4"/>
        </w:rPr>
        <w:t> </w:t>
      </w:r>
      <w:r>
        <w:rPr/>
        <w:t>kits</w:t>
      </w:r>
      <w:r>
        <w:rPr>
          <w:spacing w:val="-5"/>
        </w:rPr>
        <w:t> </w:t>
      </w:r>
      <w:r>
        <w:rPr/>
        <w:t>which</w:t>
      </w:r>
      <w:r>
        <w:rPr>
          <w:spacing w:val="-8"/>
        </w:rPr>
        <w:t> </w:t>
      </w:r>
      <w:r>
        <w:rPr/>
        <w:t>may</w:t>
      </w:r>
      <w:r>
        <w:rPr>
          <w:spacing w:val="-5"/>
        </w:rPr>
        <w:t> </w:t>
      </w:r>
      <w:r>
        <w:rPr/>
        <w:t>be</w:t>
      </w:r>
      <w:r>
        <w:rPr>
          <w:spacing w:val="-6"/>
        </w:rPr>
        <w:t> </w:t>
      </w:r>
      <w:r>
        <w:rPr/>
        <w:t>encountered</w:t>
      </w:r>
      <w:r>
        <w:rPr>
          <w:spacing w:val="-5"/>
        </w:rPr>
        <w:t> </w:t>
      </w:r>
      <w:r>
        <w:rPr/>
        <w:t>at Joint Commission accredited organizations. Listed below is the inquiry submitted by your </w:t>
      </w:r>
      <w:r>
        <w:rPr>
          <w:spacing w:val="-2"/>
        </w:rPr>
        <w:t>organization:</w:t>
      </w:r>
    </w:p>
    <w:p>
      <w:pPr>
        <w:pStyle w:val="BodyText"/>
      </w:pPr>
    </w:p>
    <w:p>
      <w:pPr>
        <w:pStyle w:val="BodyText"/>
        <w:ind w:left="119" w:right="116"/>
        <w:jc w:val="both"/>
      </w:pPr>
      <w:r>
        <w:rPr/>
        <w:t>The Joint Commission recently received an inquiry regarding sexual assault kits owned by the Executive Office for Public Safety and Security and supplied to MA healthcare organizations. These kits may contain potentially expired components, specifically cotton swabs and a buccal swab, that clinicians</w:t>
      </w:r>
      <w:r>
        <w:rPr>
          <w:spacing w:val="-2"/>
        </w:rPr>
        <w:t> </w:t>
      </w:r>
      <w:r>
        <w:rPr/>
        <w:t>are instructed</w:t>
      </w:r>
      <w:r>
        <w:rPr>
          <w:spacing w:val="-4"/>
        </w:rPr>
        <w:t> </w:t>
      </w:r>
      <w:r>
        <w:rPr/>
        <w:t>to</w:t>
      </w:r>
      <w:r>
        <w:rPr>
          <w:spacing w:val="-2"/>
        </w:rPr>
        <w:t> </w:t>
      </w:r>
      <w:r>
        <w:rPr/>
        <w:t>replace</w:t>
      </w:r>
      <w:r>
        <w:rPr>
          <w:spacing w:val="-2"/>
        </w:rPr>
        <w:t> </w:t>
      </w:r>
      <w:r>
        <w:rPr/>
        <w:t>with</w:t>
      </w:r>
      <w:r>
        <w:rPr>
          <w:spacing w:val="-1"/>
        </w:rPr>
        <w:t> </w:t>
      </w:r>
      <w:r>
        <w:rPr/>
        <w:t>hospitals</w:t>
      </w:r>
      <w:r>
        <w:rPr>
          <w:spacing w:val="-2"/>
        </w:rPr>
        <w:t> </w:t>
      </w:r>
      <w:r>
        <w:rPr/>
        <w:t>supplies if</w:t>
      </w:r>
      <w:r>
        <w:rPr>
          <w:spacing w:val="-1"/>
        </w:rPr>
        <w:t> </w:t>
      </w:r>
      <w:r>
        <w:rPr/>
        <w:t>applicable.</w:t>
      </w:r>
      <w:r>
        <w:rPr>
          <w:spacing w:val="-5"/>
        </w:rPr>
        <w:t> </w:t>
      </w:r>
      <w:r>
        <w:rPr/>
        <w:t>Organizations are</w:t>
      </w:r>
      <w:r>
        <w:rPr>
          <w:spacing w:val="-2"/>
        </w:rPr>
        <w:t> </w:t>
      </w:r>
      <w:r>
        <w:rPr/>
        <w:t>concerned they</w:t>
      </w:r>
      <w:r>
        <w:rPr>
          <w:spacing w:val="-6"/>
        </w:rPr>
        <w:t> </w:t>
      </w:r>
      <w:r>
        <w:rPr/>
        <w:t>will</w:t>
      </w:r>
      <w:r>
        <w:rPr>
          <w:spacing w:val="-5"/>
        </w:rPr>
        <w:t> </w:t>
      </w:r>
      <w:r>
        <w:rPr/>
        <w:t>receive</w:t>
      </w:r>
      <w:r>
        <w:rPr>
          <w:spacing w:val="-6"/>
        </w:rPr>
        <w:t> </w:t>
      </w:r>
      <w:r>
        <w:rPr/>
        <w:t>a</w:t>
      </w:r>
      <w:r>
        <w:rPr>
          <w:spacing w:val="-5"/>
        </w:rPr>
        <w:t> </w:t>
      </w:r>
      <w:r>
        <w:rPr/>
        <w:t>deficiency</w:t>
      </w:r>
      <w:r>
        <w:rPr>
          <w:spacing w:val="-6"/>
        </w:rPr>
        <w:t> </w:t>
      </w:r>
      <w:r>
        <w:rPr/>
        <w:t>if</w:t>
      </w:r>
      <w:r>
        <w:rPr>
          <w:spacing w:val="-6"/>
        </w:rPr>
        <w:t> </w:t>
      </w:r>
      <w:r>
        <w:rPr/>
        <w:t>"expired"</w:t>
      </w:r>
      <w:r>
        <w:rPr>
          <w:spacing w:val="-6"/>
        </w:rPr>
        <w:t> </w:t>
      </w:r>
      <w:r>
        <w:rPr/>
        <w:t>sexual</w:t>
      </w:r>
      <w:r>
        <w:rPr>
          <w:spacing w:val="-5"/>
        </w:rPr>
        <w:t> </w:t>
      </w:r>
      <w:r>
        <w:rPr/>
        <w:t>assault</w:t>
      </w:r>
      <w:r>
        <w:rPr>
          <w:spacing w:val="-5"/>
        </w:rPr>
        <w:t> </w:t>
      </w:r>
      <w:r>
        <w:rPr/>
        <w:t>kits</w:t>
      </w:r>
      <w:r>
        <w:rPr>
          <w:spacing w:val="-4"/>
        </w:rPr>
        <w:t> </w:t>
      </w:r>
      <w:r>
        <w:rPr/>
        <w:t>are</w:t>
      </w:r>
      <w:r>
        <w:rPr>
          <w:spacing w:val="-6"/>
        </w:rPr>
        <w:t> </w:t>
      </w:r>
      <w:r>
        <w:rPr/>
        <w:t>found</w:t>
      </w:r>
      <w:r>
        <w:rPr>
          <w:spacing w:val="-6"/>
        </w:rPr>
        <w:t> </w:t>
      </w:r>
      <w:r>
        <w:rPr/>
        <w:t>by</w:t>
      </w:r>
      <w:r>
        <w:rPr>
          <w:spacing w:val="-6"/>
        </w:rPr>
        <w:t> </w:t>
      </w:r>
      <w:r>
        <w:rPr/>
        <w:t>Joint</w:t>
      </w:r>
      <w:r>
        <w:rPr>
          <w:spacing w:val="-5"/>
        </w:rPr>
        <w:t> </w:t>
      </w:r>
      <w:r>
        <w:rPr/>
        <w:t>Commission</w:t>
      </w:r>
      <w:r>
        <w:rPr>
          <w:spacing w:val="-8"/>
        </w:rPr>
        <w:t> </w:t>
      </w:r>
      <w:r>
        <w:rPr/>
        <w:t>surveyors during surveys. After additional review at The Joint Commission, it has been determined that these sexual</w:t>
      </w:r>
      <w:r>
        <w:rPr>
          <w:spacing w:val="-13"/>
        </w:rPr>
        <w:t> </w:t>
      </w:r>
      <w:r>
        <w:rPr/>
        <w:t>assault</w:t>
      </w:r>
      <w:r>
        <w:rPr>
          <w:spacing w:val="-11"/>
        </w:rPr>
        <w:t> </w:t>
      </w:r>
      <w:r>
        <w:rPr/>
        <w:t>kits</w:t>
      </w:r>
      <w:r>
        <w:rPr>
          <w:spacing w:val="-13"/>
        </w:rPr>
        <w:t> </w:t>
      </w:r>
      <w:r>
        <w:rPr/>
        <w:t>are</w:t>
      </w:r>
      <w:r>
        <w:rPr>
          <w:spacing w:val="-13"/>
        </w:rPr>
        <w:t> </w:t>
      </w:r>
      <w:r>
        <w:rPr/>
        <w:t>the</w:t>
      </w:r>
      <w:r>
        <w:rPr>
          <w:spacing w:val="-13"/>
        </w:rPr>
        <w:t> </w:t>
      </w:r>
      <w:r>
        <w:rPr/>
        <w:t>property</w:t>
      </w:r>
      <w:r>
        <w:rPr>
          <w:spacing w:val="-12"/>
        </w:rPr>
        <w:t> </w:t>
      </w:r>
      <w:r>
        <w:rPr/>
        <w:t>of</w:t>
      </w:r>
      <w:r>
        <w:rPr>
          <w:spacing w:val="-12"/>
        </w:rPr>
        <w:t> </w:t>
      </w:r>
      <w:r>
        <w:rPr/>
        <w:t>the</w:t>
      </w:r>
      <w:r>
        <w:rPr>
          <w:spacing w:val="-13"/>
        </w:rPr>
        <w:t> </w:t>
      </w:r>
      <w:r>
        <w:rPr/>
        <w:t>State</w:t>
      </w:r>
      <w:r>
        <w:rPr>
          <w:spacing w:val="-11"/>
        </w:rPr>
        <w:t> </w:t>
      </w:r>
      <w:r>
        <w:rPr/>
        <w:t>and</w:t>
      </w:r>
      <w:r>
        <w:rPr>
          <w:spacing w:val="-13"/>
        </w:rPr>
        <w:t> </w:t>
      </w:r>
      <w:r>
        <w:rPr/>
        <w:t>would</w:t>
      </w:r>
      <w:r>
        <w:rPr>
          <w:spacing w:val="-12"/>
        </w:rPr>
        <w:t> </w:t>
      </w:r>
      <w:r>
        <w:rPr/>
        <w:t>be</w:t>
      </w:r>
      <w:r>
        <w:rPr>
          <w:spacing w:val="-11"/>
        </w:rPr>
        <w:t> </w:t>
      </w:r>
      <w:r>
        <w:rPr/>
        <w:t>outside</w:t>
      </w:r>
      <w:r>
        <w:rPr>
          <w:spacing w:val="-11"/>
        </w:rPr>
        <w:t> </w:t>
      </w:r>
      <w:r>
        <w:rPr/>
        <w:t>the</w:t>
      </w:r>
      <w:r>
        <w:rPr>
          <w:spacing w:val="-13"/>
        </w:rPr>
        <w:t> </w:t>
      </w:r>
      <w:r>
        <w:rPr/>
        <w:t>scope</w:t>
      </w:r>
      <w:r>
        <w:rPr>
          <w:spacing w:val="-11"/>
        </w:rPr>
        <w:t> </w:t>
      </w:r>
      <w:r>
        <w:rPr/>
        <w:t>of</w:t>
      </w:r>
      <w:r>
        <w:rPr>
          <w:spacing w:val="-12"/>
        </w:rPr>
        <w:t> </w:t>
      </w:r>
      <w:r>
        <w:rPr/>
        <w:t>a</w:t>
      </w:r>
      <w:r>
        <w:rPr>
          <w:spacing w:val="-13"/>
        </w:rPr>
        <w:t> </w:t>
      </w:r>
      <w:r>
        <w:rPr/>
        <w:t>Joint</w:t>
      </w:r>
      <w:r>
        <w:rPr>
          <w:spacing w:val="-12"/>
        </w:rPr>
        <w:t> </w:t>
      </w:r>
      <w:r>
        <w:rPr/>
        <w:t>Commission accreditation survey even while stored onsite at Joint Commission accredited organizations.</w:t>
      </w:r>
    </w:p>
    <w:p>
      <w:pPr>
        <w:pStyle w:val="BodyText"/>
        <w:spacing w:before="1"/>
      </w:pPr>
    </w:p>
    <w:p>
      <w:pPr>
        <w:pStyle w:val="BodyText"/>
        <w:ind w:left="120"/>
        <w:jc w:val="both"/>
      </w:pPr>
      <w:r>
        <w:rPr/>
        <w:t>Please</w:t>
      </w:r>
      <w:r>
        <w:rPr>
          <w:spacing w:val="-4"/>
        </w:rPr>
        <w:t> </w:t>
      </w:r>
      <w:r>
        <w:rPr/>
        <w:t>feel</w:t>
      </w:r>
      <w:r>
        <w:rPr>
          <w:spacing w:val="-5"/>
        </w:rPr>
        <w:t> </w:t>
      </w:r>
      <w:r>
        <w:rPr/>
        <w:t>free</w:t>
      </w:r>
      <w:r>
        <w:rPr>
          <w:spacing w:val="-2"/>
        </w:rPr>
        <w:t> </w:t>
      </w:r>
      <w:r>
        <w:rPr/>
        <w:t>to</w:t>
      </w:r>
      <w:r>
        <w:rPr>
          <w:spacing w:val="-4"/>
        </w:rPr>
        <w:t> </w:t>
      </w:r>
      <w:r>
        <w:rPr/>
        <w:t>share</w:t>
      </w:r>
      <w:r>
        <w:rPr>
          <w:spacing w:val="-2"/>
        </w:rPr>
        <w:t> </w:t>
      </w:r>
      <w:r>
        <w:rPr/>
        <w:t>this</w:t>
      </w:r>
      <w:r>
        <w:rPr>
          <w:spacing w:val="-2"/>
        </w:rPr>
        <w:t> </w:t>
      </w:r>
      <w:r>
        <w:rPr/>
        <w:t>with</w:t>
      </w:r>
      <w:r>
        <w:rPr>
          <w:spacing w:val="-3"/>
        </w:rPr>
        <w:t> </w:t>
      </w:r>
      <w:r>
        <w:rPr/>
        <w:t>any</w:t>
      </w:r>
      <w:r>
        <w:rPr>
          <w:spacing w:val="-4"/>
        </w:rPr>
        <w:t> </w:t>
      </w:r>
      <w:r>
        <w:rPr/>
        <w:t>of</w:t>
      </w:r>
      <w:r>
        <w:rPr>
          <w:spacing w:val="-6"/>
        </w:rPr>
        <w:t> </w:t>
      </w:r>
      <w:r>
        <w:rPr/>
        <w:t>our</w:t>
      </w:r>
      <w:r>
        <w:rPr>
          <w:spacing w:val="-1"/>
        </w:rPr>
        <w:t> </w:t>
      </w:r>
      <w:r>
        <w:rPr/>
        <w:t>accredited</w:t>
      </w:r>
      <w:r>
        <w:rPr>
          <w:spacing w:val="-3"/>
        </w:rPr>
        <w:t> </w:t>
      </w:r>
      <w:r>
        <w:rPr>
          <w:spacing w:val="-2"/>
        </w:rPr>
        <w:t>organizations.</w:t>
      </w:r>
    </w:p>
    <w:p>
      <w:pPr>
        <w:pStyle w:val="Title"/>
        <w:spacing w:before="271"/>
      </w:pPr>
      <w:r>
        <w:rPr>
          <w:spacing w:val="-2"/>
        </w:rPr>
        <w:t>Sincerely,</w:t>
      </w:r>
    </w:p>
    <w:p>
      <w:pPr>
        <w:pStyle w:val="BodyText"/>
        <w:spacing w:before="7"/>
        <w:rPr>
          <w:rFonts w:ascii="Georgia"/>
          <w:sz w:val="20"/>
        </w:rPr>
      </w:pPr>
    </w:p>
    <w:p>
      <w:pPr>
        <w:pStyle w:val="BodyText"/>
        <w:ind w:left="-265"/>
        <w:rPr>
          <w:rFonts w:ascii="Georgia"/>
          <w:sz w:val="20"/>
        </w:rPr>
      </w:pPr>
      <w:r>
        <w:rPr>
          <w:rFonts w:ascii="Georgia"/>
          <w:sz w:val="20"/>
        </w:rPr>
        <w:drawing>
          <wp:inline distT="0" distB="0" distL="0" distR="0">
            <wp:extent cx="1895583" cy="571500"/>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895583" cy="571500"/>
                    </a:xfrm>
                    <a:prstGeom prst="rect">
                      <a:avLst/>
                    </a:prstGeom>
                  </pic:spPr>
                </pic:pic>
              </a:graphicData>
            </a:graphic>
          </wp:inline>
        </w:drawing>
      </w:r>
      <w:r>
        <w:rPr>
          <w:rFonts w:ascii="Georgia"/>
          <w:sz w:val="20"/>
        </w:rPr>
      </w:r>
    </w:p>
    <w:p>
      <w:pPr>
        <w:pStyle w:val="Title"/>
        <w:ind w:right="4865"/>
      </w:pPr>
      <w:r>
        <w:rPr/>
        <w:t>Robert Campbell, PharmD, BCSCP Director,</w:t>
      </w:r>
      <w:r>
        <w:rPr>
          <w:spacing w:val="-12"/>
        </w:rPr>
        <w:t> </w:t>
      </w:r>
      <w:r>
        <w:rPr/>
        <w:t>Standards</w:t>
      </w:r>
      <w:r>
        <w:rPr>
          <w:spacing w:val="-12"/>
        </w:rPr>
        <w:t> </w:t>
      </w:r>
      <w:r>
        <w:rPr/>
        <w:t>Interpretation</w:t>
      </w:r>
      <w:r>
        <w:rPr>
          <w:spacing w:val="-12"/>
        </w:rPr>
        <w:t> </w:t>
      </w:r>
      <w:r>
        <w:rPr/>
        <w:t>Group Director, Medication Management</w:t>
      </w:r>
    </w:p>
    <w:p>
      <w:pPr>
        <w:pStyle w:val="BodyText"/>
        <w:rPr>
          <w:rFonts w:ascii="Georgia"/>
          <w:sz w:val="20"/>
        </w:rPr>
      </w:pPr>
    </w:p>
    <w:p>
      <w:pPr>
        <w:pStyle w:val="BodyText"/>
        <w:rPr>
          <w:rFonts w:ascii="Georgia"/>
          <w:sz w:val="20"/>
        </w:rPr>
      </w:pPr>
    </w:p>
    <w:p>
      <w:pPr>
        <w:pStyle w:val="BodyText"/>
        <w:rPr>
          <w:rFonts w:ascii="Georgia"/>
          <w:sz w:val="20"/>
        </w:rPr>
      </w:pPr>
    </w:p>
    <w:p>
      <w:pPr>
        <w:pStyle w:val="BodyText"/>
        <w:rPr>
          <w:rFonts w:ascii="Georgia"/>
          <w:sz w:val="20"/>
        </w:rPr>
      </w:pPr>
    </w:p>
    <w:p>
      <w:pPr>
        <w:pStyle w:val="BodyText"/>
        <w:rPr>
          <w:rFonts w:ascii="Georgia"/>
          <w:sz w:val="20"/>
        </w:rPr>
      </w:pPr>
    </w:p>
    <w:p>
      <w:pPr>
        <w:pStyle w:val="BodyText"/>
        <w:rPr>
          <w:rFonts w:ascii="Georgia"/>
          <w:sz w:val="20"/>
        </w:rPr>
      </w:pPr>
    </w:p>
    <w:p>
      <w:pPr>
        <w:pStyle w:val="BodyText"/>
        <w:rPr>
          <w:rFonts w:ascii="Georgia"/>
          <w:sz w:val="20"/>
        </w:rPr>
      </w:pPr>
    </w:p>
    <w:p>
      <w:pPr>
        <w:pStyle w:val="BodyText"/>
        <w:rPr>
          <w:rFonts w:ascii="Georgia"/>
          <w:sz w:val="20"/>
        </w:rPr>
      </w:pPr>
    </w:p>
    <w:p>
      <w:pPr>
        <w:pStyle w:val="BodyText"/>
        <w:rPr>
          <w:rFonts w:ascii="Georgia"/>
          <w:sz w:val="20"/>
        </w:rPr>
      </w:pPr>
    </w:p>
    <w:p>
      <w:pPr>
        <w:pStyle w:val="BodyText"/>
        <w:rPr>
          <w:rFonts w:ascii="Georgia"/>
          <w:sz w:val="20"/>
        </w:rPr>
      </w:pPr>
    </w:p>
    <w:p>
      <w:pPr>
        <w:pStyle w:val="BodyText"/>
        <w:rPr>
          <w:rFonts w:ascii="Georgia"/>
          <w:sz w:val="20"/>
        </w:rPr>
      </w:pPr>
    </w:p>
    <w:p>
      <w:pPr>
        <w:pStyle w:val="BodyText"/>
        <w:spacing w:before="97"/>
        <w:rPr>
          <w:rFonts w:ascii="Georgia"/>
          <w:sz w:val="20"/>
        </w:rPr>
      </w:pPr>
      <w:r>
        <w:rPr/>
        <w:drawing>
          <wp:anchor distT="0" distB="0" distL="0" distR="0" allowOverlap="1" layoutInCell="1" locked="0" behindDoc="1" simplePos="0" relativeHeight="487587840">
            <wp:simplePos x="0" y="0"/>
            <wp:positionH relativeFrom="page">
              <wp:posOffset>914400</wp:posOffset>
            </wp:positionH>
            <wp:positionV relativeFrom="paragraph">
              <wp:posOffset>221543</wp:posOffset>
            </wp:positionV>
            <wp:extent cx="4544288" cy="466534"/>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4544288" cy="466534"/>
                    </a:xfrm>
                    <a:prstGeom prst="rect">
                      <a:avLst/>
                    </a:prstGeom>
                  </pic:spPr>
                </pic:pic>
              </a:graphicData>
            </a:graphic>
          </wp:anchor>
        </w:drawing>
      </w:r>
    </w:p>
    <w:sectPr>
      <w:type w:val="continuous"/>
      <w:pgSz w:w="12240" w:h="15840"/>
      <w:pgMar w:top="720" w:bottom="280" w:left="13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Georgia">
    <w:altName w:val="Georgia"/>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3"/>
      <w:szCs w:val="23"/>
      <w:lang w:val="en-US" w:eastAsia="en-US" w:bidi="ar-SA"/>
    </w:rPr>
  </w:style>
  <w:style w:styleId="Title" w:type="paragraph">
    <w:name w:val="Title"/>
    <w:basedOn w:val="Normal"/>
    <w:uiPriority w:val="1"/>
    <w:qFormat/>
    <w:pPr>
      <w:ind w:left="120"/>
    </w:pPr>
    <w:rPr>
      <w:rFonts w:ascii="Georgia" w:hAnsi="Georgia" w:eastAsia="Georgia" w:cs="Georgia"/>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The Joint Commission</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Bullerman, William</dc:creator>
  <dc:description/>
  <dcterms:created xsi:type="dcterms:W3CDTF">2023-09-25T17:19:42Z</dcterms:created>
  <dcterms:modified xsi:type="dcterms:W3CDTF">2023-09-25T17:19:42Z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0x0101004D132E50B47F534BB0FB561F9B37C878</vt:lpwstr>
  </property>
  <property fmtid="{D5CDD505-2E9C-101B-9397-08002B2CF9AE}" pid="3" name="Created">
    <vt:filetime>2023-02-21T00:00:00Z</vt:filetime>
  </property>
  <property fmtid="{D5CDD505-2E9C-101B-9397-08002B2CF9AE}" pid="4" name="Creator">
    <vt:lpwstr>Acrobat PDFMaker 20 for Word</vt:lpwstr>
  </property>
  <property fmtid="{D5CDD505-2E9C-101B-9397-08002B2CF9AE}" pid="5" name="LastSaved">
    <vt:filetime>2023-09-25T00:00:00Z</vt:filetime>
  </property>
  <property fmtid="{D5CDD505-2E9C-101B-9397-08002B2CF9AE}" pid="6" name="Order">
    <vt:lpwstr>17700.000000</vt:lpwstr>
  </property>
  <property fmtid="{D5CDD505-2E9C-101B-9397-08002B2CF9AE}" pid="7" name="Producer">
    <vt:lpwstr>Adobe PDF Library 20.5.233</vt:lpwstr>
  </property>
  <property fmtid="{D5CDD505-2E9C-101B-9397-08002B2CF9AE}" pid="8" name="SourceModified">
    <vt:lpwstr/>
  </property>
  <property fmtid="{D5CDD505-2E9C-101B-9397-08002B2CF9AE}" pid="9" name="_ExtendedDescription">
    <vt:lpwstr/>
  </property>
</Properties>
</file>