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8B3D" w14:textId="71478994" w:rsidR="286DE35E" w:rsidRPr="00391EA8" w:rsidRDefault="286DE35E" w:rsidP="286DE35E">
      <w:pPr>
        <w:jc w:val="center"/>
        <w:rPr>
          <w:rFonts w:ascii="Times New Roman" w:hAnsi="Times New Roman" w:cs="Times New Roman"/>
          <w:b/>
          <w:bCs/>
          <w:sz w:val="28"/>
          <w:szCs w:val="28"/>
        </w:rPr>
      </w:pPr>
      <w:r w:rsidRPr="00391EA8">
        <w:rPr>
          <w:rFonts w:ascii="Times New Roman" w:hAnsi="Times New Roman" w:cs="Times New Roman"/>
          <w:b/>
          <w:bCs/>
          <w:sz w:val="28"/>
          <w:szCs w:val="28"/>
        </w:rPr>
        <w:t>Attachment A</w:t>
      </w:r>
    </w:p>
    <w:p w14:paraId="361DECCB" w14:textId="0EEC605E" w:rsidR="286DE35E" w:rsidRPr="00391EA8" w:rsidRDefault="286DE35E" w:rsidP="286DE35E">
      <w:pPr>
        <w:jc w:val="center"/>
        <w:rPr>
          <w:rFonts w:ascii="Times New Roman" w:hAnsi="Times New Roman" w:cs="Times New Roman"/>
          <w:b/>
          <w:bCs/>
          <w:sz w:val="28"/>
          <w:szCs w:val="28"/>
        </w:rPr>
      </w:pPr>
      <w:r w:rsidRPr="00391EA8">
        <w:rPr>
          <w:rFonts w:ascii="Times New Roman" w:hAnsi="Times New Roman" w:cs="Times New Roman"/>
          <w:b/>
          <w:bCs/>
          <w:sz w:val="28"/>
          <w:szCs w:val="28"/>
        </w:rPr>
        <w:t>Certification of Compliance with Moving to Work (MTW) Program and Other Requirements</w:t>
      </w:r>
    </w:p>
    <w:p w14:paraId="79D58A0A" w14:textId="4064E6F4" w:rsidR="286DE35E" w:rsidRPr="00391EA8" w:rsidRDefault="286DE35E" w:rsidP="286DE35E">
      <w:pPr>
        <w:rPr>
          <w:rFonts w:ascii="Times New Roman" w:hAnsi="Times New Roman" w:cs="Times New Roman"/>
          <w:sz w:val="24"/>
          <w:szCs w:val="24"/>
        </w:rPr>
      </w:pPr>
      <w:r w:rsidRPr="00391EA8">
        <w:rPr>
          <w:rFonts w:ascii="Times New Roman" w:hAnsi="Times New Roman" w:cs="Times New Roman"/>
          <w:sz w:val="24"/>
          <w:szCs w:val="24"/>
        </w:rPr>
        <w:t>As an authorized representative of the Local Housing Authority (LHA) applying for MTW funding for a state-aided housing capital project, I make the following certifications and agreements regarding the implementation of activities proposed to be funded by the MTW Program:</w:t>
      </w:r>
    </w:p>
    <w:p w14:paraId="4AF70E0B" w14:textId="1C85AAD7" w:rsidR="006D6F84"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Activities will be carried out in conformity with all regulations and statutes that pertain to procurement, real estate transactions, and state-aided public housing, including without limitation M.G.L. c. 30B</w:t>
      </w:r>
      <w:r w:rsidR="00046FAF" w:rsidRPr="00391EA8">
        <w:rPr>
          <w:rFonts w:ascii="Times New Roman" w:hAnsi="Times New Roman" w:cs="Times New Roman"/>
          <w:sz w:val="24"/>
          <w:szCs w:val="24"/>
        </w:rPr>
        <w:t>,</w:t>
      </w:r>
      <w:r w:rsidRPr="00391EA8">
        <w:rPr>
          <w:rFonts w:ascii="Times New Roman" w:hAnsi="Times New Roman" w:cs="Times New Roman"/>
          <w:sz w:val="24"/>
          <w:szCs w:val="24"/>
        </w:rPr>
        <w:t xml:space="preserve"> M.G.L. c. 121B</w:t>
      </w:r>
      <w:r w:rsidR="00046FAF" w:rsidRPr="00391EA8">
        <w:rPr>
          <w:rFonts w:ascii="Times New Roman" w:hAnsi="Times New Roman" w:cs="Times New Roman"/>
          <w:sz w:val="24"/>
          <w:szCs w:val="24"/>
        </w:rPr>
        <w:t xml:space="preserve"> and M.G.L. c. 149</w:t>
      </w:r>
      <w:r w:rsidRPr="00391EA8">
        <w:rPr>
          <w:rFonts w:ascii="Times New Roman" w:hAnsi="Times New Roman" w:cs="Times New Roman"/>
          <w:sz w:val="24"/>
          <w:szCs w:val="24"/>
        </w:rPr>
        <w:t>.</w:t>
      </w:r>
    </w:p>
    <w:p w14:paraId="0A6A080B" w14:textId="0C490A3A" w:rsidR="006D6F84" w:rsidRPr="00391EA8" w:rsidRDefault="6A936E3D" w:rsidP="6A936E3D">
      <w:pPr>
        <w:pStyle w:val="ListParagraph"/>
        <w:numPr>
          <w:ilvl w:val="0"/>
          <w:numId w:val="2"/>
        </w:numPr>
        <w:rPr>
          <w:rFonts w:ascii="Times New Roman" w:hAnsi="Times New Roman" w:cs="Times New Roman"/>
          <w:sz w:val="24"/>
          <w:szCs w:val="24"/>
        </w:rPr>
      </w:pPr>
      <w:r w:rsidRPr="00391EA8">
        <w:rPr>
          <w:rFonts w:ascii="Times New Roman" w:hAnsi="Times New Roman" w:cs="Times New Roman"/>
          <w:sz w:val="24"/>
          <w:szCs w:val="24"/>
        </w:rPr>
        <w:t>The LHA will provide timely data and reporting on project activities in accordance with MTW reporting requirements, whether currently existing or established post-award.</w:t>
      </w:r>
    </w:p>
    <w:p w14:paraId="2C078E63" w14:textId="0A87B938" w:rsidR="006D6F84" w:rsidRPr="00391EA8" w:rsidRDefault="286DE35E" w:rsidP="6A936E3D">
      <w:pPr>
        <w:pStyle w:val="ListParagraph"/>
        <w:numPr>
          <w:ilvl w:val="0"/>
          <w:numId w:val="2"/>
        </w:numPr>
        <w:rPr>
          <w:rFonts w:ascii="Times New Roman" w:hAnsi="Times New Roman" w:cs="Times New Roman"/>
          <w:sz w:val="24"/>
          <w:szCs w:val="24"/>
        </w:rPr>
      </w:pPr>
      <w:r w:rsidRPr="00391EA8">
        <w:rPr>
          <w:rFonts w:ascii="Times New Roman" w:hAnsi="Times New Roman" w:cs="Times New Roman"/>
          <w:sz w:val="24"/>
          <w:szCs w:val="24"/>
        </w:rPr>
        <w:t>Activities will be carried out in conformity with Title VI of the Civil Rights Act of 1964, the Fair Housing Act, section 504 of the Rehabilitation Act of 1973, and title II of the Americans with Disabilities Act of 1990.</w:t>
      </w:r>
    </w:p>
    <w:p w14:paraId="38D53529" w14:textId="5780C76D"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LHA will comply with the prohibitions against discrimination </w:t>
      </w:r>
      <w:proofErr w:type="gramStart"/>
      <w:r w:rsidRPr="00391EA8">
        <w:rPr>
          <w:rFonts w:ascii="Times New Roman" w:hAnsi="Times New Roman" w:cs="Times New Roman"/>
          <w:sz w:val="24"/>
          <w:szCs w:val="24"/>
        </w:rPr>
        <w:t>on the basis of</w:t>
      </w:r>
      <w:proofErr w:type="gramEnd"/>
      <w:r w:rsidRPr="00391EA8">
        <w:rPr>
          <w:rFonts w:ascii="Times New Roman" w:hAnsi="Times New Roman" w:cs="Times New Roman"/>
          <w:sz w:val="24"/>
          <w:szCs w:val="24"/>
        </w:rPr>
        <w:t xml:space="preserve"> age pursuant to the Age Discrimination Act of 1975.</w:t>
      </w:r>
    </w:p>
    <w:p w14:paraId="08E06FF2" w14:textId="4A836C80"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LHA will not </w:t>
      </w:r>
      <w:proofErr w:type="gramStart"/>
      <w:r w:rsidRPr="00391EA8">
        <w:rPr>
          <w:rFonts w:ascii="Times New Roman" w:hAnsi="Times New Roman" w:cs="Times New Roman"/>
          <w:sz w:val="24"/>
          <w:szCs w:val="24"/>
        </w:rPr>
        <w:t>make a determination</w:t>
      </w:r>
      <w:proofErr w:type="gramEnd"/>
      <w:r w:rsidRPr="00391EA8">
        <w:rPr>
          <w:rFonts w:ascii="Times New Roman" w:hAnsi="Times New Roman" w:cs="Times New Roman"/>
          <w:sz w:val="24"/>
          <w:szCs w:val="24"/>
        </w:rPr>
        <w:t xml:space="preserve"> of eligibility for housing based on sexual orientation, gender identity, or marital status and will make no inquiries concerning the gender identification or sexual orientation of an applicant for or occupant of HUD-assisted housing.</w:t>
      </w:r>
    </w:p>
    <w:p w14:paraId="376AF8BD" w14:textId="18FA919F"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LHA will comply with the Architectural Barriers Act of 1968 and 24 CFR Part 41, Policies and Procedures for the Enforcement of Standards and Requirements for Accessibility by the Physically Handicapped. </w:t>
      </w:r>
    </w:p>
    <w:p w14:paraId="79F8A102" w14:textId="3F149A80"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comply with the requirements of section 3 of the Housing and Urban Development Act of 1968, Employment Opportunities for Low- or Very-Low Income Persons, and with its implementing regulation at 24 CFR Part 135.</w:t>
      </w:r>
    </w:p>
    <w:p w14:paraId="1CF689F8" w14:textId="746355EA"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LHA will comply with requirements </w:t>
      </w:r>
      <w:proofErr w:type="gramStart"/>
      <w:r w:rsidRPr="00391EA8">
        <w:rPr>
          <w:rFonts w:ascii="Times New Roman" w:hAnsi="Times New Roman" w:cs="Times New Roman"/>
          <w:sz w:val="24"/>
          <w:szCs w:val="24"/>
        </w:rPr>
        <w:t>with regard to</w:t>
      </w:r>
      <w:proofErr w:type="gramEnd"/>
      <w:r w:rsidRPr="00391EA8">
        <w:rPr>
          <w:rFonts w:ascii="Times New Roman" w:hAnsi="Times New Roman" w:cs="Times New Roman"/>
          <w:sz w:val="24"/>
          <w:szCs w:val="24"/>
        </w:rPr>
        <w:t xml:space="preserve"> a drug free workplace required by 24 CFR Part 24, Subpart F.</w:t>
      </w:r>
    </w:p>
    <w:p w14:paraId="0118F452" w14:textId="54539421"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LHA will comply with requirements </w:t>
      </w:r>
      <w:proofErr w:type="gramStart"/>
      <w:r w:rsidRPr="00391EA8">
        <w:rPr>
          <w:rFonts w:ascii="Times New Roman" w:hAnsi="Times New Roman" w:cs="Times New Roman"/>
          <w:sz w:val="24"/>
          <w:szCs w:val="24"/>
        </w:rPr>
        <w:t>with regard to</w:t>
      </w:r>
      <w:proofErr w:type="gramEnd"/>
      <w:r w:rsidRPr="00391EA8">
        <w:rPr>
          <w:rFonts w:ascii="Times New Roman" w:hAnsi="Times New Roman" w:cs="Times New Roman"/>
          <w:sz w:val="24"/>
          <w:szCs w:val="24"/>
        </w:rPr>
        <w:t xml:space="preserve"> compliance with restrictions on lobbying required by 24 CFR Part 87, together with disclosure forms if required by this Part, and with restrictions on payments to influence Federal Transactions, in accordance with the Byrd Amendment and implementing regulations at 49 CFR Part 24.</w:t>
      </w:r>
    </w:p>
    <w:p w14:paraId="2911B16B" w14:textId="7FB25377"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comply with acquisition and relocation requirements of the Uniform Relocation Assistance and Real Property Acquisition Policies Act of 1970 and implementing regulations at 49 CFR Part 24 as applicable.</w:t>
      </w:r>
    </w:p>
    <w:p w14:paraId="66275656" w14:textId="7B73225B"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take appropriate affirmative action to award contracts to minority and women’s business enterprises under 24 CFR 5.105(a).</w:t>
      </w:r>
    </w:p>
    <w:p w14:paraId="456B715E" w14:textId="48F00B98"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LHA will provide HUD or the responsible entity any documentation needed to carry out its review under the National Environmental Policy Act and other related authorities in accordance with 24 CFR Part 58. Regardless of who acts as the responsible entity, the </w:t>
      </w:r>
      <w:r w:rsidRPr="00391EA8">
        <w:rPr>
          <w:rFonts w:ascii="Times New Roman" w:hAnsi="Times New Roman" w:cs="Times New Roman"/>
          <w:sz w:val="24"/>
          <w:szCs w:val="24"/>
        </w:rPr>
        <w:lastRenderedPageBreak/>
        <w:t>LHA will maintain documentation that verifies compliance with environmental requirements pursuant to 24 Part 58 and 24 CFR Part 50 and will make this documentation available to HUD upon its request.</w:t>
      </w:r>
    </w:p>
    <w:p w14:paraId="6975D784" w14:textId="66B666E4" w:rsidR="286DE35E" w:rsidRPr="00391EA8" w:rsidRDefault="001D231F" w:rsidP="7D41A4E5">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 xml:space="preserve">The </w:t>
      </w:r>
      <w:r w:rsidR="286DE35E" w:rsidRPr="00391EA8">
        <w:rPr>
          <w:rFonts w:ascii="Times New Roman" w:hAnsi="Times New Roman" w:cs="Times New Roman"/>
          <w:sz w:val="24"/>
          <w:szCs w:val="24"/>
        </w:rPr>
        <w:t>LHA will comply with Davis-Bacon or HUD determined wage rate requirements under section 12 of the United States Housing Act of 1937 and the Contract Work Hours and Safety Standards Act. All construction procurement documents will clearly state that Davis-Baco</w:t>
      </w:r>
      <w:r w:rsidR="45F13F83" w:rsidRPr="00391EA8">
        <w:rPr>
          <w:rFonts w:ascii="Times New Roman" w:hAnsi="Times New Roman" w:cs="Times New Roman"/>
          <w:sz w:val="24"/>
          <w:szCs w:val="24"/>
        </w:rPr>
        <w:t>n</w:t>
      </w:r>
      <w:r w:rsidR="286DE35E" w:rsidRPr="00391EA8">
        <w:rPr>
          <w:rFonts w:ascii="Times New Roman" w:hAnsi="Times New Roman" w:cs="Times New Roman"/>
          <w:sz w:val="24"/>
          <w:szCs w:val="24"/>
        </w:rPr>
        <w:t xml:space="preserve"> </w:t>
      </w:r>
      <w:r w:rsidR="00F54133" w:rsidRPr="00391EA8">
        <w:rPr>
          <w:rFonts w:ascii="Times New Roman" w:hAnsi="Times New Roman" w:cs="Times New Roman"/>
          <w:sz w:val="24"/>
          <w:szCs w:val="24"/>
        </w:rPr>
        <w:t xml:space="preserve">or </w:t>
      </w:r>
      <w:r w:rsidR="286DE35E" w:rsidRPr="00391EA8">
        <w:rPr>
          <w:rFonts w:ascii="Times New Roman" w:hAnsi="Times New Roman" w:cs="Times New Roman"/>
          <w:sz w:val="24"/>
          <w:szCs w:val="24"/>
        </w:rPr>
        <w:t>HUD determined wage rates apply.</w:t>
      </w:r>
    </w:p>
    <w:p w14:paraId="2B921CEF" w14:textId="7C50087F" w:rsidR="286DE35E" w:rsidRPr="00391EA8" w:rsidRDefault="001D231F" w:rsidP="7D41A4E5">
      <w:pPr>
        <w:pStyle w:val="ListParagraph"/>
        <w:numPr>
          <w:ilvl w:val="0"/>
          <w:numId w:val="2"/>
        </w:numPr>
        <w:rPr>
          <w:rFonts w:ascii="Times New Roman" w:hAnsi="Times New Roman" w:cs="Times New Roman"/>
          <w:sz w:val="24"/>
          <w:szCs w:val="24"/>
        </w:rPr>
      </w:pPr>
      <w:r w:rsidRPr="00391EA8">
        <w:rPr>
          <w:rFonts w:ascii="Times New Roman" w:hAnsi="Times New Roman" w:cs="Times New Roman"/>
          <w:sz w:val="24"/>
          <w:szCs w:val="24"/>
        </w:rPr>
        <w:t>T</w:t>
      </w:r>
      <w:r w:rsidR="3DB721DC" w:rsidRPr="00391EA8">
        <w:rPr>
          <w:rFonts w:ascii="Times New Roman" w:hAnsi="Times New Roman" w:cs="Times New Roman"/>
          <w:sz w:val="24"/>
          <w:szCs w:val="24"/>
        </w:rPr>
        <w:t>he LHA shall comply with the applicable provisions of HUD PIH Notice 2011-45 and/or successor notices and other HUD guidance.</w:t>
      </w:r>
    </w:p>
    <w:p w14:paraId="17A52F85" w14:textId="2562DC69" w:rsidR="45DD27AC" w:rsidRPr="00391EA8" w:rsidRDefault="45DD27AC" w:rsidP="2C9BFE47">
      <w:pPr>
        <w:pStyle w:val="ListParagraph"/>
        <w:numPr>
          <w:ilvl w:val="0"/>
          <w:numId w:val="2"/>
        </w:numPr>
        <w:rPr>
          <w:rFonts w:ascii="Times New Roman" w:hAnsi="Times New Roman" w:cs="Times New Roman"/>
          <w:sz w:val="24"/>
          <w:szCs w:val="24"/>
        </w:rPr>
      </w:pPr>
      <w:r w:rsidRPr="00391EA8">
        <w:rPr>
          <w:rFonts w:ascii="Times New Roman" w:hAnsi="Times New Roman" w:cs="Times New Roman"/>
          <w:sz w:val="24"/>
          <w:szCs w:val="24"/>
        </w:rPr>
        <w:t>The LHA will ensure units meet HUD Housing Quality Standards (HQS) performance requirements (as provided in 24 CFR 982.401), both at commencement of occupancy and throughout the term of the time restriction on units</w:t>
      </w:r>
      <w:r w:rsidR="00A85AB1" w:rsidRPr="00391EA8">
        <w:rPr>
          <w:rFonts w:ascii="Times New Roman" w:hAnsi="Times New Roman" w:cs="Times New Roman"/>
          <w:sz w:val="24"/>
          <w:szCs w:val="24"/>
        </w:rPr>
        <w:t xml:space="preserve"> funded through this NOFA</w:t>
      </w:r>
      <w:r w:rsidRPr="00391EA8">
        <w:rPr>
          <w:rFonts w:ascii="Times New Roman" w:hAnsi="Times New Roman" w:cs="Times New Roman"/>
          <w:sz w:val="24"/>
          <w:szCs w:val="24"/>
        </w:rPr>
        <w:t>.</w:t>
      </w:r>
    </w:p>
    <w:p w14:paraId="01F3BC5E" w14:textId="14CB4F86" w:rsidR="45DD27AC" w:rsidRPr="00391EA8" w:rsidRDefault="45DD27AC" w:rsidP="2C9BFE47">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comply with cash management requirements outlined in 2 CFR §200.</w:t>
      </w:r>
    </w:p>
    <w:p w14:paraId="428EEB89" w14:textId="51A93BDD"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keep records in accordance with 24 CFRA 85.20 and facilitate an effective audit to determine compliance with program requirements.</w:t>
      </w:r>
    </w:p>
    <w:p w14:paraId="108E9A34" w14:textId="4E820F4C" w:rsidR="286DE35E" w:rsidRPr="00391EA8" w:rsidRDefault="286DE35E" w:rsidP="6A936E3D">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comply with the Lead-Based Paint Poisoning Prevention Act and 24 CFR Part 35.</w:t>
      </w:r>
    </w:p>
    <w:p w14:paraId="4D6AA462" w14:textId="24D492BC" w:rsidR="286DE35E" w:rsidRPr="00391EA8" w:rsidRDefault="286DE35E" w:rsidP="7D41A4E5">
      <w:pPr>
        <w:pStyle w:val="ListParagraph"/>
        <w:numPr>
          <w:ilvl w:val="0"/>
          <w:numId w:val="2"/>
        </w:numPr>
        <w:rPr>
          <w:rFonts w:ascii="Times New Roman" w:eastAsiaTheme="minorEastAsia" w:hAnsi="Times New Roman" w:cs="Times New Roman"/>
          <w:sz w:val="24"/>
          <w:szCs w:val="24"/>
        </w:rPr>
      </w:pPr>
      <w:r w:rsidRPr="00391EA8">
        <w:rPr>
          <w:rFonts w:ascii="Times New Roman" w:hAnsi="Times New Roman" w:cs="Times New Roman"/>
          <w:sz w:val="24"/>
          <w:szCs w:val="24"/>
        </w:rPr>
        <w:t>The LHA will comply with the</w:t>
      </w:r>
      <w:r w:rsidR="006237BE" w:rsidRPr="00391EA8">
        <w:rPr>
          <w:rFonts w:ascii="Times New Roman" w:hAnsi="Times New Roman" w:cs="Times New Roman"/>
          <w:sz w:val="24"/>
          <w:szCs w:val="24"/>
        </w:rPr>
        <w:t xml:space="preserve"> applicable</w:t>
      </w:r>
      <w:r w:rsidRPr="00391EA8">
        <w:rPr>
          <w:rFonts w:ascii="Times New Roman" w:hAnsi="Times New Roman" w:cs="Times New Roman"/>
          <w:sz w:val="24"/>
          <w:szCs w:val="24"/>
        </w:rPr>
        <w:t xml:space="preserve"> policies, guidelines, and requirements of OMB Circular No. A-87 (Cost Principles for State, Local and Indian Tribal Governments) and 24 CFR Part 200.</w:t>
      </w:r>
    </w:p>
    <w:p w14:paraId="1FD7FBF0" w14:textId="0CBA0F01" w:rsidR="286DE35E" w:rsidRPr="00391EA8" w:rsidRDefault="286DE35E" w:rsidP="286DE35E">
      <w:pPr>
        <w:rPr>
          <w:rFonts w:ascii="Times New Roman" w:hAnsi="Times New Roman" w:cs="Times New Roman"/>
          <w:sz w:val="24"/>
          <w:szCs w:val="24"/>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705"/>
        <w:gridCol w:w="2535"/>
        <w:gridCol w:w="3120"/>
      </w:tblGrid>
      <w:tr w:rsidR="286DE35E" w:rsidRPr="00391EA8" w14:paraId="3551792C" w14:textId="77777777" w:rsidTr="00D878C6">
        <w:tc>
          <w:tcPr>
            <w:tcW w:w="3705" w:type="dxa"/>
            <w:tcBorders>
              <w:bottom w:val="single" w:sz="4" w:space="0" w:color="auto"/>
            </w:tcBorders>
          </w:tcPr>
          <w:p w14:paraId="548E7B49" w14:textId="05E8A029" w:rsidR="286DE35E" w:rsidRPr="00391EA8" w:rsidRDefault="286DE35E" w:rsidP="286DE35E">
            <w:pPr>
              <w:rPr>
                <w:rFonts w:ascii="Times New Roman" w:hAnsi="Times New Roman" w:cs="Times New Roman"/>
                <w:sz w:val="24"/>
                <w:szCs w:val="24"/>
              </w:rPr>
            </w:pPr>
          </w:p>
        </w:tc>
        <w:tc>
          <w:tcPr>
            <w:tcW w:w="2535" w:type="dxa"/>
          </w:tcPr>
          <w:p w14:paraId="71DF3316" w14:textId="78698881" w:rsidR="286DE35E" w:rsidRPr="00391EA8" w:rsidRDefault="286DE35E" w:rsidP="286DE35E">
            <w:pPr>
              <w:rPr>
                <w:rFonts w:ascii="Times New Roman" w:hAnsi="Times New Roman" w:cs="Times New Roman"/>
                <w:sz w:val="24"/>
                <w:szCs w:val="24"/>
              </w:rPr>
            </w:pPr>
          </w:p>
        </w:tc>
        <w:tc>
          <w:tcPr>
            <w:tcW w:w="3120" w:type="dxa"/>
            <w:tcBorders>
              <w:bottom w:val="single" w:sz="4" w:space="0" w:color="auto"/>
            </w:tcBorders>
          </w:tcPr>
          <w:p w14:paraId="6C730594" w14:textId="6BA1E44F" w:rsidR="286DE35E" w:rsidRPr="00391EA8" w:rsidRDefault="286DE35E" w:rsidP="286DE35E">
            <w:pPr>
              <w:rPr>
                <w:rFonts w:ascii="Times New Roman" w:hAnsi="Times New Roman" w:cs="Times New Roman"/>
                <w:sz w:val="24"/>
                <w:szCs w:val="24"/>
              </w:rPr>
            </w:pPr>
          </w:p>
        </w:tc>
      </w:tr>
      <w:tr w:rsidR="286DE35E" w:rsidRPr="00391EA8" w14:paraId="6B55B494" w14:textId="77777777" w:rsidTr="00D878C6">
        <w:tc>
          <w:tcPr>
            <w:tcW w:w="3705" w:type="dxa"/>
            <w:tcBorders>
              <w:top w:val="single" w:sz="4" w:space="0" w:color="auto"/>
              <w:left w:val="nil"/>
              <w:bottom w:val="nil"/>
              <w:right w:val="nil"/>
            </w:tcBorders>
          </w:tcPr>
          <w:p w14:paraId="050293D0" w14:textId="49598CA0" w:rsidR="286DE35E" w:rsidRPr="00391EA8" w:rsidRDefault="286DE35E" w:rsidP="286DE35E">
            <w:pPr>
              <w:rPr>
                <w:rFonts w:ascii="Times New Roman" w:hAnsi="Times New Roman" w:cs="Times New Roman"/>
                <w:sz w:val="24"/>
                <w:szCs w:val="24"/>
              </w:rPr>
            </w:pPr>
            <w:r w:rsidRPr="00391EA8">
              <w:rPr>
                <w:rFonts w:ascii="Times New Roman" w:hAnsi="Times New Roman" w:cs="Times New Roman"/>
                <w:sz w:val="24"/>
                <w:szCs w:val="24"/>
              </w:rPr>
              <w:t>Name of Authorized Representative</w:t>
            </w:r>
          </w:p>
        </w:tc>
        <w:tc>
          <w:tcPr>
            <w:tcW w:w="2535" w:type="dxa"/>
            <w:tcBorders>
              <w:left w:val="nil"/>
              <w:right w:val="nil"/>
            </w:tcBorders>
          </w:tcPr>
          <w:p w14:paraId="1063C3FE" w14:textId="48C1499D" w:rsidR="286DE35E" w:rsidRPr="00391EA8" w:rsidRDefault="286DE35E" w:rsidP="286DE35E">
            <w:pPr>
              <w:rPr>
                <w:rFonts w:ascii="Times New Roman" w:hAnsi="Times New Roman" w:cs="Times New Roman"/>
                <w:sz w:val="24"/>
                <w:szCs w:val="24"/>
              </w:rPr>
            </w:pPr>
          </w:p>
        </w:tc>
        <w:tc>
          <w:tcPr>
            <w:tcW w:w="3120" w:type="dxa"/>
            <w:tcBorders>
              <w:top w:val="single" w:sz="4" w:space="0" w:color="auto"/>
              <w:left w:val="nil"/>
              <w:bottom w:val="nil"/>
              <w:right w:val="nil"/>
            </w:tcBorders>
          </w:tcPr>
          <w:p w14:paraId="3AB24012" w14:textId="5302F9F1" w:rsidR="286DE35E" w:rsidRPr="00391EA8" w:rsidRDefault="286DE35E" w:rsidP="286DE35E">
            <w:pPr>
              <w:rPr>
                <w:rFonts w:ascii="Times New Roman" w:hAnsi="Times New Roman" w:cs="Times New Roman"/>
                <w:sz w:val="24"/>
                <w:szCs w:val="24"/>
              </w:rPr>
            </w:pPr>
            <w:r w:rsidRPr="00391EA8">
              <w:rPr>
                <w:rFonts w:ascii="Times New Roman" w:hAnsi="Times New Roman" w:cs="Times New Roman"/>
                <w:sz w:val="24"/>
                <w:szCs w:val="24"/>
              </w:rPr>
              <w:t>Title</w:t>
            </w:r>
          </w:p>
        </w:tc>
      </w:tr>
      <w:tr w:rsidR="286DE35E" w:rsidRPr="00391EA8" w14:paraId="7BF71217" w14:textId="77777777" w:rsidTr="00D878C6">
        <w:tc>
          <w:tcPr>
            <w:tcW w:w="3705" w:type="dxa"/>
            <w:tcBorders>
              <w:top w:val="nil"/>
              <w:bottom w:val="nil"/>
            </w:tcBorders>
          </w:tcPr>
          <w:p w14:paraId="398E46BA" w14:textId="388C58F6" w:rsidR="286DE35E" w:rsidRPr="00391EA8" w:rsidRDefault="286DE35E" w:rsidP="286DE35E">
            <w:pPr>
              <w:rPr>
                <w:rFonts w:ascii="Times New Roman" w:hAnsi="Times New Roman" w:cs="Times New Roman"/>
                <w:sz w:val="24"/>
                <w:szCs w:val="24"/>
              </w:rPr>
            </w:pPr>
          </w:p>
        </w:tc>
        <w:tc>
          <w:tcPr>
            <w:tcW w:w="2535" w:type="dxa"/>
            <w:tcBorders>
              <w:bottom w:val="nil"/>
            </w:tcBorders>
          </w:tcPr>
          <w:p w14:paraId="70A6DD45" w14:textId="7E6EA328" w:rsidR="286DE35E" w:rsidRPr="00391EA8" w:rsidRDefault="286DE35E" w:rsidP="286DE35E">
            <w:pPr>
              <w:rPr>
                <w:rFonts w:ascii="Times New Roman" w:hAnsi="Times New Roman" w:cs="Times New Roman"/>
                <w:sz w:val="24"/>
                <w:szCs w:val="24"/>
              </w:rPr>
            </w:pPr>
          </w:p>
        </w:tc>
        <w:tc>
          <w:tcPr>
            <w:tcW w:w="3120" w:type="dxa"/>
            <w:tcBorders>
              <w:top w:val="nil"/>
              <w:bottom w:val="nil"/>
            </w:tcBorders>
          </w:tcPr>
          <w:p w14:paraId="4BF251DC" w14:textId="230F2BED" w:rsidR="286DE35E" w:rsidRPr="00391EA8" w:rsidRDefault="286DE35E" w:rsidP="286DE35E">
            <w:pPr>
              <w:rPr>
                <w:rFonts w:ascii="Times New Roman" w:hAnsi="Times New Roman" w:cs="Times New Roman"/>
                <w:sz w:val="24"/>
                <w:szCs w:val="24"/>
              </w:rPr>
            </w:pPr>
          </w:p>
        </w:tc>
      </w:tr>
      <w:tr w:rsidR="00D878C6" w:rsidRPr="00391EA8" w14:paraId="7CA54F9E" w14:textId="77777777" w:rsidTr="00D878C6">
        <w:tc>
          <w:tcPr>
            <w:tcW w:w="3705" w:type="dxa"/>
            <w:tcBorders>
              <w:top w:val="nil"/>
              <w:left w:val="nil"/>
              <w:bottom w:val="nil"/>
              <w:right w:val="nil"/>
            </w:tcBorders>
          </w:tcPr>
          <w:p w14:paraId="6362A7FC" w14:textId="77777777" w:rsidR="00D878C6" w:rsidRPr="00391EA8" w:rsidRDefault="00D878C6" w:rsidP="286DE35E">
            <w:pPr>
              <w:rPr>
                <w:rFonts w:ascii="Times New Roman" w:hAnsi="Times New Roman" w:cs="Times New Roman"/>
                <w:sz w:val="24"/>
                <w:szCs w:val="24"/>
              </w:rPr>
            </w:pPr>
          </w:p>
        </w:tc>
        <w:tc>
          <w:tcPr>
            <w:tcW w:w="2535" w:type="dxa"/>
            <w:tcBorders>
              <w:top w:val="nil"/>
              <w:left w:val="nil"/>
              <w:bottom w:val="nil"/>
              <w:right w:val="nil"/>
            </w:tcBorders>
          </w:tcPr>
          <w:p w14:paraId="5AD36528" w14:textId="77777777" w:rsidR="00D878C6" w:rsidRPr="00391EA8" w:rsidRDefault="00D878C6" w:rsidP="286DE35E">
            <w:pPr>
              <w:rPr>
                <w:rFonts w:ascii="Times New Roman" w:hAnsi="Times New Roman" w:cs="Times New Roman"/>
                <w:sz w:val="24"/>
                <w:szCs w:val="24"/>
              </w:rPr>
            </w:pPr>
          </w:p>
        </w:tc>
        <w:tc>
          <w:tcPr>
            <w:tcW w:w="3120" w:type="dxa"/>
            <w:tcBorders>
              <w:top w:val="nil"/>
              <w:left w:val="nil"/>
              <w:bottom w:val="nil"/>
              <w:right w:val="nil"/>
            </w:tcBorders>
          </w:tcPr>
          <w:p w14:paraId="7ADC9DF9" w14:textId="77777777" w:rsidR="00D878C6" w:rsidRPr="00391EA8" w:rsidRDefault="00D878C6" w:rsidP="286DE35E">
            <w:pPr>
              <w:rPr>
                <w:rFonts w:ascii="Times New Roman" w:hAnsi="Times New Roman" w:cs="Times New Roman"/>
                <w:sz w:val="24"/>
                <w:szCs w:val="24"/>
              </w:rPr>
            </w:pPr>
          </w:p>
        </w:tc>
      </w:tr>
      <w:tr w:rsidR="00D878C6" w:rsidRPr="00391EA8" w14:paraId="7F930600" w14:textId="77777777" w:rsidTr="00D878C6">
        <w:tc>
          <w:tcPr>
            <w:tcW w:w="3705" w:type="dxa"/>
            <w:tcBorders>
              <w:top w:val="nil"/>
              <w:left w:val="nil"/>
              <w:bottom w:val="nil"/>
              <w:right w:val="nil"/>
            </w:tcBorders>
          </w:tcPr>
          <w:p w14:paraId="456A5F30" w14:textId="77777777" w:rsidR="00D878C6" w:rsidRPr="00391EA8" w:rsidRDefault="00D878C6" w:rsidP="286DE35E">
            <w:pPr>
              <w:rPr>
                <w:rFonts w:ascii="Times New Roman" w:hAnsi="Times New Roman" w:cs="Times New Roman"/>
                <w:sz w:val="24"/>
                <w:szCs w:val="24"/>
              </w:rPr>
            </w:pPr>
          </w:p>
        </w:tc>
        <w:tc>
          <w:tcPr>
            <w:tcW w:w="2535" w:type="dxa"/>
            <w:tcBorders>
              <w:top w:val="nil"/>
              <w:left w:val="nil"/>
              <w:bottom w:val="nil"/>
              <w:right w:val="nil"/>
            </w:tcBorders>
          </w:tcPr>
          <w:p w14:paraId="1CD29E77" w14:textId="77777777" w:rsidR="00D878C6" w:rsidRPr="00391EA8" w:rsidRDefault="00D878C6" w:rsidP="286DE35E">
            <w:pPr>
              <w:rPr>
                <w:rFonts w:ascii="Times New Roman" w:hAnsi="Times New Roman" w:cs="Times New Roman"/>
                <w:sz w:val="24"/>
                <w:szCs w:val="24"/>
              </w:rPr>
            </w:pPr>
          </w:p>
        </w:tc>
        <w:tc>
          <w:tcPr>
            <w:tcW w:w="3120" w:type="dxa"/>
            <w:tcBorders>
              <w:top w:val="nil"/>
              <w:left w:val="nil"/>
              <w:bottom w:val="nil"/>
              <w:right w:val="nil"/>
            </w:tcBorders>
          </w:tcPr>
          <w:p w14:paraId="5715EF88" w14:textId="77777777" w:rsidR="00D878C6" w:rsidRPr="00391EA8" w:rsidRDefault="00D878C6" w:rsidP="286DE35E">
            <w:pPr>
              <w:rPr>
                <w:rFonts w:ascii="Times New Roman" w:hAnsi="Times New Roman" w:cs="Times New Roman"/>
                <w:sz w:val="24"/>
                <w:szCs w:val="24"/>
              </w:rPr>
            </w:pPr>
          </w:p>
        </w:tc>
      </w:tr>
      <w:tr w:rsidR="00D878C6" w:rsidRPr="00391EA8" w14:paraId="166FE5ED" w14:textId="77777777" w:rsidTr="00D878C6">
        <w:tc>
          <w:tcPr>
            <w:tcW w:w="3705" w:type="dxa"/>
            <w:tcBorders>
              <w:top w:val="nil"/>
              <w:bottom w:val="single" w:sz="4" w:space="0" w:color="auto"/>
            </w:tcBorders>
          </w:tcPr>
          <w:p w14:paraId="6861BE8A" w14:textId="77777777" w:rsidR="00D878C6" w:rsidRPr="00391EA8" w:rsidRDefault="00D878C6" w:rsidP="286DE35E">
            <w:pPr>
              <w:rPr>
                <w:rFonts w:ascii="Times New Roman" w:hAnsi="Times New Roman" w:cs="Times New Roman"/>
                <w:sz w:val="24"/>
                <w:szCs w:val="24"/>
              </w:rPr>
            </w:pPr>
          </w:p>
        </w:tc>
        <w:tc>
          <w:tcPr>
            <w:tcW w:w="2535" w:type="dxa"/>
            <w:tcBorders>
              <w:top w:val="nil"/>
            </w:tcBorders>
          </w:tcPr>
          <w:p w14:paraId="08D7A9B3" w14:textId="77777777" w:rsidR="00D878C6" w:rsidRPr="00391EA8" w:rsidRDefault="00D878C6" w:rsidP="286DE35E">
            <w:pPr>
              <w:rPr>
                <w:rFonts w:ascii="Times New Roman" w:hAnsi="Times New Roman" w:cs="Times New Roman"/>
                <w:sz w:val="24"/>
                <w:szCs w:val="24"/>
              </w:rPr>
            </w:pPr>
          </w:p>
        </w:tc>
        <w:tc>
          <w:tcPr>
            <w:tcW w:w="3120" w:type="dxa"/>
            <w:tcBorders>
              <w:top w:val="nil"/>
              <w:bottom w:val="single" w:sz="4" w:space="0" w:color="auto"/>
            </w:tcBorders>
          </w:tcPr>
          <w:p w14:paraId="5495EB47" w14:textId="77777777" w:rsidR="00D878C6" w:rsidRPr="00391EA8" w:rsidRDefault="00D878C6" w:rsidP="286DE35E">
            <w:pPr>
              <w:rPr>
                <w:rFonts w:ascii="Times New Roman" w:hAnsi="Times New Roman" w:cs="Times New Roman"/>
                <w:sz w:val="24"/>
                <w:szCs w:val="24"/>
              </w:rPr>
            </w:pPr>
          </w:p>
        </w:tc>
      </w:tr>
      <w:tr w:rsidR="286DE35E" w:rsidRPr="00391EA8" w14:paraId="456CF00C" w14:textId="77777777" w:rsidTr="00D878C6">
        <w:tc>
          <w:tcPr>
            <w:tcW w:w="3705" w:type="dxa"/>
            <w:tcBorders>
              <w:top w:val="single" w:sz="4" w:space="0" w:color="auto"/>
              <w:left w:val="nil"/>
              <w:bottom w:val="nil"/>
              <w:right w:val="nil"/>
            </w:tcBorders>
          </w:tcPr>
          <w:p w14:paraId="4412408D" w14:textId="6CBF7B88" w:rsidR="286DE35E" w:rsidRPr="00391EA8" w:rsidRDefault="286DE35E" w:rsidP="286DE35E">
            <w:pPr>
              <w:rPr>
                <w:rFonts w:ascii="Times New Roman" w:hAnsi="Times New Roman" w:cs="Times New Roman"/>
                <w:sz w:val="24"/>
                <w:szCs w:val="24"/>
              </w:rPr>
            </w:pPr>
            <w:r w:rsidRPr="00391EA8">
              <w:rPr>
                <w:rFonts w:ascii="Times New Roman" w:hAnsi="Times New Roman" w:cs="Times New Roman"/>
                <w:sz w:val="24"/>
                <w:szCs w:val="24"/>
              </w:rPr>
              <w:t>Signature</w:t>
            </w:r>
          </w:p>
        </w:tc>
        <w:tc>
          <w:tcPr>
            <w:tcW w:w="2535" w:type="dxa"/>
            <w:tcBorders>
              <w:left w:val="nil"/>
              <w:right w:val="nil"/>
            </w:tcBorders>
          </w:tcPr>
          <w:p w14:paraId="79B51442" w14:textId="4233893B" w:rsidR="286DE35E" w:rsidRPr="00391EA8" w:rsidRDefault="286DE35E" w:rsidP="286DE35E">
            <w:pPr>
              <w:rPr>
                <w:rFonts w:ascii="Times New Roman" w:hAnsi="Times New Roman" w:cs="Times New Roman"/>
                <w:sz w:val="24"/>
                <w:szCs w:val="24"/>
              </w:rPr>
            </w:pPr>
          </w:p>
        </w:tc>
        <w:tc>
          <w:tcPr>
            <w:tcW w:w="3120" w:type="dxa"/>
            <w:tcBorders>
              <w:top w:val="single" w:sz="4" w:space="0" w:color="auto"/>
              <w:left w:val="nil"/>
              <w:bottom w:val="nil"/>
              <w:right w:val="nil"/>
            </w:tcBorders>
          </w:tcPr>
          <w:p w14:paraId="199F0E69" w14:textId="75CB715E" w:rsidR="286DE35E" w:rsidRPr="00391EA8" w:rsidRDefault="286DE35E" w:rsidP="286DE35E">
            <w:pPr>
              <w:rPr>
                <w:rFonts w:ascii="Times New Roman" w:hAnsi="Times New Roman" w:cs="Times New Roman"/>
                <w:sz w:val="24"/>
                <w:szCs w:val="24"/>
              </w:rPr>
            </w:pPr>
            <w:r w:rsidRPr="00391EA8">
              <w:rPr>
                <w:rFonts w:ascii="Times New Roman" w:hAnsi="Times New Roman" w:cs="Times New Roman"/>
                <w:sz w:val="24"/>
                <w:szCs w:val="24"/>
              </w:rPr>
              <w:t>Date</w:t>
            </w:r>
          </w:p>
        </w:tc>
      </w:tr>
    </w:tbl>
    <w:p w14:paraId="5BD2C7CF" w14:textId="184646A3" w:rsidR="286DE35E" w:rsidRPr="00391EA8" w:rsidRDefault="286DE35E" w:rsidP="286DE35E">
      <w:pPr>
        <w:rPr>
          <w:rFonts w:ascii="Times New Roman" w:hAnsi="Times New Roman" w:cs="Times New Roman"/>
          <w:sz w:val="24"/>
          <w:szCs w:val="24"/>
        </w:rPr>
      </w:pPr>
    </w:p>
    <w:sectPr w:rsidR="286DE35E" w:rsidRPr="0039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0965"/>
    <w:multiLevelType w:val="hybridMultilevel"/>
    <w:tmpl w:val="528A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DA6404F"/>
    <w:multiLevelType w:val="hybridMultilevel"/>
    <w:tmpl w:val="8E3E5056"/>
    <w:lvl w:ilvl="0" w:tplc="6DF02784">
      <w:start w:val="1"/>
      <w:numFmt w:val="decimal"/>
      <w:lvlText w:val="%1."/>
      <w:lvlJc w:val="left"/>
      <w:pPr>
        <w:ind w:left="720" w:hanging="360"/>
      </w:pPr>
    </w:lvl>
    <w:lvl w:ilvl="1" w:tplc="4A90E3D2">
      <w:start w:val="1"/>
      <w:numFmt w:val="lowerLetter"/>
      <w:lvlText w:val="%2."/>
      <w:lvlJc w:val="left"/>
      <w:pPr>
        <w:ind w:left="1440" w:hanging="360"/>
      </w:pPr>
    </w:lvl>
    <w:lvl w:ilvl="2" w:tplc="9E06BCFE">
      <w:start w:val="1"/>
      <w:numFmt w:val="lowerRoman"/>
      <w:lvlText w:val="%3."/>
      <w:lvlJc w:val="right"/>
      <w:pPr>
        <w:ind w:left="2160" w:hanging="180"/>
      </w:pPr>
    </w:lvl>
    <w:lvl w:ilvl="3" w:tplc="DB26E012">
      <w:start w:val="1"/>
      <w:numFmt w:val="decimal"/>
      <w:lvlText w:val="%4."/>
      <w:lvlJc w:val="left"/>
      <w:pPr>
        <w:ind w:left="2880" w:hanging="360"/>
      </w:pPr>
    </w:lvl>
    <w:lvl w:ilvl="4" w:tplc="B9D83850">
      <w:start w:val="1"/>
      <w:numFmt w:val="lowerLetter"/>
      <w:lvlText w:val="%5."/>
      <w:lvlJc w:val="left"/>
      <w:pPr>
        <w:ind w:left="3600" w:hanging="360"/>
      </w:pPr>
    </w:lvl>
    <w:lvl w:ilvl="5" w:tplc="D4066C3E">
      <w:start w:val="1"/>
      <w:numFmt w:val="lowerRoman"/>
      <w:lvlText w:val="%6."/>
      <w:lvlJc w:val="right"/>
      <w:pPr>
        <w:ind w:left="4320" w:hanging="180"/>
      </w:pPr>
    </w:lvl>
    <w:lvl w:ilvl="6" w:tplc="016ABF7A">
      <w:start w:val="1"/>
      <w:numFmt w:val="decimal"/>
      <w:lvlText w:val="%7."/>
      <w:lvlJc w:val="left"/>
      <w:pPr>
        <w:ind w:left="5040" w:hanging="360"/>
      </w:pPr>
    </w:lvl>
    <w:lvl w:ilvl="7" w:tplc="29560E68">
      <w:start w:val="1"/>
      <w:numFmt w:val="lowerLetter"/>
      <w:lvlText w:val="%8."/>
      <w:lvlJc w:val="left"/>
      <w:pPr>
        <w:ind w:left="5760" w:hanging="360"/>
      </w:pPr>
    </w:lvl>
    <w:lvl w:ilvl="8" w:tplc="128C076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E1D9C"/>
    <w:rsid w:val="00046FAF"/>
    <w:rsid w:val="001D231F"/>
    <w:rsid w:val="00391EA8"/>
    <w:rsid w:val="0060ED19"/>
    <w:rsid w:val="006237BE"/>
    <w:rsid w:val="006D6F84"/>
    <w:rsid w:val="007D2410"/>
    <w:rsid w:val="00A85AB1"/>
    <w:rsid w:val="00B659D4"/>
    <w:rsid w:val="00D878C6"/>
    <w:rsid w:val="00F54133"/>
    <w:rsid w:val="01EEE533"/>
    <w:rsid w:val="0453D8E5"/>
    <w:rsid w:val="093EAC0E"/>
    <w:rsid w:val="0B6E1D9C"/>
    <w:rsid w:val="188A0F53"/>
    <w:rsid w:val="198B5AA4"/>
    <w:rsid w:val="1B420CA2"/>
    <w:rsid w:val="1C376DC4"/>
    <w:rsid w:val="1C945E20"/>
    <w:rsid w:val="1E79AD64"/>
    <w:rsid w:val="233F5407"/>
    <w:rsid w:val="286DE35E"/>
    <w:rsid w:val="2BEF0303"/>
    <w:rsid w:val="2C9BFE47"/>
    <w:rsid w:val="316F1733"/>
    <w:rsid w:val="33F45E04"/>
    <w:rsid w:val="34F3710D"/>
    <w:rsid w:val="3593B012"/>
    <w:rsid w:val="369C326F"/>
    <w:rsid w:val="3AAA8EB5"/>
    <w:rsid w:val="3D55DA1C"/>
    <w:rsid w:val="3DA8E4B4"/>
    <w:rsid w:val="3DB721DC"/>
    <w:rsid w:val="3FD8C066"/>
    <w:rsid w:val="4281EF09"/>
    <w:rsid w:val="45DD27AC"/>
    <w:rsid w:val="45F13F83"/>
    <w:rsid w:val="4633D56E"/>
    <w:rsid w:val="498F1C6C"/>
    <w:rsid w:val="49AF02CD"/>
    <w:rsid w:val="4ACB2FBB"/>
    <w:rsid w:val="4E52832E"/>
    <w:rsid w:val="4FEE538F"/>
    <w:rsid w:val="5802568D"/>
    <w:rsid w:val="59E1EEED"/>
    <w:rsid w:val="5A7EAC45"/>
    <w:rsid w:val="5D752564"/>
    <w:rsid w:val="603C9103"/>
    <w:rsid w:val="62B2BA2E"/>
    <w:rsid w:val="636A0FA4"/>
    <w:rsid w:val="65B28312"/>
    <w:rsid w:val="66186487"/>
    <w:rsid w:val="66B521DF"/>
    <w:rsid w:val="6A936E3D"/>
    <w:rsid w:val="6D4298C7"/>
    <w:rsid w:val="71E8F8AC"/>
    <w:rsid w:val="72282B0C"/>
    <w:rsid w:val="76959D80"/>
    <w:rsid w:val="7D41A4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1D9C"/>
  <w15:chartTrackingRefBased/>
  <w15:docId w15:val="{BE724D3F-5204-43CA-B7B9-A578BD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4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1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4133"/>
    <w:rPr>
      <w:b/>
      <w:bCs/>
    </w:rPr>
  </w:style>
  <w:style w:type="character" w:customStyle="1" w:styleId="CommentSubjectChar">
    <w:name w:val="Comment Subject Char"/>
    <w:basedOn w:val="CommentTextChar"/>
    <w:link w:val="CommentSubject"/>
    <w:uiPriority w:val="99"/>
    <w:semiHidden/>
    <w:rsid w:val="00F54133"/>
    <w:rPr>
      <w:b/>
      <w:bCs/>
      <w:sz w:val="20"/>
      <w:szCs w:val="20"/>
    </w:rPr>
  </w:style>
  <w:style w:type="character" w:styleId="FollowedHyperlink">
    <w:name w:val="FollowedHyperlink"/>
    <w:basedOn w:val="DefaultParagraphFont"/>
    <w:uiPriority w:val="99"/>
    <w:semiHidden/>
    <w:unhideWhenUsed/>
    <w:rsid w:val="007D24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McLean, Maryssa Schneider (OCD)</DisplayName>
        <AccountId>466</AccountId>
        <AccountType/>
      </UserInfo>
      <UserInfo>
        <DisplayName>Koukos, Christoforos (OCD)</DisplayName>
        <AccountId>400</AccountId>
        <AccountType/>
      </UserInfo>
      <UserInfo>
        <DisplayName>McKenna, Joanne (OCD)</DisplayName>
        <AccountId>158</AccountId>
        <AccountType/>
      </UserInfo>
      <UserInfo>
        <DisplayName>Haas, Kristin (OCD)</DisplayName>
        <AccountId>164</AccountId>
        <AccountType/>
      </UserInfo>
      <UserInfo>
        <DisplayName>Stone, Ben (OCD)</DisplayName>
        <AccountId>38</AccountId>
        <AccountType/>
      </UserInfo>
      <UserInfo>
        <DisplayName>Razzaq, Fatima (OCD)</DisplayName>
        <AccountId>105</AccountId>
        <AccountType/>
      </UserInfo>
      <UserInfo>
        <DisplayName>Chien, Edward (OCD)</DisplayName>
        <AccountId>596</AccountId>
        <AccountType/>
      </UserInfo>
      <UserInfo>
        <DisplayName>Vitale, Lauren (OCD)</DisplayName>
        <AccountId>554</AccountId>
        <AccountType/>
      </UserInfo>
      <UserInfo>
        <DisplayName>Rebhan-Buckminster, Jaime (OCD)</DisplayName>
        <AccountId>935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4" ma:contentTypeDescription="Create a new document." ma:contentTypeScope="" ma:versionID="16a18358200fd6c706f83a15f9ba8eb0">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95b6a0c59abdf4c7db755093ea32de25"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7E66F-C087-4BD7-80AF-62B4ADBDE6D3}">
  <ds:schemaRefs>
    <ds:schemaRef ds:uri="http://schemas.microsoft.com/office/2006/metadata/properties"/>
    <ds:schemaRef ds:uri="http://schemas.microsoft.com/office/infopath/2007/PartnerControls"/>
    <ds:schemaRef ds:uri="7b83dbe2-6fd2-449a-a932-0d75829bf641"/>
  </ds:schemaRefs>
</ds:datastoreItem>
</file>

<file path=customXml/itemProps2.xml><?xml version="1.0" encoding="utf-8"?>
<ds:datastoreItem xmlns:ds="http://schemas.openxmlformats.org/officeDocument/2006/customXml" ds:itemID="{93BE103E-E5CC-4466-BAA0-A8821DB34327}">
  <ds:schemaRefs>
    <ds:schemaRef ds:uri="http://schemas.microsoft.com/sharepoint/v3/contenttype/forms"/>
  </ds:schemaRefs>
</ds:datastoreItem>
</file>

<file path=customXml/itemProps3.xml><?xml version="1.0" encoding="utf-8"?>
<ds:datastoreItem xmlns:ds="http://schemas.openxmlformats.org/officeDocument/2006/customXml" ds:itemID="{984A1088-D509-4945-A3DB-6341B945C9F0}"/>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Edward (OCD)</dc:creator>
  <cp:keywords/>
  <dc:description/>
  <cp:lastModifiedBy>Chien, Edward (OCD)</cp:lastModifiedBy>
  <cp:revision>16</cp:revision>
  <dcterms:created xsi:type="dcterms:W3CDTF">2022-06-23T17:24:00Z</dcterms:created>
  <dcterms:modified xsi:type="dcterms:W3CDTF">2022-10-04T17:28:00Z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0x010100FEF876935554A548BF0FF3ED9C708A34</vt:lpwstr>
  </property>
</Properties>
</file>