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600D" w14:textId="16634728" w:rsidR="003D2C98" w:rsidRDefault="655B0549" w:rsidP="655B0549">
      <w:pPr>
        <w:pStyle w:val="paragraph"/>
        <w:spacing w:before="0" w:beforeAutospacing="0" w:after="0" w:afterAutospacing="0" w:line="276" w:lineRule="auto"/>
        <w:jc w:val="center"/>
        <w:textAlignment w:val="baseline"/>
        <w:rPr>
          <w:rStyle w:val="eop"/>
          <w:rFonts w:eastAsiaTheme="majorEastAsia"/>
        </w:rPr>
      </w:pPr>
      <w:bookmarkStart w:id="0" w:name="_Hlk182825865"/>
      <w:r w:rsidRPr="655B0549">
        <w:rPr>
          <w:rStyle w:val="normaltextrun"/>
          <w:rFonts w:eastAsiaTheme="majorEastAsia"/>
          <w:b/>
          <w:bCs/>
        </w:rPr>
        <w:t xml:space="preserve">Attachment </w:t>
      </w:r>
      <w:r w:rsidR="00697070">
        <w:rPr>
          <w:rStyle w:val="normaltextrun"/>
          <w:rFonts w:eastAsiaTheme="majorEastAsia"/>
          <w:b/>
          <w:bCs/>
        </w:rPr>
        <w:t>A</w:t>
      </w:r>
      <w:r w:rsidR="75875C18" w:rsidRPr="75875C18">
        <w:rPr>
          <w:rStyle w:val="normaltextrun"/>
          <w:rFonts w:eastAsiaTheme="majorEastAsia"/>
          <w:b/>
          <w:bCs/>
        </w:rPr>
        <w:t>C</w:t>
      </w:r>
    </w:p>
    <w:p w14:paraId="5742AAFD" w14:textId="0E53F9DC" w:rsidR="003D2C98" w:rsidRDefault="655B0549" w:rsidP="655B0549">
      <w:pPr>
        <w:pStyle w:val="paragraph"/>
        <w:spacing w:before="0" w:beforeAutospacing="0" w:after="0" w:afterAutospacing="0" w:line="276" w:lineRule="auto"/>
        <w:jc w:val="center"/>
        <w:textAlignment w:val="baseline"/>
        <w:rPr>
          <w:rFonts w:ascii="Segoe UI" w:hAnsi="Segoe UI" w:cs="Segoe UI"/>
          <w:sz w:val="18"/>
          <w:szCs w:val="18"/>
        </w:rPr>
      </w:pPr>
      <w:r w:rsidRPr="655B0549">
        <w:rPr>
          <w:rStyle w:val="normaltextrun"/>
          <w:rFonts w:eastAsiaTheme="majorEastAsia"/>
          <w:b/>
          <w:bCs/>
        </w:rPr>
        <w:t>Waiver Authorities for the Consolidated Appropriations Act</w:t>
      </w:r>
      <w:r w:rsidR="00BC6868">
        <w:rPr>
          <w:rStyle w:val="normaltextrun"/>
          <w:rFonts w:eastAsiaTheme="majorEastAsia"/>
          <w:b/>
          <w:bCs/>
        </w:rPr>
        <w:t>,</w:t>
      </w:r>
      <w:r w:rsidRPr="655B0549">
        <w:rPr>
          <w:rStyle w:val="normaltextrun"/>
          <w:rFonts w:eastAsiaTheme="majorEastAsia"/>
          <w:b/>
          <w:bCs/>
        </w:rPr>
        <w:t xml:space="preserve"> 2023 Demonstration Amendment </w:t>
      </w:r>
      <w:r w:rsidRPr="655B0549">
        <w:rPr>
          <w:rStyle w:val="eop"/>
          <w:rFonts w:eastAsiaTheme="majorEastAsia"/>
        </w:rPr>
        <w:t> </w:t>
      </w:r>
    </w:p>
    <w:p w14:paraId="33A684B4" w14:textId="77777777" w:rsidR="003D2C98" w:rsidRDefault="655B0549" w:rsidP="655B0549">
      <w:pPr>
        <w:pStyle w:val="paragraph"/>
        <w:spacing w:before="0" w:beforeAutospacing="0" w:after="0" w:afterAutospacing="0" w:line="276" w:lineRule="auto"/>
        <w:textAlignment w:val="baseline"/>
        <w:rPr>
          <w:rStyle w:val="eop"/>
          <w:rFonts w:eastAsiaTheme="majorEastAsia"/>
        </w:rPr>
      </w:pPr>
      <w:r w:rsidRPr="655B0549">
        <w:rPr>
          <w:rStyle w:val="eop"/>
          <w:rFonts w:eastAsiaTheme="majorEastAsia"/>
        </w:rPr>
        <w:t> </w:t>
      </w:r>
    </w:p>
    <w:p w14:paraId="31B9A390" w14:textId="4E4E2D34" w:rsidR="00BC6868" w:rsidRDefault="00BC6868" w:rsidP="000B2298">
      <w:pPr>
        <w:pStyle w:val="paragraph"/>
        <w:spacing w:before="0" w:beforeAutospacing="0" w:after="0" w:afterAutospacing="0" w:line="276" w:lineRule="auto"/>
        <w:textAlignment w:val="baseline"/>
        <w:rPr>
          <w:rStyle w:val="normaltextrun"/>
          <w:rFonts w:eastAsiaTheme="majorEastAsia"/>
        </w:rPr>
      </w:pPr>
      <w:r w:rsidRPr="000B2298">
        <w:rPr>
          <w:rStyle w:val="normaltextrun"/>
          <w:rFonts w:eastAsiaTheme="majorEastAsia"/>
        </w:rPr>
        <w:t xml:space="preserve">All </w:t>
      </w:r>
      <w:r w:rsidR="000B2298" w:rsidRPr="000B2298">
        <w:rPr>
          <w:rStyle w:val="normaltextrun"/>
          <w:rFonts w:eastAsiaTheme="majorEastAsia"/>
        </w:rPr>
        <w:t xml:space="preserve">Medicaid and Children’s Health Insurance Program (CHIP) </w:t>
      </w:r>
      <w:r w:rsidRPr="000B2298">
        <w:rPr>
          <w:rStyle w:val="normaltextrun"/>
          <w:rFonts w:eastAsiaTheme="majorEastAsia"/>
        </w:rPr>
        <w:t xml:space="preserve">requirements expressed in law, regulation, and policy statement not expressly waived shall </w:t>
      </w:r>
      <w:r w:rsidR="000B2298" w:rsidRPr="000B2298">
        <w:rPr>
          <w:rStyle w:val="normaltextrun"/>
          <w:rFonts w:eastAsiaTheme="majorEastAsia"/>
        </w:rPr>
        <w:t>apply to the demonstration project</w:t>
      </w:r>
      <w:r w:rsidRPr="000B2298">
        <w:rPr>
          <w:rStyle w:val="normaltextrun"/>
          <w:rFonts w:eastAsiaTheme="majorEastAsia"/>
        </w:rPr>
        <w:t xml:space="preserve"> through </w:t>
      </w:r>
      <w:r>
        <w:rPr>
          <w:rStyle w:val="normaltextrun"/>
          <w:rFonts w:eastAsiaTheme="majorEastAsia"/>
        </w:rPr>
        <w:t>December 31, 202</w:t>
      </w:r>
      <w:r w:rsidR="0046335E">
        <w:rPr>
          <w:rStyle w:val="normaltextrun"/>
          <w:rFonts w:eastAsiaTheme="majorEastAsia"/>
        </w:rPr>
        <w:t>7</w:t>
      </w:r>
      <w:r w:rsidRPr="000B2298">
        <w:rPr>
          <w:rStyle w:val="normaltextrun"/>
          <w:rFonts w:eastAsiaTheme="majorEastAsia"/>
        </w:rPr>
        <w:t xml:space="preserve">, unless otherwise </w:t>
      </w:r>
      <w:r w:rsidR="000B2298" w:rsidRPr="000B2298">
        <w:rPr>
          <w:rStyle w:val="normaltextrun"/>
          <w:rFonts w:eastAsiaTheme="majorEastAsia"/>
        </w:rPr>
        <w:t>specified.  In addition, these waivers may only be implemented consistent with the approved Special Terms and Conditions</w:t>
      </w:r>
      <w:r w:rsidR="000B2298">
        <w:rPr>
          <w:rStyle w:val="normaltextrun"/>
          <w:rFonts w:eastAsiaTheme="majorEastAsia"/>
        </w:rPr>
        <w:t>.</w:t>
      </w:r>
    </w:p>
    <w:p w14:paraId="373CCA10" w14:textId="77777777" w:rsidR="000B2298" w:rsidRPr="000B2298" w:rsidRDefault="000B2298" w:rsidP="00BC152A">
      <w:pPr>
        <w:pStyle w:val="paragraph"/>
        <w:jc w:val="center"/>
        <w:rPr>
          <w:rFonts w:eastAsiaTheme="majorEastAsia"/>
          <w:b/>
          <w:bCs/>
          <w:u w:val="single"/>
        </w:rPr>
      </w:pPr>
      <w:r w:rsidRPr="000B2298">
        <w:rPr>
          <w:rFonts w:eastAsiaTheme="majorEastAsia"/>
          <w:b/>
          <w:bCs/>
          <w:u w:val="single"/>
        </w:rPr>
        <w:t>Title XIX Waiver Authority</w:t>
      </w:r>
    </w:p>
    <w:p w14:paraId="0C850DE6" w14:textId="57BF2994" w:rsidR="0046335E" w:rsidRDefault="655B0549" w:rsidP="00BC6868">
      <w:pPr>
        <w:pStyle w:val="paragraph"/>
        <w:spacing w:before="0" w:beforeAutospacing="0" w:after="0" w:afterAutospacing="0" w:line="276" w:lineRule="auto"/>
        <w:textAlignment w:val="baseline"/>
        <w:rPr>
          <w:rStyle w:val="normaltextrun"/>
          <w:rFonts w:eastAsiaTheme="majorEastAsia"/>
          <w:b/>
          <w:bCs/>
        </w:rPr>
      </w:pPr>
      <w:r w:rsidRPr="655B0549">
        <w:rPr>
          <w:rStyle w:val="normaltextrun"/>
          <w:rFonts w:eastAsiaTheme="majorEastAsia"/>
          <w:b/>
          <w:bCs/>
        </w:rPr>
        <w:t>Coverage of Certain Screening, Diagnostic, and Targeted Case Management Services for Eligible Juveniles in the 30 Days Prior to Release Section                    </w:t>
      </w:r>
    </w:p>
    <w:p w14:paraId="63DF6C3B" w14:textId="46036D4D" w:rsidR="00BC6868" w:rsidRDefault="0046335E" w:rsidP="00A4289C">
      <w:pPr>
        <w:pStyle w:val="paragraph"/>
        <w:spacing w:before="0" w:beforeAutospacing="0" w:after="0" w:afterAutospacing="0" w:line="276" w:lineRule="auto"/>
        <w:jc w:val="right"/>
        <w:textAlignment w:val="baseline"/>
        <w:rPr>
          <w:rStyle w:val="normaltextrun"/>
          <w:rFonts w:eastAsiaTheme="majorEastAsia"/>
          <w:b/>
          <w:bCs/>
        </w:rPr>
      </w:pPr>
      <w:r>
        <w:rPr>
          <w:rStyle w:val="normaltextrun"/>
          <w:rFonts w:eastAsiaTheme="majorEastAsia"/>
          <w:b/>
          <w:bCs/>
        </w:rPr>
        <w:t xml:space="preserve">Section </w:t>
      </w:r>
      <w:r w:rsidR="655B0549" w:rsidRPr="655B0549">
        <w:rPr>
          <w:rStyle w:val="normaltextrun"/>
          <w:rFonts w:eastAsiaTheme="majorEastAsia"/>
          <w:b/>
          <w:bCs/>
        </w:rPr>
        <w:t>1902(a)(84)(D)</w:t>
      </w:r>
    </w:p>
    <w:p w14:paraId="7FFF7582" w14:textId="651EA651" w:rsidR="003D2C98" w:rsidRDefault="655B0549" w:rsidP="00BC6868">
      <w:pPr>
        <w:pStyle w:val="paragraph"/>
        <w:spacing w:before="0" w:beforeAutospacing="0" w:after="0" w:afterAutospacing="0" w:line="276" w:lineRule="auto"/>
        <w:textAlignment w:val="baseline"/>
        <w:rPr>
          <w:rFonts w:ascii="Segoe UI" w:hAnsi="Segoe UI" w:cs="Segoe UI"/>
          <w:sz w:val="18"/>
          <w:szCs w:val="18"/>
        </w:rPr>
      </w:pPr>
      <w:r w:rsidRPr="655B0549">
        <w:rPr>
          <w:rStyle w:val="normaltextrun"/>
          <w:rFonts w:eastAsiaTheme="majorEastAsia"/>
          <w:b/>
          <w:bCs/>
        </w:rPr>
        <w:t> </w:t>
      </w:r>
      <w:r w:rsidRPr="655B0549">
        <w:rPr>
          <w:rStyle w:val="eop"/>
          <w:rFonts w:eastAsiaTheme="majorEastAsia"/>
        </w:rPr>
        <w:t> </w:t>
      </w:r>
    </w:p>
    <w:p w14:paraId="064BF949" w14:textId="77777777" w:rsidR="003D2C98" w:rsidRDefault="655B0549" w:rsidP="655B0549">
      <w:pPr>
        <w:pStyle w:val="paragraph"/>
        <w:spacing w:before="0" w:beforeAutospacing="0" w:after="0" w:afterAutospacing="0" w:line="276" w:lineRule="auto"/>
        <w:textAlignment w:val="baseline"/>
        <w:rPr>
          <w:rFonts w:ascii="Segoe UI" w:hAnsi="Segoe UI" w:cs="Segoe UI"/>
          <w:sz w:val="18"/>
          <w:szCs w:val="18"/>
        </w:rPr>
      </w:pPr>
      <w:r w:rsidRPr="655B0549">
        <w:rPr>
          <w:rStyle w:val="normaltextrun"/>
          <w:rFonts w:eastAsiaTheme="majorEastAsia"/>
        </w:rPr>
        <w:t>To enable the state not to provide coverage of the screening, diagnostic, and targeted case management services identified in section 1902(a)(84)(D) of the Act for eligible juveniles described in section 1902(</w:t>
      </w:r>
      <w:proofErr w:type="spellStart"/>
      <w:r w:rsidRPr="655B0549">
        <w:rPr>
          <w:rStyle w:val="spellingerror"/>
          <w:rFonts w:eastAsiaTheme="majorEastAsia"/>
        </w:rPr>
        <w:t>nn</w:t>
      </w:r>
      <w:proofErr w:type="spellEnd"/>
      <w:r w:rsidRPr="655B0549">
        <w:rPr>
          <w:rStyle w:val="normaltextrun"/>
          <w:rFonts w:eastAsiaTheme="majorEastAsia"/>
        </w:rPr>
        <w:t>)(2) of the Act as a state plan benefit in the 30 days prior to the release of such eligible juveniles from a public institution, to the extent and for the period that the state instead provides such coverage to such eligible juveniles under the approved expenditure authorities under this demonstration.  The state will provide coverage to eligible juveniles described in section 1902(</w:t>
      </w:r>
      <w:proofErr w:type="spellStart"/>
      <w:r w:rsidRPr="655B0549">
        <w:rPr>
          <w:rStyle w:val="spellingerror"/>
          <w:rFonts w:eastAsiaTheme="majorEastAsia"/>
        </w:rPr>
        <w:t>nn</w:t>
      </w:r>
      <w:proofErr w:type="spellEnd"/>
      <w:proofErr w:type="gramStart"/>
      <w:r w:rsidRPr="655B0549">
        <w:rPr>
          <w:rStyle w:val="normaltextrun"/>
          <w:rFonts w:eastAsiaTheme="majorEastAsia"/>
        </w:rPr>
        <w:t>)(</w:t>
      </w:r>
      <w:proofErr w:type="gramEnd"/>
      <w:r w:rsidRPr="655B0549">
        <w:rPr>
          <w:rStyle w:val="normaltextrun"/>
          <w:rFonts w:eastAsiaTheme="majorEastAsia"/>
        </w:rPr>
        <w:t>2) in alignment with section 1902(a)(84)(D) of the Act at a level equal to or greater than would be required under the state plan.</w:t>
      </w:r>
      <w:r w:rsidRPr="655B0549">
        <w:rPr>
          <w:rStyle w:val="eop"/>
          <w:rFonts w:eastAsiaTheme="majorEastAsia"/>
        </w:rPr>
        <w:t> </w:t>
      </w:r>
    </w:p>
    <w:p w14:paraId="2BA71F24" w14:textId="77777777" w:rsidR="003D2C98" w:rsidRDefault="655B0549" w:rsidP="655B0549">
      <w:pPr>
        <w:pStyle w:val="paragraph"/>
        <w:spacing w:before="0" w:beforeAutospacing="0" w:after="0" w:afterAutospacing="0" w:line="276" w:lineRule="auto"/>
        <w:textAlignment w:val="baseline"/>
        <w:rPr>
          <w:rFonts w:ascii="Segoe UI" w:hAnsi="Segoe UI" w:cs="Segoe UI"/>
          <w:sz w:val="18"/>
          <w:szCs w:val="18"/>
        </w:rPr>
      </w:pPr>
      <w:r w:rsidRPr="655B0549">
        <w:rPr>
          <w:rStyle w:val="eop"/>
          <w:rFonts w:eastAsiaTheme="majorEastAsia"/>
        </w:rPr>
        <w:t> </w:t>
      </w:r>
    </w:p>
    <w:p w14:paraId="5FF67AC5" w14:textId="262C838A" w:rsidR="655B0549" w:rsidRDefault="655B0549" w:rsidP="655B0549">
      <w:pPr>
        <w:pStyle w:val="paragraph"/>
        <w:spacing w:before="0" w:beforeAutospacing="0" w:after="0" w:afterAutospacing="0" w:line="276" w:lineRule="auto"/>
        <w:rPr>
          <w:rStyle w:val="eop"/>
          <w:rFonts w:eastAsiaTheme="majorEastAsia"/>
        </w:rPr>
      </w:pPr>
    </w:p>
    <w:p w14:paraId="0241CFB5" w14:textId="4DA93C81" w:rsidR="655B0549" w:rsidRPr="00BC152A" w:rsidRDefault="655B0549" w:rsidP="655B0549">
      <w:pPr>
        <w:pStyle w:val="paragraph"/>
        <w:spacing w:before="0" w:beforeAutospacing="0" w:after="0" w:afterAutospacing="0" w:line="276" w:lineRule="auto"/>
        <w:jc w:val="center"/>
        <w:rPr>
          <w:rStyle w:val="eop"/>
          <w:rFonts w:eastAsiaTheme="majorEastAsia"/>
          <w:b/>
          <w:u w:val="single"/>
        </w:rPr>
      </w:pPr>
      <w:r w:rsidRPr="00BC152A">
        <w:rPr>
          <w:rStyle w:val="eop"/>
          <w:rFonts w:eastAsiaTheme="majorEastAsia"/>
          <w:b/>
          <w:u w:val="single"/>
        </w:rPr>
        <w:t>Title XXI Waiver Authority</w:t>
      </w:r>
    </w:p>
    <w:p w14:paraId="5A489F99" w14:textId="77777777" w:rsidR="00BC6868" w:rsidRDefault="00BC6868" w:rsidP="655B0549">
      <w:pPr>
        <w:pStyle w:val="paragraph"/>
        <w:spacing w:before="0" w:beforeAutospacing="0" w:after="0" w:afterAutospacing="0" w:line="276" w:lineRule="auto"/>
        <w:jc w:val="center"/>
        <w:rPr>
          <w:rStyle w:val="eop"/>
          <w:rFonts w:eastAsiaTheme="majorEastAsia"/>
          <w:b/>
          <w:bCs/>
        </w:rPr>
      </w:pPr>
    </w:p>
    <w:p w14:paraId="1C155587" w14:textId="77777777" w:rsidR="0046335E" w:rsidRDefault="655B0549" w:rsidP="655B0549">
      <w:pPr>
        <w:pStyle w:val="paragraph"/>
        <w:spacing w:before="0" w:beforeAutospacing="0" w:after="0" w:afterAutospacing="0" w:line="276" w:lineRule="auto"/>
        <w:textAlignment w:val="baseline"/>
        <w:rPr>
          <w:rStyle w:val="normaltextrun"/>
          <w:rFonts w:eastAsiaTheme="majorEastAsia"/>
          <w:b/>
          <w:bCs/>
        </w:rPr>
      </w:pPr>
      <w:r w:rsidRPr="655B0549">
        <w:rPr>
          <w:rStyle w:val="normaltextrun"/>
          <w:rFonts w:eastAsiaTheme="majorEastAsia"/>
          <w:b/>
          <w:bCs/>
        </w:rPr>
        <w:t>Coverage of Certain Screening, Diagnostic, Referral, and Case Management Services for Targeted Low-Income Children in the 30 Days Prior to Release       </w:t>
      </w:r>
      <w:r w:rsidR="0046335E">
        <w:rPr>
          <w:rStyle w:val="normaltextrun"/>
          <w:rFonts w:eastAsiaTheme="majorEastAsia"/>
          <w:b/>
          <w:bCs/>
        </w:rPr>
        <w:t xml:space="preserve">        </w:t>
      </w:r>
    </w:p>
    <w:p w14:paraId="456275B4" w14:textId="04ADD6C7" w:rsidR="003D2C98" w:rsidRDefault="655B0549" w:rsidP="0046335E">
      <w:pPr>
        <w:pStyle w:val="paragraph"/>
        <w:spacing w:before="0" w:beforeAutospacing="0" w:after="0" w:afterAutospacing="0" w:line="276" w:lineRule="auto"/>
        <w:jc w:val="right"/>
        <w:textAlignment w:val="baseline"/>
        <w:rPr>
          <w:rStyle w:val="eop"/>
          <w:rFonts w:eastAsiaTheme="majorEastAsia"/>
        </w:rPr>
      </w:pPr>
      <w:r w:rsidRPr="655B0549">
        <w:rPr>
          <w:rStyle w:val="normaltextrun"/>
          <w:rFonts w:eastAsiaTheme="majorEastAsia"/>
          <w:b/>
          <w:bCs/>
        </w:rPr>
        <w:t>Section 2102(d)(2) </w:t>
      </w:r>
      <w:r w:rsidRPr="655B0549">
        <w:rPr>
          <w:rStyle w:val="eop"/>
          <w:rFonts w:eastAsiaTheme="majorEastAsia"/>
        </w:rPr>
        <w:t> </w:t>
      </w:r>
    </w:p>
    <w:p w14:paraId="448EF0ED" w14:textId="77777777" w:rsidR="0046335E" w:rsidRPr="00A4289C" w:rsidRDefault="0046335E" w:rsidP="00A4289C">
      <w:pPr>
        <w:pStyle w:val="paragraph"/>
        <w:spacing w:before="0" w:beforeAutospacing="0" w:after="0" w:afterAutospacing="0" w:line="276" w:lineRule="auto"/>
        <w:jc w:val="right"/>
        <w:textAlignment w:val="baseline"/>
        <w:rPr>
          <w:rFonts w:eastAsiaTheme="majorEastAsia"/>
          <w:b/>
          <w:bCs/>
        </w:rPr>
      </w:pPr>
    </w:p>
    <w:p w14:paraId="6D4A5B1F" w14:textId="77777777" w:rsidR="003D2C98" w:rsidRDefault="655B0549" w:rsidP="655B0549">
      <w:pPr>
        <w:pStyle w:val="paragraph"/>
        <w:spacing w:before="0" w:beforeAutospacing="0" w:after="0" w:afterAutospacing="0" w:line="276" w:lineRule="auto"/>
        <w:textAlignment w:val="baseline"/>
        <w:rPr>
          <w:rFonts w:ascii="Segoe UI" w:hAnsi="Segoe UI" w:cs="Segoe UI"/>
          <w:sz w:val="18"/>
          <w:szCs w:val="18"/>
        </w:rPr>
      </w:pPr>
      <w:r w:rsidRPr="655B0549">
        <w:rPr>
          <w:rStyle w:val="normaltextrun"/>
          <w:rFonts w:eastAsiaTheme="majorEastAsia"/>
        </w:rPr>
        <w:t>To enable the state not to provide coverage of the screening, diagnostic, referral, and case management services identified in section 2102(d)(2) of the Act for a targeted low-income child as a state plan benefit in the 30 days prior to the release of such targeted low-income child from a public institution, to the extent and for the period that the state instead provides such coverage to such targeted low-income children under the approved expenditure authorities under this demonstration.  The state will provide coverage to targeted low-income children in alignment with section 2102(d)(2) of the Act at a level equal to or greater than would be required under the state plan.</w:t>
      </w:r>
      <w:r w:rsidRPr="655B0549">
        <w:rPr>
          <w:rStyle w:val="eop"/>
          <w:rFonts w:eastAsiaTheme="majorEastAsia"/>
        </w:rPr>
        <w:t> </w:t>
      </w:r>
    </w:p>
    <w:p w14:paraId="5896A135" w14:textId="77777777" w:rsidR="003D2C98" w:rsidRDefault="655B0549" w:rsidP="655B0549">
      <w:pPr>
        <w:pStyle w:val="paragraph"/>
        <w:spacing w:before="0" w:beforeAutospacing="0" w:after="0" w:afterAutospacing="0" w:line="276" w:lineRule="auto"/>
        <w:textAlignment w:val="baseline"/>
        <w:rPr>
          <w:rFonts w:ascii="Segoe UI" w:hAnsi="Segoe UI" w:cs="Segoe UI"/>
          <w:sz w:val="18"/>
          <w:szCs w:val="18"/>
        </w:rPr>
      </w:pPr>
      <w:r w:rsidRPr="655B0549">
        <w:rPr>
          <w:rStyle w:val="eop"/>
          <w:rFonts w:eastAsiaTheme="majorEastAsia"/>
        </w:rPr>
        <w:t> </w:t>
      </w:r>
    </w:p>
    <w:bookmarkEnd w:id="0"/>
    <w:p w14:paraId="326A54FB" w14:textId="77777777" w:rsidR="008F08EF" w:rsidRDefault="008F08EF"/>
    <w:sectPr w:rsidR="008F08E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EFB3" w14:textId="77777777" w:rsidR="00697070" w:rsidRDefault="00697070" w:rsidP="00697070">
      <w:pPr>
        <w:spacing w:after="0" w:line="240" w:lineRule="auto"/>
      </w:pPr>
      <w:r>
        <w:separator/>
      </w:r>
    </w:p>
  </w:endnote>
  <w:endnote w:type="continuationSeparator" w:id="0">
    <w:p w14:paraId="13621C21" w14:textId="77777777" w:rsidR="00697070" w:rsidRDefault="00697070" w:rsidP="0069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788062"/>
      <w:docPartObj>
        <w:docPartGallery w:val="Page Numbers (Bottom of Page)"/>
        <w:docPartUnique/>
      </w:docPartObj>
    </w:sdtPr>
    <w:sdtEndPr/>
    <w:sdtContent>
      <w:sdt>
        <w:sdtPr>
          <w:id w:val="1728636285"/>
          <w:docPartObj>
            <w:docPartGallery w:val="Page Numbers (Top of Page)"/>
            <w:docPartUnique/>
          </w:docPartObj>
        </w:sdtPr>
        <w:sdtEndPr/>
        <w:sdtContent>
          <w:p w14:paraId="1D3A14F1" w14:textId="77777777" w:rsidR="00697070" w:rsidRPr="00697070" w:rsidRDefault="00697070" w:rsidP="00697070">
            <w:pPr>
              <w:pStyle w:val="Footer"/>
              <w:rPr>
                <w:rFonts w:ascii="Times New Roman" w:hAnsi="Times New Roman" w:cs="Times New Roman"/>
                <w:sz w:val="20"/>
                <w:szCs w:val="20"/>
              </w:rPr>
            </w:pPr>
            <w:r w:rsidRPr="00697070">
              <w:rPr>
                <w:rFonts w:ascii="Times New Roman" w:hAnsi="Times New Roman" w:cs="Times New Roman"/>
                <w:sz w:val="20"/>
                <w:szCs w:val="20"/>
              </w:rPr>
              <w:t>MassHealth Medicaid and CHIP Section 1115 Demonstration</w:t>
            </w:r>
            <w:r w:rsidRPr="00697070">
              <w:rPr>
                <w:rFonts w:ascii="Times New Roman" w:hAnsi="Times New Roman" w:cs="Times New Roman"/>
                <w:sz w:val="20"/>
                <w:szCs w:val="20"/>
              </w:rPr>
              <w:tab/>
              <w:t xml:space="preserve">Page </w:t>
            </w:r>
            <w:r w:rsidRPr="00697070">
              <w:rPr>
                <w:rFonts w:ascii="Times New Roman" w:hAnsi="Times New Roman" w:cs="Times New Roman"/>
                <w:b/>
                <w:bCs/>
                <w:sz w:val="20"/>
                <w:szCs w:val="20"/>
              </w:rPr>
              <w:fldChar w:fldCharType="begin"/>
            </w:r>
            <w:r w:rsidRPr="00697070">
              <w:rPr>
                <w:rFonts w:ascii="Times New Roman" w:hAnsi="Times New Roman" w:cs="Times New Roman"/>
                <w:b/>
                <w:bCs/>
                <w:sz w:val="20"/>
                <w:szCs w:val="20"/>
              </w:rPr>
              <w:instrText xml:space="preserve"> PAGE  \* Arabic  \* MERGEFORMAT </w:instrText>
            </w:r>
            <w:r w:rsidRPr="00697070">
              <w:rPr>
                <w:rFonts w:ascii="Times New Roman" w:hAnsi="Times New Roman" w:cs="Times New Roman"/>
                <w:b/>
                <w:bCs/>
                <w:sz w:val="20"/>
                <w:szCs w:val="20"/>
              </w:rPr>
              <w:fldChar w:fldCharType="separate"/>
            </w:r>
            <w:r w:rsidRPr="00697070">
              <w:rPr>
                <w:rFonts w:ascii="Times New Roman" w:hAnsi="Times New Roman" w:cs="Times New Roman"/>
                <w:b/>
                <w:bCs/>
                <w:sz w:val="20"/>
                <w:szCs w:val="20"/>
              </w:rPr>
              <w:t>1</w:t>
            </w:r>
            <w:r w:rsidRPr="00697070">
              <w:rPr>
                <w:rFonts w:ascii="Times New Roman" w:hAnsi="Times New Roman" w:cs="Times New Roman"/>
                <w:b/>
                <w:bCs/>
                <w:sz w:val="20"/>
                <w:szCs w:val="20"/>
              </w:rPr>
              <w:fldChar w:fldCharType="end"/>
            </w:r>
            <w:r w:rsidRPr="00697070">
              <w:rPr>
                <w:rFonts w:ascii="Times New Roman" w:hAnsi="Times New Roman" w:cs="Times New Roman"/>
                <w:sz w:val="20"/>
                <w:szCs w:val="20"/>
              </w:rPr>
              <w:t xml:space="preserve"> of </w:t>
            </w:r>
            <w:r w:rsidRPr="00697070">
              <w:rPr>
                <w:rFonts w:ascii="Times New Roman" w:hAnsi="Times New Roman" w:cs="Times New Roman"/>
                <w:b/>
                <w:bCs/>
                <w:sz w:val="20"/>
                <w:szCs w:val="20"/>
              </w:rPr>
              <w:fldChar w:fldCharType="begin"/>
            </w:r>
            <w:r w:rsidRPr="00697070">
              <w:rPr>
                <w:rFonts w:ascii="Times New Roman" w:hAnsi="Times New Roman" w:cs="Times New Roman"/>
                <w:b/>
                <w:bCs/>
                <w:sz w:val="20"/>
                <w:szCs w:val="20"/>
              </w:rPr>
              <w:instrText xml:space="preserve"> NUMPAGES  \* Arabic  \* MERGEFORMAT </w:instrText>
            </w:r>
            <w:r w:rsidRPr="00697070">
              <w:rPr>
                <w:rFonts w:ascii="Times New Roman" w:hAnsi="Times New Roman" w:cs="Times New Roman"/>
                <w:b/>
                <w:bCs/>
                <w:sz w:val="20"/>
                <w:szCs w:val="20"/>
              </w:rPr>
              <w:fldChar w:fldCharType="separate"/>
            </w:r>
            <w:r w:rsidRPr="00697070">
              <w:rPr>
                <w:rFonts w:ascii="Times New Roman" w:hAnsi="Times New Roman" w:cs="Times New Roman"/>
                <w:b/>
                <w:bCs/>
                <w:sz w:val="20"/>
                <w:szCs w:val="20"/>
              </w:rPr>
              <w:t>1</w:t>
            </w:r>
            <w:r w:rsidRPr="00697070">
              <w:rPr>
                <w:rFonts w:ascii="Times New Roman" w:hAnsi="Times New Roman" w:cs="Times New Roman"/>
                <w:b/>
                <w:bCs/>
                <w:sz w:val="20"/>
                <w:szCs w:val="20"/>
              </w:rPr>
              <w:fldChar w:fldCharType="end"/>
            </w:r>
          </w:p>
          <w:p w14:paraId="6A00F39F" w14:textId="6177AF37" w:rsidR="00697070" w:rsidRDefault="00697070">
            <w:pPr>
              <w:pStyle w:val="Footer"/>
            </w:pPr>
            <w:r w:rsidRPr="00697070">
              <w:rPr>
                <w:rFonts w:ascii="Times New Roman" w:hAnsi="Times New Roman" w:cs="Times New Roman"/>
                <w:sz w:val="20"/>
                <w:szCs w:val="20"/>
              </w:rPr>
              <w:t xml:space="preserve">Approval Period: October 1, </w:t>
            </w:r>
            <w:proofErr w:type="gramStart"/>
            <w:r w:rsidRPr="00697070">
              <w:rPr>
                <w:rFonts w:ascii="Times New Roman" w:hAnsi="Times New Roman" w:cs="Times New Roman"/>
                <w:sz w:val="20"/>
                <w:szCs w:val="20"/>
              </w:rPr>
              <w:t>2022</w:t>
            </w:r>
            <w:proofErr w:type="gramEnd"/>
            <w:r w:rsidRPr="00697070">
              <w:rPr>
                <w:rFonts w:ascii="Times New Roman" w:hAnsi="Times New Roman" w:cs="Times New Roman"/>
                <w:sz w:val="20"/>
                <w:szCs w:val="20"/>
              </w:rPr>
              <w:t xml:space="preserve"> through December 31, 2027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1249" w14:textId="77777777" w:rsidR="00697070" w:rsidRDefault="00697070" w:rsidP="00697070">
      <w:pPr>
        <w:spacing w:after="0" w:line="240" w:lineRule="auto"/>
      </w:pPr>
      <w:r>
        <w:separator/>
      </w:r>
    </w:p>
  </w:footnote>
  <w:footnote w:type="continuationSeparator" w:id="0">
    <w:p w14:paraId="58D7B375" w14:textId="77777777" w:rsidR="00697070" w:rsidRDefault="00697070" w:rsidP="00697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C0FA" w14:textId="12067049" w:rsidR="00697070" w:rsidRPr="00697070" w:rsidRDefault="00697070">
    <w:pPr>
      <w:pStyle w:val="Header"/>
      <w:rPr>
        <w:rFonts w:ascii="Times New Roman" w:hAnsi="Times New Roman" w:cs="Times New Roman"/>
        <w:sz w:val="20"/>
        <w:szCs w:val="20"/>
      </w:rPr>
    </w:pPr>
    <w:r w:rsidRPr="00697070">
      <w:rPr>
        <w:rFonts w:ascii="Times New Roman" w:hAnsi="Times New Roman" w:cs="Times New Roman"/>
        <w:sz w:val="20"/>
        <w:szCs w:val="20"/>
      </w:rPr>
      <w:t>Attachment AC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98"/>
    <w:rsid w:val="00083A02"/>
    <w:rsid w:val="000B2298"/>
    <w:rsid w:val="002970E2"/>
    <w:rsid w:val="003D2C98"/>
    <w:rsid w:val="00404F7F"/>
    <w:rsid w:val="0046335E"/>
    <w:rsid w:val="004F6B8F"/>
    <w:rsid w:val="00595754"/>
    <w:rsid w:val="00697070"/>
    <w:rsid w:val="008F08EF"/>
    <w:rsid w:val="00916258"/>
    <w:rsid w:val="00983E51"/>
    <w:rsid w:val="00A4289C"/>
    <w:rsid w:val="00AF674B"/>
    <w:rsid w:val="00B652D5"/>
    <w:rsid w:val="00BC152A"/>
    <w:rsid w:val="00BC6868"/>
    <w:rsid w:val="00DF70B9"/>
    <w:rsid w:val="00E36B1A"/>
    <w:rsid w:val="00EC5A98"/>
    <w:rsid w:val="00F268B7"/>
    <w:rsid w:val="655B0549"/>
    <w:rsid w:val="7587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6FC3"/>
  <w15:chartTrackingRefBased/>
  <w15:docId w15:val="{35D55319-BA3B-447E-AE01-FA412BAC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C98"/>
    <w:rPr>
      <w:rFonts w:eastAsiaTheme="majorEastAsia" w:cstheme="majorBidi"/>
      <w:color w:val="272727" w:themeColor="text1" w:themeTint="D8"/>
    </w:rPr>
  </w:style>
  <w:style w:type="paragraph" w:styleId="Title">
    <w:name w:val="Title"/>
    <w:basedOn w:val="Normal"/>
    <w:next w:val="Normal"/>
    <w:link w:val="TitleChar"/>
    <w:uiPriority w:val="10"/>
    <w:qFormat/>
    <w:rsid w:val="003D2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C98"/>
    <w:pPr>
      <w:spacing w:before="160"/>
      <w:jc w:val="center"/>
    </w:pPr>
    <w:rPr>
      <w:i/>
      <w:iCs/>
      <w:color w:val="404040" w:themeColor="text1" w:themeTint="BF"/>
    </w:rPr>
  </w:style>
  <w:style w:type="character" w:customStyle="1" w:styleId="QuoteChar">
    <w:name w:val="Quote Char"/>
    <w:basedOn w:val="DefaultParagraphFont"/>
    <w:link w:val="Quote"/>
    <w:uiPriority w:val="29"/>
    <w:rsid w:val="003D2C98"/>
    <w:rPr>
      <w:i/>
      <w:iCs/>
      <w:color w:val="404040" w:themeColor="text1" w:themeTint="BF"/>
    </w:rPr>
  </w:style>
  <w:style w:type="paragraph" w:styleId="ListParagraph">
    <w:name w:val="List Paragraph"/>
    <w:basedOn w:val="Normal"/>
    <w:uiPriority w:val="34"/>
    <w:qFormat/>
    <w:rsid w:val="003D2C98"/>
    <w:pPr>
      <w:ind w:left="720"/>
      <w:contextualSpacing/>
    </w:pPr>
  </w:style>
  <w:style w:type="character" w:styleId="IntenseEmphasis">
    <w:name w:val="Intense Emphasis"/>
    <w:basedOn w:val="DefaultParagraphFont"/>
    <w:uiPriority w:val="21"/>
    <w:qFormat/>
    <w:rsid w:val="003D2C98"/>
    <w:rPr>
      <w:i/>
      <w:iCs/>
      <w:color w:val="0F4761" w:themeColor="accent1" w:themeShade="BF"/>
    </w:rPr>
  </w:style>
  <w:style w:type="paragraph" w:styleId="IntenseQuote">
    <w:name w:val="Intense Quote"/>
    <w:basedOn w:val="Normal"/>
    <w:next w:val="Normal"/>
    <w:link w:val="IntenseQuoteChar"/>
    <w:uiPriority w:val="30"/>
    <w:qFormat/>
    <w:rsid w:val="003D2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C98"/>
    <w:rPr>
      <w:i/>
      <w:iCs/>
      <w:color w:val="0F4761" w:themeColor="accent1" w:themeShade="BF"/>
    </w:rPr>
  </w:style>
  <w:style w:type="character" w:styleId="IntenseReference">
    <w:name w:val="Intense Reference"/>
    <w:basedOn w:val="DefaultParagraphFont"/>
    <w:uiPriority w:val="32"/>
    <w:qFormat/>
    <w:rsid w:val="003D2C98"/>
    <w:rPr>
      <w:b/>
      <w:bCs/>
      <w:smallCaps/>
      <w:color w:val="0F4761" w:themeColor="accent1" w:themeShade="BF"/>
      <w:spacing w:val="5"/>
    </w:rPr>
  </w:style>
  <w:style w:type="paragraph" w:customStyle="1" w:styleId="paragraph">
    <w:name w:val="paragraph"/>
    <w:basedOn w:val="Normal"/>
    <w:rsid w:val="003D2C9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D2C98"/>
  </w:style>
  <w:style w:type="character" w:customStyle="1" w:styleId="eop">
    <w:name w:val="eop"/>
    <w:basedOn w:val="DefaultParagraphFont"/>
    <w:rsid w:val="003D2C98"/>
  </w:style>
  <w:style w:type="character" w:customStyle="1" w:styleId="spellingerror">
    <w:name w:val="spellingerror"/>
    <w:basedOn w:val="DefaultParagraphFont"/>
    <w:rsid w:val="003D2C98"/>
  </w:style>
  <w:style w:type="paragraph" w:styleId="Revision">
    <w:name w:val="Revision"/>
    <w:hidden/>
    <w:uiPriority w:val="99"/>
    <w:semiHidden/>
    <w:rsid w:val="00BC6868"/>
    <w:pPr>
      <w:spacing w:after="0" w:line="240" w:lineRule="auto"/>
    </w:pPr>
  </w:style>
  <w:style w:type="paragraph" w:styleId="Header">
    <w:name w:val="header"/>
    <w:basedOn w:val="Normal"/>
    <w:link w:val="HeaderChar"/>
    <w:uiPriority w:val="99"/>
    <w:unhideWhenUsed/>
    <w:rsid w:val="00697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070"/>
  </w:style>
  <w:style w:type="paragraph" w:styleId="Footer">
    <w:name w:val="footer"/>
    <w:basedOn w:val="Normal"/>
    <w:link w:val="FooterChar"/>
    <w:uiPriority w:val="99"/>
    <w:unhideWhenUsed/>
    <w:rsid w:val="00697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80390">
      <w:bodyDiv w:val="1"/>
      <w:marLeft w:val="0"/>
      <w:marRight w:val="0"/>
      <w:marTop w:val="0"/>
      <w:marBottom w:val="0"/>
      <w:divBdr>
        <w:top w:val="none" w:sz="0" w:space="0" w:color="auto"/>
        <w:left w:val="none" w:sz="0" w:space="0" w:color="auto"/>
        <w:bottom w:val="none" w:sz="0" w:space="0" w:color="auto"/>
        <w:right w:val="none" w:sz="0" w:space="0" w:color="auto"/>
      </w:divBdr>
      <w:divsChild>
        <w:div w:id="263927989">
          <w:marLeft w:val="0"/>
          <w:marRight w:val="0"/>
          <w:marTop w:val="0"/>
          <w:marBottom w:val="0"/>
          <w:divBdr>
            <w:top w:val="none" w:sz="0" w:space="0" w:color="auto"/>
            <w:left w:val="none" w:sz="0" w:space="0" w:color="auto"/>
            <w:bottom w:val="none" w:sz="0" w:space="0" w:color="auto"/>
            <w:right w:val="none" w:sz="0" w:space="0" w:color="auto"/>
          </w:divBdr>
        </w:div>
        <w:div w:id="2140881161">
          <w:marLeft w:val="0"/>
          <w:marRight w:val="0"/>
          <w:marTop w:val="0"/>
          <w:marBottom w:val="0"/>
          <w:divBdr>
            <w:top w:val="none" w:sz="0" w:space="0" w:color="auto"/>
            <w:left w:val="none" w:sz="0" w:space="0" w:color="auto"/>
            <w:bottom w:val="none" w:sz="0" w:space="0" w:color="auto"/>
            <w:right w:val="none" w:sz="0" w:space="0" w:color="auto"/>
          </w:divBdr>
        </w:div>
        <w:div w:id="120148416">
          <w:marLeft w:val="0"/>
          <w:marRight w:val="0"/>
          <w:marTop w:val="0"/>
          <w:marBottom w:val="0"/>
          <w:divBdr>
            <w:top w:val="none" w:sz="0" w:space="0" w:color="auto"/>
            <w:left w:val="none" w:sz="0" w:space="0" w:color="auto"/>
            <w:bottom w:val="none" w:sz="0" w:space="0" w:color="auto"/>
            <w:right w:val="none" w:sz="0" w:space="0" w:color="auto"/>
          </w:divBdr>
        </w:div>
        <w:div w:id="1543639971">
          <w:marLeft w:val="0"/>
          <w:marRight w:val="0"/>
          <w:marTop w:val="0"/>
          <w:marBottom w:val="0"/>
          <w:divBdr>
            <w:top w:val="none" w:sz="0" w:space="0" w:color="auto"/>
            <w:left w:val="none" w:sz="0" w:space="0" w:color="auto"/>
            <w:bottom w:val="none" w:sz="0" w:space="0" w:color="auto"/>
            <w:right w:val="none" w:sz="0" w:space="0" w:color="auto"/>
          </w:divBdr>
        </w:div>
        <w:div w:id="1734622390">
          <w:marLeft w:val="0"/>
          <w:marRight w:val="0"/>
          <w:marTop w:val="0"/>
          <w:marBottom w:val="0"/>
          <w:divBdr>
            <w:top w:val="none" w:sz="0" w:space="0" w:color="auto"/>
            <w:left w:val="none" w:sz="0" w:space="0" w:color="auto"/>
            <w:bottom w:val="none" w:sz="0" w:space="0" w:color="auto"/>
            <w:right w:val="none" w:sz="0" w:space="0" w:color="auto"/>
          </w:divBdr>
        </w:div>
        <w:div w:id="658072239">
          <w:marLeft w:val="0"/>
          <w:marRight w:val="0"/>
          <w:marTop w:val="0"/>
          <w:marBottom w:val="0"/>
          <w:divBdr>
            <w:top w:val="none" w:sz="0" w:space="0" w:color="auto"/>
            <w:left w:val="none" w:sz="0" w:space="0" w:color="auto"/>
            <w:bottom w:val="none" w:sz="0" w:space="0" w:color="auto"/>
            <w:right w:val="none" w:sz="0" w:space="0" w:color="auto"/>
          </w:divBdr>
        </w:div>
        <w:div w:id="1708751048">
          <w:marLeft w:val="0"/>
          <w:marRight w:val="0"/>
          <w:marTop w:val="0"/>
          <w:marBottom w:val="0"/>
          <w:divBdr>
            <w:top w:val="none" w:sz="0" w:space="0" w:color="auto"/>
            <w:left w:val="none" w:sz="0" w:space="0" w:color="auto"/>
            <w:bottom w:val="none" w:sz="0" w:space="0" w:color="auto"/>
            <w:right w:val="none" w:sz="0" w:space="0" w:color="auto"/>
          </w:divBdr>
        </w:div>
        <w:div w:id="1299070028">
          <w:marLeft w:val="0"/>
          <w:marRight w:val="0"/>
          <w:marTop w:val="0"/>
          <w:marBottom w:val="0"/>
          <w:divBdr>
            <w:top w:val="none" w:sz="0" w:space="0" w:color="auto"/>
            <w:left w:val="none" w:sz="0" w:space="0" w:color="auto"/>
            <w:bottom w:val="none" w:sz="0" w:space="0" w:color="auto"/>
            <w:right w:val="none" w:sz="0" w:space="0" w:color="auto"/>
          </w:divBdr>
        </w:div>
        <w:div w:id="997223721">
          <w:marLeft w:val="0"/>
          <w:marRight w:val="0"/>
          <w:marTop w:val="0"/>
          <w:marBottom w:val="0"/>
          <w:divBdr>
            <w:top w:val="none" w:sz="0" w:space="0" w:color="auto"/>
            <w:left w:val="none" w:sz="0" w:space="0" w:color="auto"/>
            <w:bottom w:val="none" w:sz="0" w:space="0" w:color="auto"/>
            <w:right w:val="none" w:sz="0" w:space="0" w:color="auto"/>
          </w:divBdr>
        </w:div>
        <w:div w:id="1654946374">
          <w:marLeft w:val="0"/>
          <w:marRight w:val="0"/>
          <w:marTop w:val="0"/>
          <w:marBottom w:val="0"/>
          <w:divBdr>
            <w:top w:val="none" w:sz="0" w:space="0" w:color="auto"/>
            <w:left w:val="none" w:sz="0" w:space="0" w:color="auto"/>
            <w:bottom w:val="none" w:sz="0" w:space="0" w:color="auto"/>
            <w:right w:val="none" w:sz="0" w:space="0" w:color="auto"/>
          </w:divBdr>
        </w:div>
        <w:div w:id="175585438">
          <w:marLeft w:val="0"/>
          <w:marRight w:val="0"/>
          <w:marTop w:val="0"/>
          <w:marBottom w:val="0"/>
          <w:divBdr>
            <w:top w:val="none" w:sz="0" w:space="0" w:color="auto"/>
            <w:left w:val="none" w:sz="0" w:space="0" w:color="auto"/>
            <w:bottom w:val="none" w:sz="0" w:space="0" w:color="auto"/>
            <w:right w:val="none" w:sz="0" w:space="0" w:color="auto"/>
          </w:divBdr>
        </w:div>
      </w:divsChild>
    </w:div>
    <w:div w:id="676544984">
      <w:bodyDiv w:val="1"/>
      <w:marLeft w:val="0"/>
      <w:marRight w:val="0"/>
      <w:marTop w:val="0"/>
      <w:marBottom w:val="0"/>
      <w:divBdr>
        <w:top w:val="none" w:sz="0" w:space="0" w:color="auto"/>
        <w:left w:val="none" w:sz="0" w:space="0" w:color="auto"/>
        <w:bottom w:val="none" w:sz="0" w:space="0" w:color="auto"/>
        <w:right w:val="none" w:sz="0" w:space="0" w:color="auto"/>
      </w:divBdr>
      <w:divsChild>
        <w:div w:id="1548222494">
          <w:marLeft w:val="0"/>
          <w:marRight w:val="0"/>
          <w:marTop w:val="0"/>
          <w:marBottom w:val="0"/>
          <w:divBdr>
            <w:top w:val="none" w:sz="0" w:space="0" w:color="auto"/>
            <w:left w:val="none" w:sz="0" w:space="0" w:color="auto"/>
            <w:bottom w:val="none" w:sz="0" w:space="0" w:color="auto"/>
            <w:right w:val="none" w:sz="0" w:space="0" w:color="auto"/>
          </w:divBdr>
        </w:div>
        <w:div w:id="268467355">
          <w:marLeft w:val="0"/>
          <w:marRight w:val="0"/>
          <w:marTop w:val="0"/>
          <w:marBottom w:val="0"/>
          <w:divBdr>
            <w:top w:val="none" w:sz="0" w:space="0" w:color="auto"/>
            <w:left w:val="none" w:sz="0" w:space="0" w:color="auto"/>
            <w:bottom w:val="none" w:sz="0" w:space="0" w:color="auto"/>
            <w:right w:val="none" w:sz="0" w:space="0" w:color="auto"/>
          </w:divBdr>
        </w:div>
        <w:div w:id="86460044">
          <w:marLeft w:val="0"/>
          <w:marRight w:val="0"/>
          <w:marTop w:val="0"/>
          <w:marBottom w:val="0"/>
          <w:divBdr>
            <w:top w:val="none" w:sz="0" w:space="0" w:color="auto"/>
            <w:left w:val="none" w:sz="0" w:space="0" w:color="auto"/>
            <w:bottom w:val="none" w:sz="0" w:space="0" w:color="auto"/>
            <w:right w:val="none" w:sz="0" w:space="0" w:color="auto"/>
          </w:divBdr>
        </w:div>
        <w:div w:id="222837479">
          <w:marLeft w:val="0"/>
          <w:marRight w:val="0"/>
          <w:marTop w:val="0"/>
          <w:marBottom w:val="0"/>
          <w:divBdr>
            <w:top w:val="none" w:sz="0" w:space="0" w:color="auto"/>
            <w:left w:val="none" w:sz="0" w:space="0" w:color="auto"/>
            <w:bottom w:val="none" w:sz="0" w:space="0" w:color="auto"/>
            <w:right w:val="none" w:sz="0" w:space="0" w:color="auto"/>
          </w:divBdr>
        </w:div>
        <w:div w:id="957880558">
          <w:marLeft w:val="0"/>
          <w:marRight w:val="0"/>
          <w:marTop w:val="0"/>
          <w:marBottom w:val="0"/>
          <w:divBdr>
            <w:top w:val="none" w:sz="0" w:space="0" w:color="auto"/>
            <w:left w:val="none" w:sz="0" w:space="0" w:color="auto"/>
            <w:bottom w:val="none" w:sz="0" w:space="0" w:color="auto"/>
            <w:right w:val="none" w:sz="0" w:space="0" w:color="auto"/>
          </w:divBdr>
        </w:div>
        <w:div w:id="1607419363">
          <w:marLeft w:val="0"/>
          <w:marRight w:val="0"/>
          <w:marTop w:val="0"/>
          <w:marBottom w:val="0"/>
          <w:divBdr>
            <w:top w:val="none" w:sz="0" w:space="0" w:color="auto"/>
            <w:left w:val="none" w:sz="0" w:space="0" w:color="auto"/>
            <w:bottom w:val="none" w:sz="0" w:space="0" w:color="auto"/>
            <w:right w:val="none" w:sz="0" w:space="0" w:color="auto"/>
          </w:divBdr>
        </w:div>
        <w:div w:id="748234425">
          <w:marLeft w:val="0"/>
          <w:marRight w:val="0"/>
          <w:marTop w:val="0"/>
          <w:marBottom w:val="0"/>
          <w:divBdr>
            <w:top w:val="none" w:sz="0" w:space="0" w:color="auto"/>
            <w:left w:val="none" w:sz="0" w:space="0" w:color="auto"/>
            <w:bottom w:val="none" w:sz="0" w:space="0" w:color="auto"/>
            <w:right w:val="none" w:sz="0" w:space="0" w:color="auto"/>
          </w:divBdr>
        </w:div>
        <w:div w:id="174148875">
          <w:marLeft w:val="0"/>
          <w:marRight w:val="0"/>
          <w:marTop w:val="0"/>
          <w:marBottom w:val="0"/>
          <w:divBdr>
            <w:top w:val="none" w:sz="0" w:space="0" w:color="auto"/>
            <w:left w:val="none" w:sz="0" w:space="0" w:color="auto"/>
            <w:bottom w:val="none" w:sz="0" w:space="0" w:color="auto"/>
            <w:right w:val="none" w:sz="0" w:space="0" w:color="auto"/>
          </w:divBdr>
        </w:div>
        <w:div w:id="1098256015">
          <w:marLeft w:val="0"/>
          <w:marRight w:val="0"/>
          <w:marTop w:val="0"/>
          <w:marBottom w:val="0"/>
          <w:divBdr>
            <w:top w:val="none" w:sz="0" w:space="0" w:color="auto"/>
            <w:left w:val="none" w:sz="0" w:space="0" w:color="auto"/>
            <w:bottom w:val="none" w:sz="0" w:space="0" w:color="auto"/>
            <w:right w:val="none" w:sz="0" w:space="0" w:color="auto"/>
          </w:divBdr>
        </w:div>
        <w:div w:id="208153467">
          <w:marLeft w:val="0"/>
          <w:marRight w:val="0"/>
          <w:marTop w:val="0"/>
          <w:marBottom w:val="0"/>
          <w:divBdr>
            <w:top w:val="none" w:sz="0" w:space="0" w:color="auto"/>
            <w:left w:val="none" w:sz="0" w:space="0" w:color="auto"/>
            <w:bottom w:val="none" w:sz="0" w:space="0" w:color="auto"/>
            <w:right w:val="none" w:sz="0" w:space="0" w:color="auto"/>
          </w:divBdr>
        </w:div>
        <w:div w:id="262962689">
          <w:marLeft w:val="0"/>
          <w:marRight w:val="0"/>
          <w:marTop w:val="0"/>
          <w:marBottom w:val="0"/>
          <w:divBdr>
            <w:top w:val="none" w:sz="0" w:space="0" w:color="auto"/>
            <w:left w:val="none" w:sz="0" w:space="0" w:color="auto"/>
            <w:bottom w:val="none" w:sz="0" w:space="0" w:color="auto"/>
            <w:right w:val="none" w:sz="0" w:space="0" w:color="auto"/>
          </w:divBdr>
        </w:div>
      </w:divsChild>
    </w:div>
    <w:div w:id="1866669209">
      <w:bodyDiv w:val="1"/>
      <w:marLeft w:val="0"/>
      <w:marRight w:val="0"/>
      <w:marTop w:val="0"/>
      <w:marBottom w:val="0"/>
      <w:divBdr>
        <w:top w:val="none" w:sz="0" w:space="0" w:color="auto"/>
        <w:left w:val="none" w:sz="0" w:space="0" w:color="auto"/>
        <w:bottom w:val="none" w:sz="0" w:space="0" w:color="auto"/>
        <w:right w:val="none" w:sz="0" w:space="0" w:color="auto"/>
      </w:divBdr>
      <w:divsChild>
        <w:div w:id="10689211">
          <w:marLeft w:val="0"/>
          <w:marRight w:val="0"/>
          <w:marTop w:val="0"/>
          <w:marBottom w:val="0"/>
          <w:divBdr>
            <w:top w:val="none" w:sz="0" w:space="0" w:color="auto"/>
            <w:left w:val="none" w:sz="0" w:space="0" w:color="auto"/>
            <w:bottom w:val="none" w:sz="0" w:space="0" w:color="auto"/>
            <w:right w:val="none" w:sz="0" w:space="0" w:color="auto"/>
          </w:divBdr>
        </w:div>
        <w:div w:id="2000382503">
          <w:marLeft w:val="0"/>
          <w:marRight w:val="0"/>
          <w:marTop w:val="0"/>
          <w:marBottom w:val="0"/>
          <w:divBdr>
            <w:top w:val="none" w:sz="0" w:space="0" w:color="auto"/>
            <w:left w:val="none" w:sz="0" w:space="0" w:color="auto"/>
            <w:bottom w:val="none" w:sz="0" w:space="0" w:color="auto"/>
            <w:right w:val="none" w:sz="0" w:space="0" w:color="auto"/>
          </w:divBdr>
        </w:div>
        <w:div w:id="2127458863">
          <w:marLeft w:val="0"/>
          <w:marRight w:val="0"/>
          <w:marTop w:val="0"/>
          <w:marBottom w:val="0"/>
          <w:divBdr>
            <w:top w:val="none" w:sz="0" w:space="0" w:color="auto"/>
            <w:left w:val="none" w:sz="0" w:space="0" w:color="auto"/>
            <w:bottom w:val="none" w:sz="0" w:space="0" w:color="auto"/>
            <w:right w:val="none" w:sz="0" w:space="0" w:color="auto"/>
          </w:divBdr>
        </w:div>
        <w:div w:id="275332263">
          <w:marLeft w:val="0"/>
          <w:marRight w:val="0"/>
          <w:marTop w:val="0"/>
          <w:marBottom w:val="0"/>
          <w:divBdr>
            <w:top w:val="none" w:sz="0" w:space="0" w:color="auto"/>
            <w:left w:val="none" w:sz="0" w:space="0" w:color="auto"/>
            <w:bottom w:val="none" w:sz="0" w:space="0" w:color="auto"/>
            <w:right w:val="none" w:sz="0" w:space="0" w:color="auto"/>
          </w:divBdr>
        </w:div>
        <w:div w:id="1615625800">
          <w:marLeft w:val="0"/>
          <w:marRight w:val="0"/>
          <w:marTop w:val="0"/>
          <w:marBottom w:val="0"/>
          <w:divBdr>
            <w:top w:val="none" w:sz="0" w:space="0" w:color="auto"/>
            <w:left w:val="none" w:sz="0" w:space="0" w:color="auto"/>
            <w:bottom w:val="none" w:sz="0" w:space="0" w:color="auto"/>
            <w:right w:val="none" w:sz="0" w:space="0" w:color="auto"/>
          </w:divBdr>
        </w:div>
        <w:div w:id="1262227711">
          <w:marLeft w:val="0"/>
          <w:marRight w:val="0"/>
          <w:marTop w:val="0"/>
          <w:marBottom w:val="0"/>
          <w:divBdr>
            <w:top w:val="none" w:sz="0" w:space="0" w:color="auto"/>
            <w:left w:val="none" w:sz="0" w:space="0" w:color="auto"/>
            <w:bottom w:val="none" w:sz="0" w:space="0" w:color="auto"/>
            <w:right w:val="none" w:sz="0" w:space="0" w:color="auto"/>
          </w:divBdr>
        </w:div>
        <w:div w:id="231307934">
          <w:marLeft w:val="0"/>
          <w:marRight w:val="0"/>
          <w:marTop w:val="0"/>
          <w:marBottom w:val="0"/>
          <w:divBdr>
            <w:top w:val="none" w:sz="0" w:space="0" w:color="auto"/>
            <w:left w:val="none" w:sz="0" w:space="0" w:color="auto"/>
            <w:bottom w:val="none" w:sz="0" w:space="0" w:color="auto"/>
            <w:right w:val="none" w:sz="0" w:space="0" w:color="auto"/>
          </w:divBdr>
        </w:div>
        <w:div w:id="987131903">
          <w:marLeft w:val="0"/>
          <w:marRight w:val="0"/>
          <w:marTop w:val="0"/>
          <w:marBottom w:val="0"/>
          <w:divBdr>
            <w:top w:val="none" w:sz="0" w:space="0" w:color="auto"/>
            <w:left w:val="none" w:sz="0" w:space="0" w:color="auto"/>
            <w:bottom w:val="none" w:sz="0" w:space="0" w:color="auto"/>
            <w:right w:val="none" w:sz="0" w:space="0" w:color="auto"/>
          </w:divBdr>
        </w:div>
        <w:div w:id="967509140">
          <w:marLeft w:val="0"/>
          <w:marRight w:val="0"/>
          <w:marTop w:val="0"/>
          <w:marBottom w:val="0"/>
          <w:divBdr>
            <w:top w:val="none" w:sz="0" w:space="0" w:color="auto"/>
            <w:left w:val="none" w:sz="0" w:space="0" w:color="auto"/>
            <w:bottom w:val="none" w:sz="0" w:space="0" w:color="auto"/>
            <w:right w:val="none" w:sz="0" w:space="0" w:color="auto"/>
          </w:divBdr>
        </w:div>
        <w:div w:id="698240792">
          <w:marLeft w:val="0"/>
          <w:marRight w:val="0"/>
          <w:marTop w:val="0"/>
          <w:marBottom w:val="0"/>
          <w:divBdr>
            <w:top w:val="none" w:sz="0" w:space="0" w:color="auto"/>
            <w:left w:val="none" w:sz="0" w:space="0" w:color="auto"/>
            <w:bottom w:val="none" w:sz="0" w:space="0" w:color="auto"/>
            <w:right w:val="none" w:sz="0" w:space="0" w:color="auto"/>
          </w:divBdr>
        </w:div>
        <w:div w:id="171843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7" ma:contentTypeDescription="Create a new document." ma:contentTypeScope="" ma:versionID="9373be2142d85007382775663b00e0c5">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Review_x0020_Comments xmlns="6b9f974d-4be1-4652-82ab-08a778657aa4" xsi:nil="true"/>
    <Divisions xmlns="6b9f974d-4be1-4652-82ab-08a778657aa4">DECD</Divisions>
    <IconOverlay xmlns="http://schemas.microsoft.com/sharepoint/v4" xsi:nil="true"/>
    <Document_x0020_Type xmlns="6b9f974d-4be1-4652-82ab-08a778657aa4">5</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CMCS-1739211535-16210</_dlc_DocId>
    <_dlc_DocIdUrl xmlns="144ea41b-304c-4c03-99c4-debb02094f92">
      <Url>https://share.cms.gov/center/CMCS/SDG/_layouts/15/DocIdRedir.aspx?ID=CMCS-1739211535-16210</Url>
      <Description>CMCS-1739211535-16210</Description>
    </_dlc_DocIdUrl>
  </documentManagement>
</p:properties>
</file>

<file path=customXml/itemProps1.xml><?xml version="1.0" encoding="utf-8"?>
<ds:datastoreItem xmlns:ds="http://schemas.openxmlformats.org/officeDocument/2006/customXml" ds:itemID="{44EB01F8-39C6-4547-981E-D29A810E6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928FA-40B9-4864-BC15-F5775A787DBC}">
  <ds:schemaRefs>
    <ds:schemaRef ds:uri="http://schemas.microsoft.com/office/2006/metadata/customXsn"/>
  </ds:schemaRefs>
</ds:datastoreItem>
</file>

<file path=customXml/itemProps3.xml><?xml version="1.0" encoding="utf-8"?>
<ds:datastoreItem xmlns:ds="http://schemas.openxmlformats.org/officeDocument/2006/customXml" ds:itemID="{CA44364B-8754-4F83-8E3A-1ACA9B3E5C12}">
  <ds:schemaRefs>
    <ds:schemaRef ds:uri="Microsoft.SharePoint.Taxonomy.ContentTypeSync"/>
  </ds:schemaRefs>
</ds:datastoreItem>
</file>

<file path=customXml/itemProps4.xml><?xml version="1.0" encoding="utf-8"?>
<ds:datastoreItem xmlns:ds="http://schemas.openxmlformats.org/officeDocument/2006/customXml" ds:itemID="{93034DE1-72E1-4F4C-A5D8-52446AA24B2E}">
  <ds:schemaRefs/>
</ds:datastoreItem>
</file>

<file path=customXml/itemProps5.xml><?xml version="1.0" encoding="utf-8"?>
<ds:datastoreItem xmlns:ds="http://schemas.openxmlformats.org/officeDocument/2006/customXml" ds:itemID="{5B5FFAA2-DB62-4C15-9D23-CC0D8959BF7F}">
  <ds:schemaRefs>
    <ds:schemaRef ds:uri="http://schemas.microsoft.com/sharepoint/events"/>
  </ds:schemaRefs>
</ds:datastoreItem>
</file>

<file path=customXml/itemProps6.xml><?xml version="1.0" encoding="utf-8"?>
<ds:datastoreItem xmlns:ds="http://schemas.openxmlformats.org/officeDocument/2006/customXml" ds:itemID="{7EACFAA8-118F-463C-8D92-6BCE82B33A45}">
  <ds:schemaRefs>
    <ds:schemaRef ds:uri="http://schemas.microsoft.com/sharepoint/v3/contenttype/forms"/>
  </ds:schemaRefs>
</ds:datastoreItem>
</file>

<file path=customXml/itemProps7.xml><?xml version="1.0" encoding="utf-8"?>
<ds:datastoreItem xmlns:ds="http://schemas.openxmlformats.org/officeDocument/2006/customXml" ds:itemID="{1B96596A-6F9E-4FDD-883E-52C04634BA04}">
  <ds:schemaRefs>
    <ds:schemaRef ds:uri="http://purl.org/dc/elements/1.1/"/>
    <ds:schemaRef ds:uri="http://purl.org/dc/dcmitype/"/>
    <ds:schemaRef ds:uri="http://schemas.microsoft.com/office/2006/documentManagement/types"/>
    <ds:schemaRef ds:uri="144ea41b-304c-4c03-99c4-debb02094f92"/>
    <ds:schemaRef ds:uri="http://schemas.microsoft.com/office/infopath/2007/PartnerControls"/>
    <ds:schemaRef ds:uri="http://schemas.microsoft.com/office/2006/metadata/properties"/>
    <ds:schemaRef ds:uri="http://www.w3.org/XML/1998/namespace"/>
    <ds:schemaRef ds:uri="6b9f974d-4be1-4652-82ab-08a778657aa4"/>
    <ds:schemaRef ds:uri="http://purl.org/dc/terms/"/>
    <ds:schemaRef ds:uri="http://schemas.microsoft.com/sharepoint/v3"/>
    <ds:schemaRef ds:uri="http://schemas.openxmlformats.org/package/2006/metadata/core-properties"/>
    <ds:schemaRef ds:uri="bfed16da-a8ca-46ec-a4aa-c7c509893314"/>
    <ds:schemaRef ds:uri="http://schemas.microsoft.com/sharepoint/v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1964</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Desai, Kavina (CMS/CMCS)</dc:creator>
  <cp:keywords/>
  <dc:description/>
  <cp:lastModifiedBy>Konefal, Kaela (EHS)</cp:lastModifiedBy>
  <cp:revision>2</cp:revision>
  <dcterms:created xsi:type="dcterms:W3CDTF">2025-08-08T14:23:00Z</dcterms:created>
  <dcterms:modified xsi:type="dcterms:W3CDTF">2025-08-08T14:23:00Z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_dlc_DocIdItemGuid">
    <vt:lpwstr>448835ea-b746-4d80-b7b3-77183a3a002a</vt:lpwstr>
  </property>
  <property fmtid="{D5CDD505-2E9C-101B-9397-08002B2CF9AE}" pid="4" name="Comments">
    <vt:lpwstr/>
  </property>
</Properties>
</file>