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B" w:rsidRDefault="007C6C19" w:rsidP="007C6C19">
      <w:pPr>
        <w:jc w:val="center"/>
        <w:rPr>
          <w:rFonts w:ascii="Times New Roman" w:hAnsi="Times New Roman" w:cs="Times New Roman"/>
          <w:b/>
        </w:rPr>
      </w:pPr>
      <w:r>
        <w:rPr>
          <w:rFonts w:ascii="Times New Roman" w:hAnsi="Times New Roman" w:cs="Times New Roman"/>
          <w:b/>
        </w:rPr>
        <w:t>Attachment B</w:t>
      </w:r>
    </w:p>
    <w:p w:rsidR="007C6C19" w:rsidRDefault="007C6C19" w:rsidP="007C6C19">
      <w:pPr>
        <w:jc w:val="center"/>
        <w:rPr>
          <w:rFonts w:ascii="Times New Roman" w:hAnsi="Times New Roman" w:cs="Times New Roman"/>
          <w:b/>
        </w:rPr>
      </w:pPr>
      <w:r>
        <w:rPr>
          <w:rFonts w:ascii="Times New Roman" w:hAnsi="Times New Roman" w:cs="Times New Roman"/>
          <w:b/>
        </w:rPr>
        <w:t>FY18 Budget</w:t>
      </w:r>
    </w:p>
    <w:p w:rsidR="007C6C19" w:rsidRDefault="007C6C19" w:rsidP="007C6C19">
      <w:pPr>
        <w:jc w:val="center"/>
        <w:rPr>
          <w:rFonts w:ascii="Times New Roman" w:hAnsi="Times New Roman" w:cs="Times New Roman"/>
          <w:b/>
        </w:rPr>
      </w:pPr>
      <w:r>
        <w:rPr>
          <w:rFonts w:ascii="Times New Roman" w:hAnsi="Times New Roman" w:cs="Times New Roman"/>
          <w:b/>
        </w:rPr>
        <w:t>Veto Items:  Outside Sections</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7C6C19" w:rsidTr="007C6C19">
        <w:trPr>
          <w:cantSplit/>
          <w:tblHeader/>
        </w:trPr>
        <w:tc>
          <w:tcPr>
            <w:tcW w:w="0" w:type="auto"/>
            <w:shd w:val="clear" w:color="auto" w:fill="auto"/>
          </w:tcPr>
          <w:p w:rsidR="007C6C19" w:rsidRPr="007C6C19" w:rsidRDefault="007C6C19" w:rsidP="007C6C19">
            <w:pPr>
              <w:rPr>
                <w:rFonts w:ascii="Times New Roman" w:hAnsi="Times New Roman" w:cs="Times New Roman"/>
              </w:rPr>
            </w:pPr>
            <w:r>
              <w:rPr>
                <w:rFonts w:ascii="Times New Roman" w:hAnsi="Times New Roman" w:cs="Times New Roman"/>
                <w:b/>
              </w:rPr>
              <w:t xml:space="preserve"> </w:t>
            </w: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Driver School License 1</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40</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 xml:space="preserve">I am vetoing this section, and related sections 41, 42, and 72, because they unnecessarily open the drivers' education market to quasi-public, government-subsidized entities that would compete with existing small businesses.  </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Driver School License 2</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41</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 xml:space="preserve">I am vetoing this section, and related sections 40, 42, and 72, because they unnecessarily open the drivers' education market to quasi-public, government-subsidized entities that would compete with existing small businesses.  </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Driver School License 3</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42</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 xml:space="preserve">I am vetoing this section, and related sections 40, 41, and 72, because they unnecessarily open the drivers' education market to quasi-public, government-subsidized entities that would compete with existing small businesses.  </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Driver School License 4</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72</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 xml:space="preserve">I am vetoing this section, and related sections 40, 41, and 42, because they unnecessarily open the drivers' education market to quasi-public, government-subsidized entities that would compete with existing small businesses.  </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LTC Facility Construction Requirements</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98</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I am vetoing this section because building, life safety and health care quality standards for long term care facilities continually evolve and exemptions to quality and safety standards should not be codified into the General Laws. My Administration is working with the affected stakeholders to promulgate prudent regulations, which recognizes the age of physical plants and prioritizes patient safety.</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Child Welfare Reporting Task Force</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128</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I am vetoing this section and related sections 129 and 152 because they would require the Department of Children and Families (DCF) and Office of the Child Advocate (OCA) to establish a task force on child welfare data to develop a broad range of basic data measures.  The reporting proposed by these sections is duplicative of numerous existing reporting requirements for key outcome and benchmark data pursuant to line item 4800-0015 of this budget, Chapters 18B and 119 of the General Laws, and  42 USC §671(a)(8) (Title IV-E of the Social Security Act and 45 CFR § 205.50 (Federal regulation of Title IV-E). Key benchmark data for DCF is publicly available on the Administration for Children and Families' Children's Bureau website, and DCF will continue to work with OCA to provide the public and the Legislature with accurate, actionable data concerning child welfare in the Commonwealth.</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Sunset of Child Welfare Data Reporting Task Force</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129</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I am vetoing this section and related sections 128 and 152 because they would require the Department of Children and Families (DCF) and Office of the Child Advocate (OCA) to establish a task force on child welfare data to develop a broad range of basic data measures.  The reporting proposed by these sections is duplicative of numerous existing reporting requirements for key outcome and benchmark data pursuant to line item 4800-0015 of this budget, Chapters 18B and 119 of the General Laws, and  42 USC §671(a)(8) (Title IV-E of the Social Security Act and 45 CFR § 205.50 (Federal regulation of Title IV-E). Key benchmark data for DCF is publicly available on the Administration for Children and Families' Children's Bureau website, and DCF will continue to work with OCA to provide the public and the Legislature with accurate, actionable data concerning child welfare in the Commonwealth.</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Childhood Vision and Eye Health Commission</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135</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I am vetoing this section because a nine-member commission is not needed to identify improvements in an existing program.  The Department of Public Health administers a childhood vision screening program, after consultation with the Department of Elementary and Secondary Education, under Chapter 71, Section 57 of the General Laws, as amended in Chapter 181 of the Acts of 2004. My Administration released updated protocols for schools on September 30, 2016. Regular review and updating of these protocols, if needed, is the best way to improve childhood vision and eye care in Massachusetts.</w:t>
            </w:r>
          </w:p>
          <w:p w:rsidR="007C6C19" w:rsidRDefault="007C6C19" w:rsidP="007C6C19">
            <w:pPr>
              <w:rPr>
                <w:rFonts w:ascii="Times New Roman" w:hAnsi="Times New Roman" w:cs="Times New Roman"/>
              </w:rPr>
            </w:pPr>
          </w:p>
        </w:tc>
      </w:tr>
      <w:tr w:rsidR="007C6C19" w:rsidTr="007C6C19">
        <w:trPr>
          <w:cantSplit/>
        </w:trPr>
        <w:tc>
          <w:tcPr>
            <w:tcW w:w="0" w:type="auto"/>
            <w:shd w:val="clear" w:color="auto" w:fill="auto"/>
          </w:tcPr>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Sunset of Child Welfare Data Reporting Task Force Eff. Date</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Section 152</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r>
              <w:rPr>
                <w:rFonts w:ascii="Times New Roman" w:hAnsi="Times New Roman" w:cs="Times New Roman"/>
              </w:rPr>
              <w:t>I am vetoing this section and related sections 128 and 129 because they would require the Department of Children and Families (DCF) and Office of the Child Advocate (OCA) to establish a task force on child welfare data to develop a broad range of basic data measures.  The reporting proposed by these sections is duplicative of numerous existing reporting requirements for key outcome and benchmark data pursuant to line item 4800-0015 of this budget, Chapters 18B and 119 of the General Laws, and  42 USC §671(a)(8) (Title IV-E of the Social Security Act and 45 CFR § 205.50 (Federal regulation of Title IV-E). Key benchmark data for DCF is publicly available on the Administration for Children and Families' Children's Bureau website, and DCF will continue to work with OCA to provide the public and the Legislature with accurate, actionable data concerning child welfare in the Commonwealth.</w:t>
            </w: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p>
        </w:tc>
      </w:tr>
    </w:tbl>
    <w:p w:rsidR="007C6C19" w:rsidRDefault="007C6C19" w:rsidP="007C6C19">
      <w:pPr>
        <w:rPr>
          <w:rFonts w:ascii="Times New Roman" w:hAnsi="Times New Roman" w:cs="Times New Roman"/>
        </w:rPr>
      </w:pPr>
    </w:p>
    <w:p w:rsidR="007C6C19" w:rsidRDefault="007C6C19" w:rsidP="007C6C19">
      <w:pPr>
        <w:rPr>
          <w:rFonts w:ascii="Times New Roman" w:hAnsi="Times New Roman" w:cs="Times New Roman"/>
        </w:rPr>
      </w:pPr>
    </w:p>
    <w:p w:rsidR="007C6C19" w:rsidRPr="007C6C19" w:rsidRDefault="007C6C19" w:rsidP="007C6C19">
      <w:pPr>
        <w:rPr>
          <w:rFonts w:ascii="Times New Roman" w:hAnsi="Times New Roman" w:cs="Times New Roman"/>
        </w:rPr>
      </w:pPr>
      <w:bookmarkStart w:id="0" w:name="_GoBack"/>
      <w:bookmarkEnd w:id="0"/>
    </w:p>
    <w:sectPr w:rsidR="007C6C19" w:rsidRPr="007C6C19" w:rsidSect="007C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19"/>
    <w:rsid w:val="00103E5D"/>
    <w:rsid w:val="002E660D"/>
    <w:rsid w:val="005B04DE"/>
    <w:rsid w:val="00693A71"/>
    <w:rsid w:val="00736F3B"/>
    <w:rsid w:val="007C6C19"/>
    <w:rsid w:val="00881653"/>
    <w:rsid w:val="009D5370"/>
    <w:rsid w:val="00B05A9F"/>
    <w:rsid w:val="00C1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2017-07-17T16:10:00Z</dcterms:created>
  <dc:creator>Norcross, David (ANF)</dc:creator>
  <lastModifiedBy>Norcross, David (ANF)</lastModifiedBy>
  <lastPrinted>2017-07-17T16:07:00Z</lastPrinted>
  <dcterms:modified xsi:type="dcterms:W3CDTF">2017-07-17T16:10:00Z</dcterms:modified>
  <revision>2</revision>
</coreProperties>
</file>