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645E2" w14:textId="1745602B" w:rsidR="009B60CF" w:rsidRDefault="0030227A" w:rsidP="0030227A">
      <w:pPr>
        <w:pStyle w:val="TITLE0"/>
      </w:pPr>
      <w:r>
        <w:t>ATTACHMENT C</w:t>
      </w:r>
    </w:p>
    <w:p w14:paraId="43ED7709" w14:textId="3FC3CA6E" w:rsidR="0030227A" w:rsidRDefault="0030227A" w:rsidP="00865550">
      <w:pPr>
        <w:pStyle w:val="TITLE0"/>
      </w:pPr>
      <w:r>
        <w:t>Cost Sharing</w:t>
      </w:r>
    </w:p>
    <w:p w14:paraId="07FC7DFF" w14:textId="77777777" w:rsidR="0030227A" w:rsidRDefault="0030227A" w:rsidP="0030227A">
      <w:pPr>
        <w:spacing w:before="149"/>
        <w:ind w:left="119"/>
        <w:rPr>
          <w:b/>
          <w:sz w:val="24"/>
        </w:rPr>
      </w:pPr>
      <w:r>
        <w:rPr>
          <w:b/>
          <w:sz w:val="24"/>
        </w:rPr>
        <w:t>Cost-sharing currently in effect unless changed by a state plan amendment.</w:t>
      </w:r>
    </w:p>
    <w:p w14:paraId="10709A41" w14:textId="144C491C" w:rsidR="000D7349" w:rsidRPr="00B538DE" w:rsidRDefault="0030227A" w:rsidP="0030227A">
      <w:pPr>
        <w:pStyle w:val="BodyText"/>
        <w:spacing w:before="163"/>
        <w:ind w:left="119" w:right="388"/>
      </w:pPr>
      <w:r>
        <w:t xml:space="preserve">Cost-sharing imposed upon individuals enrolled in the demonstration may vary across coverage types and by </w:t>
      </w:r>
      <w:r w:rsidR="00BC3BE5">
        <w:t>Federal Poverty Level (</w:t>
      </w:r>
      <w:r>
        <w:t>FPL</w:t>
      </w:r>
      <w:r w:rsidR="00BC3BE5">
        <w:t>)</w:t>
      </w:r>
      <w:r>
        <w:t xml:space="preserve">. </w:t>
      </w:r>
      <w:r w:rsidR="00BC3BE5">
        <w:t xml:space="preserve"> </w:t>
      </w:r>
      <w:r>
        <w:t xml:space="preserve">However, no co-payments are charged for </w:t>
      </w:r>
      <w:r w:rsidRPr="00B538DE">
        <w:t xml:space="preserve">any </w:t>
      </w:r>
      <w:r w:rsidR="00682A0F" w:rsidRPr="00B538DE">
        <w:t>individuals or</w:t>
      </w:r>
      <w:r w:rsidR="004C6ABC" w:rsidRPr="00B538DE">
        <w:t xml:space="preserve"> services</w:t>
      </w:r>
      <w:r w:rsidR="00824F40" w:rsidRPr="00B538DE">
        <w:t xml:space="preserve"> identified at 42 CFR 447.56</w:t>
      </w:r>
      <w:r w:rsidR="00472F00" w:rsidRPr="00B538DE">
        <w:t>(a)</w:t>
      </w:r>
      <w:r w:rsidR="00824F40" w:rsidRPr="00B538DE">
        <w:t xml:space="preserve">, including </w:t>
      </w:r>
      <w:r w:rsidRPr="00B538DE">
        <w:t xml:space="preserve">individuals under age 21, pregnant </w:t>
      </w:r>
      <w:r w:rsidR="003B2ACD" w:rsidRPr="00B538DE">
        <w:t xml:space="preserve">individuals </w:t>
      </w:r>
      <w:r w:rsidR="00824F40" w:rsidRPr="00B538DE">
        <w:t>receiving pregnancy-related services</w:t>
      </w:r>
      <w:r w:rsidRPr="00B538DE">
        <w:t xml:space="preserve">, individuals living in an institution or receiving hospice, and American Indian/Alaska Natives who </w:t>
      </w:r>
      <w:r w:rsidR="00824F40" w:rsidRPr="00B538DE">
        <w:t xml:space="preserve">have received or are eligible to </w:t>
      </w:r>
      <w:r w:rsidRPr="00B538DE">
        <w:t xml:space="preserve">receive services through </w:t>
      </w:r>
      <w:r w:rsidR="0019710B" w:rsidRPr="00B538DE">
        <w:t>Indian health care provider</w:t>
      </w:r>
      <w:r w:rsidR="004C6ABC" w:rsidRPr="00B538DE">
        <w:t xml:space="preserve"> or through referral under contract health services</w:t>
      </w:r>
      <w:r w:rsidRPr="00B538DE">
        <w:t>.</w:t>
      </w:r>
      <w:r w:rsidR="00BC3BE5" w:rsidRPr="00B538DE">
        <w:t xml:space="preserve"> </w:t>
      </w:r>
      <w:r w:rsidR="00634D57">
        <w:t xml:space="preserve"> </w:t>
      </w:r>
      <w:r w:rsidR="0002416F" w:rsidRPr="00B538DE">
        <w:t>Furthermore, co-payments for individuals with income at or less than 50%</w:t>
      </w:r>
      <w:r w:rsidR="00634D57">
        <w:t xml:space="preserve"> of the</w:t>
      </w:r>
      <w:r w:rsidR="0002416F" w:rsidRPr="00B538DE">
        <w:t xml:space="preserve"> FPL are set to an amount of $0. </w:t>
      </w:r>
      <w:r w:rsidRPr="00B538DE">
        <w:t xml:space="preserve"> </w:t>
      </w:r>
    </w:p>
    <w:p w14:paraId="7C7A5E6C" w14:textId="0A20D627" w:rsidR="0030227A" w:rsidRPr="00B538DE" w:rsidRDefault="00206218" w:rsidP="0030227A">
      <w:pPr>
        <w:pStyle w:val="BodyText"/>
        <w:spacing w:before="163"/>
        <w:ind w:left="119" w:right="388"/>
      </w:pPr>
      <w:r w:rsidRPr="00B538DE">
        <w:t>Consistent wit</w:t>
      </w:r>
      <w:r w:rsidR="000D7349" w:rsidRPr="00B538DE">
        <w:t>h 42 CFR 447.55</w:t>
      </w:r>
      <w:r w:rsidR="004F7DB5" w:rsidRPr="00B538DE">
        <w:t>(a)</w:t>
      </w:r>
      <w:r w:rsidR="00FA5A82" w:rsidRPr="00B538DE">
        <w:t>,</w:t>
      </w:r>
      <w:r w:rsidRPr="00B538DE">
        <w:t xml:space="preserve"> </w:t>
      </w:r>
      <w:r w:rsidR="0030227A" w:rsidRPr="00B538DE">
        <w:t>no premiums are charged to any individual enrolled in the demonstration whose gross income is less than 150</w:t>
      </w:r>
      <w:r w:rsidR="0026301B" w:rsidRPr="00B538DE">
        <w:t>%</w:t>
      </w:r>
      <w:r w:rsidR="0030227A" w:rsidRPr="00B538DE">
        <w:t xml:space="preserve"> </w:t>
      </w:r>
      <w:r w:rsidR="00634D57">
        <w:t xml:space="preserve">of the </w:t>
      </w:r>
      <w:r w:rsidR="0030227A" w:rsidRPr="00B538DE">
        <w:t>FPL</w:t>
      </w:r>
      <w:r w:rsidRPr="00B538DE">
        <w:t xml:space="preserve">. </w:t>
      </w:r>
      <w:r w:rsidR="000A066D">
        <w:t xml:space="preserve"> </w:t>
      </w:r>
      <w:r w:rsidRPr="00B538DE">
        <w:t xml:space="preserve">Additionally, premiums are not charged </w:t>
      </w:r>
      <w:r w:rsidR="004C6ABC" w:rsidRPr="00B538DE">
        <w:t>for</w:t>
      </w:r>
      <w:r w:rsidRPr="00B538DE">
        <w:t xml:space="preserve"> any </w:t>
      </w:r>
      <w:r w:rsidR="009267B9" w:rsidRPr="00B538DE">
        <w:t>individuals</w:t>
      </w:r>
      <w:r w:rsidRPr="00B538DE">
        <w:t xml:space="preserve"> identified at 42 CFR 447.56</w:t>
      </w:r>
      <w:r w:rsidR="00CC6B15" w:rsidRPr="00B538DE">
        <w:t>(a)</w:t>
      </w:r>
      <w:r w:rsidRPr="00B538DE">
        <w:t>, including</w:t>
      </w:r>
      <w:r w:rsidR="0030227A" w:rsidRPr="00B538DE">
        <w:t xml:space="preserve"> any American Indian/Alaska Natives who receive services through </w:t>
      </w:r>
      <w:r w:rsidR="0019710B" w:rsidRPr="00B538DE">
        <w:t>an Indian health care provider</w:t>
      </w:r>
      <w:r w:rsidR="004C6ABC" w:rsidRPr="00B538DE">
        <w:t xml:space="preserve"> or through referral under contract health services</w:t>
      </w:r>
      <w:r w:rsidR="0030227A" w:rsidRPr="00B538DE">
        <w:t xml:space="preserve">. </w:t>
      </w:r>
      <w:r w:rsidR="00BC3BE5" w:rsidRPr="00B538DE">
        <w:t xml:space="preserve"> </w:t>
      </w:r>
      <w:r w:rsidR="0030227A" w:rsidRPr="00B538DE">
        <w:t xml:space="preserve">In the event a family group contains at least two members who are eligible for different coverage types and who would otherwise be assessed two different premiums, the family </w:t>
      </w:r>
      <w:r w:rsidR="00C04ECD" w:rsidRPr="00B538DE">
        <w:t>is</w:t>
      </w:r>
      <w:r w:rsidR="0030227A" w:rsidRPr="00B538DE">
        <w:t xml:space="preserve"> assessed only the highest applicable premium. </w:t>
      </w:r>
      <w:r w:rsidR="00BC3BE5" w:rsidRPr="00B538DE">
        <w:t xml:space="preserve"> </w:t>
      </w:r>
      <w:r w:rsidR="0030227A" w:rsidRPr="00B538DE">
        <w:t>Family group will be determined using MassHealth rules for the purposes of assessing premiums as described in STC</w:t>
      </w:r>
      <w:r w:rsidR="0030227A" w:rsidRPr="00B538DE">
        <w:rPr>
          <w:spacing w:val="-23"/>
        </w:rPr>
        <w:t xml:space="preserve"> </w:t>
      </w:r>
      <w:r w:rsidR="00BC3BE5" w:rsidRPr="00B538DE">
        <w:t>4.3</w:t>
      </w:r>
      <w:r w:rsidR="0030227A" w:rsidRPr="00B538DE">
        <w:t>.</w:t>
      </w:r>
    </w:p>
    <w:p w14:paraId="4E236948" w14:textId="44CC5BC0" w:rsidR="00206218" w:rsidRPr="00B538DE" w:rsidRDefault="00206218" w:rsidP="0030227A">
      <w:pPr>
        <w:pStyle w:val="BodyText"/>
        <w:spacing w:before="163"/>
        <w:ind w:left="119" w:right="388"/>
      </w:pPr>
      <w:r w:rsidRPr="00B538DE">
        <w:t xml:space="preserve">Consistent with </w:t>
      </w:r>
      <w:r w:rsidR="00780CAB" w:rsidRPr="00B538DE">
        <w:t>the limitation on Medicaid premiums and cost sharing set forth in</w:t>
      </w:r>
      <w:r w:rsidRPr="00B538DE">
        <w:t xml:space="preserve"> 42 CFR 447.56(f)</w:t>
      </w:r>
      <w:r w:rsidR="004C6ABC" w:rsidRPr="00B538DE">
        <w:t xml:space="preserve">, </w:t>
      </w:r>
      <w:r w:rsidR="00E43BD2" w:rsidRPr="00B538DE">
        <w:t xml:space="preserve">MassHealth </w:t>
      </w:r>
      <w:r w:rsidR="004C6ABC" w:rsidRPr="00B538DE">
        <w:t xml:space="preserve">premiums and cost sharing incurred by all individuals in the Medicaid </w:t>
      </w:r>
      <w:r w:rsidR="00E43BD2" w:rsidRPr="00B538DE">
        <w:t>or CHIP</w:t>
      </w:r>
      <w:r w:rsidR="004C6ABC" w:rsidRPr="00B538DE">
        <w:t xml:space="preserve"> household do not exceed an aggregate limit of 5% of the family’s income on a monthly basis. </w:t>
      </w:r>
    </w:p>
    <w:p w14:paraId="7D855DAD" w14:textId="77777777" w:rsidR="0030227A" w:rsidRPr="00B538DE" w:rsidRDefault="0030227A" w:rsidP="0030227A">
      <w:pPr>
        <w:pStyle w:val="BodyText"/>
        <w:spacing w:before="163"/>
        <w:ind w:left="119" w:right="388"/>
      </w:pPr>
    </w:p>
    <w:tbl>
      <w:tblPr>
        <w:tblW w:w="527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8"/>
        <w:gridCol w:w="2908"/>
        <w:gridCol w:w="5014"/>
      </w:tblGrid>
      <w:tr w:rsidR="002C2513" w:rsidRPr="00B538DE" w14:paraId="1187C1EB" w14:textId="77777777" w:rsidTr="00342979">
        <w:trPr>
          <w:trHeight w:hRule="exact" w:val="455"/>
          <w:tblHeader/>
        </w:trPr>
        <w:tc>
          <w:tcPr>
            <w:tcW w:w="5000" w:type="pct"/>
            <w:gridSpan w:val="3"/>
            <w:shd w:val="clear" w:color="auto" w:fill="D9E2F3" w:themeFill="accent1" w:themeFillTint="33"/>
            <w:vAlign w:val="center"/>
          </w:tcPr>
          <w:p w14:paraId="7249BA94" w14:textId="0C0C7C10" w:rsidR="002C2513" w:rsidRPr="00B538DE" w:rsidRDefault="002C2513" w:rsidP="0030227A">
            <w:pPr>
              <w:pStyle w:val="TableHeaderCenter"/>
            </w:pPr>
            <w:r w:rsidRPr="00B538DE">
              <w:t xml:space="preserve">Table 1: </w:t>
            </w:r>
            <w:r w:rsidR="00546D47" w:rsidRPr="00B538DE">
              <w:t xml:space="preserve">MassHealth </w:t>
            </w:r>
            <w:r w:rsidRPr="00B538DE">
              <w:t>Premiums and Co-payments by Coverage Type</w:t>
            </w:r>
          </w:p>
        </w:tc>
      </w:tr>
      <w:tr w:rsidR="009A0D3A" w:rsidRPr="00B538DE" w14:paraId="26B01C38" w14:textId="77777777" w:rsidTr="00CF1F8B">
        <w:trPr>
          <w:trHeight w:hRule="exact" w:val="1291"/>
          <w:tblHeader/>
        </w:trPr>
        <w:tc>
          <w:tcPr>
            <w:tcW w:w="987" w:type="pct"/>
            <w:shd w:val="clear" w:color="auto" w:fill="D9E2F3" w:themeFill="accent1" w:themeFillTint="33"/>
            <w:vAlign w:val="center"/>
          </w:tcPr>
          <w:p w14:paraId="0067AD36" w14:textId="6EE8ADEA" w:rsidR="0030227A" w:rsidRPr="00B538DE" w:rsidRDefault="0083570F" w:rsidP="0030227A">
            <w:pPr>
              <w:pStyle w:val="TableHeaderCenter"/>
            </w:pPr>
            <w:r w:rsidRPr="00B538DE">
              <w:t>Coverage Type</w:t>
            </w:r>
          </w:p>
        </w:tc>
        <w:tc>
          <w:tcPr>
            <w:tcW w:w="1473" w:type="pct"/>
            <w:shd w:val="clear" w:color="auto" w:fill="D9E2F3" w:themeFill="accent1" w:themeFillTint="33"/>
            <w:vAlign w:val="center"/>
          </w:tcPr>
          <w:p w14:paraId="246CB1BB" w14:textId="77777777" w:rsidR="0030227A" w:rsidRPr="00B538DE" w:rsidRDefault="00E43BD2" w:rsidP="0030227A">
            <w:pPr>
              <w:pStyle w:val="TableHeaderCenter"/>
            </w:pPr>
            <w:r w:rsidRPr="00B538DE">
              <w:t xml:space="preserve">MassHealth </w:t>
            </w:r>
            <w:r w:rsidR="0030227A" w:rsidRPr="00B538DE">
              <w:t>Premiums</w:t>
            </w:r>
          </w:p>
          <w:p w14:paraId="78EB26DA" w14:textId="1024008A" w:rsidR="0030227A" w:rsidRPr="00B538DE" w:rsidRDefault="0030227A" w:rsidP="0030227A">
            <w:pPr>
              <w:pStyle w:val="TableHeaderCenter"/>
            </w:pPr>
            <w:r w:rsidRPr="00B538DE">
              <w:t>(only for persons with family income above 150</w:t>
            </w:r>
            <w:r w:rsidR="00B538DE">
              <w:t xml:space="preserve">% </w:t>
            </w:r>
            <w:r w:rsidRPr="00B538DE">
              <w:t>FPL)</w:t>
            </w:r>
          </w:p>
        </w:tc>
        <w:tc>
          <w:tcPr>
            <w:tcW w:w="2540" w:type="pct"/>
            <w:shd w:val="clear" w:color="auto" w:fill="D9E2F3" w:themeFill="accent1" w:themeFillTint="33"/>
            <w:vAlign w:val="center"/>
          </w:tcPr>
          <w:p w14:paraId="703E7234" w14:textId="77777777" w:rsidR="0030227A" w:rsidRPr="00B538DE" w:rsidRDefault="00E43BD2" w:rsidP="0030227A">
            <w:pPr>
              <w:pStyle w:val="TableHeaderCenter"/>
            </w:pPr>
            <w:r w:rsidRPr="00B538DE">
              <w:t xml:space="preserve">MassHealth </w:t>
            </w:r>
            <w:r w:rsidR="0030227A" w:rsidRPr="00B538DE">
              <w:t>Co-payments</w:t>
            </w:r>
          </w:p>
        </w:tc>
      </w:tr>
      <w:tr w:rsidR="0030227A" w:rsidRPr="00B538DE" w14:paraId="754150FC" w14:textId="77777777" w:rsidTr="00CF1F8B">
        <w:trPr>
          <w:trHeight w:hRule="exact" w:val="1139"/>
        </w:trPr>
        <w:tc>
          <w:tcPr>
            <w:tcW w:w="987" w:type="pct"/>
            <w:vAlign w:val="center"/>
          </w:tcPr>
          <w:p w14:paraId="4D375667" w14:textId="77777777" w:rsidR="0030227A" w:rsidRPr="00B538DE" w:rsidRDefault="0030227A" w:rsidP="0030227A">
            <w:pPr>
              <w:pStyle w:val="TableText"/>
              <w:jc w:val="center"/>
            </w:pPr>
            <w:r w:rsidRPr="00B538DE">
              <w:t>MassHealth Standard/Standard ABP</w:t>
            </w:r>
          </w:p>
        </w:tc>
        <w:tc>
          <w:tcPr>
            <w:tcW w:w="1473" w:type="pct"/>
            <w:vAlign w:val="center"/>
          </w:tcPr>
          <w:p w14:paraId="5EFA80E3" w14:textId="77777777" w:rsidR="0030227A" w:rsidRPr="00B538DE" w:rsidRDefault="0030227A" w:rsidP="0030227A">
            <w:pPr>
              <w:pStyle w:val="TableText"/>
              <w:jc w:val="center"/>
            </w:pPr>
            <w:r w:rsidRPr="00B538DE">
              <w:t>$0</w:t>
            </w:r>
          </w:p>
        </w:tc>
        <w:tc>
          <w:tcPr>
            <w:tcW w:w="2540" w:type="pct"/>
            <w:vAlign w:val="center"/>
          </w:tcPr>
          <w:p w14:paraId="4B2F6BA4" w14:textId="6F64C9B0" w:rsidR="0030227A" w:rsidRPr="00B538DE" w:rsidRDefault="0030227A" w:rsidP="0030227A">
            <w:pPr>
              <w:pStyle w:val="TableText"/>
              <w:jc w:val="center"/>
            </w:pPr>
            <w:r w:rsidRPr="00B538DE">
              <w:t xml:space="preserve">All </w:t>
            </w:r>
            <w:r w:rsidR="009D7C5F" w:rsidRPr="00B538DE">
              <w:t>MassHealth</w:t>
            </w:r>
            <w:r w:rsidRPr="00B538DE">
              <w:t xml:space="preserve"> co-payments and co-payment caps are specified in the Medicaid state plan</w:t>
            </w:r>
          </w:p>
        </w:tc>
      </w:tr>
      <w:tr w:rsidR="0030227A" w:rsidRPr="00B538DE" w14:paraId="6DDC7A9A" w14:textId="77777777" w:rsidTr="00CF1F8B">
        <w:trPr>
          <w:trHeight w:hRule="exact" w:val="1044"/>
        </w:trPr>
        <w:tc>
          <w:tcPr>
            <w:tcW w:w="987" w:type="pct"/>
            <w:vAlign w:val="center"/>
          </w:tcPr>
          <w:p w14:paraId="65CCCEA7" w14:textId="77777777" w:rsidR="0030227A" w:rsidRPr="00B538DE" w:rsidRDefault="0030227A" w:rsidP="0030227A">
            <w:pPr>
              <w:pStyle w:val="TableText"/>
              <w:jc w:val="center"/>
            </w:pPr>
            <w:r w:rsidRPr="00B538DE">
              <w:t xml:space="preserve">MassHealth </w:t>
            </w:r>
            <w:proofErr w:type="spellStart"/>
            <w:r w:rsidRPr="00B538DE">
              <w:t>CarePlus</w:t>
            </w:r>
            <w:proofErr w:type="spellEnd"/>
          </w:p>
        </w:tc>
        <w:tc>
          <w:tcPr>
            <w:tcW w:w="1473" w:type="pct"/>
            <w:vAlign w:val="center"/>
          </w:tcPr>
          <w:p w14:paraId="7D20C74A" w14:textId="77777777" w:rsidR="0030227A" w:rsidRPr="00B538DE" w:rsidRDefault="0030227A" w:rsidP="0030227A">
            <w:pPr>
              <w:pStyle w:val="TableText"/>
              <w:jc w:val="center"/>
            </w:pPr>
            <w:r w:rsidRPr="00B538DE">
              <w:t>$0</w:t>
            </w:r>
          </w:p>
        </w:tc>
        <w:tc>
          <w:tcPr>
            <w:tcW w:w="2540" w:type="pct"/>
            <w:vAlign w:val="center"/>
          </w:tcPr>
          <w:p w14:paraId="6D8A4DED" w14:textId="089A637F" w:rsidR="0030227A" w:rsidRPr="00B538DE" w:rsidRDefault="001C3057" w:rsidP="0030227A">
            <w:pPr>
              <w:pStyle w:val="TableText"/>
              <w:jc w:val="center"/>
            </w:pPr>
            <w:r w:rsidRPr="00B538DE">
              <w:t xml:space="preserve">All </w:t>
            </w:r>
            <w:r w:rsidR="009D7C5F" w:rsidRPr="00B538DE">
              <w:t>MassHealth</w:t>
            </w:r>
            <w:r w:rsidRPr="00B538DE">
              <w:t xml:space="preserve"> co-payments and co-payment caps are specified in the Medicaid state plan</w:t>
            </w:r>
          </w:p>
        </w:tc>
      </w:tr>
      <w:tr w:rsidR="0030227A" w:rsidRPr="00B538DE" w14:paraId="12D50660" w14:textId="77777777" w:rsidTr="00CF1F8B">
        <w:trPr>
          <w:trHeight w:hRule="exact" w:val="883"/>
        </w:trPr>
        <w:tc>
          <w:tcPr>
            <w:tcW w:w="987" w:type="pct"/>
            <w:vAlign w:val="center"/>
          </w:tcPr>
          <w:p w14:paraId="3E584960" w14:textId="26FB64BD" w:rsidR="00865550" w:rsidRPr="00B538DE" w:rsidRDefault="0030227A" w:rsidP="0030227A">
            <w:pPr>
              <w:pStyle w:val="TableText"/>
              <w:jc w:val="center"/>
            </w:pPr>
            <w:r w:rsidRPr="00B538DE">
              <w:t>MassHealth Breast and Cervical Cancer Treatment Program</w:t>
            </w:r>
          </w:p>
          <w:p w14:paraId="502E9B55" w14:textId="77777777" w:rsidR="00865550" w:rsidRPr="00B538DE" w:rsidRDefault="00865550" w:rsidP="00865550">
            <w:pPr>
              <w:pStyle w:val="TableText"/>
              <w:jc w:val="center"/>
            </w:pPr>
          </w:p>
          <w:p w14:paraId="41DE3418" w14:textId="77777777" w:rsidR="00865550" w:rsidRPr="00B538DE" w:rsidRDefault="00865550" w:rsidP="00865550">
            <w:pPr>
              <w:pStyle w:val="TableText"/>
              <w:jc w:val="center"/>
            </w:pPr>
          </w:p>
          <w:p w14:paraId="6FC5EA6C" w14:textId="77777777" w:rsidR="00865550" w:rsidRPr="00B538DE" w:rsidRDefault="00865550" w:rsidP="00865550">
            <w:pPr>
              <w:pStyle w:val="TableText"/>
              <w:jc w:val="center"/>
            </w:pPr>
          </w:p>
          <w:p w14:paraId="15546BF9" w14:textId="04814F25" w:rsidR="0030227A" w:rsidRPr="00B538DE" w:rsidRDefault="0030227A" w:rsidP="00865550">
            <w:pPr>
              <w:pStyle w:val="TableText"/>
              <w:jc w:val="center"/>
            </w:pPr>
          </w:p>
        </w:tc>
        <w:tc>
          <w:tcPr>
            <w:tcW w:w="1473" w:type="pct"/>
            <w:vAlign w:val="center"/>
          </w:tcPr>
          <w:p w14:paraId="5C03C336" w14:textId="77777777" w:rsidR="0030227A" w:rsidRPr="00B538DE" w:rsidRDefault="00E43BD2" w:rsidP="0030227A">
            <w:pPr>
              <w:pStyle w:val="TableText"/>
              <w:jc w:val="center"/>
            </w:pPr>
            <w:r w:rsidRPr="00B538DE">
              <w:t xml:space="preserve">See Table 2: </w:t>
            </w:r>
            <w:r w:rsidR="0030227A" w:rsidRPr="00B538DE">
              <w:t>$15-$72 depending on income</w:t>
            </w:r>
          </w:p>
        </w:tc>
        <w:tc>
          <w:tcPr>
            <w:tcW w:w="2540" w:type="pct"/>
            <w:vAlign w:val="center"/>
          </w:tcPr>
          <w:p w14:paraId="1764D892" w14:textId="25E7AAAC" w:rsidR="0030227A" w:rsidRPr="00B538DE" w:rsidRDefault="001C3057" w:rsidP="0030227A">
            <w:pPr>
              <w:pStyle w:val="TableText"/>
              <w:jc w:val="center"/>
            </w:pPr>
            <w:r w:rsidRPr="00B538DE">
              <w:t xml:space="preserve">All </w:t>
            </w:r>
            <w:r w:rsidR="009D7C5F" w:rsidRPr="00B538DE">
              <w:t>MassHealth</w:t>
            </w:r>
            <w:r w:rsidRPr="00B538DE">
              <w:t xml:space="preserve"> co-payments and co-payment caps are specified in the Medicaid state plan</w:t>
            </w:r>
          </w:p>
        </w:tc>
      </w:tr>
      <w:tr w:rsidR="0030227A" w:rsidRPr="00B538DE" w14:paraId="4B47A635" w14:textId="77777777" w:rsidTr="00CF1F8B">
        <w:trPr>
          <w:trHeight w:hRule="exact" w:val="1864"/>
        </w:trPr>
        <w:tc>
          <w:tcPr>
            <w:tcW w:w="987" w:type="pct"/>
            <w:vAlign w:val="center"/>
          </w:tcPr>
          <w:p w14:paraId="1162403C" w14:textId="77777777" w:rsidR="0030227A" w:rsidRPr="00B538DE" w:rsidRDefault="0030227A" w:rsidP="0030227A">
            <w:pPr>
              <w:pStyle w:val="TableText"/>
              <w:jc w:val="center"/>
            </w:pPr>
            <w:r w:rsidRPr="00B538DE">
              <w:lastRenderedPageBreak/>
              <w:t>MassHealth CommonHealth</w:t>
            </w:r>
          </w:p>
        </w:tc>
        <w:tc>
          <w:tcPr>
            <w:tcW w:w="1473" w:type="pct"/>
            <w:vAlign w:val="center"/>
          </w:tcPr>
          <w:p w14:paraId="6249DCD4" w14:textId="77777777" w:rsidR="0030227A" w:rsidRPr="00B538DE" w:rsidRDefault="00E43BD2" w:rsidP="0030227A">
            <w:pPr>
              <w:pStyle w:val="TableText"/>
              <w:jc w:val="center"/>
            </w:pPr>
            <w:r w:rsidRPr="00B538DE">
              <w:t xml:space="preserve">See Table 3: </w:t>
            </w:r>
            <w:r w:rsidR="0030227A" w:rsidRPr="00B538DE">
              <w:t xml:space="preserve">$15 and above depending on income and family group </w:t>
            </w:r>
            <w:proofErr w:type="gramStart"/>
            <w:r w:rsidR="0030227A" w:rsidRPr="00B538DE">
              <w:t>size</w:t>
            </w:r>
            <w:proofErr w:type="gramEnd"/>
          </w:p>
          <w:p w14:paraId="6464F0DA" w14:textId="77777777" w:rsidR="00996DC8" w:rsidRPr="00B538DE" w:rsidRDefault="00996DC8" w:rsidP="0030227A">
            <w:pPr>
              <w:pStyle w:val="TableText"/>
              <w:jc w:val="center"/>
            </w:pPr>
          </w:p>
          <w:p w14:paraId="0146E97C" w14:textId="77777777" w:rsidR="0030227A" w:rsidRPr="00B538DE" w:rsidRDefault="00996DC8" w:rsidP="0030227A">
            <w:pPr>
              <w:pStyle w:val="TableText"/>
              <w:jc w:val="center"/>
            </w:pPr>
            <w:r w:rsidRPr="00B538DE">
              <w:t xml:space="preserve">See </w:t>
            </w:r>
            <w:r w:rsidR="00125244" w:rsidRPr="00B538DE">
              <w:t>T</w:t>
            </w:r>
            <w:r w:rsidRPr="00B538DE">
              <w:t>able 4: Supplemental Premium Formula for members</w:t>
            </w:r>
            <w:r w:rsidR="00F91A19" w:rsidRPr="00B538DE">
              <w:t xml:space="preserve"> with TPL</w:t>
            </w:r>
          </w:p>
        </w:tc>
        <w:tc>
          <w:tcPr>
            <w:tcW w:w="2540" w:type="pct"/>
            <w:vAlign w:val="center"/>
          </w:tcPr>
          <w:p w14:paraId="1877E98E" w14:textId="438B506A" w:rsidR="0030227A" w:rsidRPr="00B538DE" w:rsidRDefault="001C3057" w:rsidP="0030227A">
            <w:pPr>
              <w:pStyle w:val="TableText"/>
              <w:jc w:val="center"/>
            </w:pPr>
            <w:r w:rsidRPr="00B538DE">
              <w:t xml:space="preserve">All </w:t>
            </w:r>
            <w:r w:rsidR="009D7C5F" w:rsidRPr="00B538DE">
              <w:t>MassHealth</w:t>
            </w:r>
            <w:r w:rsidRPr="00B538DE">
              <w:t xml:space="preserve"> co-payments and co-payment caps are specified in the Medicaid state plan</w:t>
            </w:r>
          </w:p>
        </w:tc>
      </w:tr>
      <w:tr w:rsidR="0030227A" w:rsidRPr="00B538DE" w14:paraId="2E09FBAC" w14:textId="77777777" w:rsidTr="00CF1F8B">
        <w:trPr>
          <w:trHeight w:hRule="exact" w:val="2512"/>
        </w:trPr>
        <w:tc>
          <w:tcPr>
            <w:tcW w:w="987" w:type="pct"/>
            <w:vAlign w:val="center"/>
          </w:tcPr>
          <w:p w14:paraId="16C01862" w14:textId="77777777" w:rsidR="0030227A" w:rsidRPr="00B538DE" w:rsidRDefault="0030227A" w:rsidP="0030227A">
            <w:pPr>
              <w:pStyle w:val="TableText"/>
              <w:jc w:val="center"/>
            </w:pPr>
            <w:r w:rsidRPr="00B538DE">
              <w:t>CommonHealth Children through 300% FPL</w:t>
            </w:r>
          </w:p>
          <w:p w14:paraId="62743094" w14:textId="77777777" w:rsidR="0030227A" w:rsidRPr="00B538DE" w:rsidRDefault="0030227A" w:rsidP="0030227A">
            <w:pPr>
              <w:pStyle w:val="TableText"/>
              <w:jc w:val="center"/>
            </w:pPr>
          </w:p>
          <w:p w14:paraId="1E789AD3" w14:textId="77777777" w:rsidR="0030227A" w:rsidRPr="00B538DE" w:rsidRDefault="0030227A" w:rsidP="0030227A">
            <w:pPr>
              <w:pStyle w:val="TableText"/>
              <w:jc w:val="center"/>
            </w:pPr>
            <w:r w:rsidRPr="00B538DE">
              <w:t>Children with income above 300% FPL adhere to the regular CommonHealth schedule</w:t>
            </w:r>
            <w:r w:rsidR="00996DC8" w:rsidRPr="00B538DE">
              <w:t xml:space="preserve"> in Table 3</w:t>
            </w:r>
          </w:p>
        </w:tc>
        <w:tc>
          <w:tcPr>
            <w:tcW w:w="1473" w:type="pct"/>
            <w:vAlign w:val="center"/>
          </w:tcPr>
          <w:p w14:paraId="52E51236" w14:textId="4AD7CFFB" w:rsidR="0030227A" w:rsidRPr="00B538DE" w:rsidRDefault="00125244" w:rsidP="007A4873">
            <w:pPr>
              <w:pStyle w:val="TableText"/>
              <w:jc w:val="center"/>
            </w:pPr>
            <w:r w:rsidRPr="00B538DE">
              <w:t xml:space="preserve">See Table 5: </w:t>
            </w:r>
            <w:r w:rsidR="0030227A" w:rsidRPr="00B538DE">
              <w:t>$12-$84 depending on income and family</w:t>
            </w:r>
            <w:r w:rsidR="0030227A" w:rsidRPr="00B538DE">
              <w:rPr>
                <w:spacing w:val="-14"/>
              </w:rPr>
              <w:t xml:space="preserve"> </w:t>
            </w:r>
            <w:r w:rsidR="0030227A" w:rsidRPr="00B538DE">
              <w:t>group size</w:t>
            </w:r>
          </w:p>
        </w:tc>
        <w:tc>
          <w:tcPr>
            <w:tcW w:w="2540" w:type="pct"/>
            <w:vAlign w:val="center"/>
          </w:tcPr>
          <w:p w14:paraId="22A486C4" w14:textId="6565E845" w:rsidR="0030227A" w:rsidRPr="00B538DE" w:rsidRDefault="00077DE1" w:rsidP="007A4873">
            <w:pPr>
              <w:pStyle w:val="TableText"/>
              <w:jc w:val="center"/>
            </w:pPr>
            <w:r w:rsidRPr="00B538DE">
              <w:t xml:space="preserve">N/A as children are exempt from </w:t>
            </w:r>
            <w:r w:rsidR="009D7C5F" w:rsidRPr="00B538DE">
              <w:t xml:space="preserve">MassHealth </w:t>
            </w:r>
            <w:r w:rsidRPr="00B538DE">
              <w:t xml:space="preserve">copayments </w:t>
            </w:r>
            <w:r w:rsidR="001C3057" w:rsidRPr="00B538DE" w:rsidDel="00BD1A64">
              <w:t xml:space="preserve"> </w:t>
            </w:r>
          </w:p>
        </w:tc>
      </w:tr>
      <w:tr w:rsidR="0030227A" w:rsidRPr="00B538DE" w14:paraId="3F97D096" w14:textId="77777777" w:rsidTr="00CF1F8B">
        <w:trPr>
          <w:trHeight w:hRule="exact" w:val="1621"/>
        </w:trPr>
        <w:tc>
          <w:tcPr>
            <w:tcW w:w="987" w:type="pct"/>
            <w:vAlign w:val="center"/>
          </w:tcPr>
          <w:p w14:paraId="5008B65F" w14:textId="77777777" w:rsidR="0030227A" w:rsidRPr="00B538DE" w:rsidRDefault="0030227A" w:rsidP="00650A17">
            <w:pPr>
              <w:pStyle w:val="TableText"/>
              <w:jc w:val="center"/>
            </w:pPr>
            <w:r w:rsidRPr="00B538DE">
              <w:t>MassHealth Family</w:t>
            </w:r>
          </w:p>
          <w:p w14:paraId="79493FE3" w14:textId="77777777" w:rsidR="0030227A" w:rsidRPr="00B538DE" w:rsidRDefault="0030227A" w:rsidP="00650A17">
            <w:pPr>
              <w:pStyle w:val="TableText"/>
              <w:jc w:val="center"/>
            </w:pPr>
            <w:r w:rsidRPr="00B538DE">
              <w:t>Assistance: HIV/AIDS</w:t>
            </w:r>
          </w:p>
        </w:tc>
        <w:tc>
          <w:tcPr>
            <w:tcW w:w="1473" w:type="pct"/>
            <w:vAlign w:val="center"/>
          </w:tcPr>
          <w:p w14:paraId="0A2668D6" w14:textId="1289C993" w:rsidR="0030227A" w:rsidRPr="00B538DE" w:rsidRDefault="00546D47" w:rsidP="00650A17">
            <w:pPr>
              <w:pStyle w:val="TableText"/>
              <w:jc w:val="center"/>
            </w:pPr>
            <w:r w:rsidRPr="00B538DE">
              <w:t xml:space="preserve">See Table 6: </w:t>
            </w:r>
            <w:r w:rsidR="0030227A" w:rsidRPr="00B538DE">
              <w:t xml:space="preserve">$15-$35 depending on </w:t>
            </w:r>
            <w:proofErr w:type="gramStart"/>
            <w:r w:rsidR="0030227A" w:rsidRPr="00B538DE">
              <w:t>income</w:t>
            </w:r>
            <w:proofErr w:type="gramEnd"/>
          </w:p>
          <w:p w14:paraId="0ABBBEC7" w14:textId="77777777" w:rsidR="00546D47" w:rsidRPr="00B538DE" w:rsidRDefault="00546D47" w:rsidP="00650A17">
            <w:pPr>
              <w:pStyle w:val="TableText"/>
              <w:jc w:val="center"/>
            </w:pPr>
          </w:p>
          <w:p w14:paraId="0A24DE74" w14:textId="77777777" w:rsidR="0030227A" w:rsidRPr="00B538DE" w:rsidRDefault="00546D47" w:rsidP="00650A17">
            <w:pPr>
              <w:pStyle w:val="TableText"/>
              <w:jc w:val="center"/>
            </w:pPr>
            <w:r w:rsidRPr="00B538DE">
              <w:t>See Table 7: Supplemental Premium Formula for members with TPL</w:t>
            </w:r>
          </w:p>
        </w:tc>
        <w:tc>
          <w:tcPr>
            <w:tcW w:w="2540" w:type="pct"/>
            <w:vAlign w:val="center"/>
          </w:tcPr>
          <w:p w14:paraId="4376CCB3" w14:textId="118C7935" w:rsidR="0030227A" w:rsidRPr="00B538DE" w:rsidRDefault="001C3057" w:rsidP="00650A17">
            <w:pPr>
              <w:pStyle w:val="TableText"/>
              <w:jc w:val="center"/>
            </w:pPr>
            <w:r w:rsidRPr="00B538DE">
              <w:t xml:space="preserve">All </w:t>
            </w:r>
            <w:r w:rsidR="009D7C5F" w:rsidRPr="00B538DE">
              <w:t>MassHealth</w:t>
            </w:r>
            <w:r w:rsidRPr="00B538DE">
              <w:t xml:space="preserve"> co-payments and co-payment caps are specified in the Medicaid state plan</w:t>
            </w:r>
          </w:p>
        </w:tc>
      </w:tr>
      <w:tr w:rsidR="0030227A" w:rsidRPr="00B538DE" w14:paraId="3A6CDE0B" w14:textId="77777777" w:rsidTr="00CF1F8B">
        <w:trPr>
          <w:trHeight w:hRule="exact" w:val="1585"/>
        </w:trPr>
        <w:tc>
          <w:tcPr>
            <w:tcW w:w="987" w:type="pct"/>
            <w:vAlign w:val="center"/>
          </w:tcPr>
          <w:p w14:paraId="3E29D100" w14:textId="77777777" w:rsidR="0030227A" w:rsidRPr="00B538DE" w:rsidRDefault="0030227A" w:rsidP="00650A17">
            <w:pPr>
              <w:pStyle w:val="TableText"/>
              <w:jc w:val="center"/>
            </w:pPr>
            <w:r w:rsidRPr="00B538DE">
              <w:t>MassHealth Family</w:t>
            </w:r>
          </w:p>
          <w:p w14:paraId="6543C3EA" w14:textId="48946A98" w:rsidR="0030227A" w:rsidRPr="00B538DE" w:rsidRDefault="0030227A" w:rsidP="00650A17">
            <w:pPr>
              <w:pStyle w:val="TableText"/>
              <w:jc w:val="center"/>
            </w:pPr>
            <w:r w:rsidRPr="00B538DE">
              <w:t>Assistance</w:t>
            </w:r>
            <w:r w:rsidR="00525825" w:rsidRPr="00B538DE">
              <w:t xml:space="preserve"> for children</w:t>
            </w:r>
            <w:r w:rsidRPr="00B538DE">
              <w:t xml:space="preserve"> </w:t>
            </w:r>
          </w:p>
        </w:tc>
        <w:tc>
          <w:tcPr>
            <w:tcW w:w="1473" w:type="pct"/>
            <w:vAlign w:val="center"/>
          </w:tcPr>
          <w:p w14:paraId="73BFDCD1" w14:textId="0DFC656A" w:rsidR="0030227A" w:rsidRPr="00B538DE" w:rsidRDefault="00125244" w:rsidP="00650A17">
            <w:pPr>
              <w:pStyle w:val="TableText"/>
              <w:jc w:val="center"/>
            </w:pPr>
            <w:r w:rsidRPr="00B538DE">
              <w:t xml:space="preserve">See Table 5: </w:t>
            </w:r>
            <w:r w:rsidR="0030227A" w:rsidRPr="00B538DE">
              <w:t>$12</w:t>
            </w:r>
            <w:r w:rsidR="003F058C" w:rsidRPr="00B538DE">
              <w:t xml:space="preserve"> </w:t>
            </w:r>
            <w:r w:rsidR="00070EF0" w:rsidRPr="00B538DE">
              <w:t>- $28</w:t>
            </w:r>
            <w:r w:rsidR="0030227A" w:rsidRPr="00B538DE">
              <w:t xml:space="preserve"> per child, $36 </w:t>
            </w:r>
            <w:r w:rsidR="00070EF0" w:rsidRPr="00B538DE">
              <w:t xml:space="preserve">- $84 </w:t>
            </w:r>
            <w:r w:rsidR="0030227A" w:rsidRPr="00B538DE">
              <w:t>max per family group</w:t>
            </w:r>
            <w:r w:rsidR="00070EF0" w:rsidRPr="00B538DE">
              <w:t xml:space="preserve"> depending on income</w:t>
            </w:r>
          </w:p>
        </w:tc>
        <w:tc>
          <w:tcPr>
            <w:tcW w:w="2540" w:type="pct"/>
            <w:vAlign w:val="center"/>
          </w:tcPr>
          <w:p w14:paraId="228744F3" w14:textId="6DBC307D" w:rsidR="0030227A" w:rsidRPr="00B538DE" w:rsidRDefault="009D7C5F" w:rsidP="00BC3BE5">
            <w:pPr>
              <w:pStyle w:val="TableText"/>
              <w:jc w:val="center"/>
            </w:pPr>
            <w:r w:rsidRPr="00B538DE">
              <w:t xml:space="preserve">N/A as children are exempt from MassHealth copayments </w:t>
            </w:r>
          </w:p>
        </w:tc>
      </w:tr>
      <w:tr w:rsidR="00E43BD2" w:rsidRPr="00B538DE" w14:paraId="2A2449B0" w14:textId="77777777" w:rsidTr="00B538DE">
        <w:trPr>
          <w:trHeight w:hRule="exact" w:val="1073"/>
        </w:trPr>
        <w:tc>
          <w:tcPr>
            <w:tcW w:w="987" w:type="pct"/>
            <w:vAlign w:val="center"/>
          </w:tcPr>
          <w:p w14:paraId="4EA626B1" w14:textId="6B62B739" w:rsidR="00E43BD2" w:rsidRPr="00B538DE" w:rsidRDefault="00E43BD2" w:rsidP="00B538DE">
            <w:pPr>
              <w:pStyle w:val="TableText"/>
              <w:jc w:val="center"/>
            </w:pPr>
            <w:r w:rsidRPr="00B538DE">
              <w:t>All coverage types with TPL</w:t>
            </w:r>
          </w:p>
        </w:tc>
        <w:tc>
          <w:tcPr>
            <w:tcW w:w="1473" w:type="pct"/>
            <w:vAlign w:val="center"/>
          </w:tcPr>
          <w:p w14:paraId="57272DC4" w14:textId="6AC4C8CD" w:rsidR="00E43BD2" w:rsidRPr="00B538DE" w:rsidRDefault="00E43BD2" w:rsidP="00650A17">
            <w:pPr>
              <w:pStyle w:val="TableText"/>
              <w:jc w:val="center"/>
            </w:pPr>
            <w:r w:rsidRPr="00B538DE">
              <w:t xml:space="preserve">Member is responsible for </w:t>
            </w:r>
            <w:r w:rsidR="00FD577F" w:rsidRPr="00B538DE">
              <w:t>any</w:t>
            </w:r>
            <w:r w:rsidR="004676B7" w:rsidRPr="00B538DE">
              <w:t xml:space="preserve"> </w:t>
            </w:r>
            <w:r w:rsidRPr="00B538DE">
              <w:t>premiums required under private insurance</w:t>
            </w:r>
            <w:r w:rsidR="004676B7" w:rsidRPr="00B538DE">
              <w:t xml:space="preserve"> </w:t>
            </w:r>
            <w:r w:rsidR="00FD577F" w:rsidRPr="00B538DE">
              <w:t>but</w:t>
            </w:r>
            <w:r w:rsidRPr="00B538DE">
              <w:t xml:space="preserve"> may qualify for MassHealth premium assistance</w:t>
            </w:r>
          </w:p>
        </w:tc>
        <w:tc>
          <w:tcPr>
            <w:tcW w:w="2540" w:type="pct"/>
            <w:vAlign w:val="center"/>
          </w:tcPr>
          <w:p w14:paraId="15138D66" w14:textId="1AFB6E89" w:rsidR="00E43BD2" w:rsidRPr="00B538DE" w:rsidRDefault="00E43BD2" w:rsidP="00650A17">
            <w:pPr>
              <w:pStyle w:val="TableText"/>
              <w:jc w:val="center"/>
            </w:pPr>
            <w:r w:rsidRPr="00B538DE">
              <w:t xml:space="preserve">Member is responsible for </w:t>
            </w:r>
            <w:r w:rsidR="00131106" w:rsidRPr="00B538DE">
              <w:t>any</w:t>
            </w:r>
            <w:r w:rsidRPr="00B538DE">
              <w:t xml:space="preserve"> co-payments required under private insurance</w:t>
            </w:r>
          </w:p>
        </w:tc>
      </w:tr>
    </w:tbl>
    <w:p w14:paraId="739021D9" w14:textId="2D07EB28" w:rsidR="00E43BD2" w:rsidRPr="00F8080A" w:rsidRDefault="00B118AC" w:rsidP="00F8080A">
      <w:pPr>
        <w:widowControl/>
        <w:autoSpaceDE/>
        <w:autoSpaceDN/>
        <w:spacing w:after="160" w:line="259" w:lineRule="auto"/>
        <w:rPr>
          <w:sz w:val="24"/>
          <w:szCs w:val="24"/>
        </w:rPr>
      </w:pPr>
      <w:r w:rsidRPr="00B538DE">
        <w:br w:type="page"/>
      </w:r>
    </w:p>
    <w:tbl>
      <w:tblPr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6"/>
        <w:gridCol w:w="3654"/>
      </w:tblGrid>
      <w:tr w:rsidR="00650A17" w:rsidRPr="00B538DE" w14:paraId="230FE033" w14:textId="77777777" w:rsidTr="00342979">
        <w:trPr>
          <w:trHeight w:hRule="exact" w:val="432"/>
        </w:trPr>
        <w:tc>
          <w:tcPr>
            <w:tcW w:w="8010" w:type="dxa"/>
            <w:gridSpan w:val="2"/>
            <w:shd w:val="clear" w:color="auto" w:fill="D9E2F3" w:themeFill="accent1" w:themeFillTint="33"/>
          </w:tcPr>
          <w:p w14:paraId="5B032784" w14:textId="4D7305B4" w:rsidR="00650A17" w:rsidRPr="00B538DE" w:rsidRDefault="002C2513" w:rsidP="00B538DE">
            <w:pPr>
              <w:pStyle w:val="TableHeaderCenter"/>
            </w:pPr>
            <w:r w:rsidRPr="00B538DE">
              <w:lastRenderedPageBreak/>
              <w:t xml:space="preserve">Table 2: </w:t>
            </w:r>
            <w:r w:rsidR="00650A17" w:rsidRPr="00B538DE">
              <w:t>Breast and Cervical Cancer Treatment Program Premium Schedule</w:t>
            </w:r>
          </w:p>
        </w:tc>
      </w:tr>
      <w:tr w:rsidR="00650A17" w:rsidRPr="00B538DE" w14:paraId="0300F816" w14:textId="77777777" w:rsidTr="00342979">
        <w:trPr>
          <w:trHeight w:hRule="exact" w:val="361"/>
        </w:trPr>
        <w:tc>
          <w:tcPr>
            <w:tcW w:w="4356" w:type="dxa"/>
            <w:shd w:val="clear" w:color="auto" w:fill="D9E2F3" w:themeFill="accent1" w:themeFillTint="33"/>
          </w:tcPr>
          <w:p w14:paraId="3318D7EC" w14:textId="77777777" w:rsidR="00650A17" w:rsidRPr="00B538DE" w:rsidRDefault="00650A17" w:rsidP="00650A17">
            <w:pPr>
              <w:pStyle w:val="TableHeaderCenter"/>
            </w:pPr>
            <w:r w:rsidRPr="00B538DE">
              <w:t>Percent of FPL</w:t>
            </w:r>
          </w:p>
        </w:tc>
        <w:tc>
          <w:tcPr>
            <w:tcW w:w="3654" w:type="dxa"/>
            <w:shd w:val="clear" w:color="auto" w:fill="D9E2F3" w:themeFill="accent1" w:themeFillTint="33"/>
          </w:tcPr>
          <w:p w14:paraId="5B2058F1" w14:textId="77777777" w:rsidR="00650A17" w:rsidRPr="00B538DE" w:rsidRDefault="00650A17" w:rsidP="00650A17">
            <w:pPr>
              <w:pStyle w:val="TableHeaderCenter"/>
            </w:pPr>
            <w:r w:rsidRPr="00B538DE">
              <w:t>Premium Cost</w:t>
            </w:r>
          </w:p>
        </w:tc>
      </w:tr>
      <w:tr w:rsidR="00650A17" w:rsidRPr="00B538DE" w14:paraId="1E387714" w14:textId="77777777" w:rsidTr="00342979">
        <w:trPr>
          <w:trHeight w:hRule="exact" w:val="288"/>
        </w:trPr>
        <w:tc>
          <w:tcPr>
            <w:tcW w:w="4356" w:type="dxa"/>
            <w:vAlign w:val="center"/>
          </w:tcPr>
          <w:p w14:paraId="573A11FF" w14:textId="77777777" w:rsidR="00650A17" w:rsidRPr="00B538DE" w:rsidRDefault="00650A17" w:rsidP="00650A17">
            <w:pPr>
              <w:pStyle w:val="TableText"/>
              <w:jc w:val="center"/>
            </w:pPr>
            <w:r w:rsidRPr="00B538DE">
              <w:t>Above 150 to 160</w:t>
            </w:r>
          </w:p>
        </w:tc>
        <w:tc>
          <w:tcPr>
            <w:tcW w:w="3654" w:type="dxa"/>
            <w:vAlign w:val="center"/>
          </w:tcPr>
          <w:p w14:paraId="69D151B5" w14:textId="77777777" w:rsidR="00650A17" w:rsidRPr="00B538DE" w:rsidRDefault="00650A17" w:rsidP="00650A17">
            <w:pPr>
              <w:pStyle w:val="TableText"/>
              <w:jc w:val="center"/>
            </w:pPr>
            <w:r w:rsidRPr="00B538DE">
              <w:t>$15</w:t>
            </w:r>
          </w:p>
        </w:tc>
      </w:tr>
      <w:tr w:rsidR="00650A17" w:rsidRPr="00B538DE" w14:paraId="024AE942" w14:textId="77777777" w:rsidTr="00342979">
        <w:trPr>
          <w:trHeight w:hRule="exact" w:val="286"/>
        </w:trPr>
        <w:tc>
          <w:tcPr>
            <w:tcW w:w="4356" w:type="dxa"/>
            <w:vAlign w:val="center"/>
          </w:tcPr>
          <w:p w14:paraId="773D0A70" w14:textId="77777777" w:rsidR="00650A17" w:rsidRPr="00B538DE" w:rsidRDefault="00650A17" w:rsidP="00650A17">
            <w:pPr>
              <w:pStyle w:val="TableText"/>
              <w:jc w:val="center"/>
            </w:pPr>
            <w:r w:rsidRPr="00B538DE">
              <w:t>Above 160 to 170</w:t>
            </w:r>
          </w:p>
        </w:tc>
        <w:tc>
          <w:tcPr>
            <w:tcW w:w="3654" w:type="dxa"/>
            <w:vAlign w:val="center"/>
          </w:tcPr>
          <w:p w14:paraId="7BC65229" w14:textId="77777777" w:rsidR="00650A17" w:rsidRPr="00B538DE" w:rsidRDefault="00650A17" w:rsidP="00650A17">
            <w:pPr>
              <w:pStyle w:val="TableText"/>
              <w:jc w:val="center"/>
            </w:pPr>
            <w:r w:rsidRPr="00B538DE">
              <w:t>$20</w:t>
            </w:r>
          </w:p>
        </w:tc>
      </w:tr>
      <w:tr w:rsidR="00650A17" w:rsidRPr="00B538DE" w14:paraId="1710802B" w14:textId="77777777" w:rsidTr="00342979">
        <w:trPr>
          <w:trHeight w:hRule="exact" w:val="286"/>
        </w:trPr>
        <w:tc>
          <w:tcPr>
            <w:tcW w:w="4356" w:type="dxa"/>
            <w:vAlign w:val="center"/>
          </w:tcPr>
          <w:p w14:paraId="0EE32DEB" w14:textId="77777777" w:rsidR="00650A17" w:rsidRPr="00B538DE" w:rsidRDefault="00650A17" w:rsidP="00650A17">
            <w:pPr>
              <w:pStyle w:val="TableText"/>
              <w:jc w:val="center"/>
            </w:pPr>
            <w:r w:rsidRPr="00B538DE">
              <w:t>Above 170 to 180</w:t>
            </w:r>
          </w:p>
        </w:tc>
        <w:tc>
          <w:tcPr>
            <w:tcW w:w="3654" w:type="dxa"/>
            <w:vAlign w:val="center"/>
          </w:tcPr>
          <w:p w14:paraId="3C6558E8" w14:textId="77777777" w:rsidR="00650A17" w:rsidRPr="00B538DE" w:rsidRDefault="00650A17" w:rsidP="00650A17">
            <w:pPr>
              <w:pStyle w:val="TableText"/>
              <w:jc w:val="center"/>
            </w:pPr>
            <w:r w:rsidRPr="00B538DE">
              <w:t>$25</w:t>
            </w:r>
          </w:p>
        </w:tc>
      </w:tr>
      <w:tr w:rsidR="00650A17" w:rsidRPr="00B538DE" w14:paraId="27FD96CC" w14:textId="77777777" w:rsidTr="00342979">
        <w:trPr>
          <w:trHeight w:hRule="exact" w:val="286"/>
        </w:trPr>
        <w:tc>
          <w:tcPr>
            <w:tcW w:w="4356" w:type="dxa"/>
            <w:vAlign w:val="center"/>
          </w:tcPr>
          <w:p w14:paraId="6F11BAD3" w14:textId="77777777" w:rsidR="00650A17" w:rsidRPr="00B538DE" w:rsidRDefault="00650A17" w:rsidP="00650A17">
            <w:pPr>
              <w:pStyle w:val="TableText"/>
              <w:jc w:val="center"/>
            </w:pPr>
            <w:r w:rsidRPr="00B538DE">
              <w:t>Above 180 to 190</w:t>
            </w:r>
          </w:p>
        </w:tc>
        <w:tc>
          <w:tcPr>
            <w:tcW w:w="3654" w:type="dxa"/>
            <w:vAlign w:val="center"/>
          </w:tcPr>
          <w:p w14:paraId="16391C41" w14:textId="77777777" w:rsidR="00650A17" w:rsidRPr="00B538DE" w:rsidRDefault="00650A17" w:rsidP="00650A17">
            <w:pPr>
              <w:pStyle w:val="TableText"/>
              <w:jc w:val="center"/>
            </w:pPr>
            <w:r w:rsidRPr="00B538DE">
              <w:t>$30</w:t>
            </w:r>
          </w:p>
        </w:tc>
      </w:tr>
      <w:tr w:rsidR="00650A17" w:rsidRPr="00B538DE" w14:paraId="39C5F405" w14:textId="77777777" w:rsidTr="00342979">
        <w:trPr>
          <w:trHeight w:hRule="exact" w:val="286"/>
        </w:trPr>
        <w:tc>
          <w:tcPr>
            <w:tcW w:w="4356" w:type="dxa"/>
            <w:vAlign w:val="center"/>
          </w:tcPr>
          <w:p w14:paraId="468ED7E4" w14:textId="77777777" w:rsidR="00650A17" w:rsidRPr="00B538DE" w:rsidRDefault="00650A17" w:rsidP="00650A17">
            <w:pPr>
              <w:pStyle w:val="TableText"/>
              <w:jc w:val="center"/>
            </w:pPr>
            <w:r w:rsidRPr="00B538DE">
              <w:t>Above 190 to 200</w:t>
            </w:r>
          </w:p>
        </w:tc>
        <w:tc>
          <w:tcPr>
            <w:tcW w:w="3654" w:type="dxa"/>
            <w:vAlign w:val="center"/>
          </w:tcPr>
          <w:p w14:paraId="70FD201D" w14:textId="77777777" w:rsidR="00650A17" w:rsidRPr="00B538DE" w:rsidRDefault="00650A17" w:rsidP="00650A17">
            <w:pPr>
              <w:pStyle w:val="TableText"/>
              <w:jc w:val="center"/>
            </w:pPr>
            <w:r w:rsidRPr="00B538DE">
              <w:t>$35</w:t>
            </w:r>
          </w:p>
        </w:tc>
      </w:tr>
      <w:tr w:rsidR="00650A17" w:rsidRPr="00B538DE" w14:paraId="315E02AB" w14:textId="77777777" w:rsidTr="00342979">
        <w:trPr>
          <w:trHeight w:hRule="exact" w:val="288"/>
        </w:trPr>
        <w:tc>
          <w:tcPr>
            <w:tcW w:w="4356" w:type="dxa"/>
            <w:vAlign w:val="center"/>
          </w:tcPr>
          <w:p w14:paraId="7A2F247A" w14:textId="77777777" w:rsidR="00650A17" w:rsidRPr="00B538DE" w:rsidRDefault="00650A17" w:rsidP="00650A17">
            <w:pPr>
              <w:pStyle w:val="TableText"/>
              <w:jc w:val="center"/>
            </w:pPr>
            <w:r w:rsidRPr="00B538DE">
              <w:t>Above 200 to 210</w:t>
            </w:r>
          </w:p>
        </w:tc>
        <w:tc>
          <w:tcPr>
            <w:tcW w:w="3654" w:type="dxa"/>
            <w:vAlign w:val="center"/>
          </w:tcPr>
          <w:p w14:paraId="7D975327" w14:textId="77777777" w:rsidR="00650A17" w:rsidRPr="00B538DE" w:rsidRDefault="00650A17" w:rsidP="00650A17">
            <w:pPr>
              <w:pStyle w:val="TableText"/>
              <w:jc w:val="center"/>
            </w:pPr>
            <w:r w:rsidRPr="00B538DE">
              <w:t>$40</w:t>
            </w:r>
          </w:p>
        </w:tc>
      </w:tr>
      <w:tr w:rsidR="00650A17" w:rsidRPr="00B538DE" w14:paraId="2B36A36B" w14:textId="77777777" w:rsidTr="00342979">
        <w:trPr>
          <w:trHeight w:hRule="exact" w:val="288"/>
        </w:trPr>
        <w:tc>
          <w:tcPr>
            <w:tcW w:w="4356" w:type="dxa"/>
            <w:vAlign w:val="center"/>
          </w:tcPr>
          <w:p w14:paraId="7E992B91" w14:textId="77777777" w:rsidR="00650A17" w:rsidRPr="00B538DE" w:rsidRDefault="00650A17" w:rsidP="00650A17">
            <w:pPr>
              <w:pStyle w:val="TableText"/>
              <w:jc w:val="center"/>
            </w:pPr>
            <w:r w:rsidRPr="00B538DE">
              <w:t>Above 210 to 220</w:t>
            </w:r>
          </w:p>
        </w:tc>
        <w:tc>
          <w:tcPr>
            <w:tcW w:w="3654" w:type="dxa"/>
            <w:vAlign w:val="center"/>
          </w:tcPr>
          <w:p w14:paraId="55294486" w14:textId="77777777" w:rsidR="00650A17" w:rsidRPr="00B538DE" w:rsidRDefault="00650A17" w:rsidP="00650A17">
            <w:pPr>
              <w:pStyle w:val="TableText"/>
              <w:jc w:val="center"/>
            </w:pPr>
            <w:r w:rsidRPr="00B538DE">
              <w:t>$48</w:t>
            </w:r>
          </w:p>
        </w:tc>
      </w:tr>
      <w:tr w:rsidR="00650A17" w:rsidRPr="00B538DE" w14:paraId="346912A2" w14:textId="77777777" w:rsidTr="00342979">
        <w:trPr>
          <w:trHeight w:hRule="exact" w:val="286"/>
        </w:trPr>
        <w:tc>
          <w:tcPr>
            <w:tcW w:w="4356" w:type="dxa"/>
            <w:vAlign w:val="center"/>
          </w:tcPr>
          <w:p w14:paraId="6A28186F" w14:textId="77777777" w:rsidR="00650A17" w:rsidRPr="00B538DE" w:rsidRDefault="00650A17" w:rsidP="00650A17">
            <w:pPr>
              <w:pStyle w:val="TableText"/>
              <w:jc w:val="center"/>
            </w:pPr>
            <w:r w:rsidRPr="00B538DE">
              <w:t>Above 220 to 230</w:t>
            </w:r>
          </w:p>
        </w:tc>
        <w:tc>
          <w:tcPr>
            <w:tcW w:w="3654" w:type="dxa"/>
            <w:vAlign w:val="center"/>
          </w:tcPr>
          <w:p w14:paraId="1F3E4EFD" w14:textId="77777777" w:rsidR="00650A17" w:rsidRPr="00B538DE" w:rsidRDefault="00650A17" w:rsidP="00650A17">
            <w:pPr>
              <w:pStyle w:val="TableText"/>
              <w:jc w:val="center"/>
            </w:pPr>
            <w:r w:rsidRPr="00B538DE">
              <w:t>$56</w:t>
            </w:r>
          </w:p>
        </w:tc>
      </w:tr>
      <w:tr w:rsidR="00650A17" w:rsidRPr="00B538DE" w14:paraId="7846F916" w14:textId="77777777" w:rsidTr="00342979">
        <w:trPr>
          <w:trHeight w:hRule="exact" w:val="286"/>
        </w:trPr>
        <w:tc>
          <w:tcPr>
            <w:tcW w:w="4356" w:type="dxa"/>
            <w:vAlign w:val="center"/>
          </w:tcPr>
          <w:p w14:paraId="3DFC98B5" w14:textId="77777777" w:rsidR="00650A17" w:rsidRPr="00B538DE" w:rsidRDefault="00650A17" w:rsidP="00650A17">
            <w:pPr>
              <w:pStyle w:val="TableText"/>
              <w:jc w:val="center"/>
            </w:pPr>
            <w:r w:rsidRPr="00B538DE">
              <w:t>Above 230 to 240</w:t>
            </w:r>
          </w:p>
        </w:tc>
        <w:tc>
          <w:tcPr>
            <w:tcW w:w="3654" w:type="dxa"/>
            <w:vAlign w:val="center"/>
          </w:tcPr>
          <w:p w14:paraId="1E7B3903" w14:textId="77777777" w:rsidR="00650A17" w:rsidRPr="00B538DE" w:rsidRDefault="00650A17" w:rsidP="00650A17">
            <w:pPr>
              <w:pStyle w:val="TableText"/>
              <w:jc w:val="center"/>
            </w:pPr>
            <w:r w:rsidRPr="00B538DE">
              <w:t>$64</w:t>
            </w:r>
          </w:p>
        </w:tc>
      </w:tr>
      <w:tr w:rsidR="00650A17" w:rsidRPr="00B538DE" w14:paraId="630F3D52" w14:textId="77777777" w:rsidTr="00342979">
        <w:trPr>
          <w:trHeight w:hRule="exact" w:val="286"/>
        </w:trPr>
        <w:tc>
          <w:tcPr>
            <w:tcW w:w="4356" w:type="dxa"/>
            <w:vAlign w:val="center"/>
          </w:tcPr>
          <w:p w14:paraId="55CEA864" w14:textId="77777777" w:rsidR="00650A17" w:rsidRPr="00B538DE" w:rsidRDefault="00650A17" w:rsidP="00650A17">
            <w:pPr>
              <w:pStyle w:val="TableText"/>
              <w:jc w:val="center"/>
            </w:pPr>
            <w:r w:rsidRPr="00B538DE">
              <w:t>Above 240 to 250</w:t>
            </w:r>
          </w:p>
        </w:tc>
        <w:tc>
          <w:tcPr>
            <w:tcW w:w="3654" w:type="dxa"/>
            <w:vAlign w:val="center"/>
          </w:tcPr>
          <w:p w14:paraId="741EF7A4" w14:textId="77777777" w:rsidR="00650A17" w:rsidRPr="00B538DE" w:rsidRDefault="00650A17" w:rsidP="00650A17">
            <w:pPr>
              <w:pStyle w:val="TableText"/>
              <w:jc w:val="center"/>
            </w:pPr>
            <w:r w:rsidRPr="00B538DE">
              <w:t>$72</w:t>
            </w:r>
          </w:p>
        </w:tc>
      </w:tr>
    </w:tbl>
    <w:p w14:paraId="3B2A6F1F" w14:textId="77777777" w:rsidR="00650A17" w:rsidRPr="00B538DE" w:rsidRDefault="00650A17" w:rsidP="00634D57">
      <w:pPr>
        <w:pStyle w:val="Bullet"/>
        <w:numPr>
          <w:ilvl w:val="0"/>
          <w:numId w:val="0"/>
        </w:numPr>
        <w:spacing w:after="240"/>
      </w:pPr>
    </w:p>
    <w:tbl>
      <w:tblPr>
        <w:tblW w:w="95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6"/>
        <w:gridCol w:w="4371"/>
        <w:gridCol w:w="1795"/>
      </w:tblGrid>
      <w:tr w:rsidR="00650A17" w:rsidRPr="00B538DE" w14:paraId="23BAB369" w14:textId="77777777" w:rsidTr="00F8080A">
        <w:trPr>
          <w:trHeight w:hRule="exact" w:val="874"/>
          <w:tblHeader/>
          <w:jc w:val="center"/>
        </w:trPr>
        <w:tc>
          <w:tcPr>
            <w:tcW w:w="9542" w:type="dxa"/>
            <w:gridSpan w:val="3"/>
            <w:shd w:val="clear" w:color="auto" w:fill="D9E2F3" w:themeFill="accent1" w:themeFillTint="33"/>
            <w:vAlign w:val="center"/>
          </w:tcPr>
          <w:p w14:paraId="65F5DA0B" w14:textId="6AB7AEB9" w:rsidR="00650A17" w:rsidRPr="00B538DE" w:rsidRDefault="002C2513" w:rsidP="00650A17">
            <w:pPr>
              <w:pStyle w:val="TableHeaderCenter"/>
            </w:pPr>
            <w:r w:rsidRPr="00B538DE">
              <w:t xml:space="preserve">Table 3: </w:t>
            </w:r>
            <w:r w:rsidR="00650A17" w:rsidRPr="00B538DE">
              <w:t>CommonHealth Full Premium Schedule</w:t>
            </w:r>
            <w:r w:rsidR="00996DC8" w:rsidRPr="00B538DE">
              <w:t xml:space="preserve"> for Young Adults and Adults above 150% </w:t>
            </w:r>
            <w:r w:rsidR="00B538DE">
              <w:t>FPL</w:t>
            </w:r>
            <w:r w:rsidR="00996DC8" w:rsidRPr="00B538DE">
              <w:t xml:space="preserve"> and Children above 300% F</w:t>
            </w:r>
            <w:r w:rsidR="00B538DE">
              <w:t>PL</w:t>
            </w:r>
          </w:p>
        </w:tc>
      </w:tr>
      <w:tr w:rsidR="00650A17" w:rsidRPr="00B538DE" w14:paraId="2A3E4329" w14:textId="77777777" w:rsidTr="00F8080A">
        <w:trPr>
          <w:trHeight w:hRule="exact" w:val="721"/>
          <w:tblHeader/>
          <w:jc w:val="center"/>
        </w:trPr>
        <w:tc>
          <w:tcPr>
            <w:tcW w:w="3376" w:type="dxa"/>
            <w:shd w:val="clear" w:color="auto" w:fill="D9E2F3" w:themeFill="accent1" w:themeFillTint="33"/>
            <w:vAlign w:val="center"/>
          </w:tcPr>
          <w:p w14:paraId="4C818DB3" w14:textId="77777777" w:rsidR="00650A17" w:rsidRPr="00B538DE" w:rsidRDefault="00650A17" w:rsidP="00650A17">
            <w:pPr>
              <w:pStyle w:val="TableHeaderCenter"/>
            </w:pPr>
            <w:r w:rsidRPr="00B538DE">
              <w:t>Base Premium</w:t>
            </w:r>
          </w:p>
        </w:tc>
        <w:tc>
          <w:tcPr>
            <w:tcW w:w="4371" w:type="dxa"/>
            <w:shd w:val="clear" w:color="auto" w:fill="D9E2F3" w:themeFill="accent1" w:themeFillTint="33"/>
            <w:vAlign w:val="center"/>
          </w:tcPr>
          <w:p w14:paraId="2125DB9A" w14:textId="77777777" w:rsidR="00650A17" w:rsidRPr="00B538DE" w:rsidRDefault="00650A17" w:rsidP="00650A17">
            <w:pPr>
              <w:pStyle w:val="TableHeaderCenter"/>
            </w:pPr>
            <w:r w:rsidRPr="00B538DE">
              <w:t>Additional Premium Cost</w:t>
            </w:r>
          </w:p>
        </w:tc>
        <w:tc>
          <w:tcPr>
            <w:tcW w:w="1795" w:type="dxa"/>
            <w:shd w:val="clear" w:color="auto" w:fill="D9E2F3" w:themeFill="accent1" w:themeFillTint="33"/>
            <w:vAlign w:val="center"/>
          </w:tcPr>
          <w:p w14:paraId="4466790A" w14:textId="77777777" w:rsidR="00650A17" w:rsidRPr="00B538DE" w:rsidRDefault="00650A17" w:rsidP="00650A17">
            <w:pPr>
              <w:pStyle w:val="TableHeaderCenter"/>
            </w:pPr>
            <w:r w:rsidRPr="00B538DE">
              <w:t>Range of Premium Cost</w:t>
            </w:r>
          </w:p>
        </w:tc>
      </w:tr>
      <w:tr w:rsidR="00650A17" w:rsidRPr="00B538DE" w14:paraId="298605C4" w14:textId="77777777" w:rsidTr="00F8080A">
        <w:trPr>
          <w:trHeight w:hRule="exact" w:val="564"/>
          <w:jc w:val="center"/>
        </w:trPr>
        <w:tc>
          <w:tcPr>
            <w:tcW w:w="3376" w:type="dxa"/>
            <w:vAlign w:val="center"/>
          </w:tcPr>
          <w:p w14:paraId="31A33D29" w14:textId="77777777" w:rsidR="00650A17" w:rsidRPr="00B538DE" w:rsidRDefault="00650A17" w:rsidP="00650A17">
            <w:pPr>
              <w:pStyle w:val="TableText"/>
              <w:jc w:val="center"/>
            </w:pPr>
            <w:r w:rsidRPr="00B538DE">
              <w:t>Above 150% FPL—start at $15</w:t>
            </w:r>
          </w:p>
        </w:tc>
        <w:tc>
          <w:tcPr>
            <w:tcW w:w="4371" w:type="dxa"/>
            <w:vAlign w:val="center"/>
          </w:tcPr>
          <w:p w14:paraId="5E6E0963" w14:textId="77777777" w:rsidR="00650A17" w:rsidRPr="00B538DE" w:rsidRDefault="00650A17" w:rsidP="00650A17">
            <w:pPr>
              <w:pStyle w:val="TableText"/>
              <w:jc w:val="center"/>
            </w:pPr>
            <w:r w:rsidRPr="00B538DE">
              <w:t>Add $5 for each additional 10% FPL until 200% FPL</w:t>
            </w:r>
          </w:p>
        </w:tc>
        <w:tc>
          <w:tcPr>
            <w:tcW w:w="1795" w:type="dxa"/>
            <w:vAlign w:val="center"/>
          </w:tcPr>
          <w:p w14:paraId="3E6AFD59" w14:textId="77777777" w:rsidR="00650A17" w:rsidRPr="00B538DE" w:rsidRDefault="00650A17" w:rsidP="00650A17">
            <w:pPr>
              <w:pStyle w:val="TableText"/>
              <w:jc w:val="center"/>
            </w:pPr>
            <w:r w:rsidRPr="00B538DE">
              <w:t xml:space="preserve">$15 </w:t>
            </w:r>
            <w:r w:rsidRPr="00B538DE">
              <w:rPr>
                <w:rFonts w:ascii="PMingLiU" w:hAnsi="PMingLiU"/>
              </w:rPr>
              <w:t xml:space="preserve">- </w:t>
            </w:r>
            <w:r w:rsidRPr="00B538DE">
              <w:t>$35</w:t>
            </w:r>
          </w:p>
        </w:tc>
      </w:tr>
      <w:tr w:rsidR="00650A17" w:rsidRPr="00B538DE" w14:paraId="21B5AB0E" w14:textId="77777777" w:rsidTr="00F8080A">
        <w:trPr>
          <w:trHeight w:hRule="exact" w:val="562"/>
          <w:jc w:val="center"/>
        </w:trPr>
        <w:tc>
          <w:tcPr>
            <w:tcW w:w="3376" w:type="dxa"/>
            <w:vAlign w:val="center"/>
          </w:tcPr>
          <w:p w14:paraId="15980028" w14:textId="77777777" w:rsidR="00650A17" w:rsidRPr="00B538DE" w:rsidRDefault="00650A17" w:rsidP="00650A17">
            <w:pPr>
              <w:pStyle w:val="TableText"/>
              <w:jc w:val="center"/>
            </w:pPr>
            <w:r w:rsidRPr="00B538DE">
              <w:t>Above 200% FPL—start at $40</w:t>
            </w:r>
          </w:p>
        </w:tc>
        <w:tc>
          <w:tcPr>
            <w:tcW w:w="4371" w:type="dxa"/>
            <w:vAlign w:val="center"/>
          </w:tcPr>
          <w:p w14:paraId="034AAABE" w14:textId="77777777" w:rsidR="00650A17" w:rsidRPr="00B538DE" w:rsidRDefault="00650A17" w:rsidP="00650A17">
            <w:pPr>
              <w:pStyle w:val="TableText"/>
              <w:jc w:val="center"/>
            </w:pPr>
            <w:r w:rsidRPr="00B538DE">
              <w:t>Add $8 for each additional 10% FPL until 400% FPL</w:t>
            </w:r>
          </w:p>
        </w:tc>
        <w:tc>
          <w:tcPr>
            <w:tcW w:w="1795" w:type="dxa"/>
            <w:vAlign w:val="center"/>
          </w:tcPr>
          <w:p w14:paraId="6284F4F1" w14:textId="77777777" w:rsidR="00650A17" w:rsidRPr="00B538DE" w:rsidRDefault="00650A17" w:rsidP="00650A17">
            <w:pPr>
              <w:pStyle w:val="TableText"/>
              <w:jc w:val="center"/>
            </w:pPr>
            <w:r w:rsidRPr="00B538DE">
              <w:t xml:space="preserve">$40 </w:t>
            </w:r>
            <w:r w:rsidRPr="00B538DE">
              <w:rPr>
                <w:rFonts w:ascii="PMingLiU" w:hAnsi="PMingLiU"/>
              </w:rPr>
              <w:t xml:space="preserve">- </w:t>
            </w:r>
            <w:r w:rsidRPr="00B538DE">
              <w:t>$192</w:t>
            </w:r>
          </w:p>
        </w:tc>
      </w:tr>
      <w:tr w:rsidR="00650A17" w:rsidRPr="00B538DE" w14:paraId="137169B6" w14:textId="77777777" w:rsidTr="00F8080A">
        <w:trPr>
          <w:trHeight w:hRule="exact" w:val="562"/>
          <w:jc w:val="center"/>
        </w:trPr>
        <w:tc>
          <w:tcPr>
            <w:tcW w:w="3376" w:type="dxa"/>
            <w:vAlign w:val="center"/>
          </w:tcPr>
          <w:p w14:paraId="516FF8F9" w14:textId="77777777" w:rsidR="00650A17" w:rsidRPr="00B538DE" w:rsidRDefault="00650A17" w:rsidP="00650A17">
            <w:pPr>
              <w:pStyle w:val="TableText"/>
              <w:jc w:val="center"/>
            </w:pPr>
            <w:r w:rsidRPr="00B538DE">
              <w:t>Above 400% FPL—start at $202</w:t>
            </w:r>
          </w:p>
        </w:tc>
        <w:tc>
          <w:tcPr>
            <w:tcW w:w="4371" w:type="dxa"/>
            <w:vAlign w:val="center"/>
          </w:tcPr>
          <w:p w14:paraId="4FAF4DD6" w14:textId="77777777" w:rsidR="00650A17" w:rsidRPr="00B538DE" w:rsidRDefault="00650A17" w:rsidP="00650A17">
            <w:pPr>
              <w:pStyle w:val="TableText"/>
              <w:jc w:val="center"/>
            </w:pPr>
            <w:r w:rsidRPr="00B538DE">
              <w:t>Add $10 for each additional 10% FPL until 600% FPL</w:t>
            </w:r>
          </w:p>
        </w:tc>
        <w:tc>
          <w:tcPr>
            <w:tcW w:w="1795" w:type="dxa"/>
            <w:vAlign w:val="center"/>
          </w:tcPr>
          <w:p w14:paraId="1349DB5E" w14:textId="77777777" w:rsidR="00650A17" w:rsidRPr="00B538DE" w:rsidRDefault="00650A17" w:rsidP="00650A17">
            <w:pPr>
              <w:pStyle w:val="TableText"/>
              <w:jc w:val="center"/>
            </w:pPr>
            <w:r w:rsidRPr="00B538DE">
              <w:t>$202 -</w:t>
            </w:r>
            <w:r w:rsidRPr="00B538DE">
              <w:rPr>
                <w:rFonts w:ascii="PMingLiU" w:hAnsi="PMingLiU"/>
              </w:rPr>
              <w:t xml:space="preserve"> </w:t>
            </w:r>
            <w:r w:rsidRPr="00B538DE">
              <w:t>$392</w:t>
            </w:r>
          </w:p>
        </w:tc>
      </w:tr>
      <w:tr w:rsidR="00650A17" w:rsidRPr="00B538DE" w14:paraId="65C5E4EA" w14:textId="77777777" w:rsidTr="00F8080A">
        <w:trPr>
          <w:trHeight w:hRule="exact" w:val="562"/>
          <w:jc w:val="center"/>
        </w:trPr>
        <w:tc>
          <w:tcPr>
            <w:tcW w:w="3376" w:type="dxa"/>
            <w:vAlign w:val="center"/>
          </w:tcPr>
          <w:p w14:paraId="00F12651" w14:textId="77777777" w:rsidR="00650A17" w:rsidRPr="00B538DE" w:rsidRDefault="00650A17" w:rsidP="00650A17">
            <w:pPr>
              <w:pStyle w:val="TableText"/>
              <w:jc w:val="center"/>
            </w:pPr>
            <w:r w:rsidRPr="00B538DE">
              <w:t>Above 600% FPL—start at $404</w:t>
            </w:r>
          </w:p>
        </w:tc>
        <w:tc>
          <w:tcPr>
            <w:tcW w:w="4371" w:type="dxa"/>
            <w:vAlign w:val="center"/>
          </w:tcPr>
          <w:p w14:paraId="3E579192" w14:textId="77777777" w:rsidR="00650A17" w:rsidRPr="00B538DE" w:rsidRDefault="00650A17" w:rsidP="00650A17">
            <w:pPr>
              <w:pStyle w:val="TableText"/>
              <w:jc w:val="center"/>
            </w:pPr>
            <w:r w:rsidRPr="00B538DE">
              <w:t>Add $12 for each additional 10% FPL until 800% FPL</w:t>
            </w:r>
          </w:p>
        </w:tc>
        <w:tc>
          <w:tcPr>
            <w:tcW w:w="1795" w:type="dxa"/>
            <w:vAlign w:val="center"/>
          </w:tcPr>
          <w:p w14:paraId="407864F5" w14:textId="77777777" w:rsidR="00650A17" w:rsidRPr="00B538DE" w:rsidRDefault="00650A17" w:rsidP="00650A17">
            <w:pPr>
              <w:pStyle w:val="TableText"/>
              <w:jc w:val="center"/>
            </w:pPr>
            <w:r w:rsidRPr="00B538DE">
              <w:t xml:space="preserve">$404 </w:t>
            </w:r>
            <w:r w:rsidRPr="00B538DE">
              <w:rPr>
                <w:rFonts w:ascii="PMingLiU" w:hAnsi="PMingLiU"/>
              </w:rPr>
              <w:t xml:space="preserve">- </w:t>
            </w:r>
            <w:r w:rsidRPr="00B538DE">
              <w:t>$632</w:t>
            </w:r>
          </w:p>
        </w:tc>
      </w:tr>
      <w:tr w:rsidR="00650A17" w:rsidRPr="00B538DE" w14:paraId="239DA227" w14:textId="77777777" w:rsidTr="00F8080A">
        <w:trPr>
          <w:trHeight w:hRule="exact" w:val="562"/>
          <w:jc w:val="center"/>
        </w:trPr>
        <w:tc>
          <w:tcPr>
            <w:tcW w:w="3376" w:type="dxa"/>
            <w:vAlign w:val="center"/>
          </w:tcPr>
          <w:p w14:paraId="73EBE402" w14:textId="77777777" w:rsidR="00650A17" w:rsidRPr="00B538DE" w:rsidRDefault="00650A17" w:rsidP="00650A17">
            <w:pPr>
              <w:pStyle w:val="TableText"/>
              <w:jc w:val="center"/>
            </w:pPr>
            <w:r w:rsidRPr="00B538DE">
              <w:t>Above 800% FPL—start at $646</w:t>
            </w:r>
          </w:p>
        </w:tc>
        <w:tc>
          <w:tcPr>
            <w:tcW w:w="4371" w:type="dxa"/>
            <w:vAlign w:val="center"/>
          </w:tcPr>
          <w:p w14:paraId="3B971C5C" w14:textId="77777777" w:rsidR="00650A17" w:rsidRPr="00B538DE" w:rsidRDefault="00650A17" w:rsidP="00650A17">
            <w:pPr>
              <w:pStyle w:val="TableText"/>
              <w:jc w:val="center"/>
            </w:pPr>
            <w:r w:rsidRPr="00B538DE">
              <w:t>Add $14 for each additional 10% FPL until 1000% FPL</w:t>
            </w:r>
          </w:p>
        </w:tc>
        <w:tc>
          <w:tcPr>
            <w:tcW w:w="1795" w:type="dxa"/>
            <w:vAlign w:val="center"/>
          </w:tcPr>
          <w:p w14:paraId="2F27C42C" w14:textId="77777777" w:rsidR="00650A17" w:rsidRPr="00B538DE" w:rsidRDefault="00650A17" w:rsidP="00650A17">
            <w:pPr>
              <w:pStyle w:val="TableText"/>
              <w:jc w:val="center"/>
            </w:pPr>
            <w:r w:rsidRPr="00B538DE">
              <w:t xml:space="preserve">$646 </w:t>
            </w:r>
            <w:r w:rsidRPr="00B538DE">
              <w:rPr>
                <w:rFonts w:ascii="PMingLiU" w:hAnsi="PMingLiU"/>
              </w:rPr>
              <w:t xml:space="preserve">- </w:t>
            </w:r>
            <w:r w:rsidRPr="00B538DE">
              <w:t>$912</w:t>
            </w:r>
          </w:p>
        </w:tc>
      </w:tr>
      <w:tr w:rsidR="00650A17" w:rsidRPr="00B538DE" w14:paraId="48D75BF4" w14:textId="77777777" w:rsidTr="00F8080A">
        <w:trPr>
          <w:trHeight w:hRule="exact" w:val="434"/>
          <w:jc w:val="center"/>
        </w:trPr>
        <w:tc>
          <w:tcPr>
            <w:tcW w:w="3376" w:type="dxa"/>
            <w:vAlign w:val="center"/>
          </w:tcPr>
          <w:p w14:paraId="716287A9" w14:textId="77777777" w:rsidR="00650A17" w:rsidRPr="00B538DE" w:rsidRDefault="00650A17" w:rsidP="00650A17">
            <w:pPr>
              <w:pStyle w:val="TableText"/>
              <w:jc w:val="center"/>
            </w:pPr>
            <w:r w:rsidRPr="00B538DE">
              <w:t>Above 1000% FPL—start at $928</w:t>
            </w:r>
          </w:p>
        </w:tc>
        <w:tc>
          <w:tcPr>
            <w:tcW w:w="4371" w:type="dxa"/>
            <w:vAlign w:val="center"/>
          </w:tcPr>
          <w:p w14:paraId="6BFB41E6" w14:textId="77777777" w:rsidR="00650A17" w:rsidRPr="00B538DE" w:rsidRDefault="00650A17" w:rsidP="00650A17">
            <w:pPr>
              <w:pStyle w:val="TableText"/>
              <w:jc w:val="center"/>
            </w:pPr>
            <w:r w:rsidRPr="00B538DE">
              <w:t>Add $16 for each additional 10% FPL</w:t>
            </w:r>
          </w:p>
        </w:tc>
        <w:tc>
          <w:tcPr>
            <w:tcW w:w="1795" w:type="dxa"/>
            <w:vAlign w:val="center"/>
          </w:tcPr>
          <w:p w14:paraId="211BF6CA" w14:textId="77777777" w:rsidR="00650A17" w:rsidRPr="00B538DE" w:rsidRDefault="00650A17" w:rsidP="00650A17">
            <w:pPr>
              <w:pStyle w:val="TableText"/>
              <w:jc w:val="center"/>
            </w:pPr>
            <w:r w:rsidRPr="00B538DE">
              <w:t xml:space="preserve">$928 </w:t>
            </w:r>
            <w:r w:rsidRPr="00B538DE">
              <w:rPr>
                <w:rFonts w:ascii="PMingLiU" w:hAnsi="PMingLiU"/>
              </w:rPr>
              <w:t xml:space="preserve">- </w:t>
            </w:r>
            <w:r w:rsidRPr="00B538DE">
              <w:t>greater</w:t>
            </w:r>
          </w:p>
        </w:tc>
      </w:tr>
    </w:tbl>
    <w:p w14:paraId="45D71BAF" w14:textId="77777777" w:rsidR="00650A17" w:rsidRPr="00B538DE" w:rsidRDefault="00650A17" w:rsidP="00634D57">
      <w:pPr>
        <w:pStyle w:val="BodyText"/>
        <w:spacing w:before="3" w:after="240"/>
        <w:rPr>
          <w:sz w:val="25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5527"/>
      </w:tblGrid>
      <w:tr w:rsidR="00650A17" w:rsidRPr="00B538DE" w14:paraId="1132B451" w14:textId="77777777" w:rsidTr="00F8080A">
        <w:trPr>
          <w:trHeight w:hRule="exact" w:val="1090"/>
        </w:trPr>
        <w:tc>
          <w:tcPr>
            <w:tcW w:w="9000" w:type="dxa"/>
            <w:gridSpan w:val="2"/>
            <w:shd w:val="clear" w:color="auto" w:fill="D9E2F3" w:themeFill="accent1" w:themeFillTint="33"/>
            <w:vAlign w:val="center"/>
          </w:tcPr>
          <w:p w14:paraId="684DF166" w14:textId="23B6EE83" w:rsidR="00650A17" w:rsidRPr="00B538DE" w:rsidRDefault="002C2513" w:rsidP="00FE248C">
            <w:pPr>
              <w:pStyle w:val="TableHeaderCenter"/>
              <w:ind w:left="90"/>
            </w:pPr>
            <w:r w:rsidRPr="00B538DE">
              <w:t xml:space="preserve">Table 4: </w:t>
            </w:r>
            <w:r w:rsidR="00650A17" w:rsidRPr="00B538DE">
              <w:t>CommonHealth Supplemental Premium Schedule</w:t>
            </w:r>
            <w:r w:rsidR="00996DC8" w:rsidRPr="00B538DE">
              <w:t xml:space="preserve"> </w:t>
            </w:r>
            <w:r w:rsidR="00546D47" w:rsidRPr="00B538DE">
              <w:t>for young adults, adults and children with income above 300% FPL who have TPL and do not receive MassHealth premium assistance</w:t>
            </w:r>
          </w:p>
        </w:tc>
      </w:tr>
      <w:tr w:rsidR="00650A17" w:rsidRPr="00B538DE" w14:paraId="3DEB0F09" w14:textId="77777777" w:rsidTr="00F8080A">
        <w:trPr>
          <w:trHeight w:hRule="exact" w:val="366"/>
        </w:trPr>
        <w:tc>
          <w:tcPr>
            <w:tcW w:w="3473" w:type="dxa"/>
            <w:tcBorders>
              <w:top w:val="single" w:sz="6" w:space="0" w:color="000000"/>
            </w:tcBorders>
            <w:shd w:val="clear" w:color="auto" w:fill="D9E2F3" w:themeFill="accent1" w:themeFillTint="33"/>
            <w:vAlign w:val="center"/>
          </w:tcPr>
          <w:p w14:paraId="613C4E3B" w14:textId="77777777" w:rsidR="00650A17" w:rsidRPr="00B538DE" w:rsidRDefault="00650A17" w:rsidP="00650A17">
            <w:pPr>
              <w:pStyle w:val="TableHeaderCenter"/>
            </w:pPr>
            <w:r w:rsidRPr="00B538DE">
              <w:t>% of FPL</w:t>
            </w:r>
          </w:p>
        </w:tc>
        <w:tc>
          <w:tcPr>
            <w:tcW w:w="5527" w:type="dxa"/>
            <w:tcBorders>
              <w:top w:val="single" w:sz="6" w:space="0" w:color="000000"/>
            </w:tcBorders>
            <w:shd w:val="clear" w:color="auto" w:fill="D9E2F3" w:themeFill="accent1" w:themeFillTint="33"/>
            <w:vAlign w:val="center"/>
          </w:tcPr>
          <w:p w14:paraId="61922039" w14:textId="77777777" w:rsidR="00650A17" w:rsidRPr="00B538DE" w:rsidRDefault="00650A17" w:rsidP="00650A17">
            <w:pPr>
              <w:pStyle w:val="TableHeaderCenter"/>
            </w:pPr>
            <w:r w:rsidRPr="00B538DE">
              <w:t>Premium requirement</w:t>
            </w:r>
          </w:p>
        </w:tc>
      </w:tr>
      <w:tr w:rsidR="00650A17" w:rsidRPr="00B538DE" w14:paraId="44718ECC" w14:textId="77777777" w:rsidTr="00F8080A">
        <w:trPr>
          <w:trHeight w:hRule="exact" w:val="287"/>
        </w:trPr>
        <w:tc>
          <w:tcPr>
            <w:tcW w:w="3473" w:type="dxa"/>
            <w:vAlign w:val="center"/>
          </w:tcPr>
          <w:p w14:paraId="7DACAE6C" w14:textId="77777777" w:rsidR="00650A17" w:rsidRPr="00B538DE" w:rsidRDefault="00650A17" w:rsidP="00650A17">
            <w:pPr>
              <w:pStyle w:val="TableText"/>
              <w:jc w:val="center"/>
            </w:pPr>
            <w:r w:rsidRPr="00B538DE">
              <w:t>Above 150% to 200%</w:t>
            </w:r>
          </w:p>
        </w:tc>
        <w:tc>
          <w:tcPr>
            <w:tcW w:w="5527" w:type="dxa"/>
            <w:vAlign w:val="center"/>
          </w:tcPr>
          <w:p w14:paraId="64AC637D" w14:textId="77777777" w:rsidR="00650A17" w:rsidRPr="00B538DE" w:rsidRDefault="00650A17" w:rsidP="00650A17">
            <w:pPr>
              <w:pStyle w:val="TableText"/>
              <w:jc w:val="center"/>
            </w:pPr>
            <w:r w:rsidRPr="00B538DE">
              <w:t>60% of full premium per listed premium costs above</w:t>
            </w:r>
          </w:p>
        </w:tc>
      </w:tr>
      <w:tr w:rsidR="00650A17" w:rsidRPr="00B538DE" w14:paraId="6AD99FBE" w14:textId="77777777" w:rsidTr="00F8080A">
        <w:trPr>
          <w:trHeight w:hRule="exact" w:val="286"/>
        </w:trPr>
        <w:tc>
          <w:tcPr>
            <w:tcW w:w="3473" w:type="dxa"/>
            <w:vAlign w:val="center"/>
          </w:tcPr>
          <w:p w14:paraId="53800086" w14:textId="77777777" w:rsidR="00650A17" w:rsidRPr="00B538DE" w:rsidRDefault="00650A17" w:rsidP="00650A17">
            <w:pPr>
              <w:pStyle w:val="TableText"/>
              <w:jc w:val="center"/>
            </w:pPr>
            <w:r w:rsidRPr="00B538DE">
              <w:t>Above 200% to 400%</w:t>
            </w:r>
          </w:p>
        </w:tc>
        <w:tc>
          <w:tcPr>
            <w:tcW w:w="5527" w:type="dxa"/>
            <w:vAlign w:val="center"/>
          </w:tcPr>
          <w:p w14:paraId="70A0FB67" w14:textId="77777777" w:rsidR="00650A17" w:rsidRPr="00B538DE" w:rsidRDefault="00650A17" w:rsidP="00650A17">
            <w:pPr>
              <w:pStyle w:val="TableText"/>
              <w:jc w:val="center"/>
            </w:pPr>
            <w:r w:rsidRPr="00B538DE">
              <w:t>65% per above</w:t>
            </w:r>
          </w:p>
        </w:tc>
      </w:tr>
      <w:tr w:rsidR="00650A17" w:rsidRPr="00B538DE" w14:paraId="2F6EF367" w14:textId="77777777" w:rsidTr="00F8080A">
        <w:trPr>
          <w:trHeight w:hRule="exact" w:val="286"/>
        </w:trPr>
        <w:tc>
          <w:tcPr>
            <w:tcW w:w="3473" w:type="dxa"/>
            <w:vAlign w:val="center"/>
          </w:tcPr>
          <w:p w14:paraId="39D229A5" w14:textId="77777777" w:rsidR="00650A17" w:rsidRPr="00B538DE" w:rsidRDefault="00650A17" w:rsidP="00650A17">
            <w:pPr>
              <w:pStyle w:val="TableText"/>
              <w:jc w:val="center"/>
            </w:pPr>
            <w:r w:rsidRPr="00B538DE">
              <w:t>Above 400% to 600%</w:t>
            </w:r>
          </w:p>
        </w:tc>
        <w:tc>
          <w:tcPr>
            <w:tcW w:w="5527" w:type="dxa"/>
            <w:vAlign w:val="center"/>
          </w:tcPr>
          <w:p w14:paraId="4E946EE4" w14:textId="77777777" w:rsidR="00650A17" w:rsidRPr="00B538DE" w:rsidRDefault="00650A17" w:rsidP="00650A17">
            <w:pPr>
              <w:pStyle w:val="TableText"/>
              <w:jc w:val="center"/>
            </w:pPr>
            <w:r w:rsidRPr="00B538DE">
              <w:t>70% per above</w:t>
            </w:r>
          </w:p>
        </w:tc>
      </w:tr>
      <w:tr w:rsidR="00650A17" w:rsidRPr="00B538DE" w14:paraId="56345545" w14:textId="77777777" w:rsidTr="00F8080A">
        <w:trPr>
          <w:trHeight w:hRule="exact" w:val="288"/>
        </w:trPr>
        <w:tc>
          <w:tcPr>
            <w:tcW w:w="3473" w:type="dxa"/>
            <w:vAlign w:val="center"/>
          </w:tcPr>
          <w:p w14:paraId="4E7C7056" w14:textId="77777777" w:rsidR="00650A17" w:rsidRPr="00B538DE" w:rsidRDefault="00650A17" w:rsidP="00650A17">
            <w:pPr>
              <w:pStyle w:val="TableText"/>
              <w:jc w:val="center"/>
            </w:pPr>
            <w:r w:rsidRPr="00B538DE">
              <w:t>Above 600% to 800%</w:t>
            </w:r>
          </w:p>
        </w:tc>
        <w:tc>
          <w:tcPr>
            <w:tcW w:w="5527" w:type="dxa"/>
            <w:vAlign w:val="center"/>
          </w:tcPr>
          <w:p w14:paraId="16EE7CBE" w14:textId="77777777" w:rsidR="00650A17" w:rsidRPr="00B538DE" w:rsidRDefault="00650A17" w:rsidP="00650A17">
            <w:pPr>
              <w:pStyle w:val="TableText"/>
              <w:jc w:val="center"/>
            </w:pPr>
            <w:r w:rsidRPr="00B538DE">
              <w:t>75% per above</w:t>
            </w:r>
          </w:p>
        </w:tc>
      </w:tr>
      <w:tr w:rsidR="00650A17" w:rsidRPr="00B538DE" w14:paraId="554EA3F6" w14:textId="77777777" w:rsidTr="00F8080A">
        <w:trPr>
          <w:trHeight w:hRule="exact" w:val="288"/>
        </w:trPr>
        <w:tc>
          <w:tcPr>
            <w:tcW w:w="3473" w:type="dxa"/>
            <w:vAlign w:val="center"/>
          </w:tcPr>
          <w:p w14:paraId="30B82683" w14:textId="77777777" w:rsidR="00650A17" w:rsidRPr="00B538DE" w:rsidRDefault="00650A17" w:rsidP="00650A17">
            <w:pPr>
              <w:pStyle w:val="TableText"/>
              <w:jc w:val="center"/>
            </w:pPr>
            <w:r w:rsidRPr="00B538DE">
              <w:t>Above 800% to 1000%</w:t>
            </w:r>
          </w:p>
        </w:tc>
        <w:tc>
          <w:tcPr>
            <w:tcW w:w="5527" w:type="dxa"/>
            <w:vAlign w:val="center"/>
          </w:tcPr>
          <w:p w14:paraId="23AA3F64" w14:textId="77777777" w:rsidR="00650A17" w:rsidRPr="00B538DE" w:rsidRDefault="00650A17" w:rsidP="00650A17">
            <w:pPr>
              <w:pStyle w:val="TableText"/>
              <w:jc w:val="center"/>
            </w:pPr>
            <w:r w:rsidRPr="00B538DE">
              <w:t>80% above</w:t>
            </w:r>
          </w:p>
        </w:tc>
      </w:tr>
      <w:tr w:rsidR="00650A17" w:rsidRPr="00B538DE" w14:paraId="7E74C80E" w14:textId="77777777" w:rsidTr="00F8080A">
        <w:trPr>
          <w:trHeight w:hRule="exact" w:val="288"/>
        </w:trPr>
        <w:tc>
          <w:tcPr>
            <w:tcW w:w="3473" w:type="dxa"/>
            <w:vAlign w:val="center"/>
          </w:tcPr>
          <w:p w14:paraId="44F4FCE4" w14:textId="77777777" w:rsidR="00650A17" w:rsidRPr="00B538DE" w:rsidRDefault="00650A17" w:rsidP="00650A17">
            <w:pPr>
              <w:pStyle w:val="TableText"/>
              <w:jc w:val="center"/>
            </w:pPr>
            <w:r w:rsidRPr="00B538DE">
              <w:t>Above 1000%</w:t>
            </w:r>
          </w:p>
        </w:tc>
        <w:tc>
          <w:tcPr>
            <w:tcW w:w="5527" w:type="dxa"/>
            <w:vAlign w:val="center"/>
          </w:tcPr>
          <w:p w14:paraId="05969F95" w14:textId="77777777" w:rsidR="00650A17" w:rsidRPr="00B538DE" w:rsidRDefault="00650A17" w:rsidP="00650A17">
            <w:pPr>
              <w:pStyle w:val="TableText"/>
              <w:jc w:val="center"/>
            </w:pPr>
            <w:r w:rsidRPr="00B538DE">
              <w:t>85% above</w:t>
            </w:r>
          </w:p>
        </w:tc>
      </w:tr>
    </w:tbl>
    <w:p w14:paraId="612BB260" w14:textId="77777777" w:rsidR="00650A17" w:rsidRPr="00B538DE" w:rsidRDefault="00650A17" w:rsidP="00650A17">
      <w:pPr>
        <w:pStyle w:val="BodyText"/>
        <w:rPr>
          <w:sz w:val="20"/>
        </w:rPr>
      </w:pPr>
    </w:p>
    <w:p w14:paraId="6466FF4A" w14:textId="77777777" w:rsidR="00650A17" w:rsidRPr="00B538DE" w:rsidRDefault="00650A17" w:rsidP="00650A17">
      <w:pPr>
        <w:pStyle w:val="BodyText"/>
        <w:spacing w:before="5"/>
        <w:rPr>
          <w:sz w:val="2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96DC8" w:rsidRPr="00B538DE" w14:paraId="3FAA0A2B" w14:textId="77777777" w:rsidTr="00CF1F8B">
        <w:tc>
          <w:tcPr>
            <w:tcW w:w="9350" w:type="dxa"/>
            <w:gridSpan w:val="2"/>
            <w:shd w:val="clear" w:color="auto" w:fill="D9E2F3" w:themeFill="accent1" w:themeFillTint="33"/>
          </w:tcPr>
          <w:p w14:paraId="52CDE3D3" w14:textId="3BE8E25E" w:rsidR="00996DC8" w:rsidRPr="00B538DE" w:rsidRDefault="00996DC8" w:rsidP="00FE248C">
            <w:pPr>
              <w:pStyle w:val="Bullet"/>
              <w:numPr>
                <w:ilvl w:val="0"/>
                <w:numId w:val="0"/>
              </w:numPr>
              <w:jc w:val="center"/>
              <w:rPr>
                <w:b/>
                <w:bCs/>
                <w:sz w:val="22"/>
                <w:szCs w:val="20"/>
              </w:rPr>
            </w:pPr>
            <w:r w:rsidRPr="00B538DE">
              <w:rPr>
                <w:b/>
                <w:bCs/>
                <w:sz w:val="22"/>
                <w:szCs w:val="20"/>
              </w:rPr>
              <w:t xml:space="preserve">Table 5: Full Premium Formula for </w:t>
            </w:r>
            <w:r w:rsidR="00125244" w:rsidRPr="00B538DE">
              <w:rPr>
                <w:b/>
                <w:bCs/>
                <w:sz w:val="22"/>
                <w:szCs w:val="20"/>
              </w:rPr>
              <w:t xml:space="preserve">CommonHealth </w:t>
            </w:r>
            <w:r w:rsidRPr="00B538DE">
              <w:rPr>
                <w:b/>
                <w:bCs/>
                <w:sz w:val="22"/>
                <w:szCs w:val="20"/>
              </w:rPr>
              <w:t>Children between 150% and 300% FPL</w:t>
            </w:r>
            <w:r w:rsidR="00125244" w:rsidRPr="00B538DE">
              <w:rPr>
                <w:b/>
                <w:bCs/>
                <w:sz w:val="22"/>
                <w:szCs w:val="20"/>
              </w:rPr>
              <w:t xml:space="preserve"> and Family Assistance Children</w:t>
            </w:r>
          </w:p>
        </w:tc>
      </w:tr>
      <w:tr w:rsidR="00996DC8" w:rsidRPr="00B538DE" w14:paraId="3A92E152" w14:textId="77777777" w:rsidTr="00CF1F8B">
        <w:tc>
          <w:tcPr>
            <w:tcW w:w="4675" w:type="dxa"/>
            <w:shd w:val="clear" w:color="auto" w:fill="D9E2F3" w:themeFill="accent1" w:themeFillTint="33"/>
          </w:tcPr>
          <w:p w14:paraId="7954D867" w14:textId="704114A0" w:rsidR="00996DC8" w:rsidRPr="00B538DE" w:rsidRDefault="00125244" w:rsidP="00B538DE">
            <w:pPr>
              <w:pStyle w:val="Bullet"/>
              <w:numPr>
                <w:ilvl w:val="0"/>
                <w:numId w:val="0"/>
              </w:numPr>
              <w:jc w:val="center"/>
              <w:rPr>
                <w:b/>
                <w:bCs/>
                <w:sz w:val="22"/>
                <w:szCs w:val="20"/>
              </w:rPr>
            </w:pPr>
            <w:r w:rsidRPr="00B538DE">
              <w:rPr>
                <w:b/>
                <w:bCs/>
                <w:sz w:val="22"/>
                <w:szCs w:val="20"/>
              </w:rPr>
              <w:t>% of FPL</w:t>
            </w:r>
          </w:p>
        </w:tc>
        <w:tc>
          <w:tcPr>
            <w:tcW w:w="4675" w:type="dxa"/>
            <w:shd w:val="clear" w:color="auto" w:fill="D9E2F3" w:themeFill="accent1" w:themeFillTint="33"/>
          </w:tcPr>
          <w:p w14:paraId="46FEDDE1" w14:textId="5E5A88D7" w:rsidR="00996DC8" w:rsidRPr="00B538DE" w:rsidRDefault="00125244" w:rsidP="000C527D">
            <w:pPr>
              <w:pStyle w:val="Bullet"/>
              <w:numPr>
                <w:ilvl w:val="0"/>
                <w:numId w:val="0"/>
              </w:numPr>
              <w:jc w:val="center"/>
              <w:rPr>
                <w:b/>
                <w:bCs/>
                <w:sz w:val="22"/>
                <w:szCs w:val="20"/>
              </w:rPr>
            </w:pPr>
            <w:r w:rsidRPr="00B538DE">
              <w:rPr>
                <w:b/>
                <w:bCs/>
                <w:sz w:val="22"/>
                <w:szCs w:val="20"/>
              </w:rPr>
              <w:t>Monthly Premium Cost</w:t>
            </w:r>
          </w:p>
        </w:tc>
      </w:tr>
      <w:tr w:rsidR="00996DC8" w:rsidRPr="00B538DE" w14:paraId="769F52BD" w14:textId="77777777" w:rsidTr="00996DC8">
        <w:tc>
          <w:tcPr>
            <w:tcW w:w="4675" w:type="dxa"/>
          </w:tcPr>
          <w:p w14:paraId="2FDAE5CD" w14:textId="5815278B" w:rsidR="00996DC8" w:rsidRPr="00B538DE" w:rsidRDefault="00125244" w:rsidP="00B538DE">
            <w:pPr>
              <w:pStyle w:val="Bullet"/>
              <w:numPr>
                <w:ilvl w:val="0"/>
                <w:numId w:val="0"/>
              </w:numPr>
              <w:jc w:val="center"/>
              <w:rPr>
                <w:sz w:val="22"/>
                <w:szCs w:val="20"/>
              </w:rPr>
            </w:pPr>
            <w:r w:rsidRPr="00B538DE">
              <w:rPr>
                <w:sz w:val="22"/>
                <w:szCs w:val="20"/>
              </w:rPr>
              <w:t>Above 150% to 200%</w:t>
            </w:r>
          </w:p>
        </w:tc>
        <w:tc>
          <w:tcPr>
            <w:tcW w:w="4675" w:type="dxa"/>
          </w:tcPr>
          <w:p w14:paraId="7BAEA93C" w14:textId="72D98797" w:rsidR="00996DC8" w:rsidRPr="00B538DE" w:rsidRDefault="00125244" w:rsidP="00B538DE">
            <w:pPr>
              <w:pStyle w:val="Bullet"/>
              <w:numPr>
                <w:ilvl w:val="0"/>
                <w:numId w:val="0"/>
              </w:numPr>
              <w:jc w:val="center"/>
              <w:rPr>
                <w:sz w:val="22"/>
                <w:szCs w:val="20"/>
              </w:rPr>
            </w:pPr>
            <w:r w:rsidRPr="00B538DE">
              <w:rPr>
                <w:sz w:val="22"/>
                <w:szCs w:val="20"/>
              </w:rPr>
              <w:t>$12 per child ($36 P</w:t>
            </w:r>
            <w:r w:rsidR="000C527D">
              <w:rPr>
                <w:sz w:val="22"/>
                <w:szCs w:val="20"/>
              </w:rPr>
              <w:t>remium Billing Family Group (P</w:t>
            </w:r>
            <w:r w:rsidRPr="00B538DE">
              <w:rPr>
                <w:sz w:val="22"/>
                <w:szCs w:val="20"/>
              </w:rPr>
              <w:t>BFG</w:t>
            </w:r>
            <w:r w:rsidR="000C527D">
              <w:rPr>
                <w:sz w:val="22"/>
                <w:szCs w:val="20"/>
              </w:rPr>
              <w:t>)</w:t>
            </w:r>
            <w:r w:rsidRPr="00B538DE">
              <w:rPr>
                <w:sz w:val="22"/>
                <w:szCs w:val="20"/>
              </w:rPr>
              <w:t xml:space="preserve"> maximum)</w:t>
            </w:r>
          </w:p>
        </w:tc>
      </w:tr>
      <w:tr w:rsidR="00996DC8" w:rsidRPr="00B538DE" w14:paraId="5681E240" w14:textId="77777777" w:rsidTr="00996DC8">
        <w:tc>
          <w:tcPr>
            <w:tcW w:w="4675" w:type="dxa"/>
          </w:tcPr>
          <w:p w14:paraId="593604E2" w14:textId="083FADCF" w:rsidR="00996DC8" w:rsidRPr="00B538DE" w:rsidRDefault="00125244" w:rsidP="00B538DE">
            <w:pPr>
              <w:pStyle w:val="Bullet"/>
              <w:numPr>
                <w:ilvl w:val="0"/>
                <w:numId w:val="0"/>
              </w:numPr>
              <w:jc w:val="center"/>
              <w:rPr>
                <w:sz w:val="22"/>
                <w:szCs w:val="20"/>
              </w:rPr>
            </w:pPr>
            <w:r w:rsidRPr="00B538DE">
              <w:rPr>
                <w:sz w:val="22"/>
                <w:szCs w:val="20"/>
              </w:rPr>
              <w:t>Above 200% to 250%</w:t>
            </w:r>
          </w:p>
        </w:tc>
        <w:tc>
          <w:tcPr>
            <w:tcW w:w="4675" w:type="dxa"/>
          </w:tcPr>
          <w:p w14:paraId="0866456B" w14:textId="7C223EE6" w:rsidR="00996DC8" w:rsidRPr="00B538DE" w:rsidRDefault="00125244" w:rsidP="00B538DE">
            <w:pPr>
              <w:pStyle w:val="Bullet"/>
              <w:numPr>
                <w:ilvl w:val="0"/>
                <w:numId w:val="0"/>
              </w:numPr>
              <w:jc w:val="center"/>
              <w:rPr>
                <w:sz w:val="22"/>
                <w:szCs w:val="20"/>
              </w:rPr>
            </w:pPr>
            <w:r w:rsidRPr="00B538DE">
              <w:rPr>
                <w:sz w:val="22"/>
                <w:szCs w:val="20"/>
              </w:rPr>
              <w:t>$20 per child ($60 PBFG maximum)</w:t>
            </w:r>
          </w:p>
        </w:tc>
      </w:tr>
      <w:tr w:rsidR="00996DC8" w:rsidRPr="00B538DE" w14:paraId="73AA2EE8" w14:textId="77777777" w:rsidTr="00996DC8">
        <w:tc>
          <w:tcPr>
            <w:tcW w:w="4675" w:type="dxa"/>
          </w:tcPr>
          <w:p w14:paraId="4FD19CEC" w14:textId="228C07EE" w:rsidR="00996DC8" w:rsidRPr="00B538DE" w:rsidRDefault="00125244" w:rsidP="00B538DE">
            <w:pPr>
              <w:pStyle w:val="Bullet"/>
              <w:numPr>
                <w:ilvl w:val="0"/>
                <w:numId w:val="0"/>
              </w:numPr>
              <w:jc w:val="center"/>
              <w:rPr>
                <w:sz w:val="22"/>
                <w:szCs w:val="20"/>
              </w:rPr>
            </w:pPr>
            <w:r w:rsidRPr="00B538DE">
              <w:rPr>
                <w:sz w:val="22"/>
                <w:szCs w:val="20"/>
              </w:rPr>
              <w:t>Above 250% to 300%</w:t>
            </w:r>
          </w:p>
        </w:tc>
        <w:tc>
          <w:tcPr>
            <w:tcW w:w="4675" w:type="dxa"/>
          </w:tcPr>
          <w:p w14:paraId="377DE440" w14:textId="570F6E1C" w:rsidR="00996DC8" w:rsidRPr="00B538DE" w:rsidRDefault="00125244" w:rsidP="00B538DE">
            <w:pPr>
              <w:pStyle w:val="Bullet"/>
              <w:numPr>
                <w:ilvl w:val="0"/>
                <w:numId w:val="0"/>
              </w:numPr>
              <w:jc w:val="center"/>
              <w:rPr>
                <w:sz w:val="22"/>
                <w:szCs w:val="20"/>
              </w:rPr>
            </w:pPr>
            <w:r w:rsidRPr="00B538DE">
              <w:rPr>
                <w:sz w:val="22"/>
                <w:szCs w:val="20"/>
              </w:rPr>
              <w:t>$28 per child ($84 PBFG maximum</w:t>
            </w:r>
          </w:p>
        </w:tc>
      </w:tr>
    </w:tbl>
    <w:p w14:paraId="1DB72E6E" w14:textId="73260962" w:rsidR="00125244" w:rsidRPr="00B538DE" w:rsidRDefault="00125244" w:rsidP="00634D57">
      <w:pPr>
        <w:pStyle w:val="Bullet"/>
        <w:numPr>
          <w:ilvl w:val="0"/>
          <w:numId w:val="0"/>
        </w:numPr>
        <w:spacing w:after="24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25244" w:rsidRPr="00B538DE" w14:paraId="18C6AC9F" w14:textId="77777777" w:rsidTr="00CF1F8B">
        <w:tc>
          <w:tcPr>
            <w:tcW w:w="9350" w:type="dxa"/>
            <w:gridSpan w:val="2"/>
            <w:shd w:val="clear" w:color="auto" w:fill="D9E2F3" w:themeFill="accent1" w:themeFillTint="33"/>
          </w:tcPr>
          <w:p w14:paraId="23F8BF11" w14:textId="2C23C453" w:rsidR="00125244" w:rsidRPr="00B538DE" w:rsidRDefault="00125244" w:rsidP="00B538DE">
            <w:pPr>
              <w:pStyle w:val="Bullet"/>
              <w:numPr>
                <w:ilvl w:val="0"/>
                <w:numId w:val="0"/>
              </w:numPr>
              <w:tabs>
                <w:tab w:val="left" w:pos="1500"/>
              </w:tabs>
              <w:jc w:val="center"/>
              <w:rPr>
                <w:b/>
                <w:bCs/>
                <w:sz w:val="22"/>
                <w:szCs w:val="20"/>
              </w:rPr>
            </w:pPr>
            <w:r w:rsidRPr="00B538DE">
              <w:rPr>
                <w:b/>
                <w:bCs/>
                <w:sz w:val="22"/>
                <w:szCs w:val="20"/>
              </w:rPr>
              <w:t>Table 6:  Family Assistance for HIV+ Adults Premium Formula</w:t>
            </w:r>
          </w:p>
        </w:tc>
      </w:tr>
      <w:tr w:rsidR="00125244" w:rsidRPr="00B538DE" w14:paraId="1B6B8BD5" w14:textId="77777777" w:rsidTr="00CF1F8B">
        <w:tc>
          <w:tcPr>
            <w:tcW w:w="4675" w:type="dxa"/>
            <w:shd w:val="clear" w:color="auto" w:fill="D9E2F3" w:themeFill="accent1" w:themeFillTint="33"/>
          </w:tcPr>
          <w:p w14:paraId="18D90124" w14:textId="0D16E9FF" w:rsidR="00125244" w:rsidRPr="00B538DE" w:rsidRDefault="00A3284C" w:rsidP="00B538DE">
            <w:pPr>
              <w:pStyle w:val="Bullet"/>
              <w:numPr>
                <w:ilvl w:val="0"/>
                <w:numId w:val="0"/>
              </w:numPr>
              <w:jc w:val="center"/>
              <w:rPr>
                <w:b/>
                <w:bCs/>
                <w:sz w:val="22"/>
                <w:szCs w:val="20"/>
              </w:rPr>
            </w:pPr>
            <w:r w:rsidRPr="00B538DE">
              <w:rPr>
                <w:b/>
                <w:bCs/>
                <w:sz w:val="22"/>
                <w:szCs w:val="20"/>
              </w:rPr>
              <w:t>% of FPL</w:t>
            </w:r>
          </w:p>
        </w:tc>
        <w:tc>
          <w:tcPr>
            <w:tcW w:w="4675" w:type="dxa"/>
            <w:shd w:val="clear" w:color="auto" w:fill="D9E2F3" w:themeFill="accent1" w:themeFillTint="33"/>
          </w:tcPr>
          <w:p w14:paraId="580D9074" w14:textId="0E3D6D64" w:rsidR="00125244" w:rsidRPr="00B538DE" w:rsidRDefault="00546D47" w:rsidP="00B538DE">
            <w:pPr>
              <w:pStyle w:val="Bullet"/>
              <w:numPr>
                <w:ilvl w:val="0"/>
                <w:numId w:val="0"/>
              </w:numPr>
              <w:jc w:val="center"/>
              <w:rPr>
                <w:b/>
                <w:bCs/>
                <w:sz w:val="22"/>
                <w:szCs w:val="20"/>
              </w:rPr>
            </w:pPr>
            <w:r w:rsidRPr="00B538DE">
              <w:rPr>
                <w:b/>
                <w:bCs/>
                <w:sz w:val="22"/>
                <w:szCs w:val="20"/>
              </w:rPr>
              <w:t>Monthly Premium Cost</w:t>
            </w:r>
          </w:p>
        </w:tc>
      </w:tr>
      <w:tr w:rsidR="00125244" w:rsidRPr="00B538DE" w14:paraId="01EB6F1A" w14:textId="77777777" w:rsidTr="00125244">
        <w:tc>
          <w:tcPr>
            <w:tcW w:w="4675" w:type="dxa"/>
          </w:tcPr>
          <w:p w14:paraId="07E02E1E" w14:textId="182461C9" w:rsidR="00125244" w:rsidRPr="00B538DE" w:rsidRDefault="00A3284C" w:rsidP="00B538DE">
            <w:pPr>
              <w:pStyle w:val="Bullet"/>
              <w:numPr>
                <w:ilvl w:val="0"/>
                <w:numId w:val="0"/>
              </w:numPr>
              <w:jc w:val="center"/>
              <w:rPr>
                <w:sz w:val="22"/>
                <w:szCs w:val="20"/>
              </w:rPr>
            </w:pPr>
            <w:r w:rsidRPr="00B538DE">
              <w:rPr>
                <w:sz w:val="22"/>
                <w:szCs w:val="20"/>
              </w:rPr>
              <w:t>Above 150% to 160%</w:t>
            </w:r>
          </w:p>
        </w:tc>
        <w:tc>
          <w:tcPr>
            <w:tcW w:w="4675" w:type="dxa"/>
          </w:tcPr>
          <w:p w14:paraId="3E55F02B" w14:textId="3A0BF4EB" w:rsidR="00125244" w:rsidRPr="00B538DE" w:rsidRDefault="00546D47" w:rsidP="00B538DE">
            <w:pPr>
              <w:pStyle w:val="Bullet"/>
              <w:numPr>
                <w:ilvl w:val="0"/>
                <w:numId w:val="0"/>
              </w:numPr>
              <w:jc w:val="center"/>
              <w:rPr>
                <w:sz w:val="22"/>
                <w:szCs w:val="20"/>
              </w:rPr>
            </w:pPr>
            <w:r w:rsidRPr="00B538DE">
              <w:rPr>
                <w:sz w:val="22"/>
                <w:szCs w:val="20"/>
              </w:rPr>
              <w:t>$15</w:t>
            </w:r>
          </w:p>
        </w:tc>
      </w:tr>
      <w:tr w:rsidR="00125244" w:rsidRPr="00B538DE" w14:paraId="024D3A75" w14:textId="77777777" w:rsidTr="00125244">
        <w:tc>
          <w:tcPr>
            <w:tcW w:w="4675" w:type="dxa"/>
          </w:tcPr>
          <w:p w14:paraId="4011E4E1" w14:textId="34439762" w:rsidR="00125244" w:rsidRPr="00B538DE" w:rsidRDefault="00546D47" w:rsidP="00B538DE">
            <w:pPr>
              <w:pStyle w:val="Bullet"/>
              <w:numPr>
                <w:ilvl w:val="0"/>
                <w:numId w:val="0"/>
              </w:numPr>
              <w:jc w:val="center"/>
              <w:rPr>
                <w:sz w:val="22"/>
                <w:szCs w:val="20"/>
              </w:rPr>
            </w:pPr>
            <w:r w:rsidRPr="00B538DE">
              <w:rPr>
                <w:sz w:val="22"/>
                <w:szCs w:val="20"/>
              </w:rPr>
              <w:t>Above 160% to 170%</w:t>
            </w:r>
          </w:p>
        </w:tc>
        <w:tc>
          <w:tcPr>
            <w:tcW w:w="4675" w:type="dxa"/>
          </w:tcPr>
          <w:p w14:paraId="09865A92" w14:textId="4426554E" w:rsidR="00125244" w:rsidRPr="00B538DE" w:rsidRDefault="00546D47" w:rsidP="00B538DE">
            <w:pPr>
              <w:pStyle w:val="Bullet"/>
              <w:numPr>
                <w:ilvl w:val="0"/>
                <w:numId w:val="0"/>
              </w:numPr>
              <w:jc w:val="center"/>
              <w:rPr>
                <w:sz w:val="22"/>
                <w:szCs w:val="20"/>
              </w:rPr>
            </w:pPr>
            <w:r w:rsidRPr="00B538DE">
              <w:rPr>
                <w:sz w:val="22"/>
                <w:szCs w:val="20"/>
              </w:rPr>
              <w:t>$20</w:t>
            </w:r>
          </w:p>
        </w:tc>
      </w:tr>
      <w:tr w:rsidR="00125244" w:rsidRPr="00B538DE" w14:paraId="7C946288" w14:textId="77777777" w:rsidTr="00125244">
        <w:tc>
          <w:tcPr>
            <w:tcW w:w="4675" w:type="dxa"/>
          </w:tcPr>
          <w:p w14:paraId="67C83C72" w14:textId="4EEBE9D6" w:rsidR="00125244" w:rsidRPr="00B538DE" w:rsidRDefault="00546D47" w:rsidP="00B538DE">
            <w:pPr>
              <w:pStyle w:val="Bullet"/>
              <w:numPr>
                <w:ilvl w:val="0"/>
                <w:numId w:val="0"/>
              </w:numPr>
              <w:jc w:val="center"/>
              <w:rPr>
                <w:sz w:val="22"/>
                <w:szCs w:val="20"/>
              </w:rPr>
            </w:pPr>
            <w:r w:rsidRPr="00B538DE">
              <w:rPr>
                <w:sz w:val="22"/>
                <w:szCs w:val="20"/>
              </w:rPr>
              <w:t>Above 170% to 180%</w:t>
            </w:r>
          </w:p>
        </w:tc>
        <w:tc>
          <w:tcPr>
            <w:tcW w:w="4675" w:type="dxa"/>
          </w:tcPr>
          <w:p w14:paraId="07C3C620" w14:textId="0026F7C6" w:rsidR="00125244" w:rsidRPr="00B538DE" w:rsidRDefault="00546D47" w:rsidP="00B538DE">
            <w:pPr>
              <w:pStyle w:val="Bullet"/>
              <w:numPr>
                <w:ilvl w:val="0"/>
                <w:numId w:val="0"/>
              </w:numPr>
              <w:jc w:val="center"/>
              <w:rPr>
                <w:sz w:val="22"/>
                <w:szCs w:val="20"/>
              </w:rPr>
            </w:pPr>
            <w:r w:rsidRPr="00B538DE">
              <w:rPr>
                <w:sz w:val="22"/>
                <w:szCs w:val="20"/>
              </w:rPr>
              <w:t>$25</w:t>
            </w:r>
          </w:p>
        </w:tc>
      </w:tr>
      <w:tr w:rsidR="00125244" w:rsidRPr="00B538DE" w14:paraId="0DB86064" w14:textId="77777777" w:rsidTr="00125244">
        <w:tc>
          <w:tcPr>
            <w:tcW w:w="4675" w:type="dxa"/>
          </w:tcPr>
          <w:p w14:paraId="6395025A" w14:textId="37CE6321" w:rsidR="00125244" w:rsidRPr="00B538DE" w:rsidRDefault="00546D47" w:rsidP="00B538DE">
            <w:pPr>
              <w:pStyle w:val="Bullet"/>
              <w:numPr>
                <w:ilvl w:val="0"/>
                <w:numId w:val="0"/>
              </w:numPr>
              <w:jc w:val="center"/>
              <w:rPr>
                <w:sz w:val="22"/>
                <w:szCs w:val="20"/>
              </w:rPr>
            </w:pPr>
            <w:r w:rsidRPr="00B538DE">
              <w:rPr>
                <w:sz w:val="22"/>
                <w:szCs w:val="20"/>
              </w:rPr>
              <w:t>Above 180% to 190%</w:t>
            </w:r>
          </w:p>
        </w:tc>
        <w:tc>
          <w:tcPr>
            <w:tcW w:w="4675" w:type="dxa"/>
          </w:tcPr>
          <w:p w14:paraId="668815C7" w14:textId="049CF07E" w:rsidR="00125244" w:rsidRPr="00B538DE" w:rsidRDefault="00546D47" w:rsidP="00B538DE">
            <w:pPr>
              <w:pStyle w:val="Bullet"/>
              <w:numPr>
                <w:ilvl w:val="0"/>
                <w:numId w:val="0"/>
              </w:numPr>
              <w:jc w:val="center"/>
              <w:rPr>
                <w:sz w:val="22"/>
                <w:szCs w:val="20"/>
              </w:rPr>
            </w:pPr>
            <w:r w:rsidRPr="00B538DE">
              <w:rPr>
                <w:sz w:val="22"/>
                <w:szCs w:val="20"/>
              </w:rPr>
              <w:t>$30</w:t>
            </w:r>
          </w:p>
        </w:tc>
      </w:tr>
      <w:tr w:rsidR="00125244" w:rsidRPr="00B538DE" w14:paraId="11ABD187" w14:textId="77777777" w:rsidTr="00125244">
        <w:tc>
          <w:tcPr>
            <w:tcW w:w="4675" w:type="dxa"/>
          </w:tcPr>
          <w:p w14:paraId="7556A1C9" w14:textId="50677D45" w:rsidR="00125244" w:rsidRPr="00B538DE" w:rsidRDefault="00546D47" w:rsidP="00B538DE">
            <w:pPr>
              <w:pStyle w:val="Bullet"/>
              <w:numPr>
                <w:ilvl w:val="0"/>
                <w:numId w:val="0"/>
              </w:numPr>
              <w:jc w:val="center"/>
              <w:rPr>
                <w:sz w:val="22"/>
                <w:szCs w:val="20"/>
              </w:rPr>
            </w:pPr>
            <w:r w:rsidRPr="00B538DE">
              <w:rPr>
                <w:sz w:val="22"/>
                <w:szCs w:val="20"/>
              </w:rPr>
              <w:t>Above 190% to 200%</w:t>
            </w:r>
          </w:p>
        </w:tc>
        <w:tc>
          <w:tcPr>
            <w:tcW w:w="4675" w:type="dxa"/>
          </w:tcPr>
          <w:p w14:paraId="17898479" w14:textId="3F896147" w:rsidR="00125244" w:rsidRPr="00B538DE" w:rsidRDefault="00546D47" w:rsidP="00B538DE">
            <w:pPr>
              <w:pStyle w:val="Bullet"/>
              <w:numPr>
                <w:ilvl w:val="0"/>
                <w:numId w:val="0"/>
              </w:numPr>
              <w:jc w:val="center"/>
              <w:rPr>
                <w:sz w:val="22"/>
                <w:szCs w:val="20"/>
              </w:rPr>
            </w:pPr>
            <w:r w:rsidRPr="00B538DE">
              <w:rPr>
                <w:sz w:val="22"/>
                <w:szCs w:val="20"/>
              </w:rPr>
              <w:t>$35</w:t>
            </w:r>
          </w:p>
        </w:tc>
      </w:tr>
    </w:tbl>
    <w:p w14:paraId="0B93DECC" w14:textId="77777777" w:rsidR="00F8080A" w:rsidRPr="00B538DE" w:rsidRDefault="00F8080A" w:rsidP="00634D57">
      <w:pPr>
        <w:pStyle w:val="Bullet"/>
        <w:numPr>
          <w:ilvl w:val="0"/>
          <w:numId w:val="0"/>
        </w:numPr>
        <w:spacing w:after="24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46D47" w:rsidRPr="00B538DE" w14:paraId="4D2C95AD" w14:textId="77777777" w:rsidTr="00CF1F8B">
        <w:tc>
          <w:tcPr>
            <w:tcW w:w="9350" w:type="dxa"/>
            <w:gridSpan w:val="2"/>
            <w:shd w:val="clear" w:color="auto" w:fill="D9E2F3" w:themeFill="accent1" w:themeFillTint="33"/>
          </w:tcPr>
          <w:p w14:paraId="62FE3463" w14:textId="319F8CE0" w:rsidR="00546D47" w:rsidRPr="00B538DE" w:rsidRDefault="00546D47" w:rsidP="00FE248C">
            <w:pPr>
              <w:pStyle w:val="Bullet"/>
              <w:numPr>
                <w:ilvl w:val="0"/>
                <w:numId w:val="0"/>
              </w:numPr>
              <w:jc w:val="center"/>
              <w:rPr>
                <w:b/>
                <w:bCs/>
                <w:sz w:val="22"/>
                <w:szCs w:val="20"/>
              </w:rPr>
            </w:pPr>
            <w:r w:rsidRPr="00B538DE">
              <w:rPr>
                <w:b/>
                <w:bCs/>
                <w:sz w:val="22"/>
                <w:szCs w:val="20"/>
              </w:rPr>
              <w:t>Table 7: Family Assistance for HIV+ Adults Supplemental Premium Formula for members with TPL and who do not receive MassHealth Premium Assistance</w:t>
            </w:r>
          </w:p>
        </w:tc>
      </w:tr>
      <w:tr w:rsidR="00546D47" w:rsidRPr="00B538DE" w14:paraId="78C2E3B1" w14:textId="77777777" w:rsidTr="00CF1F8B">
        <w:tc>
          <w:tcPr>
            <w:tcW w:w="4675" w:type="dxa"/>
            <w:shd w:val="clear" w:color="auto" w:fill="D9E2F3" w:themeFill="accent1" w:themeFillTint="33"/>
          </w:tcPr>
          <w:p w14:paraId="4276F446" w14:textId="13C9B7A6" w:rsidR="00546D47" w:rsidRPr="00B538DE" w:rsidRDefault="00546D47" w:rsidP="00B538DE">
            <w:pPr>
              <w:pStyle w:val="Bullet"/>
              <w:numPr>
                <w:ilvl w:val="0"/>
                <w:numId w:val="0"/>
              </w:numPr>
              <w:jc w:val="center"/>
              <w:rPr>
                <w:sz w:val="22"/>
                <w:szCs w:val="20"/>
              </w:rPr>
            </w:pPr>
            <w:r w:rsidRPr="00B538DE">
              <w:rPr>
                <w:b/>
                <w:bCs/>
                <w:sz w:val="22"/>
                <w:szCs w:val="20"/>
              </w:rPr>
              <w:t>% of FPL</w:t>
            </w:r>
          </w:p>
        </w:tc>
        <w:tc>
          <w:tcPr>
            <w:tcW w:w="4675" w:type="dxa"/>
            <w:shd w:val="clear" w:color="auto" w:fill="D9E2F3" w:themeFill="accent1" w:themeFillTint="33"/>
          </w:tcPr>
          <w:p w14:paraId="688606E1" w14:textId="5C03FA13" w:rsidR="00546D47" w:rsidRPr="00B538DE" w:rsidRDefault="00546D47" w:rsidP="00B538DE">
            <w:pPr>
              <w:pStyle w:val="Bullet"/>
              <w:numPr>
                <w:ilvl w:val="0"/>
                <w:numId w:val="0"/>
              </w:numPr>
              <w:jc w:val="center"/>
              <w:rPr>
                <w:sz w:val="22"/>
                <w:szCs w:val="20"/>
              </w:rPr>
            </w:pPr>
            <w:r w:rsidRPr="00B538DE">
              <w:rPr>
                <w:b/>
                <w:bCs/>
                <w:sz w:val="22"/>
                <w:szCs w:val="20"/>
              </w:rPr>
              <w:t>Monthly Premium Cost</w:t>
            </w:r>
          </w:p>
        </w:tc>
      </w:tr>
      <w:tr w:rsidR="00546D47" w:rsidRPr="00B538DE" w14:paraId="64519B39" w14:textId="77777777" w:rsidTr="5643ED9D">
        <w:tc>
          <w:tcPr>
            <w:tcW w:w="4675" w:type="dxa"/>
          </w:tcPr>
          <w:p w14:paraId="67A5E41A" w14:textId="62FD0C91" w:rsidR="00546D47" w:rsidRPr="00B538DE" w:rsidRDefault="00546D47" w:rsidP="00B538DE">
            <w:pPr>
              <w:pStyle w:val="Bullet"/>
              <w:numPr>
                <w:ilvl w:val="0"/>
                <w:numId w:val="0"/>
              </w:numPr>
              <w:jc w:val="center"/>
              <w:rPr>
                <w:sz w:val="22"/>
                <w:szCs w:val="20"/>
              </w:rPr>
            </w:pPr>
            <w:r w:rsidRPr="00B538DE">
              <w:rPr>
                <w:sz w:val="22"/>
                <w:szCs w:val="20"/>
              </w:rPr>
              <w:t>Above 150% to 200%</w:t>
            </w:r>
          </w:p>
        </w:tc>
        <w:tc>
          <w:tcPr>
            <w:tcW w:w="4675" w:type="dxa"/>
          </w:tcPr>
          <w:p w14:paraId="622C9B60" w14:textId="60BE248C" w:rsidR="00546D47" w:rsidRPr="00B538DE" w:rsidRDefault="00546D47" w:rsidP="00B538DE">
            <w:pPr>
              <w:pStyle w:val="Bullet"/>
              <w:numPr>
                <w:ilvl w:val="0"/>
                <w:numId w:val="0"/>
              </w:numPr>
              <w:jc w:val="center"/>
              <w:rPr>
                <w:sz w:val="22"/>
                <w:szCs w:val="20"/>
              </w:rPr>
            </w:pPr>
            <w:r w:rsidRPr="00B538DE">
              <w:rPr>
                <w:sz w:val="22"/>
                <w:szCs w:val="20"/>
              </w:rPr>
              <w:t>60% of full premium</w:t>
            </w:r>
          </w:p>
        </w:tc>
      </w:tr>
    </w:tbl>
    <w:p w14:paraId="70E61A0A" w14:textId="77777777" w:rsidR="00650A17" w:rsidRPr="00B538DE" w:rsidRDefault="00650A17" w:rsidP="0030227A">
      <w:pPr>
        <w:pStyle w:val="Bullet"/>
        <w:numPr>
          <w:ilvl w:val="0"/>
          <w:numId w:val="0"/>
        </w:numPr>
      </w:pPr>
    </w:p>
    <w:sectPr w:rsidR="00650A17" w:rsidRPr="00B538DE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D7B8E" w14:textId="77777777" w:rsidR="00207071" w:rsidRDefault="00207071" w:rsidP="00BC3BE5">
      <w:r>
        <w:separator/>
      </w:r>
    </w:p>
  </w:endnote>
  <w:endnote w:type="continuationSeparator" w:id="0">
    <w:p w14:paraId="18272608" w14:textId="77777777" w:rsidR="00207071" w:rsidRDefault="00207071" w:rsidP="00BC3BE5">
      <w:r>
        <w:continuationSeparator/>
      </w:r>
    </w:p>
  </w:endnote>
  <w:endnote w:type="continuationNotice" w:id="1">
    <w:p w14:paraId="396FAA3F" w14:textId="77777777" w:rsidR="00207071" w:rsidRDefault="00207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FEC16" w14:textId="27E4F906" w:rsidR="00BD4AB3" w:rsidRDefault="00BD4AB3" w:rsidP="00BC3BE5">
    <w:pPr>
      <w:pStyle w:val="Footer"/>
      <w:rPr>
        <w:sz w:val="20"/>
        <w:szCs w:val="20"/>
      </w:rPr>
    </w:pPr>
    <w:r w:rsidRPr="00B65789">
      <w:rPr>
        <w:sz w:val="20"/>
        <w:szCs w:val="20"/>
      </w:rPr>
      <w:t xml:space="preserve">MassHealth Medicaid </w:t>
    </w:r>
    <w:r w:rsidR="008B06AD">
      <w:rPr>
        <w:sz w:val="20"/>
        <w:szCs w:val="20"/>
      </w:rPr>
      <w:t xml:space="preserve">and CHIP </w:t>
    </w:r>
    <w:r w:rsidRPr="00B65789">
      <w:rPr>
        <w:sz w:val="20"/>
        <w:szCs w:val="20"/>
      </w:rPr>
      <w:t>Section 1115 Demonstration</w:t>
    </w:r>
  </w:p>
  <w:p w14:paraId="54E0DADD" w14:textId="3103EEE0" w:rsidR="00BD4AB3" w:rsidRDefault="00BD4AB3" w:rsidP="00BC3BE5">
    <w:pPr>
      <w:pStyle w:val="Footer"/>
    </w:pPr>
    <w:r w:rsidRPr="0046384F">
      <w:rPr>
        <w:sz w:val="20"/>
        <w:szCs w:val="20"/>
      </w:rPr>
      <w:t>Demonstration Approval Period:</w:t>
    </w:r>
    <w:r>
      <w:rPr>
        <w:sz w:val="20"/>
        <w:szCs w:val="20"/>
      </w:rPr>
      <w:t xml:space="preserve"> October 1</w:t>
    </w:r>
    <w:r w:rsidRPr="0046384F">
      <w:rPr>
        <w:sz w:val="20"/>
        <w:szCs w:val="20"/>
      </w:rPr>
      <w:t xml:space="preserve">, </w:t>
    </w:r>
    <w:proofErr w:type="gramStart"/>
    <w:r w:rsidRPr="0046384F">
      <w:rPr>
        <w:sz w:val="20"/>
        <w:szCs w:val="20"/>
      </w:rPr>
      <w:t>20</w:t>
    </w:r>
    <w:r>
      <w:rPr>
        <w:sz w:val="20"/>
        <w:szCs w:val="20"/>
      </w:rPr>
      <w:t>22</w:t>
    </w:r>
    <w:proofErr w:type="gramEnd"/>
    <w:r w:rsidRPr="0046384F">
      <w:rPr>
        <w:sz w:val="20"/>
        <w:szCs w:val="20"/>
      </w:rPr>
      <w:t xml:space="preserve"> through </w:t>
    </w:r>
    <w:r>
      <w:rPr>
        <w:sz w:val="20"/>
        <w:szCs w:val="20"/>
      </w:rPr>
      <w:t>December 31</w:t>
    </w:r>
    <w:r w:rsidRPr="0046384F">
      <w:rPr>
        <w:sz w:val="20"/>
        <w:szCs w:val="20"/>
      </w:rPr>
      <w:t>, 202</w:t>
    </w:r>
    <w:r>
      <w:rPr>
        <w:sz w:val="20"/>
        <w:szCs w:val="20"/>
      </w:rPr>
      <w:t>7</w:t>
    </w:r>
    <w:r w:rsidR="008B06AD" w:rsidRPr="008B06AD">
      <w:rPr>
        <w:sz w:val="20"/>
        <w:szCs w:val="20"/>
      </w:rPr>
      <w:t xml:space="preserve"> </w:t>
    </w:r>
    <w:r w:rsidR="008B06AD">
      <w:rPr>
        <w:sz w:val="20"/>
        <w:szCs w:val="20"/>
      </w:rPr>
      <w:tab/>
    </w:r>
    <w:r w:rsidR="008B06AD" w:rsidRPr="00A83C9B">
      <w:rPr>
        <w:sz w:val="20"/>
        <w:szCs w:val="20"/>
      </w:rPr>
      <w:t xml:space="preserve">Page </w:t>
    </w:r>
    <w:r w:rsidR="008B06AD" w:rsidRPr="00A83C9B">
      <w:rPr>
        <w:b/>
        <w:bCs/>
        <w:sz w:val="20"/>
        <w:szCs w:val="20"/>
      </w:rPr>
      <w:fldChar w:fldCharType="begin"/>
    </w:r>
    <w:r w:rsidR="008B06AD" w:rsidRPr="00A83C9B">
      <w:rPr>
        <w:b/>
        <w:bCs/>
        <w:sz w:val="20"/>
        <w:szCs w:val="20"/>
      </w:rPr>
      <w:instrText xml:space="preserve"> PAGE  \* Arabic  \* MERGEFORMAT </w:instrText>
    </w:r>
    <w:r w:rsidR="008B06AD" w:rsidRPr="00A83C9B">
      <w:rPr>
        <w:b/>
        <w:bCs/>
        <w:sz w:val="20"/>
        <w:szCs w:val="20"/>
      </w:rPr>
      <w:fldChar w:fldCharType="separate"/>
    </w:r>
    <w:r w:rsidR="008B06AD">
      <w:rPr>
        <w:b/>
        <w:bCs/>
        <w:sz w:val="20"/>
        <w:szCs w:val="20"/>
      </w:rPr>
      <w:t>2</w:t>
    </w:r>
    <w:r w:rsidR="008B06AD" w:rsidRPr="00A83C9B">
      <w:rPr>
        <w:b/>
        <w:bCs/>
        <w:sz w:val="20"/>
        <w:szCs w:val="20"/>
      </w:rPr>
      <w:fldChar w:fldCharType="end"/>
    </w:r>
    <w:r w:rsidR="008B06AD" w:rsidRPr="00A83C9B">
      <w:rPr>
        <w:sz w:val="20"/>
        <w:szCs w:val="20"/>
      </w:rPr>
      <w:t xml:space="preserve"> of </w:t>
    </w:r>
    <w:r w:rsidR="008B06AD" w:rsidRPr="00A83C9B">
      <w:rPr>
        <w:b/>
        <w:bCs/>
        <w:sz w:val="20"/>
        <w:szCs w:val="20"/>
      </w:rPr>
      <w:fldChar w:fldCharType="begin"/>
    </w:r>
    <w:r w:rsidR="008B06AD" w:rsidRPr="00A83C9B">
      <w:rPr>
        <w:b/>
        <w:bCs/>
        <w:sz w:val="20"/>
        <w:szCs w:val="20"/>
      </w:rPr>
      <w:instrText xml:space="preserve"> NUMPAGES  \* Arabic  \* MERGEFORMAT </w:instrText>
    </w:r>
    <w:r w:rsidR="008B06AD" w:rsidRPr="00A83C9B">
      <w:rPr>
        <w:b/>
        <w:bCs/>
        <w:sz w:val="20"/>
        <w:szCs w:val="20"/>
      </w:rPr>
      <w:fldChar w:fldCharType="separate"/>
    </w:r>
    <w:r w:rsidR="008B06AD">
      <w:rPr>
        <w:b/>
        <w:bCs/>
        <w:sz w:val="20"/>
        <w:szCs w:val="20"/>
      </w:rPr>
      <w:t>3</w:t>
    </w:r>
    <w:r w:rsidR="008B06AD" w:rsidRPr="00A83C9B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B78B7" w14:textId="77777777" w:rsidR="00207071" w:rsidRDefault="00207071" w:rsidP="00BC3BE5">
      <w:r>
        <w:separator/>
      </w:r>
    </w:p>
  </w:footnote>
  <w:footnote w:type="continuationSeparator" w:id="0">
    <w:p w14:paraId="520D21AE" w14:textId="77777777" w:rsidR="00207071" w:rsidRDefault="00207071" w:rsidP="00BC3BE5">
      <w:r>
        <w:continuationSeparator/>
      </w:r>
    </w:p>
  </w:footnote>
  <w:footnote w:type="continuationNotice" w:id="1">
    <w:p w14:paraId="7D40588E" w14:textId="77777777" w:rsidR="00207071" w:rsidRDefault="002070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E0B28" w14:textId="77777777" w:rsidR="00BD4AB3" w:rsidRPr="00BC3BE5" w:rsidRDefault="00BD4AB3">
    <w:pPr>
      <w:pStyle w:val="Header"/>
      <w:rPr>
        <w:sz w:val="20"/>
      </w:rPr>
    </w:pPr>
    <w:r w:rsidRPr="00BC3BE5">
      <w:rPr>
        <w:sz w:val="20"/>
      </w:rPr>
      <w:t>Attachment 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9516C"/>
    <w:multiLevelType w:val="hybridMultilevel"/>
    <w:tmpl w:val="BF98AAFE"/>
    <w:name w:val="STC222"/>
    <w:lvl w:ilvl="0" w:tplc="C01A2A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8F093A"/>
    <w:multiLevelType w:val="multilevel"/>
    <w:tmpl w:val="2190EFAA"/>
    <w:styleLink w:val="VTST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color w:val="auto"/>
        <w:sz w:val="24"/>
        <w:u w:val="none"/>
      </w:rPr>
    </w:lvl>
    <w:lvl w:ilvl="1">
      <w:start w:val="1"/>
      <w:numFmt w:val="decimal"/>
      <w:lvlText w:val="%1.%2"/>
      <w:lvlJc w:val="right"/>
      <w:pPr>
        <w:tabs>
          <w:tab w:val="num" w:pos="720"/>
        </w:tabs>
        <w:ind w:left="720" w:hanging="360"/>
      </w:pPr>
      <w:rPr>
        <w:rFonts w:ascii="Times New Roman Bold" w:hAnsi="Times New Roman Bold" w:hint="default"/>
        <w:b/>
        <w:i w:val="0"/>
        <w:color w:val="auto"/>
        <w:sz w:val="24"/>
        <w:u w:val="none"/>
      </w:rPr>
    </w:lvl>
    <w:lvl w:ilvl="2">
      <w:start w:val="1"/>
      <w:numFmt w:val="lowerLetter"/>
      <w:lvlRestart w:val="0"/>
      <w:lvlText w:val="(%3)"/>
      <w:lvlJc w:val="righ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3">
      <w:start w:val="1"/>
      <w:numFmt w:val="none"/>
      <w:lvlRestart w:val="0"/>
      <w:lvlText w:val="(1)"/>
      <w:lvlJc w:val="righ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4">
      <w:start w:val="1"/>
      <w:numFmt w:val="none"/>
      <w:lvlRestart w:val="0"/>
      <w:lvlText w:val="(i)"/>
      <w:lvlJc w:val="righ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5">
      <w:start w:val="1"/>
      <w:numFmt w:val="upperLetter"/>
      <w:lvlRestart w:val="0"/>
      <w:lvlText w:val="(%6)"/>
      <w:lvlJc w:val="righ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6">
      <w:start w:val="1"/>
      <w:numFmt w:val="decimal"/>
      <w:lvlRestart w:val="0"/>
      <w:lvlText w:val="(%7)"/>
      <w:lvlJc w:val="right"/>
      <w:pPr>
        <w:tabs>
          <w:tab w:val="num" w:pos="2520"/>
        </w:tabs>
        <w:ind w:left="2520" w:hanging="36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7">
      <w:start w:val="1"/>
      <w:numFmt w:val="lowerRoman"/>
      <w:lvlRestart w:val="0"/>
      <w:lvlText w:val="(%8)"/>
      <w:lvlJc w:val="righ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8">
      <w:start w:val="1"/>
      <w:numFmt w:val="lowerLetter"/>
      <w:lvlRestart w:val="0"/>
      <w:lvlText w:val="(%9)"/>
      <w:lvlJc w:val="right"/>
      <w:pPr>
        <w:tabs>
          <w:tab w:val="num" w:pos="3240"/>
        </w:tabs>
        <w:ind w:left="3240" w:hanging="36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</w:abstractNum>
  <w:abstractNum w:abstractNumId="2" w15:restartNumberingAfterBreak="0">
    <w:nsid w:val="28BF5780"/>
    <w:multiLevelType w:val="multilevel"/>
    <w:tmpl w:val="6D74802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1">
      <w:start w:val="1"/>
      <w:numFmt w:val="lowerLetter"/>
      <w:pStyle w:val="NListEXAutha"/>
      <w:lvlText w:val="%2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ascii="Times New Roman" w:hAnsi="Times New Roman" w:hint="default"/>
        <w:b w:val="0"/>
        <w:i w:val="0"/>
        <w:color w:val="auto"/>
        <w:sz w:val="24"/>
      </w:rPr>
    </w:lvl>
  </w:abstractNum>
  <w:abstractNum w:abstractNumId="3" w15:restartNumberingAfterBreak="0">
    <w:nsid w:val="2FB26EA3"/>
    <w:multiLevelType w:val="multilevel"/>
    <w:tmpl w:val="B656731E"/>
    <w:lvl w:ilvl="0">
      <w:start w:val="1"/>
      <w:numFmt w:val="none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360" w:hanging="180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Restart w:val="1"/>
      <w:pStyle w:val="NListExAuth1"/>
      <w:lvlText w:val="%3."/>
      <w:lvlJc w:val="right"/>
      <w:pPr>
        <w:ind w:left="360" w:hanging="180"/>
      </w:pPr>
      <w:rPr>
        <w:rFonts w:ascii="Times New Roman" w:hAnsi="Times New Roman" w:cs="Times New Roman" w:hint="default"/>
        <w:b w:val="0"/>
        <w:bCs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4">
      <w:start w:val="1"/>
      <w:numFmt w:val="lowerRoman"/>
      <w:lvlText w:val="%5."/>
      <w:lvlJc w:val="right"/>
      <w:pPr>
        <w:ind w:left="1800" w:hanging="18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Roman"/>
      <w:lvlText w:val="%8."/>
      <w:lvlJc w:val="right"/>
      <w:pPr>
        <w:ind w:left="3960" w:hanging="18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FE87779"/>
    <w:multiLevelType w:val="multilevel"/>
    <w:tmpl w:val="5864777A"/>
    <w:lvl w:ilvl="0">
      <w:start w:val="1"/>
      <w:numFmt w:val="none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List1STC1"/>
      <w:lvlText w:val="%2."/>
      <w:lvlJc w:val="right"/>
      <w:pPr>
        <w:ind w:left="360" w:hanging="180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pStyle w:val="NList2STC11"/>
      <w:lvlText w:val="%2.%3."/>
      <w:lvlJc w:val="right"/>
      <w:pPr>
        <w:ind w:left="630" w:hanging="180"/>
      </w:pPr>
      <w:rPr>
        <w:rFonts w:ascii="Times New Roman" w:hAnsi="Times New Roman" w:cs="Times New Roman" w:hint="default"/>
        <w:b w:val="0"/>
        <w:bCs/>
      </w:rPr>
    </w:lvl>
    <w:lvl w:ilvl="3">
      <w:start w:val="1"/>
      <w:numFmt w:val="lowerLetter"/>
      <w:pStyle w:val="NList3STCa"/>
      <w:lvlText w:val="%4."/>
      <w:lvlJc w:val="left"/>
      <w:pPr>
        <w:ind w:left="1170" w:hanging="360"/>
      </w:pPr>
      <w:rPr>
        <w:rFonts w:ascii="Times New Roman" w:hAnsi="Times New Roman" w:cs="Times New Roman" w:hint="default"/>
        <w:b w:val="0"/>
        <w:bCs/>
      </w:rPr>
    </w:lvl>
    <w:lvl w:ilvl="4">
      <w:start w:val="1"/>
      <w:numFmt w:val="lowerRoman"/>
      <w:pStyle w:val="NList4STCi"/>
      <w:lvlText w:val="%5."/>
      <w:lvlJc w:val="right"/>
      <w:pPr>
        <w:ind w:left="1800" w:hanging="180"/>
      </w:pPr>
      <w:rPr>
        <w:rFonts w:ascii="Times New Roman" w:hAnsi="Times New Roman" w:cs="Times New Roman" w:hint="default"/>
        <w:b w:val="0"/>
      </w:rPr>
    </w:lvl>
    <w:lvl w:ilvl="5">
      <w:start w:val="1"/>
      <w:numFmt w:val="decimal"/>
      <w:pStyle w:val="NList5STC1"/>
      <w:lvlText w:val="%6."/>
      <w:lvlJc w:val="left"/>
      <w:pPr>
        <w:ind w:left="2520" w:hanging="360"/>
      </w:pPr>
      <w:rPr>
        <w:rFonts w:hint="default"/>
        <w:b w:val="0"/>
        <w:bCs/>
      </w:rPr>
    </w:lvl>
    <w:lvl w:ilvl="6">
      <w:start w:val="1"/>
      <w:numFmt w:val="lowerLetter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Roman"/>
      <w:lvlText w:val="%8."/>
      <w:lvlJc w:val="right"/>
      <w:pPr>
        <w:ind w:left="3960" w:hanging="18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57522556"/>
    <w:multiLevelType w:val="hybridMultilevel"/>
    <w:tmpl w:val="0B005E1E"/>
    <w:lvl w:ilvl="0" w:tplc="16FAC108">
      <w:numFmt w:val="bullet"/>
      <w:lvlText w:val="*"/>
      <w:lvlJc w:val="left"/>
      <w:pPr>
        <w:ind w:left="315" w:hanging="180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</w:rPr>
    </w:lvl>
    <w:lvl w:ilvl="1" w:tplc="C16A7F3A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72C20F1E">
      <w:numFmt w:val="bullet"/>
      <w:lvlText w:val="•"/>
      <w:lvlJc w:val="left"/>
      <w:pPr>
        <w:ind w:left="1862" w:hanging="360"/>
      </w:pPr>
      <w:rPr>
        <w:rFonts w:hint="default"/>
      </w:rPr>
    </w:lvl>
    <w:lvl w:ilvl="3" w:tplc="3BB4C53C">
      <w:numFmt w:val="bullet"/>
      <w:lvlText w:val="•"/>
      <w:lvlJc w:val="left"/>
      <w:pPr>
        <w:ind w:left="2884" w:hanging="360"/>
      </w:pPr>
      <w:rPr>
        <w:rFonts w:hint="default"/>
      </w:rPr>
    </w:lvl>
    <w:lvl w:ilvl="4" w:tplc="1D967F2C">
      <w:numFmt w:val="bullet"/>
      <w:lvlText w:val="•"/>
      <w:lvlJc w:val="left"/>
      <w:pPr>
        <w:ind w:left="3906" w:hanging="360"/>
      </w:pPr>
      <w:rPr>
        <w:rFonts w:hint="default"/>
      </w:rPr>
    </w:lvl>
    <w:lvl w:ilvl="5" w:tplc="24C641A8">
      <w:numFmt w:val="bullet"/>
      <w:lvlText w:val="•"/>
      <w:lvlJc w:val="left"/>
      <w:pPr>
        <w:ind w:left="4928" w:hanging="360"/>
      </w:pPr>
      <w:rPr>
        <w:rFonts w:hint="default"/>
      </w:rPr>
    </w:lvl>
    <w:lvl w:ilvl="6" w:tplc="2E48FE5E">
      <w:numFmt w:val="bullet"/>
      <w:lvlText w:val="•"/>
      <w:lvlJc w:val="left"/>
      <w:pPr>
        <w:ind w:left="5951" w:hanging="360"/>
      </w:pPr>
      <w:rPr>
        <w:rFonts w:hint="default"/>
      </w:rPr>
    </w:lvl>
    <w:lvl w:ilvl="7" w:tplc="EB56E56E">
      <w:numFmt w:val="bullet"/>
      <w:lvlText w:val="•"/>
      <w:lvlJc w:val="left"/>
      <w:pPr>
        <w:ind w:left="6973" w:hanging="360"/>
      </w:pPr>
      <w:rPr>
        <w:rFonts w:hint="default"/>
      </w:rPr>
    </w:lvl>
    <w:lvl w:ilvl="8" w:tplc="307E9ECA">
      <w:numFmt w:val="bullet"/>
      <w:lvlText w:val="•"/>
      <w:lvlJc w:val="left"/>
      <w:pPr>
        <w:ind w:left="7995" w:hanging="360"/>
      </w:pPr>
      <w:rPr>
        <w:rFonts w:hint="default"/>
      </w:rPr>
    </w:lvl>
  </w:abstractNum>
  <w:abstractNum w:abstractNumId="6" w15:restartNumberingAfterBreak="0">
    <w:nsid w:val="606F45E4"/>
    <w:multiLevelType w:val="multilevel"/>
    <w:tmpl w:val="DCE258C0"/>
    <w:lvl w:ilvl="0">
      <w:start w:val="1"/>
      <w:numFmt w:val="decimal"/>
      <w:pStyle w:val="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8889872">
    <w:abstractNumId w:val="1"/>
  </w:num>
  <w:num w:numId="2" w16cid:durableId="498807884">
    <w:abstractNumId w:val="0"/>
  </w:num>
  <w:num w:numId="3" w16cid:durableId="1544707040">
    <w:abstractNumId w:val="6"/>
  </w:num>
  <w:num w:numId="4" w16cid:durableId="566380658">
    <w:abstractNumId w:val="1"/>
  </w:num>
  <w:num w:numId="5" w16cid:durableId="13555720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40894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2639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63947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351773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60700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802943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41494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27A"/>
    <w:rsid w:val="00000844"/>
    <w:rsid w:val="000052CE"/>
    <w:rsid w:val="00010545"/>
    <w:rsid w:val="000123CD"/>
    <w:rsid w:val="000134A5"/>
    <w:rsid w:val="0002404D"/>
    <w:rsid w:val="0002416F"/>
    <w:rsid w:val="00027F7F"/>
    <w:rsid w:val="00031880"/>
    <w:rsid w:val="00035BF6"/>
    <w:rsid w:val="00070EF0"/>
    <w:rsid w:val="00077DE1"/>
    <w:rsid w:val="000A066D"/>
    <w:rsid w:val="000A57A0"/>
    <w:rsid w:val="000C527D"/>
    <w:rsid w:val="000D71DD"/>
    <w:rsid w:val="000D7349"/>
    <w:rsid w:val="00125244"/>
    <w:rsid w:val="00125FB8"/>
    <w:rsid w:val="001303DE"/>
    <w:rsid w:val="00130C52"/>
    <w:rsid w:val="00131106"/>
    <w:rsid w:val="00163502"/>
    <w:rsid w:val="00164407"/>
    <w:rsid w:val="00176D6F"/>
    <w:rsid w:val="00185440"/>
    <w:rsid w:val="001861E1"/>
    <w:rsid w:val="0019710B"/>
    <w:rsid w:val="001A1769"/>
    <w:rsid w:val="001B35B5"/>
    <w:rsid w:val="001C3057"/>
    <w:rsid w:val="001D4537"/>
    <w:rsid w:val="001E6201"/>
    <w:rsid w:val="00205646"/>
    <w:rsid w:val="00206218"/>
    <w:rsid w:val="00207071"/>
    <w:rsid w:val="00211429"/>
    <w:rsid w:val="00243064"/>
    <w:rsid w:val="0026301B"/>
    <w:rsid w:val="00272BC6"/>
    <w:rsid w:val="00285103"/>
    <w:rsid w:val="00293086"/>
    <w:rsid w:val="00294908"/>
    <w:rsid w:val="002A2D18"/>
    <w:rsid w:val="002C2513"/>
    <w:rsid w:val="002C35CF"/>
    <w:rsid w:val="002C3FCD"/>
    <w:rsid w:val="002F2858"/>
    <w:rsid w:val="003018FF"/>
    <w:rsid w:val="0030227A"/>
    <w:rsid w:val="00302B20"/>
    <w:rsid w:val="00312583"/>
    <w:rsid w:val="00313626"/>
    <w:rsid w:val="00342979"/>
    <w:rsid w:val="0034687A"/>
    <w:rsid w:val="00356B42"/>
    <w:rsid w:val="00375D92"/>
    <w:rsid w:val="003B2ACD"/>
    <w:rsid w:val="003D7535"/>
    <w:rsid w:val="003F058C"/>
    <w:rsid w:val="00416B0D"/>
    <w:rsid w:val="004324FE"/>
    <w:rsid w:val="00433E52"/>
    <w:rsid w:val="004676B7"/>
    <w:rsid w:val="00472F00"/>
    <w:rsid w:val="0047384C"/>
    <w:rsid w:val="00477848"/>
    <w:rsid w:val="004846C3"/>
    <w:rsid w:val="004C6ABC"/>
    <w:rsid w:val="004D5509"/>
    <w:rsid w:val="004F190F"/>
    <w:rsid w:val="004F4B8D"/>
    <w:rsid w:val="004F7DB5"/>
    <w:rsid w:val="005047D9"/>
    <w:rsid w:val="00514916"/>
    <w:rsid w:val="0052522C"/>
    <w:rsid w:val="00525825"/>
    <w:rsid w:val="00546D47"/>
    <w:rsid w:val="00553809"/>
    <w:rsid w:val="00560CCF"/>
    <w:rsid w:val="00565354"/>
    <w:rsid w:val="00584FB2"/>
    <w:rsid w:val="00592A9B"/>
    <w:rsid w:val="005976F4"/>
    <w:rsid w:val="005B74D8"/>
    <w:rsid w:val="005C09D8"/>
    <w:rsid w:val="005C58BC"/>
    <w:rsid w:val="005E66B3"/>
    <w:rsid w:val="00634D57"/>
    <w:rsid w:val="006419BC"/>
    <w:rsid w:val="00643985"/>
    <w:rsid w:val="00650A17"/>
    <w:rsid w:val="00682A0F"/>
    <w:rsid w:val="00686C0A"/>
    <w:rsid w:val="00693087"/>
    <w:rsid w:val="00697FD8"/>
    <w:rsid w:val="006A0E3C"/>
    <w:rsid w:val="006A4152"/>
    <w:rsid w:val="006A4867"/>
    <w:rsid w:val="006C60B1"/>
    <w:rsid w:val="006D2798"/>
    <w:rsid w:val="006D6231"/>
    <w:rsid w:val="007143F7"/>
    <w:rsid w:val="007151C5"/>
    <w:rsid w:val="00720763"/>
    <w:rsid w:val="00722622"/>
    <w:rsid w:val="00736ACD"/>
    <w:rsid w:val="00763E42"/>
    <w:rsid w:val="00780CAB"/>
    <w:rsid w:val="007A4873"/>
    <w:rsid w:val="007B51EA"/>
    <w:rsid w:val="007B77A0"/>
    <w:rsid w:val="007D0D86"/>
    <w:rsid w:val="007E30F0"/>
    <w:rsid w:val="007E69E7"/>
    <w:rsid w:val="00817078"/>
    <w:rsid w:val="00824F40"/>
    <w:rsid w:val="00834C85"/>
    <w:rsid w:val="0083570F"/>
    <w:rsid w:val="008407F0"/>
    <w:rsid w:val="00845E8B"/>
    <w:rsid w:val="00851B99"/>
    <w:rsid w:val="00861DE9"/>
    <w:rsid w:val="00865550"/>
    <w:rsid w:val="00866BF7"/>
    <w:rsid w:val="00882E20"/>
    <w:rsid w:val="008944E0"/>
    <w:rsid w:val="008B06AD"/>
    <w:rsid w:val="008B3DC1"/>
    <w:rsid w:val="008D2792"/>
    <w:rsid w:val="008F12E4"/>
    <w:rsid w:val="008F4EA0"/>
    <w:rsid w:val="009126D5"/>
    <w:rsid w:val="00917C7E"/>
    <w:rsid w:val="009267B9"/>
    <w:rsid w:val="00927C70"/>
    <w:rsid w:val="0093345C"/>
    <w:rsid w:val="00934EF3"/>
    <w:rsid w:val="00986AD3"/>
    <w:rsid w:val="00993B24"/>
    <w:rsid w:val="00996DC8"/>
    <w:rsid w:val="009A0D3A"/>
    <w:rsid w:val="009A29BB"/>
    <w:rsid w:val="009B5429"/>
    <w:rsid w:val="009B60CF"/>
    <w:rsid w:val="009B72B5"/>
    <w:rsid w:val="009D2DC6"/>
    <w:rsid w:val="009D5B7E"/>
    <w:rsid w:val="009D7C5F"/>
    <w:rsid w:val="009E0E8B"/>
    <w:rsid w:val="009F0701"/>
    <w:rsid w:val="00A01D97"/>
    <w:rsid w:val="00A028C6"/>
    <w:rsid w:val="00A3284C"/>
    <w:rsid w:val="00A35858"/>
    <w:rsid w:val="00A36EB5"/>
    <w:rsid w:val="00A673CB"/>
    <w:rsid w:val="00A83C9B"/>
    <w:rsid w:val="00AD26CD"/>
    <w:rsid w:val="00AE3A9B"/>
    <w:rsid w:val="00AF48F1"/>
    <w:rsid w:val="00AF6336"/>
    <w:rsid w:val="00B118AC"/>
    <w:rsid w:val="00B3538E"/>
    <w:rsid w:val="00B36616"/>
    <w:rsid w:val="00B36728"/>
    <w:rsid w:val="00B376ED"/>
    <w:rsid w:val="00B538DE"/>
    <w:rsid w:val="00B53ED8"/>
    <w:rsid w:val="00B56AC9"/>
    <w:rsid w:val="00B5736A"/>
    <w:rsid w:val="00B623E9"/>
    <w:rsid w:val="00B6362F"/>
    <w:rsid w:val="00B8527B"/>
    <w:rsid w:val="00B93A36"/>
    <w:rsid w:val="00BA687E"/>
    <w:rsid w:val="00BA6C8B"/>
    <w:rsid w:val="00BC3BE5"/>
    <w:rsid w:val="00BD1A64"/>
    <w:rsid w:val="00BD4AB3"/>
    <w:rsid w:val="00BF59DE"/>
    <w:rsid w:val="00BF71C7"/>
    <w:rsid w:val="00C00B20"/>
    <w:rsid w:val="00C047FD"/>
    <w:rsid w:val="00C04ECD"/>
    <w:rsid w:val="00C06A34"/>
    <w:rsid w:val="00C1636D"/>
    <w:rsid w:val="00C41773"/>
    <w:rsid w:val="00C62AE5"/>
    <w:rsid w:val="00C76B6B"/>
    <w:rsid w:val="00C771B2"/>
    <w:rsid w:val="00C86F94"/>
    <w:rsid w:val="00C94045"/>
    <w:rsid w:val="00C96710"/>
    <w:rsid w:val="00CC6B15"/>
    <w:rsid w:val="00CD1311"/>
    <w:rsid w:val="00CD6BCA"/>
    <w:rsid w:val="00CE16BA"/>
    <w:rsid w:val="00CE56E0"/>
    <w:rsid w:val="00CF1F8B"/>
    <w:rsid w:val="00CF4195"/>
    <w:rsid w:val="00D0349D"/>
    <w:rsid w:val="00D15F40"/>
    <w:rsid w:val="00D20F0F"/>
    <w:rsid w:val="00D2120B"/>
    <w:rsid w:val="00D3590A"/>
    <w:rsid w:val="00D6768A"/>
    <w:rsid w:val="00D67F90"/>
    <w:rsid w:val="00DD3749"/>
    <w:rsid w:val="00DD6486"/>
    <w:rsid w:val="00DF57CA"/>
    <w:rsid w:val="00E00349"/>
    <w:rsid w:val="00E12208"/>
    <w:rsid w:val="00E21EAE"/>
    <w:rsid w:val="00E270D5"/>
    <w:rsid w:val="00E36051"/>
    <w:rsid w:val="00E43BD2"/>
    <w:rsid w:val="00E450BB"/>
    <w:rsid w:val="00E52D63"/>
    <w:rsid w:val="00E57131"/>
    <w:rsid w:val="00E633DD"/>
    <w:rsid w:val="00E92CB4"/>
    <w:rsid w:val="00E97D1D"/>
    <w:rsid w:val="00F34A39"/>
    <w:rsid w:val="00F454DD"/>
    <w:rsid w:val="00F45B99"/>
    <w:rsid w:val="00F527C9"/>
    <w:rsid w:val="00F54764"/>
    <w:rsid w:val="00F60960"/>
    <w:rsid w:val="00F8080A"/>
    <w:rsid w:val="00F91A19"/>
    <w:rsid w:val="00F9262B"/>
    <w:rsid w:val="00FA5A82"/>
    <w:rsid w:val="00FD577F"/>
    <w:rsid w:val="00FE248C"/>
    <w:rsid w:val="04450445"/>
    <w:rsid w:val="084F7BD9"/>
    <w:rsid w:val="1E18B91B"/>
    <w:rsid w:val="22ED2DE7"/>
    <w:rsid w:val="2916C9A0"/>
    <w:rsid w:val="2E754891"/>
    <w:rsid w:val="312259F1"/>
    <w:rsid w:val="33640BA9"/>
    <w:rsid w:val="38222E68"/>
    <w:rsid w:val="39135089"/>
    <w:rsid w:val="39BF053C"/>
    <w:rsid w:val="407FC835"/>
    <w:rsid w:val="409B19AA"/>
    <w:rsid w:val="4620E2E9"/>
    <w:rsid w:val="4F399FC7"/>
    <w:rsid w:val="511F0520"/>
    <w:rsid w:val="52593901"/>
    <w:rsid w:val="5643ED9D"/>
    <w:rsid w:val="64881D18"/>
    <w:rsid w:val="698BF8D1"/>
    <w:rsid w:val="69B2F989"/>
    <w:rsid w:val="6A3AD775"/>
    <w:rsid w:val="6A6AC4B7"/>
    <w:rsid w:val="6C99AF18"/>
    <w:rsid w:val="6E096187"/>
    <w:rsid w:val="71E310D2"/>
    <w:rsid w:val="74D717AA"/>
    <w:rsid w:val="7BD6752A"/>
    <w:rsid w:val="7F8A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520830"/>
  <w15:chartTrackingRefBased/>
  <w15:docId w15:val="{09BEEEE3-9878-4556-9321-7F3AD74D1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022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aliases w:val="Focus Area"/>
    <w:basedOn w:val="Normal"/>
    <w:next w:val="Normal"/>
    <w:link w:val="Heading1Char"/>
    <w:uiPriority w:val="9"/>
    <w:qFormat/>
    <w:rsid w:val="002F2858"/>
    <w:pPr>
      <w:keepNext/>
      <w:keepLines/>
      <w:spacing w:before="120" w:after="12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aliases w:val="STC Title"/>
    <w:basedOn w:val="Normal"/>
    <w:next w:val="Normal"/>
    <w:link w:val="Heading2Char"/>
    <w:uiPriority w:val="9"/>
    <w:semiHidden/>
    <w:unhideWhenUsed/>
    <w:qFormat/>
    <w:rsid w:val="002F2858"/>
    <w:pPr>
      <w:keepNext/>
      <w:keepLines/>
      <w:spacing w:before="60" w:after="6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VTSTC">
    <w:name w:val="VT STC"/>
    <w:uiPriority w:val="99"/>
    <w:rsid w:val="009B5429"/>
    <w:pPr>
      <w:numPr>
        <w:numId w:val="1"/>
      </w:numPr>
    </w:pPr>
  </w:style>
  <w:style w:type="character" w:customStyle="1" w:styleId="Heading1Char">
    <w:name w:val="Heading 1 Char"/>
    <w:aliases w:val="Focus Area Char"/>
    <w:basedOn w:val="DefaultParagraphFont"/>
    <w:link w:val="Heading1"/>
    <w:uiPriority w:val="9"/>
    <w:rsid w:val="002F2858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aliases w:val="STC Title Char"/>
    <w:basedOn w:val="DefaultParagraphFont"/>
    <w:link w:val="Heading2"/>
    <w:uiPriority w:val="9"/>
    <w:semiHidden/>
    <w:rsid w:val="002F2858"/>
    <w:rPr>
      <w:rFonts w:ascii="Times New Roman" w:eastAsiaTheme="majorEastAsia" w:hAnsi="Times New Roman" w:cstheme="majorBidi"/>
      <w:b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F2858"/>
    <w:pPr>
      <w:spacing w:before="120" w:after="120"/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2858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styleId="Subtitle">
    <w:name w:val="Subtitle"/>
    <w:aliases w:val="Table Header"/>
    <w:basedOn w:val="Normal"/>
    <w:next w:val="Normal"/>
    <w:link w:val="SubtitleChar"/>
    <w:uiPriority w:val="11"/>
    <w:qFormat/>
    <w:rsid w:val="00000844"/>
    <w:pPr>
      <w:numPr>
        <w:ilvl w:val="1"/>
      </w:numPr>
      <w:spacing w:after="160"/>
      <w:jc w:val="center"/>
    </w:pPr>
    <w:rPr>
      <w:rFonts w:eastAsiaTheme="minorEastAsia" w:cstheme="minorBidi"/>
      <w:b/>
      <w:spacing w:val="15"/>
    </w:rPr>
  </w:style>
  <w:style w:type="character" w:customStyle="1" w:styleId="SubtitleChar">
    <w:name w:val="Subtitle Char"/>
    <w:aliases w:val="Table Header Char"/>
    <w:basedOn w:val="DefaultParagraphFont"/>
    <w:link w:val="Subtitle"/>
    <w:uiPriority w:val="11"/>
    <w:rsid w:val="00000844"/>
    <w:rPr>
      <w:rFonts w:ascii="Times New Roman" w:eastAsiaTheme="minorEastAsia" w:hAnsi="Times New Roman"/>
      <w:b/>
      <w:spacing w:val="15"/>
      <w:sz w:val="24"/>
    </w:rPr>
  </w:style>
  <w:style w:type="paragraph" w:styleId="ListParagraph">
    <w:name w:val="List Paragraph"/>
    <w:basedOn w:val="Normal"/>
    <w:uiPriority w:val="1"/>
    <w:qFormat/>
    <w:rsid w:val="00000844"/>
    <w:pPr>
      <w:ind w:left="720"/>
      <w:contextualSpacing/>
    </w:pPr>
  </w:style>
  <w:style w:type="paragraph" w:customStyle="1" w:styleId="TableBody">
    <w:name w:val="Table Body"/>
    <w:basedOn w:val="Normal"/>
    <w:link w:val="TableBodyChar"/>
    <w:qFormat/>
    <w:rsid w:val="00185440"/>
  </w:style>
  <w:style w:type="character" w:customStyle="1" w:styleId="TableBodyChar">
    <w:name w:val="Table Body Char"/>
    <w:basedOn w:val="DefaultParagraphFont"/>
    <w:link w:val="TableBody"/>
    <w:rsid w:val="00185440"/>
    <w:rPr>
      <w:rFonts w:ascii="Times New Roman" w:hAnsi="Times New Roman" w:cs="Calibri"/>
      <w:sz w:val="24"/>
    </w:rPr>
  </w:style>
  <w:style w:type="paragraph" w:customStyle="1" w:styleId="Bullet">
    <w:name w:val="Bullet"/>
    <w:aliases w:val="Body"/>
    <w:basedOn w:val="Normal"/>
    <w:link w:val="BulletChar"/>
    <w:qFormat/>
    <w:rsid w:val="00185440"/>
    <w:pPr>
      <w:numPr>
        <w:numId w:val="3"/>
      </w:numPr>
    </w:pPr>
  </w:style>
  <w:style w:type="character" w:customStyle="1" w:styleId="BulletChar">
    <w:name w:val="Bullet Char"/>
    <w:aliases w:val="Body Char"/>
    <w:basedOn w:val="DefaultParagraphFont"/>
    <w:link w:val="Bullet"/>
    <w:rsid w:val="00185440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18544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List1">
    <w:name w:val=".. NList 1"/>
    <w:qFormat/>
    <w:rsid w:val="00560CCF"/>
    <w:pPr>
      <w:autoSpaceDE w:val="0"/>
      <w:autoSpaceDN w:val="0"/>
      <w:spacing w:before="240" w:after="240" w:line="240" w:lineRule="auto"/>
      <w:ind w:left="360" w:hanging="180"/>
      <w:outlineLvl w:val="1"/>
    </w:pPr>
    <w:rPr>
      <w:rFonts w:ascii="Times New Roman" w:eastAsiaTheme="majorEastAsia" w:hAnsi="Times New Roman" w:cs="Times New Roman"/>
      <w:b/>
      <w:sz w:val="24"/>
      <w:szCs w:val="52"/>
    </w:rPr>
  </w:style>
  <w:style w:type="paragraph" w:customStyle="1" w:styleId="NList1STC1">
    <w:name w:val=".. NList 1 (STC 1.)"/>
    <w:qFormat/>
    <w:rsid w:val="00560CCF"/>
    <w:pPr>
      <w:keepNext/>
      <w:numPr>
        <w:ilvl w:val="1"/>
        <w:numId w:val="9"/>
      </w:numPr>
      <w:autoSpaceDE w:val="0"/>
      <w:autoSpaceDN w:val="0"/>
      <w:spacing w:before="240" w:after="240" w:line="240" w:lineRule="auto"/>
      <w:outlineLvl w:val="1"/>
    </w:pPr>
    <w:rPr>
      <w:rFonts w:ascii="Times New Roman" w:eastAsiaTheme="majorEastAsia" w:hAnsi="Times New Roman" w:cs="Times New Roman"/>
      <w:b/>
      <w:color w:val="000000" w:themeColor="text1"/>
      <w:sz w:val="24"/>
      <w:szCs w:val="52"/>
    </w:rPr>
  </w:style>
  <w:style w:type="paragraph" w:customStyle="1" w:styleId="NList2">
    <w:name w:val=".. NList 2"/>
    <w:basedOn w:val="Normal"/>
    <w:qFormat/>
    <w:rsid w:val="00560CCF"/>
    <w:pPr>
      <w:spacing w:before="240" w:after="240"/>
      <w:outlineLvl w:val="2"/>
    </w:pPr>
    <w:rPr>
      <w:rFonts w:eastAsiaTheme="majorEastAsia"/>
      <w:szCs w:val="52"/>
    </w:rPr>
  </w:style>
  <w:style w:type="paragraph" w:customStyle="1" w:styleId="NList2STC11">
    <w:name w:val=".. NList 2 (STC 1.1.)"/>
    <w:basedOn w:val="NList1STC1"/>
    <w:next w:val="Normal"/>
    <w:qFormat/>
    <w:rsid w:val="00560CCF"/>
    <w:pPr>
      <w:keepNext w:val="0"/>
      <w:numPr>
        <w:ilvl w:val="2"/>
      </w:numPr>
      <w:tabs>
        <w:tab w:val="right" w:pos="9360"/>
      </w:tabs>
      <w:outlineLvl w:val="2"/>
    </w:pPr>
    <w:rPr>
      <w:b w:val="0"/>
    </w:rPr>
  </w:style>
  <w:style w:type="paragraph" w:customStyle="1" w:styleId="NList3">
    <w:name w:val=".. NList 3"/>
    <w:basedOn w:val="NList2"/>
    <w:qFormat/>
    <w:rsid w:val="00560CCF"/>
    <w:pPr>
      <w:numPr>
        <w:ilvl w:val="3"/>
      </w:numPr>
      <w:outlineLvl w:val="3"/>
    </w:pPr>
  </w:style>
  <w:style w:type="paragraph" w:customStyle="1" w:styleId="NList3STCa">
    <w:name w:val=".. NList 3 (STC a.)"/>
    <w:basedOn w:val="NList2STC11"/>
    <w:qFormat/>
    <w:rsid w:val="00560CCF"/>
    <w:pPr>
      <w:numPr>
        <w:ilvl w:val="3"/>
      </w:numPr>
      <w:spacing w:before="200"/>
      <w:outlineLvl w:val="3"/>
    </w:pPr>
  </w:style>
  <w:style w:type="paragraph" w:customStyle="1" w:styleId="NList4">
    <w:name w:val=".. NList 4"/>
    <w:basedOn w:val="NList3"/>
    <w:qFormat/>
    <w:rsid w:val="00560CCF"/>
    <w:pPr>
      <w:numPr>
        <w:ilvl w:val="0"/>
      </w:numPr>
      <w:ind w:left="1800" w:hanging="180"/>
      <w:outlineLvl w:val="4"/>
    </w:pPr>
  </w:style>
  <w:style w:type="paragraph" w:customStyle="1" w:styleId="NList4STCi">
    <w:name w:val=".. NList 4 (STC i.)"/>
    <w:basedOn w:val="NList3STCa"/>
    <w:qFormat/>
    <w:rsid w:val="00560CCF"/>
    <w:pPr>
      <w:numPr>
        <w:ilvl w:val="4"/>
      </w:numPr>
      <w:spacing w:before="160" w:after="160"/>
      <w:outlineLvl w:val="4"/>
    </w:pPr>
  </w:style>
  <w:style w:type="paragraph" w:customStyle="1" w:styleId="NList5">
    <w:name w:val=".. NList 5"/>
    <w:basedOn w:val="NList4"/>
    <w:qFormat/>
    <w:rsid w:val="00560CCF"/>
    <w:pPr>
      <w:ind w:left="2520" w:hanging="360"/>
      <w:outlineLvl w:val="5"/>
    </w:pPr>
  </w:style>
  <w:style w:type="paragraph" w:customStyle="1" w:styleId="NList5STC1">
    <w:name w:val=".. NList 5 (STC 1)"/>
    <w:basedOn w:val="NList4STCi"/>
    <w:qFormat/>
    <w:rsid w:val="00560CCF"/>
    <w:pPr>
      <w:numPr>
        <w:ilvl w:val="5"/>
      </w:numPr>
      <w:spacing w:before="120" w:after="120"/>
      <w:outlineLvl w:val="5"/>
    </w:pPr>
  </w:style>
  <w:style w:type="paragraph" w:customStyle="1" w:styleId="NList6">
    <w:name w:val=".. NList 6"/>
    <w:basedOn w:val="NList5"/>
    <w:qFormat/>
    <w:rsid w:val="00560CCF"/>
    <w:pPr>
      <w:ind w:left="3240"/>
      <w:outlineLvl w:val="6"/>
    </w:pPr>
  </w:style>
  <w:style w:type="paragraph" w:customStyle="1" w:styleId="NList7">
    <w:name w:val=".. NList 7"/>
    <w:basedOn w:val="NList6"/>
    <w:qFormat/>
    <w:rsid w:val="00560CCF"/>
    <w:pPr>
      <w:ind w:left="3960" w:hanging="180"/>
      <w:outlineLvl w:val="7"/>
    </w:pPr>
  </w:style>
  <w:style w:type="paragraph" w:customStyle="1" w:styleId="TITLE0">
    <w:name w:val=".. TITLE"/>
    <w:qFormat/>
    <w:rsid w:val="00560CCF"/>
    <w:pPr>
      <w:widowControl w:val="0"/>
      <w:autoSpaceDE w:val="0"/>
      <w:autoSpaceDN w:val="0"/>
      <w:spacing w:after="0" w:line="240" w:lineRule="auto"/>
      <w:jc w:val="center"/>
      <w:outlineLvl w:val="0"/>
    </w:pPr>
    <w:rPr>
      <w:rFonts w:ascii="Times New Roman Bold" w:eastAsiaTheme="majorEastAsia" w:hAnsi="Times New Roman Bold" w:cs="Times New Roman"/>
      <w:b/>
      <w:sz w:val="24"/>
      <w:szCs w:val="52"/>
    </w:rPr>
  </w:style>
  <w:style w:type="paragraph" w:customStyle="1" w:styleId="TableText">
    <w:name w:val="Table Text"/>
    <w:basedOn w:val="Normal"/>
    <w:qFormat/>
    <w:rsid w:val="00560CCF"/>
    <w:rPr>
      <w:szCs w:val="20"/>
    </w:rPr>
  </w:style>
  <w:style w:type="paragraph" w:customStyle="1" w:styleId="NListExAuth1">
    <w:name w:val="NList (Ex Auth 1.)"/>
    <w:basedOn w:val="Normal"/>
    <w:qFormat/>
    <w:rsid w:val="00560CCF"/>
    <w:pPr>
      <w:numPr>
        <w:ilvl w:val="2"/>
        <w:numId w:val="10"/>
      </w:numPr>
      <w:tabs>
        <w:tab w:val="right" w:pos="9360"/>
      </w:tabs>
      <w:spacing w:before="240" w:after="240"/>
      <w:outlineLvl w:val="2"/>
    </w:pPr>
    <w:rPr>
      <w:rFonts w:eastAsiaTheme="majorEastAsia"/>
      <w:bCs/>
      <w:color w:val="000000" w:themeColor="text1"/>
      <w:szCs w:val="52"/>
    </w:rPr>
  </w:style>
  <w:style w:type="paragraph" w:customStyle="1" w:styleId="NListEXAutha">
    <w:name w:val="NList (EX Auth a.)"/>
    <w:basedOn w:val="Normal"/>
    <w:qFormat/>
    <w:rsid w:val="00560CCF"/>
    <w:pPr>
      <w:numPr>
        <w:ilvl w:val="1"/>
        <w:numId w:val="11"/>
      </w:numPr>
      <w:spacing w:after="160"/>
    </w:pPr>
    <w:rPr>
      <w:rFonts w:eastAsia="Arial" w:cs="Arial"/>
      <w:bCs/>
    </w:rPr>
  </w:style>
  <w:style w:type="paragraph" w:customStyle="1" w:styleId="NListp1-3WaiverAuthority">
    <w:name w:val="NList (p.1-3 Waiver Authority)"/>
    <w:basedOn w:val="NListExAuth1"/>
    <w:uiPriority w:val="1"/>
    <w:qFormat/>
    <w:rsid w:val="00560CCF"/>
    <w:pPr>
      <w:numPr>
        <w:ilvl w:val="0"/>
        <w:numId w:val="0"/>
      </w:numPr>
    </w:pPr>
    <w:rPr>
      <w:b/>
      <w:bCs w:val="0"/>
    </w:rPr>
  </w:style>
  <w:style w:type="paragraph" w:customStyle="1" w:styleId="TableHeaderCenter">
    <w:name w:val="Table Header Center"/>
    <w:basedOn w:val="Normal"/>
    <w:qFormat/>
    <w:rsid w:val="002C35CF"/>
    <w:pPr>
      <w:spacing w:before="60" w:after="60"/>
      <w:jc w:val="center"/>
    </w:pPr>
    <w:rPr>
      <w:b/>
      <w:szCs w:val="20"/>
    </w:rPr>
  </w:style>
  <w:style w:type="paragraph" w:styleId="BodyText">
    <w:name w:val="Body Text"/>
    <w:basedOn w:val="Normal"/>
    <w:link w:val="BodyTextChar"/>
    <w:uiPriority w:val="1"/>
    <w:qFormat/>
    <w:rsid w:val="0030227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0227A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022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22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227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22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227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7A"/>
    <w:rPr>
      <w:rFonts w:ascii="Segoe UI" w:eastAsia="Times New Roman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30227A"/>
  </w:style>
  <w:style w:type="paragraph" w:styleId="Header">
    <w:name w:val="header"/>
    <w:basedOn w:val="Normal"/>
    <w:link w:val="HeaderChar"/>
    <w:uiPriority w:val="99"/>
    <w:unhideWhenUsed/>
    <w:rsid w:val="00BC3B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3BE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C3B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3BE5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1C3057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unhideWhenUsed/>
    <w:rsid w:val="0072076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72076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2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3.xml><?xml version="1.0" encoding="utf-8"?>
<?mso-contentType ?>
<FormUrls xmlns="http://schemas.microsoft.com/sharepoint/v3/contenttype/forms/url">
  <MobileDisplay>_layouts/15/NintexForms/Mobile/DispForm.aspx</MobileDisplay>
  <MobileEdit>_layouts/15/NintexForms/Mobile/EditForm.aspx</MobileEdit>
  <MobileNew>_layouts/15/NintexForms/Mobile/NewForm.aspx</MobileNew>
</FormUrls>
</file>

<file path=customXml/item4.xml><?xml version="1.0" encoding="utf-8"?>
<?mso-contentType ?>
<SharedContentType xmlns="Microsoft.SharePoint.Taxonomy.ContentTypeSync" SourceId="86a8e296-5f29-4af2-954b-0de0d1e1f8bc" ContentTypeId="0x0101" PreviousValue="false"/>
</file>

<file path=customXml/item5.xml><?xml version="1.0" encoding="utf-8"?>
<?mso-contentType ?>
<ntns:customXsn xmlns:ntns="http://schemas.microsoft.com/office/2006/metadata/customXsn">
  <ntns:xsnLocation>https://share.cms.gov/center/CMCS/SDG/Demonstrations/Forms/Document/54d9852c241a7466customXsn.xsn</ntns:xsnLocation>
  <ntns:cached>False</ntns:cached>
  <ntns:openByDefault>False</ntns:openByDefault>
  <ntns:xsnScope>https://share.cms.gov/center/CMCS/SDG/Demonstrations</ntns:xsnScope>
</ntns: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8886B34E0E9F48BA16FBED9D25C84A" ma:contentTypeVersion="146" ma:contentTypeDescription="Create a new document." ma:contentTypeScope="" ma:versionID="a783c54e5d4923e5096018d4e7e09b00">
  <xsd:schema xmlns:xsd="http://www.w3.org/2001/XMLSchema" xmlns:xs="http://www.w3.org/2001/XMLSchema" xmlns:p="http://schemas.microsoft.com/office/2006/metadata/properties" xmlns:ns1="http://schemas.microsoft.com/sharepoint/v3" xmlns:ns2="6b9f974d-4be1-4652-82ab-08a778657aa4" xmlns:ns3="http://schemas.microsoft.com/sharepoint/v4" xmlns:ns4="bfed16da-a8ca-46ec-a4aa-c7c509893314" xmlns:ns5="144ea41b-304c-4c03-99c4-debb02094f92" targetNamespace="http://schemas.microsoft.com/office/2006/metadata/properties" ma:root="true" ma:fieldsID="5b1818f059c132d18d80597215857c09" ns1:_="" ns2:_="" ns3:_="" ns4:_="" ns5:_="">
    <xsd:import namespace="http://schemas.microsoft.com/sharepoint/v3"/>
    <xsd:import namespace="6b9f974d-4be1-4652-82ab-08a778657aa4"/>
    <xsd:import namespace="http://schemas.microsoft.com/sharepoint/v4"/>
    <xsd:import namespace="bfed16da-a8ca-46ec-a4aa-c7c509893314"/>
    <xsd:import namespace="144ea41b-304c-4c03-99c4-debb02094f92"/>
    <xsd:element name="properties">
      <xsd:complexType>
        <xsd:sequence>
          <xsd:element name="documentManagement">
            <xsd:complexType>
              <xsd:all>
                <xsd:element ref="ns2:Demo_x0020_Name" minOccurs="0"/>
                <xsd:element ref="ns3:IconOverlay" minOccurs="0"/>
                <xsd:element ref="ns2:Document_x0020_Set_x0020_Type" minOccurs="0"/>
                <xsd:element ref="ns2:Document_x0020_Type_x0020_Descriptor" minOccurs="0"/>
                <xsd:element ref="ns1:_vti_ItemDeclaredRecord" minOccurs="0"/>
                <xsd:element ref="ns1:_vti_ItemHoldRecordStatus" minOccurs="0"/>
                <xsd:element ref="ns2:State"/>
                <xsd:element ref="ns2:Review_x0020_Comments" minOccurs="0"/>
                <xsd:element ref="ns2:Demo_x0020_ID" minOccurs="0"/>
                <xsd:element ref="ns2:Demo_x0020_ID_x003a_Demonstration_x0020_Name" minOccurs="0"/>
                <xsd:element ref="ns1:FormData" minOccurs="0"/>
                <xsd:element ref="ns2:Demo_x0020_Name_x003a_Demo_x0020_ID" minOccurs="0"/>
                <xsd:element ref="ns2:Demo_x0020_Name_x003a_Demonstration_x0020_Name" minOccurs="0"/>
                <xsd:element ref="ns2:Demo_x0020_Name_x003a_State_Internal" minOccurs="0"/>
                <xsd:element ref="ns2:Demo_x0020_Name_x003a_DemoID_x002d_Name" minOccurs="0"/>
                <xsd:element ref="ns2:Demo_x0020_Name_x003a_State_x0020_Abbreviation" minOccurs="0"/>
                <xsd:element ref="ns2:Divisions"/>
                <xsd:element ref="ns2:Document_x0020_Type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3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14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FormData" ma:index="22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f974d-4be1-4652-82ab-08a778657aa4" elementFormDefault="qualified">
    <xsd:import namespace="http://schemas.microsoft.com/office/2006/documentManagement/types"/>
    <xsd:import namespace="http://schemas.microsoft.com/office/infopath/2007/PartnerControls"/>
    <xsd:element name="Demo_x0020_Name" ma:index="8" nillable="true" ma:displayName="Demo Name" ma:indexed="true" ma:list="{4bd70136-adc3-481d-9b73-a7d0d41fb284}" ma:internalName="Demo_x0020_Name" ma:showField="DemoID_x002d_Name">
      <xsd:simpleType>
        <xsd:restriction base="dms:Lookup"/>
      </xsd:simpleType>
    </xsd:element>
    <xsd:element name="Document_x0020_Set_x0020_Type" ma:index="10" nillable="true" ma:displayName="Document Set Type" ma:description="" ma:hidden="true" ma:list="{d2aafb2a-d240-4133-80c5-d19b1f13bc4c}" ma:internalName="Document_x0020_Set_x0020_Type" ma:readOnly="false" ma:showField="Title" ma:web="{BFED16DA-A8CA-46EC-A4AA-C7C509893314}">
      <xsd:simpleType>
        <xsd:restriction base="dms:Lookup"/>
      </xsd:simpleType>
    </xsd:element>
    <xsd:element name="Document_x0020_Type_x0020_Descriptor" ma:index="11" nillable="true" ma:displayName="Key Policy" ma:list="{3747dcd6-9357-477b-8666-38504625f1ac}" ma:internalName="Document_x0020_Type_x0020_Descriptor" ma:showField="Title" ma:web="{BFED16DA-A8CA-46EC-A4AA-C7C509893314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e" ma:index="17" ma:displayName="State" ma:format="Dropdown" ma:indexed="true" ma:internalName="State">
      <xsd:simpleType>
        <xsd:union memberTypes="dms:Text">
          <xsd:simpleType>
            <xsd:restriction base="dms:Choice">
              <xsd:enumeration value="All States"/>
              <xsd:enumeration value="Alabama"/>
              <xsd:enumeration value="Alaska"/>
              <xsd:enumeration value="Arizona"/>
              <xsd:enumeration value="Arkansas"/>
              <xsd:enumeration value="California"/>
              <xsd:enumeration value="Colorado"/>
              <xsd:enumeration value="Connecticut"/>
              <xsd:enumeration value="Delaware"/>
              <xsd:enumeration value="District of Columbia"/>
              <xsd:enumeration value="Federated States of Micronesia"/>
              <xsd:enumeration value="Florida"/>
              <xsd:enumeration value="Georgia"/>
              <xsd:enumeration value="Guam"/>
              <xsd:enumeration value="Hawaii"/>
              <xsd:enumeration value="Idaho"/>
              <xsd:enumeration value="Illinois"/>
              <xsd:enumeration value="Indiana"/>
              <xsd:enumeration value="Iowa"/>
              <xsd:enumeration value="Kansas"/>
              <xsd:enumeration value="Kentucky"/>
              <xsd:enumeration value="Louisiana"/>
              <xsd:enumeration value="Maine"/>
              <xsd:enumeration value="Maryland"/>
              <xsd:enumeration value="Massachusetts"/>
              <xsd:enumeration value="Michigan"/>
              <xsd:enumeration value="Minnesota"/>
              <xsd:enumeration value="Mississippi"/>
              <xsd:enumeration value="Missouri"/>
              <xsd:enumeration value="Montana"/>
              <xsd:enumeration value="Nebraska"/>
              <xsd:enumeration value="Nevada"/>
              <xsd:enumeration value="New Hampshire"/>
              <xsd:enumeration value="New Jersey"/>
              <xsd:enumeration value="New Mexico"/>
              <xsd:enumeration value="New York"/>
              <xsd:enumeration value="North Carolina"/>
              <xsd:enumeration value="North Dakota"/>
              <xsd:enumeration value="Ohio"/>
              <xsd:enumeration value="Oklahoma"/>
              <xsd:enumeration value="Oregon"/>
              <xsd:enumeration value="Pennsylvania"/>
              <xsd:enumeration value="Puerto Rico"/>
              <xsd:enumeration value="Rhode Island"/>
              <xsd:enumeration value="South Carolina"/>
              <xsd:enumeration value="South Dakota"/>
              <xsd:enumeration value="Tennessee"/>
              <xsd:enumeration value="Texas"/>
              <xsd:enumeration value="US Virgin Islands"/>
              <xsd:enumeration value="Utah"/>
              <xsd:enumeration value="Vermont"/>
              <xsd:enumeration value="Virginia"/>
              <xsd:enumeration value="Washington"/>
              <xsd:enumeration value="West Virginia"/>
              <xsd:enumeration value="Wisconsin"/>
              <xsd:enumeration value="Wyoming"/>
            </xsd:restriction>
          </xsd:simpleType>
        </xsd:union>
      </xsd:simpleType>
    </xsd:element>
    <xsd:element name="Review_x0020_Comments" ma:index="18" nillable="true" ma:displayName="Review Comments" ma:hidden="true" ma:internalName="Review_x0020_Comments" ma:readOnly="false">
      <xsd:simpleType>
        <xsd:restriction base="dms:Note"/>
      </xsd:simpleType>
    </xsd:element>
    <xsd:element name="Demo_x0020_ID" ma:index="20" nillable="true" ma:displayName="Demo ID" ma:indexed="true" ma:list="{4bd70136-adc3-481d-9b73-a7d0d41fb284}" ma:internalName="Demo_x0020_ID" ma:showField="Title">
      <xsd:simpleType>
        <xsd:restriction base="dms:Lookup"/>
      </xsd:simpleType>
    </xsd:element>
    <xsd:element name="Demo_x0020_ID_x003a_Demonstration_x0020_Name" ma:index="21" nillable="true" ma:displayName="Demo ID:Demonstration Name" ma:list="{4bd70136-adc3-481d-9b73-a7d0d41fb284}" ma:internalName="Demo_x0020_ID_x003a_Demonstration_x0020_Name" ma:readOnly="true" ma:showField="Demonstration_x0020_Name" ma:web="bfed16da-a8ca-46ec-a4aa-c7c509893314">
      <xsd:simpleType>
        <xsd:restriction base="dms:Lookup"/>
      </xsd:simpleType>
    </xsd:element>
    <xsd:element name="Demo_x0020_Name_x003a_Demo_x0020_ID" ma:index="23" nillable="true" ma:displayName="Demo Name:Demo ID" ma:list="{4bd70136-adc3-481d-9b73-a7d0d41fb284}" ma:internalName="Demo_x0020_Name_x003a_Demo_x0020_ID" ma:readOnly="true" ma:showField="Title" ma:web="bfed16da-a8ca-46ec-a4aa-c7c509893314">
      <xsd:simpleType>
        <xsd:restriction base="dms:Lookup"/>
      </xsd:simpleType>
    </xsd:element>
    <xsd:element name="Demo_x0020_Name_x003a_Demonstration_x0020_Name" ma:index="24" nillable="true" ma:displayName="Demo Name:Demonstration Name" ma:list="{4bd70136-adc3-481d-9b73-a7d0d41fb284}" ma:internalName="Demo_x0020_Name_x003a_Demonstration_x0020_Name" ma:readOnly="true" ma:showField="Demonstration_x0020_Name" ma:web="bfed16da-a8ca-46ec-a4aa-c7c509893314">
      <xsd:simpleType>
        <xsd:restriction base="dms:Lookup"/>
      </xsd:simpleType>
    </xsd:element>
    <xsd:element name="Demo_x0020_Name_x003a_State_Internal" ma:index="25" nillable="true" ma:displayName="Demo Name:State_Internal" ma:list="{4bd70136-adc3-481d-9b73-a7d0d41fb284}" ma:internalName="Demo_x0020_Name_x003a_State_Internal" ma:readOnly="true" ma:showField="State_Internal" ma:web="bfed16da-a8ca-46ec-a4aa-c7c509893314">
      <xsd:simpleType>
        <xsd:restriction base="dms:Lookup"/>
      </xsd:simpleType>
    </xsd:element>
    <xsd:element name="Demo_x0020_Name_x003a_DemoID_x002d_Name" ma:index="26" nillable="true" ma:displayName="Demo Name:DemoID-Name" ma:list="{4bd70136-adc3-481d-9b73-a7d0d41fb284}" ma:internalName="Demo_x0020_Name_x003a_DemoID_x002d_Name" ma:readOnly="true" ma:showField="DemoID_x002d_Name" ma:web="bfed16da-a8ca-46ec-a4aa-c7c509893314">
      <xsd:simpleType>
        <xsd:restriction base="dms:Lookup"/>
      </xsd:simpleType>
    </xsd:element>
    <xsd:element name="Demo_x0020_Name_x003a_State_x0020_Abbreviation" ma:index="27" nillable="true" ma:displayName="Demo Name:State Abbreviation" ma:list="{4bd70136-adc3-481d-9b73-a7d0d41fb284}" ma:internalName="Demo_x0020_Name_x003a_State_x0020_Abbreviation" ma:readOnly="true" ma:showField="State_x0020_Abbreviation" ma:web="bfed16da-a8ca-46ec-a4aa-c7c509893314">
      <xsd:simpleType>
        <xsd:restriction base="dms:Lookup"/>
      </xsd:simpleType>
    </xsd:element>
    <xsd:element name="Divisions" ma:index="28" ma:displayName="Division" ma:format="Dropdown" ma:indexed="true" ma:internalName="Divisions">
      <xsd:simpleType>
        <xsd:restriction base="dms:Choice">
          <xsd:enumeration value="CMCHO"/>
          <xsd:enumeration value="DDME"/>
          <xsd:enumeration value="DEHPG"/>
          <xsd:enumeration value="DMED"/>
          <xsd:enumeration value="DECD"/>
          <xsd:enumeration value="DSDW"/>
          <xsd:enumeration value="DSRD"/>
          <xsd:enumeration value="OGD"/>
          <xsd:enumeration value="MCOG"/>
        </xsd:restriction>
      </xsd:simpleType>
    </xsd:element>
    <xsd:element name="Document_x0020_Type" ma:index="29" ma:displayName="Document Type" ma:description="" ma:indexed="true" ma:list="{2817c478-d000-48a1-a8db-f5160062febf}" ma:internalName="Document_x0020_Type" ma:showField="Title" ma:web="{BFED16DA-A8CA-46EC-A4AA-C7C509893314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d16da-a8ca-46ec-a4aa-c7c509893314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ea41b-304c-4c03-99c4-debb02094f92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2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_x0020_Descriptor xmlns="6b9f974d-4be1-4652-82ab-08a778657aa4">
      <Value>4</Value>
    </Document_x0020_Type_x0020_Descriptor>
    <Review_x0020_Comments xmlns="6b9f974d-4be1-4652-82ab-08a778657aa4" xsi:nil="true"/>
    <Divisions xmlns="6b9f974d-4be1-4652-82ab-08a778657aa4">DSRD</Divisions>
    <IconOverlay xmlns="http://schemas.microsoft.com/sharepoint/v4" xsi:nil="true"/>
    <Document_x0020_Type xmlns="6b9f974d-4be1-4652-82ab-08a778657aa4">10</Document_x0020_Type>
    <State xmlns="6b9f974d-4be1-4652-82ab-08a778657aa4">Massachusetts</State>
    <Demo_x0020_ID xmlns="6b9f974d-4be1-4652-82ab-08a778657aa4" xsi:nil="true"/>
    <FormData xmlns="http://schemas.microsoft.com/sharepoint/v3">&lt;?xml version="1.0" encoding="utf-8"?&gt;&lt;FormVariables&gt;&lt;Version /&gt;&lt;/FormVariables&gt;</FormData>
    <Document_x0020_Set_x0020_Type xmlns="6b9f974d-4be1-4652-82ab-08a778657aa4" xsi:nil="true"/>
    <Demo_x0020_Name xmlns="6b9f974d-4be1-4652-82ab-08a778657aa4">20</Demo_x0020_Name>
    <_dlc_DocId xmlns="144ea41b-304c-4c03-99c4-debb02094f92">CMCS-1739211535-12850</_dlc_DocId>
    <_dlc_DocIdUrl xmlns="144ea41b-304c-4c03-99c4-debb02094f92">
      <Url>https://share.cms.gov/center/CMCS/SDG/_layouts/15/DocIdRedir.aspx?ID=CMCS-1739211535-12850</Url>
      <Description>CMCS-1739211535-12850</Description>
    </_dlc_DocIdUrl>
  </documentManagement>
</p:properties>
</file>

<file path=customXml/item8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3BD1359-FB90-4A85-952F-B02E903A4457}">
  <ds:schemaRefs/>
</ds:datastoreItem>
</file>

<file path=customXml/itemProps2.xml><?xml version="1.0" encoding="utf-8"?>
<ds:datastoreItem xmlns:ds="http://schemas.openxmlformats.org/officeDocument/2006/customXml" ds:itemID="{1D79D965-17BE-445B-9306-D2E2C66A58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01F9C8-6C26-45D6-8346-FA1259CA7F3F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6E3E7ACD-2A8F-45B9-8F15-E970DFEB884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C7A8C1E-6071-44A9-BFBB-B0549ABF094B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BED6F79E-FC20-45F2-B79D-0B4990289B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9f974d-4be1-4652-82ab-08a778657aa4"/>
    <ds:schemaRef ds:uri="http://schemas.microsoft.com/sharepoint/v4"/>
    <ds:schemaRef ds:uri="bfed16da-a8ca-46ec-a4aa-c7c509893314"/>
    <ds:schemaRef ds:uri="144ea41b-304c-4c03-99c4-debb02094f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BEAEF5CF-A3BB-49DD-B27E-8BFE0AF194CA}">
  <ds:schemaRefs>
    <ds:schemaRef ds:uri="6b9f974d-4be1-4652-82ab-08a778657aa4"/>
    <ds:schemaRef ds:uri="http://purl.org/dc/terms/"/>
    <ds:schemaRef ds:uri="http://www.w3.org/XML/1998/namespace"/>
    <ds:schemaRef ds:uri="http://purl.org/dc/elements/1.1/"/>
    <ds:schemaRef ds:uri="bfed16da-a8ca-46ec-a4aa-c7c509893314"/>
    <ds:schemaRef ds:uri="http://schemas.microsoft.com/sharepoint/v3"/>
    <ds:schemaRef ds:uri="http://schemas.microsoft.com/sharepoint/v4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144ea41b-304c-4c03-99c4-debb02094f92"/>
  </ds:schemaRefs>
</ds:datastoreItem>
</file>

<file path=customXml/itemProps8.xml><?xml version="1.0" encoding="utf-8"?>
<ds:datastoreItem xmlns:ds="http://schemas.openxmlformats.org/officeDocument/2006/customXml" ds:itemID="{9E81F663-449B-4757-B171-282F5AE3E59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4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Rabia Khan</dc:creator>
  <cp:keywords/>
  <dc:description/>
  <cp:lastModifiedBy>Khan, Rabia (CMS/CMCS)</cp:lastModifiedBy>
  <cp:revision>33</cp:revision>
  <dcterms:created xsi:type="dcterms:W3CDTF">2023-02-10T16:31:00Z</dcterms:created>
  <dcterms:modified xsi:type="dcterms:W3CDTF">2024-05-30T12:37:00Z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0x010100228886B34E0E9F48BA16FBED9D25C84A</vt:lpwstr>
  </property>
  <property fmtid="{D5CDD505-2E9C-101B-9397-08002B2CF9AE}" pid="3" name="_dlc_DocIdItemGuid">
    <vt:lpwstr>1fa733ab-9783-4b67-9fe0-3430e153cbd4</vt:lpwstr>
  </property>
  <property fmtid="{D5CDD505-2E9C-101B-9397-08002B2CF9AE}" pid="4" name="Comments">
    <vt:lpwstr>Original submission: 11/3/22_x000d_
CMS feedback sent: 12/6/22_x000d_
Revised submission: 2/22/23_x000d_
CMS feedback sent: 3/9/23_x000d_
Revised submission: 4/5/23</vt:lpwstr>
  </property>
</Properties>
</file>