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CDDC2" w14:textId="77777777" w:rsidR="002C4360" w:rsidRDefault="002C4360" w:rsidP="007B1778">
      <w:pPr>
        <w:pStyle w:val="NoSpacing"/>
        <w:jc w:val="center"/>
        <w:rPr>
          <w:rFonts w:ascii="Times New Roman" w:hAnsi="Times New Roman" w:cs="Arial"/>
          <w:sz w:val="24"/>
          <w:szCs w:val="28"/>
          <w:u w:val="single"/>
        </w:rPr>
      </w:pPr>
    </w:p>
    <w:p w14:paraId="79A7F9F9" w14:textId="77777777" w:rsidR="002C4360" w:rsidRDefault="002C4360" w:rsidP="007B1778">
      <w:pPr>
        <w:pStyle w:val="NoSpacing"/>
        <w:jc w:val="center"/>
        <w:rPr>
          <w:rFonts w:ascii="Times New Roman" w:hAnsi="Times New Roman" w:cs="Arial"/>
          <w:sz w:val="24"/>
          <w:szCs w:val="28"/>
          <w:u w:val="single"/>
        </w:rPr>
      </w:pPr>
    </w:p>
    <w:p w14:paraId="443B282D" w14:textId="77777777" w:rsidR="002C4360" w:rsidRDefault="002C4360" w:rsidP="007B1778">
      <w:pPr>
        <w:pStyle w:val="NoSpacing"/>
        <w:jc w:val="center"/>
        <w:rPr>
          <w:rFonts w:ascii="Times New Roman" w:hAnsi="Times New Roman" w:cs="Arial"/>
          <w:sz w:val="24"/>
          <w:szCs w:val="28"/>
          <w:u w:val="single"/>
        </w:rPr>
      </w:pPr>
    </w:p>
    <w:p w14:paraId="6E415FB0" w14:textId="77777777" w:rsidR="002C4360" w:rsidRDefault="002C4360" w:rsidP="007B1778">
      <w:pPr>
        <w:pStyle w:val="NoSpacing"/>
        <w:jc w:val="center"/>
        <w:rPr>
          <w:rFonts w:ascii="Times New Roman" w:hAnsi="Times New Roman" w:cs="Arial"/>
          <w:sz w:val="24"/>
          <w:szCs w:val="28"/>
          <w:u w:val="single"/>
        </w:rPr>
      </w:pPr>
    </w:p>
    <w:p w14:paraId="04871FBB" w14:textId="77777777" w:rsidR="002C4360" w:rsidRDefault="002C4360" w:rsidP="007B1778">
      <w:pPr>
        <w:pStyle w:val="NoSpacing"/>
        <w:jc w:val="center"/>
        <w:rPr>
          <w:rFonts w:ascii="Times New Roman" w:hAnsi="Times New Roman" w:cs="Arial"/>
          <w:sz w:val="24"/>
          <w:szCs w:val="28"/>
          <w:u w:val="single"/>
        </w:rPr>
      </w:pPr>
    </w:p>
    <w:p w14:paraId="74E23F1E" w14:textId="77777777" w:rsidR="002C4360" w:rsidRDefault="002C4360" w:rsidP="007B1778">
      <w:pPr>
        <w:pStyle w:val="NoSpacing"/>
        <w:jc w:val="center"/>
        <w:rPr>
          <w:rFonts w:ascii="Times New Roman" w:hAnsi="Times New Roman" w:cs="Arial"/>
          <w:sz w:val="24"/>
          <w:szCs w:val="28"/>
          <w:u w:val="single"/>
        </w:rPr>
      </w:pPr>
    </w:p>
    <w:p w14:paraId="54EE5956" w14:textId="77777777" w:rsidR="002C4360" w:rsidRDefault="002C4360" w:rsidP="007B1778">
      <w:pPr>
        <w:pStyle w:val="NoSpacing"/>
        <w:jc w:val="center"/>
        <w:rPr>
          <w:rFonts w:ascii="Times New Roman" w:hAnsi="Times New Roman" w:cs="Arial"/>
          <w:sz w:val="24"/>
          <w:szCs w:val="28"/>
          <w:u w:val="single"/>
        </w:rPr>
      </w:pPr>
    </w:p>
    <w:p w14:paraId="5598070C" w14:textId="77777777" w:rsidR="002C4360" w:rsidRDefault="002C4360" w:rsidP="007B1778">
      <w:pPr>
        <w:pStyle w:val="NoSpacing"/>
        <w:jc w:val="center"/>
        <w:rPr>
          <w:rFonts w:ascii="Times New Roman" w:hAnsi="Times New Roman" w:cs="Arial"/>
          <w:sz w:val="24"/>
          <w:szCs w:val="28"/>
          <w:u w:val="single"/>
        </w:rPr>
      </w:pPr>
    </w:p>
    <w:p w14:paraId="479E972C" w14:textId="77777777" w:rsidR="002C4360" w:rsidRDefault="002C4360" w:rsidP="007B1778">
      <w:pPr>
        <w:pStyle w:val="NoSpacing"/>
        <w:jc w:val="center"/>
        <w:rPr>
          <w:rFonts w:ascii="Times New Roman" w:hAnsi="Times New Roman" w:cs="Arial"/>
          <w:sz w:val="24"/>
          <w:szCs w:val="28"/>
          <w:u w:val="single"/>
        </w:rPr>
      </w:pPr>
    </w:p>
    <w:p w14:paraId="4DFF2C74" w14:textId="77777777" w:rsidR="002C4360" w:rsidRDefault="002C4360" w:rsidP="007B1778">
      <w:pPr>
        <w:pStyle w:val="NoSpacing"/>
        <w:jc w:val="center"/>
        <w:rPr>
          <w:rFonts w:ascii="Times New Roman" w:hAnsi="Times New Roman" w:cs="Arial"/>
          <w:sz w:val="24"/>
          <w:szCs w:val="28"/>
          <w:u w:val="single"/>
        </w:rPr>
      </w:pPr>
    </w:p>
    <w:p w14:paraId="2A23C571" w14:textId="77777777" w:rsidR="002C4360" w:rsidRDefault="002C4360" w:rsidP="003E53FA">
      <w:pPr>
        <w:pStyle w:val="NoSpacing"/>
        <w:jc w:val="center"/>
        <w:rPr>
          <w:rFonts w:ascii="Times New Roman" w:hAnsi="Times New Roman" w:cs="Arial"/>
          <w:sz w:val="24"/>
          <w:szCs w:val="28"/>
          <w:u w:val="single"/>
        </w:rPr>
      </w:pPr>
    </w:p>
    <w:p w14:paraId="35A2D558" w14:textId="59F51497" w:rsidR="00A81903" w:rsidRPr="00F661BE" w:rsidRDefault="00A81903" w:rsidP="007B1778">
      <w:pPr>
        <w:pStyle w:val="NoSpacing"/>
        <w:jc w:val="center"/>
        <w:rPr>
          <w:rFonts w:ascii="Times New Roman" w:hAnsi="Times New Roman" w:cs="Arial"/>
          <w:sz w:val="24"/>
          <w:szCs w:val="28"/>
          <w:u w:val="single"/>
        </w:rPr>
      </w:pPr>
      <w:r w:rsidRPr="00F661BE">
        <w:rPr>
          <w:rFonts w:ascii="Times New Roman" w:hAnsi="Times New Roman" w:cs="Arial"/>
          <w:sz w:val="24"/>
          <w:szCs w:val="28"/>
          <w:u w:val="single"/>
        </w:rPr>
        <w:t xml:space="preserve">ATTACHMENT </w:t>
      </w:r>
      <w:r w:rsidR="007B1778">
        <w:rPr>
          <w:rFonts w:ascii="Times New Roman" w:hAnsi="Times New Roman" w:cs="Arial"/>
          <w:sz w:val="24"/>
          <w:szCs w:val="28"/>
          <w:u w:val="single"/>
        </w:rPr>
        <w:t>E</w:t>
      </w:r>
    </w:p>
    <w:p w14:paraId="42DF5E38" w14:textId="77777777" w:rsidR="00A81903" w:rsidRPr="00F661BE" w:rsidRDefault="00A81903" w:rsidP="007B1778">
      <w:pPr>
        <w:pStyle w:val="NoSpacing"/>
        <w:ind w:left="3600" w:firstLine="720"/>
        <w:rPr>
          <w:rFonts w:ascii="Times New Roman" w:hAnsi="Times New Roman"/>
          <w:sz w:val="24"/>
          <w:szCs w:val="24"/>
        </w:rPr>
      </w:pPr>
    </w:p>
    <w:p w14:paraId="0E2E6E9A" w14:textId="77777777" w:rsidR="00A81903" w:rsidRPr="00F661BE" w:rsidRDefault="00A81903" w:rsidP="007B1778">
      <w:pPr>
        <w:pStyle w:val="NoSpacing"/>
        <w:ind w:left="4320" w:firstLine="720"/>
        <w:rPr>
          <w:rFonts w:ascii="Times New Roman" w:hAnsi="Times New Roman"/>
          <w:sz w:val="24"/>
          <w:szCs w:val="24"/>
        </w:rPr>
      </w:pPr>
      <w:r>
        <w:rPr>
          <w:rFonts w:ascii="Times New Roman" w:hAnsi="Times New Roman"/>
          <w:sz w:val="24"/>
          <w:szCs w:val="24"/>
        </w:rPr>
        <w:t>December 11</w:t>
      </w:r>
      <w:r w:rsidRPr="00F661BE">
        <w:rPr>
          <w:rFonts w:ascii="Times New Roman" w:hAnsi="Times New Roman"/>
          <w:sz w:val="24"/>
          <w:szCs w:val="24"/>
        </w:rPr>
        <w:t>, 2020</w:t>
      </w:r>
    </w:p>
    <w:p w14:paraId="2655BEC6" w14:textId="77777777" w:rsidR="00A81903" w:rsidRPr="00F661BE" w:rsidRDefault="00A81903" w:rsidP="007B1778">
      <w:pPr>
        <w:pStyle w:val="NoSpacing"/>
        <w:rPr>
          <w:rFonts w:ascii="Times New Roman" w:hAnsi="Times New Roman"/>
          <w:sz w:val="24"/>
          <w:szCs w:val="24"/>
        </w:rPr>
      </w:pPr>
    </w:p>
    <w:p w14:paraId="42846794" w14:textId="77777777" w:rsidR="00A81903" w:rsidRPr="00F661BE" w:rsidRDefault="00A81903" w:rsidP="007B1778">
      <w:pPr>
        <w:pStyle w:val="NoSpacing"/>
        <w:rPr>
          <w:rFonts w:ascii="Times New Roman" w:hAnsi="Times New Roman"/>
          <w:sz w:val="24"/>
          <w:szCs w:val="24"/>
        </w:rPr>
      </w:pPr>
      <w:r w:rsidRPr="00F661BE">
        <w:rPr>
          <w:rFonts w:ascii="Times New Roman" w:hAnsi="Times New Roman"/>
          <w:sz w:val="24"/>
          <w:szCs w:val="24"/>
        </w:rPr>
        <w:t xml:space="preserve">To the Honorable Senate and House of Representatives, </w:t>
      </w:r>
    </w:p>
    <w:p w14:paraId="6C8674B3" w14:textId="77777777" w:rsidR="00A81903" w:rsidRPr="00F661BE" w:rsidRDefault="00A81903" w:rsidP="007B1778">
      <w:pPr>
        <w:pStyle w:val="NoSpacing"/>
        <w:rPr>
          <w:rFonts w:ascii="Times New Roman" w:hAnsi="Times New Roman"/>
          <w:sz w:val="24"/>
          <w:szCs w:val="24"/>
        </w:rPr>
      </w:pPr>
    </w:p>
    <w:p w14:paraId="7D37F25B" w14:textId="7549AE34" w:rsidR="00A81903" w:rsidRDefault="00A81903" w:rsidP="007B1778">
      <w:pPr>
        <w:pStyle w:val="paragraph"/>
        <w:spacing w:before="0" w:beforeAutospacing="0" w:after="0" w:afterAutospacing="0"/>
        <w:ind w:firstLine="720"/>
        <w:textAlignment w:val="baseline"/>
        <w:rPr>
          <w:rStyle w:val="normaltextrun"/>
          <w:color w:val="000000"/>
          <w:shd w:val="clear" w:color="auto" w:fill="FFFFFF"/>
        </w:rPr>
      </w:pPr>
      <w:r w:rsidRPr="0005331E">
        <w:rPr>
          <w:rStyle w:val="normaltextrun"/>
          <w:color w:val="000000"/>
          <w:shd w:val="clear" w:color="auto" w:fill="FFFFFF"/>
        </w:rPr>
        <w:t>Pursuant to Article LVI, as amended by Article XC, Section 3 of the Amendments to the Constitution of the Commonwealth of Massachusetts, I am returning to you for amendment Section</w:t>
      </w:r>
      <w:r>
        <w:rPr>
          <w:rStyle w:val="normaltextrun"/>
          <w:color w:val="000000"/>
          <w:shd w:val="clear" w:color="auto" w:fill="FFFFFF"/>
        </w:rPr>
        <w:t>s</w:t>
      </w:r>
      <w:r w:rsidRPr="0005331E">
        <w:rPr>
          <w:rStyle w:val="normaltextrun"/>
          <w:color w:val="000000"/>
          <w:shd w:val="clear" w:color="auto" w:fill="FFFFFF"/>
        </w:rPr>
        <w:t xml:space="preserve"> </w:t>
      </w:r>
      <w:r>
        <w:rPr>
          <w:rStyle w:val="normaltextrun"/>
          <w:color w:val="000000"/>
          <w:shd w:val="clear" w:color="auto" w:fill="FFFFFF"/>
        </w:rPr>
        <w:t xml:space="preserve">79, 80, 88 and </w:t>
      </w:r>
      <w:r w:rsidR="006F12A6">
        <w:rPr>
          <w:rStyle w:val="normaltextrun"/>
          <w:color w:val="000000"/>
          <w:shd w:val="clear" w:color="auto" w:fill="FFFFFF"/>
        </w:rPr>
        <w:t>103</w:t>
      </w:r>
      <w:r w:rsidRPr="0005331E">
        <w:rPr>
          <w:rStyle w:val="normaltextrun"/>
          <w:color w:val="000000"/>
          <w:shd w:val="clear" w:color="auto" w:fill="FFFFFF"/>
        </w:rPr>
        <w:t xml:space="preserve"> of House Bill No. 5164, “An Act Making Appropriations for the Fiscal Year 2021 for the Maintenance of the Departments, Boards, Commissions, Institutions and Certain Activities of the Commonwealth, for Interest, Sinking Fund and Serial Bond Requirements and for Certain Permanent Improvements.”</w:t>
      </w:r>
    </w:p>
    <w:p w14:paraId="66598CA9" w14:textId="77777777" w:rsidR="00A81903" w:rsidRPr="00355D7D" w:rsidRDefault="00A81903" w:rsidP="007B1778">
      <w:pPr>
        <w:spacing w:after="0" w:line="240" w:lineRule="auto"/>
        <w:ind w:firstLine="720"/>
        <w:rPr>
          <w:rFonts w:ascii="Times New Roman" w:hAnsi="Times New Roman" w:cs="Times New Roman"/>
          <w:sz w:val="24"/>
          <w:szCs w:val="24"/>
        </w:rPr>
      </w:pPr>
    </w:p>
    <w:p w14:paraId="14761620" w14:textId="6C996AF4" w:rsidR="00A81903" w:rsidRDefault="00A81903" w:rsidP="007B1778">
      <w:pPr>
        <w:spacing w:after="0" w:line="240" w:lineRule="auto"/>
        <w:ind w:firstLine="720"/>
        <w:rPr>
          <w:rFonts w:ascii="Times New Roman" w:hAnsi="Times New Roman" w:cs="Times New Roman"/>
          <w:sz w:val="24"/>
          <w:szCs w:val="24"/>
        </w:rPr>
      </w:pPr>
      <w:r w:rsidRPr="00355D7D">
        <w:rPr>
          <w:rFonts w:ascii="Times New Roman" w:hAnsi="Times New Roman" w:cs="Times New Roman"/>
          <w:sz w:val="24"/>
          <w:szCs w:val="24"/>
        </w:rPr>
        <w:t>Section 79 requires that until the end of the state of emergency, an</w:t>
      </w:r>
      <w:r>
        <w:rPr>
          <w:rFonts w:ascii="Times New Roman" w:hAnsi="Times New Roman" w:cs="Times New Roman"/>
          <w:sz w:val="24"/>
          <w:szCs w:val="24"/>
        </w:rPr>
        <w:t>y</w:t>
      </w:r>
      <w:r w:rsidRPr="00355D7D">
        <w:rPr>
          <w:rFonts w:ascii="Times New Roman" w:hAnsi="Times New Roman" w:cs="Times New Roman"/>
          <w:sz w:val="24"/>
          <w:szCs w:val="24"/>
        </w:rPr>
        <w:t xml:space="preserve"> notice to quit for nonpayment of rent given by a landlord to a residential tenant </w:t>
      </w:r>
      <w:r w:rsidR="006F12A6">
        <w:rPr>
          <w:rFonts w:ascii="Times New Roman" w:hAnsi="Times New Roman" w:cs="Times New Roman"/>
          <w:sz w:val="24"/>
          <w:szCs w:val="24"/>
        </w:rPr>
        <w:t xml:space="preserve">under </w:t>
      </w:r>
      <w:r w:rsidRPr="00355D7D">
        <w:rPr>
          <w:rFonts w:ascii="Times New Roman" w:hAnsi="Times New Roman" w:cs="Times New Roman"/>
          <w:sz w:val="24"/>
          <w:szCs w:val="24"/>
        </w:rPr>
        <w:t xml:space="preserve">chapter 186 shall be accompanied by a form with </w:t>
      </w:r>
      <w:r>
        <w:rPr>
          <w:rFonts w:ascii="Times New Roman" w:hAnsi="Times New Roman" w:cs="Times New Roman"/>
          <w:sz w:val="24"/>
          <w:szCs w:val="24"/>
        </w:rPr>
        <w:t xml:space="preserve">certain </w:t>
      </w:r>
      <w:r w:rsidRPr="00355D7D">
        <w:rPr>
          <w:rFonts w:ascii="Times New Roman" w:hAnsi="Times New Roman" w:cs="Times New Roman"/>
          <w:sz w:val="24"/>
          <w:szCs w:val="24"/>
        </w:rPr>
        <w:t xml:space="preserve">information, specified in the section, which would be of material interest to the tenant.  The </w:t>
      </w:r>
      <w:r>
        <w:rPr>
          <w:rFonts w:ascii="Times New Roman" w:hAnsi="Times New Roman" w:cs="Times New Roman"/>
          <w:sz w:val="24"/>
          <w:szCs w:val="24"/>
        </w:rPr>
        <w:t>E</w:t>
      </w:r>
      <w:r w:rsidRPr="00355D7D">
        <w:rPr>
          <w:rFonts w:ascii="Times New Roman" w:hAnsi="Times New Roman" w:cs="Times New Roman"/>
          <w:sz w:val="24"/>
          <w:szCs w:val="24"/>
        </w:rPr>
        <w:t xml:space="preserve">xecutive </w:t>
      </w:r>
      <w:r>
        <w:rPr>
          <w:rFonts w:ascii="Times New Roman" w:hAnsi="Times New Roman" w:cs="Times New Roman"/>
          <w:sz w:val="24"/>
          <w:szCs w:val="24"/>
        </w:rPr>
        <w:t>O</w:t>
      </w:r>
      <w:r w:rsidRPr="00355D7D">
        <w:rPr>
          <w:rFonts w:ascii="Times New Roman" w:hAnsi="Times New Roman" w:cs="Times New Roman"/>
          <w:sz w:val="24"/>
          <w:szCs w:val="24"/>
        </w:rPr>
        <w:t xml:space="preserve">ffice of </w:t>
      </w:r>
      <w:r>
        <w:rPr>
          <w:rFonts w:ascii="Times New Roman" w:hAnsi="Times New Roman" w:cs="Times New Roman"/>
          <w:sz w:val="24"/>
          <w:szCs w:val="24"/>
        </w:rPr>
        <w:t>H</w:t>
      </w:r>
      <w:r w:rsidRPr="00355D7D">
        <w:rPr>
          <w:rFonts w:ascii="Times New Roman" w:hAnsi="Times New Roman" w:cs="Times New Roman"/>
          <w:sz w:val="24"/>
          <w:szCs w:val="24"/>
        </w:rPr>
        <w:t xml:space="preserve">ousing and </w:t>
      </w:r>
      <w:r>
        <w:rPr>
          <w:rFonts w:ascii="Times New Roman" w:hAnsi="Times New Roman" w:cs="Times New Roman"/>
          <w:sz w:val="24"/>
          <w:szCs w:val="24"/>
        </w:rPr>
        <w:t>E</w:t>
      </w:r>
      <w:r w:rsidRPr="00355D7D">
        <w:rPr>
          <w:rFonts w:ascii="Times New Roman" w:hAnsi="Times New Roman" w:cs="Times New Roman"/>
          <w:sz w:val="24"/>
          <w:szCs w:val="24"/>
        </w:rPr>
        <w:t xml:space="preserve">conomic </w:t>
      </w:r>
      <w:r>
        <w:rPr>
          <w:rFonts w:ascii="Times New Roman" w:hAnsi="Times New Roman" w:cs="Times New Roman"/>
          <w:sz w:val="24"/>
          <w:szCs w:val="24"/>
        </w:rPr>
        <w:t>D</w:t>
      </w:r>
      <w:r w:rsidRPr="00355D7D">
        <w:rPr>
          <w:rFonts w:ascii="Times New Roman" w:hAnsi="Times New Roman" w:cs="Times New Roman"/>
          <w:sz w:val="24"/>
          <w:szCs w:val="24"/>
        </w:rPr>
        <w:t>evelopment (</w:t>
      </w:r>
      <w:r>
        <w:rPr>
          <w:rFonts w:ascii="Times New Roman" w:hAnsi="Times New Roman" w:cs="Times New Roman"/>
          <w:sz w:val="24"/>
          <w:szCs w:val="24"/>
        </w:rPr>
        <w:t>“</w:t>
      </w:r>
      <w:r w:rsidRPr="00355D7D">
        <w:rPr>
          <w:rFonts w:ascii="Times New Roman" w:hAnsi="Times New Roman" w:cs="Times New Roman"/>
          <w:sz w:val="24"/>
          <w:szCs w:val="24"/>
        </w:rPr>
        <w:t>EOHED</w:t>
      </w:r>
      <w:r>
        <w:rPr>
          <w:rFonts w:ascii="Times New Roman" w:hAnsi="Times New Roman" w:cs="Times New Roman"/>
          <w:sz w:val="24"/>
          <w:szCs w:val="24"/>
        </w:rPr>
        <w:t>”</w:t>
      </w:r>
      <w:r w:rsidRPr="00355D7D">
        <w:rPr>
          <w:rFonts w:ascii="Times New Roman" w:hAnsi="Times New Roman" w:cs="Times New Roman"/>
          <w:sz w:val="24"/>
          <w:szCs w:val="24"/>
        </w:rPr>
        <w:t xml:space="preserve">) is required to develop the required </w:t>
      </w:r>
      <w:proofErr w:type="gramStart"/>
      <w:r>
        <w:rPr>
          <w:rFonts w:ascii="Times New Roman" w:hAnsi="Times New Roman" w:cs="Times New Roman"/>
          <w:sz w:val="24"/>
          <w:szCs w:val="24"/>
        </w:rPr>
        <w:t xml:space="preserve">form, </w:t>
      </w:r>
      <w:r w:rsidRPr="00355D7D">
        <w:rPr>
          <w:rFonts w:ascii="Times New Roman" w:hAnsi="Times New Roman" w:cs="Times New Roman"/>
          <w:sz w:val="24"/>
          <w:szCs w:val="24"/>
        </w:rPr>
        <w:t>and</w:t>
      </w:r>
      <w:proofErr w:type="gramEnd"/>
      <w:r w:rsidRPr="00355D7D">
        <w:rPr>
          <w:rFonts w:ascii="Times New Roman" w:hAnsi="Times New Roman" w:cs="Times New Roman"/>
          <w:sz w:val="24"/>
          <w:szCs w:val="24"/>
        </w:rPr>
        <w:t xml:space="preserve"> make it publicly available on its website not later than December 18, 2020.  </w:t>
      </w:r>
    </w:p>
    <w:p w14:paraId="176C2CA7" w14:textId="77777777" w:rsidR="00A81903" w:rsidRPr="00355D7D" w:rsidRDefault="00A81903" w:rsidP="007B1778">
      <w:pPr>
        <w:pStyle w:val="section3etcparagr"/>
        <w:spacing w:line="240" w:lineRule="auto"/>
        <w:ind w:firstLine="0"/>
        <w:jc w:val="left"/>
        <w:rPr>
          <w:szCs w:val="24"/>
        </w:rPr>
      </w:pPr>
    </w:p>
    <w:p w14:paraId="094FCB4B" w14:textId="6E91A137" w:rsidR="00096986" w:rsidRPr="00096986" w:rsidRDefault="00096986" w:rsidP="007B1778">
      <w:pPr>
        <w:spacing w:after="0" w:line="240" w:lineRule="auto"/>
        <w:ind w:firstLine="720"/>
        <w:rPr>
          <w:rFonts w:ascii="Times New Roman" w:hAnsi="Times New Roman" w:cs="Times New Roman"/>
          <w:sz w:val="24"/>
          <w:szCs w:val="24"/>
        </w:rPr>
      </w:pPr>
      <w:r w:rsidRPr="00096986">
        <w:rPr>
          <w:rFonts w:ascii="Times New Roman" w:hAnsi="Times New Roman" w:cs="Times New Roman"/>
          <w:sz w:val="24"/>
          <w:szCs w:val="24"/>
        </w:rPr>
        <w:t xml:space="preserve">I am returning </w:t>
      </w:r>
      <w:r>
        <w:rPr>
          <w:rFonts w:ascii="Times New Roman" w:hAnsi="Times New Roman" w:cs="Times New Roman"/>
          <w:sz w:val="24"/>
          <w:szCs w:val="24"/>
        </w:rPr>
        <w:t xml:space="preserve">Section 79 </w:t>
      </w:r>
      <w:r w:rsidRPr="00096986">
        <w:rPr>
          <w:rFonts w:ascii="Times New Roman" w:hAnsi="Times New Roman" w:cs="Times New Roman"/>
          <w:sz w:val="24"/>
          <w:szCs w:val="24"/>
        </w:rPr>
        <w:t xml:space="preserve">with two proposed changes.  First, I am striking the requirement that a court not </w:t>
      </w:r>
      <w:proofErr w:type="gramStart"/>
      <w:r w:rsidRPr="00096986">
        <w:rPr>
          <w:rFonts w:ascii="Times New Roman" w:hAnsi="Times New Roman" w:cs="Times New Roman"/>
          <w:sz w:val="24"/>
          <w:szCs w:val="24"/>
        </w:rPr>
        <w:t>accept</w:t>
      </w:r>
      <w:proofErr w:type="gramEnd"/>
      <w:r w:rsidRPr="00096986">
        <w:rPr>
          <w:rFonts w:ascii="Times New Roman" w:hAnsi="Times New Roman" w:cs="Times New Roman"/>
          <w:sz w:val="24"/>
          <w:szCs w:val="24"/>
        </w:rPr>
        <w:t xml:space="preserve"> for filing a writ, summons or complaint without proof of delivery of the form required under this subsection.  Filing documents in court takes place at the clerk level</w:t>
      </w:r>
      <w:r>
        <w:rPr>
          <w:rFonts w:ascii="Times New Roman" w:hAnsi="Times New Roman" w:cs="Times New Roman"/>
          <w:sz w:val="24"/>
          <w:szCs w:val="24"/>
        </w:rPr>
        <w:t xml:space="preserve"> and </w:t>
      </w:r>
      <w:r w:rsidRPr="00096986">
        <w:rPr>
          <w:rFonts w:ascii="Times New Roman" w:hAnsi="Times New Roman" w:cs="Times New Roman"/>
          <w:sz w:val="24"/>
          <w:szCs w:val="24"/>
        </w:rPr>
        <w:t xml:space="preserve">language in question would require clerks to determine, at the time of filing, whether documents submitted to the court constitute “proof of delivery” and would allow clerks to reject filings if they decide that the proof of delivery is insufficient.  Such a </w:t>
      </w:r>
      <w:r>
        <w:rPr>
          <w:rFonts w:ascii="Times New Roman" w:hAnsi="Times New Roman" w:cs="Times New Roman"/>
          <w:sz w:val="24"/>
          <w:szCs w:val="24"/>
        </w:rPr>
        <w:t xml:space="preserve">requirement </w:t>
      </w:r>
      <w:r w:rsidR="00EF13DD">
        <w:rPr>
          <w:rFonts w:ascii="Times New Roman" w:hAnsi="Times New Roman" w:cs="Times New Roman"/>
          <w:sz w:val="24"/>
          <w:szCs w:val="24"/>
        </w:rPr>
        <w:t>raises questions about whether it puts clerks in the untenable position of having to</w:t>
      </w:r>
      <w:r w:rsidRPr="00096986">
        <w:rPr>
          <w:rFonts w:ascii="Times New Roman" w:hAnsi="Times New Roman" w:cs="Times New Roman"/>
          <w:sz w:val="24"/>
          <w:szCs w:val="24"/>
        </w:rPr>
        <w:t xml:space="preserve"> invoke</w:t>
      </w:r>
      <w:r w:rsidR="00EF13DD">
        <w:rPr>
          <w:rFonts w:ascii="Times New Roman" w:hAnsi="Times New Roman" w:cs="Times New Roman"/>
          <w:sz w:val="24"/>
          <w:szCs w:val="24"/>
        </w:rPr>
        <w:t xml:space="preserve"> </w:t>
      </w:r>
      <w:r w:rsidRPr="00096986">
        <w:rPr>
          <w:rFonts w:ascii="Times New Roman" w:hAnsi="Times New Roman" w:cs="Times New Roman"/>
          <w:sz w:val="24"/>
          <w:szCs w:val="24"/>
        </w:rPr>
        <w:t>judicial power</w:t>
      </w:r>
      <w:r w:rsidR="00EF13DD">
        <w:rPr>
          <w:rFonts w:ascii="Times New Roman" w:hAnsi="Times New Roman" w:cs="Times New Roman"/>
          <w:sz w:val="24"/>
          <w:szCs w:val="24"/>
        </w:rPr>
        <w:t>.</w:t>
      </w:r>
    </w:p>
    <w:p w14:paraId="5536B292" w14:textId="77777777" w:rsidR="00096986" w:rsidRPr="00096986" w:rsidRDefault="00096986" w:rsidP="007B1778">
      <w:pPr>
        <w:spacing w:after="0" w:line="240" w:lineRule="auto"/>
        <w:ind w:firstLine="720"/>
        <w:rPr>
          <w:rFonts w:ascii="Times New Roman" w:hAnsi="Times New Roman" w:cs="Times New Roman"/>
          <w:sz w:val="24"/>
          <w:szCs w:val="24"/>
        </w:rPr>
      </w:pPr>
    </w:p>
    <w:p w14:paraId="2E6D6478" w14:textId="6EDAD6D6" w:rsidR="00096986" w:rsidRDefault="00096986" w:rsidP="007B1778">
      <w:pPr>
        <w:spacing w:after="0" w:line="240" w:lineRule="auto"/>
        <w:ind w:firstLine="720"/>
        <w:rPr>
          <w:rFonts w:ascii="Times New Roman" w:hAnsi="Times New Roman" w:cs="Times New Roman"/>
          <w:sz w:val="24"/>
          <w:szCs w:val="24"/>
        </w:rPr>
      </w:pPr>
      <w:r w:rsidRPr="00096986">
        <w:rPr>
          <w:rFonts w:ascii="Times New Roman" w:hAnsi="Times New Roman" w:cs="Times New Roman"/>
          <w:sz w:val="24"/>
          <w:szCs w:val="24"/>
        </w:rPr>
        <w:t xml:space="preserve">In addition, I note that it will reasonably take some time for EOHED to establish a system by which landlords can upload the required electronic copy of a notice to quit.  I </w:t>
      </w:r>
      <w:r>
        <w:rPr>
          <w:rFonts w:ascii="Times New Roman" w:hAnsi="Times New Roman" w:cs="Times New Roman"/>
          <w:sz w:val="24"/>
          <w:szCs w:val="24"/>
        </w:rPr>
        <w:t>am recommending that</w:t>
      </w:r>
      <w:r w:rsidRPr="00096986">
        <w:rPr>
          <w:rFonts w:ascii="Times New Roman" w:hAnsi="Times New Roman" w:cs="Times New Roman"/>
          <w:sz w:val="24"/>
          <w:szCs w:val="24"/>
        </w:rPr>
        <w:t xml:space="preserve"> EOHED have until December 18—the date at which other provisions of this section become operative—to establish this electronic system and to publish the emergency regulations required by subsection (c).</w:t>
      </w:r>
    </w:p>
    <w:p w14:paraId="5C70B199" w14:textId="6A5A1D1C" w:rsidR="008E579A" w:rsidRDefault="008E579A" w:rsidP="007B1778">
      <w:pPr>
        <w:spacing w:after="0" w:line="240" w:lineRule="auto"/>
        <w:ind w:firstLine="720"/>
        <w:rPr>
          <w:rFonts w:ascii="Times New Roman" w:hAnsi="Times New Roman" w:cs="Times New Roman"/>
          <w:sz w:val="24"/>
          <w:szCs w:val="24"/>
        </w:rPr>
      </w:pPr>
    </w:p>
    <w:p w14:paraId="167805AD" w14:textId="1FDB73D7" w:rsidR="008E579A" w:rsidRPr="00355D7D" w:rsidRDefault="008E579A" w:rsidP="007B177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Section 80 </w:t>
      </w:r>
      <w:r w:rsidRPr="008E579A">
        <w:rPr>
          <w:rFonts w:ascii="Times New Roman" w:hAnsi="Times New Roman" w:cs="Times New Roman"/>
          <w:sz w:val="24"/>
          <w:szCs w:val="24"/>
        </w:rPr>
        <w:t>requires courts to stay judgments or executions in certain eviction cases if the tenant has a pending application for short-term emergency rental assistance.</w:t>
      </w:r>
      <w:r w:rsidR="00F30E34">
        <w:rPr>
          <w:rFonts w:ascii="Times New Roman" w:hAnsi="Times New Roman" w:cs="Times New Roman"/>
          <w:sz w:val="24"/>
          <w:szCs w:val="24"/>
        </w:rPr>
        <w:t xml:space="preserve">  However, it </w:t>
      </w:r>
      <w:r w:rsidR="006F12A6">
        <w:rPr>
          <w:rFonts w:ascii="Times New Roman" w:hAnsi="Times New Roman" w:cs="Times New Roman"/>
          <w:sz w:val="24"/>
          <w:szCs w:val="24"/>
        </w:rPr>
        <w:t xml:space="preserve">also </w:t>
      </w:r>
      <w:r w:rsidR="00F30E34">
        <w:rPr>
          <w:rFonts w:ascii="Times New Roman" w:hAnsi="Times New Roman" w:cs="Times New Roman"/>
          <w:sz w:val="24"/>
          <w:szCs w:val="24"/>
        </w:rPr>
        <w:t>includes language</w:t>
      </w:r>
      <w:r w:rsidR="00F30E34">
        <w:rPr>
          <w:rFonts w:ascii="Times New Roman" w:hAnsi="Times New Roman" w:cs="Times New Roman"/>
          <w:color w:val="000000"/>
          <w:sz w:val="24"/>
          <w:szCs w:val="24"/>
        </w:rPr>
        <w:t xml:space="preserve"> that would </w:t>
      </w:r>
      <w:r w:rsidR="006F12A6">
        <w:rPr>
          <w:rFonts w:ascii="Times New Roman" w:hAnsi="Times New Roman" w:cs="Times New Roman"/>
          <w:color w:val="000000"/>
          <w:sz w:val="24"/>
          <w:szCs w:val="24"/>
        </w:rPr>
        <w:t xml:space="preserve">require </w:t>
      </w:r>
      <w:r w:rsidR="00F30E34">
        <w:rPr>
          <w:rFonts w:ascii="Times New Roman" w:hAnsi="Times New Roman" w:cs="Times New Roman"/>
          <w:color w:val="000000"/>
          <w:sz w:val="24"/>
          <w:szCs w:val="24"/>
        </w:rPr>
        <w:t xml:space="preserve">a court to grant a continuance at the time a trial is scheduled.  This is inconsistent with current court procedures and I recommend alternative language to conform with existing </w:t>
      </w:r>
      <w:r w:rsidR="006F12A6">
        <w:rPr>
          <w:rFonts w:ascii="Times New Roman" w:hAnsi="Times New Roman" w:cs="Times New Roman"/>
          <w:color w:val="000000"/>
          <w:sz w:val="24"/>
          <w:szCs w:val="24"/>
        </w:rPr>
        <w:t xml:space="preserve">court </w:t>
      </w:r>
      <w:r w:rsidR="00F30E34">
        <w:rPr>
          <w:rFonts w:ascii="Times New Roman" w:hAnsi="Times New Roman" w:cs="Times New Roman"/>
          <w:color w:val="000000"/>
          <w:sz w:val="24"/>
          <w:szCs w:val="24"/>
        </w:rPr>
        <w:t xml:space="preserve">processes </w:t>
      </w:r>
      <w:r w:rsidR="006F12A6">
        <w:rPr>
          <w:rFonts w:ascii="Times New Roman" w:hAnsi="Times New Roman" w:cs="Times New Roman"/>
          <w:color w:val="000000"/>
          <w:sz w:val="24"/>
          <w:szCs w:val="24"/>
        </w:rPr>
        <w:t xml:space="preserve">in summary process cases </w:t>
      </w:r>
      <w:r w:rsidR="00F30E34">
        <w:rPr>
          <w:rFonts w:ascii="Times New Roman" w:hAnsi="Times New Roman" w:cs="Times New Roman"/>
          <w:color w:val="000000"/>
          <w:sz w:val="24"/>
          <w:szCs w:val="24"/>
        </w:rPr>
        <w:t>to avoid disruption.</w:t>
      </w:r>
    </w:p>
    <w:p w14:paraId="1E1BB5E8" w14:textId="77777777" w:rsidR="008E579A" w:rsidRPr="00096986" w:rsidRDefault="008E579A" w:rsidP="007B1778">
      <w:pPr>
        <w:spacing w:after="0" w:line="240" w:lineRule="auto"/>
        <w:ind w:firstLine="720"/>
        <w:rPr>
          <w:rFonts w:ascii="Times New Roman" w:hAnsi="Times New Roman" w:cs="Times New Roman"/>
          <w:sz w:val="24"/>
          <w:szCs w:val="24"/>
        </w:rPr>
      </w:pPr>
    </w:p>
    <w:p w14:paraId="47A14521" w14:textId="5A1279AF" w:rsidR="00F30E34" w:rsidRDefault="00F30E34" w:rsidP="007B1778">
      <w:pPr>
        <w:spacing w:after="0" w:line="240" w:lineRule="auto"/>
        <w:ind w:firstLine="810"/>
        <w:rPr>
          <w:rFonts w:ascii="Times New Roman" w:hAnsi="Times New Roman" w:cs="Times New Roman"/>
          <w:color w:val="000000"/>
          <w:sz w:val="24"/>
          <w:szCs w:val="24"/>
        </w:rPr>
      </w:pPr>
      <w:r w:rsidRPr="00F30E34">
        <w:rPr>
          <w:rFonts w:ascii="Times New Roman" w:hAnsi="Times New Roman" w:cs="Times New Roman"/>
          <w:color w:val="000000"/>
          <w:sz w:val="24"/>
          <w:szCs w:val="24"/>
        </w:rPr>
        <w:t xml:space="preserve">Section 88 requires the department of housing and community development (DHCD) to submit a monthly report on rental assistance programs it administers through nine regional administering agencies.  While I fully support the intent of this section, which is to ensure DHCD is collecting the kinds of data needed to effectively manage these programs, I am suggesting some changes to ensure that these new data collection efforts both are feasible and do not unreasonably impair the ability of the regional administering agencies to process applications and provide services to households in need.  </w:t>
      </w:r>
    </w:p>
    <w:p w14:paraId="11D31B86" w14:textId="6AD39B33" w:rsidR="00A71A69" w:rsidRDefault="00A71A69" w:rsidP="007B1778">
      <w:pPr>
        <w:spacing w:after="0" w:line="240" w:lineRule="auto"/>
        <w:ind w:firstLine="810"/>
        <w:rPr>
          <w:rFonts w:ascii="Times New Roman" w:hAnsi="Times New Roman" w:cs="Times New Roman"/>
          <w:color w:val="000000"/>
          <w:sz w:val="24"/>
          <w:szCs w:val="24"/>
        </w:rPr>
      </w:pPr>
    </w:p>
    <w:p w14:paraId="52F5E438" w14:textId="40F7BD5F" w:rsidR="00A71A69" w:rsidRPr="00F30E34" w:rsidRDefault="00A71A69" w:rsidP="007B1778">
      <w:pPr>
        <w:spacing w:after="0" w:line="240" w:lineRule="auto"/>
        <w:ind w:firstLine="81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Additionally, Section 103 proposes to establish</w:t>
      </w:r>
      <w:r>
        <w:rPr>
          <w:rFonts w:ascii="Times New Roman" w:eastAsia="Times New Roman" w:hAnsi="Times New Roman" w:cs="Times New Roman"/>
          <w:color w:val="000000"/>
          <w:sz w:val="24"/>
          <w:szCs w:val="24"/>
        </w:rPr>
        <w:t xml:space="preserve"> a 19-member COVID-19 eviction diversion initiative task force to track the initiative’s outcomes.</w:t>
      </w:r>
      <w:r w:rsidR="007B1778">
        <w:rPr>
          <w:rFonts w:ascii="Times New Roman" w:eastAsia="Times New Roman" w:hAnsi="Times New Roman" w:cs="Times New Roman"/>
          <w:color w:val="000000"/>
          <w:sz w:val="24"/>
          <w:szCs w:val="24"/>
        </w:rPr>
        <w:t xml:space="preserve">  </w:t>
      </w:r>
      <w:r w:rsidR="001C0BCF">
        <w:rPr>
          <w:rFonts w:ascii="Times New Roman" w:eastAsia="Times New Roman" w:hAnsi="Times New Roman" w:cs="Times New Roman"/>
          <w:color w:val="000000"/>
          <w:sz w:val="24"/>
          <w:szCs w:val="24"/>
        </w:rPr>
        <w:t>My recommended amendment does not include this task force as it</w:t>
      </w:r>
      <w:r>
        <w:rPr>
          <w:rFonts w:ascii="Times New Roman" w:eastAsia="Times New Roman" w:hAnsi="Times New Roman" w:cs="Times New Roman"/>
          <w:color w:val="000000"/>
          <w:sz w:val="24"/>
          <w:szCs w:val="24"/>
        </w:rPr>
        <w:t xml:space="preserve"> is unnecessary at this time since the data collection requirement that I am recommending </w:t>
      </w:r>
      <w:r w:rsidR="001C0BCF">
        <w:rPr>
          <w:rFonts w:ascii="Times New Roman" w:eastAsia="Times New Roman" w:hAnsi="Times New Roman" w:cs="Times New Roman"/>
          <w:color w:val="000000"/>
          <w:sz w:val="24"/>
          <w:szCs w:val="24"/>
        </w:rPr>
        <w:t>provides the mechanism to provide the necessary data to the Legislature, the courts, key stakeholders as well as the tenants of the Commonwealth.</w:t>
      </w:r>
    </w:p>
    <w:p w14:paraId="5098D7CE" w14:textId="77777777" w:rsidR="00096986" w:rsidRPr="00355D7D" w:rsidRDefault="00096986" w:rsidP="007B1778">
      <w:pPr>
        <w:spacing w:after="0" w:line="240" w:lineRule="auto"/>
        <w:rPr>
          <w:rFonts w:ascii="Times New Roman" w:hAnsi="Times New Roman" w:cs="Times New Roman"/>
          <w:sz w:val="24"/>
          <w:szCs w:val="24"/>
        </w:rPr>
      </w:pPr>
    </w:p>
    <w:p w14:paraId="1C171855" w14:textId="108C13F1" w:rsidR="00096986" w:rsidRPr="00096986" w:rsidRDefault="00096986" w:rsidP="007B1778">
      <w:pPr>
        <w:spacing w:after="0" w:line="240" w:lineRule="auto"/>
        <w:ind w:firstLine="720"/>
        <w:textAlignment w:val="baseline"/>
        <w:rPr>
          <w:rFonts w:ascii="Times New Roman" w:eastAsia="Times New Roman" w:hAnsi="Times New Roman" w:cs="Times New Roman"/>
          <w:color w:val="000000"/>
          <w:sz w:val="24"/>
          <w:szCs w:val="24"/>
          <w:shd w:val="clear" w:color="auto" w:fill="FFFFFF"/>
        </w:rPr>
      </w:pPr>
      <w:r w:rsidRPr="00096986">
        <w:rPr>
          <w:rFonts w:ascii="Times New Roman" w:eastAsia="Times New Roman" w:hAnsi="Times New Roman" w:cs="Times New Roman"/>
          <w:color w:val="000000"/>
          <w:sz w:val="24"/>
          <w:szCs w:val="24"/>
          <w:shd w:val="clear" w:color="auto" w:fill="FFFFFF"/>
        </w:rPr>
        <w:t>For the reasons stated above, I recommend that Section</w:t>
      </w:r>
      <w:r>
        <w:rPr>
          <w:rFonts w:ascii="Times New Roman" w:eastAsia="Times New Roman" w:hAnsi="Times New Roman" w:cs="Times New Roman"/>
          <w:color w:val="000000"/>
          <w:sz w:val="24"/>
          <w:szCs w:val="24"/>
          <w:shd w:val="clear" w:color="auto" w:fill="FFFFFF"/>
        </w:rPr>
        <w:t>s 79, 80, 88 and 103</w:t>
      </w:r>
      <w:r w:rsidRPr="00096986">
        <w:rPr>
          <w:rFonts w:ascii="Times New Roman" w:eastAsia="Times New Roman" w:hAnsi="Times New Roman" w:cs="Times New Roman"/>
          <w:color w:val="000000"/>
          <w:sz w:val="24"/>
          <w:szCs w:val="24"/>
          <w:shd w:val="clear" w:color="auto" w:fill="FFFFFF"/>
        </w:rPr>
        <w:t xml:space="preserve"> be amended by striking out the section</w:t>
      </w:r>
      <w:r>
        <w:rPr>
          <w:rFonts w:ascii="Times New Roman" w:eastAsia="Times New Roman" w:hAnsi="Times New Roman" w:cs="Times New Roman"/>
          <w:color w:val="000000"/>
          <w:sz w:val="24"/>
          <w:szCs w:val="24"/>
          <w:shd w:val="clear" w:color="auto" w:fill="FFFFFF"/>
        </w:rPr>
        <w:t>s</w:t>
      </w:r>
      <w:r w:rsidRPr="00096986">
        <w:rPr>
          <w:rFonts w:ascii="Times New Roman" w:eastAsia="Times New Roman" w:hAnsi="Times New Roman" w:cs="Times New Roman"/>
          <w:color w:val="000000"/>
          <w:sz w:val="24"/>
          <w:szCs w:val="24"/>
          <w:shd w:val="clear" w:color="auto" w:fill="FFFFFF"/>
        </w:rPr>
        <w:t xml:space="preserve"> in </w:t>
      </w:r>
      <w:r>
        <w:rPr>
          <w:rFonts w:ascii="Times New Roman" w:eastAsia="Times New Roman" w:hAnsi="Times New Roman" w:cs="Times New Roman"/>
          <w:color w:val="000000"/>
          <w:sz w:val="24"/>
          <w:szCs w:val="24"/>
          <w:shd w:val="clear" w:color="auto" w:fill="FFFFFF"/>
        </w:rPr>
        <w:t>their</w:t>
      </w:r>
      <w:r w:rsidRPr="00096986">
        <w:rPr>
          <w:rFonts w:ascii="Times New Roman" w:eastAsia="Times New Roman" w:hAnsi="Times New Roman" w:cs="Times New Roman"/>
          <w:color w:val="000000"/>
          <w:sz w:val="24"/>
          <w:szCs w:val="24"/>
          <w:shd w:val="clear" w:color="auto" w:fill="FFFFFF"/>
        </w:rPr>
        <w:t xml:space="preserve"> entirety and inserting in place thereof the following </w:t>
      </w:r>
      <w:r>
        <w:rPr>
          <w:rFonts w:ascii="Times New Roman" w:eastAsia="Times New Roman" w:hAnsi="Times New Roman" w:cs="Times New Roman"/>
          <w:color w:val="000000"/>
          <w:sz w:val="24"/>
          <w:szCs w:val="24"/>
          <w:shd w:val="clear" w:color="auto" w:fill="FFFFFF"/>
        </w:rPr>
        <w:t xml:space="preserve">3 </w:t>
      </w:r>
      <w:proofErr w:type="gramStart"/>
      <w:r w:rsidRPr="00096986">
        <w:rPr>
          <w:rFonts w:ascii="Times New Roman" w:eastAsia="Times New Roman" w:hAnsi="Times New Roman" w:cs="Times New Roman"/>
          <w:color w:val="000000"/>
          <w:sz w:val="24"/>
          <w:szCs w:val="24"/>
          <w:shd w:val="clear" w:color="auto" w:fill="FFFFFF"/>
        </w:rPr>
        <w:t>section</w:t>
      </w:r>
      <w:r>
        <w:rPr>
          <w:rFonts w:ascii="Times New Roman" w:eastAsia="Times New Roman" w:hAnsi="Times New Roman" w:cs="Times New Roman"/>
          <w:color w:val="000000"/>
          <w:sz w:val="24"/>
          <w:szCs w:val="24"/>
          <w:shd w:val="clear" w:color="auto" w:fill="FFFFFF"/>
        </w:rPr>
        <w:t>s</w:t>
      </w:r>
      <w:r w:rsidRPr="00096986">
        <w:rPr>
          <w:rFonts w:ascii="Times New Roman" w:eastAsia="Times New Roman" w:hAnsi="Times New Roman" w:cs="Times New Roman"/>
          <w:color w:val="000000"/>
          <w:sz w:val="24"/>
          <w:szCs w:val="24"/>
          <w:shd w:val="clear" w:color="auto" w:fill="FFFFFF"/>
        </w:rPr>
        <w:t>:-</w:t>
      </w:r>
      <w:proofErr w:type="gramEnd"/>
      <w:r w:rsidRPr="00096986">
        <w:rPr>
          <w:rFonts w:ascii="Times New Roman" w:eastAsia="Times New Roman" w:hAnsi="Times New Roman" w:cs="Times New Roman"/>
          <w:color w:val="000000"/>
          <w:sz w:val="24"/>
          <w:szCs w:val="24"/>
          <w:shd w:val="clear" w:color="auto" w:fill="FFFFFF"/>
        </w:rPr>
        <w:t> </w:t>
      </w:r>
    </w:p>
    <w:p w14:paraId="7F9035E6" w14:textId="77777777" w:rsidR="00A81903" w:rsidRDefault="00A81903" w:rsidP="007B1778">
      <w:pPr>
        <w:pStyle w:val="section3etcparagr"/>
        <w:spacing w:line="240" w:lineRule="auto"/>
        <w:ind w:firstLine="0"/>
        <w:jc w:val="left"/>
        <w:rPr>
          <w:szCs w:val="24"/>
        </w:rPr>
      </w:pPr>
    </w:p>
    <w:p w14:paraId="25938BC5" w14:textId="4D63F4A9" w:rsidR="00965E4E" w:rsidRDefault="00965E4E" w:rsidP="00A25C13">
      <w:pPr>
        <w:pStyle w:val="section3etcparagr"/>
        <w:spacing w:line="240" w:lineRule="auto"/>
        <w:ind w:firstLine="720"/>
        <w:jc w:val="left"/>
        <w:rPr>
          <w:szCs w:val="24"/>
        </w:rPr>
      </w:pPr>
      <w:r w:rsidRPr="00F61E6E">
        <w:rPr>
          <w:szCs w:val="24"/>
        </w:rPr>
        <w:t>SECTION 79.</w:t>
      </w:r>
      <w:r w:rsidR="00A25C13">
        <w:rPr>
          <w:szCs w:val="24"/>
        </w:rPr>
        <w:t xml:space="preserve"> </w:t>
      </w:r>
      <w:r w:rsidRPr="00F61E6E">
        <w:rPr>
          <w:szCs w:val="24"/>
        </w:rPr>
        <w:t xml:space="preserve"> (a) Notwithstanding section 11 or section 12 of chapter 186 of the General Laws, chapter 239 of the General Laws or any other general or special law to the contrary, on and after the effective date of this act until the termination of the state of emergency concerning the outbreak of COVID-19 as declared by the governor on March 10, 2020, a notice to quit for nonpayment of rent given in writing by a landlord to a residential tenant pursuant to said section 11 or said section 12 of said chapter 186 shall be accompanied by a form that shall include, but not be limited to: (</w:t>
      </w:r>
      <w:proofErr w:type="spellStart"/>
      <w:r w:rsidRPr="00F61E6E">
        <w:rPr>
          <w:szCs w:val="24"/>
        </w:rPr>
        <w:t>i</w:t>
      </w:r>
      <w:proofErr w:type="spellEnd"/>
      <w:r w:rsidRPr="00F61E6E">
        <w:rPr>
          <w:szCs w:val="24"/>
        </w:rPr>
        <w:t xml:space="preserve">) an attestation as to whether the tenant provided a declaration form pursuant to the federal Centers for Disease Control and Prevention order entitled “Temporary Halt in Residential Evictions to Prevent the Further Spread of COVID-19”; (ii) an attestation as to whether the dwelling unit is a covered dwelling under section 4024(a)(1) of the federal Coronavirus Aid, Relief, and Economic Security Act, P.L. 116-136, and whether the notice to quit is in compliance with section 4024(c) of said act; (iii) documentation of any agreements between the tenant and landlord for the tenant to repay the landlord for non-payment of rent; and (iv) information on: (A) rental assistance programs including, but not limited to, the residential assistance for families in transition program and the emergency rental and mortgage assistance program; (B) applicable trial court rules, standing orders or emergency administrative orders pertaining to actions for summary process; and (C) any relevant federal or state legal restrictions on residential evictions. The form shall also prominently display the following statement: </w:t>
      </w:r>
    </w:p>
    <w:p w14:paraId="558DFF5D" w14:textId="77777777" w:rsidR="00167F4F" w:rsidRPr="00F61E6E" w:rsidRDefault="00167F4F" w:rsidP="007B1778">
      <w:pPr>
        <w:pStyle w:val="section3etcparagr"/>
        <w:spacing w:line="240" w:lineRule="auto"/>
        <w:ind w:firstLine="562"/>
        <w:jc w:val="left"/>
        <w:rPr>
          <w:szCs w:val="24"/>
        </w:rPr>
      </w:pPr>
    </w:p>
    <w:p w14:paraId="2865C575" w14:textId="081EE724" w:rsidR="00965E4E" w:rsidRDefault="00965E4E" w:rsidP="007B1778">
      <w:pPr>
        <w:pStyle w:val="section3etcparagr"/>
        <w:spacing w:line="240" w:lineRule="auto"/>
        <w:ind w:firstLine="562"/>
        <w:jc w:val="left"/>
        <w:rPr>
          <w:szCs w:val="24"/>
        </w:rPr>
      </w:pPr>
      <w:r w:rsidRPr="00F61E6E">
        <w:rPr>
          <w:szCs w:val="24"/>
        </w:rPr>
        <w:t xml:space="preserve">“THIS NOTICE TO QUIT IS NOT AN EVICTION. YOU DO NOT NEED TO IMMEDIATELY LEAVE YOUR UNIT. YOU ARE ENTITLED TO A LEGAL PROCEEDING </w:t>
      </w:r>
      <w:r w:rsidRPr="00F61E6E">
        <w:rPr>
          <w:szCs w:val="24"/>
        </w:rPr>
        <w:lastRenderedPageBreak/>
        <w:t xml:space="preserve">IN WHICH YOU CAN DEFEND AGAINST THE EVICTION. ONLY A COURT ORDER CAN FORCE YOU TO LEAVE YOUR UNIT.” </w:t>
      </w:r>
    </w:p>
    <w:p w14:paraId="2495FC70" w14:textId="77777777" w:rsidR="00167F4F" w:rsidRPr="00F61E6E" w:rsidRDefault="00167F4F" w:rsidP="007B1778">
      <w:pPr>
        <w:pStyle w:val="section3etcparagr"/>
        <w:spacing w:line="240" w:lineRule="auto"/>
        <w:ind w:firstLine="562"/>
        <w:jc w:val="left"/>
        <w:rPr>
          <w:szCs w:val="24"/>
        </w:rPr>
      </w:pPr>
    </w:p>
    <w:p w14:paraId="6354D884" w14:textId="47E3C15D" w:rsidR="00965E4E" w:rsidRDefault="00965E4E" w:rsidP="00A25C13">
      <w:pPr>
        <w:pStyle w:val="section3etcparagr"/>
        <w:spacing w:line="240" w:lineRule="auto"/>
        <w:ind w:firstLine="720"/>
        <w:jc w:val="left"/>
        <w:rPr>
          <w:szCs w:val="24"/>
        </w:rPr>
      </w:pPr>
      <w:r w:rsidRPr="00F61E6E">
        <w:rPr>
          <w:szCs w:val="24"/>
        </w:rPr>
        <w:t>The executive office of housing and economic development shall develop the form required under this subsection and make it publicly available on its website not later than December 1</w:t>
      </w:r>
      <w:r w:rsidR="00304E01" w:rsidRPr="00F61E6E">
        <w:rPr>
          <w:szCs w:val="24"/>
        </w:rPr>
        <w:t>8</w:t>
      </w:r>
      <w:r w:rsidRPr="00F61E6E">
        <w:rPr>
          <w:szCs w:val="24"/>
        </w:rPr>
        <w:t xml:space="preserve">, 2020. The information in clause (iv) shall be made available in the 5 most common languages in the commonwealth, in addition to English. </w:t>
      </w:r>
    </w:p>
    <w:p w14:paraId="4458466C" w14:textId="77777777" w:rsidR="00167F4F" w:rsidRPr="00F61E6E" w:rsidRDefault="00167F4F" w:rsidP="007B1778">
      <w:pPr>
        <w:pStyle w:val="section3etcparagr"/>
        <w:spacing w:line="240" w:lineRule="auto"/>
        <w:ind w:firstLine="562"/>
        <w:jc w:val="left"/>
        <w:rPr>
          <w:szCs w:val="24"/>
        </w:rPr>
      </w:pPr>
    </w:p>
    <w:p w14:paraId="490336F0" w14:textId="054FEAEE" w:rsidR="00965E4E" w:rsidRDefault="00965E4E" w:rsidP="00A25C13">
      <w:pPr>
        <w:pStyle w:val="section3etcparagr"/>
        <w:spacing w:line="240" w:lineRule="auto"/>
        <w:ind w:firstLine="720"/>
        <w:jc w:val="left"/>
        <w:rPr>
          <w:szCs w:val="24"/>
        </w:rPr>
      </w:pPr>
      <w:r w:rsidRPr="00F61E6E">
        <w:rPr>
          <w:szCs w:val="24"/>
        </w:rPr>
        <w:t xml:space="preserve">(b) </w:t>
      </w:r>
      <w:r w:rsidR="00167F4F">
        <w:rPr>
          <w:szCs w:val="24"/>
        </w:rPr>
        <w:tab/>
      </w:r>
      <w:r w:rsidRPr="00F61E6E">
        <w:rPr>
          <w:szCs w:val="24"/>
        </w:rPr>
        <w:t xml:space="preserve">Notwithstanding section 11 or section 12 of chapter 186 of the General Laws or any other general or special law to the contrary, from </w:t>
      </w:r>
      <w:r w:rsidR="00963006">
        <w:rPr>
          <w:szCs w:val="24"/>
        </w:rPr>
        <w:t>December 18, 2020</w:t>
      </w:r>
      <w:r w:rsidRPr="00F61E6E">
        <w:rPr>
          <w:szCs w:val="24"/>
        </w:rPr>
        <w:t xml:space="preserve"> until the termination of the state of emergency concerning the outbreak of the novel coronavirus disease, also known as COVID-19, declared by the governor on March 10, 2020, a landlord shall send electronically a copy of any notice to quit for nonpayment of rent given in writing by the landlord to a residential tenant pursuant to said section 11 or said section 12 of said chapter 186 to the executive office of housing and economic development; provided, however, that notices to quit received by the executive office of housing and economic development shall not be a public record as defined by clause Twenty-sixth of section 7 of chapter 4 of the General Laws or chapter 66 of the General Laws. The executive office of housing and economic development shall keep any personal identifying information in a notice to quit confidential; provided, however, that the executive office of housing and economic development may share such information with the individuals named in the notice to quit, the landlord or, to the extent permitted under federal law, a regional administering agency or housing consumer education center for the purposes of providing housing stability resources to tenants at risk of eviction.</w:t>
      </w:r>
    </w:p>
    <w:p w14:paraId="18B835A4" w14:textId="77777777" w:rsidR="00167F4F" w:rsidRPr="00F61E6E" w:rsidRDefault="00167F4F" w:rsidP="007B1778">
      <w:pPr>
        <w:pStyle w:val="section3etcparagr"/>
        <w:spacing w:line="240" w:lineRule="auto"/>
        <w:ind w:firstLine="562"/>
        <w:jc w:val="left"/>
        <w:rPr>
          <w:szCs w:val="24"/>
        </w:rPr>
      </w:pPr>
    </w:p>
    <w:p w14:paraId="1B5F801D" w14:textId="2BB31486" w:rsidR="00965E4E" w:rsidRPr="00F61E6E" w:rsidRDefault="00965E4E" w:rsidP="00A25C13">
      <w:pPr>
        <w:pStyle w:val="section3etcparagr"/>
        <w:spacing w:line="240" w:lineRule="auto"/>
        <w:ind w:firstLine="720"/>
        <w:jc w:val="left"/>
        <w:rPr>
          <w:szCs w:val="24"/>
        </w:rPr>
      </w:pPr>
      <w:r w:rsidRPr="00F61E6E">
        <w:rPr>
          <w:szCs w:val="24"/>
        </w:rPr>
        <w:t xml:space="preserve">(c) </w:t>
      </w:r>
      <w:r w:rsidR="00167F4F">
        <w:rPr>
          <w:szCs w:val="24"/>
        </w:rPr>
        <w:tab/>
      </w:r>
      <w:r w:rsidRPr="00F61E6E">
        <w:rPr>
          <w:szCs w:val="24"/>
        </w:rPr>
        <w:t>The executive office of housing and economic development shall issue emergency regulations as necessary to implement this section.</w:t>
      </w:r>
    </w:p>
    <w:p w14:paraId="68644FFB" w14:textId="0D18EC33" w:rsidR="004243E3" w:rsidRDefault="004243E3" w:rsidP="007B1778">
      <w:pPr>
        <w:spacing w:after="0" w:line="240" w:lineRule="auto"/>
        <w:ind w:firstLine="720"/>
        <w:rPr>
          <w:rFonts w:ascii="Times New Roman" w:hAnsi="Times New Roman" w:cs="Times New Roman"/>
          <w:sz w:val="24"/>
          <w:szCs w:val="24"/>
        </w:rPr>
      </w:pPr>
    </w:p>
    <w:p w14:paraId="3CDDA7D2" w14:textId="62D23C32" w:rsidR="00F30E34" w:rsidRDefault="00F30E34" w:rsidP="007B1778">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hAnsi="Times New Roman" w:cs="Times New Roman"/>
          <w:sz w:val="24"/>
          <w:szCs w:val="24"/>
        </w:rPr>
        <w:t xml:space="preserve">SECTION 80. </w:t>
      </w:r>
      <w:r w:rsidRPr="00F30E34">
        <w:rPr>
          <w:rFonts w:ascii="Times New Roman" w:eastAsia="Times New Roman" w:hAnsi="Times New Roman" w:cs="Times New Roman"/>
          <w:color w:val="000000" w:themeColor="text1"/>
          <w:sz w:val="24"/>
          <w:szCs w:val="24"/>
        </w:rPr>
        <w:t xml:space="preserve">(a) As used in this section, the following words shall have the following meanings unless the context clearly requires otherwise: </w:t>
      </w:r>
    </w:p>
    <w:p w14:paraId="365C22A8" w14:textId="77777777" w:rsidR="007B1778" w:rsidRPr="00F30E34" w:rsidRDefault="007B1778" w:rsidP="007B1778">
      <w:pPr>
        <w:spacing w:after="0" w:line="240" w:lineRule="auto"/>
        <w:ind w:firstLine="720"/>
        <w:rPr>
          <w:rFonts w:ascii="Times New Roman" w:eastAsia="Times New Roman" w:hAnsi="Times New Roman" w:cs="Times New Roman"/>
          <w:color w:val="000000" w:themeColor="text1"/>
          <w:sz w:val="24"/>
          <w:szCs w:val="24"/>
        </w:rPr>
      </w:pPr>
    </w:p>
    <w:p w14:paraId="1E7BEFCB" w14:textId="77777777" w:rsidR="00F30E34" w:rsidRPr="00F30E34" w:rsidRDefault="00F30E34" w:rsidP="007B1778">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eastAsia="Times New Roman" w:hAnsi="Times New Roman" w:cs="Times New Roman"/>
          <w:color w:val="000000" w:themeColor="text1"/>
          <w:sz w:val="24"/>
          <w:szCs w:val="24"/>
        </w:rPr>
        <w:t xml:space="preserve">“COVID-19 emergency”, the state of emergency concerning the outbreak of COVID-19 as declared by the governor on March 10, 2020. </w:t>
      </w:r>
    </w:p>
    <w:p w14:paraId="2B8D1CA1" w14:textId="77777777" w:rsidR="007B1778" w:rsidRDefault="007B1778" w:rsidP="007B1778">
      <w:pPr>
        <w:spacing w:after="0" w:line="240" w:lineRule="auto"/>
        <w:ind w:firstLine="720"/>
        <w:rPr>
          <w:rFonts w:ascii="Times New Roman" w:eastAsia="Times New Roman" w:hAnsi="Times New Roman" w:cs="Times New Roman"/>
          <w:color w:val="000000" w:themeColor="text1"/>
          <w:sz w:val="24"/>
          <w:szCs w:val="24"/>
        </w:rPr>
      </w:pPr>
    </w:p>
    <w:p w14:paraId="13AB03AF" w14:textId="65F451EC" w:rsidR="00F30E34" w:rsidRDefault="00F30E34" w:rsidP="007B1778">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eastAsia="Times New Roman" w:hAnsi="Times New Roman" w:cs="Times New Roman"/>
          <w:color w:val="000000" w:themeColor="text1"/>
          <w:sz w:val="24"/>
          <w:szCs w:val="24"/>
        </w:rPr>
        <w:t>“Short-term emergency rental assistance”, temporary financial assistance provided to a residential tenant to prevent an eviction or homelessness under the residential assistance for families in transition program, the emergency rental and mortgage assistance program or any other program established or modified as a result of the COVID-19 emergency and administered by the department of housing and community development</w:t>
      </w:r>
      <w:r w:rsidRPr="00F30E34" w:rsidDel="00437D6A">
        <w:rPr>
          <w:rFonts w:ascii="Times New Roman" w:eastAsia="Times New Roman" w:hAnsi="Times New Roman" w:cs="Times New Roman"/>
          <w:color w:val="000000" w:themeColor="text1"/>
          <w:sz w:val="24"/>
          <w:szCs w:val="24"/>
        </w:rPr>
        <w:t>, a municipality or a nonprofit entity administering such program, using public funds, on behalf of the department, a municipality or a federal agency</w:t>
      </w:r>
      <w:r w:rsidRPr="00F30E34">
        <w:rPr>
          <w:rFonts w:ascii="Times New Roman" w:eastAsia="Times New Roman" w:hAnsi="Times New Roman" w:cs="Times New Roman"/>
          <w:color w:val="000000" w:themeColor="text1"/>
          <w:sz w:val="24"/>
          <w:szCs w:val="24"/>
        </w:rPr>
        <w:t xml:space="preserve"> to cure rent arrearage or provide financial assistance for moving cost assistance, including the payment of a security deposit. </w:t>
      </w:r>
    </w:p>
    <w:p w14:paraId="355AF5E0" w14:textId="77777777" w:rsidR="007B1778" w:rsidRPr="00F30E34" w:rsidRDefault="007B1778" w:rsidP="007B1778">
      <w:pPr>
        <w:spacing w:after="0" w:line="240" w:lineRule="auto"/>
        <w:ind w:firstLine="720"/>
        <w:rPr>
          <w:rFonts w:ascii="Times New Roman" w:eastAsia="Times New Roman" w:hAnsi="Times New Roman" w:cs="Times New Roman"/>
          <w:color w:val="000000" w:themeColor="text1"/>
          <w:sz w:val="24"/>
          <w:szCs w:val="24"/>
        </w:rPr>
      </w:pPr>
    </w:p>
    <w:p w14:paraId="22B90840" w14:textId="5C477DE8" w:rsidR="00F30E34" w:rsidRDefault="00F30E34" w:rsidP="007B1778">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eastAsia="Times New Roman" w:hAnsi="Times New Roman" w:cs="Times New Roman"/>
          <w:color w:val="000000" w:themeColor="text1"/>
          <w:sz w:val="24"/>
          <w:szCs w:val="24"/>
        </w:rPr>
        <w:t xml:space="preserve">(b) Notwithstanding chapter 239 of the General Laws or any other general or special law, rule, regulation or order to the contrary, during the COVID-19 emergency, a court having jurisdiction over an action for summary process under said chapter 239, including the Boston municipal court department, shall grant a continuance for a period as the court may deem just </w:t>
      </w:r>
      <w:r w:rsidRPr="00F30E34">
        <w:rPr>
          <w:rFonts w:ascii="Times New Roman" w:eastAsia="Times New Roman" w:hAnsi="Times New Roman" w:cs="Times New Roman"/>
          <w:color w:val="000000" w:themeColor="text1"/>
          <w:sz w:val="24"/>
          <w:szCs w:val="24"/>
        </w:rPr>
        <w:lastRenderedPageBreak/>
        <w:t xml:space="preserve">and reasonable if, </w:t>
      </w:r>
      <w:r>
        <w:rPr>
          <w:rFonts w:ascii="Times New Roman" w:eastAsia="Times New Roman" w:hAnsi="Times New Roman" w:cs="Times New Roman"/>
          <w:color w:val="000000" w:themeColor="text1"/>
          <w:sz w:val="24"/>
          <w:szCs w:val="24"/>
        </w:rPr>
        <w:t>at the time of the first case event</w:t>
      </w:r>
      <w:r w:rsidR="006903D5">
        <w:rPr>
          <w:rFonts w:ascii="Times New Roman" w:eastAsia="Times New Roman" w:hAnsi="Times New Roman" w:cs="Times New Roman"/>
          <w:color w:val="000000" w:themeColor="text1"/>
          <w:sz w:val="24"/>
          <w:szCs w:val="24"/>
        </w:rPr>
        <w:t xml:space="preserve"> in court</w:t>
      </w:r>
      <w:r w:rsidRPr="00F30E34">
        <w:rPr>
          <w:rFonts w:ascii="Times New Roman" w:eastAsia="Times New Roman" w:hAnsi="Times New Roman" w:cs="Times New Roman"/>
          <w:color w:val="000000" w:themeColor="text1"/>
          <w:sz w:val="24"/>
          <w:szCs w:val="24"/>
        </w:rPr>
        <w:t>: (</w:t>
      </w:r>
      <w:proofErr w:type="spellStart"/>
      <w:r w:rsidRPr="00F30E34">
        <w:rPr>
          <w:rFonts w:ascii="Times New Roman" w:eastAsia="Times New Roman" w:hAnsi="Times New Roman" w:cs="Times New Roman"/>
          <w:color w:val="000000" w:themeColor="text1"/>
          <w:sz w:val="24"/>
          <w:szCs w:val="24"/>
        </w:rPr>
        <w:t>i</w:t>
      </w:r>
      <w:proofErr w:type="spellEnd"/>
      <w:r w:rsidRPr="00F30E34">
        <w:rPr>
          <w:rFonts w:ascii="Times New Roman" w:eastAsia="Times New Roman" w:hAnsi="Times New Roman" w:cs="Times New Roman"/>
          <w:color w:val="000000" w:themeColor="text1"/>
          <w:sz w:val="24"/>
          <w:szCs w:val="24"/>
        </w:rPr>
        <w:t>) the tenancy is being terminated solely for non-payment of rent for a residential dwelling unit; (ii) the non-payment of rent was due to a financial hardship related to or exacerbated by the COVID-19 emergency; and (iii) the defendant demonstrates, to the satisfaction of the court, a pending application for short-term emergency rental assistance; provided, however, notwithstanding this subsection, the court may consider any meritorious counterclaim brought in said action for summary process; provided further, that the court shall issue a stay of execution on a judgment for possession if the requirements in clauses (</w:t>
      </w:r>
      <w:proofErr w:type="spellStart"/>
      <w:r w:rsidRPr="00F30E34">
        <w:rPr>
          <w:rFonts w:ascii="Times New Roman" w:eastAsia="Times New Roman" w:hAnsi="Times New Roman" w:cs="Times New Roman"/>
          <w:color w:val="000000" w:themeColor="text1"/>
          <w:sz w:val="24"/>
          <w:szCs w:val="24"/>
        </w:rPr>
        <w:t>i</w:t>
      </w:r>
      <w:proofErr w:type="spellEnd"/>
      <w:r w:rsidRPr="00F30E34">
        <w:rPr>
          <w:rFonts w:ascii="Times New Roman" w:eastAsia="Times New Roman" w:hAnsi="Times New Roman" w:cs="Times New Roman"/>
          <w:color w:val="000000" w:themeColor="text1"/>
          <w:sz w:val="24"/>
          <w:szCs w:val="24"/>
        </w:rPr>
        <w:t xml:space="preserve">) to (iii), inclusive, are met; and provided further, that the court shall not enter a judgment or issue an execution before the application has been approved or denied. </w:t>
      </w:r>
    </w:p>
    <w:p w14:paraId="77E31056" w14:textId="77777777" w:rsidR="007B1778" w:rsidRPr="00F30E34" w:rsidRDefault="007B1778" w:rsidP="007B1778">
      <w:pPr>
        <w:spacing w:after="0" w:line="240" w:lineRule="auto"/>
        <w:ind w:firstLine="720"/>
        <w:rPr>
          <w:rFonts w:ascii="Times New Roman" w:eastAsia="Times New Roman" w:hAnsi="Times New Roman" w:cs="Times New Roman"/>
          <w:color w:val="000000" w:themeColor="text1"/>
          <w:sz w:val="24"/>
          <w:szCs w:val="24"/>
        </w:rPr>
      </w:pPr>
    </w:p>
    <w:p w14:paraId="2F7E3127" w14:textId="5CF6AA27" w:rsidR="00F30E34" w:rsidRDefault="00F30E34" w:rsidP="002C4360">
      <w:pPr>
        <w:spacing w:after="0" w:line="240" w:lineRule="auto"/>
        <w:ind w:firstLine="720"/>
        <w:rPr>
          <w:rFonts w:ascii="Times New Roman" w:eastAsia="Times New Roman" w:hAnsi="Times New Roman" w:cs="Times New Roman"/>
          <w:color w:val="000000" w:themeColor="text1"/>
          <w:sz w:val="24"/>
          <w:szCs w:val="24"/>
        </w:rPr>
      </w:pPr>
      <w:r w:rsidRPr="00F30E34">
        <w:rPr>
          <w:rFonts w:ascii="Times New Roman" w:eastAsia="Times New Roman" w:hAnsi="Times New Roman" w:cs="Times New Roman"/>
          <w:color w:val="000000" w:themeColor="text1"/>
          <w:sz w:val="24"/>
          <w:szCs w:val="24"/>
        </w:rPr>
        <w:t>(c) Notwithstanding any general or special law to the contrary, not later than the fifteenth day of each month during the COVID-19 emergency, the executive office of the trial court shall submit a report for the previous month to the clerks of the senate and house of representatives, the senate and house committees on ways and means, the joint committee on housing and the joint committee on the judiciary that shall include, but not be limited to: (</w:t>
      </w:r>
      <w:proofErr w:type="spellStart"/>
      <w:r w:rsidRPr="00F30E34">
        <w:rPr>
          <w:rFonts w:ascii="Times New Roman" w:eastAsia="Times New Roman" w:hAnsi="Times New Roman" w:cs="Times New Roman"/>
          <w:color w:val="000000" w:themeColor="text1"/>
          <w:sz w:val="24"/>
          <w:szCs w:val="24"/>
        </w:rPr>
        <w:t>i</w:t>
      </w:r>
      <w:proofErr w:type="spellEnd"/>
      <w:r w:rsidRPr="00F30E34">
        <w:rPr>
          <w:rFonts w:ascii="Times New Roman" w:eastAsia="Times New Roman" w:hAnsi="Times New Roman" w:cs="Times New Roman"/>
          <w:color w:val="000000" w:themeColor="text1"/>
          <w:sz w:val="24"/>
          <w:szCs w:val="24"/>
        </w:rPr>
        <w:t xml:space="preserve">) the number of actions for summary process entered and filed with each court having jurisdiction over an action for summary process; (ii) the number of default judgments entered, delineated by the reason for the summary process filing; (iii) the number of execution for possession orders granted, delineated by the reason for the summary process filing; (iv) the number of continuances requested and granted due to pending applications for short-term emergency rental assistance pursuant to subsection (b); (v) the number of stays issued due to pending applications for short-term emergency rental assistance pursuant to subsection (b); (vi) the average length of a continuance and stay granted under said subsection (b); (vii) the number of stays requested, granted or denied pursuant to sections 9 and 10 of chapter 239 of the General Laws; </w:t>
      </w:r>
      <w:r w:rsidRPr="00F30E34">
        <w:rPr>
          <w:rFonts w:ascii="Times New Roman" w:hAnsi="Times New Roman" w:cs="Times New Roman"/>
          <w:sz w:val="24"/>
          <w:szCs w:val="24"/>
        </w:rPr>
        <w:t xml:space="preserve">(viii) </w:t>
      </w:r>
      <w:r w:rsidRPr="00F30E34">
        <w:rPr>
          <w:rFonts w:ascii="Times New Roman" w:hAnsi="Times New Roman" w:cs="Times New Roman"/>
          <w:sz w:val="24"/>
          <w:szCs w:val="24"/>
          <w:lang w:val="en"/>
        </w:rPr>
        <w:t>the number of landlords and tenants participating in pre-trial mediation and</w:t>
      </w:r>
      <w:r w:rsidRPr="00F30E34">
        <w:rPr>
          <w:rFonts w:ascii="Times New Roman" w:hAnsi="Times New Roman" w:cs="Times New Roman"/>
          <w:sz w:val="24"/>
          <w:szCs w:val="24"/>
        </w:rPr>
        <w:t>, to the extent practicable,</w:t>
      </w:r>
      <w:r w:rsidRPr="00F30E34">
        <w:rPr>
          <w:rFonts w:ascii="Times New Roman" w:hAnsi="Times New Roman" w:cs="Times New Roman"/>
          <w:sz w:val="24"/>
          <w:szCs w:val="24"/>
          <w:lang w:val="en"/>
        </w:rPr>
        <w:t xml:space="preserve"> the outcome of each mediation; (ix) the number of landlords and tenants receiving legal representation and legal services through </w:t>
      </w:r>
      <w:r w:rsidRPr="00F30E34">
        <w:rPr>
          <w:rFonts w:ascii="Times New Roman" w:hAnsi="Times New Roman" w:cs="Times New Roman"/>
          <w:sz w:val="24"/>
          <w:szCs w:val="24"/>
        </w:rPr>
        <w:t>on-site</w:t>
      </w:r>
      <w:r w:rsidRPr="00F30E34">
        <w:rPr>
          <w:rFonts w:ascii="Times New Roman" w:hAnsi="Times New Roman" w:cs="Times New Roman"/>
          <w:sz w:val="24"/>
          <w:szCs w:val="24"/>
          <w:lang w:val="en"/>
        </w:rPr>
        <w:t xml:space="preserve"> court diversion and support resources;</w:t>
      </w:r>
      <w:r w:rsidRPr="00F30E34">
        <w:rPr>
          <w:rFonts w:ascii="Times New Roman" w:eastAsia="Times New Roman" w:hAnsi="Times New Roman" w:cs="Times New Roman"/>
          <w:color w:val="000000" w:themeColor="text1"/>
          <w:sz w:val="24"/>
          <w:szCs w:val="24"/>
        </w:rPr>
        <w:t xml:space="preserve"> and (x) any other relevant information as the trial court may decide.</w:t>
      </w:r>
    </w:p>
    <w:p w14:paraId="61C06CB7" w14:textId="2E17A098" w:rsidR="00A25C13" w:rsidRDefault="00A25C13" w:rsidP="00A25C13">
      <w:pPr>
        <w:spacing w:after="0" w:line="240" w:lineRule="auto"/>
        <w:rPr>
          <w:rFonts w:ascii="Times New Roman" w:eastAsia="Times New Roman" w:hAnsi="Times New Roman" w:cs="Times New Roman"/>
          <w:color w:val="000000" w:themeColor="text1"/>
          <w:sz w:val="24"/>
          <w:szCs w:val="24"/>
        </w:rPr>
      </w:pPr>
    </w:p>
    <w:p w14:paraId="5BF1BF3C" w14:textId="53FB136F" w:rsidR="00A25C13" w:rsidRDefault="00A25C13" w:rsidP="00A25C13">
      <w:pPr>
        <w:spacing w:after="0" w:line="240" w:lineRule="auto"/>
        <w:ind w:firstLine="720"/>
        <w:rPr>
          <w:rFonts w:ascii="Times New Roman" w:eastAsia="Times New Roman" w:hAnsi="Times New Roman" w:cs="Times New Roman"/>
          <w:color w:val="000000" w:themeColor="text1"/>
          <w:sz w:val="24"/>
          <w:szCs w:val="24"/>
        </w:rPr>
      </w:pPr>
      <w:r w:rsidRPr="00A25C13">
        <w:rPr>
          <w:rFonts w:ascii="Times New Roman" w:eastAsia="Times New Roman" w:hAnsi="Times New Roman" w:cs="Times New Roman"/>
          <w:color w:val="000000" w:themeColor="text1"/>
          <w:sz w:val="24"/>
          <w:szCs w:val="24"/>
        </w:rPr>
        <w:t xml:space="preserve">SECTION 88.  Notwithstanding any general or special law to the contrary, on or before the fifteenth day of each month, during the COVID-19 emergency, the department of housing and community development shall submit a report to the house and senate committees on ways and means and the joint committee on housing, detailing the activities of the governor’s COVID-19 eviction diversion initiative from the prior month. </w:t>
      </w:r>
      <w:r>
        <w:rPr>
          <w:rFonts w:ascii="Times New Roman" w:eastAsia="Times New Roman" w:hAnsi="Times New Roman" w:cs="Times New Roman"/>
          <w:color w:val="000000" w:themeColor="text1"/>
          <w:sz w:val="24"/>
          <w:szCs w:val="24"/>
        </w:rPr>
        <w:t xml:space="preserve"> </w:t>
      </w:r>
      <w:r w:rsidRPr="00A25C13">
        <w:rPr>
          <w:rFonts w:ascii="Times New Roman" w:eastAsia="Times New Roman" w:hAnsi="Times New Roman" w:cs="Times New Roman"/>
          <w:color w:val="000000" w:themeColor="text1"/>
          <w:sz w:val="24"/>
          <w:szCs w:val="24"/>
        </w:rPr>
        <w:t>The report shall include a breakdown of each rental and housing assistance program, including, but not limited to: (a) the residential assistance for families in transition program and (b) the emergency rental and mortgage assistance program, which shall include: (</w:t>
      </w:r>
      <w:proofErr w:type="spellStart"/>
      <w:r w:rsidRPr="00A25C13">
        <w:rPr>
          <w:rFonts w:ascii="Times New Roman" w:eastAsia="Times New Roman" w:hAnsi="Times New Roman" w:cs="Times New Roman"/>
          <w:color w:val="000000" w:themeColor="text1"/>
          <w:sz w:val="24"/>
          <w:szCs w:val="24"/>
        </w:rPr>
        <w:t>i</w:t>
      </w:r>
      <w:proofErr w:type="spellEnd"/>
      <w:r w:rsidRPr="00A25C13">
        <w:rPr>
          <w:rFonts w:ascii="Times New Roman" w:eastAsia="Times New Roman" w:hAnsi="Times New Roman" w:cs="Times New Roman"/>
          <w:color w:val="000000" w:themeColor="text1"/>
          <w:sz w:val="24"/>
          <w:szCs w:val="24"/>
        </w:rPr>
        <w:t>) the number of households who applied for assistance; (ii) the number of households approved for assistance, delineated by rental assistance and mortgage assistance; (iii) the number of households denied assistance; (iv) the minimum, median and average amount of financial assistance awarded; (v) the average number of days between the submission of an application and its approval or denial; (vi) the number of landlords who applied for assistance on behalf of tenants; and (vii) a breakdown of how assistance was utilized by each household receiving assistance, including, but not limited to, curing rental arrears, moving expenses, security deposit, first and last month’s rent or other purposes; (c) the expansion of the housing consumer education centers, which shall include: (</w:t>
      </w:r>
      <w:proofErr w:type="spellStart"/>
      <w:r w:rsidRPr="00A25C13">
        <w:rPr>
          <w:rFonts w:ascii="Times New Roman" w:eastAsia="Times New Roman" w:hAnsi="Times New Roman" w:cs="Times New Roman"/>
          <w:color w:val="000000" w:themeColor="text1"/>
          <w:sz w:val="24"/>
          <w:szCs w:val="24"/>
        </w:rPr>
        <w:t>i</w:t>
      </w:r>
      <w:proofErr w:type="spellEnd"/>
      <w:r w:rsidRPr="00A25C13">
        <w:rPr>
          <w:rFonts w:ascii="Times New Roman" w:eastAsia="Times New Roman" w:hAnsi="Times New Roman" w:cs="Times New Roman"/>
          <w:color w:val="000000" w:themeColor="text1"/>
          <w:sz w:val="24"/>
          <w:szCs w:val="24"/>
        </w:rPr>
        <w:t xml:space="preserve">) the number of households served, including number of households served by regional administering agency; </w:t>
      </w:r>
      <w:r w:rsidRPr="00A25C13">
        <w:rPr>
          <w:rFonts w:ascii="Times New Roman" w:eastAsia="Times New Roman" w:hAnsi="Times New Roman" w:cs="Times New Roman"/>
          <w:color w:val="000000" w:themeColor="text1"/>
          <w:sz w:val="24"/>
          <w:szCs w:val="24"/>
        </w:rPr>
        <w:lastRenderedPageBreak/>
        <w:t xml:space="preserve">and (ii) the number of special services coordinators assigned to each site; (d) rapid rehousing assistance through the </w:t>
      </w:r>
      <w:proofErr w:type="spellStart"/>
      <w:r w:rsidRPr="00A25C13">
        <w:rPr>
          <w:rFonts w:ascii="Times New Roman" w:eastAsia="Times New Roman" w:hAnsi="Times New Roman" w:cs="Times New Roman"/>
          <w:color w:val="000000" w:themeColor="text1"/>
          <w:sz w:val="24"/>
          <w:szCs w:val="24"/>
        </w:rPr>
        <w:t>HomeBase</w:t>
      </w:r>
      <w:proofErr w:type="spellEnd"/>
      <w:r w:rsidRPr="00A25C13">
        <w:rPr>
          <w:rFonts w:ascii="Times New Roman" w:eastAsia="Times New Roman" w:hAnsi="Times New Roman" w:cs="Times New Roman"/>
          <w:color w:val="000000" w:themeColor="text1"/>
          <w:sz w:val="24"/>
          <w:szCs w:val="24"/>
        </w:rPr>
        <w:t xml:space="preserve"> program, the Strategic Prevention Initiative and any other temporary program established to assist in rapid rehousing of families and individuals which shall include: (</w:t>
      </w:r>
      <w:proofErr w:type="spellStart"/>
      <w:r w:rsidRPr="00A25C13">
        <w:rPr>
          <w:rFonts w:ascii="Times New Roman" w:eastAsia="Times New Roman" w:hAnsi="Times New Roman" w:cs="Times New Roman"/>
          <w:color w:val="000000" w:themeColor="text1"/>
          <w:sz w:val="24"/>
          <w:szCs w:val="24"/>
        </w:rPr>
        <w:t>i</w:t>
      </w:r>
      <w:proofErr w:type="spellEnd"/>
      <w:r w:rsidRPr="00A25C13">
        <w:rPr>
          <w:rFonts w:ascii="Times New Roman" w:eastAsia="Times New Roman" w:hAnsi="Times New Roman" w:cs="Times New Roman"/>
          <w:color w:val="000000" w:themeColor="text1"/>
          <w:sz w:val="24"/>
          <w:szCs w:val="24"/>
        </w:rPr>
        <w:t xml:space="preserve">) the number of households receiving assistance; (ii) the type of assistance given; </w:t>
      </w:r>
    </w:p>
    <w:p w14:paraId="4324C0AC" w14:textId="3D6EBA66" w:rsidR="00A25C13" w:rsidRPr="00A25C13" w:rsidRDefault="00A25C13" w:rsidP="00A25C13">
      <w:pPr>
        <w:spacing w:after="0" w:line="240" w:lineRule="auto"/>
        <w:rPr>
          <w:rFonts w:ascii="Times New Roman" w:eastAsia="Times New Roman" w:hAnsi="Times New Roman" w:cs="Times New Roman"/>
          <w:color w:val="000000" w:themeColor="text1"/>
          <w:sz w:val="24"/>
          <w:szCs w:val="24"/>
        </w:rPr>
      </w:pPr>
      <w:r w:rsidRPr="00A25C13">
        <w:rPr>
          <w:rFonts w:ascii="Times New Roman" w:eastAsia="Times New Roman" w:hAnsi="Times New Roman" w:cs="Times New Roman"/>
          <w:color w:val="000000" w:themeColor="text1"/>
          <w:sz w:val="24"/>
          <w:szCs w:val="24"/>
        </w:rPr>
        <w:t>and (iii) the average amount provided to each household receiving assistance; (e) the expansion of the tenancy preservation program which shall include: (</w:t>
      </w:r>
      <w:proofErr w:type="spellStart"/>
      <w:r w:rsidRPr="00A25C13">
        <w:rPr>
          <w:rFonts w:ascii="Times New Roman" w:eastAsia="Times New Roman" w:hAnsi="Times New Roman" w:cs="Times New Roman"/>
          <w:color w:val="000000" w:themeColor="text1"/>
          <w:sz w:val="24"/>
          <w:szCs w:val="24"/>
        </w:rPr>
        <w:t>i</w:t>
      </w:r>
      <w:proofErr w:type="spellEnd"/>
      <w:r w:rsidRPr="00A25C13">
        <w:rPr>
          <w:rFonts w:ascii="Times New Roman" w:eastAsia="Times New Roman" w:hAnsi="Times New Roman" w:cs="Times New Roman"/>
          <w:color w:val="000000" w:themeColor="text1"/>
          <w:sz w:val="24"/>
          <w:szCs w:val="24"/>
        </w:rPr>
        <w:t xml:space="preserve">) the number of households served; and (ii) the number of trained staff; and (f) any other relevant information as the department may decide. </w:t>
      </w:r>
      <w:r>
        <w:rPr>
          <w:rFonts w:ascii="Times New Roman" w:eastAsia="Times New Roman" w:hAnsi="Times New Roman" w:cs="Times New Roman"/>
          <w:color w:val="000000" w:themeColor="text1"/>
          <w:sz w:val="24"/>
          <w:szCs w:val="24"/>
        </w:rPr>
        <w:t xml:space="preserve"> </w:t>
      </w:r>
      <w:r w:rsidRPr="00A25C13">
        <w:rPr>
          <w:rFonts w:ascii="Times New Roman" w:eastAsia="Times New Roman" w:hAnsi="Times New Roman" w:cs="Times New Roman"/>
          <w:color w:val="000000" w:themeColor="text1"/>
          <w:sz w:val="24"/>
          <w:szCs w:val="24"/>
        </w:rPr>
        <w:t>The report shall also include the number of notices to quit received by the executive office of housing and economic development under section 79.</w:t>
      </w:r>
    </w:p>
    <w:p w14:paraId="74313724" w14:textId="77777777" w:rsidR="001C0BCF" w:rsidRDefault="001C0BCF" w:rsidP="00A25C13">
      <w:pPr>
        <w:pStyle w:val="NoSpacing"/>
        <w:keepNext/>
        <w:rPr>
          <w:rFonts w:ascii="Times New Roman" w:hAnsi="Times New Roman"/>
          <w:sz w:val="24"/>
          <w:szCs w:val="24"/>
        </w:rPr>
      </w:pPr>
    </w:p>
    <w:p w14:paraId="494BBED4" w14:textId="397C64BB" w:rsidR="001C0BCF" w:rsidRDefault="001C0BCF" w:rsidP="007B1778">
      <w:pPr>
        <w:pStyle w:val="NoSpacing"/>
        <w:keepNext/>
        <w:ind w:left="4320" w:firstLine="720"/>
        <w:rPr>
          <w:rFonts w:ascii="Times New Roman" w:hAnsi="Times New Roman"/>
          <w:sz w:val="24"/>
          <w:szCs w:val="24"/>
        </w:rPr>
      </w:pPr>
      <w:r>
        <w:rPr>
          <w:rFonts w:ascii="Times New Roman" w:hAnsi="Times New Roman"/>
          <w:sz w:val="24"/>
          <w:szCs w:val="24"/>
        </w:rPr>
        <w:t>Respectfully submitted,</w:t>
      </w:r>
    </w:p>
    <w:p w14:paraId="79E4A8F9" w14:textId="77777777" w:rsidR="001C0BCF" w:rsidRDefault="001C0BCF" w:rsidP="007B1778">
      <w:pPr>
        <w:pStyle w:val="NoSpacing"/>
        <w:ind w:left="4320" w:firstLine="720"/>
        <w:rPr>
          <w:rFonts w:ascii="Times New Roman" w:hAnsi="Times New Roman"/>
          <w:sz w:val="24"/>
          <w:szCs w:val="24"/>
        </w:rPr>
      </w:pPr>
    </w:p>
    <w:p w14:paraId="5433501E" w14:textId="77777777" w:rsidR="001C0BCF" w:rsidRDefault="001C0BCF" w:rsidP="007B1778">
      <w:pPr>
        <w:pStyle w:val="NoSpacing"/>
        <w:ind w:left="4320" w:firstLine="720"/>
        <w:rPr>
          <w:rFonts w:ascii="Times New Roman" w:hAnsi="Times New Roman"/>
          <w:sz w:val="24"/>
          <w:szCs w:val="24"/>
        </w:rPr>
      </w:pPr>
    </w:p>
    <w:p w14:paraId="4F956BE2" w14:textId="77777777" w:rsidR="001C0BCF" w:rsidRDefault="001C0BCF" w:rsidP="007B1778">
      <w:pPr>
        <w:pStyle w:val="NoSpacing"/>
        <w:ind w:left="4320" w:firstLine="720"/>
        <w:rPr>
          <w:rFonts w:ascii="Times New Roman" w:hAnsi="Times New Roman"/>
          <w:sz w:val="24"/>
          <w:szCs w:val="24"/>
        </w:rPr>
      </w:pPr>
    </w:p>
    <w:p w14:paraId="3258A6E7" w14:textId="77777777" w:rsidR="001C0BCF" w:rsidRDefault="001C0BCF" w:rsidP="007B1778">
      <w:pPr>
        <w:pStyle w:val="NoSpacing"/>
        <w:ind w:left="4320" w:firstLine="720"/>
        <w:rPr>
          <w:rFonts w:ascii="Times New Roman" w:hAnsi="Times New Roman"/>
          <w:sz w:val="24"/>
          <w:szCs w:val="24"/>
        </w:rPr>
      </w:pPr>
      <w:r>
        <w:rPr>
          <w:rFonts w:ascii="Times New Roman" w:hAnsi="Times New Roman"/>
          <w:sz w:val="24"/>
          <w:szCs w:val="24"/>
        </w:rPr>
        <w:t>Charles D. Baker</w:t>
      </w:r>
    </w:p>
    <w:p w14:paraId="091A8ED4" w14:textId="26F2B1E3" w:rsidR="00963006" w:rsidRPr="00355D7D" w:rsidRDefault="001C0BCF" w:rsidP="003E53FA">
      <w:pPr>
        <w:spacing w:after="0" w:line="240" w:lineRule="auto"/>
        <w:ind w:left="720"/>
        <w:rPr>
          <w:rFonts w:ascii="Times New Roman" w:hAnsi="Times New Roman" w:cs="Times New Roman"/>
          <w:sz w:val="24"/>
          <w:szCs w:val="24"/>
        </w:rPr>
      </w:pPr>
      <w:r>
        <w:tab/>
      </w:r>
      <w:r>
        <w:tab/>
      </w:r>
      <w:r>
        <w:tab/>
      </w:r>
      <w:r>
        <w:tab/>
      </w:r>
      <w:r>
        <w:tab/>
      </w:r>
      <w:r>
        <w:tab/>
      </w:r>
      <w:r w:rsidRPr="001C0BCF">
        <w:rPr>
          <w:rFonts w:ascii="Times New Roman" w:hAnsi="Times New Roman" w:cs="Times New Roman"/>
          <w:sz w:val="24"/>
          <w:szCs w:val="24"/>
        </w:rPr>
        <w:t>Governor</w:t>
      </w:r>
    </w:p>
    <w:sectPr w:rsidR="00963006" w:rsidRPr="00355D7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CB4AA" w14:textId="77777777" w:rsidR="007B29BE" w:rsidRDefault="007B29BE" w:rsidP="00DC2C6E">
      <w:pPr>
        <w:spacing w:after="0" w:line="240" w:lineRule="auto"/>
      </w:pPr>
      <w:r>
        <w:separator/>
      </w:r>
    </w:p>
  </w:endnote>
  <w:endnote w:type="continuationSeparator" w:id="0">
    <w:p w14:paraId="55648E2B" w14:textId="77777777" w:rsidR="007B29BE" w:rsidRDefault="007B29BE" w:rsidP="00DC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6369"/>
      <w:docPartObj>
        <w:docPartGallery w:val="Page Numbers (Bottom of Page)"/>
        <w:docPartUnique/>
      </w:docPartObj>
    </w:sdtPr>
    <w:sdtEndPr>
      <w:rPr>
        <w:rFonts w:ascii="Times New Roman" w:hAnsi="Times New Roman" w:cs="Times New Roman"/>
        <w:noProof/>
      </w:rPr>
    </w:sdtEndPr>
    <w:sdtContent>
      <w:p w14:paraId="7CB869D2" w14:textId="52582BD0" w:rsidR="00DE0BB1" w:rsidRPr="00DE0BB1" w:rsidRDefault="00DE0BB1">
        <w:pPr>
          <w:pStyle w:val="Footer"/>
          <w:jc w:val="center"/>
          <w:rPr>
            <w:rFonts w:ascii="Times New Roman" w:hAnsi="Times New Roman" w:cs="Times New Roman"/>
          </w:rPr>
        </w:pPr>
        <w:r w:rsidRPr="00DE0BB1">
          <w:rPr>
            <w:rFonts w:ascii="Times New Roman" w:hAnsi="Times New Roman" w:cs="Times New Roman"/>
          </w:rPr>
          <w:fldChar w:fldCharType="begin"/>
        </w:r>
        <w:r w:rsidRPr="00DE0BB1">
          <w:rPr>
            <w:rFonts w:ascii="Times New Roman" w:hAnsi="Times New Roman" w:cs="Times New Roman"/>
          </w:rPr>
          <w:instrText xml:space="preserve"> PAGE   \* MERGEFORMAT </w:instrText>
        </w:r>
        <w:r w:rsidRPr="00DE0BB1">
          <w:rPr>
            <w:rFonts w:ascii="Times New Roman" w:hAnsi="Times New Roman" w:cs="Times New Roman"/>
          </w:rPr>
          <w:fldChar w:fldCharType="separate"/>
        </w:r>
        <w:r w:rsidR="008C4E00">
          <w:rPr>
            <w:rFonts w:ascii="Times New Roman" w:hAnsi="Times New Roman" w:cs="Times New Roman"/>
            <w:noProof/>
          </w:rPr>
          <w:t>1</w:t>
        </w:r>
        <w:r w:rsidRPr="00DE0BB1">
          <w:rPr>
            <w:rFonts w:ascii="Times New Roman" w:hAnsi="Times New Roman" w:cs="Times New Roman"/>
            <w:noProof/>
          </w:rPr>
          <w:fldChar w:fldCharType="end"/>
        </w:r>
      </w:p>
    </w:sdtContent>
  </w:sdt>
  <w:p w14:paraId="6FDF7C1B" w14:textId="77777777" w:rsidR="00DE0BB1" w:rsidRDefault="00DE0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35EB2" w14:textId="77777777" w:rsidR="007B29BE" w:rsidRDefault="007B29BE" w:rsidP="00DC2C6E">
      <w:pPr>
        <w:spacing w:after="0" w:line="240" w:lineRule="auto"/>
      </w:pPr>
      <w:r>
        <w:separator/>
      </w:r>
    </w:p>
  </w:footnote>
  <w:footnote w:type="continuationSeparator" w:id="0">
    <w:p w14:paraId="340093F0" w14:textId="77777777" w:rsidR="007B29BE" w:rsidRDefault="007B29BE" w:rsidP="00DC2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C90F5A"/>
    <w:multiLevelType w:val="multilevel"/>
    <w:tmpl w:val="5E262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23"/>
    <w:rsid w:val="00024713"/>
    <w:rsid w:val="000356B3"/>
    <w:rsid w:val="00063408"/>
    <w:rsid w:val="0008578C"/>
    <w:rsid w:val="000920AD"/>
    <w:rsid w:val="00096986"/>
    <w:rsid w:val="000969FE"/>
    <w:rsid w:val="000B46F4"/>
    <w:rsid w:val="000C146A"/>
    <w:rsid w:val="000C206E"/>
    <w:rsid w:val="000C2E9D"/>
    <w:rsid w:val="000C375B"/>
    <w:rsid w:val="00106C9B"/>
    <w:rsid w:val="00135844"/>
    <w:rsid w:val="00135F32"/>
    <w:rsid w:val="00140431"/>
    <w:rsid w:val="0016010F"/>
    <w:rsid w:val="00160825"/>
    <w:rsid w:val="001640A8"/>
    <w:rsid w:val="0016734F"/>
    <w:rsid w:val="00167F4F"/>
    <w:rsid w:val="00186AA6"/>
    <w:rsid w:val="001C0BCF"/>
    <w:rsid w:val="001C1F46"/>
    <w:rsid w:val="001C39D2"/>
    <w:rsid w:val="001D79B1"/>
    <w:rsid w:val="001E34C8"/>
    <w:rsid w:val="001E6231"/>
    <w:rsid w:val="0020277D"/>
    <w:rsid w:val="00205ADD"/>
    <w:rsid w:val="0022194C"/>
    <w:rsid w:val="0022461D"/>
    <w:rsid w:val="00241BAF"/>
    <w:rsid w:val="00261725"/>
    <w:rsid w:val="0027663E"/>
    <w:rsid w:val="0028214D"/>
    <w:rsid w:val="00296577"/>
    <w:rsid w:val="002A2EF3"/>
    <w:rsid w:val="002C02B3"/>
    <w:rsid w:val="002C4360"/>
    <w:rsid w:val="002D0AF6"/>
    <w:rsid w:val="002D2C5B"/>
    <w:rsid w:val="002D5735"/>
    <w:rsid w:val="002E3FF1"/>
    <w:rsid w:val="0030464A"/>
    <w:rsid w:val="00304E01"/>
    <w:rsid w:val="00315C9E"/>
    <w:rsid w:val="00326F60"/>
    <w:rsid w:val="00343E92"/>
    <w:rsid w:val="003467D4"/>
    <w:rsid w:val="00355D7D"/>
    <w:rsid w:val="00382379"/>
    <w:rsid w:val="00391011"/>
    <w:rsid w:val="003941FB"/>
    <w:rsid w:val="00395C5F"/>
    <w:rsid w:val="003A7AAC"/>
    <w:rsid w:val="003D3CC5"/>
    <w:rsid w:val="003E0D24"/>
    <w:rsid w:val="003E53FA"/>
    <w:rsid w:val="003F0D36"/>
    <w:rsid w:val="00401BFF"/>
    <w:rsid w:val="00413647"/>
    <w:rsid w:val="004173BF"/>
    <w:rsid w:val="004213B2"/>
    <w:rsid w:val="00421436"/>
    <w:rsid w:val="004243E3"/>
    <w:rsid w:val="00434BEE"/>
    <w:rsid w:val="00435823"/>
    <w:rsid w:val="004417E4"/>
    <w:rsid w:val="00446FA5"/>
    <w:rsid w:val="00450988"/>
    <w:rsid w:val="00477245"/>
    <w:rsid w:val="00490B27"/>
    <w:rsid w:val="00491ED7"/>
    <w:rsid w:val="004B0CF8"/>
    <w:rsid w:val="004B7B2C"/>
    <w:rsid w:val="004E47DE"/>
    <w:rsid w:val="00515768"/>
    <w:rsid w:val="00526920"/>
    <w:rsid w:val="00526FF1"/>
    <w:rsid w:val="0057318D"/>
    <w:rsid w:val="005961C8"/>
    <w:rsid w:val="005A11F2"/>
    <w:rsid w:val="005A1837"/>
    <w:rsid w:val="005C346D"/>
    <w:rsid w:val="005C4F60"/>
    <w:rsid w:val="005D4D05"/>
    <w:rsid w:val="005D6F77"/>
    <w:rsid w:val="00607E32"/>
    <w:rsid w:val="00612F7C"/>
    <w:rsid w:val="00613BEA"/>
    <w:rsid w:val="00622D55"/>
    <w:rsid w:val="0062749E"/>
    <w:rsid w:val="00631008"/>
    <w:rsid w:val="00631E0B"/>
    <w:rsid w:val="00645DB7"/>
    <w:rsid w:val="00652278"/>
    <w:rsid w:val="006604FD"/>
    <w:rsid w:val="00662CBC"/>
    <w:rsid w:val="00680C3E"/>
    <w:rsid w:val="00682098"/>
    <w:rsid w:val="006903D5"/>
    <w:rsid w:val="006B6CC4"/>
    <w:rsid w:val="006D02F4"/>
    <w:rsid w:val="006F12A6"/>
    <w:rsid w:val="006F6FC0"/>
    <w:rsid w:val="00732C8D"/>
    <w:rsid w:val="00741CCC"/>
    <w:rsid w:val="00762867"/>
    <w:rsid w:val="00764AFC"/>
    <w:rsid w:val="00775587"/>
    <w:rsid w:val="0078006C"/>
    <w:rsid w:val="007A1D1F"/>
    <w:rsid w:val="007A6E60"/>
    <w:rsid w:val="007B1778"/>
    <w:rsid w:val="007B29BE"/>
    <w:rsid w:val="007B70A1"/>
    <w:rsid w:val="007B79A1"/>
    <w:rsid w:val="007C6142"/>
    <w:rsid w:val="007D279C"/>
    <w:rsid w:val="007E0644"/>
    <w:rsid w:val="007E2BE6"/>
    <w:rsid w:val="007E3F92"/>
    <w:rsid w:val="00801AD1"/>
    <w:rsid w:val="0083658E"/>
    <w:rsid w:val="00854B12"/>
    <w:rsid w:val="008606DC"/>
    <w:rsid w:val="008969A9"/>
    <w:rsid w:val="008A1F16"/>
    <w:rsid w:val="008A768C"/>
    <w:rsid w:val="008B7E25"/>
    <w:rsid w:val="008C1BC8"/>
    <w:rsid w:val="008C4ADF"/>
    <w:rsid w:val="008C4E00"/>
    <w:rsid w:val="008D2484"/>
    <w:rsid w:val="008E579A"/>
    <w:rsid w:val="008E701C"/>
    <w:rsid w:val="008F25FF"/>
    <w:rsid w:val="008F5C77"/>
    <w:rsid w:val="008F6ABE"/>
    <w:rsid w:val="00914502"/>
    <w:rsid w:val="0091752B"/>
    <w:rsid w:val="00925FAA"/>
    <w:rsid w:val="009403A8"/>
    <w:rsid w:val="00955BC4"/>
    <w:rsid w:val="00957DD4"/>
    <w:rsid w:val="00963006"/>
    <w:rsid w:val="00965C3B"/>
    <w:rsid w:val="00965E4E"/>
    <w:rsid w:val="00970A31"/>
    <w:rsid w:val="00985883"/>
    <w:rsid w:val="009A02EC"/>
    <w:rsid w:val="009B0403"/>
    <w:rsid w:val="009B730D"/>
    <w:rsid w:val="009C21F7"/>
    <w:rsid w:val="009E47AA"/>
    <w:rsid w:val="009E607C"/>
    <w:rsid w:val="00A072BE"/>
    <w:rsid w:val="00A10A11"/>
    <w:rsid w:val="00A1303C"/>
    <w:rsid w:val="00A21F93"/>
    <w:rsid w:val="00A25C13"/>
    <w:rsid w:val="00A344E5"/>
    <w:rsid w:val="00A37B6C"/>
    <w:rsid w:val="00A42B8F"/>
    <w:rsid w:val="00A475E7"/>
    <w:rsid w:val="00A51784"/>
    <w:rsid w:val="00A55DAE"/>
    <w:rsid w:val="00A713E8"/>
    <w:rsid w:val="00A71A69"/>
    <w:rsid w:val="00A728F3"/>
    <w:rsid w:val="00A81903"/>
    <w:rsid w:val="00A966FE"/>
    <w:rsid w:val="00AB5C19"/>
    <w:rsid w:val="00AC0D8A"/>
    <w:rsid w:val="00AC4580"/>
    <w:rsid w:val="00AD56A8"/>
    <w:rsid w:val="00AF75B0"/>
    <w:rsid w:val="00B16CC9"/>
    <w:rsid w:val="00B33365"/>
    <w:rsid w:val="00B337A0"/>
    <w:rsid w:val="00B34D97"/>
    <w:rsid w:val="00B53037"/>
    <w:rsid w:val="00B824B0"/>
    <w:rsid w:val="00B82EAE"/>
    <w:rsid w:val="00B94BFC"/>
    <w:rsid w:val="00BC2EE7"/>
    <w:rsid w:val="00BC7FD2"/>
    <w:rsid w:val="00BD31D9"/>
    <w:rsid w:val="00BE598F"/>
    <w:rsid w:val="00BF2085"/>
    <w:rsid w:val="00C03CDE"/>
    <w:rsid w:val="00C1196E"/>
    <w:rsid w:val="00C24067"/>
    <w:rsid w:val="00C3407E"/>
    <w:rsid w:val="00C4447D"/>
    <w:rsid w:val="00C56957"/>
    <w:rsid w:val="00C573A4"/>
    <w:rsid w:val="00C64F5F"/>
    <w:rsid w:val="00C6604F"/>
    <w:rsid w:val="00C82EAC"/>
    <w:rsid w:val="00C951E2"/>
    <w:rsid w:val="00CC28C5"/>
    <w:rsid w:val="00CD5C46"/>
    <w:rsid w:val="00CF2B78"/>
    <w:rsid w:val="00D0464F"/>
    <w:rsid w:val="00D32B21"/>
    <w:rsid w:val="00D44B0F"/>
    <w:rsid w:val="00D56F80"/>
    <w:rsid w:val="00D751B3"/>
    <w:rsid w:val="00D76E61"/>
    <w:rsid w:val="00D804CD"/>
    <w:rsid w:val="00D85CAB"/>
    <w:rsid w:val="00D955F0"/>
    <w:rsid w:val="00DA443B"/>
    <w:rsid w:val="00DB0133"/>
    <w:rsid w:val="00DB245D"/>
    <w:rsid w:val="00DC0C69"/>
    <w:rsid w:val="00DC2C6E"/>
    <w:rsid w:val="00DD3896"/>
    <w:rsid w:val="00DE0BB1"/>
    <w:rsid w:val="00DF1932"/>
    <w:rsid w:val="00E10C3F"/>
    <w:rsid w:val="00E12CD5"/>
    <w:rsid w:val="00E14AAB"/>
    <w:rsid w:val="00E21A06"/>
    <w:rsid w:val="00E24F9C"/>
    <w:rsid w:val="00E312A5"/>
    <w:rsid w:val="00E36A18"/>
    <w:rsid w:val="00E60894"/>
    <w:rsid w:val="00E72715"/>
    <w:rsid w:val="00E73B34"/>
    <w:rsid w:val="00E854BF"/>
    <w:rsid w:val="00EA61B3"/>
    <w:rsid w:val="00ED4E86"/>
    <w:rsid w:val="00EE570E"/>
    <w:rsid w:val="00EF0C38"/>
    <w:rsid w:val="00EF13DD"/>
    <w:rsid w:val="00EF37F0"/>
    <w:rsid w:val="00F04B7F"/>
    <w:rsid w:val="00F160D6"/>
    <w:rsid w:val="00F30E34"/>
    <w:rsid w:val="00F42C42"/>
    <w:rsid w:val="00F52423"/>
    <w:rsid w:val="00F53EBA"/>
    <w:rsid w:val="00F5495F"/>
    <w:rsid w:val="00F6140D"/>
    <w:rsid w:val="00F61E6E"/>
    <w:rsid w:val="00F63490"/>
    <w:rsid w:val="00F96953"/>
    <w:rsid w:val="00FA7FE5"/>
    <w:rsid w:val="00FB5302"/>
    <w:rsid w:val="00FC6751"/>
    <w:rsid w:val="00FD61B6"/>
    <w:rsid w:val="00FE0C2F"/>
    <w:rsid w:val="00FE73FA"/>
    <w:rsid w:val="00FF2069"/>
    <w:rsid w:val="00FF28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21DC"/>
  <w15:chartTrackingRefBased/>
  <w15:docId w15:val="{D96D8BBF-9B72-4F36-8F53-7C06817D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751"/>
    <w:rPr>
      <w:sz w:val="16"/>
      <w:szCs w:val="16"/>
    </w:rPr>
  </w:style>
  <w:style w:type="paragraph" w:styleId="CommentText">
    <w:name w:val="annotation text"/>
    <w:basedOn w:val="Normal"/>
    <w:link w:val="CommentTextChar"/>
    <w:uiPriority w:val="99"/>
    <w:unhideWhenUsed/>
    <w:rsid w:val="00FC6751"/>
    <w:pPr>
      <w:spacing w:line="240" w:lineRule="auto"/>
    </w:pPr>
    <w:rPr>
      <w:sz w:val="20"/>
      <w:szCs w:val="20"/>
    </w:rPr>
  </w:style>
  <w:style w:type="character" w:customStyle="1" w:styleId="CommentTextChar">
    <w:name w:val="Comment Text Char"/>
    <w:basedOn w:val="DefaultParagraphFont"/>
    <w:link w:val="CommentText"/>
    <w:uiPriority w:val="99"/>
    <w:rsid w:val="00FC6751"/>
    <w:rPr>
      <w:sz w:val="20"/>
      <w:szCs w:val="20"/>
    </w:rPr>
  </w:style>
  <w:style w:type="paragraph" w:styleId="CommentSubject">
    <w:name w:val="annotation subject"/>
    <w:basedOn w:val="CommentText"/>
    <w:next w:val="CommentText"/>
    <w:link w:val="CommentSubjectChar"/>
    <w:uiPriority w:val="99"/>
    <w:semiHidden/>
    <w:unhideWhenUsed/>
    <w:rsid w:val="00FC6751"/>
    <w:rPr>
      <w:b/>
      <w:bCs/>
    </w:rPr>
  </w:style>
  <w:style w:type="character" w:customStyle="1" w:styleId="CommentSubjectChar">
    <w:name w:val="Comment Subject Char"/>
    <w:basedOn w:val="CommentTextChar"/>
    <w:link w:val="CommentSubject"/>
    <w:uiPriority w:val="99"/>
    <w:semiHidden/>
    <w:rsid w:val="00FC6751"/>
    <w:rPr>
      <w:b/>
      <w:bCs/>
      <w:sz w:val="20"/>
      <w:szCs w:val="20"/>
    </w:rPr>
  </w:style>
  <w:style w:type="paragraph" w:styleId="BalloonText">
    <w:name w:val="Balloon Text"/>
    <w:basedOn w:val="Normal"/>
    <w:link w:val="BalloonTextChar"/>
    <w:uiPriority w:val="99"/>
    <w:semiHidden/>
    <w:unhideWhenUsed/>
    <w:rsid w:val="00FC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751"/>
    <w:rPr>
      <w:rFonts w:ascii="Segoe UI" w:hAnsi="Segoe UI" w:cs="Segoe UI"/>
      <w:sz w:val="18"/>
      <w:szCs w:val="18"/>
    </w:rPr>
  </w:style>
  <w:style w:type="paragraph" w:customStyle="1" w:styleId="section3etcparagr">
    <w:name w:val="section 3 etc paragr"/>
    <w:rsid w:val="00C56957"/>
    <w:pPr>
      <w:spacing w:after="0" w:line="480" w:lineRule="exact"/>
      <w:ind w:firstLine="600"/>
      <w:jc w:val="both"/>
    </w:pPr>
    <w:rPr>
      <w:rFonts w:ascii="Times New Roman" w:eastAsia="Times New Roman" w:hAnsi="Times New Roman" w:cs="Times New Roman"/>
      <w:sz w:val="24"/>
      <w:szCs w:val="20"/>
    </w:rPr>
  </w:style>
  <w:style w:type="character" w:customStyle="1" w:styleId="normaltextrun">
    <w:name w:val="normaltextrun"/>
    <w:basedOn w:val="DefaultParagraphFont"/>
    <w:rsid w:val="00391011"/>
  </w:style>
  <w:style w:type="paragraph" w:styleId="BodyTextIndent2">
    <w:name w:val="Body Text Indent 2"/>
    <w:basedOn w:val="Normal"/>
    <w:link w:val="BodyTextIndent2Char"/>
    <w:rsid w:val="00024713"/>
    <w:pPr>
      <w:spacing w:after="0" w:line="240" w:lineRule="auto"/>
      <w:ind w:firstLine="72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024713"/>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DC2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6E"/>
  </w:style>
  <w:style w:type="paragraph" w:styleId="Footer">
    <w:name w:val="footer"/>
    <w:basedOn w:val="Normal"/>
    <w:link w:val="FooterChar"/>
    <w:uiPriority w:val="99"/>
    <w:unhideWhenUsed/>
    <w:rsid w:val="00DC2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6E"/>
  </w:style>
  <w:style w:type="character" w:styleId="Hyperlink">
    <w:name w:val="Hyperlink"/>
    <w:basedOn w:val="DefaultParagraphFont"/>
    <w:uiPriority w:val="99"/>
    <w:semiHidden/>
    <w:unhideWhenUsed/>
    <w:rsid w:val="00A10A11"/>
    <w:rPr>
      <w:color w:val="0000FF"/>
      <w:u w:val="single"/>
    </w:rPr>
  </w:style>
  <w:style w:type="paragraph" w:styleId="Revision">
    <w:name w:val="Revision"/>
    <w:hidden/>
    <w:uiPriority w:val="99"/>
    <w:semiHidden/>
    <w:rsid w:val="00446FA5"/>
    <w:pPr>
      <w:spacing w:after="0" w:line="240" w:lineRule="auto"/>
    </w:pPr>
  </w:style>
  <w:style w:type="paragraph" w:customStyle="1" w:styleId="paragraph">
    <w:name w:val="paragraph"/>
    <w:basedOn w:val="Normal"/>
    <w:rsid w:val="00A8190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81903"/>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46770">
      <w:bodyDiv w:val="1"/>
      <w:marLeft w:val="0"/>
      <w:marRight w:val="0"/>
      <w:marTop w:val="0"/>
      <w:marBottom w:val="0"/>
      <w:divBdr>
        <w:top w:val="none" w:sz="0" w:space="0" w:color="auto"/>
        <w:left w:val="none" w:sz="0" w:space="0" w:color="auto"/>
        <w:bottom w:val="none" w:sz="0" w:space="0" w:color="auto"/>
        <w:right w:val="none" w:sz="0" w:space="0" w:color="auto"/>
      </w:divBdr>
    </w:div>
    <w:div w:id="1482773382">
      <w:bodyDiv w:val="1"/>
      <w:marLeft w:val="0"/>
      <w:marRight w:val="0"/>
      <w:marTop w:val="0"/>
      <w:marBottom w:val="0"/>
      <w:divBdr>
        <w:top w:val="none" w:sz="0" w:space="0" w:color="auto"/>
        <w:left w:val="none" w:sz="0" w:space="0" w:color="auto"/>
        <w:bottom w:val="none" w:sz="0" w:space="0" w:color="auto"/>
        <w:right w:val="none" w:sz="0" w:space="0" w:color="auto"/>
      </w:divBdr>
    </w:div>
    <w:div w:id="1661617203">
      <w:bodyDiv w:val="1"/>
      <w:marLeft w:val="0"/>
      <w:marRight w:val="0"/>
      <w:marTop w:val="0"/>
      <w:marBottom w:val="0"/>
      <w:divBdr>
        <w:top w:val="none" w:sz="0" w:space="0" w:color="auto"/>
        <w:left w:val="none" w:sz="0" w:space="0" w:color="auto"/>
        <w:bottom w:val="none" w:sz="0" w:space="0" w:color="auto"/>
        <w:right w:val="none" w:sz="0" w:space="0" w:color="auto"/>
      </w:divBdr>
    </w:div>
    <w:div w:id="1790080170">
      <w:bodyDiv w:val="1"/>
      <w:marLeft w:val="0"/>
      <w:marRight w:val="0"/>
      <w:marTop w:val="0"/>
      <w:marBottom w:val="0"/>
      <w:divBdr>
        <w:top w:val="none" w:sz="0" w:space="0" w:color="auto"/>
        <w:left w:val="none" w:sz="0" w:space="0" w:color="auto"/>
        <w:bottom w:val="none" w:sz="0" w:space="0" w:color="auto"/>
        <w:right w:val="none" w:sz="0" w:space="0" w:color="auto"/>
      </w:divBdr>
    </w:div>
    <w:div w:id="19489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6C548A82A2840A0E9F74F217EF325" ma:contentTypeVersion="14" ma:contentTypeDescription="Create a new document." ma:contentTypeScope="" ma:versionID="457b1038a0919ed07a202a4b157d8fa8">
  <xsd:schema xmlns:xsd="http://www.w3.org/2001/XMLSchema" xmlns:xs="http://www.w3.org/2001/XMLSchema" xmlns:p="http://schemas.microsoft.com/office/2006/metadata/properties" xmlns:ns1="http://schemas.microsoft.com/sharepoint/v3" xmlns:ns2="065d4783-5d77-4661-9eb6-c6bce907b2cc" xmlns:ns3="ee7036bd-5abe-4c3a-9c84-778e1fc48883" targetNamespace="http://schemas.microsoft.com/office/2006/metadata/properties" ma:root="true" ma:fieldsID="5eca4dac3debfa160ed09f53573b0c39" ns1:_="" ns2:_="" ns3:_="">
    <xsd:import namespace="http://schemas.microsoft.com/sharepoint/v3"/>
    <xsd:import namespace="065d4783-5d77-4661-9eb6-c6bce907b2cc"/>
    <xsd:import namespace="ee7036bd-5abe-4c3a-9c84-778e1fc488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d4783-5d77-4661-9eb6-c6bce907b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036bd-5abe-4c3a-9c84-778e1fc488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9F75-D43F-49AE-8FA0-53DC72A3227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4318CA6-EE9A-4FA6-BDDC-E4C4E615E52D}">
  <ds:schemaRefs>
    <ds:schemaRef ds:uri="http://schemas.microsoft.com/sharepoint/v3/contenttype/forms"/>
  </ds:schemaRefs>
</ds:datastoreItem>
</file>

<file path=customXml/itemProps3.xml><?xml version="1.0" encoding="utf-8"?>
<ds:datastoreItem xmlns:ds="http://schemas.openxmlformats.org/officeDocument/2006/customXml" ds:itemID="{42BC7778-3A15-46A4-A6DA-874506395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5d4783-5d77-4661-9eb6-c6bce907b2cc"/>
    <ds:schemaRef ds:uri="ee7036bd-5abe-4c3a-9c84-778e1fc48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7B090-96DE-4CF5-AC68-92A499AC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2083</Words>
  <Characters>11878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Kwasnik, Martha (SEN)</dc:creator>
  <cp:keywords/>
  <dc:description/>
  <cp:lastModifiedBy>Lynch, Patrick E. (A&amp;F)</cp:lastModifiedBy>
  <cp:revision>2</cp:revision>
  <cp:lastPrinted>2020-12-03T23:10:00Z</cp:lastPrinted>
  <dcterms:created xsi:type="dcterms:W3CDTF">2020-12-11T17:40:00Z</dcterms:created>
  <dcterms:modified xsi:type="dcterms:W3CDTF">2020-12-11T17:40:00Z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0x010100C9A6C548A82A2840A0E9F74F217EF325</vt:lpwstr>
  </property>
</Properties>
</file>