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3D12B" w14:textId="25FC48A6" w:rsidR="00711812" w:rsidRDefault="00711812" w:rsidP="00711812">
      <w:pPr>
        <w:spacing w:after="0" w:line="240" w:lineRule="auto"/>
        <w:jc w:val="center"/>
        <w:rPr>
          <w:rFonts w:ascii="Times New Roman" w:hAnsi="Times New Roman" w:cs="Times New Roman"/>
          <w:sz w:val="24"/>
          <w:szCs w:val="24"/>
          <w:u w:val="single"/>
        </w:rPr>
      </w:pPr>
    </w:p>
    <w:p w14:paraId="5A7BBC9A" w14:textId="57FF57E8" w:rsidR="00711812" w:rsidRDefault="00711812" w:rsidP="00711812">
      <w:pPr>
        <w:spacing w:after="0" w:line="240" w:lineRule="auto"/>
        <w:jc w:val="center"/>
        <w:rPr>
          <w:rFonts w:ascii="Times New Roman" w:hAnsi="Times New Roman" w:cs="Times New Roman"/>
          <w:sz w:val="24"/>
          <w:szCs w:val="24"/>
          <w:u w:val="single"/>
        </w:rPr>
      </w:pPr>
    </w:p>
    <w:p w14:paraId="79DC31B3" w14:textId="0F6B98BD" w:rsidR="00711812" w:rsidRDefault="00711812" w:rsidP="00711812">
      <w:pPr>
        <w:spacing w:after="0" w:line="240" w:lineRule="auto"/>
        <w:jc w:val="center"/>
        <w:rPr>
          <w:rFonts w:ascii="Times New Roman" w:hAnsi="Times New Roman" w:cs="Times New Roman"/>
          <w:sz w:val="24"/>
          <w:szCs w:val="24"/>
          <w:u w:val="single"/>
        </w:rPr>
      </w:pPr>
    </w:p>
    <w:p w14:paraId="2DCF561D" w14:textId="06276D02" w:rsidR="00711812" w:rsidRDefault="00711812" w:rsidP="00711812">
      <w:pPr>
        <w:spacing w:after="0" w:line="240" w:lineRule="auto"/>
        <w:jc w:val="center"/>
        <w:rPr>
          <w:rFonts w:ascii="Times New Roman" w:hAnsi="Times New Roman" w:cs="Times New Roman"/>
          <w:sz w:val="24"/>
          <w:szCs w:val="24"/>
          <w:u w:val="single"/>
        </w:rPr>
      </w:pPr>
    </w:p>
    <w:p w14:paraId="318D8A5E" w14:textId="1E020B2C" w:rsidR="00711812" w:rsidRDefault="00711812" w:rsidP="00711812">
      <w:pPr>
        <w:spacing w:after="0" w:line="240" w:lineRule="auto"/>
        <w:jc w:val="center"/>
        <w:rPr>
          <w:rFonts w:ascii="Times New Roman" w:hAnsi="Times New Roman" w:cs="Times New Roman"/>
          <w:sz w:val="24"/>
          <w:szCs w:val="24"/>
          <w:u w:val="single"/>
        </w:rPr>
      </w:pPr>
    </w:p>
    <w:p w14:paraId="4F73545A" w14:textId="1677D179" w:rsidR="00711812" w:rsidRDefault="00711812" w:rsidP="00711812">
      <w:pPr>
        <w:spacing w:after="0" w:line="240" w:lineRule="auto"/>
        <w:jc w:val="center"/>
        <w:rPr>
          <w:rFonts w:ascii="Times New Roman" w:hAnsi="Times New Roman" w:cs="Times New Roman"/>
          <w:sz w:val="24"/>
          <w:szCs w:val="24"/>
          <w:u w:val="single"/>
        </w:rPr>
      </w:pPr>
    </w:p>
    <w:p w14:paraId="0DABBB18" w14:textId="10353AAC" w:rsidR="00711812" w:rsidRDefault="00711812" w:rsidP="00711812">
      <w:pPr>
        <w:spacing w:after="0" w:line="240" w:lineRule="auto"/>
        <w:jc w:val="center"/>
        <w:rPr>
          <w:rFonts w:ascii="Times New Roman" w:hAnsi="Times New Roman" w:cs="Times New Roman"/>
          <w:sz w:val="24"/>
          <w:szCs w:val="24"/>
          <w:u w:val="single"/>
        </w:rPr>
      </w:pPr>
    </w:p>
    <w:p w14:paraId="65189FBD" w14:textId="7CB50BE5" w:rsidR="00711812" w:rsidRDefault="00711812" w:rsidP="00711812">
      <w:pPr>
        <w:spacing w:after="0" w:line="240" w:lineRule="auto"/>
        <w:jc w:val="center"/>
        <w:rPr>
          <w:rFonts w:ascii="Times New Roman" w:hAnsi="Times New Roman" w:cs="Times New Roman"/>
          <w:sz w:val="24"/>
          <w:szCs w:val="24"/>
          <w:u w:val="single"/>
        </w:rPr>
      </w:pPr>
    </w:p>
    <w:p w14:paraId="48964228" w14:textId="4774DD03" w:rsidR="00711812" w:rsidRDefault="00711812" w:rsidP="00711812">
      <w:pPr>
        <w:spacing w:after="0" w:line="240" w:lineRule="auto"/>
        <w:jc w:val="center"/>
        <w:rPr>
          <w:rFonts w:ascii="Times New Roman" w:hAnsi="Times New Roman" w:cs="Times New Roman"/>
          <w:sz w:val="24"/>
          <w:szCs w:val="24"/>
          <w:u w:val="single"/>
        </w:rPr>
      </w:pPr>
    </w:p>
    <w:p w14:paraId="694F85D1" w14:textId="77777777" w:rsidR="00711812" w:rsidRDefault="00711812" w:rsidP="00711812">
      <w:pPr>
        <w:spacing w:after="0" w:line="240" w:lineRule="auto"/>
        <w:jc w:val="center"/>
        <w:rPr>
          <w:rFonts w:ascii="Times New Roman" w:hAnsi="Times New Roman" w:cs="Times New Roman"/>
          <w:sz w:val="24"/>
          <w:szCs w:val="24"/>
          <w:u w:val="single"/>
        </w:rPr>
      </w:pPr>
    </w:p>
    <w:p w14:paraId="3E8DACA8" w14:textId="097116C9" w:rsidR="0062476D" w:rsidRPr="00232D42" w:rsidRDefault="0062476D" w:rsidP="005C725E">
      <w:pPr>
        <w:spacing w:after="0" w:line="240" w:lineRule="auto"/>
        <w:ind w:left="3600"/>
        <w:rPr>
          <w:rFonts w:ascii="Times New Roman" w:hAnsi="Times New Roman" w:cs="Times New Roman"/>
          <w:sz w:val="24"/>
          <w:szCs w:val="24"/>
          <w:u w:val="single"/>
        </w:rPr>
      </w:pPr>
      <w:r w:rsidRPr="00232D42">
        <w:rPr>
          <w:rFonts w:ascii="Times New Roman" w:hAnsi="Times New Roman" w:cs="Times New Roman"/>
          <w:sz w:val="24"/>
          <w:szCs w:val="24"/>
          <w:u w:val="single"/>
        </w:rPr>
        <w:t xml:space="preserve">ATTACHMENT </w:t>
      </w:r>
      <w:r w:rsidR="005C725E">
        <w:rPr>
          <w:rFonts w:ascii="Times New Roman" w:hAnsi="Times New Roman" w:cs="Times New Roman"/>
          <w:sz w:val="24"/>
          <w:szCs w:val="24"/>
          <w:u w:val="single"/>
        </w:rPr>
        <w:t>G</w:t>
      </w:r>
    </w:p>
    <w:p w14:paraId="5C2575FB" w14:textId="77777777" w:rsidR="0062476D" w:rsidRPr="00232D42" w:rsidRDefault="0062476D" w:rsidP="00711812">
      <w:pPr>
        <w:spacing w:after="0" w:line="240" w:lineRule="auto"/>
        <w:rPr>
          <w:rFonts w:ascii="Times New Roman" w:hAnsi="Times New Roman" w:cs="Times New Roman"/>
          <w:sz w:val="24"/>
          <w:szCs w:val="24"/>
        </w:rPr>
      </w:pPr>
    </w:p>
    <w:p w14:paraId="242C0CEE" w14:textId="77777777" w:rsidR="0062476D" w:rsidRPr="00232D42" w:rsidRDefault="0062476D" w:rsidP="005C725E">
      <w:pPr>
        <w:spacing w:after="0" w:line="240" w:lineRule="auto"/>
        <w:ind w:left="4320" w:firstLine="720"/>
        <w:rPr>
          <w:rFonts w:ascii="Times New Roman" w:hAnsi="Times New Roman" w:cs="Times New Roman"/>
          <w:sz w:val="24"/>
          <w:szCs w:val="24"/>
        </w:rPr>
      </w:pPr>
      <w:r w:rsidRPr="00232D42">
        <w:rPr>
          <w:rFonts w:ascii="Times New Roman" w:hAnsi="Times New Roman" w:cs="Times New Roman"/>
          <w:sz w:val="24"/>
          <w:szCs w:val="24"/>
        </w:rPr>
        <w:t>December 11, 2020</w:t>
      </w:r>
    </w:p>
    <w:p w14:paraId="48F8CBC5" w14:textId="77777777" w:rsidR="0062476D" w:rsidRPr="00232D42" w:rsidRDefault="0062476D" w:rsidP="00711812">
      <w:pPr>
        <w:spacing w:after="0" w:line="240" w:lineRule="auto"/>
        <w:rPr>
          <w:rFonts w:ascii="Times New Roman" w:hAnsi="Times New Roman" w:cs="Times New Roman"/>
          <w:sz w:val="24"/>
          <w:szCs w:val="24"/>
        </w:rPr>
      </w:pPr>
    </w:p>
    <w:p w14:paraId="31EB2C4A" w14:textId="3B5F7154" w:rsidR="0062476D" w:rsidRDefault="0062476D" w:rsidP="005C725E">
      <w:pPr>
        <w:spacing w:after="0" w:line="240" w:lineRule="auto"/>
        <w:rPr>
          <w:rFonts w:ascii="Times New Roman" w:hAnsi="Times New Roman" w:cs="Times New Roman"/>
          <w:sz w:val="24"/>
          <w:szCs w:val="24"/>
        </w:rPr>
      </w:pPr>
      <w:r w:rsidRPr="00232D42">
        <w:rPr>
          <w:rFonts w:ascii="Times New Roman" w:hAnsi="Times New Roman" w:cs="Times New Roman"/>
          <w:sz w:val="24"/>
          <w:szCs w:val="24"/>
        </w:rPr>
        <w:t xml:space="preserve">To the Honorable Senate and House of Representatives: </w:t>
      </w:r>
    </w:p>
    <w:p w14:paraId="578B8A17" w14:textId="77777777" w:rsidR="005C725E" w:rsidRPr="00232D42" w:rsidRDefault="005C725E" w:rsidP="005C725E">
      <w:pPr>
        <w:spacing w:after="0" w:line="240" w:lineRule="auto"/>
        <w:rPr>
          <w:rFonts w:ascii="Times New Roman" w:hAnsi="Times New Roman" w:cs="Times New Roman"/>
          <w:sz w:val="24"/>
          <w:szCs w:val="24"/>
        </w:rPr>
      </w:pPr>
    </w:p>
    <w:p w14:paraId="094B2D7B" w14:textId="1F3D87BF" w:rsidR="0062476D" w:rsidRDefault="0062476D" w:rsidP="007463A9">
      <w:pPr>
        <w:spacing w:after="0" w:line="240" w:lineRule="auto"/>
        <w:ind w:firstLine="720"/>
        <w:rPr>
          <w:rFonts w:ascii="Times New Roman" w:hAnsi="Times New Roman" w:cs="Times New Roman"/>
          <w:sz w:val="24"/>
          <w:szCs w:val="24"/>
        </w:rPr>
      </w:pPr>
      <w:r w:rsidRPr="00232D42">
        <w:rPr>
          <w:rFonts w:ascii="Times New Roman" w:hAnsi="Times New Roman" w:cs="Times New Roman"/>
          <w:sz w:val="24"/>
          <w:szCs w:val="24"/>
        </w:rPr>
        <w:t xml:space="preserve">Pursuant to Article LVI, as amended by Article XC, Section 3 of the Amendments to the Constitution of the Commonwealth of Massachusetts, I am returning to you for amendment Section </w:t>
      </w:r>
      <w:r>
        <w:rPr>
          <w:rFonts w:ascii="Times New Roman" w:hAnsi="Times New Roman" w:cs="Times New Roman"/>
          <w:sz w:val="24"/>
          <w:szCs w:val="24"/>
        </w:rPr>
        <w:t>93</w:t>
      </w:r>
      <w:r w:rsidRPr="00232D42">
        <w:rPr>
          <w:rFonts w:ascii="Times New Roman" w:hAnsi="Times New Roman" w:cs="Times New Roman"/>
          <w:sz w:val="24"/>
          <w:szCs w:val="24"/>
        </w:rPr>
        <w:t xml:space="preserve"> of House Bill No. 5164, “An Act Making Appropriations for the Fiscal Year 2021 for the Maintenance of the Departments, Boards, Commissions, Institutions and Certain Activities of the Commonwealth, for Interest, Sinking Fund and Serial Bond Requirements and for Certain Permanent Improvements.”</w:t>
      </w:r>
    </w:p>
    <w:p w14:paraId="168D79BD" w14:textId="77777777" w:rsidR="005C725E" w:rsidRDefault="005C725E" w:rsidP="005C725E">
      <w:pPr>
        <w:spacing w:after="0" w:line="240" w:lineRule="auto"/>
        <w:ind w:firstLine="562"/>
        <w:rPr>
          <w:rFonts w:ascii="Times New Roman" w:hAnsi="Times New Roman" w:cs="Times New Roman"/>
          <w:sz w:val="24"/>
          <w:szCs w:val="24"/>
        </w:rPr>
      </w:pPr>
    </w:p>
    <w:p w14:paraId="5AD8B6F0" w14:textId="01E9BD90" w:rsidR="009E7106" w:rsidRDefault="009E7106" w:rsidP="007463A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Section 93</w:t>
      </w:r>
      <w:r w:rsidRPr="009E7106">
        <w:rPr>
          <w:rFonts w:ascii="Times New Roman" w:hAnsi="Times New Roman" w:cs="Times New Roman"/>
          <w:sz w:val="24"/>
          <w:szCs w:val="24"/>
        </w:rPr>
        <w:t xml:space="preserve"> sets forth the </w:t>
      </w:r>
      <w:r>
        <w:rPr>
          <w:rFonts w:ascii="Times New Roman" w:hAnsi="Times New Roman" w:cs="Times New Roman"/>
          <w:sz w:val="24"/>
          <w:szCs w:val="24"/>
        </w:rPr>
        <w:t>F</w:t>
      </w:r>
      <w:r w:rsidRPr="009E7106">
        <w:rPr>
          <w:rFonts w:ascii="Times New Roman" w:hAnsi="Times New Roman" w:cs="Times New Roman"/>
          <w:sz w:val="24"/>
          <w:szCs w:val="24"/>
        </w:rPr>
        <w:t xml:space="preserve">iscal </w:t>
      </w:r>
      <w:r>
        <w:rPr>
          <w:rFonts w:ascii="Times New Roman" w:hAnsi="Times New Roman" w:cs="Times New Roman"/>
          <w:sz w:val="24"/>
          <w:szCs w:val="24"/>
        </w:rPr>
        <w:t>Y</w:t>
      </w:r>
      <w:r w:rsidRPr="009E7106">
        <w:rPr>
          <w:rFonts w:ascii="Times New Roman" w:hAnsi="Times New Roman" w:cs="Times New Roman"/>
          <w:sz w:val="24"/>
          <w:szCs w:val="24"/>
        </w:rPr>
        <w:t>ear 202</w:t>
      </w:r>
      <w:r>
        <w:rPr>
          <w:rFonts w:ascii="Times New Roman" w:hAnsi="Times New Roman" w:cs="Times New Roman"/>
          <w:sz w:val="24"/>
          <w:szCs w:val="24"/>
        </w:rPr>
        <w:t>1 (“FY21”)</w:t>
      </w:r>
      <w:r w:rsidRPr="009E7106">
        <w:rPr>
          <w:rFonts w:ascii="Times New Roman" w:hAnsi="Times New Roman" w:cs="Times New Roman"/>
          <w:sz w:val="24"/>
          <w:szCs w:val="24"/>
        </w:rPr>
        <w:t xml:space="preserve"> funding distribution</w:t>
      </w:r>
      <w:r>
        <w:rPr>
          <w:rFonts w:ascii="Times New Roman" w:hAnsi="Times New Roman" w:cs="Times New Roman"/>
          <w:sz w:val="24"/>
          <w:szCs w:val="24"/>
        </w:rPr>
        <w:t xml:space="preserve"> for the Commonwealth’s regional transit authorities (“RTAs”)</w:t>
      </w:r>
      <w:r w:rsidRPr="009E7106">
        <w:rPr>
          <w:rFonts w:ascii="Times New Roman" w:hAnsi="Times New Roman" w:cs="Times New Roman"/>
          <w:sz w:val="24"/>
          <w:szCs w:val="24"/>
        </w:rPr>
        <w:t xml:space="preserve">. </w:t>
      </w:r>
      <w:r w:rsidR="005C725E">
        <w:rPr>
          <w:rFonts w:ascii="Times New Roman" w:hAnsi="Times New Roman" w:cs="Times New Roman"/>
          <w:sz w:val="24"/>
          <w:szCs w:val="24"/>
        </w:rPr>
        <w:t xml:space="preserve"> </w:t>
      </w:r>
      <w:r w:rsidRPr="009E7106">
        <w:rPr>
          <w:rFonts w:ascii="Times New Roman" w:hAnsi="Times New Roman" w:cs="Times New Roman"/>
          <w:sz w:val="24"/>
          <w:szCs w:val="24"/>
        </w:rPr>
        <w:t>The</w:t>
      </w:r>
      <w:r>
        <w:rPr>
          <w:rFonts w:ascii="Times New Roman" w:hAnsi="Times New Roman" w:cs="Times New Roman"/>
          <w:sz w:val="24"/>
          <w:szCs w:val="24"/>
        </w:rPr>
        <w:t xml:space="preserve"> section </w:t>
      </w:r>
      <w:r w:rsidRPr="009E7106">
        <w:rPr>
          <w:rFonts w:ascii="Times New Roman" w:hAnsi="Times New Roman" w:cs="Times New Roman"/>
          <w:sz w:val="24"/>
          <w:szCs w:val="24"/>
        </w:rPr>
        <w:t xml:space="preserve">retains </w:t>
      </w:r>
      <w:r>
        <w:rPr>
          <w:rFonts w:ascii="Times New Roman" w:hAnsi="Times New Roman" w:cs="Times New Roman"/>
          <w:sz w:val="24"/>
          <w:szCs w:val="24"/>
        </w:rPr>
        <w:t xml:space="preserve">my House 2 </w:t>
      </w:r>
      <w:r w:rsidRPr="009E7106">
        <w:rPr>
          <w:rFonts w:ascii="Times New Roman" w:hAnsi="Times New Roman" w:cs="Times New Roman"/>
          <w:sz w:val="24"/>
          <w:szCs w:val="24"/>
        </w:rPr>
        <w:t xml:space="preserve">Revised base distribution </w:t>
      </w:r>
      <w:r>
        <w:rPr>
          <w:rFonts w:ascii="Times New Roman" w:hAnsi="Times New Roman" w:cs="Times New Roman"/>
          <w:sz w:val="24"/>
          <w:szCs w:val="24"/>
        </w:rPr>
        <w:t xml:space="preserve">recommendation </w:t>
      </w:r>
      <w:r w:rsidRPr="009E7106">
        <w:rPr>
          <w:rFonts w:ascii="Times New Roman" w:hAnsi="Times New Roman" w:cs="Times New Roman"/>
          <w:sz w:val="24"/>
          <w:szCs w:val="24"/>
        </w:rPr>
        <w:t>at $87</w:t>
      </w:r>
      <w:r>
        <w:rPr>
          <w:rFonts w:ascii="Times New Roman" w:hAnsi="Times New Roman" w:cs="Times New Roman"/>
          <w:sz w:val="24"/>
          <w:szCs w:val="24"/>
        </w:rPr>
        <w:t xml:space="preserve"> million and retains the existing amount and structure that distributes performance grants based on Memorandums of Understanding executed between the RTAs and the Massachusetts Department of Transportation; however, it also adds an additional $3.5 million to be allocated by a new funding formula that is not consistent with my recommendations.  </w:t>
      </w:r>
    </w:p>
    <w:p w14:paraId="30456261" w14:textId="77777777" w:rsidR="005C725E" w:rsidRPr="0062476D" w:rsidRDefault="005C725E" w:rsidP="005C725E">
      <w:pPr>
        <w:spacing w:after="0" w:line="240" w:lineRule="auto"/>
        <w:ind w:firstLine="562"/>
        <w:rPr>
          <w:rFonts w:ascii="Times New Roman" w:hAnsi="Times New Roman" w:cs="Times New Roman"/>
          <w:sz w:val="24"/>
          <w:szCs w:val="24"/>
        </w:rPr>
      </w:pPr>
    </w:p>
    <w:p w14:paraId="68099E9C" w14:textId="22371B8D" w:rsidR="00797027" w:rsidRDefault="009E7106" w:rsidP="005C725E">
      <w:pPr>
        <w:spacing w:after="0" w:line="24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Additionally, the</w:t>
      </w:r>
      <w:r w:rsidR="00797027" w:rsidRPr="00797027">
        <w:rPr>
          <w:rFonts w:ascii="Times New Roman" w:eastAsia="Times New Roman" w:hAnsi="Times New Roman" w:cs="Times New Roman"/>
          <w:color w:val="000000" w:themeColor="text1"/>
          <w:sz w:val="24"/>
          <w:szCs w:val="24"/>
        </w:rPr>
        <w:t xml:space="preserve"> RTAs received approximately $213 </w:t>
      </w:r>
      <w:r>
        <w:rPr>
          <w:rFonts w:ascii="Times New Roman" w:eastAsia="Times New Roman" w:hAnsi="Times New Roman" w:cs="Times New Roman"/>
          <w:color w:val="000000" w:themeColor="text1"/>
          <w:sz w:val="24"/>
          <w:szCs w:val="24"/>
        </w:rPr>
        <w:t>million</w:t>
      </w:r>
      <w:r w:rsidR="00797027" w:rsidRPr="00797027">
        <w:rPr>
          <w:rFonts w:ascii="Times New Roman" w:eastAsia="Times New Roman" w:hAnsi="Times New Roman" w:cs="Times New Roman"/>
          <w:color w:val="000000" w:themeColor="text1"/>
          <w:sz w:val="24"/>
          <w:szCs w:val="24"/>
        </w:rPr>
        <w:t xml:space="preserve"> as part of the CARES Act, in addition to the $87 </w:t>
      </w:r>
      <w:r>
        <w:rPr>
          <w:rFonts w:ascii="Times New Roman" w:eastAsia="Times New Roman" w:hAnsi="Times New Roman" w:cs="Times New Roman"/>
          <w:color w:val="000000" w:themeColor="text1"/>
          <w:sz w:val="24"/>
          <w:szCs w:val="24"/>
        </w:rPr>
        <w:t>million</w:t>
      </w:r>
      <w:r w:rsidR="00797027" w:rsidRPr="00797027">
        <w:rPr>
          <w:rFonts w:ascii="Times New Roman" w:eastAsia="Times New Roman" w:hAnsi="Times New Roman" w:cs="Times New Roman"/>
          <w:color w:val="000000" w:themeColor="text1"/>
          <w:sz w:val="24"/>
          <w:szCs w:val="24"/>
        </w:rPr>
        <w:t xml:space="preserve"> in State Contract Assistance (</w:t>
      </w:r>
      <w:r>
        <w:rPr>
          <w:rFonts w:ascii="Times New Roman" w:eastAsia="Times New Roman" w:hAnsi="Times New Roman" w:cs="Times New Roman"/>
          <w:color w:val="000000" w:themeColor="text1"/>
          <w:sz w:val="24"/>
          <w:szCs w:val="24"/>
        </w:rPr>
        <w:t>“</w:t>
      </w:r>
      <w:r w:rsidR="00797027" w:rsidRPr="00797027">
        <w:rPr>
          <w:rFonts w:ascii="Times New Roman" w:eastAsia="Times New Roman" w:hAnsi="Times New Roman" w:cs="Times New Roman"/>
          <w:color w:val="000000" w:themeColor="text1"/>
          <w:sz w:val="24"/>
          <w:szCs w:val="24"/>
        </w:rPr>
        <w:t>SCA</w:t>
      </w:r>
      <w:r>
        <w:rPr>
          <w:rFonts w:ascii="Times New Roman" w:eastAsia="Times New Roman" w:hAnsi="Times New Roman" w:cs="Times New Roman"/>
          <w:color w:val="000000" w:themeColor="text1"/>
          <w:sz w:val="24"/>
          <w:szCs w:val="24"/>
        </w:rPr>
        <w:t>”</w:t>
      </w:r>
      <w:r w:rsidR="00797027" w:rsidRPr="00797027">
        <w:rPr>
          <w:rFonts w:ascii="Times New Roman" w:eastAsia="Times New Roman" w:hAnsi="Times New Roman" w:cs="Times New Roman"/>
          <w:color w:val="000000" w:themeColor="text1"/>
          <w:sz w:val="24"/>
          <w:szCs w:val="24"/>
        </w:rPr>
        <w:t xml:space="preserve">) that the RTAs received in FY20, as well as the $70 </w:t>
      </w:r>
      <w:r>
        <w:rPr>
          <w:rFonts w:ascii="Times New Roman" w:eastAsia="Times New Roman" w:hAnsi="Times New Roman" w:cs="Times New Roman"/>
          <w:color w:val="000000" w:themeColor="text1"/>
          <w:sz w:val="24"/>
          <w:szCs w:val="24"/>
        </w:rPr>
        <w:t>million</w:t>
      </w:r>
      <w:r w:rsidR="00797027" w:rsidRPr="00797027">
        <w:rPr>
          <w:rFonts w:ascii="Times New Roman" w:eastAsia="Times New Roman" w:hAnsi="Times New Roman" w:cs="Times New Roman"/>
          <w:color w:val="000000" w:themeColor="text1"/>
          <w:sz w:val="24"/>
          <w:szCs w:val="24"/>
        </w:rPr>
        <w:t xml:space="preserve"> in existing F</w:t>
      </w:r>
      <w:r>
        <w:rPr>
          <w:rFonts w:ascii="Times New Roman" w:eastAsia="Times New Roman" w:hAnsi="Times New Roman" w:cs="Times New Roman"/>
          <w:color w:val="000000" w:themeColor="text1"/>
          <w:sz w:val="24"/>
          <w:szCs w:val="24"/>
        </w:rPr>
        <w:t xml:space="preserve">ederal </w:t>
      </w:r>
      <w:r w:rsidR="00797027" w:rsidRPr="00797027">
        <w:rPr>
          <w:rFonts w:ascii="Times New Roman" w:eastAsia="Times New Roman" w:hAnsi="Times New Roman" w:cs="Times New Roman"/>
          <w:color w:val="000000" w:themeColor="text1"/>
          <w:sz w:val="24"/>
          <w:szCs w:val="24"/>
        </w:rPr>
        <w:t>F</w:t>
      </w:r>
      <w:r>
        <w:rPr>
          <w:rFonts w:ascii="Times New Roman" w:eastAsia="Times New Roman" w:hAnsi="Times New Roman" w:cs="Times New Roman"/>
          <w:color w:val="000000" w:themeColor="text1"/>
          <w:sz w:val="24"/>
          <w:szCs w:val="24"/>
        </w:rPr>
        <w:t xml:space="preserve">iscal </w:t>
      </w:r>
      <w:r w:rsidR="00797027" w:rsidRPr="00797027">
        <w:rPr>
          <w:rFonts w:ascii="Times New Roman" w:eastAsia="Times New Roman" w:hAnsi="Times New Roman" w:cs="Times New Roman"/>
          <w:color w:val="000000" w:themeColor="text1"/>
          <w:sz w:val="24"/>
          <w:szCs w:val="24"/>
        </w:rPr>
        <w:t>Y</w:t>
      </w:r>
      <w:r>
        <w:rPr>
          <w:rFonts w:ascii="Times New Roman" w:eastAsia="Times New Roman" w:hAnsi="Times New Roman" w:cs="Times New Roman"/>
          <w:color w:val="000000" w:themeColor="text1"/>
          <w:sz w:val="24"/>
          <w:szCs w:val="24"/>
        </w:rPr>
        <w:t>ear 20</w:t>
      </w:r>
      <w:r w:rsidR="00797027" w:rsidRPr="00797027">
        <w:rPr>
          <w:rFonts w:ascii="Times New Roman" w:eastAsia="Times New Roman" w:hAnsi="Times New Roman" w:cs="Times New Roman"/>
          <w:color w:val="000000" w:themeColor="text1"/>
          <w:sz w:val="24"/>
          <w:szCs w:val="24"/>
        </w:rPr>
        <w:t xml:space="preserve">20 federal distributions from the Urbanized/Rural Area formulas. </w:t>
      </w:r>
      <w:r w:rsidR="005C725E">
        <w:rPr>
          <w:rFonts w:ascii="Times New Roman" w:eastAsia="Times New Roman" w:hAnsi="Times New Roman" w:cs="Times New Roman"/>
          <w:color w:val="000000" w:themeColor="text1"/>
          <w:sz w:val="24"/>
          <w:szCs w:val="24"/>
        </w:rPr>
        <w:t xml:space="preserve"> </w:t>
      </w:r>
      <w:r w:rsidR="00797027" w:rsidRPr="00797027">
        <w:rPr>
          <w:rFonts w:ascii="Times New Roman" w:eastAsia="Times New Roman" w:hAnsi="Times New Roman" w:cs="Times New Roman"/>
          <w:color w:val="000000" w:themeColor="text1"/>
          <w:sz w:val="24"/>
          <w:szCs w:val="24"/>
        </w:rPr>
        <w:t>As a result, all 15 RTAs are expected to end FY21 with significant cash reserves.</w:t>
      </w:r>
      <w:r>
        <w:rPr>
          <w:rFonts w:ascii="Times New Roman" w:eastAsia="Times New Roman" w:hAnsi="Times New Roman" w:cs="Times New Roman"/>
          <w:color w:val="000000" w:themeColor="text1"/>
          <w:sz w:val="24"/>
          <w:szCs w:val="24"/>
        </w:rPr>
        <w:t xml:space="preserve"> </w:t>
      </w:r>
    </w:p>
    <w:p w14:paraId="3728A4C0" w14:textId="77777777" w:rsidR="005C725E" w:rsidRDefault="005C725E" w:rsidP="005C725E">
      <w:pPr>
        <w:spacing w:after="0" w:line="240" w:lineRule="auto"/>
        <w:ind w:firstLine="720"/>
        <w:rPr>
          <w:rFonts w:ascii="Times New Roman" w:eastAsia="Times New Roman" w:hAnsi="Times New Roman" w:cs="Times New Roman"/>
          <w:color w:val="000000" w:themeColor="text1"/>
          <w:sz w:val="24"/>
          <w:szCs w:val="24"/>
        </w:rPr>
      </w:pPr>
    </w:p>
    <w:p w14:paraId="679975CE" w14:textId="2D4519E4" w:rsidR="009E7106" w:rsidRDefault="009E7106" w:rsidP="005C725E">
      <w:pPr>
        <w:spacing w:after="0" w:line="24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As a result, I am recommending changes that </w:t>
      </w:r>
      <w:r w:rsidR="009633A4">
        <w:rPr>
          <w:rFonts w:ascii="Times New Roman" w:eastAsia="Times New Roman" w:hAnsi="Times New Roman" w:cs="Times New Roman"/>
          <w:color w:val="000000" w:themeColor="text1"/>
          <w:sz w:val="24"/>
          <w:szCs w:val="24"/>
        </w:rPr>
        <w:t>eliminate</w:t>
      </w:r>
      <w:r>
        <w:rPr>
          <w:rFonts w:ascii="Times New Roman" w:eastAsia="Times New Roman" w:hAnsi="Times New Roman" w:cs="Times New Roman"/>
          <w:color w:val="000000" w:themeColor="text1"/>
          <w:sz w:val="24"/>
          <w:szCs w:val="24"/>
        </w:rPr>
        <w:t xml:space="preserve"> the amo</w:t>
      </w:r>
      <w:r w:rsidR="009633A4">
        <w:rPr>
          <w:rFonts w:ascii="Times New Roman" w:eastAsia="Times New Roman" w:hAnsi="Times New Roman" w:cs="Times New Roman"/>
          <w:color w:val="000000" w:themeColor="text1"/>
          <w:sz w:val="24"/>
          <w:szCs w:val="24"/>
        </w:rPr>
        <w:t xml:space="preserve">unt to be distributed through the proposed funding formula to be consistent with my previous recommendations.  I am also proposing to extend the reporting date for a </w:t>
      </w:r>
      <w:r w:rsidR="009633A4" w:rsidRPr="009633A4">
        <w:rPr>
          <w:rFonts w:ascii="Times New Roman" w:eastAsia="Times New Roman" w:hAnsi="Times New Roman" w:cs="Times New Roman"/>
          <w:color w:val="000000" w:themeColor="text1"/>
          <w:sz w:val="24"/>
          <w:szCs w:val="24"/>
        </w:rPr>
        <w:t xml:space="preserve">report on RTA performance and progress </w:t>
      </w:r>
      <w:r w:rsidR="009633A4">
        <w:rPr>
          <w:rFonts w:ascii="Times New Roman" w:eastAsia="Times New Roman" w:hAnsi="Times New Roman" w:cs="Times New Roman"/>
          <w:color w:val="000000" w:themeColor="text1"/>
          <w:sz w:val="24"/>
          <w:szCs w:val="24"/>
        </w:rPr>
        <w:t>until December 31, 2021 to ensure that the full FY21 data can be collected from the RTAs</w:t>
      </w:r>
      <w:r w:rsidR="009633A4" w:rsidRPr="009633A4">
        <w:rPr>
          <w:rFonts w:ascii="Times New Roman" w:eastAsia="Times New Roman" w:hAnsi="Times New Roman" w:cs="Times New Roman"/>
          <w:color w:val="000000" w:themeColor="text1"/>
          <w:sz w:val="24"/>
          <w:szCs w:val="24"/>
        </w:rPr>
        <w:t xml:space="preserve">.  </w:t>
      </w:r>
    </w:p>
    <w:p w14:paraId="4EFF05E3" w14:textId="77777777" w:rsidR="005C725E" w:rsidRDefault="005C725E" w:rsidP="005C725E">
      <w:pPr>
        <w:spacing w:after="0" w:line="240" w:lineRule="auto"/>
        <w:ind w:firstLine="720"/>
        <w:rPr>
          <w:rFonts w:ascii="Times New Roman" w:eastAsia="Times New Roman" w:hAnsi="Times New Roman" w:cs="Times New Roman"/>
          <w:color w:val="000000" w:themeColor="text1"/>
          <w:sz w:val="24"/>
          <w:szCs w:val="24"/>
        </w:rPr>
      </w:pPr>
    </w:p>
    <w:p w14:paraId="5DEDDF0C" w14:textId="0EB6A301" w:rsidR="00797027" w:rsidRDefault="0062476D" w:rsidP="005C725E">
      <w:pPr>
        <w:spacing w:after="0" w:line="240" w:lineRule="auto"/>
        <w:ind w:firstLine="720"/>
        <w:rPr>
          <w:rFonts w:ascii="Times New Roman" w:eastAsia="Times New Roman" w:hAnsi="Times New Roman" w:cs="Times New Roman"/>
          <w:color w:val="000000" w:themeColor="text1"/>
          <w:sz w:val="24"/>
          <w:szCs w:val="24"/>
        </w:rPr>
      </w:pPr>
      <w:r w:rsidRPr="0062476D">
        <w:rPr>
          <w:rFonts w:ascii="Times New Roman" w:eastAsia="Times New Roman" w:hAnsi="Times New Roman" w:cs="Times New Roman"/>
          <w:color w:val="000000" w:themeColor="text1"/>
          <w:sz w:val="24"/>
          <w:szCs w:val="24"/>
        </w:rPr>
        <w:t>For these reasons, I recommend that Section</w:t>
      </w:r>
      <w:r>
        <w:rPr>
          <w:rFonts w:ascii="Times New Roman" w:eastAsia="Times New Roman" w:hAnsi="Times New Roman" w:cs="Times New Roman"/>
          <w:color w:val="000000" w:themeColor="text1"/>
          <w:sz w:val="24"/>
          <w:szCs w:val="24"/>
        </w:rPr>
        <w:t xml:space="preserve"> 93 be </w:t>
      </w:r>
      <w:r w:rsidRPr="0062476D">
        <w:rPr>
          <w:rFonts w:ascii="Times New Roman" w:eastAsia="Times New Roman" w:hAnsi="Times New Roman" w:cs="Times New Roman"/>
          <w:color w:val="000000" w:themeColor="text1"/>
          <w:sz w:val="24"/>
          <w:szCs w:val="24"/>
        </w:rPr>
        <w:t>amended by striking out the section</w:t>
      </w:r>
      <w:r>
        <w:rPr>
          <w:rFonts w:ascii="Times New Roman" w:eastAsia="Times New Roman" w:hAnsi="Times New Roman" w:cs="Times New Roman"/>
          <w:color w:val="000000" w:themeColor="text1"/>
          <w:sz w:val="24"/>
          <w:szCs w:val="24"/>
        </w:rPr>
        <w:t xml:space="preserve"> </w:t>
      </w:r>
      <w:r w:rsidRPr="0062476D">
        <w:rPr>
          <w:rFonts w:ascii="Times New Roman" w:eastAsia="Times New Roman" w:hAnsi="Times New Roman" w:cs="Times New Roman"/>
          <w:color w:val="000000" w:themeColor="text1"/>
          <w:sz w:val="24"/>
          <w:szCs w:val="24"/>
        </w:rPr>
        <w:t xml:space="preserve">and inserting in place thereof the following </w:t>
      </w:r>
      <w:proofErr w:type="gramStart"/>
      <w:r w:rsidRPr="0062476D">
        <w:rPr>
          <w:rFonts w:ascii="Times New Roman" w:eastAsia="Times New Roman" w:hAnsi="Times New Roman" w:cs="Times New Roman"/>
          <w:color w:val="000000" w:themeColor="text1"/>
          <w:sz w:val="24"/>
          <w:szCs w:val="24"/>
        </w:rPr>
        <w:t>section:-</w:t>
      </w:r>
      <w:proofErr w:type="gramEnd"/>
    </w:p>
    <w:p w14:paraId="770ABFFF" w14:textId="77777777" w:rsidR="005C725E" w:rsidRDefault="005C725E" w:rsidP="005C725E">
      <w:pPr>
        <w:spacing w:after="0" w:line="240" w:lineRule="auto"/>
        <w:ind w:firstLine="720"/>
        <w:rPr>
          <w:rFonts w:ascii="Times New Roman" w:eastAsia="Times New Roman" w:hAnsi="Times New Roman" w:cs="Times New Roman"/>
          <w:color w:val="000000" w:themeColor="text1"/>
          <w:sz w:val="24"/>
          <w:szCs w:val="24"/>
        </w:rPr>
      </w:pPr>
    </w:p>
    <w:p w14:paraId="3B98993B" w14:textId="483E8001" w:rsidR="00CB36BC" w:rsidRDefault="00CB36BC" w:rsidP="005C725E">
      <w:pPr>
        <w:spacing w:after="0" w:line="240" w:lineRule="auto"/>
        <w:ind w:firstLine="720"/>
        <w:rPr>
          <w:rFonts w:ascii="Times New Roman" w:hAnsi="Times New Roman" w:cs="Times New Roman"/>
          <w:sz w:val="24"/>
          <w:szCs w:val="24"/>
        </w:rPr>
      </w:pPr>
      <w:r w:rsidRPr="00F61E6E">
        <w:rPr>
          <w:rFonts w:ascii="Times New Roman" w:eastAsia="Times New Roman" w:hAnsi="Times New Roman" w:cs="Times New Roman"/>
          <w:color w:val="000000" w:themeColor="text1"/>
          <w:sz w:val="24"/>
          <w:szCs w:val="24"/>
        </w:rPr>
        <w:lastRenderedPageBreak/>
        <w:t>SECTION 93.</w:t>
      </w:r>
      <w:r w:rsidR="005C725E">
        <w:rPr>
          <w:rFonts w:ascii="Times New Roman" w:eastAsia="Times New Roman" w:hAnsi="Times New Roman" w:cs="Times New Roman"/>
          <w:color w:val="000000" w:themeColor="text1"/>
          <w:sz w:val="24"/>
          <w:szCs w:val="24"/>
        </w:rPr>
        <w:t xml:space="preserve"> </w:t>
      </w:r>
      <w:r w:rsidRPr="00F61E6E">
        <w:rPr>
          <w:rFonts w:ascii="Times New Roman" w:eastAsia="Times New Roman" w:hAnsi="Times New Roman" w:cs="Times New Roman"/>
          <w:color w:val="000000" w:themeColor="text1"/>
          <w:sz w:val="24"/>
          <w:szCs w:val="24"/>
        </w:rPr>
        <w:t xml:space="preserve"> </w:t>
      </w:r>
      <w:r w:rsidRPr="00F61E6E">
        <w:rPr>
          <w:rFonts w:ascii="Times New Roman" w:hAnsi="Times New Roman" w:cs="Times New Roman"/>
          <w:sz w:val="24"/>
          <w:szCs w:val="24"/>
        </w:rPr>
        <w:t>Notwithstanding any special or general law to the contrary, for fiscal year 2021, of the $9</w:t>
      </w:r>
      <w:r>
        <w:rPr>
          <w:rFonts w:ascii="Times New Roman" w:hAnsi="Times New Roman" w:cs="Times New Roman"/>
          <w:sz w:val="24"/>
          <w:szCs w:val="24"/>
        </w:rPr>
        <w:t>0</w:t>
      </w:r>
      <w:r w:rsidRPr="00F61E6E">
        <w:rPr>
          <w:rFonts w:ascii="Times New Roman" w:hAnsi="Times New Roman" w:cs="Times New Roman"/>
          <w:sz w:val="24"/>
          <w:szCs w:val="24"/>
        </w:rPr>
        <w:t>,</w:t>
      </w:r>
      <w:r>
        <w:rPr>
          <w:rFonts w:ascii="Times New Roman" w:hAnsi="Times New Roman" w:cs="Times New Roman"/>
          <w:sz w:val="24"/>
          <w:szCs w:val="24"/>
        </w:rPr>
        <w:t>5</w:t>
      </w:r>
      <w:r w:rsidRPr="00F61E6E">
        <w:rPr>
          <w:rFonts w:ascii="Times New Roman" w:hAnsi="Times New Roman" w:cs="Times New Roman"/>
          <w:sz w:val="24"/>
          <w:szCs w:val="24"/>
        </w:rPr>
        <w:t>00,000 transferred in item 1595-6370 of section 2E, $</w:t>
      </w:r>
      <w:r>
        <w:rPr>
          <w:rFonts w:ascii="Times New Roman" w:hAnsi="Times New Roman" w:cs="Times New Roman"/>
          <w:sz w:val="24"/>
          <w:szCs w:val="24"/>
        </w:rPr>
        <w:t>87</w:t>
      </w:r>
      <w:r w:rsidRPr="00F61E6E">
        <w:rPr>
          <w:rFonts w:ascii="Times New Roman" w:hAnsi="Times New Roman" w:cs="Times New Roman"/>
          <w:sz w:val="24"/>
          <w:szCs w:val="24"/>
        </w:rPr>
        <w:t>,</w:t>
      </w:r>
      <w:r>
        <w:rPr>
          <w:rFonts w:ascii="Times New Roman" w:hAnsi="Times New Roman" w:cs="Times New Roman"/>
          <w:sz w:val="24"/>
          <w:szCs w:val="24"/>
        </w:rPr>
        <w:t>0</w:t>
      </w:r>
      <w:r w:rsidRPr="00F61E6E">
        <w:rPr>
          <w:rFonts w:ascii="Times New Roman" w:hAnsi="Times New Roman" w:cs="Times New Roman"/>
          <w:sz w:val="24"/>
          <w:szCs w:val="24"/>
        </w:rPr>
        <w:t>00,000 shall be considered operating assistance and distributed to regional transit</w:t>
      </w:r>
      <w:r w:rsidR="00901F2D">
        <w:rPr>
          <w:rFonts w:ascii="Times New Roman" w:hAnsi="Times New Roman" w:cs="Times New Roman"/>
          <w:sz w:val="24"/>
          <w:szCs w:val="24"/>
        </w:rPr>
        <w:t xml:space="preserve"> </w:t>
      </w:r>
      <w:r w:rsidRPr="00F61E6E">
        <w:rPr>
          <w:rFonts w:ascii="Times New Roman" w:hAnsi="Times New Roman" w:cs="Times New Roman"/>
          <w:sz w:val="24"/>
          <w:szCs w:val="24"/>
        </w:rPr>
        <w:t>authorities based on fiscal year 2020 distributions, in accordance with the fiscal year 2020 bilateral memorandum of understanding between each regional transit authority and the Massachusetts Department of Transportation provided, however, that each regional transit authority shall receive operating assistance from this item of not less than the amount received in fiscal year 2020</w:t>
      </w:r>
      <w:r w:rsidR="00901F2D">
        <w:rPr>
          <w:rFonts w:ascii="Times New Roman" w:hAnsi="Times New Roman" w:cs="Times New Roman"/>
          <w:sz w:val="24"/>
          <w:szCs w:val="24"/>
        </w:rPr>
        <w:t>.</w:t>
      </w:r>
      <w:r w:rsidRPr="00F61E6E">
        <w:rPr>
          <w:rFonts w:ascii="Times New Roman" w:hAnsi="Times New Roman" w:cs="Times New Roman"/>
          <w:sz w:val="24"/>
          <w:szCs w:val="24"/>
        </w:rPr>
        <w:t xml:space="preserve"> </w:t>
      </w:r>
      <w:r w:rsidR="005C725E">
        <w:rPr>
          <w:rFonts w:ascii="Times New Roman" w:hAnsi="Times New Roman" w:cs="Times New Roman"/>
          <w:sz w:val="24"/>
          <w:szCs w:val="24"/>
        </w:rPr>
        <w:t xml:space="preserve"> </w:t>
      </w:r>
      <w:r w:rsidRPr="00F61E6E">
        <w:rPr>
          <w:rFonts w:ascii="Times New Roman" w:hAnsi="Times New Roman" w:cs="Times New Roman"/>
          <w:sz w:val="24"/>
          <w:szCs w:val="24"/>
        </w:rPr>
        <w:t>The operating assistance amount shall be spent to advance the goals and targets in</w:t>
      </w:r>
      <w:r w:rsidR="00D77C65">
        <w:rPr>
          <w:rFonts w:ascii="Times New Roman" w:hAnsi="Times New Roman" w:cs="Times New Roman"/>
          <w:sz w:val="24"/>
          <w:szCs w:val="24"/>
        </w:rPr>
        <w:t xml:space="preserve"> </w:t>
      </w:r>
      <w:r w:rsidRPr="00F61E6E">
        <w:rPr>
          <w:rFonts w:ascii="Times New Roman" w:hAnsi="Times New Roman" w:cs="Times New Roman"/>
          <w:sz w:val="24"/>
          <w:szCs w:val="24"/>
        </w:rPr>
        <w:t>the fiscal year 2020 bilateral memorandum of understanding between each regional transit authority and the department.</w:t>
      </w:r>
    </w:p>
    <w:p w14:paraId="7EEDF6E3" w14:textId="77777777" w:rsidR="005C725E" w:rsidRPr="00F61E6E" w:rsidRDefault="005C725E" w:rsidP="005C725E">
      <w:pPr>
        <w:spacing w:after="0" w:line="240" w:lineRule="auto"/>
        <w:ind w:firstLine="720"/>
        <w:rPr>
          <w:rFonts w:ascii="Times New Roman" w:hAnsi="Times New Roman" w:cs="Times New Roman"/>
          <w:sz w:val="24"/>
          <w:szCs w:val="24"/>
        </w:rPr>
      </w:pPr>
    </w:p>
    <w:p w14:paraId="44E6796E" w14:textId="781010D8" w:rsidR="005C725E" w:rsidRDefault="00CB36BC" w:rsidP="005C725E">
      <w:pPr>
        <w:spacing w:after="0" w:line="240" w:lineRule="auto"/>
        <w:ind w:firstLine="720"/>
        <w:rPr>
          <w:rFonts w:ascii="Times New Roman" w:hAnsi="Times New Roman" w:cs="Times New Roman"/>
          <w:sz w:val="24"/>
          <w:szCs w:val="24"/>
        </w:rPr>
      </w:pPr>
      <w:r w:rsidRPr="00F61E6E">
        <w:rPr>
          <w:rFonts w:ascii="Times New Roman" w:hAnsi="Times New Roman" w:cs="Times New Roman"/>
          <w:sz w:val="24"/>
          <w:szCs w:val="24"/>
        </w:rPr>
        <w:t xml:space="preserve">Of the amount to be distributed under item 1595-6370 of section 2E, $3,500,000 shall be distributed as performance grants to regional transit authorities. </w:t>
      </w:r>
      <w:r w:rsidR="005C725E">
        <w:rPr>
          <w:rFonts w:ascii="Times New Roman" w:hAnsi="Times New Roman" w:cs="Times New Roman"/>
          <w:sz w:val="24"/>
          <w:szCs w:val="24"/>
        </w:rPr>
        <w:t xml:space="preserve"> </w:t>
      </w:r>
      <w:r w:rsidRPr="00F61E6E">
        <w:rPr>
          <w:rFonts w:ascii="Times New Roman" w:hAnsi="Times New Roman" w:cs="Times New Roman"/>
          <w:sz w:val="24"/>
          <w:szCs w:val="24"/>
        </w:rPr>
        <w:t xml:space="preserve">The performance grants shall be distributed to regional transit authorities that best demonstrate compliance with, or a commitment to, the service decisions, quality of service and environmental sustainability recommendations from the report of the task force on regional transit authority performance and funding established pursuant to section 72 of chapter 154 of the acts of 2018. </w:t>
      </w:r>
      <w:r w:rsidR="005C725E">
        <w:rPr>
          <w:rFonts w:ascii="Times New Roman" w:hAnsi="Times New Roman" w:cs="Times New Roman"/>
          <w:sz w:val="24"/>
          <w:szCs w:val="24"/>
        </w:rPr>
        <w:t xml:space="preserve"> </w:t>
      </w:r>
      <w:r w:rsidRPr="00F61E6E">
        <w:rPr>
          <w:rFonts w:ascii="Times New Roman" w:hAnsi="Times New Roman" w:cs="Times New Roman"/>
          <w:sz w:val="24"/>
          <w:szCs w:val="24"/>
        </w:rPr>
        <w:t xml:space="preserve">The department may require each regional transit authority to provide data on ridership, customer service and satisfaction, asset management and financial performance, including farebox recovery, and shall compile any collected data into a report on the performance of regional transit authorities and each authority's progress toward meeting the performance metrics established in the memorandum of understanding. </w:t>
      </w:r>
      <w:r w:rsidR="005C725E">
        <w:rPr>
          <w:rFonts w:ascii="Times New Roman" w:hAnsi="Times New Roman" w:cs="Times New Roman"/>
          <w:sz w:val="24"/>
          <w:szCs w:val="24"/>
        </w:rPr>
        <w:t xml:space="preserve"> </w:t>
      </w:r>
      <w:r w:rsidRPr="00F61E6E">
        <w:rPr>
          <w:rFonts w:ascii="Times New Roman" w:hAnsi="Times New Roman" w:cs="Times New Roman"/>
          <w:sz w:val="24"/>
          <w:szCs w:val="24"/>
        </w:rPr>
        <w:t xml:space="preserve">The report shall be filed with the clerks of the senate and house of representatives, the senate and house committees on ways and means and the joint committee on transportation not later than </w:t>
      </w:r>
      <w:r>
        <w:rPr>
          <w:rFonts w:ascii="Times New Roman" w:hAnsi="Times New Roman" w:cs="Times New Roman"/>
          <w:sz w:val="24"/>
          <w:szCs w:val="24"/>
        </w:rPr>
        <w:t>December</w:t>
      </w:r>
      <w:r w:rsidRPr="00F61E6E">
        <w:rPr>
          <w:rFonts w:ascii="Times New Roman" w:hAnsi="Times New Roman" w:cs="Times New Roman"/>
          <w:sz w:val="24"/>
          <w:szCs w:val="24"/>
        </w:rPr>
        <w:t xml:space="preserve"> 31, 2021.</w:t>
      </w:r>
    </w:p>
    <w:p w14:paraId="55B5D7EA" w14:textId="09CA1B60" w:rsidR="005C725E" w:rsidRDefault="005C725E" w:rsidP="005C725E">
      <w:pPr>
        <w:spacing w:after="0" w:line="240" w:lineRule="auto"/>
        <w:rPr>
          <w:rFonts w:ascii="Times New Roman" w:hAnsi="Times New Roman" w:cs="Times New Roman"/>
          <w:sz w:val="24"/>
          <w:szCs w:val="24"/>
        </w:rPr>
      </w:pPr>
    </w:p>
    <w:p w14:paraId="2988D77E" w14:textId="77777777" w:rsidR="005C725E" w:rsidRDefault="005C725E" w:rsidP="005C725E">
      <w:pPr>
        <w:spacing w:after="0" w:line="240" w:lineRule="auto"/>
        <w:rPr>
          <w:rFonts w:ascii="Times New Roman" w:hAnsi="Times New Roman" w:cs="Times New Roman"/>
          <w:sz w:val="24"/>
          <w:szCs w:val="24"/>
        </w:rPr>
      </w:pPr>
    </w:p>
    <w:p w14:paraId="0A74EA58" w14:textId="1CC69836" w:rsidR="00A43A6B" w:rsidRPr="005C725E" w:rsidRDefault="005C725E" w:rsidP="005C725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43A6B">
        <w:tab/>
      </w:r>
      <w:r w:rsidR="00A43A6B">
        <w:tab/>
      </w:r>
      <w:r w:rsidR="00A43A6B">
        <w:rPr>
          <w:rFonts w:ascii="Times New Roman" w:hAnsi="Times New Roman"/>
          <w:sz w:val="24"/>
          <w:szCs w:val="24"/>
        </w:rPr>
        <w:t>Respectfully submitted,</w:t>
      </w:r>
    </w:p>
    <w:p w14:paraId="424EDB08" w14:textId="77777777" w:rsidR="00A43A6B" w:rsidRDefault="00A43A6B" w:rsidP="005C725E">
      <w:pPr>
        <w:pStyle w:val="NoSpacing"/>
        <w:ind w:left="4320" w:firstLine="720"/>
        <w:rPr>
          <w:rFonts w:ascii="Times New Roman" w:hAnsi="Times New Roman"/>
          <w:sz w:val="24"/>
          <w:szCs w:val="24"/>
        </w:rPr>
      </w:pPr>
    </w:p>
    <w:p w14:paraId="66358A0F" w14:textId="77777777" w:rsidR="00A43A6B" w:rsidRDefault="00A43A6B" w:rsidP="005C725E">
      <w:pPr>
        <w:pStyle w:val="NoSpacing"/>
        <w:ind w:left="4320" w:firstLine="720"/>
        <w:rPr>
          <w:rFonts w:ascii="Times New Roman" w:hAnsi="Times New Roman"/>
          <w:sz w:val="24"/>
          <w:szCs w:val="24"/>
        </w:rPr>
      </w:pPr>
    </w:p>
    <w:p w14:paraId="2EFE5E95" w14:textId="77777777" w:rsidR="00A43A6B" w:rsidRDefault="00A43A6B" w:rsidP="005C725E">
      <w:pPr>
        <w:pStyle w:val="NoSpacing"/>
        <w:ind w:left="4320" w:firstLine="720"/>
        <w:rPr>
          <w:rFonts w:ascii="Times New Roman" w:hAnsi="Times New Roman"/>
          <w:sz w:val="24"/>
          <w:szCs w:val="24"/>
        </w:rPr>
      </w:pPr>
    </w:p>
    <w:p w14:paraId="6F7F3AA4" w14:textId="77777777" w:rsidR="00A43A6B" w:rsidRPr="00A43A6B" w:rsidRDefault="00A43A6B" w:rsidP="005C725E">
      <w:pPr>
        <w:pStyle w:val="NoSpacing"/>
        <w:ind w:left="4320" w:firstLine="720"/>
        <w:rPr>
          <w:rFonts w:ascii="Times New Roman" w:hAnsi="Times New Roman"/>
          <w:sz w:val="24"/>
          <w:szCs w:val="24"/>
        </w:rPr>
      </w:pPr>
      <w:r w:rsidRPr="00A43A6B">
        <w:rPr>
          <w:rFonts w:ascii="Times New Roman" w:hAnsi="Times New Roman"/>
          <w:sz w:val="24"/>
          <w:szCs w:val="24"/>
        </w:rPr>
        <w:t>Charles D. Baker</w:t>
      </w:r>
    </w:p>
    <w:p w14:paraId="0DF30A79" w14:textId="20C18DC4" w:rsidR="000D5AD9" w:rsidRPr="005C725E" w:rsidRDefault="00A43A6B" w:rsidP="005C725E">
      <w:pPr>
        <w:spacing w:after="0" w:line="240" w:lineRule="auto"/>
        <w:ind w:left="720"/>
        <w:rPr>
          <w:rFonts w:ascii="Times New Roman" w:hAnsi="Times New Roman" w:cs="Times New Roman"/>
          <w:sz w:val="24"/>
          <w:szCs w:val="24"/>
        </w:rPr>
      </w:pPr>
      <w:r w:rsidRPr="00A43A6B">
        <w:rPr>
          <w:rFonts w:ascii="Times New Roman" w:hAnsi="Times New Roman" w:cs="Times New Roman"/>
          <w:sz w:val="24"/>
          <w:szCs w:val="24"/>
        </w:rPr>
        <w:tab/>
      </w:r>
      <w:r w:rsidRPr="00A43A6B">
        <w:rPr>
          <w:rFonts w:ascii="Times New Roman" w:hAnsi="Times New Roman" w:cs="Times New Roman"/>
          <w:sz w:val="24"/>
          <w:szCs w:val="24"/>
        </w:rPr>
        <w:tab/>
      </w:r>
      <w:r w:rsidRPr="00A43A6B">
        <w:rPr>
          <w:rFonts w:ascii="Times New Roman" w:hAnsi="Times New Roman" w:cs="Times New Roman"/>
          <w:sz w:val="24"/>
          <w:szCs w:val="24"/>
        </w:rPr>
        <w:tab/>
      </w:r>
      <w:r w:rsidRPr="00A43A6B">
        <w:rPr>
          <w:rFonts w:ascii="Times New Roman" w:hAnsi="Times New Roman" w:cs="Times New Roman"/>
          <w:sz w:val="24"/>
          <w:szCs w:val="24"/>
        </w:rPr>
        <w:tab/>
      </w:r>
      <w:r w:rsidRPr="00A43A6B">
        <w:rPr>
          <w:rFonts w:ascii="Times New Roman" w:hAnsi="Times New Roman" w:cs="Times New Roman"/>
          <w:sz w:val="24"/>
          <w:szCs w:val="24"/>
        </w:rPr>
        <w:tab/>
      </w:r>
      <w:r w:rsidRPr="00A43A6B">
        <w:rPr>
          <w:rFonts w:ascii="Times New Roman" w:hAnsi="Times New Roman" w:cs="Times New Roman"/>
          <w:sz w:val="24"/>
          <w:szCs w:val="24"/>
        </w:rPr>
        <w:tab/>
        <w:t>Governor</w:t>
      </w:r>
    </w:p>
    <w:sectPr w:rsidR="000D5AD9" w:rsidRPr="005C725E" w:rsidSect="00711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BC"/>
    <w:rsid w:val="000355F6"/>
    <w:rsid w:val="00095059"/>
    <w:rsid w:val="00310076"/>
    <w:rsid w:val="005C725E"/>
    <w:rsid w:val="0062476D"/>
    <w:rsid w:val="00711812"/>
    <w:rsid w:val="007463A9"/>
    <w:rsid w:val="00797027"/>
    <w:rsid w:val="007B0D56"/>
    <w:rsid w:val="00901F2D"/>
    <w:rsid w:val="009633A4"/>
    <w:rsid w:val="009E7106"/>
    <w:rsid w:val="00A43A6B"/>
    <w:rsid w:val="00B1199A"/>
    <w:rsid w:val="00B46671"/>
    <w:rsid w:val="00B85E63"/>
    <w:rsid w:val="00C20DBA"/>
    <w:rsid w:val="00CB36BC"/>
    <w:rsid w:val="00D32B3B"/>
    <w:rsid w:val="00D77C65"/>
    <w:rsid w:val="00E3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C2A7"/>
  <w15:chartTrackingRefBased/>
  <w15:docId w15:val="{3390C712-3497-485E-9BBB-8B624F45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36BC"/>
    <w:rPr>
      <w:sz w:val="16"/>
      <w:szCs w:val="16"/>
    </w:rPr>
  </w:style>
  <w:style w:type="paragraph" w:styleId="CommentText">
    <w:name w:val="annotation text"/>
    <w:basedOn w:val="Normal"/>
    <w:link w:val="CommentTextChar"/>
    <w:uiPriority w:val="99"/>
    <w:semiHidden/>
    <w:unhideWhenUsed/>
    <w:rsid w:val="00CB36BC"/>
    <w:pPr>
      <w:spacing w:line="240" w:lineRule="auto"/>
    </w:pPr>
    <w:rPr>
      <w:sz w:val="20"/>
      <w:szCs w:val="20"/>
    </w:rPr>
  </w:style>
  <w:style w:type="character" w:customStyle="1" w:styleId="CommentTextChar">
    <w:name w:val="Comment Text Char"/>
    <w:basedOn w:val="DefaultParagraphFont"/>
    <w:link w:val="CommentText"/>
    <w:uiPriority w:val="99"/>
    <w:semiHidden/>
    <w:rsid w:val="00CB36BC"/>
    <w:rPr>
      <w:sz w:val="20"/>
      <w:szCs w:val="20"/>
    </w:rPr>
  </w:style>
  <w:style w:type="paragraph" w:styleId="CommentSubject">
    <w:name w:val="annotation subject"/>
    <w:basedOn w:val="CommentText"/>
    <w:next w:val="CommentText"/>
    <w:link w:val="CommentSubjectChar"/>
    <w:uiPriority w:val="99"/>
    <w:semiHidden/>
    <w:unhideWhenUsed/>
    <w:rsid w:val="00CB36BC"/>
    <w:rPr>
      <w:b/>
      <w:bCs/>
    </w:rPr>
  </w:style>
  <w:style w:type="character" w:customStyle="1" w:styleId="CommentSubjectChar">
    <w:name w:val="Comment Subject Char"/>
    <w:basedOn w:val="CommentTextChar"/>
    <w:link w:val="CommentSubject"/>
    <w:uiPriority w:val="99"/>
    <w:semiHidden/>
    <w:rsid w:val="00CB36BC"/>
    <w:rPr>
      <w:b/>
      <w:bCs/>
      <w:sz w:val="20"/>
      <w:szCs w:val="20"/>
    </w:rPr>
  </w:style>
  <w:style w:type="paragraph" w:styleId="BalloonText">
    <w:name w:val="Balloon Text"/>
    <w:basedOn w:val="Normal"/>
    <w:link w:val="BalloonTextChar"/>
    <w:uiPriority w:val="99"/>
    <w:semiHidden/>
    <w:unhideWhenUsed/>
    <w:rsid w:val="00CB3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6BC"/>
    <w:rPr>
      <w:rFonts w:ascii="Segoe UI" w:hAnsi="Segoe UI" w:cs="Segoe UI"/>
      <w:sz w:val="18"/>
      <w:szCs w:val="18"/>
    </w:rPr>
  </w:style>
  <w:style w:type="paragraph" w:styleId="NoSpacing">
    <w:name w:val="No Spacing"/>
    <w:uiPriority w:val="1"/>
    <w:qFormat/>
    <w:rsid w:val="00A43A6B"/>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762018">
      <w:bodyDiv w:val="1"/>
      <w:marLeft w:val="0"/>
      <w:marRight w:val="0"/>
      <w:marTop w:val="0"/>
      <w:marBottom w:val="0"/>
      <w:divBdr>
        <w:top w:val="none" w:sz="0" w:space="0" w:color="auto"/>
        <w:left w:val="none" w:sz="0" w:space="0" w:color="auto"/>
        <w:bottom w:val="none" w:sz="0" w:space="0" w:color="auto"/>
        <w:right w:val="none" w:sz="0" w:space="0" w:color="auto"/>
      </w:divBdr>
    </w:div>
    <w:div w:id="167615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3500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Lynch, Patrick E. (A&amp;F)</cp:lastModifiedBy>
  <cp:revision>2</cp:revision>
  <dcterms:created xsi:type="dcterms:W3CDTF">2020-12-11T17:41:00Z</dcterms:created>
  <dcterms:modified xsi:type="dcterms:W3CDTF">2020-12-11T17:41:00Z</dcterms:modified>
</cp:coreProperties>
</file>