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FF2C" w14:textId="52B9A6B5" w:rsidR="00C62F5C" w:rsidRDefault="00C62F5C" w:rsidP="00344A37">
      <w:pPr>
        <w:pStyle w:val="Heading1"/>
        <w:spacing w:before="76" w:after="0"/>
        <w:ind w:left="0"/>
        <w:jc w:val="center"/>
      </w:pPr>
      <w:r>
        <w:t xml:space="preserve">Attachment </w:t>
      </w:r>
      <w:r w:rsidR="27962683">
        <w:t>L</w:t>
      </w:r>
    </w:p>
    <w:p w14:paraId="299E00BA" w14:textId="54B608C6" w:rsidR="00C62F5C" w:rsidRDefault="00C62F5C" w:rsidP="00C73D74">
      <w:pPr>
        <w:pStyle w:val="Heading2"/>
      </w:pPr>
      <w:r w:rsidRPr="2D5AAECD">
        <w:t xml:space="preserve">Pricing </w:t>
      </w:r>
      <w:r w:rsidR="00344A37">
        <w:t>M</w:t>
      </w:r>
      <w:r w:rsidRPr="2D5AAECD">
        <w:t>ethodology for A</w:t>
      </w:r>
      <w:r w:rsidR="00344A37">
        <w:t>ccountable Care Organizations (A</w:t>
      </w:r>
      <w:r w:rsidRPr="2D5AAECD">
        <w:t>COs</w:t>
      </w:r>
      <w:r w:rsidR="00344A37">
        <w:t>)</w:t>
      </w:r>
      <w:r w:rsidRPr="2D5AAECD">
        <w:t xml:space="preserve"> and M</w:t>
      </w:r>
      <w:r w:rsidR="00344A37">
        <w:t>anaged Care Organizations (M</w:t>
      </w:r>
      <w:r w:rsidRPr="2D5AAECD">
        <w:t>COs</w:t>
      </w:r>
      <w:r w:rsidR="00344A37">
        <w:t>)</w:t>
      </w:r>
    </w:p>
    <w:p w14:paraId="0A37501D" w14:textId="77777777" w:rsidR="00C62F5C" w:rsidRDefault="00C62F5C" w:rsidP="00C62F5C">
      <w:pPr>
        <w:pStyle w:val="BodyText"/>
        <w:spacing w:before="7"/>
        <w:rPr>
          <w:b/>
          <w:sz w:val="21"/>
        </w:rPr>
      </w:pPr>
    </w:p>
    <w:p w14:paraId="20D7806D" w14:textId="77777777" w:rsidR="00C62F5C" w:rsidRDefault="00C62F5C" w:rsidP="00C73D74">
      <w:pPr>
        <w:rPr>
          <w:i/>
          <w:sz w:val="24"/>
        </w:rPr>
      </w:pPr>
      <w:r>
        <w:rPr>
          <w:i/>
          <w:sz w:val="24"/>
        </w:rPr>
        <w:t>The Commonwealth may modify this Attachment with the approval of CMS without amending the STCs.</w:t>
      </w:r>
    </w:p>
    <w:p w14:paraId="5DAB6C7B" w14:textId="77777777" w:rsidR="00C62F5C" w:rsidRDefault="00C62F5C" w:rsidP="00C62F5C">
      <w:pPr>
        <w:pStyle w:val="BodyText"/>
        <w:spacing w:before="4"/>
        <w:rPr>
          <w:i/>
        </w:rPr>
      </w:pPr>
    </w:p>
    <w:p w14:paraId="02EB378F" w14:textId="14EBFC89" w:rsidR="00C62F5C" w:rsidRPr="00B83877" w:rsidRDefault="00C62F5C" w:rsidP="00492F98">
      <w:pPr>
        <w:pStyle w:val="Heading1"/>
        <w:numPr>
          <w:ilvl w:val="0"/>
          <w:numId w:val="2"/>
        </w:numPr>
        <w:tabs>
          <w:tab w:val="left" w:pos="270"/>
        </w:tabs>
        <w:ind w:left="0" w:firstLine="0"/>
      </w:pPr>
      <w:r>
        <w:t>Unified approach to setting T</w:t>
      </w:r>
      <w:r w:rsidR="00344A37">
        <w:t>otal Cost of Care (T</w:t>
      </w:r>
      <w:r>
        <w:t>COC</w:t>
      </w:r>
      <w:r w:rsidR="00344A37">
        <w:t>)</w:t>
      </w:r>
      <w:r>
        <w:t xml:space="preserve"> Benchmarks for Primary Care ACOs and setting prospective Capitation Rates for </w:t>
      </w:r>
      <w:r w:rsidR="00344A37">
        <w:t>MCOs</w:t>
      </w:r>
      <w:r>
        <w:t xml:space="preserve"> and </w:t>
      </w:r>
      <w:r w:rsidR="2E197E62">
        <w:t xml:space="preserve">Accountable Care </w:t>
      </w:r>
      <w:r>
        <w:t>Partnership</w:t>
      </w:r>
      <w:r>
        <w:rPr>
          <w:spacing w:val="-9"/>
        </w:rPr>
        <w:t xml:space="preserve"> </w:t>
      </w:r>
      <w:r>
        <w:t>Plans</w:t>
      </w:r>
    </w:p>
    <w:p w14:paraId="5A39BBE3" w14:textId="3960ABDC" w:rsidR="00C62F5C" w:rsidRDefault="00C62F5C" w:rsidP="001478E2">
      <w:pPr>
        <w:pStyle w:val="BodyText"/>
        <w:spacing w:after="240"/>
        <w:ind w:right="89"/>
        <w:rPr>
          <w:sz w:val="23"/>
        </w:rPr>
      </w:pPr>
      <w:r>
        <w:t xml:space="preserve">Massachusetts will set TCOC Benchmarks </w:t>
      </w:r>
      <w:r w:rsidR="000B35EC">
        <w:t xml:space="preserve">for </w:t>
      </w:r>
      <w:r w:rsidR="008C7EDE">
        <w:t>Primary Care ACO</w:t>
      </w:r>
      <w:r w:rsidR="000B35EC">
        <w:t xml:space="preserve">s </w:t>
      </w:r>
      <w:r>
        <w:t>using a uniform methodology that aligns with the methodology for setting prospective Capitation Rates for MCOs and Accountable Care Partnership Plans</w:t>
      </w:r>
      <w:r w:rsidR="000B35EC">
        <w:t xml:space="preserve"> (Partnership Plans) (together, MCOs, Partnership Plans, and Primary Care ACOs are</w:t>
      </w:r>
      <w:r w:rsidR="00127365">
        <w:t xml:space="preserve"> Managed Care Entities</w:t>
      </w:r>
      <w:r w:rsidR="000B35EC">
        <w:t xml:space="preserve"> </w:t>
      </w:r>
      <w:r w:rsidR="00127365">
        <w:t>(</w:t>
      </w:r>
      <w:r w:rsidR="000B35EC">
        <w:t>MCEs</w:t>
      </w:r>
      <w:r w:rsidR="00127365">
        <w:t>)</w:t>
      </w:r>
      <w:r w:rsidR="000B35EC">
        <w:t>)</w:t>
      </w:r>
      <w:r>
        <w:t xml:space="preserve">. As described in STC </w:t>
      </w:r>
      <w:r w:rsidR="00C61E7B">
        <w:t>8.6</w:t>
      </w:r>
      <w:r>
        <w:t xml:space="preserve">, Partnership Plans </w:t>
      </w:r>
      <w:r w:rsidR="000B35EC">
        <w:t xml:space="preserve">and MCOs </w:t>
      </w:r>
      <w:r>
        <w:t>will be paid prospectively rated capitation payments, which are subject to annual rate</w:t>
      </w:r>
      <w:r>
        <w:rPr>
          <w:spacing w:val="-21"/>
        </w:rPr>
        <w:t xml:space="preserve"> </w:t>
      </w:r>
      <w:r>
        <w:t>certification</w:t>
      </w:r>
      <w:r w:rsidR="00227B1E">
        <w:t xml:space="preserve">, </w:t>
      </w:r>
      <w:r w:rsidR="00F83E1E">
        <w:t xml:space="preserve">and </w:t>
      </w:r>
      <w:r>
        <w:t>Primary Care ACOs will share savings and losses with the Commonwealth based on comparison between their TCOC Performance and TCOC Benchmark (i.e., their performance on managing the costs of their attributed or enrolled population). The Commonwealth may also pay Primary Care ACOs’ Participating PCPs an enhanced fee-for-service rate for coordination of the care delivered to their attributed Primary Care ACO enrolled members, which will be set forth in the Participating PCP contracts.</w:t>
      </w:r>
      <w:r w:rsidDel="000C3079">
        <w:t xml:space="preserve"> </w:t>
      </w:r>
      <w:r>
        <w:t xml:space="preserve">The TCOC benchmark (for Primary Care ACOs) or prospective Capitation Rate (for MCOs </w:t>
      </w:r>
      <w:r w:rsidR="000B35EC">
        <w:t xml:space="preserve">and </w:t>
      </w:r>
      <w:r>
        <w:t>Partnership Plans) will be developed as follows:</w:t>
      </w:r>
    </w:p>
    <w:p w14:paraId="323C1EA0" w14:textId="77777777" w:rsidR="00C62F5C" w:rsidRDefault="00C62F5C" w:rsidP="00492F98">
      <w:pPr>
        <w:pStyle w:val="ListParagraph"/>
        <w:ind w:right="270"/>
      </w:pPr>
      <w:r>
        <w:t>A benchmark or rate will be developed for each individual rate cell, where a rate cell</w:t>
      </w:r>
      <w:r>
        <w:rPr>
          <w:spacing w:val="-19"/>
        </w:rPr>
        <w:t xml:space="preserve"> </w:t>
      </w:r>
      <w:r>
        <w:t>is defined as a specific region and rating category (e.g., Rating Category I – Adults in Greater Boston</w:t>
      </w:r>
      <w:r>
        <w:rPr>
          <w:spacing w:val="-10"/>
        </w:rPr>
        <w:t xml:space="preserve"> </w:t>
      </w:r>
      <w:r>
        <w:t>Region).</w:t>
      </w:r>
    </w:p>
    <w:p w14:paraId="6B8FEF3A" w14:textId="77777777" w:rsidR="00C62F5C" w:rsidRDefault="00C62F5C" w:rsidP="00492F98">
      <w:pPr>
        <w:pStyle w:val="ListParagraph"/>
        <w:ind w:right="180"/>
      </w:pPr>
      <w:r>
        <w:t>All such benchmarks and rates will be based on a unified base dataset, which will be constructed as</w:t>
      </w:r>
      <w:r>
        <w:rPr>
          <w:spacing w:val="-6"/>
        </w:rPr>
        <w:t xml:space="preserve"> </w:t>
      </w:r>
      <w:r>
        <w:t>follows:</w:t>
      </w:r>
    </w:p>
    <w:p w14:paraId="4EF37DE4" w14:textId="16B542C1" w:rsidR="00C62F5C" w:rsidRDefault="00C62F5C" w:rsidP="00492F98">
      <w:pPr>
        <w:pStyle w:val="ListParagraph"/>
        <w:numPr>
          <w:ilvl w:val="2"/>
          <w:numId w:val="2"/>
        </w:numPr>
        <w:ind w:right="180"/>
      </w:pPr>
      <w:r>
        <w:t xml:space="preserve">Claims and encounter experience for all Managed Care-eligible lives, including members enrolled in the </w:t>
      </w:r>
      <w:r w:rsidR="000B35EC">
        <w:t>MCEs and the Primary Care Clinician (PCC) Plan</w:t>
      </w:r>
      <w:r>
        <w:t>, will be aggregated for a baseline period established annually by the Commonwealth (e.g., one to three</w:t>
      </w:r>
      <w:r>
        <w:rPr>
          <w:spacing w:val="-20"/>
        </w:rPr>
        <w:t xml:space="preserve"> </w:t>
      </w:r>
      <w:r>
        <w:t>years of the most recent available</w:t>
      </w:r>
      <w:r>
        <w:rPr>
          <w:spacing w:val="-12"/>
        </w:rPr>
        <w:t xml:space="preserve"> </w:t>
      </w:r>
      <w:r>
        <w:t>history).</w:t>
      </w:r>
    </w:p>
    <w:p w14:paraId="415C96D0" w14:textId="231CDCB2" w:rsidR="00C62F5C" w:rsidRDefault="00C62F5C" w:rsidP="00492F98">
      <w:pPr>
        <w:pStyle w:val="ListParagraph"/>
        <w:ind w:right="180"/>
      </w:pPr>
      <w:r w:rsidRPr="2D5AAECD">
        <w:t xml:space="preserve">Only </w:t>
      </w:r>
      <w:r w:rsidR="000B35EC" w:rsidRPr="2D5AAECD">
        <w:t xml:space="preserve">MCO and </w:t>
      </w:r>
      <w:r w:rsidR="1950CAFF" w:rsidRPr="2D5AAECD">
        <w:t xml:space="preserve">Accountable </w:t>
      </w:r>
      <w:r w:rsidR="000B35EC" w:rsidRPr="2D5AAECD">
        <w:t xml:space="preserve">Care Partnership Plan covered </w:t>
      </w:r>
      <w:r w:rsidRPr="2D5AAECD">
        <w:t xml:space="preserve">services </w:t>
      </w:r>
      <w:r w:rsidR="000B35EC" w:rsidRPr="2D5AAECD">
        <w:t>and Primary Care ACO TCOC included services</w:t>
      </w:r>
      <w:r w:rsidRPr="2D5AAECD">
        <w:t xml:space="preserve"> will be included in the base data.</w:t>
      </w:r>
    </w:p>
    <w:p w14:paraId="15EE3893" w14:textId="04B063A7" w:rsidR="00C62F5C" w:rsidRDefault="00C62F5C" w:rsidP="00101369">
      <w:pPr>
        <w:pStyle w:val="ListParagraph"/>
        <w:numPr>
          <w:ilvl w:val="2"/>
          <w:numId w:val="2"/>
        </w:numPr>
        <w:spacing w:before="72"/>
        <w:ind w:right="180"/>
      </w:pPr>
      <w:r w:rsidRPr="6FE28208">
        <w:t>Actual prices paid for covered services during the baseline period will be</w:t>
      </w:r>
      <w:r w:rsidRPr="00C73D74">
        <w:rPr>
          <w:spacing w:val="-19"/>
        </w:rPr>
        <w:t xml:space="preserve"> </w:t>
      </w:r>
      <w:r w:rsidRPr="4B8C3120">
        <w:t>re-priced</w:t>
      </w:r>
      <w:r w:rsidRPr="6FE28208">
        <w:t xml:space="preserve"> to reflect </w:t>
      </w:r>
      <w:r w:rsidR="2BDB07D3" w:rsidRPr="4B8C3120">
        <w:t>MassHealth FFS rates</w:t>
      </w:r>
      <w:r w:rsidRPr="6FE28208">
        <w:t xml:space="preserve"> for those services. The methodology used</w:t>
      </w:r>
      <w:r w:rsidRPr="00C73D74">
        <w:rPr>
          <w:spacing w:val="-18"/>
        </w:rPr>
        <w:t xml:space="preserve"> </w:t>
      </w:r>
      <w:r w:rsidRPr="6FE28208">
        <w:t>to</w:t>
      </w:r>
      <w:r w:rsidR="00C73D74">
        <w:t xml:space="preserve"> </w:t>
      </w:r>
      <w:r>
        <w:t xml:space="preserve">re-price services delivered during the base period will be developed by the Commonwealth and </w:t>
      </w:r>
      <w:r w:rsidR="31B10A62">
        <w:t xml:space="preserve">be included in the ACPP and MCO rate certifications submitted to </w:t>
      </w:r>
      <w:r>
        <w:t>CMS.</w:t>
      </w:r>
    </w:p>
    <w:p w14:paraId="548E794C" w14:textId="77777777" w:rsidR="00C62F5C" w:rsidRDefault="00C62F5C" w:rsidP="00492F98">
      <w:pPr>
        <w:pStyle w:val="ListParagraph"/>
        <w:ind w:right="180"/>
      </w:pPr>
      <w:r>
        <w:t>For each rate cell, actuarial methods will be applied to the base dataset to estimate</w:t>
      </w:r>
      <w:r>
        <w:rPr>
          <w:spacing w:val="-21"/>
        </w:rPr>
        <w:t xml:space="preserve"> </w:t>
      </w:r>
      <w:r>
        <w:t>the average per-member per-month total cost of care (“market-rate TCOC”). Actuarial adjustments could account for factors such as, but not limited to, the</w:t>
      </w:r>
      <w:r>
        <w:rPr>
          <w:spacing w:val="-18"/>
        </w:rPr>
        <w:t xml:space="preserve"> </w:t>
      </w:r>
      <w:r>
        <w:t>following:</w:t>
      </w:r>
    </w:p>
    <w:p w14:paraId="2E48F834" w14:textId="34351C25" w:rsidR="00C62F5C" w:rsidRPr="00AE56F5" w:rsidRDefault="00C62F5C" w:rsidP="00492F98">
      <w:pPr>
        <w:pStyle w:val="ListParagraph"/>
        <w:numPr>
          <w:ilvl w:val="2"/>
          <w:numId w:val="2"/>
        </w:numPr>
        <w:ind w:right="180"/>
      </w:pPr>
      <w:r w:rsidRPr="00AE56F5">
        <w:t>Changes in member risk and enrollment</w:t>
      </w:r>
      <w:r w:rsidR="001478E2">
        <w:t>.</w:t>
      </w:r>
    </w:p>
    <w:p w14:paraId="3E455B6A" w14:textId="043D06A8" w:rsidR="00C62F5C" w:rsidRPr="00AE56F5" w:rsidRDefault="00C62F5C" w:rsidP="00AE56F5">
      <w:pPr>
        <w:pStyle w:val="ListParagraph"/>
        <w:numPr>
          <w:ilvl w:val="2"/>
          <w:numId w:val="2"/>
        </w:numPr>
      </w:pPr>
      <w:r w:rsidRPr="00AE56F5">
        <w:t xml:space="preserve">Completion for incurred but not reported encounters in the base </w:t>
      </w:r>
      <w:r w:rsidR="001478E2" w:rsidRPr="00AE56F5">
        <w:t>data.</w:t>
      </w:r>
    </w:p>
    <w:p w14:paraId="7C6243A2" w14:textId="74858B5C" w:rsidR="00C62F5C" w:rsidRPr="00AE56F5" w:rsidRDefault="00C62F5C" w:rsidP="00492F98">
      <w:pPr>
        <w:pStyle w:val="ListParagraph"/>
        <w:numPr>
          <w:ilvl w:val="2"/>
          <w:numId w:val="2"/>
        </w:numPr>
        <w:ind w:right="180"/>
      </w:pPr>
      <w:r w:rsidRPr="00AE56F5">
        <w:t xml:space="preserve">Anticipated program changes between the base period and the performance </w:t>
      </w:r>
      <w:r w:rsidRPr="00AE56F5">
        <w:lastRenderedPageBreak/>
        <w:t>period</w:t>
      </w:r>
      <w:r w:rsidR="001478E2">
        <w:t>.</w:t>
      </w:r>
    </w:p>
    <w:p w14:paraId="077475CC" w14:textId="4240330C" w:rsidR="00C62F5C" w:rsidRPr="00AE56F5" w:rsidRDefault="00C62F5C" w:rsidP="00492F98">
      <w:pPr>
        <w:pStyle w:val="ListParagraph"/>
        <w:numPr>
          <w:ilvl w:val="2"/>
          <w:numId w:val="2"/>
        </w:numPr>
        <w:ind w:right="180"/>
      </w:pPr>
      <w:r w:rsidRPr="00AE56F5">
        <w:t>Cost and utilization trends from the base period to the performance period</w:t>
      </w:r>
      <w:r w:rsidR="001478E2">
        <w:t>.</w:t>
      </w:r>
    </w:p>
    <w:p w14:paraId="021458E8" w14:textId="33F3191E" w:rsidR="00C62F5C" w:rsidRPr="00AE56F5" w:rsidRDefault="00C62F5C" w:rsidP="00492F98">
      <w:pPr>
        <w:pStyle w:val="ListParagraph"/>
        <w:numPr>
          <w:ilvl w:val="2"/>
          <w:numId w:val="2"/>
        </w:numPr>
        <w:ind w:right="180"/>
      </w:pPr>
      <w:r w:rsidRPr="00AE56F5">
        <w:t>Other adjustments as appropriate</w:t>
      </w:r>
      <w:r w:rsidR="001478E2">
        <w:t>.</w:t>
      </w:r>
    </w:p>
    <w:p w14:paraId="0651DA26" w14:textId="57C3956C" w:rsidR="00C62F5C" w:rsidRDefault="00C62F5C" w:rsidP="00492F98">
      <w:pPr>
        <w:pStyle w:val="ListParagraph"/>
        <w:ind w:right="180"/>
      </w:pPr>
      <w:r w:rsidRPr="3BCE8CC6">
        <w:t xml:space="preserve">This market-rate TCOC will be consistent across all </w:t>
      </w:r>
      <w:r w:rsidR="008C7EDE">
        <w:t>MCEs</w:t>
      </w:r>
      <w:r w:rsidR="00007C07">
        <w:t xml:space="preserve"> </w:t>
      </w:r>
      <w:r w:rsidRPr="3BCE8CC6">
        <w:t>within each</w:t>
      </w:r>
      <w:r w:rsidRPr="3BCE8CC6">
        <w:rPr>
          <w:spacing w:val="-22"/>
        </w:rPr>
        <w:t xml:space="preserve"> </w:t>
      </w:r>
      <w:r w:rsidRPr="3BCE8CC6">
        <w:t xml:space="preserve">rate cell, and will be incorporated into the final benchmarks and rates, along with the Network </w:t>
      </w:r>
      <w:r w:rsidR="00B9133B">
        <w:t>Variance</w:t>
      </w:r>
      <w:r w:rsidR="00B9133B" w:rsidRPr="3BCE8CC6">
        <w:t xml:space="preserve"> </w:t>
      </w:r>
      <w:r w:rsidRPr="3BCE8CC6">
        <w:t>factor as described in the following</w:t>
      </w:r>
      <w:r w:rsidRPr="3BCE8CC6">
        <w:rPr>
          <w:spacing w:val="-18"/>
        </w:rPr>
        <w:t xml:space="preserve"> </w:t>
      </w:r>
      <w:r w:rsidRPr="3BCE8CC6">
        <w:t>section.</w:t>
      </w:r>
    </w:p>
    <w:p w14:paraId="72A3D3EC" w14:textId="77777777" w:rsidR="00C62F5C" w:rsidRDefault="00C62F5C" w:rsidP="00C62F5C">
      <w:pPr>
        <w:pStyle w:val="BodyText"/>
        <w:spacing w:before="4"/>
      </w:pPr>
    </w:p>
    <w:p w14:paraId="0D0B940D" w14:textId="05482296" w:rsidR="00C62F5C" w:rsidRPr="00AE56F5" w:rsidRDefault="00C62F5C" w:rsidP="00492F98">
      <w:pPr>
        <w:pStyle w:val="Heading1"/>
        <w:numPr>
          <w:ilvl w:val="0"/>
          <w:numId w:val="2"/>
        </w:numPr>
        <w:tabs>
          <w:tab w:val="left" w:pos="270"/>
        </w:tabs>
        <w:ind w:left="0" w:firstLine="0"/>
      </w:pPr>
      <w:r>
        <w:t xml:space="preserve">Development and incorporation of the Network </w:t>
      </w:r>
      <w:r w:rsidR="49202DFF">
        <w:t xml:space="preserve">Variance </w:t>
      </w:r>
      <w:r>
        <w:t>Factor in TCOC Benchmarks and prospective Capitation</w:t>
      </w:r>
      <w:r>
        <w:rPr>
          <w:spacing w:val="-17"/>
        </w:rPr>
        <w:t xml:space="preserve"> </w:t>
      </w:r>
      <w:r>
        <w:t>Rates</w:t>
      </w:r>
    </w:p>
    <w:p w14:paraId="3A8E6BBC" w14:textId="76382C4F" w:rsidR="00C62F5C" w:rsidRDefault="00C62F5C" w:rsidP="00492F98">
      <w:pPr>
        <w:pStyle w:val="BodyText"/>
      </w:pPr>
      <w:r>
        <w:t xml:space="preserve">The Commonwealth will incorporate an </w:t>
      </w:r>
      <w:r w:rsidR="446E80B9">
        <w:t>MCE</w:t>
      </w:r>
      <w:r>
        <w:t xml:space="preserve">-specific Network </w:t>
      </w:r>
      <w:r w:rsidR="36F4CF17">
        <w:t xml:space="preserve">Variance </w:t>
      </w:r>
      <w:r>
        <w:t xml:space="preserve">Factor into the TCOC Benchmarks for Primary Care ACOs  and into the prospective Capitation Rates for </w:t>
      </w:r>
      <w:r w:rsidR="6747447C">
        <w:t>ACPPs and MCOs</w:t>
      </w:r>
      <w:r>
        <w:t>.</w:t>
      </w:r>
    </w:p>
    <w:p w14:paraId="0E27B00A" w14:textId="77777777" w:rsidR="00C62F5C" w:rsidRDefault="00C62F5C" w:rsidP="00492F98">
      <w:pPr>
        <w:pStyle w:val="BodyText"/>
      </w:pPr>
    </w:p>
    <w:p w14:paraId="60061E4C" w14:textId="57B7E4F2" w:rsidR="00C62F5C" w:rsidRDefault="00C62F5C" w:rsidP="001478E2">
      <w:pPr>
        <w:pStyle w:val="BodyText"/>
        <w:spacing w:after="240"/>
        <w:rPr>
          <w:sz w:val="23"/>
        </w:rPr>
      </w:pPr>
      <w:r>
        <w:t xml:space="preserve">The Commonwealth will calculate and apply the Network </w:t>
      </w:r>
      <w:r w:rsidR="290B938D">
        <w:t xml:space="preserve">Variance </w:t>
      </w:r>
      <w:r>
        <w:t xml:space="preserve">Factor for each </w:t>
      </w:r>
      <w:r w:rsidR="1E600330">
        <w:t>MCE</w:t>
      </w:r>
      <w:r>
        <w:t>, for each Performance Year, as follows:</w:t>
      </w:r>
    </w:p>
    <w:p w14:paraId="32D26F99" w14:textId="7BA448C0" w:rsidR="00C62F5C" w:rsidRDefault="00C62F5C" w:rsidP="00492F98">
      <w:pPr>
        <w:pStyle w:val="ListParagraph"/>
        <w:ind w:right="180"/>
      </w:pPr>
      <w:r w:rsidRPr="00AE56F5">
        <w:t xml:space="preserve">The Network </w:t>
      </w:r>
      <w:r w:rsidR="7EA1DD80" w:rsidRPr="00AE56F5">
        <w:t xml:space="preserve">Variance </w:t>
      </w:r>
      <w:r w:rsidRPr="00AE56F5">
        <w:t>Factor will</w:t>
      </w:r>
      <w:r w:rsidRPr="689A2FB3">
        <w:t xml:space="preserve"> equal the </w:t>
      </w:r>
      <w:r w:rsidR="57B0EAD7" w:rsidRPr="689A2FB3">
        <w:t>MCE’</w:t>
      </w:r>
      <w:r w:rsidRPr="689A2FB3">
        <w:t xml:space="preserve">s </w:t>
      </w:r>
      <w:r w:rsidR="00EE6191">
        <w:t>projected</w:t>
      </w:r>
      <w:r w:rsidR="009731F8" w:rsidRPr="689A2FB3">
        <w:t xml:space="preserve"> </w:t>
      </w:r>
      <w:r w:rsidRPr="689A2FB3">
        <w:t>TCOC divided by the market</w:t>
      </w:r>
      <w:r w:rsidR="00EE6191">
        <w:t xml:space="preserve"> projected</w:t>
      </w:r>
      <w:r w:rsidR="004B7EDC">
        <w:t xml:space="preserve"> </w:t>
      </w:r>
      <w:r w:rsidRPr="689A2FB3">
        <w:t xml:space="preserve">TCOC, after applying adjustments for each </w:t>
      </w:r>
      <w:r w:rsidR="4AD5171D" w:rsidRPr="689A2FB3">
        <w:t xml:space="preserve">MCE’s </w:t>
      </w:r>
      <w:r w:rsidRPr="689A2FB3">
        <w:t>member mix across rate cells and member</w:t>
      </w:r>
      <w:r w:rsidRPr="689A2FB3">
        <w:rPr>
          <w:spacing w:val="-9"/>
        </w:rPr>
        <w:t xml:space="preserve"> </w:t>
      </w:r>
      <w:r w:rsidRPr="689A2FB3">
        <w:t>acuity.</w:t>
      </w:r>
    </w:p>
    <w:p w14:paraId="5E9D27E7" w14:textId="1BCE4C70" w:rsidR="00C62F5C" w:rsidRDefault="00C62F5C" w:rsidP="00492F98">
      <w:pPr>
        <w:pStyle w:val="ListParagraph"/>
        <w:numPr>
          <w:ilvl w:val="2"/>
          <w:numId w:val="2"/>
        </w:numPr>
        <w:ind w:right="180"/>
      </w:pPr>
      <w:r w:rsidRPr="13A3F30D">
        <w:t xml:space="preserve">For each </w:t>
      </w:r>
      <w:r w:rsidR="495BE032" w:rsidRPr="13A3F30D">
        <w:t>MCE</w:t>
      </w:r>
      <w:r w:rsidRPr="13A3F30D">
        <w:t xml:space="preserve">, using a similar methodology and adjustments to those used to calculate the market-rate TCOC, the Commonwealth will develop for each rate cell an </w:t>
      </w:r>
      <w:r w:rsidR="7E5D53BD" w:rsidRPr="13A3F30D">
        <w:t>MCE’s</w:t>
      </w:r>
      <w:r w:rsidR="00D964AD">
        <w:t xml:space="preserve"> </w:t>
      </w:r>
      <w:r w:rsidR="009731F8" w:rsidRPr="13A3F30D">
        <w:t xml:space="preserve">historic </w:t>
      </w:r>
      <w:r w:rsidRPr="13A3F30D">
        <w:t>TCOC based on the cost experience in the base period for the Managed Care eligible members attributed to primary care providers participating in the</w:t>
      </w:r>
      <w:r w:rsidRPr="13A3F30D">
        <w:rPr>
          <w:spacing w:val="-5"/>
        </w:rPr>
        <w:t xml:space="preserve"> </w:t>
      </w:r>
      <w:r w:rsidR="2F476EF0" w:rsidRPr="13A3F30D">
        <w:t>MCE</w:t>
      </w:r>
      <w:r w:rsidRPr="13A3F30D">
        <w:t>.</w:t>
      </w:r>
    </w:p>
    <w:p w14:paraId="3C771724" w14:textId="0A206AA0" w:rsidR="00C62F5C" w:rsidRDefault="00EE6191" w:rsidP="00492F98">
      <w:pPr>
        <w:pStyle w:val="ListParagraph"/>
        <w:numPr>
          <w:ilvl w:val="2"/>
          <w:numId w:val="2"/>
        </w:numPr>
        <w:ind w:right="180"/>
      </w:pPr>
      <w:r w:rsidRPr="00136DA1">
        <w:t xml:space="preserve">The Commonwealth then projects the MCE-specific costs and the market costs from the base period to the Performance Year. </w:t>
      </w:r>
      <w:r w:rsidR="00C62F5C" w:rsidRPr="00136DA1">
        <w:t xml:space="preserve">The Network </w:t>
      </w:r>
      <w:r w:rsidR="24C9702F" w:rsidRPr="00136DA1">
        <w:t xml:space="preserve">Variance </w:t>
      </w:r>
      <w:r w:rsidR="00C62F5C" w:rsidRPr="00C73D74">
        <w:t>Factor represents the variance between an</w:t>
      </w:r>
      <w:r w:rsidR="004B7EDC" w:rsidRPr="00C73D74">
        <w:t xml:space="preserve"> </w:t>
      </w:r>
      <w:r w:rsidR="0D3B799E" w:rsidRPr="00C73D74">
        <w:t>MCE’s</w:t>
      </w:r>
      <w:r w:rsidR="00D964AD" w:rsidRPr="00AE56F5">
        <w:t xml:space="preserve"> </w:t>
      </w:r>
      <w:r w:rsidRPr="00AE56F5">
        <w:t>projected</w:t>
      </w:r>
      <w:r w:rsidR="009731F8" w:rsidRPr="00AE56F5">
        <w:t xml:space="preserve"> </w:t>
      </w:r>
      <w:r w:rsidR="00C62F5C" w:rsidRPr="00AE56F5">
        <w:t xml:space="preserve">TCOC and the </w:t>
      </w:r>
      <w:r w:rsidRPr="00AE56F5">
        <w:t>market projected</w:t>
      </w:r>
      <w:r w:rsidR="00C62F5C" w:rsidRPr="00AE56F5">
        <w:t xml:space="preserve"> TCOC that cannot be explained by variation in price or </w:t>
      </w:r>
      <w:r w:rsidR="00C62F5C" w:rsidRPr="00136DA1">
        <w:t>member</w:t>
      </w:r>
      <w:r w:rsidR="00AE56F5" w:rsidRPr="00136DA1">
        <w:t xml:space="preserve"> </w:t>
      </w:r>
      <w:r w:rsidR="00C62F5C" w:rsidRPr="00136DA1">
        <w:t>risk</w:t>
      </w:r>
      <w:r w:rsidR="00570777">
        <w:t>.</w:t>
      </w:r>
    </w:p>
    <w:p w14:paraId="4B94D5A5" w14:textId="2CEA666D" w:rsidR="00C62F5C" w:rsidRPr="00664D24" w:rsidRDefault="00C62F5C" w:rsidP="00492F98">
      <w:pPr>
        <w:pStyle w:val="ListParagraph"/>
        <w:ind w:right="180"/>
      </w:pPr>
      <w:r w:rsidRPr="00AE56F5">
        <w:t xml:space="preserve">The Commonwealth will multiply each </w:t>
      </w:r>
      <w:r w:rsidR="6617F887" w:rsidRPr="00AE56F5">
        <w:t xml:space="preserve">MCE’s </w:t>
      </w:r>
      <w:r w:rsidRPr="00136DA1">
        <w:t xml:space="preserve">market-rate TCOC (after applying adjustments for each </w:t>
      </w:r>
      <w:r w:rsidR="625082E5" w:rsidRPr="00C73D74">
        <w:t xml:space="preserve">MCE’s </w:t>
      </w:r>
      <w:r w:rsidRPr="00C73D74">
        <w:t xml:space="preserve">member mix across rate cells and member acuity) by the </w:t>
      </w:r>
      <w:r w:rsidR="1E8B05C0" w:rsidRPr="00771798">
        <w:t xml:space="preserve">MCE’s </w:t>
      </w:r>
      <w:r w:rsidRPr="00771798">
        <w:t xml:space="preserve">Network </w:t>
      </w:r>
      <w:r w:rsidR="28DC4122" w:rsidRPr="00771798">
        <w:t>Variance</w:t>
      </w:r>
      <w:r w:rsidR="009731F8" w:rsidRPr="00771798">
        <w:t xml:space="preserve"> </w:t>
      </w:r>
      <w:r w:rsidRPr="00771798">
        <w:t xml:space="preserve">Factor. The Commonwealth will calculate and apply the Network </w:t>
      </w:r>
      <w:r w:rsidR="076C33C0" w:rsidRPr="00771798">
        <w:t xml:space="preserve">Variance </w:t>
      </w:r>
      <w:r w:rsidRPr="00771798">
        <w:t xml:space="preserve">Factor each year, but intends to place a decreasing weight on the Network </w:t>
      </w:r>
      <w:r w:rsidR="70A83F6E" w:rsidRPr="00771798">
        <w:t xml:space="preserve">Variance </w:t>
      </w:r>
      <w:r w:rsidRPr="00771798">
        <w:t xml:space="preserve">Factor over time. </w:t>
      </w:r>
    </w:p>
    <w:p w14:paraId="5E4F78B2" w14:textId="67788F62" w:rsidR="004E1F6F" w:rsidRPr="00C04312" w:rsidRDefault="00AC760F" w:rsidP="001478E2">
      <w:pPr>
        <w:pStyle w:val="ListParagraph"/>
        <w:ind w:right="180"/>
      </w:pPr>
      <w:r w:rsidRPr="00AE56F5">
        <w:t xml:space="preserve">Development and incorporation of </w:t>
      </w:r>
      <w:r w:rsidR="00BB1800" w:rsidRPr="00AE56F5">
        <w:t>non-</w:t>
      </w:r>
      <w:r w:rsidR="00BB1800" w:rsidRPr="00136DA1">
        <w:t>market adjustments in</w:t>
      </w:r>
      <w:r w:rsidR="00E435B5" w:rsidRPr="00473B2B">
        <w:t xml:space="preserve"> </w:t>
      </w:r>
      <w:r w:rsidRPr="00C73D74">
        <w:t>TCOC Benchmarks and prospective Capitation Rates</w:t>
      </w:r>
      <w:r w:rsidR="001478E2">
        <w:t xml:space="preserve">.  </w:t>
      </w:r>
      <w:r w:rsidR="00453C4B" w:rsidRPr="13A3F30D">
        <w:t xml:space="preserve">There will be two </w:t>
      </w:r>
      <w:r w:rsidR="00600D76">
        <w:t>adjustment</w:t>
      </w:r>
      <w:r w:rsidR="00453C4B" w:rsidRPr="13A3F30D">
        <w:t xml:space="preserve">s to the market-based standard and </w:t>
      </w:r>
      <w:r w:rsidR="4B730AE5" w:rsidRPr="13A3F30D">
        <w:t>MCE</w:t>
      </w:r>
      <w:r w:rsidR="00453C4B" w:rsidRPr="13A3F30D">
        <w:t xml:space="preserve">-specific TCOC build up described above: 1) </w:t>
      </w:r>
      <w:r w:rsidR="004E1F6F" w:rsidRPr="13A3F30D">
        <w:t xml:space="preserve">the Provider Mix Modifier </w:t>
      </w:r>
      <w:r w:rsidR="4325FA5D" w:rsidRPr="13A3F30D">
        <w:t xml:space="preserve">(relevant to all MCEs) </w:t>
      </w:r>
      <w:r w:rsidR="004E1F6F" w:rsidRPr="13A3F30D">
        <w:t>and 2) the Primary Care Sub-Capitation Program</w:t>
      </w:r>
      <w:r w:rsidR="25B9BBA1" w:rsidRPr="13A3F30D">
        <w:t xml:space="preserve"> (relevant to ACPPs and PCACOs only)</w:t>
      </w:r>
      <w:r w:rsidR="00453C4B" w:rsidRPr="13A3F30D">
        <w:t xml:space="preserve">. These adjustments will be reflected in the core medical capitation rates and TCOC benchmarks. </w:t>
      </w:r>
    </w:p>
    <w:p w14:paraId="31666217" w14:textId="101771DD" w:rsidR="004E1F6F" w:rsidRPr="00C04312" w:rsidRDefault="007F5ADB" w:rsidP="00492F98">
      <w:pPr>
        <w:pStyle w:val="ListParagraph"/>
        <w:numPr>
          <w:ilvl w:val="2"/>
          <w:numId w:val="2"/>
        </w:numPr>
        <w:ind w:right="180"/>
      </w:pPr>
      <w:r w:rsidRPr="00C04312">
        <w:t>The Provider Mix Modi</w:t>
      </w:r>
      <w:r w:rsidR="00646B95" w:rsidRPr="00C04312">
        <w:t xml:space="preserve">fier (PMM) </w:t>
      </w:r>
      <w:r w:rsidR="00600D76">
        <w:t>is a MCE-specific adjustment that reflects the unique composition of a provider’s network and the estimated impact on average payment per unit of service</w:t>
      </w:r>
      <w:r w:rsidR="001478E2">
        <w:t>.</w:t>
      </w:r>
      <w:r w:rsidR="00600D76">
        <w:t xml:space="preserve"> </w:t>
      </w:r>
    </w:p>
    <w:p w14:paraId="53128261" w14:textId="51B3E085" w:rsidR="009D4716" w:rsidRPr="00C04312" w:rsidRDefault="281D2166" w:rsidP="00492F98">
      <w:pPr>
        <w:pStyle w:val="ListParagraph"/>
        <w:numPr>
          <w:ilvl w:val="2"/>
          <w:numId w:val="2"/>
        </w:numPr>
        <w:ind w:right="180"/>
      </w:pPr>
      <w:r w:rsidRPr="4B8C3120">
        <w:t xml:space="preserve">Through the tiered </w:t>
      </w:r>
      <w:r w:rsidR="4E1EC644" w:rsidRPr="4B8C3120">
        <w:t xml:space="preserve">portion of the primary care </w:t>
      </w:r>
      <w:r w:rsidRPr="4B8C3120">
        <w:t xml:space="preserve">sub-capitation model, increased payment will be tied to enhanced care delivery expectations to catalyze ongoing improvements in primary care services. </w:t>
      </w:r>
      <w:r w:rsidR="2683B940" w:rsidRPr="4B8C3120">
        <w:t>These tiered payment</w:t>
      </w:r>
      <w:r w:rsidR="0BB4D66C" w:rsidRPr="4B8C3120">
        <w:t>s</w:t>
      </w:r>
      <w:r w:rsidR="2683B940" w:rsidRPr="4B8C3120">
        <w:t xml:space="preserve"> will be reflected in </w:t>
      </w:r>
      <w:r w:rsidR="25CBE690" w:rsidRPr="4B8C3120">
        <w:t xml:space="preserve">an </w:t>
      </w:r>
      <w:r w:rsidR="5CF01E22" w:rsidRPr="4B8C3120">
        <w:t>ACO</w:t>
      </w:r>
      <w:r w:rsidR="25CBE690" w:rsidRPr="4B8C3120">
        <w:t xml:space="preserve">-specific </w:t>
      </w:r>
      <w:r w:rsidR="72788AB2" w:rsidRPr="4B8C3120">
        <w:t>manner</w:t>
      </w:r>
      <w:r w:rsidR="63867356" w:rsidRPr="4B8C3120">
        <w:t xml:space="preserve"> when developing rates</w:t>
      </w:r>
      <w:r w:rsidR="031814E8" w:rsidRPr="4B8C3120">
        <w:t xml:space="preserve"> or benchmarks</w:t>
      </w:r>
      <w:r w:rsidR="72788AB2" w:rsidRPr="4B8C3120">
        <w:t>.</w:t>
      </w:r>
      <w:r w:rsidR="1F8F025E" w:rsidRPr="4B8C3120">
        <w:t xml:space="preserve"> </w:t>
      </w:r>
    </w:p>
    <w:sectPr w:rsidR="009D4716" w:rsidRPr="00C0431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DC0B" w14:textId="77777777" w:rsidR="0072431F" w:rsidRDefault="0072431F">
      <w:r>
        <w:separator/>
      </w:r>
    </w:p>
  </w:endnote>
  <w:endnote w:type="continuationSeparator" w:id="0">
    <w:p w14:paraId="27F33991" w14:textId="77777777" w:rsidR="0072431F" w:rsidRDefault="0072431F">
      <w:r>
        <w:continuationSeparator/>
      </w:r>
    </w:p>
  </w:endnote>
  <w:endnote w:type="continuationNotice" w:id="1">
    <w:p w14:paraId="0A34727D" w14:textId="77777777" w:rsidR="0072431F" w:rsidRDefault="00724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760A91DC" w14:textId="77777777" w:rsidR="00E33C9F" w:rsidRDefault="00E33C9F" w:rsidP="00E33C9F">
        <w:pPr>
          <w:pStyle w:val="Footer"/>
        </w:pPr>
      </w:p>
      <w:p w14:paraId="2DF30CC9" w14:textId="55E61042" w:rsidR="00E33C9F" w:rsidRPr="00EC3E40" w:rsidRDefault="00E33C9F" w:rsidP="00E33C9F">
        <w:pPr>
          <w:pStyle w:val="Footer"/>
          <w:rPr>
            <w:sz w:val="24"/>
          </w:rPr>
        </w:pPr>
        <w:r w:rsidRPr="00B65789">
          <w:rPr>
            <w:sz w:val="20"/>
            <w:szCs w:val="20"/>
          </w:rPr>
          <w:t>MassHealth Medicaid</w:t>
        </w:r>
        <w:r>
          <w:rPr>
            <w:sz w:val="20"/>
            <w:szCs w:val="20"/>
          </w:rPr>
          <w:t xml:space="preserve"> and CHIP</w:t>
        </w:r>
        <w:r w:rsidRPr="00B65789">
          <w:rPr>
            <w:sz w:val="20"/>
            <w:szCs w:val="20"/>
          </w:rPr>
          <w:t xml:space="preserve"> Section 1115 Demonstration</w:t>
        </w:r>
        <w:r>
          <w:rPr>
            <w:sz w:val="20"/>
            <w:szCs w:val="20"/>
          </w:rPr>
          <w:tab/>
        </w:r>
        <w:r w:rsidRPr="007E312A">
          <w:rPr>
            <w:sz w:val="20"/>
            <w:szCs w:val="20"/>
          </w:rPr>
          <w:t xml:space="preserve">Page </w:t>
        </w:r>
        <w:r w:rsidRPr="007E312A">
          <w:rPr>
            <w:b/>
            <w:bCs/>
            <w:sz w:val="20"/>
            <w:szCs w:val="20"/>
          </w:rPr>
          <w:fldChar w:fldCharType="begin"/>
        </w:r>
        <w:r w:rsidRPr="007E312A">
          <w:rPr>
            <w:b/>
            <w:bCs/>
            <w:sz w:val="20"/>
            <w:szCs w:val="20"/>
          </w:rPr>
          <w:instrText xml:space="preserve"> PAGE  \* Arabic  \* MERGEFORMAT </w:instrText>
        </w:r>
        <w:r w:rsidRPr="007E312A">
          <w:rPr>
            <w:b/>
            <w:bCs/>
            <w:sz w:val="20"/>
            <w:szCs w:val="20"/>
          </w:rPr>
          <w:fldChar w:fldCharType="separate"/>
        </w:r>
        <w:r>
          <w:rPr>
            <w:b/>
            <w:bCs/>
            <w:sz w:val="20"/>
            <w:szCs w:val="20"/>
          </w:rPr>
          <w:t>1</w:t>
        </w:r>
        <w:r w:rsidRPr="007E312A">
          <w:rPr>
            <w:b/>
            <w:bCs/>
            <w:sz w:val="20"/>
            <w:szCs w:val="20"/>
          </w:rPr>
          <w:fldChar w:fldCharType="end"/>
        </w:r>
        <w:r w:rsidRPr="007E312A">
          <w:rPr>
            <w:sz w:val="20"/>
            <w:szCs w:val="20"/>
          </w:rPr>
          <w:t xml:space="preserve"> of </w:t>
        </w:r>
        <w:r w:rsidRPr="007E312A">
          <w:rPr>
            <w:b/>
            <w:bCs/>
            <w:sz w:val="20"/>
            <w:szCs w:val="20"/>
          </w:rPr>
          <w:fldChar w:fldCharType="begin"/>
        </w:r>
        <w:r w:rsidRPr="007E312A">
          <w:rPr>
            <w:b/>
            <w:bCs/>
            <w:sz w:val="20"/>
            <w:szCs w:val="20"/>
          </w:rPr>
          <w:instrText xml:space="preserve"> NUMPAGES  \* Arabic  \* MERGEFORMAT </w:instrText>
        </w:r>
        <w:r w:rsidRPr="007E312A">
          <w:rPr>
            <w:b/>
            <w:bCs/>
            <w:sz w:val="20"/>
            <w:szCs w:val="20"/>
          </w:rPr>
          <w:fldChar w:fldCharType="separate"/>
        </w:r>
        <w:r>
          <w:rPr>
            <w:b/>
            <w:bCs/>
            <w:sz w:val="20"/>
            <w:szCs w:val="20"/>
          </w:rPr>
          <w:t>5</w:t>
        </w:r>
        <w:r w:rsidRPr="007E312A">
          <w:rPr>
            <w:b/>
            <w:bCs/>
            <w:sz w:val="20"/>
            <w:szCs w:val="20"/>
          </w:rPr>
          <w:fldChar w:fldCharType="end"/>
        </w:r>
      </w:p>
      <w:p w14:paraId="603E4546" w14:textId="77777777" w:rsidR="00E33C9F" w:rsidRDefault="00E33C9F" w:rsidP="00E33C9F">
        <w:pPr>
          <w:pStyle w:val="Foote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7</w:t>
        </w:r>
      </w:p>
    </w:sdtContent>
  </w:sdt>
  <w:p w14:paraId="47BA72CC" w14:textId="21AB1F34" w:rsidR="002D3E74" w:rsidRDefault="00E33C9F" w:rsidP="00E33C9F">
    <w:pPr>
      <w:pStyle w:val="BodyText"/>
      <w:spacing w:line="14" w:lineRule="auto"/>
      <w:rPr>
        <w:sz w:val="20"/>
      </w:rP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461B" w14:textId="77777777" w:rsidR="0072431F" w:rsidRDefault="0072431F">
      <w:r>
        <w:separator/>
      </w:r>
    </w:p>
  </w:footnote>
  <w:footnote w:type="continuationSeparator" w:id="0">
    <w:p w14:paraId="0F2CEFCC" w14:textId="77777777" w:rsidR="0072431F" w:rsidRDefault="0072431F">
      <w:r>
        <w:continuationSeparator/>
      </w:r>
    </w:p>
  </w:footnote>
  <w:footnote w:type="continuationNotice" w:id="1">
    <w:p w14:paraId="4FE7CC3D" w14:textId="77777777" w:rsidR="0072431F" w:rsidRDefault="00724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F5AB" w14:textId="09C71025" w:rsidR="00227B1E" w:rsidRDefault="00E33C9F">
    <w:pPr>
      <w:pStyle w:val="Header"/>
    </w:pPr>
    <w:r>
      <w:t>Attachment 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75FB4"/>
    <w:multiLevelType w:val="hybridMultilevel"/>
    <w:tmpl w:val="A14090F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620F2B"/>
    <w:multiLevelType w:val="hybridMultilevel"/>
    <w:tmpl w:val="3258C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A0470"/>
    <w:multiLevelType w:val="hybridMultilevel"/>
    <w:tmpl w:val="448C1038"/>
    <w:lvl w:ilvl="0" w:tplc="9A5AE402">
      <w:start w:val="2"/>
      <w:numFmt w:val="decimal"/>
      <w:lvlText w:val="%1."/>
      <w:lvlJc w:val="left"/>
      <w:pPr>
        <w:ind w:left="480" w:hanging="360"/>
      </w:pPr>
      <w:rPr>
        <w:rFonts w:ascii="Times New Roman" w:eastAsia="Times New Roman" w:hAnsi="Times New Roman" w:cs="Times New Roman" w:hint="default"/>
        <w:b w:val="0"/>
        <w:bCs w:val="0"/>
        <w:spacing w:val="-4"/>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B4455"/>
    <w:multiLevelType w:val="hybridMultilevel"/>
    <w:tmpl w:val="67F4582E"/>
    <w:lvl w:ilvl="0" w:tplc="539281F6">
      <w:start w:val="1"/>
      <w:numFmt w:val="decimal"/>
      <w:lvlText w:val="%1."/>
      <w:lvlJc w:val="left"/>
      <w:pPr>
        <w:ind w:left="960" w:hanging="360"/>
      </w:pPr>
      <w:rPr>
        <w:rFonts w:ascii="Times New Roman" w:eastAsia="Times New Roman" w:hAnsi="Times New Roman" w:cs="Times New Roman" w:hint="default"/>
        <w:spacing w:val="-6"/>
        <w:w w:val="98"/>
        <w:sz w:val="24"/>
        <w:szCs w:val="24"/>
      </w:rPr>
    </w:lvl>
    <w:lvl w:ilvl="1" w:tplc="41F006E2">
      <w:numFmt w:val="bullet"/>
      <w:lvlText w:val="•"/>
      <w:lvlJc w:val="left"/>
      <w:pPr>
        <w:ind w:left="1820" w:hanging="360"/>
      </w:pPr>
      <w:rPr>
        <w:rFonts w:hint="default"/>
      </w:rPr>
    </w:lvl>
    <w:lvl w:ilvl="2" w:tplc="479EEB96">
      <w:numFmt w:val="bullet"/>
      <w:lvlText w:val="•"/>
      <w:lvlJc w:val="left"/>
      <w:pPr>
        <w:ind w:left="2680" w:hanging="360"/>
      </w:pPr>
      <w:rPr>
        <w:rFonts w:hint="default"/>
      </w:rPr>
    </w:lvl>
    <w:lvl w:ilvl="3" w:tplc="78FE094C">
      <w:numFmt w:val="bullet"/>
      <w:lvlText w:val="•"/>
      <w:lvlJc w:val="left"/>
      <w:pPr>
        <w:ind w:left="3540" w:hanging="360"/>
      </w:pPr>
      <w:rPr>
        <w:rFonts w:hint="default"/>
      </w:rPr>
    </w:lvl>
    <w:lvl w:ilvl="4" w:tplc="F17CAA66">
      <w:numFmt w:val="bullet"/>
      <w:lvlText w:val="•"/>
      <w:lvlJc w:val="left"/>
      <w:pPr>
        <w:ind w:left="4400" w:hanging="360"/>
      </w:pPr>
      <w:rPr>
        <w:rFonts w:hint="default"/>
      </w:rPr>
    </w:lvl>
    <w:lvl w:ilvl="5" w:tplc="A67A308C">
      <w:numFmt w:val="bullet"/>
      <w:lvlText w:val="•"/>
      <w:lvlJc w:val="left"/>
      <w:pPr>
        <w:ind w:left="5260" w:hanging="360"/>
      </w:pPr>
      <w:rPr>
        <w:rFonts w:hint="default"/>
      </w:rPr>
    </w:lvl>
    <w:lvl w:ilvl="6" w:tplc="D4E86EA4">
      <w:numFmt w:val="bullet"/>
      <w:lvlText w:val="•"/>
      <w:lvlJc w:val="left"/>
      <w:pPr>
        <w:ind w:left="6120" w:hanging="360"/>
      </w:pPr>
      <w:rPr>
        <w:rFonts w:hint="default"/>
      </w:rPr>
    </w:lvl>
    <w:lvl w:ilvl="7" w:tplc="E1CA903A">
      <w:numFmt w:val="bullet"/>
      <w:lvlText w:val="•"/>
      <w:lvlJc w:val="left"/>
      <w:pPr>
        <w:ind w:left="6980" w:hanging="360"/>
      </w:pPr>
      <w:rPr>
        <w:rFonts w:hint="default"/>
      </w:rPr>
    </w:lvl>
    <w:lvl w:ilvl="8" w:tplc="92BA5B1C">
      <w:numFmt w:val="bullet"/>
      <w:lvlText w:val="•"/>
      <w:lvlJc w:val="left"/>
      <w:pPr>
        <w:ind w:left="7840" w:hanging="360"/>
      </w:pPr>
      <w:rPr>
        <w:rFonts w:hint="default"/>
      </w:rPr>
    </w:lvl>
  </w:abstractNum>
  <w:abstractNum w:abstractNumId="4" w15:restartNumberingAfterBreak="0">
    <w:nsid w:val="6EE76AC3"/>
    <w:multiLevelType w:val="hybridMultilevel"/>
    <w:tmpl w:val="F58EFF30"/>
    <w:lvl w:ilvl="0" w:tplc="2AA66FFE">
      <w:start w:val="1"/>
      <w:numFmt w:val="decimal"/>
      <w:lvlText w:val="%1."/>
      <w:lvlJc w:val="left"/>
      <w:pPr>
        <w:ind w:left="480" w:hanging="360"/>
      </w:pPr>
      <w:rPr>
        <w:rFonts w:ascii="Times New Roman" w:eastAsia="Times New Roman" w:hAnsi="Times New Roman" w:cs="Times New Roman" w:hint="default"/>
        <w:b/>
        <w:bCs/>
        <w:spacing w:val="-4"/>
        <w:w w:val="99"/>
        <w:sz w:val="24"/>
        <w:szCs w:val="24"/>
      </w:rPr>
    </w:lvl>
    <w:lvl w:ilvl="1" w:tplc="7CCC1718">
      <w:start w:val="1"/>
      <w:numFmt w:val="decimal"/>
      <w:pStyle w:val="ListParagraph"/>
      <w:lvlText w:val="%2."/>
      <w:lvlJc w:val="left"/>
      <w:pPr>
        <w:ind w:left="940" w:hanging="360"/>
        <w:jc w:val="right"/>
      </w:pPr>
      <w:rPr>
        <w:rFonts w:hint="default"/>
        <w:spacing w:val="-6"/>
        <w:w w:val="98"/>
      </w:rPr>
    </w:lvl>
    <w:lvl w:ilvl="2" w:tplc="1524440C">
      <w:start w:val="1"/>
      <w:numFmt w:val="lowerLetter"/>
      <w:lvlText w:val="%3)"/>
      <w:lvlJc w:val="left"/>
      <w:pPr>
        <w:ind w:left="1440" w:hanging="360"/>
      </w:pPr>
      <w:rPr>
        <w:rFonts w:ascii="Times New Roman" w:eastAsia="Times New Roman" w:hAnsi="Times New Roman" w:cs="Times New Roman" w:hint="default"/>
        <w:spacing w:val="-7"/>
        <w:w w:val="98"/>
        <w:sz w:val="24"/>
        <w:szCs w:val="24"/>
      </w:rPr>
    </w:lvl>
    <w:lvl w:ilvl="3" w:tplc="F1F0461A">
      <w:numFmt w:val="bullet"/>
      <w:lvlText w:val="•"/>
      <w:lvlJc w:val="left"/>
      <w:pPr>
        <w:ind w:left="1420" w:hanging="360"/>
      </w:pPr>
      <w:rPr>
        <w:rFonts w:hint="default"/>
      </w:rPr>
    </w:lvl>
    <w:lvl w:ilvl="4" w:tplc="E6C6E172">
      <w:numFmt w:val="bullet"/>
      <w:lvlText w:val="•"/>
      <w:lvlJc w:val="left"/>
      <w:pPr>
        <w:ind w:left="1440" w:hanging="360"/>
      </w:pPr>
      <w:rPr>
        <w:rFonts w:hint="default"/>
      </w:rPr>
    </w:lvl>
    <w:lvl w:ilvl="5" w:tplc="692089BA">
      <w:numFmt w:val="bullet"/>
      <w:lvlText w:val="•"/>
      <w:lvlJc w:val="left"/>
      <w:pPr>
        <w:ind w:left="2793" w:hanging="360"/>
      </w:pPr>
      <w:rPr>
        <w:rFonts w:hint="default"/>
      </w:rPr>
    </w:lvl>
    <w:lvl w:ilvl="6" w:tplc="25B295EE">
      <w:numFmt w:val="bullet"/>
      <w:lvlText w:val="•"/>
      <w:lvlJc w:val="left"/>
      <w:pPr>
        <w:ind w:left="4146" w:hanging="360"/>
      </w:pPr>
      <w:rPr>
        <w:rFonts w:hint="default"/>
      </w:rPr>
    </w:lvl>
    <w:lvl w:ilvl="7" w:tplc="3C5CE548">
      <w:numFmt w:val="bullet"/>
      <w:lvlText w:val="•"/>
      <w:lvlJc w:val="left"/>
      <w:pPr>
        <w:ind w:left="5500" w:hanging="360"/>
      </w:pPr>
      <w:rPr>
        <w:rFonts w:hint="default"/>
      </w:rPr>
    </w:lvl>
    <w:lvl w:ilvl="8" w:tplc="9656E2B4">
      <w:numFmt w:val="bullet"/>
      <w:lvlText w:val="•"/>
      <w:lvlJc w:val="left"/>
      <w:pPr>
        <w:ind w:left="6853" w:hanging="360"/>
      </w:pPr>
      <w:rPr>
        <w:rFonts w:hint="default"/>
      </w:rPr>
    </w:lvl>
  </w:abstractNum>
  <w:num w:numId="1" w16cid:durableId="1617364994">
    <w:abstractNumId w:val="3"/>
  </w:num>
  <w:num w:numId="2" w16cid:durableId="306279420">
    <w:abstractNumId w:val="4"/>
  </w:num>
  <w:num w:numId="3" w16cid:durableId="895051689">
    <w:abstractNumId w:val="0"/>
  </w:num>
  <w:num w:numId="4" w16cid:durableId="263077654">
    <w:abstractNumId w:val="1"/>
  </w:num>
  <w:num w:numId="5" w16cid:durableId="767963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F5C"/>
    <w:rsid w:val="00007C07"/>
    <w:rsid w:val="000753A0"/>
    <w:rsid w:val="0008350B"/>
    <w:rsid w:val="0008763A"/>
    <w:rsid w:val="000B270E"/>
    <w:rsid w:val="000B35EC"/>
    <w:rsid w:val="000C0216"/>
    <w:rsid w:val="000C3079"/>
    <w:rsid w:val="000D3790"/>
    <w:rsid w:val="000D5843"/>
    <w:rsid w:val="000F40F7"/>
    <w:rsid w:val="00101369"/>
    <w:rsid w:val="00127365"/>
    <w:rsid w:val="00136DA1"/>
    <w:rsid w:val="001478E2"/>
    <w:rsid w:val="00183E98"/>
    <w:rsid w:val="00201DE1"/>
    <w:rsid w:val="00227B1E"/>
    <w:rsid w:val="002673B1"/>
    <w:rsid w:val="00273497"/>
    <w:rsid w:val="00295DAA"/>
    <w:rsid w:val="00297BC5"/>
    <w:rsid w:val="002A1168"/>
    <w:rsid w:val="002B7AC3"/>
    <w:rsid w:val="002D3E74"/>
    <w:rsid w:val="002E0AA8"/>
    <w:rsid w:val="002F7E94"/>
    <w:rsid w:val="003068CB"/>
    <w:rsid w:val="00307924"/>
    <w:rsid w:val="00331651"/>
    <w:rsid w:val="00344A37"/>
    <w:rsid w:val="00347DCB"/>
    <w:rsid w:val="003A1A4E"/>
    <w:rsid w:val="003C6F8F"/>
    <w:rsid w:val="00423AD1"/>
    <w:rsid w:val="004256FB"/>
    <w:rsid w:val="00453C4B"/>
    <w:rsid w:val="00471B26"/>
    <w:rsid w:val="00473B2B"/>
    <w:rsid w:val="0048678E"/>
    <w:rsid w:val="00491F41"/>
    <w:rsid w:val="00492F98"/>
    <w:rsid w:val="00497431"/>
    <w:rsid w:val="004A54F8"/>
    <w:rsid w:val="004B7EDC"/>
    <w:rsid w:val="004E1F6F"/>
    <w:rsid w:val="00547CB7"/>
    <w:rsid w:val="005504DA"/>
    <w:rsid w:val="00560E6D"/>
    <w:rsid w:val="00570777"/>
    <w:rsid w:val="00572D96"/>
    <w:rsid w:val="005B376D"/>
    <w:rsid w:val="00600D1A"/>
    <w:rsid w:val="00600D76"/>
    <w:rsid w:val="00606F9E"/>
    <w:rsid w:val="006259F9"/>
    <w:rsid w:val="00646B95"/>
    <w:rsid w:val="00664D24"/>
    <w:rsid w:val="00672A10"/>
    <w:rsid w:val="00680B7B"/>
    <w:rsid w:val="006929E7"/>
    <w:rsid w:val="006F342D"/>
    <w:rsid w:val="006F79BA"/>
    <w:rsid w:val="0072431F"/>
    <w:rsid w:val="00771798"/>
    <w:rsid w:val="0078451B"/>
    <w:rsid w:val="007E1DEC"/>
    <w:rsid w:val="007F18A9"/>
    <w:rsid w:val="007F5ADB"/>
    <w:rsid w:val="0085442B"/>
    <w:rsid w:val="008B2CFF"/>
    <w:rsid w:val="008C7EDE"/>
    <w:rsid w:val="00944CFB"/>
    <w:rsid w:val="00946BE6"/>
    <w:rsid w:val="0095590D"/>
    <w:rsid w:val="009731F8"/>
    <w:rsid w:val="00987B30"/>
    <w:rsid w:val="009D1111"/>
    <w:rsid w:val="009D4716"/>
    <w:rsid w:val="00A0557F"/>
    <w:rsid w:val="00A21518"/>
    <w:rsid w:val="00AA0079"/>
    <w:rsid w:val="00AC760F"/>
    <w:rsid w:val="00AE56F5"/>
    <w:rsid w:val="00B32097"/>
    <w:rsid w:val="00B60F75"/>
    <w:rsid w:val="00B62944"/>
    <w:rsid w:val="00B6763E"/>
    <w:rsid w:val="00B83877"/>
    <w:rsid w:val="00B9133B"/>
    <w:rsid w:val="00BB1800"/>
    <w:rsid w:val="00BC2BB1"/>
    <w:rsid w:val="00BC528F"/>
    <w:rsid w:val="00BD0361"/>
    <w:rsid w:val="00C04312"/>
    <w:rsid w:val="00C33E54"/>
    <w:rsid w:val="00C4063D"/>
    <w:rsid w:val="00C4740A"/>
    <w:rsid w:val="00C61E7B"/>
    <w:rsid w:val="00C62F5C"/>
    <w:rsid w:val="00C73D74"/>
    <w:rsid w:val="00C807C9"/>
    <w:rsid w:val="00CA1A5F"/>
    <w:rsid w:val="00CA42B2"/>
    <w:rsid w:val="00CA7828"/>
    <w:rsid w:val="00CC6CB7"/>
    <w:rsid w:val="00CF29B4"/>
    <w:rsid w:val="00CF697C"/>
    <w:rsid w:val="00D073AF"/>
    <w:rsid w:val="00D4511D"/>
    <w:rsid w:val="00D45D7E"/>
    <w:rsid w:val="00D509FD"/>
    <w:rsid w:val="00D964AD"/>
    <w:rsid w:val="00E0198C"/>
    <w:rsid w:val="00E33C9F"/>
    <w:rsid w:val="00E435B5"/>
    <w:rsid w:val="00E53BFA"/>
    <w:rsid w:val="00E5424D"/>
    <w:rsid w:val="00E72D6F"/>
    <w:rsid w:val="00EE6191"/>
    <w:rsid w:val="00F1091E"/>
    <w:rsid w:val="00F4563A"/>
    <w:rsid w:val="00F7020C"/>
    <w:rsid w:val="00F83E1E"/>
    <w:rsid w:val="00FA7744"/>
    <w:rsid w:val="00FE0FB7"/>
    <w:rsid w:val="00FF113E"/>
    <w:rsid w:val="031814E8"/>
    <w:rsid w:val="05B9F7D1"/>
    <w:rsid w:val="0705DD2B"/>
    <w:rsid w:val="076C33C0"/>
    <w:rsid w:val="0771EC8A"/>
    <w:rsid w:val="095A2FD4"/>
    <w:rsid w:val="09CA8380"/>
    <w:rsid w:val="09FD0103"/>
    <w:rsid w:val="0BB4D66C"/>
    <w:rsid w:val="0D1309A1"/>
    <w:rsid w:val="0D3B799E"/>
    <w:rsid w:val="0EC4B28C"/>
    <w:rsid w:val="0EE9BF4D"/>
    <w:rsid w:val="13A3F30D"/>
    <w:rsid w:val="14EBB20B"/>
    <w:rsid w:val="14EF29DC"/>
    <w:rsid w:val="15130180"/>
    <w:rsid w:val="17AC16CB"/>
    <w:rsid w:val="1950CAFF"/>
    <w:rsid w:val="1A037F79"/>
    <w:rsid w:val="1B9F4FDA"/>
    <w:rsid w:val="1C9608B4"/>
    <w:rsid w:val="1DCD52AE"/>
    <w:rsid w:val="1E4DD1AA"/>
    <w:rsid w:val="1E600330"/>
    <w:rsid w:val="1E8B05C0"/>
    <w:rsid w:val="1F59A4E8"/>
    <w:rsid w:val="1F8F025E"/>
    <w:rsid w:val="21F4D4B5"/>
    <w:rsid w:val="22F04ACE"/>
    <w:rsid w:val="24205D09"/>
    <w:rsid w:val="24C9702F"/>
    <w:rsid w:val="2558C560"/>
    <w:rsid w:val="25B9BBA1"/>
    <w:rsid w:val="25CBE690"/>
    <w:rsid w:val="2683B940"/>
    <w:rsid w:val="275CC636"/>
    <w:rsid w:val="27962683"/>
    <w:rsid w:val="281D2166"/>
    <w:rsid w:val="28DC4122"/>
    <w:rsid w:val="290B938D"/>
    <w:rsid w:val="2A3F624D"/>
    <w:rsid w:val="2B300693"/>
    <w:rsid w:val="2B819E26"/>
    <w:rsid w:val="2BDB07D3"/>
    <w:rsid w:val="2D5AAECD"/>
    <w:rsid w:val="2E197E62"/>
    <w:rsid w:val="2F476EF0"/>
    <w:rsid w:val="319386EC"/>
    <w:rsid w:val="31B10A62"/>
    <w:rsid w:val="32616F4C"/>
    <w:rsid w:val="3472F2C4"/>
    <w:rsid w:val="35282536"/>
    <w:rsid w:val="367EB079"/>
    <w:rsid w:val="36B9A4CC"/>
    <w:rsid w:val="36F4CF17"/>
    <w:rsid w:val="3748178D"/>
    <w:rsid w:val="382D0F25"/>
    <w:rsid w:val="38E3E7EE"/>
    <w:rsid w:val="397A6482"/>
    <w:rsid w:val="3AEFB482"/>
    <w:rsid w:val="3BCE8CC6"/>
    <w:rsid w:val="3C1B88B0"/>
    <w:rsid w:val="3D43961B"/>
    <w:rsid w:val="4325FA5D"/>
    <w:rsid w:val="446E80B9"/>
    <w:rsid w:val="45B7215E"/>
    <w:rsid w:val="46A9E737"/>
    <w:rsid w:val="49202DFF"/>
    <w:rsid w:val="495BE032"/>
    <w:rsid w:val="49E187F9"/>
    <w:rsid w:val="4AD5171D"/>
    <w:rsid w:val="4B0B661D"/>
    <w:rsid w:val="4B730AE5"/>
    <w:rsid w:val="4B8C3120"/>
    <w:rsid w:val="4C41ED90"/>
    <w:rsid w:val="4DA20518"/>
    <w:rsid w:val="4E1EC644"/>
    <w:rsid w:val="515208A1"/>
    <w:rsid w:val="517DF7CE"/>
    <w:rsid w:val="53D81E1E"/>
    <w:rsid w:val="54120528"/>
    <w:rsid w:val="54D45781"/>
    <w:rsid w:val="57B0EAD7"/>
    <w:rsid w:val="57D3207D"/>
    <w:rsid w:val="58922CB5"/>
    <w:rsid w:val="59D87AB2"/>
    <w:rsid w:val="5CDD343D"/>
    <w:rsid w:val="5CF01E22"/>
    <w:rsid w:val="61EA9265"/>
    <w:rsid w:val="625082E5"/>
    <w:rsid w:val="63867356"/>
    <w:rsid w:val="64FC164D"/>
    <w:rsid w:val="6617F887"/>
    <w:rsid w:val="66F20EE5"/>
    <w:rsid w:val="6709C8E4"/>
    <w:rsid w:val="6747447C"/>
    <w:rsid w:val="67D1DF44"/>
    <w:rsid w:val="686D0B07"/>
    <w:rsid w:val="689A2FB3"/>
    <w:rsid w:val="69777407"/>
    <w:rsid w:val="6A598C39"/>
    <w:rsid w:val="6C2607CC"/>
    <w:rsid w:val="6FE28208"/>
    <w:rsid w:val="70A83F6E"/>
    <w:rsid w:val="72788AB2"/>
    <w:rsid w:val="7334D4EC"/>
    <w:rsid w:val="7491376B"/>
    <w:rsid w:val="74E0D617"/>
    <w:rsid w:val="77D85F8F"/>
    <w:rsid w:val="7A47C0F7"/>
    <w:rsid w:val="7B2000E6"/>
    <w:rsid w:val="7BDE2C4B"/>
    <w:rsid w:val="7C956A29"/>
    <w:rsid w:val="7DA38AF8"/>
    <w:rsid w:val="7E5D53BD"/>
    <w:rsid w:val="7EA1DD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49EE24"/>
  <w15:chartTrackingRefBased/>
  <w15:docId w15:val="{D9E163B6-CDD9-4EE0-9C77-A9980705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2F5C"/>
    <w:pPr>
      <w:widowControl w:val="0"/>
      <w:autoSpaceDE w:val="0"/>
      <w:autoSpaceDN w:val="0"/>
      <w:spacing w:after="0"/>
    </w:pPr>
    <w:rPr>
      <w:rFonts w:ascii="Times New Roman" w:eastAsia="Times New Roman" w:hAnsi="Times New Roman" w:cs="Times New Roman"/>
    </w:rPr>
  </w:style>
  <w:style w:type="paragraph" w:styleId="Heading1">
    <w:name w:val="heading 1"/>
    <w:basedOn w:val="Normal"/>
    <w:link w:val="Heading1Char"/>
    <w:uiPriority w:val="1"/>
    <w:qFormat/>
    <w:rsid w:val="00E33C9F"/>
    <w:pPr>
      <w:spacing w:after="120"/>
      <w:ind w:left="202"/>
      <w:outlineLvl w:val="0"/>
    </w:pPr>
    <w:rPr>
      <w:b/>
      <w:bCs/>
      <w:sz w:val="24"/>
      <w:szCs w:val="24"/>
    </w:rPr>
  </w:style>
  <w:style w:type="paragraph" w:styleId="Heading2">
    <w:name w:val="heading 2"/>
    <w:basedOn w:val="Normal"/>
    <w:next w:val="Normal"/>
    <w:link w:val="Heading2Char"/>
    <w:uiPriority w:val="9"/>
    <w:unhideWhenUsed/>
    <w:qFormat/>
    <w:rsid w:val="00C73D74"/>
    <w:pPr>
      <w:keepNext/>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3C9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62F5C"/>
    <w:rPr>
      <w:sz w:val="24"/>
      <w:szCs w:val="24"/>
    </w:rPr>
  </w:style>
  <w:style w:type="character" w:customStyle="1" w:styleId="BodyTextChar">
    <w:name w:val="Body Text Char"/>
    <w:basedOn w:val="DefaultParagraphFont"/>
    <w:link w:val="BodyText"/>
    <w:uiPriority w:val="1"/>
    <w:rsid w:val="00C62F5C"/>
    <w:rPr>
      <w:rFonts w:ascii="Times New Roman" w:eastAsia="Times New Roman" w:hAnsi="Times New Roman" w:cs="Times New Roman"/>
      <w:sz w:val="24"/>
      <w:szCs w:val="24"/>
    </w:rPr>
  </w:style>
  <w:style w:type="paragraph" w:styleId="ListParagraph">
    <w:name w:val="List Paragraph"/>
    <w:aliases w:val="Bullet List,Alpha List Paragraph,List Paragraph1"/>
    <w:basedOn w:val="Normal"/>
    <w:link w:val="ListParagraphChar"/>
    <w:uiPriority w:val="1"/>
    <w:qFormat/>
    <w:rsid w:val="00AE56F5"/>
    <w:pPr>
      <w:numPr>
        <w:ilvl w:val="1"/>
        <w:numId w:val="2"/>
      </w:numPr>
      <w:tabs>
        <w:tab w:val="left" w:pos="940"/>
      </w:tabs>
      <w:ind w:right="538"/>
      <w:jc w:val="both"/>
    </w:pPr>
    <w:rPr>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256FB"/>
    <w:pPr>
      <w:spacing w:after="0"/>
    </w:pPr>
    <w:rPr>
      <w:rFonts w:ascii="Times New Roman" w:eastAsia="Times New Roman" w:hAnsi="Times New Roman" w:cs="Times New Roman"/>
    </w:rPr>
  </w:style>
  <w:style w:type="paragraph" w:styleId="Header">
    <w:name w:val="header"/>
    <w:basedOn w:val="Normal"/>
    <w:link w:val="HeaderChar"/>
    <w:uiPriority w:val="99"/>
    <w:unhideWhenUsed/>
    <w:rsid w:val="004256FB"/>
    <w:pPr>
      <w:tabs>
        <w:tab w:val="center" w:pos="4680"/>
        <w:tab w:val="right" w:pos="9360"/>
      </w:tabs>
    </w:pPr>
  </w:style>
  <w:style w:type="character" w:customStyle="1" w:styleId="HeaderChar">
    <w:name w:val="Header Char"/>
    <w:basedOn w:val="DefaultParagraphFont"/>
    <w:link w:val="Header"/>
    <w:uiPriority w:val="99"/>
    <w:rsid w:val="004256FB"/>
    <w:rPr>
      <w:rFonts w:ascii="Times New Roman" w:eastAsia="Times New Roman" w:hAnsi="Times New Roman" w:cs="Times New Roman"/>
    </w:rPr>
  </w:style>
  <w:style w:type="paragraph" w:styleId="Footer">
    <w:name w:val="footer"/>
    <w:basedOn w:val="Normal"/>
    <w:link w:val="FooterChar"/>
    <w:uiPriority w:val="99"/>
    <w:unhideWhenUsed/>
    <w:rsid w:val="004256FB"/>
    <w:pPr>
      <w:tabs>
        <w:tab w:val="center" w:pos="4680"/>
        <w:tab w:val="right" w:pos="9360"/>
      </w:tabs>
    </w:pPr>
  </w:style>
  <w:style w:type="character" w:customStyle="1" w:styleId="FooterChar">
    <w:name w:val="Footer Char"/>
    <w:basedOn w:val="DefaultParagraphFont"/>
    <w:link w:val="Footer"/>
    <w:uiPriority w:val="99"/>
    <w:rsid w:val="004256FB"/>
    <w:rPr>
      <w:rFonts w:ascii="Times New Roman" w:eastAsia="Times New Roman" w:hAnsi="Times New Roman" w:cs="Times New Roman"/>
    </w:rPr>
  </w:style>
  <w:style w:type="character" w:customStyle="1" w:styleId="ListParagraphChar">
    <w:name w:val="List Paragraph Char"/>
    <w:aliases w:val="Bullet List Char,Alpha List Paragraph Char,List Paragraph1 Char"/>
    <w:basedOn w:val="DefaultParagraphFont"/>
    <w:link w:val="ListParagraph"/>
    <w:uiPriority w:val="1"/>
    <w:locked/>
    <w:rsid w:val="00AE56F5"/>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F342D"/>
    <w:rPr>
      <w:b/>
      <w:bCs/>
    </w:rPr>
  </w:style>
  <w:style w:type="character" w:customStyle="1" w:styleId="CommentSubjectChar">
    <w:name w:val="Comment Subject Char"/>
    <w:basedOn w:val="CommentTextChar"/>
    <w:link w:val="CommentSubject"/>
    <w:uiPriority w:val="99"/>
    <w:semiHidden/>
    <w:rsid w:val="006F342D"/>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C80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C9"/>
    <w:rPr>
      <w:rFonts w:ascii="Segoe UI" w:eastAsia="Times New Roman" w:hAnsi="Segoe UI" w:cs="Segoe UI"/>
      <w:sz w:val="18"/>
      <w:szCs w:val="18"/>
    </w:rPr>
  </w:style>
  <w:style w:type="character" w:styleId="UnresolvedMention">
    <w:name w:val="Unresolved Mention"/>
    <w:basedOn w:val="DefaultParagraphFont"/>
    <w:uiPriority w:val="99"/>
    <w:unhideWhenUsed/>
    <w:rsid w:val="00D4511D"/>
    <w:rPr>
      <w:color w:val="605E5C"/>
      <w:shd w:val="clear" w:color="auto" w:fill="E1DFDD"/>
    </w:rPr>
  </w:style>
  <w:style w:type="character" w:customStyle="1" w:styleId="Heading2Char">
    <w:name w:val="Heading 2 Char"/>
    <w:basedOn w:val="DefaultParagraphFont"/>
    <w:link w:val="Heading2"/>
    <w:uiPriority w:val="9"/>
    <w:rsid w:val="00C73D7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Barton, Julie (EHS)</DisplayName>
        <AccountId>142</AccountId>
        <AccountType/>
      </UserInfo>
      <UserInfo>
        <DisplayName>Jona, Vered (EHS)</DisplayName>
        <AccountId>135</AccountId>
        <AccountType/>
      </UserInfo>
      <UserInfo>
        <DisplayName>Duggal, Sonali (EHS)</DisplayName>
        <AccountId>195</AccountId>
        <AccountType/>
      </UserInfo>
      <UserInfo>
        <DisplayName>Mengesha, Tadelech (EHS)</DisplayName>
        <AccountId>152</AccountId>
        <AccountType/>
      </UserInfo>
      <UserInfo>
        <DisplayName>Konefal, Kaela (EHS)</DisplayName>
        <AccountId>85</AccountId>
        <AccountType/>
      </UserInfo>
      <UserInfo>
        <DisplayName>Farlow, Martha (EHS)</DisplayName>
        <AccountId>24</AccountId>
        <AccountType/>
      </UserInfo>
      <UserInfo>
        <DisplayName>Kirchgasser, Alison (EHS)</DisplayName>
        <AccountId>86</AccountId>
        <AccountType/>
      </UserInfo>
    </SharedWithUsers>
    <Document_x0020_Type_x0020_Descriptor xmlns="6b9f974d-4be1-4652-82ab-08a778657aa4">
      <Value>6</Value>
    </Document_x0020_Type_x0020_Descriptor>
    <Review_x0020_Comments xmlns="6b9f974d-4be1-4652-82ab-08a778657aa4" xsi:nil="true"/>
    <Divisions xmlns="6b9f974d-4be1-4652-82ab-08a778657aa4">DSRD</Divisions>
    <IconOverlay xmlns="http://schemas.microsoft.com/sharepoint/v4" xsi:nil="true"/>
    <Document_x0020_Type xmlns="6b9f974d-4be1-4652-82ab-08a778657aa4">10</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CMCS-1739211535-13072</_dlc_DocId>
    <_dlc_DocIdUrl xmlns="144ea41b-304c-4c03-99c4-debb02094f92">
      <Url>https://share.cms.gov/center/CMCS/SDG/_layouts/15/DocIdRedir.aspx?ID=CMCS-1739211535-13072</Url>
      <Description>CMCS-1739211535-13072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9b01764bcd39a9049111f04bc66614a8">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9b9d55b7f9793d5b087049d3551b8f77"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mso-contentType ?>
<FormTemplates>
  <Display>DocumentLibraryForm</Display>
  <Edit>DocumentLibraryForm</Edit>
  <New>DocumentLibraryForm</New>
  <MobileDisplayFormUrl/>
  <MobileEditFormUrl/>
  <MobileNewFormUrl/>
</FormTemplates>
</file>

<file path=customXml/item8.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9.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Props1.xml><?xml version="1.0" encoding="utf-8"?>
<ds:datastoreItem xmlns:ds="http://schemas.openxmlformats.org/officeDocument/2006/customXml" ds:itemID="{DC92221B-166A-4CE0-A802-98C81162EE22}">
  <ds:schemaRefs>
    <ds:schemaRef ds:uri="Microsoft.SharePoint.Taxonomy.ContentTypeSync"/>
  </ds:schemaRefs>
</ds:datastoreItem>
</file>

<file path=customXml/itemProps2.xml><?xml version="1.0" encoding="utf-8"?>
<ds:datastoreItem xmlns:ds="http://schemas.openxmlformats.org/officeDocument/2006/customXml" ds:itemID="{F8767090-9284-4BB4-B4F5-851C74F6E764}">
  <ds:schemaRefs>
    <ds:schemaRef ds:uri="http://purl.org/dc/dcmitype/"/>
    <ds:schemaRef ds:uri="http://schemas.microsoft.com/sharepoint/v4"/>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144ea41b-304c-4c03-99c4-debb02094f92"/>
    <ds:schemaRef ds:uri="bfed16da-a8ca-46ec-a4aa-c7c509893314"/>
    <ds:schemaRef ds:uri="http://www.w3.org/XML/1998/namespace"/>
    <ds:schemaRef ds:uri="6b9f974d-4be1-4652-82ab-08a778657aa4"/>
    <ds:schemaRef ds:uri="http://schemas.microsoft.com/sharepoint/v3"/>
    <ds:schemaRef ds:uri="http://purl.org/dc/elements/1.1/"/>
  </ds:schemaRefs>
</ds:datastoreItem>
</file>

<file path=customXml/itemProps3.xml><?xml version="1.0" encoding="utf-8"?>
<ds:datastoreItem xmlns:ds="http://schemas.openxmlformats.org/officeDocument/2006/customXml" ds:itemID="{33D7A3DC-8360-4EB5-923C-E6329D3B5B9E}">
  <ds:schemaRefs>
    <ds:schemaRef ds:uri="http://schemas.microsoft.com/sharepoint/events"/>
  </ds:schemaRefs>
</ds:datastoreItem>
</file>

<file path=customXml/itemProps4.xml><?xml version="1.0" encoding="utf-8"?>
<ds:datastoreItem xmlns:ds="http://schemas.openxmlformats.org/officeDocument/2006/customXml" ds:itemID="{A8BCDC43-35CA-47E5-B2C3-E6B4361B5931}">
  <ds:schemaRefs>
    <ds:schemaRef ds:uri="http://schemas.openxmlformats.org/officeDocument/2006/bibliography"/>
  </ds:schemaRefs>
</ds:datastoreItem>
</file>

<file path=customXml/itemProps5.xml><?xml version="1.0" encoding="utf-8"?>
<ds:datastoreItem xmlns:ds="http://schemas.openxmlformats.org/officeDocument/2006/customXml" ds:itemID="{20909F5B-2905-4C5E-A68C-718BF73F7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F57449-1D40-45F5-828D-BD4492100686}">
  <ds:schemaRefs>
    <ds:schemaRef ds:uri="http://schemas.microsoft.com/sharepoint/v3/contenttype/forms"/>
  </ds:schemaRefs>
</ds:datastoreItem>
</file>

<file path=customXml/itemProps7.xml><?xml version="1.0" encoding="utf-8"?>
<ds:datastoreItem xmlns:ds="http://schemas.openxmlformats.org/officeDocument/2006/customXml" ds:itemID="{82F64ABD-FD1C-474B-9A24-AFF2D6150B85}">
  <ds:schemaRefs/>
</ds:datastoreItem>
</file>

<file path=customXml/itemProps8.xml><?xml version="1.0" encoding="utf-8"?>
<ds:datastoreItem xmlns:ds="http://schemas.openxmlformats.org/officeDocument/2006/customXml" ds:itemID="{B657971B-5A95-4918-BCEB-441FE4020447}">
  <ds:schemaRefs>
    <ds:schemaRef ds:uri="http://schemas.microsoft.com/sharepoint/v3/contenttype/forms/url"/>
  </ds:schemaRefs>
</ds:datastoreItem>
</file>

<file path=customXml/itemProps9.xml><?xml version="1.0" encoding="utf-8"?>
<ds:datastoreItem xmlns:ds="http://schemas.openxmlformats.org/officeDocument/2006/customXml" ds:itemID="{95F7699D-72C8-47FD-8751-A19526B175E7}">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Greenfield</dc:creator>
  <cp:keywords/>
  <dc:description/>
  <cp:lastModifiedBy>Khan, Rabia (CMS/CMCS)</cp:lastModifiedBy>
  <cp:revision>18</cp:revision>
  <dcterms:created xsi:type="dcterms:W3CDTF">2023-03-23T13:55:00Z</dcterms:created>
  <dcterms:modified xsi:type="dcterms:W3CDTF">2023-06-12T14:41:00Z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e34bf87d-c991-48cd-8afa-1bc510a37c42</vt:lpwstr>
  </property>
  <property fmtid="{D5CDD505-2E9C-101B-9397-08002B2CF9AE}" pid="5" name="Comments">
    <vt:lpwstr/>
  </property>
</Properties>
</file>