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A8BD9" w14:textId="10BE700D" w:rsidR="002C210D" w:rsidRPr="00187B05" w:rsidRDefault="005A1910" w:rsidP="00187B05">
      <w:pPr>
        <w:pStyle w:val="Heading1"/>
        <w:spacing w:before="76"/>
        <w:ind w:left="-90"/>
        <w:jc w:val="center"/>
      </w:pPr>
      <w:r w:rsidRPr="00887333">
        <w:t>A</w:t>
      </w:r>
      <w:r w:rsidR="002C210D" w:rsidRPr="00887333">
        <w:t>TTACHMENT</w:t>
      </w:r>
      <w:r w:rsidRPr="00887333">
        <w:t xml:space="preserve"> N</w:t>
      </w:r>
    </w:p>
    <w:p w14:paraId="3BF40D66" w14:textId="285A9748" w:rsidR="005A1910" w:rsidRPr="00187B05" w:rsidRDefault="005A1910" w:rsidP="00187B05">
      <w:pPr>
        <w:pStyle w:val="Heading1"/>
        <w:spacing w:before="76"/>
        <w:ind w:left="-90"/>
        <w:jc w:val="center"/>
      </w:pPr>
      <w:r w:rsidRPr="00187B05">
        <w:t xml:space="preserve">Safety Net </w:t>
      </w:r>
      <w:r w:rsidR="002018E1">
        <w:t xml:space="preserve">Hospital </w:t>
      </w:r>
      <w:r w:rsidRPr="00187B05">
        <w:t>Provider Payment Eligibility and Allocation</w:t>
      </w:r>
      <w:r w:rsidR="00FE4E22">
        <w:t xml:space="preserve"> Protocol</w:t>
      </w:r>
    </w:p>
    <w:p w14:paraId="162340ED" w14:textId="77777777" w:rsidR="005A1910" w:rsidRPr="00187B05" w:rsidRDefault="005A1910" w:rsidP="005A1910">
      <w:pPr>
        <w:pStyle w:val="BodyText"/>
        <w:rPr>
          <w:b/>
        </w:rPr>
      </w:pPr>
    </w:p>
    <w:p w14:paraId="617E745A" w14:textId="07238718" w:rsidR="005A1910" w:rsidRPr="00187B05" w:rsidRDefault="005A1910" w:rsidP="00187B05">
      <w:pPr>
        <w:pStyle w:val="BodyText"/>
      </w:pPr>
      <w:r w:rsidRPr="00187B05">
        <w:t xml:space="preserve">Hospitals that meet the eligibility criteria to receive a Safety Net Provider Payment pursuant to STC </w:t>
      </w:r>
      <w:r w:rsidR="002C210D" w:rsidRPr="00187B05">
        <w:t xml:space="preserve">11.2 </w:t>
      </w:r>
      <w:r w:rsidRPr="00187B05">
        <w:t xml:space="preserve">and their corresponding </w:t>
      </w:r>
      <w:r w:rsidR="000D4B4D">
        <w:t xml:space="preserve">potential </w:t>
      </w:r>
      <w:r w:rsidRPr="00187B05">
        <w:t xml:space="preserve">payments are listed in Table </w:t>
      </w:r>
      <w:r w:rsidR="009D6E71">
        <w:t>2</w:t>
      </w:r>
      <w:r w:rsidRPr="00187B05">
        <w:t xml:space="preserve"> below.</w:t>
      </w:r>
    </w:p>
    <w:p w14:paraId="4B4279A3" w14:textId="77777777" w:rsidR="005A1910" w:rsidRPr="00187B05" w:rsidRDefault="005A1910" w:rsidP="005A1910">
      <w:pPr>
        <w:pStyle w:val="BodyText"/>
        <w:spacing w:before="10"/>
      </w:pPr>
    </w:p>
    <w:p w14:paraId="6F67F0C0" w14:textId="0D51D204" w:rsidR="005A1910" w:rsidRPr="00187B05" w:rsidRDefault="005A1910" w:rsidP="00C465D8">
      <w:pPr>
        <w:pStyle w:val="Heading2"/>
      </w:pPr>
      <w:r w:rsidRPr="00C465D8">
        <w:t xml:space="preserve">Safety Net Provider Payment </w:t>
      </w:r>
      <w:r w:rsidR="002C210D" w:rsidRPr="00C465D8">
        <w:t>E</w:t>
      </w:r>
      <w:r w:rsidR="002850CA" w:rsidRPr="00C465D8">
        <w:t xml:space="preserve">ligibility and </w:t>
      </w:r>
      <w:r w:rsidR="002C210D" w:rsidRPr="00C465D8">
        <w:t>A</w:t>
      </w:r>
      <w:r w:rsidRPr="00C465D8">
        <w:t xml:space="preserve">llocation </w:t>
      </w:r>
      <w:r w:rsidR="002C210D" w:rsidRPr="00C465D8">
        <w:t>M</w:t>
      </w:r>
      <w:r w:rsidRPr="00C465D8">
        <w:t>ethodology</w:t>
      </w:r>
    </w:p>
    <w:p w14:paraId="69779309" w14:textId="60796B44" w:rsidR="0043430F" w:rsidRDefault="0043430F" w:rsidP="00187B05">
      <w:pPr>
        <w:pStyle w:val="BodyText"/>
        <w:rPr>
          <w:rStyle w:val="normaltextrun"/>
        </w:rPr>
      </w:pPr>
      <w:r w:rsidRPr="00187B05">
        <w:rPr>
          <w:rStyle w:val="normaltextrun"/>
        </w:rPr>
        <w:t>Hospitals that are eligible to receive Safety Net Provider Payments must meet the eligibility criteria below</w:t>
      </w:r>
      <w:r w:rsidR="00B66580">
        <w:rPr>
          <w:rStyle w:val="normaltextrun"/>
        </w:rPr>
        <w:t xml:space="preserve"> and have a </w:t>
      </w:r>
      <w:r w:rsidR="00EC488A">
        <w:rPr>
          <w:rStyle w:val="normaltextrun"/>
        </w:rPr>
        <w:t>demonstrated Medicaid and Uninsured shortfall</w:t>
      </w:r>
      <w:r w:rsidR="006730B5">
        <w:rPr>
          <w:rStyle w:val="normaltextrun"/>
        </w:rPr>
        <w:t xml:space="preserve"> as reported on the </w:t>
      </w:r>
      <w:r w:rsidR="00FF5FBD">
        <w:rPr>
          <w:rStyle w:val="normaltextrun"/>
        </w:rPr>
        <w:t>Uncompensated Care Cost and Charge Report (</w:t>
      </w:r>
      <w:r w:rsidR="006730B5">
        <w:rPr>
          <w:rStyle w:val="normaltextrun"/>
        </w:rPr>
        <w:t>UCCR</w:t>
      </w:r>
      <w:r w:rsidR="00FF5FBD">
        <w:rPr>
          <w:rStyle w:val="normaltextrun"/>
        </w:rPr>
        <w:t>)</w:t>
      </w:r>
      <w:r w:rsidRPr="00187B05">
        <w:rPr>
          <w:rStyle w:val="normaltextrun"/>
        </w:rPr>
        <w:t>.  The eligibility criteria use hospitals’ fiscal year 2019 Center for Health Information and Analysis (CHIA) hospital cost reports</w:t>
      </w:r>
      <w:r w:rsidR="004F393A" w:rsidRPr="00187B05">
        <w:rPr>
          <w:rStyle w:val="normaltextrun"/>
        </w:rPr>
        <w:t>.</w:t>
      </w:r>
      <w:r w:rsidR="006730B5">
        <w:rPr>
          <w:rStyle w:val="normaltextrun"/>
        </w:rPr>
        <w:t xml:space="preserve">  </w:t>
      </w:r>
    </w:p>
    <w:p w14:paraId="7F9EE212" w14:textId="77777777" w:rsidR="00187B05" w:rsidRPr="00187B05" w:rsidRDefault="00187B05" w:rsidP="00187B05">
      <w:pPr>
        <w:pStyle w:val="BodyText"/>
        <w:rPr>
          <w:rStyle w:val="normaltextrun"/>
        </w:rPr>
      </w:pPr>
    </w:p>
    <w:p w14:paraId="0E54800A" w14:textId="3BE95C6B" w:rsidR="0043430F" w:rsidRPr="00187B05" w:rsidRDefault="0043430F" w:rsidP="00187B05">
      <w:pPr>
        <w:pStyle w:val="BodyText"/>
      </w:pPr>
      <w:bookmarkStart w:id="0" w:name="_Hlk114145926"/>
      <w:r w:rsidRPr="00187B05">
        <w:rPr>
          <w:rStyle w:val="normaltextrun"/>
        </w:rPr>
        <w:t>To be eligible, the hospital must meet the following</w:t>
      </w:r>
      <w:r w:rsidR="00A51E2E" w:rsidRPr="00187B05">
        <w:rPr>
          <w:rStyle w:val="normaltextrun"/>
        </w:rPr>
        <w:t xml:space="preserve"> </w:t>
      </w:r>
      <w:r w:rsidRPr="00187B05">
        <w:rPr>
          <w:rStyle w:val="spellingerror"/>
        </w:rPr>
        <w:t>four</w:t>
      </w:r>
      <w:r w:rsidR="00A51E2E" w:rsidRPr="00187B05">
        <w:rPr>
          <w:rStyle w:val="spellingerror"/>
        </w:rPr>
        <w:t xml:space="preserve"> </w:t>
      </w:r>
      <w:r w:rsidRPr="00187B05">
        <w:rPr>
          <w:rStyle w:val="spellingerror"/>
        </w:rPr>
        <w:t>criteria</w:t>
      </w:r>
      <w:r w:rsidRPr="00187B05">
        <w:rPr>
          <w:rStyle w:val="normaltextrun"/>
        </w:rPr>
        <w:t>:</w:t>
      </w:r>
    </w:p>
    <w:p w14:paraId="5BE50FC0" w14:textId="09BBA258" w:rsidR="0043430F" w:rsidRPr="00187B05" w:rsidRDefault="0043430F" w:rsidP="00187B05">
      <w:pPr>
        <w:pStyle w:val="BodyText"/>
        <w:numPr>
          <w:ilvl w:val="0"/>
          <w:numId w:val="3"/>
        </w:numPr>
      </w:pPr>
      <w:r w:rsidRPr="00187B05">
        <w:rPr>
          <w:rStyle w:val="normaltextrun"/>
        </w:rPr>
        <w:t xml:space="preserve">Medicaid and Uninsured payer mix by charges of at least </w:t>
      </w:r>
      <w:proofErr w:type="gramStart"/>
      <w:r w:rsidRPr="00187B05">
        <w:rPr>
          <w:rStyle w:val="contextualspellingandgrammarerror"/>
        </w:rPr>
        <w:t>20.00%;</w:t>
      </w:r>
      <w:proofErr w:type="gramEnd"/>
      <w:r w:rsidRPr="00187B05">
        <w:rPr>
          <w:rStyle w:val="eop"/>
        </w:rPr>
        <w:t> </w:t>
      </w:r>
    </w:p>
    <w:p w14:paraId="7D9A197B" w14:textId="7E4FB367" w:rsidR="0043430F" w:rsidRPr="00187B05" w:rsidRDefault="0043430F" w:rsidP="00187B05">
      <w:pPr>
        <w:pStyle w:val="BodyText"/>
        <w:numPr>
          <w:ilvl w:val="0"/>
          <w:numId w:val="3"/>
        </w:numPr>
      </w:pPr>
      <w:r w:rsidRPr="00187B05">
        <w:rPr>
          <w:rStyle w:val="normaltextrun"/>
        </w:rPr>
        <w:t xml:space="preserve">Commercial </w:t>
      </w:r>
      <w:proofErr w:type="gramStart"/>
      <w:r w:rsidRPr="00187B05">
        <w:rPr>
          <w:rStyle w:val="contextualspellingandgrammarerror"/>
        </w:rPr>
        <w:t>payer</w:t>
      </w:r>
      <w:proofErr w:type="gramEnd"/>
      <w:r w:rsidRPr="00187B05">
        <w:rPr>
          <w:rStyle w:val="normaltextrun"/>
        </w:rPr>
        <w:t xml:space="preserve"> mix by charges of less than </w:t>
      </w:r>
      <w:r w:rsidRPr="00187B05">
        <w:rPr>
          <w:rStyle w:val="contextualspellingandgrammarerror"/>
        </w:rPr>
        <w:t>50.00%;</w:t>
      </w:r>
      <w:r w:rsidRPr="00187B05">
        <w:rPr>
          <w:rStyle w:val="eop"/>
        </w:rPr>
        <w:t> </w:t>
      </w:r>
    </w:p>
    <w:p w14:paraId="1BD070A2" w14:textId="028B5109" w:rsidR="0043430F" w:rsidRPr="00187B05" w:rsidRDefault="0043430F" w:rsidP="00187B05">
      <w:pPr>
        <w:pStyle w:val="BodyText"/>
        <w:numPr>
          <w:ilvl w:val="0"/>
          <w:numId w:val="3"/>
        </w:numPr>
      </w:pPr>
      <w:r w:rsidRPr="00187B05">
        <w:rPr>
          <w:rStyle w:val="normaltextrun"/>
        </w:rPr>
        <w:t xml:space="preserve">Is not a MassHealth Essential hospital as defined in Massachusetts’ approved State </w:t>
      </w:r>
      <w:r w:rsidRPr="00187B05">
        <w:rPr>
          <w:rStyle w:val="contextualspellingandgrammarerror"/>
        </w:rPr>
        <w:t>Plan;</w:t>
      </w:r>
      <w:r w:rsidRPr="00187B05">
        <w:rPr>
          <w:rStyle w:val="normaltextrun"/>
        </w:rPr>
        <w:t xml:space="preserve"> and</w:t>
      </w:r>
      <w:r w:rsidRPr="00187B05">
        <w:rPr>
          <w:rStyle w:val="eop"/>
        </w:rPr>
        <w:t> </w:t>
      </w:r>
    </w:p>
    <w:p w14:paraId="267DAE86" w14:textId="3A800809" w:rsidR="0043430F" w:rsidRPr="00187B05" w:rsidRDefault="0043430F" w:rsidP="00187B05">
      <w:pPr>
        <w:pStyle w:val="BodyText"/>
        <w:numPr>
          <w:ilvl w:val="0"/>
          <w:numId w:val="3"/>
        </w:numPr>
      </w:pPr>
      <w:bookmarkStart w:id="1" w:name="_Hlk114145899"/>
      <w:bookmarkEnd w:id="0"/>
      <w:r w:rsidRPr="00187B05">
        <w:rPr>
          <w:rStyle w:val="normaltextrun"/>
        </w:rPr>
        <w:t xml:space="preserve">Is </w:t>
      </w:r>
      <w:bookmarkEnd w:id="1"/>
      <w:r w:rsidR="00827C23" w:rsidRPr="00187B05">
        <w:rPr>
          <w:rStyle w:val="contextualspellingandgrammarerror"/>
        </w:rPr>
        <w:t xml:space="preserve">not </w:t>
      </w:r>
      <w:r w:rsidR="002812F1" w:rsidRPr="00187B05">
        <w:rPr>
          <w:rStyle w:val="normaltextrun"/>
        </w:rPr>
        <w:t xml:space="preserve">a critical access hospital with </w:t>
      </w:r>
      <w:r w:rsidR="00827C23" w:rsidRPr="00187B05">
        <w:rPr>
          <w:rStyle w:val="normaltextrun"/>
        </w:rPr>
        <w:t>fewer</w:t>
      </w:r>
      <w:r w:rsidR="002812F1" w:rsidRPr="00187B05">
        <w:rPr>
          <w:rStyle w:val="normaltextrun"/>
        </w:rPr>
        <w:t xml:space="preserve"> than 30 beds</w:t>
      </w:r>
      <w:r w:rsidR="00827C23" w:rsidRPr="00187B05">
        <w:rPr>
          <w:rStyle w:val="normaltextrun"/>
        </w:rPr>
        <w:t xml:space="preserve"> </w:t>
      </w:r>
      <w:r w:rsidR="004F393A" w:rsidRPr="00187B05">
        <w:rPr>
          <w:rStyle w:val="normaltextrun"/>
        </w:rPr>
        <w:t>upon issuance of the 2019 CHIA hospital cost reports</w:t>
      </w:r>
      <w:r w:rsidR="002812F1" w:rsidRPr="00187B05">
        <w:rPr>
          <w:rStyle w:val="normaltextrun"/>
        </w:rPr>
        <w:t xml:space="preserve">. </w:t>
      </w:r>
    </w:p>
    <w:p w14:paraId="6EFD5F1D" w14:textId="77777777" w:rsidR="005A1910" w:rsidRPr="00187B05" w:rsidRDefault="005A1910" w:rsidP="00187B05">
      <w:pPr>
        <w:pStyle w:val="BodyText"/>
      </w:pPr>
    </w:p>
    <w:p w14:paraId="19145950" w14:textId="35B089C8" w:rsidR="005A1910" w:rsidRPr="00187B05" w:rsidRDefault="005A1910" w:rsidP="00187B05">
      <w:pPr>
        <w:pStyle w:val="BodyText"/>
      </w:pPr>
      <w:r w:rsidRPr="00187B05">
        <w:t>Eligible hospitals are split into two groups based on these criteria:</w:t>
      </w:r>
    </w:p>
    <w:p w14:paraId="3CDF5A2C" w14:textId="6980ACE4" w:rsidR="005A1910" w:rsidRPr="00187B05" w:rsidRDefault="005A1910" w:rsidP="00107271">
      <w:pPr>
        <w:pStyle w:val="BodyText"/>
        <w:numPr>
          <w:ilvl w:val="0"/>
          <w:numId w:val="5"/>
        </w:numPr>
        <w:ind w:left="720"/>
      </w:pPr>
      <w:r w:rsidRPr="00187B05">
        <w:rPr>
          <w:b/>
          <w:i/>
        </w:rPr>
        <w:t>Group 1</w:t>
      </w:r>
      <w:r w:rsidRPr="00187B05">
        <w:t xml:space="preserve">: </w:t>
      </w:r>
      <w:r w:rsidR="006C44B9">
        <w:t>A</w:t>
      </w:r>
      <w:r w:rsidRPr="00187B05">
        <w:t>ny hospital that received Delivery System Transformation Initiative (DSTI) payments in the SFY 2015-2017 demonstration period.</w:t>
      </w:r>
    </w:p>
    <w:p w14:paraId="5F932B17" w14:textId="2D14F935" w:rsidR="005A1910" w:rsidRPr="00187B05" w:rsidRDefault="005A1910" w:rsidP="00107271">
      <w:pPr>
        <w:pStyle w:val="BodyText"/>
        <w:numPr>
          <w:ilvl w:val="0"/>
          <w:numId w:val="5"/>
        </w:numPr>
        <w:ind w:left="720"/>
      </w:pPr>
      <w:r w:rsidRPr="00187B05">
        <w:rPr>
          <w:b/>
          <w:i/>
        </w:rPr>
        <w:t>Group 2</w:t>
      </w:r>
      <w:r w:rsidRPr="00187B05">
        <w:t xml:space="preserve">: </w:t>
      </w:r>
      <w:r w:rsidR="006C44B9">
        <w:t>A</w:t>
      </w:r>
      <w:r w:rsidRPr="00187B05">
        <w:t xml:space="preserve">ny hospital that did </w:t>
      </w:r>
      <w:r w:rsidRPr="008F02A9">
        <w:rPr>
          <w:b/>
        </w:rPr>
        <w:t>not</w:t>
      </w:r>
      <w:r w:rsidRPr="00187B05">
        <w:t xml:space="preserve"> receive DSTI payments in the SFY 2015- 2017 demonstration period.</w:t>
      </w:r>
    </w:p>
    <w:p w14:paraId="2FD874B1" w14:textId="77777777" w:rsidR="005A1910" w:rsidRPr="00187B05" w:rsidRDefault="005A1910" w:rsidP="005A1910">
      <w:pPr>
        <w:pStyle w:val="BodyText"/>
        <w:spacing w:before="11"/>
      </w:pPr>
    </w:p>
    <w:p w14:paraId="35B763A5" w14:textId="67953FD1" w:rsidR="00570272" w:rsidRDefault="0043430F" w:rsidP="00187B05">
      <w:pPr>
        <w:pStyle w:val="BodyText"/>
      </w:pPr>
      <w:r w:rsidRPr="00187B05">
        <w:rPr>
          <w:rStyle w:val="normaltextrun"/>
        </w:rPr>
        <w:t xml:space="preserve">Twenty percent (20%) of each </w:t>
      </w:r>
      <w:r w:rsidR="00FF324B">
        <w:rPr>
          <w:rStyle w:val="normaltextrun"/>
        </w:rPr>
        <w:t>hospital</w:t>
      </w:r>
      <w:r w:rsidRPr="00187B05">
        <w:rPr>
          <w:rStyle w:val="normaltextrun"/>
        </w:rPr>
        <w:t xml:space="preserve">’s total </w:t>
      </w:r>
      <w:r w:rsidRPr="00187B05">
        <w:rPr>
          <w:rStyle w:val="findhit"/>
        </w:rPr>
        <w:t>Safety Net Provider</w:t>
      </w:r>
      <w:r w:rsidRPr="00187B05">
        <w:rPr>
          <w:rStyle w:val="normaltextrun"/>
        </w:rPr>
        <w:t xml:space="preserve"> Payments </w:t>
      </w:r>
      <w:r w:rsidR="00A16B36" w:rsidRPr="00187B05">
        <w:rPr>
          <w:rStyle w:val="normaltextrun"/>
        </w:rPr>
        <w:t xml:space="preserve">for each demonstration year </w:t>
      </w:r>
      <w:r w:rsidRPr="00187B05">
        <w:rPr>
          <w:rStyle w:val="normaltextrun"/>
        </w:rPr>
        <w:t>will be at risk and</w:t>
      </w:r>
      <w:r w:rsidR="005A1910" w:rsidRPr="00187B05">
        <w:t xml:space="preserve"> subject to </w:t>
      </w:r>
      <w:r w:rsidR="007A1F3C">
        <w:t xml:space="preserve">an Accountable Care Organization (ACO) </w:t>
      </w:r>
      <w:r w:rsidR="005A1910" w:rsidRPr="00187B05">
        <w:t>accountability</w:t>
      </w:r>
      <w:r w:rsidR="007A1F3C">
        <w:t xml:space="preserve"> score,</w:t>
      </w:r>
      <w:r w:rsidR="005A1910" w:rsidRPr="00187B05">
        <w:t xml:space="preserve"> </w:t>
      </w:r>
      <w:r w:rsidR="007A1F3C">
        <w:t>which has</w:t>
      </w:r>
      <w:r w:rsidR="007A1F3C" w:rsidRPr="00187B05">
        <w:t xml:space="preserve"> </w:t>
      </w:r>
      <w:r w:rsidR="005A1910" w:rsidRPr="00187B05">
        <w:t xml:space="preserve">performance requirements </w:t>
      </w:r>
      <w:r w:rsidR="00F476FE" w:rsidRPr="00187B05">
        <w:t xml:space="preserve">aligned with the Commonwealth’s </w:t>
      </w:r>
      <w:r w:rsidR="00F07161">
        <w:t>ACO</w:t>
      </w:r>
      <w:r w:rsidR="00F07161" w:rsidRPr="00187B05">
        <w:t xml:space="preserve"> </w:t>
      </w:r>
      <w:r w:rsidR="00F476FE" w:rsidRPr="00187B05">
        <w:t xml:space="preserve">program. </w:t>
      </w:r>
      <w:r w:rsidR="00570272">
        <w:t xml:space="preserve">Of the twenty percent, 15% will be tied to the quality performance of the hospital’s partnered ACO </w:t>
      </w:r>
      <w:r w:rsidR="00D747D7">
        <w:t xml:space="preserve">(ACO quality score) </w:t>
      </w:r>
      <w:r w:rsidR="00570272">
        <w:t>and 5% will be tied to the total cost of care (TCOC) performance of the hospital’s partnered ACO</w:t>
      </w:r>
      <w:r w:rsidR="00D747D7">
        <w:t xml:space="preserve"> (ACO TCOC score)</w:t>
      </w:r>
      <w:r w:rsidR="00570272">
        <w:t xml:space="preserve">. </w:t>
      </w:r>
      <w:r w:rsidR="00AC6263">
        <w:t xml:space="preserve"> </w:t>
      </w:r>
      <w:r w:rsidR="00BF4644">
        <w:t>Executive Office of Health and Human Services (</w:t>
      </w:r>
      <w:r w:rsidR="00F07161" w:rsidRPr="00F07161">
        <w:t>EOHHS</w:t>
      </w:r>
      <w:r w:rsidR="008F02A9">
        <w:t>)</w:t>
      </w:r>
      <w:r w:rsidR="00F07161" w:rsidRPr="00F07161">
        <w:t xml:space="preserve"> will calculate</w:t>
      </w:r>
      <w:r w:rsidR="00CE3522" w:rsidRPr="00F07161">
        <w:t xml:space="preserve"> the ACO quality score </w:t>
      </w:r>
      <w:r w:rsidR="00F07161" w:rsidRPr="00F07161">
        <w:rPr>
          <w:color w:val="000000"/>
        </w:rPr>
        <w:t>as set forth in</w:t>
      </w:r>
      <w:r w:rsidR="00CE3522" w:rsidRPr="00F07161">
        <w:rPr>
          <w:color w:val="000000"/>
        </w:rPr>
        <w:t xml:space="preserve"> Appendix Q </w:t>
      </w:r>
      <w:r w:rsidR="001B3F35">
        <w:rPr>
          <w:color w:val="000000"/>
        </w:rPr>
        <w:t xml:space="preserve">of </w:t>
      </w:r>
      <w:r w:rsidR="004D537C" w:rsidRPr="00F07161">
        <w:rPr>
          <w:color w:val="000000"/>
        </w:rPr>
        <w:t xml:space="preserve">the Accountable Care Partnership Plan </w:t>
      </w:r>
      <w:r w:rsidR="008E2359">
        <w:rPr>
          <w:color w:val="000000"/>
        </w:rPr>
        <w:t xml:space="preserve">(ACPP) </w:t>
      </w:r>
      <w:r w:rsidR="004D537C" w:rsidRPr="00F07161">
        <w:rPr>
          <w:color w:val="000000"/>
        </w:rPr>
        <w:t xml:space="preserve">contract </w:t>
      </w:r>
      <w:r w:rsidR="00CE3522" w:rsidRPr="00F07161">
        <w:rPr>
          <w:color w:val="000000"/>
        </w:rPr>
        <w:t xml:space="preserve">and Appendix B </w:t>
      </w:r>
      <w:r w:rsidR="001B3F35">
        <w:rPr>
          <w:color w:val="000000"/>
        </w:rPr>
        <w:t>of</w:t>
      </w:r>
      <w:r w:rsidR="004D537C" w:rsidRPr="00F07161">
        <w:rPr>
          <w:color w:val="000000"/>
        </w:rPr>
        <w:t xml:space="preserve"> the Primary Care ACO</w:t>
      </w:r>
      <w:r w:rsidR="008E2359">
        <w:rPr>
          <w:color w:val="000000"/>
        </w:rPr>
        <w:t xml:space="preserve"> (PCACO)</w:t>
      </w:r>
      <w:r w:rsidR="004D537C" w:rsidRPr="00F07161">
        <w:rPr>
          <w:color w:val="000000"/>
        </w:rPr>
        <w:t xml:space="preserve"> contract.</w:t>
      </w:r>
      <w:r w:rsidR="00CE3522" w:rsidRPr="00F07161">
        <w:rPr>
          <w:color w:val="000000"/>
        </w:rPr>
        <w:t xml:space="preserve"> </w:t>
      </w:r>
      <w:r w:rsidR="00D747D7">
        <w:t xml:space="preserve">EOHHS will determine the </w:t>
      </w:r>
      <w:r w:rsidR="008E2359">
        <w:t>ACPP</w:t>
      </w:r>
      <w:r w:rsidR="00D747D7">
        <w:t xml:space="preserve"> TCOC score </w:t>
      </w:r>
      <w:r w:rsidR="008E2359">
        <w:t>based</w:t>
      </w:r>
      <w:r w:rsidR="00D747D7">
        <w:t xml:space="preserve"> on </w:t>
      </w:r>
      <w:r w:rsidR="00D747D7" w:rsidRPr="00F07161">
        <w:t xml:space="preserve">ACO </w:t>
      </w:r>
      <w:r w:rsidR="007E692B">
        <w:t>P</w:t>
      </w:r>
      <w:r w:rsidR="00D747D7" w:rsidRPr="00F07161">
        <w:t xml:space="preserve">lan </w:t>
      </w:r>
      <w:r w:rsidR="007E692B">
        <w:t>C</w:t>
      </w:r>
      <w:r w:rsidR="00D747D7" w:rsidRPr="00F07161">
        <w:t xml:space="preserve">orridor </w:t>
      </w:r>
      <w:r w:rsidR="007E692B">
        <w:t>performance as set forth in Section 4 of the ACPP contract. EOHHS will determine the PCACO TCOC Score</w:t>
      </w:r>
      <w:r w:rsidR="008E2359">
        <w:t xml:space="preserve"> </w:t>
      </w:r>
      <w:r w:rsidR="007E692B">
        <w:t>based on</w:t>
      </w:r>
      <w:r w:rsidR="008E2359">
        <w:t xml:space="preserve"> TCOC Performance </w:t>
      </w:r>
      <w:r w:rsidR="007E692B">
        <w:t>as set forth in</w:t>
      </w:r>
      <w:r w:rsidR="00570272" w:rsidRPr="00F07161">
        <w:t xml:space="preserve"> Section </w:t>
      </w:r>
      <w:r w:rsidR="00F07161" w:rsidRPr="00D747D7">
        <w:t>4</w:t>
      </w:r>
      <w:r w:rsidR="00F07161" w:rsidRPr="00F07161">
        <w:t xml:space="preserve"> </w:t>
      </w:r>
      <w:r w:rsidR="00570272" w:rsidRPr="00F07161">
        <w:t xml:space="preserve">of the </w:t>
      </w:r>
      <w:r w:rsidR="00856B73">
        <w:t>PC</w:t>
      </w:r>
      <w:r w:rsidR="00F07161" w:rsidRPr="00F07161">
        <w:t>ACO contract</w:t>
      </w:r>
      <w:r w:rsidR="00570272" w:rsidRPr="00F07161">
        <w:t xml:space="preserve">.  </w:t>
      </w:r>
      <w:r w:rsidR="00FF5FBD">
        <w:t>Table 1</w:t>
      </w:r>
      <w:r w:rsidR="007E692B">
        <w:t xml:space="preserve"> sets forth the relationship between TCOC Performance (Plan Corridor performance for ACPPs) and the ACO’s TCOC Score.</w:t>
      </w:r>
    </w:p>
    <w:p w14:paraId="78FD8C03" w14:textId="31F14255" w:rsidR="00FE4E22" w:rsidRDefault="00FE4E22" w:rsidP="00187B05">
      <w:pPr>
        <w:pStyle w:val="BodyText"/>
      </w:pPr>
    </w:p>
    <w:p w14:paraId="0F8A7872" w14:textId="4E3B5E6B" w:rsidR="00FE4E22" w:rsidRDefault="00FE4E22" w:rsidP="00187B05">
      <w:pPr>
        <w:pStyle w:val="BodyText"/>
      </w:pPr>
    </w:p>
    <w:p w14:paraId="56A200C4" w14:textId="20044D80" w:rsidR="00FE4E22" w:rsidRDefault="00FE4E22" w:rsidP="00187B05">
      <w:pPr>
        <w:pStyle w:val="BodyText"/>
      </w:pPr>
    </w:p>
    <w:p w14:paraId="601DE95C" w14:textId="77777777" w:rsidR="00FE4E22" w:rsidRDefault="00FE4E22" w:rsidP="00187B05">
      <w:pPr>
        <w:pStyle w:val="BodyText"/>
      </w:pPr>
    </w:p>
    <w:p w14:paraId="6ECA601B" w14:textId="77777777" w:rsidR="00041A8A" w:rsidRDefault="00041A8A" w:rsidP="00187B05">
      <w:pPr>
        <w:pStyle w:val="BodyText"/>
      </w:pPr>
    </w:p>
    <w:p w14:paraId="64A84AF4" w14:textId="18A91E87" w:rsidR="00570272" w:rsidRDefault="00570272" w:rsidP="00187B05">
      <w:pPr>
        <w:pStyle w:val="BodyText"/>
      </w:pPr>
    </w:p>
    <w:p w14:paraId="2B04E455" w14:textId="10ED2E07" w:rsidR="00FF5FBD" w:rsidRPr="00963815" w:rsidRDefault="00FF5FBD" w:rsidP="00963815">
      <w:pPr>
        <w:pStyle w:val="BodyText"/>
        <w:jc w:val="center"/>
        <w:rPr>
          <w:b/>
        </w:rPr>
      </w:pPr>
      <w:r w:rsidRPr="00963815">
        <w:rPr>
          <w:b/>
        </w:rPr>
        <w:lastRenderedPageBreak/>
        <w:t>Table 1. TCOC Performance and TCOC Score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15"/>
        <w:gridCol w:w="2700"/>
      </w:tblGrid>
      <w:tr w:rsidR="00570272" w14:paraId="4E18CB14" w14:textId="77777777" w:rsidTr="002179FC">
        <w:trPr>
          <w:jc w:val="center"/>
        </w:trPr>
        <w:tc>
          <w:tcPr>
            <w:tcW w:w="4415" w:type="dxa"/>
            <w:shd w:val="clear" w:color="auto" w:fill="DEEAF6" w:themeFill="accent1" w:themeFillTint="33"/>
            <w:vAlign w:val="center"/>
          </w:tcPr>
          <w:p w14:paraId="6B92383E" w14:textId="2ECB5F94" w:rsidR="00FE4E22" w:rsidRPr="00D65697" w:rsidRDefault="008E2359" w:rsidP="002179FC">
            <w:pPr>
              <w:pStyle w:val="BodyText"/>
              <w:jc w:val="center"/>
              <w:rPr>
                <w:b/>
              </w:rPr>
            </w:pPr>
            <w:r w:rsidRPr="00D65697">
              <w:rPr>
                <w:b/>
              </w:rPr>
              <w:t>TCOC Performance</w:t>
            </w:r>
          </w:p>
          <w:p w14:paraId="7804DFDA" w14:textId="0DD97CB7" w:rsidR="00570272" w:rsidRPr="00D65697" w:rsidRDefault="008E2359" w:rsidP="002179FC">
            <w:pPr>
              <w:pStyle w:val="BodyText"/>
              <w:jc w:val="center"/>
              <w:rPr>
                <w:b/>
              </w:rPr>
            </w:pPr>
            <w:r w:rsidRPr="00D65697">
              <w:rPr>
                <w:b/>
              </w:rPr>
              <w:t>(</w:t>
            </w:r>
            <w:r w:rsidR="00570272" w:rsidRPr="00D65697">
              <w:rPr>
                <w:b/>
              </w:rPr>
              <w:t>Plan Corridor Performance</w:t>
            </w:r>
            <w:r w:rsidR="007E692B" w:rsidRPr="00D65697">
              <w:rPr>
                <w:b/>
              </w:rPr>
              <w:t xml:space="preserve"> for ACPPs</w:t>
            </w:r>
            <w:r w:rsidRPr="00D65697">
              <w:rPr>
                <w:b/>
              </w:rPr>
              <w:t>)</w:t>
            </w:r>
          </w:p>
        </w:tc>
        <w:tc>
          <w:tcPr>
            <w:tcW w:w="2700" w:type="dxa"/>
            <w:shd w:val="clear" w:color="auto" w:fill="DEEAF6" w:themeFill="accent1" w:themeFillTint="33"/>
            <w:vAlign w:val="center"/>
          </w:tcPr>
          <w:p w14:paraId="78BEE309" w14:textId="63849277" w:rsidR="00570272" w:rsidRPr="00D65697" w:rsidRDefault="00570272" w:rsidP="002179FC">
            <w:pPr>
              <w:pStyle w:val="BodyText"/>
              <w:jc w:val="center"/>
              <w:rPr>
                <w:b/>
              </w:rPr>
            </w:pPr>
            <w:r w:rsidRPr="00D65697">
              <w:rPr>
                <w:b/>
              </w:rPr>
              <w:t>TCOC Score</w:t>
            </w:r>
          </w:p>
        </w:tc>
      </w:tr>
      <w:tr w:rsidR="00570272" w14:paraId="4012B141" w14:textId="77777777" w:rsidTr="00D65697">
        <w:trPr>
          <w:jc w:val="center"/>
        </w:trPr>
        <w:tc>
          <w:tcPr>
            <w:tcW w:w="4415" w:type="dxa"/>
          </w:tcPr>
          <w:p w14:paraId="28338D04" w14:textId="0BF2DA2D" w:rsidR="00570272" w:rsidRDefault="00570272" w:rsidP="00FE4E22">
            <w:pPr>
              <w:pStyle w:val="BodyText"/>
              <w:jc w:val="center"/>
            </w:pPr>
            <w:r>
              <w:t>&gt;0%</w:t>
            </w:r>
            <w:r w:rsidR="00D747D7">
              <w:t xml:space="preserve"> gain</w:t>
            </w:r>
          </w:p>
        </w:tc>
        <w:tc>
          <w:tcPr>
            <w:tcW w:w="2700" w:type="dxa"/>
          </w:tcPr>
          <w:p w14:paraId="5CB5A89F" w14:textId="77777777" w:rsidR="00570272" w:rsidRDefault="00570272" w:rsidP="00FE4E22">
            <w:pPr>
              <w:pStyle w:val="BodyText"/>
              <w:jc w:val="center"/>
            </w:pPr>
            <w:r>
              <w:t>100%</w:t>
            </w:r>
          </w:p>
        </w:tc>
      </w:tr>
      <w:tr w:rsidR="00570272" w14:paraId="5B0EEBD9" w14:textId="77777777" w:rsidTr="00D65697">
        <w:trPr>
          <w:jc w:val="center"/>
        </w:trPr>
        <w:tc>
          <w:tcPr>
            <w:tcW w:w="4415" w:type="dxa"/>
          </w:tcPr>
          <w:p w14:paraId="2826EE1F" w14:textId="77777777" w:rsidR="00570272" w:rsidRDefault="00570272" w:rsidP="00FE4E22">
            <w:pPr>
              <w:pStyle w:val="BodyText"/>
              <w:jc w:val="center"/>
            </w:pPr>
            <w:r>
              <w:t>0-5% loss</w:t>
            </w:r>
          </w:p>
        </w:tc>
        <w:tc>
          <w:tcPr>
            <w:tcW w:w="2700" w:type="dxa"/>
          </w:tcPr>
          <w:p w14:paraId="7889D720" w14:textId="388BCAB2" w:rsidR="00570272" w:rsidRDefault="004862D6" w:rsidP="00FE4E22">
            <w:pPr>
              <w:pStyle w:val="BodyText"/>
              <w:jc w:val="center"/>
            </w:pPr>
            <w:r>
              <w:t>7</w:t>
            </w:r>
            <w:r w:rsidR="00570272">
              <w:t>5%</w:t>
            </w:r>
          </w:p>
        </w:tc>
      </w:tr>
      <w:tr w:rsidR="00332B96" w14:paraId="5701E924" w14:textId="77777777" w:rsidTr="00D65697">
        <w:trPr>
          <w:jc w:val="center"/>
        </w:trPr>
        <w:tc>
          <w:tcPr>
            <w:tcW w:w="4415" w:type="dxa"/>
          </w:tcPr>
          <w:p w14:paraId="1B3C51A3" w14:textId="27982973" w:rsidR="00332B96" w:rsidRDefault="00332B96" w:rsidP="00FE4E22">
            <w:pPr>
              <w:pStyle w:val="BodyText"/>
              <w:jc w:val="center"/>
            </w:pPr>
            <w:r>
              <w:t>5-10% loss</w:t>
            </w:r>
          </w:p>
        </w:tc>
        <w:tc>
          <w:tcPr>
            <w:tcW w:w="2700" w:type="dxa"/>
          </w:tcPr>
          <w:p w14:paraId="7414A4C4" w14:textId="650D6FB7" w:rsidR="00332B96" w:rsidRDefault="004862D6" w:rsidP="00FE4E22">
            <w:pPr>
              <w:pStyle w:val="BodyText"/>
              <w:jc w:val="center"/>
            </w:pPr>
            <w:r>
              <w:t>50%</w:t>
            </w:r>
          </w:p>
        </w:tc>
      </w:tr>
      <w:tr w:rsidR="00570272" w14:paraId="2C0F2F1C" w14:textId="77777777" w:rsidTr="00D65697">
        <w:trPr>
          <w:jc w:val="center"/>
        </w:trPr>
        <w:tc>
          <w:tcPr>
            <w:tcW w:w="4415" w:type="dxa"/>
          </w:tcPr>
          <w:p w14:paraId="667ABC2C" w14:textId="77B89798" w:rsidR="00570272" w:rsidRDefault="00570272" w:rsidP="00FE4E22">
            <w:pPr>
              <w:pStyle w:val="BodyText"/>
              <w:jc w:val="center"/>
            </w:pPr>
            <w:r>
              <w:t>&gt;</w:t>
            </w:r>
            <w:r w:rsidR="004862D6">
              <w:t>10</w:t>
            </w:r>
            <w:r>
              <w:t>% loss</w:t>
            </w:r>
          </w:p>
        </w:tc>
        <w:tc>
          <w:tcPr>
            <w:tcW w:w="2700" w:type="dxa"/>
          </w:tcPr>
          <w:p w14:paraId="0D91C3BF" w14:textId="77777777" w:rsidR="00570272" w:rsidRDefault="00570272" w:rsidP="00FE4E22">
            <w:pPr>
              <w:pStyle w:val="BodyText"/>
              <w:jc w:val="center"/>
            </w:pPr>
            <w:r>
              <w:t>0%</w:t>
            </w:r>
          </w:p>
        </w:tc>
      </w:tr>
    </w:tbl>
    <w:p w14:paraId="5EC957B2" w14:textId="3C99F8D9" w:rsidR="00D747D7" w:rsidRDefault="00D747D7" w:rsidP="00187B05">
      <w:pPr>
        <w:pStyle w:val="BodyText"/>
      </w:pPr>
    </w:p>
    <w:p w14:paraId="42BFE7B9" w14:textId="7CD9D573" w:rsidR="0043430F" w:rsidRPr="00187B05" w:rsidRDefault="007D358E" w:rsidP="00187B05">
      <w:pPr>
        <w:pStyle w:val="BodyText"/>
      </w:pPr>
      <w:r w:rsidRPr="00187B05">
        <w:t xml:space="preserve">The at-risk payments will be withheld until </w:t>
      </w:r>
      <w:r w:rsidR="00545C1B" w:rsidRPr="00187B05">
        <w:t>performance results</w:t>
      </w:r>
      <w:r w:rsidRPr="00187B05">
        <w:t xml:space="preserve"> are available or can be estimated as described below. </w:t>
      </w:r>
    </w:p>
    <w:p w14:paraId="1AD46A7B" w14:textId="77777777" w:rsidR="009F32A7" w:rsidRPr="00187B05" w:rsidRDefault="009F32A7" w:rsidP="00887333">
      <w:pPr>
        <w:pStyle w:val="BodyText"/>
      </w:pPr>
    </w:p>
    <w:p w14:paraId="0A7CED18" w14:textId="042873CB" w:rsidR="0043430F" w:rsidRPr="00D65697" w:rsidRDefault="0043430F" w:rsidP="00887333">
      <w:pPr>
        <w:pStyle w:val="BodyText"/>
        <w:rPr>
          <w:b/>
        </w:rPr>
      </w:pPr>
      <w:r w:rsidRPr="00D65697">
        <w:rPr>
          <w:b/>
          <w:szCs w:val="22"/>
        </w:rPr>
        <w:t>Table</w:t>
      </w:r>
      <w:r w:rsidR="008F02A9">
        <w:rPr>
          <w:b/>
          <w:szCs w:val="22"/>
        </w:rPr>
        <w:t xml:space="preserve"> </w:t>
      </w:r>
      <w:r w:rsidR="009D6E71">
        <w:rPr>
          <w:b/>
          <w:szCs w:val="22"/>
        </w:rPr>
        <w:t>2</w:t>
      </w:r>
      <w:r w:rsidRPr="00D65697">
        <w:rPr>
          <w:b/>
          <w:szCs w:val="22"/>
        </w:rPr>
        <w:t>. Safety Net Provider Potential Payments by Eligible Hospital Provider</w:t>
      </w:r>
      <w:r w:rsidR="002179FC">
        <w:rPr>
          <w:b/>
          <w:szCs w:val="22"/>
        </w:rPr>
        <w:t xml:space="preserve"> (in millions)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722"/>
        <w:gridCol w:w="938"/>
        <w:gridCol w:w="938"/>
        <w:gridCol w:w="938"/>
        <w:gridCol w:w="938"/>
        <w:gridCol w:w="938"/>
        <w:gridCol w:w="938"/>
      </w:tblGrid>
      <w:tr w:rsidR="009F32A7" w:rsidRPr="009F32A7" w14:paraId="338C9D6F" w14:textId="77777777" w:rsidTr="6940B98A">
        <w:trPr>
          <w:trHeight w:val="300"/>
        </w:trPr>
        <w:tc>
          <w:tcPr>
            <w:tcW w:w="3722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75A06E08" w14:textId="77777777" w:rsidR="0043430F" w:rsidRPr="009F32A7" w:rsidRDefault="0043430F" w:rsidP="002179FC">
            <w:pPr>
              <w:pStyle w:val="Heading5"/>
            </w:pPr>
            <w:r w:rsidRPr="009F32A7">
              <w:t>Hospital Provider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26AA3194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DY 27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6A3CBA3A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DY 28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36C13D81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DY 29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2E615010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DY 30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66493340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DY 31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21401C5B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DY 32</w:t>
            </w:r>
          </w:p>
        </w:tc>
      </w:tr>
      <w:tr w:rsidR="009F32A7" w:rsidRPr="009F32A7" w14:paraId="78BA1FE4" w14:textId="77777777" w:rsidTr="6940B98A">
        <w:trPr>
          <w:trHeight w:val="300"/>
        </w:trPr>
        <w:tc>
          <w:tcPr>
            <w:tcW w:w="3722" w:type="dxa"/>
            <w:vMerge/>
            <w:hideMark/>
          </w:tcPr>
          <w:p w14:paraId="34808504" w14:textId="77777777" w:rsidR="0043430F" w:rsidRPr="009F32A7" w:rsidRDefault="0043430F" w:rsidP="00873AB2">
            <w:pPr>
              <w:widowControl/>
              <w:autoSpaceDE/>
              <w:autoSpaceDN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417BAE30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Oct - Dec 22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40D64912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CY 23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77BE0503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CY 24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4FD33D40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CY 25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75E18F26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CY 26</w:t>
            </w:r>
          </w:p>
        </w:tc>
        <w:tc>
          <w:tcPr>
            <w:tcW w:w="938" w:type="dxa"/>
            <w:shd w:val="clear" w:color="auto" w:fill="DEEAF6" w:themeFill="accent1" w:themeFillTint="33"/>
            <w:noWrap/>
            <w:vAlign w:val="center"/>
            <w:hideMark/>
          </w:tcPr>
          <w:p w14:paraId="693D88E8" w14:textId="77777777" w:rsidR="0043430F" w:rsidRPr="009F32A7" w:rsidRDefault="0043430F" w:rsidP="0010727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9F32A7">
              <w:rPr>
                <w:b/>
                <w:bCs/>
              </w:rPr>
              <w:t>CY 27</w:t>
            </w:r>
          </w:p>
        </w:tc>
      </w:tr>
      <w:tr w:rsidR="00D65697" w:rsidRPr="009F32A7" w14:paraId="59E3E7C0" w14:textId="77777777" w:rsidTr="6940B98A">
        <w:trPr>
          <w:trHeight w:val="300"/>
        </w:trPr>
        <w:tc>
          <w:tcPr>
            <w:tcW w:w="9350" w:type="dxa"/>
            <w:gridSpan w:val="7"/>
            <w:noWrap/>
            <w:vAlign w:val="center"/>
            <w:hideMark/>
          </w:tcPr>
          <w:p w14:paraId="09D20A5A" w14:textId="1468A0C9" w:rsidR="00D65697" w:rsidRPr="00D65697" w:rsidRDefault="00D65697" w:rsidP="00D65697">
            <w:pPr>
              <w:pStyle w:val="Heading3"/>
              <w:rPr>
                <w:bCs/>
              </w:rPr>
            </w:pPr>
            <w:r w:rsidRPr="00D65697">
              <w:rPr>
                <w:bCs/>
              </w:rPr>
              <w:t>Group 1</w:t>
            </w:r>
          </w:p>
        </w:tc>
      </w:tr>
      <w:tr w:rsidR="003E4107" w:rsidRPr="009F32A7" w14:paraId="7D7597DE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173E8E6A" w14:textId="77777777" w:rsidR="003E4107" w:rsidRPr="009F32A7" w:rsidRDefault="003E4107" w:rsidP="00D65697">
            <w:pPr>
              <w:pStyle w:val="TableParagraph"/>
              <w:widowControl/>
              <w:autoSpaceDE/>
              <w:autoSpaceDN/>
            </w:pPr>
            <w:r w:rsidRPr="009F32A7">
              <w:t>Boston Medical Center</w:t>
            </w:r>
          </w:p>
        </w:tc>
        <w:tc>
          <w:tcPr>
            <w:tcW w:w="938" w:type="dxa"/>
            <w:noWrap/>
            <w:vAlign w:val="center"/>
            <w:hideMark/>
          </w:tcPr>
          <w:p w14:paraId="55EA2DEE" w14:textId="63F70B0E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34.865</w:t>
            </w:r>
          </w:p>
        </w:tc>
        <w:tc>
          <w:tcPr>
            <w:tcW w:w="938" w:type="dxa"/>
            <w:noWrap/>
            <w:vAlign w:val="center"/>
            <w:hideMark/>
          </w:tcPr>
          <w:p w14:paraId="13F0F0DC" w14:textId="1770033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139.458</w:t>
            </w:r>
          </w:p>
        </w:tc>
        <w:tc>
          <w:tcPr>
            <w:tcW w:w="938" w:type="dxa"/>
            <w:noWrap/>
            <w:vAlign w:val="center"/>
            <w:hideMark/>
          </w:tcPr>
          <w:p w14:paraId="1D54E2E5" w14:textId="3F38E4E5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139.458</w:t>
            </w:r>
          </w:p>
        </w:tc>
        <w:tc>
          <w:tcPr>
            <w:tcW w:w="938" w:type="dxa"/>
            <w:noWrap/>
            <w:vAlign w:val="center"/>
            <w:hideMark/>
          </w:tcPr>
          <w:p w14:paraId="5C911CCB" w14:textId="04B205B4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139.458</w:t>
            </w:r>
          </w:p>
        </w:tc>
        <w:tc>
          <w:tcPr>
            <w:tcW w:w="938" w:type="dxa"/>
            <w:noWrap/>
            <w:vAlign w:val="center"/>
            <w:hideMark/>
          </w:tcPr>
          <w:p w14:paraId="460A7B07" w14:textId="3C917C1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139.458</w:t>
            </w:r>
          </w:p>
        </w:tc>
        <w:tc>
          <w:tcPr>
            <w:tcW w:w="938" w:type="dxa"/>
            <w:noWrap/>
            <w:vAlign w:val="center"/>
            <w:hideMark/>
          </w:tcPr>
          <w:p w14:paraId="1B1E88DF" w14:textId="3451826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139.458</w:t>
            </w:r>
          </w:p>
        </w:tc>
      </w:tr>
      <w:tr w:rsidR="003E4107" w:rsidRPr="009F32A7" w14:paraId="6D3C9297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23501D15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Holyoke Medical Center</w:t>
            </w:r>
          </w:p>
        </w:tc>
        <w:tc>
          <w:tcPr>
            <w:tcW w:w="938" w:type="dxa"/>
            <w:noWrap/>
            <w:vAlign w:val="center"/>
            <w:hideMark/>
          </w:tcPr>
          <w:p w14:paraId="537864CD" w14:textId="360558CE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2.151</w:t>
            </w:r>
          </w:p>
        </w:tc>
        <w:tc>
          <w:tcPr>
            <w:tcW w:w="938" w:type="dxa"/>
            <w:noWrap/>
            <w:vAlign w:val="center"/>
            <w:hideMark/>
          </w:tcPr>
          <w:p w14:paraId="4CBFF2D3" w14:textId="11485C6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8.603</w:t>
            </w:r>
          </w:p>
        </w:tc>
        <w:tc>
          <w:tcPr>
            <w:tcW w:w="938" w:type="dxa"/>
            <w:noWrap/>
            <w:vAlign w:val="center"/>
            <w:hideMark/>
          </w:tcPr>
          <w:p w14:paraId="7AD36722" w14:textId="200CE54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8.603</w:t>
            </w:r>
          </w:p>
        </w:tc>
        <w:tc>
          <w:tcPr>
            <w:tcW w:w="938" w:type="dxa"/>
            <w:noWrap/>
            <w:vAlign w:val="center"/>
            <w:hideMark/>
          </w:tcPr>
          <w:p w14:paraId="1B28856E" w14:textId="29C3DDA9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8.603</w:t>
            </w:r>
          </w:p>
        </w:tc>
        <w:tc>
          <w:tcPr>
            <w:tcW w:w="938" w:type="dxa"/>
            <w:noWrap/>
            <w:vAlign w:val="center"/>
            <w:hideMark/>
          </w:tcPr>
          <w:p w14:paraId="7C938D05" w14:textId="5A1B5736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8.603</w:t>
            </w:r>
          </w:p>
        </w:tc>
        <w:tc>
          <w:tcPr>
            <w:tcW w:w="938" w:type="dxa"/>
            <w:noWrap/>
            <w:vAlign w:val="center"/>
            <w:hideMark/>
          </w:tcPr>
          <w:p w14:paraId="439604A2" w14:textId="65EDA30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8.603</w:t>
            </w:r>
          </w:p>
        </w:tc>
      </w:tr>
      <w:tr w:rsidR="003E4107" w:rsidRPr="009F32A7" w14:paraId="2B22FDDD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47D09F98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Lawrence General Hospital</w:t>
            </w:r>
          </w:p>
        </w:tc>
        <w:tc>
          <w:tcPr>
            <w:tcW w:w="938" w:type="dxa"/>
            <w:noWrap/>
            <w:vAlign w:val="center"/>
            <w:hideMark/>
          </w:tcPr>
          <w:p w14:paraId="2987640F" w14:textId="68936F3F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3.801</w:t>
            </w:r>
          </w:p>
        </w:tc>
        <w:tc>
          <w:tcPr>
            <w:tcW w:w="938" w:type="dxa"/>
            <w:noWrap/>
            <w:vAlign w:val="center"/>
            <w:hideMark/>
          </w:tcPr>
          <w:p w14:paraId="4A16651F" w14:textId="7B1FB6D3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15.204</w:t>
            </w:r>
          </w:p>
        </w:tc>
        <w:tc>
          <w:tcPr>
            <w:tcW w:w="938" w:type="dxa"/>
            <w:noWrap/>
            <w:vAlign w:val="center"/>
            <w:hideMark/>
          </w:tcPr>
          <w:p w14:paraId="58322FA6" w14:textId="0AB5AEE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15.204</w:t>
            </w:r>
          </w:p>
        </w:tc>
        <w:tc>
          <w:tcPr>
            <w:tcW w:w="938" w:type="dxa"/>
            <w:noWrap/>
            <w:vAlign w:val="center"/>
            <w:hideMark/>
          </w:tcPr>
          <w:p w14:paraId="185AE7E5" w14:textId="7704475B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15.204</w:t>
            </w:r>
          </w:p>
        </w:tc>
        <w:tc>
          <w:tcPr>
            <w:tcW w:w="938" w:type="dxa"/>
            <w:noWrap/>
            <w:vAlign w:val="center"/>
            <w:hideMark/>
          </w:tcPr>
          <w:p w14:paraId="727F07F1" w14:textId="7A327407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15.204</w:t>
            </w:r>
          </w:p>
        </w:tc>
        <w:tc>
          <w:tcPr>
            <w:tcW w:w="938" w:type="dxa"/>
            <w:noWrap/>
            <w:vAlign w:val="center"/>
            <w:hideMark/>
          </w:tcPr>
          <w:p w14:paraId="0E609AE5" w14:textId="7C9A280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15.204</w:t>
            </w:r>
          </w:p>
        </w:tc>
      </w:tr>
      <w:tr w:rsidR="003E4107" w:rsidRPr="009F32A7" w14:paraId="70D79D76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7871C360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Mercy Medical Center</w:t>
            </w:r>
          </w:p>
        </w:tc>
        <w:tc>
          <w:tcPr>
            <w:tcW w:w="938" w:type="dxa"/>
            <w:noWrap/>
            <w:vAlign w:val="center"/>
            <w:hideMark/>
          </w:tcPr>
          <w:p w14:paraId="3F612DA4" w14:textId="40FF7023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3.990</w:t>
            </w:r>
          </w:p>
        </w:tc>
        <w:tc>
          <w:tcPr>
            <w:tcW w:w="938" w:type="dxa"/>
            <w:noWrap/>
            <w:vAlign w:val="center"/>
            <w:hideMark/>
          </w:tcPr>
          <w:p w14:paraId="0E20B87C" w14:textId="227DBA78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15.959</w:t>
            </w:r>
          </w:p>
        </w:tc>
        <w:tc>
          <w:tcPr>
            <w:tcW w:w="938" w:type="dxa"/>
            <w:noWrap/>
            <w:vAlign w:val="center"/>
            <w:hideMark/>
          </w:tcPr>
          <w:p w14:paraId="1852209A" w14:textId="4C67599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15.959</w:t>
            </w:r>
          </w:p>
        </w:tc>
        <w:tc>
          <w:tcPr>
            <w:tcW w:w="938" w:type="dxa"/>
            <w:noWrap/>
            <w:vAlign w:val="center"/>
            <w:hideMark/>
          </w:tcPr>
          <w:p w14:paraId="21B96639" w14:textId="33E416E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15.959</w:t>
            </w:r>
          </w:p>
        </w:tc>
        <w:tc>
          <w:tcPr>
            <w:tcW w:w="938" w:type="dxa"/>
            <w:noWrap/>
            <w:vAlign w:val="center"/>
            <w:hideMark/>
          </w:tcPr>
          <w:p w14:paraId="60936DF9" w14:textId="50503041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15.959</w:t>
            </w:r>
          </w:p>
        </w:tc>
        <w:tc>
          <w:tcPr>
            <w:tcW w:w="938" w:type="dxa"/>
            <w:noWrap/>
            <w:vAlign w:val="center"/>
            <w:hideMark/>
          </w:tcPr>
          <w:p w14:paraId="12EEDE6C" w14:textId="2F58034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15.959</w:t>
            </w:r>
          </w:p>
        </w:tc>
      </w:tr>
      <w:tr w:rsidR="003E4107" w:rsidRPr="009F32A7" w14:paraId="371263C7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1AC0BBF8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Signature Healthcare Brockton Hospital</w:t>
            </w:r>
          </w:p>
        </w:tc>
        <w:tc>
          <w:tcPr>
            <w:tcW w:w="938" w:type="dxa"/>
            <w:noWrap/>
            <w:vAlign w:val="center"/>
            <w:hideMark/>
          </w:tcPr>
          <w:p w14:paraId="6EF7D58F" w14:textId="5E81C60E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4.398</w:t>
            </w:r>
          </w:p>
        </w:tc>
        <w:tc>
          <w:tcPr>
            <w:tcW w:w="938" w:type="dxa"/>
            <w:noWrap/>
            <w:vAlign w:val="center"/>
            <w:hideMark/>
          </w:tcPr>
          <w:p w14:paraId="34C8BF31" w14:textId="3397E113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17.590</w:t>
            </w:r>
          </w:p>
        </w:tc>
        <w:tc>
          <w:tcPr>
            <w:tcW w:w="938" w:type="dxa"/>
            <w:noWrap/>
            <w:vAlign w:val="center"/>
            <w:hideMark/>
          </w:tcPr>
          <w:p w14:paraId="145B988A" w14:textId="64A2758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17.590</w:t>
            </w:r>
          </w:p>
        </w:tc>
        <w:tc>
          <w:tcPr>
            <w:tcW w:w="938" w:type="dxa"/>
            <w:noWrap/>
            <w:vAlign w:val="center"/>
            <w:hideMark/>
          </w:tcPr>
          <w:p w14:paraId="18F7A287" w14:textId="4782F3B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17.590</w:t>
            </w:r>
          </w:p>
        </w:tc>
        <w:tc>
          <w:tcPr>
            <w:tcW w:w="938" w:type="dxa"/>
            <w:noWrap/>
            <w:vAlign w:val="center"/>
            <w:hideMark/>
          </w:tcPr>
          <w:p w14:paraId="6F22D7F4" w14:textId="05CD68A3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17.590</w:t>
            </w:r>
          </w:p>
        </w:tc>
        <w:tc>
          <w:tcPr>
            <w:tcW w:w="938" w:type="dxa"/>
            <w:noWrap/>
            <w:vAlign w:val="center"/>
            <w:hideMark/>
          </w:tcPr>
          <w:p w14:paraId="26C38D59" w14:textId="3433F9E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17.590</w:t>
            </w:r>
          </w:p>
        </w:tc>
      </w:tr>
      <w:tr w:rsidR="003E4107" w:rsidRPr="009F32A7" w14:paraId="00143B70" w14:textId="77777777" w:rsidTr="00C23A69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578A97F7" w14:textId="27FBA94C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Steward Carney Hospital Inc.</w:t>
            </w:r>
            <w:r w:rsidR="000F4441">
              <w:t>*</w:t>
            </w:r>
          </w:p>
        </w:tc>
        <w:tc>
          <w:tcPr>
            <w:tcW w:w="938" w:type="dxa"/>
            <w:noWrap/>
            <w:vAlign w:val="center"/>
            <w:hideMark/>
          </w:tcPr>
          <w:p w14:paraId="7AF4D44A" w14:textId="4907C23A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1.697</w:t>
            </w:r>
          </w:p>
        </w:tc>
        <w:tc>
          <w:tcPr>
            <w:tcW w:w="938" w:type="dxa"/>
            <w:noWrap/>
            <w:vAlign w:val="center"/>
            <w:hideMark/>
          </w:tcPr>
          <w:p w14:paraId="1D811ADD" w14:textId="49B30FB3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6.787</w:t>
            </w:r>
          </w:p>
        </w:tc>
        <w:tc>
          <w:tcPr>
            <w:tcW w:w="938" w:type="dxa"/>
            <w:noWrap/>
            <w:vAlign w:val="center"/>
            <w:hideMark/>
          </w:tcPr>
          <w:p w14:paraId="7CF04D0C" w14:textId="756E1DB1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6B2D7E">
              <w:t>6.787</w:t>
            </w:r>
          </w:p>
        </w:tc>
        <w:tc>
          <w:tcPr>
            <w:tcW w:w="938" w:type="dxa"/>
            <w:noWrap/>
            <w:vAlign w:val="center"/>
          </w:tcPr>
          <w:p w14:paraId="29C8D17A" w14:textId="7BCB08B0" w:rsidR="003E4107" w:rsidRPr="009F32A7" w:rsidRDefault="4AA848DC" w:rsidP="00D65697">
            <w:pPr>
              <w:widowControl/>
              <w:autoSpaceDE/>
              <w:autoSpaceDN/>
              <w:jc w:val="center"/>
            </w:pPr>
            <w:r>
              <w:t>-</w:t>
            </w:r>
          </w:p>
        </w:tc>
        <w:tc>
          <w:tcPr>
            <w:tcW w:w="938" w:type="dxa"/>
            <w:noWrap/>
            <w:vAlign w:val="center"/>
          </w:tcPr>
          <w:p w14:paraId="18190293" w14:textId="0351D091" w:rsidR="003E4107" w:rsidRPr="009F32A7" w:rsidRDefault="73150310" w:rsidP="00D65697">
            <w:pPr>
              <w:widowControl/>
              <w:autoSpaceDE/>
              <w:autoSpaceDN/>
              <w:jc w:val="center"/>
            </w:pPr>
            <w:r>
              <w:t>-</w:t>
            </w:r>
          </w:p>
        </w:tc>
        <w:tc>
          <w:tcPr>
            <w:tcW w:w="938" w:type="dxa"/>
            <w:noWrap/>
            <w:vAlign w:val="center"/>
          </w:tcPr>
          <w:p w14:paraId="12847F4C" w14:textId="4B024957" w:rsidR="003E4107" w:rsidRPr="009F32A7" w:rsidRDefault="3F9CFD00" w:rsidP="00D65697">
            <w:pPr>
              <w:widowControl/>
              <w:autoSpaceDE/>
              <w:autoSpaceDN/>
              <w:jc w:val="center"/>
            </w:pPr>
            <w:r>
              <w:t>-</w:t>
            </w:r>
          </w:p>
        </w:tc>
      </w:tr>
      <w:tr w:rsidR="00D65697" w:rsidRPr="009F32A7" w14:paraId="68EDECB6" w14:textId="77777777" w:rsidTr="6940B98A">
        <w:trPr>
          <w:trHeight w:val="300"/>
        </w:trPr>
        <w:tc>
          <w:tcPr>
            <w:tcW w:w="9350" w:type="dxa"/>
            <w:gridSpan w:val="7"/>
            <w:noWrap/>
            <w:vAlign w:val="center"/>
            <w:hideMark/>
          </w:tcPr>
          <w:p w14:paraId="7D636385" w14:textId="6F2F5228" w:rsidR="00D65697" w:rsidRPr="00D65697" w:rsidRDefault="00D65697" w:rsidP="00D65697">
            <w:pPr>
              <w:pStyle w:val="Heading3"/>
              <w:rPr>
                <w:bCs/>
              </w:rPr>
            </w:pPr>
            <w:r w:rsidRPr="00D65697">
              <w:rPr>
                <w:bCs/>
              </w:rPr>
              <w:t>Group 2</w:t>
            </w:r>
          </w:p>
        </w:tc>
      </w:tr>
      <w:tr w:rsidR="003E4107" w:rsidRPr="009F32A7" w14:paraId="67B99879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0A9EE4A7" w14:textId="77777777" w:rsidR="003E4107" w:rsidRPr="009F32A7" w:rsidRDefault="003E4107" w:rsidP="00D65697">
            <w:pPr>
              <w:pStyle w:val="TableParagraph"/>
              <w:widowControl/>
              <w:autoSpaceDE/>
              <w:autoSpaceDN/>
            </w:pPr>
            <w:r w:rsidRPr="009F32A7">
              <w:t>Baystate Franklin Medical Center</w:t>
            </w:r>
          </w:p>
        </w:tc>
        <w:tc>
          <w:tcPr>
            <w:tcW w:w="938" w:type="dxa"/>
            <w:noWrap/>
            <w:vAlign w:val="center"/>
            <w:hideMark/>
          </w:tcPr>
          <w:p w14:paraId="0CB688AD" w14:textId="36DCA921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0.389</w:t>
            </w:r>
          </w:p>
        </w:tc>
        <w:tc>
          <w:tcPr>
            <w:tcW w:w="938" w:type="dxa"/>
            <w:noWrap/>
            <w:vAlign w:val="center"/>
            <w:hideMark/>
          </w:tcPr>
          <w:p w14:paraId="51A61C8E" w14:textId="4A513985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1.554</w:t>
            </w:r>
          </w:p>
        </w:tc>
        <w:tc>
          <w:tcPr>
            <w:tcW w:w="938" w:type="dxa"/>
            <w:noWrap/>
            <w:vAlign w:val="center"/>
            <w:hideMark/>
          </w:tcPr>
          <w:p w14:paraId="6CA246E7" w14:textId="291877B0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1.554</w:t>
            </w:r>
          </w:p>
        </w:tc>
        <w:tc>
          <w:tcPr>
            <w:tcW w:w="938" w:type="dxa"/>
            <w:noWrap/>
            <w:vAlign w:val="center"/>
            <w:hideMark/>
          </w:tcPr>
          <w:p w14:paraId="28870B86" w14:textId="2AB462A5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1.554</w:t>
            </w:r>
          </w:p>
        </w:tc>
        <w:tc>
          <w:tcPr>
            <w:tcW w:w="938" w:type="dxa"/>
            <w:noWrap/>
            <w:vAlign w:val="center"/>
            <w:hideMark/>
          </w:tcPr>
          <w:p w14:paraId="5FD1D40B" w14:textId="6539274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1.554</w:t>
            </w:r>
          </w:p>
        </w:tc>
        <w:tc>
          <w:tcPr>
            <w:tcW w:w="938" w:type="dxa"/>
            <w:noWrap/>
            <w:vAlign w:val="center"/>
            <w:hideMark/>
          </w:tcPr>
          <w:p w14:paraId="0FC084F6" w14:textId="5CA40E94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1.554</w:t>
            </w:r>
          </w:p>
        </w:tc>
      </w:tr>
      <w:tr w:rsidR="003E4107" w:rsidRPr="009F32A7" w14:paraId="08ACE657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561B4242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Baystate Medical Center</w:t>
            </w:r>
          </w:p>
        </w:tc>
        <w:tc>
          <w:tcPr>
            <w:tcW w:w="938" w:type="dxa"/>
            <w:noWrap/>
            <w:vAlign w:val="center"/>
            <w:hideMark/>
          </w:tcPr>
          <w:p w14:paraId="6EC9B1D2" w14:textId="1CD02A6B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4.434</w:t>
            </w:r>
          </w:p>
        </w:tc>
        <w:tc>
          <w:tcPr>
            <w:tcW w:w="938" w:type="dxa"/>
            <w:noWrap/>
            <w:vAlign w:val="center"/>
            <w:hideMark/>
          </w:tcPr>
          <w:p w14:paraId="4AB7A8F2" w14:textId="78F81ED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17.735</w:t>
            </w:r>
          </w:p>
        </w:tc>
        <w:tc>
          <w:tcPr>
            <w:tcW w:w="938" w:type="dxa"/>
            <w:noWrap/>
            <w:vAlign w:val="center"/>
            <w:hideMark/>
          </w:tcPr>
          <w:p w14:paraId="02D915DF" w14:textId="61C4F5E0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17.735</w:t>
            </w:r>
          </w:p>
        </w:tc>
        <w:tc>
          <w:tcPr>
            <w:tcW w:w="938" w:type="dxa"/>
            <w:noWrap/>
            <w:vAlign w:val="center"/>
            <w:hideMark/>
          </w:tcPr>
          <w:p w14:paraId="5D28CA33" w14:textId="5C197A4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17.735</w:t>
            </w:r>
          </w:p>
        </w:tc>
        <w:tc>
          <w:tcPr>
            <w:tcW w:w="938" w:type="dxa"/>
            <w:noWrap/>
            <w:vAlign w:val="center"/>
            <w:hideMark/>
          </w:tcPr>
          <w:p w14:paraId="00E1FD98" w14:textId="5875B356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17.735</w:t>
            </w:r>
          </w:p>
        </w:tc>
        <w:tc>
          <w:tcPr>
            <w:tcW w:w="938" w:type="dxa"/>
            <w:noWrap/>
            <w:vAlign w:val="center"/>
            <w:hideMark/>
          </w:tcPr>
          <w:p w14:paraId="78CA6C62" w14:textId="366DE281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17.735</w:t>
            </w:r>
          </w:p>
        </w:tc>
      </w:tr>
      <w:tr w:rsidR="003E4107" w:rsidRPr="009F32A7" w14:paraId="3A8CE224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6C0D447C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Baystate Wing Hospital</w:t>
            </w:r>
          </w:p>
        </w:tc>
        <w:tc>
          <w:tcPr>
            <w:tcW w:w="938" w:type="dxa"/>
            <w:noWrap/>
            <w:vAlign w:val="center"/>
            <w:hideMark/>
          </w:tcPr>
          <w:p w14:paraId="540941AE" w14:textId="309736C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0.312</w:t>
            </w:r>
          </w:p>
        </w:tc>
        <w:tc>
          <w:tcPr>
            <w:tcW w:w="938" w:type="dxa"/>
            <w:noWrap/>
            <w:vAlign w:val="center"/>
            <w:hideMark/>
          </w:tcPr>
          <w:p w14:paraId="02299B23" w14:textId="341DF1F9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1.247</w:t>
            </w:r>
          </w:p>
        </w:tc>
        <w:tc>
          <w:tcPr>
            <w:tcW w:w="938" w:type="dxa"/>
            <w:noWrap/>
            <w:vAlign w:val="center"/>
            <w:hideMark/>
          </w:tcPr>
          <w:p w14:paraId="113148E9" w14:textId="7BD8AA55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1.247</w:t>
            </w:r>
          </w:p>
        </w:tc>
        <w:tc>
          <w:tcPr>
            <w:tcW w:w="938" w:type="dxa"/>
            <w:noWrap/>
            <w:vAlign w:val="center"/>
            <w:hideMark/>
          </w:tcPr>
          <w:p w14:paraId="2AC6D928" w14:textId="420B66A8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1.247</w:t>
            </w:r>
          </w:p>
        </w:tc>
        <w:tc>
          <w:tcPr>
            <w:tcW w:w="938" w:type="dxa"/>
            <w:noWrap/>
            <w:vAlign w:val="center"/>
            <w:hideMark/>
          </w:tcPr>
          <w:p w14:paraId="29859B17" w14:textId="4A6E0489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1.247</w:t>
            </w:r>
          </w:p>
        </w:tc>
        <w:tc>
          <w:tcPr>
            <w:tcW w:w="938" w:type="dxa"/>
            <w:noWrap/>
            <w:vAlign w:val="center"/>
            <w:hideMark/>
          </w:tcPr>
          <w:p w14:paraId="059B86BE" w14:textId="79B0DCE0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1.247</w:t>
            </w:r>
          </w:p>
        </w:tc>
      </w:tr>
      <w:tr w:rsidR="003E4107" w:rsidRPr="009F32A7" w14:paraId="47CC0E81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49CC64FB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Berkshire Medical Center</w:t>
            </w:r>
          </w:p>
        </w:tc>
        <w:tc>
          <w:tcPr>
            <w:tcW w:w="938" w:type="dxa"/>
            <w:noWrap/>
            <w:vAlign w:val="center"/>
            <w:hideMark/>
          </w:tcPr>
          <w:p w14:paraId="414ACC39" w14:textId="111666C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1.492</w:t>
            </w:r>
          </w:p>
        </w:tc>
        <w:tc>
          <w:tcPr>
            <w:tcW w:w="938" w:type="dxa"/>
            <w:noWrap/>
            <w:vAlign w:val="center"/>
            <w:hideMark/>
          </w:tcPr>
          <w:p w14:paraId="6D8974C8" w14:textId="23728FD4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5.969</w:t>
            </w:r>
          </w:p>
        </w:tc>
        <w:tc>
          <w:tcPr>
            <w:tcW w:w="938" w:type="dxa"/>
            <w:noWrap/>
            <w:vAlign w:val="center"/>
            <w:hideMark/>
          </w:tcPr>
          <w:p w14:paraId="4D5200D6" w14:textId="7D048B2F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5.969</w:t>
            </w:r>
          </w:p>
        </w:tc>
        <w:tc>
          <w:tcPr>
            <w:tcW w:w="938" w:type="dxa"/>
            <w:noWrap/>
            <w:vAlign w:val="center"/>
            <w:hideMark/>
          </w:tcPr>
          <w:p w14:paraId="5DF6E609" w14:textId="325C7BBE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5.969</w:t>
            </w:r>
          </w:p>
        </w:tc>
        <w:tc>
          <w:tcPr>
            <w:tcW w:w="938" w:type="dxa"/>
            <w:noWrap/>
            <w:vAlign w:val="center"/>
            <w:hideMark/>
          </w:tcPr>
          <w:p w14:paraId="63E3CE5E" w14:textId="2103F0A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5.969</w:t>
            </w:r>
          </w:p>
        </w:tc>
        <w:tc>
          <w:tcPr>
            <w:tcW w:w="938" w:type="dxa"/>
            <w:noWrap/>
            <w:vAlign w:val="center"/>
            <w:hideMark/>
          </w:tcPr>
          <w:p w14:paraId="3570E9F4" w14:textId="2F332AB4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5.969</w:t>
            </w:r>
          </w:p>
        </w:tc>
      </w:tr>
      <w:tr w:rsidR="003E4107" w:rsidRPr="009F32A7" w14:paraId="4C7B9D68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7A555509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Heywood Hospital</w:t>
            </w:r>
          </w:p>
        </w:tc>
        <w:tc>
          <w:tcPr>
            <w:tcW w:w="938" w:type="dxa"/>
            <w:noWrap/>
            <w:vAlign w:val="center"/>
            <w:hideMark/>
          </w:tcPr>
          <w:p w14:paraId="36AC22DF" w14:textId="58FA098A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0.499</w:t>
            </w:r>
          </w:p>
        </w:tc>
        <w:tc>
          <w:tcPr>
            <w:tcW w:w="938" w:type="dxa"/>
            <w:noWrap/>
            <w:vAlign w:val="center"/>
            <w:hideMark/>
          </w:tcPr>
          <w:p w14:paraId="04C28E5F" w14:textId="0B4CDE49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1.995</w:t>
            </w:r>
          </w:p>
        </w:tc>
        <w:tc>
          <w:tcPr>
            <w:tcW w:w="938" w:type="dxa"/>
            <w:noWrap/>
            <w:vAlign w:val="center"/>
            <w:hideMark/>
          </w:tcPr>
          <w:p w14:paraId="36DC7F52" w14:textId="1EF8404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1.995</w:t>
            </w:r>
          </w:p>
        </w:tc>
        <w:tc>
          <w:tcPr>
            <w:tcW w:w="938" w:type="dxa"/>
            <w:noWrap/>
            <w:vAlign w:val="center"/>
            <w:hideMark/>
          </w:tcPr>
          <w:p w14:paraId="440D3818" w14:textId="34C5DE1F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1.995</w:t>
            </w:r>
          </w:p>
        </w:tc>
        <w:tc>
          <w:tcPr>
            <w:tcW w:w="938" w:type="dxa"/>
            <w:noWrap/>
            <w:vAlign w:val="center"/>
            <w:hideMark/>
          </w:tcPr>
          <w:p w14:paraId="4A2DB940" w14:textId="25E7234E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1.995</w:t>
            </w:r>
          </w:p>
        </w:tc>
        <w:tc>
          <w:tcPr>
            <w:tcW w:w="938" w:type="dxa"/>
            <w:noWrap/>
            <w:vAlign w:val="center"/>
            <w:hideMark/>
          </w:tcPr>
          <w:p w14:paraId="57289F7F" w14:textId="2F422B39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1.995</w:t>
            </w:r>
          </w:p>
        </w:tc>
      </w:tr>
      <w:tr w:rsidR="003E4107" w:rsidRPr="009F32A7" w14:paraId="5F43CC25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3D52898E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Lowell General Hospital</w:t>
            </w:r>
          </w:p>
        </w:tc>
        <w:tc>
          <w:tcPr>
            <w:tcW w:w="938" w:type="dxa"/>
            <w:noWrap/>
            <w:vAlign w:val="center"/>
            <w:hideMark/>
          </w:tcPr>
          <w:p w14:paraId="2273E035" w14:textId="1880F2EA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1.887</w:t>
            </w:r>
          </w:p>
        </w:tc>
        <w:tc>
          <w:tcPr>
            <w:tcW w:w="938" w:type="dxa"/>
            <w:noWrap/>
            <w:vAlign w:val="center"/>
            <w:hideMark/>
          </w:tcPr>
          <w:p w14:paraId="526D2001" w14:textId="25F3C03E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7.549</w:t>
            </w:r>
          </w:p>
        </w:tc>
        <w:tc>
          <w:tcPr>
            <w:tcW w:w="938" w:type="dxa"/>
            <w:noWrap/>
            <w:vAlign w:val="center"/>
            <w:hideMark/>
          </w:tcPr>
          <w:p w14:paraId="3F719C88" w14:textId="1322DE1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7.549</w:t>
            </w:r>
          </w:p>
        </w:tc>
        <w:tc>
          <w:tcPr>
            <w:tcW w:w="938" w:type="dxa"/>
            <w:noWrap/>
            <w:vAlign w:val="center"/>
            <w:hideMark/>
          </w:tcPr>
          <w:p w14:paraId="048EE2E7" w14:textId="3BAE205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7.549</w:t>
            </w:r>
          </w:p>
        </w:tc>
        <w:tc>
          <w:tcPr>
            <w:tcW w:w="938" w:type="dxa"/>
            <w:noWrap/>
            <w:vAlign w:val="center"/>
            <w:hideMark/>
          </w:tcPr>
          <w:p w14:paraId="78A3750E" w14:textId="221AC414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7.549</w:t>
            </w:r>
          </w:p>
        </w:tc>
        <w:tc>
          <w:tcPr>
            <w:tcW w:w="938" w:type="dxa"/>
            <w:noWrap/>
            <w:vAlign w:val="center"/>
            <w:hideMark/>
          </w:tcPr>
          <w:p w14:paraId="31CEA2AE" w14:textId="77E1086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7.549</w:t>
            </w:r>
          </w:p>
        </w:tc>
      </w:tr>
      <w:tr w:rsidR="003E4107" w:rsidRPr="009F32A7" w14:paraId="46CFF5DB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46FB869A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Martha's Vineyard Hospital</w:t>
            </w:r>
          </w:p>
        </w:tc>
        <w:tc>
          <w:tcPr>
            <w:tcW w:w="938" w:type="dxa"/>
            <w:noWrap/>
            <w:vAlign w:val="center"/>
            <w:hideMark/>
          </w:tcPr>
          <w:p w14:paraId="3A678FA6" w14:textId="0F0B7EA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0.291</w:t>
            </w:r>
          </w:p>
        </w:tc>
        <w:tc>
          <w:tcPr>
            <w:tcW w:w="938" w:type="dxa"/>
            <w:noWrap/>
            <w:vAlign w:val="center"/>
            <w:hideMark/>
          </w:tcPr>
          <w:p w14:paraId="31FE94A5" w14:textId="4705B709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1.165</w:t>
            </w:r>
          </w:p>
        </w:tc>
        <w:tc>
          <w:tcPr>
            <w:tcW w:w="938" w:type="dxa"/>
            <w:noWrap/>
            <w:vAlign w:val="center"/>
            <w:hideMark/>
          </w:tcPr>
          <w:p w14:paraId="0E994068" w14:textId="414BB839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1.165</w:t>
            </w:r>
          </w:p>
        </w:tc>
        <w:tc>
          <w:tcPr>
            <w:tcW w:w="938" w:type="dxa"/>
            <w:noWrap/>
            <w:vAlign w:val="center"/>
            <w:hideMark/>
          </w:tcPr>
          <w:p w14:paraId="28488DAE" w14:textId="10E74863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1.165</w:t>
            </w:r>
          </w:p>
        </w:tc>
        <w:tc>
          <w:tcPr>
            <w:tcW w:w="938" w:type="dxa"/>
            <w:noWrap/>
            <w:vAlign w:val="center"/>
            <w:hideMark/>
          </w:tcPr>
          <w:p w14:paraId="02701306" w14:textId="13D0C41A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1.165</w:t>
            </w:r>
          </w:p>
        </w:tc>
        <w:tc>
          <w:tcPr>
            <w:tcW w:w="938" w:type="dxa"/>
            <w:noWrap/>
            <w:vAlign w:val="center"/>
            <w:hideMark/>
          </w:tcPr>
          <w:p w14:paraId="2096733F" w14:textId="4AFFCD85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1.165</w:t>
            </w:r>
          </w:p>
        </w:tc>
      </w:tr>
      <w:tr w:rsidR="003E4107" w:rsidRPr="009F32A7" w14:paraId="4099B6E4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3317A55B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MetroWest Medical Center</w:t>
            </w:r>
          </w:p>
        </w:tc>
        <w:tc>
          <w:tcPr>
            <w:tcW w:w="938" w:type="dxa"/>
            <w:noWrap/>
            <w:vAlign w:val="center"/>
            <w:hideMark/>
          </w:tcPr>
          <w:p w14:paraId="2D2F62E2" w14:textId="527C4A5F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1.606</w:t>
            </w:r>
          </w:p>
        </w:tc>
        <w:tc>
          <w:tcPr>
            <w:tcW w:w="938" w:type="dxa"/>
            <w:noWrap/>
            <w:vAlign w:val="center"/>
            <w:hideMark/>
          </w:tcPr>
          <w:p w14:paraId="0DF1553E" w14:textId="053DFD4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6.422</w:t>
            </w:r>
          </w:p>
        </w:tc>
        <w:tc>
          <w:tcPr>
            <w:tcW w:w="938" w:type="dxa"/>
            <w:noWrap/>
            <w:vAlign w:val="center"/>
            <w:hideMark/>
          </w:tcPr>
          <w:p w14:paraId="7E5FD687" w14:textId="362B1DD5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6.422</w:t>
            </w:r>
          </w:p>
        </w:tc>
        <w:tc>
          <w:tcPr>
            <w:tcW w:w="938" w:type="dxa"/>
            <w:noWrap/>
            <w:vAlign w:val="center"/>
            <w:hideMark/>
          </w:tcPr>
          <w:p w14:paraId="3DB60349" w14:textId="2F244A53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6.422</w:t>
            </w:r>
          </w:p>
        </w:tc>
        <w:tc>
          <w:tcPr>
            <w:tcW w:w="938" w:type="dxa"/>
            <w:noWrap/>
            <w:vAlign w:val="center"/>
            <w:hideMark/>
          </w:tcPr>
          <w:p w14:paraId="0AA8E64F" w14:textId="1E4412BE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6.422</w:t>
            </w:r>
          </w:p>
        </w:tc>
        <w:tc>
          <w:tcPr>
            <w:tcW w:w="938" w:type="dxa"/>
            <w:noWrap/>
            <w:vAlign w:val="center"/>
            <w:hideMark/>
          </w:tcPr>
          <w:p w14:paraId="0C980F90" w14:textId="348FCC87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6.422</w:t>
            </w:r>
          </w:p>
        </w:tc>
      </w:tr>
      <w:tr w:rsidR="003E4107" w:rsidRPr="009F32A7" w14:paraId="3AFB502E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640A2FC7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Noble Hospital</w:t>
            </w:r>
          </w:p>
        </w:tc>
        <w:tc>
          <w:tcPr>
            <w:tcW w:w="938" w:type="dxa"/>
            <w:noWrap/>
            <w:vAlign w:val="center"/>
            <w:hideMark/>
          </w:tcPr>
          <w:p w14:paraId="75D7D528" w14:textId="0BA63827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0.211</w:t>
            </w:r>
          </w:p>
        </w:tc>
        <w:tc>
          <w:tcPr>
            <w:tcW w:w="938" w:type="dxa"/>
            <w:noWrap/>
            <w:vAlign w:val="center"/>
            <w:hideMark/>
          </w:tcPr>
          <w:p w14:paraId="74196700" w14:textId="02C4F33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0.845</w:t>
            </w:r>
          </w:p>
        </w:tc>
        <w:tc>
          <w:tcPr>
            <w:tcW w:w="938" w:type="dxa"/>
            <w:noWrap/>
            <w:vAlign w:val="center"/>
            <w:hideMark/>
          </w:tcPr>
          <w:p w14:paraId="0D91546D" w14:textId="58B3E7B6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0.845</w:t>
            </w:r>
          </w:p>
        </w:tc>
        <w:tc>
          <w:tcPr>
            <w:tcW w:w="938" w:type="dxa"/>
            <w:noWrap/>
            <w:vAlign w:val="center"/>
            <w:hideMark/>
          </w:tcPr>
          <w:p w14:paraId="1B60A2F4" w14:textId="08CD23B0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0.845</w:t>
            </w:r>
          </w:p>
        </w:tc>
        <w:tc>
          <w:tcPr>
            <w:tcW w:w="938" w:type="dxa"/>
            <w:noWrap/>
            <w:vAlign w:val="center"/>
            <w:hideMark/>
          </w:tcPr>
          <w:p w14:paraId="65583DCF" w14:textId="40DED700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0.845</w:t>
            </w:r>
          </w:p>
        </w:tc>
        <w:tc>
          <w:tcPr>
            <w:tcW w:w="938" w:type="dxa"/>
            <w:noWrap/>
            <w:vAlign w:val="center"/>
            <w:hideMark/>
          </w:tcPr>
          <w:p w14:paraId="05481FDF" w14:textId="3FEB0074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0.845</w:t>
            </w:r>
          </w:p>
        </w:tc>
      </w:tr>
      <w:tr w:rsidR="003E4107" w:rsidRPr="009F32A7" w14:paraId="2C0630BE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563FC7F5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North Shore Medical Center</w:t>
            </w:r>
          </w:p>
        </w:tc>
        <w:tc>
          <w:tcPr>
            <w:tcW w:w="938" w:type="dxa"/>
            <w:noWrap/>
            <w:vAlign w:val="center"/>
            <w:hideMark/>
          </w:tcPr>
          <w:p w14:paraId="67E6D446" w14:textId="357D39B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2.303</w:t>
            </w:r>
          </w:p>
        </w:tc>
        <w:tc>
          <w:tcPr>
            <w:tcW w:w="938" w:type="dxa"/>
            <w:noWrap/>
            <w:vAlign w:val="center"/>
            <w:hideMark/>
          </w:tcPr>
          <w:p w14:paraId="1D6A6C34" w14:textId="201CA1B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9.213</w:t>
            </w:r>
          </w:p>
        </w:tc>
        <w:tc>
          <w:tcPr>
            <w:tcW w:w="938" w:type="dxa"/>
            <w:noWrap/>
            <w:vAlign w:val="center"/>
            <w:hideMark/>
          </w:tcPr>
          <w:p w14:paraId="16C5DA83" w14:textId="05758B3B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9.213</w:t>
            </w:r>
          </w:p>
        </w:tc>
        <w:tc>
          <w:tcPr>
            <w:tcW w:w="938" w:type="dxa"/>
            <w:noWrap/>
            <w:vAlign w:val="center"/>
            <w:hideMark/>
          </w:tcPr>
          <w:p w14:paraId="3F5CA257" w14:textId="096B196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9.213</w:t>
            </w:r>
          </w:p>
        </w:tc>
        <w:tc>
          <w:tcPr>
            <w:tcW w:w="938" w:type="dxa"/>
            <w:noWrap/>
            <w:vAlign w:val="center"/>
            <w:hideMark/>
          </w:tcPr>
          <w:p w14:paraId="5FCCB9C5" w14:textId="6CBB068B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9.213</w:t>
            </w:r>
          </w:p>
        </w:tc>
        <w:tc>
          <w:tcPr>
            <w:tcW w:w="938" w:type="dxa"/>
            <w:noWrap/>
            <w:vAlign w:val="center"/>
            <w:hideMark/>
          </w:tcPr>
          <w:p w14:paraId="4BFFB66C" w14:textId="5DF6F92E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9.213</w:t>
            </w:r>
          </w:p>
        </w:tc>
      </w:tr>
      <w:tr w:rsidR="003E4107" w:rsidRPr="009F32A7" w14:paraId="784C36E7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0488A4E5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Shriners Hospitals for Children Boston</w:t>
            </w:r>
          </w:p>
        </w:tc>
        <w:tc>
          <w:tcPr>
            <w:tcW w:w="938" w:type="dxa"/>
            <w:noWrap/>
            <w:vAlign w:val="center"/>
            <w:hideMark/>
          </w:tcPr>
          <w:p w14:paraId="092A9DB1" w14:textId="66C24F1F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0.219</w:t>
            </w:r>
          </w:p>
        </w:tc>
        <w:tc>
          <w:tcPr>
            <w:tcW w:w="938" w:type="dxa"/>
            <w:noWrap/>
            <w:vAlign w:val="center"/>
            <w:hideMark/>
          </w:tcPr>
          <w:p w14:paraId="42F04121" w14:textId="47624A4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0.875</w:t>
            </w:r>
          </w:p>
        </w:tc>
        <w:tc>
          <w:tcPr>
            <w:tcW w:w="938" w:type="dxa"/>
            <w:noWrap/>
            <w:vAlign w:val="center"/>
            <w:hideMark/>
          </w:tcPr>
          <w:p w14:paraId="15FF60D0" w14:textId="20C95759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0.875</w:t>
            </w:r>
          </w:p>
        </w:tc>
        <w:tc>
          <w:tcPr>
            <w:tcW w:w="938" w:type="dxa"/>
            <w:noWrap/>
            <w:vAlign w:val="center"/>
            <w:hideMark/>
          </w:tcPr>
          <w:p w14:paraId="0131CC88" w14:textId="6728AFF8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0.875</w:t>
            </w:r>
          </w:p>
        </w:tc>
        <w:tc>
          <w:tcPr>
            <w:tcW w:w="938" w:type="dxa"/>
            <w:noWrap/>
            <w:vAlign w:val="center"/>
            <w:hideMark/>
          </w:tcPr>
          <w:p w14:paraId="6E801D06" w14:textId="1EF3B79B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0.875</w:t>
            </w:r>
          </w:p>
        </w:tc>
        <w:tc>
          <w:tcPr>
            <w:tcW w:w="938" w:type="dxa"/>
            <w:noWrap/>
            <w:vAlign w:val="center"/>
            <w:hideMark/>
          </w:tcPr>
          <w:p w14:paraId="43E6620C" w14:textId="06D7681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0.875</w:t>
            </w:r>
          </w:p>
        </w:tc>
      </w:tr>
      <w:tr w:rsidR="003E4107" w:rsidRPr="009F32A7" w14:paraId="175BAE15" w14:textId="77777777" w:rsidTr="00C23A69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1EE3463D" w14:textId="5EE40E9C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Shriners Hospitals for Children Springfield</w:t>
            </w:r>
            <w:r w:rsidR="000F4441">
              <w:t>*</w:t>
            </w:r>
          </w:p>
        </w:tc>
        <w:tc>
          <w:tcPr>
            <w:tcW w:w="938" w:type="dxa"/>
            <w:noWrap/>
            <w:vAlign w:val="center"/>
            <w:hideMark/>
          </w:tcPr>
          <w:p w14:paraId="100A51A1" w14:textId="10C1D9D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0.135</w:t>
            </w:r>
          </w:p>
        </w:tc>
        <w:tc>
          <w:tcPr>
            <w:tcW w:w="938" w:type="dxa"/>
            <w:noWrap/>
            <w:vAlign w:val="center"/>
            <w:hideMark/>
          </w:tcPr>
          <w:p w14:paraId="76EA3B31" w14:textId="77CF7EA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0.539</w:t>
            </w:r>
          </w:p>
        </w:tc>
        <w:tc>
          <w:tcPr>
            <w:tcW w:w="938" w:type="dxa"/>
            <w:noWrap/>
            <w:vAlign w:val="center"/>
          </w:tcPr>
          <w:p w14:paraId="12EDBF5D" w14:textId="699BE964" w:rsidR="003E4107" w:rsidRPr="009F32A7" w:rsidRDefault="4928A8F0" w:rsidP="00D65697">
            <w:pPr>
              <w:widowControl/>
              <w:autoSpaceDE/>
              <w:autoSpaceDN/>
              <w:jc w:val="center"/>
            </w:pPr>
            <w:r>
              <w:t>-</w:t>
            </w:r>
          </w:p>
        </w:tc>
        <w:tc>
          <w:tcPr>
            <w:tcW w:w="938" w:type="dxa"/>
            <w:noWrap/>
            <w:vAlign w:val="center"/>
          </w:tcPr>
          <w:p w14:paraId="45D3104D" w14:textId="738DE6E8" w:rsidR="003E4107" w:rsidRPr="009F32A7" w:rsidRDefault="61BE43E0" w:rsidP="00D65697">
            <w:pPr>
              <w:widowControl/>
              <w:autoSpaceDE/>
              <w:autoSpaceDN/>
              <w:jc w:val="center"/>
            </w:pPr>
            <w:r>
              <w:t>-</w:t>
            </w:r>
          </w:p>
        </w:tc>
        <w:tc>
          <w:tcPr>
            <w:tcW w:w="938" w:type="dxa"/>
            <w:noWrap/>
            <w:vAlign w:val="center"/>
          </w:tcPr>
          <w:p w14:paraId="4D2538AE" w14:textId="15A39276" w:rsidR="003E4107" w:rsidRPr="009F32A7" w:rsidRDefault="63277BC7" w:rsidP="00D65697">
            <w:pPr>
              <w:widowControl/>
              <w:autoSpaceDE/>
              <w:autoSpaceDN/>
              <w:jc w:val="center"/>
            </w:pPr>
            <w:r>
              <w:t>-</w:t>
            </w:r>
          </w:p>
        </w:tc>
        <w:tc>
          <w:tcPr>
            <w:tcW w:w="938" w:type="dxa"/>
            <w:noWrap/>
            <w:vAlign w:val="center"/>
          </w:tcPr>
          <w:p w14:paraId="27FC5BD4" w14:textId="43F08693" w:rsidR="003E4107" w:rsidRPr="009F32A7" w:rsidRDefault="43B82D32" w:rsidP="00D65697">
            <w:pPr>
              <w:widowControl/>
              <w:autoSpaceDE/>
              <w:autoSpaceDN/>
              <w:jc w:val="center"/>
            </w:pPr>
            <w:r>
              <w:t>-</w:t>
            </w:r>
          </w:p>
        </w:tc>
      </w:tr>
      <w:tr w:rsidR="003E4107" w:rsidRPr="009F32A7" w14:paraId="389D948D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33321BD8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Southcoast Hospitals Group</w:t>
            </w:r>
          </w:p>
        </w:tc>
        <w:tc>
          <w:tcPr>
            <w:tcW w:w="938" w:type="dxa"/>
            <w:noWrap/>
            <w:vAlign w:val="center"/>
            <w:hideMark/>
          </w:tcPr>
          <w:p w14:paraId="2462FA7F" w14:textId="467A528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3.631</w:t>
            </w:r>
          </w:p>
        </w:tc>
        <w:tc>
          <w:tcPr>
            <w:tcW w:w="938" w:type="dxa"/>
            <w:noWrap/>
            <w:vAlign w:val="center"/>
            <w:hideMark/>
          </w:tcPr>
          <w:p w14:paraId="0430A97D" w14:textId="5DBDC01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14.524</w:t>
            </w:r>
          </w:p>
        </w:tc>
        <w:tc>
          <w:tcPr>
            <w:tcW w:w="938" w:type="dxa"/>
            <w:noWrap/>
            <w:vAlign w:val="center"/>
            <w:hideMark/>
          </w:tcPr>
          <w:p w14:paraId="59E2E199" w14:textId="53801105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14.524</w:t>
            </w:r>
          </w:p>
        </w:tc>
        <w:tc>
          <w:tcPr>
            <w:tcW w:w="938" w:type="dxa"/>
            <w:noWrap/>
            <w:vAlign w:val="center"/>
            <w:hideMark/>
          </w:tcPr>
          <w:p w14:paraId="6FF58578" w14:textId="7319C9A6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14.524</w:t>
            </w:r>
          </w:p>
        </w:tc>
        <w:tc>
          <w:tcPr>
            <w:tcW w:w="938" w:type="dxa"/>
            <w:noWrap/>
            <w:vAlign w:val="center"/>
            <w:hideMark/>
          </w:tcPr>
          <w:p w14:paraId="390E3319" w14:textId="3F59E788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14.524</w:t>
            </w:r>
          </w:p>
        </w:tc>
        <w:tc>
          <w:tcPr>
            <w:tcW w:w="938" w:type="dxa"/>
            <w:noWrap/>
            <w:vAlign w:val="center"/>
            <w:hideMark/>
          </w:tcPr>
          <w:p w14:paraId="70CB0C23" w14:textId="77141A8E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14.524</w:t>
            </w:r>
          </w:p>
        </w:tc>
      </w:tr>
      <w:tr w:rsidR="003E4107" w:rsidRPr="009F32A7" w14:paraId="4222D102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1058A630" w14:textId="36D80B7B" w:rsidR="003E4107" w:rsidRPr="009F32A7" w:rsidRDefault="1BE8BB9F" w:rsidP="00D65697">
            <w:pPr>
              <w:widowControl/>
              <w:autoSpaceDE/>
              <w:autoSpaceDN/>
            </w:pPr>
            <w:r>
              <w:t>Good Samaritan Medical Center</w:t>
            </w:r>
          </w:p>
        </w:tc>
        <w:tc>
          <w:tcPr>
            <w:tcW w:w="938" w:type="dxa"/>
            <w:noWrap/>
            <w:vAlign w:val="center"/>
            <w:hideMark/>
          </w:tcPr>
          <w:p w14:paraId="33EC456C" w14:textId="594BA4BB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0.876</w:t>
            </w:r>
          </w:p>
        </w:tc>
        <w:tc>
          <w:tcPr>
            <w:tcW w:w="938" w:type="dxa"/>
            <w:noWrap/>
            <w:vAlign w:val="center"/>
            <w:hideMark/>
          </w:tcPr>
          <w:p w14:paraId="0A300CBD" w14:textId="45FB908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3.505</w:t>
            </w:r>
          </w:p>
        </w:tc>
        <w:tc>
          <w:tcPr>
            <w:tcW w:w="938" w:type="dxa"/>
            <w:noWrap/>
            <w:vAlign w:val="center"/>
            <w:hideMark/>
          </w:tcPr>
          <w:p w14:paraId="70657397" w14:textId="5EE512F0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3.505</w:t>
            </w:r>
          </w:p>
        </w:tc>
        <w:tc>
          <w:tcPr>
            <w:tcW w:w="938" w:type="dxa"/>
            <w:noWrap/>
            <w:vAlign w:val="center"/>
            <w:hideMark/>
          </w:tcPr>
          <w:p w14:paraId="7F106C40" w14:textId="1514775A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3.505</w:t>
            </w:r>
          </w:p>
        </w:tc>
        <w:tc>
          <w:tcPr>
            <w:tcW w:w="938" w:type="dxa"/>
            <w:noWrap/>
            <w:vAlign w:val="center"/>
            <w:hideMark/>
          </w:tcPr>
          <w:p w14:paraId="3415D1F4" w14:textId="4D337C54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3.505</w:t>
            </w:r>
          </w:p>
        </w:tc>
        <w:tc>
          <w:tcPr>
            <w:tcW w:w="938" w:type="dxa"/>
            <w:noWrap/>
            <w:vAlign w:val="center"/>
            <w:hideMark/>
          </w:tcPr>
          <w:p w14:paraId="44245D79" w14:textId="4B358B0A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3.505</w:t>
            </w:r>
          </w:p>
        </w:tc>
      </w:tr>
      <w:tr w:rsidR="003E4107" w:rsidRPr="009F32A7" w14:paraId="6134A511" w14:textId="77777777" w:rsidTr="00C23A69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4CB922B3" w14:textId="7F8C9E5E" w:rsidR="003E4107" w:rsidRPr="009F32A7" w:rsidRDefault="1BE8BB9F" w:rsidP="00D65697">
            <w:pPr>
              <w:widowControl/>
              <w:autoSpaceDE/>
              <w:autoSpaceDN/>
            </w:pPr>
            <w:r>
              <w:t>Holy Family Hospital</w:t>
            </w:r>
            <w:r w:rsidR="739B8612">
              <w:t>,</w:t>
            </w:r>
            <w:r>
              <w:t xml:space="preserve"> Inc.</w:t>
            </w:r>
            <w:r w:rsidR="116D3202">
              <w:t>*</w:t>
            </w:r>
          </w:p>
        </w:tc>
        <w:tc>
          <w:tcPr>
            <w:tcW w:w="938" w:type="dxa"/>
            <w:noWrap/>
            <w:vAlign w:val="center"/>
            <w:hideMark/>
          </w:tcPr>
          <w:p w14:paraId="75751939" w14:textId="6023E76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0.989</w:t>
            </w:r>
          </w:p>
        </w:tc>
        <w:tc>
          <w:tcPr>
            <w:tcW w:w="938" w:type="dxa"/>
            <w:noWrap/>
            <w:vAlign w:val="center"/>
            <w:hideMark/>
          </w:tcPr>
          <w:p w14:paraId="285584A3" w14:textId="5C7071E4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3.954</w:t>
            </w:r>
          </w:p>
        </w:tc>
        <w:tc>
          <w:tcPr>
            <w:tcW w:w="938" w:type="dxa"/>
            <w:noWrap/>
            <w:vAlign w:val="center"/>
            <w:hideMark/>
          </w:tcPr>
          <w:p w14:paraId="73CE2E77" w14:textId="60CE291E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3.954</w:t>
            </w:r>
          </w:p>
        </w:tc>
        <w:tc>
          <w:tcPr>
            <w:tcW w:w="938" w:type="dxa"/>
            <w:noWrap/>
            <w:vAlign w:val="center"/>
          </w:tcPr>
          <w:p w14:paraId="47D96F7C" w14:textId="03BC621F" w:rsidR="003E4107" w:rsidRPr="009F32A7" w:rsidRDefault="0F45A8F4" w:rsidP="00D65697">
            <w:pPr>
              <w:widowControl/>
              <w:autoSpaceDE/>
              <w:autoSpaceDN/>
              <w:jc w:val="center"/>
            </w:pPr>
            <w:r>
              <w:t>-</w:t>
            </w:r>
          </w:p>
        </w:tc>
        <w:tc>
          <w:tcPr>
            <w:tcW w:w="938" w:type="dxa"/>
            <w:noWrap/>
            <w:vAlign w:val="center"/>
          </w:tcPr>
          <w:p w14:paraId="7B96C362" w14:textId="75787356" w:rsidR="003E4107" w:rsidRPr="009F32A7" w:rsidRDefault="4F18C680" w:rsidP="00D65697">
            <w:pPr>
              <w:widowControl/>
              <w:autoSpaceDE/>
              <w:autoSpaceDN/>
              <w:jc w:val="center"/>
            </w:pPr>
            <w:r>
              <w:t>-</w:t>
            </w:r>
          </w:p>
        </w:tc>
        <w:tc>
          <w:tcPr>
            <w:tcW w:w="938" w:type="dxa"/>
            <w:noWrap/>
            <w:vAlign w:val="center"/>
          </w:tcPr>
          <w:p w14:paraId="61D2708C" w14:textId="2503A922" w:rsidR="003E4107" w:rsidRPr="009F32A7" w:rsidRDefault="60CB4932" w:rsidP="00D65697">
            <w:pPr>
              <w:widowControl/>
              <w:autoSpaceDE/>
              <w:autoSpaceDN/>
              <w:jc w:val="center"/>
            </w:pPr>
            <w:r>
              <w:t>-</w:t>
            </w:r>
          </w:p>
        </w:tc>
      </w:tr>
      <w:tr w:rsidR="003E4107" w:rsidRPr="009F32A7" w14:paraId="4C0809A9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3BAD60D5" w14:textId="5CB9B222" w:rsidR="003E4107" w:rsidRPr="009F32A7" w:rsidRDefault="1BE8BB9F" w:rsidP="00D65697">
            <w:pPr>
              <w:widowControl/>
              <w:autoSpaceDE/>
              <w:autoSpaceDN/>
            </w:pPr>
            <w:r>
              <w:t>Morton Hospital</w:t>
            </w:r>
          </w:p>
        </w:tc>
        <w:tc>
          <w:tcPr>
            <w:tcW w:w="938" w:type="dxa"/>
            <w:noWrap/>
            <w:vAlign w:val="center"/>
            <w:hideMark/>
          </w:tcPr>
          <w:p w14:paraId="05689530" w14:textId="3F33DACD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0.394</w:t>
            </w:r>
          </w:p>
        </w:tc>
        <w:tc>
          <w:tcPr>
            <w:tcW w:w="938" w:type="dxa"/>
            <w:noWrap/>
            <w:vAlign w:val="center"/>
            <w:hideMark/>
          </w:tcPr>
          <w:p w14:paraId="183002B2" w14:textId="10D54CA4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1.57</w:t>
            </w:r>
            <w:r w:rsidR="002179FC">
              <w:t>0</w:t>
            </w:r>
          </w:p>
        </w:tc>
        <w:tc>
          <w:tcPr>
            <w:tcW w:w="938" w:type="dxa"/>
            <w:noWrap/>
            <w:vAlign w:val="center"/>
            <w:hideMark/>
          </w:tcPr>
          <w:p w14:paraId="04E4193F" w14:textId="61E9E6C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1.57</w:t>
            </w:r>
            <w:r w:rsidR="002179FC">
              <w:t>0</w:t>
            </w:r>
          </w:p>
        </w:tc>
        <w:tc>
          <w:tcPr>
            <w:tcW w:w="938" w:type="dxa"/>
            <w:noWrap/>
            <w:vAlign w:val="center"/>
            <w:hideMark/>
          </w:tcPr>
          <w:p w14:paraId="3DA92A4D" w14:textId="65481B4A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1.57</w:t>
            </w:r>
            <w:r w:rsidR="002179FC">
              <w:t>0</w:t>
            </w:r>
          </w:p>
        </w:tc>
        <w:tc>
          <w:tcPr>
            <w:tcW w:w="938" w:type="dxa"/>
            <w:noWrap/>
            <w:vAlign w:val="center"/>
            <w:hideMark/>
          </w:tcPr>
          <w:p w14:paraId="1DC8B074" w14:textId="1A4BD767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1.57</w:t>
            </w:r>
            <w:r w:rsidR="002179FC">
              <w:t>0</w:t>
            </w:r>
          </w:p>
        </w:tc>
        <w:tc>
          <w:tcPr>
            <w:tcW w:w="938" w:type="dxa"/>
            <w:noWrap/>
            <w:vAlign w:val="center"/>
            <w:hideMark/>
          </w:tcPr>
          <w:p w14:paraId="37261BDF" w14:textId="6A93450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1.57</w:t>
            </w:r>
            <w:r w:rsidR="002179FC">
              <w:t>0</w:t>
            </w:r>
          </w:p>
        </w:tc>
      </w:tr>
      <w:tr w:rsidR="003E4107" w:rsidRPr="009F32A7" w14:paraId="3DA28680" w14:textId="77777777" w:rsidTr="6940B98A">
        <w:trPr>
          <w:trHeight w:val="300"/>
        </w:trPr>
        <w:tc>
          <w:tcPr>
            <w:tcW w:w="3722" w:type="dxa"/>
            <w:noWrap/>
            <w:vAlign w:val="center"/>
            <w:hideMark/>
          </w:tcPr>
          <w:p w14:paraId="6B677574" w14:textId="77777777" w:rsidR="003E4107" w:rsidRPr="009F32A7" w:rsidRDefault="003E4107" w:rsidP="00D65697">
            <w:pPr>
              <w:widowControl/>
              <w:autoSpaceDE/>
              <w:autoSpaceDN/>
            </w:pPr>
            <w:r w:rsidRPr="009F32A7">
              <w:t>Tufts Medical Center</w:t>
            </w:r>
          </w:p>
        </w:tc>
        <w:tc>
          <w:tcPr>
            <w:tcW w:w="938" w:type="dxa"/>
            <w:noWrap/>
            <w:vAlign w:val="center"/>
            <w:hideMark/>
          </w:tcPr>
          <w:p w14:paraId="7B11D3E8" w14:textId="428417C9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4.083</w:t>
            </w:r>
          </w:p>
        </w:tc>
        <w:tc>
          <w:tcPr>
            <w:tcW w:w="938" w:type="dxa"/>
            <w:noWrap/>
            <w:vAlign w:val="center"/>
            <w:hideMark/>
          </w:tcPr>
          <w:p w14:paraId="75FB535B" w14:textId="60915E92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16.333</w:t>
            </w:r>
          </w:p>
        </w:tc>
        <w:tc>
          <w:tcPr>
            <w:tcW w:w="938" w:type="dxa"/>
            <w:noWrap/>
            <w:vAlign w:val="center"/>
            <w:hideMark/>
          </w:tcPr>
          <w:p w14:paraId="45B9AF70" w14:textId="43E5FE1A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16.333</w:t>
            </w:r>
          </w:p>
        </w:tc>
        <w:tc>
          <w:tcPr>
            <w:tcW w:w="938" w:type="dxa"/>
            <w:noWrap/>
            <w:vAlign w:val="center"/>
            <w:hideMark/>
          </w:tcPr>
          <w:p w14:paraId="7F8C2C62" w14:textId="6951F6F9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16.333</w:t>
            </w:r>
          </w:p>
        </w:tc>
        <w:tc>
          <w:tcPr>
            <w:tcW w:w="938" w:type="dxa"/>
            <w:noWrap/>
            <w:vAlign w:val="center"/>
            <w:hideMark/>
          </w:tcPr>
          <w:p w14:paraId="3F8F9D7E" w14:textId="087C8BE5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16.333</w:t>
            </w:r>
          </w:p>
        </w:tc>
        <w:tc>
          <w:tcPr>
            <w:tcW w:w="938" w:type="dxa"/>
            <w:noWrap/>
            <w:vAlign w:val="center"/>
            <w:hideMark/>
          </w:tcPr>
          <w:p w14:paraId="0399C837" w14:textId="2D0F9713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55760D">
              <w:t>16.333</w:t>
            </w:r>
          </w:p>
        </w:tc>
      </w:tr>
      <w:tr w:rsidR="003E4107" w:rsidRPr="009F32A7" w14:paraId="37B4634F" w14:textId="77777777" w:rsidTr="6940B98A">
        <w:trPr>
          <w:trHeight w:val="300"/>
        </w:trPr>
        <w:tc>
          <w:tcPr>
            <w:tcW w:w="3722" w:type="dxa"/>
            <w:noWrap/>
            <w:vAlign w:val="center"/>
          </w:tcPr>
          <w:p w14:paraId="3D22E203" w14:textId="043D97E2" w:rsidR="003E4107" w:rsidRPr="00EC488A" w:rsidRDefault="003E4107" w:rsidP="00D65697">
            <w:pPr>
              <w:widowControl/>
              <w:autoSpaceDE/>
              <w:autoSpaceDN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38" w:type="dxa"/>
            <w:noWrap/>
            <w:vAlign w:val="center"/>
          </w:tcPr>
          <w:p w14:paraId="7E4552C5" w14:textId="4A23874C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E97577">
              <w:t>74.650</w:t>
            </w:r>
          </w:p>
        </w:tc>
        <w:tc>
          <w:tcPr>
            <w:tcW w:w="938" w:type="dxa"/>
            <w:noWrap/>
            <w:vAlign w:val="center"/>
          </w:tcPr>
          <w:p w14:paraId="44854CEC" w14:textId="500A4ED1" w:rsidR="003E4107" w:rsidRPr="009F32A7" w:rsidRDefault="003E4107" w:rsidP="00D65697">
            <w:pPr>
              <w:widowControl/>
              <w:autoSpaceDE/>
              <w:autoSpaceDN/>
              <w:jc w:val="center"/>
            </w:pPr>
            <w:r w:rsidRPr="00E97577">
              <w:t>298.600</w:t>
            </w:r>
          </w:p>
        </w:tc>
        <w:tc>
          <w:tcPr>
            <w:tcW w:w="938" w:type="dxa"/>
            <w:noWrap/>
            <w:vAlign w:val="center"/>
          </w:tcPr>
          <w:p w14:paraId="48E4CF3A" w14:textId="5CB6EDFB" w:rsidR="003E4107" w:rsidRPr="009F32A7" w:rsidRDefault="00785AA5" w:rsidP="00D65697">
            <w:pPr>
              <w:widowControl/>
              <w:autoSpaceDE/>
              <w:autoSpaceDN/>
              <w:jc w:val="center"/>
            </w:pPr>
            <w:r>
              <w:t>298.056</w:t>
            </w:r>
          </w:p>
        </w:tc>
        <w:tc>
          <w:tcPr>
            <w:tcW w:w="938" w:type="dxa"/>
            <w:noWrap/>
            <w:vAlign w:val="center"/>
          </w:tcPr>
          <w:p w14:paraId="0CEEC794" w14:textId="497759EB" w:rsidR="003E4107" w:rsidRPr="009F32A7" w:rsidRDefault="00785AA5" w:rsidP="00D65697">
            <w:pPr>
              <w:widowControl/>
              <w:autoSpaceDE/>
              <w:autoSpaceDN/>
              <w:jc w:val="center"/>
            </w:pPr>
            <w:r>
              <w:t>287.315</w:t>
            </w:r>
          </w:p>
        </w:tc>
        <w:tc>
          <w:tcPr>
            <w:tcW w:w="938" w:type="dxa"/>
            <w:noWrap/>
            <w:vAlign w:val="center"/>
          </w:tcPr>
          <w:p w14:paraId="3F6B34A2" w14:textId="477C497A" w:rsidR="003E4107" w:rsidRPr="009F32A7" w:rsidRDefault="00785AA5" w:rsidP="00D65697">
            <w:pPr>
              <w:widowControl/>
              <w:autoSpaceDE/>
              <w:autoSpaceDN/>
              <w:jc w:val="center"/>
            </w:pPr>
            <w:r>
              <w:t>287.315</w:t>
            </w:r>
          </w:p>
        </w:tc>
        <w:tc>
          <w:tcPr>
            <w:tcW w:w="938" w:type="dxa"/>
            <w:noWrap/>
            <w:vAlign w:val="center"/>
          </w:tcPr>
          <w:p w14:paraId="0ECF09B7" w14:textId="0DCEB39F" w:rsidR="003E4107" w:rsidRPr="009F32A7" w:rsidRDefault="00BA034E" w:rsidP="00D65697">
            <w:pPr>
              <w:widowControl/>
              <w:autoSpaceDE/>
              <w:autoSpaceDN/>
              <w:jc w:val="center"/>
            </w:pPr>
            <w:r>
              <w:t>287.315</w:t>
            </w:r>
          </w:p>
        </w:tc>
      </w:tr>
    </w:tbl>
    <w:p w14:paraId="2811A095" w14:textId="7D60124A" w:rsidR="000F4441" w:rsidRPr="00C23A69" w:rsidRDefault="00955F08" w:rsidP="1D7DA2E1">
      <w:pPr>
        <w:pStyle w:val="Heading2"/>
        <w:rPr>
          <w:b w:val="0"/>
          <w:sz w:val="20"/>
          <w:szCs w:val="20"/>
          <w:u w:val="none"/>
        </w:rPr>
      </w:pPr>
      <w:r w:rsidRPr="00C23A69">
        <w:rPr>
          <w:b w:val="0"/>
          <w:sz w:val="20"/>
          <w:szCs w:val="20"/>
          <w:u w:val="none"/>
        </w:rPr>
        <w:lastRenderedPageBreak/>
        <w:t>*</w:t>
      </w:r>
      <w:r w:rsidRPr="6940B98A">
        <w:rPr>
          <w:b w:val="0"/>
          <w:sz w:val="20"/>
          <w:szCs w:val="20"/>
          <w:u w:val="none"/>
        </w:rPr>
        <w:t xml:space="preserve"> </w:t>
      </w:r>
      <w:r w:rsidR="009120DD" w:rsidRPr="6940B98A">
        <w:rPr>
          <w:b w:val="0"/>
          <w:sz w:val="20"/>
          <w:szCs w:val="20"/>
          <w:u w:val="none"/>
        </w:rPr>
        <w:t xml:space="preserve">Shriners </w:t>
      </w:r>
      <w:r w:rsidRPr="6940B98A">
        <w:rPr>
          <w:b w:val="0"/>
          <w:sz w:val="20"/>
          <w:szCs w:val="20"/>
          <w:u w:val="none"/>
        </w:rPr>
        <w:t>Hospital</w:t>
      </w:r>
      <w:r w:rsidR="009120DD" w:rsidRPr="6940B98A">
        <w:rPr>
          <w:b w:val="0"/>
          <w:sz w:val="20"/>
          <w:szCs w:val="20"/>
          <w:u w:val="none"/>
        </w:rPr>
        <w:t>s for Children Springfield</w:t>
      </w:r>
      <w:r w:rsidRPr="6940B98A">
        <w:rPr>
          <w:b w:val="0"/>
          <w:sz w:val="20"/>
          <w:szCs w:val="20"/>
          <w:u w:val="none"/>
        </w:rPr>
        <w:t xml:space="preserve"> closed </w:t>
      </w:r>
      <w:r w:rsidR="00E4125E" w:rsidRPr="6940B98A">
        <w:rPr>
          <w:b w:val="0"/>
          <w:sz w:val="20"/>
          <w:szCs w:val="20"/>
          <w:u w:val="none"/>
        </w:rPr>
        <w:t xml:space="preserve">prior </w:t>
      </w:r>
      <w:r w:rsidR="0058337F" w:rsidRPr="6940B98A">
        <w:rPr>
          <w:b w:val="0"/>
          <w:sz w:val="20"/>
          <w:szCs w:val="20"/>
          <w:u w:val="none"/>
        </w:rPr>
        <w:t>to</w:t>
      </w:r>
      <w:r w:rsidR="00AB6184" w:rsidRPr="6940B98A">
        <w:rPr>
          <w:b w:val="0"/>
          <w:sz w:val="20"/>
          <w:szCs w:val="20"/>
          <w:u w:val="none"/>
        </w:rPr>
        <w:t xml:space="preserve"> DY29 (CY2024)</w:t>
      </w:r>
      <w:r w:rsidR="00282A54" w:rsidRPr="6940B98A">
        <w:rPr>
          <w:b w:val="0"/>
          <w:sz w:val="20"/>
          <w:szCs w:val="20"/>
          <w:u w:val="none"/>
        </w:rPr>
        <w:t xml:space="preserve"> and will receive no further </w:t>
      </w:r>
      <w:r w:rsidR="008E6FF4" w:rsidRPr="6940B98A">
        <w:rPr>
          <w:b w:val="0"/>
          <w:sz w:val="20"/>
          <w:szCs w:val="20"/>
          <w:u w:val="none"/>
        </w:rPr>
        <w:t xml:space="preserve">SNPP </w:t>
      </w:r>
      <w:r w:rsidR="00282A54" w:rsidRPr="6940B98A">
        <w:rPr>
          <w:b w:val="0"/>
          <w:sz w:val="20"/>
          <w:szCs w:val="20"/>
          <w:u w:val="none"/>
        </w:rPr>
        <w:t>payments in</w:t>
      </w:r>
      <w:r w:rsidR="008E6FF4" w:rsidRPr="6940B98A">
        <w:rPr>
          <w:b w:val="0"/>
          <w:sz w:val="20"/>
          <w:szCs w:val="20"/>
          <w:u w:val="none"/>
        </w:rPr>
        <w:t xml:space="preserve"> or after DY29</w:t>
      </w:r>
      <w:r w:rsidR="00AB6184" w:rsidRPr="6940B98A">
        <w:rPr>
          <w:b w:val="0"/>
          <w:sz w:val="20"/>
          <w:szCs w:val="20"/>
          <w:u w:val="none"/>
        </w:rPr>
        <w:t>. Steward Carney Hospital, Inc. closed prior to DY30 (CY2025)</w:t>
      </w:r>
      <w:r w:rsidR="008E6FF4" w:rsidRPr="6940B98A">
        <w:rPr>
          <w:b w:val="0"/>
          <w:sz w:val="20"/>
          <w:szCs w:val="20"/>
          <w:u w:val="none"/>
        </w:rPr>
        <w:t xml:space="preserve"> and will receive no further SNPP payments in or after DY30</w:t>
      </w:r>
      <w:r w:rsidR="00AB6184" w:rsidRPr="6940B98A">
        <w:rPr>
          <w:b w:val="0"/>
          <w:sz w:val="20"/>
          <w:szCs w:val="20"/>
          <w:u w:val="none"/>
        </w:rPr>
        <w:t>.</w:t>
      </w:r>
      <w:r w:rsidR="002F0E5E" w:rsidRPr="6940B98A">
        <w:rPr>
          <w:b w:val="0"/>
          <w:sz w:val="20"/>
          <w:szCs w:val="20"/>
          <w:u w:val="none"/>
        </w:rPr>
        <w:t xml:space="preserve"> Steward Holy Family Hospital, Inc. was sold to a new owne</w:t>
      </w:r>
      <w:r w:rsidR="0057286F" w:rsidRPr="6940B98A">
        <w:rPr>
          <w:b w:val="0"/>
          <w:sz w:val="20"/>
          <w:szCs w:val="20"/>
          <w:u w:val="none"/>
        </w:rPr>
        <w:t>r prior to DY</w:t>
      </w:r>
      <w:r w:rsidR="0058337F" w:rsidRPr="6940B98A">
        <w:rPr>
          <w:b w:val="0"/>
          <w:sz w:val="20"/>
          <w:szCs w:val="20"/>
          <w:u w:val="none"/>
        </w:rPr>
        <w:t>30</w:t>
      </w:r>
      <w:r w:rsidR="007C19E7" w:rsidRPr="6940B98A">
        <w:rPr>
          <w:b w:val="0"/>
          <w:sz w:val="20"/>
          <w:szCs w:val="20"/>
          <w:u w:val="none"/>
        </w:rPr>
        <w:t xml:space="preserve"> </w:t>
      </w:r>
      <w:r w:rsidR="008E6FF4" w:rsidRPr="6940B98A">
        <w:rPr>
          <w:b w:val="0"/>
          <w:sz w:val="20"/>
          <w:szCs w:val="20"/>
          <w:u w:val="none"/>
        </w:rPr>
        <w:t xml:space="preserve">and </w:t>
      </w:r>
      <w:r w:rsidR="0BB3A3E8" w:rsidRPr="6940B98A">
        <w:rPr>
          <w:b w:val="0"/>
          <w:sz w:val="20"/>
          <w:szCs w:val="20"/>
          <w:u w:val="none"/>
        </w:rPr>
        <w:t>no longer exists as Steward Holy Family Hospital, Inc.  The entity purchasing the former Steward</w:t>
      </w:r>
      <w:r w:rsidR="146B48A7" w:rsidRPr="6940B98A">
        <w:rPr>
          <w:b w:val="0"/>
          <w:sz w:val="20"/>
          <w:szCs w:val="20"/>
          <w:u w:val="none"/>
        </w:rPr>
        <w:t xml:space="preserve"> Holy</w:t>
      </w:r>
      <w:r w:rsidR="0BB3A3E8" w:rsidRPr="6940B98A">
        <w:rPr>
          <w:b w:val="0"/>
          <w:sz w:val="20"/>
          <w:szCs w:val="20"/>
          <w:u w:val="none"/>
        </w:rPr>
        <w:t xml:space="preserve"> Family Hospital, Inc. will not</w:t>
      </w:r>
      <w:r w:rsidR="00654236" w:rsidRPr="6940B98A">
        <w:rPr>
          <w:b w:val="0"/>
          <w:sz w:val="20"/>
          <w:szCs w:val="20"/>
          <w:u w:val="none"/>
        </w:rPr>
        <w:t xml:space="preserve"> receive </w:t>
      </w:r>
      <w:r w:rsidR="591F4914" w:rsidRPr="6940B98A">
        <w:rPr>
          <w:b w:val="0"/>
          <w:sz w:val="20"/>
          <w:szCs w:val="20"/>
          <w:u w:val="none"/>
        </w:rPr>
        <w:t xml:space="preserve">any </w:t>
      </w:r>
      <w:r w:rsidR="00654236" w:rsidRPr="6940B98A">
        <w:rPr>
          <w:b w:val="0"/>
          <w:sz w:val="20"/>
          <w:szCs w:val="20"/>
          <w:u w:val="none"/>
        </w:rPr>
        <w:t>SNPP or SNCP payments</w:t>
      </w:r>
      <w:r w:rsidR="704BC79B" w:rsidRPr="6940B98A">
        <w:rPr>
          <w:b w:val="0"/>
          <w:sz w:val="20"/>
          <w:szCs w:val="20"/>
          <w:u w:val="none"/>
        </w:rPr>
        <w:t xml:space="preserve"> for the hospital</w:t>
      </w:r>
      <w:r w:rsidR="0058337F" w:rsidRPr="6940B98A">
        <w:rPr>
          <w:b w:val="0"/>
          <w:sz w:val="20"/>
          <w:szCs w:val="20"/>
          <w:u w:val="none"/>
        </w:rPr>
        <w:t>.</w:t>
      </w:r>
    </w:p>
    <w:p w14:paraId="4D80D20F" w14:textId="42BB5751" w:rsidR="00C465D8" w:rsidRPr="00C465D8" w:rsidRDefault="00414757" w:rsidP="00C465D8">
      <w:pPr>
        <w:pStyle w:val="Heading2"/>
      </w:pPr>
      <w:r w:rsidRPr="00C465D8">
        <w:t xml:space="preserve">Estimated </w:t>
      </w:r>
      <w:r w:rsidR="002C210D" w:rsidRPr="00C465D8">
        <w:t>P</w:t>
      </w:r>
      <w:r w:rsidRPr="00C465D8">
        <w:t xml:space="preserve">ayments and </w:t>
      </w:r>
      <w:r w:rsidR="002C210D" w:rsidRPr="00C465D8">
        <w:t>R</w:t>
      </w:r>
      <w:r w:rsidRPr="00C465D8">
        <w:t>econciliation</w:t>
      </w:r>
    </w:p>
    <w:p w14:paraId="657D8050" w14:textId="3ECC7C71" w:rsidR="002468E6" w:rsidRDefault="00414757" w:rsidP="00C465D8">
      <w:pPr>
        <w:pStyle w:val="BodyText"/>
      </w:pPr>
      <w:r w:rsidRPr="00C465D8">
        <w:t xml:space="preserve">Generally, </w:t>
      </w:r>
      <w:r w:rsidR="002A4303" w:rsidRPr="00C465D8">
        <w:t>the Commonwealth</w:t>
      </w:r>
      <w:r w:rsidRPr="00C465D8">
        <w:t xml:space="preserve"> will make payments to </w:t>
      </w:r>
      <w:r w:rsidR="00963815">
        <w:t>eligible</w:t>
      </w:r>
      <w:r w:rsidR="00963815" w:rsidRPr="00C465D8">
        <w:t xml:space="preserve"> </w:t>
      </w:r>
      <w:r w:rsidR="001806D8" w:rsidRPr="00C465D8">
        <w:t xml:space="preserve">hospitals </w:t>
      </w:r>
      <w:r w:rsidRPr="00C465D8">
        <w:t xml:space="preserve">for </w:t>
      </w:r>
      <w:r w:rsidR="001806D8" w:rsidRPr="00C465D8">
        <w:t xml:space="preserve">ACO </w:t>
      </w:r>
      <w:r w:rsidR="007D358E" w:rsidRPr="00C465D8">
        <w:t>quality</w:t>
      </w:r>
      <w:r w:rsidR="00346A14">
        <w:t xml:space="preserve"> and TCOC</w:t>
      </w:r>
      <w:r w:rsidR="007D358E" w:rsidRPr="00C465D8">
        <w:t xml:space="preserve"> performance</w:t>
      </w:r>
      <w:r w:rsidR="00DE7216">
        <w:t xml:space="preserve"> as described above</w:t>
      </w:r>
      <w:r w:rsidR="007D358E" w:rsidRPr="00C465D8">
        <w:t xml:space="preserve"> </w:t>
      </w:r>
      <w:r w:rsidR="001806D8" w:rsidRPr="00C465D8">
        <w:t xml:space="preserve">when </w:t>
      </w:r>
      <w:r w:rsidR="00545C1B" w:rsidRPr="00C465D8">
        <w:t>results</w:t>
      </w:r>
      <w:r w:rsidR="001806D8" w:rsidRPr="00C465D8">
        <w:t xml:space="preserve"> become available. </w:t>
      </w:r>
      <w:r w:rsidR="002C210D" w:rsidRPr="00C465D8">
        <w:t xml:space="preserve"> </w:t>
      </w:r>
      <w:r w:rsidR="007D358E" w:rsidRPr="00C465D8">
        <w:t>For p</w:t>
      </w:r>
      <w:r w:rsidRPr="00C465D8">
        <w:t xml:space="preserve">erformance measures that rely on </w:t>
      </w:r>
      <w:r w:rsidR="00346A14">
        <w:t>claims and</w:t>
      </w:r>
      <w:r w:rsidR="00D57EFB">
        <w:t xml:space="preserve">/or other </w:t>
      </w:r>
      <w:r w:rsidRPr="00C465D8">
        <w:t>lagged sources of data</w:t>
      </w:r>
      <w:r w:rsidR="002A4303" w:rsidRPr="00C465D8">
        <w:t xml:space="preserve">, the state </w:t>
      </w:r>
      <w:r w:rsidR="002468E6" w:rsidRPr="00C465D8">
        <w:t>will</w:t>
      </w:r>
      <w:r w:rsidRPr="00C465D8">
        <w:t xml:space="preserve"> make es</w:t>
      </w:r>
      <w:r w:rsidR="007D358E" w:rsidRPr="00C465D8">
        <w:t>timated payments</w:t>
      </w:r>
      <w:r w:rsidRPr="00C465D8">
        <w:t xml:space="preserve">, which </w:t>
      </w:r>
      <w:r w:rsidR="002468E6" w:rsidRPr="00C465D8">
        <w:t>will</w:t>
      </w:r>
      <w:r w:rsidRPr="00C465D8">
        <w:t xml:space="preserve"> be subject to final reconciliation. </w:t>
      </w:r>
      <w:r w:rsidR="002C210D" w:rsidRPr="00C465D8">
        <w:t xml:space="preserve"> </w:t>
      </w:r>
      <w:r w:rsidR="00120F03" w:rsidRPr="00C465D8">
        <w:t>T</w:t>
      </w:r>
      <w:r w:rsidR="002B1093" w:rsidRPr="00C465D8">
        <w:t>he Commonwealth</w:t>
      </w:r>
      <w:r w:rsidR="002468E6" w:rsidRPr="00C465D8">
        <w:t xml:space="preserve"> will perform an annual reconciliation once final </w:t>
      </w:r>
      <w:r w:rsidR="002B1093" w:rsidRPr="00C465D8">
        <w:t xml:space="preserve">quality </w:t>
      </w:r>
      <w:r w:rsidR="00D57EFB">
        <w:t>and TCOC</w:t>
      </w:r>
      <w:r w:rsidR="003641C7">
        <w:t xml:space="preserve"> </w:t>
      </w:r>
      <w:r w:rsidR="002B1093" w:rsidRPr="00C465D8">
        <w:t>performance results are available</w:t>
      </w:r>
      <w:r w:rsidR="009D341F" w:rsidRPr="00C465D8">
        <w:t xml:space="preserve"> to identify the final payment amount</w:t>
      </w:r>
      <w:r w:rsidR="00B15F37" w:rsidRPr="00C465D8">
        <w:t xml:space="preserve"> due to the hospital</w:t>
      </w:r>
      <w:r w:rsidR="00826ADC">
        <w:t>.  The Commonwealth</w:t>
      </w:r>
      <w:r w:rsidR="009D341F" w:rsidRPr="00C465D8">
        <w:t xml:space="preserve"> will pay the hospital any amount due above the estimated payment or </w:t>
      </w:r>
      <w:r w:rsidR="00B15F37" w:rsidRPr="00C465D8">
        <w:t>recoup from the hospital any amount by which the estimated payment exceeded the final amount due</w:t>
      </w:r>
      <w:r w:rsidR="002468E6" w:rsidRPr="00C465D8">
        <w:t xml:space="preserve">.  </w:t>
      </w:r>
    </w:p>
    <w:p w14:paraId="7D2F64DA" w14:textId="1E3D0C36" w:rsidR="00923BA0" w:rsidRDefault="00923BA0" w:rsidP="00C465D8">
      <w:pPr>
        <w:pStyle w:val="BodyText"/>
      </w:pPr>
    </w:p>
    <w:p w14:paraId="04543DA6" w14:textId="342F4335" w:rsidR="00923BA0" w:rsidRDefault="00923BA0" w:rsidP="00923BA0">
      <w:pPr>
        <w:pStyle w:val="Default"/>
        <w:rPr>
          <w:rFonts w:eastAsia="Times New Roman"/>
        </w:rPr>
      </w:pPr>
    </w:p>
    <w:p w14:paraId="234C334D" w14:textId="3D58C666" w:rsidR="00923BA0" w:rsidRDefault="00923BA0" w:rsidP="00923BA0">
      <w:pPr>
        <w:pStyle w:val="Default"/>
        <w:rPr>
          <w:rFonts w:eastAsia="Times New Roman"/>
        </w:rPr>
      </w:pPr>
    </w:p>
    <w:p w14:paraId="270A47C3" w14:textId="7517CA9C" w:rsidR="00923BA0" w:rsidRPr="00C465D8" w:rsidRDefault="00923BA0" w:rsidP="00C465D8">
      <w:pPr>
        <w:pStyle w:val="BodyText"/>
      </w:pPr>
    </w:p>
    <w:sectPr w:rsidR="00923BA0" w:rsidRPr="00C465D8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FB1FF" w14:textId="77777777" w:rsidR="00C876A7" w:rsidRDefault="00C876A7">
      <w:r>
        <w:separator/>
      </w:r>
    </w:p>
  </w:endnote>
  <w:endnote w:type="continuationSeparator" w:id="0">
    <w:p w14:paraId="2A09CB07" w14:textId="77777777" w:rsidR="00C876A7" w:rsidRDefault="00C876A7">
      <w:r>
        <w:continuationSeparator/>
      </w:r>
    </w:p>
  </w:endnote>
  <w:endnote w:type="continuationNotice" w:id="1">
    <w:p w14:paraId="2FD5DE0B" w14:textId="77777777" w:rsidR="00C876A7" w:rsidRDefault="00C87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67880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4191C3" w14:textId="77777777" w:rsidR="00873AB2" w:rsidRDefault="00873AB2" w:rsidP="00187B05">
            <w:pPr>
              <w:pStyle w:val="Footer"/>
              <w:rPr>
                <w:sz w:val="20"/>
                <w:szCs w:val="20"/>
              </w:rPr>
            </w:pPr>
            <w:r w:rsidRPr="00B65789">
              <w:rPr>
                <w:sz w:val="20"/>
                <w:szCs w:val="20"/>
              </w:rPr>
              <w:t>MassHealth Medicaid</w:t>
            </w:r>
            <w:r>
              <w:rPr>
                <w:sz w:val="20"/>
                <w:szCs w:val="20"/>
              </w:rPr>
              <w:t xml:space="preserve"> and CHIP</w:t>
            </w:r>
            <w:r w:rsidRPr="00B65789">
              <w:rPr>
                <w:sz w:val="20"/>
                <w:szCs w:val="20"/>
              </w:rPr>
              <w:t xml:space="preserve"> Section 1115 Demonstration</w:t>
            </w:r>
            <w:r>
              <w:rPr>
                <w:sz w:val="20"/>
                <w:szCs w:val="20"/>
              </w:rPr>
              <w:tab/>
            </w:r>
            <w:r w:rsidRPr="007E312A">
              <w:rPr>
                <w:sz w:val="20"/>
                <w:szCs w:val="20"/>
              </w:rPr>
              <w:t xml:space="preserve">Page </w:t>
            </w:r>
            <w:r w:rsidRPr="007E312A">
              <w:rPr>
                <w:b/>
                <w:bCs/>
                <w:sz w:val="20"/>
                <w:szCs w:val="20"/>
              </w:rPr>
              <w:fldChar w:fldCharType="begin"/>
            </w:r>
            <w:r w:rsidRPr="007E312A">
              <w:rPr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7E312A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7E312A">
              <w:rPr>
                <w:b/>
                <w:bCs/>
                <w:sz w:val="20"/>
                <w:szCs w:val="20"/>
              </w:rPr>
              <w:fldChar w:fldCharType="end"/>
            </w:r>
            <w:r w:rsidRPr="007E312A">
              <w:rPr>
                <w:sz w:val="20"/>
                <w:szCs w:val="20"/>
              </w:rPr>
              <w:t xml:space="preserve"> of </w:t>
            </w:r>
            <w:r w:rsidRPr="007E312A">
              <w:rPr>
                <w:b/>
                <w:bCs/>
                <w:sz w:val="20"/>
                <w:szCs w:val="20"/>
              </w:rPr>
              <w:fldChar w:fldCharType="begin"/>
            </w:r>
            <w:r w:rsidRPr="007E312A">
              <w:rPr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7E312A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7E312A">
              <w:rPr>
                <w:b/>
                <w:bCs/>
                <w:sz w:val="20"/>
                <w:szCs w:val="20"/>
              </w:rPr>
              <w:fldChar w:fldCharType="end"/>
            </w:r>
          </w:p>
          <w:p w14:paraId="78819F4F" w14:textId="28E295E6" w:rsidR="00873AB2" w:rsidRDefault="00873AB2" w:rsidP="00187B05">
            <w:pPr>
              <w:pStyle w:val="Footer"/>
            </w:pPr>
            <w:r w:rsidRPr="0046384F">
              <w:rPr>
                <w:sz w:val="20"/>
                <w:szCs w:val="20"/>
              </w:rPr>
              <w:t>Approval Period:</w:t>
            </w:r>
            <w:r>
              <w:rPr>
                <w:sz w:val="20"/>
                <w:szCs w:val="20"/>
              </w:rPr>
              <w:t xml:space="preserve"> October 1</w:t>
            </w:r>
            <w:r w:rsidRPr="0046384F">
              <w:rPr>
                <w:sz w:val="20"/>
                <w:szCs w:val="20"/>
              </w:rPr>
              <w:t xml:space="preserve">, </w:t>
            </w:r>
            <w:proofErr w:type="gramStart"/>
            <w:r w:rsidRPr="0046384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proofErr w:type="gramEnd"/>
            <w:r w:rsidRPr="0046384F">
              <w:rPr>
                <w:sz w:val="20"/>
                <w:szCs w:val="20"/>
              </w:rPr>
              <w:t xml:space="preserve"> through </w:t>
            </w:r>
            <w:r>
              <w:rPr>
                <w:sz w:val="20"/>
                <w:szCs w:val="20"/>
              </w:rPr>
              <w:t>December 31</w:t>
            </w:r>
            <w:r w:rsidRPr="0046384F"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7</w:t>
            </w:r>
          </w:p>
        </w:sdtContent>
      </w:sdt>
    </w:sdtContent>
  </w:sdt>
  <w:p w14:paraId="5BA35B16" w14:textId="1A6A1EC1" w:rsidR="00873AB2" w:rsidRDefault="00873AB2" w:rsidP="00187B05">
    <w:pPr>
      <w:pStyle w:val="BodyText"/>
      <w:spacing w:line="14" w:lineRule="auto"/>
      <w:rPr>
        <w:sz w:val="20"/>
      </w:rPr>
    </w:pPr>
    <w:r w:rsidDel="00187B05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19DD3" w14:textId="77777777" w:rsidR="00C876A7" w:rsidRDefault="00C876A7">
      <w:r>
        <w:separator/>
      </w:r>
    </w:p>
  </w:footnote>
  <w:footnote w:type="continuationSeparator" w:id="0">
    <w:p w14:paraId="6D86B39F" w14:textId="77777777" w:rsidR="00C876A7" w:rsidRDefault="00C876A7">
      <w:r>
        <w:continuationSeparator/>
      </w:r>
    </w:p>
  </w:footnote>
  <w:footnote w:type="continuationNotice" w:id="1">
    <w:p w14:paraId="683EFBFB" w14:textId="77777777" w:rsidR="00C876A7" w:rsidRDefault="00C87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92FFB" w14:textId="2B9E7F27" w:rsidR="00873AB2" w:rsidRDefault="00873AB2">
    <w:pPr>
      <w:pStyle w:val="Header"/>
    </w:pPr>
    <w:r>
      <w:t>Attachment 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79E"/>
    <w:multiLevelType w:val="hybridMultilevel"/>
    <w:tmpl w:val="537C2270"/>
    <w:lvl w:ilvl="0" w:tplc="DA14E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989"/>
    <w:multiLevelType w:val="hybridMultilevel"/>
    <w:tmpl w:val="9E7C9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B404D"/>
    <w:multiLevelType w:val="hybridMultilevel"/>
    <w:tmpl w:val="C5DAF926"/>
    <w:lvl w:ilvl="0" w:tplc="6DB89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556"/>
    <w:multiLevelType w:val="hybridMultilevel"/>
    <w:tmpl w:val="0B005E1E"/>
    <w:lvl w:ilvl="0" w:tplc="16FAC108">
      <w:numFmt w:val="bullet"/>
      <w:lvlText w:val="*"/>
      <w:lvlJc w:val="left"/>
      <w:pPr>
        <w:ind w:left="315" w:hanging="18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C16A7F3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2C20F1E">
      <w:numFmt w:val="bullet"/>
      <w:lvlText w:val="•"/>
      <w:lvlJc w:val="left"/>
      <w:pPr>
        <w:ind w:left="1862" w:hanging="360"/>
      </w:pPr>
      <w:rPr>
        <w:rFonts w:hint="default"/>
      </w:rPr>
    </w:lvl>
    <w:lvl w:ilvl="3" w:tplc="3BB4C53C">
      <w:numFmt w:val="bullet"/>
      <w:lvlText w:val="•"/>
      <w:lvlJc w:val="left"/>
      <w:pPr>
        <w:ind w:left="2884" w:hanging="360"/>
      </w:pPr>
      <w:rPr>
        <w:rFonts w:hint="default"/>
      </w:rPr>
    </w:lvl>
    <w:lvl w:ilvl="4" w:tplc="1D967F2C">
      <w:numFmt w:val="bullet"/>
      <w:lvlText w:val="•"/>
      <w:lvlJc w:val="left"/>
      <w:pPr>
        <w:ind w:left="3906" w:hanging="360"/>
      </w:pPr>
      <w:rPr>
        <w:rFonts w:hint="default"/>
      </w:rPr>
    </w:lvl>
    <w:lvl w:ilvl="5" w:tplc="24C641A8">
      <w:numFmt w:val="bullet"/>
      <w:lvlText w:val="•"/>
      <w:lvlJc w:val="left"/>
      <w:pPr>
        <w:ind w:left="4928" w:hanging="360"/>
      </w:pPr>
      <w:rPr>
        <w:rFonts w:hint="default"/>
      </w:rPr>
    </w:lvl>
    <w:lvl w:ilvl="6" w:tplc="2E48FE5E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EB56E56E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307E9ECA">
      <w:numFmt w:val="bullet"/>
      <w:lvlText w:val="•"/>
      <w:lvlJc w:val="left"/>
      <w:pPr>
        <w:ind w:left="7995" w:hanging="360"/>
      </w:pPr>
      <w:rPr>
        <w:rFonts w:hint="default"/>
      </w:rPr>
    </w:lvl>
  </w:abstractNum>
  <w:abstractNum w:abstractNumId="4" w15:restartNumberingAfterBreak="0">
    <w:nsid w:val="753966D3"/>
    <w:multiLevelType w:val="hybridMultilevel"/>
    <w:tmpl w:val="3620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21555">
    <w:abstractNumId w:val="3"/>
  </w:num>
  <w:num w:numId="2" w16cid:durableId="1985307439">
    <w:abstractNumId w:val="4"/>
  </w:num>
  <w:num w:numId="3" w16cid:durableId="404032127">
    <w:abstractNumId w:val="0"/>
  </w:num>
  <w:num w:numId="4" w16cid:durableId="1147934335">
    <w:abstractNumId w:val="2"/>
  </w:num>
  <w:num w:numId="5" w16cid:durableId="134381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10"/>
    <w:rsid w:val="00041A8A"/>
    <w:rsid w:val="00052A42"/>
    <w:rsid w:val="00070C66"/>
    <w:rsid w:val="0007741C"/>
    <w:rsid w:val="00094238"/>
    <w:rsid w:val="000C362E"/>
    <w:rsid w:val="000D4B4D"/>
    <w:rsid w:val="000F4192"/>
    <w:rsid w:val="000F4441"/>
    <w:rsid w:val="00107271"/>
    <w:rsid w:val="00114FC3"/>
    <w:rsid w:val="00120F03"/>
    <w:rsid w:val="00125D8C"/>
    <w:rsid w:val="00147F4A"/>
    <w:rsid w:val="0015045D"/>
    <w:rsid w:val="00164103"/>
    <w:rsid w:val="00175AED"/>
    <w:rsid w:val="001761D5"/>
    <w:rsid w:val="001806D8"/>
    <w:rsid w:val="00187B05"/>
    <w:rsid w:val="001B3F35"/>
    <w:rsid w:val="001D5F8A"/>
    <w:rsid w:val="001D613A"/>
    <w:rsid w:val="001F06BA"/>
    <w:rsid w:val="002018E1"/>
    <w:rsid w:val="002179FC"/>
    <w:rsid w:val="0023030E"/>
    <w:rsid w:val="00241CC9"/>
    <w:rsid w:val="002468E6"/>
    <w:rsid w:val="00261AD5"/>
    <w:rsid w:val="00275524"/>
    <w:rsid w:val="002812F1"/>
    <w:rsid w:val="00282A54"/>
    <w:rsid w:val="002850CA"/>
    <w:rsid w:val="00287CA0"/>
    <w:rsid w:val="0029381D"/>
    <w:rsid w:val="002A4303"/>
    <w:rsid w:val="002B1093"/>
    <w:rsid w:val="002C210D"/>
    <w:rsid w:val="002D4EDD"/>
    <w:rsid w:val="002F0E5E"/>
    <w:rsid w:val="00305BCA"/>
    <w:rsid w:val="00332B96"/>
    <w:rsid w:val="00346A14"/>
    <w:rsid w:val="00362EDD"/>
    <w:rsid w:val="003641C7"/>
    <w:rsid w:val="003671E7"/>
    <w:rsid w:val="003800C1"/>
    <w:rsid w:val="003823E9"/>
    <w:rsid w:val="00382776"/>
    <w:rsid w:val="0038557E"/>
    <w:rsid w:val="00394143"/>
    <w:rsid w:val="003A694D"/>
    <w:rsid w:val="003B0DF7"/>
    <w:rsid w:val="003C7B45"/>
    <w:rsid w:val="003D364B"/>
    <w:rsid w:val="003E4107"/>
    <w:rsid w:val="003F16AA"/>
    <w:rsid w:val="003F6E5E"/>
    <w:rsid w:val="00414757"/>
    <w:rsid w:val="004309E3"/>
    <w:rsid w:val="0043430F"/>
    <w:rsid w:val="00441FA0"/>
    <w:rsid w:val="00456C3C"/>
    <w:rsid w:val="004618CD"/>
    <w:rsid w:val="00465392"/>
    <w:rsid w:val="004714FB"/>
    <w:rsid w:val="00477A12"/>
    <w:rsid w:val="00480CF4"/>
    <w:rsid w:val="004856AC"/>
    <w:rsid w:val="004862D6"/>
    <w:rsid w:val="004D537C"/>
    <w:rsid w:val="004F393A"/>
    <w:rsid w:val="004F7CA0"/>
    <w:rsid w:val="00501EBC"/>
    <w:rsid w:val="00511741"/>
    <w:rsid w:val="00514CFF"/>
    <w:rsid w:val="005323D0"/>
    <w:rsid w:val="00536885"/>
    <w:rsid w:val="00545C1B"/>
    <w:rsid w:val="00570272"/>
    <w:rsid w:val="005724A3"/>
    <w:rsid w:val="0057286F"/>
    <w:rsid w:val="0057739E"/>
    <w:rsid w:val="0057759D"/>
    <w:rsid w:val="0058337F"/>
    <w:rsid w:val="00596B2B"/>
    <w:rsid w:val="005A1910"/>
    <w:rsid w:val="005A4068"/>
    <w:rsid w:val="005A644F"/>
    <w:rsid w:val="005B6658"/>
    <w:rsid w:val="005C2201"/>
    <w:rsid w:val="005D204A"/>
    <w:rsid w:val="0060304A"/>
    <w:rsid w:val="006046C3"/>
    <w:rsid w:val="00623DEE"/>
    <w:rsid w:val="0063591F"/>
    <w:rsid w:val="00646248"/>
    <w:rsid w:val="00654236"/>
    <w:rsid w:val="00655E17"/>
    <w:rsid w:val="006730B5"/>
    <w:rsid w:val="00674CF1"/>
    <w:rsid w:val="00682E06"/>
    <w:rsid w:val="00686A17"/>
    <w:rsid w:val="006874B8"/>
    <w:rsid w:val="00692DEF"/>
    <w:rsid w:val="0069445A"/>
    <w:rsid w:val="006C44B9"/>
    <w:rsid w:val="006C6CDC"/>
    <w:rsid w:val="006F60E7"/>
    <w:rsid w:val="00717124"/>
    <w:rsid w:val="00735FDA"/>
    <w:rsid w:val="007415FA"/>
    <w:rsid w:val="00745DBE"/>
    <w:rsid w:val="007616BA"/>
    <w:rsid w:val="00784D2D"/>
    <w:rsid w:val="00785775"/>
    <w:rsid w:val="00785AA5"/>
    <w:rsid w:val="007A1F3C"/>
    <w:rsid w:val="007A7330"/>
    <w:rsid w:val="007B18E4"/>
    <w:rsid w:val="007C19E7"/>
    <w:rsid w:val="007D358E"/>
    <w:rsid w:val="007E692B"/>
    <w:rsid w:val="007F7BEA"/>
    <w:rsid w:val="00815FB2"/>
    <w:rsid w:val="00826ADC"/>
    <w:rsid w:val="00827C23"/>
    <w:rsid w:val="00856B73"/>
    <w:rsid w:val="00873AB2"/>
    <w:rsid w:val="008832DE"/>
    <w:rsid w:val="00887333"/>
    <w:rsid w:val="008A2C07"/>
    <w:rsid w:val="008A505B"/>
    <w:rsid w:val="008E2359"/>
    <w:rsid w:val="008E6FF4"/>
    <w:rsid w:val="008F02A9"/>
    <w:rsid w:val="008F5AFA"/>
    <w:rsid w:val="008F6170"/>
    <w:rsid w:val="009120DD"/>
    <w:rsid w:val="009209E4"/>
    <w:rsid w:val="00923BA0"/>
    <w:rsid w:val="009259EC"/>
    <w:rsid w:val="00927CC0"/>
    <w:rsid w:val="00931DF0"/>
    <w:rsid w:val="00944C7C"/>
    <w:rsid w:val="00955F08"/>
    <w:rsid w:val="00963815"/>
    <w:rsid w:val="00971DB8"/>
    <w:rsid w:val="00974FB3"/>
    <w:rsid w:val="009D341F"/>
    <w:rsid w:val="009D4716"/>
    <w:rsid w:val="009D6E71"/>
    <w:rsid w:val="009E67D6"/>
    <w:rsid w:val="009E77C0"/>
    <w:rsid w:val="009F32A7"/>
    <w:rsid w:val="009F5F37"/>
    <w:rsid w:val="00A158E5"/>
    <w:rsid w:val="00A16B36"/>
    <w:rsid w:val="00A4547E"/>
    <w:rsid w:val="00A51E2E"/>
    <w:rsid w:val="00A542A1"/>
    <w:rsid w:val="00A63CBC"/>
    <w:rsid w:val="00A929E5"/>
    <w:rsid w:val="00A96333"/>
    <w:rsid w:val="00AA29AB"/>
    <w:rsid w:val="00AB6184"/>
    <w:rsid w:val="00AC6263"/>
    <w:rsid w:val="00AD5B11"/>
    <w:rsid w:val="00B15F37"/>
    <w:rsid w:val="00B218E8"/>
    <w:rsid w:val="00B32552"/>
    <w:rsid w:val="00B44EFE"/>
    <w:rsid w:val="00B51169"/>
    <w:rsid w:val="00B66580"/>
    <w:rsid w:val="00B71A46"/>
    <w:rsid w:val="00B80AAC"/>
    <w:rsid w:val="00B92334"/>
    <w:rsid w:val="00B97081"/>
    <w:rsid w:val="00BA034E"/>
    <w:rsid w:val="00BB1949"/>
    <w:rsid w:val="00BC2EB2"/>
    <w:rsid w:val="00BD3990"/>
    <w:rsid w:val="00BE625C"/>
    <w:rsid w:val="00BF4644"/>
    <w:rsid w:val="00C1433D"/>
    <w:rsid w:val="00C23A69"/>
    <w:rsid w:val="00C302CD"/>
    <w:rsid w:val="00C3306B"/>
    <w:rsid w:val="00C371FC"/>
    <w:rsid w:val="00C44BA8"/>
    <w:rsid w:val="00C465D8"/>
    <w:rsid w:val="00C557CD"/>
    <w:rsid w:val="00C77FF7"/>
    <w:rsid w:val="00C876A7"/>
    <w:rsid w:val="00CE3522"/>
    <w:rsid w:val="00CE4743"/>
    <w:rsid w:val="00CE5B93"/>
    <w:rsid w:val="00CF3C6D"/>
    <w:rsid w:val="00D23A82"/>
    <w:rsid w:val="00D24A26"/>
    <w:rsid w:val="00D25DD9"/>
    <w:rsid w:val="00D43D52"/>
    <w:rsid w:val="00D57EFB"/>
    <w:rsid w:val="00D65697"/>
    <w:rsid w:val="00D747D7"/>
    <w:rsid w:val="00D81620"/>
    <w:rsid w:val="00DE47D6"/>
    <w:rsid w:val="00DE7216"/>
    <w:rsid w:val="00E250FA"/>
    <w:rsid w:val="00E34155"/>
    <w:rsid w:val="00E4125E"/>
    <w:rsid w:val="00E517E3"/>
    <w:rsid w:val="00E6598D"/>
    <w:rsid w:val="00E77A49"/>
    <w:rsid w:val="00EA558F"/>
    <w:rsid w:val="00EB5C43"/>
    <w:rsid w:val="00EC488A"/>
    <w:rsid w:val="00ED2B06"/>
    <w:rsid w:val="00EE17DA"/>
    <w:rsid w:val="00EE737B"/>
    <w:rsid w:val="00F04282"/>
    <w:rsid w:val="00F07161"/>
    <w:rsid w:val="00F14304"/>
    <w:rsid w:val="00F32C99"/>
    <w:rsid w:val="00F4391B"/>
    <w:rsid w:val="00F459FE"/>
    <w:rsid w:val="00F476FE"/>
    <w:rsid w:val="00F6350B"/>
    <w:rsid w:val="00F72550"/>
    <w:rsid w:val="00F8158B"/>
    <w:rsid w:val="00FA5E5A"/>
    <w:rsid w:val="00FE4E22"/>
    <w:rsid w:val="00FF324B"/>
    <w:rsid w:val="00FF5FBD"/>
    <w:rsid w:val="00FF7503"/>
    <w:rsid w:val="0354870B"/>
    <w:rsid w:val="05297FAC"/>
    <w:rsid w:val="0BB3A3E8"/>
    <w:rsid w:val="0CC7C4D9"/>
    <w:rsid w:val="0DD4FDB9"/>
    <w:rsid w:val="0F45A8F4"/>
    <w:rsid w:val="116D3202"/>
    <w:rsid w:val="146B48A7"/>
    <w:rsid w:val="14786F6D"/>
    <w:rsid w:val="15180510"/>
    <w:rsid w:val="1BE8BB9F"/>
    <w:rsid w:val="1D7DA2E1"/>
    <w:rsid w:val="2181694C"/>
    <w:rsid w:val="322FE144"/>
    <w:rsid w:val="39681F49"/>
    <w:rsid w:val="3F9CFD00"/>
    <w:rsid w:val="43B82D32"/>
    <w:rsid w:val="4928A8F0"/>
    <w:rsid w:val="4AA848DC"/>
    <w:rsid w:val="4F18C680"/>
    <w:rsid w:val="53E4E55A"/>
    <w:rsid w:val="56B555AD"/>
    <w:rsid w:val="591F4914"/>
    <w:rsid w:val="60CB4932"/>
    <w:rsid w:val="61BE43E0"/>
    <w:rsid w:val="63277BC7"/>
    <w:rsid w:val="6940B98A"/>
    <w:rsid w:val="6BFDC38C"/>
    <w:rsid w:val="704BC79B"/>
    <w:rsid w:val="73150310"/>
    <w:rsid w:val="739B8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CB6B6"/>
  <w15:docId w15:val="{BDEB83F1-0BE1-42FB-B1CE-47A6883C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1910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A1910"/>
    <w:pPr>
      <w:ind w:left="20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33"/>
    <w:pPr>
      <w:keepNext/>
      <w:keepLines/>
      <w:spacing w:before="40" w:after="12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59D"/>
    <w:pPr>
      <w:keepNext/>
      <w:widowControl/>
      <w:autoSpaceDE/>
      <w:autoSpaceDN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79FC"/>
    <w:pPr>
      <w:keepNext/>
      <w:widowControl/>
      <w:autoSpaceDE/>
      <w:autoSpaceDN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9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A191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19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A1910"/>
    <w:pPr>
      <w:ind w:left="1533" w:hanging="360"/>
    </w:pPr>
  </w:style>
  <w:style w:type="paragraph" w:customStyle="1" w:styleId="TableParagraph">
    <w:name w:val="Table Paragraph"/>
    <w:basedOn w:val="Normal"/>
    <w:uiPriority w:val="1"/>
    <w:qFormat/>
    <w:rsid w:val="005A1910"/>
  </w:style>
  <w:style w:type="character" w:customStyle="1" w:styleId="normaltextrun">
    <w:name w:val="normaltextrun"/>
    <w:basedOn w:val="DefaultParagraphFont"/>
    <w:rsid w:val="0043430F"/>
  </w:style>
  <w:style w:type="paragraph" w:customStyle="1" w:styleId="paragraph">
    <w:name w:val="paragraph"/>
    <w:basedOn w:val="Normal"/>
    <w:rsid w:val="0043430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43430F"/>
  </w:style>
  <w:style w:type="character" w:customStyle="1" w:styleId="eop">
    <w:name w:val="eop"/>
    <w:basedOn w:val="DefaultParagraphFont"/>
    <w:rsid w:val="0043430F"/>
  </w:style>
  <w:style w:type="character" w:customStyle="1" w:styleId="spellingerror">
    <w:name w:val="spellingerror"/>
    <w:basedOn w:val="DefaultParagraphFont"/>
    <w:rsid w:val="0043430F"/>
  </w:style>
  <w:style w:type="character" w:customStyle="1" w:styleId="findhit">
    <w:name w:val="findhit"/>
    <w:basedOn w:val="DefaultParagraphFont"/>
    <w:rsid w:val="0043430F"/>
  </w:style>
  <w:style w:type="paragraph" w:styleId="BalloonText">
    <w:name w:val="Balloon Text"/>
    <w:basedOn w:val="Normal"/>
    <w:link w:val="BalloonTextChar"/>
    <w:uiPriority w:val="99"/>
    <w:semiHidden/>
    <w:unhideWhenUsed/>
    <w:rsid w:val="001806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D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0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0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6B36"/>
    <w:pPr>
      <w:spacing w:after="0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8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187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B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7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B0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50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87333"/>
    <w:rPr>
      <w:rFonts w:ascii="Times New Roman" w:eastAsiaTheme="majorEastAsia" w:hAnsi="Times New Roman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759D"/>
    <w:rPr>
      <w:rFonts w:ascii="Times New Roman" w:eastAsia="Times New Roman" w:hAnsi="Times New Roman" w:cs="Times New Roman"/>
      <w:b/>
    </w:rPr>
  </w:style>
  <w:style w:type="paragraph" w:customStyle="1" w:styleId="Default">
    <w:name w:val="Default"/>
    <w:rsid w:val="00923BA0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79F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316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28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ntns:customXsn xmlns:ntns="http://schemas.microsoft.com/office/2006/metadata/customXsn">
  <ntns:xsnLocation>https://share.cms.gov/center/CMCS/SDG/Demonstrations/Forms/Document/54d9852c241a7466customXsn.xsn</ntns:xsnLocation>
  <ntns:cached>False</ntns:cached>
  <ntns:openByDefault>False</ntns:openByDefault>
  <ntns:xsnScope>https://share.cms.gov/center/CMCS/SDG/Demonstrations</ntns:xsnScope>
</ntns:customXs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_x0020_Descriptor xmlns="6b9f974d-4be1-4652-82ab-08a778657aa4"/>
    <Review_x0020_Comments xmlns="6b9f974d-4be1-4652-82ab-08a778657aa4" xsi:nil="true"/>
    <Divisions xmlns="6b9f974d-4be1-4652-82ab-08a778657aa4">DSRD</Divisions>
    <IconOverlay xmlns="http://schemas.microsoft.com/sharepoint/v4" xsi:nil="true"/>
    <Document_x0020_Type xmlns="6b9f974d-4be1-4652-82ab-08a778657aa4">10</Document_x0020_Type>
    <State xmlns="6b9f974d-4be1-4652-82ab-08a778657aa4">Massachusetts</State>
    <Demo_x0020_ID xmlns="6b9f974d-4be1-4652-82ab-08a778657aa4" xsi:nil="true"/>
    <FormData xmlns="http://schemas.microsoft.com/sharepoint/v3">&lt;?xml version="1.0" encoding="utf-8"?&gt;&lt;FormVariables&gt;&lt;Version /&gt;&lt;/FormVariables&gt;</FormData>
    <Document_x0020_Set_x0020_Type xmlns="6b9f974d-4be1-4652-82ab-08a778657aa4" xsi:nil="true"/>
    <Demo_x0020_Name xmlns="6b9f974d-4be1-4652-82ab-08a778657aa4">20</Demo_x0020_Name>
    <_dlc_DocId xmlns="144ea41b-304c-4c03-99c4-debb02094f92">CMCS-1739211535-16643</_dlc_DocId>
    <_dlc_DocIdUrl xmlns="144ea41b-304c-4c03-99c4-debb02094f92">
      <Url>https://share.cms.gov/center/CMCS/SDG/_layouts/15/DocIdRedir.aspx?ID=CMCS-1739211535-16643</Url>
      <Description>CMCS-1739211535-16643</Description>
    </_dlc_DocIdUrl>
  </documentManagement>
</p:properti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886B34E0E9F48BA16FBED9D25C84A" ma:contentTypeVersion="146" ma:contentTypeDescription="Create a new document." ma:contentTypeScope="" ma:versionID="a783c54e5d4923e5096018d4e7e09b00">
  <xsd:schema xmlns:xsd="http://www.w3.org/2001/XMLSchema" xmlns:xs="http://www.w3.org/2001/XMLSchema" xmlns:p="http://schemas.microsoft.com/office/2006/metadata/properties" xmlns:ns1="http://schemas.microsoft.com/sharepoint/v3" xmlns:ns2="6b9f974d-4be1-4652-82ab-08a778657aa4" xmlns:ns3="http://schemas.microsoft.com/sharepoint/v4" xmlns:ns4="bfed16da-a8ca-46ec-a4aa-c7c509893314" xmlns:ns5="144ea41b-304c-4c03-99c4-debb02094f92" targetNamespace="http://schemas.microsoft.com/office/2006/metadata/properties" ma:root="true" ma:fieldsID="5b1818f059c132d18d80597215857c09" ns1:_="" ns2:_="" ns3:_="" ns4:_="" ns5:_="">
    <xsd:import namespace="http://schemas.microsoft.com/sharepoint/v3"/>
    <xsd:import namespace="6b9f974d-4be1-4652-82ab-08a778657aa4"/>
    <xsd:import namespace="http://schemas.microsoft.com/sharepoint/v4"/>
    <xsd:import namespace="bfed16da-a8ca-46ec-a4aa-c7c509893314"/>
    <xsd:import namespace="144ea41b-304c-4c03-99c4-debb02094f92"/>
    <xsd:element name="properties">
      <xsd:complexType>
        <xsd:sequence>
          <xsd:element name="documentManagement">
            <xsd:complexType>
              <xsd:all>
                <xsd:element ref="ns2:Demo_x0020_Name" minOccurs="0"/>
                <xsd:element ref="ns3:IconOverlay" minOccurs="0"/>
                <xsd:element ref="ns2:Document_x0020_Set_x0020_Type" minOccurs="0"/>
                <xsd:element ref="ns2:Document_x0020_Type_x0020_Descriptor" minOccurs="0"/>
                <xsd:element ref="ns1:_vti_ItemDeclaredRecord" minOccurs="0"/>
                <xsd:element ref="ns1:_vti_ItemHoldRecordStatus" minOccurs="0"/>
                <xsd:element ref="ns2:State"/>
                <xsd:element ref="ns2:Review_x0020_Comments" minOccurs="0"/>
                <xsd:element ref="ns2:Demo_x0020_ID" minOccurs="0"/>
                <xsd:element ref="ns2:Demo_x0020_ID_x003a_Demonstration_x0020_Name" minOccurs="0"/>
                <xsd:element ref="ns1:FormData" minOccurs="0"/>
                <xsd:element ref="ns2:Demo_x0020_Name_x003a_Demo_x0020_ID" minOccurs="0"/>
                <xsd:element ref="ns2:Demo_x0020_Name_x003a_Demonstration_x0020_Name" minOccurs="0"/>
                <xsd:element ref="ns2:Demo_x0020_Name_x003a_State_Internal" minOccurs="0"/>
                <xsd:element ref="ns2:Demo_x0020_Name_x003a_DemoID_x002d_Name" minOccurs="0"/>
                <xsd:element ref="ns2:Demo_x0020_Name_x003a_State_x0020_Abbreviation" minOccurs="0"/>
                <xsd:element ref="ns2:Divisions"/>
                <xsd:element ref="ns2:Document_x0020_Type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FormData" ma:index="22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f974d-4be1-4652-82ab-08a778657aa4" elementFormDefault="qualified">
    <xsd:import namespace="http://schemas.microsoft.com/office/2006/documentManagement/types"/>
    <xsd:import namespace="http://schemas.microsoft.com/office/infopath/2007/PartnerControls"/>
    <xsd:element name="Demo_x0020_Name" ma:index="8" nillable="true" ma:displayName="Demo Name" ma:indexed="true" ma:list="{4bd70136-adc3-481d-9b73-a7d0d41fb284}" ma:internalName="Demo_x0020_Name" ma:showField="DemoID_x002d_Name">
      <xsd:simpleType>
        <xsd:restriction base="dms:Lookup"/>
      </xsd:simpleType>
    </xsd:element>
    <xsd:element name="Document_x0020_Set_x0020_Type" ma:index="10" nillable="true" ma:displayName="Document Set Type" ma:description="" ma:hidden="true" ma:list="{d2aafb2a-d240-4133-80c5-d19b1f13bc4c}" ma:internalName="Document_x0020_Set_x0020_Type" ma:readOnly="false" ma:showField="Title" ma:web="{BFED16DA-A8CA-46EC-A4AA-C7C509893314}">
      <xsd:simpleType>
        <xsd:restriction base="dms:Lookup"/>
      </xsd:simpleType>
    </xsd:element>
    <xsd:element name="Document_x0020_Type_x0020_Descriptor" ma:index="11" nillable="true" ma:displayName="Key Policy" ma:list="{3747dcd6-9357-477b-8666-38504625f1ac}" ma:internalName="Document_x0020_Type_x0020_Descriptor" ma:showField="Title" ma:web="{BFED16DA-A8CA-46EC-A4AA-C7C50989331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e" ma:index="17" ma:displayName="State" ma:format="Dropdown" ma:indexed="true" ma:internalName="State">
      <xsd:simpleType>
        <xsd:union memberTypes="dms:Text">
          <xsd:simpleType>
            <xsd:restriction base="dms:Choice">
              <xsd:enumeration value="All States"/>
              <xsd:enumeration value="Alabama"/>
              <xsd:enumeration value="Alaska"/>
              <xsd:enumeration value="Arizona"/>
              <xsd:enumeration value="Arkansas"/>
              <xsd:enumeration value="California"/>
              <xsd:enumeration value="Colorado"/>
              <xsd:enumeration value="Connecticut"/>
              <xsd:enumeration value="Delaware"/>
              <xsd:enumeration value="District of Columbia"/>
              <xsd:enumeration value="Federated States of Micronesia"/>
              <xsd:enumeration value="Florida"/>
              <xsd:enumeration value="Georgia"/>
              <xsd:enumeration value="Guam"/>
              <xsd:enumeration value="Hawaii"/>
              <xsd:enumeration value="Idaho"/>
              <xsd:enumeration value="Illinois"/>
              <xsd:enumeration value="Indiana"/>
              <xsd:enumeration value="Iowa"/>
              <xsd:enumeration value="Kansas"/>
              <xsd:enumeration value="Kentucky"/>
              <xsd:enumeration value="Louisiana"/>
              <xsd:enumeration value="Maine"/>
              <xsd:enumeration value="Maryland"/>
              <xsd:enumeration value="Massachusetts"/>
              <xsd:enumeration value="Michigan"/>
              <xsd:enumeration value="Minnesota"/>
              <xsd:enumeration value="Mississippi"/>
              <xsd:enumeration value="Missouri"/>
              <xsd:enumeration value="Montana"/>
              <xsd:enumeration value="Nebraska"/>
              <xsd:enumeration value="Nevada"/>
              <xsd:enumeration value="New Hampshire"/>
              <xsd:enumeration value="New Jersey"/>
              <xsd:enumeration value="New Mexico"/>
              <xsd:enumeration value="New York"/>
              <xsd:enumeration value="North Carolina"/>
              <xsd:enumeration value="North Dakota"/>
              <xsd:enumeration value="Ohio"/>
              <xsd:enumeration value="Oklahoma"/>
              <xsd:enumeration value="Oregon"/>
              <xsd:enumeration value="Pennsylvania"/>
              <xsd:enumeration value="Puerto Rico"/>
              <xsd:enumeration value="Rhode Island"/>
              <xsd:enumeration value="South Carolina"/>
              <xsd:enumeration value="South Dakota"/>
              <xsd:enumeration value="Tennessee"/>
              <xsd:enumeration value="Texas"/>
              <xsd:enumeration value="US Virgin Islands"/>
              <xsd:enumeration value="Utah"/>
              <xsd:enumeration value="Vermont"/>
              <xsd:enumeration value="Virginia"/>
              <xsd:enumeration value="Washington"/>
              <xsd:enumeration value="West Virginia"/>
              <xsd:enumeration value="Wisconsin"/>
              <xsd:enumeration value="Wyoming"/>
            </xsd:restriction>
          </xsd:simpleType>
        </xsd:union>
      </xsd:simpleType>
    </xsd:element>
    <xsd:element name="Review_x0020_Comments" ma:index="18" nillable="true" ma:displayName="Review Comments" ma:hidden="true" ma:internalName="Review_x0020_Comments" ma:readOnly="false">
      <xsd:simpleType>
        <xsd:restriction base="dms:Note"/>
      </xsd:simpleType>
    </xsd:element>
    <xsd:element name="Demo_x0020_ID" ma:index="20" nillable="true" ma:displayName="Demo ID" ma:indexed="true" ma:list="{4bd70136-adc3-481d-9b73-a7d0d41fb284}" ma:internalName="Demo_x0020_ID" ma:showField="Title">
      <xsd:simpleType>
        <xsd:restriction base="dms:Lookup"/>
      </xsd:simpleType>
    </xsd:element>
    <xsd:element name="Demo_x0020_ID_x003a_Demonstration_x0020_Name" ma:index="21" nillable="true" ma:displayName="Demo ID:Demonstration Name" ma:list="{4bd70136-adc3-481d-9b73-a7d0d41fb284}" ma:internalName="Demo_x0020_ID_x003a_Demonstration_x0020_Name" ma:readOnly="true" ma:showField="Demonstration_x0020_Name" ma:web="bfed16da-a8ca-46ec-a4aa-c7c509893314">
      <xsd:simpleType>
        <xsd:restriction base="dms:Lookup"/>
      </xsd:simpleType>
    </xsd:element>
    <xsd:element name="Demo_x0020_Name_x003a_Demo_x0020_ID" ma:index="23" nillable="true" ma:displayName="Demo Name:Demo ID" ma:list="{4bd70136-adc3-481d-9b73-a7d0d41fb284}" ma:internalName="Demo_x0020_Name_x003a_Demo_x0020_ID" ma:readOnly="true" ma:showField="Title" ma:web="bfed16da-a8ca-46ec-a4aa-c7c509893314">
      <xsd:simpleType>
        <xsd:restriction base="dms:Lookup"/>
      </xsd:simpleType>
    </xsd:element>
    <xsd:element name="Demo_x0020_Name_x003a_Demonstration_x0020_Name" ma:index="24" nillable="true" ma:displayName="Demo Name:Demonstration Name" ma:list="{4bd70136-adc3-481d-9b73-a7d0d41fb284}" ma:internalName="Demo_x0020_Name_x003a_Demonstration_x0020_Name" ma:readOnly="true" ma:showField="Demonstration_x0020_Name" ma:web="bfed16da-a8ca-46ec-a4aa-c7c509893314">
      <xsd:simpleType>
        <xsd:restriction base="dms:Lookup"/>
      </xsd:simpleType>
    </xsd:element>
    <xsd:element name="Demo_x0020_Name_x003a_State_Internal" ma:index="25" nillable="true" ma:displayName="Demo Name:State_Internal" ma:list="{4bd70136-adc3-481d-9b73-a7d0d41fb284}" ma:internalName="Demo_x0020_Name_x003a_State_Internal" ma:readOnly="true" ma:showField="State_Internal" ma:web="bfed16da-a8ca-46ec-a4aa-c7c509893314">
      <xsd:simpleType>
        <xsd:restriction base="dms:Lookup"/>
      </xsd:simpleType>
    </xsd:element>
    <xsd:element name="Demo_x0020_Name_x003a_DemoID_x002d_Name" ma:index="26" nillable="true" ma:displayName="Demo Name:DemoID-Name" ma:list="{4bd70136-adc3-481d-9b73-a7d0d41fb284}" ma:internalName="Demo_x0020_Name_x003a_DemoID_x002d_Name" ma:readOnly="true" ma:showField="DemoID_x002d_Name" ma:web="bfed16da-a8ca-46ec-a4aa-c7c509893314">
      <xsd:simpleType>
        <xsd:restriction base="dms:Lookup"/>
      </xsd:simpleType>
    </xsd:element>
    <xsd:element name="Demo_x0020_Name_x003a_State_x0020_Abbreviation" ma:index="27" nillable="true" ma:displayName="Demo Name:State Abbreviation" ma:list="{4bd70136-adc3-481d-9b73-a7d0d41fb284}" ma:internalName="Demo_x0020_Name_x003a_State_x0020_Abbreviation" ma:readOnly="true" ma:showField="State_x0020_Abbreviation" ma:web="bfed16da-a8ca-46ec-a4aa-c7c509893314">
      <xsd:simpleType>
        <xsd:restriction base="dms:Lookup"/>
      </xsd:simpleType>
    </xsd:element>
    <xsd:element name="Divisions" ma:index="28" ma:displayName="Division" ma:format="Dropdown" ma:indexed="true" ma:internalName="Divisions">
      <xsd:simpleType>
        <xsd:restriction base="dms:Choice">
          <xsd:enumeration value="CMCHO"/>
          <xsd:enumeration value="DDME"/>
          <xsd:enumeration value="DEHPG"/>
          <xsd:enumeration value="DMED"/>
          <xsd:enumeration value="DECD"/>
          <xsd:enumeration value="DSDW"/>
          <xsd:enumeration value="DSRD"/>
          <xsd:enumeration value="OGD"/>
          <xsd:enumeration value="MCOG"/>
        </xsd:restriction>
      </xsd:simpleType>
    </xsd:element>
    <xsd:element name="Document_x0020_Type" ma:index="29" ma:displayName="Document Type" ma:description="" ma:indexed="true" ma:list="{2817c478-d000-48a1-a8db-f5160062febf}" ma:internalName="Document_x0020_Type" ma:showField="Title" ma:web="{BFED16DA-A8CA-46EC-A4AA-C7C509893314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16da-a8ca-46ec-a4aa-c7c50989331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a41b-304c-4c03-99c4-debb02094f92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C308E3-DF56-4661-82FB-32FD98099E5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F19D06C-6549-4CF1-8A14-D9B9DC57C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2E9A52-752E-4776-A64E-5CD8D5A3F2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169350-4B8D-4D53-9EE7-503AAF467CEA}">
  <ds:schemaRefs>
    <ds:schemaRef ds:uri="http://purl.org/dc/terms/"/>
    <ds:schemaRef ds:uri="http://www.w3.org/XML/1998/namespace"/>
    <ds:schemaRef ds:uri="http://schemas.microsoft.com/sharepoint/v3"/>
    <ds:schemaRef ds:uri="6b9f974d-4be1-4652-82ab-08a778657aa4"/>
    <ds:schemaRef ds:uri="http://schemas.microsoft.com/office/infopath/2007/PartnerControls"/>
    <ds:schemaRef ds:uri="144ea41b-304c-4c03-99c4-debb02094f92"/>
    <ds:schemaRef ds:uri="http://schemas.microsoft.com/sharepoint/v4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fed16da-a8ca-46ec-a4aa-c7c509893314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CEEEE1D-A3A0-44BA-AEC2-8B4446E3C8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C201D7-4036-416A-A990-39C15E2CE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9f974d-4be1-4652-82ab-08a778657aa4"/>
    <ds:schemaRef ds:uri="http://schemas.microsoft.com/sharepoint/v4"/>
    <ds:schemaRef ds:uri="bfed16da-a8ca-46ec-a4aa-c7c509893314"/>
    <ds:schemaRef ds:uri="144ea41b-304c-4c03-99c4-debb02094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488BE4B-AADA-4BA3-9C96-142C22275966}">
  <ds:schemaRefs/>
</ds:datastoreItem>
</file>

<file path=customXml/itemProps8.xml><?xml version="1.0" encoding="utf-8"?>
<ds:datastoreItem xmlns:ds="http://schemas.openxmlformats.org/officeDocument/2006/customXml" ds:itemID="{DC848B24-02B5-44AA-A0B8-5568ECF5AAA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4875</Characters>
  <Application>Microsoft Office Word</Application>
  <DocSecurity>0</DocSecurity>
  <Lines>270</Lines>
  <Paragraphs>251</Paragraphs>
  <ScaleCrop>false</ScaleCrop>
  <Company>CMS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Greenfield</dc:creator>
  <cp:keywords/>
  <dc:description/>
  <cp:lastModifiedBy>Khan, Rabia (CMS/CMCS)</cp:lastModifiedBy>
  <cp:revision>2</cp:revision>
  <dcterms:created xsi:type="dcterms:W3CDTF">2025-01-15T13:39:00Z</dcterms:created>
  <dcterms:modified xsi:type="dcterms:W3CDTF">2025-01-15T13:39:00Z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0x010100228886B34E0E9F48BA16FBED9D25C84A</vt:lpwstr>
  </property>
  <property fmtid="{D5CDD505-2E9C-101B-9397-08002B2CF9AE}" pid="3" name="_dlc_DocIdItemGuid">
    <vt:lpwstr>4f907572-e714-4fff-8ee6-ef619b6b34cb</vt:lpwstr>
  </property>
  <property fmtid="{D5CDD505-2E9C-101B-9397-08002B2CF9AE}" pid="4" name="Comments">
    <vt:lpwstr>submitted 11/27/24</vt:lpwstr>
  </property>
</Properties>
</file>