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37D84" w14:textId="43B6DAFD" w:rsidR="006A7F8F" w:rsidRDefault="006A7F8F" w:rsidP="006B6EB0">
      <w:pPr>
        <w:pStyle w:val="Heading1"/>
        <w:spacing w:before="90" w:after="0"/>
        <w:ind w:left="2555" w:right="2534"/>
        <w:jc w:val="center"/>
      </w:pPr>
      <w:bookmarkStart w:id="0" w:name="_GoBack"/>
      <w:bookmarkEnd w:id="0"/>
      <w:r>
        <w:t>Attachment Q</w:t>
      </w:r>
    </w:p>
    <w:p w14:paraId="0D437D85" w14:textId="10BDE28F" w:rsidR="006A7F8F" w:rsidRDefault="006A7F8F" w:rsidP="006B6EB0">
      <w:pPr>
        <w:pStyle w:val="Heading2"/>
      </w:pPr>
      <w:r>
        <w:t>Medicaid Managed Care Entity/ACO Performance-Based</w:t>
      </w:r>
      <w:r w:rsidR="006B6EB0">
        <w:t xml:space="preserve"> </w:t>
      </w:r>
      <w:r>
        <w:t>Payment Mechanisms</w:t>
      </w:r>
    </w:p>
    <w:p w14:paraId="0D437D86" w14:textId="77777777" w:rsidR="006A7F8F" w:rsidRDefault="006A7F8F" w:rsidP="006A7F8F">
      <w:pPr>
        <w:pStyle w:val="BodyText"/>
        <w:rPr>
          <w:b/>
        </w:rPr>
      </w:pPr>
    </w:p>
    <w:p w14:paraId="0D437D87" w14:textId="77777777" w:rsidR="006A7F8F" w:rsidRDefault="006A7F8F" w:rsidP="00FF2E3B">
      <w:pPr>
        <w:pStyle w:val="Heading1"/>
        <w:numPr>
          <w:ilvl w:val="0"/>
          <w:numId w:val="5"/>
        </w:numPr>
      </w:pPr>
      <w:r>
        <w:t>Overview</w:t>
      </w:r>
    </w:p>
    <w:p w14:paraId="17CD73DB" w14:textId="63A5FE29" w:rsidR="00892CAF" w:rsidRDefault="00754806" w:rsidP="002C37BC">
      <w:r>
        <w:t xml:space="preserve">Over the prior demonstration, the </w:t>
      </w:r>
      <w:r w:rsidR="005F3244">
        <w:t xml:space="preserve">Commonwealth shifted payments </w:t>
      </w:r>
      <w:r w:rsidR="006A7F8F">
        <w:t xml:space="preserve">to risk-based alternative payment models focused on accountability for quality, integration and total cost of care. </w:t>
      </w:r>
      <w:r w:rsidR="003D26B9">
        <w:t xml:space="preserve"> Similarly, </w:t>
      </w:r>
      <w:r w:rsidR="008E3F7E">
        <w:t xml:space="preserve">Massachusetts implemented </w:t>
      </w:r>
      <w:r w:rsidR="004B5DF8">
        <w:t>Medicaid</w:t>
      </w:r>
      <w:r w:rsidR="00EE7E7C">
        <w:t xml:space="preserve"> managed care</w:t>
      </w:r>
      <w:r w:rsidR="004B5DF8">
        <w:t xml:space="preserve"> directed payments aligned with the goals </w:t>
      </w:r>
      <w:r w:rsidR="00EE7E7C">
        <w:t>of the</w:t>
      </w:r>
      <w:r w:rsidR="004B5DF8">
        <w:t xml:space="preserve"> Commonwealth’s </w:t>
      </w:r>
      <w:r w:rsidR="00EE7E7C">
        <w:t>delivery system reforms</w:t>
      </w:r>
      <w:r w:rsidR="009555BF">
        <w:t xml:space="preserve"> </w:t>
      </w:r>
      <w:r w:rsidR="00137AE6">
        <w:t>by holding</w:t>
      </w:r>
      <w:r w:rsidR="00EC08D0">
        <w:t xml:space="preserve"> hospitals accountable for quality and care integration. </w:t>
      </w:r>
    </w:p>
    <w:p w14:paraId="66E51CCF" w14:textId="77777777" w:rsidR="00892CAF" w:rsidRDefault="00892CAF" w:rsidP="002C37BC"/>
    <w:p w14:paraId="0D437D88" w14:textId="2DFED3D8" w:rsidR="006A7F8F" w:rsidRDefault="00892CAF" w:rsidP="002C37BC">
      <w:r>
        <w:t xml:space="preserve">The Commonwealth will continue </w:t>
      </w:r>
      <w:r w:rsidR="008251F8">
        <w:t>these successful alternative payment models during the current demonstration by</w:t>
      </w:r>
      <w:r>
        <w:t xml:space="preserve"> </w:t>
      </w:r>
      <w:r w:rsidR="006A7F8F">
        <w:t>direct</w:t>
      </w:r>
      <w:r w:rsidR="008251F8">
        <w:t>ing</w:t>
      </w:r>
      <w:r w:rsidR="006A7F8F">
        <w:t xml:space="preserve"> Medicaid Managed Care Entities/Accountable Care organizations (MMCE/ACO) to administer </w:t>
      </w:r>
      <w:r>
        <w:t>performance improvement initiatives</w:t>
      </w:r>
      <w:r w:rsidR="00653D3F">
        <w:t xml:space="preserve"> and/or fee schedule requirements</w:t>
      </w:r>
      <w:r w:rsidR="006A7F8F">
        <w:t xml:space="preserve"> for hospitals as described below (“MMCE/ACO payment mechanism”)</w:t>
      </w:r>
      <w:proofErr w:type="gramStart"/>
      <w:r w:rsidR="006A7F8F">
        <w:t xml:space="preserve">. </w:t>
      </w:r>
      <w:proofErr w:type="gramEnd"/>
      <w:r w:rsidR="006A7F8F">
        <w:t>In addition to being critical to the delivery system reform goals shared by the Commonwealth and CMS, these performance</w:t>
      </w:r>
      <w:r w:rsidR="00723872">
        <w:t xml:space="preserve"> improvement initiatives</w:t>
      </w:r>
      <w:r w:rsidR="00653D3F">
        <w:t xml:space="preserve"> and fee schedule requirements</w:t>
      </w:r>
      <w:r w:rsidR="006A7F8F">
        <w:t xml:space="preserve"> are integral to the Commonwealth’s overall financing of activities authorized under the demonstration, and are compliant with requirements for payments made under 42 CFR 438.6(c)</w:t>
      </w:r>
    </w:p>
    <w:p w14:paraId="00B7EAA3" w14:textId="2AB11C2C" w:rsidR="00FF00AD" w:rsidRDefault="00FF00AD" w:rsidP="002C37BC"/>
    <w:p w14:paraId="7EA685DB" w14:textId="6730A889" w:rsidR="00FF00AD" w:rsidRDefault="00FF00AD" w:rsidP="002C37BC">
      <w:r>
        <w:t>This Attachment</w:t>
      </w:r>
      <w:r w:rsidR="00137AE6">
        <w:t xml:space="preserve"> Q</w:t>
      </w:r>
      <w:r>
        <w:t xml:space="preserve"> is intended to describe a common understanding between the Commonwealth and CMS on a framework for implementing </w:t>
      </w:r>
      <w:proofErr w:type="gramStart"/>
      <w:r w:rsidR="00A22B4C">
        <w:t>these state</w:t>
      </w:r>
      <w:proofErr w:type="gramEnd"/>
      <w:r w:rsidR="00A22B4C">
        <w:t xml:space="preserve"> directed</w:t>
      </w:r>
      <w:r>
        <w:t xml:space="preserve"> payments. The attachment does not prohibit the Commonwealth from modifying the payment amounts or the performance measures to best meet its needs and submitting such revisions through the CMS </w:t>
      </w:r>
      <w:r w:rsidR="00017233">
        <w:t xml:space="preserve">managed care directed payment </w:t>
      </w:r>
      <w:r>
        <w:t>review and approval process; such changes shall not require an amendment to the demonstration.</w:t>
      </w:r>
    </w:p>
    <w:p w14:paraId="0D437D89" w14:textId="77777777" w:rsidR="006A7F8F" w:rsidRDefault="006A7F8F" w:rsidP="006A7F8F">
      <w:pPr>
        <w:pStyle w:val="BodyText"/>
        <w:spacing w:before="8"/>
      </w:pPr>
    </w:p>
    <w:p w14:paraId="0D437D8A" w14:textId="77777777" w:rsidR="006A7F8F" w:rsidRDefault="006A7F8F" w:rsidP="00FF2E3B">
      <w:pPr>
        <w:pStyle w:val="Heading1"/>
        <w:numPr>
          <w:ilvl w:val="0"/>
          <w:numId w:val="5"/>
        </w:numPr>
      </w:pPr>
      <w:r>
        <w:t>General</w:t>
      </w:r>
      <w:r>
        <w:rPr>
          <w:spacing w:val="-12"/>
        </w:rPr>
        <w:t xml:space="preserve"> </w:t>
      </w:r>
      <w:r w:rsidRPr="00FF2E3B">
        <w:t>Requirements</w:t>
      </w:r>
    </w:p>
    <w:p w14:paraId="0D437D8B" w14:textId="0C63AFEA" w:rsidR="006A7F8F" w:rsidRDefault="006A7F8F" w:rsidP="002C37BC">
      <w:r>
        <w:t>The MMCE/ACO payment mechanisms described below, which the Commonwealth agrees to establish, shall be implemented through MMCE/ACO contracts consistent with this Attachment in order to meet the requirements of 42 CFR 438.6</w:t>
      </w:r>
      <w:r w:rsidR="0059617A">
        <w:t>(c)</w:t>
      </w:r>
      <w:r>
        <w:t>.</w:t>
      </w:r>
    </w:p>
    <w:p w14:paraId="0D437D8C" w14:textId="77777777" w:rsidR="006A7F8F" w:rsidRDefault="006A7F8F" w:rsidP="006A7F8F">
      <w:pPr>
        <w:pStyle w:val="BodyText"/>
        <w:spacing w:before="7"/>
      </w:pPr>
    </w:p>
    <w:p w14:paraId="0D437D8D" w14:textId="77777777" w:rsidR="006A7F8F" w:rsidRDefault="006A7F8F" w:rsidP="00FF2E3B">
      <w:pPr>
        <w:pStyle w:val="Heading1"/>
        <w:numPr>
          <w:ilvl w:val="0"/>
          <w:numId w:val="5"/>
        </w:numPr>
      </w:pPr>
      <w:r w:rsidRPr="00FF2E3B">
        <w:t>Description</w:t>
      </w:r>
      <w:r>
        <w:t xml:space="preserve"> of the Payment</w:t>
      </w:r>
      <w:r>
        <w:rPr>
          <w:spacing w:val="-16"/>
        </w:rPr>
        <w:t xml:space="preserve"> </w:t>
      </w:r>
      <w:r>
        <w:t>Mechanisms</w:t>
      </w:r>
    </w:p>
    <w:p w14:paraId="0D437D8E" w14:textId="32A553C7" w:rsidR="006A7F8F" w:rsidRDefault="006A7F8F" w:rsidP="002C37BC">
      <w:r>
        <w:t>The Commonwealth intends to direct MMCE/ACOs to administer the following</w:t>
      </w:r>
      <w:r w:rsidR="00F26FC1">
        <w:t xml:space="preserve"> </w:t>
      </w:r>
      <w:r>
        <w:t xml:space="preserve">MMCE/ACO </w:t>
      </w:r>
      <w:r w:rsidR="00622C09">
        <w:t>payments:</w:t>
      </w:r>
    </w:p>
    <w:p w14:paraId="3923ED14" w14:textId="561BCAC5" w:rsidR="00F64F87" w:rsidRDefault="00F03E25" w:rsidP="002C37BC">
      <w:pPr>
        <w:pStyle w:val="ListParagraph"/>
        <w:numPr>
          <w:ilvl w:val="0"/>
          <w:numId w:val="6"/>
        </w:numPr>
      </w:pPr>
      <w:r w:rsidRPr="002C37BC">
        <w:rPr>
          <w:b/>
        </w:rPr>
        <w:t>Clinical Quality Incentive</w:t>
      </w:r>
      <w:r w:rsidR="00767DC0" w:rsidRPr="002C37BC">
        <w:rPr>
          <w:b/>
        </w:rPr>
        <w:t xml:space="preserve"> for Acute Hospitals</w:t>
      </w:r>
      <w:r w:rsidRPr="002C37BC">
        <w:rPr>
          <w:b/>
        </w:rPr>
        <w:t xml:space="preserve"> (DY</w:t>
      </w:r>
      <w:r w:rsidR="002C37BC" w:rsidRPr="002C37BC">
        <w:rPr>
          <w:b/>
        </w:rPr>
        <w:t xml:space="preserve"> </w:t>
      </w:r>
      <w:r w:rsidR="00F64F87" w:rsidRPr="002C37BC">
        <w:rPr>
          <w:b/>
        </w:rPr>
        <w:t>28 – DY</w:t>
      </w:r>
      <w:r w:rsidR="002C37BC" w:rsidRPr="002C37BC">
        <w:rPr>
          <w:b/>
        </w:rPr>
        <w:t xml:space="preserve"> </w:t>
      </w:r>
      <w:r w:rsidR="00F64F87" w:rsidRPr="002C37BC">
        <w:rPr>
          <w:b/>
        </w:rPr>
        <w:t xml:space="preserve">32): </w:t>
      </w:r>
      <w:r w:rsidR="00A712EF">
        <w:t>For participating</w:t>
      </w:r>
      <w:r w:rsidR="003F48EC">
        <w:t xml:space="preserve"> </w:t>
      </w:r>
      <w:r w:rsidR="00561FF8">
        <w:t>private</w:t>
      </w:r>
      <w:r w:rsidR="00A712EF">
        <w:t xml:space="preserve"> </w:t>
      </w:r>
      <w:r w:rsidR="004A0365">
        <w:t xml:space="preserve">in-state </w:t>
      </w:r>
      <w:r w:rsidR="00A712EF">
        <w:t>acute hospitals, the Commonwealth will direct MMCE/ACOs to make payments</w:t>
      </w:r>
      <w:r w:rsidR="00155D64">
        <w:t xml:space="preserve"> based on </w:t>
      </w:r>
      <w:r w:rsidR="00EC2BE1">
        <w:t>clinical quality performance.</w:t>
      </w:r>
    </w:p>
    <w:p w14:paraId="0D437D90" w14:textId="033EB8F1" w:rsidR="006A7F8F" w:rsidRDefault="006A7F8F" w:rsidP="002C37BC">
      <w:pPr>
        <w:pStyle w:val="ListParagraph"/>
        <w:numPr>
          <w:ilvl w:val="0"/>
          <w:numId w:val="6"/>
        </w:numPr>
      </w:pPr>
      <w:r w:rsidRPr="002C37BC">
        <w:rPr>
          <w:b/>
        </w:rPr>
        <w:t>Hospital Quality Incentive (</w:t>
      </w:r>
      <w:r w:rsidR="00EC2BE1" w:rsidRPr="002C37BC">
        <w:rPr>
          <w:b/>
        </w:rPr>
        <w:t>DY</w:t>
      </w:r>
      <w:r w:rsidR="002C37BC" w:rsidRPr="002C37BC">
        <w:rPr>
          <w:b/>
        </w:rPr>
        <w:t xml:space="preserve"> </w:t>
      </w:r>
      <w:r w:rsidR="00EC2BE1" w:rsidRPr="002C37BC">
        <w:rPr>
          <w:b/>
        </w:rPr>
        <w:t xml:space="preserve">28 – </w:t>
      </w:r>
      <w:r w:rsidR="00EE2321" w:rsidRPr="002C37BC">
        <w:rPr>
          <w:b/>
        </w:rPr>
        <w:t>DY</w:t>
      </w:r>
      <w:r w:rsidR="002C37BC" w:rsidRPr="002C37BC">
        <w:rPr>
          <w:b/>
        </w:rPr>
        <w:t xml:space="preserve"> </w:t>
      </w:r>
      <w:r w:rsidR="00EE2321" w:rsidRPr="002C37BC">
        <w:rPr>
          <w:b/>
        </w:rPr>
        <w:t>32</w:t>
      </w:r>
      <w:r w:rsidRPr="002C37BC">
        <w:rPr>
          <w:b/>
        </w:rPr>
        <w:t xml:space="preserve">): </w:t>
      </w:r>
      <w:r>
        <w:t xml:space="preserve">The Commonwealth will direct MMCE/ACOs to make payments to </w:t>
      </w:r>
      <w:r w:rsidR="0093128B">
        <w:t>non-federal, non-state-owned public hospitals</w:t>
      </w:r>
      <w:r>
        <w:t xml:space="preserve"> based</w:t>
      </w:r>
      <w:r w:rsidRPr="002C37BC">
        <w:rPr>
          <w:spacing w:val="-22"/>
        </w:rPr>
        <w:t xml:space="preserve"> </w:t>
      </w:r>
      <w:r>
        <w:t>on hospital quality</w:t>
      </w:r>
      <w:r w:rsidRPr="002C37BC">
        <w:rPr>
          <w:spacing w:val="-10"/>
        </w:rPr>
        <w:t xml:space="preserve"> </w:t>
      </w:r>
      <w:r>
        <w:t>performance.</w:t>
      </w:r>
    </w:p>
    <w:p w14:paraId="07C7D96A" w14:textId="5E6771E3" w:rsidR="00963793" w:rsidRDefault="00CC1AF2" w:rsidP="002C37BC">
      <w:pPr>
        <w:pStyle w:val="ListParagraph"/>
        <w:numPr>
          <w:ilvl w:val="0"/>
          <w:numId w:val="6"/>
        </w:numPr>
      </w:pPr>
      <w:r w:rsidRPr="002C37BC">
        <w:rPr>
          <w:b/>
        </w:rPr>
        <w:t xml:space="preserve">Hospital </w:t>
      </w:r>
      <w:r w:rsidR="0009735F" w:rsidRPr="002C37BC">
        <w:rPr>
          <w:b/>
        </w:rPr>
        <w:t xml:space="preserve">Performance Improvement Initiative </w:t>
      </w:r>
      <w:r w:rsidRPr="002C37BC">
        <w:rPr>
          <w:b/>
        </w:rPr>
        <w:t>(DY</w:t>
      </w:r>
      <w:r w:rsidR="002C37BC" w:rsidRPr="002C37BC">
        <w:rPr>
          <w:b/>
        </w:rPr>
        <w:t xml:space="preserve"> </w:t>
      </w:r>
      <w:r w:rsidRPr="002C37BC">
        <w:rPr>
          <w:b/>
        </w:rPr>
        <w:t>28 – DY</w:t>
      </w:r>
      <w:r w:rsidR="002C37BC" w:rsidRPr="002C37BC">
        <w:rPr>
          <w:b/>
        </w:rPr>
        <w:t xml:space="preserve"> </w:t>
      </w:r>
      <w:r w:rsidRPr="002C37BC">
        <w:rPr>
          <w:b/>
        </w:rPr>
        <w:t>32):</w:t>
      </w:r>
      <w:r>
        <w:t xml:space="preserve"> The Commonwealth will direct </w:t>
      </w:r>
      <w:r w:rsidR="00AC4804">
        <w:t xml:space="preserve">MMCE/ACOs to </w:t>
      </w:r>
      <w:r w:rsidR="00642DFA">
        <w:t xml:space="preserve">make payments to </w:t>
      </w:r>
      <w:r w:rsidR="00025EF9">
        <w:t xml:space="preserve">hospital systems affiliated with the state-owned medical school </w:t>
      </w:r>
      <w:r w:rsidR="004F59CD">
        <w:t xml:space="preserve">based on hospital quality performance. </w:t>
      </w:r>
    </w:p>
    <w:p w14:paraId="0D437D91" w14:textId="3DD47434" w:rsidR="006A7F8F" w:rsidRDefault="006A7F8F" w:rsidP="002C37BC">
      <w:pPr>
        <w:pStyle w:val="ListParagraph"/>
        <w:numPr>
          <w:ilvl w:val="0"/>
          <w:numId w:val="6"/>
        </w:numPr>
      </w:pPr>
      <w:r w:rsidRPr="002C37BC">
        <w:rPr>
          <w:b/>
        </w:rPr>
        <w:t>Integrated Care Incentive (</w:t>
      </w:r>
      <w:r w:rsidR="00EE2321" w:rsidRPr="002C37BC">
        <w:rPr>
          <w:b/>
        </w:rPr>
        <w:t>DY</w:t>
      </w:r>
      <w:r w:rsidR="002C37BC" w:rsidRPr="002C37BC">
        <w:rPr>
          <w:b/>
        </w:rPr>
        <w:t xml:space="preserve"> </w:t>
      </w:r>
      <w:r w:rsidR="00EE2321" w:rsidRPr="002C37BC">
        <w:rPr>
          <w:b/>
        </w:rPr>
        <w:t>28 – DY</w:t>
      </w:r>
      <w:r w:rsidR="002C37BC" w:rsidRPr="002C37BC">
        <w:rPr>
          <w:b/>
        </w:rPr>
        <w:t xml:space="preserve"> </w:t>
      </w:r>
      <w:r w:rsidR="00EE2321" w:rsidRPr="002C37BC">
        <w:rPr>
          <w:b/>
        </w:rPr>
        <w:t>32</w:t>
      </w:r>
      <w:r w:rsidRPr="002C37BC">
        <w:rPr>
          <w:b/>
        </w:rPr>
        <w:t xml:space="preserve">): </w:t>
      </w:r>
      <w:r>
        <w:t xml:space="preserve">In the event that primary care providers employed by or affiliated with Cambridge Health Alliance participate in the Commonwealth’s Accountable Care Partnership Plan model, the Commonwealth will direct </w:t>
      </w:r>
      <w:r>
        <w:lastRenderedPageBreak/>
        <w:t>that MMCE/ACO to make payments to non-federal,</w:t>
      </w:r>
      <w:r w:rsidRPr="002C37BC">
        <w:rPr>
          <w:spacing w:val="-24"/>
        </w:rPr>
        <w:t xml:space="preserve"> </w:t>
      </w:r>
      <w:r>
        <w:t>non-state</w:t>
      </w:r>
      <w:r w:rsidR="009C0F3B">
        <w:t>-owned</w:t>
      </w:r>
      <w:r>
        <w:t xml:space="preserve"> public hospitals based on the accountable care performance of such hospitals’ owned or affiliated primary care</w:t>
      </w:r>
      <w:r w:rsidRPr="002C37BC">
        <w:rPr>
          <w:spacing w:val="-10"/>
        </w:rPr>
        <w:t xml:space="preserve"> </w:t>
      </w:r>
      <w:r>
        <w:t>providers.</w:t>
      </w:r>
    </w:p>
    <w:p w14:paraId="0D437D92" w14:textId="757BC832" w:rsidR="006A7F8F" w:rsidRDefault="006A7F8F" w:rsidP="002C37BC">
      <w:pPr>
        <w:pStyle w:val="ListParagraph"/>
        <w:numPr>
          <w:ilvl w:val="0"/>
          <w:numId w:val="6"/>
        </w:numPr>
      </w:pPr>
      <w:r w:rsidRPr="002C37BC">
        <w:rPr>
          <w:b/>
        </w:rPr>
        <w:t>Behavioral Health Quality Incentive (</w:t>
      </w:r>
      <w:r w:rsidR="00EE2321" w:rsidRPr="002C37BC">
        <w:rPr>
          <w:b/>
        </w:rPr>
        <w:t>DY</w:t>
      </w:r>
      <w:r w:rsidR="002C37BC" w:rsidRPr="002C37BC">
        <w:rPr>
          <w:b/>
        </w:rPr>
        <w:t xml:space="preserve"> </w:t>
      </w:r>
      <w:r w:rsidR="00EE2321" w:rsidRPr="002C37BC">
        <w:rPr>
          <w:b/>
        </w:rPr>
        <w:t>28 – DY</w:t>
      </w:r>
      <w:r w:rsidR="002C37BC" w:rsidRPr="002C37BC">
        <w:rPr>
          <w:b/>
        </w:rPr>
        <w:t xml:space="preserve"> </w:t>
      </w:r>
      <w:r w:rsidR="00EE2321" w:rsidRPr="002C37BC">
        <w:rPr>
          <w:b/>
        </w:rPr>
        <w:t>32</w:t>
      </w:r>
      <w:r w:rsidRPr="002C37BC">
        <w:rPr>
          <w:b/>
        </w:rPr>
        <w:t xml:space="preserve">): </w:t>
      </w:r>
      <w:r>
        <w:t>The Commonwealth will direct the Commonwealth’s single Prepaid Inpatient Health Plan (PIHP) to make payments to non-federal, non-state</w:t>
      </w:r>
      <w:r w:rsidR="00CE4B72">
        <w:t>-owned</w:t>
      </w:r>
      <w:r>
        <w:t xml:space="preserve"> public hospitals in its network</w:t>
      </w:r>
      <w:r w:rsidRPr="002C37BC">
        <w:rPr>
          <w:spacing w:val="-22"/>
        </w:rPr>
        <w:t xml:space="preserve"> </w:t>
      </w:r>
      <w:r>
        <w:t>based on behavioral health quality</w:t>
      </w:r>
      <w:r w:rsidRPr="002C37BC">
        <w:rPr>
          <w:spacing w:val="-9"/>
        </w:rPr>
        <w:t xml:space="preserve"> </w:t>
      </w:r>
      <w:r>
        <w:t>performance.</w:t>
      </w:r>
    </w:p>
    <w:p w14:paraId="746D263D" w14:textId="527AF41A" w:rsidR="006350F1" w:rsidRDefault="004A0365" w:rsidP="002C37BC">
      <w:pPr>
        <w:pStyle w:val="ListParagraph"/>
        <w:numPr>
          <w:ilvl w:val="0"/>
          <w:numId w:val="6"/>
        </w:numPr>
      </w:pPr>
      <w:r w:rsidRPr="002C37BC">
        <w:rPr>
          <w:b/>
        </w:rPr>
        <w:t xml:space="preserve">Professional Services </w:t>
      </w:r>
      <w:r w:rsidR="005363D0" w:rsidRPr="002C37BC">
        <w:rPr>
          <w:b/>
        </w:rPr>
        <w:t>Performance Improvement Initiative (DY</w:t>
      </w:r>
      <w:r w:rsidR="002C37BC" w:rsidRPr="002C37BC">
        <w:rPr>
          <w:b/>
        </w:rPr>
        <w:t xml:space="preserve"> </w:t>
      </w:r>
      <w:r w:rsidR="005363D0" w:rsidRPr="002C37BC">
        <w:rPr>
          <w:b/>
        </w:rPr>
        <w:t>28</w:t>
      </w:r>
      <w:r w:rsidR="0006179A" w:rsidRPr="002C37BC">
        <w:rPr>
          <w:b/>
        </w:rPr>
        <w:t xml:space="preserve"> – </w:t>
      </w:r>
      <w:r w:rsidR="005363D0" w:rsidRPr="002C37BC">
        <w:rPr>
          <w:b/>
        </w:rPr>
        <w:t>DY</w:t>
      </w:r>
      <w:r w:rsidR="002C37BC" w:rsidRPr="002C37BC">
        <w:rPr>
          <w:b/>
        </w:rPr>
        <w:t xml:space="preserve"> </w:t>
      </w:r>
      <w:r w:rsidR="005363D0" w:rsidRPr="002C37BC">
        <w:rPr>
          <w:b/>
        </w:rPr>
        <w:t>32)</w:t>
      </w:r>
      <w:r w:rsidR="0006179A" w:rsidRPr="002C37BC">
        <w:rPr>
          <w:b/>
        </w:rPr>
        <w:t xml:space="preserve">: </w:t>
      </w:r>
      <w:r w:rsidR="0005039B">
        <w:t xml:space="preserve">The Commonwealth will direct MMCE/ACO to make </w:t>
      </w:r>
      <w:r w:rsidR="00FC033E">
        <w:t xml:space="preserve">payments to hospital systems affiliated with the state-owned medical school based on </w:t>
      </w:r>
      <w:r w:rsidR="00F03E25">
        <w:t>performance tied to physician services</w:t>
      </w:r>
      <w:r w:rsidR="00FC033E">
        <w:t>.</w:t>
      </w:r>
    </w:p>
    <w:p w14:paraId="1FDC6F1E" w14:textId="03653FFA" w:rsidR="00C1529B" w:rsidRPr="002C37BC" w:rsidRDefault="00C1529B" w:rsidP="002C37BC">
      <w:pPr>
        <w:pStyle w:val="ListParagraph"/>
        <w:numPr>
          <w:ilvl w:val="0"/>
          <w:numId w:val="6"/>
        </w:numPr>
        <w:rPr>
          <w:b/>
        </w:rPr>
      </w:pPr>
      <w:r w:rsidRPr="002C37BC">
        <w:rPr>
          <w:b/>
        </w:rPr>
        <w:t>Rate Add-on for Acute Hospitals (DY</w:t>
      </w:r>
      <w:r w:rsidR="002C37BC" w:rsidRPr="002C37BC">
        <w:rPr>
          <w:b/>
        </w:rPr>
        <w:t xml:space="preserve"> </w:t>
      </w:r>
      <w:r w:rsidRPr="002C37BC">
        <w:rPr>
          <w:b/>
        </w:rPr>
        <w:t>28 – DY</w:t>
      </w:r>
      <w:r w:rsidR="002C37BC" w:rsidRPr="002C37BC">
        <w:rPr>
          <w:b/>
        </w:rPr>
        <w:t xml:space="preserve"> </w:t>
      </w:r>
      <w:r w:rsidRPr="002C37BC">
        <w:rPr>
          <w:b/>
        </w:rPr>
        <w:t xml:space="preserve">32): </w:t>
      </w:r>
      <w:r>
        <w:t xml:space="preserve">The Commonwealth will direct MMCE/ACOs to make a rate add-on payment to all contracted in-state acute hospitals. </w:t>
      </w:r>
    </w:p>
    <w:p w14:paraId="0D437D93" w14:textId="77777777" w:rsidR="006A7F8F" w:rsidRDefault="006A7F8F" w:rsidP="006A7F8F">
      <w:pPr>
        <w:pStyle w:val="BodyText"/>
        <w:spacing w:before="5"/>
      </w:pPr>
    </w:p>
    <w:p w14:paraId="0D437D94" w14:textId="064E7C9F" w:rsidR="006A7F8F" w:rsidRPr="00372706" w:rsidRDefault="006A7F8F" w:rsidP="00FF2E3B">
      <w:pPr>
        <w:pStyle w:val="Heading1"/>
        <w:numPr>
          <w:ilvl w:val="0"/>
          <w:numId w:val="5"/>
        </w:numPr>
      </w:pPr>
      <w:r w:rsidRPr="00FF2E3B">
        <w:t>General</w:t>
      </w:r>
      <w:r w:rsidRPr="00372706">
        <w:t xml:space="preserve"> Methodology Linking Payment Mechanisms to Utilization/Delivery of Services</w:t>
      </w:r>
    </w:p>
    <w:p w14:paraId="0D437D96" w14:textId="77777777" w:rsidR="006A7F8F" w:rsidRDefault="006A7F8F" w:rsidP="002C37BC">
      <w:r>
        <w:t>The Commonwealth shall include in its MMCE/ACO contracts payment mechanisms consistent with the following approach:</w:t>
      </w:r>
    </w:p>
    <w:p w14:paraId="0D437D97" w14:textId="77777777" w:rsidR="006A7F8F" w:rsidRDefault="006A7F8F" w:rsidP="002C37BC">
      <w:pPr>
        <w:pStyle w:val="ListParagraph"/>
        <w:numPr>
          <w:ilvl w:val="0"/>
          <w:numId w:val="7"/>
        </w:numPr>
      </w:pPr>
      <w:r>
        <w:t>The Commonwealth will specify the maximum allowable payment amount that it will direct each MMCE/ACO to pay to one or more designated classes of hospitals during</w:t>
      </w:r>
      <w:r w:rsidRPr="002C37BC">
        <w:rPr>
          <w:spacing w:val="-21"/>
        </w:rPr>
        <w:t xml:space="preserve"> </w:t>
      </w:r>
      <w:r>
        <w:t>the MMCE/ACO contract</w:t>
      </w:r>
      <w:r w:rsidRPr="002C37BC">
        <w:rPr>
          <w:spacing w:val="-9"/>
        </w:rPr>
        <w:t xml:space="preserve"> </w:t>
      </w:r>
      <w:r>
        <w:t>year.</w:t>
      </w:r>
    </w:p>
    <w:p w14:paraId="0D437D98" w14:textId="447BF90C" w:rsidR="006A7F8F" w:rsidRDefault="00261359" w:rsidP="002C37BC">
      <w:pPr>
        <w:pStyle w:val="ListParagraph"/>
        <w:numPr>
          <w:ilvl w:val="0"/>
          <w:numId w:val="7"/>
        </w:numPr>
      </w:pPr>
      <w:r>
        <w:t xml:space="preserve">The </w:t>
      </w:r>
      <w:r w:rsidR="006A7F8F">
        <w:t>maximum payment amount earned by a specific hospital will be equal to the total amount directed to the designated class multiplied by the proportion of the class’s total managed Medicaid Gross Patient Service Revenue (“Medicaid GPSR”) or other measure of utilization and deliver</w:t>
      </w:r>
      <w:r w:rsidR="00FD6BD8">
        <w:t>y</w:t>
      </w:r>
      <w:r w:rsidR="006A7F8F">
        <w:t xml:space="preserve"> of services</w:t>
      </w:r>
      <w:r w:rsidR="00DB2DA6">
        <w:t xml:space="preserve"> through managed care</w:t>
      </w:r>
      <w:r w:rsidR="006A7F8F">
        <w:t xml:space="preserve">, for which the specific hospital’s Medicaid </w:t>
      </w:r>
      <w:r w:rsidR="00FD6BD8">
        <w:t xml:space="preserve">managed care </w:t>
      </w:r>
      <w:r w:rsidR="006A7F8F">
        <w:t xml:space="preserve">GPSR, or other measure of </w:t>
      </w:r>
      <w:r w:rsidR="00DB2DA6">
        <w:t>managed care-</w:t>
      </w:r>
      <w:r w:rsidR="006A7F8F">
        <w:t>delivered services, accounts during the MMCE/ACO contract</w:t>
      </w:r>
      <w:r w:rsidR="006A7F8F" w:rsidRPr="002C37BC">
        <w:rPr>
          <w:spacing w:val="-21"/>
        </w:rPr>
        <w:t xml:space="preserve"> </w:t>
      </w:r>
      <w:r w:rsidR="006A7F8F">
        <w:t>year.</w:t>
      </w:r>
      <w:r w:rsidR="00BB3C6E">
        <w:t xml:space="preserve"> </w:t>
      </w:r>
      <w:r w:rsidR="00A5453E" w:rsidRPr="00A5453E">
        <w:t xml:space="preserve"> </w:t>
      </w:r>
      <w:r w:rsidR="00A5453E">
        <w:t xml:space="preserve">For performance improvement initiatives under 42 CFR 438.6(c)(1)(ii), a </w:t>
      </w:r>
      <w:r w:rsidR="005C4DB3">
        <w:t>hospital will earn its maximum payment amount only if it achieves full quality performance</w:t>
      </w:r>
      <w:r w:rsidR="00D6292E">
        <w:t xml:space="preserve"> as set forth in the corresponding state directed payment preprint</w:t>
      </w:r>
      <w:proofErr w:type="gramStart"/>
      <w:r w:rsidR="00D6292E">
        <w:t xml:space="preserve">. </w:t>
      </w:r>
      <w:proofErr w:type="gramEnd"/>
      <w:r w:rsidR="00C9428A">
        <w:t xml:space="preserve">Note that, for the Rate add-on for Acute Hospitals, payment will be based on </w:t>
      </w:r>
      <w:r w:rsidR="00E51126">
        <w:t xml:space="preserve">managed care </w:t>
      </w:r>
      <w:r w:rsidR="00753FFF">
        <w:t xml:space="preserve">inpatient </w:t>
      </w:r>
      <w:r w:rsidR="00C9428A">
        <w:t>discharges and outpatient episodes, not GPSR.</w:t>
      </w:r>
    </w:p>
    <w:p w14:paraId="0D437D99" w14:textId="77777777" w:rsidR="006A7F8F" w:rsidRDefault="006A7F8F" w:rsidP="002C37BC">
      <w:pPr>
        <w:pStyle w:val="ListParagraph"/>
        <w:numPr>
          <w:ilvl w:val="0"/>
          <w:numId w:val="7"/>
        </w:numPr>
      </w:pPr>
      <w:r>
        <w:t>The Commonwealth will calculate periodic lump sum payments that MMCE/ACOs will be directed to pay to specific hospitals</w:t>
      </w:r>
      <w:proofErr w:type="gramStart"/>
      <w:r>
        <w:t xml:space="preserve">. </w:t>
      </w:r>
      <w:proofErr w:type="gramEnd"/>
      <w:r>
        <w:t>The periodic lump sum payments will be calculated based</w:t>
      </w:r>
      <w:r w:rsidRPr="002C37BC">
        <w:rPr>
          <w:spacing w:val="-5"/>
        </w:rPr>
        <w:t xml:space="preserve"> </w:t>
      </w:r>
      <w:r>
        <w:t>on:</w:t>
      </w:r>
    </w:p>
    <w:p w14:paraId="0D437D9A" w14:textId="262DF2E4" w:rsidR="006A7F8F" w:rsidRPr="006B6EB0" w:rsidRDefault="006A7F8F" w:rsidP="006B6EB0">
      <w:pPr>
        <w:pStyle w:val="ListParagraph"/>
        <w:numPr>
          <w:ilvl w:val="1"/>
          <w:numId w:val="8"/>
        </w:numPr>
      </w:pPr>
      <w:r w:rsidRPr="006B6EB0">
        <w:t xml:space="preserve">The Commonwealth’s projection of each hospital’s Medicaid </w:t>
      </w:r>
      <w:r w:rsidR="00C109DF" w:rsidRPr="006B6EB0">
        <w:t xml:space="preserve">managed care </w:t>
      </w:r>
      <w:r w:rsidRPr="006B6EB0">
        <w:t>GPSR, or other measure of utilization and delivered services</w:t>
      </w:r>
      <w:r w:rsidR="006F1C55" w:rsidRPr="006B6EB0">
        <w:t xml:space="preserve"> through managed care</w:t>
      </w:r>
      <w:r w:rsidRPr="006B6EB0">
        <w:t xml:space="preserve"> during the MMCE/ACO contract</w:t>
      </w:r>
      <w:r w:rsidRPr="006B6EB0">
        <w:rPr>
          <w:spacing w:val="-5"/>
        </w:rPr>
        <w:t xml:space="preserve"> </w:t>
      </w:r>
      <w:r w:rsidRPr="006B6EB0">
        <w:t>year;</w:t>
      </w:r>
    </w:p>
    <w:p w14:paraId="0D437D9B" w14:textId="4BCBDB1C" w:rsidR="006A7F8F" w:rsidRPr="006B6EB0" w:rsidRDefault="00CD405E" w:rsidP="006B6EB0">
      <w:pPr>
        <w:pStyle w:val="ListParagraph"/>
        <w:numPr>
          <w:ilvl w:val="1"/>
          <w:numId w:val="8"/>
        </w:numPr>
      </w:pPr>
      <w:r w:rsidRPr="006B6EB0">
        <w:t>For performance improvement initiatives, e</w:t>
      </w:r>
      <w:r w:rsidR="006A7F8F" w:rsidRPr="006B6EB0">
        <w:t>ach hospital’s expected performance (based on prior year or other</w:t>
      </w:r>
      <w:r w:rsidR="006A7F8F" w:rsidRPr="006B6EB0">
        <w:rPr>
          <w:spacing w:val="-18"/>
        </w:rPr>
        <w:t xml:space="preserve"> </w:t>
      </w:r>
      <w:r w:rsidR="006A7F8F" w:rsidRPr="006B6EB0">
        <w:t>data);</w:t>
      </w:r>
    </w:p>
    <w:p w14:paraId="0D437D9C" w14:textId="66A1A98C" w:rsidR="006A7F8F" w:rsidRPr="006B6EB0" w:rsidRDefault="006A7F8F" w:rsidP="006B6EB0">
      <w:pPr>
        <w:pStyle w:val="ListParagraph"/>
        <w:numPr>
          <w:ilvl w:val="1"/>
          <w:numId w:val="8"/>
        </w:numPr>
      </w:pPr>
      <w:r w:rsidRPr="006B6EB0">
        <w:t xml:space="preserve">A target for the MMCE/ACO to pay </w:t>
      </w:r>
      <w:r w:rsidR="006C0D94" w:rsidRPr="006B6EB0">
        <w:t>a percentage greater than 50%</w:t>
      </w:r>
      <w:r w:rsidRPr="006B6EB0">
        <w:t xml:space="preserve"> of each hospital’s expected earned payments in advance of a final reconciliation after the MMCE/ACO</w:t>
      </w:r>
      <w:r w:rsidRPr="006B6EB0">
        <w:rPr>
          <w:spacing w:val="-19"/>
        </w:rPr>
        <w:t xml:space="preserve"> </w:t>
      </w:r>
      <w:r w:rsidRPr="006B6EB0">
        <w:t>contract year.</w:t>
      </w:r>
    </w:p>
    <w:p w14:paraId="0D437D9D" w14:textId="62F23AAC" w:rsidR="006A7F8F" w:rsidRDefault="006A7F8F" w:rsidP="002C37BC">
      <w:pPr>
        <w:pStyle w:val="ListParagraph"/>
        <w:numPr>
          <w:ilvl w:val="0"/>
          <w:numId w:val="7"/>
        </w:numPr>
      </w:pPr>
      <w:r>
        <w:t>Within seven days prior to each scheduled lump sum payment described above, the Commonwealth shall make a payment to each MMCE/ACO that is directed to make a</w:t>
      </w:r>
      <w:r w:rsidR="003A6E7F">
        <w:t xml:space="preserve"> </w:t>
      </w:r>
      <w:r>
        <w:t>payment to hospitals</w:t>
      </w:r>
      <w:proofErr w:type="gramStart"/>
      <w:r>
        <w:t xml:space="preserve">. </w:t>
      </w:r>
      <w:proofErr w:type="gramEnd"/>
      <w:r>
        <w:t>The Commonwealth’s payment to each MMCE/ACO shall be equal to the sum of all payments that the MMCE/ACO is directed to make</w:t>
      </w:r>
      <w:proofErr w:type="gramStart"/>
      <w:r>
        <w:t xml:space="preserve">. </w:t>
      </w:r>
      <w:proofErr w:type="gramEnd"/>
      <w:r>
        <w:t>The Commonwealth may use any permissible source, including intergovernmental</w:t>
      </w:r>
      <w:r w:rsidRPr="002C37BC">
        <w:rPr>
          <w:spacing w:val="-25"/>
        </w:rPr>
        <w:t xml:space="preserve"> </w:t>
      </w:r>
      <w:r>
        <w:t>transfers, as the source of the non-federal share for MMCE/ACO</w:t>
      </w:r>
      <w:r w:rsidRPr="002C37BC">
        <w:rPr>
          <w:spacing w:val="-16"/>
        </w:rPr>
        <w:t xml:space="preserve"> </w:t>
      </w:r>
      <w:r>
        <w:t>payments.</w:t>
      </w:r>
    </w:p>
    <w:p w14:paraId="0D437D9E" w14:textId="746B9463" w:rsidR="006A7F8F" w:rsidRDefault="006A7F8F" w:rsidP="002C37BC">
      <w:pPr>
        <w:pStyle w:val="ListParagraph"/>
        <w:numPr>
          <w:ilvl w:val="0"/>
          <w:numId w:val="7"/>
        </w:numPr>
      </w:pPr>
      <w:r>
        <w:t xml:space="preserve">Following the MMCE/ACO contract year, actual Medicaid </w:t>
      </w:r>
      <w:r w:rsidR="007F5536">
        <w:t xml:space="preserve">managed care </w:t>
      </w:r>
      <w:r>
        <w:t xml:space="preserve">GPSR, or other </w:t>
      </w:r>
      <w:r>
        <w:lastRenderedPageBreak/>
        <w:t xml:space="preserve">measure of utilization and delivered services, for each hospital and performance under each contract </w:t>
      </w:r>
      <w:r w:rsidR="00CD405E">
        <w:t xml:space="preserve">as applicable </w:t>
      </w:r>
      <w:r>
        <w:t>will be determined and the actual payment amount earned by hospitals will be</w:t>
      </w:r>
      <w:r w:rsidRPr="002C37BC">
        <w:rPr>
          <w:spacing w:val="-23"/>
        </w:rPr>
        <w:t xml:space="preserve"> </w:t>
      </w:r>
      <w:r>
        <w:t>calculated.</w:t>
      </w:r>
    </w:p>
    <w:p w14:paraId="29D0ACD8" w14:textId="4060D167" w:rsidR="00C9428A" w:rsidRDefault="006A7F8F" w:rsidP="002C37BC">
      <w:pPr>
        <w:pStyle w:val="ListParagraph"/>
        <w:numPr>
          <w:ilvl w:val="0"/>
          <w:numId w:val="7"/>
        </w:numPr>
      </w:pPr>
      <w:r>
        <w:t>Final reconciliation: Based on the difference between the periodic lump sum amounts paid to hospitals during the MMCE/ACO contract year and the actual amount earned, MMCE/ACOs will be directed to make a final reconciliation payment to hospitals</w:t>
      </w:r>
      <w:proofErr w:type="gramStart"/>
      <w:r>
        <w:t xml:space="preserve">. </w:t>
      </w:r>
      <w:proofErr w:type="gramEnd"/>
      <w:r w:rsidRPr="002C37BC">
        <w:rPr>
          <w:spacing w:val="-3"/>
        </w:rPr>
        <w:t xml:space="preserve">In </w:t>
      </w:r>
      <w:r>
        <w:t>the event that the lump sum payments made by the MMCE/ACO to a hospital during the MMCE/ACO contract year exceeded the total actual amount earned, the hospital will remit the excess payment to the MMCE/ACO as part of the final reconciliation</w:t>
      </w:r>
      <w:proofErr w:type="gramStart"/>
      <w:r>
        <w:t xml:space="preserve">. </w:t>
      </w:r>
      <w:proofErr w:type="gramEnd"/>
      <w:r w:rsidR="00DE4A9D">
        <w:t>For the Rate Add-on for Acute Hospitals, a</w:t>
      </w:r>
      <w:r>
        <w:t>ny amount remitted by a hospital to a MMCE/ACO as part of the reconciliation shall in turn be remitted by the MMCE/ACO to the</w:t>
      </w:r>
      <w:r w:rsidRPr="002C37BC">
        <w:rPr>
          <w:spacing w:val="-14"/>
        </w:rPr>
        <w:t xml:space="preserve"> </w:t>
      </w:r>
      <w:r>
        <w:t>Commonwealth.</w:t>
      </w:r>
    </w:p>
    <w:p w14:paraId="5D4E283E" w14:textId="77777777" w:rsidR="006B6EB0" w:rsidRPr="00C277A7" w:rsidRDefault="006B6EB0" w:rsidP="006B6EB0">
      <w:pPr>
        <w:pStyle w:val="ListParagraph"/>
        <w:ind w:left="720" w:firstLine="0"/>
      </w:pPr>
    </w:p>
    <w:p w14:paraId="0D437DA4" w14:textId="77777777" w:rsidR="006A7F8F" w:rsidRDefault="006A7F8F" w:rsidP="00FF2E3B">
      <w:pPr>
        <w:pStyle w:val="Heading1"/>
        <w:numPr>
          <w:ilvl w:val="0"/>
          <w:numId w:val="5"/>
        </w:numPr>
      </w:pPr>
      <w:r w:rsidRPr="00FF2E3B">
        <w:t>Performance</w:t>
      </w:r>
      <w:r>
        <w:t xml:space="preserve"> Measures and Evaluation</w:t>
      </w:r>
      <w:r>
        <w:rPr>
          <w:spacing w:val="-14"/>
        </w:rPr>
        <w:t xml:space="preserve"> </w:t>
      </w:r>
      <w:r>
        <w:t>Plan</w:t>
      </w:r>
    </w:p>
    <w:p w14:paraId="0D437DA9" w14:textId="06D6291C" w:rsidR="006A7F8F" w:rsidRDefault="006A7F8F" w:rsidP="006B6EB0">
      <w:pPr>
        <w:pStyle w:val="TableParagraph"/>
        <w:rPr>
          <w:sz w:val="23"/>
        </w:rPr>
      </w:pPr>
      <w:r>
        <w:t>As required under 42 CFR 438.6(c)(2)(i)(D), the Commonwealth shall have a plan to evaluate the extent to which the payment mechanisms achieve the goals and objectives identified in the managed care quality strategy</w:t>
      </w:r>
      <w:proofErr w:type="gramStart"/>
      <w:r>
        <w:t xml:space="preserve">. </w:t>
      </w:r>
      <w:proofErr w:type="gramEnd"/>
      <w:r>
        <w:t>The Commonwealth may include process, improvement, outcomes, system transformation, and innovative measures and indicators that are consistent with the Commonwealth’s delivery system reforms and quality strategy. For</w:t>
      </w:r>
      <w:r w:rsidR="007E437D">
        <w:t xml:space="preserve"> </w:t>
      </w:r>
      <w:r w:rsidR="00303A22">
        <w:t>the performance improvement initiatives</w:t>
      </w:r>
      <w:r w:rsidR="007E437D">
        <w:t xml:space="preserve">, </w:t>
      </w:r>
      <w:r w:rsidR="000508AE">
        <w:t>as a matter of general principle, where practicable,</w:t>
      </w:r>
      <w:r w:rsidR="007E437D">
        <w:t xml:space="preserve"> the Commonwealth will</w:t>
      </w:r>
      <w:r w:rsidR="00A33A9D">
        <w:t xml:space="preserve"> utilize</w:t>
      </w:r>
      <w:r>
        <w:t xml:space="preserve"> measures drawn from nationally vetted and endorsed measure sets (e.g.</w:t>
      </w:r>
      <w:r w:rsidR="00F80FE0">
        <w:t>,</w:t>
      </w:r>
      <w:r>
        <w:t xml:space="preserve"> National Quality Forum, National Committee for Quality Assurance, the Joint Commission, etc.) or measures in wide use across Medicare and Medicaid quality initiatives (e.g.</w:t>
      </w:r>
      <w:r w:rsidR="00F80FE0">
        <w:t>,</w:t>
      </w:r>
      <w:r>
        <w:t xml:space="preserve"> the Medicaid Child and Adult Core Set Measures, CMS Core Quality Measures Collaborative measure sets, Health Home measure sets, Behavioral Health Clinic measure sets, and Merit-based Incentive Payment System and Alternative Payment Model measures, etc.). </w:t>
      </w:r>
    </w:p>
    <w:p w14:paraId="0D437DDF" w14:textId="77777777" w:rsidR="006A7F8F" w:rsidRDefault="006A7F8F" w:rsidP="006B6EB0"/>
    <w:p w14:paraId="0D437DE0" w14:textId="4ED4AAEE" w:rsidR="006A7F8F" w:rsidRDefault="00CD405E" w:rsidP="006B6EB0">
      <w:r>
        <w:t>For performance improvement initiatives, e</w:t>
      </w:r>
      <w:r w:rsidR="006A7F8F">
        <w:t>ach participating hospital’s performance, under each payment mechanism, shall be measured against approved benchmarks and a score for each measure or group of measures will be calculated according to a methodology to be defined by EOHHS and approved by CMS</w:t>
      </w:r>
      <w:proofErr w:type="gramStart"/>
      <w:r w:rsidR="006A7F8F">
        <w:t xml:space="preserve">. </w:t>
      </w:r>
      <w:proofErr w:type="gramEnd"/>
      <w:r w:rsidR="006A7F8F">
        <w:t>Benchmarks for any individual performance measure may be set either on</w:t>
      </w:r>
      <w:r w:rsidR="006A7F8F">
        <w:rPr>
          <w:spacing w:val="-20"/>
        </w:rPr>
        <w:t xml:space="preserve"> </w:t>
      </w:r>
      <w:r w:rsidR="006A7F8F">
        <w:t>the basis of absolute performance standards or improvement targets for individual hospitals</w:t>
      </w:r>
      <w:proofErr w:type="gramStart"/>
      <w:r w:rsidR="006A7F8F">
        <w:t xml:space="preserve">. </w:t>
      </w:r>
      <w:proofErr w:type="gramEnd"/>
      <w:r w:rsidR="006A7F8F">
        <w:t>Scores will be summed, with or without weighting, across all measures or groups of measures in order to calculate an overall performance score between 0 and 100 percent</w:t>
      </w:r>
      <w:proofErr w:type="gramStart"/>
      <w:r w:rsidR="006A7F8F">
        <w:t xml:space="preserve">. </w:t>
      </w:r>
      <w:proofErr w:type="gramEnd"/>
      <w:r w:rsidR="006A7F8F">
        <w:t>Under the MMCE/ACO payment mechanism, each hospital’s performance score shall be multiplied by that hospital’s maximum payment amount in order to calculate the actual payment earned by the hospital.</w:t>
      </w:r>
    </w:p>
    <w:p w14:paraId="3439D29C" w14:textId="7BCC9BC2" w:rsidR="00CD405E" w:rsidRDefault="00CD405E" w:rsidP="006B6EB0"/>
    <w:p w14:paraId="738065CC" w14:textId="6D015C37" w:rsidR="00CD405E" w:rsidRDefault="00CD405E" w:rsidP="006B6EB0">
      <w:r w:rsidRPr="00B7750F">
        <w:t xml:space="preserve">For the rate add-on, the state </w:t>
      </w:r>
      <w:r w:rsidR="00BD07C3" w:rsidRPr="00B7750F">
        <w:t>may</w:t>
      </w:r>
      <w:r w:rsidRPr="00B7750F">
        <w:t xml:space="preserve"> use utilization</w:t>
      </w:r>
      <w:r w:rsidR="00B177F2" w:rsidRPr="00B7750F">
        <w:t>-based measurement to evaluate the payment arrangement.</w:t>
      </w:r>
    </w:p>
    <w:p w14:paraId="4C662588" w14:textId="05BABA7C" w:rsidR="0027595E" w:rsidRDefault="0027595E" w:rsidP="006B6EB0"/>
    <w:p w14:paraId="0D437DE1" w14:textId="6D5E3789" w:rsidR="006A7F8F" w:rsidRDefault="0027595E" w:rsidP="006B6EB0">
      <w:pPr>
        <w:rPr>
          <w:sz w:val="23"/>
        </w:rPr>
      </w:pPr>
      <w:r>
        <w:t>The Commonwealth will submit the evaluation plan and performance measures to CMS for approval</w:t>
      </w:r>
      <w:r w:rsidR="006F1C55">
        <w:t xml:space="preserve"> through the submission of state directed payment preprints under</w:t>
      </w:r>
      <w:r>
        <w:t xml:space="preserve"> 438.6(c).</w:t>
      </w:r>
    </w:p>
    <w:p w14:paraId="0D437DE3" w14:textId="77777777" w:rsidR="006A7F8F" w:rsidRDefault="006A7F8F" w:rsidP="006A7F8F">
      <w:pPr>
        <w:pStyle w:val="BodyText"/>
        <w:spacing w:before="4"/>
      </w:pPr>
    </w:p>
    <w:p w14:paraId="0D437DE4" w14:textId="679FF96E" w:rsidR="006A7F8F" w:rsidRDefault="00C9428A" w:rsidP="00FF2E3B">
      <w:pPr>
        <w:pStyle w:val="Heading1"/>
        <w:numPr>
          <w:ilvl w:val="0"/>
          <w:numId w:val="5"/>
        </w:numPr>
      </w:pPr>
      <w:r>
        <w:t>MMCE/ACO vehicles</w:t>
      </w:r>
      <w:r w:rsidR="006A7F8F">
        <w:t xml:space="preserve"> and Anticipated </w:t>
      </w:r>
      <w:r w:rsidR="00C277A7">
        <w:t>Payment</w:t>
      </w:r>
      <w:r w:rsidR="006A7F8F">
        <w:rPr>
          <w:spacing w:val="-25"/>
        </w:rPr>
        <w:t xml:space="preserve"> </w:t>
      </w:r>
      <w:r w:rsidR="006A7F8F">
        <w:t>Amounts</w:t>
      </w:r>
    </w:p>
    <w:p w14:paraId="0D437DE5" w14:textId="7E7CE5C3" w:rsidR="006A7F8F" w:rsidRDefault="006A7F8F" w:rsidP="006B6EB0">
      <w:r>
        <w:t>The scheduled maximum dollar amounts directed to designated classes of providers under each of the MMCE/ACO payments mechanisms are:</w:t>
      </w:r>
    </w:p>
    <w:p w14:paraId="0D437DE6" w14:textId="77777777" w:rsidR="006A7F8F" w:rsidRDefault="006A7F8F" w:rsidP="006A7F8F">
      <w:pPr>
        <w:pStyle w:val="BodyText"/>
        <w:spacing w:before="10" w:after="1"/>
      </w:pPr>
    </w:p>
    <w:tbl>
      <w:tblPr>
        <w:tblW w:w="98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
        <w:gridCol w:w="1620"/>
        <w:gridCol w:w="1170"/>
        <w:gridCol w:w="1445"/>
        <w:gridCol w:w="1025"/>
        <w:gridCol w:w="1025"/>
        <w:gridCol w:w="1025"/>
        <w:gridCol w:w="1025"/>
        <w:gridCol w:w="1025"/>
      </w:tblGrid>
      <w:tr w:rsidR="006A7F8F" w14:paraId="0D437DED" w14:textId="77777777" w:rsidTr="00EC3E40">
        <w:trPr>
          <w:trHeight w:hRule="exact" w:val="422"/>
        </w:trPr>
        <w:tc>
          <w:tcPr>
            <w:tcW w:w="505" w:type="dxa"/>
            <w:vMerge w:val="restart"/>
            <w:shd w:val="clear" w:color="auto" w:fill="DEEAF6" w:themeFill="accent1" w:themeFillTint="33"/>
            <w:vAlign w:val="center"/>
          </w:tcPr>
          <w:p w14:paraId="0D437DE7" w14:textId="77777777" w:rsidR="006A7F8F" w:rsidRPr="00FF2E3B" w:rsidRDefault="006A7F8F" w:rsidP="00FF2E3B">
            <w:pPr>
              <w:pStyle w:val="TableParagraph"/>
              <w:spacing w:line="202" w:lineRule="exact"/>
              <w:ind w:left="103"/>
              <w:jc w:val="center"/>
              <w:rPr>
                <w:b/>
                <w:sz w:val="18"/>
              </w:rPr>
            </w:pPr>
            <w:r w:rsidRPr="00FF2E3B">
              <w:rPr>
                <w:b/>
                <w:sz w:val="18"/>
              </w:rPr>
              <w:lastRenderedPageBreak/>
              <w:t>#</w:t>
            </w:r>
          </w:p>
        </w:tc>
        <w:tc>
          <w:tcPr>
            <w:tcW w:w="1620" w:type="dxa"/>
            <w:vMerge w:val="restart"/>
            <w:shd w:val="clear" w:color="auto" w:fill="DEEAF6" w:themeFill="accent1" w:themeFillTint="33"/>
            <w:vAlign w:val="center"/>
          </w:tcPr>
          <w:p w14:paraId="0D437DE8" w14:textId="5FC8375F" w:rsidR="006A7F8F" w:rsidRPr="00FF2E3B" w:rsidRDefault="00CC50F1" w:rsidP="00FF2E3B">
            <w:pPr>
              <w:pStyle w:val="TableParagraph"/>
              <w:ind w:left="100" w:right="90"/>
              <w:jc w:val="center"/>
              <w:rPr>
                <w:b/>
                <w:sz w:val="18"/>
              </w:rPr>
            </w:pPr>
            <w:r w:rsidRPr="00FF2E3B">
              <w:rPr>
                <w:b/>
                <w:sz w:val="18"/>
              </w:rPr>
              <w:t>Payment</w:t>
            </w:r>
            <w:r w:rsidR="006A7F8F" w:rsidRPr="00FF2E3B">
              <w:rPr>
                <w:b/>
                <w:sz w:val="18"/>
              </w:rPr>
              <w:t xml:space="preserve"> Title</w:t>
            </w:r>
          </w:p>
        </w:tc>
        <w:tc>
          <w:tcPr>
            <w:tcW w:w="1170" w:type="dxa"/>
            <w:vMerge w:val="restart"/>
            <w:shd w:val="clear" w:color="auto" w:fill="DEEAF6" w:themeFill="accent1" w:themeFillTint="33"/>
            <w:vAlign w:val="center"/>
          </w:tcPr>
          <w:p w14:paraId="78A0FFA9" w14:textId="77777777" w:rsidR="008A6062" w:rsidRPr="00FF2E3B" w:rsidRDefault="006A7F8F" w:rsidP="00FF2E3B">
            <w:pPr>
              <w:pStyle w:val="TableParagraph"/>
              <w:spacing w:line="202" w:lineRule="exact"/>
              <w:ind w:left="103" w:right="90" w:hanging="13"/>
              <w:jc w:val="center"/>
              <w:rPr>
                <w:b/>
                <w:sz w:val="18"/>
              </w:rPr>
            </w:pPr>
            <w:r w:rsidRPr="00FF2E3B">
              <w:rPr>
                <w:b/>
                <w:sz w:val="18"/>
              </w:rPr>
              <w:t>MMCE/</w:t>
            </w:r>
          </w:p>
          <w:p w14:paraId="0D437DE9" w14:textId="5B9B8743" w:rsidR="006A7F8F" w:rsidRPr="00FF2E3B" w:rsidRDefault="006A7F8F" w:rsidP="00FF2E3B">
            <w:pPr>
              <w:pStyle w:val="TableParagraph"/>
              <w:spacing w:line="202" w:lineRule="exact"/>
              <w:ind w:left="103" w:right="90" w:hanging="13"/>
              <w:jc w:val="center"/>
              <w:rPr>
                <w:b/>
                <w:sz w:val="18"/>
              </w:rPr>
            </w:pPr>
            <w:r w:rsidRPr="00FF2E3B">
              <w:rPr>
                <w:b/>
                <w:sz w:val="18"/>
              </w:rPr>
              <w:t>ACO</w:t>
            </w:r>
          </w:p>
          <w:p w14:paraId="0D437DEA" w14:textId="77777777" w:rsidR="006A7F8F" w:rsidRPr="00FF2E3B" w:rsidRDefault="006A7F8F" w:rsidP="00FF2E3B">
            <w:pPr>
              <w:pStyle w:val="TableParagraph"/>
              <w:spacing w:line="207" w:lineRule="exact"/>
              <w:ind w:left="103" w:right="90" w:hanging="13"/>
              <w:jc w:val="center"/>
              <w:rPr>
                <w:b/>
                <w:sz w:val="18"/>
              </w:rPr>
            </w:pPr>
            <w:r w:rsidRPr="00FF2E3B">
              <w:rPr>
                <w:b/>
                <w:sz w:val="18"/>
              </w:rPr>
              <w:t>vehicle</w:t>
            </w:r>
          </w:p>
        </w:tc>
        <w:tc>
          <w:tcPr>
            <w:tcW w:w="1445" w:type="dxa"/>
            <w:vMerge w:val="restart"/>
            <w:shd w:val="clear" w:color="auto" w:fill="DEEAF6" w:themeFill="accent1" w:themeFillTint="33"/>
            <w:vAlign w:val="center"/>
          </w:tcPr>
          <w:p w14:paraId="0D437DEB" w14:textId="552C5721" w:rsidR="006A7F8F" w:rsidRPr="00FF2E3B" w:rsidRDefault="006A7F8F" w:rsidP="00FF2E3B">
            <w:pPr>
              <w:pStyle w:val="TableParagraph"/>
              <w:ind w:left="103" w:right="90"/>
              <w:jc w:val="center"/>
              <w:rPr>
                <w:b/>
                <w:sz w:val="18"/>
              </w:rPr>
            </w:pPr>
            <w:r w:rsidRPr="00FF2E3B">
              <w:rPr>
                <w:b/>
                <w:sz w:val="18"/>
              </w:rPr>
              <w:t>Hospital</w:t>
            </w:r>
            <w:r w:rsidR="002C37BC">
              <w:rPr>
                <w:b/>
                <w:sz w:val="18"/>
              </w:rPr>
              <w:t xml:space="preserve"> C</w:t>
            </w:r>
            <w:r w:rsidRPr="00FF2E3B">
              <w:rPr>
                <w:b/>
                <w:sz w:val="18"/>
              </w:rPr>
              <w:t>lass</w:t>
            </w:r>
          </w:p>
        </w:tc>
        <w:tc>
          <w:tcPr>
            <w:tcW w:w="5125" w:type="dxa"/>
            <w:gridSpan w:val="5"/>
            <w:shd w:val="clear" w:color="auto" w:fill="DEEAF6" w:themeFill="accent1" w:themeFillTint="33"/>
            <w:vAlign w:val="center"/>
          </w:tcPr>
          <w:p w14:paraId="0D437DEC" w14:textId="74F4A131" w:rsidR="006A7F8F" w:rsidRPr="00FF2E3B" w:rsidRDefault="006A7F8F" w:rsidP="00FF2E3B">
            <w:pPr>
              <w:pStyle w:val="TableParagraph"/>
              <w:ind w:left="103" w:right="288"/>
              <w:jc w:val="center"/>
              <w:rPr>
                <w:b/>
                <w:sz w:val="18"/>
              </w:rPr>
            </w:pPr>
            <w:r w:rsidRPr="00FF2E3B">
              <w:rPr>
                <w:b/>
                <w:sz w:val="18"/>
              </w:rPr>
              <w:t xml:space="preserve">Maximum </w:t>
            </w:r>
            <w:r w:rsidR="00D40D37" w:rsidRPr="00FF2E3B">
              <w:rPr>
                <w:b/>
                <w:sz w:val="18"/>
              </w:rPr>
              <w:t xml:space="preserve">MMCE/ACO </w:t>
            </w:r>
            <w:r w:rsidRPr="00FF2E3B">
              <w:rPr>
                <w:b/>
                <w:sz w:val="18"/>
              </w:rPr>
              <w:t>incentive payment to designated hospital class, by</w:t>
            </w:r>
            <w:r w:rsidR="004010C2" w:rsidRPr="00FF2E3B">
              <w:rPr>
                <w:b/>
                <w:sz w:val="18"/>
              </w:rPr>
              <w:t xml:space="preserve"> demonstration</w:t>
            </w:r>
            <w:r w:rsidRPr="00FF2E3B">
              <w:rPr>
                <w:b/>
                <w:sz w:val="18"/>
              </w:rPr>
              <w:t xml:space="preserve"> </w:t>
            </w:r>
            <w:r w:rsidR="00887C99" w:rsidRPr="00FF2E3B">
              <w:rPr>
                <w:b/>
                <w:sz w:val="18"/>
              </w:rPr>
              <w:t>year</w:t>
            </w:r>
            <w:r w:rsidRPr="00FF2E3B">
              <w:rPr>
                <w:b/>
                <w:sz w:val="18"/>
              </w:rPr>
              <w:t xml:space="preserve"> ($ millions)</w:t>
            </w:r>
          </w:p>
        </w:tc>
      </w:tr>
      <w:tr w:rsidR="006A7F8F" w14:paraId="0D437DF7" w14:textId="77777777" w:rsidTr="00EC3E40">
        <w:trPr>
          <w:trHeight w:hRule="exact" w:val="387"/>
        </w:trPr>
        <w:tc>
          <w:tcPr>
            <w:tcW w:w="505" w:type="dxa"/>
            <w:vMerge/>
            <w:shd w:val="clear" w:color="auto" w:fill="DEEAF6" w:themeFill="accent1" w:themeFillTint="33"/>
            <w:vAlign w:val="center"/>
          </w:tcPr>
          <w:p w14:paraId="0D437DEE" w14:textId="77777777" w:rsidR="006A7F8F" w:rsidRPr="00F80FE0" w:rsidRDefault="006A7F8F" w:rsidP="00FF2E3B">
            <w:pPr>
              <w:jc w:val="center"/>
              <w:rPr>
                <w:b/>
              </w:rPr>
            </w:pPr>
          </w:p>
        </w:tc>
        <w:tc>
          <w:tcPr>
            <w:tcW w:w="1620" w:type="dxa"/>
            <w:vMerge/>
            <w:shd w:val="clear" w:color="auto" w:fill="DEEAF6" w:themeFill="accent1" w:themeFillTint="33"/>
            <w:vAlign w:val="center"/>
          </w:tcPr>
          <w:p w14:paraId="0D437DEF" w14:textId="77777777" w:rsidR="006A7F8F" w:rsidRPr="00F80FE0" w:rsidRDefault="006A7F8F" w:rsidP="00FF2E3B">
            <w:pPr>
              <w:ind w:right="90"/>
              <w:jc w:val="center"/>
              <w:rPr>
                <w:b/>
              </w:rPr>
            </w:pPr>
          </w:p>
        </w:tc>
        <w:tc>
          <w:tcPr>
            <w:tcW w:w="1170" w:type="dxa"/>
            <w:vMerge/>
            <w:shd w:val="clear" w:color="auto" w:fill="DEEAF6" w:themeFill="accent1" w:themeFillTint="33"/>
            <w:vAlign w:val="center"/>
          </w:tcPr>
          <w:p w14:paraId="0D437DF0" w14:textId="77777777" w:rsidR="006A7F8F" w:rsidRPr="00F80FE0" w:rsidRDefault="006A7F8F" w:rsidP="00FF2E3B">
            <w:pPr>
              <w:ind w:right="90" w:hanging="13"/>
              <w:jc w:val="center"/>
              <w:rPr>
                <w:b/>
              </w:rPr>
            </w:pPr>
          </w:p>
        </w:tc>
        <w:tc>
          <w:tcPr>
            <w:tcW w:w="1445" w:type="dxa"/>
            <w:vMerge/>
            <w:shd w:val="clear" w:color="auto" w:fill="DEEAF6" w:themeFill="accent1" w:themeFillTint="33"/>
            <w:vAlign w:val="center"/>
          </w:tcPr>
          <w:p w14:paraId="0D437DF1" w14:textId="77777777" w:rsidR="006A7F8F" w:rsidRPr="00F80FE0" w:rsidRDefault="006A7F8F" w:rsidP="00FF2E3B">
            <w:pPr>
              <w:jc w:val="center"/>
              <w:rPr>
                <w:b/>
              </w:rPr>
            </w:pPr>
          </w:p>
        </w:tc>
        <w:tc>
          <w:tcPr>
            <w:tcW w:w="1025" w:type="dxa"/>
            <w:shd w:val="clear" w:color="auto" w:fill="DEEAF6" w:themeFill="accent1" w:themeFillTint="33"/>
            <w:vAlign w:val="center"/>
          </w:tcPr>
          <w:p w14:paraId="0D437DF2" w14:textId="0C0F8E4C" w:rsidR="006A7F8F" w:rsidRPr="00FF2E3B" w:rsidRDefault="00E62FEE" w:rsidP="00FF2E3B">
            <w:pPr>
              <w:pStyle w:val="TableParagraph"/>
              <w:spacing w:line="206" w:lineRule="exact"/>
              <w:ind w:left="0" w:right="30"/>
              <w:jc w:val="center"/>
              <w:rPr>
                <w:b/>
                <w:sz w:val="18"/>
              </w:rPr>
            </w:pPr>
            <w:r w:rsidRPr="00F80FE0">
              <w:rPr>
                <w:b/>
                <w:sz w:val="18"/>
              </w:rPr>
              <w:t>DY</w:t>
            </w:r>
            <w:r w:rsidR="00372706">
              <w:rPr>
                <w:b/>
                <w:sz w:val="18"/>
              </w:rPr>
              <w:t xml:space="preserve"> </w:t>
            </w:r>
            <w:r w:rsidRPr="00FF2E3B">
              <w:rPr>
                <w:b/>
                <w:sz w:val="18"/>
              </w:rPr>
              <w:t>28</w:t>
            </w:r>
          </w:p>
        </w:tc>
        <w:tc>
          <w:tcPr>
            <w:tcW w:w="1025" w:type="dxa"/>
            <w:shd w:val="clear" w:color="auto" w:fill="DEEAF6" w:themeFill="accent1" w:themeFillTint="33"/>
            <w:vAlign w:val="center"/>
          </w:tcPr>
          <w:p w14:paraId="0D437DF3" w14:textId="4BD2A55E" w:rsidR="006A7F8F" w:rsidRPr="00FF2E3B" w:rsidRDefault="00E62FEE" w:rsidP="00FF2E3B">
            <w:pPr>
              <w:pStyle w:val="TableParagraph"/>
              <w:spacing w:line="206" w:lineRule="exact"/>
              <w:ind w:hanging="144"/>
              <w:jc w:val="center"/>
              <w:rPr>
                <w:b/>
                <w:sz w:val="18"/>
              </w:rPr>
            </w:pPr>
            <w:r w:rsidRPr="00FF2E3B">
              <w:rPr>
                <w:b/>
                <w:sz w:val="18"/>
              </w:rPr>
              <w:t>DY</w:t>
            </w:r>
            <w:r w:rsidR="00372706">
              <w:rPr>
                <w:b/>
                <w:sz w:val="18"/>
              </w:rPr>
              <w:t xml:space="preserve"> </w:t>
            </w:r>
            <w:r w:rsidRPr="00FF2E3B">
              <w:rPr>
                <w:b/>
                <w:sz w:val="18"/>
              </w:rPr>
              <w:t>29</w:t>
            </w:r>
          </w:p>
        </w:tc>
        <w:tc>
          <w:tcPr>
            <w:tcW w:w="1025" w:type="dxa"/>
            <w:shd w:val="clear" w:color="auto" w:fill="DEEAF6" w:themeFill="accent1" w:themeFillTint="33"/>
            <w:vAlign w:val="center"/>
          </w:tcPr>
          <w:p w14:paraId="0D437DF4" w14:textId="6B1EE3FB" w:rsidR="006A7F8F" w:rsidRPr="00FF2E3B" w:rsidRDefault="00E62FEE" w:rsidP="00FF2E3B">
            <w:pPr>
              <w:pStyle w:val="TableParagraph"/>
              <w:spacing w:line="206" w:lineRule="exact"/>
              <w:ind w:left="15"/>
              <w:jc w:val="center"/>
              <w:rPr>
                <w:b/>
                <w:sz w:val="18"/>
              </w:rPr>
            </w:pPr>
            <w:r w:rsidRPr="00FF2E3B">
              <w:rPr>
                <w:b/>
                <w:sz w:val="18"/>
              </w:rPr>
              <w:t>DY</w:t>
            </w:r>
            <w:r w:rsidR="00372706">
              <w:rPr>
                <w:b/>
                <w:sz w:val="18"/>
              </w:rPr>
              <w:t xml:space="preserve"> </w:t>
            </w:r>
            <w:r w:rsidRPr="00FF2E3B">
              <w:rPr>
                <w:b/>
                <w:sz w:val="18"/>
              </w:rPr>
              <w:t>30</w:t>
            </w:r>
          </w:p>
        </w:tc>
        <w:tc>
          <w:tcPr>
            <w:tcW w:w="1025" w:type="dxa"/>
            <w:shd w:val="clear" w:color="auto" w:fill="DEEAF6" w:themeFill="accent1" w:themeFillTint="33"/>
            <w:vAlign w:val="center"/>
          </w:tcPr>
          <w:p w14:paraId="0D437DF5" w14:textId="1B1D1669" w:rsidR="006A7F8F" w:rsidRPr="00FF2E3B" w:rsidRDefault="00E62FEE" w:rsidP="00FF2E3B">
            <w:pPr>
              <w:pStyle w:val="TableParagraph"/>
              <w:spacing w:line="206" w:lineRule="exact"/>
              <w:ind w:left="0"/>
              <w:jc w:val="center"/>
              <w:rPr>
                <w:b/>
                <w:sz w:val="18"/>
              </w:rPr>
            </w:pPr>
            <w:r w:rsidRPr="00FF2E3B">
              <w:rPr>
                <w:b/>
                <w:sz w:val="18"/>
              </w:rPr>
              <w:t>DY</w:t>
            </w:r>
            <w:r w:rsidR="00372706">
              <w:rPr>
                <w:b/>
                <w:sz w:val="18"/>
              </w:rPr>
              <w:t xml:space="preserve"> </w:t>
            </w:r>
            <w:r w:rsidRPr="00FF2E3B">
              <w:rPr>
                <w:b/>
                <w:sz w:val="18"/>
              </w:rPr>
              <w:t>31</w:t>
            </w:r>
          </w:p>
        </w:tc>
        <w:tc>
          <w:tcPr>
            <w:tcW w:w="1025" w:type="dxa"/>
            <w:shd w:val="clear" w:color="auto" w:fill="DEEAF6" w:themeFill="accent1" w:themeFillTint="33"/>
            <w:vAlign w:val="center"/>
          </w:tcPr>
          <w:p w14:paraId="0D437DF6" w14:textId="45F1884B" w:rsidR="006A7F8F" w:rsidRPr="00FF2E3B" w:rsidRDefault="00E62FEE" w:rsidP="00FF2E3B">
            <w:pPr>
              <w:pStyle w:val="TableParagraph"/>
              <w:spacing w:line="206" w:lineRule="exact"/>
              <w:ind w:left="0"/>
              <w:jc w:val="center"/>
              <w:rPr>
                <w:b/>
                <w:sz w:val="18"/>
              </w:rPr>
            </w:pPr>
            <w:r w:rsidRPr="00FF2E3B">
              <w:rPr>
                <w:b/>
                <w:sz w:val="18"/>
              </w:rPr>
              <w:t>DY</w:t>
            </w:r>
            <w:r w:rsidR="00372706">
              <w:rPr>
                <w:b/>
                <w:sz w:val="18"/>
              </w:rPr>
              <w:t xml:space="preserve"> </w:t>
            </w:r>
            <w:r w:rsidRPr="00FF2E3B">
              <w:rPr>
                <w:b/>
                <w:sz w:val="18"/>
              </w:rPr>
              <w:t>32</w:t>
            </w:r>
          </w:p>
        </w:tc>
      </w:tr>
      <w:tr w:rsidR="00B8456D" w14:paraId="387C3822" w14:textId="77777777" w:rsidTr="00EC3E40">
        <w:trPr>
          <w:trHeight w:hRule="exact" w:val="1170"/>
        </w:trPr>
        <w:tc>
          <w:tcPr>
            <w:tcW w:w="505" w:type="dxa"/>
            <w:vAlign w:val="center"/>
          </w:tcPr>
          <w:p w14:paraId="56C8EAE4" w14:textId="50217BEE" w:rsidR="00B8456D" w:rsidDel="00B8456D" w:rsidRDefault="00B8456D" w:rsidP="00EC3E40">
            <w:pPr>
              <w:pStyle w:val="TableParagraph"/>
              <w:spacing w:line="202" w:lineRule="exact"/>
              <w:ind w:left="103"/>
              <w:rPr>
                <w:sz w:val="18"/>
              </w:rPr>
            </w:pPr>
            <w:r>
              <w:rPr>
                <w:sz w:val="18"/>
              </w:rPr>
              <w:t>1</w:t>
            </w:r>
            <w:r w:rsidR="0032769F">
              <w:rPr>
                <w:sz w:val="18"/>
              </w:rPr>
              <w:t>*</w:t>
            </w:r>
          </w:p>
        </w:tc>
        <w:tc>
          <w:tcPr>
            <w:tcW w:w="1620" w:type="dxa"/>
            <w:vAlign w:val="center"/>
          </w:tcPr>
          <w:p w14:paraId="74E8011F" w14:textId="2A9DBA29" w:rsidR="00B8456D" w:rsidDel="00B8456D" w:rsidRDefault="00B8456D" w:rsidP="00EC3E40">
            <w:pPr>
              <w:pStyle w:val="TableParagraph"/>
              <w:ind w:left="100" w:right="90"/>
              <w:rPr>
                <w:sz w:val="18"/>
              </w:rPr>
            </w:pPr>
            <w:r>
              <w:rPr>
                <w:sz w:val="18"/>
              </w:rPr>
              <w:t>Clinical Quality Incentive for Acute Hospitals</w:t>
            </w:r>
          </w:p>
        </w:tc>
        <w:tc>
          <w:tcPr>
            <w:tcW w:w="1170" w:type="dxa"/>
            <w:vAlign w:val="center"/>
          </w:tcPr>
          <w:p w14:paraId="037FE95E" w14:textId="1B1786ED" w:rsidR="00B8456D" w:rsidDel="00B8456D" w:rsidRDefault="00DD4513" w:rsidP="00EC3E40">
            <w:pPr>
              <w:pStyle w:val="TableParagraph"/>
              <w:spacing w:line="202" w:lineRule="exact"/>
              <w:ind w:left="103" w:right="90" w:hanging="13"/>
              <w:rPr>
                <w:sz w:val="18"/>
              </w:rPr>
            </w:pPr>
            <w:r>
              <w:rPr>
                <w:sz w:val="18"/>
              </w:rPr>
              <w:t>MMCOs</w:t>
            </w:r>
            <w:r w:rsidR="00FD2AA5">
              <w:rPr>
                <w:sz w:val="18"/>
              </w:rPr>
              <w:t xml:space="preserve">, </w:t>
            </w:r>
            <w:r>
              <w:rPr>
                <w:sz w:val="18"/>
              </w:rPr>
              <w:t>ACOs</w:t>
            </w:r>
            <w:r w:rsidR="00FD2AA5">
              <w:rPr>
                <w:sz w:val="18"/>
              </w:rPr>
              <w:t xml:space="preserve"> and PIHP</w:t>
            </w:r>
          </w:p>
        </w:tc>
        <w:tc>
          <w:tcPr>
            <w:tcW w:w="1445" w:type="dxa"/>
            <w:vAlign w:val="center"/>
          </w:tcPr>
          <w:p w14:paraId="5D286C3A" w14:textId="158D4669" w:rsidR="00B8456D" w:rsidDel="00B8456D" w:rsidRDefault="00C95101" w:rsidP="00EC3E40">
            <w:pPr>
              <w:pStyle w:val="TableParagraph"/>
              <w:ind w:left="103" w:right="372"/>
              <w:rPr>
                <w:sz w:val="18"/>
              </w:rPr>
            </w:pPr>
            <w:r>
              <w:rPr>
                <w:sz w:val="18"/>
              </w:rPr>
              <w:t>All participatin</w:t>
            </w:r>
            <w:r w:rsidR="004010C2">
              <w:rPr>
                <w:sz w:val="18"/>
              </w:rPr>
              <w:t>g</w:t>
            </w:r>
            <w:r>
              <w:rPr>
                <w:sz w:val="18"/>
              </w:rPr>
              <w:t xml:space="preserve"> </w:t>
            </w:r>
            <w:r w:rsidR="00561FF8">
              <w:rPr>
                <w:sz w:val="18"/>
              </w:rPr>
              <w:t xml:space="preserve">private </w:t>
            </w:r>
            <w:r w:rsidR="00267DF2">
              <w:rPr>
                <w:sz w:val="18"/>
              </w:rPr>
              <w:t xml:space="preserve">in-state </w:t>
            </w:r>
            <w:r>
              <w:rPr>
                <w:sz w:val="18"/>
              </w:rPr>
              <w:t>acute hospitals</w:t>
            </w:r>
          </w:p>
        </w:tc>
        <w:tc>
          <w:tcPr>
            <w:tcW w:w="1025" w:type="dxa"/>
            <w:vAlign w:val="center"/>
          </w:tcPr>
          <w:p w14:paraId="72CCC5EF" w14:textId="05F057C0" w:rsidR="00B8456D" w:rsidDel="00B8456D" w:rsidRDefault="00703224" w:rsidP="00FF2E3B">
            <w:pPr>
              <w:pStyle w:val="TableParagraph"/>
              <w:spacing w:line="202" w:lineRule="exact"/>
              <w:ind w:left="0" w:right="30"/>
              <w:jc w:val="center"/>
              <w:rPr>
                <w:sz w:val="18"/>
              </w:rPr>
            </w:pPr>
            <w:r>
              <w:rPr>
                <w:sz w:val="18"/>
              </w:rPr>
              <w:t>118</w:t>
            </w:r>
          </w:p>
        </w:tc>
        <w:tc>
          <w:tcPr>
            <w:tcW w:w="1025" w:type="dxa"/>
            <w:vAlign w:val="center"/>
          </w:tcPr>
          <w:p w14:paraId="34D24C00" w14:textId="70631413" w:rsidR="00B8456D" w:rsidDel="00B8456D" w:rsidRDefault="00703224" w:rsidP="00FF2E3B">
            <w:pPr>
              <w:pStyle w:val="TableParagraph"/>
              <w:spacing w:line="202" w:lineRule="exact"/>
              <w:ind w:left="0"/>
              <w:jc w:val="center"/>
              <w:rPr>
                <w:sz w:val="18"/>
              </w:rPr>
            </w:pPr>
            <w:r>
              <w:rPr>
                <w:sz w:val="18"/>
              </w:rPr>
              <w:t>118</w:t>
            </w:r>
          </w:p>
        </w:tc>
        <w:tc>
          <w:tcPr>
            <w:tcW w:w="1025" w:type="dxa"/>
            <w:vAlign w:val="center"/>
          </w:tcPr>
          <w:p w14:paraId="02BA5E51" w14:textId="24060701" w:rsidR="00B8456D" w:rsidDel="00B8456D" w:rsidRDefault="00703224" w:rsidP="00FF2E3B">
            <w:pPr>
              <w:pStyle w:val="TableParagraph"/>
              <w:spacing w:line="202" w:lineRule="exact"/>
              <w:ind w:left="0" w:right="15"/>
              <w:jc w:val="center"/>
              <w:rPr>
                <w:sz w:val="18"/>
              </w:rPr>
            </w:pPr>
            <w:r>
              <w:rPr>
                <w:sz w:val="18"/>
              </w:rPr>
              <w:t>118</w:t>
            </w:r>
          </w:p>
        </w:tc>
        <w:tc>
          <w:tcPr>
            <w:tcW w:w="1025" w:type="dxa"/>
            <w:vAlign w:val="center"/>
          </w:tcPr>
          <w:p w14:paraId="42C0F363" w14:textId="16476CA2" w:rsidR="00B8456D" w:rsidDel="00B8456D" w:rsidRDefault="00703224" w:rsidP="00FF2E3B">
            <w:pPr>
              <w:pStyle w:val="TableParagraph"/>
              <w:spacing w:line="202" w:lineRule="exact"/>
              <w:ind w:left="0"/>
              <w:jc w:val="center"/>
              <w:rPr>
                <w:sz w:val="18"/>
              </w:rPr>
            </w:pPr>
            <w:r>
              <w:rPr>
                <w:sz w:val="18"/>
              </w:rPr>
              <w:t>118</w:t>
            </w:r>
          </w:p>
        </w:tc>
        <w:tc>
          <w:tcPr>
            <w:tcW w:w="1025" w:type="dxa"/>
            <w:vAlign w:val="center"/>
          </w:tcPr>
          <w:p w14:paraId="7F45EC03" w14:textId="4D1F5054" w:rsidR="00B8456D" w:rsidDel="00B8456D" w:rsidRDefault="00703224" w:rsidP="00FF2E3B">
            <w:pPr>
              <w:pStyle w:val="TableParagraph"/>
              <w:spacing w:line="202" w:lineRule="exact"/>
              <w:ind w:left="0"/>
              <w:jc w:val="center"/>
              <w:rPr>
                <w:sz w:val="18"/>
              </w:rPr>
            </w:pPr>
            <w:r>
              <w:rPr>
                <w:sz w:val="18"/>
              </w:rPr>
              <w:t>118</w:t>
            </w:r>
          </w:p>
        </w:tc>
      </w:tr>
      <w:tr w:rsidR="006A7F8F" w14:paraId="0D437E10" w14:textId="77777777" w:rsidTr="00EC3E40">
        <w:trPr>
          <w:trHeight w:hRule="exact" w:val="1143"/>
        </w:trPr>
        <w:tc>
          <w:tcPr>
            <w:tcW w:w="505" w:type="dxa"/>
            <w:vAlign w:val="center"/>
          </w:tcPr>
          <w:p w14:paraId="0D437E02" w14:textId="337C50CE" w:rsidR="006A7F8F" w:rsidRDefault="006A7F8F" w:rsidP="00EC3E40">
            <w:pPr>
              <w:pStyle w:val="TableParagraph"/>
              <w:spacing w:line="202" w:lineRule="exact"/>
              <w:ind w:left="103"/>
              <w:rPr>
                <w:sz w:val="18"/>
              </w:rPr>
            </w:pPr>
            <w:r>
              <w:rPr>
                <w:sz w:val="18"/>
              </w:rPr>
              <w:t>2</w:t>
            </w:r>
          </w:p>
        </w:tc>
        <w:tc>
          <w:tcPr>
            <w:tcW w:w="1620" w:type="dxa"/>
            <w:vAlign w:val="center"/>
          </w:tcPr>
          <w:p w14:paraId="0D437E03" w14:textId="7E7CCC8C" w:rsidR="006A7F8F" w:rsidRDefault="006A7F8F" w:rsidP="00EC3E40">
            <w:pPr>
              <w:pStyle w:val="TableParagraph"/>
              <w:ind w:left="100" w:right="90"/>
              <w:rPr>
                <w:sz w:val="18"/>
              </w:rPr>
            </w:pPr>
            <w:r>
              <w:rPr>
                <w:sz w:val="18"/>
              </w:rPr>
              <w:t xml:space="preserve">Hospital Quality </w:t>
            </w:r>
            <w:r w:rsidR="00CC50F1">
              <w:rPr>
                <w:sz w:val="18"/>
              </w:rPr>
              <w:t>I</w:t>
            </w:r>
            <w:r>
              <w:rPr>
                <w:sz w:val="18"/>
              </w:rPr>
              <w:t>ncentive</w:t>
            </w:r>
          </w:p>
        </w:tc>
        <w:tc>
          <w:tcPr>
            <w:tcW w:w="1170" w:type="dxa"/>
            <w:vAlign w:val="center"/>
          </w:tcPr>
          <w:p w14:paraId="0D437E04" w14:textId="77777777" w:rsidR="006A7F8F" w:rsidRDefault="006A7F8F" w:rsidP="00EC3E40">
            <w:pPr>
              <w:pStyle w:val="TableParagraph"/>
              <w:spacing w:line="202" w:lineRule="exact"/>
              <w:ind w:left="103" w:right="90" w:hanging="13"/>
              <w:rPr>
                <w:sz w:val="18"/>
              </w:rPr>
            </w:pPr>
            <w:r>
              <w:rPr>
                <w:sz w:val="18"/>
              </w:rPr>
              <w:t>MMCOs</w:t>
            </w:r>
          </w:p>
        </w:tc>
        <w:tc>
          <w:tcPr>
            <w:tcW w:w="1445" w:type="dxa"/>
            <w:vAlign w:val="center"/>
          </w:tcPr>
          <w:p w14:paraId="0D437E05" w14:textId="384E19F6" w:rsidR="006A7F8F" w:rsidRDefault="00E6234B" w:rsidP="00EC3E40">
            <w:pPr>
              <w:pStyle w:val="TableParagraph"/>
              <w:ind w:left="103" w:right="116"/>
              <w:rPr>
                <w:sz w:val="18"/>
              </w:rPr>
            </w:pPr>
            <w:r>
              <w:rPr>
                <w:sz w:val="18"/>
              </w:rPr>
              <w:t>Non-federal</w:t>
            </w:r>
            <w:r w:rsidR="00C95101">
              <w:rPr>
                <w:sz w:val="18"/>
              </w:rPr>
              <w:t>, non-state</w:t>
            </w:r>
            <w:r>
              <w:rPr>
                <w:sz w:val="18"/>
              </w:rPr>
              <w:t>-</w:t>
            </w:r>
            <w:r w:rsidR="00C95101">
              <w:rPr>
                <w:sz w:val="18"/>
              </w:rPr>
              <w:t>owned public hospitals</w:t>
            </w:r>
          </w:p>
        </w:tc>
        <w:tc>
          <w:tcPr>
            <w:tcW w:w="1025" w:type="dxa"/>
            <w:vAlign w:val="center"/>
          </w:tcPr>
          <w:p w14:paraId="0D437E07" w14:textId="7714B87B" w:rsidR="006A7F8F" w:rsidRDefault="00B25769" w:rsidP="00FF2E3B">
            <w:pPr>
              <w:pStyle w:val="TableParagraph"/>
              <w:ind w:left="0" w:right="30"/>
              <w:jc w:val="center"/>
              <w:rPr>
                <w:sz w:val="18"/>
              </w:rPr>
            </w:pPr>
            <w:r>
              <w:rPr>
                <w:sz w:val="18"/>
              </w:rPr>
              <w:t>134</w:t>
            </w:r>
          </w:p>
        </w:tc>
        <w:tc>
          <w:tcPr>
            <w:tcW w:w="1025" w:type="dxa"/>
            <w:vAlign w:val="center"/>
          </w:tcPr>
          <w:p w14:paraId="0D437E09" w14:textId="32279AC5" w:rsidR="006A7F8F" w:rsidRDefault="00B25769" w:rsidP="00FF2E3B">
            <w:pPr>
              <w:pStyle w:val="TableParagraph"/>
              <w:ind w:left="0"/>
              <w:jc w:val="center"/>
              <w:rPr>
                <w:sz w:val="18"/>
              </w:rPr>
            </w:pPr>
            <w:r>
              <w:rPr>
                <w:sz w:val="18"/>
              </w:rPr>
              <w:t>134</w:t>
            </w:r>
          </w:p>
        </w:tc>
        <w:tc>
          <w:tcPr>
            <w:tcW w:w="1025" w:type="dxa"/>
            <w:vAlign w:val="center"/>
          </w:tcPr>
          <w:p w14:paraId="0D437E0B" w14:textId="34693EAD" w:rsidR="006A7F8F" w:rsidRDefault="00B25769" w:rsidP="00FF2E3B">
            <w:pPr>
              <w:pStyle w:val="TableParagraph"/>
              <w:ind w:left="0"/>
              <w:jc w:val="center"/>
              <w:rPr>
                <w:sz w:val="18"/>
              </w:rPr>
            </w:pPr>
            <w:r>
              <w:rPr>
                <w:sz w:val="18"/>
              </w:rPr>
              <w:t>134</w:t>
            </w:r>
          </w:p>
        </w:tc>
        <w:tc>
          <w:tcPr>
            <w:tcW w:w="1025" w:type="dxa"/>
            <w:vAlign w:val="center"/>
          </w:tcPr>
          <w:p w14:paraId="0D437E0D" w14:textId="449634C9" w:rsidR="006A7F8F" w:rsidRDefault="00B25769" w:rsidP="00FF2E3B">
            <w:pPr>
              <w:pStyle w:val="TableParagraph"/>
              <w:ind w:left="0"/>
              <w:jc w:val="center"/>
              <w:rPr>
                <w:sz w:val="18"/>
              </w:rPr>
            </w:pPr>
            <w:r>
              <w:rPr>
                <w:sz w:val="18"/>
              </w:rPr>
              <w:t>134</w:t>
            </w:r>
          </w:p>
        </w:tc>
        <w:tc>
          <w:tcPr>
            <w:tcW w:w="1025" w:type="dxa"/>
            <w:vAlign w:val="center"/>
          </w:tcPr>
          <w:p w14:paraId="0D437E0F" w14:textId="5173D6DD" w:rsidR="006A7F8F" w:rsidRDefault="00B25769" w:rsidP="00FF2E3B">
            <w:pPr>
              <w:pStyle w:val="TableParagraph"/>
              <w:ind w:left="0"/>
              <w:jc w:val="center"/>
              <w:rPr>
                <w:sz w:val="18"/>
              </w:rPr>
            </w:pPr>
            <w:r>
              <w:rPr>
                <w:sz w:val="18"/>
              </w:rPr>
              <w:t>134</w:t>
            </w:r>
          </w:p>
        </w:tc>
      </w:tr>
      <w:tr w:rsidR="00BE042D" w14:paraId="59F6FF6C" w14:textId="77777777" w:rsidTr="00EC3E40">
        <w:trPr>
          <w:trHeight w:val="1548"/>
        </w:trPr>
        <w:tc>
          <w:tcPr>
            <w:tcW w:w="505" w:type="dxa"/>
            <w:vAlign w:val="center"/>
          </w:tcPr>
          <w:p w14:paraId="4C9781E9" w14:textId="2F65EBF8" w:rsidR="008A6062" w:rsidRDefault="00C03641" w:rsidP="00EC3E40">
            <w:pPr>
              <w:pStyle w:val="TableParagraph"/>
              <w:spacing w:line="202" w:lineRule="exact"/>
              <w:ind w:left="103"/>
              <w:rPr>
                <w:sz w:val="18"/>
              </w:rPr>
            </w:pPr>
            <w:r>
              <w:rPr>
                <w:sz w:val="18"/>
              </w:rPr>
              <w:t>3</w:t>
            </w:r>
          </w:p>
        </w:tc>
        <w:tc>
          <w:tcPr>
            <w:tcW w:w="1620" w:type="dxa"/>
            <w:vAlign w:val="center"/>
          </w:tcPr>
          <w:p w14:paraId="6B5F93C5" w14:textId="0CFC558B" w:rsidR="008A6062" w:rsidRDefault="008A6062" w:rsidP="00EC3E40">
            <w:pPr>
              <w:pStyle w:val="TableParagraph"/>
              <w:ind w:left="100" w:right="90"/>
              <w:rPr>
                <w:sz w:val="18"/>
              </w:rPr>
            </w:pPr>
            <w:r>
              <w:rPr>
                <w:sz w:val="18"/>
              </w:rPr>
              <w:t>Hospital Performance Improvement Initiative</w:t>
            </w:r>
          </w:p>
        </w:tc>
        <w:tc>
          <w:tcPr>
            <w:tcW w:w="1170" w:type="dxa"/>
            <w:vAlign w:val="center"/>
          </w:tcPr>
          <w:p w14:paraId="4CB4E6D9" w14:textId="03D9DF29" w:rsidR="008A6062" w:rsidRDefault="004F46D6" w:rsidP="00EC3E40">
            <w:pPr>
              <w:pStyle w:val="TableParagraph"/>
              <w:spacing w:line="202" w:lineRule="exact"/>
              <w:ind w:left="103" w:right="90" w:hanging="13"/>
              <w:rPr>
                <w:sz w:val="18"/>
              </w:rPr>
            </w:pPr>
            <w:r>
              <w:rPr>
                <w:sz w:val="18"/>
              </w:rPr>
              <w:t>MMCOs</w:t>
            </w:r>
          </w:p>
        </w:tc>
        <w:tc>
          <w:tcPr>
            <w:tcW w:w="1445" w:type="dxa"/>
            <w:vAlign w:val="center"/>
          </w:tcPr>
          <w:p w14:paraId="5308FD74" w14:textId="19C17658" w:rsidR="008A6062" w:rsidRDefault="001D454C" w:rsidP="00EC3E40">
            <w:pPr>
              <w:pStyle w:val="TableParagraph"/>
              <w:ind w:left="103" w:right="116"/>
              <w:rPr>
                <w:sz w:val="18"/>
              </w:rPr>
            </w:pPr>
            <w:r>
              <w:rPr>
                <w:sz w:val="18"/>
              </w:rPr>
              <w:t xml:space="preserve">Hospital systems </w:t>
            </w:r>
            <w:r w:rsidR="00887C99">
              <w:rPr>
                <w:sz w:val="18"/>
              </w:rPr>
              <w:t>affiliated with the state-owned medical school</w:t>
            </w:r>
          </w:p>
        </w:tc>
        <w:tc>
          <w:tcPr>
            <w:tcW w:w="1025" w:type="dxa"/>
            <w:vAlign w:val="center"/>
          </w:tcPr>
          <w:p w14:paraId="1AF03731" w14:textId="569836C8" w:rsidR="008A6062" w:rsidRPr="00C277A7" w:rsidRDefault="00EA021A" w:rsidP="00FF2E3B">
            <w:pPr>
              <w:pStyle w:val="TableParagraph"/>
              <w:spacing w:before="8"/>
              <w:ind w:left="0" w:right="30"/>
              <w:jc w:val="center"/>
              <w:rPr>
                <w:sz w:val="20"/>
                <w:szCs w:val="20"/>
              </w:rPr>
            </w:pPr>
            <w:r w:rsidRPr="00C277A7">
              <w:rPr>
                <w:sz w:val="20"/>
                <w:szCs w:val="20"/>
              </w:rPr>
              <w:t>125</w:t>
            </w:r>
          </w:p>
        </w:tc>
        <w:tc>
          <w:tcPr>
            <w:tcW w:w="1025" w:type="dxa"/>
            <w:vAlign w:val="center"/>
          </w:tcPr>
          <w:p w14:paraId="0C82036F" w14:textId="5D120EA6" w:rsidR="008A6062" w:rsidRPr="00C277A7" w:rsidRDefault="00EA021A" w:rsidP="00FF2E3B">
            <w:pPr>
              <w:pStyle w:val="TableParagraph"/>
              <w:spacing w:before="8"/>
              <w:ind w:left="0"/>
              <w:jc w:val="center"/>
              <w:rPr>
                <w:sz w:val="20"/>
                <w:szCs w:val="20"/>
              </w:rPr>
            </w:pPr>
            <w:r w:rsidRPr="00C277A7">
              <w:rPr>
                <w:sz w:val="20"/>
                <w:szCs w:val="20"/>
              </w:rPr>
              <w:t>125</w:t>
            </w:r>
          </w:p>
        </w:tc>
        <w:tc>
          <w:tcPr>
            <w:tcW w:w="1025" w:type="dxa"/>
            <w:vAlign w:val="center"/>
          </w:tcPr>
          <w:p w14:paraId="72CA6860" w14:textId="79BC7716" w:rsidR="008A6062" w:rsidRPr="00C277A7" w:rsidRDefault="00EA021A" w:rsidP="00FF2E3B">
            <w:pPr>
              <w:pStyle w:val="TableParagraph"/>
              <w:spacing w:before="8"/>
              <w:ind w:left="0"/>
              <w:jc w:val="center"/>
              <w:rPr>
                <w:sz w:val="20"/>
                <w:szCs w:val="20"/>
              </w:rPr>
            </w:pPr>
            <w:r w:rsidRPr="00C277A7">
              <w:rPr>
                <w:sz w:val="20"/>
                <w:szCs w:val="20"/>
              </w:rPr>
              <w:t>125</w:t>
            </w:r>
          </w:p>
        </w:tc>
        <w:tc>
          <w:tcPr>
            <w:tcW w:w="1025" w:type="dxa"/>
            <w:vAlign w:val="center"/>
          </w:tcPr>
          <w:p w14:paraId="5A132DC6" w14:textId="3BA416A0" w:rsidR="008A6062" w:rsidRPr="00C277A7" w:rsidRDefault="00EA021A" w:rsidP="00FF2E3B">
            <w:pPr>
              <w:pStyle w:val="TableParagraph"/>
              <w:spacing w:before="8"/>
              <w:ind w:left="0"/>
              <w:jc w:val="center"/>
              <w:rPr>
                <w:sz w:val="20"/>
                <w:szCs w:val="20"/>
              </w:rPr>
            </w:pPr>
            <w:r w:rsidRPr="00C277A7">
              <w:rPr>
                <w:sz w:val="20"/>
                <w:szCs w:val="20"/>
              </w:rPr>
              <w:t>125</w:t>
            </w:r>
          </w:p>
        </w:tc>
        <w:tc>
          <w:tcPr>
            <w:tcW w:w="1025" w:type="dxa"/>
            <w:vAlign w:val="center"/>
          </w:tcPr>
          <w:p w14:paraId="2CCFEB5C" w14:textId="59F4ADE5" w:rsidR="008A6062" w:rsidRPr="00C277A7" w:rsidRDefault="00EA021A" w:rsidP="00FF2E3B">
            <w:pPr>
              <w:pStyle w:val="TableParagraph"/>
              <w:spacing w:before="8"/>
              <w:ind w:left="0"/>
              <w:jc w:val="center"/>
              <w:rPr>
                <w:sz w:val="20"/>
                <w:szCs w:val="20"/>
              </w:rPr>
            </w:pPr>
            <w:r w:rsidRPr="00C277A7">
              <w:rPr>
                <w:sz w:val="20"/>
                <w:szCs w:val="20"/>
              </w:rPr>
              <w:t>125</w:t>
            </w:r>
          </w:p>
        </w:tc>
      </w:tr>
      <w:tr w:rsidR="006A7F8F" w14:paraId="0D437E24" w14:textId="77777777" w:rsidTr="00EC3E40">
        <w:trPr>
          <w:trHeight w:hRule="exact" w:val="1890"/>
        </w:trPr>
        <w:tc>
          <w:tcPr>
            <w:tcW w:w="505" w:type="dxa"/>
            <w:vAlign w:val="center"/>
          </w:tcPr>
          <w:p w14:paraId="0D437E11" w14:textId="6406BFF0" w:rsidR="006A7F8F" w:rsidRDefault="00C03641" w:rsidP="00EC3E40">
            <w:pPr>
              <w:pStyle w:val="TableParagraph"/>
              <w:spacing w:line="205" w:lineRule="exact"/>
              <w:ind w:left="103"/>
              <w:rPr>
                <w:sz w:val="18"/>
              </w:rPr>
            </w:pPr>
            <w:r>
              <w:rPr>
                <w:sz w:val="18"/>
              </w:rPr>
              <w:t>4</w:t>
            </w:r>
          </w:p>
        </w:tc>
        <w:tc>
          <w:tcPr>
            <w:tcW w:w="1620" w:type="dxa"/>
            <w:vAlign w:val="center"/>
          </w:tcPr>
          <w:p w14:paraId="0D437E12" w14:textId="0A3C7641" w:rsidR="006A7F8F" w:rsidRDefault="006A7F8F" w:rsidP="00EC3E40">
            <w:pPr>
              <w:pStyle w:val="TableParagraph"/>
              <w:spacing w:before="1" w:line="206" w:lineRule="exact"/>
              <w:ind w:left="100" w:right="90"/>
              <w:rPr>
                <w:sz w:val="18"/>
              </w:rPr>
            </w:pPr>
            <w:r>
              <w:rPr>
                <w:sz w:val="18"/>
              </w:rPr>
              <w:t xml:space="preserve">Integrated care </w:t>
            </w:r>
            <w:r w:rsidR="00CC50F1">
              <w:rPr>
                <w:sz w:val="18"/>
              </w:rPr>
              <w:t>I</w:t>
            </w:r>
            <w:r>
              <w:rPr>
                <w:sz w:val="18"/>
              </w:rPr>
              <w:t>ncentive</w:t>
            </w:r>
          </w:p>
        </w:tc>
        <w:tc>
          <w:tcPr>
            <w:tcW w:w="1170" w:type="dxa"/>
            <w:vAlign w:val="center"/>
          </w:tcPr>
          <w:p w14:paraId="0D437E13" w14:textId="77777777" w:rsidR="006A7F8F" w:rsidRDefault="006A7F8F" w:rsidP="00EC3E40">
            <w:pPr>
              <w:pStyle w:val="TableParagraph"/>
              <w:spacing w:before="1" w:line="206" w:lineRule="exact"/>
              <w:ind w:left="103" w:right="90" w:hanging="13"/>
              <w:rPr>
                <w:sz w:val="18"/>
              </w:rPr>
            </w:pPr>
            <w:r>
              <w:rPr>
                <w:sz w:val="18"/>
              </w:rPr>
              <w:t>Accountable care partnership plans affiliated with Cambridge Health Alliance</w:t>
            </w:r>
          </w:p>
        </w:tc>
        <w:tc>
          <w:tcPr>
            <w:tcW w:w="1445" w:type="dxa"/>
            <w:vAlign w:val="center"/>
          </w:tcPr>
          <w:p w14:paraId="0D437E14" w14:textId="71FE4A5A" w:rsidR="006A7F8F" w:rsidRDefault="006A7F8F" w:rsidP="00EC3E40">
            <w:pPr>
              <w:pStyle w:val="TableParagraph"/>
              <w:spacing w:before="1" w:line="206" w:lineRule="exact"/>
              <w:ind w:left="103" w:right="116"/>
              <w:rPr>
                <w:sz w:val="18"/>
              </w:rPr>
            </w:pPr>
            <w:r>
              <w:rPr>
                <w:sz w:val="18"/>
              </w:rPr>
              <w:t>Non-federal, non-state</w:t>
            </w:r>
            <w:r w:rsidR="00F20CBA">
              <w:rPr>
                <w:sz w:val="18"/>
              </w:rPr>
              <w:t xml:space="preserve">-owned </w:t>
            </w:r>
            <w:r>
              <w:rPr>
                <w:sz w:val="18"/>
              </w:rPr>
              <w:t>public hospitals in network</w:t>
            </w:r>
          </w:p>
        </w:tc>
        <w:tc>
          <w:tcPr>
            <w:tcW w:w="1025" w:type="dxa"/>
            <w:vAlign w:val="center"/>
          </w:tcPr>
          <w:p w14:paraId="0D437E17" w14:textId="70F64430" w:rsidR="006A7F8F" w:rsidRDefault="0032769F" w:rsidP="00FF2E3B">
            <w:pPr>
              <w:pStyle w:val="TableParagraph"/>
              <w:spacing w:before="1"/>
              <w:ind w:right="30" w:hanging="305"/>
              <w:jc w:val="center"/>
              <w:rPr>
                <w:sz w:val="18"/>
              </w:rPr>
            </w:pPr>
            <w:r>
              <w:rPr>
                <w:sz w:val="18"/>
              </w:rPr>
              <w:t>1</w:t>
            </w:r>
            <w:r w:rsidR="001F796B">
              <w:rPr>
                <w:sz w:val="18"/>
              </w:rPr>
              <w:t>24</w:t>
            </w:r>
          </w:p>
        </w:tc>
        <w:tc>
          <w:tcPr>
            <w:tcW w:w="1025" w:type="dxa"/>
            <w:vAlign w:val="center"/>
          </w:tcPr>
          <w:p w14:paraId="0D437E1A" w14:textId="5E6FADF6" w:rsidR="006A7F8F" w:rsidRDefault="0032769F" w:rsidP="00FF2E3B">
            <w:pPr>
              <w:pStyle w:val="TableParagraph"/>
              <w:spacing w:before="1"/>
              <w:ind w:hanging="144"/>
              <w:jc w:val="center"/>
              <w:rPr>
                <w:sz w:val="18"/>
              </w:rPr>
            </w:pPr>
            <w:r>
              <w:rPr>
                <w:sz w:val="18"/>
              </w:rPr>
              <w:t>1</w:t>
            </w:r>
            <w:r w:rsidR="001F796B">
              <w:rPr>
                <w:sz w:val="18"/>
              </w:rPr>
              <w:t>24</w:t>
            </w:r>
          </w:p>
        </w:tc>
        <w:tc>
          <w:tcPr>
            <w:tcW w:w="1025" w:type="dxa"/>
            <w:vAlign w:val="center"/>
          </w:tcPr>
          <w:p w14:paraId="0D437E1D" w14:textId="7D71AA94" w:rsidR="006A7F8F" w:rsidRDefault="0032769F" w:rsidP="00FF2E3B">
            <w:pPr>
              <w:pStyle w:val="TableParagraph"/>
              <w:spacing w:before="1"/>
              <w:ind w:right="11"/>
              <w:jc w:val="center"/>
              <w:rPr>
                <w:sz w:val="18"/>
              </w:rPr>
            </w:pPr>
            <w:r>
              <w:rPr>
                <w:sz w:val="18"/>
              </w:rPr>
              <w:t>1</w:t>
            </w:r>
            <w:r w:rsidR="001F796B">
              <w:rPr>
                <w:sz w:val="18"/>
              </w:rPr>
              <w:t>24</w:t>
            </w:r>
          </w:p>
        </w:tc>
        <w:tc>
          <w:tcPr>
            <w:tcW w:w="1025" w:type="dxa"/>
            <w:vAlign w:val="center"/>
          </w:tcPr>
          <w:p w14:paraId="0D437E20" w14:textId="0CA9E568" w:rsidR="006A7F8F" w:rsidRDefault="0032769F" w:rsidP="00FF2E3B">
            <w:pPr>
              <w:pStyle w:val="TableParagraph"/>
              <w:spacing w:before="1"/>
              <w:ind w:right="-44"/>
              <w:jc w:val="center"/>
              <w:rPr>
                <w:sz w:val="18"/>
              </w:rPr>
            </w:pPr>
            <w:r>
              <w:rPr>
                <w:sz w:val="18"/>
              </w:rPr>
              <w:t>1</w:t>
            </w:r>
            <w:r w:rsidR="001F796B">
              <w:rPr>
                <w:sz w:val="18"/>
              </w:rPr>
              <w:t>24</w:t>
            </w:r>
          </w:p>
        </w:tc>
        <w:tc>
          <w:tcPr>
            <w:tcW w:w="1025" w:type="dxa"/>
            <w:vAlign w:val="center"/>
          </w:tcPr>
          <w:p w14:paraId="0D437E23" w14:textId="6CD28126" w:rsidR="006A7F8F" w:rsidRDefault="0032769F" w:rsidP="00FF2E3B">
            <w:pPr>
              <w:pStyle w:val="TableParagraph"/>
              <w:spacing w:before="1"/>
              <w:jc w:val="center"/>
              <w:rPr>
                <w:sz w:val="18"/>
              </w:rPr>
            </w:pPr>
            <w:r>
              <w:rPr>
                <w:sz w:val="18"/>
              </w:rPr>
              <w:t>1</w:t>
            </w:r>
            <w:r w:rsidR="001F796B">
              <w:rPr>
                <w:sz w:val="18"/>
              </w:rPr>
              <w:t>24</w:t>
            </w:r>
          </w:p>
        </w:tc>
      </w:tr>
      <w:tr w:rsidR="006A7F8F" w14:paraId="0D437E33" w14:textId="77777777" w:rsidTr="00EC3E40">
        <w:trPr>
          <w:trHeight w:hRule="exact" w:val="1089"/>
        </w:trPr>
        <w:tc>
          <w:tcPr>
            <w:tcW w:w="505" w:type="dxa"/>
            <w:vAlign w:val="center"/>
          </w:tcPr>
          <w:p w14:paraId="0D437E25" w14:textId="39B67AF5" w:rsidR="006A7F8F" w:rsidRDefault="00C03641" w:rsidP="00EC3E40">
            <w:pPr>
              <w:pStyle w:val="TableParagraph"/>
              <w:spacing w:line="202" w:lineRule="exact"/>
              <w:ind w:left="103"/>
              <w:rPr>
                <w:sz w:val="18"/>
              </w:rPr>
            </w:pPr>
            <w:r>
              <w:rPr>
                <w:sz w:val="18"/>
              </w:rPr>
              <w:t>5</w:t>
            </w:r>
          </w:p>
        </w:tc>
        <w:tc>
          <w:tcPr>
            <w:tcW w:w="1620" w:type="dxa"/>
            <w:vAlign w:val="center"/>
          </w:tcPr>
          <w:p w14:paraId="0D437E26" w14:textId="53811080" w:rsidR="006A7F8F" w:rsidRDefault="006A7F8F" w:rsidP="00EC3E40">
            <w:pPr>
              <w:pStyle w:val="TableParagraph"/>
              <w:ind w:left="100" w:right="90"/>
              <w:rPr>
                <w:sz w:val="18"/>
              </w:rPr>
            </w:pPr>
            <w:r>
              <w:rPr>
                <w:sz w:val="18"/>
              </w:rPr>
              <w:t xml:space="preserve">Behavioral health </w:t>
            </w:r>
            <w:r w:rsidR="00CC50F1">
              <w:rPr>
                <w:sz w:val="18"/>
              </w:rPr>
              <w:t>Q</w:t>
            </w:r>
            <w:r>
              <w:rPr>
                <w:sz w:val="18"/>
              </w:rPr>
              <w:t xml:space="preserve">uality </w:t>
            </w:r>
            <w:r w:rsidR="00CC50F1">
              <w:rPr>
                <w:sz w:val="18"/>
              </w:rPr>
              <w:t>I</w:t>
            </w:r>
            <w:r>
              <w:rPr>
                <w:sz w:val="18"/>
              </w:rPr>
              <w:t>ncentive</w:t>
            </w:r>
          </w:p>
        </w:tc>
        <w:tc>
          <w:tcPr>
            <w:tcW w:w="1170" w:type="dxa"/>
            <w:vAlign w:val="center"/>
          </w:tcPr>
          <w:p w14:paraId="0D437E27" w14:textId="738332BD" w:rsidR="006A7F8F" w:rsidRDefault="006A7F8F" w:rsidP="00EC3E40">
            <w:pPr>
              <w:pStyle w:val="TableParagraph"/>
              <w:ind w:left="103" w:right="90" w:hanging="13"/>
              <w:rPr>
                <w:sz w:val="18"/>
              </w:rPr>
            </w:pPr>
            <w:r>
              <w:rPr>
                <w:sz w:val="18"/>
              </w:rPr>
              <w:t xml:space="preserve"> PIHP</w:t>
            </w:r>
          </w:p>
        </w:tc>
        <w:tc>
          <w:tcPr>
            <w:tcW w:w="1445" w:type="dxa"/>
            <w:vAlign w:val="center"/>
          </w:tcPr>
          <w:p w14:paraId="0D437E28" w14:textId="0B3E6D48" w:rsidR="006A7F8F" w:rsidRDefault="006A7F8F" w:rsidP="00EC3E40">
            <w:pPr>
              <w:pStyle w:val="TableParagraph"/>
              <w:ind w:left="103" w:right="116"/>
              <w:rPr>
                <w:sz w:val="18"/>
              </w:rPr>
            </w:pPr>
            <w:r>
              <w:rPr>
                <w:sz w:val="18"/>
              </w:rPr>
              <w:t>Non-federal, non-state</w:t>
            </w:r>
            <w:r w:rsidR="00F20CBA">
              <w:rPr>
                <w:sz w:val="18"/>
              </w:rPr>
              <w:t>-owned</w:t>
            </w:r>
            <w:r>
              <w:rPr>
                <w:sz w:val="18"/>
              </w:rPr>
              <w:t xml:space="preserve"> public hospitals in network</w:t>
            </w:r>
          </w:p>
        </w:tc>
        <w:tc>
          <w:tcPr>
            <w:tcW w:w="1025" w:type="dxa"/>
            <w:vAlign w:val="center"/>
          </w:tcPr>
          <w:p w14:paraId="0D437E2A" w14:textId="62B17BC0" w:rsidR="006A7F8F" w:rsidRPr="00EC3E40" w:rsidRDefault="00B7750F" w:rsidP="00EC3E40">
            <w:pPr>
              <w:pStyle w:val="TableParagraph"/>
              <w:ind w:left="0" w:right="30"/>
              <w:jc w:val="center"/>
              <w:rPr>
                <w:sz w:val="20"/>
              </w:rPr>
            </w:pPr>
            <w:r w:rsidRPr="00EC3E40">
              <w:rPr>
                <w:sz w:val="20"/>
              </w:rPr>
              <w:t>60</w:t>
            </w:r>
          </w:p>
        </w:tc>
        <w:tc>
          <w:tcPr>
            <w:tcW w:w="1025" w:type="dxa"/>
            <w:vAlign w:val="center"/>
          </w:tcPr>
          <w:p w14:paraId="0D437E2C" w14:textId="4DE552C9" w:rsidR="006A7F8F" w:rsidRPr="00EC3E40" w:rsidRDefault="00B7750F" w:rsidP="00EC3E40">
            <w:pPr>
              <w:pStyle w:val="TableParagraph"/>
              <w:ind w:left="0"/>
              <w:jc w:val="center"/>
              <w:rPr>
                <w:sz w:val="20"/>
              </w:rPr>
            </w:pPr>
            <w:r w:rsidRPr="00EC3E40">
              <w:rPr>
                <w:sz w:val="20"/>
              </w:rPr>
              <w:t>60</w:t>
            </w:r>
          </w:p>
        </w:tc>
        <w:tc>
          <w:tcPr>
            <w:tcW w:w="1025" w:type="dxa"/>
            <w:vAlign w:val="center"/>
          </w:tcPr>
          <w:p w14:paraId="0D437E2E" w14:textId="71A5C148" w:rsidR="006A7F8F" w:rsidRPr="00EC3E40" w:rsidRDefault="00B7750F" w:rsidP="00EC3E40">
            <w:pPr>
              <w:pStyle w:val="TableParagraph"/>
              <w:ind w:left="0"/>
              <w:jc w:val="center"/>
              <w:rPr>
                <w:sz w:val="20"/>
              </w:rPr>
            </w:pPr>
            <w:r w:rsidRPr="00EC3E40">
              <w:rPr>
                <w:sz w:val="20"/>
              </w:rPr>
              <w:t>60</w:t>
            </w:r>
          </w:p>
        </w:tc>
        <w:tc>
          <w:tcPr>
            <w:tcW w:w="1025" w:type="dxa"/>
            <w:vAlign w:val="center"/>
          </w:tcPr>
          <w:p w14:paraId="0D437E30" w14:textId="143447FB" w:rsidR="006A7F8F" w:rsidRPr="00EC3E40" w:rsidRDefault="00B7750F" w:rsidP="00EC3E40">
            <w:pPr>
              <w:pStyle w:val="TableParagraph"/>
              <w:ind w:left="0"/>
              <w:jc w:val="center"/>
              <w:rPr>
                <w:sz w:val="20"/>
              </w:rPr>
            </w:pPr>
            <w:r w:rsidRPr="00EC3E40">
              <w:rPr>
                <w:sz w:val="20"/>
              </w:rPr>
              <w:t>60</w:t>
            </w:r>
          </w:p>
        </w:tc>
        <w:tc>
          <w:tcPr>
            <w:tcW w:w="1025" w:type="dxa"/>
            <w:vAlign w:val="center"/>
          </w:tcPr>
          <w:p w14:paraId="0D437E32" w14:textId="34BA3596" w:rsidR="006A7F8F" w:rsidRPr="00EC3E40" w:rsidRDefault="00B7750F" w:rsidP="00EC3E40">
            <w:pPr>
              <w:pStyle w:val="TableParagraph"/>
              <w:ind w:left="0"/>
              <w:jc w:val="center"/>
              <w:rPr>
                <w:sz w:val="20"/>
              </w:rPr>
            </w:pPr>
            <w:r w:rsidRPr="00EC3E40">
              <w:rPr>
                <w:sz w:val="20"/>
              </w:rPr>
              <w:t>60</w:t>
            </w:r>
          </w:p>
        </w:tc>
      </w:tr>
      <w:tr w:rsidR="002934F5" w14:paraId="3F3D5E8F" w14:textId="77777777" w:rsidTr="00EC3E40">
        <w:trPr>
          <w:trHeight w:hRule="exact" w:val="2430"/>
        </w:trPr>
        <w:tc>
          <w:tcPr>
            <w:tcW w:w="505" w:type="dxa"/>
            <w:vAlign w:val="center"/>
          </w:tcPr>
          <w:p w14:paraId="060C8523" w14:textId="6212FAB7" w:rsidR="002934F5" w:rsidRDefault="00C03641" w:rsidP="00EC3E40">
            <w:pPr>
              <w:pStyle w:val="TableParagraph"/>
              <w:spacing w:line="202" w:lineRule="exact"/>
              <w:ind w:left="103"/>
              <w:rPr>
                <w:sz w:val="18"/>
              </w:rPr>
            </w:pPr>
            <w:r>
              <w:rPr>
                <w:sz w:val="18"/>
              </w:rPr>
              <w:t>6</w:t>
            </w:r>
          </w:p>
        </w:tc>
        <w:tc>
          <w:tcPr>
            <w:tcW w:w="1620" w:type="dxa"/>
            <w:vAlign w:val="center"/>
          </w:tcPr>
          <w:p w14:paraId="295C51E1" w14:textId="665DF1F6" w:rsidR="002934F5" w:rsidRDefault="002934F5" w:rsidP="00EC3E40">
            <w:pPr>
              <w:pStyle w:val="TableParagraph"/>
              <w:ind w:left="100" w:right="90"/>
              <w:rPr>
                <w:sz w:val="18"/>
              </w:rPr>
            </w:pPr>
            <w:r>
              <w:rPr>
                <w:sz w:val="18"/>
              </w:rPr>
              <w:t>Performance Improvement Initiative for Professional Services</w:t>
            </w:r>
          </w:p>
        </w:tc>
        <w:tc>
          <w:tcPr>
            <w:tcW w:w="1170" w:type="dxa"/>
            <w:vAlign w:val="center"/>
          </w:tcPr>
          <w:p w14:paraId="55BDE720" w14:textId="45F05B6B" w:rsidR="002934F5" w:rsidRDefault="00E05F2B" w:rsidP="00EC3E40">
            <w:pPr>
              <w:pStyle w:val="TableParagraph"/>
              <w:ind w:left="103" w:right="90" w:hanging="13"/>
              <w:rPr>
                <w:sz w:val="18"/>
              </w:rPr>
            </w:pPr>
            <w:r>
              <w:rPr>
                <w:sz w:val="18"/>
              </w:rPr>
              <w:t>ACO</w:t>
            </w:r>
            <w:r w:rsidR="00BB5AE7">
              <w:rPr>
                <w:sz w:val="18"/>
              </w:rPr>
              <w:t xml:space="preserve"> plan</w:t>
            </w:r>
            <w:r>
              <w:rPr>
                <w:sz w:val="18"/>
              </w:rPr>
              <w:t xml:space="preserve"> </w:t>
            </w:r>
            <w:r w:rsidR="00BB5AE7">
              <w:rPr>
                <w:sz w:val="18"/>
              </w:rPr>
              <w:t xml:space="preserve">partnered </w:t>
            </w:r>
            <w:r>
              <w:rPr>
                <w:sz w:val="18"/>
              </w:rPr>
              <w:t xml:space="preserve">with </w:t>
            </w:r>
            <w:r w:rsidR="004E4CFF">
              <w:rPr>
                <w:sz w:val="18"/>
              </w:rPr>
              <w:t xml:space="preserve">hospital system </w:t>
            </w:r>
            <w:r w:rsidR="00BB5AE7">
              <w:rPr>
                <w:sz w:val="18"/>
              </w:rPr>
              <w:t>affiliated with the state-owned medical school</w:t>
            </w:r>
          </w:p>
        </w:tc>
        <w:tc>
          <w:tcPr>
            <w:tcW w:w="1445" w:type="dxa"/>
            <w:vAlign w:val="center"/>
          </w:tcPr>
          <w:p w14:paraId="71588DEA" w14:textId="08B331F5" w:rsidR="002934F5" w:rsidRDefault="00F20CBA" w:rsidP="00EC3E40">
            <w:pPr>
              <w:pStyle w:val="TableParagraph"/>
              <w:ind w:left="103" w:right="116"/>
              <w:rPr>
                <w:sz w:val="18"/>
              </w:rPr>
            </w:pPr>
            <w:r>
              <w:rPr>
                <w:sz w:val="18"/>
              </w:rPr>
              <w:t>Hospital systems affiliated with the state-owned medical school</w:t>
            </w:r>
          </w:p>
        </w:tc>
        <w:tc>
          <w:tcPr>
            <w:tcW w:w="1025" w:type="dxa"/>
            <w:vAlign w:val="center"/>
          </w:tcPr>
          <w:p w14:paraId="6D493B4C" w14:textId="6F6ED741" w:rsidR="002934F5" w:rsidRDefault="00717256" w:rsidP="00EC3E40">
            <w:pPr>
              <w:pStyle w:val="TableParagraph"/>
              <w:ind w:left="0" w:right="30"/>
              <w:jc w:val="center"/>
              <w:rPr>
                <w:sz w:val="20"/>
              </w:rPr>
            </w:pPr>
            <w:r>
              <w:rPr>
                <w:sz w:val="20"/>
              </w:rPr>
              <w:t>75</w:t>
            </w:r>
          </w:p>
        </w:tc>
        <w:tc>
          <w:tcPr>
            <w:tcW w:w="1025" w:type="dxa"/>
            <w:vAlign w:val="center"/>
          </w:tcPr>
          <w:p w14:paraId="2D74C507" w14:textId="0A30EA70" w:rsidR="002934F5" w:rsidRDefault="00717256" w:rsidP="00EC3E40">
            <w:pPr>
              <w:pStyle w:val="TableParagraph"/>
              <w:ind w:left="0"/>
              <w:jc w:val="center"/>
              <w:rPr>
                <w:sz w:val="20"/>
              </w:rPr>
            </w:pPr>
            <w:r>
              <w:rPr>
                <w:sz w:val="20"/>
              </w:rPr>
              <w:t>75</w:t>
            </w:r>
          </w:p>
        </w:tc>
        <w:tc>
          <w:tcPr>
            <w:tcW w:w="1025" w:type="dxa"/>
            <w:vAlign w:val="center"/>
          </w:tcPr>
          <w:p w14:paraId="73B75F1A" w14:textId="091B7A45" w:rsidR="002934F5" w:rsidRDefault="00717256" w:rsidP="00EC3E40">
            <w:pPr>
              <w:pStyle w:val="TableParagraph"/>
              <w:ind w:left="0"/>
              <w:jc w:val="center"/>
              <w:rPr>
                <w:sz w:val="20"/>
              </w:rPr>
            </w:pPr>
            <w:r>
              <w:rPr>
                <w:sz w:val="20"/>
              </w:rPr>
              <w:t>75</w:t>
            </w:r>
          </w:p>
        </w:tc>
        <w:tc>
          <w:tcPr>
            <w:tcW w:w="1025" w:type="dxa"/>
            <w:vAlign w:val="center"/>
          </w:tcPr>
          <w:p w14:paraId="5CC8662C" w14:textId="526D8001" w:rsidR="002934F5" w:rsidRDefault="00717256" w:rsidP="00EC3E40">
            <w:pPr>
              <w:pStyle w:val="TableParagraph"/>
              <w:ind w:left="0"/>
              <w:jc w:val="center"/>
              <w:rPr>
                <w:sz w:val="20"/>
              </w:rPr>
            </w:pPr>
            <w:r>
              <w:rPr>
                <w:sz w:val="20"/>
              </w:rPr>
              <w:t>75</w:t>
            </w:r>
          </w:p>
        </w:tc>
        <w:tc>
          <w:tcPr>
            <w:tcW w:w="1025" w:type="dxa"/>
            <w:vAlign w:val="center"/>
          </w:tcPr>
          <w:p w14:paraId="0F049E66" w14:textId="6F0FFC7D" w:rsidR="002934F5" w:rsidRDefault="00717256" w:rsidP="00EC3E40">
            <w:pPr>
              <w:pStyle w:val="TableParagraph"/>
              <w:ind w:left="0"/>
              <w:jc w:val="center"/>
              <w:rPr>
                <w:sz w:val="20"/>
              </w:rPr>
            </w:pPr>
            <w:r>
              <w:rPr>
                <w:sz w:val="20"/>
              </w:rPr>
              <w:t>75</w:t>
            </w:r>
          </w:p>
        </w:tc>
      </w:tr>
      <w:tr w:rsidR="004A0365" w14:paraId="6AE9DE0B" w14:textId="77777777" w:rsidTr="00EC3E40">
        <w:trPr>
          <w:trHeight w:hRule="exact" w:val="1269"/>
        </w:trPr>
        <w:tc>
          <w:tcPr>
            <w:tcW w:w="505" w:type="dxa"/>
            <w:vAlign w:val="center"/>
          </w:tcPr>
          <w:p w14:paraId="48B7DC8A" w14:textId="3EF7C20A" w:rsidR="004A0365" w:rsidRDefault="00C03641" w:rsidP="00EC3E40">
            <w:pPr>
              <w:pStyle w:val="TableParagraph"/>
              <w:spacing w:line="202" w:lineRule="exact"/>
              <w:ind w:left="103"/>
              <w:rPr>
                <w:sz w:val="18"/>
              </w:rPr>
            </w:pPr>
            <w:r>
              <w:rPr>
                <w:sz w:val="18"/>
              </w:rPr>
              <w:t>7</w:t>
            </w:r>
            <w:r w:rsidR="0032769F">
              <w:rPr>
                <w:sz w:val="18"/>
              </w:rPr>
              <w:t>*</w:t>
            </w:r>
            <w:r w:rsidR="006B3102">
              <w:rPr>
                <w:sz w:val="18"/>
              </w:rPr>
              <w:t>*</w:t>
            </w:r>
          </w:p>
        </w:tc>
        <w:tc>
          <w:tcPr>
            <w:tcW w:w="1620" w:type="dxa"/>
            <w:vAlign w:val="center"/>
          </w:tcPr>
          <w:p w14:paraId="509480DC" w14:textId="34D7AFDB" w:rsidR="004A0365" w:rsidRDefault="004A0365" w:rsidP="00EC3E40">
            <w:pPr>
              <w:pStyle w:val="TableParagraph"/>
              <w:ind w:left="100" w:right="90"/>
              <w:rPr>
                <w:sz w:val="18"/>
              </w:rPr>
            </w:pPr>
            <w:r>
              <w:rPr>
                <w:sz w:val="18"/>
              </w:rPr>
              <w:t>Rate Add-on for Acute Hospitals</w:t>
            </w:r>
          </w:p>
        </w:tc>
        <w:tc>
          <w:tcPr>
            <w:tcW w:w="1170" w:type="dxa"/>
            <w:vAlign w:val="center"/>
          </w:tcPr>
          <w:p w14:paraId="6C2052E2" w14:textId="5182316F" w:rsidR="004A0365" w:rsidRDefault="004A0365" w:rsidP="00EC3E40">
            <w:pPr>
              <w:pStyle w:val="TableParagraph"/>
              <w:ind w:left="103" w:right="90" w:hanging="13"/>
              <w:rPr>
                <w:sz w:val="18"/>
              </w:rPr>
            </w:pPr>
            <w:r>
              <w:rPr>
                <w:sz w:val="18"/>
              </w:rPr>
              <w:t>MMCOs, ACOs and PIHP</w:t>
            </w:r>
          </w:p>
        </w:tc>
        <w:tc>
          <w:tcPr>
            <w:tcW w:w="1445" w:type="dxa"/>
            <w:vAlign w:val="center"/>
          </w:tcPr>
          <w:p w14:paraId="2F189593" w14:textId="4EF42CE6" w:rsidR="004A0365" w:rsidRDefault="004A0365" w:rsidP="00EC3E40">
            <w:pPr>
              <w:pStyle w:val="TableParagraph"/>
              <w:ind w:left="103" w:right="116"/>
              <w:rPr>
                <w:sz w:val="18"/>
              </w:rPr>
            </w:pPr>
            <w:r>
              <w:rPr>
                <w:sz w:val="18"/>
              </w:rPr>
              <w:t xml:space="preserve">All contracted </w:t>
            </w:r>
            <w:r w:rsidR="00267DF2">
              <w:rPr>
                <w:sz w:val="18"/>
              </w:rPr>
              <w:t xml:space="preserve">in-state </w:t>
            </w:r>
            <w:r>
              <w:rPr>
                <w:sz w:val="18"/>
              </w:rPr>
              <w:t>acute hospitals</w:t>
            </w:r>
          </w:p>
        </w:tc>
        <w:tc>
          <w:tcPr>
            <w:tcW w:w="1025" w:type="dxa"/>
            <w:vAlign w:val="center"/>
          </w:tcPr>
          <w:p w14:paraId="5D2EEA6A" w14:textId="15379DA0" w:rsidR="004A0365" w:rsidRDefault="006B3102" w:rsidP="00EC3E40">
            <w:pPr>
              <w:pStyle w:val="TableParagraph"/>
              <w:ind w:left="0" w:right="30"/>
              <w:jc w:val="center"/>
              <w:rPr>
                <w:sz w:val="20"/>
              </w:rPr>
            </w:pPr>
            <w:r>
              <w:rPr>
                <w:sz w:val="18"/>
              </w:rPr>
              <w:t>306</w:t>
            </w:r>
          </w:p>
        </w:tc>
        <w:tc>
          <w:tcPr>
            <w:tcW w:w="1025" w:type="dxa"/>
            <w:vAlign w:val="center"/>
          </w:tcPr>
          <w:p w14:paraId="6BE3BF52" w14:textId="11A6BB2D" w:rsidR="004A0365" w:rsidRDefault="006B3102" w:rsidP="00EC3E40">
            <w:pPr>
              <w:pStyle w:val="TableParagraph"/>
              <w:ind w:left="0"/>
              <w:jc w:val="center"/>
              <w:rPr>
                <w:sz w:val="20"/>
              </w:rPr>
            </w:pPr>
            <w:r>
              <w:rPr>
                <w:sz w:val="18"/>
              </w:rPr>
              <w:t>334</w:t>
            </w:r>
          </w:p>
        </w:tc>
        <w:tc>
          <w:tcPr>
            <w:tcW w:w="1025" w:type="dxa"/>
            <w:vAlign w:val="center"/>
          </w:tcPr>
          <w:p w14:paraId="1B2F8C53" w14:textId="44675BBA" w:rsidR="004A0365" w:rsidRDefault="006B3102" w:rsidP="00EC3E40">
            <w:pPr>
              <w:pStyle w:val="TableParagraph"/>
              <w:ind w:left="0"/>
              <w:jc w:val="center"/>
              <w:rPr>
                <w:sz w:val="20"/>
              </w:rPr>
            </w:pPr>
            <w:r>
              <w:rPr>
                <w:sz w:val="18"/>
              </w:rPr>
              <w:t>226</w:t>
            </w:r>
          </w:p>
        </w:tc>
        <w:tc>
          <w:tcPr>
            <w:tcW w:w="1025" w:type="dxa"/>
            <w:vAlign w:val="center"/>
          </w:tcPr>
          <w:p w14:paraId="0A271669" w14:textId="4C36D91E" w:rsidR="004A0365" w:rsidRDefault="006B3102" w:rsidP="00EC3E40">
            <w:pPr>
              <w:pStyle w:val="TableParagraph"/>
              <w:ind w:left="0"/>
              <w:jc w:val="center"/>
              <w:rPr>
                <w:sz w:val="20"/>
              </w:rPr>
            </w:pPr>
            <w:r>
              <w:rPr>
                <w:sz w:val="18"/>
              </w:rPr>
              <w:t>226</w:t>
            </w:r>
          </w:p>
        </w:tc>
        <w:tc>
          <w:tcPr>
            <w:tcW w:w="1025" w:type="dxa"/>
            <w:vAlign w:val="center"/>
          </w:tcPr>
          <w:p w14:paraId="18936DD9" w14:textId="6F3438F9" w:rsidR="004A0365" w:rsidRDefault="006B3102" w:rsidP="00EC3E40">
            <w:pPr>
              <w:pStyle w:val="TableParagraph"/>
              <w:ind w:left="0"/>
              <w:jc w:val="center"/>
              <w:rPr>
                <w:sz w:val="20"/>
              </w:rPr>
            </w:pPr>
            <w:r>
              <w:rPr>
                <w:sz w:val="18"/>
              </w:rPr>
              <w:t>226</w:t>
            </w:r>
          </w:p>
        </w:tc>
      </w:tr>
    </w:tbl>
    <w:p w14:paraId="0D437E34" w14:textId="21176388" w:rsidR="006A7F8F" w:rsidRPr="00F80FE0" w:rsidRDefault="0032769F" w:rsidP="006A7F8F">
      <w:pPr>
        <w:pStyle w:val="BodyText"/>
        <w:spacing w:before="3"/>
        <w:rPr>
          <w:sz w:val="18"/>
          <w:szCs w:val="18"/>
        </w:rPr>
      </w:pPr>
      <w:r w:rsidRPr="00F80FE0">
        <w:rPr>
          <w:sz w:val="18"/>
          <w:szCs w:val="18"/>
        </w:rPr>
        <w:t>*1 reflect</w:t>
      </w:r>
      <w:r w:rsidR="006B3102" w:rsidRPr="00F80FE0">
        <w:rPr>
          <w:sz w:val="18"/>
          <w:szCs w:val="18"/>
        </w:rPr>
        <w:t>s</w:t>
      </w:r>
      <w:r w:rsidRPr="00F80FE0">
        <w:rPr>
          <w:sz w:val="18"/>
          <w:szCs w:val="18"/>
        </w:rPr>
        <w:t xml:space="preserve"> </w:t>
      </w:r>
      <w:r w:rsidR="006B3102" w:rsidRPr="00F80FE0">
        <w:rPr>
          <w:sz w:val="18"/>
          <w:szCs w:val="18"/>
        </w:rPr>
        <w:t>estimated payment per year for the Clinical Quality Incentive through managed care vehicles</w:t>
      </w:r>
      <w:proofErr w:type="gramStart"/>
      <w:r w:rsidR="006B3102" w:rsidRPr="00F80FE0">
        <w:rPr>
          <w:sz w:val="18"/>
          <w:szCs w:val="18"/>
        </w:rPr>
        <w:t xml:space="preserve">. </w:t>
      </w:r>
      <w:proofErr w:type="gramEnd"/>
      <w:r w:rsidR="006B3102" w:rsidRPr="00F80FE0">
        <w:rPr>
          <w:sz w:val="18"/>
          <w:szCs w:val="18"/>
        </w:rPr>
        <w:t>Total payment through both managed care and FFS vehicles is $250 million per year, however the actual portion paid</w:t>
      </w:r>
      <w:r w:rsidR="000778DF" w:rsidRPr="00F80FE0">
        <w:rPr>
          <w:sz w:val="18"/>
          <w:szCs w:val="18"/>
        </w:rPr>
        <w:t xml:space="preserve"> per year</w:t>
      </w:r>
      <w:r w:rsidR="006B3102" w:rsidRPr="00F80FE0">
        <w:rPr>
          <w:sz w:val="18"/>
          <w:szCs w:val="18"/>
        </w:rPr>
        <w:t xml:space="preserve"> through managed care will be based on managed care utilization only. </w:t>
      </w:r>
      <w:r w:rsidRPr="00F80FE0">
        <w:rPr>
          <w:sz w:val="18"/>
          <w:szCs w:val="18"/>
        </w:rPr>
        <w:t xml:space="preserve"> </w:t>
      </w:r>
    </w:p>
    <w:p w14:paraId="29BF9575" w14:textId="79A63FE5" w:rsidR="006B3102" w:rsidRPr="00F80FE0" w:rsidRDefault="006B3102" w:rsidP="006A7F8F">
      <w:pPr>
        <w:pStyle w:val="BodyText"/>
        <w:spacing w:before="3"/>
        <w:rPr>
          <w:sz w:val="18"/>
          <w:szCs w:val="18"/>
        </w:rPr>
      </w:pPr>
      <w:r w:rsidRPr="00F80FE0">
        <w:rPr>
          <w:sz w:val="18"/>
          <w:szCs w:val="18"/>
        </w:rPr>
        <w:t>**7 reflects estimated payment for the Rate add-on for acute hospitals through managed care vehicles</w:t>
      </w:r>
      <w:proofErr w:type="gramStart"/>
      <w:r w:rsidRPr="00F80FE0">
        <w:rPr>
          <w:sz w:val="18"/>
          <w:szCs w:val="18"/>
        </w:rPr>
        <w:t xml:space="preserve">. </w:t>
      </w:r>
      <w:proofErr w:type="gramEnd"/>
      <w:r w:rsidRPr="00F80FE0">
        <w:rPr>
          <w:sz w:val="18"/>
          <w:szCs w:val="18"/>
        </w:rPr>
        <w:t xml:space="preserve">Total </w:t>
      </w:r>
      <w:r w:rsidR="00261359" w:rsidRPr="00F80FE0">
        <w:rPr>
          <w:sz w:val="18"/>
          <w:szCs w:val="18"/>
        </w:rPr>
        <w:t xml:space="preserve">anticipated </w:t>
      </w:r>
      <w:r w:rsidRPr="00F80FE0">
        <w:rPr>
          <w:sz w:val="18"/>
          <w:szCs w:val="18"/>
        </w:rPr>
        <w:t xml:space="preserve">payment through both managed care and FFS vehicles is </w:t>
      </w:r>
      <w:r w:rsidR="00227343" w:rsidRPr="00F80FE0">
        <w:rPr>
          <w:sz w:val="18"/>
          <w:szCs w:val="18"/>
        </w:rPr>
        <w:t xml:space="preserve">as follows: </w:t>
      </w:r>
      <w:r w:rsidR="000E567F" w:rsidRPr="00F80FE0">
        <w:rPr>
          <w:sz w:val="18"/>
          <w:szCs w:val="18"/>
        </w:rPr>
        <w:t>DY</w:t>
      </w:r>
      <w:r w:rsidR="00372706" w:rsidRPr="00F80FE0">
        <w:rPr>
          <w:sz w:val="18"/>
          <w:szCs w:val="18"/>
        </w:rPr>
        <w:t xml:space="preserve"> </w:t>
      </w:r>
      <w:r w:rsidR="00A44A0E" w:rsidRPr="00F80FE0">
        <w:rPr>
          <w:sz w:val="18"/>
          <w:szCs w:val="18"/>
        </w:rPr>
        <w:t>28, $650 million; DY</w:t>
      </w:r>
      <w:r w:rsidR="00372706" w:rsidRPr="00F80FE0">
        <w:rPr>
          <w:sz w:val="18"/>
          <w:szCs w:val="18"/>
        </w:rPr>
        <w:t xml:space="preserve"> </w:t>
      </w:r>
      <w:r w:rsidR="00A44A0E" w:rsidRPr="00F80FE0">
        <w:rPr>
          <w:sz w:val="18"/>
          <w:szCs w:val="18"/>
        </w:rPr>
        <w:t>29, $</w:t>
      </w:r>
      <w:r w:rsidR="00537809" w:rsidRPr="00F80FE0">
        <w:rPr>
          <w:sz w:val="18"/>
          <w:szCs w:val="18"/>
        </w:rPr>
        <w:t xml:space="preserve">710 million; </w:t>
      </w:r>
      <w:r w:rsidR="00234256" w:rsidRPr="00F80FE0">
        <w:rPr>
          <w:sz w:val="18"/>
          <w:szCs w:val="18"/>
        </w:rPr>
        <w:t>DY</w:t>
      </w:r>
      <w:r w:rsidR="00372706" w:rsidRPr="00F80FE0">
        <w:rPr>
          <w:sz w:val="18"/>
          <w:szCs w:val="18"/>
        </w:rPr>
        <w:t xml:space="preserve"> </w:t>
      </w:r>
      <w:r w:rsidR="00234256" w:rsidRPr="00F80FE0">
        <w:rPr>
          <w:sz w:val="18"/>
          <w:szCs w:val="18"/>
        </w:rPr>
        <w:t>30, $480 million; DY</w:t>
      </w:r>
      <w:r w:rsidR="00372706" w:rsidRPr="00F80FE0">
        <w:rPr>
          <w:sz w:val="18"/>
          <w:szCs w:val="18"/>
        </w:rPr>
        <w:t xml:space="preserve"> </w:t>
      </w:r>
      <w:r w:rsidR="00234256" w:rsidRPr="00F80FE0">
        <w:rPr>
          <w:sz w:val="18"/>
          <w:szCs w:val="18"/>
        </w:rPr>
        <w:t>31, $480 million; DY</w:t>
      </w:r>
      <w:r w:rsidR="00372706" w:rsidRPr="00F80FE0">
        <w:rPr>
          <w:sz w:val="18"/>
          <w:szCs w:val="18"/>
        </w:rPr>
        <w:t xml:space="preserve"> </w:t>
      </w:r>
      <w:r w:rsidR="00234256" w:rsidRPr="00F80FE0">
        <w:rPr>
          <w:sz w:val="18"/>
          <w:szCs w:val="18"/>
        </w:rPr>
        <w:t>32, $480 million</w:t>
      </w:r>
      <w:proofErr w:type="gramStart"/>
      <w:r w:rsidR="00234256" w:rsidRPr="00F80FE0">
        <w:rPr>
          <w:sz w:val="18"/>
          <w:szCs w:val="18"/>
        </w:rPr>
        <w:t xml:space="preserve">. </w:t>
      </w:r>
      <w:proofErr w:type="gramEnd"/>
      <w:r w:rsidR="001E434A" w:rsidRPr="00F80FE0">
        <w:rPr>
          <w:sz w:val="18"/>
          <w:szCs w:val="18"/>
        </w:rPr>
        <w:t xml:space="preserve">The actual portion paid </w:t>
      </w:r>
      <w:r w:rsidR="005F3609" w:rsidRPr="00F80FE0">
        <w:rPr>
          <w:sz w:val="18"/>
          <w:szCs w:val="18"/>
        </w:rPr>
        <w:t xml:space="preserve">per year </w:t>
      </w:r>
      <w:r w:rsidR="001E434A" w:rsidRPr="00F80FE0">
        <w:rPr>
          <w:sz w:val="18"/>
          <w:szCs w:val="18"/>
        </w:rPr>
        <w:t xml:space="preserve">through managed care will </w:t>
      </w:r>
      <w:r w:rsidR="005F3609" w:rsidRPr="00F80FE0">
        <w:rPr>
          <w:sz w:val="18"/>
          <w:szCs w:val="18"/>
        </w:rPr>
        <w:t xml:space="preserve">be based on managed care utilization only. </w:t>
      </w:r>
    </w:p>
    <w:p w14:paraId="53BB365D" w14:textId="09F2F07D" w:rsidR="0032769F" w:rsidRDefault="0032769F" w:rsidP="00FF2E3B"/>
    <w:p w14:paraId="0D437E35" w14:textId="562A32CC" w:rsidR="006A7F8F" w:rsidRDefault="006A7F8F" w:rsidP="00FF2E3B">
      <w:r>
        <w:lastRenderedPageBreak/>
        <w:t xml:space="preserve">The Commonwealth may propose an increase or decrease of 20 percent of the maximum payment amounts listed in the </w:t>
      </w:r>
      <w:r w:rsidR="00F80FE0">
        <w:t>t</w:t>
      </w:r>
      <w:r>
        <w:t>able</w:t>
      </w:r>
      <w:r w:rsidR="00F80FE0">
        <w:t xml:space="preserve"> above</w:t>
      </w:r>
      <w:proofErr w:type="gramStart"/>
      <w:r>
        <w:t xml:space="preserve">. </w:t>
      </w:r>
      <w:proofErr w:type="gramEnd"/>
      <w:r>
        <w:t>The payments will be incorporated as a component of the MMCE/ACO capitation amounts and are therefore subject to CMS approval under the review and approval process described in the next section.</w:t>
      </w:r>
    </w:p>
    <w:p w14:paraId="0D437E38" w14:textId="77777777" w:rsidR="006A7F8F" w:rsidRDefault="006A7F8F" w:rsidP="006A7F8F">
      <w:pPr>
        <w:pStyle w:val="BodyText"/>
        <w:spacing w:before="4"/>
      </w:pPr>
    </w:p>
    <w:p w14:paraId="0D437E3B" w14:textId="178B8CCB" w:rsidR="006A7F8F" w:rsidRDefault="006A7F8F" w:rsidP="006B6EB0">
      <w:pPr>
        <w:pStyle w:val="Heading1"/>
        <w:numPr>
          <w:ilvl w:val="0"/>
          <w:numId w:val="5"/>
        </w:numPr>
      </w:pPr>
      <w:r>
        <w:t xml:space="preserve">CMS </w:t>
      </w:r>
      <w:r w:rsidRPr="006B6EB0">
        <w:t>Review</w:t>
      </w:r>
      <w:r>
        <w:t xml:space="preserve"> and</w:t>
      </w:r>
      <w:r>
        <w:rPr>
          <w:spacing w:val="-10"/>
        </w:rPr>
        <w:t xml:space="preserve"> </w:t>
      </w:r>
      <w:r>
        <w:t>Approval</w:t>
      </w:r>
    </w:p>
    <w:p w14:paraId="0D437E3D" w14:textId="09122DAC" w:rsidR="006A7F8F" w:rsidRDefault="006A7F8F" w:rsidP="006B6EB0">
      <w:r>
        <w:t>The Commonwealth shall submit to CMS for approval any payment mechanisms that direct payments as described in 42 CFR 438.6(c) in a</w:t>
      </w:r>
      <w:r>
        <w:rPr>
          <w:spacing w:val="-21"/>
        </w:rPr>
        <w:t xml:space="preserve"> </w:t>
      </w:r>
      <w:r>
        <w:t xml:space="preserve">format and template </w:t>
      </w:r>
      <w:r w:rsidR="00E935ED">
        <w:t>as</w:t>
      </w:r>
      <w:r>
        <w:t xml:space="preserve"> specified by CMS</w:t>
      </w:r>
      <w:proofErr w:type="gramStart"/>
      <w:r>
        <w:t xml:space="preserve">. </w:t>
      </w:r>
      <w:proofErr w:type="gramEnd"/>
      <w:r>
        <w:t xml:space="preserve">Such submission shall include the payment amounts and the performance measures and scoring benchmarks. In addition, the Commonwealth shall clearly identify the specific goals and objectives described in the Commonwealth’s managed care quality strategy that the incentive payment mechanism is designed to achieve. Materials submitted for approval shall be consistent with this Attachment in order to meet the requirements of 42 CFR 438.6 and may be submitted for approval prior to the contract and rate certification submission under 42 CFR 438.3 and 42 CFR 438.7. </w:t>
      </w:r>
      <w:r w:rsidR="00C61867">
        <w:t>CMS will provide written approval for all payment mechanisms.</w:t>
      </w:r>
    </w:p>
    <w:p w14:paraId="0D437E3E" w14:textId="77777777" w:rsidR="006A7F8F" w:rsidRDefault="006A7F8F" w:rsidP="006A7F8F">
      <w:pPr>
        <w:pStyle w:val="BodyText"/>
      </w:pPr>
    </w:p>
    <w:p w14:paraId="0D437E40" w14:textId="77777777" w:rsidR="006A7F8F" w:rsidRDefault="006A7F8F" w:rsidP="006A7F8F">
      <w:pPr>
        <w:pStyle w:val="BodyText"/>
        <w:spacing w:before="11"/>
        <w:rPr>
          <w:sz w:val="23"/>
        </w:rPr>
      </w:pPr>
    </w:p>
    <w:p w14:paraId="0D437E42" w14:textId="77777777" w:rsidR="009D4716" w:rsidRDefault="009D4716"/>
    <w:sectPr w:rsidR="009D4716" w:rsidSect="00FF2E3B">
      <w:headerReference w:type="default" r:id="rId16"/>
      <w:footerReference w:type="default" r:id="rId17"/>
      <w:pgSz w:w="12240" w:h="15840"/>
      <w:pgMar w:top="1360" w:right="1340" w:bottom="1200" w:left="1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93160" w14:textId="77777777" w:rsidR="003F0586" w:rsidRDefault="003F0586">
      <w:r>
        <w:separator/>
      </w:r>
    </w:p>
  </w:endnote>
  <w:endnote w:type="continuationSeparator" w:id="0">
    <w:p w14:paraId="3E813A90" w14:textId="77777777" w:rsidR="003F0586" w:rsidRDefault="003F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sdtContent>
      <w:p w14:paraId="6C2506C7" w14:textId="5C09E467" w:rsidR="002C37BC" w:rsidRPr="00EC3E40" w:rsidRDefault="002C37BC" w:rsidP="00EC3E40">
        <w:pPr>
          <w:pStyle w:val="Footer"/>
        </w:pPr>
        <w:r w:rsidRPr="00B65789">
          <w:rPr>
            <w:sz w:val="20"/>
            <w:szCs w:val="20"/>
          </w:rPr>
          <w:t>MassHealth Medicaid</w:t>
        </w:r>
        <w:r>
          <w:rPr>
            <w:sz w:val="20"/>
            <w:szCs w:val="20"/>
          </w:rPr>
          <w:t xml:space="preserve"> and CHIP</w:t>
        </w:r>
        <w:r w:rsidRPr="00B65789">
          <w:rPr>
            <w:sz w:val="20"/>
            <w:szCs w:val="20"/>
          </w:rPr>
          <w:t xml:space="preserve"> Section 1115 Demonstration</w:t>
        </w:r>
        <w:r>
          <w:rPr>
            <w:sz w:val="20"/>
            <w:szCs w:val="20"/>
          </w:rPr>
          <w:tab/>
        </w:r>
        <w:r w:rsidRPr="007E312A">
          <w:rPr>
            <w:sz w:val="20"/>
            <w:szCs w:val="20"/>
          </w:rPr>
          <w:t xml:space="preserve">Page </w:t>
        </w:r>
        <w:r w:rsidRPr="007E312A">
          <w:rPr>
            <w:b/>
            <w:bCs/>
            <w:sz w:val="20"/>
            <w:szCs w:val="20"/>
          </w:rPr>
          <w:fldChar w:fldCharType="begin"/>
        </w:r>
        <w:r w:rsidRPr="007E312A">
          <w:rPr>
            <w:b/>
            <w:bCs/>
            <w:sz w:val="20"/>
            <w:szCs w:val="20"/>
          </w:rPr>
          <w:instrText xml:space="preserve"> PAGE  \* Arabic  \* MERGEFORMAT </w:instrText>
        </w:r>
        <w:r w:rsidRPr="007E312A">
          <w:rPr>
            <w:b/>
            <w:bCs/>
            <w:sz w:val="20"/>
            <w:szCs w:val="20"/>
          </w:rPr>
          <w:fldChar w:fldCharType="separate"/>
        </w:r>
        <w:r>
          <w:rPr>
            <w:b/>
            <w:bCs/>
            <w:sz w:val="20"/>
            <w:szCs w:val="20"/>
          </w:rPr>
          <w:t>1</w:t>
        </w:r>
        <w:r w:rsidRPr="007E312A">
          <w:rPr>
            <w:b/>
            <w:bCs/>
            <w:sz w:val="20"/>
            <w:szCs w:val="20"/>
          </w:rPr>
          <w:fldChar w:fldCharType="end"/>
        </w:r>
        <w:r w:rsidRPr="007E312A">
          <w:rPr>
            <w:sz w:val="20"/>
            <w:szCs w:val="20"/>
          </w:rPr>
          <w:t xml:space="preserve"> of </w:t>
        </w:r>
        <w:r w:rsidRPr="007E312A">
          <w:rPr>
            <w:b/>
            <w:bCs/>
            <w:sz w:val="20"/>
            <w:szCs w:val="20"/>
          </w:rPr>
          <w:fldChar w:fldCharType="begin"/>
        </w:r>
        <w:r w:rsidRPr="007E312A">
          <w:rPr>
            <w:b/>
            <w:bCs/>
            <w:sz w:val="20"/>
            <w:szCs w:val="20"/>
          </w:rPr>
          <w:instrText xml:space="preserve"> NUMPAGES  \* Arabic  \* MERGEFORMAT </w:instrText>
        </w:r>
        <w:r w:rsidRPr="007E312A">
          <w:rPr>
            <w:b/>
            <w:bCs/>
            <w:sz w:val="20"/>
            <w:szCs w:val="20"/>
          </w:rPr>
          <w:fldChar w:fldCharType="separate"/>
        </w:r>
        <w:r>
          <w:rPr>
            <w:b/>
            <w:bCs/>
            <w:sz w:val="20"/>
            <w:szCs w:val="20"/>
          </w:rPr>
          <w:t>3</w:t>
        </w:r>
        <w:r w:rsidRPr="007E312A">
          <w:rPr>
            <w:b/>
            <w:bCs/>
            <w:sz w:val="20"/>
            <w:szCs w:val="20"/>
          </w:rPr>
          <w:fldChar w:fldCharType="end"/>
        </w:r>
      </w:p>
      <w:p w14:paraId="63820224" w14:textId="77777777" w:rsidR="002C37BC" w:rsidRDefault="002C37BC" w:rsidP="002C37BC">
        <w:pPr>
          <w:pStyle w:val="Foote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sdtContent>
  </w:sdt>
  <w:p w14:paraId="0D437E43" w14:textId="68943F46" w:rsidR="006A37AE" w:rsidRDefault="0086036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126C0" w14:textId="77777777" w:rsidR="003F0586" w:rsidRDefault="003F0586">
      <w:r>
        <w:separator/>
      </w:r>
    </w:p>
  </w:footnote>
  <w:footnote w:type="continuationSeparator" w:id="0">
    <w:p w14:paraId="309B627E" w14:textId="77777777" w:rsidR="003F0586" w:rsidRDefault="003F0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318B" w14:textId="60A4C0C6" w:rsidR="002C37BC" w:rsidRDefault="002C37BC">
    <w:pPr>
      <w:pStyle w:val="Header"/>
    </w:pPr>
    <w:r>
      <w:t>Attachment 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0D3"/>
    <w:multiLevelType w:val="hybridMultilevel"/>
    <w:tmpl w:val="A614E440"/>
    <w:lvl w:ilvl="0" w:tplc="2974ABE6">
      <w:start w:val="4"/>
      <w:numFmt w:val="upperLetter"/>
      <w:lvlText w:val="%1."/>
      <w:lvlJc w:val="left"/>
      <w:pPr>
        <w:ind w:left="2640" w:hanging="360"/>
      </w:pPr>
      <w:rPr>
        <w:rFonts w:ascii="Times New Roman" w:eastAsia="Times New Roman" w:hAnsi="Times New Roman" w:cs="Times New Roman" w:hint="default"/>
        <w:spacing w:val="-1"/>
        <w:w w:val="99"/>
        <w:sz w:val="24"/>
        <w:szCs w:val="24"/>
      </w:rPr>
    </w:lvl>
    <w:lvl w:ilvl="1" w:tplc="2C7CF258">
      <w:numFmt w:val="bullet"/>
      <w:lvlText w:val="•"/>
      <w:lvlJc w:val="left"/>
      <w:pPr>
        <w:ind w:left="3296" w:hanging="360"/>
      </w:pPr>
      <w:rPr>
        <w:rFonts w:hint="default"/>
      </w:rPr>
    </w:lvl>
    <w:lvl w:ilvl="2" w:tplc="99864DAA">
      <w:numFmt w:val="bullet"/>
      <w:lvlText w:val="•"/>
      <w:lvlJc w:val="left"/>
      <w:pPr>
        <w:ind w:left="3952" w:hanging="360"/>
      </w:pPr>
      <w:rPr>
        <w:rFonts w:hint="default"/>
      </w:rPr>
    </w:lvl>
    <w:lvl w:ilvl="3" w:tplc="CBFE4E20">
      <w:numFmt w:val="bullet"/>
      <w:lvlText w:val="•"/>
      <w:lvlJc w:val="left"/>
      <w:pPr>
        <w:ind w:left="4608" w:hanging="360"/>
      </w:pPr>
      <w:rPr>
        <w:rFonts w:hint="default"/>
      </w:rPr>
    </w:lvl>
    <w:lvl w:ilvl="4" w:tplc="A84C07E4">
      <w:numFmt w:val="bullet"/>
      <w:lvlText w:val="•"/>
      <w:lvlJc w:val="left"/>
      <w:pPr>
        <w:ind w:left="5264" w:hanging="360"/>
      </w:pPr>
      <w:rPr>
        <w:rFonts w:hint="default"/>
      </w:rPr>
    </w:lvl>
    <w:lvl w:ilvl="5" w:tplc="256E5EA2">
      <w:numFmt w:val="bullet"/>
      <w:lvlText w:val="•"/>
      <w:lvlJc w:val="left"/>
      <w:pPr>
        <w:ind w:left="5920" w:hanging="360"/>
      </w:pPr>
      <w:rPr>
        <w:rFonts w:hint="default"/>
      </w:rPr>
    </w:lvl>
    <w:lvl w:ilvl="6" w:tplc="08642362">
      <w:numFmt w:val="bullet"/>
      <w:lvlText w:val="•"/>
      <w:lvlJc w:val="left"/>
      <w:pPr>
        <w:ind w:left="6576" w:hanging="360"/>
      </w:pPr>
      <w:rPr>
        <w:rFonts w:hint="default"/>
      </w:rPr>
    </w:lvl>
    <w:lvl w:ilvl="7" w:tplc="AD0E9B96">
      <w:numFmt w:val="bullet"/>
      <w:lvlText w:val="•"/>
      <w:lvlJc w:val="left"/>
      <w:pPr>
        <w:ind w:left="7232" w:hanging="360"/>
      </w:pPr>
      <w:rPr>
        <w:rFonts w:hint="default"/>
      </w:rPr>
    </w:lvl>
    <w:lvl w:ilvl="8" w:tplc="69BEFE2C">
      <w:numFmt w:val="bullet"/>
      <w:lvlText w:val="•"/>
      <w:lvlJc w:val="left"/>
      <w:pPr>
        <w:ind w:left="7888" w:hanging="360"/>
      </w:pPr>
      <w:rPr>
        <w:rFonts w:hint="default"/>
      </w:rPr>
    </w:lvl>
  </w:abstractNum>
  <w:abstractNum w:abstractNumId="1" w15:restartNumberingAfterBreak="0">
    <w:nsid w:val="08945908"/>
    <w:multiLevelType w:val="hybridMultilevel"/>
    <w:tmpl w:val="BFA6BC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35AEA"/>
    <w:multiLevelType w:val="hybridMultilevel"/>
    <w:tmpl w:val="37227C08"/>
    <w:lvl w:ilvl="0" w:tplc="C7B026CA">
      <w:start w:val="2"/>
      <w:numFmt w:val="lowerLetter"/>
      <w:lvlText w:val="%1."/>
      <w:lvlJc w:val="left"/>
      <w:pPr>
        <w:ind w:left="480" w:hanging="360"/>
      </w:pPr>
      <w:rPr>
        <w:rFonts w:hint="default"/>
        <w:b/>
        <w:bCs/>
        <w:w w:val="99"/>
      </w:rPr>
    </w:lvl>
    <w:lvl w:ilvl="1" w:tplc="7FFA05B0">
      <w:start w:val="1"/>
      <w:numFmt w:val="lowerRoman"/>
      <w:lvlText w:val="%2."/>
      <w:lvlJc w:val="left"/>
      <w:pPr>
        <w:ind w:left="2280" w:hanging="308"/>
        <w:jc w:val="right"/>
      </w:pPr>
      <w:rPr>
        <w:rFonts w:hint="default"/>
        <w:spacing w:val="-5"/>
        <w:w w:val="99"/>
      </w:rPr>
    </w:lvl>
    <w:lvl w:ilvl="2" w:tplc="773A57CA">
      <w:start w:val="1"/>
      <w:numFmt w:val="upperLetter"/>
      <w:lvlText w:val="%3."/>
      <w:lvlJc w:val="left"/>
      <w:pPr>
        <w:ind w:left="2640" w:hanging="308"/>
      </w:pPr>
      <w:rPr>
        <w:rFonts w:ascii="Times New Roman" w:eastAsia="Times New Roman" w:hAnsi="Times New Roman" w:cs="Times New Roman" w:hint="default"/>
        <w:b/>
        <w:bCs/>
        <w:spacing w:val="-1"/>
        <w:w w:val="99"/>
        <w:sz w:val="24"/>
        <w:szCs w:val="24"/>
      </w:rPr>
    </w:lvl>
    <w:lvl w:ilvl="3" w:tplc="3E549006">
      <w:numFmt w:val="bullet"/>
      <w:lvlText w:val="•"/>
      <w:lvlJc w:val="left"/>
      <w:pPr>
        <w:ind w:left="2280" w:hanging="308"/>
      </w:pPr>
      <w:rPr>
        <w:rFonts w:hint="default"/>
      </w:rPr>
    </w:lvl>
    <w:lvl w:ilvl="4" w:tplc="D816592E">
      <w:numFmt w:val="bullet"/>
      <w:lvlText w:val="•"/>
      <w:lvlJc w:val="left"/>
      <w:pPr>
        <w:ind w:left="2640" w:hanging="308"/>
      </w:pPr>
      <w:rPr>
        <w:rFonts w:hint="default"/>
      </w:rPr>
    </w:lvl>
    <w:lvl w:ilvl="5" w:tplc="B9CC48BC">
      <w:numFmt w:val="bullet"/>
      <w:lvlText w:val="•"/>
      <w:lvlJc w:val="left"/>
      <w:pPr>
        <w:ind w:left="3733" w:hanging="308"/>
      </w:pPr>
      <w:rPr>
        <w:rFonts w:hint="default"/>
      </w:rPr>
    </w:lvl>
    <w:lvl w:ilvl="6" w:tplc="D63438A6">
      <w:numFmt w:val="bullet"/>
      <w:lvlText w:val="•"/>
      <w:lvlJc w:val="left"/>
      <w:pPr>
        <w:ind w:left="4826" w:hanging="308"/>
      </w:pPr>
      <w:rPr>
        <w:rFonts w:hint="default"/>
      </w:rPr>
    </w:lvl>
    <w:lvl w:ilvl="7" w:tplc="981AA7FE">
      <w:numFmt w:val="bullet"/>
      <w:lvlText w:val="•"/>
      <w:lvlJc w:val="left"/>
      <w:pPr>
        <w:ind w:left="5920" w:hanging="308"/>
      </w:pPr>
      <w:rPr>
        <w:rFonts w:hint="default"/>
      </w:rPr>
    </w:lvl>
    <w:lvl w:ilvl="8" w:tplc="30C2CDF2">
      <w:numFmt w:val="bullet"/>
      <w:lvlText w:val="•"/>
      <w:lvlJc w:val="left"/>
      <w:pPr>
        <w:ind w:left="7013" w:hanging="308"/>
      </w:pPr>
      <w:rPr>
        <w:rFonts w:hint="default"/>
      </w:rPr>
    </w:lvl>
  </w:abstractNum>
  <w:abstractNum w:abstractNumId="3" w15:restartNumberingAfterBreak="0">
    <w:nsid w:val="381C5803"/>
    <w:multiLevelType w:val="hybridMultilevel"/>
    <w:tmpl w:val="47E0CC7A"/>
    <w:lvl w:ilvl="0" w:tplc="07084122">
      <w:start w:val="1"/>
      <w:numFmt w:val="upperLetter"/>
      <w:lvlText w:val="%1."/>
      <w:lvlJc w:val="left"/>
      <w:pPr>
        <w:ind w:left="1380" w:hanging="449"/>
      </w:pPr>
      <w:rPr>
        <w:rFonts w:ascii="Times New Roman" w:eastAsia="Times New Roman" w:hAnsi="Times New Roman" w:cs="Times New Roman" w:hint="default"/>
        <w:spacing w:val="-1"/>
        <w:w w:val="99"/>
        <w:sz w:val="24"/>
        <w:szCs w:val="24"/>
      </w:rPr>
    </w:lvl>
    <w:lvl w:ilvl="1" w:tplc="2BF82660">
      <w:numFmt w:val="bullet"/>
      <w:lvlText w:val=""/>
      <w:lvlJc w:val="left"/>
      <w:pPr>
        <w:ind w:left="1920" w:hanging="360"/>
      </w:pPr>
      <w:rPr>
        <w:rFonts w:ascii="Wingdings" w:eastAsia="Wingdings" w:hAnsi="Wingdings" w:cs="Wingdings" w:hint="default"/>
        <w:w w:val="100"/>
        <w:sz w:val="24"/>
        <w:szCs w:val="24"/>
      </w:rPr>
    </w:lvl>
    <w:lvl w:ilvl="2" w:tplc="B0C87BA8">
      <w:numFmt w:val="bullet"/>
      <w:lvlText w:val="•"/>
      <w:lvlJc w:val="left"/>
      <w:pPr>
        <w:ind w:left="2728" w:hanging="360"/>
      </w:pPr>
      <w:rPr>
        <w:rFonts w:hint="default"/>
      </w:rPr>
    </w:lvl>
    <w:lvl w:ilvl="3" w:tplc="757E0786">
      <w:numFmt w:val="bullet"/>
      <w:lvlText w:val="•"/>
      <w:lvlJc w:val="left"/>
      <w:pPr>
        <w:ind w:left="3537" w:hanging="360"/>
      </w:pPr>
      <w:rPr>
        <w:rFonts w:hint="default"/>
      </w:rPr>
    </w:lvl>
    <w:lvl w:ilvl="4" w:tplc="1C007FC0">
      <w:numFmt w:val="bullet"/>
      <w:lvlText w:val="•"/>
      <w:lvlJc w:val="left"/>
      <w:pPr>
        <w:ind w:left="4346" w:hanging="360"/>
      </w:pPr>
      <w:rPr>
        <w:rFonts w:hint="default"/>
      </w:rPr>
    </w:lvl>
    <w:lvl w:ilvl="5" w:tplc="8E1431AA">
      <w:numFmt w:val="bullet"/>
      <w:lvlText w:val="•"/>
      <w:lvlJc w:val="left"/>
      <w:pPr>
        <w:ind w:left="5155" w:hanging="360"/>
      </w:pPr>
      <w:rPr>
        <w:rFonts w:hint="default"/>
      </w:rPr>
    </w:lvl>
    <w:lvl w:ilvl="6" w:tplc="BB7AC560">
      <w:numFmt w:val="bullet"/>
      <w:lvlText w:val="•"/>
      <w:lvlJc w:val="left"/>
      <w:pPr>
        <w:ind w:left="5964" w:hanging="360"/>
      </w:pPr>
      <w:rPr>
        <w:rFonts w:hint="default"/>
      </w:rPr>
    </w:lvl>
    <w:lvl w:ilvl="7" w:tplc="7920661E">
      <w:numFmt w:val="bullet"/>
      <w:lvlText w:val="•"/>
      <w:lvlJc w:val="left"/>
      <w:pPr>
        <w:ind w:left="6773" w:hanging="360"/>
      </w:pPr>
      <w:rPr>
        <w:rFonts w:hint="default"/>
      </w:rPr>
    </w:lvl>
    <w:lvl w:ilvl="8" w:tplc="1370F424">
      <w:numFmt w:val="bullet"/>
      <w:lvlText w:val="•"/>
      <w:lvlJc w:val="left"/>
      <w:pPr>
        <w:ind w:left="7582" w:hanging="360"/>
      </w:pPr>
      <w:rPr>
        <w:rFonts w:hint="default"/>
      </w:rPr>
    </w:lvl>
  </w:abstractNum>
  <w:abstractNum w:abstractNumId="4" w15:restartNumberingAfterBreak="0">
    <w:nsid w:val="4D516876"/>
    <w:multiLevelType w:val="hybridMultilevel"/>
    <w:tmpl w:val="586CA9EE"/>
    <w:lvl w:ilvl="0" w:tplc="658E61A2">
      <w:start w:val="1"/>
      <w:numFmt w:val="decimal"/>
      <w:lvlText w:val="%1."/>
      <w:lvlJc w:val="left"/>
      <w:pPr>
        <w:ind w:left="480" w:hanging="360"/>
        <w:jc w:val="right"/>
      </w:pPr>
      <w:rPr>
        <w:rFonts w:hint="default"/>
        <w:b/>
        <w:bCs/>
        <w:spacing w:val="-1"/>
        <w:w w:val="99"/>
      </w:rPr>
    </w:lvl>
    <w:lvl w:ilvl="1" w:tplc="0409000F">
      <w:start w:val="1"/>
      <w:numFmt w:val="decimal"/>
      <w:lvlText w:val="%2."/>
      <w:lvlJc w:val="left"/>
      <w:pPr>
        <w:ind w:left="840" w:hanging="360"/>
      </w:pPr>
      <w:rPr>
        <w:rFonts w:hint="default"/>
        <w:spacing w:val="-5"/>
        <w:w w:val="99"/>
        <w:sz w:val="24"/>
        <w:szCs w:val="24"/>
      </w:rPr>
    </w:lvl>
    <w:lvl w:ilvl="2" w:tplc="D4C293F6">
      <w:start w:val="1"/>
      <w:numFmt w:val="lowerRoman"/>
      <w:lvlText w:val="%3."/>
      <w:lvlJc w:val="left"/>
      <w:pPr>
        <w:ind w:left="1200" w:hanging="488"/>
        <w:jc w:val="right"/>
      </w:pPr>
      <w:rPr>
        <w:rFonts w:hint="default"/>
        <w:spacing w:val="-1"/>
        <w:w w:val="99"/>
      </w:rPr>
    </w:lvl>
    <w:lvl w:ilvl="3" w:tplc="E99A70F8">
      <w:start w:val="1"/>
      <w:numFmt w:val="upperLetter"/>
      <w:lvlText w:val="%4."/>
      <w:lvlJc w:val="left"/>
      <w:pPr>
        <w:ind w:left="1740" w:hanging="449"/>
      </w:pPr>
      <w:rPr>
        <w:rFonts w:ascii="Times New Roman" w:eastAsia="Times New Roman" w:hAnsi="Times New Roman" w:cs="Times New Roman" w:hint="default"/>
        <w:spacing w:val="-1"/>
        <w:w w:val="99"/>
        <w:sz w:val="24"/>
        <w:szCs w:val="24"/>
      </w:rPr>
    </w:lvl>
    <w:lvl w:ilvl="4" w:tplc="5F584B4E">
      <w:numFmt w:val="bullet"/>
      <w:lvlText w:val=""/>
      <w:lvlJc w:val="left"/>
      <w:pPr>
        <w:ind w:left="2280" w:hanging="360"/>
      </w:pPr>
      <w:rPr>
        <w:rFonts w:ascii="Wingdings" w:eastAsia="Wingdings" w:hAnsi="Wingdings" w:cs="Wingdings" w:hint="default"/>
        <w:w w:val="100"/>
        <w:sz w:val="24"/>
        <w:szCs w:val="24"/>
      </w:rPr>
    </w:lvl>
    <w:lvl w:ilvl="5" w:tplc="530A19DE">
      <w:numFmt w:val="bullet"/>
      <w:lvlText w:val="•"/>
      <w:lvlJc w:val="left"/>
      <w:pPr>
        <w:ind w:left="2080" w:hanging="360"/>
      </w:pPr>
      <w:rPr>
        <w:rFonts w:hint="default"/>
      </w:rPr>
    </w:lvl>
    <w:lvl w:ilvl="6" w:tplc="BE009E9A">
      <w:numFmt w:val="bullet"/>
      <w:lvlText w:val="•"/>
      <w:lvlJc w:val="left"/>
      <w:pPr>
        <w:ind w:left="2280" w:hanging="360"/>
      </w:pPr>
      <w:rPr>
        <w:rFonts w:hint="default"/>
      </w:rPr>
    </w:lvl>
    <w:lvl w:ilvl="7" w:tplc="104EDAC2">
      <w:numFmt w:val="bullet"/>
      <w:lvlText w:val="•"/>
      <w:lvlJc w:val="left"/>
      <w:pPr>
        <w:ind w:left="4095" w:hanging="360"/>
      </w:pPr>
      <w:rPr>
        <w:rFonts w:hint="default"/>
      </w:rPr>
    </w:lvl>
    <w:lvl w:ilvl="8" w:tplc="DEE0D374">
      <w:numFmt w:val="bullet"/>
      <w:lvlText w:val="•"/>
      <w:lvlJc w:val="left"/>
      <w:pPr>
        <w:ind w:left="5910" w:hanging="360"/>
      </w:pPr>
      <w:rPr>
        <w:rFonts w:hint="default"/>
      </w:rPr>
    </w:lvl>
  </w:abstractNum>
  <w:abstractNum w:abstractNumId="5" w15:restartNumberingAfterBreak="0">
    <w:nsid w:val="4E8759B7"/>
    <w:multiLevelType w:val="hybridMultilevel"/>
    <w:tmpl w:val="3836F0C2"/>
    <w:lvl w:ilvl="0" w:tplc="04090019">
      <w:start w:val="1"/>
      <w:numFmt w:val="lowerLetter"/>
      <w:lvlText w:val="%1."/>
      <w:lvlJc w:val="left"/>
      <w:pPr>
        <w:ind w:left="720" w:hanging="360"/>
      </w:pPr>
    </w:lvl>
    <w:lvl w:ilvl="1" w:tplc="D4C293F6">
      <w:start w:val="1"/>
      <w:numFmt w:val="lowerRoman"/>
      <w:lvlText w:val="%2."/>
      <w:lvlJc w:val="left"/>
      <w:pPr>
        <w:ind w:left="1440" w:hanging="360"/>
      </w:pPr>
      <w:rPr>
        <w:rFonts w:hint="default"/>
        <w:spacing w:val="-1"/>
        <w:w w:val="99"/>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358B1"/>
    <w:multiLevelType w:val="hybridMultilevel"/>
    <w:tmpl w:val="FE5E2004"/>
    <w:lvl w:ilvl="0" w:tplc="0409000F">
      <w:start w:val="1"/>
      <w:numFmt w:val="decimal"/>
      <w:lvlText w:val="%1."/>
      <w:lvlJc w:val="left"/>
      <w:pPr>
        <w:ind w:left="479" w:hanging="360"/>
      </w:pPr>
      <w:rPr>
        <w:rFonts w:hint="default"/>
        <w:spacing w:val="-5"/>
        <w:w w:val="99"/>
        <w:sz w:val="24"/>
        <w:szCs w:val="24"/>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7" w15:restartNumberingAfterBreak="0">
    <w:nsid w:val="67CC4380"/>
    <w:multiLevelType w:val="hybridMultilevel"/>
    <w:tmpl w:val="CDC0D69C"/>
    <w:lvl w:ilvl="0" w:tplc="BF106F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8F"/>
    <w:rsid w:val="00017233"/>
    <w:rsid w:val="00025EF9"/>
    <w:rsid w:val="0005039B"/>
    <w:rsid w:val="000508AE"/>
    <w:rsid w:val="00056848"/>
    <w:rsid w:val="0006179A"/>
    <w:rsid w:val="00061DE2"/>
    <w:rsid w:val="00076698"/>
    <w:rsid w:val="000778DF"/>
    <w:rsid w:val="00080B64"/>
    <w:rsid w:val="00091C15"/>
    <w:rsid w:val="0009735F"/>
    <w:rsid w:val="000B6D53"/>
    <w:rsid w:val="000D6A02"/>
    <w:rsid w:val="000E567F"/>
    <w:rsid w:val="000F4357"/>
    <w:rsid w:val="00127F3B"/>
    <w:rsid w:val="00137AE6"/>
    <w:rsid w:val="001431C0"/>
    <w:rsid w:val="00155D64"/>
    <w:rsid w:val="001916CB"/>
    <w:rsid w:val="00194E21"/>
    <w:rsid w:val="001D0DB2"/>
    <w:rsid w:val="001D454C"/>
    <w:rsid w:val="001D4F39"/>
    <w:rsid w:val="001D7D68"/>
    <w:rsid w:val="001E434A"/>
    <w:rsid w:val="001F796B"/>
    <w:rsid w:val="00213B55"/>
    <w:rsid w:val="0021522D"/>
    <w:rsid w:val="00227343"/>
    <w:rsid w:val="00234256"/>
    <w:rsid w:val="00245E21"/>
    <w:rsid w:val="00253A69"/>
    <w:rsid w:val="00261359"/>
    <w:rsid w:val="00267DF2"/>
    <w:rsid w:val="0027595E"/>
    <w:rsid w:val="002934F5"/>
    <w:rsid w:val="002B77A3"/>
    <w:rsid w:val="002C37BC"/>
    <w:rsid w:val="002C3E33"/>
    <w:rsid w:val="002E781C"/>
    <w:rsid w:val="00303A22"/>
    <w:rsid w:val="00326659"/>
    <w:rsid w:val="0032769F"/>
    <w:rsid w:val="00360B04"/>
    <w:rsid w:val="00362793"/>
    <w:rsid w:val="00366448"/>
    <w:rsid w:val="00372706"/>
    <w:rsid w:val="003A6E7F"/>
    <w:rsid w:val="003B5A0D"/>
    <w:rsid w:val="003C060F"/>
    <w:rsid w:val="003D26B9"/>
    <w:rsid w:val="003E697C"/>
    <w:rsid w:val="003F0586"/>
    <w:rsid w:val="003F48EC"/>
    <w:rsid w:val="004010C2"/>
    <w:rsid w:val="00415965"/>
    <w:rsid w:val="00471DBC"/>
    <w:rsid w:val="00484B3F"/>
    <w:rsid w:val="004A0365"/>
    <w:rsid w:val="004B5DF8"/>
    <w:rsid w:val="004E4CFF"/>
    <w:rsid w:val="004F46D6"/>
    <w:rsid w:val="004F59CD"/>
    <w:rsid w:val="005363D0"/>
    <w:rsid w:val="00537809"/>
    <w:rsid w:val="0054698A"/>
    <w:rsid w:val="005528F6"/>
    <w:rsid w:val="005616AA"/>
    <w:rsid w:val="00561FF8"/>
    <w:rsid w:val="00563064"/>
    <w:rsid w:val="00594544"/>
    <w:rsid w:val="0059617A"/>
    <w:rsid w:val="005A1728"/>
    <w:rsid w:val="005A6DA4"/>
    <w:rsid w:val="005C1D1B"/>
    <w:rsid w:val="005C4DB3"/>
    <w:rsid w:val="005D3A5E"/>
    <w:rsid w:val="005F3244"/>
    <w:rsid w:val="005F3609"/>
    <w:rsid w:val="0061579A"/>
    <w:rsid w:val="00616EE8"/>
    <w:rsid w:val="00622C09"/>
    <w:rsid w:val="006350F1"/>
    <w:rsid w:val="006405CB"/>
    <w:rsid w:val="00642DFA"/>
    <w:rsid w:val="00653D3F"/>
    <w:rsid w:val="0065593B"/>
    <w:rsid w:val="006A7F8F"/>
    <w:rsid w:val="006B3102"/>
    <w:rsid w:val="006B6EB0"/>
    <w:rsid w:val="006C0AB8"/>
    <w:rsid w:val="006C0D94"/>
    <w:rsid w:val="006D03C3"/>
    <w:rsid w:val="006D37E0"/>
    <w:rsid w:val="006F1C55"/>
    <w:rsid w:val="00702F9A"/>
    <w:rsid w:val="00703224"/>
    <w:rsid w:val="00711912"/>
    <w:rsid w:val="00717256"/>
    <w:rsid w:val="00723872"/>
    <w:rsid w:val="007258D5"/>
    <w:rsid w:val="00726315"/>
    <w:rsid w:val="00753FFF"/>
    <w:rsid w:val="00754806"/>
    <w:rsid w:val="00767DC0"/>
    <w:rsid w:val="00784479"/>
    <w:rsid w:val="00795561"/>
    <w:rsid w:val="007E437D"/>
    <w:rsid w:val="007E618C"/>
    <w:rsid w:val="007F5536"/>
    <w:rsid w:val="00814B03"/>
    <w:rsid w:val="00821AC9"/>
    <w:rsid w:val="008251F8"/>
    <w:rsid w:val="008475F7"/>
    <w:rsid w:val="00860369"/>
    <w:rsid w:val="00866E43"/>
    <w:rsid w:val="00881FD5"/>
    <w:rsid w:val="00887A1F"/>
    <w:rsid w:val="00887C99"/>
    <w:rsid w:val="00892CAF"/>
    <w:rsid w:val="008A6062"/>
    <w:rsid w:val="008A7B08"/>
    <w:rsid w:val="008E3F7E"/>
    <w:rsid w:val="00907690"/>
    <w:rsid w:val="00916C97"/>
    <w:rsid w:val="00924146"/>
    <w:rsid w:val="0093128B"/>
    <w:rsid w:val="00935C7D"/>
    <w:rsid w:val="00935F1F"/>
    <w:rsid w:val="009435BB"/>
    <w:rsid w:val="009555BF"/>
    <w:rsid w:val="00963793"/>
    <w:rsid w:val="00980384"/>
    <w:rsid w:val="009A3860"/>
    <w:rsid w:val="009C0F3B"/>
    <w:rsid w:val="009D4716"/>
    <w:rsid w:val="009F2AF6"/>
    <w:rsid w:val="00A07B90"/>
    <w:rsid w:val="00A22B4C"/>
    <w:rsid w:val="00A33A9D"/>
    <w:rsid w:val="00A44A0E"/>
    <w:rsid w:val="00A5453E"/>
    <w:rsid w:val="00A613B7"/>
    <w:rsid w:val="00A712EF"/>
    <w:rsid w:val="00A866CA"/>
    <w:rsid w:val="00AC4015"/>
    <w:rsid w:val="00AC4804"/>
    <w:rsid w:val="00AD1E31"/>
    <w:rsid w:val="00AE46D5"/>
    <w:rsid w:val="00AE79CD"/>
    <w:rsid w:val="00B177F2"/>
    <w:rsid w:val="00B25769"/>
    <w:rsid w:val="00B47E99"/>
    <w:rsid w:val="00B67470"/>
    <w:rsid w:val="00B72A74"/>
    <w:rsid w:val="00B7750F"/>
    <w:rsid w:val="00B8456D"/>
    <w:rsid w:val="00BA5CA3"/>
    <w:rsid w:val="00BB3C6E"/>
    <w:rsid w:val="00BB5AE7"/>
    <w:rsid w:val="00BD07C3"/>
    <w:rsid w:val="00BE042D"/>
    <w:rsid w:val="00C001F3"/>
    <w:rsid w:val="00C00643"/>
    <w:rsid w:val="00C03641"/>
    <w:rsid w:val="00C0770A"/>
    <w:rsid w:val="00C079A0"/>
    <w:rsid w:val="00C109DF"/>
    <w:rsid w:val="00C12E14"/>
    <w:rsid w:val="00C1529B"/>
    <w:rsid w:val="00C277A7"/>
    <w:rsid w:val="00C36693"/>
    <w:rsid w:val="00C43FF5"/>
    <w:rsid w:val="00C61867"/>
    <w:rsid w:val="00C8100B"/>
    <w:rsid w:val="00C9428A"/>
    <w:rsid w:val="00C95101"/>
    <w:rsid w:val="00CA7E47"/>
    <w:rsid w:val="00CB10D5"/>
    <w:rsid w:val="00CC1AF2"/>
    <w:rsid w:val="00CC2DA4"/>
    <w:rsid w:val="00CC50F1"/>
    <w:rsid w:val="00CC60A9"/>
    <w:rsid w:val="00CD09FA"/>
    <w:rsid w:val="00CD405E"/>
    <w:rsid w:val="00CE1214"/>
    <w:rsid w:val="00CE4B72"/>
    <w:rsid w:val="00D0474D"/>
    <w:rsid w:val="00D068C8"/>
    <w:rsid w:val="00D10F5C"/>
    <w:rsid w:val="00D40D37"/>
    <w:rsid w:val="00D6292E"/>
    <w:rsid w:val="00D96C25"/>
    <w:rsid w:val="00DB2DA6"/>
    <w:rsid w:val="00DC2F7D"/>
    <w:rsid w:val="00DD4513"/>
    <w:rsid w:val="00DD5B0E"/>
    <w:rsid w:val="00DE4A9D"/>
    <w:rsid w:val="00E05F2B"/>
    <w:rsid w:val="00E072AE"/>
    <w:rsid w:val="00E216D3"/>
    <w:rsid w:val="00E2436E"/>
    <w:rsid w:val="00E35D8B"/>
    <w:rsid w:val="00E51126"/>
    <w:rsid w:val="00E6234B"/>
    <w:rsid w:val="00E62FEE"/>
    <w:rsid w:val="00E935ED"/>
    <w:rsid w:val="00E950A5"/>
    <w:rsid w:val="00EA021A"/>
    <w:rsid w:val="00EC08D0"/>
    <w:rsid w:val="00EC2BE1"/>
    <w:rsid w:val="00EC3E40"/>
    <w:rsid w:val="00EE2321"/>
    <w:rsid w:val="00EE7E7C"/>
    <w:rsid w:val="00F03E25"/>
    <w:rsid w:val="00F20CBA"/>
    <w:rsid w:val="00F26FC1"/>
    <w:rsid w:val="00F61ACF"/>
    <w:rsid w:val="00F64F87"/>
    <w:rsid w:val="00F80FE0"/>
    <w:rsid w:val="00F977BD"/>
    <w:rsid w:val="00FC033E"/>
    <w:rsid w:val="00FD2AA5"/>
    <w:rsid w:val="00FD6BD8"/>
    <w:rsid w:val="00FF00AD"/>
    <w:rsid w:val="00FF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37D84"/>
  <w15:chartTrackingRefBased/>
  <w15:docId w15:val="{721F263C-C7C8-4B2F-B2BC-C33041E8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B6EB0"/>
    <w:pPr>
      <w:widowControl w:val="0"/>
      <w:autoSpaceDE w:val="0"/>
      <w:autoSpaceDN w:val="0"/>
      <w:spacing w:after="0"/>
      <w:ind w:left="144"/>
    </w:pPr>
    <w:rPr>
      <w:rFonts w:ascii="Times New Roman" w:eastAsia="Times New Roman" w:hAnsi="Times New Roman" w:cs="Times New Roman"/>
      <w:sz w:val="24"/>
    </w:rPr>
  </w:style>
  <w:style w:type="paragraph" w:styleId="Heading1">
    <w:name w:val="heading 1"/>
    <w:basedOn w:val="Normal"/>
    <w:link w:val="Heading1Char"/>
    <w:uiPriority w:val="1"/>
    <w:qFormat/>
    <w:rsid w:val="006B6EB0"/>
    <w:pPr>
      <w:spacing w:after="120"/>
      <w:ind w:left="202"/>
      <w:outlineLvl w:val="0"/>
    </w:pPr>
    <w:rPr>
      <w:b/>
      <w:bCs/>
      <w:szCs w:val="24"/>
    </w:rPr>
  </w:style>
  <w:style w:type="paragraph" w:styleId="Heading2">
    <w:name w:val="heading 2"/>
    <w:basedOn w:val="Normal"/>
    <w:next w:val="Normal"/>
    <w:link w:val="Heading2Char"/>
    <w:uiPriority w:val="9"/>
    <w:unhideWhenUsed/>
    <w:qFormat/>
    <w:rsid w:val="006B6EB0"/>
    <w:pPr>
      <w:keepNext/>
      <w:ind w:left="0" w:right="4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6EB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A7F8F"/>
    <w:rPr>
      <w:szCs w:val="24"/>
    </w:rPr>
  </w:style>
  <w:style w:type="character" w:customStyle="1" w:styleId="BodyTextChar">
    <w:name w:val="Body Text Char"/>
    <w:basedOn w:val="DefaultParagraphFont"/>
    <w:link w:val="BodyText"/>
    <w:uiPriority w:val="1"/>
    <w:rsid w:val="006A7F8F"/>
    <w:rPr>
      <w:rFonts w:ascii="Times New Roman" w:eastAsia="Times New Roman" w:hAnsi="Times New Roman" w:cs="Times New Roman"/>
      <w:sz w:val="24"/>
      <w:szCs w:val="24"/>
    </w:rPr>
  </w:style>
  <w:style w:type="paragraph" w:styleId="ListParagraph">
    <w:name w:val="List Paragraph"/>
    <w:basedOn w:val="Normal"/>
    <w:uiPriority w:val="1"/>
    <w:qFormat/>
    <w:rsid w:val="006A7F8F"/>
    <w:pPr>
      <w:ind w:left="1533" w:hanging="360"/>
    </w:pPr>
  </w:style>
  <w:style w:type="paragraph" w:customStyle="1" w:styleId="TableParagraph">
    <w:name w:val="Table Paragraph"/>
    <w:basedOn w:val="Normal"/>
    <w:uiPriority w:val="1"/>
    <w:qFormat/>
    <w:rsid w:val="006A7F8F"/>
  </w:style>
  <w:style w:type="paragraph" w:styleId="BalloonText">
    <w:name w:val="Balloon Text"/>
    <w:basedOn w:val="Normal"/>
    <w:link w:val="BalloonTextChar"/>
    <w:uiPriority w:val="99"/>
    <w:semiHidden/>
    <w:unhideWhenUsed/>
    <w:rsid w:val="00CC1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AF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E781C"/>
    <w:rPr>
      <w:sz w:val="16"/>
      <w:szCs w:val="16"/>
    </w:rPr>
  </w:style>
  <w:style w:type="paragraph" w:styleId="CommentText">
    <w:name w:val="annotation text"/>
    <w:basedOn w:val="Normal"/>
    <w:link w:val="CommentTextChar"/>
    <w:uiPriority w:val="99"/>
    <w:unhideWhenUsed/>
    <w:rsid w:val="002E781C"/>
    <w:rPr>
      <w:sz w:val="20"/>
      <w:szCs w:val="20"/>
    </w:rPr>
  </w:style>
  <w:style w:type="character" w:customStyle="1" w:styleId="CommentTextChar">
    <w:name w:val="Comment Text Char"/>
    <w:basedOn w:val="DefaultParagraphFont"/>
    <w:link w:val="CommentText"/>
    <w:uiPriority w:val="99"/>
    <w:rsid w:val="002E7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781C"/>
    <w:rPr>
      <w:b/>
      <w:bCs/>
    </w:rPr>
  </w:style>
  <w:style w:type="character" w:customStyle="1" w:styleId="CommentSubjectChar">
    <w:name w:val="Comment Subject Char"/>
    <w:basedOn w:val="CommentTextChar"/>
    <w:link w:val="CommentSubject"/>
    <w:uiPriority w:val="99"/>
    <w:semiHidden/>
    <w:rsid w:val="002E781C"/>
    <w:rPr>
      <w:rFonts w:ascii="Times New Roman" w:eastAsia="Times New Roman" w:hAnsi="Times New Roman" w:cs="Times New Roman"/>
      <w:b/>
      <w:bCs/>
      <w:sz w:val="20"/>
      <w:szCs w:val="20"/>
    </w:rPr>
  </w:style>
  <w:style w:type="paragraph" w:styleId="Revision">
    <w:name w:val="Revision"/>
    <w:hidden/>
    <w:uiPriority w:val="99"/>
    <w:semiHidden/>
    <w:rsid w:val="00BE042D"/>
    <w:pPr>
      <w:spacing w:after="0"/>
    </w:pPr>
    <w:rPr>
      <w:rFonts w:ascii="Times New Roman" w:eastAsia="Times New Roman" w:hAnsi="Times New Roman" w:cs="Times New Roman"/>
    </w:rPr>
  </w:style>
  <w:style w:type="paragraph" w:styleId="Header">
    <w:name w:val="header"/>
    <w:basedOn w:val="Normal"/>
    <w:link w:val="HeaderChar"/>
    <w:uiPriority w:val="99"/>
    <w:unhideWhenUsed/>
    <w:rsid w:val="002C37BC"/>
    <w:pPr>
      <w:tabs>
        <w:tab w:val="center" w:pos="4680"/>
        <w:tab w:val="right" w:pos="9360"/>
      </w:tabs>
    </w:pPr>
  </w:style>
  <w:style w:type="character" w:customStyle="1" w:styleId="HeaderChar">
    <w:name w:val="Header Char"/>
    <w:basedOn w:val="DefaultParagraphFont"/>
    <w:link w:val="Header"/>
    <w:uiPriority w:val="99"/>
    <w:rsid w:val="002C37BC"/>
    <w:rPr>
      <w:rFonts w:ascii="Times New Roman" w:eastAsia="Times New Roman" w:hAnsi="Times New Roman" w:cs="Times New Roman"/>
    </w:rPr>
  </w:style>
  <w:style w:type="paragraph" w:styleId="Footer">
    <w:name w:val="footer"/>
    <w:basedOn w:val="Normal"/>
    <w:link w:val="FooterChar"/>
    <w:uiPriority w:val="99"/>
    <w:unhideWhenUsed/>
    <w:rsid w:val="002C37BC"/>
    <w:pPr>
      <w:tabs>
        <w:tab w:val="center" w:pos="4680"/>
        <w:tab w:val="right" w:pos="9360"/>
      </w:tabs>
    </w:pPr>
  </w:style>
  <w:style w:type="character" w:customStyle="1" w:styleId="FooterChar">
    <w:name w:val="Footer Char"/>
    <w:basedOn w:val="DefaultParagraphFont"/>
    <w:link w:val="Footer"/>
    <w:uiPriority w:val="99"/>
    <w:rsid w:val="002C37BC"/>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B6EB0"/>
    <w:rPr>
      <w:rFonts w:ascii="Times New Roman" w:eastAsia="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9b01764bcd39a9049111f04bc66614a8">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6</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CMCS-1739211535-13071</_dlc_DocId>
    <_dlc_DocIdUrl xmlns="144ea41b-304c-4c03-99c4-debb02094f92">
      <Url>https://share.cms.gov/center/CMCS/SDG/_layouts/15/DocIdRedir.aspx?ID=CMCS-1739211535-13071</Url>
      <Description>CMCS-1739211535-13071</Description>
    </_dlc_DocIdUrl>
  </documentManagement>
</p:properti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AFD64-DFF0-4BE3-B773-C433B0059BCD}">
  <ds:schemaRefs>
    <ds:schemaRef ds:uri="http://schemas.microsoft.com/sharepoint/events"/>
  </ds:schemaRefs>
</ds:datastoreItem>
</file>

<file path=customXml/itemProps2.xml><?xml version="1.0" encoding="utf-8"?>
<ds:datastoreItem xmlns:ds="http://schemas.openxmlformats.org/officeDocument/2006/customXml" ds:itemID="{1AEE3351-14B0-463B-A341-E9D1B5A8BB20}">
  <ds:schemaRefs>
    <ds:schemaRef ds:uri="http://schemas.microsoft.com/office/2006/metadata/customXsn"/>
  </ds:schemaRefs>
</ds:datastoreItem>
</file>

<file path=customXml/itemProps3.xml><?xml version="1.0" encoding="utf-8"?>
<ds:datastoreItem xmlns:ds="http://schemas.openxmlformats.org/officeDocument/2006/customXml" ds:itemID="{30E36611-8F7F-490B-9A9A-BDB9467A3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D8B5C-58CF-4D26-B0EF-A7AD46E8BAD4}">
  <ds:schemaRefs>
    <ds:schemaRef ds:uri="http://schemas.microsoft.com/sharepoint/v3/contenttype/forms"/>
  </ds:schemaRefs>
</ds:datastoreItem>
</file>

<file path=customXml/itemProps5.xml><?xml version="1.0" encoding="utf-8"?>
<ds:datastoreItem xmlns:ds="http://schemas.openxmlformats.org/officeDocument/2006/customXml" ds:itemID="{B5777B4F-E51E-4E45-805E-4EC50F18BF84}">
  <ds:schemaRefs>
    <ds:schemaRef ds:uri="http://schemas.microsoft.com/sharepoint/v3"/>
    <ds:schemaRef ds:uri="http://schemas.microsoft.com/sharepoint/v4"/>
    <ds:schemaRef ds:uri="http://purl.org/dc/terms/"/>
    <ds:schemaRef ds:uri="bfed16da-a8ca-46ec-a4aa-c7c509893314"/>
    <ds:schemaRef ds:uri="http://schemas.microsoft.com/office/2006/documentManagement/types"/>
    <ds:schemaRef ds:uri="6b9f974d-4be1-4652-82ab-08a778657aa4"/>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44ea41b-304c-4c03-99c4-debb02094f92"/>
    <ds:schemaRef ds:uri="http://www.w3.org/XML/1998/namespace"/>
    <ds:schemaRef ds:uri="http://purl.org/dc/dcmitype/"/>
  </ds:schemaRefs>
</ds:datastoreItem>
</file>

<file path=customXml/itemProps6.xml><?xml version="1.0" encoding="utf-8"?>
<ds:datastoreItem xmlns:ds="http://schemas.openxmlformats.org/officeDocument/2006/customXml" ds:itemID="{5BCEF53E-DCCC-4A18-8FB1-C1ADF317716C}">
  <ds:schemaRefs>
    <ds:schemaRef ds:uri="Microsoft.SharePoint.Taxonomy.ContentTypeSync"/>
  </ds:schemaRefs>
</ds:datastoreItem>
</file>

<file path=customXml/itemProps7.xml><?xml version="1.0" encoding="utf-8"?>
<ds:datastoreItem xmlns:ds="http://schemas.openxmlformats.org/officeDocument/2006/customXml" ds:itemID="{351A2CB3-85D7-4FE0-B885-7A452C714EA1}">
  <ds:schemaRefs/>
</ds:datastoreItem>
</file>

<file path=customXml/itemProps8.xml><?xml version="1.0" encoding="utf-8"?>
<ds:datastoreItem xmlns:ds="http://schemas.openxmlformats.org/officeDocument/2006/customXml" ds:itemID="{43485990-BC08-499E-8A1E-A8F0D9CB58E5}">
  <ds:schemaRefs>
    <ds:schemaRef ds:uri="http://schemas.microsoft.com/sharepoint/v3/contenttype/forms/url"/>
  </ds:schemaRefs>
</ds:datastoreItem>
</file>

<file path=customXml/itemProps9.xml><?xml version="1.0" encoding="utf-8"?>
<ds:datastoreItem xmlns:ds="http://schemas.openxmlformats.org/officeDocument/2006/customXml" ds:itemID="{BF16F918-E5C9-48B0-A1FF-AD8A39CE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10697</Characters>
  <Application>Microsoft Office Word</Application>
  <DocSecurity>0</DocSecurity>
  <Lines>305</Lines>
  <Paragraphs>133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Greenfield</dc:creator>
  <cp:keywords/>
  <dc:description/>
  <cp:lastModifiedBy>Rabia Khan</cp:lastModifiedBy>
  <cp:revision>2</cp:revision>
  <dcterms:created xsi:type="dcterms:W3CDTF">2023-05-02T18:56:00Z</dcterms:created>
  <dcterms:modified xsi:type="dcterms:W3CDTF">2023-05-02T18:56:00Z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_dlc_DocIdItemGuid">
    <vt:lpwstr>d1e61038-9a8f-439a-9ebc-86a5cbbfa2db</vt:lpwstr>
  </property>
  <property fmtid="{D5CDD505-2E9C-101B-9397-08002B2CF9AE}" pid="4" name="Comments">
    <vt:lpwstr/>
  </property>
</Properties>
</file>