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73F8" w14:textId="77777777" w:rsidR="00446D36" w:rsidRDefault="00446D36" w:rsidP="00BE1D70">
      <w:pPr>
        <w:spacing w:line="240" w:lineRule="auto"/>
        <w:ind w:firstLine="720"/>
        <w:rPr>
          <w:rFonts w:ascii="Times New Roman" w:hAnsi="Times New Roman" w:cs="Times New Roman"/>
          <w:sz w:val="24"/>
          <w:szCs w:val="24"/>
        </w:rPr>
      </w:pPr>
    </w:p>
    <w:p w14:paraId="67800EA0" w14:textId="05E21666" w:rsidR="0C86633E" w:rsidRDefault="0C86633E" w:rsidP="0C86633E">
      <w:pPr>
        <w:pStyle w:val="NoSpacing"/>
        <w:jc w:val="center"/>
        <w:rPr>
          <w:rFonts w:ascii="Times New Roman" w:hAnsi="Times New Roman" w:cs="Arial"/>
          <w:color w:val="000000" w:themeColor="text1"/>
          <w:sz w:val="24"/>
          <w:szCs w:val="24"/>
          <w:u w:val="single"/>
        </w:rPr>
      </w:pPr>
    </w:p>
    <w:p w14:paraId="1008B36F" w14:textId="08146051" w:rsidR="0C86633E" w:rsidRDefault="0C86633E" w:rsidP="0C86633E">
      <w:pPr>
        <w:pStyle w:val="NoSpacing"/>
        <w:jc w:val="center"/>
        <w:rPr>
          <w:rFonts w:ascii="Times New Roman" w:hAnsi="Times New Roman" w:cs="Arial"/>
          <w:color w:val="000000" w:themeColor="text1"/>
          <w:sz w:val="24"/>
          <w:szCs w:val="24"/>
          <w:u w:val="single"/>
        </w:rPr>
      </w:pPr>
    </w:p>
    <w:p w14:paraId="4D6E1475" w14:textId="3E13F564" w:rsidR="0C86633E" w:rsidRDefault="0C86633E" w:rsidP="0C86633E">
      <w:pPr>
        <w:pStyle w:val="NoSpacing"/>
        <w:jc w:val="center"/>
        <w:rPr>
          <w:rFonts w:ascii="Times New Roman" w:hAnsi="Times New Roman" w:cs="Arial"/>
          <w:color w:val="000000" w:themeColor="text1"/>
          <w:sz w:val="24"/>
          <w:szCs w:val="24"/>
          <w:u w:val="single"/>
        </w:rPr>
      </w:pPr>
    </w:p>
    <w:p w14:paraId="11B7C91A" w14:textId="0EC7ABE3" w:rsidR="0C86633E" w:rsidRDefault="0C86633E" w:rsidP="0C86633E">
      <w:pPr>
        <w:pStyle w:val="NoSpacing"/>
        <w:jc w:val="center"/>
        <w:rPr>
          <w:rFonts w:ascii="Times New Roman" w:hAnsi="Times New Roman" w:cs="Arial"/>
          <w:color w:val="000000" w:themeColor="text1"/>
          <w:sz w:val="24"/>
          <w:szCs w:val="24"/>
          <w:u w:val="single"/>
        </w:rPr>
      </w:pPr>
    </w:p>
    <w:p w14:paraId="0008D0E4" w14:textId="5A336E03" w:rsidR="0C86633E" w:rsidRDefault="0C86633E" w:rsidP="0C86633E">
      <w:pPr>
        <w:pStyle w:val="NoSpacing"/>
        <w:jc w:val="center"/>
        <w:rPr>
          <w:rFonts w:ascii="Times New Roman" w:hAnsi="Times New Roman" w:cs="Arial"/>
          <w:color w:val="000000" w:themeColor="text1"/>
          <w:sz w:val="24"/>
          <w:szCs w:val="24"/>
          <w:u w:val="single"/>
        </w:rPr>
      </w:pPr>
    </w:p>
    <w:p w14:paraId="4742B71E" w14:textId="357B61A7" w:rsidR="0C86633E" w:rsidRDefault="0C86633E" w:rsidP="0C86633E">
      <w:pPr>
        <w:pStyle w:val="NoSpacing"/>
        <w:jc w:val="center"/>
        <w:rPr>
          <w:rFonts w:ascii="Times New Roman" w:hAnsi="Times New Roman" w:cs="Arial"/>
          <w:color w:val="000000" w:themeColor="text1"/>
          <w:sz w:val="24"/>
          <w:szCs w:val="24"/>
          <w:u w:val="single"/>
        </w:rPr>
      </w:pPr>
    </w:p>
    <w:p w14:paraId="770148F3" w14:textId="50620FBC" w:rsidR="0C86633E" w:rsidRDefault="0C86633E" w:rsidP="0C86633E">
      <w:pPr>
        <w:pStyle w:val="NoSpacing"/>
        <w:jc w:val="center"/>
        <w:rPr>
          <w:rFonts w:ascii="Times New Roman" w:hAnsi="Times New Roman" w:cs="Arial"/>
          <w:color w:val="000000" w:themeColor="text1"/>
          <w:sz w:val="24"/>
          <w:szCs w:val="24"/>
          <w:u w:val="single"/>
        </w:rPr>
      </w:pPr>
    </w:p>
    <w:p w14:paraId="28FECE5C" w14:textId="253318A2" w:rsidR="0C86633E" w:rsidRDefault="0C86633E" w:rsidP="0C86633E">
      <w:pPr>
        <w:pStyle w:val="NoSpacing"/>
        <w:jc w:val="center"/>
        <w:rPr>
          <w:rFonts w:ascii="Times New Roman" w:hAnsi="Times New Roman" w:cs="Arial"/>
          <w:color w:val="000000" w:themeColor="text1"/>
          <w:sz w:val="24"/>
          <w:szCs w:val="24"/>
          <w:u w:val="single"/>
        </w:rPr>
      </w:pPr>
    </w:p>
    <w:p w14:paraId="0D95799A" w14:textId="43909D05" w:rsidR="0C86633E" w:rsidRDefault="0C86633E" w:rsidP="0C86633E">
      <w:pPr>
        <w:pStyle w:val="NoSpacing"/>
        <w:jc w:val="center"/>
        <w:rPr>
          <w:rFonts w:ascii="Times New Roman" w:hAnsi="Times New Roman" w:cs="Arial"/>
          <w:color w:val="000000" w:themeColor="text1"/>
          <w:sz w:val="24"/>
          <w:szCs w:val="24"/>
          <w:u w:val="single"/>
        </w:rPr>
      </w:pPr>
    </w:p>
    <w:p w14:paraId="6E3EA8D2" w14:textId="40F472A9" w:rsidR="0C86633E" w:rsidRDefault="0C86633E" w:rsidP="0C86633E">
      <w:pPr>
        <w:pStyle w:val="NoSpacing"/>
        <w:jc w:val="center"/>
        <w:rPr>
          <w:rFonts w:ascii="Times New Roman" w:hAnsi="Times New Roman" w:cs="Arial"/>
          <w:color w:val="000000" w:themeColor="text1"/>
          <w:sz w:val="24"/>
          <w:szCs w:val="24"/>
          <w:u w:val="single"/>
        </w:rPr>
      </w:pPr>
    </w:p>
    <w:p w14:paraId="53F3299A" w14:textId="2ACD4EBC" w:rsidR="00446D36" w:rsidRPr="007F275C" w:rsidRDefault="00446D36">
      <w:pPr>
        <w:pStyle w:val="NoSpacing"/>
        <w:jc w:val="center"/>
        <w:rPr>
          <w:rFonts w:ascii="Times New Roman" w:hAnsi="Times New Roman" w:cs="Arial"/>
          <w:color w:val="000000" w:themeColor="text1"/>
          <w:sz w:val="24"/>
          <w:szCs w:val="24"/>
          <w:u w:val="single"/>
        </w:rPr>
      </w:pPr>
      <w:r w:rsidRPr="409C16BF">
        <w:rPr>
          <w:rFonts w:ascii="Times New Roman" w:hAnsi="Times New Roman" w:cs="Arial"/>
          <w:color w:val="000000" w:themeColor="text1"/>
          <w:sz w:val="24"/>
          <w:szCs w:val="24"/>
          <w:u w:val="single"/>
        </w:rPr>
        <w:t xml:space="preserve">ATTACHMENT </w:t>
      </w:r>
      <w:r w:rsidR="00364FA3">
        <w:rPr>
          <w:rFonts w:ascii="Times New Roman" w:hAnsi="Times New Roman" w:cs="Arial"/>
          <w:color w:val="000000" w:themeColor="text1"/>
          <w:sz w:val="24"/>
          <w:szCs w:val="24"/>
          <w:u w:val="single"/>
        </w:rPr>
        <w:t>S</w:t>
      </w:r>
    </w:p>
    <w:p w14:paraId="328FDBC7" w14:textId="77777777" w:rsidR="00446D36" w:rsidRPr="007F275C" w:rsidRDefault="00446D36">
      <w:pPr>
        <w:pStyle w:val="NoSpacing"/>
        <w:ind w:left="3600" w:firstLine="720"/>
        <w:rPr>
          <w:rFonts w:ascii="Times New Roman" w:hAnsi="Times New Roman"/>
          <w:color w:val="000000" w:themeColor="text1"/>
          <w:sz w:val="24"/>
          <w:szCs w:val="24"/>
        </w:rPr>
      </w:pPr>
    </w:p>
    <w:p w14:paraId="53EF2B2C" w14:textId="5CEDAA37" w:rsidR="00446D36" w:rsidRPr="007F275C" w:rsidRDefault="00446D36" w:rsidP="00364FA3">
      <w:pPr>
        <w:pStyle w:val="NoSpacing"/>
        <w:ind w:left="4320" w:firstLine="720"/>
        <w:rPr>
          <w:rFonts w:ascii="Times New Roman" w:hAnsi="Times New Roman"/>
          <w:color w:val="000000" w:themeColor="text1"/>
          <w:sz w:val="24"/>
          <w:szCs w:val="24"/>
        </w:rPr>
      </w:pPr>
      <w:r w:rsidRPr="409C16BF">
        <w:rPr>
          <w:rFonts w:ascii="Times New Roman" w:hAnsi="Times New Roman"/>
          <w:color w:val="000000" w:themeColor="text1"/>
          <w:sz w:val="24"/>
          <w:szCs w:val="24"/>
        </w:rPr>
        <w:t xml:space="preserve">July </w:t>
      </w:r>
      <w:r w:rsidR="00185B61">
        <w:rPr>
          <w:rFonts w:ascii="Times New Roman" w:hAnsi="Times New Roman"/>
          <w:color w:val="000000" w:themeColor="text1"/>
          <w:sz w:val="24"/>
          <w:szCs w:val="24"/>
        </w:rPr>
        <w:t>28</w:t>
      </w:r>
      <w:r w:rsidRPr="409C16BF">
        <w:rPr>
          <w:rFonts w:ascii="Times New Roman" w:hAnsi="Times New Roman"/>
          <w:color w:val="000000" w:themeColor="text1"/>
          <w:sz w:val="24"/>
          <w:szCs w:val="24"/>
        </w:rPr>
        <w:t>, 2022</w:t>
      </w:r>
    </w:p>
    <w:p w14:paraId="19581493" w14:textId="77777777" w:rsidR="00446D36" w:rsidRPr="007F275C" w:rsidRDefault="00446D36">
      <w:pPr>
        <w:pStyle w:val="NoSpacing"/>
        <w:rPr>
          <w:rFonts w:ascii="Times New Roman" w:hAnsi="Times New Roman"/>
          <w:color w:val="000000" w:themeColor="text1"/>
          <w:sz w:val="24"/>
          <w:szCs w:val="24"/>
        </w:rPr>
      </w:pPr>
    </w:p>
    <w:p w14:paraId="6319F9DB" w14:textId="77777777" w:rsidR="00446D36" w:rsidRPr="007F275C" w:rsidRDefault="00446D36">
      <w:pPr>
        <w:pStyle w:val="NoSpacing"/>
        <w:rPr>
          <w:rFonts w:ascii="Times New Roman" w:hAnsi="Times New Roman"/>
          <w:color w:val="000000" w:themeColor="text1"/>
          <w:sz w:val="24"/>
          <w:szCs w:val="24"/>
        </w:rPr>
      </w:pPr>
      <w:r w:rsidRPr="409C16BF">
        <w:rPr>
          <w:rFonts w:ascii="Times New Roman" w:hAnsi="Times New Roman"/>
          <w:color w:val="000000" w:themeColor="text1"/>
          <w:sz w:val="24"/>
          <w:szCs w:val="24"/>
        </w:rPr>
        <w:t xml:space="preserve">To the Honorable Senate and House of Representatives, </w:t>
      </w:r>
    </w:p>
    <w:p w14:paraId="76933812" w14:textId="77777777" w:rsidR="00446D36" w:rsidRPr="007F275C" w:rsidRDefault="00446D36">
      <w:pPr>
        <w:pStyle w:val="NoSpacing"/>
        <w:rPr>
          <w:rFonts w:ascii="Times New Roman" w:hAnsi="Times New Roman"/>
          <w:color w:val="000000" w:themeColor="text1"/>
          <w:sz w:val="24"/>
          <w:szCs w:val="24"/>
        </w:rPr>
      </w:pPr>
    </w:p>
    <w:p w14:paraId="08DB11DD" w14:textId="77777777" w:rsidR="00446D36" w:rsidRDefault="00446D36" w:rsidP="00446D36">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Pr>
          <w:rStyle w:val="normaltextrun"/>
          <w:color w:val="000000" w:themeColor="text1"/>
          <w:shd w:val="clear" w:color="auto" w:fill="FFFFFF"/>
        </w:rPr>
        <w:t xml:space="preserve"> 134 </w:t>
      </w:r>
      <w:r w:rsidRPr="007F275C">
        <w:rPr>
          <w:rStyle w:val="normaltextrun"/>
          <w:color w:val="000000" w:themeColor="text1"/>
          <w:shd w:val="clear" w:color="auto" w:fill="FFFFFF"/>
        </w:rPr>
        <w:t xml:space="preserve">of House Bill No. </w:t>
      </w:r>
      <w:r>
        <w:rPr>
          <w:rStyle w:val="normaltextrun"/>
          <w:color w:val="000000" w:themeColor="text1"/>
          <w:shd w:val="clear" w:color="auto" w:fill="FFFFFF"/>
        </w:rPr>
        <w:t>5050</w:t>
      </w:r>
      <w:r w:rsidRPr="007F275C">
        <w:rPr>
          <w:rStyle w:val="normaltextrun"/>
          <w:color w:val="000000" w:themeColor="text1"/>
          <w:shd w:val="clear" w:color="auto" w:fill="FFFFFF"/>
        </w:rPr>
        <w:t>, “An Act Making Appropriations for the Fiscal Year 20</w:t>
      </w:r>
      <w:r>
        <w:rPr>
          <w:rStyle w:val="normaltextrun"/>
          <w:color w:val="000000" w:themeColor="text1"/>
          <w:shd w:val="clear" w:color="auto" w:fill="FFFFFF"/>
        </w:rPr>
        <w:t>23</w:t>
      </w:r>
      <w:r w:rsidRPr="007F275C">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5749008F" w14:textId="77777777" w:rsidR="00446D36" w:rsidRDefault="00446D36" w:rsidP="00446D36">
      <w:pPr>
        <w:pStyle w:val="paragraph"/>
        <w:spacing w:before="0" w:beforeAutospacing="0" w:after="0" w:afterAutospacing="0"/>
        <w:ind w:firstLine="720"/>
        <w:textAlignment w:val="baseline"/>
        <w:rPr>
          <w:rStyle w:val="normaltextrun"/>
          <w:color w:val="000000" w:themeColor="text1"/>
          <w:shd w:val="clear" w:color="auto" w:fill="FFFFFF"/>
        </w:rPr>
      </w:pPr>
    </w:p>
    <w:p w14:paraId="26A74D69" w14:textId="24A7DDA5" w:rsidR="00446D36" w:rsidRDefault="73BC5A69" w:rsidP="1BE22118">
      <w:pPr>
        <w:pStyle w:val="paragraph"/>
        <w:spacing w:before="0" w:beforeAutospacing="0" w:after="0" w:afterAutospacing="0"/>
        <w:ind w:firstLine="720"/>
        <w:textAlignment w:val="baseline"/>
      </w:pPr>
      <w:r>
        <w:rPr>
          <w:rStyle w:val="normaltextrun"/>
          <w:color w:val="000000" w:themeColor="text1"/>
          <w:shd w:val="clear" w:color="auto" w:fill="FFFFFF"/>
        </w:rPr>
        <w:t xml:space="preserve">Section 134 allows local retirement systems to opt into a higher cost of living adjustment (COLA) for their retirees than is normally the case.  Generally, under current law, PERAC informs </w:t>
      </w:r>
      <w:r>
        <w:t xml:space="preserve">local retirement boards of the COLA for the year, which is related to a Social Security calculation, and is capped at 3%.  Local retirement systems have the option to apply that COLA to the base </w:t>
      </w:r>
      <w:proofErr w:type="gramStart"/>
      <w:r>
        <w:t>amount</w:t>
      </w:r>
      <w:proofErr w:type="gramEnd"/>
      <w:r>
        <w:t xml:space="preserve"> of retirees’ pensions; base amounts vary by system but are generally in the range of $13,000 to $18,000.  Following a year where the raw Social Security inflation measure was over 5%, the statute as proposed would allow local retirement systems to increase the COLA to as much as 5%.  </w:t>
      </w:r>
    </w:p>
    <w:p w14:paraId="7B51785A" w14:textId="77777777" w:rsidR="00446D36" w:rsidRDefault="00446D36" w:rsidP="00446D36">
      <w:pPr>
        <w:pStyle w:val="paragraph"/>
        <w:spacing w:before="0" w:beforeAutospacing="0" w:after="0" w:afterAutospacing="0"/>
        <w:ind w:firstLine="720"/>
        <w:textAlignment w:val="baseline"/>
      </w:pPr>
    </w:p>
    <w:p w14:paraId="7F831246" w14:textId="6FA29C83" w:rsidR="00446D36" w:rsidRDefault="73BC5A69" w:rsidP="1BE22118">
      <w:pPr>
        <w:pStyle w:val="paragraph"/>
        <w:spacing w:before="0" w:beforeAutospacing="0" w:after="0" w:afterAutospacing="0"/>
        <w:ind w:firstLine="720"/>
        <w:textAlignment w:val="baseline"/>
      </w:pPr>
      <w:r>
        <w:t xml:space="preserve">While recognizing inflation has been a challenge for retirees on fixed incomes, I have two concerns with this section.  </w:t>
      </w:r>
      <w:r w:rsidR="00364FA3">
        <w:t>First, as</w:t>
      </w:r>
      <w:r>
        <w:t xml:space="preserve"> enacted, this section would leave the decision to increase the </w:t>
      </w:r>
      <w:proofErr w:type="gramStart"/>
      <w:r>
        <w:t>COLA  to</w:t>
      </w:r>
      <w:proofErr w:type="gramEnd"/>
      <w:r>
        <w:t xml:space="preserve">  a retirement board, but it is the participating municipalities and other entities that bear the cost of that decision.  Accordingly, my amendment proposes that municipal governments make this decision.  </w:t>
      </w:r>
    </w:p>
    <w:p w14:paraId="6260F1C0" w14:textId="77777777" w:rsidR="00446D36" w:rsidRDefault="00446D36" w:rsidP="00446D36">
      <w:pPr>
        <w:pStyle w:val="paragraph"/>
        <w:spacing w:before="0" w:beforeAutospacing="0" w:after="0" w:afterAutospacing="0"/>
        <w:ind w:firstLine="720"/>
        <w:textAlignment w:val="baseline"/>
      </w:pPr>
    </w:p>
    <w:p w14:paraId="3C27495D" w14:textId="426D82C8" w:rsidR="00446D36" w:rsidRDefault="73BC5A69" w:rsidP="1BE22118">
      <w:pPr>
        <w:pStyle w:val="paragraph"/>
        <w:spacing w:before="0" w:beforeAutospacing="0" w:after="0" w:afterAutospacing="0"/>
        <w:ind w:firstLine="720"/>
        <w:textAlignment w:val="baseline"/>
        <w:rPr>
          <w:rStyle w:val="normaltextrun"/>
          <w:color w:val="000000" w:themeColor="text1"/>
          <w:shd w:val="clear" w:color="auto" w:fill="FFFFFF"/>
        </w:rPr>
      </w:pPr>
      <w:r>
        <w:t xml:space="preserve">Second, the application of the COLA applies ambiguously.  It appears that it has been discussed as applying to the base amount, but the section as enacted does not do so.   Obviously, the implications for pension liabilities are much greater if the COLA applies to entire pensions and not just the base.  I am reluctant to leave such an important distinction so unclear.  </w:t>
      </w:r>
    </w:p>
    <w:p w14:paraId="4A363CDE" w14:textId="77777777" w:rsidR="00446D36" w:rsidRDefault="00446D36" w:rsidP="00446D36">
      <w:pPr>
        <w:pStyle w:val="paragraph"/>
        <w:spacing w:before="0" w:beforeAutospacing="0" w:after="0" w:afterAutospacing="0"/>
        <w:ind w:firstLine="720"/>
        <w:textAlignment w:val="baseline"/>
        <w:rPr>
          <w:rStyle w:val="normaltextrun"/>
          <w:color w:val="000000" w:themeColor="text1"/>
          <w:shd w:val="clear" w:color="auto" w:fill="FFFFFF"/>
        </w:rPr>
      </w:pPr>
    </w:p>
    <w:p w14:paraId="1DC9E073" w14:textId="77777777" w:rsidR="00446D36" w:rsidRDefault="00446D36">
      <w:pPr>
        <w:spacing w:after="0" w:line="240" w:lineRule="auto"/>
        <w:ind w:firstLine="720"/>
        <w:rPr>
          <w:rFonts w:ascii="Times New Roman" w:hAnsi="Times New Roman" w:cs="Times New Roman"/>
          <w:sz w:val="24"/>
          <w:szCs w:val="24"/>
        </w:rPr>
      </w:pPr>
      <w:r w:rsidRPr="409C16BF">
        <w:rPr>
          <w:rFonts w:ascii="Times New Roman" w:hAnsi="Times New Roman" w:cs="Times New Roman"/>
          <w:sz w:val="24"/>
          <w:szCs w:val="24"/>
        </w:rPr>
        <w:t xml:space="preserve">For these reasons, I recommend that the bill be amended by striking out Section 134 and inserting in place thereof the following </w:t>
      </w:r>
      <w:proofErr w:type="gramStart"/>
      <w:r w:rsidRPr="409C16BF">
        <w:rPr>
          <w:rFonts w:ascii="Times New Roman" w:hAnsi="Times New Roman" w:cs="Times New Roman"/>
          <w:sz w:val="24"/>
          <w:szCs w:val="24"/>
        </w:rPr>
        <w:t>section:-</w:t>
      </w:r>
      <w:proofErr w:type="gramEnd"/>
    </w:p>
    <w:p w14:paraId="22B59CCA" w14:textId="77777777" w:rsidR="0034105E" w:rsidRDefault="0034105E" w:rsidP="00185B61">
      <w:pPr>
        <w:spacing w:after="0" w:line="240" w:lineRule="auto"/>
        <w:ind w:firstLine="720"/>
        <w:rPr>
          <w:rFonts w:ascii="Times New Roman" w:hAnsi="Times New Roman" w:cs="Times New Roman"/>
          <w:sz w:val="24"/>
          <w:szCs w:val="24"/>
        </w:rPr>
      </w:pPr>
    </w:p>
    <w:p w14:paraId="21A14A90" w14:textId="707F107F" w:rsidR="00BE1D70" w:rsidRPr="00BE1D70" w:rsidRDefault="20C34016" w:rsidP="00185B61">
      <w:pPr>
        <w:spacing w:after="0" w:line="240" w:lineRule="auto"/>
        <w:ind w:firstLine="720"/>
        <w:rPr>
          <w:rFonts w:ascii="Times New Roman" w:hAnsi="Times New Roman" w:cs="Times New Roman"/>
          <w:sz w:val="24"/>
          <w:szCs w:val="24"/>
        </w:rPr>
      </w:pPr>
      <w:r w:rsidRPr="1BE22118">
        <w:rPr>
          <w:rFonts w:ascii="Times New Roman" w:hAnsi="Times New Roman" w:cs="Times New Roman"/>
          <w:sz w:val="24"/>
          <w:szCs w:val="24"/>
        </w:rPr>
        <w:t xml:space="preserve">SECTION </w:t>
      </w:r>
      <w:r w:rsidR="33B48CD4" w:rsidRPr="1BE22118">
        <w:rPr>
          <w:rFonts w:ascii="Times New Roman" w:hAnsi="Times New Roman" w:cs="Times New Roman"/>
          <w:sz w:val="24"/>
          <w:szCs w:val="24"/>
        </w:rPr>
        <w:t>134</w:t>
      </w:r>
      <w:r w:rsidRPr="1BE22118">
        <w:rPr>
          <w:rFonts w:ascii="Times New Roman" w:hAnsi="Times New Roman" w:cs="Times New Roman"/>
          <w:sz w:val="24"/>
          <w:szCs w:val="24"/>
        </w:rPr>
        <w:t>.</w:t>
      </w:r>
      <w:r w:rsidR="6DFE802E" w:rsidRPr="1BE22118">
        <w:rPr>
          <w:rFonts w:ascii="Times New Roman" w:hAnsi="Times New Roman" w:cs="Times New Roman"/>
          <w:sz w:val="24"/>
          <w:szCs w:val="24"/>
        </w:rPr>
        <w:t xml:space="preserve"> </w:t>
      </w:r>
      <w:r w:rsidR="29B6BB3D" w:rsidRPr="1BE22118">
        <w:rPr>
          <w:rFonts w:ascii="Times New Roman" w:hAnsi="Times New Roman" w:cs="Times New Roman"/>
          <w:sz w:val="24"/>
          <w:szCs w:val="24"/>
        </w:rPr>
        <w:t>(a) (1)</w:t>
      </w:r>
      <w:r w:rsidR="00185B61">
        <w:rPr>
          <w:rFonts w:ascii="Times New Roman" w:hAnsi="Times New Roman" w:cs="Times New Roman"/>
          <w:sz w:val="24"/>
          <w:szCs w:val="24"/>
        </w:rPr>
        <w:t xml:space="preserve"> </w:t>
      </w:r>
      <w:r w:rsidR="00641C0C" w:rsidRPr="1BE22118">
        <w:rPr>
          <w:rFonts w:ascii="Times New Roman" w:hAnsi="Times New Roman" w:cs="Times New Roman"/>
          <w:sz w:val="24"/>
          <w:szCs w:val="24"/>
        </w:rPr>
        <w:t xml:space="preserve">Notwithstanding section 103 of chapter 32 of the General Laws or any other general or special law to the contrary, the retirement board of any system that has accepted said section 103 may elect to establish a cost-of-living adjustment increase </w:t>
      </w:r>
      <w:r w:rsidR="29B6BB3D" w:rsidRPr="1BE22118">
        <w:rPr>
          <w:rFonts w:ascii="Times New Roman" w:hAnsi="Times New Roman" w:cs="Times New Roman"/>
          <w:sz w:val="24"/>
          <w:szCs w:val="24"/>
        </w:rPr>
        <w:t xml:space="preserve">of </w:t>
      </w:r>
      <w:r w:rsidRPr="1BE22118">
        <w:rPr>
          <w:rFonts w:ascii="Times New Roman" w:hAnsi="Times New Roman" w:cs="Times New Roman"/>
          <w:sz w:val="24"/>
          <w:szCs w:val="24"/>
        </w:rPr>
        <w:t>not less than 3 per cent and not greater than</w:t>
      </w:r>
      <w:r w:rsidR="00641C0C" w:rsidRPr="1BE22118">
        <w:rPr>
          <w:rFonts w:ascii="Times New Roman" w:hAnsi="Times New Roman" w:cs="Times New Roman"/>
          <w:sz w:val="24"/>
          <w:szCs w:val="24"/>
        </w:rPr>
        <w:t xml:space="preserve">5 per cent </w:t>
      </w:r>
      <w:r w:rsidR="29B6BB3D" w:rsidRPr="1BE22118">
        <w:rPr>
          <w:rFonts w:ascii="Times New Roman" w:hAnsi="Times New Roman" w:cs="Times New Roman"/>
          <w:sz w:val="24"/>
          <w:szCs w:val="24"/>
        </w:rPr>
        <w:t xml:space="preserve">on the base amount provided for in said section 103 </w:t>
      </w:r>
      <w:r w:rsidR="00641C0C" w:rsidRPr="1BE22118">
        <w:rPr>
          <w:rFonts w:ascii="Times New Roman" w:hAnsi="Times New Roman" w:cs="Times New Roman"/>
          <w:sz w:val="24"/>
          <w:szCs w:val="24"/>
        </w:rPr>
        <w:t xml:space="preserve">for fiscal year 2023. </w:t>
      </w:r>
    </w:p>
    <w:p w14:paraId="578C92C9" w14:textId="4A390D24" w:rsidR="409C16BF" w:rsidRDefault="409C16BF" w:rsidP="409C16BF">
      <w:pPr>
        <w:spacing w:after="0" w:line="240" w:lineRule="auto"/>
        <w:ind w:firstLine="720"/>
        <w:rPr>
          <w:rFonts w:ascii="Times New Roman" w:hAnsi="Times New Roman" w:cs="Times New Roman"/>
          <w:sz w:val="24"/>
          <w:szCs w:val="24"/>
        </w:rPr>
      </w:pPr>
    </w:p>
    <w:p w14:paraId="43B64CC8" w14:textId="3A70889E" w:rsidR="00BE1D70" w:rsidRDefault="00AE08D8">
      <w:pPr>
        <w:spacing w:after="0" w:line="240" w:lineRule="auto"/>
        <w:ind w:firstLine="720"/>
        <w:rPr>
          <w:rFonts w:ascii="Times New Roman" w:hAnsi="Times New Roman" w:cs="Times New Roman"/>
          <w:sz w:val="24"/>
          <w:szCs w:val="24"/>
        </w:rPr>
      </w:pPr>
      <w:r w:rsidRPr="409C16BF">
        <w:rPr>
          <w:rFonts w:ascii="Times New Roman" w:hAnsi="Times New Roman" w:cs="Times New Roman"/>
          <w:sz w:val="24"/>
          <w:szCs w:val="24"/>
        </w:rPr>
        <w:t xml:space="preserve">(2) </w:t>
      </w:r>
      <w:r w:rsidR="00BE1D70" w:rsidRPr="409C16BF">
        <w:rPr>
          <w:rFonts w:ascii="Times New Roman" w:hAnsi="Times New Roman" w:cs="Times New Roman"/>
          <w:sz w:val="24"/>
          <w:szCs w:val="24"/>
        </w:rPr>
        <w:t>The sum of the dollar amount of the cost-of-living increase</w:t>
      </w:r>
      <w:r w:rsidRPr="409C16BF">
        <w:rPr>
          <w:rFonts w:ascii="Times New Roman" w:hAnsi="Times New Roman" w:cs="Times New Roman"/>
          <w:sz w:val="24"/>
          <w:szCs w:val="24"/>
        </w:rPr>
        <w:t xml:space="preserve"> on the base amount</w:t>
      </w:r>
      <w:r w:rsidR="00BE1D70" w:rsidRPr="409C16BF">
        <w:rPr>
          <w:rFonts w:ascii="Times New Roman" w:hAnsi="Times New Roman" w:cs="Times New Roman"/>
          <w:sz w:val="24"/>
          <w:szCs w:val="24"/>
        </w:rPr>
        <w:t xml:space="preserve">, together with the amount of retirement allowance, </w:t>
      </w:r>
      <w:proofErr w:type="gramStart"/>
      <w:r w:rsidR="00BE1D70" w:rsidRPr="409C16BF">
        <w:rPr>
          <w:rFonts w:ascii="Times New Roman" w:hAnsi="Times New Roman" w:cs="Times New Roman"/>
          <w:sz w:val="24"/>
          <w:szCs w:val="24"/>
        </w:rPr>
        <w:t>pension</w:t>
      </w:r>
      <w:proofErr w:type="gramEnd"/>
      <w:r w:rsidR="00BE1D70" w:rsidRPr="409C16BF">
        <w:rPr>
          <w:rFonts w:ascii="Times New Roman" w:hAnsi="Times New Roman" w:cs="Times New Roman"/>
          <w:sz w:val="24"/>
          <w:szCs w:val="24"/>
        </w:rPr>
        <w:t xml:space="preserve"> or annuity to which the cost-of-living increase is applied, shall become the fixed retirement allowance, pension or annuity for all future purposes, including the application of subsequent cost-of-living adjustments in future years. </w:t>
      </w:r>
    </w:p>
    <w:p w14:paraId="0872F976" w14:textId="77777777" w:rsidR="0034105E" w:rsidRPr="00BE1D70" w:rsidRDefault="0034105E" w:rsidP="00185B61">
      <w:pPr>
        <w:spacing w:after="0" w:line="240" w:lineRule="auto"/>
        <w:ind w:firstLine="720"/>
        <w:rPr>
          <w:rFonts w:ascii="Times New Roman" w:hAnsi="Times New Roman" w:cs="Times New Roman"/>
          <w:sz w:val="24"/>
          <w:szCs w:val="24"/>
        </w:rPr>
      </w:pPr>
    </w:p>
    <w:p w14:paraId="2B3C9F39" w14:textId="4BB07010" w:rsidR="006E3B5B" w:rsidRDefault="00AE08D8" w:rsidP="00185B61">
      <w:pPr>
        <w:spacing w:after="0" w:line="240" w:lineRule="auto"/>
        <w:ind w:firstLine="720"/>
        <w:rPr>
          <w:rFonts w:ascii="Times New Roman" w:hAnsi="Times New Roman" w:cs="Times New Roman"/>
          <w:sz w:val="24"/>
          <w:szCs w:val="24"/>
        </w:rPr>
      </w:pPr>
      <w:r w:rsidRPr="409C16BF">
        <w:rPr>
          <w:rFonts w:ascii="Times New Roman" w:hAnsi="Times New Roman" w:cs="Times New Roman"/>
          <w:sz w:val="24"/>
          <w:szCs w:val="24"/>
        </w:rPr>
        <w:t xml:space="preserve">(b) </w:t>
      </w:r>
      <w:r w:rsidR="00641C0C" w:rsidRPr="1BE22118">
        <w:rPr>
          <w:rFonts w:ascii="Times New Roman" w:hAnsi="Times New Roman" w:cs="Times New Roman"/>
          <w:sz w:val="24"/>
          <w:szCs w:val="24"/>
        </w:rPr>
        <w:t xml:space="preserve">A retirement board may grant a cost-of-living increase of not less than 3 percent and not greater than 5 per cent </w:t>
      </w:r>
      <w:r w:rsidR="1E829F8A" w:rsidRPr="1BE22118">
        <w:rPr>
          <w:rFonts w:ascii="Times New Roman" w:hAnsi="Times New Roman" w:cs="Times New Roman"/>
          <w:sz w:val="24"/>
          <w:szCs w:val="24"/>
        </w:rPr>
        <w:t xml:space="preserve">on the base amount </w:t>
      </w:r>
      <w:r w:rsidR="00641C0C" w:rsidRPr="1BE22118">
        <w:rPr>
          <w:rFonts w:ascii="Times New Roman" w:hAnsi="Times New Roman" w:cs="Times New Roman"/>
          <w:sz w:val="24"/>
          <w:szCs w:val="24"/>
        </w:rPr>
        <w:t>for fiscal year 2023 at any time during the fiscal year.</w:t>
      </w:r>
    </w:p>
    <w:p w14:paraId="7C6E42E4" w14:textId="73E863D6" w:rsidR="00600DF4" w:rsidRDefault="79F73262" w:rsidP="1BE22118">
      <w:pPr>
        <w:spacing w:after="0" w:line="240" w:lineRule="auto"/>
        <w:ind w:firstLine="720"/>
        <w:rPr>
          <w:rFonts w:ascii="Times New Roman" w:hAnsi="Times New Roman" w:cs="Times New Roman"/>
          <w:sz w:val="24"/>
          <w:szCs w:val="24"/>
        </w:rPr>
      </w:pPr>
      <w:r w:rsidRPr="1BE22118">
        <w:rPr>
          <w:rFonts w:ascii="Times New Roman" w:hAnsi="Times New Roman" w:cs="Times New Roman"/>
          <w:sz w:val="24"/>
          <w:szCs w:val="24"/>
        </w:rPr>
        <w:t xml:space="preserve">(c) </w:t>
      </w:r>
      <w:r w:rsidR="2C5DA783" w:rsidRPr="1BE22118">
        <w:rPr>
          <w:rFonts w:ascii="Times New Roman" w:hAnsi="Times New Roman" w:cs="Times New Roman"/>
          <w:sz w:val="24"/>
          <w:szCs w:val="24"/>
        </w:rPr>
        <w:t xml:space="preserve">This section shall take effect for the members of a retirement system by a majority vote of the board of such system and upon local acceptance of the city council upon recommendation of the mayor in a city, of the chief executive officer as defined in section 7 of chapter 4 of the General Laws in a town, of the county commissioners in a county and in a district or other political subdivision of the commonwealth by vote of the governing board, </w:t>
      </w:r>
      <w:proofErr w:type="gramStart"/>
      <w:r w:rsidR="2C5DA783" w:rsidRPr="1BE22118">
        <w:rPr>
          <w:rFonts w:ascii="Times New Roman" w:hAnsi="Times New Roman" w:cs="Times New Roman"/>
          <w:sz w:val="24"/>
          <w:szCs w:val="24"/>
        </w:rPr>
        <w:t>commission</w:t>
      </w:r>
      <w:proofErr w:type="gramEnd"/>
      <w:r w:rsidR="2C5DA783" w:rsidRPr="1BE22118">
        <w:rPr>
          <w:rFonts w:ascii="Times New Roman" w:hAnsi="Times New Roman" w:cs="Times New Roman"/>
          <w:sz w:val="24"/>
          <w:szCs w:val="24"/>
        </w:rPr>
        <w:t xml:space="preserve"> or committee.  For any retirement system comprising more than 1 political subdivision of the commonwealth, this section shall be effective by a majority vote of the board of such system and upon the acceptance of two-thirds of cities and towns within the system by approval of the city council upon recommendation of the mayor in a city and the chief executive officer as defined in section7 of chapter 4 of the General Laws in a town. </w:t>
      </w:r>
    </w:p>
    <w:p w14:paraId="026A057C" w14:textId="5077F545" w:rsidR="409C16BF" w:rsidRDefault="409C16BF" w:rsidP="409C16BF">
      <w:pPr>
        <w:spacing w:after="0" w:line="240" w:lineRule="auto"/>
        <w:ind w:firstLine="720"/>
        <w:rPr>
          <w:rFonts w:ascii="Times New Roman" w:hAnsi="Times New Roman" w:cs="Times New Roman"/>
          <w:sz w:val="24"/>
          <w:szCs w:val="24"/>
        </w:rPr>
      </w:pPr>
    </w:p>
    <w:p w14:paraId="3CCBBDBF" w14:textId="13195DD8" w:rsidR="00BD532B" w:rsidRDefault="00BD532B" w:rsidP="00185B61">
      <w:pPr>
        <w:spacing w:after="0" w:line="240" w:lineRule="auto"/>
        <w:ind w:firstLine="720"/>
        <w:rPr>
          <w:rFonts w:ascii="Times New Roman" w:hAnsi="Times New Roman" w:cs="Times New Roman"/>
          <w:sz w:val="24"/>
          <w:szCs w:val="24"/>
        </w:rPr>
      </w:pPr>
      <w:r w:rsidRPr="409C16BF">
        <w:rPr>
          <w:rFonts w:ascii="Times New Roman" w:hAnsi="Times New Roman" w:cs="Times New Roman"/>
          <w:sz w:val="24"/>
          <w:szCs w:val="24"/>
        </w:rPr>
        <w:t>And further recommend that the bill be amended by inserting</w:t>
      </w:r>
      <w:r w:rsidR="00420463" w:rsidRPr="409C16BF">
        <w:rPr>
          <w:rFonts w:ascii="Times New Roman" w:hAnsi="Times New Roman" w:cs="Times New Roman"/>
          <w:sz w:val="24"/>
          <w:szCs w:val="24"/>
        </w:rPr>
        <w:t xml:space="preserve"> after section 186</w:t>
      </w:r>
      <w:r w:rsidRPr="409C16BF">
        <w:rPr>
          <w:rFonts w:ascii="Times New Roman" w:hAnsi="Times New Roman" w:cs="Times New Roman"/>
          <w:sz w:val="24"/>
          <w:szCs w:val="24"/>
        </w:rPr>
        <w:t xml:space="preserve"> the following </w:t>
      </w:r>
      <w:proofErr w:type="gramStart"/>
      <w:r w:rsidRPr="409C16BF">
        <w:rPr>
          <w:rFonts w:ascii="Times New Roman" w:hAnsi="Times New Roman" w:cs="Times New Roman"/>
          <w:sz w:val="24"/>
          <w:szCs w:val="24"/>
        </w:rPr>
        <w:t>section:-</w:t>
      </w:r>
      <w:proofErr w:type="gramEnd"/>
    </w:p>
    <w:p w14:paraId="30F26B92" w14:textId="2491621C" w:rsidR="409C16BF" w:rsidRDefault="409C16BF" w:rsidP="409C16BF">
      <w:pPr>
        <w:spacing w:after="0" w:line="240" w:lineRule="auto"/>
        <w:ind w:firstLine="720"/>
        <w:rPr>
          <w:rFonts w:ascii="Times New Roman" w:hAnsi="Times New Roman" w:cs="Times New Roman"/>
          <w:sz w:val="24"/>
          <w:szCs w:val="24"/>
        </w:rPr>
      </w:pPr>
    </w:p>
    <w:p w14:paraId="2C7D62B2" w14:textId="7E99B921" w:rsidR="00600DF4" w:rsidRDefault="00600DF4" w:rsidP="00185B61">
      <w:pPr>
        <w:spacing w:after="0" w:line="240" w:lineRule="auto"/>
        <w:ind w:firstLine="720"/>
        <w:rPr>
          <w:rFonts w:ascii="Times New Roman" w:hAnsi="Times New Roman" w:cs="Times New Roman"/>
          <w:sz w:val="24"/>
          <w:szCs w:val="24"/>
        </w:rPr>
      </w:pPr>
      <w:r w:rsidRPr="409C16BF">
        <w:rPr>
          <w:rFonts w:ascii="Times New Roman" w:hAnsi="Times New Roman" w:cs="Times New Roman"/>
          <w:sz w:val="24"/>
          <w:szCs w:val="24"/>
        </w:rPr>
        <w:t>SECTION 1</w:t>
      </w:r>
      <w:r w:rsidR="00420463" w:rsidRPr="409C16BF">
        <w:rPr>
          <w:rFonts w:ascii="Times New Roman" w:hAnsi="Times New Roman" w:cs="Times New Roman"/>
          <w:sz w:val="24"/>
          <w:szCs w:val="24"/>
        </w:rPr>
        <w:t>86</w:t>
      </w:r>
      <w:r w:rsidRPr="409C16BF">
        <w:rPr>
          <w:rFonts w:ascii="Times New Roman" w:hAnsi="Times New Roman" w:cs="Times New Roman"/>
          <w:sz w:val="24"/>
          <w:szCs w:val="24"/>
        </w:rPr>
        <w:t>A. Section 134 shall take effect on July 1, 2022.</w:t>
      </w:r>
    </w:p>
    <w:p w14:paraId="75CE6C4F" w14:textId="77777777" w:rsidR="006E3B5B" w:rsidRPr="00B7603B" w:rsidRDefault="006E3B5B" w:rsidP="00185B61">
      <w:pPr>
        <w:spacing w:after="0" w:line="240" w:lineRule="auto"/>
        <w:ind w:firstLine="720"/>
        <w:rPr>
          <w:rFonts w:ascii="Times New Roman" w:hAnsi="Times New Roman" w:cs="Times New Roman"/>
          <w:sz w:val="24"/>
          <w:szCs w:val="24"/>
        </w:rPr>
      </w:pPr>
    </w:p>
    <w:p w14:paraId="2052815C" w14:textId="77777777" w:rsidR="00446D36" w:rsidRPr="007F275C" w:rsidRDefault="007F275C" w:rsidP="00185B61">
      <w:pPr>
        <w:spacing w:after="0"/>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00446D36" w:rsidRPr="007F275C">
        <w:rPr>
          <w:rFonts w:ascii="Times New Roman" w:hAnsi="Times New Roman" w:cs="Times New Roman"/>
          <w:color w:val="000000" w:themeColor="text1"/>
          <w:sz w:val="24"/>
          <w:szCs w:val="24"/>
        </w:rPr>
        <w:t>Respectfully submitted,</w:t>
      </w:r>
    </w:p>
    <w:p w14:paraId="1839783F" w14:textId="77777777" w:rsidR="00446D36" w:rsidRDefault="00446D36">
      <w:pPr>
        <w:spacing w:after="0"/>
        <w:rPr>
          <w:rFonts w:ascii="Times New Roman" w:hAnsi="Times New Roman" w:cs="Times New Roman"/>
          <w:color w:val="000000" w:themeColor="text1"/>
          <w:sz w:val="24"/>
          <w:szCs w:val="24"/>
        </w:rPr>
      </w:pPr>
    </w:p>
    <w:p w14:paraId="35EA9B3D" w14:textId="77777777" w:rsidR="0034105E" w:rsidRPr="007F275C" w:rsidRDefault="0034105E" w:rsidP="00185B61">
      <w:pPr>
        <w:spacing w:after="0"/>
        <w:rPr>
          <w:rFonts w:ascii="Times New Roman" w:hAnsi="Times New Roman" w:cs="Times New Roman"/>
          <w:color w:val="000000" w:themeColor="text1"/>
          <w:sz w:val="24"/>
          <w:szCs w:val="24"/>
        </w:rPr>
      </w:pPr>
    </w:p>
    <w:p w14:paraId="6FC6C9D9" w14:textId="77777777" w:rsidR="00446D36" w:rsidRPr="007F275C" w:rsidRDefault="00446D36" w:rsidP="409C16BF">
      <w:pPr>
        <w:spacing w:after="0" w:line="240" w:lineRule="auto"/>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Charles D. Baker</w:t>
      </w:r>
    </w:p>
    <w:p w14:paraId="383A762E" w14:textId="77777777" w:rsidR="00446D36" w:rsidRPr="00F33B06" w:rsidRDefault="00446D36" w:rsidP="00185B61">
      <w:pPr>
        <w:spacing w:after="0"/>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Governor</w:t>
      </w:r>
    </w:p>
    <w:p w14:paraId="02ED88D4" w14:textId="35D48F5D" w:rsidR="00C64A5F" w:rsidRPr="00F33B06" w:rsidRDefault="00C64A5F" w:rsidP="00185B61">
      <w:pPr>
        <w:spacing w:after="0"/>
        <w:rPr>
          <w:rFonts w:ascii="Times New Roman" w:hAnsi="Times New Roman" w:cs="Times New Roman"/>
          <w:color w:val="000000" w:themeColor="text1"/>
          <w:sz w:val="24"/>
          <w:szCs w:val="24"/>
        </w:rPr>
      </w:pPr>
    </w:p>
    <w:sectPr w:rsidR="00C64A5F" w:rsidRPr="00F33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31888"/>
    <w:rsid w:val="000355F6"/>
    <w:rsid w:val="00043C29"/>
    <w:rsid w:val="00052563"/>
    <w:rsid w:val="0005331E"/>
    <w:rsid w:val="00064994"/>
    <w:rsid w:val="000654FC"/>
    <w:rsid w:val="00070061"/>
    <w:rsid w:val="000702E7"/>
    <w:rsid w:val="00071814"/>
    <w:rsid w:val="00075962"/>
    <w:rsid w:val="000867B6"/>
    <w:rsid w:val="000B34A6"/>
    <w:rsid w:val="000C230B"/>
    <w:rsid w:val="000D63B4"/>
    <w:rsid w:val="000E6E64"/>
    <w:rsid w:val="000E7771"/>
    <w:rsid w:val="000F74B2"/>
    <w:rsid w:val="00103739"/>
    <w:rsid w:val="0010798F"/>
    <w:rsid w:val="001203FC"/>
    <w:rsid w:val="00121951"/>
    <w:rsid w:val="00133E74"/>
    <w:rsid w:val="0013576F"/>
    <w:rsid w:val="0015240E"/>
    <w:rsid w:val="00154F9E"/>
    <w:rsid w:val="001566AD"/>
    <w:rsid w:val="00171DDE"/>
    <w:rsid w:val="00185B61"/>
    <w:rsid w:val="00190E23"/>
    <w:rsid w:val="001A1C17"/>
    <w:rsid w:val="001A34E8"/>
    <w:rsid w:val="001B3E9B"/>
    <w:rsid w:val="001C1904"/>
    <w:rsid w:val="001C6096"/>
    <w:rsid w:val="001E2BDA"/>
    <w:rsid w:val="001E5479"/>
    <w:rsid w:val="00201F0F"/>
    <w:rsid w:val="00207E49"/>
    <w:rsid w:val="00210FE4"/>
    <w:rsid w:val="002273D7"/>
    <w:rsid w:val="002447A3"/>
    <w:rsid w:val="002465AA"/>
    <w:rsid w:val="0026791F"/>
    <w:rsid w:val="002829D3"/>
    <w:rsid w:val="0028663B"/>
    <w:rsid w:val="002A4C1C"/>
    <w:rsid w:val="002A579E"/>
    <w:rsid w:val="002B4551"/>
    <w:rsid w:val="002C43B8"/>
    <w:rsid w:val="002D2D31"/>
    <w:rsid w:val="002D4D5B"/>
    <w:rsid w:val="002F5752"/>
    <w:rsid w:val="002F7E60"/>
    <w:rsid w:val="00300044"/>
    <w:rsid w:val="00310076"/>
    <w:rsid w:val="0034105E"/>
    <w:rsid w:val="00352C23"/>
    <w:rsid w:val="00363719"/>
    <w:rsid w:val="00364208"/>
    <w:rsid w:val="00364FA3"/>
    <w:rsid w:val="00365E1E"/>
    <w:rsid w:val="00366858"/>
    <w:rsid w:val="00375D74"/>
    <w:rsid w:val="00382DF1"/>
    <w:rsid w:val="003872D8"/>
    <w:rsid w:val="00396F13"/>
    <w:rsid w:val="003A3991"/>
    <w:rsid w:val="003A4DDA"/>
    <w:rsid w:val="003D0CEF"/>
    <w:rsid w:val="003D7780"/>
    <w:rsid w:val="00410ED7"/>
    <w:rsid w:val="004134C9"/>
    <w:rsid w:val="0041758D"/>
    <w:rsid w:val="00420463"/>
    <w:rsid w:val="0043036D"/>
    <w:rsid w:val="00434878"/>
    <w:rsid w:val="0044190A"/>
    <w:rsid w:val="00446C3D"/>
    <w:rsid w:val="00446D36"/>
    <w:rsid w:val="004511EE"/>
    <w:rsid w:val="004514D8"/>
    <w:rsid w:val="00464D5A"/>
    <w:rsid w:val="004839EA"/>
    <w:rsid w:val="00494C38"/>
    <w:rsid w:val="004E336B"/>
    <w:rsid w:val="004F5CCD"/>
    <w:rsid w:val="00504E74"/>
    <w:rsid w:val="00566F05"/>
    <w:rsid w:val="00574D76"/>
    <w:rsid w:val="00577F01"/>
    <w:rsid w:val="0058254C"/>
    <w:rsid w:val="005849DB"/>
    <w:rsid w:val="00590AE5"/>
    <w:rsid w:val="00596540"/>
    <w:rsid w:val="005A406C"/>
    <w:rsid w:val="005D1A4B"/>
    <w:rsid w:val="005D55E0"/>
    <w:rsid w:val="005F79D0"/>
    <w:rsid w:val="00600DF4"/>
    <w:rsid w:val="006011EA"/>
    <w:rsid w:val="00621108"/>
    <w:rsid w:val="006243F9"/>
    <w:rsid w:val="006306E1"/>
    <w:rsid w:val="00641C0C"/>
    <w:rsid w:val="006443AE"/>
    <w:rsid w:val="006453E8"/>
    <w:rsid w:val="00646976"/>
    <w:rsid w:val="00652D07"/>
    <w:rsid w:val="00672739"/>
    <w:rsid w:val="00676834"/>
    <w:rsid w:val="006849F6"/>
    <w:rsid w:val="00696B67"/>
    <w:rsid w:val="006A024A"/>
    <w:rsid w:val="006B0FC3"/>
    <w:rsid w:val="006B564B"/>
    <w:rsid w:val="006C4469"/>
    <w:rsid w:val="006C5385"/>
    <w:rsid w:val="006C644A"/>
    <w:rsid w:val="006D17A0"/>
    <w:rsid w:val="006D4500"/>
    <w:rsid w:val="006E3B5B"/>
    <w:rsid w:val="006E77F1"/>
    <w:rsid w:val="006F02F9"/>
    <w:rsid w:val="0071217C"/>
    <w:rsid w:val="00713E11"/>
    <w:rsid w:val="00722C2D"/>
    <w:rsid w:val="00727EFB"/>
    <w:rsid w:val="007354C2"/>
    <w:rsid w:val="0074178B"/>
    <w:rsid w:val="0074738C"/>
    <w:rsid w:val="007543B0"/>
    <w:rsid w:val="00764EB5"/>
    <w:rsid w:val="00767B1D"/>
    <w:rsid w:val="00777BC8"/>
    <w:rsid w:val="00780763"/>
    <w:rsid w:val="00782A8B"/>
    <w:rsid w:val="00797715"/>
    <w:rsid w:val="007A1959"/>
    <w:rsid w:val="007A3AEC"/>
    <w:rsid w:val="007A5A34"/>
    <w:rsid w:val="007B67B8"/>
    <w:rsid w:val="007C2FAD"/>
    <w:rsid w:val="007C343C"/>
    <w:rsid w:val="007E5CE7"/>
    <w:rsid w:val="007F275C"/>
    <w:rsid w:val="00826FA9"/>
    <w:rsid w:val="00846372"/>
    <w:rsid w:val="008544A9"/>
    <w:rsid w:val="00880208"/>
    <w:rsid w:val="00880C8B"/>
    <w:rsid w:val="008A0650"/>
    <w:rsid w:val="008B1044"/>
    <w:rsid w:val="008B4C80"/>
    <w:rsid w:val="008B59FF"/>
    <w:rsid w:val="008D5DA3"/>
    <w:rsid w:val="008F426E"/>
    <w:rsid w:val="0091062A"/>
    <w:rsid w:val="00927696"/>
    <w:rsid w:val="00933304"/>
    <w:rsid w:val="0093729A"/>
    <w:rsid w:val="00947542"/>
    <w:rsid w:val="009506FE"/>
    <w:rsid w:val="0095552B"/>
    <w:rsid w:val="00955C21"/>
    <w:rsid w:val="00972A0C"/>
    <w:rsid w:val="009868D2"/>
    <w:rsid w:val="009A3E3B"/>
    <w:rsid w:val="009B63D0"/>
    <w:rsid w:val="009F3F21"/>
    <w:rsid w:val="00A012E3"/>
    <w:rsid w:val="00A130DB"/>
    <w:rsid w:val="00A26734"/>
    <w:rsid w:val="00A461F1"/>
    <w:rsid w:val="00A546C7"/>
    <w:rsid w:val="00A76FA7"/>
    <w:rsid w:val="00A82A30"/>
    <w:rsid w:val="00A925A8"/>
    <w:rsid w:val="00AA2F49"/>
    <w:rsid w:val="00AA44B6"/>
    <w:rsid w:val="00AD4969"/>
    <w:rsid w:val="00AE08D8"/>
    <w:rsid w:val="00AE7E11"/>
    <w:rsid w:val="00AF3F38"/>
    <w:rsid w:val="00B0428A"/>
    <w:rsid w:val="00B122B0"/>
    <w:rsid w:val="00B5567F"/>
    <w:rsid w:val="00B63412"/>
    <w:rsid w:val="00B717F7"/>
    <w:rsid w:val="00B77C18"/>
    <w:rsid w:val="00B90794"/>
    <w:rsid w:val="00B94A9C"/>
    <w:rsid w:val="00BB1B71"/>
    <w:rsid w:val="00BC036C"/>
    <w:rsid w:val="00BC25B4"/>
    <w:rsid w:val="00BC37D4"/>
    <w:rsid w:val="00BC581C"/>
    <w:rsid w:val="00BC6B80"/>
    <w:rsid w:val="00BD032C"/>
    <w:rsid w:val="00BD532B"/>
    <w:rsid w:val="00BE1D70"/>
    <w:rsid w:val="00BE2CD7"/>
    <w:rsid w:val="00BE5212"/>
    <w:rsid w:val="00BE672E"/>
    <w:rsid w:val="00C02620"/>
    <w:rsid w:val="00C02D7B"/>
    <w:rsid w:val="00C07D39"/>
    <w:rsid w:val="00C108CF"/>
    <w:rsid w:val="00C171EA"/>
    <w:rsid w:val="00C32F23"/>
    <w:rsid w:val="00C33F35"/>
    <w:rsid w:val="00C34F07"/>
    <w:rsid w:val="00C37D8E"/>
    <w:rsid w:val="00C551A3"/>
    <w:rsid w:val="00C64A5F"/>
    <w:rsid w:val="00C71036"/>
    <w:rsid w:val="00C759EE"/>
    <w:rsid w:val="00C75F89"/>
    <w:rsid w:val="00C81995"/>
    <w:rsid w:val="00C83169"/>
    <w:rsid w:val="00C91A57"/>
    <w:rsid w:val="00CA1A9A"/>
    <w:rsid w:val="00CA45F0"/>
    <w:rsid w:val="00CA61AB"/>
    <w:rsid w:val="00CB4FC4"/>
    <w:rsid w:val="00CC1CDE"/>
    <w:rsid w:val="00CE525D"/>
    <w:rsid w:val="00CF1819"/>
    <w:rsid w:val="00CF793E"/>
    <w:rsid w:val="00D043F5"/>
    <w:rsid w:val="00D33E6E"/>
    <w:rsid w:val="00D35B03"/>
    <w:rsid w:val="00D42923"/>
    <w:rsid w:val="00D46B5F"/>
    <w:rsid w:val="00D471EB"/>
    <w:rsid w:val="00D5188D"/>
    <w:rsid w:val="00D56B06"/>
    <w:rsid w:val="00D91F4C"/>
    <w:rsid w:val="00D940D8"/>
    <w:rsid w:val="00DA40F1"/>
    <w:rsid w:val="00DA5BC1"/>
    <w:rsid w:val="00DB4733"/>
    <w:rsid w:val="00DB61AD"/>
    <w:rsid w:val="00DC3FD8"/>
    <w:rsid w:val="00DD02F7"/>
    <w:rsid w:val="00DE412A"/>
    <w:rsid w:val="00DE76AA"/>
    <w:rsid w:val="00DF57EE"/>
    <w:rsid w:val="00DF6476"/>
    <w:rsid w:val="00E05B73"/>
    <w:rsid w:val="00E24F7B"/>
    <w:rsid w:val="00E5492E"/>
    <w:rsid w:val="00E90FAD"/>
    <w:rsid w:val="00E92F8B"/>
    <w:rsid w:val="00ED0FEE"/>
    <w:rsid w:val="00ED4F66"/>
    <w:rsid w:val="00ED7B7B"/>
    <w:rsid w:val="00ED7BAA"/>
    <w:rsid w:val="00EE1853"/>
    <w:rsid w:val="00F051CF"/>
    <w:rsid w:val="00F070D0"/>
    <w:rsid w:val="00F2593B"/>
    <w:rsid w:val="00F33B06"/>
    <w:rsid w:val="00F33F89"/>
    <w:rsid w:val="00F525E4"/>
    <w:rsid w:val="00F673B4"/>
    <w:rsid w:val="00F71C19"/>
    <w:rsid w:val="00F8246B"/>
    <w:rsid w:val="00F83B32"/>
    <w:rsid w:val="00F90DDC"/>
    <w:rsid w:val="00FA369D"/>
    <w:rsid w:val="00FA3BEF"/>
    <w:rsid w:val="00FF31B4"/>
    <w:rsid w:val="03033129"/>
    <w:rsid w:val="062D1525"/>
    <w:rsid w:val="0667A033"/>
    <w:rsid w:val="07D8397A"/>
    <w:rsid w:val="0A5A77B0"/>
    <w:rsid w:val="0B520B0D"/>
    <w:rsid w:val="0C04318E"/>
    <w:rsid w:val="0C86633E"/>
    <w:rsid w:val="0F21904F"/>
    <w:rsid w:val="110A5F13"/>
    <w:rsid w:val="1279CD35"/>
    <w:rsid w:val="15465E8A"/>
    <w:rsid w:val="16BC6CD3"/>
    <w:rsid w:val="170B4A2B"/>
    <w:rsid w:val="1805F810"/>
    <w:rsid w:val="1B331653"/>
    <w:rsid w:val="1BE22118"/>
    <w:rsid w:val="1C3FD8EA"/>
    <w:rsid w:val="1E5041C7"/>
    <w:rsid w:val="1E829F8A"/>
    <w:rsid w:val="20C34016"/>
    <w:rsid w:val="258106B2"/>
    <w:rsid w:val="273F9950"/>
    <w:rsid w:val="29B6BB3D"/>
    <w:rsid w:val="2C5DA783"/>
    <w:rsid w:val="2E8B902F"/>
    <w:rsid w:val="2FCFCC01"/>
    <w:rsid w:val="32B33E8F"/>
    <w:rsid w:val="33B48CD4"/>
    <w:rsid w:val="372EA39B"/>
    <w:rsid w:val="3859B212"/>
    <w:rsid w:val="3BB26A76"/>
    <w:rsid w:val="3EFB5A3D"/>
    <w:rsid w:val="409C16BF"/>
    <w:rsid w:val="41A1F13C"/>
    <w:rsid w:val="442FAD74"/>
    <w:rsid w:val="47D8D793"/>
    <w:rsid w:val="47F31B21"/>
    <w:rsid w:val="48ECE4AA"/>
    <w:rsid w:val="495DFBD7"/>
    <w:rsid w:val="4B80C4BE"/>
    <w:rsid w:val="4E1DE195"/>
    <w:rsid w:val="52B8D2E9"/>
    <w:rsid w:val="57F2BD7C"/>
    <w:rsid w:val="5A4EF246"/>
    <w:rsid w:val="5E14B348"/>
    <w:rsid w:val="614C540A"/>
    <w:rsid w:val="624640B7"/>
    <w:rsid w:val="625F6914"/>
    <w:rsid w:val="64AB58ED"/>
    <w:rsid w:val="672EB5EC"/>
    <w:rsid w:val="67E2D52B"/>
    <w:rsid w:val="68B5823B"/>
    <w:rsid w:val="6A2617EB"/>
    <w:rsid w:val="6DFE802E"/>
    <w:rsid w:val="71F94A6B"/>
    <w:rsid w:val="72E51FD8"/>
    <w:rsid w:val="73BC5A69"/>
    <w:rsid w:val="79F73262"/>
    <w:rsid w:val="7AACF77B"/>
    <w:rsid w:val="7E734622"/>
    <w:rsid w:val="7EF1838D"/>
    <w:rsid w:val="7F1B95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7B9BEF3A-E040-4DDA-A0EA-852324BF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f2df0ba-6bb7-4f77-8da0-040ed292941d">
      <UserInfo>
        <DisplayName>Hornby, Catharine (A&amp;F)</DisplayName>
        <AccountId>64</AccountId>
        <AccountType/>
      </UserInfo>
      <UserInfo>
        <DisplayName>Lynch, Patrick E. (A&amp;F)</DisplayName>
        <AccountId>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81304-B295-431A-8CD2-CC8BE0EB2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 ds:uri="9f2df0ba-6bb7-4f77-8da0-040ed292941d"/>
  </ds:schemaRefs>
</ds:datastoreItem>
</file>

<file path=customXml/itemProps3.xml><?xml version="1.0" encoding="utf-8"?>
<ds:datastoreItem xmlns:ds="http://schemas.openxmlformats.org/officeDocument/2006/customXml" ds:itemID="{2B5B42FB-A4EB-4BF4-AD7D-C7369E61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3648</Characters>
  <Application>Microsoft Office Word</Application>
  <DocSecurity>0</DocSecurity>
  <Lines>30</Lines>
  <Paragraphs>8</Paragraphs>
  <ScaleCrop>false</ScaleCrop>
  <Company>Commonwealth of Massachusetts</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2022-07-28T13:55:00Z</dcterms:created>
  <dcterms:modified xsi:type="dcterms:W3CDTF">2022-07-28T13:55:00Z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