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1EE1F" w14:textId="77777777" w:rsidR="00611F74" w:rsidRPr="00611F74" w:rsidRDefault="00611F74" w:rsidP="00A07786">
      <w:pPr>
        <w:pStyle w:val="Title"/>
      </w:pPr>
      <w:r w:rsidRPr="00611F74">
        <w:t>Independent Evaluation De</w:t>
      </w:r>
      <w:r w:rsidRPr="00611F74">
        <w:softHyphen/>
        <w:t>sign Document</w:t>
      </w:r>
    </w:p>
    <w:p w14:paraId="6348FB65" w14:textId="77777777" w:rsidR="00611F74" w:rsidRPr="00D735F3" w:rsidRDefault="00611F74" w:rsidP="00A07786">
      <w:pPr>
        <w:pStyle w:val="Title"/>
        <w:rPr>
          <w:sz w:val="32"/>
          <w:szCs w:val="48"/>
        </w:rPr>
      </w:pPr>
      <w:r w:rsidRPr="00D735F3">
        <w:rPr>
          <w:sz w:val="32"/>
          <w:szCs w:val="48"/>
        </w:rPr>
        <w:t>Massachusetts 1115 Demonstration Extension 2022-2027</w:t>
      </w:r>
    </w:p>
    <w:p w14:paraId="1FB321B5" w14:textId="77777777" w:rsidR="000E3A16" w:rsidRPr="00646B90" w:rsidRDefault="000E3A16" w:rsidP="000E3A16">
      <w:pPr>
        <w:pStyle w:val="Cover-FileandSubmissioninfo"/>
      </w:pPr>
      <w:r w:rsidRPr="00646B90">
        <w:rPr>
          <w:i/>
          <w:iCs/>
        </w:rPr>
        <w:t>Prepared by</w:t>
      </w:r>
    </w:p>
    <w:p w14:paraId="3620DFAA" w14:textId="77777777" w:rsidR="000E3A16" w:rsidRPr="00646B90" w:rsidRDefault="000E3A16" w:rsidP="000E3A16">
      <w:pPr>
        <w:pStyle w:val="Cover-FileandSubmissioninfo"/>
      </w:pPr>
      <w:r w:rsidRPr="00646B90">
        <w:t>The UMass Chan Medical School</w:t>
      </w:r>
    </w:p>
    <w:p w14:paraId="26315E77" w14:textId="77777777" w:rsidR="000E3A16" w:rsidRPr="00646B90" w:rsidRDefault="000E3A16" w:rsidP="000E3A16">
      <w:pPr>
        <w:pStyle w:val="Cover-FileandSubmissioninfo"/>
        <w:rPr>
          <w:i/>
          <w:iCs/>
        </w:rPr>
      </w:pPr>
      <w:r w:rsidRPr="00646B90">
        <w:rPr>
          <w:i/>
          <w:iCs/>
        </w:rPr>
        <w:t>for</w:t>
      </w:r>
    </w:p>
    <w:p w14:paraId="4F01CFAD" w14:textId="77777777" w:rsidR="000E3A16" w:rsidRPr="00646B90" w:rsidRDefault="000E3A16" w:rsidP="000E3A16">
      <w:pPr>
        <w:pStyle w:val="Cover-FileandSubmissioninfo"/>
      </w:pPr>
      <w:r w:rsidRPr="00646B90">
        <w:t>The Massachusetts Executive Office of Health and Human Services</w:t>
      </w:r>
    </w:p>
    <w:p w14:paraId="1388EE87" w14:textId="77777777" w:rsidR="000E3A16" w:rsidRPr="00646B90" w:rsidRDefault="000E3A16" w:rsidP="000E3A16">
      <w:pPr>
        <w:pStyle w:val="Cover-FileandSubmissioninfo"/>
        <w:rPr>
          <w:i/>
          <w:iCs/>
        </w:rPr>
      </w:pPr>
      <w:r w:rsidRPr="00646B90">
        <w:rPr>
          <w:i/>
          <w:iCs/>
        </w:rPr>
        <w:t>and</w:t>
      </w:r>
    </w:p>
    <w:p w14:paraId="073359E2" w14:textId="77777777" w:rsidR="000E3A16" w:rsidRPr="00066100" w:rsidRDefault="000E3A16" w:rsidP="000E3A16">
      <w:pPr>
        <w:pStyle w:val="Cover-FileandSubmissioninfo"/>
      </w:pPr>
      <w:r w:rsidRPr="00646B90">
        <w:t>The Centers for Medicare and Medicaid Services</w:t>
      </w:r>
    </w:p>
    <w:p w14:paraId="580BE65A" w14:textId="77777777" w:rsidR="000E3A16" w:rsidRPr="00F24A32" w:rsidRDefault="000E3A16" w:rsidP="000E3A16">
      <w:pPr>
        <w:pStyle w:val="Cover-SubmitDate"/>
      </w:pPr>
      <w:r w:rsidRPr="00646B90">
        <w:t xml:space="preserve">Submitted to CMS </w:t>
      </w:r>
      <w:r>
        <w:br/>
        <w:t>December 2023</w:t>
      </w:r>
    </w:p>
    <w:p w14:paraId="5B90EDD3" w14:textId="77777777" w:rsidR="000E3A16" w:rsidRPr="00646B90" w:rsidRDefault="000E3A16" w:rsidP="000E3A16"/>
    <w:p w14:paraId="62009D67" w14:textId="77777777" w:rsidR="000E3A16" w:rsidRPr="00EA26D6" w:rsidRDefault="000E3A16" w:rsidP="000E3A16">
      <w:pPr>
        <w:sectPr w:rsidR="000E3A16" w:rsidRPr="00EA26D6" w:rsidSect="00744E1B">
          <w:headerReference w:type="default" r:id="rId11"/>
          <w:headerReference w:type="first" r:id="rId12"/>
          <w:pgSz w:w="12240" w:h="15840"/>
          <w:pgMar w:top="1692" w:right="1440" w:bottom="1242" w:left="1440" w:header="720" w:footer="576" w:gutter="0"/>
          <w:pgNumType w:fmt="upperRoman" w:start="1"/>
          <w:cols w:space="720"/>
          <w:docGrid w:linePitch="360"/>
        </w:sectPr>
      </w:pPr>
    </w:p>
    <w:p w14:paraId="410CF1C7" w14:textId="0BC241CF" w:rsidR="0086606C" w:rsidRPr="008A0008" w:rsidRDefault="00E4715B" w:rsidP="00AE60FB">
      <w:pPr>
        <w:pStyle w:val="TOCHeading"/>
      </w:pPr>
      <w:bookmarkStart w:id="0" w:name="_Toc131523181"/>
      <w:r w:rsidRPr="008A0008">
        <w:lastRenderedPageBreak/>
        <w:t>Table of Contents</w:t>
      </w:r>
      <w:bookmarkEnd w:id="0"/>
    </w:p>
    <w:p w14:paraId="5758891A" w14:textId="444F6783" w:rsidR="008C4A1C" w:rsidRDefault="00BB7A24">
      <w:pPr>
        <w:pStyle w:val="TOC1"/>
        <w:rPr>
          <w:rFonts w:cstheme="minorBidi"/>
          <w:kern w:val="2"/>
          <w:sz w:val="22"/>
          <w:szCs w:val="22"/>
          <w14:ligatures w14:val="standardContextual"/>
        </w:rPr>
      </w:pPr>
      <w:r>
        <w:rPr>
          <w:b/>
          <w:i/>
          <w:sz w:val="28"/>
          <w:szCs w:val="24"/>
        </w:rPr>
        <w:fldChar w:fldCharType="begin"/>
      </w:r>
      <w:r>
        <w:rPr>
          <w:b/>
          <w:i/>
          <w:sz w:val="28"/>
          <w:szCs w:val="24"/>
        </w:rPr>
        <w:instrText xml:space="preserve"> TOC \o "1-2" \h \z \u </w:instrText>
      </w:r>
      <w:r>
        <w:rPr>
          <w:b/>
          <w:i/>
          <w:sz w:val="28"/>
          <w:szCs w:val="24"/>
        </w:rPr>
        <w:fldChar w:fldCharType="separate"/>
      </w:r>
      <w:hyperlink w:anchor="_Toc151976404" w:history="1">
        <w:r w:rsidR="008C4A1C" w:rsidRPr="00EB05C1">
          <w:rPr>
            <w:rStyle w:val="Hyperlink"/>
          </w:rPr>
          <w:t>Evaluation Design Document (EDD) Acronyms</w:t>
        </w:r>
        <w:r w:rsidR="008C4A1C">
          <w:rPr>
            <w:webHidden/>
          </w:rPr>
          <w:tab/>
        </w:r>
        <w:r w:rsidR="008C4A1C">
          <w:rPr>
            <w:webHidden/>
          </w:rPr>
          <w:fldChar w:fldCharType="begin"/>
        </w:r>
        <w:r w:rsidR="008C4A1C">
          <w:rPr>
            <w:webHidden/>
          </w:rPr>
          <w:instrText xml:space="preserve"> PAGEREF _Toc151976404 \h </w:instrText>
        </w:r>
        <w:r w:rsidR="008C4A1C">
          <w:rPr>
            <w:webHidden/>
          </w:rPr>
        </w:r>
        <w:r w:rsidR="008C4A1C">
          <w:rPr>
            <w:webHidden/>
          </w:rPr>
          <w:fldChar w:fldCharType="separate"/>
        </w:r>
        <w:r w:rsidR="008C4A1C">
          <w:rPr>
            <w:webHidden/>
          </w:rPr>
          <w:t>1</w:t>
        </w:r>
        <w:r w:rsidR="008C4A1C">
          <w:rPr>
            <w:webHidden/>
          </w:rPr>
          <w:fldChar w:fldCharType="end"/>
        </w:r>
      </w:hyperlink>
    </w:p>
    <w:p w14:paraId="7A907C0A" w14:textId="3F381481" w:rsidR="008C4A1C" w:rsidRDefault="0020559B">
      <w:pPr>
        <w:pStyle w:val="TOC1"/>
        <w:rPr>
          <w:rFonts w:cstheme="minorBidi"/>
          <w:kern w:val="2"/>
          <w:sz w:val="22"/>
          <w:szCs w:val="22"/>
          <w14:ligatures w14:val="standardContextual"/>
        </w:rPr>
      </w:pPr>
      <w:hyperlink w:anchor="_Toc151976405" w:history="1">
        <w:r w:rsidR="008C4A1C" w:rsidRPr="00EB05C1">
          <w:rPr>
            <w:rStyle w:val="Hyperlink"/>
            <w:rFonts w:asciiTheme="majorHAnsi" w:hAnsiTheme="majorHAnsi"/>
          </w:rPr>
          <w:t>1.</w:t>
        </w:r>
        <w:r w:rsidR="008C4A1C">
          <w:rPr>
            <w:rFonts w:cstheme="minorBidi"/>
            <w:kern w:val="2"/>
            <w:sz w:val="22"/>
            <w:szCs w:val="22"/>
            <w14:ligatures w14:val="standardContextual"/>
          </w:rPr>
          <w:tab/>
        </w:r>
        <w:r w:rsidR="008C4A1C" w:rsidRPr="00EB05C1">
          <w:rPr>
            <w:rStyle w:val="Hyperlink"/>
          </w:rPr>
          <w:t>Executive Summary</w:t>
        </w:r>
        <w:r w:rsidR="008C4A1C">
          <w:rPr>
            <w:webHidden/>
          </w:rPr>
          <w:tab/>
        </w:r>
        <w:r w:rsidR="008C4A1C">
          <w:rPr>
            <w:webHidden/>
          </w:rPr>
          <w:fldChar w:fldCharType="begin"/>
        </w:r>
        <w:r w:rsidR="008C4A1C">
          <w:rPr>
            <w:webHidden/>
          </w:rPr>
          <w:instrText xml:space="preserve"> PAGEREF _Toc151976405 \h </w:instrText>
        </w:r>
        <w:r w:rsidR="008C4A1C">
          <w:rPr>
            <w:webHidden/>
          </w:rPr>
        </w:r>
        <w:r w:rsidR="008C4A1C">
          <w:rPr>
            <w:webHidden/>
          </w:rPr>
          <w:fldChar w:fldCharType="separate"/>
        </w:r>
        <w:r w:rsidR="008C4A1C">
          <w:rPr>
            <w:webHidden/>
          </w:rPr>
          <w:t>6</w:t>
        </w:r>
        <w:r w:rsidR="008C4A1C">
          <w:rPr>
            <w:webHidden/>
          </w:rPr>
          <w:fldChar w:fldCharType="end"/>
        </w:r>
      </w:hyperlink>
    </w:p>
    <w:p w14:paraId="13F3846C" w14:textId="3923257A" w:rsidR="008C4A1C" w:rsidRDefault="0020559B">
      <w:pPr>
        <w:pStyle w:val="TOC2"/>
        <w:rPr>
          <w:rFonts w:cstheme="minorBidi"/>
          <w:iCs w:val="0"/>
          <w:noProof/>
          <w:color w:val="auto"/>
          <w:spacing w:val="0"/>
          <w:kern w:val="2"/>
          <w:sz w:val="22"/>
          <w:szCs w:val="22"/>
          <w14:ligatures w14:val="standardContextual"/>
        </w:rPr>
      </w:pPr>
      <w:hyperlink w:anchor="_Toc151976406" w:history="1">
        <w:r w:rsidR="008C4A1C" w:rsidRPr="00EB05C1">
          <w:rPr>
            <w:rStyle w:val="Hyperlink"/>
            <w:noProof/>
          </w:rPr>
          <w:t>1.1.</w:t>
        </w:r>
        <w:r w:rsidR="008C4A1C">
          <w:rPr>
            <w:rFonts w:cstheme="minorBidi"/>
            <w:iCs w:val="0"/>
            <w:noProof/>
            <w:color w:val="auto"/>
            <w:spacing w:val="0"/>
            <w:kern w:val="2"/>
            <w:sz w:val="22"/>
            <w:szCs w:val="22"/>
            <w14:ligatures w14:val="standardContextual"/>
          </w:rPr>
          <w:tab/>
        </w:r>
        <w:r w:rsidR="008C4A1C" w:rsidRPr="00EB05C1">
          <w:rPr>
            <w:rStyle w:val="Hyperlink"/>
            <w:noProof/>
          </w:rPr>
          <w:t>Demonstration Overview</w:t>
        </w:r>
        <w:r w:rsidR="008C4A1C">
          <w:rPr>
            <w:noProof/>
            <w:webHidden/>
          </w:rPr>
          <w:tab/>
        </w:r>
        <w:r w:rsidR="008C4A1C">
          <w:rPr>
            <w:noProof/>
            <w:webHidden/>
          </w:rPr>
          <w:fldChar w:fldCharType="begin"/>
        </w:r>
        <w:r w:rsidR="008C4A1C">
          <w:rPr>
            <w:noProof/>
            <w:webHidden/>
          </w:rPr>
          <w:instrText xml:space="preserve"> PAGEREF _Toc151976406 \h </w:instrText>
        </w:r>
        <w:r w:rsidR="008C4A1C">
          <w:rPr>
            <w:noProof/>
            <w:webHidden/>
          </w:rPr>
        </w:r>
        <w:r w:rsidR="008C4A1C">
          <w:rPr>
            <w:noProof/>
            <w:webHidden/>
          </w:rPr>
          <w:fldChar w:fldCharType="separate"/>
        </w:r>
        <w:r w:rsidR="008C4A1C">
          <w:rPr>
            <w:noProof/>
            <w:webHidden/>
          </w:rPr>
          <w:t>6</w:t>
        </w:r>
        <w:r w:rsidR="008C4A1C">
          <w:rPr>
            <w:noProof/>
            <w:webHidden/>
          </w:rPr>
          <w:fldChar w:fldCharType="end"/>
        </w:r>
      </w:hyperlink>
    </w:p>
    <w:p w14:paraId="002BCF39" w14:textId="00680A6F" w:rsidR="008C4A1C" w:rsidRDefault="0020559B">
      <w:pPr>
        <w:pStyle w:val="TOC2"/>
        <w:rPr>
          <w:rFonts w:cstheme="minorBidi"/>
          <w:iCs w:val="0"/>
          <w:noProof/>
          <w:color w:val="auto"/>
          <w:spacing w:val="0"/>
          <w:kern w:val="2"/>
          <w:sz w:val="22"/>
          <w:szCs w:val="22"/>
          <w14:ligatures w14:val="standardContextual"/>
        </w:rPr>
      </w:pPr>
      <w:hyperlink w:anchor="_Toc151976407" w:history="1">
        <w:r w:rsidR="008C4A1C" w:rsidRPr="00EB05C1">
          <w:rPr>
            <w:rStyle w:val="Hyperlink"/>
            <w:noProof/>
          </w:rPr>
          <w:t>1.2.</w:t>
        </w:r>
        <w:r w:rsidR="008C4A1C">
          <w:rPr>
            <w:rFonts w:cstheme="minorBidi"/>
            <w:iCs w:val="0"/>
            <w:noProof/>
            <w:color w:val="auto"/>
            <w:spacing w:val="0"/>
            <w:kern w:val="2"/>
            <w:sz w:val="22"/>
            <w:szCs w:val="22"/>
            <w14:ligatures w14:val="standardContextual"/>
          </w:rPr>
          <w:tab/>
        </w:r>
        <w:r w:rsidR="008C4A1C" w:rsidRPr="00EB05C1">
          <w:rPr>
            <w:rStyle w:val="Hyperlink"/>
            <w:noProof/>
          </w:rPr>
          <w:t>Selection of the Independent Evaluator and Assurance of Independence</w:t>
        </w:r>
        <w:r w:rsidR="008C4A1C">
          <w:rPr>
            <w:noProof/>
            <w:webHidden/>
          </w:rPr>
          <w:tab/>
        </w:r>
        <w:r w:rsidR="008C4A1C">
          <w:rPr>
            <w:noProof/>
            <w:webHidden/>
          </w:rPr>
          <w:fldChar w:fldCharType="begin"/>
        </w:r>
        <w:r w:rsidR="008C4A1C">
          <w:rPr>
            <w:noProof/>
            <w:webHidden/>
          </w:rPr>
          <w:instrText xml:space="preserve"> PAGEREF _Toc151976407 \h </w:instrText>
        </w:r>
        <w:r w:rsidR="008C4A1C">
          <w:rPr>
            <w:noProof/>
            <w:webHidden/>
          </w:rPr>
        </w:r>
        <w:r w:rsidR="008C4A1C">
          <w:rPr>
            <w:noProof/>
            <w:webHidden/>
          </w:rPr>
          <w:fldChar w:fldCharType="separate"/>
        </w:r>
        <w:r w:rsidR="008C4A1C">
          <w:rPr>
            <w:noProof/>
            <w:webHidden/>
          </w:rPr>
          <w:t>8</w:t>
        </w:r>
        <w:r w:rsidR="008C4A1C">
          <w:rPr>
            <w:noProof/>
            <w:webHidden/>
          </w:rPr>
          <w:fldChar w:fldCharType="end"/>
        </w:r>
      </w:hyperlink>
    </w:p>
    <w:p w14:paraId="2BB962B9" w14:textId="2A3001F5" w:rsidR="008C4A1C" w:rsidRDefault="0020559B">
      <w:pPr>
        <w:pStyle w:val="TOC2"/>
        <w:rPr>
          <w:rFonts w:cstheme="minorBidi"/>
          <w:iCs w:val="0"/>
          <w:noProof/>
          <w:color w:val="auto"/>
          <w:spacing w:val="0"/>
          <w:kern w:val="2"/>
          <w:sz w:val="22"/>
          <w:szCs w:val="22"/>
          <w14:ligatures w14:val="standardContextual"/>
        </w:rPr>
      </w:pPr>
      <w:hyperlink w:anchor="_Toc151976408" w:history="1">
        <w:r w:rsidR="008C4A1C" w:rsidRPr="00EB05C1">
          <w:rPr>
            <w:rStyle w:val="Hyperlink"/>
            <w:noProof/>
          </w:rPr>
          <w:t>1.3.</w:t>
        </w:r>
        <w:r w:rsidR="008C4A1C">
          <w:rPr>
            <w:rFonts w:cstheme="minorBidi"/>
            <w:iCs w:val="0"/>
            <w:noProof/>
            <w:color w:val="auto"/>
            <w:spacing w:val="0"/>
            <w:kern w:val="2"/>
            <w:sz w:val="22"/>
            <w:szCs w:val="22"/>
            <w14:ligatures w14:val="standardContextual"/>
          </w:rPr>
          <w:tab/>
        </w:r>
        <w:r w:rsidR="008C4A1C" w:rsidRPr="00EB05C1">
          <w:rPr>
            <w:rStyle w:val="Hyperlink"/>
            <w:noProof/>
          </w:rPr>
          <w:t>Overview of the 2022-2027 EDD</w:t>
        </w:r>
        <w:r w:rsidR="008C4A1C">
          <w:rPr>
            <w:noProof/>
            <w:webHidden/>
          </w:rPr>
          <w:tab/>
        </w:r>
        <w:r w:rsidR="008C4A1C">
          <w:rPr>
            <w:noProof/>
            <w:webHidden/>
          </w:rPr>
          <w:fldChar w:fldCharType="begin"/>
        </w:r>
        <w:r w:rsidR="008C4A1C">
          <w:rPr>
            <w:noProof/>
            <w:webHidden/>
          </w:rPr>
          <w:instrText xml:space="preserve"> PAGEREF _Toc151976408 \h </w:instrText>
        </w:r>
        <w:r w:rsidR="008C4A1C">
          <w:rPr>
            <w:noProof/>
            <w:webHidden/>
          </w:rPr>
        </w:r>
        <w:r w:rsidR="008C4A1C">
          <w:rPr>
            <w:noProof/>
            <w:webHidden/>
          </w:rPr>
          <w:fldChar w:fldCharType="separate"/>
        </w:r>
        <w:r w:rsidR="008C4A1C">
          <w:rPr>
            <w:noProof/>
            <w:webHidden/>
          </w:rPr>
          <w:t>8</w:t>
        </w:r>
        <w:r w:rsidR="008C4A1C">
          <w:rPr>
            <w:noProof/>
            <w:webHidden/>
          </w:rPr>
          <w:fldChar w:fldCharType="end"/>
        </w:r>
      </w:hyperlink>
    </w:p>
    <w:p w14:paraId="020D22B6" w14:textId="31BAFA2C" w:rsidR="008C4A1C" w:rsidRDefault="0020559B">
      <w:pPr>
        <w:pStyle w:val="TOC2"/>
        <w:rPr>
          <w:rFonts w:cstheme="minorBidi"/>
          <w:iCs w:val="0"/>
          <w:noProof/>
          <w:color w:val="auto"/>
          <w:spacing w:val="0"/>
          <w:kern w:val="2"/>
          <w:sz w:val="22"/>
          <w:szCs w:val="22"/>
          <w14:ligatures w14:val="standardContextual"/>
        </w:rPr>
      </w:pPr>
      <w:hyperlink w:anchor="_Toc151976409" w:history="1">
        <w:r w:rsidR="008C4A1C" w:rsidRPr="00EB05C1">
          <w:rPr>
            <w:rStyle w:val="Hyperlink"/>
            <w:noProof/>
          </w:rPr>
          <w:t>1.4.</w:t>
        </w:r>
        <w:r w:rsidR="008C4A1C">
          <w:rPr>
            <w:rFonts w:cstheme="minorBidi"/>
            <w:iCs w:val="0"/>
            <w:noProof/>
            <w:color w:val="auto"/>
            <w:spacing w:val="0"/>
            <w:kern w:val="2"/>
            <w:sz w:val="22"/>
            <w:szCs w:val="22"/>
            <w14:ligatures w14:val="standardContextual"/>
          </w:rPr>
          <w:tab/>
        </w:r>
        <w:r w:rsidR="008C4A1C" w:rsidRPr="00EB05C1">
          <w:rPr>
            <w:rStyle w:val="Hyperlink"/>
            <w:noProof/>
          </w:rPr>
          <w:t>Summary of the Evaluation Design, Data Sources, and Limitations</w:t>
        </w:r>
        <w:r w:rsidR="008C4A1C">
          <w:rPr>
            <w:noProof/>
            <w:webHidden/>
          </w:rPr>
          <w:tab/>
        </w:r>
        <w:r w:rsidR="008C4A1C">
          <w:rPr>
            <w:noProof/>
            <w:webHidden/>
          </w:rPr>
          <w:fldChar w:fldCharType="begin"/>
        </w:r>
        <w:r w:rsidR="008C4A1C">
          <w:rPr>
            <w:noProof/>
            <w:webHidden/>
          </w:rPr>
          <w:instrText xml:space="preserve"> PAGEREF _Toc151976409 \h </w:instrText>
        </w:r>
        <w:r w:rsidR="008C4A1C">
          <w:rPr>
            <w:noProof/>
            <w:webHidden/>
          </w:rPr>
        </w:r>
        <w:r w:rsidR="008C4A1C">
          <w:rPr>
            <w:noProof/>
            <w:webHidden/>
          </w:rPr>
          <w:fldChar w:fldCharType="separate"/>
        </w:r>
        <w:r w:rsidR="008C4A1C">
          <w:rPr>
            <w:noProof/>
            <w:webHidden/>
          </w:rPr>
          <w:t>12</w:t>
        </w:r>
        <w:r w:rsidR="008C4A1C">
          <w:rPr>
            <w:noProof/>
            <w:webHidden/>
          </w:rPr>
          <w:fldChar w:fldCharType="end"/>
        </w:r>
      </w:hyperlink>
    </w:p>
    <w:p w14:paraId="4CF95744" w14:textId="36C088FF" w:rsidR="008C4A1C" w:rsidRDefault="0020559B">
      <w:pPr>
        <w:pStyle w:val="TOC2"/>
        <w:rPr>
          <w:rFonts w:cstheme="minorBidi"/>
          <w:iCs w:val="0"/>
          <w:noProof/>
          <w:color w:val="auto"/>
          <w:spacing w:val="0"/>
          <w:kern w:val="2"/>
          <w:sz w:val="22"/>
          <w:szCs w:val="22"/>
          <w14:ligatures w14:val="standardContextual"/>
        </w:rPr>
      </w:pPr>
      <w:hyperlink w:anchor="_Toc151976410" w:history="1">
        <w:r w:rsidR="008C4A1C" w:rsidRPr="00EB05C1">
          <w:rPr>
            <w:rStyle w:val="Hyperlink"/>
            <w:noProof/>
          </w:rPr>
          <w:t>1.5.</w:t>
        </w:r>
        <w:r w:rsidR="008C4A1C">
          <w:rPr>
            <w:rFonts w:cstheme="minorBidi"/>
            <w:iCs w:val="0"/>
            <w:noProof/>
            <w:color w:val="auto"/>
            <w:spacing w:val="0"/>
            <w:kern w:val="2"/>
            <w:sz w:val="22"/>
            <w:szCs w:val="22"/>
            <w14:ligatures w14:val="standardContextual"/>
          </w:rPr>
          <w:tab/>
        </w:r>
        <w:r w:rsidR="008C4A1C" w:rsidRPr="00EB05C1">
          <w:rPr>
            <w:rStyle w:val="Hyperlink"/>
            <w:noProof/>
          </w:rPr>
          <w:t>Evaluation Limitations</w:t>
        </w:r>
        <w:r w:rsidR="008C4A1C">
          <w:rPr>
            <w:noProof/>
            <w:webHidden/>
          </w:rPr>
          <w:tab/>
        </w:r>
        <w:r w:rsidR="008C4A1C">
          <w:rPr>
            <w:noProof/>
            <w:webHidden/>
          </w:rPr>
          <w:fldChar w:fldCharType="begin"/>
        </w:r>
        <w:r w:rsidR="008C4A1C">
          <w:rPr>
            <w:noProof/>
            <w:webHidden/>
          </w:rPr>
          <w:instrText xml:space="preserve"> PAGEREF _Toc151976410 \h </w:instrText>
        </w:r>
        <w:r w:rsidR="008C4A1C">
          <w:rPr>
            <w:noProof/>
            <w:webHidden/>
          </w:rPr>
        </w:r>
        <w:r w:rsidR="008C4A1C">
          <w:rPr>
            <w:noProof/>
            <w:webHidden/>
          </w:rPr>
          <w:fldChar w:fldCharType="separate"/>
        </w:r>
        <w:r w:rsidR="008C4A1C">
          <w:rPr>
            <w:noProof/>
            <w:webHidden/>
          </w:rPr>
          <w:t>22</w:t>
        </w:r>
        <w:r w:rsidR="008C4A1C">
          <w:rPr>
            <w:noProof/>
            <w:webHidden/>
          </w:rPr>
          <w:fldChar w:fldCharType="end"/>
        </w:r>
      </w:hyperlink>
    </w:p>
    <w:p w14:paraId="1495998F" w14:textId="193969DB" w:rsidR="008C4A1C" w:rsidRDefault="0020559B">
      <w:pPr>
        <w:pStyle w:val="TOC2"/>
        <w:rPr>
          <w:rFonts w:cstheme="minorBidi"/>
          <w:iCs w:val="0"/>
          <w:noProof/>
          <w:color w:val="auto"/>
          <w:spacing w:val="0"/>
          <w:kern w:val="2"/>
          <w:sz w:val="22"/>
          <w:szCs w:val="22"/>
          <w14:ligatures w14:val="standardContextual"/>
        </w:rPr>
      </w:pPr>
      <w:hyperlink w:anchor="_Toc151976411" w:history="1">
        <w:r w:rsidR="008C4A1C" w:rsidRPr="00EB05C1">
          <w:rPr>
            <w:rStyle w:val="Hyperlink"/>
            <w:noProof/>
          </w:rPr>
          <w:t>1.6.</w:t>
        </w:r>
        <w:r w:rsidR="008C4A1C">
          <w:rPr>
            <w:rFonts w:cstheme="minorBidi"/>
            <w:iCs w:val="0"/>
            <w:noProof/>
            <w:color w:val="auto"/>
            <w:spacing w:val="0"/>
            <w:kern w:val="2"/>
            <w:sz w:val="22"/>
            <w:szCs w:val="22"/>
            <w14:ligatures w14:val="standardContextual"/>
          </w:rPr>
          <w:tab/>
        </w:r>
        <w:r w:rsidR="008C4A1C" w:rsidRPr="00EB05C1">
          <w:rPr>
            <w:rStyle w:val="Hyperlink"/>
            <w:noProof/>
          </w:rPr>
          <w:t>EDD Timeline, Milestones, Deliverables and Budget</w:t>
        </w:r>
        <w:r w:rsidR="008C4A1C">
          <w:rPr>
            <w:noProof/>
            <w:webHidden/>
          </w:rPr>
          <w:tab/>
        </w:r>
        <w:r w:rsidR="008C4A1C">
          <w:rPr>
            <w:noProof/>
            <w:webHidden/>
          </w:rPr>
          <w:fldChar w:fldCharType="begin"/>
        </w:r>
        <w:r w:rsidR="008C4A1C">
          <w:rPr>
            <w:noProof/>
            <w:webHidden/>
          </w:rPr>
          <w:instrText xml:space="preserve"> PAGEREF _Toc151976411 \h </w:instrText>
        </w:r>
        <w:r w:rsidR="008C4A1C">
          <w:rPr>
            <w:noProof/>
            <w:webHidden/>
          </w:rPr>
        </w:r>
        <w:r w:rsidR="008C4A1C">
          <w:rPr>
            <w:noProof/>
            <w:webHidden/>
          </w:rPr>
          <w:fldChar w:fldCharType="separate"/>
        </w:r>
        <w:r w:rsidR="008C4A1C">
          <w:rPr>
            <w:noProof/>
            <w:webHidden/>
          </w:rPr>
          <w:t>24</w:t>
        </w:r>
        <w:r w:rsidR="008C4A1C">
          <w:rPr>
            <w:noProof/>
            <w:webHidden/>
          </w:rPr>
          <w:fldChar w:fldCharType="end"/>
        </w:r>
      </w:hyperlink>
    </w:p>
    <w:p w14:paraId="4A30C2DD" w14:textId="198895D6" w:rsidR="008C4A1C" w:rsidRDefault="0020559B">
      <w:pPr>
        <w:pStyle w:val="TOC1"/>
        <w:rPr>
          <w:rFonts w:cstheme="minorBidi"/>
          <w:kern w:val="2"/>
          <w:sz w:val="22"/>
          <w:szCs w:val="22"/>
          <w14:ligatures w14:val="standardContextual"/>
        </w:rPr>
      </w:pPr>
      <w:hyperlink w:anchor="_Toc151976412" w:history="1">
        <w:r w:rsidR="008C4A1C" w:rsidRPr="00EB05C1">
          <w:rPr>
            <w:rStyle w:val="Hyperlink"/>
            <w:rFonts w:asciiTheme="majorHAnsi" w:hAnsiTheme="majorHAnsi"/>
          </w:rPr>
          <w:t>2.</w:t>
        </w:r>
        <w:r w:rsidR="008C4A1C">
          <w:rPr>
            <w:rFonts w:cstheme="minorBidi"/>
            <w:kern w:val="2"/>
            <w:sz w:val="22"/>
            <w:szCs w:val="22"/>
            <w14:ligatures w14:val="standardContextual"/>
          </w:rPr>
          <w:tab/>
        </w:r>
        <w:r w:rsidR="008C4A1C" w:rsidRPr="00EB05C1">
          <w:rPr>
            <w:rStyle w:val="Hyperlink"/>
          </w:rPr>
          <w:t>Coverage and Eligibility</w:t>
        </w:r>
        <w:r w:rsidR="008C4A1C">
          <w:rPr>
            <w:webHidden/>
          </w:rPr>
          <w:tab/>
        </w:r>
        <w:r w:rsidR="008C4A1C">
          <w:rPr>
            <w:webHidden/>
          </w:rPr>
          <w:fldChar w:fldCharType="begin"/>
        </w:r>
        <w:r w:rsidR="008C4A1C">
          <w:rPr>
            <w:webHidden/>
          </w:rPr>
          <w:instrText xml:space="preserve"> PAGEREF _Toc151976412 \h </w:instrText>
        </w:r>
        <w:r w:rsidR="008C4A1C">
          <w:rPr>
            <w:webHidden/>
          </w:rPr>
        </w:r>
        <w:r w:rsidR="008C4A1C">
          <w:rPr>
            <w:webHidden/>
          </w:rPr>
          <w:fldChar w:fldCharType="separate"/>
        </w:r>
        <w:r w:rsidR="008C4A1C">
          <w:rPr>
            <w:webHidden/>
          </w:rPr>
          <w:t>26</w:t>
        </w:r>
        <w:r w:rsidR="008C4A1C">
          <w:rPr>
            <w:webHidden/>
          </w:rPr>
          <w:fldChar w:fldCharType="end"/>
        </w:r>
      </w:hyperlink>
    </w:p>
    <w:p w14:paraId="4BB06FCD" w14:textId="3432F842" w:rsidR="008C4A1C" w:rsidRDefault="0020559B">
      <w:pPr>
        <w:pStyle w:val="TOC2"/>
        <w:rPr>
          <w:rFonts w:cstheme="minorBidi"/>
          <w:iCs w:val="0"/>
          <w:noProof/>
          <w:color w:val="auto"/>
          <w:spacing w:val="0"/>
          <w:kern w:val="2"/>
          <w:sz w:val="22"/>
          <w:szCs w:val="22"/>
          <w14:ligatures w14:val="standardContextual"/>
        </w:rPr>
      </w:pPr>
      <w:hyperlink w:anchor="_Toc151976413" w:history="1">
        <w:r w:rsidR="008C4A1C" w:rsidRPr="00EB05C1">
          <w:rPr>
            <w:rStyle w:val="Hyperlink"/>
            <w:noProof/>
          </w:rPr>
          <w:t>2.1.</w:t>
        </w:r>
        <w:r w:rsidR="008C4A1C">
          <w:rPr>
            <w:rFonts w:cstheme="minorBidi"/>
            <w:iCs w:val="0"/>
            <w:noProof/>
            <w:color w:val="auto"/>
            <w:spacing w:val="0"/>
            <w:kern w:val="2"/>
            <w:sz w:val="22"/>
            <w:szCs w:val="22"/>
            <w14:ligatures w14:val="standardContextual"/>
          </w:rPr>
          <w:tab/>
        </w:r>
        <w:r w:rsidR="008C4A1C" w:rsidRPr="00EB05C1">
          <w:rPr>
            <w:rStyle w:val="Hyperlink"/>
            <w:noProof/>
          </w:rPr>
          <w:t>Overview of Coverage &amp; Eligibility (C&amp;E) Policy Domain</w:t>
        </w:r>
        <w:r w:rsidR="008C4A1C">
          <w:rPr>
            <w:noProof/>
            <w:webHidden/>
          </w:rPr>
          <w:tab/>
        </w:r>
        <w:r w:rsidR="008C4A1C">
          <w:rPr>
            <w:noProof/>
            <w:webHidden/>
          </w:rPr>
          <w:fldChar w:fldCharType="begin"/>
        </w:r>
        <w:r w:rsidR="008C4A1C">
          <w:rPr>
            <w:noProof/>
            <w:webHidden/>
          </w:rPr>
          <w:instrText xml:space="preserve"> PAGEREF _Toc151976413 \h </w:instrText>
        </w:r>
        <w:r w:rsidR="008C4A1C">
          <w:rPr>
            <w:noProof/>
            <w:webHidden/>
          </w:rPr>
        </w:r>
        <w:r w:rsidR="008C4A1C">
          <w:rPr>
            <w:noProof/>
            <w:webHidden/>
          </w:rPr>
          <w:fldChar w:fldCharType="separate"/>
        </w:r>
        <w:r w:rsidR="008C4A1C">
          <w:rPr>
            <w:noProof/>
            <w:webHidden/>
          </w:rPr>
          <w:t>26</w:t>
        </w:r>
        <w:r w:rsidR="008C4A1C">
          <w:rPr>
            <w:noProof/>
            <w:webHidden/>
          </w:rPr>
          <w:fldChar w:fldCharType="end"/>
        </w:r>
      </w:hyperlink>
    </w:p>
    <w:p w14:paraId="4ABDEB4E" w14:textId="1F02A4F2" w:rsidR="008C4A1C" w:rsidRDefault="0020559B">
      <w:pPr>
        <w:pStyle w:val="TOC2"/>
        <w:rPr>
          <w:rFonts w:cstheme="minorBidi"/>
          <w:iCs w:val="0"/>
          <w:noProof/>
          <w:color w:val="auto"/>
          <w:spacing w:val="0"/>
          <w:kern w:val="2"/>
          <w:sz w:val="22"/>
          <w:szCs w:val="22"/>
          <w14:ligatures w14:val="standardContextual"/>
        </w:rPr>
      </w:pPr>
      <w:hyperlink w:anchor="_Toc151976414" w:history="1">
        <w:r w:rsidR="008C4A1C" w:rsidRPr="00EB05C1">
          <w:rPr>
            <w:rStyle w:val="Hyperlink"/>
            <w:noProof/>
          </w:rPr>
          <w:t>2.2.</w:t>
        </w:r>
        <w:r w:rsidR="008C4A1C">
          <w:rPr>
            <w:rFonts w:cstheme="minorBidi"/>
            <w:iCs w:val="0"/>
            <w:noProof/>
            <w:color w:val="auto"/>
            <w:spacing w:val="0"/>
            <w:kern w:val="2"/>
            <w:sz w:val="22"/>
            <w:szCs w:val="22"/>
            <w14:ligatures w14:val="standardContextual"/>
          </w:rPr>
          <w:tab/>
        </w:r>
        <w:r w:rsidR="008C4A1C" w:rsidRPr="00EB05C1">
          <w:rPr>
            <w:rStyle w:val="Hyperlink"/>
            <w:noProof/>
          </w:rPr>
          <w:t>Logic Model</w:t>
        </w:r>
        <w:r w:rsidR="008C4A1C">
          <w:rPr>
            <w:noProof/>
            <w:webHidden/>
          </w:rPr>
          <w:tab/>
        </w:r>
        <w:r w:rsidR="008C4A1C">
          <w:rPr>
            <w:noProof/>
            <w:webHidden/>
          </w:rPr>
          <w:fldChar w:fldCharType="begin"/>
        </w:r>
        <w:r w:rsidR="008C4A1C">
          <w:rPr>
            <w:noProof/>
            <w:webHidden/>
          </w:rPr>
          <w:instrText xml:space="preserve"> PAGEREF _Toc151976414 \h </w:instrText>
        </w:r>
        <w:r w:rsidR="008C4A1C">
          <w:rPr>
            <w:noProof/>
            <w:webHidden/>
          </w:rPr>
        </w:r>
        <w:r w:rsidR="008C4A1C">
          <w:rPr>
            <w:noProof/>
            <w:webHidden/>
          </w:rPr>
          <w:fldChar w:fldCharType="separate"/>
        </w:r>
        <w:r w:rsidR="008C4A1C">
          <w:rPr>
            <w:noProof/>
            <w:webHidden/>
          </w:rPr>
          <w:t>30</w:t>
        </w:r>
        <w:r w:rsidR="008C4A1C">
          <w:rPr>
            <w:noProof/>
            <w:webHidden/>
          </w:rPr>
          <w:fldChar w:fldCharType="end"/>
        </w:r>
      </w:hyperlink>
    </w:p>
    <w:p w14:paraId="72F8F563" w14:textId="08EB6747" w:rsidR="008C4A1C" w:rsidRDefault="0020559B">
      <w:pPr>
        <w:pStyle w:val="TOC2"/>
        <w:rPr>
          <w:rFonts w:cstheme="minorBidi"/>
          <w:iCs w:val="0"/>
          <w:noProof/>
          <w:color w:val="auto"/>
          <w:spacing w:val="0"/>
          <w:kern w:val="2"/>
          <w:sz w:val="22"/>
          <w:szCs w:val="22"/>
          <w14:ligatures w14:val="standardContextual"/>
        </w:rPr>
      </w:pPr>
      <w:hyperlink w:anchor="_Toc151976415" w:history="1">
        <w:r w:rsidR="008C4A1C" w:rsidRPr="00EB05C1">
          <w:rPr>
            <w:rStyle w:val="Hyperlink"/>
            <w:noProof/>
          </w:rPr>
          <w:t>2.3.</w:t>
        </w:r>
        <w:r w:rsidR="008C4A1C">
          <w:rPr>
            <w:rFonts w:cstheme="minorBidi"/>
            <w:iCs w:val="0"/>
            <w:noProof/>
            <w:color w:val="auto"/>
            <w:spacing w:val="0"/>
            <w:kern w:val="2"/>
            <w:sz w:val="22"/>
            <w:szCs w:val="22"/>
            <w14:ligatures w14:val="standardContextual"/>
          </w:rPr>
          <w:tab/>
        </w:r>
        <w:r w:rsidR="008C4A1C" w:rsidRPr="00EB05C1">
          <w:rPr>
            <w:rStyle w:val="Hyperlink"/>
            <w:noProof/>
          </w:rPr>
          <w:t>Research Questions and Hypotheses</w:t>
        </w:r>
        <w:r w:rsidR="008C4A1C">
          <w:rPr>
            <w:noProof/>
            <w:webHidden/>
          </w:rPr>
          <w:tab/>
        </w:r>
        <w:r w:rsidR="008C4A1C">
          <w:rPr>
            <w:noProof/>
            <w:webHidden/>
          </w:rPr>
          <w:fldChar w:fldCharType="begin"/>
        </w:r>
        <w:r w:rsidR="008C4A1C">
          <w:rPr>
            <w:noProof/>
            <w:webHidden/>
          </w:rPr>
          <w:instrText xml:space="preserve"> PAGEREF _Toc151976415 \h </w:instrText>
        </w:r>
        <w:r w:rsidR="008C4A1C">
          <w:rPr>
            <w:noProof/>
            <w:webHidden/>
          </w:rPr>
        </w:r>
        <w:r w:rsidR="008C4A1C">
          <w:rPr>
            <w:noProof/>
            <w:webHidden/>
          </w:rPr>
          <w:fldChar w:fldCharType="separate"/>
        </w:r>
        <w:r w:rsidR="008C4A1C">
          <w:rPr>
            <w:noProof/>
            <w:webHidden/>
          </w:rPr>
          <w:t>32</w:t>
        </w:r>
        <w:r w:rsidR="008C4A1C">
          <w:rPr>
            <w:noProof/>
            <w:webHidden/>
          </w:rPr>
          <w:fldChar w:fldCharType="end"/>
        </w:r>
      </w:hyperlink>
    </w:p>
    <w:p w14:paraId="53EABFF0" w14:textId="7B2FAB44" w:rsidR="008C4A1C" w:rsidRDefault="0020559B">
      <w:pPr>
        <w:pStyle w:val="TOC2"/>
        <w:rPr>
          <w:rFonts w:cstheme="minorBidi"/>
          <w:iCs w:val="0"/>
          <w:noProof/>
          <w:color w:val="auto"/>
          <w:spacing w:val="0"/>
          <w:kern w:val="2"/>
          <w:sz w:val="22"/>
          <w:szCs w:val="22"/>
          <w14:ligatures w14:val="standardContextual"/>
        </w:rPr>
      </w:pPr>
      <w:hyperlink w:anchor="_Toc151976416" w:history="1">
        <w:r w:rsidR="008C4A1C" w:rsidRPr="00EB05C1">
          <w:rPr>
            <w:rStyle w:val="Hyperlink"/>
            <w:noProof/>
          </w:rPr>
          <w:t>2.4.</w:t>
        </w:r>
        <w:r w:rsidR="008C4A1C">
          <w:rPr>
            <w:rFonts w:cstheme="minorBidi"/>
            <w:iCs w:val="0"/>
            <w:noProof/>
            <w:color w:val="auto"/>
            <w:spacing w:val="0"/>
            <w:kern w:val="2"/>
            <w:sz w:val="22"/>
            <w:szCs w:val="22"/>
            <w14:ligatures w14:val="standardContextual"/>
          </w:rPr>
          <w:tab/>
        </w:r>
        <w:r w:rsidR="008C4A1C" w:rsidRPr="00EB05C1">
          <w:rPr>
            <w:rStyle w:val="Hyperlink"/>
            <w:noProof/>
          </w:rPr>
          <w:t>Data and Methods</w:t>
        </w:r>
        <w:r w:rsidR="008C4A1C">
          <w:rPr>
            <w:noProof/>
            <w:webHidden/>
          </w:rPr>
          <w:tab/>
        </w:r>
        <w:r w:rsidR="008C4A1C">
          <w:rPr>
            <w:noProof/>
            <w:webHidden/>
          </w:rPr>
          <w:fldChar w:fldCharType="begin"/>
        </w:r>
        <w:r w:rsidR="008C4A1C">
          <w:rPr>
            <w:noProof/>
            <w:webHidden/>
          </w:rPr>
          <w:instrText xml:space="preserve"> PAGEREF _Toc151976416 \h </w:instrText>
        </w:r>
        <w:r w:rsidR="008C4A1C">
          <w:rPr>
            <w:noProof/>
            <w:webHidden/>
          </w:rPr>
        </w:r>
        <w:r w:rsidR="008C4A1C">
          <w:rPr>
            <w:noProof/>
            <w:webHidden/>
          </w:rPr>
          <w:fldChar w:fldCharType="separate"/>
        </w:r>
        <w:r w:rsidR="008C4A1C">
          <w:rPr>
            <w:noProof/>
            <w:webHidden/>
          </w:rPr>
          <w:t>36</w:t>
        </w:r>
        <w:r w:rsidR="008C4A1C">
          <w:rPr>
            <w:noProof/>
            <w:webHidden/>
          </w:rPr>
          <w:fldChar w:fldCharType="end"/>
        </w:r>
      </w:hyperlink>
    </w:p>
    <w:p w14:paraId="6FD24675" w14:textId="1A6B6EE7" w:rsidR="008C4A1C" w:rsidRDefault="0020559B">
      <w:pPr>
        <w:pStyle w:val="TOC1"/>
        <w:rPr>
          <w:rFonts w:cstheme="minorBidi"/>
          <w:kern w:val="2"/>
          <w:sz w:val="22"/>
          <w:szCs w:val="22"/>
          <w14:ligatures w14:val="standardContextual"/>
        </w:rPr>
      </w:pPr>
      <w:hyperlink w:anchor="_Toc151976417" w:history="1">
        <w:r w:rsidR="008C4A1C" w:rsidRPr="00EB05C1">
          <w:rPr>
            <w:rStyle w:val="Hyperlink"/>
            <w:rFonts w:asciiTheme="majorHAnsi" w:hAnsiTheme="majorHAnsi"/>
          </w:rPr>
          <w:t>3.</w:t>
        </w:r>
        <w:r w:rsidR="008C4A1C">
          <w:rPr>
            <w:rFonts w:cstheme="minorBidi"/>
            <w:kern w:val="2"/>
            <w:sz w:val="22"/>
            <w:szCs w:val="22"/>
            <w14:ligatures w14:val="standardContextual"/>
          </w:rPr>
          <w:tab/>
        </w:r>
        <w:r w:rsidR="008C4A1C" w:rsidRPr="00EB05C1">
          <w:rPr>
            <w:rStyle w:val="Hyperlink"/>
          </w:rPr>
          <w:t>Delivery System Reform</w:t>
        </w:r>
        <w:r w:rsidR="008C4A1C">
          <w:rPr>
            <w:webHidden/>
          </w:rPr>
          <w:tab/>
        </w:r>
        <w:r w:rsidR="008C4A1C">
          <w:rPr>
            <w:webHidden/>
          </w:rPr>
          <w:fldChar w:fldCharType="begin"/>
        </w:r>
        <w:r w:rsidR="008C4A1C">
          <w:rPr>
            <w:webHidden/>
          </w:rPr>
          <w:instrText xml:space="preserve"> PAGEREF _Toc151976417 \h </w:instrText>
        </w:r>
        <w:r w:rsidR="008C4A1C">
          <w:rPr>
            <w:webHidden/>
          </w:rPr>
        </w:r>
        <w:r w:rsidR="008C4A1C">
          <w:rPr>
            <w:webHidden/>
          </w:rPr>
          <w:fldChar w:fldCharType="separate"/>
        </w:r>
        <w:r w:rsidR="008C4A1C">
          <w:rPr>
            <w:webHidden/>
          </w:rPr>
          <w:t>40</w:t>
        </w:r>
        <w:r w:rsidR="008C4A1C">
          <w:rPr>
            <w:webHidden/>
          </w:rPr>
          <w:fldChar w:fldCharType="end"/>
        </w:r>
      </w:hyperlink>
    </w:p>
    <w:p w14:paraId="70E5E266" w14:textId="1F7ED03A" w:rsidR="008C4A1C" w:rsidRDefault="0020559B">
      <w:pPr>
        <w:pStyle w:val="TOC2"/>
        <w:rPr>
          <w:rFonts w:cstheme="minorBidi"/>
          <w:iCs w:val="0"/>
          <w:noProof/>
          <w:color w:val="auto"/>
          <w:spacing w:val="0"/>
          <w:kern w:val="2"/>
          <w:sz w:val="22"/>
          <w:szCs w:val="22"/>
          <w14:ligatures w14:val="standardContextual"/>
        </w:rPr>
      </w:pPr>
      <w:hyperlink w:anchor="_Toc151976418" w:history="1">
        <w:r w:rsidR="008C4A1C" w:rsidRPr="00EB05C1">
          <w:rPr>
            <w:rStyle w:val="Hyperlink"/>
            <w:noProof/>
          </w:rPr>
          <w:t>3.1.</w:t>
        </w:r>
        <w:r w:rsidR="008C4A1C">
          <w:rPr>
            <w:rFonts w:cstheme="minorBidi"/>
            <w:iCs w:val="0"/>
            <w:noProof/>
            <w:color w:val="auto"/>
            <w:spacing w:val="0"/>
            <w:kern w:val="2"/>
            <w:sz w:val="22"/>
            <w:szCs w:val="22"/>
            <w14:ligatures w14:val="standardContextual"/>
          </w:rPr>
          <w:tab/>
        </w:r>
        <w:r w:rsidR="008C4A1C" w:rsidRPr="00EB05C1">
          <w:rPr>
            <w:rStyle w:val="Hyperlink"/>
            <w:noProof/>
          </w:rPr>
          <w:t>Overview of Delivery System Reform (DSR) Policy Domain</w:t>
        </w:r>
        <w:r w:rsidR="008C4A1C">
          <w:rPr>
            <w:noProof/>
            <w:webHidden/>
          </w:rPr>
          <w:tab/>
        </w:r>
        <w:r w:rsidR="008C4A1C">
          <w:rPr>
            <w:noProof/>
            <w:webHidden/>
          </w:rPr>
          <w:fldChar w:fldCharType="begin"/>
        </w:r>
        <w:r w:rsidR="008C4A1C">
          <w:rPr>
            <w:noProof/>
            <w:webHidden/>
          </w:rPr>
          <w:instrText xml:space="preserve"> PAGEREF _Toc151976418 \h </w:instrText>
        </w:r>
        <w:r w:rsidR="008C4A1C">
          <w:rPr>
            <w:noProof/>
            <w:webHidden/>
          </w:rPr>
        </w:r>
        <w:r w:rsidR="008C4A1C">
          <w:rPr>
            <w:noProof/>
            <w:webHidden/>
          </w:rPr>
          <w:fldChar w:fldCharType="separate"/>
        </w:r>
        <w:r w:rsidR="008C4A1C">
          <w:rPr>
            <w:noProof/>
            <w:webHidden/>
          </w:rPr>
          <w:t>40</w:t>
        </w:r>
        <w:r w:rsidR="008C4A1C">
          <w:rPr>
            <w:noProof/>
            <w:webHidden/>
          </w:rPr>
          <w:fldChar w:fldCharType="end"/>
        </w:r>
      </w:hyperlink>
    </w:p>
    <w:p w14:paraId="3E2B5279" w14:textId="7FCE01FE" w:rsidR="008C4A1C" w:rsidRDefault="0020559B">
      <w:pPr>
        <w:pStyle w:val="TOC2"/>
        <w:rPr>
          <w:rFonts w:cstheme="minorBidi"/>
          <w:iCs w:val="0"/>
          <w:noProof/>
          <w:color w:val="auto"/>
          <w:spacing w:val="0"/>
          <w:kern w:val="2"/>
          <w:sz w:val="22"/>
          <w:szCs w:val="22"/>
          <w14:ligatures w14:val="standardContextual"/>
        </w:rPr>
      </w:pPr>
      <w:hyperlink w:anchor="_Toc151976419" w:history="1">
        <w:r w:rsidR="008C4A1C" w:rsidRPr="00EB05C1">
          <w:rPr>
            <w:rStyle w:val="Hyperlink"/>
            <w:noProof/>
          </w:rPr>
          <w:t>3.2.</w:t>
        </w:r>
        <w:r w:rsidR="008C4A1C">
          <w:rPr>
            <w:rFonts w:cstheme="minorBidi"/>
            <w:iCs w:val="0"/>
            <w:noProof/>
            <w:color w:val="auto"/>
            <w:spacing w:val="0"/>
            <w:kern w:val="2"/>
            <w:sz w:val="22"/>
            <w:szCs w:val="22"/>
            <w14:ligatures w14:val="standardContextual"/>
          </w:rPr>
          <w:tab/>
        </w:r>
        <w:r w:rsidR="008C4A1C" w:rsidRPr="00EB05C1">
          <w:rPr>
            <w:rStyle w:val="Hyperlink"/>
            <w:noProof/>
          </w:rPr>
          <w:t>Logic Model</w:t>
        </w:r>
        <w:r w:rsidR="008C4A1C">
          <w:rPr>
            <w:noProof/>
            <w:webHidden/>
          </w:rPr>
          <w:tab/>
        </w:r>
        <w:r w:rsidR="008C4A1C">
          <w:rPr>
            <w:noProof/>
            <w:webHidden/>
          </w:rPr>
          <w:fldChar w:fldCharType="begin"/>
        </w:r>
        <w:r w:rsidR="008C4A1C">
          <w:rPr>
            <w:noProof/>
            <w:webHidden/>
          </w:rPr>
          <w:instrText xml:space="preserve"> PAGEREF _Toc151976419 \h </w:instrText>
        </w:r>
        <w:r w:rsidR="008C4A1C">
          <w:rPr>
            <w:noProof/>
            <w:webHidden/>
          </w:rPr>
        </w:r>
        <w:r w:rsidR="008C4A1C">
          <w:rPr>
            <w:noProof/>
            <w:webHidden/>
          </w:rPr>
          <w:fldChar w:fldCharType="separate"/>
        </w:r>
        <w:r w:rsidR="008C4A1C">
          <w:rPr>
            <w:noProof/>
            <w:webHidden/>
          </w:rPr>
          <w:t>47</w:t>
        </w:r>
        <w:r w:rsidR="008C4A1C">
          <w:rPr>
            <w:noProof/>
            <w:webHidden/>
          </w:rPr>
          <w:fldChar w:fldCharType="end"/>
        </w:r>
      </w:hyperlink>
    </w:p>
    <w:p w14:paraId="1F07C9B2" w14:textId="0D61928D" w:rsidR="008C4A1C" w:rsidRDefault="0020559B">
      <w:pPr>
        <w:pStyle w:val="TOC2"/>
        <w:rPr>
          <w:rFonts w:cstheme="minorBidi"/>
          <w:iCs w:val="0"/>
          <w:noProof/>
          <w:color w:val="auto"/>
          <w:spacing w:val="0"/>
          <w:kern w:val="2"/>
          <w:sz w:val="22"/>
          <w:szCs w:val="22"/>
          <w14:ligatures w14:val="standardContextual"/>
        </w:rPr>
      </w:pPr>
      <w:hyperlink w:anchor="_Toc151976420" w:history="1">
        <w:r w:rsidR="008C4A1C" w:rsidRPr="00EB05C1">
          <w:rPr>
            <w:rStyle w:val="Hyperlink"/>
            <w:noProof/>
          </w:rPr>
          <w:t>3.3.</w:t>
        </w:r>
        <w:r w:rsidR="008C4A1C">
          <w:rPr>
            <w:rFonts w:cstheme="minorBidi"/>
            <w:iCs w:val="0"/>
            <w:noProof/>
            <w:color w:val="auto"/>
            <w:spacing w:val="0"/>
            <w:kern w:val="2"/>
            <w:sz w:val="22"/>
            <w:szCs w:val="22"/>
            <w14:ligatures w14:val="standardContextual"/>
          </w:rPr>
          <w:tab/>
        </w:r>
        <w:r w:rsidR="008C4A1C" w:rsidRPr="00EB05C1">
          <w:rPr>
            <w:rStyle w:val="Hyperlink"/>
            <w:noProof/>
          </w:rPr>
          <w:t>Research Questions and Hypotheses</w:t>
        </w:r>
        <w:r w:rsidR="008C4A1C">
          <w:rPr>
            <w:noProof/>
            <w:webHidden/>
          </w:rPr>
          <w:tab/>
        </w:r>
        <w:r w:rsidR="008C4A1C">
          <w:rPr>
            <w:noProof/>
            <w:webHidden/>
          </w:rPr>
          <w:fldChar w:fldCharType="begin"/>
        </w:r>
        <w:r w:rsidR="008C4A1C">
          <w:rPr>
            <w:noProof/>
            <w:webHidden/>
          </w:rPr>
          <w:instrText xml:space="preserve"> PAGEREF _Toc151976420 \h </w:instrText>
        </w:r>
        <w:r w:rsidR="008C4A1C">
          <w:rPr>
            <w:noProof/>
            <w:webHidden/>
          </w:rPr>
        </w:r>
        <w:r w:rsidR="008C4A1C">
          <w:rPr>
            <w:noProof/>
            <w:webHidden/>
          </w:rPr>
          <w:fldChar w:fldCharType="separate"/>
        </w:r>
        <w:r w:rsidR="008C4A1C">
          <w:rPr>
            <w:noProof/>
            <w:webHidden/>
          </w:rPr>
          <w:t>49</w:t>
        </w:r>
        <w:r w:rsidR="008C4A1C">
          <w:rPr>
            <w:noProof/>
            <w:webHidden/>
          </w:rPr>
          <w:fldChar w:fldCharType="end"/>
        </w:r>
      </w:hyperlink>
    </w:p>
    <w:p w14:paraId="08D16E0F" w14:textId="1549FBD3" w:rsidR="008C4A1C" w:rsidRDefault="0020559B">
      <w:pPr>
        <w:pStyle w:val="TOC2"/>
        <w:rPr>
          <w:rFonts w:cstheme="minorBidi"/>
          <w:iCs w:val="0"/>
          <w:noProof/>
          <w:color w:val="auto"/>
          <w:spacing w:val="0"/>
          <w:kern w:val="2"/>
          <w:sz w:val="22"/>
          <w:szCs w:val="22"/>
          <w14:ligatures w14:val="standardContextual"/>
        </w:rPr>
      </w:pPr>
      <w:hyperlink w:anchor="_Toc151976421" w:history="1">
        <w:r w:rsidR="008C4A1C" w:rsidRPr="00EB05C1">
          <w:rPr>
            <w:rStyle w:val="Hyperlink"/>
            <w:noProof/>
          </w:rPr>
          <w:t>3.4.</w:t>
        </w:r>
        <w:r w:rsidR="008C4A1C">
          <w:rPr>
            <w:rFonts w:cstheme="minorBidi"/>
            <w:iCs w:val="0"/>
            <w:noProof/>
            <w:color w:val="auto"/>
            <w:spacing w:val="0"/>
            <w:kern w:val="2"/>
            <w:sz w:val="22"/>
            <w:szCs w:val="22"/>
            <w14:ligatures w14:val="standardContextual"/>
          </w:rPr>
          <w:tab/>
        </w:r>
        <w:r w:rsidR="008C4A1C" w:rsidRPr="00EB05C1">
          <w:rPr>
            <w:rStyle w:val="Hyperlink"/>
            <w:noProof/>
          </w:rPr>
          <w:t>Data and Methods</w:t>
        </w:r>
        <w:r w:rsidR="008C4A1C">
          <w:rPr>
            <w:noProof/>
            <w:webHidden/>
          </w:rPr>
          <w:tab/>
        </w:r>
        <w:r w:rsidR="008C4A1C">
          <w:rPr>
            <w:noProof/>
            <w:webHidden/>
          </w:rPr>
          <w:fldChar w:fldCharType="begin"/>
        </w:r>
        <w:r w:rsidR="008C4A1C">
          <w:rPr>
            <w:noProof/>
            <w:webHidden/>
          </w:rPr>
          <w:instrText xml:space="preserve"> PAGEREF _Toc151976421 \h </w:instrText>
        </w:r>
        <w:r w:rsidR="008C4A1C">
          <w:rPr>
            <w:noProof/>
            <w:webHidden/>
          </w:rPr>
        </w:r>
        <w:r w:rsidR="008C4A1C">
          <w:rPr>
            <w:noProof/>
            <w:webHidden/>
          </w:rPr>
          <w:fldChar w:fldCharType="separate"/>
        </w:r>
        <w:r w:rsidR="008C4A1C">
          <w:rPr>
            <w:noProof/>
            <w:webHidden/>
          </w:rPr>
          <w:t>59</w:t>
        </w:r>
        <w:r w:rsidR="008C4A1C">
          <w:rPr>
            <w:noProof/>
            <w:webHidden/>
          </w:rPr>
          <w:fldChar w:fldCharType="end"/>
        </w:r>
      </w:hyperlink>
    </w:p>
    <w:p w14:paraId="6577F85C" w14:textId="639E84A8" w:rsidR="008C4A1C" w:rsidRDefault="0020559B">
      <w:pPr>
        <w:pStyle w:val="TOC1"/>
        <w:rPr>
          <w:rFonts w:cstheme="minorBidi"/>
          <w:kern w:val="2"/>
          <w:sz w:val="22"/>
          <w:szCs w:val="22"/>
          <w14:ligatures w14:val="standardContextual"/>
        </w:rPr>
      </w:pPr>
      <w:hyperlink w:anchor="_Toc151976422" w:history="1">
        <w:r w:rsidR="008C4A1C" w:rsidRPr="00EB05C1">
          <w:rPr>
            <w:rStyle w:val="Hyperlink"/>
            <w:rFonts w:asciiTheme="majorHAnsi" w:hAnsiTheme="majorHAnsi"/>
          </w:rPr>
          <w:t>4.</w:t>
        </w:r>
        <w:r w:rsidR="008C4A1C">
          <w:rPr>
            <w:rFonts w:cstheme="minorBidi"/>
            <w:kern w:val="2"/>
            <w:sz w:val="22"/>
            <w:szCs w:val="22"/>
            <w14:ligatures w14:val="standardContextual"/>
          </w:rPr>
          <w:tab/>
        </w:r>
        <w:r w:rsidR="008C4A1C" w:rsidRPr="00EB05C1">
          <w:rPr>
            <w:rStyle w:val="Hyperlink"/>
          </w:rPr>
          <w:t>Behavioral Health</w:t>
        </w:r>
        <w:r w:rsidR="008C4A1C">
          <w:rPr>
            <w:webHidden/>
          </w:rPr>
          <w:tab/>
        </w:r>
        <w:r w:rsidR="008C4A1C">
          <w:rPr>
            <w:webHidden/>
          </w:rPr>
          <w:fldChar w:fldCharType="begin"/>
        </w:r>
        <w:r w:rsidR="008C4A1C">
          <w:rPr>
            <w:webHidden/>
          </w:rPr>
          <w:instrText xml:space="preserve"> PAGEREF _Toc151976422 \h </w:instrText>
        </w:r>
        <w:r w:rsidR="008C4A1C">
          <w:rPr>
            <w:webHidden/>
          </w:rPr>
        </w:r>
        <w:r w:rsidR="008C4A1C">
          <w:rPr>
            <w:webHidden/>
          </w:rPr>
          <w:fldChar w:fldCharType="separate"/>
        </w:r>
        <w:r w:rsidR="008C4A1C">
          <w:rPr>
            <w:webHidden/>
          </w:rPr>
          <w:t>75</w:t>
        </w:r>
        <w:r w:rsidR="008C4A1C">
          <w:rPr>
            <w:webHidden/>
          </w:rPr>
          <w:fldChar w:fldCharType="end"/>
        </w:r>
      </w:hyperlink>
    </w:p>
    <w:p w14:paraId="467FC321" w14:textId="7F88EB4A" w:rsidR="008C4A1C" w:rsidRDefault="0020559B">
      <w:pPr>
        <w:pStyle w:val="TOC2"/>
        <w:rPr>
          <w:rFonts w:cstheme="minorBidi"/>
          <w:iCs w:val="0"/>
          <w:noProof/>
          <w:color w:val="auto"/>
          <w:spacing w:val="0"/>
          <w:kern w:val="2"/>
          <w:sz w:val="22"/>
          <w:szCs w:val="22"/>
          <w14:ligatures w14:val="standardContextual"/>
        </w:rPr>
      </w:pPr>
      <w:hyperlink w:anchor="_Toc151976423" w:history="1">
        <w:r w:rsidR="008C4A1C" w:rsidRPr="00EB05C1">
          <w:rPr>
            <w:rStyle w:val="Hyperlink"/>
            <w:noProof/>
          </w:rPr>
          <w:t>4.1.</w:t>
        </w:r>
        <w:r w:rsidR="008C4A1C">
          <w:rPr>
            <w:rFonts w:cstheme="minorBidi"/>
            <w:iCs w:val="0"/>
            <w:noProof/>
            <w:color w:val="auto"/>
            <w:spacing w:val="0"/>
            <w:kern w:val="2"/>
            <w:sz w:val="22"/>
            <w:szCs w:val="22"/>
            <w14:ligatures w14:val="standardContextual"/>
          </w:rPr>
          <w:tab/>
        </w:r>
        <w:r w:rsidR="008C4A1C" w:rsidRPr="00EB05C1">
          <w:rPr>
            <w:rStyle w:val="Hyperlink"/>
            <w:noProof/>
          </w:rPr>
          <w:t>Overview of Behavioral Health (BH) Demonstration Policy Domain</w:t>
        </w:r>
        <w:r w:rsidR="008C4A1C">
          <w:rPr>
            <w:noProof/>
            <w:webHidden/>
          </w:rPr>
          <w:tab/>
        </w:r>
        <w:r w:rsidR="008C4A1C">
          <w:rPr>
            <w:noProof/>
            <w:webHidden/>
          </w:rPr>
          <w:fldChar w:fldCharType="begin"/>
        </w:r>
        <w:r w:rsidR="008C4A1C">
          <w:rPr>
            <w:noProof/>
            <w:webHidden/>
          </w:rPr>
          <w:instrText xml:space="preserve"> PAGEREF _Toc151976423 \h </w:instrText>
        </w:r>
        <w:r w:rsidR="008C4A1C">
          <w:rPr>
            <w:noProof/>
            <w:webHidden/>
          </w:rPr>
        </w:r>
        <w:r w:rsidR="008C4A1C">
          <w:rPr>
            <w:noProof/>
            <w:webHidden/>
          </w:rPr>
          <w:fldChar w:fldCharType="separate"/>
        </w:r>
        <w:r w:rsidR="008C4A1C">
          <w:rPr>
            <w:noProof/>
            <w:webHidden/>
          </w:rPr>
          <w:t>75</w:t>
        </w:r>
        <w:r w:rsidR="008C4A1C">
          <w:rPr>
            <w:noProof/>
            <w:webHidden/>
          </w:rPr>
          <w:fldChar w:fldCharType="end"/>
        </w:r>
      </w:hyperlink>
    </w:p>
    <w:p w14:paraId="2E6D9D6F" w14:textId="77B9109A" w:rsidR="008C4A1C" w:rsidRDefault="0020559B">
      <w:pPr>
        <w:pStyle w:val="TOC2"/>
        <w:rPr>
          <w:rFonts w:cstheme="minorBidi"/>
          <w:iCs w:val="0"/>
          <w:noProof/>
          <w:color w:val="auto"/>
          <w:spacing w:val="0"/>
          <w:kern w:val="2"/>
          <w:sz w:val="22"/>
          <w:szCs w:val="22"/>
          <w14:ligatures w14:val="standardContextual"/>
        </w:rPr>
      </w:pPr>
      <w:hyperlink w:anchor="_Toc151976424" w:history="1">
        <w:r w:rsidR="008C4A1C" w:rsidRPr="00EB05C1">
          <w:rPr>
            <w:rStyle w:val="Hyperlink"/>
            <w:noProof/>
          </w:rPr>
          <w:t>4.2.</w:t>
        </w:r>
        <w:r w:rsidR="008C4A1C">
          <w:rPr>
            <w:rFonts w:cstheme="minorBidi"/>
            <w:iCs w:val="0"/>
            <w:noProof/>
            <w:color w:val="auto"/>
            <w:spacing w:val="0"/>
            <w:kern w:val="2"/>
            <w:sz w:val="22"/>
            <w:szCs w:val="22"/>
            <w14:ligatures w14:val="standardContextual"/>
          </w:rPr>
          <w:tab/>
        </w:r>
        <w:r w:rsidR="008C4A1C" w:rsidRPr="00EB05C1">
          <w:rPr>
            <w:rStyle w:val="Hyperlink"/>
            <w:noProof/>
          </w:rPr>
          <w:t>Logic Model</w:t>
        </w:r>
        <w:r w:rsidR="008C4A1C">
          <w:rPr>
            <w:noProof/>
            <w:webHidden/>
          </w:rPr>
          <w:tab/>
        </w:r>
        <w:r w:rsidR="008C4A1C">
          <w:rPr>
            <w:noProof/>
            <w:webHidden/>
          </w:rPr>
          <w:fldChar w:fldCharType="begin"/>
        </w:r>
        <w:r w:rsidR="008C4A1C">
          <w:rPr>
            <w:noProof/>
            <w:webHidden/>
          </w:rPr>
          <w:instrText xml:space="preserve"> PAGEREF _Toc151976424 \h </w:instrText>
        </w:r>
        <w:r w:rsidR="008C4A1C">
          <w:rPr>
            <w:noProof/>
            <w:webHidden/>
          </w:rPr>
        </w:r>
        <w:r w:rsidR="008C4A1C">
          <w:rPr>
            <w:noProof/>
            <w:webHidden/>
          </w:rPr>
          <w:fldChar w:fldCharType="separate"/>
        </w:r>
        <w:r w:rsidR="008C4A1C">
          <w:rPr>
            <w:noProof/>
            <w:webHidden/>
          </w:rPr>
          <w:t>79</w:t>
        </w:r>
        <w:r w:rsidR="008C4A1C">
          <w:rPr>
            <w:noProof/>
            <w:webHidden/>
          </w:rPr>
          <w:fldChar w:fldCharType="end"/>
        </w:r>
      </w:hyperlink>
    </w:p>
    <w:p w14:paraId="3E3D7A00" w14:textId="279BB885" w:rsidR="008C4A1C" w:rsidRDefault="0020559B">
      <w:pPr>
        <w:pStyle w:val="TOC2"/>
        <w:rPr>
          <w:rFonts w:cstheme="minorBidi"/>
          <w:iCs w:val="0"/>
          <w:noProof/>
          <w:color w:val="auto"/>
          <w:spacing w:val="0"/>
          <w:kern w:val="2"/>
          <w:sz w:val="22"/>
          <w:szCs w:val="22"/>
          <w14:ligatures w14:val="standardContextual"/>
        </w:rPr>
      </w:pPr>
      <w:hyperlink w:anchor="_Toc151976425" w:history="1">
        <w:r w:rsidR="008C4A1C" w:rsidRPr="00EB05C1">
          <w:rPr>
            <w:rStyle w:val="Hyperlink"/>
            <w:noProof/>
          </w:rPr>
          <w:t>4.3.</w:t>
        </w:r>
        <w:r w:rsidR="008C4A1C">
          <w:rPr>
            <w:rFonts w:cstheme="minorBidi"/>
            <w:iCs w:val="0"/>
            <w:noProof/>
            <w:color w:val="auto"/>
            <w:spacing w:val="0"/>
            <w:kern w:val="2"/>
            <w:sz w:val="22"/>
            <w:szCs w:val="22"/>
            <w14:ligatures w14:val="standardContextual"/>
          </w:rPr>
          <w:tab/>
        </w:r>
        <w:r w:rsidR="008C4A1C" w:rsidRPr="00EB05C1">
          <w:rPr>
            <w:rStyle w:val="Hyperlink"/>
            <w:noProof/>
          </w:rPr>
          <w:t>Research Questions and Hypotheses</w:t>
        </w:r>
        <w:r w:rsidR="008C4A1C">
          <w:rPr>
            <w:noProof/>
            <w:webHidden/>
          </w:rPr>
          <w:tab/>
        </w:r>
        <w:r w:rsidR="008C4A1C">
          <w:rPr>
            <w:noProof/>
            <w:webHidden/>
          </w:rPr>
          <w:fldChar w:fldCharType="begin"/>
        </w:r>
        <w:r w:rsidR="008C4A1C">
          <w:rPr>
            <w:noProof/>
            <w:webHidden/>
          </w:rPr>
          <w:instrText xml:space="preserve"> PAGEREF _Toc151976425 \h </w:instrText>
        </w:r>
        <w:r w:rsidR="008C4A1C">
          <w:rPr>
            <w:noProof/>
            <w:webHidden/>
          </w:rPr>
        </w:r>
        <w:r w:rsidR="008C4A1C">
          <w:rPr>
            <w:noProof/>
            <w:webHidden/>
          </w:rPr>
          <w:fldChar w:fldCharType="separate"/>
        </w:r>
        <w:r w:rsidR="008C4A1C">
          <w:rPr>
            <w:noProof/>
            <w:webHidden/>
          </w:rPr>
          <w:t>81</w:t>
        </w:r>
        <w:r w:rsidR="008C4A1C">
          <w:rPr>
            <w:noProof/>
            <w:webHidden/>
          </w:rPr>
          <w:fldChar w:fldCharType="end"/>
        </w:r>
      </w:hyperlink>
    </w:p>
    <w:p w14:paraId="577E2133" w14:textId="0AB482ED" w:rsidR="008C4A1C" w:rsidRDefault="0020559B">
      <w:pPr>
        <w:pStyle w:val="TOC2"/>
        <w:rPr>
          <w:rFonts w:cstheme="minorBidi"/>
          <w:iCs w:val="0"/>
          <w:noProof/>
          <w:color w:val="auto"/>
          <w:spacing w:val="0"/>
          <w:kern w:val="2"/>
          <w:sz w:val="22"/>
          <w:szCs w:val="22"/>
          <w14:ligatures w14:val="standardContextual"/>
        </w:rPr>
      </w:pPr>
      <w:hyperlink w:anchor="_Toc151976426" w:history="1">
        <w:r w:rsidR="008C4A1C" w:rsidRPr="00EB05C1">
          <w:rPr>
            <w:rStyle w:val="Hyperlink"/>
            <w:noProof/>
          </w:rPr>
          <w:t>4.4.</w:t>
        </w:r>
        <w:r w:rsidR="008C4A1C">
          <w:rPr>
            <w:rFonts w:cstheme="minorBidi"/>
            <w:iCs w:val="0"/>
            <w:noProof/>
            <w:color w:val="auto"/>
            <w:spacing w:val="0"/>
            <w:kern w:val="2"/>
            <w:sz w:val="22"/>
            <w:szCs w:val="22"/>
            <w14:ligatures w14:val="standardContextual"/>
          </w:rPr>
          <w:tab/>
        </w:r>
        <w:r w:rsidR="008C4A1C" w:rsidRPr="00EB05C1">
          <w:rPr>
            <w:rStyle w:val="Hyperlink"/>
            <w:noProof/>
          </w:rPr>
          <w:t>Data and Methods</w:t>
        </w:r>
        <w:r w:rsidR="008C4A1C">
          <w:rPr>
            <w:noProof/>
            <w:webHidden/>
          </w:rPr>
          <w:tab/>
        </w:r>
        <w:r w:rsidR="008C4A1C">
          <w:rPr>
            <w:noProof/>
            <w:webHidden/>
          </w:rPr>
          <w:fldChar w:fldCharType="begin"/>
        </w:r>
        <w:r w:rsidR="008C4A1C">
          <w:rPr>
            <w:noProof/>
            <w:webHidden/>
          </w:rPr>
          <w:instrText xml:space="preserve"> PAGEREF _Toc151976426 \h </w:instrText>
        </w:r>
        <w:r w:rsidR="008C4A1C">
          <w:rPr>
            <w:noProof/>
            <w:webHidden/>
          </w:rPr>
        </w:r>
        <w:r w:rsidR="008C4A1C">
          <w:rPr>
            <w:noProof/>
            <w:webHidden/>
          </w:rPr>
          <w:fldChar w:fldCharType="separate"/>
        </w:r>
        <w:r w:rsidR="008C4A1C">
          <w:rPr>
            <w:noProof/>
            <w:webHidden/>
          </w:rPr>
          <w:t>88</w:t>
        </w:r>
        <w:r w:rsidR="008C4A1C">
          <w:rPr>
            <w:noProof/>
            <w:webHidden/>
          </w:rPr>
          <w:fldChar w:fldCharType="end"/>
        </w:r>
      </w:hyperlink>
    </w:p>
    <w:p w14:paraId="1CCC7B25" w14:textId="70CDAC85" w:rsidR="008C4A1C" w:rsidRDefault="0020559B">
      <w:pPr>
        <w:pStyle w:val="TOC1"/>
        <w:rPr>
          <w:rFonts w:cstheme="minorBidi"/>
          <w:kern w:val="2"/>
          <w:sz w:val="22"/>
          <w:szCs w:val="22"/>
          <w14:ligatures w14:val="standardContextual"/>
        </w:rPr>
      </w:pPr>
      <w:hyperlink w:anchor="_Toc151976427" w:history="1">
        <w:r w:rsidR="008C4A1C" w:rsidRPr="00EB05C1">
          <w:rPr>
            <w:rStyle w:val="Hyperlink"/>
            <w:rFonts w:asciiTheme="majorHAnsi" w:hAnsiTheme="majorHAnsi"/>
          </w:rPr>
          <w:t>5.</w:t>
        </w:r>
        <w:r w:rsidR="008C4A1C">
          <w:rPr>
            <w:rFonts w:cstheme="minorBidi"/>
            <w:kern w:val="2"/>
            <w:sz w:val="22"/>
            <w:szCs w:val="22"/>
            <w14:ligatures w14:val="standardContextual"/>
          </w:rPr>
          <w:tab/>
        </w:r>
        <w:r w:rsidR="008C4A1C" w:rsidRPr="00EB05C1">
          <w:rPr>
            <w:rStyle w:val="Hyperlink"/>
          </w:rPr>
          <w:t>Safety Net Care Pool</w:t>
        </w:r>
        <w:r w:rsidR="008C4A1C">
          <w:rPr>
            <w:webHidden/>
          </w:rPr>
          <w:tab/>
        </w:r>
        <w:r w:rsidR="008C4A1C">
          <w:rPr>
            <w:webHidden/>
          </w:rPr>
          <w:fldChar w:fldCharType="begin"/>
        </w:r>
        <w:r w:rsidR="008C4A1C">
          <w:rPr>
            <w:webHidden/>
          </w:rPr>
          <w:instrText xml:space="preserve"> PAGEREF _Toc151976427 \h </w:instrText>
        </w:r>
        <w:r w:rsidR="008C4A1C">
          <w:rPr>
            <w:webHidden/>
          </w:rPr>
        </w:r>
        <w:r w:rsidR="008C4A1C">
          <w:rPr>
            <w:webHidden/>
          </w:rPr>
          <w:fldChar w:fldCharType="separate"/>
        </w:r>
        <w:r w:rsidR="008C4A1C">
          <w:rPr>
            <w:webHidden/>
          </w:rPr>
          <w:t>94</w:t>
        </w:r>
        <w:r w:rsidR="008C4A1C">
          <w:rPr>
            <w:webHidden/>
          </w:rPr>
          <w:fldChar w:fldCharType="end"/>
        </w:r>
      </w:hyperlink>
    </w:p>
    <w:p w14:paraId="6B9CF735" w14:textId="2B38084D" w:rsidR="008C4A1C" w:rsidRDefault="0020559B">
      <w:pPr>
        <w:pStyle w:val="TOC2"/>
        <w:rPr>
          <w:rFonts w:cstheme="minorBidi"/>
          <w:iCs w:val="0"/>
          <w:noProof/>
          <w:color w:val="auto"/>
          <w:spacing w:val="0"/>
          <w:kern w:val="2"/>
          <w:sz w:val="22"/>
          <w:szCs w:val="22"/>
          <w14:ligatures w14:val="standardContextual"/>
        </w:rPr>
      </w:pPr>
      <w:hyperlink w:anchor="_Toc151976428" w:history="1">
        <w:r w:rsidR="008C4A1C" w:rsidRPr="00EB05C1">
          <w:rPr>
            <w:rStyle w:val="Hyperlink"/>
            <w:noProof/>
          </w:rPr>
          <w:t>5.1.</w:t>
        </w:r>
        <w:r w:rsidR="008C4A1C">
          <w:rPr>
            <w:rFonts w:cstheme="minorBidi"/>
            <w:iCs w:val="0"/>
            <w:noProof/>
            <w:color w:val="auto"/>
            <w:spacing w:val="0"/>
            <w:kern w:val="2"/>
            <w:sz w:val="22"/>
            <w:szCs w:val="22"/>
            <w14:ligatures w14:val="standardContextual"/>
          </w:rPr>
          <w:tab/>
        </w:r>
        <w:r w:rsidR="008C4A1C" w:rsidRPr="00EB05C1">
          <w:rPr>
            <w:rStyle w:val="Hyperlink"/>
            <w:noProof/>
          </w:rPr>
          <w:t>Overview of Safety Net Care Pool (SNCP) Policy Domain</w:t>
        </w:r>
        <w:r w:rsidR="008C4A1C">
          <w:rPr>
            <w:noProof/>
            <w:webHidden/>
          </w:rPr>
          <w:tab/>
        </w:r>
        <w:r w:rsidR="008C4A1C">
          <w:rPr>
            <w:noProof/>
            <w:webHidden/>
          </w:rPr>
          <w:fldChar w:fldCharType="begin"/>
        </w:r>
        <w:r w:rsidR="008C4A1C">
          <w:rPr>
            <w:noProof/>
            <w:webHidden/>
          </w:rPr>
          <w:instrText xml:space="preserve"> PAGEREF _Toc151976428 \h </w:instrText>
        </w:r>
        <w:r w:rsidR="008C4A1C">
          <w:rPr>
            <w:noProof/>
            <w:webHidden/>
          </w:rPr>
        </w:r>
        <w:r w:rsidR="008C4A1C">
          <w:rPr>
            <w:noProof/>
            <w:webHidden/>
          </w:rPr>
          <w:fldChar w:fldCharType="separate"/>
        </w:r>
        <w:r w:rsidR="008C4A1C">
          <w:rPr>
            <w:noProof/>
            <w:webHidden/>
          </w:rPr>
          <w:t>94</w:t>
        </w:r>
        <w:r w:rsidR="008C4A1C">
          <w:rPr>
            <w:noProof/>
            <w:webHidden/>
          </w:rPr>
          <w:fldChar w:fldCharType="end"/>
        </w:r>
      </w:hyperlink>
    </w:p>
    <w:p w14:paraId="7FC49201" w14:textId="6CA1E6C4" w:rsidR="008C4A1C" w:rsidRDefault="0020559B">
      <w:pPr>
        <w:pStyle w:val="TOC2"/>
        <w:rPr>
          <w:rFonts w:cstheme="minorBidi"/>
          <w:iCs w:val="0"/>
          <w:noProof/>
          <w:color w:val="auto"/>
          <w:spacing w:val="0"/>
          <w:kern w:val="2"/>
          <w:sz w:val="22"/>
          <w:szCs w:val="22"/>
          <w14:ligatures w14:val="standardContextual"/>
        </w:rPr>
      </w:pPr>
      <w:hyperlink w:anchor="_Toc151976429" w:history="1">
        <w:r w:rsidR="008C4A1C" w:rsidRPr="00EB05C1">
          <w:rPr>
            <w:rStyle w:val="Hyperlink"/>
            <w:noProof/>
          </w:rPr>
          <w:t>5.2.</w:t>
        </w:r>
        <w:r w:rsidR="008C4A1C">
          <w:rPr>
            <w:rFonts w:cstheme="minorBidi"/>
            <w:iCs w:val="0"/>
            <w:noProof/>
            <w:color w:val="auto"/>
            <w:spacing w:val="0"/>
            <w:kern w:val="2"/>
            <w:sz w:val="22"/>
            <w:szCs w:val="22"/>
            <w14:ligatures w14:val="standardContextual"/>
          </w:rPr>
          <w:tab/>
        </w:r>
        <w:r w:rsidR="008C4A1C" w:rsidRPr="00EB05C1">
          <w:rPr>
            <w:rStyle w:val="Hyperlink"/>
            <w:noProof/>
          </w:rPr>
          <w:t>Logic Model</w:t>
        </w:r>
        <w:r w:rsidR="008C4A1C">
          <w:rPr>
            <w:noProof/>
            <w:webHidden/>
          </w:rPr>
          <w:tab/>
        </w:r>
        <w:r w:rsidR="008C4A1C">
          <w:rPr>
            <w:noProof/>
            <w:webHidden/>
          </w:rPr>
          <w:fldChar w:fldCharType="begin"/>
        </w:r>
        <w:r w:rsidR="008C4A1C">
          <w:rPr>
            <w:noProof/>
            <w:webHidden/>
          </w:rPr>
          <w:instrText xml:space="preserve"> PAGEREF _Toc151976429 \h </w:instrText>
        </w:r>
        <w:r w:rsidR="008C4A1C">
          <w:rPr>
            <w:noProof/>
            <w:webHidden/>
          </w:rPr>
        </w:r>
        <w:r w:rsidR="008C4A1C">
          <w:rPr>
            <w:noProof/>
            <w:webHidden/>
          </w:rPr>
          <w:fldChar w:fldCharType="separate"/>
        </w:r>
        <w:r w:rsidR="008C4A1C">
          <w:rPr>
            <w:noProof/>
            <w:webHidden/>
          </w:rPr>
          <w:t>97</w:t>
        </w:r>
        <w:r w:rsidR="008C4A1C">
          <w:rPr>
            <w:noProof/>
            <w:webHidden/>
          </w:rPr>
          <w:fldChar w:fldCharType="end"/>
        </w:r>
      </w:hyperlink>
    </w:p>
    <w:p w14:paraId="332223FB" w14:textId="0A01082E" w:rsidR="008C4A1C" w:rsidRDefault="0020559B">
      <w:pPr>
        <w:pStyle w:val="TOC2"/>
        <w:rPr>
          <w:rFonts w:cstheme="minorBidi"/>
          <w:iCs w:val="0"/>
          <w:noProof/>
          <w:color w:val="auto"/>
          <w:spacing w:val="0"/>
          <w:kern w:val="2"/>
          <w:sz w:val="22"/>
          <w:szCs w:val="22"/>
          <w14:ligatures w14:val="standardContextual"/>
        </w:rPr>
      </w:pPr>
      <w:hyperlink w:anchor="_Toc151976430" w:history="1">
        <w:r w:rsidR="008C4A1C" w:rsidRPr="00EB05C1">
          <w:rPr>
            <w:rStyle w:val="Hyperlink"/>
            <w:noProof/>
          </w:rPr>
          <w:t>5.3.</w:t>
        </w:r>
        <w:r w:rsidR="008C4A1C">
          <w:rPr>
            <w:rFonts w:cstheme="minorBidi"/>
            <w:iCs w:val="0"/>
            <w:noProof/>
            <w:color w:val="auto"/>
            <w:spacing w:val="0"/>
            <w:kern w:val="2"/>
            <w:sz w:val="22"/>
            <w:szCs w:val="22"/>
            <w14:ligatures w14:val="standardContextual"/>
          </w:rPr>
          <w:tab/>
        </w:r>
        <w:r w:rsidR="008C4A1C" w:rsidRPr="00EB05C1">
          <w:rPr>
            <w:rStyle w:val="Hyperlink"/>
            <w:noProof/>
          </w:rPr>
          <w:t>Research Questions and Hypotheses</w:t>
        </w:r>
        <w:r w:rsidR="008C4A1C">
          <w:rPr>
            <w:noProof/>
            <w:webHidden/>
          </w:rPr>
          <w:tab/>
        </w:r>
        <w:r w:rsidR="008C4A1C">
          <w:rPr>
            <w:noProof/>
            <w:webHidden/>
          </w:rPr>
          <w:fldChar w:fldCharType="begin"/>
        </w:r>
        <w:r w:rsidR="008C4A1C">
          <w:rPr>
            <w:noProof/>
            <w:webHidden/>
          </w:rPr>
          <w:instrText xml:space="preserve"> PAGEREF _Toc151976430 \h </w:instrText>
        </w:r>
        <w:r w:rsidR="008C4A1C">
          <w:rPr>
            <w:noProof/>
            <w:webHidden/>
          </w:rPr>
        </w:r>
        <w:r w:rsidR="008C4A1C">
          <w:rPr>
            <w:noProof/>
            <w:webHidden/>
          </w:rPr>
          <w:fldChar w:fldCharType="separate"/>
        </w:r>
        <w:r w:rsidR="008C4A1C">
          <w:rPr>
            <w:noProof/>
            <w:webHidden/>
          </w:rPr>
          <w:t>98</w:t>
        </w:r>
        <w:r w:rsidR="008C4A1C">
          <w:rPr>
            <w:noProof/>
            <w:webHidden/>
          </w:rPr>
          <w:fldChar w:fldCharType="end"/>
        </w:r>
      </w:hyperlink>
    </w:p>
    <w:p w14:paraId="3FCB1226" w14:textId="40E9AE29" w:rsidR="008C4A1C" w:rsidRDefault="0020559B">
      <w:pPr>
        <w:pStyle w:val="TOC2"/>
        <w:rPr>
          <w:rFonts w:cstheme="minorBidi"/>
          <w:iCs w:val="0"/>
          <w:noProof/>
          <w:color w:val="auto"/>
          <w:spacing w:val="0"/>
          <w:kern w:val="2"/>
          <w:sz w:val="22"/>
          <w:szCs w:val="22"/>
          <w14:ligatures w14:val="standardContextual"/>
        </w:rPr>
      </w:pPr>
      <w:hyperlink w:anchor="_Toc151976431" w:history="1">
        <w:r w:rsidR="008C4A1C" w:rsidRPr="00EB05C1">
          <w:rPr>
            <w:rStyle w:val="Hyperlink"/>
            <w:noProof/>
          </w:rPr>
          <w:t>5.4.</w:t>
        </w:r>
        <w:r w:rsidR="008C4A1C">
          <w:rPr>
            <w:rFonts w:cstheme="minorBidi"/>
            <w:iCs w:val="0"/>
            <w:noProof/>
            <w:color w:val="auto"/>
            <w:spacing w:val="0"/>
            <w:kern w:val="2"/>
            <w:sz w:val="22"/>
            <w:szCs w:val="22"/>
            <w14:ligatures w14:val="standardContextual"/>
          </w:rPr>
          <w:tab/>
        </w:r>
        <w:r w:rsidR="008C4A1C" w:rsidRPr="00EB05C1">
          <w:rPr>
            <w:rStyle w:val="Hyperlink"/>
            <w:noProof/>
          </w:rPr>
          <w:t>Data and Methods</w:t>
        </w:r>
        <w:r w:rsidR="008C4A1C">
          <w:rPr>
            <w:noProof/>
            <w:webHidden/>
          </w:rPr>
          <w:tab/>
        </w:r>
        <w:r w:rsidR="008C4A1C">
          <w:rPr>
            <w:noProof/>
            <w:webHidden/>
          </w:rPr>
          <w:fldChar w:fldCharType="begin"/>
        </w:r>
        <w:r w:rsidR="008C4A1C">
          <w:rPr>
            <w:noProof/>
            <w:webHidden/>
          </w:rPr>
          <w:instrText xml:space="preserve"> PAGEREF _Toc151976431 \h </w:instrText>
        </w:r>
        <w:r w:rsidR="008C4A1C">
          <w:rPr>
            <w:noProof/>
            <w:webHidden/>
          </w:rPr>
        </w:r>
        <w:r w:rsidR="008C4A1C">
          <w:rPr>
            <w:noProof/>
            <w:webHidden/>
          </w:rPr>
          <w:fldChar w:fldCharType="separate"/>
        </w:r>
        <w:r w:rsidR="008C4A1C">
          <w:rPr>
            <w:noProof/>
            <w:webHidden/>
          </w:rPr>
          <w:t>100</w:t>
        </w:r>
        <w:r w:rsidR="008C4A1C">
          <w:rPr>
            <w:noProof/>
            <w:webHidden/>
          </w:rPr>
          <w:fldChar w:fldCharType="end"/>
        </w:r>
      </w:hyperlink>
    </w:p>
    <w:p w14:paraId="6C841DF5" w14:textId="45AE7F4D" w:rsidR="008C4A1C" w:rsidRDefault="0020559B">
      <w:pPr>
        <w:pStyle w:val="TOC1"/>
        <w:rPr>
          <w:rFonts w:cstheme="minorBidi"/>
          <w:kern w:val="2"/>
          <w:sz w:val="22"/>
          <w:szCs w:val="22"/>
          <w14:ligatures w14:val="standardContextual"/>
        </w:rPr>
      </w:pPr>
      <w:hyperlink w:anchor="_Toc151976432" w:history="1">
        <w:r w:rsidR="008C4A1C" w:rsidRPr="00EB05C1">
          <w:rPr>
            <w:rStyle w:val="Hyperlink"/>
            <w:rFonts w:asciiTheme="majorHAnsi" w:hAnsiTheme="majorHAnsi"/>
          </w:rPr>
          <w:t>6.</w:t>
        </w:r>
        <w:r w:rsidR="008C4A1C">
          <w:rPr>
            <w:rFonts w:cstheme="minorBidi"/>
            <w:kern w:val="2"/>
            <w:sz w:val="22"/>
            <w:szCs w:val="22"/>
            <w14:ligatures w14:val="standardContextual"/>
          </w:rPr>
          <w:tab/>
        </w:r>
        <w:r w:rsidR="008C4A1C" w:rsidRPr="00EB05C1">
          <w:rPr>
            <w:rStyle w:val="Hyperlink"/>
          </w:rPr>
          <w:t>Workforce Initiatives</w:t>
        </w:r>
        <w:r w:rsidR="008C4A1C">
          <w:rPr>
            <w:webHidden/>
          </w:rPr>
          <w:tab/>
        </w:r>
        <w:r w:rsidR="008C4A1C">
          <w:rPr>
            <w:webHidden/>
          </w:rPr>
          <w:fldChar w:fldCharType="begin"/>
        </w:r>
        <w:r w:rsidR="008C4A1C">
          <w:rPr>
            <w:webHidden/>
          </w:rPr>
          <w:instrText xml:space="preserve"> PAGEREF _Toc151976432 \h </w:instrText>
        </w:r>
        <w:r w:rsidR="008C4A1C">
          <w:rPr>
            <w:webHidden/>
          </w:rPr>
        </w:r>
        <w:r w:rsidR="008C4A1C">
          <w:rPr>
            <w:webHidden/>
          </w:rPr>
          <w:fldChar w:fldCharType="separate"/>
        </w:r>
        <w:r w:rsidR="008C4A1C">
          <w:rPr>
            <w:webHidden/>
          </w:rPr>
          <w:t>103</w:t>
        </w:r>
        <w:r w:rsidR="008C4A1C">
          <w:rPr>
            <w:webHidden/>
          </w:rPr>
          <w:fldChar w:fldCharType="end"/>
        </w:r>
      </w:hyperlink>
    </w:p>
    <w:p w14:paraId="237E3E43" w14:textId="1C8BCB32" w:rsidR="008C4A1C" w:rsidRDefault="0020559B">
      <w:pPr>
        <w:pStyle w:val="TOC2"/>
        <w:rPr>
          <w:rFonts w:cstheme="minorBidi"/>
          <w:iCs w:val="0"/>
          <w:noProof/>
          <w:color w:val="auto"/>
          <w:spacing w:val="0"/>
          <w:kern w:val="2"/>
          <w:sz w:val="22"/>
          <w:szCs w:val="22"/>
          <w14:ligatures w14:val="standardContextual"/>
        </w:rPr>
      </w:pPr>
      <w:hyperlink w:anchor="_Toc151976433" w:history="1">
        <w:r w:rsidR="008C4A1C" w:rsidRPr="00EB05C1">
          <w:rPr>
            <w:rStyle w:val="Hyperlink"/>
            <w:noProof/>
          </w:rPr>
          <w:t>6.1.</w:t>
        </w:r>
        <w:r w:rsidR="008C4A1C">
          <w:rPr>
            <w:rFonts w:cstheme="minorBidi"/>
            <w:iCs w:val="0"/>
            <w:noProof/>
            <w:color w:val="auto"/>
            <w:spacing w:val="0"/>
            <w:kern w:val="2"/>
            <w:sz w:val="22"/>
            <w:szCs w:val="22"/>
            <w14:ligatures w14:val="standardContextual"/>
          </w:rPr>
          <w:tab/>
        </w:r>
        <w:r w:rsidR="008C4A1C" w:rsidRPr="00EB05C1">
          <w:rPr>
            <w:rStyle w:val="Hyperlink"/>
            <w:noProof/>
          </w:rPr>
          <w:t>Overview of Workforce Initiatives (WI) Policy Domain</w:t>
        </w:r>
        <w:r w:rsidR="008C4A1C">
          <w:rPr>
            <w:noProof/>
            <w:webHidden/>
          </w:rPr>
          <w:tab/>
        </w:r>
        <w:r w:rsidR="008C4A1C">
          <w:rPr>
            <w:noProof/>
            <w:webHidden/>
          </w:rPr>
          <w:fldChar w:fldCharType="begin"/>
        </w:r>
        <w:r w:rsidR="008C4A1C">
          <w:rPr>
            <w:noProof/>
            <w:webHidden/>
          </w:rPr>
          <w:instrText xml:space="preserve"> PAGEREF _Toc151976433 \h </w:instrText>
        </w:r>
        <w:r w:rsidR="008C4A1C">
          <w:rPr>
            <w:noProof/>
            <w:webHidden/>
          </w:rPr>
        </w:r>
        <w:r w:rsidR="008C4A1C">
          <w:rPr>
            <w:noProof/>
            <w:webHidden/>
          </w:rPr>
          <w:fldChar w:fldCharType="separate"/>
        </w:r>
        <w:r w:rsidR="008C4A1C">
          <w:rPr>
            <w:noProof/>
            <w:webHidden/>
          </w:rPr>
          <w:t>103</w:t>
        </w:r>
        <w:r w:rsidR="008C4A1C">
          <w:rPr>
            <w:noProof/>
            <w:webHidden/>
          </w:rPr>
          <w:fldChar w:fldCharType="end"/>
        </w:r>
      </w:hyperlink>
    </w:p>
    <w:p w14:paraId="3D27465D" w14:textId="392CF5AD" w:rsidR="008C4A1C" w:rsidRDefault="0020559B">
      <w:pPr>
        <w:pStyle w:val="TOC2"/>
        <w:rPr>
          <w:rFonts w:cstheme="minorBidi"/>
          <w:iCs w:val="0"/>
          <w:noProof/>
          <w:color w:val="auto"/>
          <w:spacing w:val="0"/>
          <w:kern w:val="2"/>
          <w:sz w:val="22"/>
          <w:szCs w:val="22"/>
          <w14:ligatures w14:val="standardContextual"/>
        </w:rPr>
      </w:pPr>
      <w:hyperlink w:anchor="_Toc151976434" w:history="1">
        <w:r w:rsidR="008C4A1C" w:rsidRPr="00EB05C1">
          <w:rPr>
            <w:rStyle w:val="Hyperlink"/>
            <w:noProof/>
          </w:rPr>
          <w:t>6.2.</w:t>
        </w:r>
        <w:r w:rsidR="008C4A1C">
          <w:rPr>
            <w:rFonts w:cstheme="minorBidi"/>
            <w:iCs w:val="0"/>
            <w:noProof/>
            <w:color w:val="auto"/>
            <w:spacing w:val="0"/>
            <w:kern w:val="2"/>
            <w:sz w:val="22"/>
            <w:szCs w:val="22"/>
            <w14:ligatures w14:val="standardContextual"/>
          </w:rPr>
          <w:tab/>
        </w:r>
        <w:r w:rsidR="008C4A1C" w:rsidRPr="00EB05C1">
          <w:rPr>
            <w:rStyle w:val="Hyperlink"/>
            <w:noProof/>
          </w:rPr>
          <w:t>Logic Model</w:t>
        </w:r>
        <w:r w:rsidR="008C4A1C">
          <w:rPr>
            <w:noProof/>
            <w:webHidden/>
          </w:rPr>
          <w:tab/>
        </w:r>
        <w:r w:rsidR="008C4A1C">
          <w:rPr>
            <w:noProof/>
            <w:webHidden/>
          </w:rPr>
          <w:fldChar w:fldCharType="begin"/>
        </w:r>
        <w:r w:rsidR="008C4A1C">
          <w:rPr>
            <w:noProof/>
            <w:webHidden/>
          </w:rPr>
          <w:instrText xml:space="preserve"> PAGEREF _Toc151976434 \h </w:instrText>
        </w:r>
        <w:r w:rsidR="008C4A1C">
          <w:rPr>
            <w:noProof/>
            <w:webHidden/>
          </w:rPr>
        </w:r>
        <w:r w:rsidR="008C4A1C">
          <w:rPr>
            <w:noProof/>
            <w:webHidden/>
          </w:rPr>
          <w:fldChar w:fldCharType="separate"/>
        </w:r>
        <w:r w:rsidR="008C4A1C">
          <w:rPr>
            <w:noProof/>
            <w:webHidden/>
          </w:rPr>
          <w:t>106</w:t>
        </w:r>
        <w:r w:rsidR="008C4A1C">
          <w:rPr>
            <w:noProof/>
            <w:webHidden/>
          </w:rPr>
          <w:fldChar w:fldCharType="end"/>
        </w:r>
      </w:hyperlink>
    </w:p>
    <w:p w14:paraId="26C33634" w14:textId="44E3552C" w:rsidR="008C4A1C" w:rsidRDefault="0020559B">
      <w:pPr>
        <w:pStyle w:val="TOC2"/>
        <w:rPr>
          <w:rFonts w:cstheme="minorBidi"/>
          <w:iCs w:val="0"/>
          <w:noProof/>
          <w:color w:val="auto"/>
          <w:spacing w:val="0"/>
          <w:kern w:val="2"/>
          <w:sz w:val="22"/>
          <w:szCs w:val="22"/>
          <w14:ligatures w14:val="standardContextual"/>
        </w:rPr>
      </w:pPr>
      <w:hyperlink w:anchor="_Toc151976435" w:history="1">
        <w:r w:rsidR="008C4A1C" w:rsidRPr="00EB05C1">
          <w:rPr>
            <w:rStyle w:val="Hyperlink"/>
            <w:noProof/>
          </w:rPr>
          <w:t>6.3.</w:t>
        </w:r>
        <w:r w:rsidR="008C4A1C">
          <w:rPr>
            <w:rFonts w:cstheme="minorBidi"/>
            <w:iCs w:val="0"/>
            <w:noProof/>
            <w:color w:val="auto"/>
            <w:spacing w:val="0"/>
            <w:kern w:val="2"/>
            <w:sz w:val="22"/>
            <w:szCs w:val="22"/>
            <w14:ligatures w14:val="standardContextual"/>
          </w:rPr>
          <w:tab/>
        </w:r>
        <w:r w:rsidR="008C4A1C" w:rsidRPr="00EB05C1">
          <w:rPr>
            <w:rStyle w:val="Hyperlink"/>
            <w:noProof/>
          </w:rPr>
          <w:t>Research Questions and Hypotheses</w:t>
        </w:r>
        <w:r w:rsidR="008C4A1C">
          <w:rPr>
            <w:noProof/>
            <w:webHidden/>
          </w:rPr>
          <w:tab/>
        </w:r>
        <w:r w:rsidR="008C4A1C">
          <w:rPr>
            <w:noProof/>
            <w:webHidden/>
          </w:rPr>
          <w:fldChar w:fldCharType="begin"/>
        </w:r>
        <w:r w:rsidR="008C4A1C">
          <w:rPr>
            <w:noProof/>
            <w:webHidden/>
          </w:rPr>
          <w:instrText xml:space="preserve"> PAGEREF _Toc151976435 \h </w:instrText>
        </w:r>
        <w:r w:rsidR="008C4A1C">
          <w:rPr>
            <w:noProof/>
            <w:webHidden/>
          </w:rPr>
        </w:r>
        <w:r w:rsidR="008C4A1C">
          <w:rPr>
            <w:noProof/>
            <w:webHidden/>
          </w:rPr>
          <w:fldChar w:fldCharType="separate"/>
        </w:r>
        <w:r w:rsidR="008C4A1C">
          <w:rPr>
            <w:noProof/>
            <w:webHidden/>
          </w:rPr>
          <w:t>108</w:t>
        </w:r>
        <w:r w:rsidR="008C4A1C">
          <w:rPr>
            <w:noProof/>
            <w:webHidden/>
          </w:rPr>
          <w:fldChar w:fldCharType="end"/>
        </w:r>
      </w:hyperlink>
    </w:p>
    <w:p w14:paraId="2A032941" w14:textId="6C698A0C" w:rsidR="008C4A1C" w:rsidRDefault="0020559B">
      <w:pPr>
        <w:pStyle w:val="TOC2"/>
        <w:rPr>
          <w:rFonts w:cstheme="minorBidi"/>
          <w:iCs w:val="0"/>
          <w:noProof/>
          <w:color w:val="auto"/>
          <w:spacing w:val="0"/>
          <w:kern w:val="2"/>
          <w:sz w:val="22"/>
          <w:szCs w:val="22"/>
          <w14:ligatures w14:val="standardContextual"/>
        </w:rPr>
      </w:pPr>
      <w:hyperlink w:anchor="_Toc151976436" w:history="1">
        <w:r w:rsidR="008C4A1C" w:rsidRPr="00EB05C1">
          <w:rPr>
            <w:rStyle w:val="Hyperlink"/>
            <w:noProof/>
          </w:rPr>
          <w:t>6.4.</w:t>
        </w:r>
        <w:r w:rsidR="008C4A1C">
          <w:rPr>
            <w:rFonts w:cstheme="minorBidi"/>
            <w:iCs w:val="0"/>
            <w:noProof/>
            <w:color w:val="auto"/>
            <w:spacing w:val="0"/>
            <w:kern w:val="2"/>
            <w:sz w:val="22"/>
            <w:szCs w:val="22"/>
            <w14:ligatures w14:val="standardContextual"/>
          </w:rPr>
          <w:tab/>
        </w:r>
        <w:r w:rsidR="008C4A1C" w:rsidRPr="00EB05C1">
          <w:rPr>
            <w:rStyle w:val="Hyperlink"/>
            <w:noProof/>
          </w:rPr>
          <w:t>Data and Methods</w:t>
        </w:r>
        <w:r w:rsidR="008C4A1C">
          <w:rPr>
            <w:noProof/>
            <w:webHidden/>
          </w:rPr>
          <w:tab/>
        </w:r>
        <w:r w:rsidR="008C4A1C">
          <w:rPr>
            <w:noProof/>
            <w:webHidden/>
          </w:rPr>
          <w:fldChar w:fldCharType="begin"/>
        </w:r>
        <w:r w:rsidR="008C4A1C">
          <w:rPr>
            <w:noProof/>
            <w:webHidden/>
          </w:rPr>
          <w:instrText xml:space="preserve"> PAGEREF _Toc151976436 \h </w:instrText>
        </w:r>
        <w:r w:rsidR="008C4A1C">
          <w:rPr>
            <w:noProof/>
            <w:webHidden/>
          </w:rPr>
        </w:r>
        <w:r w:rsidR="008C4A1C">
          <w:rPr>
            <w:noProof/>
            <w:webHidden/>
          </w:rPr>
          <w:fldChar w:fldCharType="separate"/>
        </w:r>
        <w:r w:rsidR="008C4A1C">
          <w:rPr>
            <w:noProof/>
            <w:webHidden/>
          </w:rPr>
          <w:t>115</w:t>
        </w:r>
        <w:r w:rsidR="008C4A1C">
          <w:rPr>
            <w:noProof/>
            <w:webHidden/>
          </w:rPr>
          <w:fldChar w:fldCharType="end"/>
        </w:r>
      </w:hyperlink>
    </w:p>
    <w:p w14:paraId="56527D93" w14:textId="7E8A675F" w:rsidR="008C4A1C" w:rsidRDefault="0020559B">
      <w:pPr>
        <w:pStyle w:val="TOC1"/>
        <w:rPr>
          <w:rFonts w:cstheme="minorBidi"/>
          <w:kern w:val="2"/>
          <w:sz w:val="22"/>
          <w:szCs w:val="22"/>
          <w14:ligatures w14:val="standardContextual"/>
        </w:rPr>
      </w:pPr>
      <w:hyperlink w:anchor="_Toc151976437" w:history="1">
        <w:r w:rsidR="008C4A1C" w:rsidRPr="00EB05C1">
          <w:rPr>
            <w:rStyle w:val="Hyperlink"/>
            <w:rFonts w:asciiTheme="majorHAnsi" w:hAnsiTheme="majorHAnsi"/>
          </w:rPr>
          <w:t>7.</w:t>
        </w:r>
        <w:r w:rsidR="008C4A1C">
          <w:rPr>
            <w:rFonts w:cstheme="minorBidi"/>
            <w:kern w:val="2"/>
            <w:sz w:val="22"/>
            <w:szCs w:val="22"/>
            <w14:ligatures w14:val="standardContextual"/>
          </w:rPr>
          <w:tab/>
        </w:r>
        <w:r w:rsidR="008C4A1C" w:rsidRPr="00EB05C1">
          <w:rPr>
            <w:rStyle w:val="Hyperlink"/>
          </w:rPr>
          <w:t>Hospital Quality and Equity Initiative</w:t>
        </w:r>
        <w:r w:rsidR="008C4A1C">
          <w:rPr>
            <w:webHidden/>
          </w:rPr>
          <w:tab/>
        </w:r>
        <w:r w:rsidR="008C4A1C">
          <w:rPr>
            <w:webHidden/>
          </w:rPr>
          <w:fldChar w:fldCharType="begin"/>
        </w:r>
        <w:r w:rsidR="008C4A1C">
          <w:rPr>
            <w:webHidden/>
          </w:rPr>
          <w:instrText xml:space="preserve"> PAGEREF _Toc151976437 \h </w:instrText>
        </w:r>
        <w:r w:rsidR="008C4A1C">
          <w:rPr>
            <w:webHidden/>
          </w:rPr>
        </w:r>
        <w:r w:rsidR="008C4A1C">
          <w:rPr>
            <w:webHidden/>
          </w:rPr>
          <w:fldChar w:fldCharType="separate"/>
        </w:r>
        <w:r w:rsidR="008C4A1C">
          <w:rPr>
            <w:webHidden/>
          </w:rPr>
          <w:t>122</w:t>
        </w:r>
        <w:r w:rsidR="008C4A1C">
          <w:rPr>
            <w:webHidden/>
          </w:rPr>
          <w:fldChar w:fldCharType="end"/>
        </w:r>
      </w:hyperlink>
    </w:p>
    <w:p w14:paraId="35A85DE0" w14:textId="3B3562A6" w:rsidR="008C4A1C" w:rsidRDefault="0020559B">
      <w:pPr>
        <w:pStyle w:val="TOC2"/>
        <w:rPr>
          <w:rFonts w:cstheme="minorBidi"/>
          <w:iCs w:val="0"/>
          <w:noProof/>
          <w:color w:val="auto"/>
          <w:spacing w:val="0"/>
          <w:kern w:val="2"/>
          <w:sz w:val="22"/>
          <w:szCs w:val="22"/>
          <w14:ligatures w14:val="standardContextual"/>
        </w:rPr>
      </w:pPr>
      <w:hyperlink w:anchor="_Toc151976438" w:history="1">
        <w:r w:rsidR="008C4A1C" w:rsidRPr="00EB05C1">
          <w:rPr>
            <w:rStyle w:val="Hyperlink"/>
            <w:noProof/>
          </w:rPr>
          <w:t>7.1.</w:t>
        </w:r>
        <w:r w:rsidR="008C4A1C">
          <w:rPr>
            <w:rFonts w:cstheme="minorBidi"/>
            <w:iCs w:val="0"/>
            <w:noProof/>
            <w:color w:val="auto"/>
            <w:spacing w:val="0"/>
            <w:kern w:val="2"/>
            <w:sz w:val="22"/>
            <w:szCs w:val="22"/>
            <w14:ligatures w14:val="standardContextual"/>
          </w:rPr>
          <w:tab/>
        </w:r>
        <w:r w:rsidR="008C4A1C" w:rsidRPr="00EB05C1">
          <w:rPr>
            <w:rStyle w:val="Hyperlink"/>
            <w:noProof/>
          </w:rPr>
          <w:t>Overview of Hospital Quality and Equity Initiative (HQEI) Policy Domain</w:t>
        </w:r>
        <w:r w:rsidR="008C4A1C">
          <w:rPr>
            <w:noProof/>
            <w:webHidden/>
          </w:rPr>
          <w:tab/>
        </w:r>
        <w:r w:rsidR="008C4A1C">
          <w:rPr>
            <w:noProof/>
            <w:webHidden/>
          </w:rPr>
          <w:fldChar w:fldCharType="begin"/>
        </w:r>
        <w:r w:rsidR="008C4A1C">
          <w:rPr>
            <w:noProof/>
            <w:webHidden/>
          </w:rPr>
          <w:instrText xml:space="preserve"> PAGEREF _Toc151976438 \h </w:instrText>
        </w:r>
        <w:r w:rsidR="008C4A1C">
          <w:rPr>
            <w:noProof/>
            <w:webHidden/>
          </w:rPr>
        </w:r>
        <w:r w:rsidR="008C4A1C">
          <w:rPr>
            <w:noProof/>
            <w:webHidden/>
          </w:rPr>
          <w:fldChar w:fldCharType="separate"/>
        </w:r>
        <w:r w:rsidR="008C4A1C">
          <w:rPr>
            <w:noProof/>
            <w:webHidden/>
          </w:rPr>
          <w:t>122</w:t>
        </w:r>
        <w:r w:rsidR="008C4A1C">
          <w:rPr>
            <w:noProof/>
            <w:webHidden/>
          </w:rPr>
          <w:fldChar w:fldCharType="end"/>
        </w:r>
      </w:hyperlink>
    </w:p>
    <w:p w14:paraId="17261C51" w14:textId="7993EEFA" w:rsidR="008C4A1C" w:rsidRDefault="0020559B">
      <w:pPr>
        <w:pStyle w:val="TOC2"/>
        <w:rPr>
          <w:rFonts w:cstheme="minorBidi"/>
          <w:iCs w:val="0"/>
          <w:noProof/>
          <w:color w:val="auto"/>
          <w:spacing w:val="0"/>
          <w:kern w:val="2"/>
          <w:sz w:val="22"/>
          <w:szCs w:val="22"/>
          <w14:ligatures w14:val="standardContextual"/>
        </w:rPr>
      </w:pPr>
      <w:hyperlink w:anchor="_Toc151976439" w:history="1">
        <w:r w:rsidR="008C4A1C" w:rsidRPr="00EB05C1">
          <w:rPr>
            <w:rStyle w:val="Hyperlink"/>
            <w:noProof/>
          </w:rPr>
          <w:t>7.2.</w:t>
        </w:r>
        <w:r w:rsidR="008C4A1C">
          <w:rPr>
            <w:rFonts w:cstheme="minorBidi"/>
            <w:iCs w:val="0"/>
            <w:noProof/>
            <w:color w:val="auto"/>
            <w:spacing w:val="0"/>
            <w:kern w:val="2"/>
            <w:sz w:val="22"/>
            <w:szCs w:val="22"/>
            <w14:ligatures w14:val="standardContextual"/>
          </w:rPr>
          <w:tab/>
        </w:r>
        <w:r w:rsidR="008C4A1C" w:rsidRPr="00EB05C1">
          <w:rPr>
            <w:rStyle w:val="Hyperlink"/>
            <w:noProof/>
          </w:rPr>
          <w:t>Logic Model</w:t>
        </w:r>
        <w:r w:rsidR="008C4A1C">
          <w:rPr>
            <w:noProof/>
            <w:webHidden/>
          </w:rPr>
          <w:tab/>
        </w:r>
        <w:r w:rsidR="008C4A1C">
          <w:rPr>
            <w:noProof/>
            <w:webHidden/>
          </w:rPr>
          <w:fldChar w:fldCharType="begin"/>
        </w:r>
        <w:r w:rsidR="008C4A1C">
          <w:rPr>
            <w:noProof/>
            <w:webHidden/>
          </w:rPr>
          <w:instrText xml:space="preserve"> PAGEREF _Toc151976439 \h </w:instrText>
        </w:r>
        <w:r w:rsidR="008C4A1C">
          <w:rPr>
            <w:noProof/>
            <w:webHidden/>
          </w:rPr>
        </w:r>
        <w:r w:rsidR="008C4A1C">
          <w:rPr>
            <w:noProof/>
            <w:webHidden/>
          </w:rPr>
          <w:fldChar w:fldCharType="separate"/>
        </w:r>
        <w:r w:rsidR="008C4A1C">
          <w:rPr>
            <w:noProof/>
            <w:webHidden/>
          </w:rPr>
          <w:t>126</w:t>
        </w:r>
        <w:r w:rsidR="008C4A1C">
          <w:rPr>
            <w:noProof/>
            <w:webHidden/>
          </w:rPr>
          <w:fldChar w:fldCharType="end"/>
        </w:r>
      </w:hyperlink>
    </w:p>
    <w:p w14:paraId="2C18FCE9" w14:textId="781787D7" w:rsidR="008C4A1C" w:rsidRDefault="0020559B">
      <w:pPr>
        <w:pStyle w:val="TOC2"/>
        <w:rPr>
          <w:rFonts w:cstheme="minorBidi"/>
          <w:iCs w:val="0"/>
          <w:noProof/>
          <w:color w:val="auto"/>
          <w:spacing w:val="0"/>
          <w:kern w:val="2"/>
          <w:sz w:val="22"/>
          <w:szCs w:val="22"/>
          <w14:ligatures w14:val="standardContextual"/>
        </w:rPr>
      </w:pPr>
      <w:hyperlink w:anchor="_Toc151976440" w:history="1">
        <w:r w:rsidR="008C4A1C" w:rsidRPr="00EB05C1">
          <w:rPr>
            <w:rStyle w:val="Hyperlink"/>
            <w:noProof/>
          </w:rPr>
          <w:t>7.3.</w:t>
        </w:r>
        <w:r w:rsidR="008C4A1C">
          <w:rPr>
            <w:rFonts w:cstheme="minorBidi"/>
            <w:iCs w:val="0"/>
            <w:noProof/>
            <w:color w:val="auto"/>
            <w:spacing w:val="0"/>
            <w:kern w:val="2"/>
            <w:sz w:val="22"/>
            <w:szCs w:val="22"/>
            <w14:ligatures w14:val="standardContextual"/>
          </w:rPr>
          <w:tab/>
        </w:r>
        <w:r w:rsidR="008C4A1C" w:rsidRPr="00EB05C1">
          <w:rPr>
            <w:rStyle w:val="Hyperlink"/>
            <w:noProof/>
          </w:rPr>
          <w:t>Research Questions and Hypotheses</w:t>
        </w:r>
        <w:r w:rsidR="008C4A1C">
          <w:rPr>
            <w:noProof/>
            <w:webHidden/>
          </w:rPr>
          <w:tab/>
        </w:r>
        <w:r w:rsidR="008C4A1C">
          <w:rPr>
            <w:noProof/>
            <w:webHidden/>
          </w:rPr>
          <w:fldChar w:fldCharType="begin"/>
        </w:r>
        <w:r w:rsidR="008C4A1C">
          <w:rPr>
            <w:noProof/>
            <w:webHidden/>
          </w:rPr>
          <w:instrText xml:space="preserve"> PAGEREF _Toc151976440 \h </w:instrText>
        </w:r>
        <w:r w:rsidR="008C4A1C">
          <w:rPr>
            <w:noProof/>
            <w:webHidden/>
          </w:rPr>
        </w:r>
        <w:r w:rsidR="008C4A1C">
          <w:rPr>
            <w:noProof/>
            <w:webHidden/>
          </w:rPr>
          <w:fldChar w:fldCharType="separate"/>
        </w:r>
        <w:r w:rsidR="008C4A1C">
          <w:rPr>
            <w:noProof/>
            <w:webHidden/>
          </w:rPr>
          <w:t>127</w:t>
        </w:r>
        <w:r w:rsidR="008C4A1C">
          <w:rPr>
            <w:noProof/>
            <w:webHidden/>
          </w:rPr>
          <w:fldChar w:fldCharType="end"/>
        </w:r>
      </w:hyperlink>
    </w:p>
    <w:p w14:paraId="55AB33EF" w14:textId="691F4C0A" w:rsidR="008C4A1C" w:rsidRDefault="0020559B">
      <w:pPr>
        <w:pStyle w:val="TOC2"/>
        <w:rPr>
          <w:rFonts w:cstheme="minorBidi"/>
          <w:iCs w:val="0"/>
          <w:noProof/>
          <w:color w:val="auto"/>
          <w:spacing w:val="0"/>
          <w:kern w:val="2"/>
          <w:sz w:val="22"/>
          <w:szCs w:val="22"/>
          <w14:ligatures w14:val="standardContextual"/>
        </w:rPr>
      </w:pPr>
      <w:hyperlink w:anchor="_Toc151976441" w:history="1">
        <w:r w:rsidR="008C4A1C" w:rsidRPr="00EB05C1">
          <w:rPr>
            <w:rStyle w:val="Hyperlink"/>
            <w:noProof/>
          </w:rPr>
          <w:t>7.4.</w:t>
        </w:r>
        <w:r w:rsidR="008C4A1C">
          <w:rPr>
            <w:rFonts w:cstheme="minorBidi"/>
            <w:iCs w:val="0"/>
            <w:noProof/>
            <w:color w:val="auto"/>
            <w:spacing w:val="0"/>
            <w:kern w:val="2"/>
            <w:sz w:val="22"/>
            <w:szCs w:val="22"/>
            <w14:ligatures w14:val="standardContextual"/>
          </w:rPr>
          <w:tab/>
        </w:r>
        <w:r w:rsidR="008C4A1C" w:rsidRPr="00EB05C1">
          <w:rPr>
            <w:rStyle w:val="Hyperlink"/>
            <w:noProof/>
          </w:rPr>
          <w:t>Data and Methods</w:t>
        </w:r>
        <w:r w:rsidR="008C4A1C">
          <w:rPr>
            <w:noProof/>
            <w:webHidden/>
          </w:rPr>
          <w:tab/>
        </w:r>
        <w:r w:rsidR="008C4A1C">
          <w:rPr>
            <w:noProof/>
            <w:webHidden/>
          </w:rPr>
          <w:fldChar w:fldCharType="begin"/>
        </w:r>
        <w:r w:rsidR="008C4A1C">
          <w:rPr>
            <w:noProof/>
            <w:webHidden/>
          </w:rPr>
          <w:instrText xml:space="preserve"> PAGEREF _Toc151976441 \h </w:instrText>
        </w:r>
        <w:r w:rsidR="008C4A1C">
          <w:rPr>
            <w:noProof/>
            <w:webHidden/>
          </w:rPr>
        </w:r>
        <w:r w:rsidR="008C4A1C">
          <w:rPr>
            <w:noProof/>
            <w:webHidden/>
          </w:rPr>
          <w:fldChar w:fldCharType="separate"/>
        </w:r>
        <w:r w:rsidR="008C4A1C">
          <w:rPr>
            <w:noProof/>
            <w:webHidden/>
          </w:rPr>
          <w:t>133</w:t>
        </w:r>
        <w:r w:rsidR="008C4A1C">
          <w:rPr>
            <w:noProof/>
            <w:webHidden/>
          </w:rPr>
          <w:fldChar w:fldCharType="end"/>
        </w:r>
      </w:hyperlink>
    </w:p>
    <w:p w14:paraId="23F447FE" w14:textId="2FA3616B" w:rsidR="008C4A1C" w:rsidRDefault="0020559B">
      <w:pPr>
        <w:pStyle w:val="TOC1"/>
        <w:rPr>
          <w:rFonts w:cstheme="minorBidi"/>
          <w:kern w:val="2"/>
          <w:sz w:val="22"/>
          <w:szCs w:val="22"/>
          <w14:ligatures w14:val="standardContextual"/>
        </w:rPr>
      </w:pPr>
      <w:hyperlink w:anchor="_Toc151976442" w:history="1">
        <w:r w:rsidR="008C4A1C" w:rsidRPr="00EB05C1">
          <w:rPr>
            <w:rStyle w:val="Hyperlink"/>
            <w:rFonts w:asciiTheme="majorHAnsi" w:hAnsiTheme="majorHAnsi"/>
          </w:rPr>
          <w:t>8.</w:t>
        </w:r>
        <w:r w:rsidR="008C4A1C">
          <w:rPr>
            <w:rFonts w:cstheme="minorBidi"/>
            <w:kern w:val="2"/>
            <w:sz w:val="22"/>
            <w:szCs w:val="22"/>
            <w14:ligatures w14:val="standardContextual"/>
          </w:rPr>
          <w:tab/>
        </w:r>
        <w:r w:rsidR="008C4A1C" w:rsidRPr="00EB05C1">
          <w:rPr>
            <w:rStyle w:val="Hyperlink"/>
          </w:rPr>
          <w:t>Health-Related Social Needs</w:t>
        </w:r>
        <w:r w:rsidR="008C4A1C">
          <w:rPr>
            <w:webHidden/>
          </w:rPr>
          <w:tab/>
        </w:r>
        <w:r w:rsidR="008C4A1C">
          <w:rPr>
            <w:webHidden/>
          </w:rPr>
          <w:fldChar w:fldCharType="begin"/>
        </w:r>
        <w:r w:rsidR="008C4A1C">
          <w:rPr>
            <w:webHidden/>
          </w:rPr>
          <w:instrText xml:space="preserve"> PAGEREF _Toc151976442 \h </w:instrText>
        </w:r>
        <w:r w:rsidR="008C4A1C">
          <w:rPr>
            <w:webHidden/>
          </w:rPr>
        </w:r>
        <w:r w:rsidR="008C4A1C">
          <w:rPr>
            <w:webHidden/>
          </w:rPr>
          <w:fldChar w:fldCharType="separate"/>
        </w:r>
        <w:r w:rsidR="008C4A1C">
          <w:rPr>
            <w:webHidden/>
          </w:rPr>
          <w:t>145</w:t>
        </w:r>
        <w:r w:rsidR="008C4A1C">
          <w:rPr>
            <w:webHidden/>
          </w:rPr>
          <w:fldChar w:fldCharType="end"/>
        </w:r>
      </w:hyperlink>
    </w:p>
    <w:p w14:paraId="6D7AB1E3" w14:textId="023FBE27" w:rsidR="008C4A1C" w:rsidRDefault="0020559B">
      <w:pPr>
        <w:pStyle w:val="TOC2"/>
        <w:rPr>
          <w:rFonts w:cstheme="minorBidi"/>
          <w:iCs w:val="0"/>
          <w:noProof/>
          <w:color w:val="auto"/>
          <w:spacing w:val="0"/>
          <w:kern w:val="2"/>
          <w:sz w:val="22"/>
          <w:szCs w:val="22"/>
          <w14:ligatures w14:val="standardContextual"/>
        </w:rPr>
      </w:pPr>
      <w:hyperlink w:anchor="_Toc151976443" w:history="1">
        <w:r w:rsidR="008C4A1C" w:rsidRPr="00EB05C1">
          <w:rPr>
            <w:rStyle w:val="Hyperlink"/>
            <w:noProof/>
          </w:rPr>
          <w:t>8.1.</w:t>
        </w:r>
        <w:r w:rsidR="008C4A1C">
          <w:rPr>
            <w:rFonts w:cstheme="minorBidi"/>
            <w:iCs w:val="0"/>
            <w:noProof/>
            <w:color w:val="auto"/>
            <w:spacing w:val="0"/>
            <w:kern w:val="2"/>
            <w:sz w:val="22"/>
            <w:szCs w:val="22"/>
            <w14:ligatures w14:val="standardContextual"/>
          </w:rPr>
          <w:tab/>
        </w:r>
        <w:r w:rsidR="008C4A1C" w:rsidRPr="00EB05C1">
          <w:rPr>
            <w:rStyle w:val="Hyperlink"/>
            <w:noProof/>
          </w:rPr>
          <w:t>Overview of Health-Related Social Needs (HRSN) Policy Domain</w:t>
        </w:r>
        <w:r w:rsidR="008C4A1C">
          <w:rPr>
            <w:noProof/>
            <w:webHidden/>
          </w:rPr>
          <w:tab/>
        </w:r>
        <w:r w:rsidR="008C4A1C">
          <w:rPr>
            <w:noProof/>
            <w:webHidden/>
          </w:rPr>
          <w:fldChar w:fldCharType="begin"/>
        </w:r>
        <w:r w:rsidR="008C4A1C">
          <w:rPr>
            <w:noProof/>
            <w:webHidden/>
          </w:rPr>
          <w:instrText xml:space="preserve"> PAGEREF _Toc151976443 \h </w:instrText>
        </w:r>
        <w:r w:rsidR="008C4A1C">
          <w:rPr>
            <w:noProof/>
            <w:webHidden/>
          </w:rPr>
        </w:r>
        <w:r w:rsidR="008C4A1C">
          <w:rPr>
            <w:noProof/>
            <w:webHidden/>
          </w:rPr>
          <w:fldChar w:fldCharType="separate"/>
        </w:r>
        <w:r w:rsidR="008C4A1C">
          <w:rPr>
            <w:noProof/>
            <w:webHidden/>
          </w:rPr>
          <w:t>145</w:t>
        </w:r>
        <w:r w:rsidR="008C4A1C">
          <w:rPr>
            <w:noProof/>
            <w:webHidden/>
          </w:rPr>
          <w:fldChar w:fldCharType="end"/>
        </w:r>
      </w:hyperlink>
    </w:p>
    <w:p w14:paraId="170750C5" w14:textId="0FA65542" w:rsidR="008C4A1C" w:rsidRDefault="0020559B">
      <w:pPr>
        <w:pStyle w:val="TOC2"/>
        <w:rPr>
          <w:rFonts w:cstheme="minorBidi"/>
          <w:iCs w:val="0"/>
          <w:noProof/>
          <w:color w:val="auto"/>
          <w:spacing w:val="0"/>
          <w:kern w:val="2"/>
          <w:sz w:val="22"/>
          <w:szCs w:val="22"/>
          <w14:ligatures w14:val="standardContextual"/>
        </w:rPr>
      </w:pPr>
      <w:hyperlink w:anchor="_Toc151976444" w:history="1">
        <w:r w:rsidR="008C4A1C" w:rsidRPr="00EB05C1">
          <w:rPr>
            <w:rStyle w:val="Hyperlink"/>
            <w:noProof/>
          </w:rPr>
          <w:t>8.2.</w:t>
        </w:r>
        <w:r w:rsidR="008C4A1C">
          <w:rPr>
            <w:rFonts w:cstheme="minorBidi"/>
            <w:iCs w:val="0"/>
            <w:noProof/>
            <w:color w:val="auto"/>
            <w:spacing w:val="0"/>
            <w:kern w:val="2"/>
            <w:sz w:val="22"/>
            <w:szCs w:val="22"/>
            <w14:ligatures w14:val="standardContextual"/>
          </w:rPr>
          <w:tab/>
        </w:r>
        <w:r w:rsidR="008C4A1C" w:rsidRPr="00EB05C1">
          <w:rPr>
            <w:rStyle w:val="Hyperlink"/>
            <w:noProof/>
          </w:rPr>
          <w:t>Logic Model</w:t>
        </w:r>
        <w:r w:rsidR="008C4A1C">
          <w:rPr>
            <w:noProof/>
            <w:webHidden/>
          </w:rPr>
          <w:tab/>
        </w:r>
        <w:r w:rsidR="008C4A1C">
          <w:rPr>
            <w:noProof/>
            <w:webHidden/>
          </w:rPr>
          <w:fldChar w:fldCharType="begin"/>
        </w:r>
        <w:r w:rsidR="008C4A1C">
          <w:rPr>
            <w:noProof/>
            <w:webHidden/>
          </w:rPr>
          <w:instrText xml:space="preserve"> PAGEREF _Toc151976444 \h </w:instrText>
        </w:r>
        <w:r w:rsidR="008C4A1C">
          <w:rPr>
            <w:noProof/>
            <w:webHidden/>
          </w:rPr>
        </w:r>
        <w:r w:rsidR="008C4A1C">
          <w:rPr>
            <w:noProof/>
            <w:webHidden/>
          </w:rPr>
          <w:fldChar w:fldCharType="separate"/>
        </w:r>
        <w:r w:rsidR="008C4A1C">
          <w:rPr>
            <w:noProof/>
            <w:webHidden/>
          </w:rPr>
          <w:t>149</w:t>
        </w:r>
        <w:r w:rsidR="008C4A1C">
          <w:rPr>
            <w:noProof/>
            <w:webHidden/>
          </w:rPr>
          <w:fldChar w:fldCharType="end"/>
        </w:r>
      </w:hyperlink>
    </w:p>
    <w:p w14:paraId="0EB2606C" w14:textId="225CFF5C" w:rsidR="008C4A1C" w:rsidRDefault="0020559B">
      <w:pPr>
        <w:pStyle w:val="TOC2"/>
        <w:rPr>
          <w:rFonts w:cstheme="minorBidi"/>
          <w:iCs w:val="0"/>
          <w:noProof/>
          <w:color w:val="auto"/>
          <w:spacing w:val="0"/>
          <w:kern w:val="2"/>
          <w:sz w:val="22"/>
          <w:szCs w:val="22"/>
          <w14:ligatures w14:val="standardContextual"/>
        </w:rPr>
      </w:pPr>
      <w:hyperlink w:anchor="_Toc151976445" w:history="1">
        <w:r w:rsidR="008C4A1C" w:rsidRPr="00EB05C1">
          <w:rPr>
            <w:rStyle w:val="Hyperlink"/>
            <w:noProof/>
          </w:rPr>
          <w:t>8.3.</w:t>
        </w:r>
        <w:r w:rsidR="008C4A1C">
          <w:rPr>
            <w:rFonts w:cstheme="minorBidi"/>
            <w:iCs w:val="0"/>
            <w:noProof/>
            <w:color w:val="auto"/>
            <w:spacing w:val="0"/>
            <w:kern w:val="2"/>
            <w:sz w:val="22"/>
            <w:szCs w:val="22"/>
            <w14:ligatures w14:val="standardContextual"/>
          </w:rPr>
          <w:tab/>
        </w:r>
        <w:r w:rsidR="008C4A1C" w:rsidRPr="00EB05C1">
          <w:rPr>
            <w:rStyle w:val="Hyperlink"/>
            <w:noProof/>
          </w:rPr>
          <w:t>Research Questions and Hypotheses</w:t>
        </w:r>
        <w:r w:rsidR="008C4A1C">
          <w:rPr>
            <w:noProof/>
            <w:webHidden/>
          </w:rPr>
          <w:tab/>
        </w:r>
        <w:r w:rsidR="008C4A1C">
          <w:rPr>
            <w:noProof/>
            <w:webHidden/>
          </w:rPr>
          <w:fldChar w:fldCharType="begin"/>
        </w:r>
        <w:r w:rsidR="008C4A1C">
          <w:rPr>
            <w:noProof/>
            <w:webHidden/>
          </w:rPr>
          <w:instrText xml:space="preserve"> PAGEREF _Toc151976445 \h </w:instrText>
        </w:r>
        <w:r w:rsidR="008C4A1C">
          <w:rPr>
            <w:noProof/>
            <w:webHidden/>
          </w:rPr>
        </w:r>
        <w:r w:rsidR="008C4A1C">
          <w:rPr>
            <w:noProof/>
            <w:webHidden/>
          </w:rPr>
          <w:fldChar w:fldCharType="separate"/>
        </w:r>
        <w:r w:rsidR="008C4A1C">
          <w:rPr>
            <w:noProof/>
            <w:webHidden/>
          </w:rPr>
          <w:t>151</w:t>
        </w:r>
        <w:r w:rsidR="008C4A1C">
          <w:rPr>
            <w:noProof/>
            <w:webHidden/>
          </w:rPr>
          <w:fldChar w:fldCharType="end"/>
        </w:r>
      </w:hyperlink>
    </w:p>
    <w:p w14:paraId="6C29D451" w14:textId="064FE9E5" w:rsidR="008C4A1C" w:rsidRDefault="0020559B">
      <w:pPr>
        <w:pStyle w:val="TOC2"/>
        <w:rPr>
          <w:rFonts w:cstheme="minorBidi"/>
          <w:iCs w:val="0"/>
          <w:noProof/>
          <w:color w:val="auto"/>
          <w:spacing w:val="0"/>
          <w:kern w:val="2"/>
          <w:sz w:val="22"/>
          <w:szCs w:val="22"/>
          <w14:ligatures w14:val="standardContextual"/>
        </w:rPr>
      </w:pPr>
      <w:hyperlink w:anchor="_Toc151976446" w:history="1">
        <w:r w:rsidR="008C4A1C" w:rsidRPr="00EB05C1">
          <w:rPr>
            <w:rStyle w:val="Hyperlink"/>
            <w:noProof/>
          </w:rPr>
          <w:t>8.4.</w:t>
        </w:r>
        <w:r w:rsidR="008C4A1C">
          <w:rPr>
            <w:rFonts w:cstheme="minorBidi"/>
            <w:iCs w:val="0"/>
            <w:noProof/>
            <w:color w:val="auto"/>
            <w:spacing w:val="0"/>
            <w:kern w:val="2"/>
            <w:sz w:val="22"/>
            <w:szCs w:val="22"/>
            <w14:ligatures w14:val="standardContextual"/>
          </w:rPr>
          <w:tab/>
        </w:r>
        <w:r w:rsidR="008C4A1C" w:rsidRPr="00EB05C1">
          <w:rPr>
            <w:rStyle w:val="Hyperlink"/>
            <w:noProof/>
          </w:rPr>
          <w:t>Data and Methods</w:t>
        </w:r>
        <w:r w:rsidR="008C4A1C">
          <w:rPr>
            <w:noProof/>
            <w:webHidden/>
          </w:rPr>
          <w:tab/>
        </w:r>
        <w:r w:rsidR="008C4A1C">
          <w:rPr>
            <w:noProof/>
            <w:webHidden/>
          </w:rPr>
          <w:fldChar w:fldCharType="begin"/>
        </w:r>
        <w:r w:rsidR="008C4A1C">
          <w:rPr>
            <w:noProof/>
            <w:webHidden/>
          </w:rPr>
          <w:instrText xml:space="preserve"> PAGEREF _Toc151976446 \h </w:instrText>
        </w:r>
        <w:r w:rsidR="008C4A1C">
          <w:rPr>
            <w:noProof/>
            <w:webHidden/>
          </w:rPr>
        </w:r>
        <w:r w:rsidR="008C4A1C">
          <w:rPr>
            <w:noProof/>
            <w:webHidden/>
          </w:rPr>
          <w:fldChar w:fldCharType="separate"/>
        </w:r>
        <w:r w:rsidR="008C4A1C">
          <w:rPr>
            <w:noProof/>
            <w:webHidden/>
          </w:rPr>
          <w:t>163</w:t>
        </w:r>
        <w:r w:rsidR="008C4A1C">
          <w:rPr>
            <w:noProof/>
            <w:webHidden/>
          </w:rPr>
          <w:fldChar w:fldCharType="end"/>
        </w:r>
      </w:hyperlink>
    </w:p>
    <w:p w14:paraId="1BC31366" w14:textId="5144E733" w:rsidR="008C4A1C" w:rsidRDefault="0020559B">
      <w:pPr>
        <w:pStyle w:val="TOC1"/>
        <w:rPr>
          <w:rFonts w:cstheme="minorBidi"/>
          <w:kern w:val="2"/>
          <w:sz w:val="22"/>
          <w:szCs w:val="22"/>
          <w14:ligatures w14:val="standardContextual"/>
        </w:rPr>
      </w:pPr>
      <w:hyperlink w:anchor="_Toc151976447" w:history="1">
        <w:r w:rsidR="008C4A1C" w:rsidRPr="00EB05C1">
          <w:rPr>
            <w:rStyle w:val="Hyperlink"/>
          </w:rPr>
          <w:t>Appendices</w:t>
        </w:r>
        <w:r w:rsidR="008C4A1C">
          <w:rPr>
            <w:webHidden/>
          </w:rPr>
          <w:tab/>
        </w:r>
        <w:r w:rsidR="008C4A1C">
          <w:rPr>
            <w:webHidden/>
          </w:rPr>
          <w:fldChar w:fldCharType="begin"/>
        </w:r>
        <w:r w:rsidR="008C4A1C">
          <w:rPr>
            <w:webHidden/>
          </w:rPr>
          <w:instrText xml:space="preserve"> PAGEREF _Toc151976447 \h </w:instrText>
        </w:r>
        <w:r w:rsidR="008C4A1C">
          <w:rPr>
            <w:webHidden/>
          </w:rPr>
        </w:r>
        <w:r w:rsidR="008C4A1C">
          <w:rPr>
            <w:webHidden/>
          </w:rPr>
          <w:fldChar w:fldCharType="separate"/>
        </w:r>
        <w:r w:rsidR="008C4A1C">
          <w:rPr>
            <w:webHidden/>
          </w:rPr>
          <w:t>170</w:t>
        </w:r>
        <w:r w:rsidR="008C4A1C">
          <w:rPr>
            <w:webHidden/>
          </w:rPr>
          <w:fldChar w:fldCharType="end"/>
        </w:r>
      </w:hyperlink>
    </w:p>
    <w:p w14:paraId="25CC0028" w14:textId="6D0A04F1" w:rsidR="008C4A1C" w:rsidRDefault="0020559B">
      <w:pPr>
        <w:pStyle w:val="TOC2"/>
        <w:rPr>
          <w:rFonts w:cstheme="minorBidi"/>
          <w:iCs w:val="0"/>
          <w:noProof/>
          <w:color w:val="auto"/>
          <w:spacing w:val="0"/>
          <w:kern w:val="2"/>
          <w:sz w:val="22"/>
          <w:szCs w:val="22"/>
          <w14:ligatures w14:val="standardContextual"/>
        </w:rPr>
      </w:pPr>
      <w:hyperlink w:anchor="_Toc151976448" w:history="1">
        <w:r w:rsidR="008C4A1C" w:rsidRPr="00EB05C1">
          <w:rPr>
            <w:rStyle w:val="Hyperlink"/>
            <w:noProof/>
          </w:rPr>
          <w:t>Appendix A: Independent Evaluator Selection, Assurance of Independence, and Qualifications</w:t>
        </w:r>
        <w:r w:rsidR="008C4A1C">
          <w:rPr>
            <w:noProof/>
            <w:webHidden/>
          </w:rPr>
          <w:tab/>
        </w:r>
        <w:r w:rsidR="008C4A1C">
          <w:rPr>
            <w:noProof/>
            <w:webHidden/>
          </w:rPr>
          <w:fldChar w:fldCharType="begin"/>
        </w:r>
        <w:r w:rsidR="008C4A1C">
          <w:rPr>
            <w:noProof/>
            <w:webHidden/>
          </w:rPr>
          <w:instrText xml:space="preserve"> PAGEREF _Toc151976448 \h </w:instrText>
        </w:r>
        <w:r w:rsidR="008C4A1C">
          <w:rPr>
            <w:noProof/>
            <w:webHidden/>
          </w:rPr>
        </w:r>
        <w:r w:rsidR="008C4A1C">
          <w:rPr>
            <w:noProof/>
            <w:webHidden/>
          </w:rPr>
          <w:fldChar w:fldCharType="separate"/>
        </w:r>
        <w:r w:rsidR="008C4A1C">
          <w:rPr>
            <w:noProof/>
            <w:webHidden/>
          </w:rPr>
          <w:t>170</w:t>
        </w:r>
        <w:r w:rsidR="008C4A1C">
          <w:rPr>
            <w:noProof/>
            <w:webHidden/>
          </w:rPr>
          <w:fldChar w:fldCharType="end"/>
        </w:r>
      </w:hyperlink>
    </w:p>
    <w:p w14:paraId="1E2EB8AE" w14:textId="41DF89FC" w:rsidR="008C4A1C" w:rsidRDefault="0020559B">
      <w:pPr>
        <w:pStyle w:val="TOC2"/>
        <w:rPr>
          <w:rFonts w:cstheme="minorBidi"/>
          <w:iCs w:val="0"/>
          <w:noProof/>
          <w:color w:val="auto"/>
          <w:spacing w:val="0"/>
          <w:kern w:val="2"/>
          <w:sz w:val="22"/>
          <w:szCs w:val="22"/>
          <w14:ligatures w14:val="standardContextual"/>
        </w:rPr>
      </w:pPr>
      <w:hyperlink w:anchor="_Toc151976449" w:history="1">
        <w:r w:rsidR="008C4A1C" w:rsidRPr="00EB05C1">
          <w:rPr>
            <w:rStyle w:val="Hyperlink"/>
            <w:noProof/>
          </w:rPr>
          <w:t>Appendix B: Specifications of Quantitative Measures Derived from Existing Sources</w:t>
        </w:r>
        <w:r w:rsidR="008C4A1C">
          <w:rPr>
            <w:noProof/>
            <w:webHidden/>
          </w:rPr>
          <w:tab/>
        </w:r>
        <w:r w:rsidR="008C4A1C">
          <w:rPr>
            <w:noProof/>
            <w:webHidden/>
          </w:rPr>
          <w:fldChar w:fldCharType="begin"/>
        </w:r>
        <w:r w:rsidR="008C4A1C">
          <w:rPr>
            <w:noProof/>
            <w:webHidden/>
          </w:rPr>
          <w:instrText xml:space="preserve"> PAGEREF _Toc151976449 \h </w:instrText>
        </w:r>
        <w:r w:rsidR="008C4A1C">
          <w:rPr>
            <w:noProof/>
            <w:webHidden/>
          </w:rPr>
        </w:r>
        <w:r w:rsidR="008C4A1C">
          <w:rPr>
            <w:noProof/>
            <w:webHidden/>
          </w:rPr>
          <w:fldChar w:fldCharType="separate"/>
        </w:r>
        <w:r w:rsidR="008C4A1C">
          <w:rPr>
            <w:noProof/>
            <w:webHidden/>
          </w:rPr>
          <w:t>180</w:t>
        </w:r>
        <w:r w:rsidR="008C4A1C">
          <w:rPr>
            <w:noProof/>
            <w:webHidden/>
          </w:rPr>
          <w:fldChar w:fldCharType="end"/>
        </w:r>
      </w:hyperlink>
    </w:p>
    <w:p w14:paraId="016F9CE4" w14:textId="29FD0FC5" w:rsidR="008C4A1C" w:rsidRDefault="0020559B">
      <w:pPr>
        <w:pStyle w:val="TOC2"/>
        <w:rPr>
          <w:rFonts w:cstheme="minorBidi"/>
          <w:iCs w:val="0"/>
          <w:noProof/>
          <w:color w:val="auto"/>
          <w:spacing w:val="0"/>
          <w:kern w:val="2"/>
          <w:sz w:val="22"/>
          <w:szCs w:val="22"/>
          <w14:ligatures w14:val="standardContextual"/>
        </w:rPr>
      </w:pPr>
      <w:hyperlink w:anchor="_Toc151976450" w:history="1">
        <w:r w:rsidR="008C4A1C" w:rsidRPr="00EB05C1">
          <w:rPr>
            <w:rStyle w:val="Hyperlink"/>
            <w:noProof/>
          </w:rPr>
          <w:t>Appendix C: MassHealth Algorithm for Determining Serious Mental Illness (SMI)/ Serious Emotional Disturbance (SEDs)</w:t>
        </w:r>
        <w:r w:rsidR="008C4A1C">
          <w:rPr>
            <w:noProof/>
            <w:webHidden/>
          </w:rPr>
          <w:tab/>
        </w:r>
        <w:r w:rsidR="008C4A1C">
          <w:rPr>
            <w:noProof/>
            <w:webHidden/>
          </w:rPr>
          <w:fldChar w:fldCharType="begin"/>
        </w:r>
        <w:r w:rsidR="008C4A1C">
          <w:rPr>
            <w:noProof/>
            <w:webHidden/>
          </w:rPr>
          <w:instrText xml:space="preserve"> PAGEREF _Toc151976450 \h </w:instrText>
        </w:r>
        <w:r w:rsidR="008C4A1C">
          <w:rPr>
            <w:noProof/>
            <w:webHidden/>
          </w:rPr>
        </w:r>
        <w:r w:rsidR="008C4A1C">
          <w:rPr>
            <w:noProof/>
            <w:webHidden/>
          </w:rPr>
          <w:fldChar w:fldCharType="separate"/>
        </w:r>
        <w:r w:rsidR="008C4A1C">
          <w:rPr>
            <w:noProof/>
            <w:webHidden/>
          </w:rPr>
          <w:t>226</w:t>
        </w:r>
        <w:r w:rsidR="008C4A1C">
          <w:rPr>
            <w:noProof/>
            <w:webHidden/>
          </w:rPr>
          <w:fldChar w:fldCharType="end"/>
        </w:r>
      </w:hyperlink>
    </w:p>
    <w:p w14:paraId="0FDD9FD6" w14:textId="31E29AB7" w:rsidR="004E0F0E" w:rsidRPr="00AE60FB" w:rsidRDefault="00BB7A24" w:rsidP="00AE60FB">
      <w:r>
        <w:rPr>
          <w:rFonts w:cstheme="minorHAnsi"/>
          <w:b/>
          <w:i/>
          <w:noProof/>
          <w:sz w:val="28"/>
        </w:rPr>
        <w:fldChar w:fldCharType="end"/>
      </w:r>
    </w:p>
    <w:p w14:paraId="4A149BB5" w14:textId="2132EBB1" w:rsidR="001806F2" w:rsidRPr="001806F2" w:rsidRDefault="001806F2" w:rsidP="001806F2">
      <w:pPr>
        <w:pStyle w:val="TOCHeading"/>
      </w:pPr>
      <w:r>
        <w:t>List of Tables</w:t>
      </w:r>
    </w:p>
    <w:p w14:paraId="3E7AAC7D" w14:textId="446B86B2" w:rsidR="004A4573" w:rsidRDefault="001806F2">
      <w:pPr>
        <w:pStyle w:val="TableofFigures"/>
        <w:tabs>
          <w:tab w:val="right" w:leader="dot" w:pos="9350"/>
        </w:tabs>
        <w:rPr>
          <w:rFonts w:eastAsiaTheme="minorEastAsia" w:cstheme="minorBidi"/>
          <w:noProof/>
          <w:kern w:val="2"/>
          <w:sz w:val="22"/>
          <w:szCs w:val="22"/>
          <w14:ligatures w14:val="standardContextual"/>
        </w:rPr>
      </w:pPr>
      <w:r>
        <w:fldChar w:fldCharType="begin"/>
      </w:r>
      <w:r>
        <w:instrText xml:space="preserve"> TOC \h \z \c "Table" </w:instrText>
      </w:r>
      <w:r>
        <w:fldChar w:fldCharType="separate"/>
      </w:r>
      <w:hyperlink w:anchor="_Toc151976451" w:history="1">
        <w:r w:rsidR="004A4573" w:rsidRPr="00176C2A">
          <w:rPr>
            <w:rStyle w:val="Hyperlink"/>
            <w:noProof/>
          </w:rPr>
          <w:t>Table 1-1: Crosswalk of EDD Policy Domains, MH Goals, CMS Evaluation Components, and Corresponding STCs</w:t>
        </w:r>
        <w:r w:rsidR="004A4573">
          <w:rPr>
            <w:noProof/>
            <w:webHidden/>
          </w:rPr>
          <w:tab/>
        </w:r>
        <w:r w:rsidR="004A4573">
          <w:rPr>
            <w:noProof/>
            <w:webHidden/>
          </w:rPr>
          <w:fldChar w:fldCharType="begin"/>
        </w:r>
        <w:r w:rsidR="004A4573">
          <w:rPr>
            <w:noProof/>
            <w:webHidden/>
          </w:rPr>
          <w:instrText xml:space="preserve"> PAGEREF _Toc151976451 \h </w:instrText>
        </w:r>
        <w:r w:rsidR="004A4573">
          <w:rPr>
            <w:noProof/>
            <w:webHidden/>
          </w:rPr>
        </w:r>
        <w:r w:rsidR="004A4573">
          <w:rPr>
            <w:noProof/>
            <w:webHidden/>
          </w:rPr>
          <w:fldChar w:fldCharType="separate"/>
        </w:r>
        <w:r w:rsidR="004A4573">
          <w:rPr>
            <w:noProof/>
            <w:webHidden/>
          </w:rPr>
          <w:t>9</w:t>
        </w:r>
        <w:r w:rsidR="004A4573">
          <w:rPr>
            <w:noProof/>
            <w:webHidden/>
          </w:rPr>
          <w:fldChar w:fldCharType="end"/>
        </w:r>
      </w:hyperlink>
    </w:p>
    <w:p w14:paraId="03380005" w14:textId="1A29BC4E" w:rsidR="004A4573" w:rsidRDefault="0020559B">
      <w:pPr>
        <w:pStyle w:val="TableofFigures"/>
        <w:tabs>
          <w:tab w:val="right" w:leader="dot" w:pos="9350"/>
        </w:tabs>
        <w:rPr>
          <w:rFonts w:eastAsiaTheme="minorEastAsia" w:cstheme="minorBidi"/>
          <w:noProof/>
          <w:kern w:val="2"/>
          <w:sz w:val="22"/>
          <w:szCs w:val="22"/>
          <w14:ligatures w14:val="standardContextual"/>
        </w:rPr>
      </w:pPr>
      <w:hyperlink w:anchor="_Toc151976452" w:history="1">
        <w:r w:rsidR="004A4573" w:rsidRPr="00176C2A">
          <w:rPr>
            <w:rStyle w:val="Hyperlink"/>
            <w:noProof/>
          </w:rPr>
          <w:t>Table 1</w:t>
        </w:r>
        <w:r w:rsidR="004A4573" w:rsidRPr="00176C2A">
          <w:rPr>
            <w:rStyle w:val="Hyperlink"/>
            <w:noProof/>
          </w:rPr>
          <w:noBreakHyphen/>
          <w:t>2: Summary of Data Sources by Policy Domain</w:t>
        </w:r>
        <w:r w:rsidR="004A4573">
          <w:rPr>
            <w:noProof/>
            <w:webHidden/>
          </w:rPr>
          <w:tab/>
        </w:r>
        <w:r w:rsidR="004A4573">
          <w:rPr>
            <w:noProof/>
            <w:webHidden/>
          </w:rPr>
          <w:fldChar w:fldCharType="begin"/>
        </w:r>
        <w:r w:rsidR="004A4573">
          <w:rPr>
            <w:noProof/>
            <w:webHidden/>
          </w:rPr>
          <w:instrText xml:space="preserve"> PAGEREF _Toc151976452 \h </w:instrText>
        </w:r>
        <w:r w:rsidR="004A4573">
          <w:rPr>
            <w:noProof/>
            <w:webHidden/>
          </w:rPr>
        </w:r>
        <w:r w:rsidR="004A4573">
          <w:rPr>
            <w:noProof/>
            <w:webHidden/>
          </w:rPr>
          <w:fldChar w:fldCharType="separate"/>
        </w:r>
        <w:r w:rsidR="004A4573">
          <w:rPr>
            <w:noProof/>
            <w:webHidden/>
          </w:rPr>
          <w:t>13</w:t>
        </w:r>
        <w:r w:rsidR="004A4573">
          <w:rPr>
            <w:noProof/>
            <w:webHidden/>
          </w:rPr>
          <w:fldChar w:fldCharType="end"/>
        </w:r>
      </w:hyperlink>
    </w:p>
    <w:p w14:paraId="166573AB" w14:textId="34CB7760" w:rsidR="004A4573" w:rsidRDefault="0020559B">
      <w:pPr>
        <w:pStyle w:val="TableofFigures"/>
        <w:tabs>
          <w:tab w:val="right" w:leader="dot" w:pos="9350"/>
        </w:tabs>
        <w:rPr>
          <w:rFonts w:eastAsiaTheme="minorEastAsia" w:cstheme="minorBidi"/>
          <w:noProof/>
          <w:kern w:val="2"/>
          <w:sz w:val="22"/>
          <w:szCs w:val="22"/>
          <w14:ligatures w14:val="standardContextual"/>
        </w:rPr>
      </w:pPr>
      <w:hyperlink w:anchor="_Toc151976453" w:history="1">
        <w:r w:rsidR="004A4573" w:rsidRPr="00176C2A">
          <w:rPr>
            <w:rStyle w:val="Hyperlink"/>
            <w:noProof/>
          </w:rPr>
          <w:t>Table 1</w:t>
        </w:r>
        <w:r w:rsidR="004A4573" w:rsidRPr="00176C2A">
          <w:rPr>
            <w:rStyle w:val="Hyperlink"/>
            <w:noProof/>
          </w:rPr>
          <w:noBreakHyphen/>
          <w:t>3: Anticipated Timeline for Data Collection, Management, and Analysis, MassHealth Demonstration Project</w:t>
        </w:r>
        <w:r w:rsidR="004A4573">
          <w:rPr>
            <w:noProof/>
            <w:webHidden/>
          </w:rPr>
          <w:tab/>
        </w:r>
        <w:r w:rsidR="004A4573">
          <w:rPr>
            <w:noProof/>
            <w:webHidden/>
          </w:rPr>
          <w:fldChar w:fldCharType="begin"/>
        </w:r>
        <w:r w:rsidR="004A4573">
          <w:rPr>
            <w:noProof/>
            <w:webHidden/>
          </w:rPr>
          <w:instrText xml:space="preserve"> PAGEREF _Toc151976453 \h </w:instrText>
        </w:r>
        <w:r w:rsidR="004A4573">
          <w:rPr>
            <w:noProof/>
            <w:webHidden/>
          </w:rPr>
        </w:r>
        <w:r w:rsidR="004A4573">
          <w:rPr>
            <w:noProof/>
            <w:webHidden/>
          </w:rPr>
          <w:fldChar w:fldCharType="separate"/>
        </w:r>
        <w:r w:rsidR="004A4573">
          <w:rPr>
            <w:noProof/>
            <w:webHidden/>
          </w:rPr>
          <w:t>15</w:t>
        </w:r>
        <w:r w:rsidR="004A4573">
          <w:rPr>
            <w:noProof/>
            <w:webHidden/>
          </w:rPr>
          <w:fldChar w:fldCharType="end"/>
        </w:r>
      </w:hyperlink>
    </w:p>
    <w:p w14:paraId="4D133546" w14:textId="25CFFA85" w:rsidR="004A4573" w:rsidRDefault="0020559B">
      <w:pPr>
        <w:pStyle w:val="TableofFigures"/>
        <w:tabs>
          <w:tab w:val="right" w:leader="dot" w:pos="9350"/>
        </w:tabs>
        <w:rPr>
          <w:rFonts w:eastAsiaTheme="minorEastAsia" w:cstheme="minorBidi"/>
          <w:noProof/>
          <w:kern w:val="2"/>
          <w:sz w:val="22"/>
          <w:szCs w:val="22"/>
          <w14:ligatures w14:val="standardContextual"/>
        </w:rPr>
      </w:pPr>
      <w:hyperlink w:anchor="_Toc151976454" w:history="1">
        <w:r w:rsidR="004A4573" w:rsidRPr="00176C2A">
          <w:rPr>
            <w:rStyle w:val="Hyperlink"/>
            <w:noProof/>
          </w:rPr>
          <w:t>Table 1</w:t>
        </w:r>
        <w:r w:rsidR="004A4573" w:rsidRPr="00176C2A">
          <w:rPr>
            <w:rStyle w:val="Hyperlink"/>
            <w:noProof/>
          </w:rPr>
          <w:noBreakHyphen/>
          <w:t>4: Independent Evaluation Timeline, Milestones, and Deliverables*</w:t>
        </w:r>
        <w:r w:rsidR="004A4573">
          <w:rPr>
            <w:noProof/>
            <w:webHidden/>
          </w:rPr>
          <w:tab/>
        </w:r>
        <w:r w:rsidR="004A4573">
          <w:rPr>
            <w:noProof/>
            <w:webHidden/>
          </w:rPr>
          <w:fldChar w:fldCharType="begin"/>
        </w:r>
        <w:r w:rsidR="004A4573">
          <w:rPr>
            <w:noProof/>
            <w:webHidden/>
          </w:rPr>
          <w:instrText xml:space="preserve"> PAGEREF _Toc151976454 \h </w:instrText>
        </w:r>
        <w:r w:rsidR="004A4573">
          <w:rPr>
            <w:noProof/>
            <w:webHidden/>
          </w:rPr>
        </w:r>
        <w:r w:rsidR="004A4573">
          <w:rPr>
            <w:noProof/>
            <w:webHidden/>
          </w:rPr>
          <w:fldChar w:fldCharType="separate"/>
        </w:r>
        <w:r w:rsidR="004A4573">
          <w:rPr>
            <w:noProof/>
            <w:webHidden/>
          </w:rPr>
          <w:t>25</w:t>
        </w:r>
        <w:r w:rsidR="004A4573">
          <w:rPr>
            <w:noProof/>
            <w:webHidden/>
          </w:rPr>
          <w:fldChar w:fldCharType="end"/>
        </w:r>
      </w:hyperlink>
    </w:p>
    <w:p w14:paraId="74EF9A37" w14:textId="66D4FDD2" w:rsidR="004A4573" w:rsidRDefault="0020559B">
      <w:pPr>
        <w:pStyle w:val="TableofFigures"/>
        <w:tabs>
          <w:tab w:val="right" w:leader="dot" w:pos="9350"/>
        </w:tabs>
        <w:rPr>
          <w:rFonts w:eastAsiaTheme="minorEastAsia" w:cstheme="minorBidi"/>
          <w:noProof/>
          <w:kern w:val="2"/>
          <w:sz w:val="22"/>
          <w:szCs w:val="22"/>
          <w14:ligatures w14:val="standardContextual"/>
        </w:rPr>
      </w:pPr>
      <w:hyperlink w:anchor="_Toc151976455" w:history="1">
        <w:r w:rsidR="004A4573" w:rsidRPr="00176C2A">
          <w:rPr>
            <w:rStyle w:val="Hyperlink"/>
            <w:noProof/>
          </w:rPr>
          <w:t>Table 2</w:t>
        </w:r>
        <w:r w:rsidR="004A4573" w:rsidRPr="00176C2A">
          <w:rPr>
            <w:rStyle w:val="Hyperlink"/>
            <w:noProof/>
          </w:rPr>
          <w:noBreakHyphen/>
          <w:t>1: Research Questions and Hypotheses for C&amp;E</w:t>
        </w:r>
        <w:r w:rsidR="004A4573">
          <w:rPr>
            <w:noProof/>
            <w:webHidden/>
          </w:rPr>
          <w:tab/>
        </w:r>
        <w:r w:rsidR="004A4573">
          <w:rPr>
            <w:noProof/>
            <w:webHidden/>
          </w:rPr>
          <w:fldChar w:fldCharType="begin"/>
        </w:r>
        <w:r w:rsidR="004A4573">
          <w:rPr>
            <w:noProof/>
            <w:webHidden/>
          </w:rPr>
          <w:instrText xml:space="preserve"> PAGEREF _Toc151976455 \h </w:instrText>
        </w:r>
        <w:r w:rsidR="004A4573">
          <w:rPr>
            <w:noProof/>
            <w:webHidden/>
          </w:rPr>
        </w:r>
        <w:r w:rsidR="004A4573">
          <w:rPr>
            <w:noProof/>
            <w:webHidden/>
          </w:rPr>
          <w:fldChar w:fldCharType="separate"/>
        </w:r>
        <w:r w:rsidR="004A4573">
          <w:rPr>
            <w:noProof/>
            <w:webHidden/>
          </w:rPr>
          <w:t>32</w:t>
        </w:r>
        <w:r w:rsidR="004A4573">
          <w:rPr>
            <w:noProof/>
            <w:webHidden/>
          </w:rPr>
          <w:fldChar w:fldCharType="end"/>
        </w:r>
      </w:hyperlink>
    </w:p>
    <w:p w14:paraId="26FC1D61" w14:textId="24654791" w:rsidR="004A4573" w:rsidRDefault="0020559B">
      <w:pPr>
        <w:pStyle w:val="TableofFigures"/>
        <w:tabs>
          <w:tab w:val="right" w:leader="dot" w:pos="9350"/>
        </w:tabs>
        <w:rPr>
          <w:rFonts w:eastAsiaTheme="minorEastAsia" w:cstheme="minorBidi"/>
          <w:noProof/>
          <w:kern w:val="2"/>
          <w:sz w:val="22"/>
          <w:szCs w:val="22"/>
          <w14:ligatures w14:val="standardContextual"/>
        </w:rPr>
      </w:pPr>
      <w:hyperlink w:anchor="_Toc151976456" w:history="1">
        <w:r w:rsidR="004A4573" w:rsidRPr="00176C2A">
          <w:rPr>
            <w:rStyle w:val="Hyperlink"/>
            <w:noProof/>
          </w:rPr>
          <w:t>Table 3</w:t>
        </w:r>
        <w:r w:rsidR="004A4573" w:rsidRPr="00176C2A">
          <w:rPr>
            <w:rStyle w:val="Hyperlink"/>
            <w:noProof/>
          </w:rPr>
          <w:noBreakHyphen/>
          <w:t>1: DSRIP Funding Allocation (In Millions) by Calendar Year (CY)</w:t>
        </w:r>
        <w:r w:rsidR="004A4573">
          <w:rPr>
            <w:noProof/>
            <w:webHidden/>
          </w:rPr>
          <w:tab/>
        </w:r>
        <w:r w:rsidR="004A4573">
          <w:rPr>
            <w:noProof/>
            <w:webHidden/>
          </w:rPr>
          <w:fldChar w:fldCharType="begin"/>
        </w:r>
        <w:r w:rsidR="004A4573">
          <w:rPr>
            <w:noProof/>
            <w:webHidden/>
          </w:rPr>
          <w:instrText xml:space="preserve"> PAGEREF _Toc151976456 \h </w:instrText>
        </w:r>
        <w:r w:rsidR="004A4573">
          <w:rPr>
            <w:noProof/>
            <w:webHidden/>
          </w:rPr>
        </w:r>
        <w:r w:rsidR="004A4573">
          <w:rPr>
            <w:noProof/>
            <w:webHidden/>
          </w:rPr>
          <w:fldChar w:fldCharType="separate"/>
        </w:r>
        <w:r w:rsidR="004A4573">
          <w:rPr>
            <w:noProof/>
            <w:webHidden/>
          </w:rPr>
          <w:t>41</w:t>
        </w:r>
        <w:r w:rsidR="004A4573">
          <w:rPr>
            <w:noProof/>
            <w:webHidden/>
          </w:rPr>
          <w:fldChar w:fldCharType="end"/>
        </w:r>
      </w:hyperlink>
    </w:p>
    <w:p w14:paraId="30FFCD35" w14:textId="6D177648" w:rsidR="004A4573" w:rsidRDefault="0020559B">
      <w:pPr>
        <w:pStyle w:val="TableofFigures"/>
        <w:tabs>
          <w:tab w:val="right" w:leader="dot" w:pos="9350"/>
        </w:tabs>
        <w:rPr>
          <w:rFonts w:eastAsiaTheme="minorEastAsia" w:cstheme="minorBidi"/>
          <w:noProof/>
          <w:kern w:val="2"/>
          <w:sz w:val="22"/>
          <w:szCs w:val="22"/>
          <w14:ligatures w14:val="standardContextual"/>
        </w:rPr>
      </w:pPr>
      <w:hyperlink w:anchor="_Toc151976457" w:history="1">
        <w:r w:rsidR="004A4573" w:rsidRPr="00176C2A">
          <w:rPr>
            <w:rStyle w:val="Hyperlink"/>
            <w:noProof/>
          </w:rPr>
          <w:t>Table 3</w:t>
        </w:r>
        <w:r w:rsidR="004A4573" w:rsidRPr="00176C2A">
          <w:rPr>
            <w:rStyle w:val="Hyperlink"/>
            <w:noProof/>
          </w:rPr>
          <w:noBreakHyphen/>
          <w:t>2: Research Questions and Hypotheses for DSR</w:t>
        </w:r>
        <w:r w:rsidR="004A4573">
          <w:rPr>
            <w:noProof/>
            <w:webHidden/>
          </w:rPr>
          <w:tab/>
        </w:r>
        <w:r w:rsidR="004A4573">
          <w:rPr>
            <w:noProof/>
            <w:webHidden/>
          </w:rPr>
          <w:fldChar w:fldCharType="begin"/>
        </w:r>
        <w:r w:rsidR="004A4573">
          <w:rPr>
            <w:noProof/>
            <w:webHidden/>
          </w:rPr>
          <w:instrText xml:space="preserve"> PAGEREF _Toc151976457 \h </w:instrText>
        </w:r>
        <w:r w:rsidR="004A4573">
          <w:rPr>
            <w:noProof/>
            <w:webHidden/>
          </w:rPr>
        </w:r>
        <w:r w:rsidR="004A4573">
          <w:rPr>
            <w:noProof/>
            <w:webHidden/>
          </w:rPr>
          <w:fldChar w:fldCharType="separate"/>
        </w:r>
        <w:r w:rsidR="004A4573">
          <w:rPr>
            <w:noProof/>
            <w:webHidden/>
          </w:rPr>
          <w:t>49</w:t>
        </w:r>
        <w:r w:rsidR="004A4573">
          <w:rPr>
            <w:noProof/>
            <w:webHidden/>
          </w:rPr>
          <w:fldChar w:fldCharType="end"/>
        </w:r>
      </w:hyperlink>
    </w:p>
    <w:p w14:paraId="60704238" w14:textId="22BAF5B4" w:rsidR="004A4573" w:rsidRDefault="0020559B">
      <w:pPr>
        <w:pStyle w:val="TableofFigures"/>
        <w:tabs>
          <w:tab w:val="right" w:leader="dot" w:pos="9350"/>
        </w:tabs>
        <w:rPr>
          <w:rFonts w:eastAsiaTheme="minorEastAsia" w:cstheme="minorBidi"/>
          <w:noProof/>
          <w:kern w:val="2"/>
          <w:sz w:val="22"/>
          <w:szCs w:val="22"/>
          <w14:ligatures w14:val="standardContextual"/>
        </w:rPr>
      </w:pPr>
      <w:hyperlink w:anchor="_Toc151976458" w:history="1">
        <w:r w:rsidR="004A4573" w:rsidRPr="00176C2A">
          <w:rPr>
            <w:rStyle w:val="Hyperlink"/>
            <w:noProof/>
          </w:rPr>
          <w:t>Table 4</w:t>
        </w:r>
        <w:r w:rsidR="004A4573" w:rsidRPr="00176C2A">
          <w:rPr>
            <w:rStyle w:val="Hyperlink"/>
            <w:noProof/>
          </w:rPr>
          <w:noBreakHyphen/>
          <w:t>1: Research Questions and Hypotheses for BH</w:t>
        </w:r>
        <w:r w:rsidR="004A4573">
          <w:rPr>
            <w:noProof/>
            <w:webHidden/>
          </w:rPr>
          <w:tab/>
        </w:r>
        <w:r w:rsidR="004A4573">
          <w:rPr>
            <w:noProof/>
            <w:webHidden/>
          </w:rPr>
          <w:fldChar w:fldCharType="begin"/>
        </w:r>
        <w:r w:rsidR="004A4573">
          <w:rPr>
            <w:noProof/>
            <w:webHidden/>
          </w:rPr>
          <w:instrText xml:space="preserve"> PAGEREF _Toc151976458 \h </w:instrText>
        </w:r>
        <w:r w:rsidR="004A4573">
          <w:rPr>
            <w:noProof/>
            <w:webHidden/>
          </w:rPr>
        </w:r>
        <w:r w:rsidR="004A4573">
          <w:rPr>
            <w:noProof/>
            <w:webHidden/>
          </w:rPr>
          <w:fldChar w:fldCharType="separate"/>
        </w:r>
        <w:r w:rsidR="004A4573">
          <w:rPr>
            <w:noProof/>
            <w:webHidden/>
          </w:rPr>
          <w:t>81</w:t>
        </w:r>
        <w:r w:rsidR="004A4573">
          <w:rPr>
            <w:noProof/>
            <w:webHidden/>
          </w:rPr>
          <w:fldChar w:fldCharType="end"/>
        </w:r>
      </w:hyperlink>
    </w:p>
    <w:p w14:paraId="4DA941A0" w14:textId="25024567" w:rsidR="004A4573" w:rsidRDefault="0020559B">
      <w:pPr>
        <w:pStyle w:val="TableofFigures"/>
        <w:tabs>
          <w:tab w:val="right" w:leader="dot" w:pos="9350"/>
        </w:tabs>
        <w:rPr>
          <w:rFonts w:eastAsiaTheme="minorEastAsia" w:cstheme="minorBidi"/>
          <w:noProof/>
          <w:kern w:val="2"/>
          <w:sz w:val="22"/>
          <w:szCs w:val="22"/>
          <w14:ligatures w14:val="standardContextual"/>
        </w:rPr>
      </w:pPr>
      <w:hyperlink w:anchor="_Toc151976459" w:history="1">
        <w:r w:rsidR="004A4573" w:rsidRPr="00176C2A">
          <w:rPr>
            <w:rStyle w:val="Hyperlink"/>
            <w:noProof/>
          </w:rPr>
          <w:t>Table 5</w:t>
        </w:r>
        <w:r w:rsidR="004A4573" w:rsidRPr="00176C2A">
          <w:rPr>
            <w:rStyle w:val="Hyperlink"/>
            <w:noProof/>
          </w:rPr>
          <w:noBreakHyphen/>
          <w:t>1: Research Questions and Hypotheses for SNCP</w:t>
        </w:r>
        <w:r w:rsidR="004A4573">
          <w:rPr>
            <w:noProof/>
            <w:webHidden/>
          </w:rPr>
          <w:tab/>
        </w:r>
        <w:r w:rsidR="004A4573">
          <w:rPr>
            <w:noProof/>
            <w:webHidden/>
          </w:rPr>
          <w:fldChar w:fldCharType="begin"/>
        </w:r>
        <w:r w:rsidR="004A4573">
          <w:rPr>
            <w:noProof/>
            <w:webHidden/>
          </w:rPr>
          <w:instrText xml:space="preserve"> PAGEREF _Toc151976459 \h </w:instrText>
        </w:r>
        <w:r w:rsidR="004A4573">
          <w:rPr>
            <w:noProof/>
            <w:webHidden/>
          </w:rPr>
        </w:r>
        <w:r w:rsidR="004A4573">
          <w:rPr>
            <w:noProof/>
            <w:webHidden/>
          </w:rPr>
          <w:fldChar w:fldCharType="separate"/>
        </w:r>
        <w:r w:rsidR="004A4573">
          <w:rPr>
            <w:noProof/>
            <w:webHidden/>
          </w:rPr>
          <w:t>98</w:t>
        </w:r>
        <w:r w:rsidR="004A4573">
          <w:rPr>
            <w:noProof/>
            <w:webHidden/>
          </w:rPr>
          <w:fldChar w:fldCharType="end"/>
        </w:r>
      </w:hyperlink>
    </w:p>
    <w:p w14:paraId="71476473" w14:textId="0532947F" w:rsidR="004A4573" w:rsidRDefault="0020559B">
      <w:pPr>
        <w:pStyle w:val="TableofFigures"/>
        <w:tabs>
          <w:tab w:val="right" w:leader="dot" w:pos="9350"/>
        </w:tabs>
        <w:rPr>
          <w:rFonts w:eastAsiaTheme="minorEastAsia" w:cstheme="minorBidi"/>
          <w:noProof/>
          <w:kern w:val="2"/>
          <w:sz w:val="22"/>
          <w:szCs w:val="22"/>
          <w14:ligatures w14:val="standardContextual"/>
        </w:rPr>
      </w:pPr>
      <w:hyperlink w:anchor="_Toc151976460" w:history="1">
        <w:r w:rsidR="004A4573" w:rsidRPr="00176C2A">
          <w:rPr>
            <w:rStyle w:val="Hyperlink"/>
            <w:noProof/>
          </w:rPr>
          <w:t>Table 6</w:t>
        </w:r>
        <w:r w:rsidR="004A4573" w:rsidRPr="00176C2A">
          <w:rPr>
            <w:rStyle w:val="Hyperlink"/>
            <w:noProof/>
          </w:rPr>
          <w:noBreakHyphen/>
          <w:t>1: Workforce Funding by Initiative (In Millions)</w:t>
        </w:r>
        <w:r w:rsidR="004A4573">
          <w:rPr>
            <w:noProof/>
            <w:webHidden/>
          </w:rPr>
          <w:tab/>
        </w:r>
        <w:r w:rsidR="004A4573">
          <w:rPr>
            <w:noProof/>
            <w:webHidden/>
          </w:rPr>
          <w:fldChar w:fldCharType="begin"/>
        </w:r>
        <w:r w:rsidR="004A4573">
          <w:rPr>
            <w:noProof/>
            <w:webHidden/>
          </w:rPr>
          <w:instrText xml:space="preserve"> PAGEREF _Toc151976460 \h </w:instrText>
        </w:r>
        <w:r w:rsidR="004A4573">
          <w:rPr>
            <w:noProof/>
            <w:webHidden/>
          </w:rPr>
        </w:r>
        <w:r w:rsidR="004A4573">
          <w:rPr>
            <w:noProof/>
            <w:webHidden/>
          </w:rPr>
          <w:fldChar w:fldCharType="separate"/>
        </w:r>
        <w:r w:rsidR="004A4573">
          <w:rPr>
            <w:noProof/>
            <w:webHidden/>
          </w:rPr>
          <w:t>104</w:t>
        </w:r>
        <w:r w:rsidR="004A4573">
          <w:rPr>
            <w:noProof/>
            <w:webHidden/>
          </w:rPr>
          <w:fldChar w:fldCharType="end"/>
        </w:r>
      </w:hyperlink>
    </w:p>
    <w:p w14:paraId="5AE57B00" w14:textId="2615DA2A" w:rsidR="004A4573" w:rsidRDefault="0020559B">
      <w:pPr>
        <w:pStyle w:val="TableofFigures"/>
        <w:tabs>
          <w:tab w:val="right" w:leader="dot" w:pos="9350"/>
        </w:tabs>
        <w:rPr>
          <w:rFonts w:eastAsiaTheme="minorEastAsia" w:cstheme="minorBidi"/>
          <w:noProof/>
          <w:kern w:val="2"/>
          <w:sz w:val="22"/>
          <w:szCs w:val="22"/>
          <w14:ligatures w14:val="standardContextual"/>
        </w:rPr>
      </w:pPr>
      <w:hyperlink w:anchor="_Toc151976461" w:history="1">
        <w:r w:rsidR="004A4573" w:rsidRPr="00176C2A">
          <w:rPr>
            <w:rStyle w:val="Hyperlink"/>
            <w:noProof/>
          </w:rPr>
          <w:t>Table 6</w:t>
        </w:r>
        <w:r w:rsidR="004A4573" w:rsidRPr="00176C2A">
          <w:rPr>
            <w:rStyle w:val="Hyperlink"/>
            <w:noProof/>
          </w:rPr>
          <w:noBreakHyphen/>
          <w:t>2: Research Questions and Hypotheses for WI</w:t>
        </w:r>
        <w:r w:rsidR="004A4573">
          <w:rPr>
            <w:noProof/>
            <w:webHidden/>
          </w:rPr>
          <w:tab/>
        </w:r>
        <w:r w:rsidR="004A4573">
          <w:rPr>
            <w:noProof/>
            <w:webHidden/>
          </w:rPr>
          <w:fldChar w:fldCharType="begin"/>
        </w:r>
        <w:r w:rsidR="004A4573">
          <w:rPr>
            <w:noProof/>
            <w:webHidden/>
          </w:rPr>
          <w:instrText xml:space="preserve"> PAGEREF _Toc151976461 \h </w:instrText>
        </w:r>
        <w:r w:rsidR="004A4573">
          <w:rPr>
            <w:noProof/>
            <w:webHidden/>
          </w:rPr>
        </w:r>
        <w:r w:rsidR="004A4573">
          <w:rPr>
            <w:noProof/>
            <w:webHidden/>
          </w:rPr>
          <w:fldChar w:fldCharType="separate"/>
        </w:r>
        <w:r w:rsidR="004A4573">
          <w:rPr>
            <w:noProof/>
            <w:webHidden/>
          </w:rPr>
          <w:t>108</w:t>
        </w:r>
        <w:r w:rsidR="004A4573">
          <w:rPr>
            <w:noProof/>
            <w:webHidden/>
          </w:rPr>
          <w:fldChar w:fldCharType="end"/>
        </w:r>
      </w:hyperlink>
    </w:p>
    <w:p w14:paraId="30AC8625" w14:textId="64E70725" w:rsidR="004A4573" w:rsidRDefault="0020559B">
      <w:pPr>
        <w:pStyle w:val="TableofFigures"/>
        <w:tabs>
          <w:tab w:val="right" w:leader="dot" w:pos="9350"/>
        </w:tabs>
        <w:rPr>
          <w:rFonts w:eastAsiaTheme="minorEastAsia" w:cstheme="minorBidi"/>
          <w:noProof/>
          <w:kern w:val="2"/>
          <w:sz w:val="22"/>
          <w:szCs w:val="22"/>
          <w14:ligatures w14:val="standardContextual"/>
        </w:rPr>
      </w:pPr>
      <w:hyperlink w:anchor="_Toc151976462" w:history="1">
        <w:r w:rsidR="004A4573" w:rsidRPr="00176C2A">
          <w:rPr>
            <w:rStyle w:val="Hyperlink"/>
            <w:noProof/>
          </w:rPr>
          <w:t>Table 7</w:t>
        </w:r>
        <w:r w:rsidR="004A4573" w:rsidRPr="00176C2A">
          <w:rPr>
            <w:rStyle w:val="Hyperlink"/>
            <w:noProof/>
          </w:rPr>
          <w:noBreakHyphen/>
          <w:t>1: Expenditure Authority Annual Allocation by Policy Sub-Domains</w:t>
        </w:r>
        <w:r w:rsidR="004A4573">
          <w:rPr>
            <w:noProof/>
            <w:webHidden/>
          </w:rPr>
          <w:tab/>
        </w:r>
        <w:r w:rsidR="004A4573">
          <w:rPr>
            <w:noProof/>
            <w:webHidden/>
          </w:rPr>
          <w:fldChar w:fldCharType="begin"/>
        </w:r>
        <w:r w:rsidR="004A4573">
          <w:rPr>
            <w:noProof/>
            <w:webHidden/>
          </w:rPr>
          <w:instrText xml:space="preserve"> PAGEREF _Toc151976462 \h </w:instrText>
        </w:r>
        <w:r w:rsidR="004A4573">
          <w:rPr>
            <w:noProof/>
            <w:webHidden/>
          </w:rPr>
        </w:r>
        <w:r w:rsidR="004A4573">
          <w:rPr>
            <w:noProof/>
            <w:webHidden/>
          </w:rPr>
          <w:fldChar w:fldCharType="separate"/>
        </w:r>
        <w:r w:rsidR="004A4573">
          <w:rPr>
            <w:noProof/>
            <w:webHidden/>
          </w:rPr>
          <w:t>123</w:t>
        </w:r>
        <w:r w:rsidR="004A4573">
          <w:rPr>
            <w:noProof/>
            <w:webHidden/>
          </w:rPr>
          <w:fldChar w:fldCharType="end"/>
        </w:r>
      </w:hyperlink>
    </w:p>
    <w:p w14:paraId="65A2F66E" w14:textId="08E735D2" w:rsidR="004A4573" w:rsidRDefault="0020559B">
      <w:pPr>
        <w:pStyle w:val="TableofFigures"/>
        <w:tabs>
          <w:tab w:val="right" w:leader="dot" w:pos="9350"/>
        </w:tabs>
        <w:rPr>
          <w:rFonts w:eastAsiaTheme="minorEastAsia" w:cstheme="minorBidi"/>
          <w:noProof/>
          <w:kern w:val="2"/>
          <w:sz w:val="22"/>
          <w:szCs w:val="22"/>
          <w14:ligatures w14:val="standardContextual"/>
        </w:rPr>
      </w:pPr>
      <w:hyperlink w:anchor="_Toc151976463" w:history="1">
        <w:r w:rsidR="004A4573" w:rsidRPr="00176C2A">
          <w:rPr>
            <w:rStyle w:val="Hyperlink"/>
            <w:noProof/>
          </w:rPr>
          <w:t>Table 7</w:t>
        </w:r>
        <w:r w:rsidR="004A4573" w:rsidRPr="00176C2A">
          <w:rPr>
            <w:rStyle w:val="Hyperlink"/>
            <w:noProof/>
          </w:rPr>
          <w:noBreakHyphen/>
          <w:t>2: Annual Expenditure Limits (In Millions, Total Computable)</w:t>
        </w:r>
        <w:r w:rsidR="004A4573">
          <w:rPr>
            <w:noProof/>
            <w:webHidden/>
          </w:rPr>
          <w:tab/>
        </w:r>
        <w:r w:rsidR="004A4573">
          <w:rPr>
            <w:noProof/>
            <w:webHidden/>
          </w:rPr>
          <w:fldChar w:fldCharType="begin"/>
        </w:r>
        <w:r w:rsidR="004A4573">
          <w:rPr>
            <w:noProof/>
            <w:webHidden/>
          </w:rPr>
          <w:instrText xml:space="preserve"> PAGEREF _Toc151976463 \h </w:instrText>
        </w:r>
        <w:r w:rsidR="004A4573">
          <w:rPr>
            <w:noProof/>
            <w:webHidden/>
          </w:rPr>
        </w:r>
        <w:r w:rsidR="004A4573">
          <w:rPr>
            <w:noProof/>
            <w:webHidden/>
          </w:rPr>
          <w:fldChar w:fldCharType="separate"/>
        </w:r>
        <w:r w:rsidR="004A4573">
          <w:rPr>
            <w:noProof/>
            <w:webHidden/>
          </w:rPr>
          <w:t>125</w:t>
        </w:r>
        <w:r w:rsidR="004A4573">
          <w:rPr>
            <w:noProof/>
            <w:webHidden/>
          </w:rPr>
          <w:fldChar w:fldCharType="end"/>
        </w:r>
      </w:hyperlink>
    </w:p>
    <w:p w14:paraId="37D4D49F" w14:textId="3C4BFBBF" w:rsidR="004A4573" w:rsidRDefault="0020559B">
      <w:pPr>
        <w:pStyle w:val="TableofFigures"/>
        <w:tabs>
          <w:tab w:val="right" w:leader="dot" w:pos="9350"/>
        </w:tabs>
        <w:rPr>
          <w:rFonts w:eastAsiaTheme="minorEastAsia" w:cstheme="minorBidi"/>
          <w:noProof/>
          <w:kern w:val="2"/>
          <w:sz w:val="22"/>
          <w:szCs w:val="22"/>
          <w14:ligatures w14:val="standardContextual"/>
        </w:rPr>
      </w:pPr>
      <w:hyperlink w:anchor="_Toc151976464" w:history="1">
        <w:r w:rsidR="004A4573" w:rsidRPr="00176C2A">
          <w:rPr>
            <w:rStyle w:val="Hyperlink"/>
            <w:noProof/>
          </w:rPr>
          <w:t>Table 7</w:t>
        </w:r>
        <w:r w:rsidR="004A4573" w:rsidRPr="00176C2A">
          <w:rPr>
            <w:rStyle w:val="Hyperlink"/>
            <w:noProof/>
          </w:rPr>
          <w:noBreakHyphen/>
          <w:t>3: Research Questions and Hypotheses for HQEI</w:t>
        </w:r>
        <w:r w:rsidR="004A4573">
          <w:rPr>
            <w:noProof/>
            <w:webHidden/>
          </w:rPr>
          <w:tab/>
        </w:r>
        <w:r w:rsidR="004A4573">
          <w:rPr>
            <w:noProof/>
            <w:webHidden/>
          </w:rPr>
          <w:fldChar w:fldCharType="begin"/>
        </w:r>
        <w:r w:rsidR="004A4573">
          <w:rPr>
            <w:noProof/>
            <w:webHidden/>
          </w:rPr>
          <w:instrText xml:space="preserve"> PAGEREF _Toc151976464 \h </w:instrText>
        </w:r>
        <w:r w:rsidR="004A4573">
          <w:rPr>
            <w:noProof/>
            <w:webHidden/>
          </w:rPr>
        </w:r>
        <w:r w:rsidR="004A4573">
          <w:rPr>
            <w:noProof/>
            <w:webHidden/>
          </w:rPr>
          <w:fldChar w:fldCharType="separate"/>
        </w:r>
        <w:r w:rsidR="004A4573">
          <w:rPr>
            <w:noProof/>
            <w:webHidden/>
          </w:rPr>
          <w:t>127</w:t>
        </w:r>
        <w:r w:rsidR="004A4573">
          <w:rPr>
            <w:noProof/>
            <w:webHidden/>
          </w:rPr>
          <w:fldChar w:fldCharType="end"/>
        </w:r>
      </w:hyperlink>
    </w:p>
    <w:p w14:paraId="7AED987F" w14:textId="7C86C846" w:rsidR="004A4573" w:rsidRDefault="0020559B">
      <w:pPr>
        <w:pStyle w:val="TableofFigures"/>
        <w:tabs>
          <w:tab w:val="right" w:leader="dot" w:pos="9350"/>
        </w:tabs>
        <w:rPr>
          <w:rFonts w:eastAsiaTheme="minorEastAsia" w:cstheme="minorBidi"/>
          <w:noProof/>
          <w:kern w:val="2"/>
          <w:sz w:val="22"/>
          <w:szCs w:val="22"/>
          <w14:ligatures w14:val="standardContextual"/>
        </w:rPr>
      </w:pPr>
      <w:hyperlink w:anchor="_Toc151976465" w:history="1">
        <w:r w:rsidR="004A4573" w:rsidRPr="00176C2A">
          <w:rPr>
            <w:rStyle w:val="Hyperlink"/>
            <w:noProof/>
          </w:rPr>
          <w:t>Table 8</w:t>
        </w:r>
        <w:r w:rsidR="004A4573" w:rsidRPr="00176C2A">
          <w:rPr>
            <w:rStyle w:val="Hyperlink"/>
            <w:noProof/>
          </w:rPr>
          <w:noBreakHyphen/>
          <w:t>1: Research Questions and Hypotheses for HRSN</w:t>
        </w:r>
        <w:r w:rsidR="004A4573">
          <w:rPr>
            <w:noProof/>
            <w:webHidden/>
          </w:rPr>
          <w:tab/>
        </w:r>
        <w:r w:rsidR="004A4573">
          <w:rPr>
            <w:noProof/>
            <w:webHidden/>
          </w:rPr>
          <w:fldChar w:fldCharType="begin"/>
        </w:r>
        <w:r w:rsidR="004A4573">
          <w:rPr>
            <w:noProof/>
            <w:webHidden/>
          </w:rPr>
          <w:instrText xml:space="preserve"> PAGEREF _Toc151976465 \h </w:instrText>
        </w:r>
        <w:r w:rsidR="004A4573">
          <w:rPr>
            <w:noProof/>
            <w:webHidden/>
          </w:rPr>
        </w:r>
        <w:r w:rsidR="004A4573">
          <w:rPr>
            <w:noProof/>
            <w:webHidden/>
          </w:rPr>
          <w:fldChar w:fldCharType="separate"/>
        </w:r>
        <w:r w:rsidR="004A4573">
          <w:rPr>
            <w:noProof/>
            <w:webHidden/>
          </w:rPr>
          <w:t>151</w:t>
        </w:r>
        <w:r w:rsidR="004A4573">
          <w:rPr>
            <w:noProof/>
            <w:webHidden/>
          </w:rPr>
          <w:fldChar w:fldCharType="end"/>
        </w:r>
      </w:hyperlink>
    </w:p>
    <w:p w14:paraId="22233999" w14:textId="08003DF2" w:rsidR="001806F2" w:rsidRPr="001806F2" w:rsidRDefault="001806F2" w:rsidP="001806F2">
      <w:r>
        <w:fldChar w:fldCharType="end"/>
      </w:r>
    </w:p>
    <w:p w14:paraId="574EEDC0" w14:textId="77A21257" w:rsidR="007C6CA4" w:rsidRPr="00564E48" w:rsidRDefault="007C6CA4" w:rsidP="00EA26D6">
      <w:pPr>
        <w:pStyle w:val="TOCHeading"/>
      </w:pPr>
      <w:bookmarkStart w:id="1" w:name="_Toc131523183"/>
      <w:r w:rsidRPr="00EA26D6">
        <w:t>List of Figures</w:t>
      </w:r>
      <w:bookmarkEnd w:id="1"/>
    </w:p>
    <w:p w14:paraId="5A6C89A4" w14:textId="23492FC2" w:rsidR="004A4573" w:rsidRDefault="001806F2">
      <w:pPr>
        <w:pStyle w:val="TableofFigures"/>
        <w:tabs>
          <w:tab w:val="right" w:leader="dot" w:pos="9350"/>
        </w:tabs>
        <w:rPr>
          <w:rFonts w:eastAsiaTheme="minorEastAsia" w:cstheme="minorBidi"/>
          <w:noProof/>
          <w:kern w:val="2"/>
          <w:sz w:val="22"/>
          <w:szCs w:val="22"/>
          <w14:ligatures w14:val="standardContextual"/>
        </w:rPr>
      </w:pPr>
      <w:r>
        <w:fldChar w:fldCharType="begin"/>
      </w:r>
      <w:r>
        <w:instrText xml:space="preserve"> TOC \h \z \c "Figure" </w:instrText>
      </w:r>
      <w:r>
        <w:fldChar w:fldCharType="separate"/>
      </w:r>
      <w:hyperlink w:anchor="_Toc151976466" w:history="1">
        <w:r w:rsidR="004A4573" w:rsidRPr="003C1286">
          <w:rPr>
            <w:rStyle w:val="Hyperlink"/>
            <w:noProof/>
          </w:rPr>
          <w:t>Figure 1</w:t>
        </w:r>
        <w:r w:rsidR="004A4573" w:rsidRPr="003C1286">
          <w:rPr>
            <w:rStyle w:val="Hyperlink"/>
            <w:noProof/>
          </w:rPr>
          <w:noBreakHyphen/>
          <w:t>1: Demonstration Logic Model</w:t>
        </w:r>
        <w:r w:rsidR="004A4573">
          <w:rPr>
            <w:noProof/>
            <w:webHidden/>
          </w:rPr>
          <w:tab/>
        </w:r>
        <w:r w:rsidR="004A4573">
          <w:rPr>
            <w:noProof/>
            <w:webHidden/>
          </w:rPr>
          <w:fldChar w:fldCharType="begin"/>
        </w:r>
        <w:r w:rsidR="004A4573">
          <w:rPr>
            <w:noProof/>
            <w:webHidden/>
          </w:rPr>
          <w:instrText xml:space="preserve"> PAGEREF _Toc151976466 \h </w:instrText>
        </w:r>
        <w:r w:rsidR="004A4573">
          <w:rPr>
            <w:noProof/>
            <w:webHidden/>
          </w:rPr>
        </w:r>
        <w:r w:rsidR="004A4573">
          <w:rPr>
            <w:noProof/>
            <w:webHidden/>
          </w:rPr>
          <w:fldChar w:fldCharType="separate"/>
        </w:r>
        <w:r w:rsidR="004A4573">
          <w:rPr>
            <w:noProof/>
            <w:webHidden/>
          </w:rPr>
          <w:t>11</w:t>
        </w:r>
        <w:r w:rsidR="004A4573">
          <w:rPr>
            <w:noProof/>
            <w:webHidden/>
          </w:rPr>
          <w:fldChar w:fldCharType="end"/>
        </w:r>
      </w:hyperlink>
    </w:p>
    <w:p w14:paraId="10E94DB2" w14:textId="2AF5D8AB" w:rsidR="004A4573" w:rsidRDefault="0020559B">
      <w:pPr>
        <w:pStyle w:val="TableofFigures"/>
        <w:tabs>
          <w:tab w:val="right" w:leader="dot" w:pos="9350"/>
        </w:tabs>
        <w:rPr>
          <w:rFonts w:eastAsiaTheme="minorEastAsia" w:cstheme="minorBidi"/>
          <w:noProof/>
          <w:kern w:val="2"/>
          <w:sz w:val="22"/>
          <w:szCs w:val="22"/>
          <w14:ligatures w14:val="standardContextual"/>
        </w:rPr>
      </w:pPr>
      <w:hyperlink w:anchor="_Toc151976467" w:history="1">
        <w:r w:rsidR="004A4573" w:rsidRPr="003C1286">
          <w:rPr>
            <w:rStyle w:val="Hyperlink"/>
            <w:noProof/>
          </w:rPr>
          <w:t>Figure 2</w:t>
        </w:r>
        <w:r w:rsidR="004A4573" w:rsidRPr="003C1286">
          <w:rPr>
            <w:rStyle w:val="Hyperlink"/>
            <w:noProof/>
          </w:rPr>
          <w:noBreakHyphen/>
          <w:t>1: Logic Model for the C&amp;E Component of the Demonstration</w:t>
        </w:r>
        <w:r w:rsidR="004A4573">
          <w:rPr>
            <w:noProof/>
            <w:webHidden/>
          </w:rPr>
          <w:tab/>
        </w:r>
        <w:r w:rsidR="004A4573">
          <w:rPr>
            <w:noProof/>
            <w:webHidden/>
          </w:rPr>
          <w:fldChar w:fldCharType="begin"/>
        </w:r>
        <w:r w:rsidR="004A4573">
          <w:rPr>
            <w:noProof/>
            <w:webHidden/>
          </w:rPr>
          <w:instrText xml:space="preserve"> PAGEREF _Toc151976467 \h </w:instrText>
        </w:r>
        <w:r w:rsidR="004A4573">
          <w:rPr>
            <w:noProof/>
            <w:webHidden/>
          </w:rPr>
        </w:r>
        <w:r w:rsidR="004A4573">
          <w:rPr>
            <w:noProof/>
            <w:webHidden/>
          </w:rPr>
          <w:fldChar w:fldCharType="separate"/>
        </w:r>
        <w:r w:rsidR="004A4573">
          <w:rPr>
            <w:noProof/>
            <w:webHidden/>
          </w:rPr>
          <w:t>31</w:t>
        </w:r>
        <w:r w:rsidR="004A4573">
          <w:rPr>
            <w:noProof/>
            <w:webHidden/>
          </w:rPr>
          <w:fldChar w:fldCharType="end"/>
        </w:r>
      </w:hyperlink>
    </w:p>
    <w:p w14:paraId="61565577" w14:textId="439094C4" w:rsidR="004A4573" w:rsidRDefault="0020559B">
      <w:pPr>
        <w:pStyle w:val="TableofFigures"/>
        <w:tabs>
          <w:tab w:val="right" w:leader="dot" w:pos="9350"/>
        </w:tabs>
        <w:rPr>
          <w:rFonts w:eastAsiaTheme="minorEastAsia" w:cstheme="minorBidi"/>
          <w:noProof/>
          <w:kern w:val="2"/>
          <w:sz w:val="22"/>
          <w:szCs w:val="22"/>
          <w14:ligatures w14:val="standardContextual"/>
        </w:rPr>
      </w:pPr>
      <w:hyperlink w:anchor="_Toc151976468" w:history="1">
        <w:r w:rsidR="004A4573" w:rsidRPr="003C1286">
          <w:rPr>
            <w:rStyle w:val="Hyperlink"/>
            <w:noProof/>
          </w:rPr>
          <w:t>Figure 3</w:t>
        </w:r>
        <w:r w:rsidR="004A4573" w:rsidRPr="003C1286">
          <w:rPr>
            <w:rStyle w:val="Hyperlink"/>
            <w:noProof/>
          </w:rPr>
          <w:noBreakHyphen/>
          <w:t>1: Logic Model for the DSR Component of the Demonstration</w:t>
        </w:r>
        <w:r w:rsidR="004A4573">
          <w:rPr>
            <w:noProof/>
            <w:webHidden/>
          </w:rPr>
          <w:tab/>
        </w:r>
        <w:r w:rsidR="004A4573">
          <w:rPr>
            <w:noProof/>
            <w:webHidden/>
          </w:rPr>
          <w:fldChar w:fldCharType="begin"/>
        </w:r>
        <w:r w:rsidR="004A4573">
          <w:rPr>
            <w:noProof/>
            <w:webHidden/>
          </w:rPr>
          <w:instrText xml:space="preserve"> PAGEREF _Toc151976468 \h </w:instrText>
        </w:r>
        <w:r w:rsidR="004A4573">
          <w:rPr>
            <w:noProof/>
            <w:webHidden/>
          </w:rPr>
        </w:r>
        <w:r w:rsidR="004A4573">
          <w:rPr>
            <w:noProof/>
            <w:webHidden/>
          </w:rPr>
          <w:fldChar w:fldCharType="separate"/>
        </w:r>
        <w:r w:rsidR="004A4573">
          <w:rPr>
            <w:noProof/>
            <w:webHidden/>
          </w:rPr>
          <w:t>48</w:t>
        </w:r>
        <w:r w:rsidR="004A4573">
          <w:rPr>
            <w:noProof/>
            <w:webHidden/>
          </w:rPr>
          <w:fldChar w:fldCharType="end"/>
        </w:r>
      </w:hyperlink>
    </w:p>
    <w:p w14:paraId="4819B216" w14:textId="0CBBFB39" w:rsidR="004A4573" w:rsidRDefault="0020559B">
      <w:pPr>
        <w:pStyle w:val="TableofFigures"/>
        <w:tabs>
          <w:tab w:val="right" w:leader="dot" w:pos="9350"/>
        </w:tabs>
        <w:rPr>
          <w:rFonts w:eastAsiaTheme="minorEastAsia" w:cstheme="minorBidi"/>
          <w:noProof/>
          <w:kern w:val="2"/>
          <w:sz w:val="22"/>
          <w:szCs w:val="22"/>
          <w14:ligatures w14:val="standardContextual"/>
        </w:rPr>
      </w:pPr>
      <w:hyperlink w:anchor="_Toc151976469" w:history="1">
        <w:r w:rsidR="004A4573" w:rsidRPr="003C1286">
          <w:rPr>
            <w:rStyle w:val="Hyperlink"/>
            <w:noProof/>
          </w:rPr>
          <w:t>Figure 4</w:t>
        </w:r>
        <w:r w:rsidR="004A4573" w:rsidRPr="003C1286">
          <w:rPr>
            <w:rStyle w:val="Hyperlink"/>
            <w:noProof/>
          </w:rPr>
          <w:noBreakHyphen/>
          <w:t>1: Logic Model for the BH Component of the Demonstration</w:t>
        </w:r>
        <w:r w:rsidR="004A4573">
          <w:rPr>
            <w:noProof/>
            <w:webHidden/>
          </w:rPr>
          <w:tab/>
        </w:r>
        <w:r w:rsidR="004A4573">
          <w:rPr>
            <w:noProof/>
            <w:webHidden/>
          </w:rPr>
          <w:fldChar w:fldCharType="begin"/>
        </w:r>
        <w:r w:rsidR="004A4573">
          <w:rPr>
            <w:noProof/>
            <w:webHidden/>
          </w:rPr>
          <w:instrText xml:space="preserve"> PAGEREF _Toc151976469 \h </w:instrText>
        </w:r>
        <w:r w:rsidR="004A4573">
          <w:rPr>
            <w:noProof/>
            <w:webHidden/>
          </w:rPr>
        </w:r>
        <w:r w:rsidR="004A4573">
          <w:rPr>
            <w:noProof/>
            <w:webHidden/>
          </w:rPr>
          <w:fldChar w:fldCharType="separate"/>
        </w:r>
        <w:r w:rsidR="004A4573">
          <w:rPr>
            <w:noProof/>
            <w:webHidden/>
          </w:rPr>
          <w:t>80</w:t>
        </w:r>
        <w:r w:rsidR="004A4573">
          <w:rPr>
            <w:noProof/>
            <w:webHidden/>
          </w:rPr>
          <w:fldChar w:fldCharType="end"/>
        </w:r>
      </w:hyperlink>
    </w:p>
    <w:p w14:paraId="1CD1D980" w14:textId="0B411108" w:rsidR="004A4573" w:rsidRDefault="0020559B">
      <w:pPr>
        <w:pStyle w:val="TableofFigures"/>
        <w:tabs>
          <w:tab w:val="right" w:leader="dot" w:pos="9350"/>
        </w:tabs>
        <w:rPr>
          <w:rFonts w:eastAsiaTheme="minorEastAsia" w:cstheme="minorBidi"/>
          <w:noProof/>
          <w:kern w:val="2"/>
          <w:sz w:val="22"/>
          <w:szCs w:val="22"/>
          <w14:ligatures w14:val="standardContextual"/>
        </w:rPr>
      </w:pPr>
      <w:hyperlink w:anchor="_Toc151976470" w:history="1">
        <w:r w:rsidR="004A4573" w:rsidRPr="003C1286">
          <w:rPr>
            <w:rStyle w:val="Hyperlink"/>
            <w:noProof/>
          </w:rPr>
          <w:t>Figure 5</w:t>
        </w:r>
        <w:r w:rsidR="004A4573" w:rsidRPr="003C1286">
          <w:rPr>
            <w:rStyle w:val="Hyperlink"/>
            <w:noProof/>
          </w:rPr>
          <w:noBreakHyphen/>
          <w:t>1: Logic Model for the SNCP Component of the Demonstration</w:t>
        </w:r>
        <w:r w:rsidR="004A4573">
          <w:rPr>
            <w:noProof/>
            <w:webHidden/>
          </w:rPr>
          <w:tab/>
        </w:r>
        <w:r w:rsidR="004A4573">
          <w:rPr>
            <w:noProof/>
            <w:webHidden/>
          </w:rPr>
          <w:fldChar w:fldCharType="begin"/>
        </w:r>
        <w:r w:rsidR="004A4573">
          <w:rPr>
            <w:noProof/>
            <w:webHidden/>
          </w:rPr>
          <w:instrText xml:space="preserve"> PAGEREF _Toc151976470 \h </w:instrText>
        </w:r>
        <w:r w:rsidR="004A4573">
          <w:rPr>
            <w:noProof/>
            <w:webHidden/>
          </w:rPr>
        </w:r>
        <w:r w:rsidR="004A4573">
          <w:rPr>
            <w:noProof/>
            <w:webHidden/>
          </w:rPr>
          <w:fldChar w:fldCharType="separate"/>
        </w:r>
        <w:r w:rsidR="004A4573">
          <w:rPr>
            <w:noProof/>
            <w:webHidden/>
          </w:rPr>
          <w:t>97</w:t>
        </w:r>
        <w:r w:rsidR="004A4573">
          <w:rPr>
            <w:noProof/>
            <w:webHidden/>
          </w:rPr>
          <w:fldChar w:fldCharType="end"/>
        </w:r>
      </w:hyperlink>
    </w:p>
    <w:p w14:paraId="3991BF5E" w14:textId="3DE37608" w:rsidR="004A4573" w:rsidRDefault="0020559B">
      <w:pPr>
        <w:pStyle w:val="TableofFigures"/>
        <w:tabs>
          <w:tab w:val="right" w:leader="dot" w:pos="9350"/>
        </w:tabs>
        <w:rPr>
          <w:rFonts w:eastAsiaTheme="minorEastAsia" w:cstheme="minorBidi"/>
          <w:noProof/>
          <w:kern w:val="2"/>
          <w:sz w:val="22"/>
          <w:szCs w:val="22"/>
          <w14:ligatures w14:val="standardContextual"/>
        </w:rPr>
      </w:pPr>
      <w:hyperlink w:anchor="_Toc151976471" w:history="1">
        <w:r w:rsidR="004A4573" w:rsidRPr="003C1286">
          <w:rPr>
            <w:rStyle w:val="Hyperlink"/>
            <w:noProof/>
          </w:rPr>
          <w:t>Figure 6</w:t>
        </w:r>
        <w:r w:rsidR="004A4573" w:rsidRPr="003C1286">
          <w:rPr>
            <w:rStyle w:val="Hyperlink"/>
            <w:noProof/>
          </w:rPr>
          <w:noBreakHyphen/>
          <w:t>1: Logic Model for the WI Component of the Demonstration</w:t>
        </w:r>
        <w:r w:rsidR="004A4573">
          <w:rPr>
            <w:noProof/>
            <w:webHidden/>
          </w:rPr>
          <w:tab/>
        </w:r>
        <w:r w:rsidR="004A4573">
          <w:rPr>
            <w:noProof/>
            <w:webHidden/>
          </w:rPr>
          <w:fldChar w:fldCharType="begin"/>
        </w:r>
        <w:r w:rsidR="004A4573">
          <w:rPr>
            <w:noProof/>
            <w:webHidden/>
          </w:rPr>
          <w:instrText xml:space="preserve"> PAGEREF _Toc151976471 \h </w:instrText>
        </w:r>
        <w:r w:rsidR="004A4573">
          <w:rPr>
            <w:noProof/>
            <w:webHidden/>
          </w:rPr>
        </w:r>
        <w:r w:rsidR="004A4573">
          <w:rPr>
            <w:noProof/>
            <w:webHidden/>
          </w:rPr>
          <w:fldChar w:fldCharType="separate"/>
        </w:r>
        <w:r w:rsidR="004A4573">
          <w:rPr>
            <w:noProof/>
            <w:webHidden/>
          </w:rPr>
          <w:t>107</w:t>
        </w:r>
        <w:r w:rsidR="004A4573">
          <w:rPr>
            <w:noProof/>
            <w:webHidden/>
          </w:rPr>
          <w:fldChar w:fldCharType="end"/>
        </w:r>
      </w:hyperlink>
    </w:p>
    <w:p w14:paraId="27675802" w14:textId="2D0EE6D0" w:rsidR="004A4573" w:rsidRDefault="0020559B">
      <w:pPr>
        <w:pStyle w:val="TableofFigures"/>
        <w:tabs>
          <w:tab w:val="right" w:leader="dot" w:pos="9350"/>
        </w:tabs>
        <w:rPr>
          <w:rFonts w:eastAsiaTheme="minorEastAsia" w:cstheme="minorBidi"/>
          <w:noProof/>
          <w:kern w:val="2"/>
          <w:sz w:val="22"/>
          <w:szCs w:val="22"/>
          <w14:ligatures w14:val="standardContextual"/>
        </w:rPr>
      </w:pPr>
      <w:hyperlink w:anchor="_Toc151976472" w:history="1">
        <w:r w:rsidR="004A4573" w:rsidRPr="003C1286">
          <w:rPr>
            <w:rStyle w:val="Hyperlink"/>
            <w:noProof/>
          </w:rPr>
          <w:t>Figure 7</w:t>
        </w:r>
        <w:r w:rsidR="004A4573" w:rsidRPr="003C1286">
          <w:rPr>
            <w:rStyle w:val="Hyperlink"/>
            <w:noProof/>
          </w:rPr>
          <w:noBreakHyphen/>
          <w:t>1: Logic Model for the HQEI Component of the Demonstration</w:t>
        </w:r>
        <w:r w:rsidR="004A4573">
          <w:rPr>
            <w:noProof/>
            <w:webHidden/>
          </w:rPr>
          <w:tab/>
        </w:r>
        <w:r w:rsidR="004A4573">
          <w:rPr>
            <w:noProof/>
            <w:webHidden/>
          </w:rPr>
          <w:fldChar w:fldCharType="begin"/>
        </w:r>
        <w:r w:rsidR="004A4573">
          <w:rPr>
            <w:noProof/>
            <w:webHidden/>
          </w:rPr>
          <w:instrText xml:space="preserve"> PAGEREF _Toc151976472 \h </w:instrText>
        </w:r>
        <w:r w:rsidR="004A4573">
          <w:rPr>
            <w:noProof/>
            <w:webHidden/>
          </w:rPr>
        </w:r>
        <w:r w:rsidR="004A4573">
          <w:rPr>
            <w:noProof/>
            <w:webHidden/>
          </w:rPr>
          <w:fldChar w:fldCharType="separate"/>
        </w:r>
        <w:r w:rsidR="004A4573">
          <w:rPr>
            <w:noProof/>
            <w:webHidden/>
          </w:rPr>
          <w:t>126</w:t>
        </w:r>
        <w:r w:rsidR="004A4573">
          <w:rPr>
            <w:noProof/>
            <w:webHidden/>
          </w:rPr>
          <w:fldChar w:fldCharType="end"/>
        </w:r>
      </w:hyperlink>
    </w:p>
    <w:p w14:paraId="42A81CEB" w14:textId="0F029187" w:rsidR="004A4573" w:rsidRDefault="0020559B">
      <w:pPr>
        <w:pStyle w:val="TableofFigures"/>
        <w:tabs>
          <w:tab w:val="right" w:leader="dot" w:pos="9350"/>
        </w:tabs>
        <w:rPr>
          <w:rFonts w:eastAsiaTheme="minorEastAsia" w:cstheme="minorBidi"/>
          <w:noProof/>
          <w:kern w:val="2"/>
          <w:sz w:val="22"/>
          <w:szCs w:val="22"/>
          <w14:ligatures w14:val="standardContextual"/>
        </w:rPr>
      </w:pPr>
      <w:hyperlink w:anchor="_Toc151976473" w:history="1">
        <w:r w:rsidR="004A4573" w:rsidRPr="003C1286">
          <w:rPr>
            <w:rStyle w:val="Hyperlink"/>
            <w:noProof/>
          </w:rPr>
          <w:t>Figure 8</w:t>
        </w:r>
        <w:r w:rsidR="004A4573" w:rsidRPr="003C1286">
          <w:rPr>
            <w:rStyle w:val="Hyperlink"/>
            <w:noProof/>
          </w:rPr>
          <w:noBreakHyphen/>
          <w:t>1: Logic Model for the HRSN Component of the Demonstration</w:t>
        </w:r>
        <w:r w:rsidR="004A4573">
          <w:rPr>
            <w:noProof/>
            <w:webHidden/>
          </w:rPr>
          <w:tab/>
        </w:r>
        <w:r w:rsidR="004A4573">
          <w:rPr>
            <w:noProof/>
            <w:webHidden/>
          </w:rPr>
          <w:fldChar w:fldCharType="begin"/>
        </w:r>
        <w:r w:rsidR="004A4573">
          <w:rPr>
            <w:noProof/>
            <w:webHidden/>
          </w:rPr>
          <w:instrText xml:space="preserve"> PAGEREF _Toc151976473 \h </w:instrText>
        </w:r>
        <w:r w:rsidR="004A4573">
          <w:rPr>
            <w:noProof/>
            <w:webHidden/>
          </w:rPr>
        </w:r>
        <w:r w:rsidR="004A4573">
          <w:rPr>
            <w:noProof/>
            <w:webHidden/>
          </w:rPr>
          <w:fldChar w:fldCharType="separate"/>
        </w:r>
        <w:r w:rsidR="004A4573">
          <w:rPr>
            <w:noProof/>
            <w:webHidden/>
          </w:rPr>
          <w:t>150</w:t>
        </w:r>
        <w:r w:rsidR="004A4573">
          <w:rPr>
            <w:noProof/>
            <w:webHidden/>
          </w:rPr>
          <w:fldChar w:fldCharType="end"/>
        </w:r>
      </w:hyperlink>
    </w:p>
    <w:p w14:paraId="65DCC973" w14:textId="466A3531" w:rsidR="00C049AF" w:rsidRPr="0009132C" w:rsidRDefault="001806F2" w:rsidP="00C049AF">
      <w:r>
        <w:fldChar w:fldCharType="end"/>
      </w:r>
    </w:p>
    <w:p w14:paraId="4C0221B9" w14:textId="77777777" w:rsidR="00936C3C" w:rsidRPr="0009132C" w:rsidRDefault="00936C3C" w:rsidP="00F13F06">
      <w:pPr>
        <w:pStyle w:val="Heading1"/>
        <w:numPr>
          <w:ilvl w:val="0"/>
          <w:numId w:val="0"/>
        </w:numPr>
        <w:sectPr w:rsidR="00936C3C" w:rsidRPr="0009132C" w:rsidSect="00744E1B">
          <w:headerReference w:type="default" r:id="rId13"/>
          <w:footerReference w:type="default" r:id="rId14"/>
          <w:pgSz w:w="12240" w:h="15840"/>
          <w:pgMar w:top="1194" w:right="1440" w:bottom="1242" w:left="1440" w:header="720" w:footer="576" w:gutter="0"/>
          <w:pgNumType w:start="1"/>
          <w:cols w:space="720"/>
          <w:docGrid w:linePitch="360"/>
        </w:sectPr>
      </w:pPr>
      <w:bookmarkStart w:id="2" w:name="_Toc130209693"/>
      <w:bookmarkStart w:id="3" w:name="_Toc129343181"/>
      <w:bookmarkStart w:id="4" w:name="_Toc129619741"/>
    </w:p>
    <w:p w14:paraId="36C6B298" w14:textId="19F3DDA5" w:rsidR="00490A06" w:rsidRPr="00CB288E" w:rsidRDefault="00490A06" w:rsidP="00F56720">
      <w:pPr>
        <w:pStyle w:val="FHCAppendixH1"/>
        <w:spacing w:after="160"/>
      </w:pPr>
      <w:bookmarkStart w:id="5" w:name="_Toc151976404"/>
      <w:r w:rsidRPr="00CB288E">
        <w:lastRenderedPageBreak/>
        <w:t xml:space="preserve">Evaluation Design Document </w:t>
      </w:r>
      <w:r w:rsidR="00992AAB" w:rsidRPr="00CB288E">
        <w:t xml:space="preserve">(EDD) </w:t>
      </w:r>
      <w:r w:rsidRPr="00CB288E">
        <w:t>Acronyms</w:t>
      </w:r>
      <w:bookmarkEnd w:id="2"/>
      <w:bookmarkEnd w:id="5"/>
    </w:p>
    <w:tbl>
      <w:tblPr>
        <w:tblStyle w:val="FHCTableGrid2"/>
        <w:tblW w:w="9346" w:type="dxa"/>
        <w:tblCellMar>
          <w:top w:w="50" w:type="dxa"/>
          <w:bottom w:w="50" w:type="dxa"/>
        </w:tblCellMar>
        <w:tblLook w:val="06A0" w:firstRow="1" w:lastRow="0" w:firstColumn="1" w:lastColumn="0" w:noHBand="1" w:noVBand="1"/>
      </w:tblPr>
      <w:tblGrid>
        <w:gridCol w:w="1525"/>
        <w:gridCol w:w="7821"/>
      </w:tblGrid>
      <w:tr w:rsidR="00237CD3" w:rsidRPr="00237CD3" w14:paraId="178DFCC1" w14:textId="77777777" w:rsidTr="00BC3AFF">
        <w:trPr>
          <w:cnfStyle w:val="100000000000" w:firstRow="1" w:lastRow="0" w:firstColumn="0" w:lastColumn="0" w:oddVBand="0" w:evenVBand="0" w:oddHBand="0" w:evenHBand="0" w:firstRowFirstColumn="0" w:firstRowLastColumn="0" w:lastRowFirstColumn="0" w:lastRowLastColumn="0"/>
          <w:trHeight w:val="274"/>
          <w:tblHeader/>
        </w:trPr>
        <w:tc>
          <w:tcPr>
            <w:cnfStyle w:val="001000000000" w:firstRow="0" w:lastRow="0" w:firstColumn="1" w:lastColumn="0" w:oddVBand="0" w:evenVBand="0" w:oddHBand="0" w:evenHBand="0" w:firstRowFirstColumn="0" w:firstRowLastColumn="0" w:lastRowFirstColumn="0" w:lastRowLastColumn="0"/>
            <w:tcW w:w="1525" w:type="dxa"/>
            <w:shd w:val="clear" w:color="auto" w:fill="D9D9D9" w:themeFill="background1" w:themeFillShade="D9"/>
          </w:tcPr>
          <w:p w14:paraId="53BFC6BA" w14:textId="77777777" w:rsidR="00237CD3" w:rsidRPr="00F56720" w:rsidRDefault="00237CD3" w:rsidP="00F56720">
            <w:r w:rsidRPr="00F56720">
              <w:t>Acronym</w:t>
            </w:r>
          </w:p>
        </w:tc>
        <w:tc>
          <w:tcPr>
            <w:tcW w:w="7821" w:type="dxa"/>
            <w:shd w:val="clear" w:color="auto" w:fill="D9D9D9" w:themeFill="background1" w:themeFillShade="D9"/>
          </w:tcPr>
          <w:p w14:paraId="7F37B7AA" w14:textId="77777777" w:rsidR="00237CD3" w:rsidRPr="00F56720" w:rsidRDefault="00237CD3" w:rsidP="00F56720">
            <w:pPr>
              <w:cnfStyle w:val="100000000000" w:firstRow="1" w:lastRow="0" w:firstColumn="0" w:lastColumn="0" w:oddVBand="0" w:evenVBand="0" w:oddHBand="0" w:evenHBand="0" w:firstRowFirstColumn="0" w:firstRowLastColumn="0" w:lastRowFirstColumn="0" w:lastRowLastColumn="0"/>
            </w:pPr>
            <w:r w:rsidRPr="00F56720">
              <w:t>Definition</w:t>
            </w:r>
          </w:p>
        </w:tc>
      </w:tr>
      <w:tr w:rsidR="004C6634" w:rsidRPr="004C6634" w14:paraId="7722117E"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0A5D61E9" w14:textId="77777777" w:rsidR="004C6634" w:rsidRPr="004C6634" w:rsidRDefault="004C6634" w:rsidP="004C6634">
            <w:r w:rsidRPr="004C6634">
              <w:t>ACO</w:t>
            </w:r>
          </w:p>
        </w:tc>
        <w:tc>
          <w:tcPr>
            <w:tcW w:w="7821" w:type="dxa"/>
          </w:tcPr>
          <w:p w14:paraId="3B81D700" w14:textId="55C7CB40"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Accountable Care Organization</w:t>
            </w:r>
          </w:p>
        </w:tc>
      </w:tr>
      <w:tr w:rsidR="004C6634" w:rsidRPr="004C6634" w14:paraId="1DCF53D1"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538FBB3A" w14:textId="77777777" w:rsidR="004C6634" w:rsidRPr="004C6634" w:rsidRDefault="004C6634" w:rsidP="004C6634">
            <w:r w:rsidRPr="004C6634">
              <w:t>ACPP</w:t>
            </w:r>
          </w:p>
        </w:tc>
        <w:tc>
          <w:tcPr>
            <w:tcW w:w="7821" w:type="dxa"/>
          </w:tcPr>
          <w:p w14:paraId="4C0E8034"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 xml:space="preserve">Accountable Care Partnership Plan </w:t>
            </w:r>
          </w:p>
        </w:tc>
      </w:tr>
      <w:tr w:rsidR="004C6634" w:rsidRPr="004C6634" w14:paraId="07680D25"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6E2508A1" w14:textId="77777777" w:rsidR="004C6634" w:rsidRPr="004C6634" w:rsidRDefault="004C6634" w:rsidP="004C6634">
            <w:r w:rsidRPr="004C6634">
              <w:t>ACS</w:t>
            </w:r>
          </w:p>
        </w:tc>
        <w:tc>
          <w:tcPr>
            <w:tcW w:w="7821" w:type="dxa"/>
          </w:tcPr>
          <w:p w14:paraId="1DC8F630"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American Community Survey</w:t>
            </w:r>
          </w:p>
        </w:tc>
      </w:tr>
      <w:tr w:rsidR="004C6634" w:rsidRPr="004C6634" w14:paraId="3015C84C"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2F35E1DB" w14:textId="77777777" w:rsidR="004C6634" w:rsidRPr="004C6634" w:rsidRDefault="004C6634" w:rsidP="004C6634">
            <w:r w:rsidRPr="004C6634">
              <w:t>AHRQ</w:t>
            </w:r>
          </w:p>
        </w:tc>
        <w:tc>
          <w:tcPr>
            <w:tcW w:w="7821" w:type="dxa"/>
          </w:tcPr>
          <w:p w14:paraId="41264CF9"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Agency for Healthcare Research and Quality</w:t>
            </w:r>
          </w:p>
        </w:tc>
      </w:tr>
      <w:tr w:rsidR="004C6634" w:rsidRPr="004C6634" w14:paraId="3C4E888B"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117E6EFB" w14:textId="77777777" w:rsidR="004C6634" w:rsidRPr="004C6634" w:rsidRDefault="004C6634" w:rsidP="004C6634">
            <w:r w:rsidRPr="004C6634">
              <w:t>APCD</w:t>
            </w:r>
          </w:p>
        </w:tc>
        <w:tc>
          <w:tcPr>
            <w:tcW w:w="7821" w:type="dxa"/>
          </w:tcPr>
          <w:p w14:paraId="3A744B75"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All-Payer Claims Database</w:t>
            </w:r>
          </w:p>
        </w:tc>
      </w:tr>
      <w:tr w:rsidR="004C6634" w:rsidRPr="004C6634" w14:paraId="4D4E1A39"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29FC4592" w14:textId="77777777" w:rsidR="004C6634" w:rsidRPr="004C6634" w:rsidRDefault="004C6634" w:rsidP="004C6634">
            <w:r w:rsidRPr="004C6634">
              <w:t>APM</w:t>
            </w:r>
          </w:p>
        </w:tc>
        <w:tc>
          <w:tcPr>
            <w:tcW w:w="7821" w:type="dxa"/>
          </w:tcPr>
          <w:p w14:paraId="4E05B1E1"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 xml:space="preserve">Alternative Payment Methods </w:t>
            </w:r>
          </w:p>
        </w:tc>
      </w:tr>
      <w:tr w:rsidR="004C6634" w:rsidRPr="004C6634" w14:paraId="0035A4E7"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68543579" w14:textId="77777777" w:rsidR="004C6634" w:rsidRPr="004C6634" w:rsidRDefault="004C6634" w:rsidP="004C6634">
            <w:r w:rsidRPr="004C6634">
              <w:t>APTC</w:t>
            </w:r>
          </w:p>
        </w:tc>
        <w:tc>
          <w:tcPr>
            <w:tcW w:w="7821" w:type="dxa"/>
          </w:tcPr>
          <w:p w14:paraId="019448A4"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 xml:space="preserve">Advanced Premium Tax Credit </w:t>
            </w:r>
          </w:p>
        </w:tc>
      </w:tr>
      <w:tr w:rsidR="004C6634" w:rsidRPr="004C6634" w14:paraId="059D03FA"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6BC43FC5" w14:textId="77777777" w:rsidR="004C6634" w:rsidRPr="004C6634" w:rsidRDefault="004C6634" w:rsidP="004C6634">
            <w:r w:rsidRPr="004C6634">
              <w:t>ASAM</w:t>
            </w:r>
          </w:p>
        </w:tc>
        <w:tc>
          <w:tcPr>
            <w:tcW w:w="7821" w:type="dxa"/>
          </w:tcPr>
          <w:p w14:paraId="62CF571F"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American Society of Addiction Medicine</w:t>
            </w:r>
          </w:p>
        </w:tc>
      </w:tr>
      <w:tr w:rsidR="004C6634" w:rsidRPr="004C6634" w14:paraId="73DB58C1"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1D3D473C" w14:textId="77777777" w:rsidR="004C6634" w:rsidRPr="004C6634" w:rsidRDefault="004C6634" w:rsidP="004C6634">
            <w:r w:rsidRPr="004C6634">
              <w:t>BBL</w:t>
            </w:r>
          </w:p>
        </w:tc>
        <w:tc>
          <w:tcPr>
            <w:tcW w:w="7821" w:type="dxa"/>
          </w:tcPr>
          <w:p w14:paraId="52E29CA4"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Basic Benefit Level</w:t>
            </w:r>
          </w:p>
        </w:tc>
      </w:tr>
      <w:tr w:rsidR="004C6634" w:rsidRPr="004C6634" w14:paraId="24FCD127"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4C747E9A" w14:textId="77777777" w:rsidR="004C6634" w:rsidRPr="004C6634" w:rsidRDefault="004C6634" w:rsidP="004C6634">
            <w:r w:rsidRPr="004C6634">
              <w:t>BCCDP</w:t>
            </w:r>
          </w:p>
        </w:tc>
        <w:tc>
          <w:tcPr>
            <w:tcW w:w="7821" w:type="dxa"/>
          </w:tcPr>
          <w:p w14:paraId="2C29B090"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Breast and Cervical Cancer Demonstration Program</w:t>
            </w:r>
          </w:p>
        </w:tc>
      </w:tr>
      <w:tr w:rsidR="004C6634" w:rsidRPr="004C6634" w14:paraId="382D6D78"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56715164" w14:textId="77777777" w:rsidR="004C6634" w:rsidRPr="004C6634" w:rsidRDefault="004C6634" w:rsidP="004C6634">
            <w:r w:rsidRPr="004C6634">
              <w:t>BH</w:t>
            </w:r>
          </w:p>
        </w:tc>
        <w:tc>
          <w:tcPr>
            <w:tcW w:w="7821" w:type="dxa"/>
          </w:tcPr>
          <w:p w14:paraId="544C4DCE"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Behavioral Health</w:t>
            </w:r>
          </w:p>
        </w:tc>
      </w:tr>
      <w:tr w:rsidR="004C6634" w:rsidRPr="004C6634" w14:paraId="742E6E1F"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726FC51B" w14:textId="77777777" w:rsidR="004C6634" w:rsidRPr="004C6634" w:rsidRDefault="004C6634" w:rsidP="004C6634">
            <w:r w:rsidRPr="004C6634">
              <w:t>BH-JI</w:t>
            </w:r>
          </w:p>
        </w:tc>
        <w:tc>
          <w:tcPr>
            <w:tcW w:w="7821" w:type="dxa"/>
          </w:tcPr>
          <w:p w14:paraId="44E9A03C"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 xml:space="preserve">Behavioral Health Supports for Justice-Involved Individuals </w:t>
            </w:r>
          </w:p>
        </w:tc>
      </w:tr>
      <w:tr w:rsidR="0042229C" w:rsidRPr="004C6634" w14:paraId="7B72BB65"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545FAC99" w14:textId="07471470" w:rsidR="0042229C" w:rsidRPr="004C6634" w:rsidRDefault="0042229C" w:rsidP="004C6634">
            <w:r w:rsidRPr="0009132C">
              <w:t>BRFSS</w:t>
            </w:r>
          </w:p>
        </w:tc>
        <w:tc>
          <w:tcPr>
            <w:tcW w:w="7821" w:type="dxa"/>
          </w:tcPr>
          <w:p w14:paraId="756D4165" w14:textId="7CBF08B4" w:rsidR="0042229C" w:rsidRPr="004C6634" w:rsidRDefault="0042229C" w:rsidP="004C6634">
            <w:pPr>
              <w:cnfStyle w:val="000000000000" w:firstRow="0" w:lastRow="0" w:firstColumn="0" w:lastColumn="0" w:oddVBand="0" w:evenVBand="0" w:oddHBand="0" w:evenHBand="0" w:firstRowFirstColumn="0" w:firstRowLastColumn="0" w:lastRowFirstColumn="0" w:lastRowLastColumn="0"/>
            </w:pPr>
            <w:r w:rsidRPr="0009132C">
              <w:t>Behavioral Risk Factor Surveillance System</w:t>
            </w:r>
          </w:p>
        </w:tc>
      </w:tr>
      <w:tr w:rsidR="004C6634" w:rsidRPr="004C6634" w14:paraId="1BDFB0AC"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24429445" w14:textId="77777777" w:rsidR="004C6634" w:rsidRPr="004C6634" w:rsidRDefault="004C6634" w:rsidP="004C6634">
            <w:r w:rsidRPr="004C6634">
              <w:t>BSAS</w:t>
            </w:r>
          </w:p>
        </w:tc>
        <w:tc>
          <w:tcPr>
            <w:tcW w:w="7821" w:type="dxa"/>
          </w:tcPr>
          <w:p w14:paraId="293EF129"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Bureau of Substance Addiction Services</w:t>
            </w:r>
          </w:p>
        </w:tc>
      </w:tr>
      <w:tr w:rsidR="004C6634" w:rsidRPr="004C6634" w14:paraId="7526927F"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6A69707F" w14:textId="77777777" w:rsidR="004C6634" w:rsidRPr="004C6634" w:rsidRDefault="004C6634" w:rsidP="004C6634">
            <w:r w:rsidRPr="004C6634">
              <w:t>CARES</w:t>
            </w:r>
          </w:p>
        </w:tc>
        <w:tc>
          <w:tcPr>
            <w:tcW w:w="7821" w:type="dxa"/>
          </w:tcPr>
          <w:p w14:paraId="6A0D9A11"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MassHealth Coordinating Aligned, Relationship-Centered, Enhanced Support</w:t>
            </w:r>
          </w:p>
        </w:tc>
      </w:tr>
      <w:tr w:rsidR="004C6634" w:rsidRPr="004C6634" w14:paraId="46E74C37"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707C685A" w14:textId="77777777" w:rsidR="004C6634" w:rsidRPr="004C6634" w:rsidRDefault="004C6634" w:rsidP="004C6634">
            <w:r w:rsidRPr="004C6634">
              <w:t>CBAT</w:t>
            </w:r>
          </w:p>
        </w:tc>
        <w:tc>
          <w:tcPr>
            <w:tcW w:w="7821" w:type="dxa"/>
          </w:tcPr>
          <w:p w14:paraId="6FBC3B61"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 xml:space="preserve">Community-Based Acute Treatment for Children and Adolescents </w:t>
            </w:r>
          </w:p>
        </w:tc>
      </w:tr>
      <w:tr w:rsidR="004C6634" w:rsidRPr="004C6634" w14:paraId="4D66913A"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402FEB6C" w14:textId="77777777" w:rsidR="004C6634" w:rsidRPr="004C6634" w:rsidRDefault="004C6634" w:rsidP="004C6634">
            <w:r w:rsidRPr="004C6634">
              <w:t>CBHC</w:t>
            </w:r>
          </w:p>
        </w:tc>
        <w:tc>
          <w:tcPr>
            <w:tcW w:w="7821" w:type="dxa"/>
          </w:tcPr>
          <w:p w14:paraId="09675A37"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Community Behavioral Health Center</w:t>
            </w:r>
          </w:p>
        </w:tc>
      </w:tr>
      <w:tr w:rsidR="004C6634" w:rsidRPr="004C6634" w14:paraId="3C0B4F2F"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6425C504" w14:textId="77777777" w:rsidR="004C6634" w:rsidRPr="004C6634" w:rsidRDefault="004C6634" w:rsidP="004C6634">
            <w:r w:rsidRPr="004C6634">
              <w:t>CCS</w:t>
            </w:r>
          </w:p>
        </w:tc>
        <w:tc>
          <w:tcPr>
            <w:tcW w:w="7821" w:type="dxa"/>
          </w:tcPr>
          <w:p w14:paraId="18042676"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Community Crisis Stabilization</w:t>
            </w:r>
          </w:p>
        </w:tc>
      </w:tr>
      <w:tr w:rsidR="004C6634" w:rsidRPr="004C6634" w14:paraId="08DAECDF"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4088E8E7" w14:textId="77777777" w:rsidR="004C6634" w:rsidRPr="004C6634" w:rsidRDefault="004C6634" w:rsidP="004C6634">
            <w:r w:rsidRPr="004C6634">
              <w:t>CDC</w:t>
            </w:r>
          </w:p>
        </w:tc>
        <w:tc>
          <w:tcPr>
            <w:tcW w:w="7821" w:type="dxa"/>
          </w:tcPr>
          <w:p w14:paraId="5F5BC59A"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 xml:space="preserve">Centers for Disease Control and Prevention  </w:t>
            </w:r>
          </w:p>
        </w:tc>
      </w:tr>
      <w:tr w:rsidR="004C6634" w:rsidRPr="004C6634" w14:paraId="3635F94D"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66A299AA" w14:textId="77777777" w:rsidR="004C6634" w:rsidRPr="004C6634" w:rsidRDefault="004C6634" w:rsidP="004C6634">
            <w:r w:rsidRPr="004C6634">
              <w:t>CE</w:t>
            </w:r>
          </w:p>
        </w:tc>
        <w:tc>
          <w:tcPr>
            <w:tcW w:w="7821" w:type="dxa"/>
          </w:tcPr>
          <w:p w14:paraId="06EDFA35"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 xml:space="preserve">Continuous Eligibility </w:t>
            </w:r>
          </w:p>
        </w:tc>
      </w:tr>
      <w:tr w:rsidR="004C6634" w:rsidRPr="004C6634" w14:paraId="26D3996D"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2D23564F" w14:textId="77777777" w:rsidR="004C6634" w:rsidRPr="004C6634" w:rsidRDefault="004C6634" w:rsidP="004C6634">
            <w:r w:rsidRPr="004C6634">
              <w:t>C&amp;E</w:t>
            </w:r>
          </w:p>
        </w:tc>
        <w:tc>
          <w:tcPr>
            <w:tcW w:w="7821" w:type="dxa"/>
          </w:tcPr>
          <w:p w14:paraId="3FB2EE3D"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 xml:space="preserve">Coverage and Eligibility </w:t>
            </w:r>
          </w:p>
        </w:tc>
      </w:tr>
      <w:tr w:rsidR="004C6634" w:rsidRPr="004C6634" w14:paraId="0B1F35E4"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654A11A9" w14:textId="77777777" w:rsidR="004C6634" w:rsidRPr="004C6634" w:rsidRDefault="004C6634" w:rsidP="004C6634">
            <w:r w:rsidRPr="004C6634">
              <w:t>CFIR</w:t>
            </w:r>
          </w:p>
        </w:tc>
        <w:tc>
          <w:tcPr>
            <w:tcW w:w="7821" w:type="dxa"/>
          </w:tcPr>
          <w:p w14:paraId="6594737B"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Consolidated Framework for Implementation Research</w:t>
            </w:r>
          </w:p>
        </w:tc>
      </w:tr>
      <w:tr w:rsidR="004C6634" w:rsidRPr="004C6634" w14:paraId="7DFBA108"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47631723" w14:textId="77777777" w:rsidR="004C6634" w:rsidRPr="004C6634" w:rsidRDefault="004C6634" w:rsidP="004C6634">
            <w:r w:rsidRPr="004C6634">
              <w:t>CG-CAHPS</w:t>
            </w:r>
          </w:p>
        </w:tc>
        <w:tc>
          <w:tcPr>
            <w:tcW w:w="7821" w:type="dxa"/>
          </w:tcPr>
          <w:p w14:paraId="3F7B731B"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 xml:space="preserve">Clinician and Group Consumer Assessment of Healthcare Providers and Systems </w:t>
            </w:r>
          </w:p>
        </w:tc>
      </w:tr>
      <w:tr w:rsidR="004C6634" w:rsidRPr="004C6634" w14:paraId="00999B4A"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395DA206" w14:textId="77777777" w:rsidR="004C6634" w:rsidRPr="004C6634" w:rsidRDefault="004C6634" w:rsidP="004C6634">
            <w:r w:rsidRPr="004C6634">
              <w:t>CHA</w:t>
            </w:r>
          </w:p>
        </w:tc>
        <w:tc>
          <w:tcPr>
            <w:tcW w:w="7821" w:type="dxa"/>
          </w:tcPr>
          <w:p w14:paraId="581D8C3B"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Cambridge Health Alliance</w:t>
            </w:r>
          </w:p>
        </w:tc>
      </w:tr>
      <w:tr w:rsidR="004C6634" w:rsidRPr="004C6634" w14:paraId="70FC4F62"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1FE70FEB" w14:textId="77777777" w:rsidR="004C6634" w:rsidRPr="004C6634" w:rsidRDefault="004C6634" w:rsidP="004C6634">
            <w:r w:rsidRPr="004C6634">
              <w:t>CHC</w:t>
            </w:r>
          </w:p>
        </w:tc>
        <w:tc>
          <w:tcPr>
            <w:tcW w:w="7821" w:type="dxa"/>
          </w:tcPr>
          <w:p w14:paraId="7E5A8063"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Community Health Center</w:t>
            </w:r>
          </w:p>
        </w:tc>
      </w:tr>
      <w:tr w:rsidR="004C6634" w:rsidRPr="004C6634" w14:paraId="0FC563DA"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233EB442" w14:textId="77777777" w:rsidR="004C6634" w:rsidRPr="004C6634" w:rsidRDefault="004C6634" w:rsidP="004C6634">
            <w:r w:rsidRPr="004C6634">
              <w:t>CHIA</w:t>
            </w:r>
          </w:p>
        </w:tc>
        <w:tc>
          <w:tcPr>
            <w:tcW w:w="7821" w:type="dxa"/>
          </w:tcPr>
          <w:p w14:paraId="3795FADB"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Center for Health Information Analysis</w:t>
            </w:r>
          </w:p>
        </w:tc>
      </w:tr>
      <w:tr w:rsidR="004C6634" w:rsidRPr="004C6634" w14:paraId="2D6B8973"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22944FD4" w14:textId="77777777" w:rsidR="004C6634" w:rsidRPr="004C6634" w:rsidRDefault="004C6634" w:rsidP="004C6634">
            <w:r w:rsidRPr="004C6634">
              <w:t>CHIP</w:t>
            </w:r>
          </w:p>
        </w:tc>
        <w:tc>
          <w:tcPr>
            <w:tcW w:w="7821" w:type="dxa"/>
          </w:tcPr>
          <w:p w14:paraId="2EC7433F"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Children’s Health Insurance Program</w:t>
            </w:r>
          </w:p>
        </w:tc>
      </w:tr>
      <w:tr w:rsidR="004C6634" w:rsidRPr="004C6634" w14:paraId="2759328A"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1184D826" w14:textId="77777777" w:rsidR="004C6634" w:rsidRPr="004C6634" w:rsidRDefault="004C6634" w:rsidP="004C6634">
            <w:r w:rsidRPr="004C6634">
              <w:t>CHW</w:t>
            </w:r>
          </w:p>
        </w:tc>
        <w:tc>
          <w:tcPr>
            <w:tcW w:w="7821" w:type="dxa"/>
          </w:tcPr>
          <w:p w14:paraId="3064D557"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Community Health Worker</w:t>
            </w:r>
          </w:p>
        </w:tc>
      </w:tr>
      <w:tr w:rsidR="004C6634" w:rsidRPr="004C6634" w14:paraId="061BC15F"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23F499FF" w14:textId="77777777" w:rsidR="004C6634" w:rsidRPr="004C6634" w:rsidRDefault="004C6634" w:rsidP="004C6634">
            <w:r w:rsidRPr="004C6634">
              <w:t>CIS-CH</w:t>
            </w:r>
          </w:p>
        </w:tc>
        <w:tc>
          <w:tcPr>
            <w:tcW w:w="7821" w:type="dxa"/>
          </w:tcPr>
          <w:p w14:paraId="79C49883"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Childhood Immunization Status</w:t>
            </w:r>
          </w:p>
        </w:tc>
      </w:tr>
      <w:tr w:rsidR="004C6634" w:rsidRPr="004C6634" w14:paraId="78485C5A"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71D5FCA6" w14:textId="77777777" w:rsidR="004C6634" w:rsidRPr="004C6634" w:rsidRDefault="004C6634" w:rsidP="004C6634">
            <w:r w:rsidRPr="004C6634">
              <w:lastRenderedPageBreak/>
              <w:t>CMS</w:t>
            </w:r>
          </w:p>
        </w:tc>
        <w:tc>
          <w:tcPr>
            <w:tcW w:w="7821" w:type="dxa"/>
          </w:tcPr>
          <w:p w14:paraId="394A73C7"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Centers for Medicare and Medicaid Services</w:t>
            </w:r>
          </w:p>
        </w:tc>
      </w:tr>
      <w:tr w:rsidR="004C6634" w:rsidRPr="004C6634" w14:paraId="5BF68D5D"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0B0BD858" w14:textId="77777777" w:rsidR="004C6634" w:rsidRPr="004C6634" w:rsidRDefault="004C6634" w:rsidP="004C6634">
            <w:r w:rsidRPr="004C6634">
              <w:t>CP</w:t>
            </w:r>
          </w:p>
        </w:tc>
        <w:tc>
          <w:tcPr>
            <w:tcW w:w="7821" w:type="dxa"/>
          </w:tcPr>
          <w:p w14:paraId="60774DF5"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Community Partner</w:t>
            </w:r>
          </w:p>
        </w:tc>
      </w:tr>
      <w:tr w:rsidR="004C6634" w:rsidRPr="004C6634" w14:paraId="15B9665A"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1C9A0F11" w14:textId="77777777" w:rsidR="004C6634" w:rsidRPr="004C6634" w:rsidRDefault="004C6634" w:rsidP="004C6634">
            <w:r w:rsidRPr="004C6634">
              <w:t>CPT</w:t>
            </w:r>
          </w:p>
        </w:tc>
        <w:tc>
          <w:tcPr>
            <w:tcW w:w="7821" w:type="dxa"/>
          </w:tcPr>
          <w:p w14:paraId="5D40B054"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 xml:space="preserve">Current Procedural Terminology </w:t>
            </w:r>
          </w:p>
        </w:tc>
      </w:tr>
      <w:tr w:rsidR="004C6634" w:rsidRPr="004C6634" w14:paraId="4CED4599"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04984A63" w14:textId="77777777" w:rsidR="004C6634" w:rsidRPr="004C6634" w:rsidRDefault="004C6634" w:rsidP="004C6634">
            <w:r w:rsidRPr="004C6634">
              <w:t>CSP</w:t>
            </w:r>
          </w:p>
        </w:tc>
        <w:tc>
          <w:tcPr>
            <w:tcW w:w="7821" w:type="dxa"/>
          </w:tcPr>
          <w:p w14:paraId="616A7A93"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Community Support Program</w:t>
            </w:r>
          </w:p>
        </w:tc>
      </w:tr>
      <w:tr w:rsidR="004C6634" w:rsidRPr="004C6634" w14:paraId="72FA6D7C"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4593E383" w14:textId="77777777" w:rsidR="004C6634" w:rsidRPr="004C6634" w:rsidRDefault="004C6634" w:rsidP="004C6634">
            <w:r w:rsidRPr="004C6634">
              <w:t>CSP-HI</w:t>
            </w:r>
          </w:p>
        </w:tc>
        <w:tc>
          <w:tcPr>
            <w:tcW w:w="7821" w:type="dxa"/>
          </w:tcPr>
          <w:p w14:paraId="558BE5C4"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 xml:space="preserve">Community Support Program for Homeless Individuals </w:t>
            </w:r>
          </w:p>
        </w:tc>
      </w:tr>
      <w:tr w:rsidR="004C6634" w:rsidRPr="004C6634" w14:paraId="3AB14F25"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0C4733B9" w14:textId="77777777" w:rsidR="004C6634" w:rsidRPr="004C6634" w:rsidRDefault="004C6634" w:rsidP="004C6634">
            <w:r w:rsidRPr="004C6634">
              <w:t>CSP-JI</w:t>
            </w:r>
          </w:p>
        </w:tc>
        <w:tc>
          <w:tcPr>
            <w:tcW w:w="7821" w:type="dxa"/>
          </w:tcPr>
          <w:p w14:paraId="2297F57C"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 xml:space="preserve">Community Support Program for Individuals with Justice Involvement </w:t>
            </w:r>
          </w:p>
        </w:tc>
      </w:tr>
      <w:tr w:rsidR="004C6634" w:rsidRPr="004C6634" w14:paraId="55E1DA6C"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3F3601A7" w14:textId="77777777" w:rsidR="004C6634" w:rsidRPr="004C6634" w:rsidRDefault="004C6634" w:rsidP="004C6634">
            <w:r w:rsidRPr="004C6634">
              <w:t>CSP-TPP</w:t>
            </w:r>
          </w:p>
        </w:tc>
        <w:tc>
          <w:tcPr>
            <w:tcW w:w="7821" w:type="dxa"/>
          </w:tcPr>
          <w:p w14:paraId="15EA3AE3"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 xml:space="preserve">Community Support Program for Tenancy Preservation Program </w:t>
            </w:r>
          </w:p>
        </w:tc>
      </w:tr>
      <w:tr w:rsidR="004C6634" w:rsidRPr="004C6634" w14:paraId="7C9261EA"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548557C5" w14:textId="77777777" w:rsidR="004C6634" w:rsidRPr="004C6634" w:rsidRDefault="004C6634" w:rsidP="004C6634">
            <w:r w:rsidRPr="004C6634">
              <w:t>CTI</w:t>
            </w:r>
          </w:p>
        </w:tc>
        <w:tc>
          <w:tcPr>
            <w:tcW w:w="7821" w:type="dxa"/>
          </w:tcPr>
          <w:p w14:paraId="1A85080C"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 xml:space="preserve">Comprehensive Theory of Integration </w:t>
            </w:r>
          </w:p>
        </w:tc>
      </w:tr>
      <w:tr w:rsidR="004C6634" w:rsidRPr="004C6634" w14:paraId="3F0092A2"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16C338A2" w14:textId="77777777" w:rsidR="004C6634" w:rsidRPr="004C6634" w:rsidRDefault="004C6634" w:rsidP="004C6634">
            <w:r w:rsidRPr="004C6634">
              <w:t>CY</w:t>
            </w:r>
          </w:p>
        </w:tc>
        <w:tc>
          <w:tcPr>
            <w:tcW w:w="7821" w:type="dxa"/>
          </w:tcPr>
          <w:p w14:paraId="5A60649C"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Calendar Year</w:t>
            </w:r>
          </w:p>
        </w:tc>
      </w:tr>
      <w:tr w:rsidR="004C6634" w:rsidRPr="004C6634" w14:paraId="4FE4974F"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14062227" w14:textId="77777777" w:rsidR="004C6634" w:rsidRPr="004C6634" w:rsidRDefault="004C6634" w:rsidP="004C6634">
            <w:r w:rsidRPr="004C6634">
              <w:t>DCE</w:t>
            </w:r>
          </w:p>
        </w:tc>
        <w:tc>
          <w:tcPr>
            <w:tcW w:w="7821" w:type="dxa"/>
          </w:tcPr>
          <w:p w14:paraId="4A58E8B7"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Discrete Choice Experiment</w:t>
            </w:r>
          </w:p>
        </w:tc>
      </w:tr>
      <w:tr w:rsidR="004C6634" w:rsidRPr="004C6634" w14:paraId="262FAB89"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0F8DA1F2" w14:textId="77777777" w:rsidR="004C6634" w:rsidRPr="004C6634" w:rsidRDefault="004C6634" w:rsidP="004C6634">
            <w:r w:rsidRPr="004C6634">
              <w:t>DEA</w:t>
            </w:r>
          </w:p>
        </w:tc>
        <w:tc>
          <w:tcPr>
            <w:tcW w:w="7821" w:type="dxa"/>
          </w:tcPr>
          <w:p w14:paraId="478A7823"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Drug Enforcement Administration</w:t>
            </w:r>
          </w:p>
        </w:tc>
      </w:tr>
      <w:tr w:rsidR="004C6634" w:rsidRPr="004C6634" w14:paraId="044C940D"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0DD471ED" w14:textId="77777777" w:rsidR="004C6634" w:rsidRPr="004C6634" w:rsidRDefault="004C6634" w:rsidP="004C6634">
            <w:r w:rsidRPr="004C6634">
              <w:t>DMH</w:t>
            </w:r>
          </w:p>
        </w:tc>
        <w:tc>
          <w:tcPr>
            <w:tcW w:w="7821" w:type="dxa"/>
          </w:tcPr>
          <w:p w14:paraId="2A234BB1"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Department of Mental Health</w:t>
            </w:r>
          </w:p>
        </w:tc>
      </w:tr>
      <w:tr w:rsidR="004C6634" w:rsidRPr="004C6634" w14:paraId="4953B306"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69F436E7" w14:textId="77777777" w:rsidR="004C6634" w:rsidRPr="004C6634" w:rsidRDefault="004C6634" w:rsidP="004C6634">
            <w:r w:rsidRPr="004C6634">
              <w:t>DPH</w:t>
            </w:r>
          </w:p>
        </w:tc>
        <w:tc>
          <w:tcPr>
            <w:tcW w:w="7821" w:type="dxa"/>
          </w:tcPr>
          <w:p w14:paraId="58EB2DBC"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Department of Public Health</w:t>
            </w:r>
          </w:p>
        </w:tc>
      </w:tr>
      <w:tr w:rsidR="004C6634" w:rsidRPr="004C6634" w14:paraId="3B66BD4D"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133B3936" w14:textId="77777777" w:rsidR="004C6634" w:rsidRPr="004C6634" w:rsidRDefault="004C6634" w:rsidP="004C6634">
            <w:r w:rsidRPr="004C6634">
              <w:t>DSH</w:t>
            </w:r>
          </w:p>
        </w:tc>
        <w:tc>
          <w:tcPr>
            <w:tcW w:w="7821" w:type="dxa"/>
          </w:tcPr>
          <w:p w14:paraId="620E7946"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Disproportionate Share Hospital</w:t>
            </w:r>
          </w:p>
        </w:tc>
      </w:tr>
      <w:tr w:rsidR="004C6634" w:rsidRPr="004C6634" w14:paraId="00E53DB8"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5EA933AA" w14:textId="77777777" w:rsidR="004C6634" w:rsidRPr="004C6634" w:rsidRDefault="004C6634" w:rsidP="004C6634">
            <w:r w:rsidRPr="004C6634">
              <w:t>DSH-like</w:t>
            </w:r>
          </w:p>
        </w:tc>
        <w:tc>
          <w:tcPr>
            <w:tcW w:w="7821" w:type="dxa"/>
          </w:tcPr>
          <w:p w14:paraId="1C2FF99F"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Disproportionate Share Hospital-like</w:t>
            </w:r>
          </w:p>
        </w:tc>
      </w:tr>
      <w:tr w:rsidR="004C6634" w:rsidRPr="004C6634" w14:paraId="68813BEA"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36D062BD" w14:textId="77777777" w:rsidR="004C6634" w:rsidRPr="004C6634" w:rsidRDefault="004C6634" w:rsidP="004C6634">
            <w:r w:rsidRPr="004C6634">
              <w:t>DSR</w:t>
            </w:r>
          </w:p>
        </w:tc>
        <w:tc>
          <w:tcPr>
            <w:tcW w:w="7821" w:type="dxa"/>
          </w:tcPr>
          <w:p w14:paraId="7368BC9B"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 xml:space="preserve">Delivery System Reform </w:t>
            </w:r>
          </w:p>
        </w:tc>
      </w:tr>
      <w:tr w:rsidR="004C6634" w:rsidRPr="004C6634" w14:paraId="44651FCF"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0AD64DF6" w14:textId="77777777" w:rsidR="004C6634" w:rsidRPr="004C6634" w:rsidRDefault="004C6634" w:rsidP="004C6634">
            <w:r w:rsidRPr="004C6634">
              <w:t>DSRIP</w:t>
            </w:r>
          </w:p>
        </w:tc>
        <w:tc>
          <w:tcPr>
            <w:tcW w:w="7821" w:type="dxa"/>
          </w:tcPr>
          <w:p w14:paraId="5A798113"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Delivery System Reform Incentive Payment</w:t>
            </w:r>
          </w:p>
        </w:tc>
      </w:tr>
      <w:tr w:rsidR="004C6634" w:rsidRPr="004C6634" w14:paraId="49801891"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56A11637" w14:textId="77777777" w:rsidR="004C6634" w:rsidRPr="004C6634" w:rsidRDefault="004C6634" w:rsidP="004C6634">
            <w:r w:rsidRPr="004C6634">
              <w:t>DY</w:t>
            </w:r>
          </w:p>
        </w:tc>
        <w:tc>
          <w:tcPr>
            <w:tcW w:w="7821" w:type="dxa"/>
          </w:tcPr>
          <w:p w14:paraId="7CDE28B3"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Demonstration Year</w:t>
            </w:r>
          </w:p>
        </w:tc>
      </w:tr>
      <w:tr w:rsidR="004C6634" w:rsidRPr="004C6634" w14:paraId="44DBB773"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454DF55B" w14:textId="77777777" w:rsidR="004C6634" w:rsidRPr="004C6634" w:rsidRDefault="004C6634" w:rsidP="004C6634">
            <w:r w:rsidRPr="004C6634">
              <w:t>ED</w:t>
            </w:r>
          </w:p>
        </w:tc>
        <w:tc>
          <w:tcPr>
            <w:tcW w:w="7821" w:type="dxa"/>
          </w:tcPr>
          <w:p w14:paraId="5ACA6B9D"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Emergency Department</w:t>
            </w:r>
          </w:p>
        </w:tc>
      </w:tr>
      <w:tr w:rsidR="004C6634" w:rsidRPr="004C6634" w14:paraId="48389890"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6F414723" w14:textId="77777777" w:rsidR="004C6634" w:rsidRPr="004C6634" w:rsidRDefault="004C6634" w:rsidP="004C6634">
            <w:r w:rsidRPr="004C6634">
              <w:t>EDD</w:t>
            </w:r>
          </w:p>
        </w:tc>
        <w:tc>
          <w:tcPr>
            <w:tcW w:w="7821" w:type="dxa"/>
          </w:tcPr>
          <w:p w14:paraId="3652EF9E"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Evaluation Design Document</w:t>
            </w:r>
          </w:p>
        </w:tc>
      </w:tr>
      <w:tr w:rsidR="004C6634" w:rsidRPr="004C6634" w14:paraId="3F7F7FA8"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1623A5C4" w14:textId="77777777" w:rsidR="004C6634" w:rsidRPr="004C6634" w:rsidRDefault="004C6634" w:rsidP="004C6634">
            <w:r w:rsidRPr="004C6634">
              <w:t>EHR</w:t>
            </w:r>
          </w:p>
        </w:tc>
        <w:tc>
          <w:tcPr>
            <w:tcW w:w="7821" w:type="dxa"/>
          </w:tcPr>
          <w:p w14:paraId="709B0E04"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Electronic Health Record</w:t>
            </w:r>
          </w:p>
        </w:tc>
      </w:tr>
      <w:tr w:rsidR="004C6634" w:rsidRPr="004C6634" w14:paraId="07741499"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4808FB67" w14:textId="77777777" w:rsidR="004C6634" w:rsidRPr="004C6634" w:rsidRDefault="004C6634" w:rsidP="004C6634">
            <w:r w:rsidRPr="004C6634">
              <w:t>ENS</w:t>
            </w:r>
          </w:p>
        </w:tc>
        <w:tc>
          <w:tcPr>
            <w:tcW w:w="7821" w:type="dxa"/>
          </w:tcPr>
          <w:p w14:paraId="1BA179FC"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Emergency Notification Systems</w:t>
            </w:r>
          </w:p>
        </w:tc>
      </w:tr>
      <w:tr w:rsidR="004C6634" w:rsidRPr="004C6634" w14:paraId="665CAAB9"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28F6362E" w14:textId="77777777" w:rsidR="004C6634" w:rsidRPr="004C6634" w:rsidRDefault="004C6634" w:rsidP="004C6634">
            <w:r w:rsidRPr="004C6634">
              <w:t>EOHHS</w:t>
            </w:r>
          </w:p>
        </w:tc>
        <w:tc>
          <w:tcPr>
            <w:tcW w:w="7821" w:type="dxa"/>
          </w:tcPr>
          <w:p w14:paraId="0889598E"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Executive Office of Health and Human Services</w:t>
            </w:r>
          </w:p>
        </w:tc>
      </w:tr>
      <w:tr w:rsidR="004C6634" w:rsidRPr="004C6634" w14:paraId="4AAE9CA5"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0634C4F5" w14:textId="77777777" w:rsidR="004C6634" w:rsidRPr="004C6634" w:rsidRDefault="004C6634" w:rsidP="004C6634">
            <w:r w:rsidRPr="004C6634">
              <w:t>EPSDT</w:t>
            </w:r>
          </w:p>
        </w:tc>
        <w:tc>
          <w:tcPr>
            <w:tcW w:w="7821" w:type="dxa"/>
          </w:tcPr>
          <w:p w14:paraId="3174AA3F" w14:textId="297111E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Early and Periodic Screening, Diagnostic, and Treatment</w:t>
            </w:r>
          </w:p>
        </w:tc>
      </w:tr>
      <w:tr w:rsidR="004C6634" w:rsidRPr="004C6634" w14:paraId="4CC48694"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0959BB49" w14:textId="77777777" w:rsidR="004C6634" w:rsidRPr="004C6634" w:rsidRDefault="004C6634" w:rsidP="004C6634">
            <w:r w:rsidRPr="004C6634">
              <w:t>ESI</w:t>
            </w:r>
          </w:p>
        </w:tc>
        <w:tc>
          <w:tcPr>
            <w:tcW w:w="7821" w:type="dxa"/>
          </w:tcPr>
          <w:p w14:paraId="52729BD6"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Employer-Sponsored Insurance</w:t>
            </w:r>
          </w:p>
        </w:tc>
      </w:tr>
      <w:tr w:rsidR="004C6634" w:rsidRPr="004C6634" w14:paraId="609CA9E1"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24060930" w14:textId="77777777" w:rsidR="004C6634" w:rsidRPr="004C6634" w:rsidRDefault="004C6634" w:rsidP="004C6634">
            <w:r w:rsidRPr="004C6634">
              <w:t>ESR</w:t>
            </w:r>
          </w:p>
        </w:tc>
        <w:tc>
          <w:tcPr>
            <w:tcW w:w="7821" w:type="dxa"/>
          </w:tcPr>
          <w:p w14:paraId="169B4A83"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Evaluation Summative Report</w:t>
            </w:r>
          </w:p>
        </w:tc>
      </w:tr>
      <w:tr w:rsidR="004C6634" w:rsidRPr="004C6634" w14:paraId="5D24BC7D"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5CD6260A" w14:textId="77777777" w:rsidR="004C6634" w:rsidRPr="004C6634" w:rsidRDefault="004C6634" w:rsidP="004C6634">
            <w:r w:rsidRPr="004C6634">
              <w:t>FFCRA</w:t>
            </w:r>
          </w:p>
        </w:tc>
        <w:tc>
          <w:tcPr>
            <w:tcW w:w="7821" w:type="dxa"/>
          </w:tcPr>
          <w:p w14:paraId="1E7E2560"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 xml:space="preserve">Families First Coronavirus Response Act </w:t>
            </w:r>
          </w:p>
        </w:tc>
      </w:tr>
      <w:tr w:rsidR="004C6634" w:rsidRPr="004C6634" w14:paraId="5C362654"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2A994AF1" w14:textId="77777777" w:rsidR="004C6634" w:rsidRPr="004C6634" w:rsidRDefault="004C6634" w:rsidP="004C6634">
            <w:r w:rsidRPr="004C6634">
              <w:t>FFP</w:t>
            </w:r>
          </w:p>
        </w:tc>
        <w:tc>
          <w:tcPr>
            <w:tcW w:w="7821" w:type="dxa"/>
          </w:tcPr>
          <w:p w14:paraId="55DCC349"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Federal Financial Participation</w:t>
            </w:r>
          </w:p>
        </w:tc>
      </w:tr>
      <w:tr w:rsidR="004C6634" w:rsidRPr="004C6634" w14:paraId="31450897"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5F320AA4" w14:textId="77777777" w:rsidR="004C6634" w:rsidRPr="004C6634" w:rsidRDefault="004C6634" w:rsidP="004C6634">
            <w:r w:rsidRPr="004C6634">
              <w:t>FFS</w:t>
            </w:r>
          </w:p>
        </w:tc>
        <w:tc>
          <w:tcPr>
            <w:tcW w:w="7821" w:type="dxa"/>
          </w:tcPr>
          <w:p w14:paraId="1DCF2EBD"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Fee-For-Service</w:t>
            </w:r>
          </w:p>
        </w:tc>
      </w:tr>
      <w:tr w:rsidR="004C6634" w:rsidRPr="004C6634" w14:paraId="47F8DFB1"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42978D2F" w14:textId="77777777" w:rsidR="004C6634" w:rsidRPr="004C6634" w:rsidRDefault="004C6634" w:rsidP="004C6634">
            <w:r w:rsidRPr="004C6634">
              <w:t>FG</w:t>
            </w:r>
          </w:p>
        </w:tc>
        <w:tc>
          <w:tcPr>
            <w:tcW w:w="7821" w:type="dxa"/>
          </w:tcPr>
          <w:p w14:paraId="4B101572"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 xml:space="preserve">Focus Group </w:t>
            </w:r>
          </w:p>
        </w:tc>
      </w:tr>
      <w:tr w:rsidR="004C6634" w:rsidRPr="004C6634" w14:paraId="4559BA6A"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62130DF4" w14:textId="77777777" w:rsidR="004C6634" w:rsidRPr="004C6634" w:rsidRDefault="004C6634" w:rsidP="004C6634">
            <w:r w:rsidRPr="004C6634">
              <w:t>FMCH</w:t>
            </w:r>
          </w:p>
        </w:tc>
        <w:tc>
          <w:tcPr>
            <w:tcW w:w="7821" w:type="dxa"/>
          </w:tcPr>
          <w:p w14:paraId="100B3A43"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Family Medicine and Community Health</w:t>
            </w:r>
          </w:p>
        </w:tc>
      </w:tr>
      <w:tr w:rsidR="004C6634" w:rsidRPr="004C6634" w14:paraId="4892834A"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7B27F635" w14:textId="77777777" w:rsidR="004C6634" w:rsidRPr="004C6634" w:rsidRDefault="004C6634" w:rsidP="004C6634">
            <w:r w:rsidRPr="004C6634">
              <w:lastRenderedPageBreak/>
              <w:t>FNP</w:t>
            </w:r>
          </w:p>
        </w:tc>
        <w:tc>
          <w:tcPr>
            <w:tcW w:w="7821" w:type="dxa"/>
          </w:tcPr>
          <w:p w14:paraId="471D42A5"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Family Nurse Practitioner</w:t>
            </w:r>
          </w:p>
        </w:tc>
      </w:tr>
      <w:tr w:rsidR="004C6634" w:rsidRPr="004C6634" w14:paraId="2DEA641F"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37C3956F" w14:textId="77777777" w:rsidR="004C6634" w:rsidRPr="004C6634" w:rsidRDefault="004C6634" w:rsidP="004C6634">
            <w:r w:rsidRPr="004C6634">
              <w:t>FPL</w:t>
            </w:r>
          </w:p>
        </w:tc>
        <w:tc>
          <w:tcPr>
            <w:tcW w:w="7821" w:type="dxa"/>
          </w:tcPr>
          <w:p w14:paraId="65489E36"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Federal Poverty Level</w:t>
            </w:r>
          </w:p>
        </w:tc>
      </w:tr>
      <w:tr w:rsidR="004C6634" w:rsidRPr="004C6634" w14:paraId="0EE44B28"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140FBF53" w14:textId="77777777" w:rsidR="004C6634" w:rsidRPr="004C6634" w:rsidRDefault="004C6634" w:rsidP="004C6634">
            <w:r w:rsidRPr="004C6634">
              <w:t>FSP</w:t>
            </w:r>
          </w:p>
        </w:tc>
        <w:tc>
          <w:tcPr>
            <w:tcW w:w="7821" w:type="dxa"/>
          </w:tcPr>
          <w:p w14:paraId="3B2B8043"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Flexible Service Program</w:t>
            </w:r>
          </w:p>
        </w:tc>
      </w:tr>
      <w:tr w:rsidR="004C6634" w:rsidRPr="004C6634" w14:paraId="7B407CC5"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6723F593" w14:textId="77777777" w:rsidR="004C6634" w:rsidRPr="004C6634" w:rsidRDefault="004C6634" w:rsidP="004C6634">
            <w:r w:rsidRPr="004C6634">
              <w:t>FUA-AD</w:t>
            </w:r>
          </w:p>
        </w:tc>
        <w:tc>
          <w:tcPr>
            <w:tcW w:w="7821" w:type="dxa"/>
          </w:tcPr>
          <w:p w14:paraId="69910382" w14:textId="7BB099CB"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 xml:space="preserve">Follow-Up After Emergency Department Visit for Alcohol and </w:t>
            </w:r>
            <w:r w:rsidR="004219E6">
              <w:t>O</w:t>
            </w:r>
            <w:r w:rsidRPr="004C6634">
              <w:t>ther Drug Abuse or Dependence</w:t>
            </w:r>
          </w:p>
        </w:tc>
      </w:tr>
      <w:tr w:rsidR="004C6634" w:rsidRPr="004C6634" w14:paraId="505C5D18"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73FF9D01" w14:textId="77777777" w:rsidR="004C6634" w:rsidRPr="004C6634" w:rsidRDefault="004C6634" w:rsidP="004C6634">
            <w:r w:rsidRPr="004C6634">
              <w:t>FUA-CH</w:t>
            </w:r>
          </w:p>
        </w:tc>
        <w:tc>
          <w:tcPr>
            <w:tcW w:w="7821" w:type="dxa"/>
          </w:tcPr>
          <w:p w14:paraId="303730EA"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Follow-Up After Emergency Department Visit for Substance Use: Ages 13 to 17</w:t>
            </w:r>
          </w:p>
        </w:tc>
      </w:tr>
      <w:tr w:rsidR="004C6634" w:rsidRPr="004C6634" w14:paraId="7EC0EFEC"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026C44A1" w14:textId="77777777" w:rsidR="004C6634" w:rsidRPr="004C6634" w:rsidRDefault="004C6634" w:rsidP="004C6634">
            <w:r w:rsidRPr="004C6634">
              <w:t>FUH-AD</w:t>
            </w:r>
          </w:p>
        </w:tc>
        <w:tc>
          <w:tcPr>
            <w:tcW w:w="7821" w:type="dxa"/>
          </w:tcPr>
          <w:p w14:paraId="0E917EFA" w14:textId="499B8634"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 xml:space="preserve">Follow-up </w:t>
            </w:r>
            <w:r w:rsidR="004219E6">
              <w:t>A</w:t>
            </w:r>
            <w:r w:rsidRPr="004C6634">
              <w:t xml:space="preserve">fter Hospitalization for Mental Illness </w:t>
            </w:r>
          </w:p>
        </w:tc>
      </w:tr>
      <w:tr w:rsidR="004C6634" w:rsidRPr="004C6634" w14:paraId="5844B881"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4AC11CEE" w14:textId="77777777" w:rsidR="004C6634" w:rsidRPr="004C6634" w:rsidRDefault="004C6634" w:rsidP="004C6634">
            <w:r w:rsidRPr="004C6634">
              <w:t>FY</w:t>
            </w:r>
          </w:p>
        </w:tc>
        <w:tc>
          <w:tcPr>
            <w:tcW w:w="7821" w:type="dxa"/>
          </w:tcPr>
          <w:p w14:paraId="6D7FBB63"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 xml:space="preserve">Fiscal Year </w:t>
            </w:r>
          </w:p>
        </w:tc>
      </w:tr>
      <w:tr w:rsidR="004C6634" w:rsidRPr="004C6634" w14:paraId="7F2B8EF3"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5F670A4C" w14:textId="77777777" w:rsidR="004C6634" w:rsidRPr="004C6634" w:rsidRDefault="004C6634" w:rsidP="004C6634">
            <w:r w:rsidRPr="004C6634">
              <w:t>HCAHPS</w:t>
            </w:r>
          </w:p>
        </w:tc>
        <w:tc>
          <w:tcPr>
            <w:tcW w:w="7821" w:type="dxa"/>
          </w:tcPr>
          <w:p w14:paraId="0F02F2DC"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Hospital Consumer Assessment of Healthcare Providers and Systems</w:t>
            </w:r>
          </w:p>
        </w:tc>
      </w:tr>
      <w:tr w:rsidR="002E37A8" w:rsidRPr="004C6634" w14:paraId="489628D8"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736076CC" w14:textId="177AF001" w:rsidR="002E37A8" w:rsidRPr="004C6634" w:rsidRDefault="007B7F7E" w:rsidP="004C6634">
            <w:r>
              <w:t>HCUP</w:t>
            </w:r>
          </w:p>
        </w:tc>
        <w:tc>
          <w:tcPr>
            <w:tcW w:w="7821" w:type="dxa"/>
          </w:tcPr>
          <w:p w14:paraId="56BA6A8B" w14:textId="36A014B1" w:rsidR="002E37A8" w:rsidRPr="004C6634" w:rsidRDefault="002E37A8" w:rsidP="004C6634">
            <w:pPr>
              <w:cnfStyle w:val="000000000000" w:firstRow="0" w:lastRow="0" w:firstColumn="0" w:lastColumn="0" w:oddVBand="0" w:evenVBand="0" w:oddHBand="0" w:evenHBand="0" w:firstRowFirstColumn="0" w:firstRowLastColumn="0" w:lastRowFirstColumn="0" w:lastRowLastColumn="0"/>
            </w:pPr>
            <w:r>
              <w:t>Hospital Cost and Utilization Project</w:t>
            </w:r>
          </w:p>
        </w:tc>
      </w:tr>
      <w:tr w:rsidR="004C6634" w:rsidRPr="004C6634" w14:paraId="2E2DE528"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451806D9" w14:textId="77777777" w:rsidR="004C6634" w:rsidRPr="004C6634" w:rsidRDefault="004C6634" w:rsidP="004C6634">
            <w:r w:rsidRPr="004C6634">
              <w:t xml:space="preserve">HIX </w:t>
            </w:r>
          </w:p>
        </w:tc>
        <w:tc>
          <w:tcPr>
            <w:tcW w:w="7821" w:type="dxa"/>
          </w:tcPr>
          <w:p w14:paraId="45CB955D"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Health Insurance Exchange</w:t>
            </w:r>
          </w:p>
        </w:tc>
      </w:tr>
      <w:tr w:rsidR="004C6634" w:rsidRPr="004C6634" w14:paraId="0D7CF1ED"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31BCF73D" w14:textId="77777777" w:rsidR="004C6634" w:rsidRPr="004C6634" w:rsidRDefault="004C6634" w:rsidP="004C6634">
            <w:r w:rsidRPr="004C6634">
              <w:t>HPC</w:t>
            </w:r>
          </w:p>
        </w:tc>
        <w:tc>
          <w:tcPr>
            <w:tcW w:w="7821" w:type="dxa"/>
          </w:tcPr>
          <w:p w14:paraId="3965B27B"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Health Policy Commission</w:t>
            </w:r>
          </w:p>
        </w:tc>
      </w:tr>
      <w:tr w:rsidR="004C6634" w:rsidRPr="004C6634" w14:paraId="49262698"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0D59D164" w14:textId="77777777" w:rsidR="004C6634" w:rsidRPr="004C6634" w:rsidRDefault="004C6634" w:rsidP="004C6634">
            <w:r w:rsidRPr="004C6634">
              <w:t>HQEI</w:t>
            </w:r>
          </w:p>
        </w:tc>
        <w:tc>
          <w:tcPr>
            <w:tcW w:w="7821" w:type="dxa"/>
          </w:tcPr>
          <w:p w14:paraId="49C296F6"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Hospital Quality and Equity Initiative</w:t>
            </w:r>
          </w:p>
        </w:tc>
      </w:tr>
      <w:tr w:rsidR="004C6634" w:rsidRPr="004C6634" w14:paraId="710B9618"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57A37D25" w14:textId="77777777" w:rsidR="004C6634" w:rsidRPr="004C6634" w:rsidRDefault="004C6634" w:rsidP="004C6634">
            <w:r w:rsidRPr="004C6634">
              <w:t>HRSN</w:t>
            </w:r>
          </w:p>
        </w:tc>
        <w:tc>
          <w:tcPr>
            <w:tcW w:w="7821" w:type="dxa"/>
          </w:tcPr>
          <w:p w14:paraId="3604CBCF"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Health-Related Social Needs</w:t>
            </w:r>
          </w:p>
        </w:tc>
      </w:tr>
      <w:tr w:rsidR="004C6634" w:rsidRPr="004C6634" w14:paraId="7B83EC4D"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648A0503" w14:textId="77777777" w:rsidR="004C6634" w:rsidRPr="004C6634" w:rsidRDefault="004C6634" w:rsidP="004C6634">
            <w:r w:rsidRPr="004C6634">
              <w:t>HSN</w:t>
            </w:r>
          </w:p>
        </w:tc>
        <w:tc>
          <w:tcPr>
            <w:tcW w:w="7821" w:type="dxa"/>
          </w:tcPr>
          <w:p w14:paraId="1DEF2C51"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Health Safety Net</w:t>
            </w:r>
          </w:p>
        </w:tc>
      </w:tr>
      <w:tr w:rsidR="004C6634" w:rsidRPr="004C6634" w14:paraId="42FAE6B8"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0F0D2DC0" w14:textId="77777777" w:rsidR="004C6634" w:rsidRPr="004C6634" w:rsidRDefault="004C6634" w:rsidP="004C6634">
            <w:r w:rsidRPr="004C6634">
              <w:t>ICC</w:t>
            </w:r>
          </w:p>
        </w:tc>
        <w:tc>
          <w:tcPr>
            <w:tcW w:w="7821" w:type="dxa"/>
          </w:tcPr>
          <w:p w14:paraId="07A0E842"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Intensive Care Coordination</w:t>
            </w:r>
          </w:p>
        </w:tc>
      </w:tr>
      <w:tr w:rsidR="004C6634" w:rsidRPr="004C6634" w14:paraId="002C9C8A"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2E720A45" w14:textId="77777777" w:rsidR="004C6634" w:rsidRPr="004C6634" w:rsidRDefault="004C6634" w:rsidP="004C6634">
            <w:r w:rsidRPr="004C6634">
              <w:t xml:space="preserve">ICD </w:t>
            </w:r>
          </w:p>
        </w:tc>
        <w:tc>
          <w:tcPr>
            <w:tcW w:w="7821" w:type="dxa"/>
          </w:tcPr>
          <w:p w14:paraId="6800C258"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International Classification of Diseases</w:t>
            </w:r>
          </w:p>
        </w:tc>
      </w:tr>
      <w:tr w:rsidR="004C6634" w:rsidRPr="004C6634" w14:paraId="3601F7F1"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4A7E0331" w14:textId="77777777" w:rsidR="004C6634" w:rsidRPr="004C6634" w:rsidRDefault="004C6634" w:rsidP="004C6634">
            <w:r w:rsidRPr="004C6634">
              <w:t>IE</w:t>
            </w:r>
          </w:p>
        </w:tc>
        <w:tc>
          <w:tcPr>
            <w:tcW w:w="7821" w:type="dxa"/>
          </w:tcPr>
          <w:p w14:paraId="5F4D5D52"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Independent Evaluator</w:t>
            </w:r>
          </w:p>
        </w:tc>
      </w:tr>
      <w:tr w:rsidR="004C6634" w:rsidRPr="004C6634" w14:paraId="6BCAF15C"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0491BAA3" w14:textId="77777777" w:rsidR="004C6634" w:rsidRPr="004C6634" w:rsidRDefault="004C6634" w:rsidP="004C6634">
            <w:r w:rsidRPr="004C6634">
              <w:t>IEIR</w:t>
            </w:r>
          </w:p>
        </w:tc>
        <w:tc>
          <w:tcPr>
            <w:tcW w:w="7821" w:type="dxa"/>
          </w:tcPr>
          <w:p w14:paraId="65B1A9C6"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Independent Evaluation Interim Report</w:t>
            </w:r>
          </w:p>
        </w:tc>
      </w:tr>
      <w:tr w:rsidR="004C6634" w:rsidRPr="004C6634" w14:paraId="572E0B08"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639A4DDB" w14:textId="77777777" w:rsidR="004C6634" w:rsidRPr="004C6634" w:rsidRDefault="004C6634" w:rsidP="004C6634">
            <w:r w:rsidRPr="004C6634">
              <w:t>IET</w:t>
            </w:r>
          </w:p>
        </w:tc>
        <w:tc>
          <w:tcPr>
            <w:tcW w:w="7821" w:type="dxa"/>
          </w:tcPr>
          <w:p w14:paraId="31A9B914" w14:textId="2833E719"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 xml:space="preserve">Initiation and </w:t>
            </w:r>
            <w:r w:rsidR="004219E6">
              <w:t>E</w:t>
            </w:r>
            <w:r w:rsidRPr="004C6634">
              <w:t xml:space="preserve">ngagement of </w:t>
            </w:r>
            <w:r w:rsidR="004219E6">
              <w:t>A</w:t>
            </w:r>
            <w:r w:rsidRPr="004C6634">
              <w:t xml:space="preserve">lcohol and </w:t>
            </w:r>
            <w:r w:rsidR="004219E6">
              <w:t>O</w:t>
            </w:r>
            <w:r w:rsidRPr="004C6634">
              <w:t xml:space="preserve">ther </w:t>
            </w:r>
            <w:r w:rsidR="004219E6">
              <w:t>D</w:t>
            </w:r>
            <w:r w:rsidRPr="004C6634">
              <w:t xml:space="preserve">rug </w:t>
            </w:r>
            <w:r w:rsidR="004219E6">
              <w:t>D</w:t>
            </w:r>
            <w:r w:rsidRPr="004C6634">
              <w:t xml:space="preserve">ependence </w:t>
            </w:r>
            <w:r w:rsidR="004219E6">
              <w:t>T</w:t>
            </w:r>
            <w:r w:rsidRPr="004C6634">
              <w:t>reatment</w:t>
            </w:r>
          </w:p>
        </w:tc>
      </w:tr>
      <w:tr w:rsidR="004C6634" w:rsidRPr="004C6634" w14:paraId="6220C1D0"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1C6A18C9" w14:textId="77777777" w:rsidR="004C6634" w:rsidRPr="004C6634" w:rsidRDefault="004C6634" w:rsidP="004C6634">
            <w:r w:rsidRPr="004C6634">
              <w:t>ILC</w:t>
            </w:r>
          </w:p>
        </w:tc>
        <w:tc>
          <w:tcPr>
            <w:tcW w:w="7821" w:type="dxa"/>
          </w:tcPr>
          <w:p w14:paraId="2D45998F"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Independent Living Center</w:t>
            </w:r>
          </w:p>
        </w:tc>
      </w:tr>
      <w:tr w:rsidR="004C6634" w:rsidRPr="004C6634" w14:paraId="6ED6BDBB"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1DB8319D" w14:textId="77777777" w:rsidR="004C6634" w:rsidRPr="004C6634" w:rsidRDefault="004C6634" w:rsidP="004C6634">
            <w:r w:rsidRPr="004C6634">
              <w:t>IMD</w:t>
            </w:r>
          </w:p>
        </w:tc>
        <w:tc>
          <w:tcPr>
            <w:tcW w:w="7821" w:type="dxa"/>
          </w:tcPr>
          <w:p w14:paraId="3E5420D6"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Institution for Mental Diseases</w:t>
            </w:r>
          </w:p>
        </w:tc>
      </w:tr>
      <w:tr w:rsidR="004C6634" w:rsidRPr="004C6634" w14:paraId="0C564899"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120EF8C7" w14:textId="77777777" w:rsidR="004C6634" w:rsidRPr="004C6634" w:rsidRDefault="004C6634" w:rsidP="004C6634">
            <w:r w:rsidRPr="004C6634">
              <w:t>ISA</w:t>
            </w:r>
          </w:p>
        </w:tc>
        <w:tc>
          <w:tcPr>
            <w:tcW w:w="7821" w:type="dxa"/>
          </w:tcPr>
          <w:p w14:paraId="636A9DB1"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Interdepartmental Service Agreement</w:t>
            </w:r>
          </w:p>
        </w:tc>
      </w:tr>
      <w:tr w:rsidR="004C6634" w:rsidRPr="004C6634" w14:paraId="32AFBB7F"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3BB973A9" w14:textId="77777777" w:rsidR="004C6634" w:rsidRPr="004C6634" w:rsidRDefault="004C6634" w:rsidP="004C6634">
            <w:r w:rsidRPr="004C6634">
              <w:t>ITS</w:t>
            </w:r>
          </w:p>
        </w:tc>
        <w:tc>
          <w:tcPr>
            <w:tcW w:w="7821" w:type="dxa"/>
          </w:tcPr>
          <w:p w14:paraId="5496E83E"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Interrupted Time Series</w:t>
            </w:r>
          </w:p>
        </w:tc>
      </w:tr>
      <w:tr w:rsidR="004C6634" w:rsidRPr="004C6634" w14:paraId="4B5B5053"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2B6C6D7B" w14:textId="77777777" w:rsidR="004C6634" w:rsidRPr="004C6634" w:rsidRDefault="004C6634" w:rsidP="004C6634">
            <w:r w:rsidRPr="004C6634">
              <w:t>KII</w:t>
            </w:r>
          </w:p>
        </w:tc>
        <w:tc>
          <w:tcPr>
            <w:tcW w:w="7821" w:type="dxa"/>
          </w:tcPr>
          <w:p w14:paraId="79B0C054"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Key Informant Interview</w:t>
            </w:r>
          </w:p>
        </w:tc>
      </w:tr>
      <w:tr w:rsidR="004C6634" w:rsidRPr="004C6634" w14:paraId="3E00881D"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05564F9A" w14:textId="77777777" w:rsidR="004C6634" w:rsidRPr="004C6634" w:rsidRDefault="004C6634" w:rsidP="004C6634">
            <w:r w:rsidRPr="004C6634">
              <w:t>LOS</w:t>
            </w:r>
          </w:p>
        </w:tc>
        <w:tc>
          <w:tcPr>
            <w:tcW w:w="7821" w:type="dxa"/>
          </w:tcPr>
          <w:p w14:paraId="5B386943" w14:textId="62296B6A"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 xml:space="preserve">Length of Stay </w:t>
            </w:r>
          </w:p>
        </w:tc>
      </w:tr>
      <w:tr w:rsidR="004C6634" w:rsidRPr="004C6634" w14:paraId="685DB729"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7525AEB5" w14:textId="77777777" w:rsidR="004C6634" w:rsidRPr="004C6634" w:rsidRDefault="004C6634" w:rsidP="004C6634">
            <w:r w:rsidRPr="004C6634">
              <w:t>LTSS</w:t>
            </w:r>
          </w:p>
        </w:tc>
        <w:tc>
          <w:tcPr>
            <w:tcW w:w="7821" w:type="dxa"/>
          </w:tcPr>
          <w:p w14:paraId="41AC4147" w14:textId="466EB770"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Long</w:t>
            </w:r>
            <w:r w:rsidR="006C307A">
              <w:t>-</w:t>
            </w:r>
            <w:r w:rsidRPr="004C6634">
              <w:t xml:space="preserve">Term Services and Supports </w:t>
            </w:r>
          </w:p>
        </w:tc>
      </w:tr>
      <w:tr w:rsidR="004C6634" w:rsidRPr="004C6634" w14:paraId="5633710B"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287DA149" w14:textId="77777777" w:rsidR="004C6634" w:rsidRPr="004C6634" w:rsidRDefault="004C6634" w:rsidP="004C6634">
            <w:r w:rsidRPr="004C6634">
              <w:t>MA</w:t>
            </w:r>
          </w:p>
        </w:tc>
        <w:tc>
          <w:tcPr>
            <w:tcW w:w="7821" w:type="dxa"/>
          </w:tcPr>
          <w:p w14:paraId="76A1434F" w14:textId="04373340"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Medical Assistant</w:t>
            </w:r>
          </w:p>
        </w:tc>
      </w:tr>
      <w:tr w:rsidR="004C6634" w:rsidRPr="004C6634" w14:paraId="1C6574FF"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52EE2A03" w14:textId="77777777" w:rsidR="004C6634" w:rsidRPr="004C6634" w:rsidRDefault="004C6634" w:rsidP="004C6634">
            <w:r w:rsidRPr="004C6634">
              <w:t>MA-APCD</w:t>
            </w:r>
          </w:p>
        </w:tc>
        <w:tc>
          <w:tcPr>
            <w:tcW w:w="7821" w:type="dxa"/>
          </w:tcPr>
          <w:p w14:paraId="15CE9573" w14:textId="210B2ED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Massachusetts All-Payer Claims Database</w:t>
            </w:r>
          </w:p>
        </w:tc>
      </w:tr>
      <w:tr w:rsidR="004C6634" w:rsidRPr="004C6634" w14:paraId="7A859C24"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3808783B" w14:textId="77777777" w:rsidR="004C6634" w:rsidRPr="004C6634" w:rsidRDefault="004C6634" w:rsidP="004C6634">
            <w:r w:rsidRPr="004C6634">
              <w:t>MAGI</w:t>
            </w:r>
          </w:p>
        </w:tc>
        <w:tc>
          <w:tcPr>
            <w:tcW w:w="7821" w:type="dxa"/>
          </w:tcPr>
          <w:p w14:paraId="37F937E4"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Modified Adjusted Gross Income</w:t>
            </w:r>
          </w:p>
        </w:tc>
      </w:tr>
      <w:tr w:rsidR="004C6634" w:rsidRPr="004C6634" w14:paraId="6D86B05E"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6D11CC33" w14:textId="77777777" w:rsidR="004C6634" w:rsidRPr="004C6634" w:rsidRDefault="004C6634" w:rsidP="004C6634">
            <w:r w:rsidRPr="004C6634">
              <w:lastRenderedPageBreak/>
              <w:t>MAT</w:t>
            </w:r>
          </w:p>
        </w:tc>
        <w:tc>
          <w:tcPr>
            <w:tcW w:w="7821" w:type="dxa"/>
          </w:tcPr>
          <w:p w14:paraId="5ED3AB00" w14:textId="5F197255"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Medication for Addiction Treatment</w:t>
            </w:r>
          </w:p>
        </w:tc>
      </w:tr>
      <w:tr w:rsidR="004C6634" w:rsidRPr="004C6634" w14:paraId="6C392782"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2624DA47" w14:textId="77777777" w:rsidR="004C6634" w:rsidRPr="004C6634" w:rsidRDefault="004C6634" w:rsidP="004C6634">
            <w:r w:rsidRPr="004C6634">
              <w:t>MCO</w:t>
            </w:r>
          </w:p>
        </w:tc>
        <w:tc>
          <w:tcPr>
            <w:tcW w:w="7821" w:type="dxa"/>
          </w:tcPr>
          <w:p w14:paraId="6ED6A657"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Managed Care Organization</w:t>
            </w:r>
          </w:p>
        </w:tc>
      </w:tr>
      <w:tr w:rsidR="004C6634" w:rsidRPr="004C6634" w14:paraId="64AC9744"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25D1C2C7" w14:textId="77777777" w:rsidR="004C6634" w:rsidRPr="004C6634" w:rsidRDefault="004C6634" w:rsidP="004C6634">
            <w:r w:rsidRPr="004C6634">
              <w:t>MD</w:t>
            </w:r>
          </w:p>
        </w:tc>
        <w:tc>
          <w:tcPr>
            <w:tcW w:w="7821" w:type="dxa"/>
          </w:tcPr>
          <w:p w14:paraId="7B2A205C"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Medical Doctor</w:t>
            </w:r>
          </w:p>
        </w:tc>
      </w:tr>
      <w:tr w:rsidR="004C6634" w:rsidRPr="004C6634" w14:paraId="70773A19"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21086AE4" w14:textId="77777777" w:rsidR="004C6634" w:rsidRPr="004C6634" w:rsidRDefault="004C6634" w:rsidP="004C6634">
            <w:r w:rsidRPr="004C6634">
              <w:t>MES</w:t>
            </w:r>
          </w:p>
        </w:tc>
        <w:tc>
          <w:tcPr>
            <w:tcW w:w="7821" w:type="dxa"/>
          </w:tcPr>
          <w:p w14:paraId="5AF96D0A"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Member Experience Survey</w:t>
            </w:r>
          </w:p>
        </w:tc>
      </w:tr>
      <w:tr w:rsidR="004C6634" w:rsidRPr="004C6634" w14:paraId="37BEF4D9"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7AAF1187" w14:textId="77777777" w:rsidR="004C6634" w:rsidRPr="004C6634" w:rsidRDefault="004C6634" w:rsidP="004C6634">
            <w:r w:rsidRPr="004C6634">
              <w:t>MHQP</w:t>
            </w:r>
          </w:p>
        </w:tc>
        <w:tc>
          <w:tcPr>
            <w:tcW w:w="7821" w:type="dxa"/>
          </w:tcPr>
          <w:p w14:paraId="29404F98"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 xml:space="preserve">Massachusetts Health Quality Partners </w:t>
            </w:r>
          </w:p>
        </w:tc>
      </w:tr>
      <w:tr w:rsidR="004C6634" w:rsidRPr="004C6634" w14:paraId="61DFC982"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0FE5930E" w14:textId="77777777" w:rsidR="004C6634" w:rsidRPr="004C6634" w:rsidRDefault="004C6634" w:rsidP="004C6634">
            <w:r w:rsidRPr="004C6634">
              <w:t>MMIS</w:t>
            </w:r>
          </w:p>
        </w:tc>
        <w:tc>
          <w:tcPr>
            <w:tcW w:w="7821" w:type="dxa"/>
          </w:tcPr>
          <w:p w14:paraId="75473DE6"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MassHealth Medicaid Management Information System</w:t>
            </w:r>
          </w:p>
        </w:tc>
      </w:tr>
      <w:tr w:rsidR="004C6634" w:rsidRPr="004C6634" w14:paraId="4010D65F"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36326DD9" w14:textId="77777777" w:rsidR="004C6634" w:rsidRPr="004C6634" w:rsidRDefault="004C6634" w:rsidP="004C6634">
            <w:r w:rsidRPr="004C6634">
              <w:t>MOUD</w:t>
            </w:r>
          </w:p>
        </w:tc>
        <w:tc>
          <w:tcPr>
            <w:tcW w:w="7821" w:type="dxa"/>
          </w:tcPr>
          <w:p w14:paraId="47ACF965"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 xml:space="preserve">Medication for Opioid Use Disorder </w:t>
            </w:r>
          </w:p>
        </w:tc>
      </w:tr>
      <w:tr w:rsidR="004C6634" w:rsidRPr="004C6634" w14:paraId="0007237D"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5D248268" w14:textId="77777777" w:rsidR="004C6634" w:rsidRPr="004C6634" w:rsidRDefault="004C6634" w:rsidP="004C6634">
            <w:r w:rsidRPr="004C6634">
              <w:t>MSP</w:t>
            </w:r>
          </w:p>
        </w:tc>
        <w:tc>
          <w:tcPr>
            <w:tcW w:w="7821" w:type="dxa"/>
          </w:tcPr>
          <w:p w14:paraId="5CABA69F"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Medicare Savings Program</w:t>
            </w:r>
          </w:p>
        </w:tc>
      </w:tr>
      <w:tr w:rsidR="004C6634" w:rsidRPr="004C6634" w14:paraId="130F7574"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42779216" w14:textId="77777777" w:rsidR="004C6634" w:rsidRPr="004C6634" w:rsidRDefault="004C6634" w:rsidP="004C6634">
            <w:r w:rsidRPr="004C6634">
              <w:t>NCQA</w:t>
            </w:r>
          </w:p>
        </w:tc>
        <w:tc>
          <w:tcPr>
            <w:tcW w:w="7821" w:type="dxa"/>
          </w:tcPr>
          <w:p w14:paraId="002C3B99" w14:textId="08776D9B"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 xml:space="preserve">National Committee </w:t>
            </w:r>
            <w:r w:rsidR="0042229C">
              <w:t xml:space="preserve">for </w:t>
            </w:r>
            <w:r w:rsidRPr="004C6634">
              <w:t>Quality Assurance</w:t>
            </w:r>
          </w:p>
        </w:tc>
      </w:tr>
      <w:tr w:rsidR="004C6634" w:rsidRPr="004C6634" w14:paraId="7A4AB034"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11F04CF3" w14:textId="77777777" w:rsidR="004C6634" w:rsidRPr="004C6634" w:rsidRDefault="004C6634" w:rsidP="004C6634">
            <w:r w:rsidRPr="004C6634">
              <w:t>NIMH</w:t>
            </w:r>
          </w:p>
        </w:tc>
        <w:tc>
          <w:tcPr>
            <w:tcW w:w="7821" w:type="dxa"/>
          </w:tcPr>
          <w:p w14:paraId="4AC4D0FB"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 xml:space="preserve">National Institute of Mental Health </w:t>
            </w:r>
          </w:p>
        </w:tc>
      </w:tr>
      <w:tr w:rsidR="004C6634" w:rsidRPr="004C6634" w14:paraId="09144887"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2CB11C84" w14:textId="77777777" w:rsidR="004C6634" w:rsidRPr="004C6634" w:rsidRDefault="004C6634" w:rsidP="004C6634">
            <w:r w:rsidRPr="004C6634">
              <w:t>NP</w:t>
            </w:r>
          </w:p>
        </w:tc>
        <w:tc>
          <w:tcPr>
            <w:tcW w:w="7821" w:type="dxa"/>
          </w:tcPr>
          <w:p w14:paraId="219FC34E" w14:textId="77777777" w:rsidR="004C6634" w:rsidRPr="004C6634" w:rsidRDefault="004C6634" w:rsidP="004C6634">
            <w:pPr>
              <w:cnfStyle w:val="000000000000" w:firstRow="0" w:lastRow="0" w:firstColumn="0" w:lastColumn="0" w:oddVBand="0" w:evenVBand="0" w:oddHBand="0" w:evenHBand="0" w:firstRowFirstColumn="0" w:firstRowLastColumn="0" w:lastRowFirstColumn="0" w:lastRowLastColumn="0"/>
            </w:pPr>
            <w:r w:rsidRPr="004C6634">
              <w:t>Nurse Practitioner</w:t>
            </w:r>
          </w:p>
        </w:tc>
      </w:tr>
      <w:tr w:rsidR="00D75D4C" w:rsidRPr="004C6634" w14:paraId="4E192EC7"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656DC0F7" w14:textId="7705D52F" w:rsidR="00D75D4C" w:rsidRPr="0009132C" w:rsidRDefault="00D75D4C" w:rsidP="00D75D4C">
            <w:r w:rsidRPr="004C6634">
              <w:t>NQF</w:t>
            </w:r>
          </w:p>
        </w:tc>
        <w:tc>
          <w:tcPr>
            <w:tcW w:w="7821" w:type="dxa"/>
          </w:tcPr>
          <w:p w14:paraId="3E90A510" w14:textId="35D05BA5" w:rsidR="00D75D4C" w:rsidRPr="0009132C" w:rsidRDefault="00D75D4C" w:rsidP="00D75D4C">
            <w:pPr>
              <w:cnfStyle w:val="000000000000" w:firstRow="0" w:lastRow="0" w:firstColumn="0" w:lastColumn="0" w:oddVBand="0" w:evenVBand="0" w:oddHBand="0" w:evenHBand="0" w:firstRowFirstColumn="0" w:firstRowLastColumn="0" w:lastRowFirstColumn="0" w:lastRowLastColumn="0"/>
            </w:pPr>
            <w:r w:rsidRPr="004C6634">
              <w:t>National Quality Forum</w:t>
            </w:r>
          </w:p>
        </w:tc>
      </w:tr>
      <w:tr w:rsidR="00D75D4C" w:rsidRPr="004C6634" w14:paraId="4BDB191F"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486D5784" w14:textId="60F2A184" w:rsidR="00D75D4C" w:rsidRPr="004C6634" w:rsidRDefault="00D75D4C" w:rsidP="00D75D4C">
            <w:r w:rsidRPr="0009132C">
              <w:t>NSDUH</w:t>
            </w:r>
          </w:p>
        </w:tc>
        <w:tc>
          <w:tcPr>
            <w:tcW w:w="7821" w:type="dxa"/>
          </w:tcPr>
          <w:p w14:paraId="25C32E7C" w14:textId="51401063" w:rsidR="00D75D4C" w:rsidRPr="004C6634" w:rsidRDefault="00D75D4C" w:rsidP="00D75D4C">
            <w:pPr>
              <w:cnfStyle w:val="000000000000" w:firstRow="0" w:lastRow="0" w:firstColumn="0" w:lastColumn="0" w:oddVBand="0" w:evenVBand="0" w:oddHBand="0" w:evenHBand="0" w:firstRowFirstColumn="0" w:firstRowLastColumn="0" w:lastRowFirstColumn="0" w:lastRowLastColumn="0"/>
            </w:pPr>
            <w:r w:rsidRPr="0009132C">
              <w:t>National Survey on Drug Use and Health</w:t>
            </w:r>
          </w:p>
        </w:tc>
      </w:tr>
      <w:tr w:rsidR="00D75D4C" w:rsidRPr="004C6634" w14:paraId="487B22D3"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2C7BF70A" w14:textId="77777777" w:rsidR="00D75D4C" w:rsidRPr="004C6634" w:rsidRDefault="3E68E718" w:rsidP="00D75D4C">
            <w:r>
              <w:t>NSS</w:t>
            </w:r>
          </w:p>
        </w:tc>
        <w:tc>
          <w:tcPr>
            <w:tcW w:w="7821" w:type="dxa"/>
          </w:tcPr>
          <w:p w14:paraId="2AC0FB73" w14:textId="418993CF" w:rsidR="00D75D4C" w:rsidRPr="004C6634" w:rsidRDefault="61B6B060" w:rsidP="00D75D4C">
            <w:pPr>
              <w:cnfStyle w:val="000000000000" w:firstRow="0" w:lastRow="0" w:firstColumn="0" w:lastColumn="0" w:oddVBand="0" w:evenVBand="0" w:oddHBand="0" w:evenHBand="0" w:firstRowFirstColumn="0" w:firstRowLastColumn="0" w:lastRowFirstColumn="0" w:lastRowLastColumn="0"/>
            </w:pPr>
            <w:r>
              <w:t>Neighborhood Stress Score</w:t>
            </w:r>
          </w:p>
        </w:tc>
      </w:tr>
      <w:tr w:rsidR="00D75D4C" w:rsidRPr="004C6634" w14:paraId="34F9B73D"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36F3CD66" w14:textId="20B2EEFB" w:rsidR="00D75D4C" w:rsidRPr="004C6634" w:rsidRDefault="00D75D4C" w:rsidP="00D75D4C">
            <w:r w:rsidRPr="004C6634">
              <w:t>O-E</w:t>
            </w:r>
            <w:r w:rsidR="00CA1456">
              <w:t xml:space="preserve"> </w:t>
            </w:r>
            <w:r w:rsidRPr="004C6634">
              <w:t>ratio</w:t>
            </w:r>
          </w:p>
        </w:tc>
        <w:tc>
          <w:tcPr>
            <w:tcW w:w="7821" w:type="dxa"/>
          </w:tcPr>
          <w:p w14:paraId="421B863D" w14:textId="53A361D6" w:rsidR="00D75D4C" w:rsidRPr="004C6634" w:rsidRDefault="00D75D4C" w:rsidP="00D75D4C">
            <w:pPr>
              <w:cnfStyle w:val="000000000000" w:firstRow="0" w:lastRow="0" w:firstColumn="0" w:lastColumn="0" w:oddVBand="0" w:evenVBand="0" w:oddHBand="0" w:evenHBand="0" w:firstRowFirstColumn="0" w:firstRowLastColumn="0" w:lastRowFirstColumn="0" w:lastRowLastColumn="0"/>
            </w:pPr>
            <w:r w:rsidRPr="004C6634">
              <w:t>Observed-to-Expected Ratio</w:t>
            </w:r>
          </w:p>
        </w:tc>
      </w:tr>
      <w:tr w:rsidR="00D75D4C" w:rsidRPr="004C6634" w14:paraId="20249618"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6AF77A45" w14:textId="77777777" w:rsidR="00D75D4C" w:rsidRPr="004C6634" w:rsidRDefault="00D75D4C" w:rsidP="00D75D4C">
            <w:r w:rsidRPr="004C6634">
              <w:t>OUD</w:t>
            </w:r>
          </w:p>
        </w:tc>
        <w:tc>
          <w:tcPr>
            <w:tcW w:w="7821" w:type="dxa"/>
          </w:tcPr>
          <w:p w14:paraId="331AA479" w14:textId="77777777" w:rsidR="00D75D4C" w:rsidRPr="004C6634" w:rsidRDefault="00D75D4C" w:rsidP="00D75D4C">
            <w:pPr>
              <w:cnfStyle w:val="000000000000" w:firstRow="0" w:lastRow="0" w:firstColumn="0" w:lastColumn="0" w:oddVBand="0" w:evenVBand="0" w:oddHBand="0" w:evenHBand="0" w:firstRowFirstColumn="0" w:firstRowLastColumn="0" w:lastRowFirstColumn="0" w:lastRowLastColumn="0"/>
            </w:pPr>
            <w:r w:rsidRPr="004C6634">
              <w:t>Opioid Use Disorder</w:t>
            </w:r>
          </w:p>
        </w:tc>
      </w:tr>
      <w:tr w:rsidR="00D75D4C" w:rsidRPr="004C6634" w14:paraId="3169BB9E"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369ECBEB" w14:textId="77777777" w:rsidR="00D75D4C" w:rsidRPr="004C6634" w:rsidRDefault="00D75D4C" w:rsidP="00D75D4C">
            <w:r w:rsidRPr="004C6634">
              <w:t>PA</w:t>
            </w:r>
          </w:p>
        </w:tc>
        <w:tc>
          <w:tcPr>
            <w:tcW w:w="7821" w:type="dxa"/>
          </w:tcPr>
          <w:p w14:paraId="0501CEDE" w14:textId="77777777" w:rsidR="00D75D4C" w:rsidRPr="004C6634" w:rsidRDefault="00D75D4C" w:rsidP="00D75D4C">
            <w:pPr>
              <w:cnfStyle w:val="000000000000" w:firstRow="0" w:lastRow="0" w:firstColumn="0" w:lastColumn="0" w:oddVBand="0" w:evenVBand="0" w:oddHBand="0" w:evenHBand="0" w:firstRowFirstColumn="0" w:firstRowLastColumn="0" w:lastRowFirstColumn="0" w:lastRowLastColumn="0"/>
            </w:pPr>
            <w:r w:rsidRPr="004C6634">
              <w:t>Physician Assistant</w:t>
            </w:r>
          </w:p>
        </w:tc>
      </w:tr>
      <w:tr w:rsidR="00D75D4C" w:rsidRPr="004C6634" w14:paraId="2C05E025"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404F733E" w14:textId="77777777" w:rsidR="00D75D4C" w:rsidRPr="004C6634" w:rsidRDefault="00D75D4C" w:rsidP="00D75D4C">
            <w:r w:rsidRPr="004C6634">
              <w:t>PACT</w:t>
            </w:r>
          </w:p>
        </w:tc>
        <w:tc>
          <w:tcPr>
            <w:tcW w:w="7821" w:type="dxa"/>
          </w:tcPr>
          <w:p w14:paraId="4304D901" w14:textId="307FECE7" w:rsidR="00D75D4C" w:rsidRPr="004C6634" w:rsidRDefault="00D75D4C" w:rsidP="00D75D4C">
            <w:pPr>
              <w:cnfStyle w:val="000000000000" w:firstRow="0" w:lastRow="0" w:firstColumn="0" w:lastColumn="0" w:oddVBand="0" w:evenVBand="0" w:oddHBand="0" w:evenHBand="0" w:firstRowFirstColumn="0" w:firstRowLastColumn="0" w:lastRowFirstColumn="0" w:lastRowLastColumn="0"/>
            </w:pPr>
            <w:r w:rsidRPr="004C6634">
              <w:t xml:space="preserve">Program </w:t>
            </w:r>
            <w:r>
              <w:t>for</w:t>
            </w:r>
            <w:r w:rsidRPr="004C6634">
              <w:t xml:space="preserve"> Assertive Community Treatment</w:t>
            </w:r>
          </w:p>
        </w:tc>
      </w:tr>
      <w:tr w:rsidR="00D75D4C" w:rsidRPr="004C6634" w14:paraId="4C3CC34B"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7874AAAE" w14:textId="77777777" w:rsidR="00D75D4C" w:rsidRPr="004C6634" w:rsidRDefault="00D75D4C" w:rsidP="00D75D4C">
            <w:r w:rsidRPr="004C6634">
              <w:t>PCACO</w:t>
            </w:r>
          </w:p>
        </w:tc>
        <w:tc>
          <w:tcPr>
            <w:tcW w:w="7821" w:type="dxa"/>
          </w:tcPr>
          <w:p w14:paraId="2EC4BABD" w14:textId="77777777" w:rsidR="00D75D4C" w:rsidRPr="004C6634" w:rsidRDefault="00D75D4C" w:rsidP="00D75D4C">
            <w:pPr>
              <w:cnfStyle w:val="000000000000" w:firstRow="0" w:lastRow="0" w:firstColumn="0" w:lastColumn="0" w:oddVBand="0" w:evenVBand="0" w:oddHBand="0" w:evenHBand="0" w:firstRowFirstColumn="0" w:firstRowLastColumn="0" w:lastRowFirstColumn="0" w:lastRowLastColumn="0"/>
            </w:pPr>
            <w:r w:rsidRPr="004C6634">
              <w:t>Primary Care Accountable Care Organization</w:t>
            </w:r>
          </w:p>
        </w:tc>
      </w:tr>
      <w:tr w:rsidR="00D75D4C" w:rsidRPr="004C6634" w14:paraId="1EC50114"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521CFDE5" w14:textId="77777777" w:rsidR="00D75D4C" w:rsidRPr="004C6634" w:rsidRDefault="00D75D4C" w:rsidP="00D75D4C">
            <w:r w:rsidRPr="004C6634">
              <w:t>PCC</w:t>
            </w:r>
          </w:p>
        </w:tc>
        <w:tc>
          <w:tcPr>
            <w:tcW w:w="7821" w:type="dxa"/>
          </w:tcPr>
          <w:p w14:paraId="3D451860" w14:textId="1214FF8C" w:rsidR="00D75D4C" w:rsidRPr="004C6634" w:rsidRDefault="00D75D4C" w:rsidP="00D75D4C">
            <w:pPr>
              <w:cnfStyle w:val="000000000000" w:firstRow="0" w:lastRow="0" w:firstColumn="0" w:lastColumn="0" w:oddVBand="0" w:evenVBand="0" w:oddHBand="0" w:evenHBand="0" w:firstRowFirstColumn="0" w:firstRowLastColumn="0" w:lastRowFirstColumn="0" w:lastRowLastColumn="0"/>
            </w:pPr>
            <w:r w:rsidRPr="004C6634">
              <w:t>Primary Care Clinician (</w:t>
            </w:r>
            <w:r>
              <w:t>U</w:t>
            </w:r>
            <w:r w:rsidRPr="004C6634">
              <w:t>sed in context of plan, not defined)</w:t>
            </w:r>
          </w:p>
        </w:tc>
      </w:tr>
      <w:tr w:rsidR="00D75D4C" w:rsidRPr="004C6634" w14:paraId="3639ACA2"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06C72CD1" w14:textId="77777777" w:rsidR="00D75D4C" w:rsidRPr="004C6634" w:rsidRDefault="00D75D4C" w:rsidP="00D75D4C">
            <w:r w:rsidRPr="004C6634">
              <w:t>PCDI</w:t>
            </w:r>
          </w:p>
        </w:tc>
        <w:tc>
          <w:tcPr>
            <w:tcW w:w="7821" w:type="dxa"/>
          </w:tcPr>
          <w:p w14:paraId="220F0B85" w14:textId="77777777" w:rsidR="00D75D4C" w:rsidRPr="004C6634" w:rsidRDefault="00D75D4C" w:rsidP="00D75D4C">
            <w:pPr>
              <w:cnfStyle w:val="000000000000" w:firstRow="0" w:lastRow="0" w:firstColumn="0" w:lastColumn="0" w:oddVBand="0" w:evenVBand="0" w:oddHBand="0" w:evenHBand="0" w:firstRowFirstColumn="0" w:firstRowLastColumn="0" w:lastRowFirstColumn="0" w:lastRowLastColumn="0"/>
            </w:pPr>
            <w:r w:rsidRPr="004C6634">
              <w:t>Payment and Care Delivery Innovation</w:t>
            </w:r>
          </w:p>
        </w:tc>
      </w:tr>
      <w:tr w:rsidR="00D75D4C" w:rsidRPr="004C6634" w14:paraId="7F567799"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5DA088FC" w14:textId="77777777" w:rsidR="00D75D4C" w:rsidRPr="004C6634" w:rsidRDefault="00D75D4C" w:rsidP="00D75D4C">
            <w:r w:rsidRPr="004C6634">
              <w:t>PCP</w:t>
            </w:r>
          </w:p>
        </w:tc>
        <w:tc>
          <w:tcPr>
            <w:tcW w:w="7821" w:type="dxa"/>
          </w:tcPr>
          <w:p w14:paraId="72B405FC" w14:textId="77777777" w:rsidR="00D75D4C" w:rsidRPr="004C6634" w:rsidRDefault="00D75D4C" w:rsidP="00D75D4C">
            <w:pPr>
              <w:cnfStyle w:val="000000000000" w:firstRow="0" w:lastRow="0" w:firstColumn="0" w:lastColumn="0" w:oddVBand="0" w:evenVBand="0" w:oddHBand="0" w:evenHBand="0" w:firstRowFirstColumn="0" w:firstRowLastColumn="0" w:lastRowFirstColumn="0" w:lastRowLastColumn="0"/>
            </w:pPr>
            <w:r w:rsidRPr="004C6634">
              <w:t>Primary Care Provider</w:t>
            </w:r>
          </w:p>
        </w:tc>
      </w:tr>
      <w:tr w:rsidR="00D75D4C" w:rsidRPr="004C6634" w14:paraId="6AEDF820"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33372DE1" w14:textId="77777777" w:rsidR="00D75D4C" w:rsidRPr="004C6634" w:rsidRDefault="00D75D4C" w:rsidP="00D75D4C">
            <w:r w:rsidRPr="004C6634">
              <w:t>PE</w:t>
            </w:r>
          </w:p>
        </w:tc>
        <w:tc>
          <w:tcPr>
            <w:tcW w:w="7821" w:type="dxa"/>
          </w:tcPr>
          <w:p w14:paraId="66E7EFF8" w14:textId="77777777" w:rsidR="00D75D4C" w:rsidRPr="004C6634" w:rsidRDefault="00D75D4C" w:rsidP="00D75D4C">
            <w:pPr>
              <w:cnfStyle w:val="000000000000" w:firstRow="0" w:lastRow="0" w:firstColumn="0" w:lastColumn="0" w:oddVBand="0" w:evenVBand="0" w:oddHBand="0" w:evenHBand="0" w:firstRowFirstColumn="0" w:firstRowLastColumn="0" w:lastRowFirstColumn="0" w:lastRowLastColumn="0"/>
            </w:pPr>
            <w:r w:rsidRPr="004C6634">
              <w:t>Provisional Eligibility</w:t>
            </w:r>
          </w:p>
        </w:tc>
      </w:tr>
      <w:tr w:rsidR="00D75D4C" w:rsidRPr="004C6634" w14:paraId="4CCBCFF7"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4654C734" w14:textId="77777777" w:rsidR="00D75D4C" w:rsidRPr="004C6634" w:rsidRDefault="00D75D4C" w:rsidP="00D75D4C">
            <w:r w:rsidRPr="004C6634">
              <w:t>PFAC</w:t>
            </w:r>
          </w:p>
        </w:tc>
        <w:tc>
          <w:tcPr>
            <w:tcW w:w="7821" w:type="dxa"/>
          </w:tcPr>
          <w:p w14:paraId="3D6AFF2A" w14:textId="77777777" w:rsidR="00D75D4C" w:rsidRPr="004C6634" w:rsidRDefault="00D75D4C" w:rsidP="00D75D4C">
            <w:pPr>
              <w:cnfStyle w:val="000000000000" w:firstRow="0" w:lastRow="0" w:firstColumn="0" w:lastColumn="0" w:oddVBand="0" w:evenVBand="0" w:oddHBand="0" w:evenHBand="0" w:firstRowFirstColumn="0" w:firstRowLastColumn="0" w:lastRowFirstColumn="0" w:lastRowLastColumn="0"/>
            </w:pPr>
            <w:r w:rsidRPr="004C6634">
              <w:t>Patient and Family Advisory Committee</w:t>
            </w:r>
          </w:p>
        </w:tc>
      </w:tr>
      <w:tr w:rsidR="00D75D4C" w:rsidRPr="004C6634" w14:paraId="7D639160"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41F60B2D" w14:textId="77777777" w:rsidR="00D75D4C" w:rsidRPr="004C6634" w:rsidRDefault="00D75D4C" w:rsidP="00D75D4C">
            <w:r w:rsidRPr="004C6634">
              <w:t>PHD</w:t>
            </w:r>
          </w:p>
        </w:tc>
        <w:tc>
          <w:tcPr>
            <w:tcW w:w="7821" w:type="dxa"/>
          </w:tcPr>
          <w:p w14:paraId="17178C06" w14:textId="77777777" w:rsidR="00D75D4C" w:rsidRPr="004C6634" w:rsidRDefault="00D75D4C" w:rsidP="00D75D4C">
            <w:pPr>
              <w:cnfStyle w:val="000000000000" w:firstRow="0" w:lastRow="0" w:firstColumn="0" w:lastColumn="0" w:oddVBand="0" w:evenVBand="0" w:oddHBand="0" w:evenHBand="0" w:firstRowFirstColumn="0" w:firstRowLastColumn="0" w:lastRowFirstColumn="0" w:lastRowLastColumn="0"/>
            </w:pPr>
            <w:r w:rsidRPr="004C6634">
              <w:t>Public Health Data Warehouse</w:t>
            </w:r>
          </w:p>
        </w:tc>
      </w:tr>
      <w:tr w:rsidR="00D75D4C" w:rsidRPr="004C6634" w14:paraId="1ACDB2FC"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6FCD0FDA" w14:textId="77777777" w:rsidR="00D75D4C" w:rsidRPr="004C6634" w:rsidRDefault="00D75D4C" w:rsidP="00D75D4C">
            <w:r w:rsidRPr="004C6634">
              <w:t>PHE</w:t>
            </w:r>
          </w:p>
        </w:tc>
        <w:tc>
          <w:tcPr>
            <w:tcW w:w="7821" w:type="dxa"/>
          </w:tcPr>
          <w:p w14:paraId="28E60154" w14:textId="77777777" w:rsidR="00D75D4C" w:rsidRPr="004C6634" w:rsidRDefault="00D75D4C" w:rsidP="00D75D4C">
            <w:pPr>
              <w:cnfStyle w:val="000000000000" w:firstRow="0" w:lastRow="0" w:firstColumn="0" w:lastColumn="0" w:oddVBand="0" w:evenVBand="0" w:oddHBand="0" w:evenHBand="0" w:firstRowFirstColumn="0" w:firstRowLastColumn="0" w:lastRowFirstColumn="0" w:lastRowLastColumn="0"/>
            </w:pPr>
            <w:r w:rsidRPr="004C6634">
              <w:t>Public Health Emergency</w:t>
            </w:r>
          </w:p>
        </w:tc>
      </w:tr>
      <w:tr w:rsidR="00D75D4C" w:rsidRPr="004C6634" w14:paraId="21B40F02"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60581B40" w14:textId="77777777" w:rsidR="00D75D4C" w:rsidRPr="004C6634" w:rsidRDefault="00D75D4C" w:rsidP="00D75D4C">
            <w:r w:rsidRPr="004C6634">
              <w:t>PHTII</w:t>
            </w:r>
          </w:p>
        </w:tc>
        <w:tc>
          <w:tcPr>
            <w:tcW w:w="7821" w:type="dxa"/>
          </w:tcPr>
          <w:p w14:paraId="2F1A5ED0" w14:textId="77777777" w:rsidR="00D75D4C" w:rsidRPr="004C6634" w:rsidRDefault="00D75D4C" w:rsidP="00D75D4C">
            <w:pPr>
              <w:cnfStyle w:val="000000000000" w:firstRow="0" w:lastRow="0" w:firstColumn="0" w:lastColumn="0" w:oddVBand="0" w:evenVBand="0" w:oddHBand="0" w:evenHBand="0" w:firstRowFirstColumn="0" w:firstRowLastColumn="0" w:lastRowFirstColumn="0" w:lastRowLastColumn="0"/>
            </w:pPr>
            <w:r w:rsidRPr="004C6634">
              <w:t>Public Hospital Transformation and Incentive Initiative</w:t>
            </w:r>
          </w:p>
        </w:tc>
      </w:tr>
      <w:tr w:rsidR="00D75D4C" w:rsidRPr="004C6634" w14:paraId="7884CFC3"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13B0711B" w14:textId="77777777" w:rsidR="00D75D4C" w:rsidRPr="004C6634" w:rsidRDefault="00D75D4C" w:rsidP="00D75D4C">
            <w:r w:rsidRPr="004C6634">
              <w:t>PMPM</w:t>
            </w:r>
          </w:p>
        </w:tc>
        <w:tc>
          <w:tcPr>
            <w:tcW w:w="7821" w:type="dxa"/>
          </w:tcPr>
          <w:p w14:paraId="72EFE72E" w14:textId="55E001C8" w:rsidR="00D75D4C" w:rsidRPr="004C6634" w:rsidRDefault="00D75D4C" w:rsidP="00D75D4C">
            <w:pPr>
              <w:cnfStyle w:val="000000000000" w:firstRow="0" w:lastRow="0" w:firstColumn="0" w:lastColumn="0" w:oddVBand="0" w:evenVBand="0" w:oddHBand="0" w:evenHBand="0" w:firstRowFirstColumn="0" w:firstRowLastColumn="0" w:lastRowFirstColumn="0" w:lastRowLastColumn="0"/>
            </w:pPr>
            <w:r w:rsidRPr="004C6634">
              <w:t>Per-Member-Per-Month</w:t>
            </w:r>
          </w:p>
        </w:tc>
      </w:tr>
      <w:tr w:rsidR="00D75D4C" w:rsidRPr="004C6634" w14:paraId="30C2C487"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1A235604" w14:textId="77777777" w:rsidR="00D75D4C" w:rsidRPr="004C6634" w:rsidRDefault="00D75D4C" w:rsidP="00D75D4C">
            <w:r w:rsidRPr="004C6634">
              <w:t>PPC-CH</w:t>
            </w:r>
          </w:p>
        </w:tc>
        <w:tc>
          <w:tcPr>
            <w:tcW w:w="7821" w:type="dxa"/>
          </w:tcPr>
          <w:p w14:paraId="58A799C3" w14:textId="77777777" w:rsidR="00D75D4C" w:rsidRPr="004C6634" w:rsidRDefault="00D75D4C" w:rsidP="00D75D4C">
            <w:pPr>
              <w:cnfStyle w:val="000000000000" w:firstRow="0" w:lastRow="0" w:firstColumn="0" w:lastColumn="0" w:oddVBand="0" w:evenVBand="0" w:oddHBand="0" w:evenHBand="0" w:firstRowFirstColumn="0" w:firstRowLastColumn="0" w:lastRowFirstColumn="0" w:lastRowLastColumn="0"/>
            </w:pPr>
            <w:r w:rsidRPr="004C6634">
              <w:t>Prenatal and Postpartum Care: Timeliness of Prenatal Care</w:t>
            </w:r>
          </w:p>
        </w:tc>
      </w:tr>
      <w:tr w:rsidR="00D75D4C" w:rsidRPr="004C6634" w14:paraId="2F291011"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3AFA3E18" w14:textId="366A98FB" w:rsidR="00D75D4C" w:rsidRPr="004C6634" w:rsidRDefault="00D75D4C" w:rsidP="00D75D4C">
            <w:r w:rsidRPr="004C6634">
              <w:t>P</w:t>
            </w:r>
            <w:r>
              <w:t>S</w:t>
            </w:r>
            <w:r w:rsidRPr="004C6634">
              <w:t>PIC</w:t>
            </w:r>
          </w:p>
        </w:tc>
        <w:tc>
          <w:tcPr>
            <w:tcW w:w="7821" w:type="dxa"/>
          </w:tcPr>
          <w:p w14:paraId="2D2CEA66" w14:textId="77777777" w:rsidR="00D75D4C" w:rsidRPr="004C6634" w:rsidRDefault="00D75D4C" w:rsidP="00D75D4C">
            <w:pPr>
              <w:cnfStyle w:val="000000000000" w:firstRow="0" w:lastRow="0" w:firstColumn="0" w:lastColumn="0" w:oddVBand="0" w:evenVBand="0" w:oddHBand="0" w:evenHBand="0" w:firstRowFirstColumn="0" w:firstRowLastColumn="0" w:lastRowFirstColumn="0" w:lastRowLastColumn="0"/>
            </w:pPr>
            <w:r w:rsidRPr="004C6634">
              <w:t>Provider and Staff Perceptions of Integrated Care</w:t>
            </w:r>
          </w:p>
        </w:tc>
      </w:tr>
      <w:tr w:rsidR="00D75D4C" w:rsidRPr="004C6634" w14:paraId="7956DB31"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555A1AD1" w14:textId="77777777" w:rsidR="00D75D4C" w:rsidRPr="004C6634" w:rsidRDefault="00D75D4C" w:rsidP="00D75D4C">
            <w:r w:rsidRPr="004C6634">
              <w:t>PY</w:t>
            </w:r>
          </w:p>
        </w:tc>
        <w:tc>
          <w:tcPr>
            <w:tcW w:w="7821" w:type="dxa"/>
          </w:tcPr>
          <w:p w14:paraId="7CC39811" w14:textId="77777777" w:rsidR="00D75D4C" w:rsidRPr="004C6634" w:rsidRDefault="00D75D4C" w:rsidP="00D75D4C">
            <w:pPr>
              <w:cnfStyle w:val="000000000000" w:firstRow="0" w:lastRow="0" w:firstColumn="0" w:lastColumn="0" w:oddVBand="0" w:evenVBand="0" w:oddHBand="0" w:evenHBand="0" w:firstRowFirstColumn="0" w:firstRowLastColumn="0" w:lastRowFirstColumn="0" w:lastRowLastColumn="0"/>
            </w:pPr>
            <w:r w:rsidRPr="004C6634">
              <w:t>Performance Year</w:t>
            </w:r>
          </w:p>
        </w:tc>
      </w:tr>
      <w:tr w:rsidR="00D75D4C" w:rsidRPr="004C6634" w14:paraId="3531159F"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0339B03A" w14:textId="77777777" w:rsidR="00D75D4C" w:rsidRPr="004C6634" w:rsidRDefault="00D75D4C" w:rsidP="00D75D4C">
            <w:r w:rsidRPr="004C6634">
              <w:lastRenderedPageBreak/>
              <w:t>QED</w:t>
            </w:r>
          </w:p>
        </w:tc>
        <w:tc>
          <w:tcPr>
            <w:tcW w:w="7821" w:type="dxa"/>
          </w:tcPr>
          <w:p w14:paraId="572A60D5" w14:textId="77777777" w:rsidR="00D75D4C" w:rsidRPr="004C6634" w:rsidRDefault="00D75D4C" w:rsidP="00D75D4C">
            <w:pPr>
              <w:cnfStyle w:val="000000000000" w:firstRow="0" w:lastRow="0" w:firstColumn="0" w:lastColumn="0" w:oddVBand="0" w:evenVBand="0" w:oddHBand="0" w:evenHBand="0" w:firstRowFirstColumn="0" w:firstRowLastColumn="0" w:lastRowFirstColumn="0" w:lastRowLastColumn="0"/>
            </w:pPr>
            <w:r w:rsidRPr="004C6634">
              <w:t>Quasi-Experimental Design</w:t>
            </w:r>
          </w:p>
        </w:tc>
      </w:tr>
      <w:tr w:rsidR="00D75D4C" w:rsidRPr="004C6634" w14:paraId="2042D08B"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7C0C37DD" w14:textId="77777777" w:rsidR="00D75D4C" w:rsidRPr="004C6634" w:rsidRDefault="00D75D4C" w:rsidP="00D75D4C">
            <w:r w:rsidRPr="004C6634">
              <w:t>QI</w:t>
            </w:r>
          </w:p>
        </w:tc>
        <w:tc>
          <w:tcPr>
            <w:tcW w:w="7821" w:type="dxa"/>
          </w:tcPr>
          <w:p w14:paraId="7BC81BE2" w14:textId="77777777" w:rsidR="00D75D4C" w:rsidRPr="004C6634" w:rsidRDefault="00D75D4C" w:rsidP="00D75D4C">
            <w:pPr>
              <w:cnfStyle w:val="000000000000" w:firstRow="0" w:lastRow="0" w:firstColumn="0" w:lastColumn="0" w:oddVBand="0" w:evenVBand="0" w:oddHBand="0" w:evenHBand="0" w:firstRowFirstColumn="0" w:firstRowLastColumn="0" w:lastRowFirstColumn="0" w:lastRowLastColumn="0"/>
            </w:pPr>
            <w:r w:rsidRPr="004C6634">
              <w:t>Qualitative Interviewing</w:t>
            </w:r>
          </w:p>
        </w:tc>
      </w:tr>
      <w:tr w:rsidR="00D75D4C" w:rsidRPr="004C6634" w14:paraId="15815D16"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7ED4F576" w14:textId="77777777" w:rsidR="00D75D4C" w:rsidRPr="004C6634" w:rsidRDefault="00D75D4C" w:rsidP="00D75D4C">
            <w:r w:rsidRPr="004C6634">
              <w:t>RE</w:t>
            </w:r>
          </w:p>
        </w:tc>
        <w:tc>
          <w:tcPr>
            <w:tcW w:w="7821" w:type="dxa"/>
          </w:tcPr>
          <w:p w14:paraId="4AD9B34B" w14:textId="77777777" w:rsidR="00D75D4C" w:rsidRPr="004C6634" w:rsidRDefault="00D75D4C" w:rsidP="00D75D4C">
            <w:pPr>
              <w:cnfStyle w:val="000000000000" w:firstRow="0" w:lastRow="0" w:firstColumn="0" w:lastColumn="0" w:oddVBand="0" w:evenVBand="0" w:oddHBand="0" w:evenHBand="0" w:firstRowFirstColumn="0" w:firstRowLastColumn="0" w:lastRowFirstColumn="0" w:lastRowLastColumn="0"/>
            </w:pPr>
            <w:r w:rsidRPr="004C6634">
              <w:t>Retroactive Eligibility</w:t>
            </w:r>
          </w:p>
        </w:tc>
      </w:tr>
      <w:tr w:rsidR="00D75D4C" w:rsidRPr="004C6634" w14:paraId="48FA3992"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0F049E0D" w14:textId="77777777" w:rsidR="00D75D4C" w:rsidRPr="004C6634" w:rsidRDefault="00D75D4C" w:rsidP="00D75D4C">
            <w:r w:rsidRPr="004C6634">
              <w:t>RELDSOGI</w:t>
            </w:r>
          </w:p>
        </w:tc>
        <w:tc>
          <w:tcPr>
            <w:tcW w:w="7821" w:type="dxa"/>
          </w:tcPr>
          <w:p w14:paraId="3F300874" w14:textId="77777777" w:rsidR="00D75D4C" w:rsidRPr="004C6634" w:rsidRDefault="00D75D4C" w:rsidP="00D75D4C">
            <w:pPr>
              <w:cnfStyle w:val="000000000000" w:firstRow="0" w:lastRow="0" w:firstColumn="0" w:lastColumn="0" w:oddVBand="0" w:evenVBand="0" w:oddHBand="0" w:evenHBand="0" w:firstRowFirstColumn="0" w:firstRowLastColumn="0" w:lastRowFirstColumn="0" w:lastRowLastColumn="0"/>
            </w:pPr>
            <w:r w:rsidRPr="004C6634">
              <w:t>Race, Ethnicity, Language, Disability, Social Orientation, Gender Identity</w:t>
            </w:r>
          </w:p>
        </w:tc>
      </w:tr>
      <w:tr w:rsidR="00D75D4C" w:rsidRPr="004C6634" w14:paraId="28643CD7"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7ADC1961" w14:textId="77777777" w:rsidR="00D75D4C" w:rsidRPr="004C6634" w:rsidRDefault="00D75D4C" w:rsidP="00D75D4C">
            <w:r w:rsidRPr="004C6634">
              <w:t>RF</w:t>
            </w:r>
          </w:p>
        </w:tc>
        <w:tc>
          <w:tcPr>
            <w:tcW w:w="7821" w:type="dxa"/>
          </w:tcPr>
          <w:p w14:paraId="68C6A675" w14:textId="77777777" w:rsidR="00D75D4C" w:rsidRPr="004C6634" w:rsidRDefault="00D75D4C" w:rsidP="00D75D4C">
            <w:pPr>
              <w:cnfStyle w:val="000000000000" w:firstRow="0" w:lastRow="0" w:firstColumn="0" w:lastColumn="0" w:oddVBand="0" w:evenVBand="0" w:oddHBand="0" w:evenHBand="0" w:firstRowFirstColumn="0" w:firstRowLastColumn="0" w:lastRowFirstColumn="0" w:lastRowLastColumn="0"/>
            </w:pPr>
            <w:r w:rsidRPr="004C6634">
              <w:t>Risk Factor</w:t>
            </w:r>
          </w:p>
        </w:tc>
      </w:tr>
      <w:tr w:rsidR="00D75D4C" w:rsidRPr="004C6634" w14:paraId="0BBC754F"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3F8362A4" w14:textId="77777777" w:rsidR="00D75D4C" w:rsidRPr="004C6634" w:rsidRDefault="00D75D4C" w:rsidP="00D75D4C">
            <w:r w:rsidRPr="004C6634">
              <w:t>RFP</w:t>
            </w:r>
          </w:p>
        </w:tc>
        <w:tc>
          <w:tcPr>
            <w:tcW w:w="7821" w:type="dxa"/>
          </w:tcPr>
          <w:p w14:paraId="2E6BF549" w14:textId="7C889187" w:rsidR="00D75D4C" w:rsidRPr="004C6634" w:rsidRDefault="00D75D4C" w:rsidP="00D75D4C">
            <w:pPr>
              <w:cnfStyle w:val="000000000000" w:firstRow="0" w:lastRow="0" w:firstColumn="0" w:lastColumn="0" w:oddVBand="0" w:evenVBand="0" w:oddHBand="0" w:evenHBand="0" w:firstRowFirstColumn="0" w:firstRowLastColumn="0" w:lastRowFirstColumn="0" w:lastRowLastColumn="0"/>
            </w:pPr>
            <w:r w:rsidRPr="004C6634">
              <w:t>Request for Proposal</w:t>
            </w:r>
          </w:p>
        </w:tc>
      </w:tr>
      <w:tr w:rsidR="00D75D4C" w:rsidRPr="004C6634" w14:paraId="30DC785C"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6B654558" w14:textId="77777777" w:rsidR="00D75D4C" w:rsidRPr="004C6634" w:rsidRDefault="00D75D4C" w:rsidP="00D75D4C">
            <w:r w:rsidRPr="004C6634">
              <w:t>RN</w:t>
            </w:r>
          </w:p>
        </w:tc>
        <w:tc>
          <w:tcPr>
            <w:tcW w:w="7821" w:type="dxa"/>
          </w:tcPr>
          <w:p w14:paraId="272227B3" w14:textId="77777777" w:rsidR="00D75D4C" w:rsidRPr="004C6634" w:rsidRDefault="00D75D4C" w:rsidP="00D75D4C">
            <w:pPr>
              <w:cnfStyle w:val="000000000000" w:firstRow="0" w:lastRow="0" w:firstColumn="0" w:lastColumn="0" w:oddVBand="0" w:evenVBand="0" w:oddHBand="0" w:evenHBand="0" w:firstRowFirstColumn="0" w:firstRowLastColumn="0" w:lastRowFirstColumn="0" w:lastRowLastColumn="0"/>
            </w:pPr>
            <w:r w:rsidRPr="004C6634">
              <w:t>Registered Nurse</w:t>
            </w:r>
          </w:p>
        </w:tc>
      </w:tr>
      <w:tr w:rsidR="00D75D4C" w:rsidRPr="004C6634" w14:paraId="12A7B320"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60297177" w14:textId="77777777" w:rsidR="00D75D4C" w:rsidRPr="004C6634" w:rsidRDefault="00D75D4C" w:rsidP="00D75D4C">
            <w:r w:rsidRPr="004C6634">
              <w:t>RQ</w:t>
            </w:r>
          </w:p>
        </w:tc>
        <w:tc>
          <w:tcPr>
            <w:tcW w:w="7821" w:type="dxa"/>
          </w:tcPr>
          <w:p w14:paraId="30F2C669" w14:textId="77777777" w:rsidR="00D75D4C" w:rsidRPr="004C6634" w:rsidRDefault="00D75D4C" w:rsidP="00D75D4C">
            <w:pPr>
              <w:cnfStyle w:val="000000000000" w:firstRow="0" w:lastRow="0" w:firstColumn="0" w:lastColumn="0" w:oddVBand="0" w:evenVBand="0" w:oddHBand="0" w:evenHBand="0" w:firstRowFirstColumn="0" w:firstRowLastColumn="0" w:lastRowFirstColumn="0" w:lastRowLastColumn="0"/>
            </w:pPr>
            <w:r w:rsidRPr="004C6634">
              <w:t>Research Question</w:t>
            </w:r>
          </w:p>
        </w:tc>
      </w:tr>
      <w:tr w:rsidR="00D75D4C" w:rsidRPr="004C6634" w14:paraId="0C42D289"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16A695EC" w14:textId="77777777" w:rsidR="00D75D4C" w:rsidRPr="004C6634" w:rsidRDefault="00D75D4C" w:rsidP="00D75D4C">
            <w:r w:rsidRPr="004C6634">
              <w:t>SAC</w:t>
            </w:r>
          </w:p>
        </w:tc>
        <w:tc>
          <w:tcPr>
            <w:tcW w:w="7821" w:type="dxa"/>
          </w:tcPr>
          <w:p w14:paraId="0FD23403" w14:textId="77777777" w:rsidR="00D75D4C" w:rsidRPr="004C6634" w:rsidRDefault="00D75D4C" w:rsidP="00D75D4C">
            <w:pPr>
              <w:cnfStyle w:val="000000000000" w:firstRow="0" w:lastRow="0" w:firstColumn="0" w:lastColumn="0" w:oddVBand="0" w:evenVBand="0" w:oddHBand="0" w:evenHBand="0" w:firstRowFirstColumn="0" w:firstRowLastColumn="0" w:lastRowFirstColumn="0" w:lastRowLastColumn="0"/>
            </w:pPr>
            <w:r w:rsidRPr="004C6634">
              <w:t>Scientific Advisory Committee</w:t>
            </w:r>
          </w:p>
        </w:tc>
      </w:tr>
      <w:tr w:rsidR="00D75D4C" w:rsidRPr="004C6634" w14:paraId="3770EF9F"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4BD3C4A6" w14:textId="77777777" w:rsidR="00D75D4C" w:rsidRPr="004C6634" w:rsidRDefault="00D75D4C" w:rsidP="00D75D4C">
            <w:r w:rsidRPr="004C6634">
              <w:t>SAMHSA</w:t>
            </w:r>
          </w:p>
        </w:tc>
        <w:tc>
          <w:tcPr>
            <w:tcW w:w="7821" w:type="dxa"/>
          </w:tcPr>
          <w:p w14:paraId="162BEB86" w14:textId="77777777" w:rsidR="00D75D4C" w:rsidRPr="004C6634" w:rsidRDefault="00D75D4C" w:rsidP="00D75D4C">
            <w:pPr>
              <w:cnfStyle w:val="000000000000" w:firstRow="0" w:lastRow="0" w:firstColumn="0" w:lastColumn="0" w:oddVBand="0" w:evenVBand="0" w:oddHBand="0" w:evenHBand="0" w:firstRowFirstColumn="0" w:firstRowLastColumn="0" w:lastRowFirstColumn="0" w:lastRowLastColumn="0"/>
            </w:pPr>
            <w:r w:rsidRPr="004C6634">
              <w:t>Substance Abuse and Mental Health Services Administration</w:t>
            </w:r>
          </w:p>
        </w:tc>
      </w:tr>
      <w:tr w:rsidR="00D75D4C" w:rsidRPr="004C6634" w14:paraId="3A86C003"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001E5EC1" w14:textId="77777777" w:rsidR="00D75D4C" w:rsidRPr="004C6634" w:rsidRDefault="00D75D4C" w:rsidP="00D75D4C">
            <w:r w:rsidRPr="004C6634">
              <w:t>SED</w:t>
            </w:r>
          </w:p>
        </w:tc>
        <w:tc>
          <w:tcPr>
            <w:tcW w:w="7821" w:type="dxa"/>
          </w:tcPr>
          <w:p w14:paraId="2825D33A" w14:textId="77777777" w:rsidR="00D75D4C" w:rsidRPr="004C6634" w:rsidRDefault="00D75D4C" w:rsidP="00D75D4C">
            <w:pPr>
              <w:cnfStyle w:val="000000000000" w:firstRow="0" w:lastRow="0" w:firstColumn="0" w:lastColumn="0" w:oddVBand="0" w:evenVBand="0" w:oddHBand="0" w:evenHBand="0" w:firstRowFirstColumn="0" w:firstRowLastColumn="0" w:lastRowFirstColumn="0" w:lastRowLastColumn="0"/>
            </w:pPr>
            <w:r w:rsidRPr="004C6634">
              <w:t xml:space="preserve">Severe Emotional Disturbance </w:t>
            </w:r>
          </w:p>
        </w:tc>
      </w:tr>
      <w:tr w:rsidR="00D75D4C" w:rsidRPr="004C6634" w14:paraId="171A4A4C"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031581EC" w14:textId="77777777" w:rsidR="00D75D4C" w:rsidRPr="004C6634" w:rsidRDefault="00D75D4C" w:rsidP="00D75D4C">
            <w:r w:rsidRPr="004C6634">
              <w:t>SFY</w:t>
            </w:r>
          </w:p>
        </w:tc>
        <w:tc>
          <w:tcPr>
            <w:tcW w:w="7821" w:type="dxa"/>
          </w:tcPr>
          <w:p w14:paraId="6B25FB9F" w14:textId="77777777" w:rsidR="00D75D4C" w:rsidRPr="004C6634" w:rsidRDefault="00D75D4C" w:rsidP="00D75D4C">
            <w:pPr>
              <w:cnfStyle w:val="000000000000" w:firstRow="0" w:lastRow="0" w:firstColumn="0" w:lastColumn="0" w:oddVBand="0" w:evenVBand="0" w:oddHBand="0" w:evenHBand="0" w:firstRowFirstColumn="0" w:firstRowLastColumn="0" w:lastRowFirstColumn="0" w:lastRowLastColumn="0"/>
            </w:pPr>
            <w:r w:rsidRPr="004C6634">
              <w:t>State Fiscal Year</w:t>
            </w:r>
          </w:p>
        </w:tc>
      </w:tr>
      <w:tr w:rsidR="00D75D4C" w:rsidRPr="004C6634" w14:paraId="2187A16B"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43253A67" w14:textId="4A87A45C" w:rsidR="00D75D4C" w:rsidRPr="004C6634" w:rsidRDefault="00D75D4C" w:rsidP="00D75D4C">
            <w:r>
              <w:t>SME</w:t>
            </w:r>
          </w:p>
        </w:tc>
        <w:tc>
          <w:tcPr>
            <w:tcW w:w="7821" w:type="dxa"/>
          </w:tcPr>
          <w:p w14:paraId="063E5D22" w14:textId="5D854236" w:rsidR="00D75D4C" w:rsidRPr="004C6634" w:rsidRDefault="00D75D4C" w:rsidP="00D75D4C">
            <w:pPr>
              <w:cnfStyle w:val="000000000000" w:firstRow="0" w:lastRow="0" w:firstColumn="0" w:lastColumn="0" w:oddVBand="0" w:evenVBand="0" w:oddHBand="0" w:evenHBand="0" w:firstRowFirstColumn="0" w:firstRowLastColumn="0" w:lastRowFirstColumn="0" w:lastRowLastColumn="0"/>
            </w:pPr>
            <w:r>
              <w:t>Subject Matter Expert</w:t>
            </w:r>
          </w:p>
        </w:tc>
      </w:tr>
      <w:tr w:rsidR="00D75D4C" w:rsidRPr="004C6634" w14:paraId="2139DAD6"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5B0094B4" w14:textId="77777777" w:rsidR="00D75D4C" w:rsidRPr="004C6634" w:rsidRDefault="00D75D4C" w:rsidP="00D75D4C">
            <w:r w:rsidRPr="004C6634">
              <w:t>SMI</w:t>
            </w:r>
          </w:p>
        </w:tc>
        <w:tc>
          <w:tcPr>
            <w:tcW w:w="7821" w:type="dxa"/>
          </w:tcPr>
          <w:p w14:paraId="40559F3F" w14:textId="77777777" w:rsidR="00D75D4C" w:rsidRPr="004C6634" w:rsidRDefault="00D75D4C" w:rsidP="00D75D4C">
            <w:pPr>
              <w:cnfStyle w:val="000000000000" w:firstRow="0" w:lastRow="0" w:firstColumn="0" w:lastColumn="0" w:oddVBand="0" w:evenVBand="0" w:oddHBand="0" w:evenHBand="0" w:firstRowFirstColumn="0" w:firstRowLastColumn="0" w:lastRowFirstColumn="0" w:lastRowLastColumn="0"/>
            </w:pPr>
            <w:r w:rsidRPr="004C6634">
              <w:t>Serious Mental Illness</w:t>
            </w:r>
          </w:p>
        </w:tc>
      </w:tr>
      <w:tr w:rsidR="00D75D4C" w:rsidRPr="004C6634" w14:paraId="457D1F3D"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1D221B80" w14:textId="77777777" w:rsidR="00D75D4C" w:rsidRPr="004C6634" w:rsidRDefault="00D75D4C" w:rsidP="00D75D4C">
            <w:r w:rsidRPr="004C6634">
              <w:t>SNCP</w:t>
            </w:r>
          </w:p>
        </w:tc>
        <w:tc>
          <w:tcPr>
            <w:tcW w:w="7821" w:type="dxa"/>
          </w:tcPr>
          <w:p w14:paraId="4085CD73" w14:textId="77777777" w:rsidR="00D75D4C" w:rsidRPr="004C6634" w:rsidRDefault="00D75D4C" w:rsidP="00D75D4C">
            <w:pPr>
              <w:cnfStyle w:val="000000000000" w:firstRow="0" w:lastRow="0" w:firstColumn="0" w:lastColumn="0" w:oddVBand="0" w:evenVBand="0" w:oddHBand="0" w:evenHBand="0" w:firstRowFirstColumn="0" w:firstRowLastColumn="0" w:lastRowFirstColumn="0" w:lastRowLastColumn="0"/>
            </w:pPr>
            <w:r w:rsidRPr="004C6634">
              <w:t>Safety Net Care Pool</w:t>
            </w:r>
          </w:p>
        </w:tc>
      </w:tr>
      <w:tr w:rsidR="00D75D4C" w:rsidRPr="004C6634" w14:paraId="1B394DC7"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4F80419D" w14:textId="77777777" w:rsidR="00D75D4C" w:rsidRPr="004C6634" w:rsidRDefault="00D75D4C" w:rsidP="00D75D4C">
            <w:r w:rsidRPr="004C6634">
              <w:t>SNH</w:t>
            </w:r>
          </w:p>
        </w:tc>
        <w:tc>
          <w:tcPr>
            <w:tcW w:w="7821" w:type="dxa"/>
          </w:tcPr>
          <w:p w14:paraId="06620D8A" w14:textId="0D609C0C" w:rsidR="00D75D4C" w:rsidRPr="004C6634" w:rsidRDefault="00D75D4C" w:rsidP="00D75D4C">
            <w:pPr>
              <w:cnfStyle w:val="000000000000" w:firstRow="0" w:lastRow="0" w:firstColumn="0" w:lastColumn="0" w:oddVBand="0" w:evenVBand="0" w:oddHBand="0" w:evenHBand="0" w:firstRowFirstColumn="0" w:firstRowLastColumn="0" w:lastRowFirstColumn="0" w:lastRowLastColumn="0"/>
            </w:pPr>
            <w:r w:rsidRPr="004C6634">
              <w:t>Safety Net Hospital</w:t>
            </w:r>
          </w:p>
        </w:tc>
      </w:tr>
      <w:tr w:rsidR="00D75D4C" w:rsidRPr="004C6634" w14:paraId="4FF49109"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02CFB4E7" w14:textId="77777777" w:rsidR="00D75D4C" w:rsidRPr="004C6634" w:rsidRDefault="00D75D4C" w:rsidP="00D75D4C">
            <w:r w:rsidRPr="004C6634">
              <w:t>SNPP</w:t>
            </w:r>
          </w:p>
        </w:tc>
        <w:tc>
          <w:tcPr>
            <w:tcW w:w="7821" w:type="dxa"/>
          </w:tcPr>
          <w:p w14:paraId="755BAB80" w14:textId="77777777" w:rsidR="00D75D4C" w:rsidRPr="004C6634" w:rsidRDefault="00D75D4C" w:rsidP="00D75D4C">
            <w:pPr>
              <w:cnfStyle w:val="000000000000" w:firstRow="0" w:lastRow="0" w:firstColumn="0" w:lastColumn="0" w:oddVBand="0" w:evenVBand="0" w:oddHBand="0" w:evenHBand="0" w:firstRowFirstColumn="0" w:firstRowLastColumn="0" w:lastRowFirstColumn="0" w:lastRowLastColumn="0"/>
            </w:pPr>
            <w:r w:rsidRPr="004C6634">
              <w:t>Safety Net Provider Payments</w:t>
            </w:r>
          </w:p>
        </w:tc>
      </w:tr>
      <w:tr w:rsidR="00D75D4C" w:rsidRPr="004C6634" w14:paraId="0373B161"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22CE07B0" w14:textId="77777777" w:rsidR="00D75D4C" w:rsidRPr="004C6634" w:rsidRDefault="00D75D4C" w:rsidP="00D75D4C">
            <w:r w:rsidRPr="004C6634">
              <w:t>SSO</w:t>
            </w:r>
          </w:p>
        </w:tc>
        <w:tc>
          <w:tcPr>
            <w:tcW w:w="7821" w:type="dxa"/>
          </w:tcPr>
          <w:p w14:paraId="5509ABF9" w14:textId="77777777" w:rsidR="00D75D4C" w:rsidRPr="004C6634" w:rsidRDefault="00D75D4C" w:rsidP="00D75D4C">
            <w:pPr>
              <w:cnfStyle w:val="000000000000" w:firstRow="0" w:lastRow="0" w:firstColumn="0" w:lastColumn="0" w:oddVBand="0" w:evenVBand="0" w:oddHBand="0" w:evenHBand="0" w:firstRowFirstColumn="0" w:firstRowLastColumn="0" w:lastRowFirstColumn="0" w:lastRowLastColumn="0"/>
            </w:pPr>
            <w:r w:rsidRPr="004C6634">
              <w:t>Social Service Organization</w:t>
            </w:r>
          </w:p>
        </w:tc>
      </w:tr>
      <w:tr w:rsidR="00D75D4C" w:rsidRPr="004C6634" w14:paraId="0D40B70E"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6F350E4F" w14:textId="77777777" w:rsidR="00D75D4C" w:rsidRPr="004C6634" w:rsidRDefault="00D75D4C" w:rsidP="00D75D4C">
            <w:r w:rsidRPr="004C6634">
              <w:t>STC</w:t>
            </w:r>
          </w:p>
        </w:tc>
        <w:tc>
          <w:tcPr>
            <w:tcW w:w="7821" w:type="dxa"/>
          </w:tcPr>
          <w:p w14:paraId="6172D885" w14:textId="77777777" w:rsidR="00D75D4C" w:rsidRPr="004C6634" w:rsidRDefault="00D75D4C" w:rsidP="00D75D4C">
            <w:pPr>
              <w:cnfStyle w:val="000000000000" w:firstRow="0" w:lastRow="0" w:firstColumn="0" w:lastColumn="0" w:oddVBand="0" w:evenVBand="0" w:oddHBand="0" w:evenHBand="0" w:firstRowFirstColumn="0" w:firstRowLastColumn="0" w:lastRowFirstColumn="0" w:lastRowLastColumn="0"/>
            </w:pPr>
            <w:r w:rsidRPr="004C6634">
              <w:t>Special Terms and Conditions</w:t>
            </w:r>
          </w:p>
        </w:tc>
      </w:tr>
      <w:tr w:rsidR="00D75D4C" w:rsidRPr="004C6634" w14:paraId="4A8A084F"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4A8276DB" w14:textId="77777777" w:rsidR="00D75D4C" w:rsidRPr="004C6634" w:rsidRDefault="00D75D4C" w:rsidP="00D75D4C">
            <w:r w:rsidRPr="004C6634">
              <w:t>SUD</w:t>
            </w:r>
          </w:p>
        </w:tc>
        <w:tc>
          <w:tcPr>
            <w:tcW w:w="7821" w:type="dxa"/>
          </w:tcPr>
          <w:p w14:paraId="0A1686DB" w14:textId="49D98C8D" w:rsidR="00D75D4C" w:rsidRPr="004C6634" w:rsidRDefault="00D75D4C" w:rsidP="00D75D4C">
            <w:pPr>
              <w:cnfStyle w:val="000000000000" w:firstRow="0" w:lastRow="0" w:firstColumn="0" w:lastColumn="0" w:oddVBand="0" w:evenVBand="0" w:oddHBand="0" w:evenHBand="0" w:firstRowFirstColumn="0" w:firstRowLastColumn="0" w:lastRowFirstColumn="0" w:lastRowLastColumn="0"/>
            </w:pPr>
            <w:r w:rsidRPr="004C6634">
              <w:t>Substance Use Disorder</w:t>
            </w:r>
          </w:p>
        </w:tc>
      </w:tr>
      <w:tr w:rsidR="00D75D4C" w:rsidRPr="004C6634" w14:paraId="7C65EA6C"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40B6ABAD" w14:textId="77777777" w:rsidR="00D75D4C" w:rsidRPr="004C6634" w:rsidRDefault="00D75D4C" w:rsidP="00D75D4C">
            <w:r w:rsidRPr="004C6634">
              <w:t>SWI</w:t>
            </w:r>
          </w:p>
        </w:tc>
        <w:tc>
          <w:tcPr>
            <w:tcW w:w="7821" w:type="dxa"/>
          </w:tcPr>
          <w:p w14:paraId="3AE4F3B3" w14:textId="77777777" w:rsidR="00D75D4C" w:rsidRPr="004C6634" w:rsidRDefault="00D75D4C" w:rsidP="00D75D4C">
            <w:pPr>
              <w:cnfStyle w:val="000000000000" w:firstRow="0" w:lastRow="0" w:firstColumn="0" w:lastColumn="0" w:oddVBand="0" w:evenVBand="0" w:oddHBand="0" w:evenHBand="0" w:firstRowFirstColumn="0" w:firstRowLastColumn="0" w:lastRowFirstColumn="0" w:lastRowLastColumn="0"/>
            </w:pPr>
            <w:r w:rsidRPr="004C6634">
              <w:t>Statewide Investments</w:t>
            </w:r>
          </w:p>
        </w:tc>
      </w:tr>
      <w:tr w:rsidR="00D75D4C" w:rsidRPr="004C6634" w14:paraId="331AF577"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6CDF2D9D" w14:textId="77777777" w:rsidR="00D75D4C" w:rsidRPr="004C6634" w:rsidRDefault="00D75D4C" w:rsidP="00D75D4C">
            <w:r w:rsidRPr="004C6634">
              <w:t>TA</w:t>
            </w:r>
          </w:p>
        </w:tc>
        <w:tc>
          <w:tcPr>
            <w:tcW w:w="7821" w:type="dxa"/>
          </w:tcPr>
          <w:p w14:paraId="48E5CDF4" w14:textId="77777777" w:rsidR="00D75D4C" w:rsidRPr="004C6634" w:rsidRDefault="00D75D4C" w:rsidP="00D75D4C">
            <w:pPr>
              <w:cnfStyle w:val="000000000000" w:firstRow="0" w:lastRow="0" w:firstColumn="0" w:lastColumn="0" w:oddVBand="0" w:evenVBand="0" w:oddHBand="0" w:evenHBand="0" w:firstRowFirstColumn="0" w:firstRowLastColumn="0" w:lastRowFirstColumn="0" w:lastRowLastColumn="0"/>
            </w:pPr>
            <w:r w:rsidRPr="004C6634">
              <w:t>Technical Assistance</w:t>
            </w:r>
          </w:p>
        </w:tc>
      </w:tr>
      <w:tr w:rsidR="00D75D4C" w:rsidRPr="004C6634" w14:paraId="3157F5AB"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2C479852" w14:textId="77777777" w:rsidR="00D75D4C" w:rsidRPr="004C6634" w:rsidRDefault="00D75D4C" w:rsidP="00D75D4C">
            <w:r w:rsidRPr="004C6634">
              <w:t>TCOC</w:t>
            </w:r>
          </w:p>
        </w:tc>
        <w:tc>
          <w:tcPr>
            <w:tcW w:w="7821" w:type="dxa"/>
          </w:tcPr>
          <w:p w14:paraId="51AB3D35" w14:textId="77777777" w:rsidR="00D75D4C" w:rsidRPr="004C6634" w:rsidRDefault="00D75D4C" w:rsidP="00D75D4C">
            <w:pPr>
              <w:cnfStyle w:val="000000000000" w:firstRow="0" w:lastRow="0" w:firstColumn="0" w:lastColumn="0" w:oddVBand="0" w:evenVBand="0" w:oddHBand="0" w:evenHBand="0" w:firstRowFirstColumn="0" w:firstRowLastColumn="0" w:lastRowFirstColumn="0" w:lastRowLastColumn="0"/>
            </w:pPr>
            <w:r w:rsidRPr="004C6634">
              <w:t>Total Cost of Care</w:t>
            </w:r>
          </w:p>
        </w:tc>
      </w:tr>
      <w:tr w:rsidR="00D75D4C" w:rsidRPr="004C6634" w14:paraId="18A25454"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16786BAD" w14:textId="77777777" w:rsidR="00D75D4C" w:rsidRPr="004C6634" w:rsidRDefault="00D75D4C" w:rsidP="00D75D4C">
            <w:r w:rsidRPr="004C6634">
              <w:t>TJC</w:t>
            </w:r>
          </w:p>
        </w:tc>
        <w:tc>
          <w:tcPr>
            <w:tcW w:w="7821" w:type="dxa"/>
          </w:tcPr>
          <w:p w14:paraId="24C79B6C" w14:textId="77777777" w:rsidR="00D75D4C" w:rsidRPr="004C6634" w:rsidRDefault="00D75D4C" w:rsidP="00D75D4C">
            <w:pPr>
              <w:cnfStyle w:val="000000000000" w:firstRow="0" w:lastRow="0" w:firstColumn="0" w:lastColumn="0" w:oddVBand="0" w:evenVBand="0" w:oddHBand="0" w:evenHBand="0" w:firstRowFirstColumn="0" w:firstRowLastColumn="0" w:lastRowFirstColumn="0" w:lastRowLastColumn="0"/>
            </w:pPr>
            <w:r w:rsidRPr="004C6634">
              <w:t>The Joint Commission</w:t>
            </w:r>
          </w:p>
        </w:tc>
      </w:tr>
      <w:tr w:rsidR="00D75D4C" w:rsidRPr="004C6634" w14:paraId="7CE921D4"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2689E90B" w14:textId="77777777" w:rsidR="00D75D4C" w:rsidRPr="004C6634" w:rsidRDefault="00D75D4C" w:rsidP="00D75D4C">
            <w:r w:rsidRPr="004C6634">
              <w:t>UC</w:t>
            </w:r>
          </w:p>
        </w:tc>
        <w:tc>
          <w:tcPr>
            <w:tcW w:w="7821" w:type="dxa"/>
          </w:tcPr>
          <w:p w14:paraId="13BE0C43" w14:textId="77777777" w:rsidR="00D75D4C" w:rsidRPr="004C6634" w:rsidRDefault="00D75D4C" w:rsidP="00D75D4C">
            <w:pPr>
              <w:cnfStyle w:val="000000000000" w:firstRow="0" w:lastRow="0" w:firstColumn="0" w:lastColumn="0" w:oddVBand="0" w:evenVBand="0" w:oddHBand="0" w:evenHBand="0" w:firstRowFirstColumn="0" w:firstRowLastColumn="0" w:lastRowFirstColumn="0" w:lastRowLastColumn="0"/>
            </w:pPr>
            <w:r w:rsidRPr="004C6634">
              <w:t>Uncompensated Care</w:t>
            </w:r>
          </w:p>
        </w:tc>
      </w:tr>
      <w:tr w:rsidR="00D75D4C" w:rsidRPr="004C6634" w14:paraId="57116A3F"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16C3CAC3" w14:textId="77777777" w:rsidR="00D75D4C" w:rsidRPr="004C6634" w:rsidRDefault="00D75D4C" w:rsidP="00D75D4C">
            <w:r w:rsidRPr="004C6634">
              <w:t>UCCR</w:t>
            </w:r>
          </w:p>
        </w:tc>
        <w:tc>
          <w:tcPr>
            <w:tcW w:w="7821" w:type="dxa"/>
          </w:tcPr>
          <w:p w14:paraId="70466158" w14:textId="77777777" w:rsidR="00D75D4C" w:rsidRPr="004C6634" w:rsidRDefault="00D75D4C" w:rsidP="00D75D4C">
            <w:pPr>
              <w:cnfStyle w:val="000000000000" w:firstRow="0" w:lastRow="0" w:firstColumn="0" w:lastColumn="0" w:oddVBand="0" w:evenVBand="0" w:oddHBand="0" w:evenHBand="0" w:firstRowFirstColumn="0" w:firstRowLastColumn="0" w:lastRowFirstColumn="0" w:lastRowLastColumn="0"/>
            </w:pPr>
            <w:r w:rsidRPr="004C6634">
              <w:t>Uncompensated Care Cost &amp; Charge Report</w:t>
            </w:r>
          </w:p>
        </w:tc>
      </w:tr>
      <w:tr w:rsidR="00D75D4C" w:rsidRPr="004C6634" w14:paraId="3172858E"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5225E7B3" w14:textId="77777777" w:rsidR="00D75D4C" w:rsidRPr="004C6634" w:rsidRDefault="00D75D4C" w:rsidP="00D75D4C">
            <w:r w:rsidRPr="004C6634">
              <w:t>WI</w:t>
            </w:r>
          </w:p>
        </w:tc>
        <w:tc>
          <w:tcPr>
            <w:tcW w:w="7821" w:type="dxa"/>
          </w:tcPr>
          <w:p w14:paraId="13369EB0" w14:textId="77777777" w:rsidR="00D75D4C" w:rsidRPr="004C6634" w:rsidRDefault="00D75D4C" w:rsidP="00D75D4C">
            <w:pPr>
              <w:cnfStyle w:val="000000000000" w:firstRow="0" w:lastRow="0" w:firstColumn="0" w:lastColumn="0" w:oddVBand="0" w:evenVBand="0" w:oddHBand="0" w:evenHBand="0" w:firstRowFirstColumn="0" w:firstRowLastColumn="0" w:lastRowFirstColumn="0" w:lastRowLastColumn="0"/>
            </w:pPr>
            <w:r w:rsidRPr="004C6634">
              <w:t>Workforce Initiatives</w:t>
            </w:r>
          </w:p>
        </w:tc>
      </w:tr>
      <w:tr w:rsidR="00D75D4C" w:rsidRPr="004C6634" w14:paraId="5CED2B84"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117A543B" w14:textId="77777777" w:rsidR="00D75D4C" w:rsidRPr="004C6634" w:rsidRDefault="00D75D4C" w:rsidP="00D75D4C">
            <w:r w:rsidRPr="004C6634">
              <w:t>WONDER</w:t>
            </w:r>
          </w:p>
        </w:tc>
        <w:tc>
          <w:tcPr>
            <w:tcW w:w="7821" w:type="dxa"/>
          </w:tcPr>
          <w:p w14:paraId="1CFE2564" w14:textId="77777777" w:rsidR="00D75D4C" w:rsidRPr="004C6634" w:rsidRDefault="00D75D4C" w:rsidP="00D75D4C">
            <w:pPr>
              <w:cnfStyle w:val="000000000000" w:firstRow="0" w:lastRow="0" w:firstColumn="0" w:lastColumn="0" w:oddVBand="0" w:evenVBand="0" w:oddHBand="0" w:evenHBand="0" w:firstRowFirstColumn="0" w:firstRowLastColumn="0" w:lastRowFirstColumn="0" w:lastRowLastColumn="0"/>
            </w:pPr>
            <w:r w:rsidRPr="004C6634">
              <w:t>Wide-ranging Online Data for Epidemiologic Research</w:t>
            </w:r>
          </w:p>
        </w:tc>
      </w:tr>
    </w:tbl>
    <w:p w14:paraId="7EA6D5C8" w14:textId="77777777" w:rsidR="004C6634" w:rsidRPr="00454C70" w:rsidRDefault="004C6634" w:rsidP="00454C70"/>
    <w:p w14:paraId="7533FD95" w14:textId="11803611" w:rsidR="000909B3" w:rsidRPr="00F13F06" w:rsidRDefault="000909B3" w:rsidP="00F13F06">
      <w:pPr>
        <w:sectPr w:rsidR="000909B3" w:rsidRPr="00F13F06" w:rsidSect="00744E1B">
          <w:footerReference w:type="default" r:id="rId15"/>
          <w:pgSz w:w="12240" w:h="15840"/>
          <w:pgMar w:top="1194" w:right="1440" w:bottom="1242" w:left="1440" w:header="720" w:footer="576" w:gutter="0"/>
          <w:pgNumType w:start="1"/>
          <w:cols w:space="720"/>
          <w:docGrid w:linePitch="360"/>
        </w:sectPr>
      </w:pPr>
    </w:p>
    <w:p w14:paraId="340256D7" w14:textId="77777777" w:rsidR="00692841" w:rsidRPr="00692841" w:rsidRDefault="4CA28718" w:rsidP="00692841">
      <w:pPr>
        <w:pStyle w:val="Heading1"/>
        <w:numPr>
          <w:ilvl w:val="0"/>
          <w:numId w:val="54"/>
        </w:numPr>
      </w:pPr>
      <w:bookmarkStart w:id="6" w:name="_Executive_Summary"/>
      <w:bookmarkStart w:id="7" w:name="_Toc132114139"/>
      <w:bookmarkStart w:id="8" w:name="_Toc151976405"/>
      <w:bookmarkStart w:id="9" w:name="_Toc130209694"/>
      <w:bookmarkEnd w:id="6"/>
      <w:r>
        <w:lastRenderedPageBreak/>
        <w:t>Executive Summary</w:t>
      </w:r>
      <w:bookmarkEnd w:id="7"/>
      <w:bookmarkEnd w:id="8"/>
    </w:p>
    <w:p w14:paraId="58CA33D8" w14:textId="5BEA72F1" w:rsidR="00692841" w:rsidRPr="00692841" w:rsidRDefault="00010D89" w:rsidP="00692841">
      <w:pPr>
        <w:pStyle w:val="Heading2"/>
      </w:pPr>
      <w:bookmarkStart w:id="10" w:name="_Toc132114140"/>
      <w:r>
        <w:t xml:space="preserve"> </w:t>
      </w:r>
      <w:bookmarkStart w:id="11" w:name="_Toc151976406"/>
      <w:r w:rsidR="00692841" w:rsidRPr="00692841">
        <w:t>Demonstration Overview</w:t>
      </w:r>
      <w:bookmarkEnd w:id="10"/>
      <w:bookmarkEnd w:id="11"/>
      <w:r w:rsidR="00692841" w:rsidRPr="00692841">
        <w:t xml:space="preserve"> </w:t>
      </w:r>
    </w:p>
    <w:bookmarkEnd w:id="3"/>
    <w:bookmarkEnd w:id="4"/>
    <w:bookmarkEnd w:id="9"/>
    <w:p w14:paraId="263A1FE4" w14:textId="48C12ADF" w:rsidR="003F284D" w:rsidRPr="005B74BB" w:rsidRDefault="15D59E32" w:rsidP="005B74BB">
      <w:r>
        <w:t xml:space="preserve">MassHealth, </w:t>
      </w:r>
      <w:r w:rsidR="68FB3B42" w:rsidRPr="00E32EF7">
        <w:t xml:space="preserve">a combination of </w:t>
      </w:r>
      <w:r>
        <w:t xml:space="preserve">the Massachusetts Medicaid and Children’s Health Insurance Program (CHIP), serves over </w:t>
      </w:r>
      <w:r w:rsidRPr="00E32EF7">
        <w:t>2.</w:t>
      </w:r>
      <w:r w:rsidR="34E47EAA" w:rsidRPr="00E32EF7">
        <w:t>16</w:t>
      </w:r>
      <w:r>
        <w:t xml:space="preserve"> million Massachusetts residents as of </w:t>
      </w:r>
      <w:r w:rsidR="005E982D" w:rsidRPr="00E32EF7">
        <w:t>December</w:t>
      </w:r>
      <w:r w:rsidR="0CCDF8B4">
        <w:t xml:space="preserve"> </w:t>
      </w:r>
      <w:r>
        <w:t xml:space="preserve">2022. Massachusetts has long used a Section 1115 Demonstration Project (Demonstration) to pilot innovative strategies for delivering and financing healthcare for many MassHealth members. Since its launch in 1997, the Demonstration has served as a vehicle to expand coverage, encourage better coordination and cost containment through managed care, and support safety net providers, among other innovations. </w:t>
      </w:r>
      <w:r w:rsidR="5379E80E">
        <w:t>A precursor to the coverage expansions under the Affordable Care Act, t</w:t>
      </w:r>
      <w:r>
        <w:t xml:space="preserve">he Demonstration played a key role during </w:t>
      </w:r>
      <w:r w:rsidR="041ED8B8">
        <w:t xml:space="preserve">the Commonwealth of </w:t>
      </w:r>
      <w:r>
        <w:t xml:space="preserve">Massachusetts’ 2006 healthcare reform (also known as Chapter 58 of the Acts of 2006) that made coverage available across the income spectrum through changes to the individual marketplace and Medicaid. In 2012, </w:t>
      </w:r>
      <w:r w:rsidR="539602AC">
        <w:t>t</w:t>
      </w:r>
      <w:r w:rsidR="041ED8B8">
        <w:t>he Commonwealth</w:t>
      </w:r>
      <w:r>
        <w:t xml:space="preserve"> passed further legislation (Chapter 224 of the Acts of 2012) to address the high cost of healthcare and the need for better care integration. Th</w:t>
      </w:r>
      <w:r w:rsidR="5379E80E">
        <w:t>is</w:t>
      </w:r>
      <w:r>
        <w:t xml:space="preserve"> legislation set healthcare cost benchmarks for the state and created a new independent state agency, the Health Policy Commission (HPC), to monitor healthcare costs. The legislation also directed MassHealth to implement new ways of paying for and delivering more integrated care. </w:t>
      </w:r>
    </w:p>
    <w:p w14:paraId="1EE646C5" w14:textId="0246A59E" w:rsidR="003F284D" w:rsidRPr="005B74BB" w:rsidRDefault="003F284D" w:rsidP="005B74BB">
      <w:r w:rsidRPr="005B74BB">
        <w:t xml:space="preserve">In 2016, </w:t>
      </w:r>
      <w:r w:rsidRPr="00A013E1">
        <w:t>the</w:t>
      </w:r>
      <w:r w:rsidRPr="005B74BB">
        <w:t xml:space="preserve"> Commonwealth requested a </w:t>
      </w:r>
      <w:r w:rsidR="00965F54" w:rsidRPr="005B74BB">
        <w:t>five</w:t>
      </w:r>
      <w:r w:rsidRPr="005B74BB">
        <w:t xml:space="preserve">-year extension of the Demonstration to improve care delivery, control costs, and address the opioid epidemic. On November 4, 2016, the </w:t>
      </w:r>
      <w:bookmarkStart w:id="12" w:name="_Hlk130293456"/>
      <w:r w:rsidRPr="005B74BB">
        <w:t xml:space="preserve">Centers for Medicare and Medicaid Services </w:t>
      </w:r>
      <w:bookmarkEnd w:id="12"/>
      <w:r w:rsidRPr="005B74BB">
        <w:t xml:space="preserve">(CMS) approved the sixth extension of the Demonstration for the period </w:t>
      </w:r>
      <w:r w:rsidR="004D2FA5">
        <w:t xml:space="preserve">of </w:t>
      </w:r>
      <w:r w:rsidRPr="005B74BB">
        <w:t xml:space="preserve">July 1, 2017, through June 30, 2022. </w:t>
      </w:r>
      <w:r w:rsidR="0D2EA3DD" w:rsidRPr="005B74BB">
        <w:t xml:space="preserve">On June 9, 2022, CMS approved a three-month </w:t>
      </w:r>
      <w:r w:rsidR="001138D1" w:rsidRPr="005B74BB">
        <w:t>Demonstration</w:t>
      </w:r>
      <w:r w:rsidR="007B3629" w:rsidRPr="005B74BB">
        <w:t xml:space="preserve"> extension</w:t>
      </w:r>
      <w:r w:rsidR="51B5ED50" w:rsidRPr="005B74BB">
        <w:t xml:space="preserve"> through September 30, 2022.</w:t>
      </w:r>
    </w:p>
    <w:p w14:paraId="0335BE59" w14:textId="2EB5572B" w:rsidR="003F284D" w:rsidRPr="005B74BB" w:rsidRDefault="003F284D" w:rsidP="005B74BB">
      <w:r w:rsidRPr="005B74BB">
        <w:t xml:space="preserve">In the extension of the Demonstration awarded on November 4, 2016, CMS approved the Commonwealth’s plan to implement </w:t>
      </w:r>
      <w:r w:rsidR="00767FC9" w:rsidRPr="005B74BB">
        <w:t xml:space="preserve">significant </w:t>
      </w:r>
      <w:r w:rsidRPr="005B74BB">
        <w:t>new components to support a value-based restructuring of MassHealth’s healthcare delivery and payment system and a Delivery System Reform Incentive Payment (DSRIP) Program to transition the Mass</w:t>
      </w:r>
      <w:r w:rsidR="00370222">
        <w:t>Health</w:t>
      </w:r>
      <w:r w:rsidRPr="005B74BB">
        <w:t xml:space="preserve"> delivery system into accountable care models. The </w:t>
      </w:r>
      <w:r w:rsidR="00E95EF5" w:rsidRPr="005B74BB">
        <w:t xml:space="preserve">extension's Safety Net Care Pool (SNCP) provisions </w:t>
      </w:r>
      <w:r w:rsidRPr="005B74BB">
        <w:t xml:space="preserve">aligned funding with MassHealth’s broader accountable care strategies and expectations to establish a more sustainable structure for necessary and ongoing funding support to safety net providers. </w:t>
      </w:r>
    </w:p>
    <w:p w14:paraId="3FD41A73" w14:textId="7DDDCA49" w:rsidR="003F284D" w:rsidRPr="005B74BB" w:rsidRDefault="003F284D" w:rsidP="005B74BB">
      <w:r w:rsidRPr="005B74BB">
        <w:t>In March 2022, the Commonwealth submitted the Independent Evaluation Interim Report (IEIR) to CMS for the 2017-2022 Demonstration period.</w:t>
      </w:r>
      <w:r w:rsidRPr="0009132C">
        <w:rPr>
          <w:vertAlign w:val="superscript"/>
        </w:rPr>
        <w:footnoteReference w:id="2"/>
      </w:r>
      <w:r w:rsidRPr="0009132C">
        <w:rPr>
          <w:vertAlign w:val="superscript"/>
        </w:rPr>
        <w:t xml:space="preserve"> </w:t>
      </w:r>
      <w:r w:rsidRPr="005B74BB">
        <w:t xml:space="preserve">The primary finding from the IEIR was that MassHealth and its partners collaborated extensively and made valuable, measurable progress in the early years of the implementation toward transforming healthcare delivery and improving care processes at the organizational </w:t>
      </w:r>
      <w:r w:rsidRPr="005B74BB">
        <w:lastRenderedPageBreak/>
        <w:t>level. Findings from the first 18 months showed substantial progress in implementing the program as designed and early evidence of progress on outcomes of interest.</w:t>
      </w:r>
    </w:p>
    <w:p w14:paraId="47077782" w14:textId="305610F9" w:rsidR="003F284D" w:rsidRPr="005B74BB" w:rsidRDefault="003F284D" w:rsidP="005B74BB">
      <w:r w:rsidRPr="005B74BB">
        <w:t xml:space="preserve">Early signs of improvement in clinical outcomes and progress in shifting utilization from high-cost to lower-cost outpatient settings while maintaining high </w:t>
      </w:r>
      <w:r w:rsidR="00C23336" w:rsidRPr="005B74BB">
        <w:t>member satisfaction levels</w:t>
      </w:r>
      <w:r w:rsidRPr="005B74BB">
        <w:t xml:space="preserve"> were especially encouraging. With support from MassHealth, participating organizations have overcome many challenges associated with developing new relationships, enhancing technology infrastructure, and operating under an integrated and accountable care model.</w:t>
      </w:r>
      <w:r w:rsidR="005B74BB">
        <w:t xml:space="preserve"> </w:t>
      </w:r>
    </w:p>
    <w:p w14:paraId="38D87B72" w14:textId="7E5BE27F" w:rsidR="00FE666A" w:rsidRPr="005B74BB" w:rsidRDefault="003F284D" w:rsidP="005B74BB">
      <w:r w:rsidRPr="005B74BB">
        <w:t>Among other findings reported in the IEIR, it</w:t>
      </w:r>
      <w:r w:rsidRPr="005B74BB" w:rsidDel="0024255A">
        <w:t xml:space="preserve"> </w:t>
      </w:r>
      <w:r w:rsidRPr="005B74BB">
        <w:t xml:space="preserve">is notable that the Demonstration </w:t>
      </w:r>
      <w:r w:rsidRPr="00E36709">
        <w:t xml:space="preserve">successfully kept the </w:t>
      </w:r>
      <w:r w:rsidR="0080164A" w:rsidRPr="00E36709">
        <w:t xml:space="preserve">Commonwealth’s </w:t>
      </w:r>
      <w:r w:rsidRPr="00E36709">
        <w:t>uninsurance rate the lowest in the country —</w:t>
      </w:r>
      <w:r w:rsidRPr="005B74BB">
        <w:t xml:space="preserve"> </w:t>
      </w:r>
      <w:r w:rsidR="6EEF93A4" w:rsidRPr="005B74BB">
        <w:t>2.4</w:t>
      </w:r>
      <w:r w:rsidR="00B82834">
        <w:t xml:space="preserve"> </w:t>
      </w:r>
      <w:r w:rsidR="00A2080D">
        <w:t>percent</w:t>
      </w:r>
      <w:r w:rsidR="00B82834" w:rsidRPr="005B74BB">
        <w:t xml:space="preserve"> </w:t>
      </w:r>
      <w:r w:rsidR="6EEF93A4" w:rsidRPr="005B74BB">
        <w:t>as of 2021</w:t>
      </w:r>
      <w:r w:rsidR="00C23336" w:rsidRPr="005B74BB">
        <w:t xml:space="preserve">. </w:t>
      </w:r>
      <w:r w:rsidRPr="005B74BB">
        <w:t xml:space="preserve">The IEIR also found that overall, aggregate uncompensated care (UC) costs across the 14 participating safety net hospitals </w:t>
      </w:r>
      <w:r w:rsidR="00234585" w:rsidRPr="005B74BB">
        <w:t xml:space="preserve">(SNH) </w:t>
      </w:r>
      <w:r w:rsidRPr="005B74BB">
        <w:t xml:space="preserve">that received Safety Net Provider Payments (SNPP) decreased during the Demonstration. In addition, the preliminary findings in the IEIR were generally positive for members diagnosed with a substance use disorder (SUD), such as decreases in the rate of opioid overdoses and increases in the number of providers treating SUD. However, findings were mixed related to the initiation and engagement of MassHealth members in SUD treatment. </w:t>
      </w:r>
    </w:p>
    <w:p w14:paraId="0E67AA1A" w14:textId="328C16F8" w:rsidR="00343BF4" w:rsidRPr="005B74BB" w:rsidRDefault="00343BF4" w:rsidP="005B74BB">
      <w:r w:rsidRPr="005B74BB">
        <w:t xml:space="preserve">As </w:t>
      </w:r>
      <w:r w:rsidR="00B1712E" w:rsidRPr="005B74BB">
        <w:t>shown</w:t>
      </w:r>
      <w:r w:rsidRPr="005B74BB">
        <w:t xml:space="preserve"> by </w:t>
      </w:r>
      <w:r w:rsidR="001647A4">
        <w:t>b</w:t>
      </w:r>
      <w:r w:rsidRPr="005B74BB">
        <w:t xml:space="preserve">udget </w:t>
      </w:r>
      <w:r w:rsidR="001647A4">
        <w:t>n</w:t>
      </w:r>
      <w:r w:rsidRPr="005B74BB">
        <w:t>eutrality calculations</w:t>
      </w:r>
      <w:r w:rsidR="00370222">
        <w:t xml:space="preserve"> reported by MassHealth</w:t>
      </w:r>
      <w:r w:rsidRPr="005B74BB">
        <w:t>, the Demonstration has lower costs than would otherwise be accrued without the Demonstration</w:t>
      </w:r>
      <w:bookmarkStart w:id="13" w:name="_Hlk130396831"/>
      <w:r w:rsidRPr="005B74BB">
        <w:t xml:space="preserve">. </w:t>
      </w:r>
      <w:bookmarkEnd w:id="13"/>
      <w:r w:rsidR="00C23336" w:rsidRPr="005B74BB">
        <w:t xml:space="preserve">An internal </w:t>
      </w:r>
      <w:r w:rsidRPr="005B74BB">
        <w:t>analysis by MassHealth</w:t>
      </w:r>
      <w:r w:rsidR="00E61316" w:rsidRPr="005B74BB">
        <w:t xml:space="preserve"> </w:t>
      </w:r>
      <w:r w:rsidR="00C23336" w:rsidRPr="005B74BB">
        <w:t>confirms</w:t>
      </w:r>
      <w:r w:rsidRPr="005B74BB">
        <w:t xml:space="preserve"> that per-member-per-month (PMPM) costs for MassHealth beneficiaries will continue to be lower than they would have been without the Demonstration. </w:t>
      </w:r>
    </w:p>
    <w:p w14:paraId="550F37BB" w14:textId="6E45EFB3" w:rsidR="003F284D" w:rsidRPr="005B74BB" w:rsidRDefault="003F284D" w:rsidP="005B74BB">
      <w:r w:rsidRPr="005B74BB">
        <w:t xml:space="preserve">On September 28, 2022, CMS approved Massachusetts’ </w:t>
      </w:r>
      <w:r w:rsidRPr="00D51D3B">
        <w:t>request</w:t>
      </w:r>
      <w:r w:rsidR="00D51D3B" w:rsidRPr="00D51D3B">
        <w:t xml:space="preserve"> </w:t>
      </w:r>
      <w:r w:rsidR="002A276F" w:rsidRPr="00D51D3B">
        <w:t>—</w:t>
      </w:r>
      <w:r w:rsidR="00D51D3B" w:rsidRPr="00D51D3B">
        <w:t xml:space="preserve"> </w:t>
      </w:r>
      <w:r w:rsidR="00370222" w:rsidRPr="00D51D3B">
        <w:t>entitled “MassHealth”</w:t>
      </w:r>
      <w:r w:rsidR="0080782B" w:rsidRPr="00D51D3B">
        <w:t xml:space="preserve"> (</w:t>
      </w:r>
      <w:r w:rsidR="00370222" w:rsidRPr="00D51D3B">
        <w:t>Project Number 11-W-00030/1 and 21-W00071/1</w:t>
      </w:r>
      <w:r w:rsidR="0080782B" w:rsidRPr="00D51D3B">
        <w:t>)</w:t>
      </w:r>
      <w:r w:rsidR="00D51D3B" w:rsidRPr="00D51D3B">
        <w:t xml:space="preserve"> </w:t>
      </w:r>
      <w:r w:rsidR="002A276F" w:rsidRPr="00D51D3B">
        <w:t>—</w:t>
      </w:r>
      <w:r w:rsidR="00D51D3B" w:rsidRPr="00D51D3B">
        <w:t xml:space="preserve"> </w:t>
      </w:r>
      <w:r w:rsidRPr="00D51D3B">
        <w:t>to extend the</w:t>
      </w:r>
      <w:r w:rsidRPr="005B74BB">
        <w:t xml:space="preserve"> Demonstration for another five years to enable the Commonwealth to achieve the following Demonstration goals: </w:t>
      </w:r>
    </w:p>
    <w:p w14:paraId="43D9F286" w14:textId="1693D3A5" w:rsidR="003F284D" w:rsidRPr="0009132C" w:rsidRDefault="003F284D" w:rsidP="003417FC">
      <w:pPr>
        <w:pStyle w:val="ListNumber"/>
      </w:pPr>
      <w:r w:rsidRPr="0009132C">
        <w:t xml:space="preserve">Continue the path of restructuring and reaffirming accountable, value-based care </w:t>
      </w:r>
      <w:r w:rsidR="00767D11">
        <w:t>—</w:t>
      </w:r>
      <w:r w:rsidRPr="0009132C">
        <w:t xml:space="preserve"> increasing expectations for how Accountable Care Organizations (ACOs) improve care and trend management and refining the model; </w:t>
      </w:r>
    </w:p>
    <w:p w14:paraId="1B39E69C" w14:textId="00E068BC" w:rsidR="003F284D" w:rsidRPr="0009132C" w:rsidRDefault="003F284D" w:rsidP="003417FC">
      <w:pPr>
        <w:pStyle w:val="ListNumber"/>
      </w:pPr>
      <w:r w:rsidRPr="0009132C">
        <w:t>Make reforms and investments in primary care, behavioral health (BH), and pediatric care that expand access and move the delivery system away from siloed, fee-for-service</w:t>
      </w:r>
      <w:r w:rsidR="008B5D8F" w:rsidRPr="0009132C">
        <w:t xml:space="preserve"> (FFS)</w:t>
      </w:r>
      <w:r w:rsidRPr="0009132C">
        <w:t xml:space="preserve"> healthcare; </w:t>
      </w:r>
    </w:p>
    <w:p w14:paraId="17509FAE" w14:textId="77777777" w:rsidR="003F284D" w:rsidRPr="0009132C" w:rsidRDefault="003F284D" w:rsidP="003417FC">
      <w:pPr>
        <w:pStyle w:val="ListNumber"/>
      </w:pPr>
      <w:r w:rsidRPr="0009132C">
        <w:t xml:space="preserve">Continue to improve access to quality and equity of care with a focus on initiatives addressing health-related social needs (HRSN) and specific improvement areas relating to health quality and equity, including maternal healthcare and healthcare for justice-involved individuals who are in the community; </w:t>
      </w:r>
    </w:p>
    <w:p w14:paraId="0B0A81BF" w14:textId="4449EAB0" w:rsidR="003F284D" w:rsidRPr="0009132C" w:rsidRDefault="003F284D" w:rsidP="003417FC">
      <w:pPr>
        <w:pStyle w:val="ListNumber"/>
      </w:pPr>
      <w:r w:rsidRPr="0009132C">
        <w:t xml:space="preserve">Support the Commonwealth’s safety net, including ongoing, predictable funding for safety net providers, with a continued linkage to accountable care; and </w:t>
      </w:r>
    </w:p>
    <w:p w14:paraId="2D204452" w14:textId="2A4D2F09" w:rsidR="003F284D" w:rsidRPr="0009132C" w:rsidRDefault="003F284D" w:rsidP="003417FC">
      <w:pPr>
        <w:pStyle w:val="ListNumber"/>
      </w:pPr>
      <w:r w:rsidRPr="0009132C">
        <w:lastRenderedPageBreak/>
        <w:t>Maintain near-universal coverage, including updates to eligibility policies to support coverage and equity. This Demonstration</w:t>
      </w:r>
      <w:r w:rsidR="00963483" w:rsidRPr="0009132C">
        <w:t xml:space="preserve"> </w:t>
      </w:r>
      <w:r w:rsidRPr="0009132C">
        <w:t xml:space="preserve">is effective October 1, 2022, through December 31, 2027. </w:t>
      </w:r>
    </w:p>
    <w:p w14:paraId="49E9BFA7" w14:textId="38297C12" w:rsidR="003F284D" w:rsidRPr="0009132C" w:rsidRDefault="02057B13" w:rsidP="003C6C8F">
      <w:r>
        <w:t xml:space="preserve">The approval will extend many longstanding authorities and allow the Commonwealth, through various </w:t>
      </w:r>
      <w:r w:rsidR="3E327296">
        <w:t xml:space="preserve">new and revised </w:t>
      </w:r>
      <w:r>
        <w:t xml:space="preserve">waiver and expenditure authorities, to test the efficacy of innovative practices aimed at promoting consistently high-quality, </w:t>
      </w:r>
      <w:r w:rsidR="6116BD2D">
        <w:t>equity</w:t>
      </w:r>
      <w:r w:rsidR="1BA2B1CE">
        <w:t>-</w:t>
      </w:r>
      <w:r w:rsidR="6116BD2D">
        <w:t xml:space="preserve">promoting, </w:t>
      </w:r>
      <w:r>
        <w:t>evidence-based, coordinated, and integrated care</w:t>
      </w:r>
      <w:r w:rsidR="27837658">
        <w:t>.</w:t>
      </w:r>
      <w:r w:rsidR="53D76224">
        <w:t xml:space="preserve"> </w:t>
      </w:r>
      <w:r w:rsidR="7FCB5748">
        <w:t>These</w:t>
      </w:r>
      <w:r w:rsidR="1B152D72">
        <w:t xml:space="preserve"> practices</w:t>
      </w:r>
      <w:r>
        <w:t xml:space="preserve"> </w:t>
      </w:r>
      <w:r w:rsidR="24EB1E37">
        <w:t>are designed to</w:t>
      </w:r>
      <w:r w:rsidR="516ECDB1">
        <w:t xml:space="preserve"> address the</w:t>
      </w:r>
      <w:r>
        <w:t xml:space="preserve"> combined goals of providing medical assistance</w:t>
      </w:r>
      <w:r w:rsidR="48234BC5">
        <w:t xml:space="preserve">, </w:t>
      </w:r>
      <w:r w:rsidR="7164192F">
        <w:t xml:space="preserve">addressing </w:t>
      </w:r>
      <w:r w:rsidR="003B0F49">
        <w:t>HRSN</w:t>
      </w:r>
      <w:r w:rsidR="7164192F">
        <w:t xml:space="preserve">, </w:t>
      </w:r>
      <w:r>
        <w:t xml:space="preserve">and improving the health of the communities served through the Demonstration. The extension will also lead to additional populations being served by Medicaid and additional services being furnished to Medicaid beneficiaries. </w:t>
      </w:r>
    </w:p>
    <w:p w14:paraId="276A368C" w14:textId="0D673446" w:rsidR="003F284D" w:rsidRPr="0009132C" w:rsidRDefault="00010D89" w:rsidP="00E112E8">
      <w:pPr>
        <w:pStyle w:val="Heading2"/>
      </w:pPr>
      <w:bookmarkStart w:id="14" w:name="_Toc130209696"/>
      <w:r>
        <w:t xml:space="preserve"> </w:t>
      </w:r>
      <w:bookmarkStart w:id="15" w:name="_Toc151976407"/>
      <w:r w:rsidR="003F284D" w:rsidRPr="0009132C">
        <w:t>Selection of the Independent Evaluator and Assurance of Independence</w:t>
      </w:r>
      <w:bookmarkEnd w:id="14"/>
      <w:bookmarkEnd w:id="15"/>
      <w:r w:rsidR="003F284D" w:rsidRPr="0009132C">
        <w:t xml:space="preserve"> </w:t>
      </w:r>
    </w:p>
    <w:p w14:paraId="30BB5A46" w14:textId="793B16C2" w:rsidR="003F284D" w:rsidRPr="0009132C" w:rsidRDefault="003F284D" w:rsidP="003C6C8F">
      <w:r w:rsidRPr="0009132C">
        <w:t xml:space="preserve">Based on previous performance and familiarity with MassHealth programs, policies, and data systems, Massachusetts has selected the University of Massachusetts Chan Medical School (UMass Chan) as the Independent Evaluator (IE) for the 2022-2027 Demonstration. The </w:t>
      </w:r>
      <w:r w:rsidR="00693747">
        <w:t>i</w:t>
      </w:r>
      <w:r w:rsidRPr="0009132C">
        <w:t xml:space="preserve">ndependent </w:t>
      </w:r>
      <w:r w:rsidR="00693747">
        <w:t>e</w:t>
      </w:r>
      <w:r w:rsidRPr="0009132C">
        <w:t xml:space="preserve">valuation will also be informed by review and guidance from a Scientific Advisory Committee (SAC) and external reviewers comprised of nationally recognized experts in Medicaid systems transformation, program evaluation, and health services research. Further detail on UMass Chan's qualifications, key personnel, lack of conflict of interest, and the SAC and external reviewers can be found in </w:t>
      </w:r>
      <w:hyperlink w:anchor="Appendix_A" w:history="1">
        <w:r w:rsidRPr="00614FFB">
          <w:rPr>
            <w:rStyle w:val="Hyperlink"/>
          </w:rPr>
          <w:t>Appendix A</w:t>
        </w:r>
      </w:hyperlink>
      <w:r w:rsidRPr="0009132C">
        <w:t xml:space="preserve">. </w:t>
      </w:r>
    </w:p>
    <w:p w14:paraId="1E82F8DD" w14:textId="0EEA5E9D" w:rsidR="003F284D" w:rsidRPr="0009132C" w:rsidRDefault="00010D89" w:rsidP="00E112E8">
      <w:pPr>
        <w:pStyle w:val="Heading2"/>
      </w:pPr>
      <w:bookmarkStart w:id="16" w:name="_Toc130209697"/>
      <w:r>
        <w:t xml:space="preserve"> </w:t>
      </w:r>
      <w:bookmarkStart w:id="17" w:name="_Toc151976408"/>
      <w:r w:rsidR="003F284D" w:rsidRPr="0009132C">
        <w:t>Overview of the 2022-2027 EDD</w:t>
      </w:r>
      <w:bookmarkEnd w:id="16"/>
      <w:bookmarkEnd w:id="17"/>
    </w:p>
    <w:p w14:paraId="2191EA10" w14:textId="29D01C4A" w:rsidR="003F284D" w:rsidRPr="0009132C" w:rsidRDefault="003F284D" w:rsidP="003C6C8F">
      <w:r w:rsidRPr="0009132C">
        <w:t>The development of this EDD has been guided by the Demonstration’s Special Terms and Conditions (STC) dated September 28, 2022, and subsequent communications and guidance from CMS.</w:t>
      </w:r>
      <w:r w:rsidRPr="0009132C">
        <w:rPr>
          <w:rStyle w:val="FootnoteReference"/>
        </w:rPr>
        <w:footnoteReference w:id="3"/>
      </w:r>
      <w:r w:rsidRPr="0009132C">
        <w:t xml:space="preserve"> STC</w:t>
      </w:r>
      <w:r w:rsidRPr="0009132C" w:rsidDel="00085F39">
        <w:t xml:space="preserve"> </w:t>
      </w:r>
      <w:r w:rsidRPr="0009132C">
        <w:t>17 Evaluation of the Demonstration and the CMS technical assistance memo identified multiple “policy components” and subject areas for evaluation that overlapped with th</w:t>
      </w:r>
      <w:r w:rsidRPr="00872DEF">
        <w:t xml:space="preserve">e </w:t>
      </w:r>
      <w:r w:rsidR="005B47F7" w:rsidRPr="00872DEF">
        <w:t>state</w:t>
      </w:r>
      <w:r w:rsidRPr="00872DEF">
        <w:t>’s</w:t>
      </w:r>
      <w:r w:rsidRPr="0009132C">
        <w:t xml:space="preserve"> five Demonstration goals. The IE team worked with MassHealth subject matter experts to crosswalk the CMS required </w:t>
      </w:r>
      <w:r w:rsidR="00F352D4" w:rsidRPr="0009132C">
        <w:t xml:space="preserve">and recommended </w:t>
      </w:r>
      <w:r w:rsidRPr="0009132C">
        <w:t>evaluation components with the Massachusetts Demonstration goals to identify seven “policy domains” that include the policy components for evaluation identified by CMS (</w:t>
      </w:r>
      <w:r w:rsidRPr="00DE1FFB">
        <w:rPr>
          <w:color w:val="000000" w:themeColor="text1"/>
        </w:rPr>
        <w:t>see</w:t>
      </w:r>
      <w:r w:rsidRPr="00314AF3">
        <w:rPr>
          <w:color w:val="000F9F"/>
        </w:rPr>
        <w:t xml:space="preserve"> </w:t>
      </w:r>
      <w:r w:rsidR="009F5CBD" w:rsidRPr="00DE1FFB">
        <w:rPr>
          <w:color w:val="000F9F"/>
          <w:u w:val="single"/>
        </w:rPr>
        <w:fldChar w:fldCharType="begin"/>
      </w:r>
      <w:r w:rsidR="009F5CBD" w:rsidRPr="00DE1FFB">
        <w:rPr>
          <w:color w:val="000F9F"/>
          <w:u w:val="single"/>
        </w:rPr>
        <w:instrText xml:space="preserve"> REF _Ref142924793 \h </w:instrText>
      </w:r>
      <w:r w:rsidR="009F5CBD" w:rsidRPr="00DE1FFB">
        <w:rPr>
          <w:color w:val="000F9F"/>
          <w:u w:val="single"/>
        </w:rPr>
      </w:r>
      <w:r w:rsidR="009F5CBD" w:rsidRPr="00DE1FFB">
        <w:rPr>
          <w:color w:val="000F9F"/>
          <w:u w:val="single"/>
        </w:rPr>
        <w:fldChar w:fldCharType="separate"/>
      </w:r>
      <w:r w:rsidR="009F5CBD" w:rsidRPr="00DE1FFB">
        <w:rPr>
          <w:color w:val="000F9F"/>
          <w:u w:val="single"/>
        </w:rPr>
        <w:t xml:space="preserve">Table </w:t>
      </w:r>
      <w:r w:rsidR="009F5CBD" w:rsidRPr="00DE1FFB">
        <w:rPr>
          <w:noProof/>
          <w:color w:val="000F9F"/>
          <w:u w:val="single"/>
        </w:rPr>
        <w:t>1</w:t>
      </w:r>
      <w:r w:rsidR="009F5CBD" w:rsidRPr="00DE1FFB">
        <w:rPr>
          <w:color w:val="000F9F"/>
          <w:u w:val="single"/>
        </w:rPr>
        <w:noBreakHyphen/>
      </w:r>
      <w:r w:rsidR="009F5CBD" w:rsidRPr="00DE1FFB">
        <w:rPr>
          <w:noProof/>
          <w:color w:val="000F9F"/>
          <w:u w:val="single"/>
        </w:rPr>
        <w:t>1</w:t>
      </w:r>
      <w:r w:rsidR="009F5CBD" w:rsidRPr="00DE1FFB">
        <w:rPr>
          <w:color w:val="000F9F"/>
          <w:u w:val="single"/>
        </w:rPr>
        <w:fldChar w:fldCharType="end"/>
      </w:r>
      <w:r w:rsidRPr="0009132C">
        <w:t xml:space="preserve">). </w:t>
      </w:r>
    </w:p>
    <w:p w14:paraId="75CD2EFE" w14:textId="1ED0303F" w:rsidR="003F284D" w:rsidRDefault="003F284D" w:rsidP="003C6C8F">
      <w:r w:rsidRPr="0009132C">
        <w:t xml:space="preserve">The following policy domains will be the subject of the Independent Evaluation: </w:t>
      </w:r>
    </w:p>
    <w:p w14:paraId="78754C1A" w14:textId="1E463553" w:rsidR="003630A8" w:rsidRPr="003630A8" w:rsidRDefault="003630A8" w:rsidP="003630A8">
      <w:pPr>
        <w:pStyle w:val="Bullet1"/>
        <w:spacing w:after="360"/>
        <w:rPr>
          <w:u w:val="single"/>
        </w:rPr>
      </w:pPr>
      <w:r w:rsidRPr="003630A8">
        <w:t xml:space="preserve">See </w:t>
      </w:r>
      <w:r w:rsidRPr="003630A8">
        <w:rPr>
          <w:color w:val="2639FF" w:themeColor="text2" w:themeTint="80"/>
          <w:u w:val="single"/>
        </w:rPr>
        <w:fldChar w:fldCharType="begin"/>
      </w:r>
      <w:r w:rsidRPr="003630A8">
        <w:rPr>
          <w:color w:val="2639FF" w:themeColor="text2" w:themeTint="80"/>
          <w:u w:val="single"/>
        </w:rPr>
        <w:instrText xml:space="preserve"> REF _Ref142921062 \h  \* MERGEFORMAT </w:instrText>
      </w:r>
      <w:r w:rsidRPr="003630A8">
        <w:rPr>
          <w:color w:val="2639FF" w:themeColor="text2" w:themeTint="80"/>
          <w:u w:val="single"/>
        </w:rPr>
      </w:r>
      <w:r w:rsidRPr="003630A8">
        <w:rPr>
          <w:color w:val="2639FF" w:themeColor="text2" w:themeTint="80"/>
          <w:u w:val="single"/>
        </w:rPr>
        <w:fldChar w:fldCharType="separate"/>
      </w:r>
      <w:r w:rsidR="00EB7B05" w:rsidRPr="00EB7B05">
        <w:rPr>
          <w:color w:val="2639FF" w:themeColor="text2" w:themeTint="80"/>
          <w:u w:val="single"/>
        </w:rPr>
        <w:t>Coverage and Eligibility</w:t>
      </w:r>
      <w:r w:rsidRPr="003630A8">
        <w:rPr>
          <w:color w:val="2639FF" w:themeColor="text2" w:themeTint="80"/>
        </w:rPr>
        <w:fldChar w:fldCharType="end"/>
      </w:r>
    </w:p>
    <w:p w14:paraId="46F5810C" w14:textId="0458DA61" w:rsidR="003630A8" w:rsidRPr="003630A8" w:rsidRDefault="003630A8" w:rsidP="003630A8">
      <w:pPr>
        <w:pStyle w:val="Bullet1"/>
        <w:spacing w:after="360"/>
        <w:rPr>
          <w:u w:val="single"/>
        </w:rPr>
      </w:pPr>
      <w:r w:rsidRPr="003630A8">
        <w:t xml:space="preserve">See </w:t>
      </w:r>
      <w:r w:rsidRPr="003630A8">
        <w:rPr>
          <w:color w:val="2639FF" w:themeColor="text2" w:themeTint="80"/>
          <w:u w:val="single"/>
        </w:rPr>
        <w:fldChar w:fldCharType="begin"/>
      </w:r>
      <w:r w:rsidRPr="003630A8">
        <w:rPr>
          <w:color w:val="2639FF" w:themeColor="text2" w:themeTint="80"/>
          <w:u w:val="single"/>
        </w:rPr>
        <w:instrText xml:space="preserve"> REF _Ref142921103 \h  \* MERGEFORMAT </w:instrText>
      </w:r>
      <w:r w:rsidRPr="003630A8">
        <w:rPr>
          <w:color w:val="2639FF" w:themeColor="text2" w:themeTint="80"/>
          <w:u w:val="single"/>
        </w:rPr>
      </w:r>
      <w:r w:rsidRPr="003630A8">
        <w:rPr>
          <w:color w:val="2639FF" w:themeColor="text2" w:themeTint="80"/>
          <w:u w:val="single"/>
        </w:rPr>
        <w:fldChar w:fldCharType="separate"/>
      </w:r>
      <w:r w:rsidR="00EB7B05" w:rsidRPr="00EB7B05">
        <w:rPr>
          <w:color w:val="2639FF" w:themeColor="text2" w:themeTint="80"/>
          <w:u w:val="single"/>
        </w:rPr>
        <w:t>Delivery System Reform</w:t>
      </w:r>
      <w:r w:rsidRPr="003630A8">
        <w:rPr>
          <w:color w:val="2639FF" w:themeColor="text2" w:themeTint="80"/>
        </w:rPr>
        <w:fldChar w:fldCharType="end"/>
      </w:r>
    </w:p>
    <w:p w14:paraId="53649016" w14:textId="5FEB7D9E" w:rsidR="003630A8" w:rsidRPr="003630A8" w:rsidRDefault="003630A8" w:rsidP="003630A8">
      <w:pPr>
        <w:pStyle w:val="Bullet1"/>
        <w:spacing w:after="360"/>
      </w:pPr>
      <w:r w:rsidRPr="003630A8">
        <w:t xml:space="preserve">See </w:t>
      </w:r>
      <w:r w:rsidRPr="003630A8">
        <w:rPr>
          <w:color w:val="2639FF" w:themeColor="text2" w:themeTint="80"/>
          <w:u w:val="single"/>
        </w:rPr>
        <w:fldChar w:fldCharType="begin"/>
      </w:r>
      <w:r w:rsidRPr="003630A8">
        <w:rPr>
          <w:color w:val="2639FF" w:themeColor="text2" w:themeTint="80"/>
          <w:u w:val="single"/>
        </w:rPr>
        <w:instrText xml:space="preserve"> REF _Ref142921118 \h  \* MERGEFORMAT </w:instrText>
      </w:r>
      <w:r w:rsidRPr="003630A8">
        <w:rPr>
          <w:color w:val="2639FF" w:themeColor="text2" w:themeTint="80"/>
          <w:u w:val="single"/>
        </w:rPr>
      </w:r>
      <w:r w:rsidRPr="003630A8">
        <w:rPr>
          <w:color w:val="2639FF" w:themeColor="text2" w:themeTint="80"/>
          <w:u w:val="single"/>
        </w:rPr>
        <w:fldChar w:fldCharType="separate"/>
      </w:r>
      <w:r w:rsidR="00EB7B05" w:rsidRPr="00EB7B05">
        <w:rPr>
          <w:color w:val="2639FF" w:themeColor="text2" w:themeTint="80"/>
          <w:u w:val="single"/>
        </w:rPr>
        <w:t>Behavioral Health</w:t>
      </w:r>
      <w:r w:rsidRPr="003630A8">
        <w:rPr>
          <w:color w:val="2639FF" w:themeColor="text2" w:themeTint="80"/>
        </w:rPr>
        <w:fldChar w:fldCharType="end"/>
      </w:r>
    </w:p>
    <w:p w14:paraId="53F876F4" w14:textId="0D05CF1E" w:rsidR="003630A8" w:rsidRPr="003630A8" w:rsidRDefault="003630A8" w:rsidP="003630A8">
      <w:pPr>
        <w:pStyle w:val="Bullet1"/>
        <w:spacing w:after="360"/>
      </w:pPr>
      <w:r w:rsidRPr="003630A8">
        <w:t xml:space="preserve">See </w:t>
      </w:r>
      <w:r w:rsidRPr="003630A8">
        <w:rPr>
          <w:color w:val="2639FF" w:themeColor="text2" w:themeTint="80"/>
          <w:u w:val="single"/>
        </w:rPr>
        <w:fldChar w:fldCharType="begin"/>
      </w:r>
      <w:r w:rsidRPr="003630A8">
        <w:rPr>
          <w:color w:val="2639FF" w:themeColor="text2" w:themeTint="80"/>
          <w:u w:val="single"/>
        </w:rPr>
        <w:instrText xml:space="preserve"> REF _Ref142921131 \h  \* MERGEFORMAT </w:instrText>
      </w:r>
      <w:r w:rsidRPr="003630A8">
        <w:rPr>
          <w:color w:val="2639FF" w:themeColor="text2" w:themeTint="80"/>
          <w:u w:val="single"/>
        </w:rPr>
      </w:r>
      <w:r w:rsidRPr="003630A8">
        <w:rPr>
          <w:color w:val="2639FF" w:themeColor="text2" w:themeTint="80"/>
          <w:u w:val="single"/>
        </w:rPr>
        <w:fldChar w:fldCharType="separate"/>
      </w:r>
      <w:r w:rsidR="00EB7B05" w:rsidRPr="00EB7B05">
        <w:rPr>
          <w:color w:val="2639FF" w:themeColor="text2" w:themeTint="80"/>
          <w:u w:val="single"/>
        </w:rPr>
        <w:t>Safety Net Care Pool</w:t>
      </w:r>
      <w:r w:rsidRPr="003630A8">
        <w:rPr>
          <w:color w:val="2639FF" w:themeColor="text2" w:themeTint="80"/>
        </w:rPr>
        <w:fldChar w:fldCharType="end"/>
      </w:r>
    </w:p>
    <w:p w14:paraId="7DF85C1B" w14:textId="0105CBA4" w:rsidR="003630A8" w:rsidRPr="003630A8" w:rsidRDefault="003630A8" w:rsidP="003630A8">
      <w:pPr>
        <w:pStyle w:val="Bullet1"/>
        <w:spacing w:after="360"/>
      </w:pPr>
      <w:r w:rsidRPr="003630A8">
        <w:t xml:space="preserve">See </w:t>
      </w:r>
      <w:r w:rsidRPr="003630A8">
        <w:rPr>
          <w:color w:val="2639FF" w:themeColor="text2" w:themeTint="80"/>
          <w:u w:val="single"/>
        </w:rPr>
        <w:fldChar w:fldCharType="begin"/>
      </w:r>
      <w:r w:rsidRPr="003630A8">
        <w:rPr>
          <w:color w:val="2639FF" w:themeColor="text2" w:themeTint="80"/>
          <w:u w:val="single"/>
        </w:rPr>
        <w:instrText xml:space="preserve"> REF _Ref142921143 \h  \* MERGEFORMAT </w:instrText>
      </w:r>
      <w:r w:rsidRPr="003630A8">
        <w:rPr>
          <w:color w:val="2639FF" w:themeColor="text2" w:themeTint="80"/>
          <w:u w:val="single"/>
        </w:rPr>
      </w:r>
      <w:r w:rsidRPr="003630A8">
        <w:rPr>
          <w:color w:val="2639FF" w:themeColor="text2" w:themeTint="80"/>
          <w:u w:val="single"/>
        </w:rPr>
        <w:fldChar w:fldCharType="separate"/>
      </w:r>
      <w:r w:rsidR="00EB7B05" w:rsidRPr="00EB7B05">
        <w:rPr>
          <w:color w:val="2639FF" w:themeColor="text2" w:themeTint="80"/>
          <w:u w:val="single"/>
        </w:rPr>
        <w:t>Workforce Initiatives</w:t>
      </w:r>
      <w:r w:rsidRPr="003630A8">
        <w:rPr>
          <w:color w:val="2639FF" w:themeColor="text2" w:themeTint="80"/>
        </w:rPr>
        <w:fldChar w:fldCharType="end"/>
      </w:r>
    </w:p>
    <w:p w14:paraId="3BF28679" w14:textId="09375212" w:rsidR="003630A8" w:rsidRPr="003630A8" w:rsidRDefault="003630A8" w:rsidP="003630A8">
      <w:pPr>
        <w:pStyle w:val="Bullet1"/>
        <w:spacing w:after="360"/>
      </w:pPr>
      <w:r w:rsidRPr="003630A8">
        <w:lastRenderedPageBreak/>
        <w:t xml:space="preserve">See </w:t>
      </w:r>
      <w:r w:rsidRPr="003630A8">
        <w:rPr>
          <w:color w:val="2639FF" w:themeColor="text2" w:themeTint="80"/>
          <w:u w:val="single"/>
        </w:rPr>
        <w:fldChar w:fldCharType="begin"/>
      </w:r>
      <w:r w:rsidRPr="003630A8">
        <w:rPr>
          <w:color w:val="2639FF" w:themeColor="text2" w:themeTint="80"/>
          <w:u w:val="single"/>
        </w:rPr>
        <w:instrText xml:space="preserve"> REF _Ref142921170 \h  \* MERGEFORMAT </w:instrText>
      </w:r>
      <w:r w:rsidRPr="003630A8">
        <w:rPr>
          <w:color w:val="2639FF" w:themeColor="text2" w:themeTint="80"/>
          <w:u w:val="single"/>
        </w:rPr>
      </w:r>
      <w:r w:rsidRPr="003630A8">
        <w:rPr>
          <w:color w:val="2639FF" w:themeColor="text2" w:themeTint="80"/>
          <w:u w:val="single"/>
        </w:rPr>
        <w:fldChar w:fldCharType="separate"/>
      </w:r>
      <w:r w:rsidR="00EB7B05" w:rsidRPr="00EB7B05">
        <w:rPr>
          <w:color w:val="2639FF" w:themeColor="text2" w:themeTint="80"/>
          <w:u w:val="single"/>
        </w:rPr>
        <w:t>Hospital Quality and Equity Initiative</w:t>
      </w:r>
      <w:r w:rsidRPr="003630A8">
        <w:rPr>
          <w:color w:val="2639FF" w:themeColor="text2" w:themeTint="80"/>
        </w:rPr>
        <w:fldChar w:fldCharType="end"/>
      </w:r>
    </w:p>
    <w:p w14:paraId="1E0D365B" w14:textId="306A32A1" w:rsidR="003630A8" w:rsidRPr="007904D9" w:rsidRDefault="003630A8" w:rsidP="003630A8">
      <w:pPr>
        <w:pStyle w:val="Bullet1"/>
        <w:spacing w:after="360"/>
      </w:pPr>
      <w:r w:rsidRPr="003630A8">
        <w:t xml:space="preserve">See </w:t>
      </w:r>
      <w:r w:rsidRPr="00794969">
        <w:rPr>
          <w:color w:val="2639FF" w:themeColor="text2" w:themeTint="80"/>
          <w:u w:val="single"/>
        </w:rPr>
        <w:fldChar w:fldCharType="begin"/>
      </w:r>
      <w:r w:rsidRPr="00794969">
        <w:rPr>
          <w:color w:val="2639FF" w:themeColor="text2" w:themeTint="80"/>
          <w:u w:val="single"/>
        </w:rPr>
        <w:instrText xml:space="preserve"> REF _Ref142921188 \h  \* MERGEFORMAT </w:instrText>
      </w:r>
      <w:r w:rsidRPr="00794969">
        <w:rPr>
          <w:color w:val="2639FF" w:themeColor="text2" w:themeTint="80"/>
          <w:u w:val="single"/>
        </w:rPr>
      </w:r>
      <w:r w:rsidRPr="00794969">
        <w:rPr>
          <w:color w:val="2639FF" w:themeColor="text2" w:themeTint="80"/>
          <w:u w:val="single"/>
        </w:rPr>
        <w:fldChar w:fldCharType="separate"/>
      </w:r>
      <w:r w:rsidR="00EB7B05" w:rsidRPr="00EB7B05">
        <w:rPr>
          <w:color w:val="2639FF" w:themeColor="text2" w:themeTint="80"/>
          <w:u w:val="single"/>
        </w:rPr>
        <w:t>Health-Related Social Needs</w:t>
      </w:r>
      <w:r w:rsidRPr="00794969">
        <w:rPr>
          <w:color w:val="2639FF" w:themeColor="text2" w:themeTint="80"/>
        </w:rPr>
        <w:fldChar w:fldCharType="end"/>
      </w:r>
    </w:p>
    <w:p w14:paraId="5D43C123" w14:textId="5C69A231" w:rsidR="00B155C7" w:rsidRDefault="0593DDAC" w:rsidP="006439D3">
      <w:pPr>
        <w:pStyle w:val="Caption"/>
        <w:keepNext/>
        <w:spacing w:after="60"/>
      </w:pPr>
      <w:bookmarkStart w:id="18" w:name="_Ref142924793"/>
      <w:bookmarkStart w:id="19" w:name="_Toc151976451"/>
      <w:r>
        <w:t xml:space="preserve">Table </w:t>
      </w:r>
      <w:r w:rsidR="009F5CBD">
        <w:t>1-</w:t>
      </w:r>
      <w:r>
        <w:fldChar w:fldCharType="begin"/>
      </w:r>
      <w:r>
        <w:instrText>SEQ Table \* ARABIC \s 1</w:instrText>
      </w:r>
      <w:r>
        <w:fldChar w:fldCharType="separate"/>
      </w:r>
      <w:r w:rsidR="00E36709">
        <w:rPr>
          <w:noProof/>
        </w:rPr>
        <w:t>1</w:t>
      </w:r>
      <w:r>
        <w:fldChar w:fldCharType="end"/>
      </w:r>
      <w:bookmarkEnd w:id="18"/>
      <w:r>
        <w:t xml:space="preserve">: </w:t>
      </w:r>
      <w:r w:rsidRPr="006034CA">
        <w:t>Crosswalk of EDD Policy Domains, MH Goals, CMS Evaluation Components, and Corresponding STCs</w:t>
      </w:r>
      <w:bookmarkEnd w:id="19"/>
    </w:p>
    <w:tbl>
      <w:tblPr>
        <w:tblStyle w:val="FHCclean10pt"/>
        <w:tblpPr w:leftFromText="180" w:rightFromText="180" w:vertAnchor="text" w:tblpY="98"/>
        <w:tblW w:w="9352" w:type="dxa"/>
        <w:tblLayout w:type="fixed"/>
        <w:tblCellMar>
          <w:top w:w="14" w:type="dxa"/>
          <w:bottom w:w="43" w:type="dxa"/>
        </w:tblCellMar>
        <w:tblLook w:val="0620" w:firstRow="1" w:lastRow="0" w:firstColumn="0" w:lastColumn="0" w:noHBand="1" w:noVBand="1"/>
      </w:tblPr>
      <w:tblGrid>
        <w:gridCol w:w="1612"/>
        <w:gridCol w:w="1080"/>
        <w:gridCol w:w="3780"/>
        <w:gridCol w:w="1350"/>
        <w:gridCol w:w="1530"/>
      </w:tblGrid>
      <w:tr w:rsidR="006439D3" w:rsidRPr="00F7582F" w14:paraId="58606DB0" w14:textId="77777777" w:rsidTr="0095509D">
        <w:trPr>
          <w:cnfStyle w:val="100000000000" w:firstRow="1" w:lastRow="0" w:firstColumn="0" w:lastColumn="0" w:oddVBand="0" w:evenVBand="0" w:oddHBand="0" w:evenHBand="0" w:firstRowFirstColumn="0" w:firstRowLastColumn="0" w:lastRowFirstColumn="0" w:lastRowLastColumn="0"/>
          <w:trHeight w:val="665"/>
          <w:tblHeader/>
        </w:trPr>
        <w:tc>
          <w:tcPr>
            <w:tcW w:w="1612" w:type="dxa"/>
          </w:tcPr>
          <w:p w14:paraId="56B21A92" w14:textId="77777777" w:rsidR="001A4EFF" w:rsidRPr="00F7582F" w:rsidRDefault="001A4EFF" w:rsidP="006439D3">
            <w:pPr>
              <w:pStyle w:val="TableNormal0"/>
              <w:spacing w:before="0" w:after="0"/>
            </w:pPr>
            <w:bookmarkStart w:id="20" w:name="_Ref142565587"/>
            <w:r w:rsidRPr="00F7582F">
              <w:t xml:space="preserve">EDD Chapter and MassHealth Policy Domains </w:t>
            </w:r>
          </w:p>
        </w:tc>
        <w:tc>
          <w:tcPr>
            <w:tcW w:w="1080" w:type="dxa"/>
          </w:tcPr>
          <w:p w14:paraId="09B224A4" w14:textId="77777777" w:rsidR="001A4EFF" w:rsidRPr="00F7582F" w:rsidRDefault="001A4EFF" w:rsidP="006439D3">
            <w:pPr>
              <w:pStyle w:val="TableNormal0"/>
              <w:spacing w:before="0" w:after="0"/>
            </w:pPr>
            <w:r w:rsidRPr="00F7582F">
              <w:t>MH Goal(s)</w:t>
            </w:r>
          </w:p>
        </w:tc>
        <w:tc>
          <w:tcPr>
            <w:tcW w:w="3780" w:type="dxa"/>
          </w:tcPr>
          <w:p w14:paraId="123453A4" w14:textId="5A5821DE" w:rsidR="001A4EFF" w:rsidRPr="00AE778B" w:rsidRDefault="001A4EFF" w:rsidP="006439D3">
            <w:pPr>
              <w:pStyle w:val="TableNormal0"/>
              <w:spacing w:before="0" w:after="0"/>
              <w:rPr>
                <w:vertAlign w:val="superscript"/>
              </w:rPr>
            </w:pPr>
            <w:r w:rsidRPr="00F7582F">
              <w:t>CMS Required and Recommended Evaluation Components</w:t>
            </w:r>
            <w:r w:rsidR="00AE778B">
              <w:rPr>
                <w:vertAlign w:val="superscript"/>
              </w:rPr>
              <w:t>2</w:t>
            </w:r>
          </w:p>
        </w:tc>
        <w:tc>
          <w:tcPr>
            <w:tcW w:w="1350" w:type="dxa"/>
          </w:tcPr>
          <w:p w14:paraId="7C6636A1" w14:textId="43DA9D99" w:rsidR="005F5849" w:rsidRPr="00303D3B" w:rsidRDefault="11D584F8" w:rsidP="006439D3">
            <w:pPr>
              <w:pStyle w:val="TableNormal0"/>
              <w:spacing w:before="0" w:after="0"/>
            </w:pPr>
            <w:r>
              <w:t xml:space="preserve">New, Revised, </w:t>
            </w:r>
          </w:p>
          <w:p w14:paraId="15F11396" w14:textId="77777777" w:rsidR="005F5849" w:rsidRPr="00303D3B" w:rsidRDefault="00080AF2" w:rsidP="006439D3">
            <w:pPr>
              <w:pStyle w:val="TableNormal0"/>
              <w:spacing w:before="0" w:after="0"/>
            </w:pPr>
            <w:r w:rsidRPr="00303D3B">
              <w:t xml:space="preserve">or Continuing </w:t>
            </w:r>
          </w:p>
          <w:p w14:paraId="1B3BB7AF" w14:textId="66D50A17" w:rsidR="001A4EFF" w:rsidRPr="00F7582F" w:rsidRDefault="11D584F8" w:rsidP="006439D3">
            <w:pPr>
              <w:pStyle w:val="TableNormal0"/>
              <w:spacing w:before="0" w:after="0"/>
            </w:pPr>
            <w:r>
              <w:t>1115 Policy</w:t>
            </w:r>
          </w:p>
        </w:tc>
        <w:tc>
          <w:tcPr>
            <w:tcW w:w="1530" w:type="dxa"/>
          </w:tcPr>
          <w:p w14:paraId="7C79668F" w14:textId="75D8DA4D" w:rsidR="001A4EFF" w:rsidRPr="00F7582F" w:rsidRDefault="001A4EFF" w:rsidP="006439D3">
            <w:pPr>
              <w:pStyle w:val="TableNormal0"/>
              <w:spacing w:before="0" w:after="0"/>
            </w:pPr>
            <w:r w:rsidRPr="00F7582F">
              <w:t>Corresponding STCs</w:t>
            </w:r>
          </w:p>
        </w:tc>
      </w:tr>
      <w:tr w:rsidR="00042ABB" w:rsidRPr="00F7582F" w14:paraId="4B86C6E8" w14:textId="77777777" w:rsidTr="0095509D">
        <w:trPr>
          <w:trHeight w:val="148"/>
        </w:trPr>
        <w:tc>
          <w:tcPr>
            <w:tcW w:w="1612" w:type="dxa"/>
          </w:tcPr>
          <w:p w14:paraId="065CEEF4" w14:textId="5ABAA87B" w:rsidR="001A4EFF" w:rsidRPr="00F7582F" w:rsidRDefault="001A4EFF" w:rsidP="00B21E54">
            <w:pPr>
              <w:pStyle w:val="TableNormal0"/>
            </w:pPr>
            <w:r w:rsidRPr="00F7582F">
              <w:t xml:space="preserve">2. </w:t>
            </w:r>
            <w:r w:rsidR="00794969" w:rsidRPr="00F7582F">
              <w:fldChar w:fldCharType="begin"/>
            </w:r>
            <w:r w:rsidR="00794969" w:rsidRPr="00F7582F">
              <w:instrText xml:space="preserve"> REF _Ref142921062 \h </w:instrText>
            </w:r>
            <w:r w:rsidR="00794969" w:rsidRPr="00B21E54">
              <w:instrText xml:space="preserve"> \* MERGEFORMAT </w:instrText>
            </w:r>
            <w:r w:rsidR="00794969" w:rsidRPr="00F7582F">
              <w:fldChar w:fldCharType="separate"/>
            </w:r>
            <w:r w:rsidR="00EB7B05" w:rsidRPr="00B300BB">
              <w:t>Coverage and Eligibility</w:t>
            </w:r>
            <w:r w:rsidR="00794969" w:rsidRPr="00F7582F">
              <w:fldChar w:fldCharType="end"/>
            </w:r>
          </w:p>
        </w:tc>
        <w:tc>
          <w:tcPr>
            <w:tcW w:w="1080" w:type="dxa"/>
          </w:tcPr>
          <w:p w14:paraId="3647BD57" w14:textId="77777777" w:rsidR="001A4EFF" w:rsidRPr="00F7582F" w:rsidRDefault="001A4EFF" w:rsidP="00B21E54">
            <w:pPr>
              <w:pStyle w:val="TableNormal0"/>
            </w:pPr>
            <w:r w:rsidRPr="00F7582F">
              <w:t>5</w:t>
            </w:r>
          </w:p>
        </w:tc>
        <w:tc>
          <w:tcPr>
            <w:tcW w:w="3780" w:type="dxa"/>
          </w:tcPr>
          <w:p w14:paraId="79377D02" w14:textId="118A2A30" w:rsidR="001A4EFF" w:rsidRPr="00F7582F" w:rsidRDefault="001A4EFF" w:rsidP="00B21E54">
            <w:pPr>
              <w:pStyle w:val="TableNormal0"/>
            </w:pPr>
            <w:r w:rsidRPr="00F7582F">
              <w:t xml:space="preserve">Waiver of Retroactive Eligibility </w:t>
            </w:r>
          </w:p>
        </w:tc>
        <w:tc>
          <w:tcPr>
            <w:tcW w:w="1350" w:type="dxa"/>
          </w:tcPr>
          <w:p w14:paraId="2E88E080" w14:textId="1488442E" w:rsidR="001A4EFF" w:rsidRPr="00F7582F" w:rsidRDefault="00E73C0E" w:rsidP="00B21E54">
            <w:pPr>
              <w:pStyle w:val="TableNormal0"/>
            </w:pPr>
            <w:r>
              <w:t>Revised</w:t>
            </w:r>
          </w:p>
        </w:tc>
        <w:tc>
          <w:tcPr>
            <w:tcW w:w="1530" w:type="dxa"/>
          </w:tcPr>
          <w:p w14:paraId="60C39DBA" w14:textId="66D5AE34" w:rsidR="001A4EFF" w:rsidRPr="00F7582F" w:rsidRDefault="001A4EFF" w:rsidP="00B21E54">
            <w:pPr>
              <w:pStyle w:val="TableNormal0"/>
            </w:pPr>
            <w:r w:rsidRPr="00F7582F">
              <w:t>4.2, 8.13, 16.5.vi, 17.6h</w:t>
            </w:r>
          </w:p>
        </w:tc>
      </w:tr>
      <w:tr w:rsidR="00042ABB" w:rsidRPr="00F7582F" w14:paraId="0438BA9A" w14:textId="77777777" w:rsidTr="0095509D">
        <w:trPr>
          <w:trHeight w:val="20"/>
        </w:trPr>
        <w:tc>
          <w:tcPr>
            <w:tcW w:w="1612" w:type="dxa"/>
          </w:tcPr>
          <w:p w14:paraId="0C89800F" w14:textId="07B48796" w:rsidR="001A4EFF" w:rsidRPr="00F7582F" w:rsidRDefault="001A4EFF" w:rsidP="00B21E54">
            <w:pPr>
              <w:pStyle w:val="TableNormal0"/>
            </w:pPr>
            <w:r w:rsidRPr="00F7582F">
              <w:t xml:space="preserve">2. </w:t>
            </w:r>
            <w:r w:rsidRPr="00F7582F">
              <w:fldChar w:fldCharType="begin"/>
            </w:r>
            <w:r w:rsidRPr="00F7582F">
              <w:instrText xml:space="preserve"> REF _Ref142921062 \h </w:instrText>
            </w:r>
            <w:r w:rsidR="006F02E4" w:rsidRPr="00B21E54">
              <w:instrText xml:space="preserve"> \* MERGEFORMAT </w:instrText>
            </w:r>
            <w:r w:rsidRPr="00F7582F">
              <w:fldChar w:fldCharType="separate"/>
            </w:r>
            <w:r w:rsidR="00EB7B05" w:rsidRPr="00B300BB">
              <w:t>Coverage and Eligibility</w:t>
            </w:r>
            <w:r w:rsidRPr="00F7582F">
              <w:fldChar w:fldCharType="end"/>
            </w:r>
          </w:p>
        </w:tc>
        <w:tc>
          <w:tcPr>
            <w:tcW w:w="1080" w:type="dxa"/>
          </w:tcPr>
          <w:p w14:paraId="120287C2" w14:textId="77777777" w:rsidR="001A4EFF" w:rsidRPr="00F7582F" w:rsidRDefault="001A4EFF" w:rsidP="00B21E54">
            <w:pPr>
              <w:pStyle w:val="TableNormal0"/>
            </w:pPr>
            <w:r w:rsidRPr="00F7582F">
              <w:t>5</w:t>
            </w:r>
          </w:p>
        </w:tc>
        <w:tc>
          <w:tcPr>
            <w:tcW w:w="3780" w:type="dxa"/>
          </w:tcPr>
          <w:p w14:paraId="061EDBD2" w14:textId="77777777" w:rsidR="001A4EFF" w:rsidRPr="00F7582F" w:rsidRDefault="001A4EFF" w:rsidP="00B21E54">
            <w:pPr>
              <w:pStyle w:val="TableNormal0"/>
            </w:pPr>
            <w:r w:rsidRPr="00F7582F">
              <w:t>Streamlined Eligibility Redetermination</w:t>
            </w:r>
          </w:p>
        </w:tc>
        <w:tc>
          <w:tcPr>
            <w:tcW w:w="1350" w:type="dxa"/>
          </w:tcPr>
          <w:p w14:paraId="6950E5DA" w14:textId="1044EFDD" w:rsidR="001A4EFF" w:rsidRPr="00F7582F" w:rsidRDefault="71ACA67B" w:rsidP="00B21E54">
            <w:pPr>
              <w:pStyle w:val="TableNormal0"/>
            </w:pPr>
            <w:r>
              <w:t>Continuing</w:t>
            </w:r>
          </w:p>
        </w:tc>
        <w:tc>
          <w:tcPr>
            <w:tcW w:w="1530" w:type="dxa"/>
          </w:tcPr>
          <w:p w14:paraId="68E3BF8F" w14:textId="33D0B8DE" w:rsidR="001A4EFF" w:rsidRPr="00F7582F" w:rsidRDefault="001A4EFF" w:rsidP="00B21E54">
            <w:pPr>
              <w:pStyle w:val="TableNormal0"/>
            </w:pPr>
            <w:r w:rsidRPr="00F7582F">
              <w:t>4.4</w:t>
            </w:r>
          </w:p>
        </w:tc>
      </w:tr>
      <w:tr w:rsidR="00042ABB" w:rsidRPr="00F7582F" w14:paraId="6ED38F45" w14:textId="77777777" w:rsidTr="0095509D">
        <w:trPr>
          <w:trHeight w:val="240"/>
        </w:trPr>
        <w:tc>
          <w:tcPr>
            <w:tcW w:w="1612" w:type="dxa"/>
          </w:tcPr>
          <w:p w14:paraId="0F5B5DC5" w14:textId="03DEE1D2" w:rsidR="001A4EFF" w:rsidRPr="00F7582F" w:rsidRDefault="001A4EFF" w:rsidP="00B21E54">
            <w:pPr>
              <w:pStyle w:val="TableNormal0"/>
            </w:pPr>
            <w:r w:rsidRPr="00F7582F">
              <w:t xml:space="preserve">2. </w:t>
            </w:r>
            <w:r w:rsidRPr="00F7582F">
              <w:fldChar w:fldCharType="begin"/>
            </w:r>
            <w:r w:rsidRPr="00F7582F">
              <w:instrText xml:space="preserve"> REF _Ref142921062 \h </w:instrText>
            </w:r>
            <w:r w:rsidR="006F02E4" w:rsidRPr="00B21E54">
              <w:instrText xml:space="preserve"> \* MERGEFORMAT </w:instrText>
            </w:r>
            <w:r w:rsidRPr="00F7582F">
              <w:fldChar w:fldCharType="separate"/>
            </w:r>
            <w:r w:rsidR="00EB7B05" w:rsidRPr="00B300BB">
              <w:t>Coverage and Eligibility</w:t>
            </w:r>
            <w:r w:rsidRPr="00F7582F">
              <w:fldChar w:fldCharType="end"/>
            </w:r>
          </w:p>
        </w:tc>
        <w:tc>
          <w:tcPr>
            <w:tcW w:w="1080" w:type="dxa"/>
          </w:tcPr>
          <w:p w14:paraId="3F290E68" w14:textId="77777777" w:rsidR="001A4EFF" w:rsidRPr="00F7582F" w:rsidRDefault="001A4EFF" w:rsidP="00B21E54">
            <w:pPr>
              <w:pStyle w:val="TableNormal0"/>
            </w:pPr>
            <w:r w:rsidRPr="00F7582F">
              <w:t>5</w:t>
            </w:r>
          </w:p>
        </w:tc>
        <w:tc>
          <w:tcPr>
            <w:tcW w:w="3780" w:type="dxa"/>
          </w:tcPr>
          <w:p w14:paraId="251A7C55" w14:textId="77777777" w:rsidR="001A4EFF" w:rsidRPr="00F7582F" w:rsidRDefault="001A4EFF" w:rsidP="00B21E54">
            <w:pPr>
              <w:pStyle w:val="TableNormal0"/>
            </w:pPr>
            <w:r w:rsidRPr="00F7582F">
              <w:t>Provisional Coverage for Individuals who Self Attest to Eligibility*</w:t>
            </w:r>
          </w:p>
        </w:tc>
        <w:tc>
          <w:tcPr>
            <w:tcW w:w="1350" w:type="dxa"/>
          </w:tcPr>
          <w:p w14:paraId="353F11D5" w14:textId="4AAC4BF6" w:rsidR="001A4EFF" w:rsidRPr="00F7582F" w:rsidRDefault="007B5B0A" w:rsidP="00B21E54">
            <w:pPr>
              <w:pStyle w:val="TableNormal0"/>
            </w:pPr>
            <w:r>
              <w:t>Continuing</w:t>
            </w:r>
            <w:r w:rsidR="00E522A2">
              <w:t xml:space="preserve"> </w:t>
            </w:r>
            <w:r>
              <w:t xml:space="preserve"> </w:t>
            </w:r>
          </w:p>
        </w:tc>
        <w:tc>
          <w:tcPr>
            <w:tcW w:w="1530" w:type="dxa"/>
          </w:tcPr>
          <w:p w14:paraId="04208679" w14:textId="4E2D2707" w:rsidR="001A4EFF" w:rsidRPr="00F7582F" w:rsidRDefault="001A4EFF" w:rsidP="00B21E54">
            <w:pPr>
              <w:pStyle w:val="TableNormal0"/>
            </w:pPr>
            <w:r w:rsidRPr="00F7582F">
              <w:t>4.7</w:t>
            </w:r>
          </w:p>
        </w:tc>
      </w:tr>
      <w:tr w:rsidR="00042ABB" w:rsidRPr="00F7582F" w14:paraId="7F4171FB" w14:textId="77777777" w:rsidTr="0095509D">
        <w:trPr>
          <w:trHeight w:val="22"/>
        </w:trPr>
        <w:tc>
          <w:tcPr>
            <w:tcW w:w="1612" w:type="dxa"/>
          </w:tcPr>
          <w:p w14:paraId="452C3690" w14:textId="11800E70" w:rsidR="001A4EFF" w:rsidRPr="00F7582F" w:rsidRDefault="001A4EFF" w:rsidP="00B21E54">
            <w:pPr>
              <w:pStyle w:val="TableNormal0"/>
            </w:pPr>
            <w:r w:rsidRPr="00F7582F">
              <w:t xml:space="preserve">2. </w:t>
            </w:r>
            <w:r w:rsidRPr="00F7582F">
              <w:fldChar w:fldCharType="begin"/>
            </w:r>
            <w:r w:rsidRPr="00F7582F">
              <w:instrText xml:space="preserve"> REF _Ref142921062 \h </w:instrText>
            </w:r>
            <w:r w:rsidR="006F02E4" w:rsidRPr="00B21E54">
              <w:instrText xml:space="preserve"> \* MERGEFORMAT </w:instrText>
            </w:r>
            <w:r w:rsidRPr="00F7582F">
              <w:fldChar w:fldCharType="separate"/>
            </w:r>
            <w:r w:rsidR="00EB7B05" w:rsidRPr="00B300BB">
              <w:t>Coverage and Eligibility</w:t>
            </w:r>
            <w:r w:rsidRPr="00F7582F">
              <w:fldChar w:fldCharType="end"/>
            </w:r>
          </w:p>
        </w:tc>
        <w:tc>
          <w:tcPr>
            <w:tcW w:w="1080" w:type="dxa"/>
          </w:tcPr>
          <w:p w14:paraId="4C360CC0" w14:textId="77777777" w:rsidR="001A4EFF" w:rsidRPr="00F7582F" w:rsidRDefault="001A4EFF" w:rsidP="00B21E54">
            <w:pPr>
              <w:pStyle w:val="TableNormal0"/>
            </w:pPr>
            <w:r w:rsidRPr="00F7582F">
              <w:t>3, 5</w:t>
            </w:r>
          </w:p>
        </w:tc>
        <w:tc>
          <w:tcPr>
            <w:tcW w:w="3780" w:type="dxa"/>
          </w:tcPr>
          <w:p w14:paraId="509404CE" w14:textId="7C8127A9" w:rsidR="001A4EFF" w:rsidRPr="00F7582F" w:rsidRDefault="001A4EFF" w:rsidP="00B21E54">
            <w:pPr>
              <w:pStyle w:val="TableNormal0"/>
            </w:pPr>
            <w:r w:rsidRPr="00F7582F">
              <w:t xml:space="preserve">Continuous Eligibility </w:t>
            </w:r>
          </w:p>
        </w:tc>
        <w:tc>
          <w:tcPr>
            <w:tcW w:w="1350" w:type="dxa"/>
          </w:tcPr>
          <w:p w14:paraId="2DD4F9EC" w14:textId="4A746032" w:rsidR="001A4EFF" w:rsidRPr="00F7582F" w:rsidRDefault="00907908" w:rsidP="00B21E54">
            <w:pPr>
              <w:pStyle w:val="TableNormal0"/>
            </w:pPr>
            <w:r>
              <w:t xml:space="preserve">New </w:t>
            </w:r>
          </w:p>
        </w:tc>
        <w:tc>
          <w:tcPr>
            <w:tcW w:w="1530" w:type="dxa"/>
          </w:tcPr>
          <w:p w14:paraId="5989319E" w14:textId="258D03BC" w:rsidR="001A4EFF" w:rsidRPr="00F7582F" w:rsidRDefault="001A4EFF" w:rsidP="00B21E54">
            <w:pPr>
              <w:pStyle w:val="TableNormal0"/>
            </w:pPr>
            <w:r w:rsidRPr="00F7582F">
              <w:t>4.10, 4.11, 16.5.iv, 17.6f</w:t>
            </w:r>
          </w:p>
        </w:tc>
      </w:tr>
      <w:tr w:rsidR="00042ABB" w:rsidRPr="00F7582F" w14:paraId="2F0BCF8A" w14:textId="77777777" w:rsidTr="0095509D">
        <w:trPr>
          <w:trHeight w:val="382"/>
        </w:trPr>
        <w:tc>
          <w:tcPr>
            <w:tcW w:w="1612" w:type="dxa"/>
          </w:tcPr>
          <w:p w14:paraId="0CBEA67E" w14:textId="047A29F7" w:rsidR="001A4EFF" w:rsidRPr="00F7582F" w:rsidRDefault="001A4EFF" w:rsidP="00B21E54">
            <w:pPr>
              <w:pStyle w:val="TableNormal0"/>
            </w:pPr>
            <w:r w:rsidRPr="00F7582F">
              <w:t xml:space="preserve">2. </w:t>
            </w:r>
            <w:r w:rsidRPr="00F7582F">
              <w:fldChar w:fldCharType="begin"/>
            </w:r>
            <w:r w:rsidRPr="00F7582F">
              <w:instrText xml:space="preserve"> REF _Ref142921062 \h </w:instrText>
            </w:r>
            <w:r w:rsidR="006F02E4" w:rsidRPr="00B21E54">
              <w:instrText xml:space="preserve"> \* MERGEFORMAT </w:instrText>
            </w:r>
            <w:r w:rsidRPr="00F7582F">
              <w:fldChar w:fldCharType="separate"/>
            </w:r>
            <w:r w:rsidR="00EB7B05" w:rsidRPr="00B300BB">
              <w:t>Coverage and Eligibility</w:t>
            </w:r>
            <w:r w:rsidRPr="00F7582F">
              <w:fldChar w:fldCharType="end"/>
            </w:r>
          </w:p>
        </w:tc>
        <w:tc>
          <w:tcPr>
            <w:tcW w:w="1080" w:type="dxa"/>
          </w:tcPr>
          <w:p w14:paraId="0905F071" w14:textId="77777777" w:rsidR="001A4EFF" w:rsidRPr="00F7582F" w:rsidRDefault="001A4EFF" w:rsidP="00B21E54">
            <w:pPr>
              <w:pStyle w:val="TableNormal0"/>
            </w:pPr>
            <w:r w:rsidRPr="00F7582F">
              <w:t>5</w:t>
            </w:r>
          </w:p>
        </w:tc>
        <w:tc>
          <w:tcPr>
            <w:tcW w:w="3780" w:type="dxa"/>
          </w:tcPr>
          <w:p w14:paraId="43E5C929" w14:textId="77777777" w:rsidR="001A4EFF" w:rsidRPr="00F7582F" w:rsidRDefault="001A4EFF" w:rsidP="00B21E54">
            <w:pPr>
              <w:pStyle w:val="TableNormal0"/>
            </w:pPr>
            <w:r w:rsidRPr="00F7582F">
              <w:t>Waiver of Early and Periodic Screening, Diagnostic, and Treatment Services</w:t>
            </w:r>
          </w:p>
        </w:tc>
        <w:tc>
          <w:tcPr>
            <w:tcW w:w="1350" w:type="dxa"/>
          </w:tcPr>
          <w:p w14:paraId="1C9EC5D9" w14:textId="74D059F9" w:rsidR="001A4EFF" w:rsidRPr="00F7582F" w:rsidRDefault="00BA72AE" w:rsidP="00B21E54">
            <w:pPr>
              <w:pStyle w:val="TableNormal0"/>
            </w:pPr>
            <w:r>
              <w:t xml:space="preserve">Continuing </w:t>
            </w:r>
          </w:p>
        </w:tc>
        <w:tc>
          <w:tcPr>
            <w:tcW w:w="1530" w:type="dxa"/>
          </w:tcPr>
          <w:p w14:paraId="616306E1" w14:textId="53D7E5FC" w:rsidR="001A4EFF" w:rsidRPr="00F7582F" w:rsidRDefault="001A4EFF" w:rsidP="00B21E54">
            <w:pPr>
              <w:pStyle w:val="TableNormal0"/>
            </w:pPr>
            <w:r w:rsidRPr="00F7582F">
              <w:t>5.3, 5.6</w:t>
            </w:r>
          </w:p>
        </w:tc>
      </w:tr>
      <w:tr w:rsidR="00042ABB" w:rsidRPr="00F7582F" w14:paraId="70277FDF" w14:textId="77777777" w:rsidTr="0095509D">
        <w:trPr>
          <w:trHeight w:val="285"/>
        </w:trPr>
        <w:tc>
          <w:tcPr>
            <w:tcW w:w="1612" w:type="dxa"/>
          </w:tcPr>
          <w:p w14:paraId="7325A6E3" w14:textId="205BE94D" w:rsidR="001A4EFF" w:rsidRPr="00F7582F" w:rsidRDefault="001A4EFF" w:rsidP="00B21E54">
            <w:pPr>
              <w:pStyle w:val="TableNormal0"/>
            </w:pPr>
            <w:r w:rsidRPr="00F7582F">
              <w:t xml:space="preserve">2. </w:t>
            </w:r>
            <w:r w:rsidRPr="00F7582F">
              <w:fldChar w:fldCharType="begin"/>
            </w:r>
            <w:r w:rsidRPr="00F7582F">
              <w:instrText xml:space="preserve"> REF _Ref142921062 \h </w:instrText>
            </w:r>
            <w:r w:rsidR="006F02E4" w:rsidRPr="00B21E54">
              <w:instrText xml:space="preserve"> \* MERGEFORMAT </w:instrText>
            </w:r>
            <w:r w:rsidRPr="00F7582F">
              <w:fldChar w:fldCharType="separate"/>
            </w:r>
            <w:r w:rsidR="00EB7B05" w:rsidRPr="00B300BB">
              <w:t>Coverage and Eligibility</w:t>
            </w:r>
            <w:r w:rsidRPr="00F7582F">
              <w:fldChar w:fldCharType="end"/>
            </w:r>
          </w:p>
        </w:tc>
        <w:tc>
          <w:tcPr>
            <w:tcW w:w="1080" w:type="dxa"/>
          </w:tcPr>
          <w:p w14:paraId="068056CB" w14:textId="77777777" w:rsidR="001A4EFF" w:rsidRPr="00F7582F" w:rsidRDefault="001A4EFF" w:rsidP="00B21E54">
            <w:pPr>
              <w:pStyle w:val="TableNormal0"/>
            </w:pPr>
            <w:r w:rsidRPr="00F7582F">
              <w:t>3, 5</w:t>
            </w:r>
          </w:p>
        </w:tc>
        <w:tc>
          <w:tcPr>
            <w:tcW w:w="3780" w:type="dxa"/>
          </w:tcPr>
          <w:p w14:paraId="048E54D5" w14:textId="77777777" w:rsidR="001A4EFF" w:rsidRPr="00F7582F" w:rsidRDefault="001A4EFF" w:rsidP="00B21E54">
            <w:pPr>
              <w:pStyle w:val="TableNormal0"/>
            </w:pPr>
            <w:r w:rsidRPr="00F7582F">
              <w:t>Breast and Cervical Cancer Demonstration Program</w:t>
            </w:r>
          </w:p>
        </w:tc>
        <w:tc>
          <w:tcPr>
            <w:tcW w:w="1350" w:type="dxa"/>
          </w:tcPr>
          <w:p w14:paraId="3544BA75" w14:textId="2E0C8B80" w:rsidR="001A4EFF" w:rsidRPr="00F7582F" w:rsidRDefault="00BA72AE" w:rsidP="00B21E54">
            <w:pPr>
              <w:pStyle w:val="TableNormal0"/>
            </w:pPr>
            <w:r>
              <w:t>Continuing</w:t>
            </w:r>
          </w:p>
        </w:tc>
        <w:tc>
          <w:tcPr>
            <w:tcW w:w="1530" w:type="dxa"/>
          </w:tcPr>
          <w:p w14:paraId="635933DD" w14:textId="3E21E46B" w:rsidR="001A4EFF" w:rsidRPr="00F7582F" w:rsidRDefault="001A4EFF" w:rsidP="00B21E54">
            <w:pPr>
              <w:pStyle w:val="TableNormal0"/>
            </w:pPr>
            <w:r w:rsidRPr="00F7582F">
              <w:t>4.8, 5.5</w:t>
            </w:r>
          </w:p>
        </w:tc>
      </w:tr>
      <w:tr w:rsidR="00042ABB" w:rsidRPr="00F7582F" w14:paraId="0F06C2B3" w14:textId="77777777" w:rsidTr="0095509D">
        <w:trPr>
          <w:trHeight w:val="121"/>
        </w:trPr>
        <w:tc>
          <w:tcPr>
            <w:tcW w:w="1612" w:type="dxa"/>
          </w:tcPr>
          <w:p w14:paraId="36617F01" w14:textId="4698592C" w:rsidR="001A4EFF" w:rsidRPr="00F7582F" w:rsidRDefault="001A4EFF" w:rsidP="00B21E54">
            <w:pPr>
              <w:pStyle w:val="TableNormal0"/>
            </w:pPr>
            <w:r w:rsidRPr="00F7582F">
              <w:t xml:space="preserve">2. </w:t>
            </w:r>
            <w:r w:rsidRPr="00F7582F">
              <w:fldChar w:fldCharType="begin"/>
            </w:r>
            <w:r w:rsidRPr="00F7582F">
              <w:instrText xml:space="preserve"> REF _Ref142921062 \h </w:instrText>
            </w:r>
            <w:r w:rsidR="006F02E4" w:rsidRPr="00B21E54">
              <w:instrText xml:space="preserve"> \* MERGEFORMAT </w:instrText>
            </w:r>
            <w:r w:rsidRPr="00F7582F">
              <w:fldChar w:fldCharType="separate"/>
            </w:r>
            <w:r w:rsidR="00EB7B05" w:rsidRPr="00B300BB">
              <w:t>Coverage and Eligibility</w:t>
            </w:r>
            <w:r w:rsidRPr="00F7582F">
              <w:fldChar w:fldCharType="end"/>
            </w:r>
          </w:p>
        </w:tc>
        <w:tc>
          <w:tcPr>
            <w:tcW w:w="1080" w:type="dxa"/>
          </w:tcPr>
          <w:p w14:paraId="55521FE8" w14:textId="77777777" w:rsidR="001A4EFF" w:rsidRPr="00F7582F" w:rsidRDefault="001A4EFF" w:rsidP="00B21E54">
            <w:pPr>
              <w:pStyle w:val="TableNormal0"/>
            </w:pPr>
            <w:r w:rsidRPr="00F7582F">
              <w:t>3, 5</w:t>
            </w:r>
          </w:p>
        </w:tc>
        <w:tc>
          <w:tcPr>
            <w:tcW w:w="3780" w:type="dxa"/>
          </w:tcPr>
          <w:p w14:paraId="4A9ED941" w14:textId="77777777" w:rsidR="001A4EFF" w:rsidRPr="00F7582F" w:rsidRDefault="001A4EFF" w:rsidP="00B21E54">
            <w:pPr>
              <w:pStyle w:val="TableNormal0"/>
            </w:pPr>
            <w:r w:rsidRPr="00F7582F">
              <w:t xml:space="preserve">MassHealth CommonHealth </w:t>
            </w:r>
          </w:p>
        </w:tc>
        <w:tc>
          <w:tcPr>
            <w:tcW w:w="1350" w:type="dxa"/>
          </w:tcPr>
          <w:p w14:paraId="501AC3BC" w14:textId="15D232C7" w:rsidR="001A4EFF" w:rsidRPr="00F7582F" w:rsidRDefault="00BA72AE" w:rsidP="00B21E54">
            <w:pPr>
              <w:pStyle w:val="TableNormal0"/>
            </w:pPr>
            <w:r>
              <w:t>Continuing</w:t>
            </w:r>
          </w:p>
        </w:tc>
        <w:tc>
          <w:tcPr>
            <w:tcW w:w="1530" w:type="dxa"/>
          </w:tcPr>
          <w:p w14:paraId="4B016183" w14:textId="542CA74B" w:rsidR="001A4EFF" w:rsidRPr="00F7582F" w:rsidRDefault="001A4EFF" w:rsidP="00B21E54">
            <w:pPr>
              <w:pStyle w:val="TableNormal0"/>
            </w:pPr>
            <w:r w:rsidRPr="00F7582F">
              <w:t>5.6</w:t>
            </w:r>
          </w:p>
        </w:tc>
      </w:tr>
      <w:tr w:rsidR="00042ABB" w:rsidRPr="00F7582F" w14:paraId="3D834906" w14:textId="77777777" w:rsidTr="0095509D">
        <w:trPr>
          <w:trHeight w:val="22"/>
        </w:trPr>
        <w:tc>
          <w:tcPr>
            <w:tcW w:w="1612" w:type="dxa"/>
          </w:tcPr>
          <w:p w14:paraId="1167F3EB" w14:textId="18B731B5" w:rsidR="001A4EFF" w:rsidRPr="00F7582F" w:rsidRDefault="001A4EFF" w:rsidP="00B21E54">
            <w:pPr>
              <w:pStyle w:val="TableNormal0"/>
            </w:pPr>
            <w:r w:rsidRPr="00F7582F">
              <w:t xml:space="preserve">2. </w:t>
            </w:r>
            <w:r w:rsidRPr="00F7582F">
              <w:fldChar w:fldCharType="begin"/>
            </w:r>
            <w:r w:rsidRPr="00F7582F">
              <w:instrText xml:space="preserve"> REF _Ref142921062 \h </w:instrText>
            </w:r>
            <w:r w:rsidR="006F02E4" w:rsidRPr="00B21E54">
              <w:instrText xml:space="preserve"> \* MERGEFORMAT </w:instrText>
            </w:r>
            <w:r w:rsidRPr="00F7582F">
              <w:fldChar w:fldCharType="separate"/>
            </w:r>
            <w:r w:rsidR="00EB7B05" w:rsidRPr="00B300BB">
              <w:t>Coverage and Eligibility</w:t>
            </w:r>
            <w:r w:rsidRPr="00F7582F">
              <w:fldChar w:fldCharType="end"/>
            </w:r>
          </w:p>
        </w:tc>
        <w:tc>
          <w:tcPr>
            <w:tcW w:w="1080" w:type="dxa"/>
          </w:tcPr>
          <w:p w14:paraId="5C053C43" w14:textId="77777777" w:rsidR="001A4EFF" w:rsidRPr="00F7582F" w:rsidRDefault="001A4EFF" w:rsidP="00B21E54">
            <w:pPr>
              <w:pStyle w:val="TableNormal0"/>
            </w:pPr>
            <w:r w:rsidRPr="00F7582F">
              <w:t>3, 5</w:t>
            </w:r>
          </w:p>
        </w:tc>
        <w:tc>
          <w:tcPr>
            <w:tcW w:w="3780" w:type="dxa"/>
          </w:tcPr>
          <w:p w14:paraId="4FE5B187" w14:textId="77777777" w:rsidR="001A4EFF" w:rsidRPr="00F7582F" w:rsidRDefault="001A4EFF" w:rsidP="00B21E54">
            <w:pPr>
              <w:pStyle w:val="TableNormal0"/>
            </w:pPr>
            <w:r w:rsidRPr="00F7582F">
              <w:t xml:space="preserve">MassHealth Family Assistance </w:t>
            </w:r>
          </w:p>
        </w:tc>
        <w:tc>
          <w:tcPr>
            <w:tcW w:w="1350" w:type="dxa"/>
          </w:tcPr>
          <w:p w14:paraId="39D61EC7" w14:textId="4DABCB56" w:rsidR="001A4EFF" w:rsidRPr="00F7582F" w:rsidRDefault="00BA72AE" w:rsidP="00B21E54">
            <w:pPr>
              <w:pStyle w:val="TableNormal0"/>
            </w:pPr>
            <w:r>
              <w:t>Continuing</w:t>
            </w:r>
          </w:p>
        </w:tc>
        <w:tc>
          <w:tcPr>
            <w:tcW w:w="1530" w:type="dxa"/>
          </w:tcPr>
          <w:p w14:paraId="39D8640E" w14:textId="17051A7E" w:rsidR="001A4EFF" w:rsidRPr="00F7582F" w:rsidRDefault="001A4EFF" w:rsidP="00B21E54">
            <w:pPr>
              <w:pStyle w:val="TableNormal0"/>
            </w:pPr>
            <w:r w:rsidRPr="00F7582F">
              <w:t>5.7</w:t>
            </w:r>
          </w:p>
        </w:tc>
      </w:tr>
      <w:tr w:rsidR="00042ABB" w:rsidRPr="00F7582F" w14:paraId="738665AF" w14:textId="77777777" w:rsidTr="0095509D">
        <w:trPr>
          <w:trHeight w:val="285"/>
        </w:trPr>
        <w:tc>
          <w:tcPr>
            <w:tcW w:w="1612" w:type="dxa"/>
          </w:tcPr>
          <w:p w14:paraId="70954025" w14:textId="1F83D11B" w:rsidR="001A4EFF" w:rsidRPr="00F7582F" w:rsidRDefault="001A4EFF" w:rsidP="00B21E54">
            <w:pPr>
              <w:pStyle w:val="TableNormal0"/>
            </w:pPr>
            <w:r w:rsidRPr="00F7582F">
              <w:t xml:space="preserve">2. </w:t>
            </w:r>
            <w:r w:rsidRPr="00F7582F">
              <w:fldChar w:fldCharType="begin"/>
            </w:r>
            <w:r w:rsidRPr="00F7582F">
              <w:instrText xml:space="preserve"> REF _Ref142921062 \h </w:instrText>
            </w:r>
            <w:r w:rsidR="006F02E4" w:rsidRPr="00B21E54">
              <w:instrText xml:space="preserve"> \* MERGEFORMAT </w:instrText>
            </w:r>
            <w:r w:rsidRPr="00F7582F">
              <w:fldChar w:fldCharType="separate"/>
            </w:r>
            <w:r w:rsidR="00EB7B05" w:rsidRPr="00B300BB">
              <w:t>Coverage and Eligibility</w:t>
            </w:r>
            <w:r w:rsidRPr="00F7582F">
              <w:fldChar w:fldCharType="end"/>
            </w:r>
          </w:p>
        </w:tc>
        <w:tc>
          <w:tcPr>
            <w:tcW w:w="1080" w:type="dxa"/>
          </w:tcPr>
          <w:p w14:paraId="28CACAE5" w14:textId="77777777" w:rsidR="001A4EFF" w:rsidRPr="00F7582F" w:rsidRDefault="001A4EFF" w:rsidP="00B21E54">
            <w:pPr>
              <w:pStyle w:val="TableNormal0"/>
            </w:pPr>
            <w:r w:rsidRPr="00F7582F">
              <w:t>5</w:t>
            </w:r>
          </w:p>
        </w:tc>
        <w:tc>
          <w:tcPr>
            <w:tcW w:w="3780" w:type="dxa"/>
          </w:tcPr>
          <w:p w14:paraId="06D68BFC" w14:textId="77777777" w:rsidR="001A4EFF" w:rsidRPr="00F7582F" w:rsidRDefault="001A4EFF" w:rsidP="00B21E54">
            <w:pPr>
              <w:pStyle w:val="TableNormal0"/>
            </w:pPr>
            <w:r w:rsidRPr="00F7582F">
              <w:t>Extended Eligibility for Out-of-State Former Foster Care Youth Residing in Massachusetts*</w:t>
            </w:r>
          </w:p>
        </w:tc>
        <w:tc>
          <w:tcPr>
            <w:tcW w:w="1350" w:type="dxa"/>
          </w:tcPr>
          <w:p w14:paraId="1E4323D1" w14:textId="16501BE1" w:rsidR="001A4EFF" w:rsidRPr="00F7582F" w:rsidRDefault="00BA72AE" w:rsidP="00B21E54">
            <w:pPr>
              <w:pStyle w:val="TableNormal0"/>
            </w:pPr>
            <w:r>
              <w:t>Continuing</w:t>
            </w:r>
          </w:p>
        </w:tc>
        <w:tc>
          <w:tcPr>
            <w:tcW w:w="1530" w:type="dxa"/>
          </w:tcPr>
          <w:p w14:paraId="6FC4FF63" w14:textId="325FBF85" w:rsidR="001A4EFF" w:rsidRPr="00F7582F" w:rsidRDefault="001A4EFF" w:rsidP="00B21E54">
            <w:pPr>
              <w:pStyle w:val="TableNormal0"/>
            </w:pPr>
            <w:r w:rsidRPr="00F7582F">
              <w:t>5.9</w:t>
            </w:r>
          </w:p>
        </w:tc>
      </w:tr>
      <w:tr w:rsidR="00042ABB" w:rsidRPr="00F7582F" w14:paraId="5A20E9B6" w14:textId="77777777" w:rsidTr="0095509D">
        <w:trPr>
          <w:trHeight w:val="285"/>
        </w:trPr>
        <w:tc>
          <w:tcPr>
            <w:tcW w:w="1612" w:type="dxa"/>
          </w:tcPr>
          <w:p w14:paraId="05F7D9FF" w14:textId="4D575EB4" w:rsidR="001A4EFF" w:rsidRPr="00F7582F" w:rsidRDefault="001A4EFF" w:rsidP="00B21E54">
            <w:pPr>
              <w:pStyle w:val="TableNormal0"/>
            </w:pPr>
            <w:r w:rsidRPr="00F7582F">
              <w:t xml:space="preserve">2. </w:t>
            </w:r>
            <w:r w:rsidRPr="00F7582F">
              <w:fldChar w:fldCharType="begin"/>
            </w:r>
            <w:r w:rsidRPr="00F7582F">
              <w:instrText xml:space="preserve"> REF _Ref142921062 \h </w:instrText>
            </w:r>
            <w:r w:rsidR="006F02E4" w:rsidRPr="00B21E54">
              <w:instrText xml:space="preserve"> \* MERGEFORMAT </w:instrText>
            </w:r>
            <w:r w:rsidRPr="00F7582F">
              <w:fldChar w:fldCharType="separate"/>
            </w:r>
            <w:r w:rsidR="00EB7B05" w:rsidRPr="00B300BB">
              <w:t>Coverage and Eligibility</w:t>
            </w:r>
            <w:r w:rsidRPr="00F7582F">
              <w:fldChar w:fldCharType="end"/>
            </w:r>
          </w:p>
        </w:tc>
        <w:tc>
          <w:tcPr>
            <w:tcW w:w="1080" w:type="dxa"/>
          </w:tcPr>
          <w:p w14:paraId="1072C303" w14:textId="77777777" w:rsidR="001A4EFF" w:rsidRPr="00F7582F" w:rsidRDefault="001A4EFF" w:rsidP="00B21E54">
            <w:pPr>
              <w:pStyle w:val="TableNormal0"/>
            </w:pPr>
            <w:r w:rsidRPr="00F7582F">
              <w:t>1, 5</w:t>
            </w:r>
          </w:p>
        </w:tc>
        <w:tc>
          <w:tcPr>
            <w:tcW w:w="3780" w:type="dxa"/>
          </w:tcPr>
          <w:p w14:paraId="1DB0067C" w14:textId="01DB6F64" w:rsidR="001A4EFF" w:rsidRPr="00F7582F" w:rsidRDefault="001A4EFF" w:rsidP="00B21E54">
            <w:pPr>
              <w:pStyle w:val="TableNormal0"/>
            </w:pPr>
            <w:r w:rsidRPr="00F7582F">
              <w:t>Premium Assistance for Marketplace and Employment Sponsored Insurance (ESI)</w:t>
            </w:r>
          </w:p>
        </w:tc>
        <w:tc>
          <w:tcPr>
            <w:tcW w:w="1350" w:type="dxa"/>
          </w:tcPr>
          <w:p w14:paraId="0AF53059" w14:textId="2379E375" w:rsidR="001A4EFF" w:rsidRPr="00F7582F" w:rsidRDefault="004D6A7E" w:rsidP="00B21E54">
            <w:pPr>
              <w:pStyle w:val="TableNormal0"/>
            </w:pPr>
            <w:r>
              <w:t>Continuing</w:t>
            </w:r>
          </w:p>
        </w:tc>
        <w:tc>
          <w:tcPr>
            <w:tcW w:w="1530" w:type="dxa"/>
          </w:tcPr>
          <w:p w14:paraId="04F585F6" w14:textId="15F59F83" w:rsidR="001A4EFF" w:rsidRPr="00F7582F" w:rsidRDefault="001A4EFF" w:rsidP="00B21E54">
            <w:pPr>
              <w:pStyle w:val="TableNormal0"/>
            </w:pPr>
            <w:r w:rsidRPr="00F7582F">
              <w:t>8.12, 10.1, 16.5.v, 17.6g</w:t>
            </w:r>
          </w:p>
        </w:tc>
      </w:tr>
      <w:tr w:rsidR="00117A25" w:rsidRPr="00F7582F" w14:paraId="7E691B25" w14:textId="77777777" w:rsidTr="0095509D">
        <w:trPr>
          <w:trHeight w:val="285"/>
        </w:trPr>
        <w:tc>
          <w:tcPr>
            <w:tcW w:w="1612" w:type="dxa"/>
          </w:tcPr>
          <w:p w14:paraId="3BB2BF90" w14:textId="1BA74C8A" w:rsidR="00117A25" w:rsidRPr="00F7582F" w:rsidRDefault="00117A25" w:rsidP="00B21E54">
            <w:pPr>
              <w:pStyle w:val="TableNormal0"/>
            </w:pPr>
            <w:r w:rsidRPr="00F7582F">
              <w:t xml:space="preserve">2. </w:t>
            </w:r>
            <w:r w:rsidRPr="00F7582F">
              <w:fldChar w:fldCharType="begin"/>
            </w:r>
            <w:r w:rsidRPr="00F7582F">
              <w:instrText xml:space="preserve"> REF _Ref142921062 \h </w:instrText>
            </w:r>
            <w:r w:rsidRPr="00B21E54">
              <w:instrText xml:space="preserve"> \* MERGEFORMAT </w:instrText>
            </w:r>
            <w:r w:rsidRPr="00F7582F">
              <w:fldChar w:fldCharType="separate"/>
            </w:r>
            <w:r w:rsidR="00EB7B05" w:rsidRPr="00B300BB">
              <w:t>Coverage and Eligibility</w:t>
            </w:r>
            <w:r w:rsidRPr="00F7582F">
              <w:fldChar w:fldCharType="end"/>
            </w:r>
          </w:p>
        </w:tc>
        <w:tc>
          <w:tcPr>
            <w:tcW w:w="1080" w:type="dxa"/>
          </w:tcPr>
          <w:p w14:paraId="536BC5FD" w14:textId="77777777" w:rsidR="00117A25" w:rsidRPr="00F7582F" w:rsidRDefault="00117A25" w:rsidP="00B21E54">
            <w:pPr>
              <w:pStyle w:val="TableNormal0"/>
            </w:pPr>
            <w:r w:rsidRPr="00F7582F">
              <w:t>5</w:t>
            </w:r>
          </w:p>
        </w:tc>
        <w:tc>
          <w:tcPr>
            <w:tcW w:w="3780" w:type="dxa"/>
          </w:tcPr>
          <w:p w14:paraId="68974A1B" w14:textId="00E07314" w:rsidR="00117A25" w:rsidRPr="00F7582F" w:rsidRDefault="00117A25" w:rsidP="00B21E54">
            <w:pPr>
              <w:pStyle w:val="TableNormal0"/>
            </w:pPr>
            <w:r w:rsidRPr="00F7582F">
              <w:t>Beneficiary Cost Sharing (Premiums and Copayments)</w:t>
            </w:r>
          </w:p>
        </w:tc>
        <w:tc>
          <w:tcPr>
            <w:tcW w:w="1350" w:type="dxa"/>
          </w:tcPr>
          <w:p w14:paraId="354F3F01" w14:textId="21192153" w:rsidR="00117A25" w:rsidRPr="00B21E54" w:rsidRDefault="00117A25" w:rsidP="00B21E54">
            <w:pPr>
              <w:pStyle w:val="TableNormal0"/>
              <w:rPr>
                <w:highlight w:val="yellow"/>
              </w:rPr>
            </w:pPr>
            <w:r w:rsidRPr="00CA68FD">
              <w:t>Continuing</w:t>
            </w:r>
          </w:p>
        </w:tc>
        <w:tc>
          <w:tcPr>
            <w:tcW w:w="1530" w:type="dxa"/>
          </w:tcPr>
          <w:p w14:paraId="0F02EDCA" w14:textId="565C7DB4" w:rsidR="00117A25" w:rsidRPr="00F7582F" w:rsidRDefault="00117A25" w:rsidP="00B21E54">
            <w:pPr>
              <w:pStyle w:val="TableNormal0"/>
            </w:pPr>
            <w:r w:rsidRPr="00F7582F">
              <w:t>9.1, 17.6g</w:t>
            </w:r>
          </w:p>
        </w:tc>
      </w:tr>
      <w:tr w:rsidR="00117A25" w:rsidRPr="00F7582F" w14:paraId="2568167C" w14:textId="77777777" w:rsidTr="0095509D">
        <w:trPr>
          <w:trHeight w:val="76"/>
        </w:trPr>
        <w:tc>
          <w:tcPr>
            <w:tcW w:w="1612" w:type="dxa"/>
          </w:tcPr>
          <w:p w14:paraId="2143668F" w14:textId="59636AF7" w:rsidR="00117A25" w:rsidRPr="00F7582F" w:rsidRDefault="00117A25" w:rsidP="00B21E54">
            <w:pPr>
              <w:pStyle w:val="TableNormal0"/>
            </w:pPr>
            <w:r w:rsidRPr="00F7582F">
              <w:t xml:space="preserve">2. </w:t>
            </w:r>
            <w:r w:rsidRPr="00F7582F">
              <w:fldChar w:fldCharType="begin"/>
            </w:r>
            <w:r w:rsidRPr="00F7582F">
              <w:instrText xml:space="preserve"> REF _Ref142921062 \h </w:instrText>
            </w:r>
            <w:r w:rsidRPr="00B21E54">
              <w:instrText xml:space="preserve"> \* MERGEFORMAT </w:instrText>
            </w:r>
            <w:r w:rsidRPr="00F7582F">
              <w:fldChar w:fldCharType="separate"/>
            </w:r>
            <w:r w:rsidR="00EB7B05" w:rsidRPr="00B300BB">
              <w:t>Coverage and Eligibility</w:t>
            </w:r>
            <w:r w:rsidRPr="00F7582F">
              <w:fldChar w:fldCharType="end"/>
            </w:r>
          </w:p>
        </w:tc>
        <w:tc>
          <w:tcPr>
            <w:tcW w:w="1080" w:type="dxa"/>
          </w:tcPr>
          <w:p w14:paraId="31C24934" w14:textId="77777777" w:rsidR="00117A25" w:rsidRPr="00F7582F" w:rsidRDefault="00117A25" w:rsidP="00B21E54">
            <w:pPr>
              <w:pStyle w:val="TableNormal0"/>
            </w:pPr>
            <w:r w:rsidRPr="00F7582F">
              <w:t>5</w:t>
            </w:r>
          </w:p>
        </w:tc>
        <w:tc>
          <w:tcPr>
            <w:tcW w:w="3780" w:type="dxa"/>
          </w:tcPr>
          <w:p w14:paraId="057F0DC9" w14:textId="3DAB8415" w:rsidR="00117A25" w:rsidRPr="00F7582F" w:rsidRDefault="00117A25" w:rsidP="00B21E54">
            <w:pPr>
              <w:pStyle w:val="TableNormal0"/>
            </w:pPr>
            <w:r w:rsidRPr="00F7582F">
              <w:t>Medicare Savings Program Expansion</w:t>
            </w:r>
          </w:p>
        </w:tc>
        <w:tc>
          <w:tcPr>
            <w:tcW w:w="1350" w:type="dxa"/>
          </w:tcPr>
          <w:p w14:paraId="295F5885" w14:textId="4EEAFF7F" w:rsidR="00117A25" w:rsidRPr="00F7582F" w:rsidRDefault="0091319E" w:rsidP="00B21E54">
            <w:pPr>
              <w:pStyle w:val="TableNormal0"/>
            </w:pPr>
            <w:r w:rsidRPr="00CA68FD">
              <w:t>Revised</w:t>
            </w:r>
            <w:r>
              <w:t xml:space="preserve"> </w:t>
            </w:r>
          </w:p>
        </w:tc>
        <w:tc>
          <w:tcPr>
            <w:tcW w:w="1530" w:type="dxa"/>
          </w:tcPr>
          <w:p w14:paraId="76408CD7" w14:textId="2A701842" w:rsidR="00117A25" w:rsidRPr="00F7582F" w:rsidRDefault="00117A25" w:rsidP="00B21E54">
            <w:pPr>
              <w:pStyle w:val="TableNormal0"/>
            </w:pPr>
            <w:r w:rsidRPr="00F7582F">
              <w:t>5.3c</w:t>
            </w:r>
          </w:p>
        </w:tc>
      </w:tr>
      <w:tr w:rsidR="00117A25" w:rsidRPr="00F7582F" w14:paraId="7DE85A6D" w14:textId="77777777" w:rsidTr="0095509D">
        <w:trPr>
          <w:trHeight w:val="1447"/>
        </w:trPr>
        <w:tc>
          <w:tcPr>
            <w:tcW w:w="1612" w:type="dxa"/>
          </w:tcPr>
          <w:p w14:paraId="2533489F" w14:textId="14438290" w:rsidR="00117A25" w:rsidRPr="00F7582F" w:rsidRDefault="00117A25" w:rsidP="00B21E54">
            <w:pPr>
              <w:pStyle w:val="TableNormal0"/>
            </w:pPr>
            <w:r w:rsidRPr="00F7582F">
              <w:t xml:space="preserve">3. </w:t>
            </w:r>
            <w:r w:rsidRPr="00F7582F">
              <w:fldChar w:fldCharType="begin"/>
            </w:r>
            <w:r w:rsidRPr="00F7582F">
              <w:instrText xml:space="preserve"> REF _Ref142921103 \h </w:instrText>
            </w:r>
            <w:r w:rsidRPr="00B21E54">
              <w:instrText xml:space="preserve"> \* MERGEFORMAT </w:instrText>
            </w:r>
            <w:r w:rsidRPr="00F7582F">
              <w:fldChar w:fldCharType="separate"/>
            </w:r>
            <w:r w:rsidR="00EB7B05" w:rsidRPr="008D6BAD">
              <w:t>Delivery System Reform</w:t>
            </w:r>
            <w:r w:rsidRPr="00F7582F">
              <w:fldChar w:fldCharType="end"/>
            </w:r>
            <w:r w:rsidRPr="00F7582F">
              <w:t xml:space="preserve"> </w:t>
            </w:r>
          </w:p>
        </w:tc>
        <w:tc>
          <w:tcPr>
            <w:tcW w:w="1080" w:type="dxa"/>
          </w:tcPr>
          <w:p w14:paraId="3B75D0BB" w14:textId="77777777" w:rsidR="00117A25" w:rsidRPr="00F7582F" w:rsidRDefault="00117A25" w:rsidP="00B21E54">
            <w:pPr>
              <w:pStyle w:val="TableNormal0"/>
            </w:pPr>
            <w:r w:rsidRPr="00F7582F">
              <w:t>1, 2, 4</w:t>
            </w:r>
          </w:p>
        </w:tc>
        <w:tc>
          <w:tcPr>
            <w:tcW w:w="3780" w:type="dxa"/>
          </w:tcPr>
          <w:p w14:paraId="31D56F06" w14:textId="53F7A3E5" w:rsidR="00117A25" w:rsidRPr="00F7582F" w:rsidRDefault="791E3C56" w:rsidP="00B21E54">
            <w:pPr>
              <w:pStyle w:val="TableNormal0"/>
            </w:pPr>
            <w:r>
              <w:t xml:space="preserve">Managed Care Delivery System, </w:t>
            </w:r>
            <w:r w:rsidR="31DDD255">
              <w:t>i</w:t>
            </w:r>
            <w:r>
              <w:t xml:space="preserve">ncluding (1) Accountable Care Partnership Plans, (2) Community Partner Program, and (3) the Authority to Allow Primary Care Service Payment Rates for Accountable Care Organization Participating Providers </w:t>
            </w:r>
          </w:p>
        </w:tc>
        <w:tc>
          <w:tcPr>
            <w:tcW w:w="1350" w:type="dxa"/>
          </w:tcPr>
          <w:p w14:paraId="6AA1A40C" w14:textId="55B5604F" w:rsidR="00117A25" w:rsidRPr="00F7582F" w:rsidRDefault="00117A25" w:rsidP="00B21E54">
            <w:pPr>
              <w:pStyle w:val="TableNormal0"/>
            </w:pPr>
            <w:r w:rsidRPr="00EA5598">
              <w:t>Revised</w:t>
            </w:r>
          </w:p>
        </w:tc>
        <w:tc>
          <w:tcPr>
            <w:tcW w:w="1530" w:type="dxa"/>
          </w:tcPr>
          <w:p w14:paraId="641111E5" w14:textId="16CA5167" w:rsidR="00117A25" w:rsidRPr="00F7582F" w:rsidRDefault="00117A25" w:rsidP="00B21E54">
            <w:pPr>
              <w:pStyle w:val="TableNormal0"/>
            </w:pPr>
            <w:r w:rsidRPr="00F7582F">
              <w:t>8.1-8.13, 17.6i</w:t>
            </w:r>
          </w:p>
        </w:tc>
      </w:tr>
      <w:tr w:rsidR="00117A25" w:rsidRPr="00F7582F" w14:paraId="7EEC51D2" w14:textId="77777777" w:rsidTr="0095509D">
        <w:trPr>
          <w:trHeight w:val="20"/>
        </w:trPr>
        <w:tc>
          <w:tcPr>
            <w:tcW w:w="1612" w:type="dxa"/>
          </w:tcPr>
          <w:p w14:paraId="55E1F870" w14:textId="1E481B00" w:rsidR="00117A25" w:rsidRPr="00F7582F" w:rsidRDefault="00117A25" w:rsidP="00B21E54">
            <w:pPr>
              <w:pStyle w:val="TableNormal0"/>
            </w:pPr>
            <w:r w:rsidRPr="00F7582F">
              <w:t xml:space="preserve">4. </w:t>
            </w:r>
            <w:r w:rsidRPr="00F7582F">
              <w:fldChar w:fldCharType="begin"/>
            </w:r>
            <w:r w:rsidRPr="00F7582F">
              <w:instrText xml:space="preserve"> REF _Ref142921118 \h </w:instrText>
            </w:r>
            <w:r w:rsidRPr="00B21E54">
              <w:instrText xml:space="preserve"> \* MERGEFORMAT </w:instrText>
            </w:r>
            <w:r w:rsidRPr="00F7582F">
              <w:fldChar w:fldCharType="separate"/>
            </w:r>
            <w:r w:rsidR="00EB7B05" w:rsidRPr="00233E61">
              <w:t>Behavioral Health</w:t>
            </w:r>
            <w:r w:rsidRPr="00F7582F">
              <w:fldChar w:fldCharType="end"/>
            </w:r>
          </w:p>
        </w:tc>
        <w:tc>
          <w:tcPr>
            <w:tcW w:w="1080" w:type="dxa"/>
          </w:tcPr>
          <w:p w14:paraId="5904CFCE" w14:textId="77777777" w:rsidR="00117A25" w:rsidRPr="00F7582F" w:rsidRDefault="00117A25" w:rsidP="00B21E54">
            <w:pPr>
              <w:pStyle w:val="TableNormal0"/>
            </w:pPr>
            <w:r w:rsidRPr="00F7582F">
              <w:t>1, 2</w:t>
            </w:r>
          </w:p>
        </w:tc>
        <w:tc>
          <w:tcPr>
            <w:tcW w:w="3780" w:type="dxa"/>
          </w:tcPr>
          <w:p w14:paraId="28A4F9FD" w14:textId="00CDD388" w:rsidR="00117A25" w:rsidRPr="00F7582F" w:rsidRDefault="00117A25" w:rsidP="00B21E54">
            <w:pPr>
              <w:pStyle w:val="TableNormal0"/>
            </w:pPr>
            <w:r w:rsidRPr="00F7582F">
              <w:t>Diversionary Behavioral Health Services</w:t>
            </w:r>
          </w:p>
        </w:tc>
        <w:tc>
          <w:tcPr>
            <w:tcW w:w="1350" w:type="dxa"/>
          </w:tcPr>
          <w:p w14:paraId="0D4239EB" w14:textId="008016FA" w:rsidR="00117A25" w:rsidRPr="00F7582F" w:rsidRDefault="00117A25" w:rsidP="00B21E54">
            <w:pPr>
              <w:pStyle w:val="TableNormal0"/>
            </w:pPr>
            <w:r>
              <w:t xml:space="preserve">Continuing and </w:t>
            </w:r>
            <w:r w:rsidRPr="00EA5598">
              <w:t>Revised</w:t>
            </w:r>
          </w:p>
        </w:tc>
        <w:tc>
          <w:tcPr>
            <w:tcW w:w="1530" w:type="dxa"/>
          </w:tcPr>
          <w:p w14:paraId="5C1724D1" w14:textId="70AF399D" w:rsidR="00117A25" w:rsidRPr="00F7582F" w:rsidRDefault="00117A25" w:rsidP="00B21E54">
            <w:pPr>
              <w:pStyle w:val="TableNormal0"/>
            </w:pPr>
            <w:r w:rsidRPr="00F7582F">
              <w:t>5.11, 17.6</w:t>
            </w:r>
          </w:p>
        </w:tc>
      </w:tr>
      <w:tr w:rsidR="00117A25" w:rsidRPr="00F7582F" w14:paraId="23B03A1D" w14:textId="77777777" w:rsidTr="0095509D">
        <w:trPr>
          <w:trHeight w:val="283"/>
        </w:trPr>
        <w:tc>
          <w:tcPr>
            <w:tcW w:w="1612" w:type="dxa"/>
          </w:tcPr>
          <w:p w14:paraId="4B0BD4B5" w14:textId="61EDAD25" w:rsidR="00117A25" w:rsidRPr="00F7582F" w:rsidRDefault="00117A25" w:rsidP="00B21E54">
            <w:pPr>
              <w:pStyle w:val="TableNormal0"/>
            </w:pPr>
            <w:r w:rsidRPr="00F7582F">
              <w:lastRenderedPageBreak/>
              <w:t xml:space="preserve">4. </w:t>
            </w:r>
            <w:r w:rsidRPr="00F7582F">
              <w:fldChar w:fldCharType="begin"/>
            </w:r>
            <w:r w:rsidRPr="00F7582F">
              <w:instrText xml:space="preserve"> REF _Ref142921118 \h </w:instrText>
            </w:r>
            <w:r w:rsidRPr="00B21E54">
              <w:instrText xml:space="preserve"> \* MERGEFORMAT </w:instrText>
            </w:r>
            <w:r w:rsidRPr="00F7582F">
              <w:fldChar w:fldCharType="separate"/>
            </w:r>
            <w:r w:rsidR="00EB7B05" w:rsidRPr="00233E61">
              <w:t>Behavioral Health</w:t>
            </w:r>
            <w:r w:rsidRPr="00F7582F">
              <w:fldChar w:fldCharType="end"/>
            </w:r>
          </w:p>
        </w:tc>
        <w:tc>
          <w:tcPr>
            <w:tcW w:w="1080" w:type="dxa"/>
          </w:tcPr>
          <w:p w14:paraId="1FEC017E" w14:textId="77777777" w:rsidR="00117A25" w:rsidRPr="00F7582F" w:rsidRDefault="00117A25" w:rsidP="00B21E54">
            <w:pPr>
              <w:pStyle w:val="TableNormal0"/>
            </w:pPr>
            <w:r w:rsidRPr="00F7582F">
              <w:t>1, 2</w:t>
            </w:r>
          </w:p>
        </w:tc>
        <w:tc>
          <w:tcPr>
            <w:tcW w:w="3780" w:type="dxa"/>
          </w:tcPr>
          <w:p w14:paraId="3C01FB2B" w14:textId="285890E4" w:rsidR="00117A25" w:rsidRPr="00F7582F" w:rsidRDefault="00117A25" w:rsidP="00B21E54">
            <w:pPr>
              <w:pStyle w:val="TableNormal0"/>
            </w:pPr>
            <w:r w:rsidRPr="00F7582F">
              <w:t xml:space="preserve">Opioid Use Disorder (OUD)/Substance Use Disorder Program (SUD) </w:t>
            </w:r>
          </w:p>
        </w:tc>
        <w:tc>
          <w:tcPr>
            <w:tcW w:w="1350" w:type="dxa"/>
          </w:tcPr>
          <w:p w14:paraId="2A49F323" w14:textId="68BB47ED" w:rsidR="00117A25" w:rsidRPr="00F7582F" w:rsidRDefault="00117A25" w:rsidP="00B21E54">
            <w:pPr>
              <w:pStyle w:val="TableNormal0"/>
            </w:pPr>
            <w:r>
              <w:t>Continuing and Revised as of August 2022</w:t>
            </w:r>
          </w:p>
        </w:tc>
        <w:tc>
          <w:tcPr>
            <w:tcW w:w="1530" w:type="dxa"/>
          </w:tcPr>
          <w:p w14:paraId="330D6388" w14:textId="73915A81" w:rsidR="00117A25" w:rsidRPr="00F7582F" w:rsidRDefault="00117A25" w:rsidP="00B21E54">
            <w:pPr>
              <w:pStyle w:val="TableNormal0"/>
            </w:pPr>
            <w:r w:rsidRPr="00F7582F">
              <w:t>6.1, 17.6a</w:t>
            </w:r>
          </w:p>
        </w:tc>
      </w:tr>
      <w:tr w:rsidR="00117A25" w:rsidRPr="00F7582F" w14:paraId="24242E82" w14:textId="77777777" w:rsidTr="0095509D">
        <w:trPr>
          <w:trHeight w:val="238"/>
        </w:trPr>
        <w:tc>
          <w:tcPr>
            <w:tcW w:w="1612" w:type="dxa"/>
          </w:tcPr>
          <w:p w14:paraId="3AB23EFB" w14:textId="0E807EA9" w:rsidR="00117A25" w:rsidRPr="00F7582F" w:rsidRDefault="00117A25" w:rsidP="00B21E54">
            <w:pPr>
              <w:pStyle w:val="TableNormal0"/>
            </w:pPr>
            <w:r w:rsidRPr="00F7582F">
              <w:t xml:space="preserve">4. </w:t>
            </w:r>
            <w:r w:rsidRPr="00F7582F">
              <w:fldChar w:fldCharType="begin"/>
            </w:r>
            <w:r w:rsidRPr="00F7582F">
              <w:instrText xml:space="preserve"> REF _Ref142921118 \h </w:instrText>
            </w:r>
            <w:r w:rsidRPr="00B21E54">
              <w:instrText xml:space="preserve"> \* MERGEFORMAT </w:instrText>
            </w:r>
            <w:r w:rsidRPr="00F7582F">
              <w:fldChar w:fldCharType="separate"/>
            </w:r>
            <w:r w:rsidR="00EB7B05" w:rsidRPr="00233E61">
              <w:t>Behavioral Health</w:t>
            </w:r>
            <w:r w:rsidRPr="00F7582F">
              <w:fldChar w:fldCharType="end"/>
            </w:r>
          </w:p>
        </w:tc>
        <w:tc>
          <w:tcPr>
            <w:tcW w:w="1080" w:type="dxa"/>
          </w:tcPr>
          <w:p w14:paraId="6326F1DB" w14:textId="77777777" w:rsidR="00117A25" w:rsidRPr="00F7582F" w:rsidRDefault="00117A25" w:rsidP="00B21E54">
            <w:pPr>
              <w:pStyle w:val="TableNormal0"/>
            </w:pPr>
            <w:r w:rsidRPr="00F7582F">
              <w:t>1, 2</w:t>
            </w:r>
          </w:p>
        </w:tc>
        <w:tc>
          <w:tcPr>
            <w:tcW w:w="3780" w:type="dxa"/>
          </w:tcPr>
          <w:p w14:paraId="6819541E" w14:textId="77777777" w:rsidR="00117A25" w:rsidRPr="00F7582F" w:rsidRDefault="00117A25" w:rsidP="00B21E54">
            <w:pPr>
              <w:pStyle w:val="TableNormal0"/>
            </w:pPr>
            <w:r w:rsidRPr="00F7582F">
              <w:t>Serious Mental Illness (SMI)/Serious Emotional Disturbance (SED) Programs</w:t>
            </w:r>
          </w:p>
        </w:tc>
        <w:tc>
          <w:tcPr>
            <w:tcW w:w="1350" w:type="dxa"/>
          </w:tcPr>
          <w:p w14:paraId="126872A1" w14:textId="73D69822" w:rsidR="00117A25" w:rsidRPr="00F7582F" w:rsidRDefault="00117A25" w:rsidP="00B21E54">
            <w:pPr>
              <w:pStyle w:val="TableNormal0"/>
            </w:pPr>
            <w:r>
              <w:t xml:space="preserve">New as </w:t>
            </w:r>
            <w:r w:rsidR="0095509D">
              <w:t>of</w:t>
            </w:r>
            <w:r w:rsidR="0095509D">
              <w:br/>
            </w:r>
            <w:r>
              <w:t>August 2022</w:t>
            </w:r>
          </w:p>
        </w:tc>
        <w:tc>
          <w:tcPr>
            <w:tcW w:w="1530" w:type="dxa"/>
          </w:tcPr>
          <w:p w14:paraId="2EBD02E1" w14:textId="1F22BAE4" w:rsidR="00117A25" w:rsidRPr="00F7582F" w:rsidRDefault="00117A25" w:rsidP="00B21E54">
            <w:pPr>
              <w:pStyle w:val="TableNormal0"/>
            </w:pPr>
            <w:r w:rsidRPr="00F7582F">
              <w:t>7.1, 17.6b</w:t>
            </w:r>
          </w:p>
        </w:tc>
      </w:tr>
      <w:tr w:rsidR="00117A25" w:rsidRPr="00F7582F" w14:paraId="32113553" w14:textId="77777777" w:rsidTr="0095509D">
        <w:trPr>
          <w:trHeight w:val="103"/>
        </w:trPr>
        <w:tc>
          <w:tcPr>
            <w:tcW w:w="1612" w:type="dxa"/>
          </w:tcPr>
          <w:p w14:paraId="1B18F09E" w14:textId="24EF4EB0" w:rsidR="00117A25" w:rsidRPr="00F7582F" w:rsidRDefault="00117A25" w:rsidP="00B21E54">
            <w:pPr>
              <w:pStyle w:val="TableNormal0"/>
            </w:pPr>
            <w:r w:rsidRPr="00F7582F">
              <w:t xml:space="preserve">5. </w:t>
            </w:r>
            <w:r w:rsidRPr="00F7582F">
              <w:fldChar w:fldCharType="begin"/>
            </w:r>
            <w:r w:rsidRPr="00F7582F">
              <w:instrText xml:space="preserve"> REF _Ref142921131 \h </w:instrText>
            </w:r>
            <w:r w:rsidRPr="00B21E54">
              <w:instrText xml:space="preserve"> \* MERGEFORMAT </w:instrText>
            </w:r>
            <w:r w:rsidRPr="00F7582F">
              <w:fldChar w:fldCharType="separate"/>
            </w:r>
            <w:r w:rsidR="00EB7B05" w:rsidRPr="00277FA7">
              <w:t>Safety Net Care Pool</w:t>
            </w:r>
            <w:r w:rsidRPr="00F7582F">
              <w:fldChar w:fldCharType="end"/>
            </w:r>
            <w:r w:rsidRPr="00F7582F">
              <w:t xml:space="preserve"> </w:t>
            </w:r>
          </w:p>
        </w:tc>
        <w:tc>
          <w:tcPr>
            <w:tcW w:w="1080" w:type="dxa"/>
          </w:tcPr>
          <w:p w14:paraId="26D3AA80" w14:textId="77777777" w:rsidR="00117A25" w:rsidRPr="00F7582F" w:rsidRDefault="00117A25" w:rsidP="00B21E54">
            <w:pPr>
              <w:pStyle w:val="TableNormal0"/>
            </w:pPr>
            <w:r w:rsidRPr="00F7582F">
              <w:t>4</w:t>
            </w:r>
          </w:p>
        </w:tc>
        <w:tc>
          <w:tcPr>
            <w:tcW w:w="3780" w:type="dxa"/>
          </w:tcPr>
          <w:p w14:paraId="2140C6D2" w14:textId="5DD6E6A1" w:rsidR="00117A25" w:rsidRPr="00F7582F" w:rsidRDefault="00117A25" w:rsidP="00B21E54">
            <w:pPr>
              <w:pStyle w:val="TableNormal0"/>
            </w:pPr>
            <w:r w:rsidRPr="00F7582F">
              <w:t>Safety Net Care Pool (SNCP)</w:t>
            </w:r>
          </w:p>
        </w:tc>
        <w:tc>
          <w:tcPr>
            <w:tcW w:w="1350" w:type="dxa"/>
          </w:tcPr>
          <w:p w14:paraId="7B0174D0" w14:textId="1B2761B4" w:rsidR="00117A25" w:rsidRPr="00F7582F" w:rsidRDefault="00357806" w:rsidP="00B21E54">
            <w:pPr>
              <w:pStyle w:val="TableNormal0"/>
            </w:pPr>
            <w:r>
              <w:t xml:space="preserve">Continuing and </w:t>
            </w:r>
            <w:r w:rsidRPr="00EA5598">
              <w:t>Revised</w:t>
            </w:r>
          </w:p>
        </w:tc>
        <w:tc>
          <w:tcPr>
            <w:tcW w:w="1530" w:type="dxa"/>
          </w:tcPr>
          <w:p w14:paraId="4D18235B" w14:textId="687C1368" w:rsidR="00117A25" w:rsidRPr="00F7582F" w:rsidRDefault="00117A25" w:rsidP="00B21E54">
            <w:pPr>
              <w:pStyle w:val="TableNormal0"/>
            </w:pPr>
            <w:r w:rsidRPr="00F7582F">
              <w:t>11.1-11.6</w:t>
            </w:r>
          </w:p>
        </w:tc>
      </w:tr>
      <w:tr w:rsidR="00117A25" w:rsidRPr="00F7582F" w14:paraId="6550E028" w14:textId="77777777" w:rsidTr="0095509D">
        <w:trPr>
          <w:trHeight w:val="36"/>
        </w:trPr>
        <w:tc>
          <w:tcPr>
            <w:tcW w:w="1612" w:type="dxa"/>
          </w:tcPr>
          <w:p w14:paraId="59376DC5" w14:textId="2E353CB3" w:rsidR="00117A25" w:rsidRPr="00F7582F" w:rsidRDefault="00117A25" w:rsidP="00B21E54">
            <w:pPr>
              <w:pStyle w:val="TableNormal0"/>
            </w:pPr>
            <w:r w:rsidRPr="00F7582F">
              <w:t xml:space="preserve">6. </w:t>
            </w:r>
            <w:r w:rsidRPr="00F7582F">
              <w:fldChar w:fldCharType="begin"/>
            </w:r>
            <w:r w:rsidRPr="00F7582F">
              <w:instrText xml:space="preserve"> REF _Ref142921143 \h </w:instrText>
            </w:r>
            <w:r w:rsidRPr="00B21E54">
              <w:instrText xml:space="preserve"> \* MERGEFORMAT </w:instrText>
            </w:r>
            <w:r w:rsidRPr="00F7582F">
              <w:fldChar w:fldCharType="separate"/>
            </w:r>
            <w:r w:rsidR="00EB7B05" w:rsidRPr="0009132C">
              <w:t>Workforce Initiatives</w:t>
            </w:r>
            <w:r w:rsidRPr="00F7582F">
              <w:fldChar w:fldCharType="end"/>
            </w:r>
          </w:p>
        </w:tc>
        <w:tc>
          <w:tcPr>
            <w:tcW w:w="1080" w:type="dxa"/>
          </w:tcPr>
          <w:p w14:paraId="3E7AF662" w14:textId="77777777" w:rsidR="00117A25" w:rsidRPr="00F7582F" w:rsidRDefault="00117A25" w:rsidP="00B21E54">
            <w:pPr>
              <w:pStyle w:val="TableNormal0"/>
            </w:pPr>
            <w:r w:rsidRPr="00F7582F">
              <w:t>2</w:t>
            </w:r>
          </w:p>
        </w:tc>
        <w:tc>
          <w:tcPr>
            <w:tcW w:w="3780" w:type="dxa"/>
          </w:tcPr>
          <w:p w14:paraId="0E4AE2F3" w14:textId="185A8F99" w:rsidR="00117A25" w:rsidRPr="00F7582F" w:rsidRDefault="00117A25" w:rsidP="00B21E54">
            <w:pPr>
              <w:pStyle w:val="TableNormal0"/>
            </w:pPr>
            <w:r w:rsidRPr="00F7582F">
              <w:t xml:space="preserve">Workforce Initiatives </w:t>
            </w:r>
          </w:p>
        </w:tc>
        <w:tc>
          <w:tcPr>
            <w:tcW w:w="1350" w:type="dxa"/>
          </w:tcPr>
          <w:p w14:paraId="7F1F8A1A" w14:textId="43FA4F12" w:rsidR="00117A25" w:rsidRPr="00F7582F" w:rsidRDefault="00117A25" w:rsidP="00B21E54">
            <w:pPr>
              <w:pStyle w:val="TableNormal0"/>
            </w:pPr>
            <w:r w:rsidRPr="00D7415D">
              <w:t>Revised</w:t>
            </w:r>
          </w:p>
        </w:tc>
        <w:tc>
          <w:tcPr>
            <w:tcW w:w="1530" w:type="dxa"/>
          </w:tcPr>
          <w:p w14:paraId="69F1337B" w14:textId="5312464B" w:rsidR="00117A25" w:rsidRPr="00F7582F" w:rsidRDefault="00117A25" w:rsidP="00B21E54">
            <w:pPr>
              <w:pStyle w:val="TableNormal0"/>
            </w:pPr>
            <w:r w:rsidRPr="00F7582F">
              <w:t>13.1 - 13.8, 14.5a, 15.17, 17.6d</w:t>
            </w:r>
          </w:p>
        </w:tc>
      </w:tr>
      <w:tr w:rsidR="00117A25" w:rsidRPr="00F7582F" w14:paraId="5D54814A" w14:textId="77777777" w:rsidTr="0095509D">
        <w:trPr>
          <w:trHeight w:val="36"/>
        </w:trPr>
        <w:tc>
          <w:tcPr>
            <w:tcW w:w="1612" w:type="dxa"/>
          </w:tcPr>
          <w:p w14:paraId="6AB43CA4" w14:textId="030F4A56" w:rsidR="00117A25" w:rsidRPr="00F7582F" w:rsidRDefault="00117A25" w:rsidP="00B21E54">
            <w:pPr>
              <w:pStyle w:val="TableNormal0"/>
            </w:pPr>
            <w:r w:rsidRPr="00F7582F">
              <w:t xml:space="preserve">7. </w:t>
            </w:r>
            <w:r w:rsidRPr="00F7582F">
              <w:fldChar w:fldCharType="begin"/>
            </w:r>
            <w:r w:rsidRPr="00F7582F">
              <w:instrText xml:space="preserve"> REF _Ref142921170 \h </w:instrText>
            </w:r>
            <w:r>
              <w:instrText xml:space="preserve"> \* MERGEFORMAT </w:instrText>
            </w:r>
            <w:r w:rsidRPr="00F7582F">
              <w:fldChar w:fldCharType="separate"/>
            </w:r>
            <w:r w:rsidR="00EB7B05" w:rsidRPr="0009132C">
              <w:t>Hospital Quality and Equity Initiative</w:t>
            </w:r>
            <w:r w:rsidRPr="00F7582F">
              <w:fldChar w:fldCharType="end"/>
            </w:r>
            <w:r w:rsidRPr="00F7582F">
              <w:t xml:space="preserve"> </w:t>
            </w:r>
          </w:p>
        </w:tc>
        <w:tc>
          <w:tcPr>
            <w:tcW w:w="1080" w:type="dxa"/>
          </w:tcPr>
          <w:p w14:paraId="1F873ED0" w14:textId="77777777" w:rsidR="00117A25" w:rsidRPr="00F7582F" w:rsidRDefault="00117A25" w:rsidP="00B21E54">
            <w:pPr>
              <w:pStyle w:val="TableNormal0"/>
            </w:pPr>
            <w:r w:rsidRPr="00F7582F">
              <w:t>3</w:t>
            </w:r>
          </w:p>
        </w:tc>
        <w:tc>
          <w:tcPr>
            <w:tcW w:w="3780" w:type="dxa"/>
          </w:tcPr>
          <w:p w14:paraId="2281863C" w14:textId="77777777" w:rsidR="00117A25" w:rsidRPr="00F7582F" w:rsidRDefault="00117A25" w:rsidP="00B21E54">
            <w:pPr>
              <w:pStyle w:val="TableNormal0"/>
            </w:pPr>
            <w:r w:rsidRPr="00F7582F">
              <w:t xml:space="preserve">Hospital Quality and Equity Initiative </w:t>
            </w:r>
          </w:p>
        </w:tc>
        <w:tc>
          <w:tcPr>
            <w:tcW w:w="1350" w:type="dxa"/>
          </w:tcPr>
          <w:p w14:paraId="7FBD7724" w14:textId="3E5764B3" w:rsidR="00117A25" w:rsidRPr="00F7582F" w:rsidRDefault="00117A25" w:rsidP="00B21E54">
            <w:pPr>
              <w:pStyle w:val="TableNormal0"/>
            </w:pPr>
            <w:r>
              <w:t>New</w:t>
            </w:r>
          </w:p>
        </w:tc>
        <w:tc>
          <w:tcPr>
            <w:tcW w:w="1530" w:type="dxa"/>
          </w:tcPr>
          <w:p w14:paraId="5E076903" w14:textId="07E1E291" w:rsidR="00117A25" w:rsidRPr="00F7582F" w:rsidRDefault="00117A25" w:rsidP="00B21E54">
            <w:pPr>
              <w:pStyle w:val="TableNormal0"/>
            </w:pPr>
            <w:r w:rsidRPr="00F7582F">
              <w:t>14.1 -14.23, 17.6c</w:t>
            </w:r>
          </w:p>
        </w:tc>
      </w:tr>
      <w:tr w:rsidR="00117A25" w:rsidRPr="00F7582F" w14:paraId="1FDBCA2A" w14:textId="77777777" w:rsidTr="0095509D">
        <w:trPr>
          <w:trHeight w:val="36"/>
        </w:trPr>
        <w:tc>
          <w:tcPr>
            <w:tcW w:w="1612" w:type="dxa"/>
          </w:tcPr>
          <w:p w14:paraId="0DF0CEA0" w14:textId="5A295303" w:rsidR="00117A25" w:rsidRPr="00F7582F" w:rsidRDefault="00117A25" w:rsidP="00B21E54">
            <w:pPr>
              <w:pStyle w:val="TableNormal0"/>
            </w:pPr>
            <w:r w:rsidRPr="00F7582F">
              <w:t xml:space="preserve">8. </w:t>
            </w:r>
            <w:r w:rsidRPr="00F7582F">
              <w:fldChar w:fldCharType="begin"/>
            </w:r>
            <w:r w:rsidRPr="00F7582F">
              <w:instrText xml:space="preserve"> REF _Ref142921188 \h </w:instrText>
            </w:r>
            <w:r>
              <w:instrText xml:space="preserve"> \* MERGEFORMAT </w:instrText>
            </w:r>
            <w:r w:rsidRPr="00F7582F">
              <w:fldChar w:fldCharType="separate"/>
            </w:r>
            <w:r w:rsidR="00EB7B05" w:rsidRPr="0009132C">
              <w:t>Health-Related Social Needs</w:t>
            </w:r>
            <w:r w:rsidRPr="00F7582F">
              <w:fldChar w:fldCharType="end"/>
            </w:r>
          </w:p>
        </w:tc>
        <w:tc>
          <w:tcPr>
            <w:tcW w:w="1080" w:type="dxa"/>
          </w:tcPr>
          <w:p w14:paraId="6A338253" w14:textId="77777777" w:rsidR="00117A25" w:rsidRPr="00F7582F" w:rsidRDefault="00117A25" w:rsidP="00B21E54">
            <w:pPr>
              <w:pStyle w:val="TableNormal0"/>
            </w:pPr>
            <w:r w:rsidRPr="00F7582F">
              <w:t>1, 3</w:t>
            </w:r>
          </w:p>
        </w:tc>
        <w:tc>
          <w:tcPr>
            <w:tcW w:w="3780" w:type="dxa"/>
          </w:tcPr>
          <w:p w14:paraId="551B9ED1" w14:textId="75094B28" w:rsidR="00117A25" w:rsidRPr="00F7582F" w:rsidRDefault="00117A25" w:rsidP="00B21E54">
            <w:pPr>
              <w:pStyle w:val="TableNormal0"/>
            </w:pPr>
            <w:r w:rsidRPr="00F7582F">
              <w:t>Provision of Services to Address Health-related Social Needs, Including Infrastructure Costs</w:t>
            </w:r>
          </w:p>
        </w:tc>
        <w:tc>
          <w:tcPr>
            <w:tcW w:w="1350" w:type="dxa"/>
          </w:tcPr>
          <w:p w14:paraId="6B44E4BC" w14:textId="164C1E74" w:rsidR="00117A25" w:rsidRPr="00F7582F" w:rsidRDefault="00117A25" w:rsidP="00B21E54">
            <w:pPr>
              <w:pStyle w:val="TableNormal0"/>
            </w:pPr>
            <w:r>
              <w:t>New and Revised</w:t>
            </w:r>
          </w:p>
        </w:tc>
        <w:tc>
          <w:tcPr>
            <w:tcW w:w="1530" w:type="dxa"/>
          </w:tcPr>
          <w:p w14:paraId="1FA88AA6" w14:textId="25F60C5C" w:rsidR="00117A25" w:rsidRPr="00F7582F" w:rsidRDefault="00117A25" w:rsidP="00B21E54">
            <w:pPr>
              <w:pStyle w:val="TableNormal0"/>
            </w:pPr>
            <w:r w:rsidRPr="00F7582F">
              <w:t>15.1 -15.18, 17.6e</w:t>
            </w:r>
          </w:p>
        </w:tc>
      </w:tr>
    </w:tbl>
    <w:bookmarkEnd w:id="20"/>
    <w:p w14:paraId="6D933290" w14:textId="73CB9D60" w:rsidR="000019A8" w:rsidRPr="00B21E54" w:rsidRDefault="000019A8" w:rsidP="006439D3">
      <w:pPr>
        <w:pStyle w:val="FootnoteText"/>
        <w:spacing w:before="60"/>
      </w:pPr>
      <w:r w:rsidRPr="00B21E54">
        <w:t>*These two policies were designated as optional for evaluation and are not included in the evaluation design.</w:t>
      </w:r>
    </w:p>
    <w:p w14:paraId="5FE4C563" w14:textId="10E0645B" w:rsidR="00F85B7C" w:rsidRPr="00773D8A" w:rsidRDefault="007E6A2E" w:rsidP="007904D9">
      <w:pPr>
        <w:sectPr w:rsidR="00F85B7C" w:rsidRPr="00773D8A" w:rsidSect="00744E1B">
          <w:footerReference w:type="default" r:id="rId16"/>
          <w:pgSz w:w="12240" w:h="15840"/>
          <w:pgMar w:top="1350" w:right="1440" w:bottom="1242" w:left="1440" w:header="630" w:footer="576" w:gutter="0"/>
          <w:cols w:space="720"/>
          <w:docGrid w:linePitch="360"/>
        </w:sectPr>
      </w:pPr>
      <w:r w:rsidRPr="00773D8A">
        <w:t xml:space="preserve">Each chapter includes a logic model that illustrates the relationships between policy inputs, implementation activities, outputs, and outcomes for a specific policy domain. We recognize that these policy domains and their overlapping components are designed to work together to achieve the overall goals of the Demonstration. In </w:t>
      </w:r>
      <w:r w:rsidR="007A291D" w:rsidRPr="00DE1FFB">
        <w:rPr>
          <w:color w:val="000F9F"/>
          <w:u w:val="single"/>
        </w:rPr>
        <w:fldChar w:fldCharType="begin"/>
      </w:r>
      <w:r w:rsidR="007A291D" w:rsidRPr="00DE1FFB">
        <w:rPr>
          <w:color w:val="000F9F"/>
          <w:u w:val="single"/>
        </w:rPr>
        <w:instrText xml:space="preserve"> REF _Ref142565556 \h </w:instrText>
      </w:r>
      <w:r w:rsidR="007A291D" w:rsidRPr="00DE1FFB">
        <w:rPr>
          <w:color w:val="000F9F"/>
          <w:u w:val="single"/>
        </w:rPr>
      </w:r>
      <w:r w:rsidR="007A291D" w:rsidRPr="00DE1FFB">
        <w:rPr>
          <w:color w:val="000F9F"/>
          <w:u w:val="single"/>
        </w:rPr>
        <w:fldChar w:fldCharType="separate"/>
      </w:r>
      <w:r w:rsidR="007A291D" w:rsidRPr="00DE1FFB">
        <w:rPr>
          <w:color w:val="000F9F"/>
          <w:u w:val="single"/>
        </w:rPr>
        <w:t xml:space="preserve">Figure </w:t>
      </w:r>
      <w:r w:rsidR="007A291D" w:rsidRPr="00DE1FFB">
        <w:rPr>
          <w:noProof/>
          <w:color w:val="000F9F"/>
          <w:u w:val="single"/>
        </w:rPr>
        <w:t>1</w:t>
      </w:r>
      <w:r w:rsidR="007A291D" w:rsidRPr="00DE1FFB">
        <w:rPr>
          <w:color w:val="000F9F"/>
          <w:u w:val="single"/>
        </w:rPr>
        <w:noBreakHyphen/>
      </w:r>
      <w:r w:rsidR="007A291D" w:rsidRPr="00DE1FFB">
        <w:rPr>
          <w:noProof/>
          <w:color w:val="000F9F"/>
          <w:u w:val="single"/>
        </w:rPr>
        <w:t>1</w:t>
      </w:r>
      <w:r w:rsidR="007A291D" w:rsidRPr="00DE1FFB">
        <w:rPr>
          <w:color w:val="000F9F"/>
          <w:u w:val="single"/>
        </w:rPr>
        <w:fldChar w:fldCharType="end"/>
      </w:r>
      <w:r w:rsidRPr="007A291D">
        <w:t xml:space="preserve">, </w:t>
      </w:r>
      <w:r w:rsidRPr="00773D8A">
        <w:t xml:space="preserve">the overarching Demonstration Logic Model summarizes the process by which the Demonstration goals informed several policy initiatives designed to jointly affect a common set of outputs and ultimate outcomes. As illustrated in </w:t>
      </w:r>
      <w:r w:rsidR="007A291D" w:rsidRPr="00DE1FFB">
        <w:rPr>
          <w:rStyle w:val="Hyperlink"/>
          <w:color w:val="000F9F"/>
        </w:rPr>
        <w:fldChar w:fldCharType="begin"/>
      </w:r>
      <w:r w:rsidR="007A291D" w:rsidRPr="00DE1FFB">
        <w:rPr>
          <w:color w:val="000F9F"/>
          <w:u w:val="single"/>
        </w:rPr>
        <w:instrText xml:space="preserve"> REF _Ref142924793 \h </w:instrText>
      </w:r>
      <w:r w:rsidR="007A291D" w:rsidRPr="00DE1FFB">
        <w:rPr>
          <w:rStyle w:val="Hyperlink"/>
          <w:color w:val="000F9F"/>
        </w:rPr>
      </w:r>
      <w:r w:rsidR="007A291D" w:rsidRPr="00DE1FFB">
        <w:rPr>
          <w:rStyle w:val="Hyperlink"/>
          <w:color w:val="000F9F"/>
        </w:rPr>
        <w:fldChar w:fldCharType="separate"/>
      </w:r>
      <w:r w:rsidR="007A291D" w:rsidRPr="00DE1FFB">
        <w:rPr>
          <w:color w:val="000F9F"/>
          <w:u w:val="single"/>
        </w:rPr>
        <w:t>Table 1-</w:t>
      </w:r>
      <w:r w:rsidR="007A291D" w:rsidRPr="00DE1FFB">
        <w:rPr>
          <w:noProof/>
          <w:color w:val="000F9F"/>
          <w:u w:val="single"/>
        </w:rPr>
        <w:t>1</w:t>
      </w:r>
      <w:r w:rsidR="007A291D" w:rsidRPr="00DE1FFB">
        <w:rPr>
          <w:rStyle w:val="Hyperlink"/>
          <w:color w:val="000F9F"/>
        </w:rPr>
        <w:fldChar w:fldCharType="end"/>
      </w:r>
      <w:r w:rsidRPr="00773D8A">
        <w:t>, for example, continuous eligibility, a component of the Coverage and Eligibility policy domain (</w:t>
      </w:r>
      <w:hyperlink w:anchor="_Coverage_and_Eligibility" w:history="1">
        <w:r w:rsidRPr="00277FA7">
          <w:rPr>
            <w:rStyle w:val="Hyperlink"/>
          </w:rPr>
          <w:t>Chapter 2</w:t>
        </w:r>
      </w:hyperlink>
      <w:r w:rsidR="006111B3">
        <w:rPr>
          <w:rStyle w:val="Hyperlink"/>
        </w:rPr>
        <w:t xml:space="preserve">, </w:t>
      </w:r>
      <w:r w:rsidR="006111B3" w:rsidRPr="004748D0">
        <w:rPr>
          <w:rStyle w:val="Hyperlink"/>
          <w:color w:val="auto"/>
        </w:rPr>
        <w:t>Coverage and Eligibility</w:t>
      </w:r>
      <w:r w:rsidRPr="00773D8A">
        <w:t>), is also key to the success of the Demonstration goals of improving access to high-quality care and improving health equity. Likewise, the Delivery System Reform policies (</w:t>
      </w:r>
      <w:hyperlink w:anchor="_Delivery_System_Reform" w:history="1">
        <w:r w:rsidRPr="00277FA7">
          <w:rPr>
            <w:rStyle w:val="Hyperlink"/>
          </w:rPr>
          <w:t>Chapter 3</w:t>
        </w:r>
      </w:hyperlink>
      <w:r w:rsidR="006111B3">
        <w:rPr>
          <w:rStyle w:val="Hyperlink"/>
        </w:rPr>
        <w:t xml:space="preserve">, </w:t>
      </w:r>
      <w:r w:rsidR="006111B3" w:rsidRPr="004748D0">
        <w:rPr>
          <w:rStyle w:val="Hyperlink"/>
          <w:color w:val="auto"/>
        </w:rPr>
        <w:t>Delivery System Reform</w:t>
      </w:r>
      <w:r w:rsidRPr="00773D8A">
        <w:t>), most notably the MassHealth ACOs, are directly linked to accountability for safety net hospitals (</w:t>
      </w:r>
      <w:hyperlink w:anchor="_Safety_Net_Care" w:history="1">
        <w:r w:rsidRPr="00277FA7">
          <w:rPr>
            <w:rStyle w:val="Hyperlink"/>
          </w:rPr>
          <w:t>Chapter 5</w:t>
        </w:r>
      </w:hyperlink>
      <w:r w:rsidR="00FA176F">
        <w:rPr>
          <w:rStyle w:val="Hyperlink"/>
        </w:rPr>
        <w:t xml:space="preserve">, </w:t>
      </w:r>
      <w:r w:rsidR="00FA176F" w:rsidRPr="004748D0">
        <w:rPr>
          <w:rStyle w:val="Hyperlink"/>
          <w:color w:val="auto"/>
        </w:rPr>
        <w:t>Safety Net Care Pool</w:t>
      </w:r>
      <w:r w:rsidRPr="00773D8A">
        <w:t>) and all acute care hospitals participating in the Hospital Quality and Equity Initiative (</w:t>
      </w:r>
      <w:hyperlink w:anchor="_Hospital_Quality_and" w:history="1">
        <w:r w:rsidRPr="00FD6CD3">
          <w:rPr>
            <w:rStyle w:val="Hyperlink"/>
          </w:rPr>
          <w:t>Chapter 7</w:t>
        </w:r>
      </w:hyperlink>
      <w:r w:rsidR="00FA176F">
        <w:rPr>
          <w:rStyle w:val="Hyperlink"/>
        </w:rPr>
        <w:t xml:space="preserve">, </w:t>
      </w:r>
      <w:r w:rsidR="00FA176F" w:rsidRPr="004748D0">
        <w:rPr>
          <w:rStyle w:val="Hyperlink"/>
          <w:color w:val="auto"/>
        </w:rPr>
        <w:t>Hospital Quality and Equity Initiative</w:t>
      </w:r>
      <w:r w:rsidRPr="00773D8A">
        <w:t>). The ACOs have a lead role in implementing HRSN programs (</w:t>
      </w:r>
      <w:hyperlink w:anchor="_Health-Related_Social_Needs" w:history="1">
        <w:r w:rsidRPr="00FD6CD3">
          <w:rPr>
            <w:rStyle w:val="Hyperlink"/>
          </w:rPr>
          <w:t>Chapter 8</w:t>
        </w:r>
      </w:hyperlink>
      <w:r w:rsidR="0074724A">
        <w:rPr>
          <w:rStyle w:val="Hyperlink"/>
        </w:rPr>
        <w:t xml:space="preserve">, </w:t>
      </w:r>
      <w:r w:rsidR="006111B3" w:rsidRPr="004748D0">
        <w:rPr>
          <w:rStyle w:val="Hyperlink"/>
          <w:color w:val="auto"/>
        </w:rPr>
        <w:t>Health-Related Social Needs</w:t>
      </w:r>
      <w:r w:rsidRPr="004748D0">
        <w:t xml:space="preserve">), </w:t>
      </w:r>
      <w:r w:rsidRPr="00773D8A">
        <w:t>while ACOs share HRSN screening and data reporting requirements with hospitals participating in the HQEI. Policies to promote recruitment and retention of a robust community-based primary care and BH workforce (</w:t>
      </w:r>
      <w:hyperlink w:anchor="_Workforce_Initiatives" w:history="1">
        <w:r w:rsidRPr="00D15766">
          <w:rPr>
            <w:rStyle w:val="Hyperlink"/>
          </w:rPr>
          <w:t>Chapter 6</w:t>
        </w:r>
      </w:hyperlink>
      <w:r w:rsidR="0074724A">
        <w:rPr>
          <w:rStyle w:val="Hyperlink"/>
        </w:rPr>
        <w:t xml:space="preserve">, </w:t>
      </w:r>
      <w:r w:rsidR="0074724A" w:rsidRPr="004748D0">
        <w:rPr>
          <w:rStyle w:val="Hyperlink"/>
          <w:color w:val="auto"/>
        </w:rPr>
        <w:t>Workforce Initiatives</w:t>
      </w:r>
      <w:r w:rsidRPr="004748D0">
        <w:t xml:space="preserve">) will </w:t>
      </w:r>
      <w:r w:rsidRPr="00773D8A">
        <w:t>support the safety net practice sites, hospitals, and community-based organizations (many of whom will be part of or contracted with the ACOs) responsible for delivering integrated and accountable care across the continuum. The alignment and joint effects of these policies across domains will be critical to the success of the Demonstration goals related to expanding access to primary care,</w:t>
      </w:r>
      <w:r w:rsidR="009719B1">
        <w:t xml:space="preserve"> Behavioral Health</w:t>
      </w:r>
      <w:r w:rsidR="00413A9C" w:rsidRPr="007F0105">
        <w:rPr>
          <w:color w:val="2639FF" w:themeColor="text2" w:themeTint="80"/>
        </w:rPr>
        <w:t xml:space="preserve"> </w:t>
      </w:r>
      <w:r w:rsidR="00413A9C" w:rsidRPr="007F0105">
        <w:t>(</w:t>
      </w:r>
      <w:hyperlink w:anchor="_Behavioral_Health" w:history="1">
        <w:r w:rsidR="00413A9C" w:rsidRPr="007F0105">
          <w:rPr>
            <w:rStyle w:val="Hyperlink"/>
          </w:rPr>
          <w:t>Chapter 4</w:t>
        </w:r>
      </w:hyperlink>
      <w:r w:rsidR="0074724A">
        <w:rPr>
          <w:rStyle w:val="Hyperlink"/>
        </w:rPr>
        <w:t xml:space="preserve">, </w:t>
      </w:r>
      <w:r w:rsidR="0074724A" w:rsidRPr="004748D0">
        <w:rPr>
          <w:rStyle w:val="Hyperlink"/>
          <w:color w:val="auto"/>
        </w:rPr>
        <w:t>Behavioral Health</w:t>
      </w:r>
      <w:r w:rsidR="00413A9C" w:rsidRPr="004748D0">
        <w:t>)</w:t>
      </w:r>
      <w:r w:rsidRPr="004748D0">
        <w:t xml:space="preserve">, and </w:t>
      </w:r>
      <w:r w:rsidRPr="00773D8A">
        <w:t>pediatric services while supporting the Commonwealth’s safety net and continuing to move the system away from a siloed FFS model.</w:t>
      </w:r>
    </w:p>
    <w:p w14:paraId="4118871F" w14:textId="17BDD75C" w:rsidR="004E6A84" w:rsidRPr="00863C69" w:rsidRDefault="0F8EB14A" w:rsidP="002D0DB7">
      <w:pPr>
        <w:pStyle w:val="Caption"/>
        <w:keepNext/>
      </w:pPr>
      <w:bookmarkStart w:id="21" w:name="_Ref142565556"/>
      <w:bookmarkStart w:id="22" w:name="_Toc151976466"/>
      <w:r>
        <w:lastRenderedPageBreak/>
        <w:t xml:space="preserve">Figure </w:t>
      </w:r>
      <w:r>
        <w:fldChar w:fldCharType="begin"/>
      </w:r>
      <w:r>
        <w:instrText>STYLEREF 1 \s</w:instrText>
      </w:r>
      <w:r>
        <w:fldChar w:fldCharType="separate"/>
      </w:r>
      <w:r w:rsidR="2E67FFBE">
        <w:rPr>
          <w:noProof/>
        </w:rPr>
        <w:t>1</w:t>
      </w:r>
      <w:r>
        <w:fldChar w:fldCharType="end"/>
      </w:r>
      <w:r w:rsidR="00743B23">
        <w:noBreakHyphen/>
      </w:r>
      <w:r>
        <w:fldChar w:fldCharType="begin"/>
      </w:r>
      <w:r>
        <w:instrText>SEQ Figure \* ARABIC \s 1</w:instrText>
      </w:r>
      <w:r>
        <w:fldChar w:fldCharType="separate"/>
      </w:r>
      <w:r w:rsidR="2E67FFBE">
        <w:rPr>
          <w:noProof/>
        </w:rPr>
        <w:t>1</w:t>
      </w:r>
      <w:r>
        <w:fldChar w:fldCharType="end"/>
      </w:r>
      <w:bookmarkEnd w:id="21"/>
      <w:r>
        <w:t xml:space="preserve">: Demonstration Logic </w:t>
      </w:r>
      <w:r w:rsidR="44C11AD2" w:rsidRPr="0009132C">
        <w:t>Model</w:t>
      </w:r>
      <w:bookmarkEnd w:id="22"/>
      <w:r w:rsidR="005044AA" w:rsidRPr="0009132C">
        <w:tab/>
      </w:r>
    </w:p>
    <w:p w14:paraId="53B36784" w14:textId="333B428B" w:rsidR="00C37CDA" w:rsidRDefault="00C37CDA" w:rsidP="00C37CDA">
      <w:pPr>
        <w:pStyle w:val="TableorFigurefootnote"/>
        <w:ind w:left="792" w:hanging="432"/>
        <w:rPr>
          <w:rFonts w:eastAsiaTheme="majorEastAsia" w:cstheme="majorBidi"/>
          <w:i/>
          <w:iCs/>
          <w:sz w:val="22"/>
          <w:szCs w:val="21"/>
        </w:rPr>
      </w:pPr>
      <w:r w:rsidRPr="00096DBE">
        <w:rPr>
          <w:rFonts w:eastAsiaTheme="majorEastAsia" w:cstheme="majorBidi"/>
          <w:i/>
          <w:iCs/>
          <w:sz w:val="22"/>
          <w:szCs w:val="21"/>
        </w:rPr>
        <w:t>Connecting 1115 Demonstration Waiver Policies to Demonstration Goals and Desired Outcomes</w:t>
      </w:r>
    </w:p>
    <w:p w14:paraId="735D6B78" w14:textId="77777777" w:rsidR="00804CB6" w:rsidRDefault="00804CB6" w:rsidP="00C37CDA">
      <w:pPr>
        <w:pStyle w:val="TableorFigurefootnote"/>
        <w:ind w:left="792" w:hanging="432"/>
        <w:rPr>
          <w:rFonts w:eastAsiaTheme="majorEastAsia" w:cstheme="majorBidi"/>
          <w:i/>
          <w:iCs/>
          <w:sz w:val="22"/>
          <w:szCs w:val="21"/>
        </w:rPr>
      </w:pPr>
    </w:p>
    <w:p w14:paraId="674D3622" w14:textId="084AA88F" w:rsidR="00613597" w:rsidRPr="00C37CDA" w:rsidRDefault="00613597" w:rsidP="00C37CDA">
      <w:pPr>
        <w:pStyle w:val="TableorFigurefootnote"/>
        <w:ind w:left="792" w:hanging="432"/>
        <w:rPr>
          <w:rFonts w:eastAsiaTheme="majorEastAsia" w:cstheme="majorBidi"/>
          <w:i/>
          <w:iCs/>
          <w:sz w:val="22"/>
          <w:szCs w:val="21"/>
        </w:rPr>
      </w:pPr>
      <w:r w:rsidRPr="00613597">
        <w:rPr>
          <w:rFonts w:eastAsiaTheme="majorEastAsia" w:cstheme="majorBidi"/>
          <w:i/>
          <w:iCs/>
          <w:noProof/>
          <w:sz w:val="22"/>
          <w:szCs w:val="21"/>
        </w:rPr>
        <w:drawing>
          <wp:inline distT="0" distB="0" distL="0" distR="0" wp14:anchorId="333134D1" wp14:editId="76FE8E9B">
            <wp:extent cx="8439150" cy="4662805"/>
            <wp:effectExtent l="0" t="0" r="0" b="0"/>
            <wp:docPr id="1738609723" name="Picture 1738609723" descr="This model diagram consists of 4 tall boxes arranged horizontally in a row with right pointing arrows in the empty space between them, suggesting that each box leads into the one next to it from left to right. &#10;&#10;The first box is light blue and titled MassHealth Goals.  Underneath that title are the following five items: 1. Continue the ACO Program; 2. Reform Investments in Primary Care, Behavioral Health, and Pediatric Care; 3. Advance Access to Quality Care; 4. Support the Safety Net; 5. Maintain Near-Universal Coverage. &#10;&#10;The second box is medium blue and titled: Policy Domains*. The asterisk refers to the following note: Parentheticals indicate whether policies in each domain are continuing unchanged, revised and continuing, and/or are new since the prior 2017-2022 Demonstration period. &#10;&#10;Underneath that title are the following seven items: Coverage and Eligibility (Continuing, New, and Revised); Delivery System Reform (Revised); Behavioral Health (Continuing, New, and Revised); Safety Net Care Payment (Continuing and Revised); Workforce Initiatives (Revised); Hospital Quality and Equity Initiative (New); Health-Related Social Needs (New and Revised).&#10;&#10;The third box is blue and titled: Outputs. Underneath that title are the following seven items: Improved Coverage and Reduced Churning; Improved Access to Care; Improved Coordination and Quality of Care; Safety Net Provider Sustainability; Increased Provider Capacity; More Equitable Care; Improved Identification and Addressing of Health-Related Social Needs.&#10;&#10;The fourth box is green and titled: Outcome and Impacts. Underneath that title are the following four items: Improved Member Experience of Care; Improved Member Outcomes; Reduced Costs of Care and Improved Financial Sustainability; More Equitable Health Outcomes.">
              <a:extLst xmlns:a="http://schemas.openxmlformats.org/drawingml/2006/main">
                <a:ext uri="{FF2B5EF4-FFF2-40B4-BE49-F238E27FC236}">
                  <a16:creationId xmlns:a16="http://schemas.microsoft.com/office/drawing/2014/main" id="{65996D93-E988-EC47-6356-735452A596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09723" name="Picture 1738609723" descr="This model diagram consists of 4 tall boxes arranged horizontally in a row with right pointing arrows in the empty space between them, suggesting that each box leads into the one next to it from left to right. &#10;&#10;The first box is light blue and titled MassHealth Goals.  Underneath that title are the following five items: 1. Continue the ACO Program; 2. Reform Investments in Primary Care, Behavioral Health, and Pediatric Care; 3. Advance Access to Quality Care; 4. Support the Safety Net; 5. Maintain Near-Universal Coverage. &#10;&#10;The second box is medium blue and titled: Policy Domains*. The asterisk refers to the following note: Parentheticals indicate whether policies in each domain are continuing unchanged, revised and continuing, and/or are new since the prior 2017-2022 Demonstration period. &#10;&#10;Underneath that title are the following seven items: Coverage and Eligibility (Continuing, New, and Revised); Delivery System Reform (Revised); Behavioral Health (Continuing, New, and Revised); Safety Net Care Payment (Continuing and Revised); Workforce Initiatives (Revised); Hospital Quality and Equity Initiative (New); Health-Related Social Needs (New and Revised).&#10;&#10;The third box is blue and titled: Outputs. Underneath that title are the following seven items: Improved Coverage and Reduced Churning; Improved Access to Care; Improved Coordination and Quality of Care; Safety Net Provider Sustainability; Increased Provider Capacity; More Equitable Care; Improved Identification and Addressing of Health-Related Social Needs.&#10;&#10;The fourth box is green and titled: Outcome and Impacts. Underneath that title are the following four items: Improved Member Experience of Care; Improved Member Outcomes; Reduced Costs of Care and Improved Financial Sustainability; More Equitable Health Outcomes.">
                      <a:extLst>
                        <a:ext uri="{FF2B5EF4-FFF2-40B4-BE49-F238E27FC236}">
                          <a16:creationId xmlns:a16="http://schemas.microsoft.com/office/drawing/2014/main" id="{65996D93-E988-EC47-6356-735452A59698}"/>
                        </a:ext>
                      </a:extLst>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39150" cy="4662805"/>
                    </a:xfrm>
                    <a:prstGeom prst="rect">
                      <a:avLst/>
                    </a:prstGeom>
                    <a:noFill/>
                  </pic:spPr>
                </pic:pic>
              </a:graphicData>
            </a:graphic>
          </wp:inline>
        </w:drawing>
      </w:r>
    </w:p>
    <w:p w14:paraId="32FA95D1" w14:textId="769CDD63" w:rsidR="008A0072" w:rsidRPr="00362126" w:rsidRDefault="008A0072" w:rsidP="007904D9"/>
    <w:p w14:paraId="596A32FC" w14:textId="05C536E5" w:rsidR="002B18D5" w:rsidRPr="008B4762" w:rsidRDefault="62D96846" w:rsidP="7F638223">
      <w:pPr>
        <w:pStyle w:val="TableorFigurefootnote"/>
        <w:sectPr w:rsidR="002B18D5" w:rsidRPr="008B4762" w:rsidSect="00744E1B">
          <w:pgSz w:w="15840" w:h="12240" w:orient="landscape"/>
          <w:pgMar w:top="1440" w:right="1194" w:bottom="1440" w:left="1242" w:header="720" w:footer="576" w:gutter="0"/>
          <w:cols w:space="720"/>
          <w:docGrid w:linePitch="360"/>
        </w:sectPr>
      </w:pPr>
      <w:r w:rsidRPr="008B4762">
        <w:t>.</w:t>
      </w:r>
    </w:p>
    <w:p w14:paraId="3AD17270" w14:textId="580BE90E" w:rsidR="003F284D" w:rsidRPr="0009132C" w:rsidRDefault="00953002" w:rsidP="003C6C8F">
      <w:pPr>
        <w:pStyle w:val="Heading2"/>
      </w:pPr>
      <w:bookmarkStart w:id="23" w:name="_Summary_of_the"/>
      <w:bookmarkStart w:id="24" w:name="_Toc130209698"/>
      <w:bookmarkEnd w:id="23"/>
      <w:r w:rsidRPr="0009132C">
        <w:lastRenderedPageBreak/>
        <w:t xml:space="preserve"> </w:t>
      </w:r>
      <w:bookmarkStart w:id="25" w:name="_Toc151976409"/>
      <w:r w:rsidR="003F284D" w:rsidRPr="0009132C">
        <w:t xml:space="preserve">Summary of the </w:t>
      </w:r>
      <w:r w:rsidR="005E4EDD" w:rsidRPr="0009132C">
        <w:t>E</w:t>
      </w:r>
      <w:r w:rsidR="003F284D" w:rsidRPr="0009132C">
        <w:t xml:space="preserve">valuation </w:t>
      </w:r>
      <w:r w:rsidR="005E4EDD" w:rsidRPr="0009132C">
        <w:t>D</w:t>
      </w:r>
      <w:r w:rsidR="003F284D" w:rsidRPr="0009132C">
        <w:t xml:space="preserve">esign, </w:t>
      </w:r>
      <w:r w:rsidR="005E4EDD" w:rsidRPr="0009132C">
        <w:t>D</w:t>
      </w:r>
      <w:r w:rsidR="003F284D" w:rsidRPr="0009132C">
        <w:t>ata</w:t>
      </w:r>
      <w:r w:rsidR="00D75847">
        <w:t xml:space="preserve"> </w:t>
      </w:r>
      <w:r w:rsidRPr="0009132C">
        <w:t>Sources</w:t>
      </w:r>
      <w:r w:rsidR="003F284D" w:rsidRPr="0009132C">
        <w:t xml:space="preserve">, and </w:t>
      </w:r>
      <w:r w:rsidR="005E4EDD" w:rsidRPr="0009132C">
        <w:t>L</w:t>
      </w:r>
      <w:r w:rsidR="003F284D" w:rsidRPr="0009132C">
        <w:t>imitations</w:t>
      </w:r>
      <w:bookmarkEnd w:id="24"/>
      <w:bookmarkEnd w:id="25"/>
      <w:r w:rsidR="003F284D" w:rsidRPr="0009132C">
        <w:t xml:space="preserve"> </w:t>
      </w:r>
    </w:p>
    <w:p w14:paraId="10200D81" w14:textId="74544A36" w:rsidR="003F284D" w:rsidRPr="0009132C" w:rsidRDefault="0AB32C48" w:rsidP="003C6C8F">
      <w:r>
        <w:t xml:space="preserve">The body of the EDD addresses the evaluation of </w:t>
      </w:r>
      <w:r w:rsidR="00C4128E">
        <w:t xml:space="preserve">the </w:t>
      </w:r>
      <w:r>
        <w:t xml:space="preserve">seven policy domains. Each chapter begins with an introductory section providing background and context for the policy domain before describing the policy domain logic model, evaluation research questions, and evaluation plans. The domain chapters also include information on the impacted population or study groups and appropriate comparison groups, along with the measures, data sources, and analytic approach for evaluating that policy domain. </w:t>
      </w:r>
      <w:r w:rsidR="13BC17A1">
        <w:t>For each research question, t</w:t>
      </w:r>
      <w:r w:rsidR="2F0FC324">
        <w:t>he</w:t>
      </w:r>
      <w:r>
        <w:t xml:space="preserve"> most appropriate qualitative, quantitative, and mixed</w:t>
      </w:r>
      <w:r w:rsidR="38CDC021">
        <w:t xml:space="preserve"> methods</w:t>
      </w:r>
      <w:r>
        <w:t xml:space="preserve"> </w:t>
      </w:r>
      <w:r w:rsidR="37F14ED5">
        <w:t>approach</w:t>
      </w:r>
      <w:r>
        <w:t xml:space="preserve"> will be deployed. The domain chapters also highlight the limitations of the evaluation related to data availability, comparison populations, and potential confounding factors. </w:t>
      </w:r>
    </w:p>
    <w:p w14:paraId="38B2C709" w14:textId="38373618" w:rsidR="003F284D" w:rsidRDefault="003F284D" w:rsidP="003C6C8F">
      <w:r w:rsidRPr="0009132C">
        <w:t xml:space="preserve">The evaluation plans for each policy domain have been designed to account for the variable timing of policies and program implementation. </w:t>
      </w:r>
      <w:r w:rsidR="00355AC6" w:rsidRPr="0009132C">
        <w:t xml:space="preserve">Implementation </w:t>
      </w:r>
      <w:r w:rsidR="00106CD2" w:rsidRPr="0009132C">
        <w:t>timeline</w:t>
      </w:r>
      <w:r w:rsidR="00355AC6" w:rsidRPr="0009132C">
        <w:t xml:space="preserve">s for the policy </w:t>
      </w:r>
      <w:r w:rsidR="00075A2C" w:rsidRPr="0009132C">
        <w:t>components</w:t>
      </w:r>
      <w:r w:rsidR="00106CD2" w:rsidRPr="0009132C">
        <w:t xml:space="preserve"> of </w:t>
      </w:r>
      <w:r w:rsidR="00075A2C" w:rsidRPr="0009132C">
        <w:t xml:space="preserve">the </w:t>
      </w:r>
      <w:r w:rsidR="00106CD2" w:rsidRPr="0009132C">
        <w:t>policy domain</w:t>
      </w:r>
      <w:r w:rsidR="00075A2C" w:rsidRPr="0009132C">
        <w:t>s</w:t>
      </w:r>
      <w:r w:rsidR="00106CD2" w:rsidRPr="0009132C">
        <w:t xml:space="preserve"> </w:t>
      </w:r>
      <w:r w:rsidR="00355AC6" w:rsidRPr="0009132C">
        <w:t xml:space="preserve">are described </w:t>
      </w:r>
      <w:r w:rsidR="00106CD2" w:rsidRPr="0009132C">
        <w:t xml:space="preserve">in Chapters 2 through 8. </w:t>
      </w:r>
      <w:r w:rsidRPr="0009132C">
        <w:t xml:space="preserve">After describing the cross-domain data sources and analytical approaches below, we offer our perspective on the potential limitations of the evaluation design for making causal inferences, including </w:t>
      </w:r>
      <w:r w:rsidR="00B671C0" w:rsidRPr="0009132C">
        <w:t>t</w:t>
      </w:r>
      <w:r w:rsidR="66403784" w:rsidRPr="0009132C">
        <w:t xml:space="preserve">he impact of </w:t>
      </w:r>
      <w:r w:rsidRPr="0009132C">
        <w:t xml:space="preserve">overlapping policies. </w:t>
      </w:r>
    </w:p>
    <w:p w14:paraId="5F42B494" w14:textId="77777777" w:rsidR="00B64043" w:rsidRPr="0009132C" w:rsidRDefault="00B64043" w:rsidP="008A4D87">
      <w:pPr>
        <w:pStyle w:val="Heading3"/>
      </w:pPr>
      <w:bookmarkStart w:id="26" w:name="_Summary_of_Data_1"/>
      <w:bookmarkEnd w:id="26"/>
      <w:r w:rsidRPr="0009132C">
        <w:t xml:space="preserve">Summary of </w:t>
      </w:r>
      <w:r w:rsidRPr="005E4C1F">
        <w:t>Data</w:t>
      </w:r>
      <w:r w:rsidRPr="0009132C">
        <w:t xml:space="preserve"> Sources</w:t>
      </w:r>
    </w:p>
    <w:p w14:paraId="1D167DAA" w14:textId="77777777" w:rsidR="00B64043" w:rsidRPr="0009132C" w:rsidRDefault="00B64043" w:rsidP="00B64043">
      <w:r w:rsidRPr="0009132C">
        <w:t>This section summarizes the data needed for the evaluation, including traditional administrative data, program-specific data, publicly available data, document review data, key informant interviews (KII), case studies, and survey data. The methods used to evaluate specific policy domains and components will be addressed in subsequent EDD Domain chapters.</w:t>
      </w:r>
    </w:p>
    <w:p w14:paraId="02DFABD1" w14:textId="48AA0ACE" w:rsidR="00B64043" w:rsidRPr="0009132C" w:rsidRDefault="009C21DF" w:rsidP="00B64043">
      <w:r w:rsidRPr="00DE1FFB">
        <w:rPr>
          <w:color w:val="000F9F"/>
          <w:highlight w:val="yellow"/>
          <w:u w:val="single"/>
        </w:rPr>
        <w:fldChar w:fldCharType="begin"/>
      </w:r>
      <w:r w:rsidRPr="00DE1FFB">
        <w:rPr>
          <w:color w:val="000F9F"/>
          <w:highlight w:val="yellow"/>
          <w:u w:val="single"/>
        </w:rPr>
        <w:instrText xml:space="preserve"> REF _Ref142924817 \h </w:instrText>
      </w:r>
      <w:r w:rsidRPr="00DE1FFB">
        <w:rPr>
          <w:color w:val="000F9F"/>
          <w:highlight w:val="yellow"/>
          <w:u w:val="single"/>
        </w:rPr>
      </w:r>
      <w:r w:rsidRPr="00DE1FFB">
        <w:rPr>
          <w:color w:val="000F9F"/>
          <w:highlight w:val="yellow"/>
          <w:u w:val="single"/>
        </w:rPr>
        <w:fldChar w:fldCharType="separate"/>
      </w:r>
      <w:r w:rsidRPr="00DE1FFB">
        <w:rPr>
          <w:color w:val="000F9F"/>
          <w:u w:val="single"/>
        </w:rPr>
        <w:t xml:space="preserve">Table </w:t>
      </w:r>
      <w:r w:rsidRPr="00DE1FFB">
        <w:rPr>
          <w:noProof/>
          <w:color w:val="000F9F"/>
          <w:u w:val="single"/>
        </w:rPr>
        <w:t>1</w:t>
      </w:r>
      <w:r w:rsidRPr="00DE1FFB">
        <w:rPr>
          <w:color w:val="000F9F"/>
          <w:u w:val="single"/>
        </w:rPr>
        <w:noBreakHyphen/>
      </w:r>
      <w:r w:rsidRPr="00DE1FFB">
        <w:rPr>
          <w:noProof/>
          <w:color w:val="000F9F"/>
          <w:u w:val="single"/>
        </w:rPr>
        <w:t>2</w:t>
      </w:r>
      <w:r w:rsidRPr="00DE1FFB">
        <w:rPr>
          <w:color w:val="000F9F"/>
          <w:highlight w:val="yellow"/>
          <w:u w:val="single"/>
        </w:rPr>
        <w:fldChar w:fldCharType="end"/>
      </w:r>
      <w:r w:rsidR="00B64043">
        <w:t xml:space="preserve"> </w:t>
      </w:r>
      <w:r w:rsidR="00B64043" w:rsidRPr="0009132C">
        <w:t>summarizes the data sources that will be used to evaluate the</w:t>
      </w:r>
      <w:r w:rsidR="00B64043" w:rsidRPr="0009132C" w:rsidDel="002D517F">
        <w:t xml:space="preserve"> </w:t>
      </w:r>
      <w:r w:rsidR="00B64043" w:rsidRPr="0009132C">
        <w:t xml:space="preserve">seven Demonstration policy domains. </w:t>
      </w:r>
      <w:r w:rsidR="007A291D" w:rsidRPr="00DE1FFB">
        <w:rPr>
          <w:color w:val="000F9F"/>
          <w:highlight w:val="yellow"/>
          <w:u w:val="single"/>
        </w:rPr>
        <w:fldChar w:fldCharType="begin"/>
      </w:r>
      <w:r w:rsidR="007A291D" w:rsidRPr="00DE1FFB">
        <w:rPr>
          <w:color w:val="000F9F"/>
          <w:u w:val="single"/>
        </w:rPr>
        <w:instrText xml:space="preserve"> REF _Ref151460001 \h </w:instrText>
      </w:r>
      <w:r w:rsidR="007A291D" w:rsidRPr="00DE1FFB">
        <w:rPr>
          <w:color w:val="000F9F"/>
          <w:highlight w:val="yellow"/>
          <w:u w:val="single"/>
        </w:rPr>
      </w:r>
      <w:r w:rsidR="007A291D" w:rsidRPr="00DE1FFB">
        <w:rPr>
          <w:color w:val="000F9F"/>
          <w:highlight w:val="yellow"/>
          <w:u w:val="single"/>
        </w:rPr>
        <w:fldChar w:fldCharType="separate"/>
      </w:r>
      <w:r w:rsidR="007A291D" w:rsidRPr="00DE1FFB">
        <w:rPr>
          <w:color w:val="000F9F"/>
          <w:u w:val="single"/>
        </w:rPr>
        <w:t xml:space="preserve">Table </w:t>
      </w:r>
      <w:r w:rsidR="007A291D" w:rsidRPr="00DE1FFB">
        <w:rPr>
          <w:noProof/>
          <w:color w:val="000F9F"/>
          <w:u w:val="single"/>
        </w:rPr>
        <w:t>1</w:t>
      </w:r>
      <w:r w:rsidR="007A291D" w:rsidRPr="00DE1FFB">
        <w:rPr>
          <w:color w:val="000F9F"/>
          <w:u w:val="single"/>
        </w:rPr>
        <w:noBreakHyphen/>
      </w:r>
      <w:r w:rsidR="007A291D" w:rsidRPr="00DE1FFB">
        <w:rPr>
          <w:noProof/>
          <w:color w:val="000F9F"/>
          <w:u w:val="single"/>
        </w:rPr>
        <w:t>3</w:t>
      </w:r>
      <w:r w:rsidR="007A291D" w:rsidRPr="00DE1FFB">
        <w:rPr>
          <w:color w:val="000F9F"/>
          <w:highlight w:val="yellow"/>
          <w:u w:val="single"/>
        </w:rPr>
        <w:fldChar w:fldCharType="end"/>
      </w:r>
      <w:r w:rsidR="00B64043" w:rsidRPr="0009132C">
        <w:t xml:space="preserve"> illustrates the timeline for data collection, management, and analysis during the Demonstration.</w:t>
      </w:r>
    </w:p>
    <w:p w14:paraId="3F34DBF8" w14:textId="77777777" w:rsidR="00B64043" w:rsidRDefault="00B64043" w:rsidP="003F284D"/>
    <w:p w14:paraId="3D8A6E73" w14:textId="505FA33B" w:rsidR="00B64043" w:rsidRPr="0009132C" w:rsidRDefault="00B64043" w:rsidP="003F284D">
      <w:pPr>
        <w:sectPr w:rsidR="00B64043" w:rsidRPr="0009132C" w:rsidSect="00744E1B">
          <w:pgSz w:w="12240" w:h="15840"/>
          <w:pgMar w:top="1194" w:right="1440" w:bottom="1242" w:left="1440" w:header="720" w:footer="576" w:gutter="0"/>
          <w:cols w:space="720"/>
          <w:docGrid w:linePitch="360"/>
        </w:sectPr>
      </w:pPr>
    </w:p>
    <w:p w14:paraId="1C783635" w14:textId="053F4D13" w:rsidR="00DA4ECF" w:rsidRDefault="00DA4ECF" w:rsidP="007904D9">
      <w:pPr>
        <w:pStyle w:val="Caption"/>
      </w:pPr>
      <w:bookmarkStart w:id="27" w:name="_Summary_of_Data"/>
      <w:bookmarkStart w:id="28" w:name="_Ref142924817"/>
      <w:bookmarkStart w:id="29" w:name="_Toc151976452"/>
      <w:bookmarkEnd w:id="27"/>
      <w:r>
        <w:lastRenderedPageBreak/>
        <w:t xml:space="preserve">Table </w:t>
      </w:r>
      <w:r>
        <w:fldChar w:fldCharType="begin"/>
      </w:r>
      <w:r>
        <w:instrText>STYLEREF 1 \s</w:instrText>
      </w:r>
      <w:r>
        <w:fldChar w:fldCharType="separate"/>
      </w:r>
      <w:r w:rsidR="00EB7B05">
        <w:rPr>
          <w:noProof/>
        </w:rPr>
        <w:t>1</w:t>
      </w:r>
      <w:r>
        <w:fldChar w:fldCharType="end"/>
      </w:r>
      <w:r w:rsidR="00433675">
        <w:noBreakHyphen/>
      </w:r>
      <w:r>
        <w:fldChar w:fldCharType="begin"/>
      </w:r>
      <w:r>
        <w:instrText>SEQ Table \* ARABIC \s 1</w:instrText>
      </w:r>
      <w:r>
        <w:fldChar w:fldCharType="separate"/>
      </w:r>
      <w:r w:rsidR="00EB7B05">
        <w:rPr>
          <w:noProof/>
        </w:rPr>
        <w:t>2</w:t>
      </w:r>
      <w:r>
        <w:fldChar w:fldCharType="end"/>
      </w:r>
      <w:bookmarkEnd w:id="28"/>
      <w:r>
        <w:t xml:space="preserve">: </w:t>
      </w:r>
      <w:r w:rsidRPr="00DA4ECF">
        <w:t>Summary of Data Sources by Policy Domai</w:t>
      </w:r>
      <w:r w:rsidR="00863C69">
        <w:t>n</w:t>
      </w:r>
      <w:bookmarkEnd w:id="29"/>
    </w:p>
    <w:tbl>
      <w:tblPr>
        <w:tblStyle w:val="FHCTableStyle2narrow"/>
        <w:tblW w:w="13320" w:type="dxa"/>
        <w:tblLook w:val="06A0" w:firstRow="1" w:lastRow="0" w:firstColumn="1" w:lastColumn="0" w:noHBand="1" w:noVBand="1"/>
      </w:tblPr>
      <w:tblGrid>
        <w:gridCol w:w="5007"/>
        <w:gridCol w:w="1084"/>
        <w:gridCol w:w="1373"/>
        <w:gridCol w:w="1340"/>
        <w:gridCol w:w="1102"/>
        <w:gridCol w:w="1217"/>
        <w:gridCol w:w="1093"/>
        <w:gridCol w:w="1104"/>
      </w:tblGrid>
      <w:tr w:rsidR="006303DC" w:rsidRPr="00E11394" w14:paraId="441F7C8B" w14:textId="77777777" w:rsidTr="008D17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7" w:type="dxa"/>
            <w:tcBorders>
              <w:top w:val="nil"/>
              <w:left w:val="nil"/>
              <w:bottom w:val="single" w:sz="4" w:space="0" w:color="auto"/>
            </w:tcBorders>
            <w:shd w:val="clear" w:color="auto" w:fill="auto"/>
          </w:tcPr>
          <w:p w14:paraId="30B15ECA" w14:textId="18315542" w:rsidR="006303DC" w:rsidRPr="00E11394" w:rsidRDefault="006303DC" w:rsidP="00B94692">
            <w:pPr>
              <w:rPr>
                <w:rFonts w:cstheme="minorHAnsi"/>
                <w:szCs w:val="20"/>
              </w:rPr>
            </w:pPr>
          </w:p>
        </w:tc>
        <w:tc>
          <w:tcPr>
            <w:tcW w:w="1084" w:type="dxa"/>
            <w:tcBorders>
              <w:bottom w:val="single" w:sz="4" w:space="0" w:color="auto"/>
            </w:tcBorders>
          </w:tcPr>
          <w:p w14:paraId="1F8E3FE7" w14:textId="388D7105" w:rsidR="006303DC" w:rsidRPr="00A67612" w:rsidRDefault="0020559B" w:rsidP="00B94692">
            <w:pPr>
              <w:cnfStyle w:val="100000000000" w:firstRow="1" w:lastRow="0" w:firstColumn="0" w:lastColumn="0" w:oddVBand="0" w:evenVBand="0" w:oddHBand="0" w:evenHBand="0" w:firstRowFirstColumn="0" w:firstRowLastColumn="0" w:lastRowFirstColumn="0" w:lastRowLastColumn="0"/>
              <w:rPr>
                <w:rFonts w:cstheme="minorHAnsi"/>
                <w:bCs/>
                <w:szCs w:val="20"/>
              </w:rPr>
            </w:pPr>
            <w:hyperlink w:anchor="_Data_Sources_and_1" w:history="1">
              <w:r w:rsidR="006303DC" w:rsidRPr="00A67612">
                <w:rPr>
                  <w:rStyle w:val="Hyperlink"/>
                  <w:rFonts w:ascii="Arial Narrow" w:hAnsi="Arial Narrow" w:cstheme="minorHAnsi"/>
                  <w:bCs/>
                  <w:szCs w:val="20"/>
                </w:rPr>
                <w:t>C&amp;E</w:t>
              </w:r>
              <w:r w:rsidR="008D171E" w:rsidRPr="00A67612">
                <w:rPr>
                  <w:rStyle w:val="Hyperlink"/>
                  <w:rFonts w:ascii="Arial Narrow" w:hAnsi="Arial Narrow" w:cstheme="minorHAnsi"/>
                  <w:bCs/>
                  <w:szCs w:val="20"/>
                </w:rPr>
                <w:t xml:space="preserve"> Domain</w:t>
              </w:r>
            </w:hyperlink>
          </w:p>
        </w:tc>
        <w:tc>
          <w:tcPr>
            <w:tcW w:w="1373" w:type="dxa"/>
            <w:tcBorders>
              <w:bottom w:val="single" w:sz="4" w:space="0" w:color="auto"/>
            </w:tcBorders>
          </w:tcPr>
          <w:p w14:paraId="0EFB7660" w14:textId="07A2F48D" w:rsidR="008D171E" w:rsidRPr="00A67612" w:rsidRDefault="00836EBC" w:rsidP="00B94692">
            <w:pPr>
              <w:cnfStyle w:val="100000000000" w:firstRow="1" w:lastRow="0" w:firstColumn="0" w:lastColumn="0" w:oddVBand="0" w:evenVBand="0" w:oddHBand="0" w:evenHBand="0" w:firstRowFirstColumn="0" w:firstRowLastColumn="0" w:lastRowFirstColumn="0" w:lastRowLastColumn="0"/>
              <w:rPr>
                <w:rStyle w:val="Hyperlink"/>
                <w:rFonts w:ascii="Arial Narrow" w:hAnsi="Arial Narrow" w:cstheme="minorHAnsi"/>
                <w:bCs/>
                <w:szCs w:val="20"/>
              </w:rPr>
            </w:pPr>
            <w:r w:rsidRPr="00A67612">
              <w:rPr>
                <w:rFonts w:cstheme="minorHAnsi"/>
                <w:bCs/>
                <w:szCs w:val="20"/>
              </w:rPr>
              <w:fldChar w:fldCharType="begin"/>
            </w:r>
            <w:r w:rsidRPr="00A67612">
              <w:rPr>
                <w:rFonts w:cstheme="minorHAnsi"/>
                <w:bCs/>
                <w:szCs w:val="20"/>
              </w:rPr>
              <w:instrText>HYPERLINK  \l "_Data_Sources_and"</w:instrText>
            </w:r>
            <w:r w:rsidRPr="00A67612">
              <w:rPr>
                <w:rFonts w:cstheme="minorHAnsi"/>
                <w:bCs/>
                <w:szCs w:val="20"/>
              </w:rPr>
            </w:r>
            <w:r w:rsidRPr="00A67612">
              <w:rPr>
                <w:rFonts w:cstheme="minorHAnsi"/>
                <w:bCs/>
                <w:szCs w:val="20"/>
              </w:rPr>
              <w:fldChar w:fldCharType="separate"/>
            </w:r>
            <w:r w:rsidR="006303DC" w:rsidRPr="00A67612">
              <w:rPr>
                <w:rStyle w:val="Hyperlink"/>
                <w:rFonts w:ascii="Arial Narrow" w:hAnsi="Arial Narrow" w:cstheme="minorHAnsi"/>
                <w:bCs/>
                <w:szCs w:val="20"/>
              </w:rPr>
              <w:t>DSR</w:t>
            </w:r>
            <w:r w:rsidR="008D171E" w:rsidRPr="00A67612">
              <w:rPr>
                <w:rStyle w:val="Hyperlink"/>
                <w:rFonts w:ascii="Arial Narrow" w:hAnsi="Arial Narrow" w:cstheme="minorHAnsi"/>
                <w:bCs/>
                <w:szCs w:val="20"/>
              </w:rPr>
              <w:t xml:space="preserve"> </w:t>
            </w:r>
          </w:p>
          <w:p w14:paraId="2F365690" w14:textId="0027AF04" w:rsidR="006303DC" w:rsidRPr="00A67612" w:rsidRDefault="00CB478C" w:rsidP="00B94692">
            <w:pPr>
              <w:cnfStyle w:val="100000000000" w:firstRow="1" w:lastRow="0" w:firstColumn="0" w:lastColumn="0" w:oddVBand="0" w:evenVBand="0" w:oddHBand="0" w:evenHBand="0" w:firstRowFirstColumn="0" w:firstRowLastColumn="0" w:lastRowFirstColumn="0" w:lastRowLastColumn="0"/>
              <w:rPr>
                <w:rFonts w:cstheme="minorHAnsi"/>
                <w:bCs/>
                <w:szCs w:val="20"/>
              </w:rPr>
            </w:pPr>
            <w:r w:rsidRPr="00A67612">
              <w:rPr>
                <w:rStyle w:val="Hyperlink"/>
                <w:rFonts w:ascii="Arial Narrow" w:hAnsi="Arial Narrow" w:cstheme="minorHAnsi"/>
                <w:bCs/>
                <w:szCs w:val="20"/>
              </w:rPr>
              <w:t>Domain</w:t>
            </w:r>
            <w:r w:rsidR="00836EBC" w:rsidRPr="00A67612">
              <w:rPr>
                <w:rFonts w:cstheme="minorHAnsi"/>
                <w:bCs/>
                <w:szCs w:val="20"/>
              </w:rPr>
              <w:fldChar w:fldCharType="end"/>
            </w:r>
          </w:p>
        </w:tc>
        <w:tc>
          <w:tcPr>
            <w:tcW w:w="1340" w:type="dxa"/>
            <w:tcBorders>
              <w:bottom w:val="single" w:sz="4" w:space="0" w:color="auto"/>
            </w:tcBorders>
          </w:tcPr>
          <w:p w14:paraId="0C94C3B7" w14:textId="2179DC36" w:rsidR="008D171E" w:rsidRPr="00A67612" w:rsidRDefault="00836EBC" w:rsidP="00B94692">
            <w:pPr>
              <w:cnfStyle w:val="100000000000" w:firstRow="1" w:lastRow="0" w:firstColumn="0" w:lastColumn="0" w:oddVBand="0" w:evenVBand="0" w:oddHBand="0" w:evenHBand="0" w:firstRowFirstColumn="0" w:firstRowLastColumn="0" w:lastRowFirstColumn="0" w:lastRowLastColumn="0"/>
              <w:rPr>
                <w:rStyle w:val="Hyperlink"/>
                <w:rFonts w:ascii="Arial Narrow" w:hAnsi="Arial Narrow" w:cstheme="minorHAnsi"/>
                <w:bCs/>
                <w:szCs w:val="20"/>
              </w:rPr>
            </w:pPr>
            <w:r w:rsidRPr="00A67612">
              <w:rPr>
                <w:rFonts w:cstheme="minorHAnsi"/>
                <w:bCs/>
                <w:szCs w:val="20"/>
              </w:rPr>
              <w:fldChar w:fldCharType="begin"/>
            </w:r>
            <w:r w:rsidRPr="00A67612">
              <w:rPr>
                <w:rFonts w:cstheme="minorHAnsi"/>
                <w:bCs/>
                <w:szCs w:val="20"/>
              </w:rPr>
              <w:instrText>HYPERLINK  \l "_Data_Sources"</w:instrText>
            </w:r>
            <w:r w:rsidRPr="00A67612">
              <w:rPr>
                <w:rFonts w:cstheme="minorHAnsi"/>
                <w:bCs/>
                <w:szCs w:val="20"/>
              </w:rPr>
            </w:r>
            <w:r w:rsidRPr="00A67612">
              <w:rPr>
                <w:rFonts w:cstheme="minorHAnsi"/>
                <w:bCs/>
                <w:szCs w:val="20"/>
              </w:rPr>
              <w:fldChar w:fldCharType="separate"/>
            </w:r>
            <w:r w:rsidR="006303DC" w:rsidRPr="00A67612">
              <w:rPr>
                <w:rStyle w:val="Hyperlink"/>
                <w:rFonts w:ascii="Arial Narrow" w:hAnsi="Arial Narrow" w:cstheme="minorHAnsi"/>
                <w:bCs/>
                <w:szCs w:val="20"/>
              </w:rPr>
              <w:t>BH</w:t>
            </w:r>
          </w:p>
          <w:p w14:paraId="52A39D64" w14:textId="214D3847" w:rsidR="006303DC" w:rsidRPr="00A67612" w:rsidRDefault="008D171E" w:rsidP="00B94692">
            <w:pPr>
              <w:cnfStyle w:val="100000000000" w:firstRow="1" w:lastRow="0" w:firstColumn="0" w:lastColumn="0" w:oddVBand="0" w:evenVBand="0" w:oddHBand="0" w:evenHBand="0" w:firstRowFirstColumn="0" w:firstRowLastColumn="0" w:lastRowFirstColumn="0" w:lastRowLastColumn="0"/>
              <w:rPr>
                <w:rFonts w:cstheme="minorHAnsi"/>
                <w:bCs/>
                <w:szCs w:val="20"/>
              </w:rPr>
            </w:pPr>
            <w:r w:rsidRPr="00A67612">
              <w:rPr>
                <w:rStyle w:val="Hyperlink"/>
                <w:rFonts w:ascii="Arial Narrow" w:hAnsi="Arial Narrow" w:cstheme="minorHAnsi"/>
                <w:bCs/>
                <w:szCs w:val="20"/>
              </w:rPr>
              <w:t xml:space="preserve"> Domain</w:t>
            </w:r>
            <w:r w:rsidR="00836EBC" w:rsidRPr="00A67612">
              <w:rPr>
                <w:rFonts w:cstheme="minorHAnsi"/>
                <w:bCs/>
                <w:szCs w:val="20"/>
              </w:rPr>
              <w:fldChar w:fldCharType="end"/>
            </w:r>
          </w:p>
        </w:tc>
        <w:tc>
          <w:tcPr>
            <w:tcW w:w="1102" w:type="dxa"/>
            <w:tcBorders>
              <w:bottom w:val="single" w:sz="4" w:space="0" w:color="auto"/>
            </w:tcBorders>
          </w:tcPr>
          <w:p w14:paraId="69D9DF51" w14:textId="4ACC36B4" w:rsidR="006303DC" w:rsidRPr="00A67612" w:rsidRDefault="0020559B" w:rsidP="00B94692">
            <w:pPr>
              <w:cnfStyle w:val="100000000000" w:firstRow="1" w:lastRow="0" w:firstColumn="0" w:lastColumn="0" w:oddVBand="0" w:evenVBand="0" w:oddHBand="0" w:evenHBand="0" w:firstRowFirstColumn="0" w:firstRowLastColumn="0" w:lastRowFirstColumn="0" w:lastRowLastColumn="0"/>
              <w:rPr>
                <w:rFonts w:cstheme="minorHAnsi"/>
                <w:bCs/>
                <w:szCs w:val="20"/>
              </w:rPr>
            </w:pPr>
            <w:hyperlink w:anchor="_Data_Sources_1" w:history="1">
              <w:r w:rsidR="006303DC" w:rsidRPr="00A67612">
                <w:rPr>
                  <w:rStyle w:val="Hyperlink"/>
                  <w:rFonts w:ascii="Arial Narrow" w:hAnsi="Arial Narrow" w:cstheme="minorHAnsi"/>
                  <w:bCs/>
                  <w:szCs w:val="20"/>
                </w:rPr>
                <w:t>SNCP</w:t>
              </w:r>
              <w:r w:rsidR="008D171E" w:rsidRPr="00A67612">
                <w:rPr>
                  <w:rStyle w:val="Hyperlink"/>
                  <w:rFonts w:ascii="Arial Narrow" w:hAnsi="Arial Narrow" w:cstheme="minorHAnsi"/>
                  <w:bCs/>
                  <w:szCs w:val="20"/>
                </w:rPr>
                <w:t xml:space="preserve"> Domain</w:t>
              </w:r>
            </w:hyperlink>
          </w:p>
        </w:tc>
        <w:tc>
          <w:tcPr>
            <w:tcW w:w="1217" w:type="dxa"/>
            <w:tcBorders>
              <w:bottom w:val="single" w:sz="4" w:space="0" w:color="auto"/>
            </w:tcBorders>
          </w:tcPr>
          <w:p w14:paraId="78718869" w14:textId="79AF71A3" w:rsidR="008D171E" w:rsidRPr="00A67612" w:rsidRDefault="00836EBC" w:rsidP="00B94692">
            <w:pPr>
              <w:cnfStyle w:val="100000000000" w:firstRow="1" w:lastRow="0" w:firstColumn="0" w:lastColumn="0" w:oddVBand="0" w:evenVBand="0" w:oddHBand="0" w:evenHBand="0" w:firstRowFirstColumn="0" w:firstRowLastColumn="0" w:lastRowFirstColumn="0" w:lastRowLastColumn="0"/>
              <w:rPr>
                <w:rStyle w:val="Hyperlink"/>
                <w:rFonts w:ascii="Arial Narrow" w:hAnsi="Arial Narrow" w:cstheme="minorHAnsi"/>
                <w:bCs/>
                <w:szCs w:val="20"/>
              </w:rPr>
            </w:pPr>
            <w:r w:rsidRPr="00A67612">
              <w:rPr>
                <w:rFonts w:cstheme="minorHAnsi"/>
                <w:bCs/>
                <w:szCs w:val="20"/>
              </w:rPr>
              <w:fldChar w:fldCharType="begin"/>
            </w:r>
            <w:r w:rsidRPr="00A67612">
              <w:rPr>
                <w:rFonts w:cstheme="minorHAnsi"/>
                <w:bCs/>
                <w:szCs w:val="20"/>
              </w:rPr>
              <w:instrText>HYPERLINK  \l "_Data_Sources_and_2"</w:instrText>
            </w:r>
            <w:r w:rsidRPr="00A67612">
              <w:rPr>
                <w:rFonts w:cstheme="minorHAnsi"/>
                <w:bCs/>
                <w:szCs w:val="20"/>
              </w:rPr>
            </w:r>
            <w:r w:rsidRPr="00A67612">
              <w:rPr>
                <w:rFonts w:cstheme="minorHAnsi"/>
                <w:bCs/>
                <w:szCs w:val="20"/>
              </w:rPr>
              <w:fldChar w:fldCharType="separate"/>
            </w:r>
            <w:r w:rsidR="006303DC" w:rsidRPr="00A67612">
              <w:rPr>
                <w:rStyle w:val="Hyperlink"/>
                <w:rFonts w:ascii="Arial Narrow" w:hAnsi="Arial Narrow" w:cstheme="minorHAnsi"/>
                <w:bCs/>
                <w:szCs w:val="20"/>
              </w:rPr>
              <w:t>WI</w:t>
            </w:r>
            <w:r w:rsidR="008D171E" w:rsidRPr="00A67612">
              <w:rPr>
                <w:rStyle w:val="Hyperlink"/>
                <w:rFonts w:ascii="Arial Narrow" w:hAnsi="Arial Narrow" w:cstheme="minorHAnsi"/>
                <w:bCs/>
                <w:szCs w:val="20"/>
              </w:rPr>
              <w:t xml:space="preserve"> </w:t>
            </w:r>
          </w:p>
          <w:p w14:paraId="66590608" w14:textId="06A35F9C" w:rsidR="006303DC" w:rsidRPr="00A67612" w:rsidRDefault="008D171E" w:rsidP="00B94692">
            <w:pPr>
              <w:cnfStyle w:val="100000000000" w:firstRow="1" w:lastRow="0" w:firstColumn="0" w:lastColumn="0" w:oddVBand="0" w:evenVBand="0" w:oddHBand="0" w:evenHBand="0" w:firstRowFirstColumn="0" w:firstRowLastColumn="0" w:lastRowFirstColumn="0" w:lastRowLastColumn="0"/>
              <w:rPr>
                <w:rFonts w:cstheme="minorHAnsi"/>
                <w:bCs/>
                <w:szCs w:val="20"/>
              </w:rPr>
            </w:pPr>
            <w:r w:rsidRPr="00A67612">
              <w:rPr>
                <w:rStyle w:val="Hyperlink"/>
                <w:rFonts w:ascii="Arial Narrow" w:hAnsi="Arial Narrow" w:cstheme="minorHAnsi"/>
                <w:bCs/>
                <w:szCs w:val="20"/>
              </w:rPr>
              <w:t>Domain</w:t>
            </w:r>
            <w:r w:rsidR="00836EBC" w:rsidRPr="00A67612">
              <w:rPr>
                <w:rFonts w:cstheme="minorHAnsi"/>
                <w:bCs/>
                <w:szCs w:val="20"/>
              </w:rPr>
              <w:fldChar w:fldCharType="end"/>
            </w:r>
          </w:p>
        </w:tc>
        <w:tc>
          <w:tcPr>
            <w:tcW w:w="1093" w:type="dxa"/>
            <w:tcBorders>
              <w:bottom w:val="single" w:sz="4" w:space="0" w:color="auto"/>
            </w:tcBorders>
          </w:tcPr>
          <w:p w14:paraId="0049586C" w14:textId="2C2DA67A" w:rsidR="006303DC" w:rsidRPr="00A67612" w:rsidRDefault="0020559B" w:rsidP="00B94692">
            <w:pPr>
              <w:cnfStyle w:val="100000000000" w:firstRow="1" w:lastRow="0" w:firstColumn="0" w:lastColumn="0" w:oddVBand="0" w:evenVBand="0" w:oddHBand="0" w:evenHBand="0" w:firstRowFirstColumn="0" w:firstRowLastColumn="0" w:lastRowFirstColumn="0" w:lastRowLastColumn="0"/>
              <w:rPr>
                <w:rFonts w:cstheme="minorHAnsi"/>
                <w:bCs/>
                <w:szCs w:val="20"/>
              </w:rPr>
            </w:pPr>
            <w:hyperlink w:anchor="_Data_Sources_and_3" w:history="1">
              <w:r w:rsidR="006303DC" w:rsidRPr="00A67612">
                <w:rPr>
                  <w:rStyle w:val="Hyperlink"/>
                  <w:rFonts w:ascii="Arial Narrow" w:hAnsi="Arial Narrow" w:cstheme="minorHAnsi"/>
                  <w:bCs/>
                  <w:szCs w:val="20"/>
                </w:rPr>
                <w:t>HQEI</w:t>
              </w:r>
              <w:r w:rsidR="008D171E" w:rsidRPr="00A67612">
                <w:rPr>
                  <w:rStyle w:val="Hyperlink"/>
                  <w:rFonts w:ascii="Arial Narrow" w:hAnsi="Arial Narrow" w:cstheme="minorHAnsi"/>
                  <w:bCs/>
                  <w:szCs w:val="20"/>
                </w:rPr>
                <w:t xml:space="preserve"> Domain</w:t>
              </w:r>
            </w:hyperlink>
          </w:p>
        </w:tc>
        <w:tc>
          <w:tcPr>
            <w:tcW w:w="1104" w:type="dxa"/>
            <w:tcBorders>
              <w:bottom w:val="single" w:sz="4" w:space="0" w:color="auto"/>
            </w:tcBorders>
          </w:tcPr>
          <w:p w14:paraId="18D1CFD9" w14:textId="008D6AB5" w:rsidR="006303DC" w:rsidRPr="00A67612" w:rsidRDefault="0020559B" w:rsidP="00B94692">
            <w:pPr>
              <w:cnfStyle w:val="100000000000" w:firstRow="1" w:lastRow="0" w:firstColumn="0" w:lastColumn="0" w:oddVBand="0" w:evenVBand="0" w:oddHBand="0" w:evenHBand="0" w:firstRowFirstColumn="0" w:firstRowLastColumn="0" w:lastRowFirstColumn="0" w:lastRowLastColumn="0"/>
              <w:rPr>
                <w:rFonts w:cstheme="minorHAnsi"/>
                <w:bCs/>
                <w:szCs w:val="20"/>
              </w:rPr>
            </w:pPr>
            <w:hyperlink w:anchor="_Data_Sources_and_4" w:history="1">
              <w:r w:rsidR="006303DC" w:rsidRPr="00A67612">
                <w:rPr>
                  <w:rStyle w:val="Hyperlink"/>
                  <w:rFonts w:ascii="Arial Narrow" w:hAnsi="Arial Narrow" w:cstheme="minorHAnsi"/>
                  <w:bCs/>
                  <w:szCs w:val="20"/>
                </w:rPr>
                <w:t>HRSN</w:t>
              </w:r>
              <w:r w:rsidR="008D171E" w:rsidRPr="00A67612">
                <w:rPr>
                  <w:rStyle w:val="Hyperlink"/>
                  <w:rFonts w:ascii="Arial Narrow" w:hAnsi="Arial Narrow" w:cstheme="minorHAnsi"/>
                  <w:bCs/>
                  <w:szCs w:val="20"/>
                </w:rPr>
                <w:t xml:space="preserve"> Domain</w:t>
              </w:r>
            </w:hyperlink>
          </w:p>
        </w:tc>
      </w:tr>
      <w:tr w:rsidR="006303DC" w:rsidRPr="00E11394" w14:paraId="7EE6114B" w14:textId="77777777" w:rsidTr="00B94692">
        <w:tc>
          <w:tcPr>
            <w:cnfStyle w:val="001000000000" w:firstRow="0" w:lastRow="0" w:firstColumn="1" w:lastColumn="0" w:oddVBand="0" w:evenVBand="0" w:oddHBand="0" w:evenHBand="0" w:firstRowFirstColumn="0" w:firstRowLastColumn="0" w:lastRowFirstColumn="0" w:lastRowLastColumn="0"/>
            <w:tcW w:w="5007" w:type="dxa"/>
            <w:tcBorders>
              <w:right w:val="nil"/>
            </w:tcBorders>
            <w:shd w:val="clear" w:color="auto" w:fill="EEECEA" w:themeFill="background2" w:themeFillTint="33"/>
            <w:vAlign w:val="top"/>
          </w:tcPr>
          <w:p w14:paraId="06F9B7FF" w14:textId="0A65EEC1" w:rsidR="006303DC" w:rsidRPr="00AE1952" w:rsidRDefault="006303DC" w:rsidP="00B94692">
            <w:r w:rsidRPr="00AE1952">
              <w:t>1.</w:t>
            </w:r>
            <w:r>
              <w:t xml:space="preserve"> </w:t>
            </w:r>
            <w:r w:rsidRPr="00AE1952">
              <w:t>Traditional Administrative Data</w:t>
            </w:r>
            <w:r w:rsidR="008659B3">
              <w:t xml:space="preserve"> Sources</w:t>
            </w:r>
            <w:r w:rsidRPr="00AE1952">
              <w:t>: </w:t>
            </w:r>
          </w:p>
        </w:tc>
        <w:tc>
          <w:tcPr>
            <w:tcW w:w="1084" w:type="dxa"/>
            <w:tcBorders>
              <w:left w:val="nil"/>
              <w:right w:val="nil"/>
            </w:tcBorders>
            <w:shd w:val="clear" w:color="auto" w:fill="EEECEA" w:themeFill="background2" w:themeFillTint="33"/>
          </w:tcPr>
          <w:p w14:paraId="351472FA"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73" w:type="dxa"/>
            <w:tcBorders>
              <w:left w:val="nil"/>
              <w:right w:val="nil"/>
            </w:tcBorders>
            <w:shd w:val="clear" w:color="auto" w:fill="EEECEA" w:themeFill="background2" w:themeFillTint="33"/>
          </w:tcPr>
          <w:p w14:paraId="6C8BA348"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40" w:type="dxa"/>
            <w:tcBorders>
              <w:left w:val="nil"/>
              <w:right w:val="nil"/>
            </w:tcBorders>
            <w:shd w:val="clear" w:color="auto" w:fill="EEECEA" w:themeFill="background2" w:themeFillTint="33"/>
            <w:vAlign w:val="top"/>
          </w:tcPr>
          <w:p w14:paraId="4403DF6B"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02" w:type="dxa"/>
            <w:tcBorders>
              <w:left w:val="nil"/>
              <w:right w:val="nil"/>
            </w:tcBorders>
            <w:shd w:val="clear" w:color="auto" w:fill="EEECEA" w:themeFill="background2" w:themeFillTint="33"/>
          </w:tcPr>
          <w:p w14:paraId="639ED2D4"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17" w:type="dxa"/>
            <w:tcBorders>
              <w:left w:val="nil"/>
              <w:right w:val="nil"/>
            </w:tcBorders>
            <w:shd w:val="clear" w:color="auto" w:fill="EEECEA" w:themeFill="background2" w:themeFillTint="33"/>
          </w:tcPr>
          <w:p w14:paraId="5F0AE961"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93" w:type="dxa"/>
            <w:tcBorders>
              <w:left w:val="nil"/>
              <w:right w:val="nil"/>
            </w:tcBorders>
            <w:shd w:val="clear" w:color="auto" w:fill="EEECEA" w:themeFill="background2" w:themeFillTint="33"/>
          </w:tcPr>
          <w:p w14:paraId="40A80A53"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04" w:type="dxa"/>
            <w:tcBorders>
              <w:left w:val="nil"/>
            </w:tcBorders>
            <w:shd w:val="clear" w:color="auto" w:fill="EEECEA" w:themeFill="background2" w:themeFillTint="33"/>
          </w:tcPr>
          <w:p w14:paraId="09A0F510"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6303DC" w:rsidRPr="00E11394" w14:paraId="5DDAA71B" w14:textId="77777777" w:rsidTr="00B94692">
        <w:tc>
          <w:tcPr>
            <w:cnfStyle w:val="001000000000" w:firstRow="0" w:lastRow="0" w:firstColumn="1" w:lastColumn="0" w:oddVBand="0" w:evenVBand="0" w:oddHBand="0" w:evenHBand="0" w:firstRowFirstColumn="0" w:firstRowLastColumn="0" w:lastRowFirstColumn="0" w:lastRowLastColumn="0"/>
            <w:tcW w:w="5007" w:type="dxa"/>
          </w:tcPr>
          <w:p w14:paraId="5B326A13" w14:textId="460224F8" w:rsidR="006303DC" w:rsidRPr="00E11394" w:rsidRDefault="00963D8A" w:rsidP="00B94692">
            <w:pPr>
              <w:pStyle w:val="lndent1"/>
            </w:pPr>
            <w:r>
              <w:t>1</w:t>
            </w:r>
            <w:r w:rsidR="00872D37">
              <w:t>a.</w:t>
            </w:r>
            <w:r>
              <w:t xml:space="preserve"> </w:t>
            </w:r>
            <w:r w:rsidR="006303DC" w:rsidRPr="00E11394">
              <w:t>M</w:t>
            </w:r>
            <w:r w:rsidR="006303DC">
              <w:t>ass</w:t>
            </w:r>
            <w:r w:rsidR="006303DC" w:rsidRPr="00E11394">
              <w:t>H</w:t>
            </w:r>
            <w:r w:rsidR="006303DC">
              <w:t>ealth</w:t>
            </w:r>
            <w:r w:rsidR="006303DC" w:rsidRPr="00E11394">
              <w:t xml:space="preserve"> Member Eligibility and Enrollment </w:t>
            </w:r>
          </w:p>
        </w:tc>
        <w:tc>
          <w:tcPr>
            <w:tcW w:w="1084" w:type="dxa"/>
            <w:shd w:val="clear" w:color="auto" w:fill="B0DF9B" w:themeFill="accent4" w:themeFillTint="66"/>
            <w:vAlign w:val="top"/>
          </w:tcPr>
          <w:p w14:paraId="381C303F"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21C32">
              <w:rPr>
                <w:rFonts w:cstheme="minorHAnsi"/>
                <w:szCs w:val="20"/>
              </w:rPr>
              <w:t>Yes</w:t>
            </w:r>
          </w:p>
        </w:tc>
        <w:tc>
          <w:tcPr>
            <w:tcW w:w="1373" w:type="dxa"/>
            <w:shd w:val="clear" w:color="auto" w:fill="B0DF9B" w:themeFill="accent4" w:themeFillTint="66"/>
            <w:vAlign w:val="top"/>
          </w:tcPr>
          <w:p w14:paraId="2C73B675"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21C32">
              <w:rPr>
                <w:rFonts w:cstheme="minorHAnsi"/>
                <w:szCs w:val="20"/>
              </w:rPr>
              <w:t>Yes</w:t>
            </w:r>
          </w:p>
        </w:tc>
        <w:tc>
          <w:tcPr>
            <w:tcW w:w="1340" w:type="dxa"/>
            <w:shd w:val="clear" w:color="auto" w:fill="B0DF9B" w:themeFill="accent4" w:themeFillTint="66"/>
            <w:vAlign w:val="top"/>
          </w:tcPr>
          <w:p w14:paraId="6E2B6A9C"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21C32">
              <w:rPr>
                <w:rFonts w:cstheme="minorHAnsi"/>
                <w:szCs w:val="20"/>
              </w:rPr>
              <w:t>Yes</w:t>
            </w:r>
          </w:p>
        </w:tc>
        <w:tc>
          <w:tcPr>
            <w:tcW w:w="1102" w:type="dxa"/>
            <w:shd w:val="clear" w:color="auto" w:fill="B0DF9B" w:themeFill="accent4" w:themeFillTint="66"/>
            <w:vAlign w:val="top"/>
          </w:tcPr>
          <w:p w14:paraId="12A5E726"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21C32">
              <w:rPr>
                <w:rFonts w:cstheme="minorHAnsi"/>
                <w:szCs w:val="20"/>
              </w:rPr>
              <w:t>Yes</w:t>
            </w:r>
          </w:p>
        </w:tc>
        <w:tc>
          <w:tcPr>
            <w:tcW w:w="1217" w:type="dxa"/>
            <w:shd w:val="clear" w:color="auto" w:fill="B0DF9B" w:themeFill="accent4" w:themeFillTint="66"/>
            <w:vAlign w:val="top"/>
          </w:tcPr>
          <w:p w14:paraId="01A155AE"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21C32">
              <w:rPr>
                <w:rFonts w:cstheme="minorHAnsi"/>
                <w:szCs w:val="20"/>
              </w:rPr>
              <w:t>Yes</w:t>
            </w:r>
          </w:p>
        </w:tc>
        <w:tc>
          <w:tcPr>
            <w:tcW w:w="1093" w:type="dxa"/>
            <w:shd w:val="clear" w:color="auto" w:fill="B0DF9B" w:themeFill="accent4" w:themeFillTint="66"/>
            <w:vAlign w:val="top"/>
          </w:tcPr>
          <w:p w14:paraId="2560A285"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21C32">
              <w:rPr>
                <w:rFonts w:cstheme="minorHAnsi"/>
                <w:szCs w:val="20"/>
              </w:rPr>
              <w:t>Yes</w:t>
            </w:r>
          </w:p>
        </w:tc>
        <w:tc>
          <w:tcPr>
            <w:tcW w:w="1104" w:type="dxa"/>
            <w:shd w:val="clear" w:color="auto" w:fill="B0DF9B" w:themeFill="accent4" w:themeFillTint="66"/>
            <w:vAlign w:val="top"/>
          </w:tcPr>
          <w:p w14:paraId="0747858A"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21C32">
              <w:rPr>
                <w:rFonts w:cstheme="minorHAnsi"/>
                <w:szCs w:val="20"/>
              </w:rPr>
              <w:t>Yes</w:t>
            </w:r>
          </w:p>
        </w:tc>
      </w:tr>
      <w:tr w:rsidR="006303DC" w:rsidRPr="00E11394" w14:paraId="5EE4E655" w14:textId="77777777" w:rsidTr="00B94692">
        <w:tc>
          <w:tcPr>
            <w:cnfStyle w:val="001000000000" w:firstRow="0" w:lastRow="0" w:firstColumn="1" w:lastColumn="0" w:oddVBand="0" w:evenVBand="0" w:oddHBand="0" w:evenHBand="0" w:firstRowFirstColumn="0" w:firstRowLastColumn="0" w:lastRowFirstColumn="0" w:lastRowLastColumn="0"/>
            <w:tcW w:w="5007" w:type="dxa"/>
          </w:tcPr>
          <w:p w14:paraId="2849A032" w14:textId="590A3CF1" w:rsidR="006303DC" w:rsidRPr="00E11394" w:rsidRDefault="00963D8A" w:rsidP="00B94692">
            <w:pPr>
              <w:pStyle w:val="lndent1"/>
            </w:pPr>
            <w:r>
              <w:t>1</w:t>
            </w:r>
            <w:r w:rsidR="00872D37">
              <w:t>b</w:t>
            </w:r>
            <w:r>
              <w:t xml:space="preserve">. </w:t>
            </w:r>
            <w:r w:rsidR="006303DC" w:rsidRPr="00E11394">
              <w:t>M</w:t>
            </w:r>
            <w:r w:rsidR="006303DC">
              <w:t>ass</w:t>
            </w:r>
            <w:r w:rsidR="006303DC" w:rsidRPr="00E11394">
              <w:t>H</w:t>
            </w:r>
            <w:r w:rsidR="006303DC">
              <w:t>ealth</w:t>
            </w:r>
            <w:r w:rsidR="006303DC" w:rsidRPr="00E11394">
              <w:t xml:space="preserve"> Claims &amp; Encounters</w:t>
            </w:r>
          </w:p>
        </w:tc>
        <w:tc>
          <w:tcPr>
            <w:tcW w:w="1084" w:type="dxa"/>
            <w:shd w:val="clear" w:color="auto" w:fill="B0DF9B" w:themeFill="accent4" w:themeFillTint="66"/>
            <w:vAlign w:val="top"/>
          </w:tcPr>
          <w:p w14:paraId="2B93772E"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21C32">
              <w:rPr>
                <w:rFonts w:cstheme="minorHAnsi"/>
                <w:szCs w:val="20"/>
              </w:rPr>
              <w:t>Yes</w:t>
            </w:r>
          </w:p>
        </w:tc>
        <w:tc>
          <w:tcPr>
            <w:tcW w:w="1373" w:type="dxa"/>
            <w:shd w:val="clear" w:color="auto" w:fill="B0DF9B" w:themeFill="accent4" w:themeFillTint="66"/>
            <w:vAlign w:val="top"/>
          </w:tcPr>
          <w:p w14:paraId="534FF175"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21C32">
              <w:rPr>
                <w:rFonts w:cstheme="minorHAnsi"/>
                <w:szCs w:val="20"/>
              </w:rPr>
              <w:t>Yes</w:t>
            </w:r>
          </w:p>
        </w:tc>
        <w:tc>
          <w:tcPr>
            <w:tcW w:w="1340" w:type="dxa"/>
            <w:shd w:val="clear" w:color="auto" w:fill="B0DF9B" w:themeFill="accent4" w:themeFillTint="66"/>
            <w:vAlign w:val="top"/>
          </w:tcPr>
          <w:p w14:paraId="3CEEF5DD"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21C32">
              <w:rPr>
                <w:rFonts w:cstheme="minorHAnsi"/>
                <w:szCs w:val="20"/>
              </w:rPr>
              <w:t>Yes</w:t>
            </w:r>
          </w:p>
        </w:tc>
        <w:tc>
          <w:tcPr>
            <w:tcW w:w="1102" w:type="dxa"/>
            <w:shd w:val="clear" w:color="auto" w:fill="B0DF9B" w:themeFill="accent4" w:themeFillTint="66"/>
            <w:vAlign w:val="top"/>
          </w:tcPr>
          <w:p w14:paraId="365AE964"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21C32">
              <w:rPr>
                <w:rFonts w:cstheme="minorHAnsi"/>
                <w:szCs w:val="20"/>
              </w:rPr>
              <w:t>Yes</w:t>
            </w:r>
          </w:p>
        </w:tc>
        <w:tc>
          <w:tcPr>
            <w:tcW w:w="1217" w:type="dxa"/>
            <w:shd w:val="clear" w:color="auto" w:fill="B0DF9B" w:themeFill="accent4" w:themeFillTint="66"/>
            <w:vAlign w:val="top"/>
          </w:tcPr>
          <w:p w14:paraId="58B86D74"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21C32">
              <w:rPr>
                <w:rFonts w:cstheme="minorHAnsi"/>
                <w:szCs w:val="20"/>
              </w:rPr>
              <w:t>Yes</w:t>
            </w:r>
          </w:p>
        </w:tc>
        <w:tc>
          <w:tcPr>
            <w:tcW w:w="1093" w:type="dxa"/>
            <w:shd w:val="clear" w:color="auto" w:fill="B0DF9B" w:themeFill="accent4" w:themeFillTint="66"/>
            <w:vAlign w:val="top"/>
          </w:tcPr>
          <w:p w14:paraId="364BE9F6"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21C32">
              <w:rPr>
                <w:rFonts w:cstheme="minorHAnsi"/>
                <w:szCs w:val="20"/>
              </w:rPr>
              <w:t>Yes</w:t>
            </w:r>
          </w:p>
        </w:tc>
        <w:tc>
          <w:tcPr>
            <w:tcW w:w="1104" w:type="dxa"/>
            <w:shd w:val="clear" w:color="auto" w:fill="B0DF9B" w:themeFill="accent4" w:themeFillTint="66"/>
            <w:vAlign w:val="top"/>
          </w:tcPr>
          <w:p w14:paraId="195B4EA6"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21C32">
              <w:rPr>
                <w:rFonts w:cstheme="minorHAnsi"/>
                <w:szCs w:val="20"/>
              </w:rPr>
              <w:t>Yes</w:t>
            </w:r>
          </w:p>
        </w:tc>
      </w:tr>
      <w:tr w:rsidR="006303DC" w:rsidRPr="00E11394" w14:paraId="6D6D54D4" w14:textId="77777777" w:rsidTr="00B94692">
        <w:tc>
          <w:tcPr>
            <w:cnfStyle w:val="001000000000" w:firstRow="0" w:lastRow="0" w:firstColumn="1" w:lastColumn="0" w:oddVBand="0" w:evenVBand="0" w:oddHBand="0" w:evenHBand="0" w:firstRowFirstColumn="0" w:firstRowLastColumn="0" w:lastRowFirstColumn="0" w:lastRowLastColumn="0"/>
            <w:tcW w:w="5007" w:type="dxa"/>
          </w:tcPr>
          <w:p w14:paraId="0E653548" w14:textId="5A1DC9AE" w:rsidR="006303DC" w:rsidRPr="00E11394" w:rsidRDefault="00963D8A" w:rsidP="00B94692">
            <w:pPr>
              <w:pStyle w:val="lndent1"/>
            </w:pPr>
            <w:r>
              <w:t>1</w:t>
            </w:r>
            <w:r w:rsidR="00872D37">
              <w:t>c.</w:t>
            </w:r>
            <w:r>
              <w:t xml:space="preserve"> </w:t>
            </w:r>
            <w:r w:rsidR="006303DC" w:rsidRPr="00E11394">
              <w:t>M</w:t>
            </w:r>
            <w:r w:rsidR="006303DC">
              <w:t>ass</w:t>
            </w:r>
            <w:r w:rsidR="006303DC" w:rsidRPr="00E11394">
              <w:t>H</w:t>
            </w:r>
            <w:r w:rsidR="006303DC">
              <w:t>ealth</w:t>
            </w:r>
            <w:r w:rsidR="006303DC" w:rsidRPr="00E11394">
              <w:t xml:space="preserve"> Provider File</w:t>
            </w:r>
          </w:p>
        </w:tc>
        <w:tc>
          <w:tcPr>
            <w:tcW w:w="1084" w:type="dxa"/>
            <w:shd w:val="clear" w:color="auto" w:fill="B0DF9B" w:themeFill="accent4" w:themeFillTint="66"/>
            <w:vAlign w:val="top"/>
          </w:tcPr>
          <w:p w14:paraId="5BB9BBEF"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21C32">
              <w:rPr>
                <w:rFonts w:cstheme="minorHAnsi"/>
                <w:szCs w:val="20"/>
              </w:rPr>
              <w:t>Yes</w:t>
            </w:r>
          </w:p>
        </w:tc>
        <w:tc>
          <w:tcPr>
            <w:tcW w:w="1373" w:type="dxa"/>
            <w:shd w:val="clear" w:color="auto" w:fill="B0DF9B" w:themeFill="accent4" w:themeFillTint="66"/>
            <w:vAlign w:val="top"/>
          </w:tcPr>
          <w:p w14:paraId="7F6BA32D"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21C32">
              <w:rPr>
                <w:rFonts w:cstheme="minorHAnsi"/>
                <w:szCs w:val="20"/>
              </w:rPr>
              <w:t>Yes</w:t>
            </w:r>
          </w:p>
        </w:tc>
        <w:tc>
          <w:tcPr>
            <w:tcW w:w="1340" w:type="dxa"/>
            <w:shd w:val="clear" w:color="auto" w:fill="B0DF9B" w:themeFill="accent4" w:themeFillTint="66"/>
            <w:vAlign w:val="top"/>
          </w:tcPr>
          <w:p w14:paraId="5F5FF001"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21C32">
              <w:rPr>
                <w:rFonts w:cstheme="minorHAnsi"/>
                <w:szCs w:val="20"/>
              </w:rPr>
              <w:t>Yes</w:t>
            </w:r>
          </w:p>
        </w:tc>
        <w:tc>
          <w:tcPr>
            <w:tcW w:w="1102" w:type="dxa"/>
            <w:shd w:val="clear" w:color="auto" w:fill="B0DF9B" w:themeFill="accent4" w:themeFillTint="66"/>
            <w:vAlign w:val="top"/>
          </w:tcPr>
          <w:p w14:paraId="7E873D89"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21C32">
              <w:rPr>
                <w:rFonts w:cstheme="minorHAnsi"/>
                <w:szCs w:val="20"/>
              </w:rPr>
              <w:t>Yes</w:t>
            </w:r>
          </w:p>
        </w:tc>
        <w:tc>
          <w:tcPr>
            <w:tcW w:w="1217" w:type="dxa"/>
            <w:shd w:val="clear" w:color="auto" w:fill="B0DF9B" w:themeFill="accent4" w:themeFillTint="66"/>
            <w:vAlign w:val="top"/>
          </w:tcPr>
          <w:p w14:paraId="2550B58B"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21C32">
              <w:rPr>
                <w:rFonts w:cstheme="minorHAnsi"/>
                <w:szCs w:val="20"/>
              </w:rPr>
              <w:t>Yes</w:t>
            </w:r>
          </w:p>
        </w:tc>
        <w:tc>
          <w:tcPr>
            <w:tcW w:w="1093" w:type="dxa"/>
            <w:shd w:val="clear" w:color="auto" w:fill="B0DF9B" w:themeFill="accent4" w:themeFillTint="66"/>
            <w:vAlign w:val="top"/>
          </w:tcPr>
          <w:p w14:paraId="24516A3E"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21C32">
              <w:rPr>
                <w:rFonts w:cstheme="minorHAnsi"/>
                <w:szCs w:val="20"/>
              </w:rPr>
              <w:t>Yes</w:t>
            </w:r>
          </w:p>
        </w:tc>
        <w:tc>
          <w:tcPr>
            <w:tcW w:w="1104" w:type="dxa"/>
            <w:shd w:val="clear" w:color="auto" w:fill="B0DF9B" w:themeFill="accent4" w:themeFillTint="66"/>
            <w:vAlign w:val="top"/>
          </w:tcPr>
          <w:p w14:paraId="626590B5"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21C32">
              <w:rPr>
                <w:rFonts w:cstheme="minorHAnsi"/>
                <w:szCs w:val="20"/>
              </w:rPr>
              <w:t>Yes</w:t>
            </w:r>
          </w:p>
        </w:tc>
      </w:tr>
      <w:tr w:rsidR="006303DC" w:rsidRPr="00E11394" w14:paraId="359522C8" w14:textId="77777777" w:rsidTr="00B94692">
        <w:tc>
          <w:tcPr>
            <w:cnfStyle w:val="001000000000" w:firstRow="0" w:lastRow="0" w:firstColumn="1" w:lastColumn="0" w:oddVBand="0" w:evenVBand="0" w:oddHBand="0" w:evenHBand="0" w:firstRowFirstColumn="0" w:firstRowLastColumn="0" w:lastRowFirstColumn="0" w:lastRowLastColumn="0"/>
            <w:tcW w:w="5007" w:type="dxa"/>
            <w:tcBorders>
              <w:bottom w:val="single" w:sz="4" w:space="0" w:color="auto"/>
            </w:tcBorders>
          </w:tcPr>
          <w:p w14:paraId="165C4A7F" w14:textId="5CC27D1B" w:rsidR="006303DC" w:rsidRPr="00E11394" w:rsidRDefault="00963D8A" w:rsidP="00B94692">
            <w:pPr>
              <w:pStyle w:val="lndent1"/>
            </w:pPr>
            <w:r>
              <w:t>1</w:t>
            </w:r>
            <w:r w:rsidR="00872D37">
              <w:t>d</w:t>
            </w:r>
            <w:r>
              <w:t xml:space="preserve">. </w:t>
            </w:r>
            <w:r w:rsidR="006303DC" w:rsidRPr="00E11394">
              <w:t>All-Payer Claims Data</w:t>
            </w:r>
          </w:p>
        </w:tc>
        <w:tc>
          <w:tcPr>
            <w:tcW w:w="1084" w:type="dxa"/>
            <w:tcBorders>
              <w:bottom w:val="single" w:sz="4" w:space="0" w:color="auto"/>
            </w:tcBorders>
          </w:tcPr>
          <w:p w14:paraId="6DA298D1"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No</w:t>
            </w:r>
          </w:p>
        </w:tc>
        <w:tc>
          <w:tcPr>
            <w:tcW w:w="1373" w:type="dxa"/>
            <w:tcBorders>
              <w:bottom w:val="single" w:sz="4" w:space="0" w:color="auto"/>
            </w:tcBorders>
          </w:tcPr>
          <w:p w14:paraId="11CD69FD"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No</w:t>
            </w:r>
          </w:p>
        </w:tc>
        <w:tc>
          <w:tcPr>
            <w:tcW w:w="1340" w:type="dxa"/>
            <w:tcBorders>
              <w:bottom w:val="single" w:sz="4" w:space="0" w:color="auto"/>
            </w:tcBorders>
            <w:shd w:val="clear" w:color="auto" w:fill="B0DF9B" w:themeFill="accent4" w:themeFillTint="66"/>
          </w:tcPr>
          <w:p w14:paraId="1067BD4B"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Yes</w:t>
            </w:r>
          </w:p>
        </w:tc>
        <w:tc>
          <w:tcPr>
            <w:tcW w:w="1102" w:type="dxa"/>
            <w:tcBorders>
              <w:bottom w:val="single" w:sz="4" w:space="0" w:color="auto"/>
            </w:tcBorders>
          </w:tcPr>
          <w:p w14:paraId="76D5AA6E"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No</w:t>
            </w:r>
          </w:p>
        </w:tc>
        <w:tc>
          <w:tcPr>
            <w:tcW w:w="1217" w:type="dxa"/>
            <w:tcBorders>
              <w:bottom w:val="single" w:sz="4" w:space="0" w:color="auto"/>
            </w:tcBorders>
          </w:tcPr>
          <w:p w14:paraId="7DF82309"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No</w:t>
            </w:r>
          </w:p>
        </w:tc>
        <w:tc>
          <w:tcPr>
            <w:tcW w:w="1093" w:type="dxa"/>
            <w:tcBorders>
              <w:bottom w:val="single" w:sz="4" w:space="0" w:color="auto"/>
            </w:tcBorders>
          </w:tcPr>
          <w:p w14:paraId="336511D2"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No</w:t>
            </w:r>
          </w:p>
        </w:tc>
        <w:tc>
          <w:tcPr>
            <w:tcW w:w="1104" w:type="dxa"/>
            <w:tcBorders>
              <w:bottom w:val="single" w:sz="4" w:space="0" w:color="auto"/>
            </w:tcBorders>
          </w:tcPr>
          <w:p w14:paraId="47698160"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No</w:t>
            </w:r>
          </w:p>
        </w:tc>
      </w:tr>
      <w:tr w:rsidR="006303DC" w:rsidRPr="00E11394" w14:paraId="7531308E" w14:textId="77777777" w:rsidTr="00B94692">
        <w:tc>
          <w:tcPr>
            <w:cnfStyle w:val="001000000000" w:firstRow="0" w:lastRow="0" w:firstColumn="1" w:lastColumn="0" w:oddVBand="0" w:evenVBand="0" w:oddHBand="0" w:evenHBand="0" w:firstRowFirstColumn="0" w:firstRowLastColumn="0" w:lastRowFirstColumn="0" w:lastRowLastColumn="0"/>
            <w:tcW w:w="5007" w:type="dxa"/>
            <w:tcBorders>
              <w:right w:val="nil"/>
            </w:tcBorders>
            <w:shd w:val="clear" w:color="auto" w:fill="EEECEA" w:themeFill="background2" w:themeFillTint="33"/>
          </w:tcPr>
          <w:p w14:paraId="35642381" w14:textId="0DBFA068" w:rsidR="006303DC" w:rsidRPr="00E11394" w:rsidRDefault="006303DC" w:rsidP="00B94692">
            <w:r>
              <w:t xml:space="preserve">2. </w:t>
            </w:r>
            <w:r w:rsidRPr="00E11394">
              <w:t>Program-specific Data</w:t>
            </w:r>
            <w:r w:rsidR="008659B3">
              <w:t xml:space="preserve"> Sources</w:t>
            </w:r>
            <w:r>
              <w:t>:</w:t>
            </w:r>
            <w:r w:rsidRPr="00E11394">
              <w:t> </w:t>
            </w:r>
          </w:p>
        </w:tc>
        <w:tc>
          <w:tcPr>
            <w:tcW w:w="1084" w:type="dxa"/>
            <w:tcBorders>
              <w:left w:val="nil"/>
              <w:right w:val="nil"/>
            </w:tcBorders>
            <w:shd w:val="clear" w:color="auto" w:fill="EEECEA" w:themeFill="background2" w:themeFillTint="33"/>
          </w:tcPr>
          <w:p w14:paraId="5DB2E554"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73" w:type="dxa"/>
            <w:tcBorders>
              <w:left w:val="nil"/>
              <w:right w:val="nil"/>
            </w:tcBorders>
            <w:shd w:val="clear" w:color="auto" w:fill="EEECEA" w:themeFill="background2" w:themeFillTint="33"/>
          </w:tcPr>
          <w:p w14:paraId="33149CB6"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40" w:type="dxa"/>
            <w:tcBorders>
              <w:left w:val="nil"/>
              <w:right w:val="nil"/>
            </w:tcBorders>
            <w:shd w:val="clear" w:color="auto" w:fill="EEECEA" w:themeFill="background2" w:themeFillTint="33"/>
          </w:tcPr>
          <w:p w14:paraId="38CCB9C0"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02" w:type="dxa"/>
            <w:tcBorders>
              <w:left w:val="nil"/>
              <w:right w:val="nil"/>
            </w:tcBorders>
            <w:shd w:val="clear" w:color="auto" w:fill="EEECEA" w:themeFill="background2" w:themeFillTint="33"/>
          </w:tcPr>
          <w:p w14:paraId="20FEC71B"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17" w:type="dxa"/>
            <w:tcBorders>
              <w:left w:val="nil"/>
              <w:right w:val="nil"/>
            </w:tcBorders>
            <w:shd w:val="clear" w:color="auto" w:fill="EEECEA" w:themeFill="background2" w:themeFillTint="33"/>
          </w:tcPr>
          <w:p w14:paraId="69290DCE"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93" w:type="dxa"/>
            <w:tcBorders>
              <w:left w:val="nil"/>
              <w:right w:val="nil"/>
            </w:tcBorders>
            <w:shd w:val="clear" w:color="auto" w:fill="EEECEA" w:themeFill="background2" w:themeFillTint="33"/>
          </w:tcPr>
          <w:p w14:paraId="67037E1C"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04" w:type="dxa"/>
            <w:tcBorders>
              <w:left w:val="nil"/>
            </w:tcBorders>
            <w:shd w:val="clear" w:color="auto" w:fill="EEECEA" w:themeFill="background2" w:themeFillTint="33"/>
          </w:tcPr>
          <w:p w14:paraId="0C09F60E"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6303DC" w:rsidRPr="00E11394" w14:paraId="2E7C7CE5" w14:textId="77777777" w:rsidTr="00B94692">
        <w:tc>
          <w:tcPr>
            <w:cnfStyle w:val="001000000000" w:firstRow="0" w:lastRow="0" w:firstColumn="1" w:lastColumn="0" w:oddVBand="0" w:evenVBand="0" w:oddHBand="0" w:evenHBand="0" w:firstRowFirstColumn="0" w:firstRowLastColumn="0" w:lastRowFirstColumn="0" w:lastRowLastColumn="0"/>
            <w:tcW w:w="5007" w:type="dxa"/>
          </w:tcPr>
          <w:p w14:paraId="7B209DA3" w14:textId="3DEF88B0" w:rsidR="006303DC" w:rsidRPr="00E11394" w:rsidRDefault="00963D8A" w:rsidP="00B94692">
            <w:pPr>
              <w:pStyle w:val="lndent1"/>
            </w:pPr>
            <w:r>
              <w:t>2</w:t>
            </w:r>
            <w:r w:rsidR="00872D37">
              <w:t>a</w:t>
            </w:r>
            <w:r>
              <w:t xml:space="preserve">. </w:t>
            </w:r>
            <w:r w:rsidR="006303DC" w:rsidRPr="00E11394">
              <w:t>Accountable Care Organization</w:t>
            </w:r>
          </w:p>
        </w:tc>
        <w:tc>
          <w:tcPr>
            <w:tcW w:w="1084" w:type="dxa"/>
            <w:vAlign w:val="top"/>
          </w:tcPr>
          <w:p w14:paraId="2D4C5F57"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92002">
              <w:rPr>
                <w:rFonts w:cstheme="minorHAnsi"/>
                <w:szCs w:val="20"/>
              </w:rPr>
              <w:t>No</w:t>
            </w:r>
          </w:p>
        </w:tc>
        <w:tc>
          <w:tcPr>
            <w:tcW w:w="1373" w:type="dxa"/>
            <w:shd w:val="clear" w:color="auto" w:fill="B0DF9B" w:themeFill="accent4" w:themeFillTint="66"/>
            <w:vAlign w:val="top"/>
          </w:tcPr>
          <w:p w14:paraId="65F26073"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C6D2B">
              <w:rPr>
                <w:rFonts w:cstheme="minorHAnsi"/>
                <w:szCs w:val="20"/>
              </w:rPr>
              <w:t>Yes</w:t>
            </w:r>
          </w:p>
        </w:tc>
        <w:tc>
          <w:tcPr>
            <w:tcW w:w="1340" w:type="dxa"/>
            <w:shd w:val="clear" w:color="auto" w:fill="B0DF9B" w:themeFill="accent4" w:themeFillTint="66"/>
            <w:vAlign w:val="top"/>
          </w:tcPr>
          <w:p w14:paraId="1E6AFF6F"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C6D2B">
              <w:rPr>
                <w:rFonts w:cstheme="minorHAnsi"/>
                <w:szCs w:val="20"/>
              </w:rPr>
              <w:t>Yes</w:t>
            </w:r>
          </w:p>
        </w:tc>
        <w:tc>
          <w:tcPr>
            <w:tcW w:w="1102" w:type="dxa"/>
            <w:vAlign w:val="top"/>
          </w:tcPr>
          <w:p w14:paraId="09D60F22"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F2504">
              <w:rPr>
                <w:rFonts w:cstheme="minorHAnsi"/>
                <w:szCs w:val="20"/>
              </w:rPr>
              <w:t>No</w:t>
            </w:r>
          </w:p>
        </w:tc>
        <w:tc>
          <w:tcPr>
            <w:tcW w:w="1217" w:type="dxa"/>
            <w:vAlign w:val="top"/>
          </w:tcPr>
          <w:p w14:paraId="740F3B9A"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F2504">
              <w:rPr>
                <w:rFonts w:cstheme="minorHAnsi"/>
                <w:szCs w:val="20"/>
              </w:rPr>
              <w:t>No</w:t>
            </w:r>
          </w:p>
        </w:tc>
        <w:tc>
          <w:tcPr>
            <w:tcW w:w="1093" w:type="dxa"/>
            <w:shd w:val="clear" w:color="auto" w:fill="B0DF9B" w:themeFill="accent4" w:themeFillTint="66"/>
            <w:vAlign w:val="top"/>
          </w:tcPr>
          <w:p w14:paraId="076E8241"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5529D">
              <w:rPr>
                <w:rFonts w:cstheme="minorHAnsi"/>
                <w:szCs w:val="20"/>
              </w:rPr>
              <w:t>Yes</w:t>
            </w:r>
          </w:p>
        </w:tc>
        <w:tc>
          <w:tcPr>
            <w:tcW w:w="1104" w:type="dxa"/>
            <w:shd w:val="clear" w:color="auto" w:fill="B0DF9B" w:themeFill="accent4" w:themeFillTint="66"/>
            <w:vAlign w:val="top"/>
          </w:tcPr>
          <w:p w14:paraId="35879C1B"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5529D">
              <w:rPr>
                <w:rFonts w:cstheme="minorHAnsi"/>
                <w:szCs w:val="20"/>
              </w:rPr>
              <w:t>Yes</w:t>
            </w:r>
          </w:p>
        </w:tc>
      </w:tr>
      <w:tr w:rsidR="006303DC" w:rsidRPr="00E11394" w14:paraId="7F39C30A" w14:textId="77777777" w:rsidTr="00B94692">
        <w:tc>
          <w:tcPr>
            <w:cnfStyle w:val="001000000000" w:firstRow="0" w:lastRow="0" w:firstColumn="1" w:lastColumn="0" w:oddVBand="0" w:evenVBand="0" w:oddHBand="0" w:evenHBand="0" w:firstRowFirstColumn="0" w:firstRowLastColumn="0" w:lastRowFirstColumn="0" w:lastRowLastColumn="0"/>
            <w:tcW w:w="5007" w:type="dxa"/>
          </w:tcPr>
          <w:p w14:paraId="78D022CC" w14:textId="21216BC1" w:rsidR="006303DC" w:rsidRPr="00E11394" w:rsidRDefault="00963D8A" w:rsidP="00B94692">
            <w:pPr>
              <w:pStyle w:val="lndent1"/>
            </w:pPr>
            <w:r>
              <w:t>2</w:t>
            </w:r>
            <w:r w:rsidR="00872D37">
              <w:t>b</w:t>
            </w:r>
            <w:r>
              <w:t xml:space="preserve">. </w:t>
            </w:r>
            <w:r w:rsidR="006303DC" w:rsidRPr="00E11394">
              <w:t>Flexible Services Program </w:t>
            </w:r>
          </w:p>
        </w:tc>
        <w:tc>
          <w:tcPr>
            <w:tcW w:w="1084" w:type="dxa"/>
            <w:vAlign w:val="top"/>
          </w:tcPr>
          <w:p w14:paraId="63D3E27F"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92002">
              <w:rPr>
                <w:rFonts w:cstheme="minorHAnsi"/>
                <w:szCs w:val="20"/>
              </w:rPr>
              <w:t>No</w:t>
            </w:r>
          </w:p>
        </w:tc>
        <w:tc>
          <w:tcPr>
            <w:tcW w:w="1373" w:type="dxa"/>
            <w:shd w:val="clear" w:color="auto" w:fill="B0DF9B" w:themeFill="accent4" w:themeFillTint="66"/>
          </w:tcPr>
          <w:p w14:paraId="52A4FBAD"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Yes</w:t>
            </w:r>
          </w:p>
        </w:tc>
        <w:tc>
          <w:tcPr>
            <w:tcW w:w="1340" w:type="dxa"/>
            <w:vAlign w:val="top"/>
          </w:tcPr>
          <w:p w14:paraId="1E57F803"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C4E58">
              <w:rPr>
                <w:rFonts w:cstheme="minorHAnsi"/>
                <w:szCs w:val="20"/>
              </w:rPr>
              <w:t>No</w:t>
            </w:r>
          </w:p>
        </w:tc>
        <w:tc>
          <w:tcPr>
            <w:tcW w:w="1102" w:type="dxa"/>
            <w:vAlign w:val="top"/>
          </w:tcPr>
          <w:p w14:paraId="2FD24E9A"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F2504">
              <w:rPr>
                <w:rFonts w:cstheme="minorHAnsi"/>
                <w:szCs w:val="20"/>
              </w:rPr>
              <w:t>No</w:t>
            </w:r>
          </w:p>
        </w:tc>
        <w:tc>
          <w:tcPr>
            <w:tcW w:w="1217" w:type="dxa"/>
            <w:vAlign w:val="top"/>
          </w:tcPr>
          <w:p w14:paraId="321E36AC"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F2504">
              <w:rPr>
                <w:rFonts w:cstheme="minorHAnsi"/>
                <w:szCs w:val="20"/>
              </w:rPr>
              <w:t>No</w:t>
            </w:r>
          </w:p>
        </w:tc>
        <w:tc>
          <w:tcPr>
            <w:tcW w:w="1093" w:type="dxa"/>
            <w:shd w:val="clear" w:color="auto" w:fill="B0DF9B" w:themeFill="accent4" w:themeFillTint="66"/>
            <w:vAlign w:val="top"/>
          </w:tcPr>
          <w:p w14:paraId="4C243E53"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5529D">
              <w:rPr>
                <w:rFonts w:cstheme="minorHAnsi"/>
                <w:szCs w:val="20"/>
              </w:rPr>
              <w:t>Yes</w:t>
            </w:r>
          </w:p>
        </w:tc>
        <w:tc>
          <w:tcPr>
            <w:tcW w:w="1104" w:type="dxa"/>
            <w:shd w:val="clear" w:color="auto" w:fill="B0DF9B" w:themeFill="accent4" w:themeFillTint="66"/>
            <w:vAlign w:val="top"/>
          </w:tcPr>
          <w:p w14:paraId="2577C7D3"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5529D">
              <w:rPr>
                <w:rFonts w:cstheme="minorHAnsi"/>
                <w:szCs w:val="20"/>
              </w:rPr>
              <w:t>Yes</w:t>
            </w:r>
          </w:p>
        </w:tc>
      </w:tr>
      <w:tr w:rsidR="006303DC" w:rsidRPr="00E11394" w14:paraId="5528CE59" w14:textId="77777777" w:rsidTr="00B94692">
        <w:tc>
          <w:tcPr>
            <w:cnfStyle w:val="001000000000" w:firstRow="0" w:lastRow="0" w:firstColumn="1" w:lastColumn="0" w:oddVBand="0" w:evenVBand="0" w:oddHBand="0" w:evenHBand="0" w:firstRowFirstColumn="0" w:firstRowLastColumn="0" w:lastRowFirstColumn="0" w:lastRowLastColumn="0"/>
            <w:tcW w:w="5007" w:type="dxa"/>
          </w:tcPr>
          <w:p w14:paraId="65FC4B38" w14:textId="2E8D930F" w:rsidR="006303DC" w:rsidRPr="00E11394" w:rsidRDefault="00963D8A" w:rsidP="00963D8A">
            <w:pPr>
              <w:pStyle w:val="lndent1"/>
              <w:ind w:left="677" w:hanging="317"/>
            </w:pPr>
            <w:r>
              <w:t>2</w:t>
            </w:r>
            <w:r w:rsidR="00872D37">
              <w:t>c</w:t>
            </w:r>
            <w:r>
              <w:t xml:space="preserve">. </w:t>
            </w:r>
            <w:r w:rsidR="006303DC" w:rsidRPr="00E11394">
              <w:t>Hospital Quality and Equity Initiative Enhanced Demographics Files</w:t>
            </w:r>
          </w:p>
        </w:tc>
        <w:tc>
          <w:tcPr>
            <w:tcW w:w="1084" w:type="dxa"/>
            <w:vAlign w:val="top"/>
          </w:tcPr>
          <w:p w14:paraId="1ADE9576"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92002">
              <w:rPr>
                <w:rFonts w:cstheme="minorHAnsi"/>
                <w:szCs w:val="20"/>
              </w:rPr>
              <w:t>No</w:t>
            </w:r>
          </w:p>
        </w:tc>
        <w:tc>
          <w:tcPr>
            <w:tcW w:w="1373" w:type="dxa"/>
          </w:tcPr>
          <w:p w14:paraId="68189BD8"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No</w:t>
            </w:r>
          </w:p>
        </w:tc>
        <w:tc>
          <w:tcPr>
            <w:tcW w:w="1340" w:type="dxa"/>
            <w:vAlign w:val="top"/>
          </w:tcPr>
          <w:p w14:paraId="131F8E5B"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C4E58">
              <w:rPr>
                <w:rFonts w:cstheme="minorHAnsi"/>
                <w:szCs w:val="20"/>
              </w:rPr>
              <w:t>No</w:t>
            </w:r>
          </w:p>
        </w:tc>
        <w:tc>
          <w:tcPr>
            <w:tcW w:w="1102" w:type="dxa"/>
            <w:vAlign w:val="top"/>
          </w:tcPr>
          <w:p w14:paraId="3CA4E737"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F2504">
              <w:rPr>
                <w:rFonts w:cstheme="minorHAnsi"/>
                <w:szCs w:val="20"/>
              </w:rPr>
              <w:t>No</w:t>
            </w:r>
          </w:p>
        </w:tc>
        <w:tc>
          <w:tcPr>
            <w:tcW w:w="1217" w:type="dxa"/>
            <w:vAlign w:val="top"/>
          </w:tcPr>
          <w:p w14:paraId="1D46FEA0"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F2504">
              <w:rPr>
                <w:rFonts w:cstheme="minorHAnsi"/>
                <w:szCs w:val="20"/>
              </w:rPr>
              <w:t>No</w:t>
            </w:r>
          </w:p>
        </w:tc>
        <w:tc>
          <w:tcPr>
            <w:tcW w:w="1093" w:type="dxa"/>
            <w:shd w:val="clear" w:color="auto" w:fill="B0DF9B" w:themeFill="accent4" w:themeFillTint="66"/>
            <w:vAlign w:val="top"/>
          </w:tcPr>
          <w:p w14:paraId="47A30B34"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5529D">
              <w:rPr>
                <w:rFonts w:cstheme="minorHAnsi"/>
                <w:szCs w:val="20"/>
              </w:rPr>
              <w:t>Yes</w:t>
            </w:r>
          </w:p>
        </w:tc>
        <w:tc>
          <w:tcPr>
            <w:tcW w:w="1104" w:type="dxa"/>
            <w:shd w:val="clear" w:color="auto" w:fill="B0DF9B" w:themeFill="accent4" w:themeFillTint="66"/>
            <w:vAlign w:val="top"/>
          </w:tcPr>
          <w:p w14:paraId="54F1A3E1"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5529D">
              <w:rPr>
                <w:rFonts w:cstheme="minorHAnsi"/>
                <w:szCs w:val="20"/>
              </w:rPr>
              <w:t>Yes</w:t>
            </w:r>
          </w:p>
        </w:tc>
      </w:tr>
      <w:tr w:rsidR="006303DC" w:rsidRPr="00E11394" w14:paraId="4498A58C" w14:textId="77777777" w:rsidTr="00B94692">
        <w:tc>
          <w:tcPr>
            <w:cnfStyle w:val="001000000000" w:firstRow="0" w:lastRow="0" w:firstColumn="1" w:lastColumn="0" w:oddVBand="0" w:evenVBand="0" w:oddHBand="0" w:evenHBand="0" w:firstRowFirstColumn="0" w:firstRowLastColumn="0" w:lastRowFirstColumn="0" w:lastRowLastColumn="0"/>
            <w:tcW w:w="5007" w:type="dxa"/>
          </w:tcPr>
          <w:p w14:paraId="1980FD7B" w14:textId="7D80DC16" w:rsidR="006303DC" w:rsidRPr="00E11394" w:rsidRDefault="00963D8A" w:rsidP="00B94692">
            <w:pPr>
              <w:pStyle w:val="lndent1"/>
            </w:pPr>
            <w:r>
              <w:t>2</w:t>
            </w:r>
            <w:r w:rsidR="00872D37">
              <w:t>d</w:t>
            </w:r>
            <w:r>
              <w:t xml:space="preserve">. </w:t>
            </w:r>
            <w:r w:rsidR="006303DC" w:rsidRPr="00E11394">
              <w:t>Coverage &amp; Eligibility Program Enrollment</w:t>
            </w:r>
          </w:p>
        </w:tc>
        <w:tc>
          <w:tcPr>
            <w:tcW w:w="1084" w:type="dxa"/>
            <w:shd w:val="clear" w:color="auto" w:fill="B0DF9B" w:themeFill="accent4" w:themeFillTint="66"/>
          </w:tcPr>
          <w:p w14:paraId="048926A9"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Yes</w:t>
            </w:r>
          </w:p>
        </w:tc>
        <w:tc>
          <w:tcPr>
            <w:tcW w:w="1373" w:type="dxa"/>
            <w:vAlign w:val="top"/>
          </w:tcPr>
          <w:p w14:paraId="1C9CE61B"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002C8">
              <w:rPr>
                <w:rFonts w:cstheme="minorHAnsi"/>
                <w:szCs w:val="20"/>
              </w:rPr>
              <w:t>No</w:t>
            </w:r>
          </w:p>
        </w:tc>
        <w:tc>
          <w:tcPr>
            <w:tcW w:w="1340" w:type="dxa"/>
            <w:vAlign w:val="top"/>
          </w:tcPr>
          <w:p w14:paraId="4A3462F0"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002C8">
              <w:rPr>
                <w:rFonts w:cstheme="minorHAnsi"/>
                <w:szCs w:val="20"/>
              </w:rPr>
              <w:t>No</w:t>
            </w:r>
          </w:p>
        </w:tc>
        <w:tc>
          <w:tcPr>
            <w:tcW w:w="1102" w:type="dxa"/>
            <w:vAlign w:val="top"/>
          </w:tcPr>
          <w:p w14:paraId="56C475D1"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002C8">
              <w:rPr>
                <w:rFonts w:cstheme="minorHAnsi"/>
                <w:szCs w:val="20"/>
              </w:rPr>
              <w:t>No</w:t>
            </w:r>
          </w:p>
        </w:tc>
        <w:tc>
          <w:tcPr>
            <w:tcW w:w="1217" w:type="dxa"/>
            <w:vAlign w:val="top"/>
          </w:tcPr>
          <w:p w14:paraId="49E8AA97"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002C8">
              <w:rPr>
                <w:rFonts w:cstheme="minorHAnsi"/>
                <w:szCs w:val="20"/>
              </w:rPr>
              <w:t>No</w:t>
            </w:r>
          </w:p>
        </w:tc>
        <w:tc>
          <w:tcPr>
            <w:tcW w:w="1093" w:type="dxa"/>
            <w:vAlign w:val="top"/>
          </w:tcPr>
          <w:p w14:paraId="7DE5509F"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002C8">
              <w:rPr>
                <w:rFonts w:cstheme="minorHAnsi"/>
                <w:szCs w:val="20"/>
              </w:rPr>
              <w:t>No</w:t>
            </w:r>
          </w:p>
        </w:tc>
        <w:tc>
          <w:tcPr>
            <w:tcW w:w="1104" w:type="dxa"/>
            <w:vAlign w:val="top"/>
          </w:tcPr>
          <w:p w14:paraId="6152E7EF"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002C8">
              <w:rPr>
                <w:rFonts w:cstheme="minorHAnsi"/>
                <w:szCs w:val="20"/>
              </w:rPr>
              <w:t>No</w:t>
            </w:r>
          </w:p>
        </w:tc>
      </w:tr>
      <w:tr w:rsidR="006303DC" w:rsidRPr="00E11394" w14:paraId="094294CA" w14:textId="77777777" w:rsidTr="00B94692">
        <w:tc>
          <w:tcPr>
            <w:cnfStyle w:val="001000000000" w:firstRow="0" w:lastRow="0" w:firstColumn="1" w:lastColumn="0" w:oddVBand="0" w:evenVBand="0" w:oddHBand="0" w:evenHBand="0" w:firstRowFirstColumn="0" w:firstRowLastColumn="0" w:lastRowFirstColumn="0" w:lastRowLastColumn="0"/>
            <w:tcW w:w="5007" w:type="dxa"/>
          </w:tcPr>
          <w:p w14:paraId="2F13D104" w14:textId="2E4395EC" w:rsidR="006303DC" w:rsidRPr="00E11394" w:rsidRDefault="00963D8A" w:rsidP="00B94692">
            <w:pPr>
              <w:pStyle w:val="lndent1"/>
            </w:pPr>
            <w:r>
              <w:t>2</w:t>
            </w:r>
            <w:r w:rsidR="00872D37">
              <w:t>e</w:t>
            </w:r>
            <w:r>
              <w:t xml:space="preserve">. </w:t>
            </w:r>
            <w:r w:rsidR="006303DC">
              <w:t>Specialized Community Support Programs</w:t>
            </w:r>
          </w:p>
        </w:tc>
        <w:tc>
          <w:tcPr>
            <w:tcW w:w="1084" w:type="dxa"/>
          </w:tcPr>
          <w:p w14:paraId="2646422C"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No</w:t>
            </w:r>
          </w:p>
        </w:tc>
        <w:tc>
          <w:tcPr>
            <w:tcW w:w="1373" w:type="dxa"/>
            <w:shd w:val="clear" w:color="auto" w:fill="B0DF9B" w:themeFill="accent4" w:themeFillTint="66"/>
            <w:vAlign w:val="top"/>
          </w:tcPr>
          <w:p w14:paraId="706562E8"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37EA0">
              <w:rPr>
                <w:rFonts w:cstheme="minorHAnsi"/>
                <w:szCs w:val="20"/>
              </w:rPr>
              <w:t>Yes</w:t>
            </w:r>
          </w:p>
        </w:tc>
        <w:tc>
          <w:tcPr>
            <w:tcW w:w="1340" w:type="dxa"/>
            <w:shd w:val="clear" w:color="auto" w:fill="B0DF9B" w:themeFill="accent4" w:themeFillTint="66"/>
            <w:vAlign w:val="top"/>
          </w:tcPr>
          <w:p w14:paraId="7C903EB6"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37EA0">
              <w:rPr>
                <w:rFonts w:cstheme="minorHAnsi"/>
                <w:szCs w:val="20"/>
              </w:rPr>
              <w:t>Yes</w:t>
            </w:r>
          </w:p>
        </w:tc>
        <w:tc>
          <w:tcPr>
            <w:tcW w:w="1102" w:type="dxa"/>
            <w:vAlign w:val="top"/>
          </w:tcPr>
          <w:p w14:paraId="44C2C3A1"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228AB">
              <w:rPr>
                <w:rFonts w:cstheme="minorHAnsi"/>
                <w:szCs w:val="20"/>
              </w:rPr>
              <w:t>No</w:t>
            </w:r>
          </w:p>
        </w:tc>
        <w:tc>
          <w:tcPr>
            <w:tcW w:w="1217" w:type="dxa"/>
            <w:vAlign w:val="top"/>
          </w:tcPr>
          <w:p w14:paraId="7ED7C689"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228AB">
              <w:rPr>
                <w:rFonts w:cstheme="minorHAnsi"/>
                <w:szCs w:val="20"/>
              </w:rPr>
              <w:t>No</w:t>
            </w:r>
          </w:p>
        </w:tc>
        <w:tc>
          <w:tcPr>
            <w:tcW w:w="1093" w:type="dxa"/>
            <w:shd w:val="clear" w:color="auto" w:fill="B0DF9B" w:themeFill="accent4" w:themeFillTint="66"/>
            <w:vAlign w:val="top"/>
          </w:tcPr>
          <w:p w14:paraId="36E867D0"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7B">
              <w:rPr>
                <w:rFonts w:cstheme="minorHAnsi"/>
                <w:szCs w:val="20"/>
              </w:rPr>
              <w:t>Yes</w:t>
            </w:r>
          </w:p>
        </w:tc>
        <w:tc>
          <w:tcPr>
            <w:tcW w:w="1104" w:type="dxa"/>
            <w:shd w:val="clear" w:color="auto" w:fill="B0DF9B" w:themeFill="accent4" w:themeFillTint="66"/>
            <w:vAlign w:val="top"/>
          </w:tcPr>
          <w:p w14:paraId="0CE35BBA"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567B">
              <w:rPr>
                <w:rFonts w:cstheme="minorHAnsi"/>
                <w:szCs w:val="20"/>
              </w:rPr>
              <w:t>Yes</w:t>
            </w:r>
          </w:p>
        </w:tc>
      </w:tr>
      <w:tr w:rsidR="006303DC" w:rsidRPr="00E11394" w14:paraId="3363AF57" w14:textId="77777777" w:rsidTr="00B94692">
        <w:tc>
          <w:tcPr>
            <w:cnfStyle w:val="001000000000" w:firstRow="0" w:lastRow="0" w:firstColumn="1" w:lastColumn="0" w:oddVBand="0" w:evenVBand="0" w:oddHBand="0" w:evenHBand="0" w:firstRowFirstColumn="0" w:firstRowLastColumn="0" w:lastRowFirstColumn="0" w:lastRowLastColumn="0"/>
            <w:tcW w:w="5007" w:type="dxa"/>
            <w:tcBorders>
              <w:bottom w:val="single" w:sz="4" w:space="0" w:color="auto"/>
            </w:tcBorders>
          </w:tcPr>
          <w:p w14:paraId="5A52AEEC" w14:textId="4E7F6BAD" w:rsidR="006303DC" w:rsidRPr="00E11394" w:rsidRDefault="00963D8A" w:rsidP="00B94692">
            <w:pPr>
              <w:pStyle w:val="lndent1"/>
            </w:pPr>
            <w:r>
              <w:t>2</w:t>
            </w:r>
            <w:r w:rsidR="00872D37">
              <w:t>f</w:t>
            </w:r>
            <w:r>
              <w:t xml:space="preserve">. </w:t>
            </w:r>
            <w:r w:rsidR="006303DC" w:rsidRPr="00E11394">
              <w:t>Workforce Initiative Program</w:t>
            </w:r>
          </w:p>
        </w:tc>
        <w:tc>
          <w:tcPr>
            <w:tcW w:w="1084" w:type="dxa"/>
            <w:tcBorders>
              <w:bottom w:val="single" w:sz="4" w:space="0" w:color="auto"/>
            </w:tcBorders>
            <w:vAlign w:val="top"/>
          </w:tcPr>
          <w:p w14:paraId="310D6DA6"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F23920">
              <w:rPr>
                <w:rFonts w:cstheme="minorHAnsi"/>
                <w:szCs w:val="20"/>
              </w:rPr>
              <w:t>No</w:t>
            </w:r>
          </w:p>
        </w:tc>
        <w:tc>
          <w:tcPr>
            <w:tcW w:w="1373" w:type="dxa"/>
            <w:tcBorders>
              <w:bottom w:val="single" w:sz="4" w:space="0" w:color="auto"/>
            </w:tcBorders>
            <w:vAlign w:val="top"/>
          </w:tcPr>
          <w:p w14:paraId="6B3451F1"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F23920">
              <w:rPr>
                <w:rFonts w:cstheme="minorHAnsi"/>
                <w:szCs w:val="20"/>
              </w:rPr>
              <w:t>No</w:t>
            </w:r>
          </w:p>
        </w:tc>
        <w:tc>
          <w:tcPr>
            <w:tcW w:w="1340" w:type="dxa"/>
            <w:tcBorders>
              <w:bottom w:val="single" w:sz="4" w:space="0" w:color="auto"/>
            </w:tcBorders>
            <w:vAlign w:val="top"/>
          </w:tcPr>
          <w:p w14:paraId="5138862F"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F23920">
              <w:rPr>
                <w:rFonts w:cstheme="minorHAnsi"/>
                <w:szCs w:val="20"/>
              </w:rPr>
              <w:t>No</w:t>
            </w:r>
          </w:p>
        </w:tc>
        <w:tc>
          <w:tcPr>
            <w:tcW w:w="1102" w:type="dxa"/>
            <w:tcBorders>
              <w:bottom w:val="single" w:sz="4" w:space="0" w:color="auto"/>
            </w:tcBorders>
            <w:vAlign w:val="top"/>
          </w:tcPr>
          <w:p w14:paraId="008087D4"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F23920">
              <w:rPr>
                <w:rFonts w:cstheme="minorHAnsi"/>
                <w:szCs w:val="20"/>
              </w:rPr>
              <w:t>No</w:t>
            </w:r>
          </w:p>
        </w:tc>
        <w:tc>
          <w:tcPr>
            <w:tcW w:w="1217" w:type="dxa"/>
            <w:tcBorders>
              <w:bottom w:val="single" w:sz="4" w:space="0" w:color="auto"/>
            </w:tcBorders>
            <w:shd w:val="clear" w:color="auto" w:fill="B0DF9B" w:themeFill="accent4" w:themeFillTint="66"/>
          </w:tcPr>
          <w:p w14:paraId="5DE77FD2"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Yes</w:t>
            </w:r>
          </w:p>
        </w:tc>
        <w:tc>
          <w:tcPr>
            <w:tcW w:w="1093" w:type="dxa"/>
            <w:tcBorders>
              <w:bottom w:val="single" w:sz="4" w:space="0" w:color="auto"/>
            </w:tcBorders>
          </w:tcPr>
          <w:p w14:paraId="151F70C9" w14:textId="6F6D0D35" w:rsidR="006303DC" w:rsidRPr="00E11394" w:rsidRDefault="001D4487"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No</w:t>
            </w:r>
          </w:p>
        </w:tc>
        <w:tc>
          <w:tcPr>
            <w:tcW w:w="1104" w:type="dxa"/>
            <w:tcBorders>
              <w:bottom w:val="single" w:sz="4" w:space="0" w:color="auto"/>
            </w:tcBorders>
          </w:tcPr>
          <w:p w14:paraId="7236979F" w14:textId="042A2853" w:rsidR="006303DC" w:rsidRPr="00E11394" w:rsidRDefault="001D4487"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No</w:t>
            </w:r>
          </w:p>
        </w:tc>
      </w:tr>
      <w:tr w:rsidR="006303DC" w:rsidRPr="00E11394" w14:paraId="65D569A8" w14:textId="77777777" w:rsidTr="00B94692">
        <w:tc>
          <w:tcPr>
            <w:cnfStyle w:val="001000000000" w:firstRow="0" w:lastRow="0" w:firstColumn="1" w:lastColumn="0" w:oddVBand="0" w:evenVBand="0" w:oddHBand="0" w:evenHBand="0" w:firstRowFirstColumn="0" w:firstRowLastColumn="0" w:lastRowFirstColumn="0" w:lastRowLastColumn="0"/>
            <w:tcW w:w="5007" w:type="dxa"/>
            <w:tcBorders>
              <w:right w:val="nil"/>
            </w:tcBorders>
            <w:shd w:val="clear" w:color="auto" w:fill="EEECEA" w:themeFill="background2" w:themeFillTint="33"/>
          </w:tcPr>
          <w:p w14:paraId="124A6AC2" w14:textId="148A736C" w:rsidR="006303DC" w:rsidRPr="00E11394" w:rsidRDefault="006303DC" w:rsidP="00B94692">
            <w:r>
              <w:t xml:space="preserve">3. </w:t>
            </w:r>
            <w:r w:rsidRPr="00E11394">
              <w:t>Publicly Available and Other Dat</w:t>
            </w:r>
            <w:r w:rsidR="008659B3">
              <w:t>a Sources</w:t>
            </w:r>
            <w:r w:rsidRPr="00E11394">
              <w:t>:</w:t>
            </w:r>
          </w:p>
        </w:tc>
        <w:tc>
          <w:tcPr>
            <w:tcW w:w="1084" w:type="dxa"/>
            <w:tcBorders>
              <w:left w:val="nil"/>
              <w:right w:val="nil"/>
            </w:tcBorders>
            <w:shd w:val="clear" w:color="auto" w:fill="EEECEA" w:themeFill="background2" w:themeFillTint="33"/>
          </w:tcPr>
          <w:p w14:paraId="4BEE5943"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73" w:type="dxa"/>
            <w:tcBorders>
              <w:left w:val="nil"/>
              <w:right w:val="nil"/>
            </w:tcBorders>
            <w:shd w:val="clear" w:color="auto" w:fill="EEECEA" w:themeFill="background2" w:themeFillTint="33"/>
          </w:tcPr>
          <w:p w14:paraId="11E32F71"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40" w:type="dxa"/>
            <w:tcBorders>
              <w:left w:val="nil"/>
              <w:right w:val="nil"/>
            </w:tcBorders>
            <w:shd w:val="clear" w:color="auto" w:fill="EEECEA" w:themeFill="background2" w:themeFillTint="33"/>
          </w:tcPr>
          <w:p w14:paraId="539FBC32"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02" w:type="dxa"/>
            <w:tcBorders>
              <w:left w:val="nil"/>
              <w:right w:val="nil"/>
            </w:tcBorders>
            <w:shd w:val="clear" w:color="auto" w:fill="EEECEA" w:themeFill="background2" w:themeFillTint="33"/>
          </w:tcPr>
          <w:p w14:paraId="3203A235"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17" w:type="dxa"/>
            <w:tcBorders>
              <w:left w:val="nil"/>
              <w:right w:val="nil"/>
            </w:tcBorders>
            <w:shd w:val="clear" w:color="auto" w:fill="EEECEA" w:themeFill="background2" w:themeFillTint="33"/>
          </w:tcPr>
          <w:p w14:paraId="50728F23"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93" w:type="dxa"/>
            <w:tcBorders>
              <w:left w:val="nil"/>
              <w:right w:val="nil"/>
            </w:tcBorders>
            <w:shd w:val="clear" w:color="auto" w:fill="EEECEA" w:themeFill="background2" w:themeFillTint="33"/>
          </w:tcPr>
          <w:p w14:paraId="55EA2148"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04" w:type="dxa"/>
            <w:tcBorders>
              <w:left w:val="nil"/>
            </w:tcBorders>
            <w:shd w:val="clear" w:color="auto" w:fill="EEECEA" w:themeFill="background2" w:themeFillTint="33"/>
          </w:tcPr>
          <w:p w14:paraId="120BB2C2"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6303DC" w:rsidRPr="00E11394" w14:paraId="782BC6F4" w14:textId="77777777" w:rsidTr="00B94692">
        <w:tc>
          <w:tcPr>
            <w:cnfStyle w:val="001000000000" w:firstRow="0" w:lastRow="0" w:firstColumn="1" w:lastColumn="0" w:oddVBand="0" w:evenVBand="0" w:oddHBand="0" w:evenHBand="0" w:firstRowFirstColumn="0" w:firstRowLastColumn="0" w:lastRowFirstColumn="0" w:lastRowLastColumn="0"/>
            <w:tcW w:w="5007" w:type="dxa"/>
          </w:tcPr>
          <w:p w14:paraId="4743402D" w14:textId="2A221BD4" w:rsidR="006303DC" w:rsidRPr="00E11394" w:rsidRDefault="00963D8A" w:rsidP="00B94692">
            <w:pPr>
              <w:pStyle w:val="lndent1"/>
            </w:pPr>
            <w:r>
              <w:t>3</w:t>
            </w:r>
            <w:r w:rsidR="00872D37">
              <w:t>a</w:t>
            </w:r>
            <w:r>
              <w:t xml:space="preserve">. </w:t>
            </w:r>
            <w:r w:rsidR="006303DC" w:rsidRPr="00E11394">
              <w:t>M</w:t>
            </w:r>
            <w:r w:rsidR="006303DC">
              <w:t>assachusetts</w:t>
            </w:r>
            <w:r w:rsidR="006303DC" w:rsidRPr="00E11394">
              <w:t xml:space="preserve"> Death Records </w:t>
            </w:r>
          </w:p>
        </w:tc>
        <w:tc>
          <w:tcPr>
            <w:tcW w:w="1084" w:type="dxa"/>
            <w:vAlign w:val="top"/>
          </w:tcPr>
          <w:p w14:paraId="7A01D8A2"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47EAD">
              <w:rPr>
                <w:rFonts w:cstheme="minorHAnsi"/>
                <w:szCs w:val="20"/>
              </w:rPr>
              <w:t>No</w:t>
            </w:r>
          </w:p>
        </w:tc>
        <w:tc>
          <w:tcPr>
            <w:tcW w:w="1373" w:type="dxa"/>
            <w:vAlign w:val="top"/>
          </w:tcPr>
          <w:p w14:paraId="33E0BA56"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547EAD">
              <w:rPr>
                <w:rFonts w:cstheme="minorHAnsi"/>
                <w:szCs w:val="20"/>
              </w:rPr>
              <w:t>No</w:t>
            </w:r>
          </w:p>
        </w:tc>
        <w:tc>
          <w:tcPr>
            <w:tcW w:w="1340" w:type="dxa"/>
            <w:shd w:val="clear" w:color="auto" w:fill="B0DF9B" w:themeFill="accent4" w:themeFillTint="66"/>
          </w:tcPr>
          <w:p w14:paraId="4F5935E8"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Yes</w:t>
            </w:r>
          </w:p>
        </w:tc>
        <w:tc>
          <w:tcPr>
            <w:tcW w:w="1102" w:type="dxa"/>
            <w:vAlign w:val="top"/>
          </w:tcPr>
          <w:p w14:paraId="2C75D5C1"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712B1">
              <w:rPr>
                <w:rFonts w:cstheme="minorHAnsi"/>
                <w:szCs w:val="20"/>
              </w:rPr>
              <w:t>No</w:t>
            </w:r>
          </w:p>
        </w:tc>
        <w:tc>
          <w:tcPr>
            <w:tcW w:w="1217" w:type="dxa"/>
            <w:vAlign w:val="top"/>
          </w:tcPr>
          <w:p w14:paraId="3F962A1A"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712B1">
              <w:rPr>
                <w:rFonts w:cstheme="minorHAnsi"/>
                <w:szCs w:val="20"/>
              </w:rPr>
              <w:t>No</w:t>
            </w:r>
          </w:p>
        </w:tc>
        <w:tc>
          <w:tcPr>
            <w:tcW w:w="1093" w:type="dxa"/>
            <w:vAlign w:val="top"/>
          </w:tcPr>
          <w:p w14:paraId="7ED9EAE1"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712B1">
              <w:rPr>
                <w:rFonts w:cstheme="minorHAnsi"/>
                <w:szCs w:val="20"/>
              </w:rPr>
              <w:t>No</w:t>
            </w:r>
          </w:p>
        </w:tc>
        <w:tc>
          <w:tcPr>
            <w:tcW w:w="1104" w:type="dxa"/>
            <w:vAlign w:val="top"/>
          </w:tcPr>
          <w:p w14:paraId="0914A5DD"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712B1">
              <w:rPr>
                <w:rFonts w:cstheme="minorHAnsi"/>
                <w:szCs w:val="20"/>
              </w:rPr>
              <w:t>No</w:t>
            </w:r>
          </w:p>
        </w:tc>
      </w:tr>
      <w:tr w:rsidR="006303DC" w:rsidRPr="00E11394" w14:paraId="22AE588B" w14:textId="77777777" w:rsidTr="00B94692">
        <w:tc>
          <w:tcPr>
            <w:cnfStyle w:val="001000000000" w:firstRow="0" w:lastRow="0" w:firstColumn="1" w:lastColumn="0" w:oddVBand="0" w:evenVBand="0" w:oddHBand="0" w:evenHBand="0" w:firstRowFirstColumn="0" w:firstRowLastColumn="0" w:lastRowFirstColumn="0" w:lastRowLastColumn="0"/>
            <w:tcW w:w="5007" w:type="dxa"/>
          </w:tcPr>
          <w:p w14:paraId="427C7D45" w14:textId="26D7676A" w:rsidR="006303DC" w:rsidRPr="00E11394" w:rsidRDefault="00963D8A" w:rsidP="00B94692">
            <w:pPr>
              <w:pStyle w:val="lndent1"/>
            </w:pPr>
            <w:r>
              <w:t>3</w:t>
            </w:r>
            <w:r w:rsidR="00872D37">
              <w:t>b</w:t>
            </w:r>
            <w:r>
              <w:t xml:space="preserve">. </w:t>
            </w:r>
            <w:r w:rsidR="006303DC" w:rsidRPr="00E11394">
              <w:t>American Community Survey </w:t>
            </w:r>
          </w:p>
        </w:tc>
        <w:tc>
          <w:tcPr>
            <w:tcW w:w="1084" w:type="dxa"/>
            <w:shd w:val="clear" w:color="auto" w:fill="B0DF9B" w:themeFill="accent4" w:themeFillTint="66"/>
          </w:tcPr>
          <w:p w14:paraId="3CDE9902"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Yes</w:t>
            </w:r>
          </w:p>
        </w:tc>
        <w:tc>
          <w:tcPr>
            <w:tcW w:w="1373" w:type="dxa"/>
            <w:vAlign w:val="top"/>
          </w:tcPr>
          <w:p w14:paraId="42A0AC81"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82AAA">
              <w:rPr>
                <w:rFonts w:cstheme="minorHAnsi"/>
                <w:szCs w:val="20"/>
              </w:rPr>
              <w:t>No</w:t>
            </w:r>
          </w:p>
        </w:tc>
        <w:tc>
          <w:tcPr>
            <w:tcW w:w="1340" w:type="dxa"/>
            <w:vAlign w:val="top"/>
          </w:tcPr>
          <w:p w14:paraId="2906B558"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368F2">
              <w:rPr>
                <w:rFonts w:cstheme="minorHAnsi"/>
                <w:szCs w:val="20"/>
              </w:rPr>
              <w:t>No</w:t>
            </w:r>
          </w:p>
        </w:tc>
        <w:tc>
          <w:tcPr>
            <w:tcW w:w="1102" w:type="dxa"/>
            <w:vAlign w:val="top"/>
          </w:tcPr>
          <w:p w14:paraId="0167BAB4"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02CE0">
              <w:rPr>
                <w:rFonts w:cstheme="minorHAnsi"/>
                <w:szCs w:val="20"/>
              </w:rPr>
              <w:t>No</w:t>
            </w:r>
          </w:p>
        </w:tc>
        <w:tc>
          <w:tcPr>
            <w:tcW w:w="1217" w:type="dxa"/>
            <w:vAlign w:val="top"/>
          </w:tcPr>
          <w:p w14:paraId="037234AE"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02CE0">
              <w:rPr>
                <w:rFonts w:cstheme="minorHAnsi"/>
                <w:szCs w:val="20"/>
              </w:rPr>
              <w:t>No</w:t>
            </w:r>
          </w:p>
        </w:tc>
        <w:tc>
          <w:tcPr>
            <w:tcW w:w="1093" w:type="dxa"/>
            <w:vAlign w:val="top"/>
          </w:tcPr>
          <w:p w14:paraId="4F5BADE9"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02CE0">
              <w:rPr>
                <w:rFonts w:cstheme="minorHAnsi"/>
                <w:szCs w:val="20"/>
              </w:rPr>
              <w:t>No</w:t>
            </w:r>
          </w:p>
        </w:tc>
        <w:tc>
          <w:tcPr>
            <w:tcW w:w="1104" w:type="dxa"/>
            <w:vAlign w:val="top"/>
          </w:tcPr>
          <w:p w14:paraId="0B2B998C"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02CE0">
              <w:rPr>
                <w:rFonts w:cstheme="minorHAnsi"/>
                <w:szCs w:val="20"/>
              </w:rPr>
              <w:t>No</w:t>
            </w:r>
          </w:p>
        </w:tc>
      </w:tr>
      <w:tr w:rsidR="006303DC" w:rsidRPr="00E11394" w14:paraId="445D5036" w14:textId="77777777" w:rsidTr="00B94692">
        <w:tc>
          <w:tcPr>
            <w:cnfStyle w:val="001000000000" w:firstRow="0" w:lastRow="0" w:firstColumn="1" w:lastColumn="0" w:oddVBand="0" w:evenVBand="0" w:oddHBand="0" w:evenHBand="0" w:firstRowFirstColumn="0" w:firstRowLastColumn="0" w:lastRowFirstColumn="0" w:lastRowLastColumn="0"/>
            <w:tcW w:w="5007" w:type="dxa"/>
          </w:tcPr>
          <w:p w14:paraId="15878751" w14:textId="4CE9223A" w:rsidR="006303DC" w:rsidRPr="00E11394" w:rsidRDefault="00963D8A" w:rsidP="00B94692">
            <w:pPr>
              <w:pStyle w:val="lndent1"/>
            </w:pPr>
            <w:r>
              <w:t>3</w:t>
            </w:r>
            <w:r w:rsidR="00872D37">
              <w:t>c</w:t>
            </w:r>
            <w:r>
              <w:t xml:space="preserve">. </w:t>
            </w:r>
            <w:r w:rsidR="006303DC" w:rsidRPr="00E11394">
              <w:t>Uncompensated Care Reports </w:t>
            </w:r>
          </w:p>
        </w:tc>
        <w:tc>
          <w:tcPr>
            <w:tcW w:w="1084" w:type="dxa"/>
          </w:tcPr>
          <w:p w14:paraId="0B5EF875"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No</w:t>
            </w:r>
          </w:p>
        </w:tc>
        <w:tc>
          <w:tcPr>
            <w:tcW w:w="1373" w:type="dxa"/>
            <w:vAlign w:val="top"/>
          </w:tcPr>
          <w:p w14:paraId="556E65A9"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82AAA">
              <w:rPr>
                <w:rFonts w:cstheme="minorHAnsi"/>
                <w:szCs w:val="20"/>
              </w:rPr>
              <w:t>No</w:t>
            </w:r>
          </w:p>
        </w:tc>
        <w:tc>
          <w:tcPr>
            <w:tcW w:w="1340" w:type="dxa"/>
            <w:vAlign w:val="top"/>
          </w:tcPr>
          <w:p w14:paraId="073EF757"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368F2">
              <w:rPr>
                <w:rFonts w:cstheme="minorHAnsi"/>
                <w:szCs w:val="20"/>
              </w:rPr>
              <w:t>No</w:t>
            </w:r>
          </w:p>
        </w:tc>
        <w:tc>
          <w:tcPr>
            <w:tcW w:w="1102" w:type="dxa"/>
            <w:shd w:val="clear" w:color="auto" w:fill="B0DF9B" w:themeFill="accent4" w:themeFillTint="66"/>
            <w:vAlign w:val="top"/>
          </w:tcPr>
          <w:p w14:paraId="15A36A26"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77C47">
              <w:rPr>
                <w:rFonts w:cstheme="minorHAnsi"/>
                <w:szCs w:val="20"/>
              </w:rPr>
              <w:t>Yes</w:t>
            </w:r>
          </w:p>
        </w:tc>
        <w:tc>
          <w:tcPr>
            <w:tcW w:w="1217" w:type="dxa"/>
            <w:vAlign w:val="top"/>
          </w:tcPr>
          <w:p w14:paraId="392BE75B"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472D9">
              <w:rPr>
                <w:rFonts w:cstheme="minorHAnsi"/>
                <w:szCs w:val="20"/>
              </w:rPr>
              <w:t>No</w:t>
            </w:r>
          </w:p>
        </w:tc>
        <w:tc>
          <w:tcPr>
            <w:tcW w:w="1093" w:type="dxa"/>
            <w:vAlign w:val="top"/>
          </w:tcPr>
          <w:p w14:paraId="645766B2"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472D9">
              <w:rPr>
                <w:rFonts w:cstheme="minorHAnsi"/>
                <w:szCs w:val="20"/>
              </w:rPr>
              <w:t>No</w:t>
            </w:r>
          </w:p>
        </w:tc>
        <w:tc>
          <w:tcPr>
            <w:tcW w:w="1104" w:type="dxa"/>
            <w:vAlign w:val="top"/>
          </w:tcPr>
          <w:p w14:paraId="080BB64D"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9472D9">
              <w:rPr>
                <w:rFonts w:cstheme="minorHAnsi"/>
                <w:szCs w:val="20"/>
              </w:rPr>
              <w:t>No</w:t>
            </w:r>
          </w:p>
        </w:tc>
      </w:tr>
      <w:tr w:rsidR="006303DC" w:rsidRPr="00E11394" w14:paraId="21084BE3" w14:textId="77777777" w:rsidTr="00B94692">
        <w:tc>
          <w:tcPr>
            <w:cnfStyle w:val="001000000000" w:firstRow="0" w:lastRow="0" w:firstColumn="1" w:lastColumn="0" w:oddVBand="0" w:evenVBand="0" w:oddHBand="0" w:evenHBand="0" w:firstRowFirstColumn="0" w:firstRowLastColumn="0" w:lastRowFirstColumn="0" w:lastRowLastColumn="0"/>
            <w:tcW w:w="5007" w:type="dxa"/>
          </w:tcPr>
          <w:p w14:paraId="4ADAEFD9" w14:textId="11CCCF7A" w:rsidR="006303DC" w:rsidRPr="00E11394" w:rsidRDefault="00963D8A" w:rsidP="00B94692">
            <w:pPr>
              <w:pStyle w:val="lndent1"/>
            </w:pPr>
            <w:r>
              <w:t>3</w:t>
            </w:r>
            <w:r w:rsidR="00872D37">
              <w:t>d</w:t>
            </w:r>
            <w:r>
              <w:t xml:space="preserve">. </w:t>
            </w:r>
            <w:r w:rsidR="006303DC" w:rsidRPr="00E11394">
              <w:t>Program-Specific Enrollment Data </w:t>
            </w:r>
          </w:p>
        </w:tc>
        <w:tc>
          <w:tcPr>
            <w:tcW w:w="1084" w:type="dxa"/>
            <w:shd w:val="clear" w:color="auto" w:fill="B0DF9B" w:themeFill="accent4" w:themeFillTint="66"/>
          </w:tcPr>
          <w:p w14:paraId="4C303591"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Yes</w:t>
            </w:r>
          </w:p>
        </w:tc>
        <w:tc>
          <w:tcPr>
            <w:tcW w:w="1373" w:type="dxa"/>
            <w:vAlign w:val="top"/>
          </w:tcPr>
          <w:p w14:paraId="7083DE6E"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82AAA">
              <w:rPr>
                <w:rFonts w:cstheme="minorHAnsi"/>
                <w:szCs w:val="20"/>
              </w:rPr>
              <w:t>No</w:t>
            </w:r>
          </w:p>
        </w:tc>
        <w:tc>
          <w:tcPr>
            <w:tcW w:w="1340" w:type="dxa"/>
            <w:shd w:val="clear" w:color="auto" w:fill="B0DF9B" w:themeFill="accent4" w:themeFillTint="66"/>
            <w:vAlign w:val="top"/>
          </w:tcPr>
          <w:p w14:paraId="0DF90B3D"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170A8">
              <w:rPr>
                <w:rFonts w:cstheme="minorHAnsi"/>
                <w:szCs w:val="20"/>
              </w:rPr>
              <w:t>Yes</w:t>
            </w:r>
          </w:p>
        </w:tc>
        <w:tc>
          <w:tcPr>
            <w:tcW w:w="1102" w:type="dxa"/>
            <w:shd w:val="clear" w:color="auto" w:fill="B0DF9B" w:themeFill="accent4" w:themeFillTint="66"/>
            <w:vAlign w:val="top"/>
          </w:tcPr>
          <w:p w14:paraId="2630DE95"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77C47">
              <w:rPr>
                <w:rFonts w:cstheme="minorHAnsi"/>
                <w:szCs w:val="20"/>
              </w:rPr>
              <w:t>Yes</w:t>
            </w:r>
          </w:p>
        </w:tc>
        <w:tc>
          <w:tcPr>
            <w:tcW w:w="1217" w:type="dxa"/>
            <w:shd w:val="clear" w:color="auto" w:fill="B0DF9B" w:themeFill="accent4" w:themeFillTint="66"/>
          </w:tcPr>
          <w:p w14:paraId="3BD7AF2E"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Yes</w:t>
            </w:r>
          </w:p>
        </w:tc>
        <w:tc>
          <w:tcPr>
            <w:tcW w:w="1093" w:type="dxa"/>
            <w:vAlign w:val="top"/>
          </w:tcPr>
          <w:p w14:paraId="5C684243"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72BA">
              <w:rPr>
                <w:rFonts w:cstheme="minorHAnsi"/>
                <w:szCs w:val="20"/>
              </w:rPr>
              <w:t>No</w:t>
            </w:r>
          </w:p>
        </w:tc>
        <w:tc>
          <w:tcPr>
            <w:tcW w:w="1104" w:type="dxa"/>
            <w:vAlign w:val="top"/>
          </w:tcPr>
          <w:p w14:paraId="26C2FA47"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B72BA">
              <w:rPr>
                <w:rFonts w:cstheme="minorHAnsi"/>
                <w:szCs w:val="20"/>
              </w:rPr>
              <w:t>No</w:t>
            </w:r>
          </w:p>
        </w:tc>
      </w:tr>
      <w:tr w:rsidR="006303DC" w:rsidRPr="00E11394" w14:paraId="05C9FCD3" w14:textId="77777777" w:rsidTr="00B94692">
        <w:tc>
          <w:tcPr>
            <w:cnfStyle w:val="001000000000" w:firstRow="0" w:lastRow="0" w:firstColumn="1" w:lastColumn="0" w:oddVBand="0" w:evenVBand="0" w:oddHBand="0" w:evenHBand="0" w:firstRowFirstColumn="0" w:firstRowLastColumn="0" w:lastRowFirstColumn="0" w:lastRowLastColumn="0"/>
            <w:tcW w:w="5007" w:type="dxa"/>
          </w:tcPr>
          <w:p w14:paraId="565411FD" w14:textId="0D7BEF46" w:rsidR="006303DC" w:rsidRPr="00E11394" w:rsidRDefault="00963D8A" w:rsidP="00B94692">
            <w:pPr>
              <w:pStyle w:val="lndent1"/>
            </w:pPr>
            <w:r>
              <w:t>3</w:t>
            </w:r>
            <w:r w:rsidR="00872D37">
              <w:t>e</w:t>
            </w:r>
            <w:r>
              <w:t xml:space="preserve">. </w:t>
            </w:r>
            <w:r w:rsidR="006303DC" w:rsidRPr="00E11394">
              <w:t>National Survey on Drug Use and Health</w:t>
            </w:r>
          </w:p>
        </w:tc>
        <w:tc>
          <w:tcPr>
            <w:tcW w:w="1084" w:type="dxa"/>
            <w:vAlign w:val="top"/>
          </w:tcPr>
          <w:p w14:paraId="7242FE89"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171DF0">
              <w:rPr>
                <w:rFonts w:cstheme="minorHAnsi"/>
                <w:szCs w:val="20"/>
              </w:rPr>
              <w:t>No</w:t>
            </w:r>
          </w:p>
        </w:tc>
        <w:tc>
          <w:tcPr>
            <w:tcW w:w="1373" w:type="dxa"/>
            <w:vAlign w:val="top"/>
          </w:tcPr>
          <w:p w14:paraId="0F2BAFA1"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82AAA">
              <w:rPr>
                <w:rFonts w:cstheme="minorHAnsi"/>
                <w:szCs w:val="20"/>
              </w:rPr>
              <w:t>No</w:t>
            </w:r>
          </w:p>
        </w:tc>
        <w:tc>
          <w:tcPr>
            <w:tcW w:w="1340" w:type="dxa"/>
            <w:shd w:val="clear" w:color="auto" w:fill="B0DF9B" w:themeFill="accent4" w:themeFillTint="66"/>
            <w:vAlign w:val="top"/>
          </w:tcPr>
          <w:p w14:paraId="19FD6FA9"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170A8">
              <w:rPr>
                <w:rFonts w:cstheme="minorHAnsi"/>
                <w:szCs w:val="20"/>
              </w:rPr>
              <w:t>Yes</w:t>
            </w:r>
          </w:p>
        </w:tc>
        <w:tc>
          <w:tcPr>
            <w:tcW w:w="1102" w:type="dxa"/>
            <w:vAlign w:val="top"/>
          </w:tcPr>
          <w:p w14:paraId="2AB15467"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D0DD8">
              <w:rPr>
                <w:rFonts w:cstheme="minorHAnsi"/>
                <w:szCs w:val="20"/>
              </w:rPr>
              <w:t>No</w:t>
            </w:r>
          </w:p>
        </w:tc>
        <w:tc>
          <w:tcPr>
            <w:tcW w:w="1217" w:type="dxa"/>
            <w:vAlign w:val="top"/>
          </w:tcPr>
          <w:p w14:paraId="6FFFBB1F"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D0DD8">
              <w:rPr>
                <w:rFonts w:cstheme="minorHAnsi"/>
                <w:szCs w:val="20"/>
              </w:rPr>
              <w:t>No</w:t>
            </w:r>
          </w:p>
        </w:tc>
        <w:tc>
          <w:tcPr>
            <w:tcW w:w="1093" w:type="dxa"/>
            <w:vAlign w:val="top"/>
          </w:tcPr>
          <w:p w14:paraId="40BA8DF2"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D0DD8">
              <w:rPr>
                <w:rFonts w:cstheme="minorHAnsi"/>
                <w:szCs w:val="20"/>
              </w:rPr>
              <w:t>No</w:t>
            </w:r>
          </w:p>
        </w:tc>
        <w:tc>
          <w:tcPr>
            <w:tcW w:w="1104" w:type="dxa"/>
            <w:vAlign w:val="top"/>
          </w:tcPr>
          <w:p w14:paraId="4FE45627"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D0DD8">
              <w:rPr>
                <w:rFonts w:cstheme="minorHAnsi"/>
                <w:szCs w:val="20"/>
              </w:rPr>
              <w:t>No</w:t>
            </w:r>
          </w:p>
        </w:tc>
      </w:tr>
      <w:tr w:rsidR="006303DC" w:rsidRPr="00E11394" w14:paraId="1FA14AF3" w14:textId="77777777" w:rsidTr="00B94692">
        <w:tc>
          <w:tcPr>
            <w:cnfStyle w:val="001000000000" w:firstRow="0" w:lastRow="0" w:firstColumn="1" w:lastColumn="0" w:oddVBand="0" w:evenVBand="0" w:oddHBand="0" w:evenHBand="0" w:firstRowFirstColumn="0" w:firstRowLastColumn="0" w:lastRowFirstColumn="0" w:lastRowLastColumn="0"/>
            <w:tcW w:w="5007" w:type="dxa"/>
          </w:tcPr>
          <w:p w14:paraId="30F4D849" w14:textId="5F9B191E" w:rsidR="006303DC" w:rsidRPr="00E11394" w:rsidRDefault="00963D8A" w:rsidP="00B94692">
            <w:pPr>
              <w:pStyle w:val="lndent1"/>
            </w:pPr>
            <w:r>
              <w:t>3</w:t>
            </w:r>
            <w:r w:rsidR="00872D37">
              <w:t>f</w:t>
            </w:r>
            <w:r>
              <w:t xml:space="preserve">. </w:t>
            </w:r>
            <w:r w:rsidR="006303DC" w:rsidRPr="00E11394">
              <w:t>Behavioral Risk Factor Surveillance System</w:t>
            </w:r>
          </w:p>
        </w:tc>
        <w:tc>
          <w:tcPr>
            <w:tcW w:w="1084" w:type="dxa"/>
            <w:vAlign w:val="top"/>
          </w:tcPr>
          <w:p w14:paraId="3C1A33C0"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171DF0">
              <w:rPr>
                <w:rFonts w:cstheme="minorHAnsi"/>
                <w:szCs w:val="20"/>
              </w:rPr>
              <w:t>No</w:t>
            </w:r>
          </w:p>
        </w:tc>
        <w:tc>
          <w:tcPr>
            <w:tcW w:w="1373" w:type="dxa"/>
            <w:vAlign w:val="top"/>
          </w:tcPr>
          <w:p w14:paraId="54400E50"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82AAA">
              <w:rPr>
                <w:rFonts w:cstheme="minorHAnsi"/>
                <w:szCs w:val="20"/>
              </w:rPr>
              <w:t>No</w:t>
            </w:r>
          </w:p>
        </w:tc>
        <w:tc>
          <w:tcPr>
            <w:tcW w:w="1340" w:type="dxa"/>
            <w:shd w:val="clear" w:color="auto" w:fill="B0DF9B" w:themeFill="accent4" w:themeFillTint="66"/>
            <w:vAlign w:val="top"/>
          </w:tcPr>
          <w:p w14:paraId="3871EA6E"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170A8">
              <w:rPr>
                <w:rFonts w:cstheme="minorHAnsi"/>
                <w:szCs w:val="20"/>
              </w:rPr>
              <w:t>Yes</w:t>
            </w:r>
          </w:p>
        </w:tc>
        <w:tc>
          <w:tcPr>
            <w:tcW w:w="1102" w:type="dxa"/>
            <w:vAlign w:val="top"/>
          </w:tcPr>
          <w:p w14:paraId="053B4FDD"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D0DD8">
              <w:rPr>
                <w:rFonts w:cstheme="minorHAnsi"/>
                <w:szCs w:val="20"/>
              </w:rPr>
              <w:t>No</w:t>
            </w:r>
          </w:p>
        </w:tc>
        <w:tc>
          <w:tcPr>
            <w:tcW w:w="1217" w:type="dxa"/>
            <w:vAlign w:val="top"/>
          </w:tcPr>
          <w:p w14:paraId="4F7372DA"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D0DD8">
              <w:rPr>
                <w:rFonts w:cstheme="minorHAnsi"/>
                <w:szCs w:val="20"/>
              </w:rPr>
              <w:t>No</w:t>
            </w:r>
          </w:p>
        </w:tc>
        <w:tc>
          <w:tcPr>
            <w:tcW w:w="1093" w:type="dxa"/>
            <w:vAlign w:val="top"/>
          </w:tcPr>
          <w:p w14:paraId="1B09FD6C"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D0DD8">
              <w:rPr>
                <w:rFonts w:cstheme="minorHAnsi"/>
                <w:szCs w:val="20"/>
              </w:rPr>
              <w:t>No</w:t>
            </w:r>
          </w:p>
        </w:tc>
        <w:tc>
          <w:tcPr>
            <w:tcW w:w="1104" w:type="dxa"/>
            <w:vAlign w:val="top"/>
          </w:tcPr>
          <w:p w14:paraId="694BE51C"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D0DD8">
              <w:rPr>
                <w:rFonts w:cstheme="minorHAnsi"/>
                <w:szCs w:val="20"/>
              </w:rPr>
              <w:t>No</w:t>
            </w:r>
          </w:p>
        </w:tc>
      </w:tr>
      <w:tr w:rsidR="006303DC" w:rsidRPr="00E11394" w14:paraId="76267790" w14:textId="77777777" w:rsidTr="00B94692">
        <w:tc>
          <w:tcPr>
            <w:cnfStyle w:val="001000000000" w:firstRow="0" w:lastRow="0" w:firstColumn="1" w:lastColumn="0" w:oddVBand="0" w:evenVBand="0" w:oddHBand="0" w:evenHBand="0" w:firstRowFirstColumn="0" w:firstRowLastColumn="0" w:lastRowFirstColumn="0" w:lastRowLastColumn="0"/>
            <w:tcW w:w="5007" w:type="dxa"/>
          </w:tcPr>
          <w:p w14:paraId="09C515B6" w14:textId="2E41A901" w:rsidR="006303DC" w:rsidRPr="00E11394" w:rsidRDefault="00963D8A" w:rsidP="00B94692">
            <w:pPr>
              <w:pStyle w:val="lndent1"/>
            </w:pPr>
            <w:r>
              <w:t>3</w:t>
            </w:r>
            <w:r w:rsidR="00872D37">
              <w:t>g</w:t>
            </w:r>
            <w:r>
              <w:t xml:space="preserve">. </w:t>
            </w:r>
            <w:r w:rsidR="006303DC" w:rsidRPr="00E11394">
              <w:t>National Mental Health Services Survey</w:t>
            </w:r>
          </w:p>
        </w:tc>
        <w:tc>
          <w:tcPr>
            <w:tcW w:w="1084" w:type="dxa"/>
            <w:vAlign w:val="top"/>
          </w:tcPr>
          <w:p w14:paraId="68DE9AE4"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171DF0">
              <w:rPr>
                <w:rFonts w:cstheme="minorHAnsi"/>
                <w:szCs w:val="20"/>
              </w:rPr>
              <w:t>No</w:t>
            </w:r>
          </w:p>
        </w:tc>
        <w:tc>
          <w:tcPr>
            <w:tcW w:w="1373" w:type="dxa"/>
            <w:vAlign w:val="top"/>
          </w:tcPr>
          <w:p w14:paraId="3EE90A60"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82AAA">
              <w:rPr>
                <w:rFonts w:cstheme="minorHAnsi"/>
                <w:szCs w:val="20"/>
              </w:rPr>
              <w:t>No</w:t>
            </w:r>
          </w:p>
        </w:tc>
        <w:tc>
          <w:tcPr>
            <w:tcW w:w="1340" w:type="dxa"/>
            <w:shd w:val="clear" w:color="auto" w:fill="B0DF9B" w:themeFill="accent4" w:themeFillTint="66"/>
            <w:vAlign w:val="top"/>
          </w:tcPr>
          <w:p w14:paraId="0D3FCDC9"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170A8">
              <w:rPr>
                <w:rFonts w:cstheme="minorHAnsi"/>
                <w:szCs w:val="20"/>
              </w:rPr>
              <w:t>Yes</w:t>
            </w:r>
          </w:p>
        </w:tc>
        <w:tc>
          <w:tcPr>
            <w:tcW w:w="1102" w:type="dxa"/>
            <w:vAlign w:val="top"/>
          </w:tcPr>
          <w:p w14:paraId="63C64161"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D0DD8">
              <w:rPr>
                <w:rFonts w:cstheme="minorHAnsi"/>
                <w:szCs w:val="20"/>
              </w:rPr>
              <w:t>No</w:t>
            </w:r>
          </w:p>
        </w:tc>
        <w:tc>
          <w:tcPr>
            <w:tcW w:w="1217" w:type="dxa"/>
            <w:vAlign w:val="top"/>
          </w:tcPr>
          <w:p w14:paraId="47C70A44"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D0DD8">
              <w:rPr>
                <w:rFonts w:cstheme="minorHAnsi"/>
                <w:szCs w:val="20"/>
              </w:rPr>
              <w:t>No</w:t>
            </w:r>
          </w:p>
        </w:tc>
        <w:tc>
          <w:tcPr>
            <w:tcW w:w="1093" w:type="dxa"/>
            <w:vAlign w:val="top"/>
          </w:tcPr>
          <w:p w14:paraId="39E1BF5A"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D0DD8">
              <w:rPr>
                <w:rFonts w:cstheme="minorHAnsi"/>
                <w:szCs w:val="20"/>
              </w:rPr>
              <w:t>No</w:t>
            </w:r>
          </w:p>
        </w:tc>
        <w:tc>
          <w:tcPr>
            <w:tcW w:w="1104" w:type="dxa"/>
            <w:vAlign w:val="top"/>
          </w:tcPr>
          <w:p w14:paraId="2476A1B6"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D0DD8">
              <w:rPr>
                <w:rFonts w:cstheme="minorHAnsi"/>
                <w:szCs w:val="20"/>
              </w:rPr>
              <w:t>No</w:t>
            </w:r>
          </w:p>
        </w:tc>
      </w:tr>
      <w:tr w:rsidR="006303DC" w:rsidRPr="00E11394" w14:paraId="35174BBE" w14:textId="77777777" w:rsidTr="00B94692">
        <w:tc>
          <w:tcPr>
            <w:cnfStyle w:val="001000000000" w:firstRow="0" w:lastRow="0" w:firstColumn="1" w:lastColumn="0" w:oddVBand="0" w:evenVBand="0" w:oddHBand="0" w:evenHBand="0" w:firstRowFirstColumn="0" w:firstRowLastColumn="0" w:lastRowFirstColumn="0" w:lastRowLastColumn="0"/>
            <w:tcW w:w="5007" w:type="dxa"/>
          </w:tcPr>
          <w:p w14:paraId="3CC5D536" w14:textId="320845D8" w:rsidR="006303DC" w:rsidRPr="00E11394" w:rsidRDefault="00963D8A" w:rsidP="00B94692">
            <w:pPr>
              <w:pStyle w:val="lndent1"/>
            </w:pPr>
            <w:r>
              <w:t>3</w:t>
            </w:r>
            <w:r w:rsidR="00872D37">
              <w:t>h</w:t>
            </w:r>
            <w:r>
              <w:t xml:space="preserve">. </w:t>
            </w:r>
            <w:r w:rsidR="006303DC" w:rsidRPr="00E11394">
              <w:t>National Survey of Substance Abuse Treatment</w:t>
            </w:r>
          </w:p>
        </w:tc>
        <w:tc>
          <w:tcPr>
            <w:tcW w:w="1084" w:type="dxa"/>
            <w:vAlign w:val="top"/>
          </w:tcPr>
          <w:p w14:paraId="0C9142E0"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171DF0">
              <w:rPr>
                <w:rFonts w:cstheme="minorHAnsi"/>
                <w:szCs w:val="20"/>
              </w:rPr>
              <w:t>No</w:t>
            </w:r>
          </w:p>
        </w:tc>
        <w:tc>
          <w:tcPr>
            <w:tcW w:w="1373" w:type="dxa"/>
            <w:vAlign w:val="top"/>
          </w:tcPr>
          <w:p w14:paraId="3BBF3F13"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82AAA">
              <w:rPr>
                <w:rFonts w:cstheme="minorHAnsi"/>
                <w:szCs w:val="20"/>
              </w:rPr>
              <w:t>No</w:t>
            </w:r>
          </w:p>
        </w:tc>
        <w:tc>
          <w:tcPr>
            <w:tcW w:w="1340" w:type="dxa"/>
            <w:shd w:val="clear" w:color="auto" w:fill="B0DF9B" w:themeFill="accent4" w:themeFillTint="66"/>
            <w:vAlign w:val="top"/>
          </w:tcPr>
          <w:p w14:paraId="32E3A27B"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170A8">
              <w:rPr>
                <w:rFonts w:cstheme="minorHAnsi"/>
                <w:szCs w:val="20"/>
              </w:rPr>
              <w:t>Yes</w:t>
            </w:r>
          </w:p>
        </w:tc>
        <w:tc>
          <w:tcPr>
            <w:tcW w:w="1102" w:type="dxa"/>
            <w:vAlign w:val="top"/>
          </w:tcPr>
          <w:p w14:paraId="61DD15B5"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D0DD8">
              <w:rPr>
                <w:rFonts w:cstheme="minorHAnsi"/>
                <w:szCs w:val="20"/>
              </w:rPr>
              <w:t>No</w:t>
            </w:r>
          </w:p>
        </w:tc>
        <w:tc>
          <w:tcPr>
            <w:tcW w:w="1217" w:type="dxa"/>
            <w:vAlign w:val="top"/>
          </w:tcPr>
          <w:p w14:paraId="7996B677"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D0DD8">
              <w:rPr>
                <w:rFonts w:cstheme="minorHAnsi"/>
                <w:szCs w:val="20"/>
              </w:rPr>
              <w:t>No</w:t>
            </w:r>
          </w:p>
        </w:tc>
        <w:tc>
          <w:tcPr>
            <w:tcW w:w="1093" w:type="dxa"/>
            <w:vAlign w:val="top"/>
          </w:tcPr>
          <w:p w14:paraId="25E2DAC9"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D0DD8">
              <w:rPr>
                <w:rFonts w:cstheme="minorHAnsi"/>
                <w:szCs w:val="20"/>
              </w:rPr>
              <w:t>No</w:t>
            </w:r>
          </w:p>
        </w:tc>
        <w:tc>
          <w:tcPr>
            <w:tcW w:w="1104" w:type="dxa"/>
            <w:vAlign w:val="top"/>
          </w:tcPr>
          <w:p w14:paraId="0AF005B3"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D0DD8">
              <w:rPr>
                <w:rFonts w:cstheme="minorHAnsi"/>
                <w:szCs w:val="20"/>
              </w:rPr>
              <w:t>No</w:t>
            </w:r>
          </w:p>
        </w:tc>
      </w:tr>
      <w:tr w:rsidR="006303DC" w:rsidRPr="00E11394" w14:paraId="4BA3ECD2" w14:textId="77777777" w:rsidTr="00B94692">
        <w:tc>
          <w:tcPr>
            <w:cnfStyle w:val="001000000000" w:firstRow="0" w:lastRow="0" w:firstColumn="1" w:lastColumn="0" w:oddVBand="0" w:evenVBand="0" w:oddHBand="0" w:evenHBand="0" w:firstRowFirstColumn="0" w:firstRowLastColumn="0" w:lastRowFirstColumn="0" w:lastRowLastColumn="0"/>
            <w:tcW w:w="5007" w:type="dxa"/>
            <w:tcBorders>
              <w:bottom w:val="single" w:sz="4" w:space="0" w:color="auto"/>
            </w:tcBorders>
          </w:tcPr>
          <w:p w14:paraId="59C175D7" w14:textId="6F38368C" w:rsidR="006303DC" w:rsidRPr="00E11394" w:rsidRDefault="00963D8A" w:rsidP="00B94692">
            <w:pPr>
              <w:pStyle w:val="lndent1"/>
            </w:pPr>
            <w:r>
              <w:t>3</w:t>
            </w:r>
            <w:r w:rsidR="00872D37">
              <w:t>i</w:t>
            </w:r>
            <w:r>
              <w:t xml:space="preserve">. </w:t>
            </w:r>
            <w:r w:rsidR="006303DC" w:rsidRPr="00E11394">
              <w:t>Opioid Overdose Data </w:t>
            </w:r>
          </w:p>
        </w:tc>
        <w:tc>
          <w:tcPr>
            <w:tcW w:w="1084" w:type="dxa"/>
            <w:tcBorders>
              <w:bottom w:val="single" w:sz="4" w:space="0" w:color="auto"/>
            </w:tcBorders>
            <w:vAlign w:val="top"/>
          </w:tcPr>
          <w:p w14:paraId="6DD28D53"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171DF0">
              <w:rPr>
                <w:rFonts w:cstheme="minorHAnsi"/>
                <w:szCs w:val="20"/>
              </w:rPr>
              <w:t>No</w:t>
            </w:r>
          </w:p>
        </w:tc>
        <w:tc>
          <w:tcPr>
            <w:tcW w:w="1373" w:type="dxa"/>
            <w:tcBorders>
              <w:bottom w:val="single" w:sz="4" w:space="0" w:color="auto"/>
            </w:tcBorders>
            <w:vAlign w:val="top"/>
          </w:tcPr>
          <w:p w14:paraId="41848949"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82AAA">
              <w:rPr>
                <w:rFonts w:cstheme="minorHAnsi"/>
                <w:szCs w:val="20"/>
              </w:rPr>
              <w:t>No</w:t>
            </w:r>
          </w:p>
        </w:tc>
        <w:tc>
          <w:tcPr>
            <w:tcW w:w="1340" w:type="dxa"/>
            <w:tcBorders>
              <w:bottom w:val="single" w:sz="4" w:space="0" w:color="auto"/>
            </w:tcBorders>
            <w:shd w:val="clear" w:color="auto" w:fill="B0DF9B" w:themeFill="accent4" w:themeFillTint="66"/>
            <w:vAlign w:val="top"/>
          </w:tcPr>
          <w:p w14:paraId="14939129"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C170A8">
              <w:rPr>
                <w:rFonts w:cstheme="minorHAnsi"/>
                <w:szCs w:val="20"/>
              </w:rPr>
              <w:t>Yes</w:t>
            </w:r>
          </w:p>
        </w:tc>
        <w:tc>
          <w:tcPr>
            <w:tcW w:w="1102" w:type="dxa"/>
            <w:tcBorders>
              <w:bottom w:val="single" w:sz="4" w:space="0" w:color="auto"/>
            </w:tcBorders>
            <w:vAlign w:val="top"/>
          </w:tcPr>
          <w:p w14:paraId="7C348AFD"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D0DD8">
              <w:rPr>
                <w:rFonts w:cstheme="minorHAnsi"/>
                <w:szCs w:val="20"/>
              </w:rPr>
              <w:t>No</w:t>
            </w:r>
          </w:p>
        </w:tc>
        <w:tc>
          <w:tcPr>
            <w:tcW w:w="1217" w:type="dxa"/>
            <w:tcBorders>
              <w:bottom w:val="single" w:sz="4" w:space="0" w:color="auto"/>
            </w:tcBorders>
            <w:vAlign w:val="top"/>
          </w:tcPr>
          <w:p w14:paraId="06C4F57D"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D0DD8">
              <w:rPr>
                <w:rFonts w:cstheme="minorHAnsi"/>
                <w:szCs w:val="20"/>
              </w:rPr>
              <w:t>No</w:t>
            </w:r>
          </w:p>
        </w:tc>
        <w:tc>
          <w:tcPr>
            <w:tcW w:w="1093" w:type="dxa"/>
            <w:tcBorders>
              <w:bottom w:val="single" w:sz="4" w:space="0" w:color="auto"/>
            </w:tcBorders>
            <w:vAlign w:val="top"/>
          </w:tcPr>
          <w:p w14:paraId="4D0A6D56"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D0DD8">
              <w:rPr>
                <w:rFonts w:cstheme="minorHAnsi"/>
                <w:szCs w:val="20"/>
              </w:rPr>
              <w:t>No</w:t>
            </w:r>
          </w:p>
        </w:tc>
        <w:tc>
          <w:tcPr>
            <w:tcW w:w="1104" w:type="dxa"/>
            <w:tcBorders>
              <w:bottom w:val="single" w:sz="4" w:space="0" w:color="auto"/>
            </w:tcBorders>
            <w:vAlign w:val="top"/>
          </w:tcPr>
          <w:p w14:paraId="24116D89"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D0DD8">
              <w:rPr>
                <w:rFonts w:cstheme="minorHAnsi"/>
                <w:szCs w:val="20"/>
              </w:rPr>
              <w:t>No</w:t>
            </w:r>
          </w:p>
        </w:tc>
      </w:tr>
      <w:tr w:rsidR="006303DC" w:rsidRPr="00E11394" w14:paraId="305632BE" w14:textId="77777777" w:rsidTr="005D6CB4">
        <w:trPr>
          <w:trHeight w:val="184"/>
        </w:trPr>
        <w:tc>
          <w:tcPr>
            <w:cnfStyle w:val="001000000000" w:firstRow="0" w:lastRow="0" w:firstColumn="1" w:lastColumn="0" w:oddVBand="0" w:evenVBand="0" w:oddHBand="0" w:evenHBand="0" w:firstRowFirstColumn="0" w:firstRowLastColumn="0" w:lastRowFirstColumn="0" w:lastRowLastColumn="0"/>
            <w:tcW w:w="5007" w:type="dxa"/>
            <w:tcBorders>
              <w:right w:val="nil"/>
            </w:tcBorders>
            <w:shd w:val="clear" w:color="auto" w:fill="EEECEA" w:themeFill="background2" w:themeFillTint="33"/>
          </w:tcPr>
          <w:p w14:paraId="6AC11C23" w14:textId="3BB073FB" w:rsidR="006303DC" w:rsidRPr="00E11394" w:rsidRDefault="006303DC" w:rsidP="00B94692">
            <w:r>
              <w:t xml:space="preserve">4. </w:t>
            </w:r>
            <w:r w:rsidRPr="00E11394">
              <w:t>Qualitative Data</w:t>
            </w:r>
            <w:r w:rsidR="008659B3">
              <w:t xml:space="preserve"> Sources</w:t>
            </w:r>
            <w:r w:rsidRPr="00E11394">
              <w:t>:</w:t>
            </w:r>
          </w:p>
        </w:tc>
        <w:tc>
          <w:tcPr>
            <w:tcW w:w="1084" w:type="dxa"/>
            <w:tcBorders>
              <w:left w:val="nil"/>
              <w:right w:val="nil"/>
            </w:tcBorders>
            <w:shd w:val="clear" w:color="auto" w:fill="EEECEA" w:themeFill="background2" w:themeFillTint="33"/>
          </w:tcPr>
          <w:p w14:paraId="0D61617B"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73" w:type="dxa"/>
            <w:tcBorders>
              <w:left w:val="nil"/>
              <w:right w:val="nil"/>
            </w:tcBorders>
            <w:shd w:val="clear" w:color="auto" w:fill="EEECEA" w:themeFill="background2" w:themeFillTint="33"/>
          </w:tcPr>
          <w:p w14:paraId="6BE55B56"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40" w:type="dxa"/>
            <w:tcBorders>
              <w:left w:val="nil"/>
              <w:right w:val="nil"/>
            </w:tcBorders>
            <w:shd w:val="clear" w:color="auto" w:fill="EEECEA" w:themeFill="background2" w:themeFillTint="33"/>
          </w:tcPr>
          <w:p w14:paraId="58EDE029"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02" w:type="dxa"/>
            <w:tcBorders>
              <w:left w:val="nil"/>
              <w:right w:val="nil"/>
            </w:tcBorders>
            <w:shd w:val="clear" w:color="auto" w:fill="EEECEA" w:themeFill="background2" w:themeFillTint="33"/>
          </w:tcPr>
          <w:p w14:paraId="38BD70B8"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17" w:type="dxa"/>
            <w:tcBorders>
              <w:left w:val="nil"/>
              <w:right w:val="nil"/>
            </w:tcBorders>
            <w:shd w:val="clear" w:color="auto" w:fill="EEECEA" w:themeFill="background2" w:themeFillTint="33"/>
          </w:tcPr>
          <w:p w14:paraId="569A04EE"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93" w:type="dxa"/>
            <w:tcBorders>
              <w:left w:val="nil"/>
              <w:right w:val="nil"/>
            </w:tcBorders>
            <w:shd w:val="clear" w:color="auto" w:fill="EEECEA" w:themeFill="background2" w:themeFillTint="33"/>
          </w:tcPr>
          <w:p w14:paraId="6DBC003D"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04" w:type="dxa"/>
            <w:tcBorders>
              <w:left w:val="nil"/>
            </w:tcBorders>
            <w:shd w:val="clear" w:color="auto" w:fill="EEECEA" w:themeFill="background2" w:themeFillTint="33"/>
          </w:tcPr>
          <w:p w14:paraId="606225EF"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6303DC" w:rsidRPr="00E11394" w14:paraId="1A51CC2C" w14:textId="77777777" w:rsidTr="00B94692">
        <w:tc>
          <w:tcPr>
            <w:cnfStyle w:val="001000000000" w:firstRow="0" w:lastRow="0" w:firstColumn="1" w:lastColumn="0" w:oddVBand="0" w:evenVBand="0" w:oddHBand="0" w:evenHBand="0" w:firstRowFirstColumn="0" w:firstRowLastColumn="0" w:lastRowFirstColumn="0" w:lastRowLastColumn="0"/>
            <w:tcW w:w="5007" w:type="dxa"/>
          </w:tcPr>
          <w:p w14:paraId="75E57298" w14:textId="6BCB2487" w:rsidR="006303DC" w:rsidRPr="00E11394" w:rsidRDefault="003A6CD9" w:rsidP="003A6CD9">
            <w:pPr>
              <w:pStyle w:val="lndent1"/>
            </w:pPr>
            <w:r>
              <w:t>4</w:t>
            </w:r>
            <w:r w:rsidR="00872D37">
              <w:t>a</w:t>
            </w:r>
            <w:r w:rsidR="00963D8A">
              <w:t>.</w:t>
            </w:r>
            <w:r>
              <w:t xml:space="preserve"> </w:t>
            </w:r>
            <w:r w:rsidR="006303DC" w:rsidRPr="00E11394">
              <w:t xml:space="preserve">Document </w:t>
            </w:r>
            <w:r w:rsidR="006303DC">
              <w:t>R</w:t>
            </w:r>
            <w:r w:rsidR="006303DC" w:rsidRPr="00E11394">
              <w:t>eview </w:t>
            </w:r>
          </w:p>
        </w:tc>
        <w:tc>
          <w:tcPr>
            <w:tcW w:w="1084" w:type="dxa"/>
            <w:shd w:val="clear" w:color="auto" w:fill="B0DF9B" w:themeFill="accent4" w:themeFillTint="66"/>
            <w:vAlign w:val="top"/>
          </w:tcPr>
          <w:p w14:paraId="7E6A2DAC"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E5CC9">
              <w:rPr>
                <w:rFonts w:cstheme="minorHAnsi"/>
                <w:szCs w:val="20"/>
              </w:rPr>
              <w:t>Yes</w:t>
            </w:r>
          </w:p>
        </w:tc>
        <w:tc>
          <w:tcPr>
            <w:tcW w:w="1373" w:type="dxa"/>
            <w:shd w:val="clear" w:color="auto" w:fill="B0DF9B" w:themeFill="accent4" w:themeFillTint="66"/>
            <w:vAlign w:val="top"/>
          </w:tcPr>
          <w:p w14:paraId="4A671472"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E5CC9">
              <w:rPr>
                <w:rFonts w:cstheme="minorHAnsi"/>
                <w:szCs w:val="20"/>
              </w:rPr>
              <w:t>Yes</w:t>
            </w:r>
          </w:p>
        </w:tc>
        <w:tc>
          <w:tcPr>
            <w:tcW w:w="1340" w:type="dxa"/>
            <w:shd w:val="clear" w:color="auto" w:fill="B0DF9B" w:themeFill="accent4" w:themeFillTint="66"/>
            <w:vAlign w:val="top"/>
          </w:tcPr>
          <w:p w14:paraId="6F884815"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E5CC9">
              <w:rPr>
                <w:rFonts w:cstheme="minorHAnsi"/>
                <w:szCs w:val="20"/>
              </w:rPr>
              <w:t>Yes</w:t>
            </w:r>
          </w:p>
        </w:tc>
        <w:tc>
          <w:tcPr>
            <w:tcW w:w="1102" w:type="dxa"/>
            <w:shd w:val="clear" w:color="auto" w:fill="B0DF9B" w:themeFill="accent4" w:themeFillTint="66"/>
            <w:vAlign w:val="top"/>
          </w:tcPr>
          <w:p w14:paraId="5A423255"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E5CC9">
              <w:rPr>
                <w:rFonts w:cstheme="minorHAnsi"/>
                <w:szCs w:val="20"/>
              </w:rPr>
              <w:t>Yes</w:t>
            </w:r>
          </w:p>
        </w:tc>
        <w:tc>
          <w:tcPr>
            <w:tcW w:w="1217" w:type="dxa"/>
            <w:shd w:val="clear" w:color="auto" w:fill="B0DF9B" w:themeFill="accent4" w:themeFillTint="66"/>
            <w:vAlign w:val="top"/>
          </w:tcPr>
          <w:p w14:paraId="3891C584"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E5CC9">
              <w:rPr>
                <w:rFonts w:cstheme="minorHAnsi"/>
                <w:szCs w:val="20"/>
              </w:rPr>
              <w:t>Yes</w:t>
            </w:r>
          </w:p>
        </w:tc>
        <w:tc>
          <w:tcPr>
            <w:tcW w:w="1093" w:type="dxa"/>
            <w:shd w:val="clear" w:color="auto" w:fill="B0DF9B" w:themeFill="accent4" w:themeFillTint="66"/>
            <w:vAlign w:val="top"/>
          </w:tcPr>
          <w:p w14:paraId="4B531C3D"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E5CC9">
              <w:rPr>
                <w:rFonts w:cstheme="minorHAnsi"/>
                <w:szCs w:val="20"/>
              </w:rPr>
              <w:t>Yes</w:t>
            </w:r>
          </w:p>
        </w:tc>
        <w:tc>
          <w:tcPr>
            <w:tcW w:w="1104" w:type="dxa"/>
            <w:shd w:val="clear" w:color="auto" w:fill="B0DF9B" w:themeFill="accent4" w:themeFillTint="66"/>
            <w:vAlign w:val="top"/>
          </w:tcPr>
          <w:p w14:paraId="4E6F2E58"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E5CC9">
              <w:rPr>
                <w:rFonts w:cstheme="minorHAnsi"/>
                <w:szCs w:val="20"/>
              </w:rPr>
              <w:t>Yes</w:t>
            </w:r>
          </w:p>
        </w:tc>
      </w:tr>
      <w:tr w:rsidR="006303DC" w:rsidRPr="00E11394" w14:paraId="5EBBAF31" w14:textId="77777777" w:rsidTr="00B94692">
        <w:tc>
          <w:tcPr>
            <w:cnfStyle w:val="001000000000" w:firstRow="0" w:lastRow="0" w:firstColumn="1" w:lastColumn="0" w:oddVBand="0" w:evenVBand="0" w:oddHBand="0" w:evenHBand="0" w:firstRowFirstColumn="0" w:firstRowLastColumn="0" w:lastRowFirstColumn="0" w:lastRowLastColumn="0"/>
            <w:tcW w:w="5007" w:type="dxa"/>
          </w:tcPr>
          <w:p w14:paraId="4F128488" w14:textId="555341CB" w:rsidR="006303DC" w:rsidRPr="00E11394" w:rsidRDefault="003A6CD9" w:rsidP="00963D8A">
            <w:pPr>
              <w:pStyle w:val="lndent1"/>
              <w:ind w:left="677" w:hanging="317"/>
            </w:pPr>
            <w:r>
              <w:t>4</w:t>
            </w:r>
            <w:r w:rsidR="00872D37">
              <w:t>b</w:t>
            </w:r>
            <w:r>
              <w:t xml:space="preserve">. </w:t>
            </w:r>
            <w:r w:rsidR="006303DC" w:rsidRPr="00E11394">
              <w:t xml:space="preserve">Key Informant Interviews, Focus Groups, or </w:t>
            </w:r>
            <w:r w:rsidR="00963D8A">
              <w:br/>
            </w:r>
            <w:r w:rsidR="006303DC" w:rsidRPr="00E11394">
              <w:t>Case Studies</w:t>
            </w:r>
          </w:p>
        </w:tc>
        <w:tc>
          <w:tcPr>
            <w:tcW w:w="1084" w:type="dxa"/>
            <w:shd w:val="clear" w:color="auto" w:fill="B0DF9B" w:themeFill="accent4" w:themeFillTint="66"/>
            <w:vAlign w:val="top"/>
          </w:tcPr>
          <w:p w14:paraId="1473395D"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E5CC9">
              <w:rPr>
                <w:rFonts w:cstheme="minorHAnsi"/>
                <w:szCs w:val="20"/>
              </w:rPr>
              <w:t>Yes</w:t>
            </w:r>
          </w:p>
        </w:tc>
        <w:tc>
          <w:tcPr>
            <w:tcW w:w="1373" w:type="dxa"/>
            <w:shd w:val="clear" w:color="auto" w:fill="B0DF9B" w:themeFill="accent4" w:themeFillTint="66"/>
            <w:vAlign w:val="top"/>
          </w:tcPr>
          <w:p w14:paraId="236C641A"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E5CC9">
              <w:rPr>
                <w:rFonts w:cstheme="minorHAnsi"/>
                <w:szCs w:val="20"/>
              </w:rPr>
              <w:t>Yes</w:t>
            </w:r>
          </w:p>
        </w:tc>
        <w:tc>
          <w:tcPr>
            <w:tcW w:w="1340" w:type="dxa"/>
            <w:shd w:val="clear" w:color="auto" w:fill="B0DF9B" w:themeFill="accent4" w:themeFillTint="66"/>
            <w:vAlign w:val="top"/>
          </w:tcPr>
          <w:p w14:paraId="1048FF95"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E5CC9">
              <w:rPr>
                <w:rFonts w:cstheme="minorHAnsi"/>
                <w:szCs w:val="20"/>
              </w:rPr>
              <w:t>Yes</w:t>
            </w:r>
          </w:p>
        </w:tc>
        <w:tc>
          <w:tcPr>
            <w:tcW w:w="1102" w:type="dxa"/>
            <w:shd w:val="clear" w:color="auto" w:fill="B0DF9B" w:themeFill="accent4" w:themeFillTint="66"/>
            <w:vAlign w:val="top"/>
          </w:tcPr>
          <w:p w14:paraId="5B81AB34"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E5CC9">
              <w:rPr>
                <w:rFonts w:cstheme="minorHAnsi"/>
                <w:szCs w:val="20"/>
              </w:rPr>
              <w:t>Yes</w:t>
            </w:r>
          </w:p>
        </w:tc>
        <w:tc>
          <w:tcPr>
            <w:tcW w:w="1217" w:type="dxa"/>
            <w:shd w:val="clear" w:color="auto" w:fill="B0DF9B" w:themeFill="accent4" w:themeFillTint="66"/>
            <w:vAlign w:val="top"/>
          </w:tcPr>
          <w:p w14:paraId="1891CCF3"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E5CC9">
              <w:rPr>
                <w:rFonts w:cstheme="minorHAnsi"/>
                <w:szCs w:val="20"/>
              </w:rPr>
              <w:t>Yes</w:t>
            </w:r>
          </w:p>
        </w:tc>
        <w:tc>
          <w:tcPr>
            <w:tcW w:w="1093" w:type="dxa"/>
            <w:shd w:val="clear" w:color="auto" w:fill="B0DF9B" w:themeFill="accent4" w:themeFillTint="66"/>
            <w:vAlign w:val="top"/>
          </w:tcPr>
          <w:p w14:paraId="2C703EB3"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E5CC9">
              <w:rPr>
                <w:rFonts w:cstheme="minorHAnsi"/>
                <w:szCs w:val="20"/>
              </w:rPr>
              <w:t>Yes</w:t>
            </w:r>
          </w:p>
        </w:tc>
        <w:tc>
          <w:tcPr>
            <w:tcW w:w="1104" w:type="dxa"/>
            <w:shd w:val="clear" w:color="auto" w:fill="B0DF9B" w:themeFill="accent4" w:themeFillTint="66"/>
            <w:vAlign w:val="top"/>
          </w:tcPr>
          <w:p w14:paraId="69222A3F"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E5CC9">
              <w:rPr>
                <w:rFonts w:cstheme="minorHAnsi"/>
                <w:szCs w:val="20"/>
              </w:rPr>
              <w:t>Yes</w:t>
            </w:r>
          </w:p>
        </w:tc>
      </w:tr>
      <w:tr w:rsidR="006303DC" w:rsidRPr="00E11394" w14:paraId="32D8801A" w14:textId="77777777" w:rsidTr="00B94692">
        <w:tc>
          <w:tcPr>
            <w:cnfStyle w:val="001000000000" w:firstRow="0" w:lastRow="0" w:firstColumn="1" w:lastColumn="0" w:oddVBand="0" w:evenVBand="0" w:oddHBand="0" w:evenHBand="0" w:firstRowFirstColumn="0" w:firstRowLastColumn="0" w:lastRowFirstColumn="0" w:lastRowLastColumn="0"/>
            <w:tcW w:w="5007" w:type="dxa"/>
          </w:tcPr>
          <w:p w14:paraId="7547A29D" w14:textId="534A9F45" w:rsidR="006303DC" w:rsidRPr="00106E34" w:rsidRDefault="00963D8A" w:rsidP="00963D8A">
            <w:pPr>
              <w:pStyle w:val="lndent1"/>
              <w:ind w:left="1177" w:hanging="450"/>
            </w:pPr>
            <w:r>
              <w:lastRenderedPageBreak/>
              <w:t>4</w:t>
            </w:r>
            <w:r w:rsidR="00872D37">
              <w:t>b-1</w:t>
            </w:r>
            <w:r>
              <w:t xml:space="preserve">. </w:t>
            </w:r>
            <w:r w:rsidR="006303DC" w:rsidRPr="00E11394">
              <w:t>Representatives of Participating Entities</w:t>
            </w:r>
            <w:r w:rsidR="006303DC">
              <w:t xml:space="preserve">: </w:t>
            </w:r>
            <w:r>
              <w:br/>
            </w:r>
            <w:r w:rsidR="006303DC" w:rsidRPr="00106E34">
              <w:t>Entities include Accountable Care Organizations, Community Partners, Practice Sites, Hospitals, and Social Services Organizations – See</w:t>
            </w:r>
            <w:r w:rsidR="006303DC" w:rsidRPr="00963D8A">
              <w:t xml:space="preserve"> </w:t>
            </w:r>
            <w:hyperlink w:anchor="Key_Informant_Interviews" w:history="1">
              <w:r w:rsidR="006303DC" w:rsidRPr="00963D8A">
                <w:rPr>
                  <w:rStyle w:val="Hyperlink"/>
                  <w:rFonts w:ascii="Arial Narrow" w:hAnsi="Arial Narrow"/>
                </w:rPr>
                <w:t xml:space="preserve">Section 1.4.3 KI Interviews </w:t>
              </w:r>
            </w:hyperlink>
          </w:p>
        </w:tc>
        <w:tc>
          <w:tcPr>
            <w:tcW w:w="1084" w:type="dxa"/>
            <w:shd w:val="clear" w:color="auto" w:fill="auto"/>
          </w:tcPr>
          <w:p w14:paraId="58366881"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No</w:t>
            </w:r>
          </w:p>
        </w:tc>
        <w:tc>
          <w:tcPr>
            <w:tcW w:w="1373" w:type="dxa"/>
            <w:shd w:val="clear" w:color="auto" w:fill="B0DF9B" w:themeFill="accent4" w:themeFillTint="66"/>
            <w:vAlign w:val="top"/>
          </w:tcPr>
          <w:p w14:paraId="3A54064A"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076AE">
              <w:rPr>
                <w:rFonts w:cstheme="minorHAnsi"/>
                <w:szCs w:val="20"/>
              </w:rPr>
              <w:t>Yes</w:t>
            </w:r>
          </w:p>
        </w:tc>
        <w:tc>
          <w:tcPr>
            <w:tcW w:w="1340" w:type="dxa"/>
            <w:shd w:val="clear" w:color="auto" w:fill="B0DF9B" w:themeFill="accent4" w:themeFillTint="66"/>
            <w:vAlign w:val="top"/>
          </w:tcPr>
          <w:p w14:paraId="44820E2A"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076AE">
              <w:rPr>
                <w:rFonts w:cstheme="minorHAnsi"/>
                <w:szCs w:val="20"/>
              </w:rPr>
              <w:t>Yes</w:t>
            </w:r>
          </w:p>
        </w:tc>
        <w:tc>
          <w:tcPr>
            <w:tcW w:w="1102" w:type="dxa"/>
            <w:shd w:val="clear" w:color="auto" w:fill="B0DF9B" w:themeFill="accent4" w:themeFillTint="66"/>
            <w:vAlign w:val="top"/>
          </w:tcPr>
          <w:p w14:paraId="4C662D76"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076AE">
              <w:rPr>
                <w:rFonts w:cstheme="minorHAnsi"/>
                <w:szCs w:val="20"/>
              </w:rPr>
              <w:t>Yes</w:t>
            </w:r>
          </w:p>
        </w:tc>
        <w:tc>
          <w:tcPr>
            <w:tcW w:w="1217" w:type="dxa"/>
            <w:shd w:val="clear" w:color="auto" w:fill="B0DF9B" w:themeFill="accent4" w:themeFillTint="66"/>
            <w:vAlign w:val="top"/>
          </w:tcPr>
          <w:p w14:paraId="06EAD74C"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076AE">
              <w:rPr>
                <w:rFonts w:cstheme="minorHAnsi"/>
                <w:szCs w:val="20"/>
              </w:rPr>
              <w:t>Yes</w:t>
            </w:r>
          </w:p>
        </w:tc>
        <w:tc>
          <w:tcPr>
            <w:tcW w:w="1093" w:type="dxa"/>
            <w:shd w:val="clear" w:color="auto" w:fill="B0DF9B" w:themeFill="accent4" w:themeFillTint="66"/>
            <w:vAlign w:val="top"/>
          </w:tcPr>
          <w:p w14:paraId="7A522066"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076AE">
              <w:rPr>
                <w:rFonts w:cstheme="minorHAnsi"/>
                <w:szCs w:val="20"/>
              </w:rPr>
              <w:t>Yes</w:t>
            </w:r>
          </w:p>
        </w:tc>
        <w:tc>
          <w:tcPr>
            <w:tcW w:w="1104" w:type="dxa"/>
            <w:shd w:val="clear" w:color="auto" w:fill="B0DF9B" w:themeFill="accent4" w:themeFillTint="66"/>
            <w:vAlign w:val="top"/>
          </w:tcPr>
          <w:p w14:paraId="3BB1E62F"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076AE">
              <w:rPr>
                <w:rFonts w:cstheme="minorHAnsi"/>
                <w:szCs w:val="20"/>
              </w:rPr>
              <w:t>Yes</w:t>
            </w:r>
          </w:p>
        </w:tc>
      </w:tr>
      <w:tr w:rsidR="006303DC" w:rsidRPr="00E11394" w14:paraId="66B3F49B" w14:textId="77777777" w:rsidTr="00B94692">
        <w:tc>
          <w:tcPr>
            <w:cnfStyle w:val="001000000000" w:firstRow="0" w:lastRow="0" w:firstColumn="1" w:lastColumn="0" w:oddVBand="0" w:evenVBand="0" w:oddHBand="0" w:evenHBand="0" w:firstRowFirstColumn="0" w:firstRowLastColumn="0" w:lastRowFirstColumn="0" w:lastRowLastColumn="0"/>
            <w:tcW w:w="5007" w:type="dxa"/>
          </w:tcPr>
          <w:p w14:paraId="36B735EB" w14:textId="5837E5DB" w:rsidR="006303DC" w:rsidRPr="00E11394" w:rsidRDefault="00963D8A" w:rsidP="00B94692">
            <w:pPr>
              <w:pStyle w:val="lndent1"/>
              <w:ind w:left="714"/>
            </w:pPr>
            <w:r>
              <w:t>4</w:t>
            </w:r>
            <w:r w:rsidR="00872D37">
              <w:t>b-2</w:t>
            </w:r>
            <w:r>
              <w:t xml:space="preserve">. </w:t>
            </w:r>
            <w:r w:rsidR="006303DC" w:rsidRPr="00E11394">
              <w:t>State Staff </w:t>
            </w:r>
          </w:p>
        </w:tc>
        <w:tc>
          <w:tcPr>
            <w:tcW w:w="1084" w:type="dxa"/>
            <w:shd w:val="clear" w:color="auto" w:fill="B0DF9B" w:themeFill="accent4" w:themeFillTint="66"/>
          </w:tcPr>
          <w:p w14:paraId="2D9C555C"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Yes</w:t>
            </w:r>
          </w:p>
        </w:tc>
        <w:tc>
          <w:tcPr>
            <w:tcW w:w="1373" w:type="dxa"/>
            <w:shd w:val="clear" w:color="auto" w:fill="B0DF9B" w:themeFill="accent4" w:themeFillTint="66"/>
            <w:vAlign w:val="top"/>
          </w:tcPr>
          <w:p w14:paraId="61836DDB"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076AE">
              <w:rPr>
                <w:rFonts w:cstheme="minorHAnsi"/>
                <w:szCs w:val="20"/>
              </w:rPr>
              <w:t>Yes</w:t>
            </w:r>
          </w:p>
        </w:tc>
        <w:tc>
          <w:tcPr>
            <w:tcW w:w="1340" w:type="dxa"/>
            <w:shd w:val="clear" w:color="auto" w:fill="B0DF9B" w:themeFill="accent4" w:themeFillTint="66"/>
            <w:vAlign w:val="top"/>
          </w:tcPr>
          <w:p w14:paraId="0A1A56AF"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076AE">
              <w:rPr>
                <w:rFonts w:cstheme="minorHAnsi"/>
                <w:szCs w:val="20"/>
              </w:rPr>
              <w:t>Yes</w:t>
            </w:r>
          </w:p>
        </w:tc>
        <w:tc>
          <w:tcPr>
            <w:tcW w:w="1102" w:type="dxa"/>
            <w:shd w:val="clear" w:color="auto" w:fill="B0DF9B" w:themeFill="accent4" w:themeFillTint="66"/>
            <w:vAlign w:val="top"/>
          </w:tcPr>
          <w:p w14:paraId="2F7C2F2C"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076AE">
              <w:rPr>
                <w:rFonts w:cstheme="minorHAnsi"/>
                <w:szCs w:val="20"/>
              </w:rPr>
              <w:t>Yes</w:t>
            </w:r>
          </w:p>
        </w:tc>
        <w:tc>
          <w:tcPr>
            <w:tcW w:w="1217" w:type="dxa"/>
            <w:shd w:val="clear" w:color="auto" w:fill="B0DF9B" w:themeFill="accent4" w:themeFillTint="66"/>
            <w:vAlign w:val="top"/>
          </w:tcPr>
          <w:p w14:paraId="4A2A7C48"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076AE">
              <w:rPr>
                <w:rFonts w:cstheme="minorHAnsi"/>
                <w:szCs w:val="20"/>
              </w:rPr>
              <w:t>Yes</w:t>
            </w:r>
          </w:p>
        </w:tc>
        <w:tc>
          <w:tcPr>
            <w:tcW w:w="1093" w:type="dxa"/>
            <w:shd w:val="clear" w:color="auto" w:fill="B0DF9B" w:themeFill="accent4" w:themeFillTint="66"/>
            <w:vAlign w:val="top"/>
          </w:tcPr>
          <w:p w14:paraId="5AEEB311"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076AE">
              <w:rPr>
                <w:rFonts w:cstheme="minorHAnsi"/>
                <w:szCs w:val="20"/>
              </w:rPr>
              <w:t>Yes</w:t>
            </w:r>
          </w:p>
        </w:tc>
        <w:tc>
          <w:tcPr>
            <w:tcW w:w="1104" w:type="dxa"/>
            <w:shd w:val="clear" w:color="auto" w:fill="B0DF9B" w:themeFill="accent4" w:themeFillTint="66"/>
            <w:vAlign w:val="top"/>
          </w:tcPr>
          <w:p w14:paraId="12587602"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076AE">
              <w:rPr>
                <w:rFonts w:cstheme="minorHAnsi"/>
                <w:szCs w:val="20"/>
              </w:rPr>
              <w:t>Yes</w:t>
            </w:r>
          </w:p>
        </w:tc>
      </w:tr>
      <w:tr w:rsidR="006303DC" w:rsidRPr="00E11394" w14:paraId="48D76616" w14:textId="77777777" w:rsidTr="00B94692">
        <w:tc>
          <w:tcPr>
            <w:cnfStyle w:val="001000000000" w:firstRow="0" w:lastRow="0" w:firstColumn="1" w:lastColumn="0" w:oddVBand="0" w:evenVBand="0" w:oddHBand="0" w:evenHBand="0" w:firstRowFirstColumn="0" w:firstRowLastColumn="0" w:lastRowFirstColumn="0" w:lastRowLastColumn="0"/>
            <w:tcW w:w="5007" w:type="dxa"/>
            <w:tcBorders>
              <w:bottom w:val="single" w:sz="4" w:space="0" w:color="auto"/>
            </w:tcBorders>
          </w:tcPr>
          <w:p w14:paraId="20BBBBE5" w14:textId="42F45FAF" w:rsidR="006303DC" w:rsidRPr="00E11394" w:rsidRDefault="00963D8A" w:rsidP="00B94692">
            <w:pPr>
              <w:pStyle w:val="lndent1"/>
              <w:ind w:left="714"/>
            </w:pPr>
            <w:r>
              <w:t>4</w:t>
            </w:r>
            <w:r w:rsidR="00872D37">
              <w:t>b-3</w:t>
            </w:r>
            <w:r>
              <w:t xml:space="preserve">. </w:t>
            </w:r>
            <w:r w:rsidR="006303DC" w:rsidRPr="00E11394">
              <w:t>MassHealth Members </w:t>
            </w:r>
          </w:p>
        </w:tc>
        <w:tc>
          <w:tcPr>
            <w:tcW w:w="1084" w:type="dxa"/>
            <w:tcBorders>
              <w:bottom w:val="single" w:sz="4" w:space="0" w:color="auto"/>
            </w:tcBorders>
            <w:shd w:val="clear" w:color="auto" w:fill="B0DF9B" w:themeFill="accent4" w:themeFillTint="66"/>
            <w:vAlign w:val="top"/>
          </w:tcPr>
          <w:p w14:paraId="5D241502"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05DC3">
              <w:rPr>
                <w:rFonts w:cstheme="minorHAnsi"/>
                <w:szCs w:val="20"/>
              </w:rPr>
              <w:t>Yes</w:t>
            </w:r>
          </w:p>
        </w:tc>
        <w:tc>
          <w:tcPr>
            <w:tcW w:w="1373" w:type="dxa"/>
            <w:tcBorders>
              <w:bottom w:val="single" w:sz="4" w:space="0" w:color="auto"/>
            </w:tcBorders>
            <w:shd w:val="clear" w:color="auto" w:fill="B0DF9B" w:themeFill="accent4" w:themeFillTint="66"/>
            <w:vAlign w:val="top"/>
          </w:tcPr>
          <w:p w14:paraId="4C46DF3E"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05DC3">
              <w:rPr>
                <w:rFonts w:cstheme="minorHAnsi"/>
                <w:szCs w:val="20"/>
              </w:rPr>
              <w:t>Yes</w:t>
            </w:r>
          </w:p>
        </w:tc>
        <w:tc>
          <w:tcPr>
            <w:tcW w:w="1340" w:type="dxa"/>
            <w:tcBorders>
              <w:bottom w:val="single" w:sz="4" w:space="0" w:color="auto"/>
            </w:tcBorders>
            <w:shd w:val="clear" w:color="auto" w:fill="B0DF9B" w:themeFill="accent4" w:themeFillTint="66"/>
            <w:vAlign w:val="top"/>
          </w:tcPr>
          <w:p w14:paraId="55EF2E7B"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05DC3">
              <w:rPr>
                <w:rFonts w:cstheme="minorHAnsi"/>
                <w:szCs w:val="20"/>
              </w:rPr>
              <w:t>Yes</w:t>
            </w:r>
          </w:p>
        </w:tc>
        <w:tc>
          <w:tcPr>
            <w:tcW w:w="1102" w:type="dxa"/>
            <w:tcBorders>
              <w:bottom w:val="single" w:sz="4" w:space="0" w:color="auto"/>
            </w:tcBorders>
            <w:shd w:val="clear" w:color="auto" w:fill="B0DF9B" w:themeFill="accent4" w:themeFillTint="66"/>
            <w:vAlign w:val="top"/>
          </w:tcPr>
          <w:p w14:paraId="53D7002C"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05DC3">
              <w:rPr>
                <w:rFonts w:cstheme="minorHAnsi"/>
                <w:szCs w:val="20"/>
              </w:rPr>
              <w:t>Yes</w:t>
            </w:r>
          </w:p>
        </w:tc>
        <w:tc>
          <w:tcPr>
            <w:tcW w:w="1217" w:type="dxa"/>
            <w:tcBorders>
              <w:bottom w:val="single" w:sz="4" w:space="0" w:color="auto"/>
            </w:tcBorders>
            <w:shd w:val="clear" w:color="auto" w:fill="B0DF9B" w:themeFill="accent4" w:themeFillTint="66"/>
            <w:vAlign w:val="top"/>
          </w:tcPr>
          <w:p w14:paraId="7A2E6981"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05DC3">
              <w:rPr>
                <w:rFonts w:cstheme="minorHAnsi"/>
                <w:szCs w:val="20"/>
              </w:rPr>
              <w:t>Yes</w:t>
            </w:r>
          </w:p>
        </w:tc>
        <w:tc>
          <w:tcPr>
            <w:tcW w:w="1093" w:type="dxa"/>
            <w:tcBorders>
              <w:bottom w:val="single" w:sz="4" w:space="0" w:color="auto"/>
            </w:tcBorders>
            <w:shd w:val="clear" w:color="auto" w:fill="B0DF9B" w:themeFill="accent4" w:themeFillTint="66"/>
            <w:vAlign w:val="top"/>
          </w:tcPr>
          <w:p w14:paraId="61926BAD"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05DC3">
              <w:rPr>
                <w:rFonts w:cstheme="minorHAnsi"/>
                <w:szCs w:val="20"/>
              </w:rPr>
              <w:t>Yes</w:t>
            </w:r>
          </w:p>
        </w:tc>
        <w:tc>
          <w:tcPr>
            <w:tcW w:w="1104" w:type="dxa"/>
            <w:tcBorders>
              <w:bottom w:val="single" w:sz="4" w:space="0" w:color="auto"/>
            </w:tcBorders>
            <w:shd w:val="clear" w:color="auto" w:fill="B0DF9B" w:themeFill="accent4" w:themeFillTint="66"/>
            <w:vAlign w:val="top"/>
          </w:tcPr>
          <w:p w14:paraId="4939C8C1"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05DC3">
              <w:rPr>
                <w:rFonts w:cstheme="minorHAnsi"/>
                <w:szCs w:val="20"/>
              </w:rPr>
              <w:t>Yes</w:t>
            </w:r>
          </w:p>
        </w:tc>
      </w:tr>
      <w:tr w:rsidR="006303DC" w:rsidRPr="00E11394" w14:paraId="77ED06E5" w14:textId="77777777" w:rsidTr="00B94692">
        <w:tc>
          <w:tcPr>
            <w:cnfStyle w:val="001000000000" w:firstRow="0" w:lastRow="0" w:firstColumn="1" w:lastColumn="0" w:oddVBand="0" w:evenVBand="0" w:oddHBand="0" w:evenHBand="0" w:firstRowFirstColumn="0" w:firstRowLastColumn="0" w:lastRowFirstColumn="0" w:lastRowLastColumn="0"/>
            <w:tcW w:w="5007" w:type="dxa"/>
            <w:tcBorders>
              <w:right w:val="nil"/>
            </w:tcBorders>
            <w:shd w:val="clear" w:color="auto" w:fill="EEECEA" w:themeFill="background2" w:themeFillTint="33"/>
          </w:tcPr>
          <w:p w14:paraId="0A7428E5" w14:textId="79E1AA9E" w:rsidR="006303DC" w:rsidRPr="00E11394" w:rsidRDefault="006303DC" w:rsidP="00B94692">
            <w:r>
              <w:t xml:space="preserve">5. </w:t>
            </w:r>
            <w:r w:rsidRPr="00E11394">
              <w:t>Survey Data</w:t>
            </w:r>
            <w:r w:rsidR="008659B3">
              <w:t xml:space="preserve"> Sources</w:t>
            </w:r>
            <w:r w:rsidRPr="00E11394">
              <w:t>:</w:t>
            </w:r>
          </w:p>
        </w:tc>
        <w:tc>
          <w:tcPr>
            <w:tcW w:w="1084" w:type="dxa"/>
            <w:tcBorders>
              <w:left w:val="nil"/>
              <w:right w:val="nil"/>
            </w:tcBorders>
            <w:shd w:val="clear" w:color="auto" w:fill="EEECEA" w:themeFill="background2" w:themeFillTint="33"/>
          </w:tcPr>
          <w:p w14:paraId="255196EF"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73" w:type="dxa"/>
            <w:tcBorders>
              <w:left w:val="nil"/>
              <w:right w:val="nil"/>
            </w:tcBorders>
            <w:shd w:val="clear" w:color="auto" w:fill="EEECEA" w:themeFill="background2" w:themeFillTint="33"/>
          </w:tcPr>
          <w:p w14:paraId="46181C13"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40" w:type="dxa"/>
            <w:tcBorders>
              <w:left w:val="nil"/>
              <w:right w:val="nil"/>
            </w:tcBorders>
            <w:shd w:val="clear" w:color="auto" w:fill="EEECEA" w:themeFill="background2" w:themeFillTint="33"/>
          </w:tcPr>
          <w:p w14:paraId="25F9E929"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02" w:type="dxa"/>
            <w:tcBorders>
              <w:left w:val="nil"/>
              <w:right w:val="nil"/>
            </w:tcBorders>
            <w:shd w:val="clear" w:color="auto" w:fill="EEECEA" w:themeFill="background2" w:themeFillTint="33"/>
          </w:tcPr>
          <w:p w14:paraId="7F727EB7"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17" w:type="dxa"/>
            <w:tcBorders>
              <w:left w:val="nil"/>
              <w:right w:val="nil"/>
            </w:tcBorders>
            <w:shd w:val="clear" w:color="auto" w:fill="EEECEA" w:themeFill="background2" w:themeFillTint="33"/>
          </w:tcPr>
          <w:p w14:paraId="667434DB"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93" w:type="dxa"/>
            <w:tcBorders>
              <w:left w:val="nil"/>
              <w:right w:val="nil"/>
            </w:tcBorders>
            <w:shd w:val="clear" w:color="auto" w:fill="EEECEA" w:themeFill="background2" w:themeFillTint="33"/>
          </w:tcPr>
          <w:p w14:paraId="131C9180"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04" w:type="dxa"/>
            <w:tcBorders>
              <w:left w:val="nil"/>
            </w:tcBorders>
            <w:shd w:val="clear" w:color="auto" w:fill="EEECEA" w:themeFill="background2" w:themeFillTint="33"/>
          </w:tcPr>
          <w:p w14:paraId="4A068A1B"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6303DC" w:rsidRPr="00E11394" w14:paraId="07B80DDF" w14:textId="77777777" w:rsidTr="00B94692">
        <w:tc>
          <w:tcPr>
            <w:cnfStyle w:val="001000000000" w:firstRow="0" w:lastRow="0" w:firstColumn="1" w:lastColumn="0" w:oddVBand="0" w:evenVBand="0" w:oddHBand="0" w:evenHBand="0" w:firstRowFirstColumn="0" w:firstRowLastColumn="0" w:lastRowFirstColumn="0" w:lastRowLastColumn="0"/>
            <w:tcW w:w="5007" w:type="dxa"/>
          </w:tcPr>
          <w:p w14:paraId="5B2E7E45" w14:textId="73042F40" w:rsidR="006303DC" w:rsidRPr="00E11394" w:rsidRDefault="00963D8A" w:rsidP="00963D8A">
            <w:pPr>
              <w:pStyle w:val="lndent1"/>
              <w:ind w:left="677" w:hanging="317"/>
            </w:pPr>
            <w:r>
              <w:t>5</w:t>
            </w:r>
            <w:r w:rsidR="00872D37">
              <w:t>a</w:t>
            </w:r>
            <w:r>
              <w:t xml:space="preserve">. </w:t>
            </w:r>
            <w:r w:rsidR="006303DC" w:rsidRPr="00E11394">
              <w:t xml:space="preserve">Accountable Care Organization Provider &amp; </w:t>
            </w:r>
            <w:r>
              <w:br/>
            </w:r>
            <w:r w:rsidR="006303DC" w:rsidRPr="00E11394">
              <w:t>Community Partner Staff Survey</w:t>
            </w:r>
          </w:p>
        </w:tc>
        <w:tc>
          <w:tcPr>
            <w:tcW w:w="1084" w:type="dxa"/>
            <w:vAlign w:val="top"/>
          </w:tcPr>
          <w:p w14:paraId="21AEF94E"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B0A8A">
              <w:rPr>
                <w:rFonts w:cstheme="minorHAnsi"/>
                <w:szCs w:val="20"/>
              </w:rPr>
              <w:t>No</w:t>
            </w:r>
          </w:p>
        </w:tc>
        <w:tc>
          <w:tcPr>
            <w:tcW w:w="1373" w:type="dxa"/>
            <w:shd w:val="clear" w:color="auto" w:fill="B0DF9B" w:themeFill="accent4" w:themeFillTint="66"/>
            <w:vAlign w:val="top"/>
          </w:tcPr>
          <w:p w14:paraId="509EEFD0"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97EDE">
              <w:rPr>
                <w:rFonts w:cstheme="minorHAnsi"/>
                <w:szCs w:val="20"/>
              </w:rPr>
              <w:t>Yes</w:t>
            </w:r>
          </w:p>
        </w:tc>
        <w:tc>
          <w:tcPr>
            <w:tcW w:w="1340" w:type="dxa"/>
            <w:vAlign w:val="top"/>
          </w:tcPr>
          <w:p w14:paraId="7C62ED87"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A5391">
              <w:rPr>
                <w:rFonts w:cstheme="minorHAnsi"/>
                <w:szCs w:val="20"/>
              </w:rPr>
              <w:t>No</w:t>
            </w:r>
          </w:p>
        </w:tc>
        <w:tc>
          <w:tcPr>
            <w:tcW w:w="1102" w:type="dxa"/>
            <w:vAlign w:val="top"/>
          </w:tcPr>
          <w:p w14:paraId="7A3F549E"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A5391">
              <w:rPr>
                <w:rFonts w:cstheme="minorHAnsi"/>
                <w:szCs w:val="20"/>
              </w:rPr>
              <w:t>No</w:t>
            </w:r>
          </w:p>
        </w:tc>
        <w:tc>
          <w:tcPr>
            <w:tcW w:w="1217" w:type="dxa"/>
            <w:vAlign w:val="top"/>
          </w:tcPr>
          <w:p w14:paraId="6A9E25E9"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A5391">
              <w:rPr>
                <w:rFonts w:cstheme="minorHAnsi"/>
                <w:szCs w:val="20"/>
              </w:rPr>
              <w:t>No</w:t>
            </w:r>
          </w:p>
        </w:tc>
        <w:tc>
          <w:tcPr>
            <w:tcW w:w="1093" w:type="dxa"/>
            <w:vAlign w:val="top"/>
          </w:tcPr>
          <w:p w14:paraId="502146DE"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A5391">
              <w:rPr>
                <w:rFonts w:cstheme="minorHAnsi"/>
                <w:szCs w:val="20"/>
              </w:rPr>
              <w:t>No</w:t>
            </w:r>
          </w:p>
        </w:tc>
        <w:tc>
          <w:tcPr>
            <w:tcW w:w="1104" w:type="dxa"/>
            <w:vAlign w:val="top"/>
          </w:tcPr>
          <w:p w14:paraId="27A889B8"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A5391">
              <w:rPr>
                <w:rFonts w:cstheme="minorHAnsi"/>
                <w:szCs w:val="20"/>
              </w:rPr>
              <w:t>No</w:t>
            </w:r>
          </w:p>
        </w:tc>
      </w:tr>
      <w:tr w:rsidR="006303DC" w:rsidRPr="00E11394" w14:paraId="49B839B1" w14:textId="77777777" w:rsidTr="00B94692">
        <w:tc>
          <w:tcPr>
            <w:cnfStyle w:val="001000000000" w:firstRow="0" w:lastRow="0" w:firstColumn="1" w:lastColumn="0" w:oddVBand="0" w:evenVBand="0" w:oddHBand="0" w:evenHBand="0" w:firstRowFirstColumn="0" w:firstRowLastColumn="0" w:lastRowFirstColumn="0" w:lastRowLastColumn="0"/>
            <w:tcW w:w="5007" w:type="dxa"/>
          </w:tcPr>
          <w:p w14:paraId="3AF8D611" w14:textId="12DEF0AC" w:rsidR="006303DC" w:rsidRPr="00E11394" w:rsidRDefault="00963D8A" w:rsidP="00B94692">
            <w:pPr>
              <w:pStyle w:val="lndent1"/>
            </w:pPr>
            <w:r>
              <w:t>5</w:t>
            </w:r>
            <w:r w:rsidR="00872D37">
              <w:t>b</w:t>
            </w:r>
            <w:r>
              <w:t xml:space="preserve">. </w:t>
            </w:r>
            <w:r w:rsidR="006303DC" w:rsidRPr="00E11394">
              <w:t xml:space="preserve">Practice </w:t>
            </w:r>
            <w:r w:rsidR="006303DC">
              <w:t>S</w:t>
            </w:r>
            <w:r w:rsidR="006303DC" w:rsidRPr="00E11394">
              <w:t>ite Administer Survey</w:t>
            </w:r>
          </w:p>
        </w:tc>
        <w:tc>
          <w:tcPr>
            <w:tcW w:w="1084" w:type="dxa"/>
            <w:vAlign w:val="top"/>
          </w:tcPr>
          <w:p w14:paraId="77390A89"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B0A8A">
              <w:rPr>
                <w:rFonts w:cstheme="minorHAnsi"/>
                <w:szCs w:val="20"/>
              </w:rPr>
              <w:t>No</w:t>
            </w:r>
          </w:p>
        </w:tc>
        <w:tc>
          <w:tcPr>
            <w:tcW w:w="1373" w:type="dxa"/>
            <w:shd w:val="clear" w:color="auto" w:fill="B0DF9B" w:themeFill="accent4" w:themeFillTint="66"/>
            <w:vAlign w:val="top"/>
          </w:tcPr>
          <w:p w14:paraId="62562B18"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97EDE">
              <w:rPr>
                <w:rFonts w:cstheme="minorHAnsi"/>
                <w:szCs w:val="20"/>
              </w:rPr>
              <w:t>Yes</w:t>
            </w:r>
          </w:p>
        </w:tc>
        <w:tc>
          <w:tcPr>
            <w:tcW w:w="1340" w:type="dxa"/>
            <w:vAlign w:val="top"/>
          </w:tcPr>
          <w:p w14:paraId="1EC02557"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A5391">
              <w:rPr>
                <w:rFonts w:cstheme="minorHAnsi"/>
                <w:szCs w:val="20"/>
              </w:rPr>
              <w:t>No</w:t>
            </w:r>
          </w:p>
        </w:tc>
        <w:tc>
          <w:tcPr>
            <w:tcW w:w="1102" w:type="dxa"/>
            <w:vAlign w:val="top"/>
          </w:tcPr>
          <w:p w14:paraId="4C654A7B"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A5391">
              <w:rPr>
                <w:rFonts w:cstheme="minorHAnsi"/>
                <w:szCs w:val="20"/>
              </w:rPr>
              <w:t>No</w:t>
            </w:r>
          </w:p>
        </w:tc>
        <w:tc>
          <w:tcPr>
            <w:tcW w:w="1217" w:type="dxa"/>
            <w:vAlign w:val="top"/>
          </w:tcPr>
          <w:p w14:paraId="64E71C49"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A5391">
              <w:rPr>
                <w:rFonts w:cstheme="minorHAnsi"/>
                <w:szCs w:val="20"/>
              </w:rPr>
              <w:t>No</w:t>
            </w:r>
          </w:p>
        </w:tc>
        <w:tc>
          <w:tcPr>
            <w:tcW w:w="1093" w:type="dxa"/>
            <w:vAlign w:val="top"/>
          </w:tcPr>
          <w:p w14:paraId="113500ED"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A5391">
              <w:rPr>
                <w:rFonts w:cstheme="minorHAnsi"/>
                <w:szCs w:val="20"/>
              </w:rPr>
              <w:t>No</w:t>
            </w:r>
          </w:p>
        </w:tc>
        <w:tc>
          <w:tcPr>
            <w:tcW w:w="1104" w:type="dxa"/>
            <w:vAlign w:val="top"/>
          </w:tcPr>
          <w:p w14:paraId="397146DC"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A5391">
              <w:rPr>
                <w:rFonts w:cstheme="minorHAnsi"/>
                <w:szCs w:val="20"/>
              </w:rPr>
              <w:t>No</w:t>
            </w:r>
          </w:p>
        </w:tc>
      </w:tr>
      <w:tr w:rsidR="006303DC" w:rsidRPr="00E11394" w14:paraId="3852DC96" w14:textId="77777777" w:rsidTr="00B94692">
        <w:tc>
          <w:tcPr>
            <w:cnfStyle w:val="001000000000" w:firstRow="0" w:lastRow="0" w:firstColumn="1" w:lastColumn="0" w:oddVBand="0" w:evenVBand="0" w:oddHBand="0" w:evenHBand="0" w:firstRowFirstColumn="0" w:firstRowLastColumn="0" w:lastRowFirstColumn="0" w:lastRowLastColumn="0"/>
            <w:tcW w:w="5007" w:type="dxa"/>
          </w:tcPr>
          <w:p w14:paraId="3B8A17FD" w14:textId="4FC2BEEA" w:rsidR="006303DC" w:rsidRPr="00E11394" w:rsidRDefault="00963D8A" w:rsidP="00B94692">
            <w:pPr>
              <w:pStyle w:val="lndent1"/>
            </w:pPr>
            <w:r>
              <w:t>5</w:t>
            </w:r>
            <w:r w:rsidR="00872D37">
              <w:t>c</w:t>
            </w:r>
            <w:r>
              <w:t xml:space="preserve">. </w:t>
            </w:r>
            <w:r w:rsidR="006303DC" w:rsidRPr="00E11394">
              <w:t>Member Surveys </w:t>
            </w:r>
          </w:p>
        </w:tc>
        <w:tc>
          <w:tcPr>
            <w:tcW w:w="1084" w:type="dxa"/>
            <w:vAlign w:val="top"/>
          </w:tcPr>
          <w:p w14:paraId="3BC712D6"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B0A8A">
              <w:rPr>
                <w:rFonts w:cstheme="minorHAnsi"/>
                <w:szCs w:val="20"/>
              </w:rPr>
              <w:t>No</w:t>
            </w:r>
          </w:p>
        </w:tc>
        <w:tc>
          <w:tcPr>
            <w:tcW w:w="1373" w:type="dxa"/>
            <w:shd w:val="clear" w:color="auto" w:fill="B0DF9B" w:themeFill="accent4" w:themeFillTint="66"/>
            <w:vAlign w:val="top"/>
          </w:tcPr>
          <w:p w14:paraId="5F2A71FC"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97EDE">
              <w:rPr>
                <w:rFonts w:cstheme="minorHAnsi"/>
                <w:szCs w:val="20"/>
              </w:rPr>
              <w:t>Yes</w:t>
            </w:r>
          </w:p>
        </w:tc>
        <w:tc>
          <w:tcPr>
            <w:tcW w:w="1340" w:type="dxa"/>
            <w:shd w:val="clear" w:color="auto" w:fill="B0DF9B" w:themeFill="accent4" w:themeFillTint="66"/>
            <w:vAlign w:val="top"/>
          </w:tcPr>
          <w:p w14:paraId="7A63AD01"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B3772">
              <w:rPr>
                <w:rFonts w:cstheme="minorHAnsi"/>
                <w:szCs w:val="20"/>
              </w:rPr>
              <w:t>Yes</w:t>
            </w:r>
          </w:p>
        </w:tc>
        <w:tc>
          <w:tcPr>
            <w:tcW w:w="1102" w:type="dxa"/>
            <w:shd w:val="clear" w:color="auto" w:fill="B0DF9B" w:themeFill="accent4" w:themeFillTint="66"/>
            <w:vAlign w:val="top"/>
          </w:tcPr>
          <w:p w14:paraId="5CF1051C"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Yes</w:t>
            </w:r>
          </w:p>
        </w:tc>
        <w:tc>
          <w:tcPr>
            <w:tcW w:w="1217" w:type="dxa"/>
            <w:vAlign w:val="top"/>
          </w:tcPr>
          <w:p w14:paraId="255DE5DB"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No</w:t>
            </w:r>
          </w:p>
        </w:tc>
        <w:tc>
          <w:tcPr>
            <w:tcW w:w="1093" w:type="dxa"/>
            <w:shd w:val="clear" w:color="auto" w:fill="B0DF9B" w:themeFill="accent4" w:themeFillTint="66"/>
            <w:vAlign w:val="top"/>
          </w:tcPr>
          <w:p w14:paraId="1E47BE81"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306DD">
              <w:rPr>
                <w:rFonts w:cstheme="minorHAnsi"/>
                <w:szCs w:val="20"/>
              </w:rPr>
              <w:t>Yes</w:t>
            </w:r>
          </w:p>
        </w:tc>
        <w:tc>
          <w:tcPr>
            <w:tcW w:w="1104" w:type="dxa"/>
            <w:shd w:val="clear" w:color="auto" w:fill="B0DF9B" w:themeFill="accent4" w:themeFillTint="66"/>
            <w:vAlign w:val="top"/>
          </w:tcPr>
          <w:p w14:paraId="41641A54"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7306DD">
              <w:rPr>
                <w:rFonts w:cstheme="minorHAnsi"/>
                <w:szCs w:val="20"/>
              </w:rPr>
              <w:t>Yes</w:t>
            </w:r>
          </w:p>
        </w:tc>
      </w:tr>
      <w:tr w:rsidR="006303DC" w:rsidRPr="00E11394" w14:paraId="6055B2B4" w14:textId="77777777" w:rsidTr="00B94692">
        <w:tc>
          <w:tcPr>
            <w:cnfStyle w:val="001000000000" w:firstRow="0" w:lastRow="0" w:firstColumn="1" w:lastColumn="0" w:oddVBand="0" w:evenVBand="0" w:oddHBand="0" w:evenHBand="0" w:firstRowFirstColumn="0" w:firstRowLastColumn="0" w:lastRowFirstColumn="0" w:lastRowLastColumn="0"/>
            <w:tcW w:w="5007" w:type="dxa"/>
            <w:tcBorders>
              <w:bottom w:val="single" w:sz="4" w:space="0" w:color="auto"/>
            </w:tcBorders>
          </w:tcPr>
          <w:p w14:paraId="5DE538B0" w14:textId="35B17E06" w:rsidR="006303DC" w:rsidRPr="00E11394" w:rsidRDefault="00963D8A" w:rsidP="00B94692">
            <w:pPr>
              <w:pStyle w:val="lndent1"/>
            </w:pPr>
            <w:r>
              <w:t>5</w:t>
            </w:r>
            <w:r w:rsidR="00872D37">
              <w:t>d</w:t>
            </w:r>
            <w:r>
              <w:t xml:space="preserve">. </w:t>
            </w:r>
            <w:r w:rsidR="006303DC" w:rsidRPr="00E11394">
              <w:t>Workforce Survey </w:t>
            </w:r>
          </w:p>
        </w:tc>
        <w:tc>
          <w:tcPr>
            <w:tcW w:w="1084" w:type="dxa"/>
            <w:tcBorders>
              <w:bottom w:val="single" w:sz="4" w:space="0" w:color="auto"/>
            </w:tcBorders>
            <w:vAlign w:val="top"/>
          </w:tcPr>
          <w:p w14:paraId="3DBC9BBE"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B0A8A">
              <w:rPr>
                <w:rFonts w:cstheme="minorHAnsi"/>
                <w:szCs w:val="20"/>
              </w:rPr>
              <w:t>No</w:t>
            </w:r>
          </w:p>
        </w:tc>
        <w:tc>
          <w:tcPr>
            <w:tcW w:w="1373" w:type="dxa"/>
            <w:tcBorders>
              <w:bottom w:val="single" w:sz="4" w:space="0" w:color="auto"/>
            </w:tcBorders>
            <w:shd w:val="clear" w:color="auto" w:fill="B0DF9B" w:themeFill="accent4" w:themeFillTint="66"/>
            <w:vAlign w:val="top"/>
          </w:tcPr>
          <w:p w14:paraId="07AF9FC5"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97EDE">
              <w:rPr>
                <w:rFonts w:cstheme="minorHAnsi"/>
                <w:szCs w:val="20"/>
              </w:rPr>
              <w:t>Yes</w:t>
            </w:r>
          </w:p>
        </w:tc>
        <w:tc>
          <w:tcPr>
            <w:tcW w:w="1340" w:type="dxa"/>
            <w:tcBorders>
              <w:bottom w:val="single" w:sz="4" w:space="0" w:color="auto"/>
            </w:tcBorders>
            <w:shd w:val="clear" w:color="auto" w:fill="B0DF9B" w:themeFill="accent4" w:themeFillTint="66"/>
            <w:vAlign w:val="top"/>
          </w:tcPr>
          <w:p w14:paraId="7790F093"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B3772">
              <w:rPr>
                <w:rFonts w:cstheme="minorHAnsi"/>
                <w:szCs w:val="20"/>
              </w:rPr>
              <w:t>Yes</w:t>
            </w:r>
          </w:p>
        </w:tc>
        <w:tc>
          <w:tcPr>
            <w:tcW w:w="1102" w:type="dxa"/>
            <w:tcBorders>
              <w:bottom w:val="single" w:sz="4" w:space="0" w:color="auto"/>
            </w:tcBorders>
            <w:vAlign w:val="top"/>
          </w:tcPr>
          <w:p w14:paraId="0E6A3775"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No</w:t>
            </w:r>
          </w:p>
        </w:tc>
        <w:tc>
          <w:tcPr>
            <w:tcW w:w="1217" w:type="dxa"/>
            <w:tcBorders>
              <w:bottom w:val="single" w:sz="4" w:space="0" w:color="auto"/>
            </w:tcBorders>
            <w:shd w:val="clear" w:color="auto" w:fill="B0DF9B" w:themeFill="accent4" w:themeFillTint="66"/>
            <w:vAlign w:val="top"/>
          </w:tcPr>
          <w:p w14:paraId="1BDE4751"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Yes</w:t>
            </w:r>
          </w:p>
        </w:tc>
        <w:tc>
          <w:tcPr>
            <w:tcW w:w="1093" w:type="dxa"/>
            <w:tcBorders>
              <w:bottom w:val="single" w:sz="4" w:space="0" w:color="auto"/>
            </w:tcBorders>
            <w:vAlign w:val="top"/>
          </w:tcPr>
          <w:p w14:paraId="3962B0AA"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A517E">
              <w:rPr>
                <w:rFonts w:cstheme="minorHAnsi"/>
                <w:szCs w:val="20"/>
              </w:rPr>
              <w:t>No</w:t>
            </w:r>
          </w:p>
        </w:tc>
        <w:tc>
          <w:tcPr>
            <w:tcW w:w="1104" w:type="dxa"/>
            <w:tcBorders>
              <w:bottom w:val="single" w:sz="4" w:space="0" w:color="auto"/>
            </w:tcBorders>
            <w:vAlign w:val="top"/>
          </w:tcPr>
          <w:p w14:paraId="1A20331E"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A517E">
              <w:rPr>
                <w:rFonts w:cstheme="minorHAnsi"/>
                <w:szCs w:val="20"/>
              </w:rPr>
              <w:t>No</w:t>
            </w:r>
          </w:p>
        </w:tc>
      </w:tr>
      <w:tr w:rsidR="006303DC" w:rsidRPr="00E11394" w14:paraId="05C0C23E" w14:textId="77777777" w:rsidTr="00B94692">
        <w:tc>
          <w:tcPr>
            <w:cnfStyle w:val="001000000000" w:firstRow="0" w:lastRow="0" w:firstColumn="1" w:lastColumn="0" w:oddVBand="0" w:evenVBand="0" w:oddHBand="0" w:evenHBand="0" w:firstRowFirstColumn="0" w:firstRowLastColumn="0" w:lastRowFirstColumn="0" w:lastRowLastColumn="0"/>
            <w:tcW w:w="5007" w:type="dxa"/>
            <w:tcBorders>
              <w:right w:val="nil"/>
            </w:tcBorders>
            <w:shd w:val="clear" w:color="auto" w:fill="EEECEA" w:themeFill="background2" w:themeFillTint="33"/>
          </w:tcPr>
          <w:p w14:paraId="52B5950E" w14:textId="77777777" w:rsidR="006303DC" w:rsidRPr="00E11394" w:rsidRDefault="006303DC" w:rsidP="00B94692">
            <w:r>
              <w:t xml:space="preserve">6. </w:t>
            </w:r>
            <w:r w:rsidRPr="00E11394">
              <w:t>Other</w:t>
            </w:r>
            <w:r>
              <w:t xml:space="preserve"> Data</w:t>
            </w:r>
          </w:p>
        </w:tc>
        <w:tc>
          <w:tcPr>
            <w:tcW w:w="1084" w:type="dxa"/>
            <w:tcBorders>
              <w:left w:val="nil"/>
              <w:right w:val="nil"/>
            </w:tcBorders>
            <w:shd w:val="clear" w:color="auto" w:fill="EEECEA" w:themeFill="background2" w:themeFillTint="33"/>
            <w:vAlign w:val="top"/>
          </w:tcPr>
          <w:p w14:paraId="1B2428FB"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73" w:type="dxa"/>
            <w:tcBorders>
              <w:left w:val="nil"/>
              <w:right w:val="nil"/>
            </w:tcBorders>
            <w:shd w:val="clear" w:color="auto" w:fill="EEECEA" w:themeFill="background2" w:themeFillTint="33"/>
            <w:vAlign w:val="top"/>
          </w:tcPr>
          <w:p w14:paraId="5544F86E"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40" w:type="dxa"/>
            <w:tcBorders>
              <w:left w:val="nil"/>
              <w:right w:val="nil"/>
            </w:tcBorders>
            <w:shd w:val="clear" w:color="auto" w:fill="EEECEA" w:themeFill="background2" w:themeFillTint="33"/>
            <w:vAlign w:val="top"/>
          </w:tcPr>
          <w:p w14:paraId="51FB663B"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02" w:type="dxa"/>
            <w:tcBorders>
              <w:left w:val="nil"/>
              <w:right w:val="nil"/>
            </w:tcBorders>
            <w:shd w:val="clear" w:color="auto" w:fill="EEECEA" w:themeFill="background2" w:themeFillTint="33"/>
            <w:vAlign w:val="top"/>
          </w:tcPr>
          <w:p w14:paraId="348DD035"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17" w:type="dxa"/>
            <w:tcBorders>
              <w:left w:val="nil"/>
              <w:right w:val="nil"/>
            </w:tcBorders>
            <w:shd w:val="clear" w:color="auto" w:fill="EEECEA" w:themeFill="background2" w:themeFillTint="33"/>
            <w:vAlign w:val="top"/>
          </w:tcPr>
          <w:p w14:paraId="3F7954E0"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93" w:type="dxa"/>
            <w:tcBorders>
              <w:left w:val="nil"/>
              <w:right w:val="nil"/>
            </w:tcBorders>
            <w:shd w:val="clear" w:color="auto" w:fill="EEECEA" w:themeFill="background2" w:themeFillTint="33"/>
            <w:vAlign w:val="top"/>
          </w:tcPr>
          <w:p w14:paraId="2CB9E420"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04" w:type="dxa"/>
            <w:tcBorders>
              <w:left w:val="nil"/>
            </w:tcBorders>
            <w:shd w:val="clear" w:color="auto" w:fill="EEECEA" w:themeFill="background2" w:themeFillTint="33"/>
            <w:vAlign w:val="top"/>
          </w:tcPr>
          <w:p w14:paraId="727175CA"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6303DC" w:rsidRPr="00E11394" w14:paraId="347C509C" w14:textId="77777777" w:rsidTr="00B94692">
        <w:tc>
          <w:tcPr>
            <w:cnfStyle w:val="001000000000" w:firstRow="0" w:lastRow="0" w:firstColumn="1" w:lastColumn="0" w:oddVBand="0" w:evenVBand="0" w:oddHBand="0" w:evenHBand="0" w:firstRowFirstColumn="0" w:firstRowLastColumn="0" w:lastRowFirstColumn="0" w:lastRowLastColumn="0"/>
            <w:tcW w:w="5007" w:type="dxa"/>
          </w:tcPr>
          <w:p w14:paraId="4EE881BD" w14:textId="2A03B11D" w:rsidR="006303DC" w:rsidRDefault="00963D8A" w:rsidP="00963D8A">
            <w:pPr>
              <w:pStyle w:val="lndent1"/>
              <w:ind w:left="637" w:hanging="277"/>
            </w:pPr>
            <w:r>
              <w:t>6</w:t>
            </w:r>
            <w:r w:rsidR="00872D37">
              <w:t>a.</w:t>
            </w:r>
            <w:r>
              <w:t xml:space="preserve"> </w:t>
            </w:r>
            <w:r w:rsidR="006303DC" w:rsidRPr="00904A36">
              <w:t>Other data sources include</w:t>
            </w:r>
            <w:r w:rsidR="006303DC">
              <w:t>:</w:t>
            </w:r>
            <w:r w:rsidR="006303DC" w:rsidRPr="00904A36">
              <w:t xml:space="preserve"> </w:t>
            </w:r>
            <w:r>
              <w:br/>
            </w:r>
            <w:r w:rsidR="006303DC" w:rsidRPr="00904A36">
              <w:t>Bureau of Substance Abuse Services Program Data, CDC Wide-ranging Online Data for Epidemiologic Research (WONDER), and the Massachusetts Department of Public Health’s Public Health Data Warehouse</w:t>
            </w:r>
            <w:r w:rsidR="006303DC">
              <w:t xml:space="preserve"> </w:t>
            </w:r>
            <w:r>
              <w:t>–</w:t>
            </w:r>
            <w:r w:rsidR="006303DC">
              <w:t xml:space="preserve"> See</w:t>
            </w:r>
            <w:r w:rsidR="006303DC" w:rsidRPr="00904A36">
              <w:t xml:space="preserve"> </w:t>
            </w:r>
            <w:hyperlink w:anchor="_Behavioral_Health" w:history="1">
              <w:r w:rsidR="006303DC" w:rsidRPr="00963D8A">
                <w:rPr>
                  <w:rStyle w:val="Hyperlink"/>
                  <w:rFonts w:ascii="Arial Narrow" w:hAnsi="Arial Narrow"/>
                </w:rPr>
                <w:t>Chapter 4</w:t>
              </w:r>
            </w:hyperlink>
            <w:r w:rsidR="006303DC" w:rsidRPr="0035028B">
              <w:t xml:space="preserve"> </w:t>
            </w:r>
            <w:r w:rsidR="006303DC">
              <w:t>(</w:t>
            </w:r>
            <w:r w:rsidR="006303DC" w:rsidRPr="0035028B">
              <w:t>Behavioral Health</w:t>
            </w:r>
            <w:r w:rsidR="006303DC">
              <w:t>)</w:t>
            </w:r>
            <w:r w:rsidR="006303DC" w:rsidRPr="00904A36">
              <w:t>.</w:t>
            </w:r>
          </w:p>
        </w:tc>
        <w:tc>
          <w:tcPr>
            <w:tcW w:w="1084" w:type="dxa"/>
            <w:vAlign w:val="top"/>
          </w:tcPr>
          <w:p w14:paraId="48C618DC"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3B0A8A">
              <w:rPr>
                <w:rFonts w:cstheme="minorHAnsi"/>
                <w:szCs w:val="20"/>
              </w:rPr>
              <w:t>No</w:t>
            </w:r>
          </w:p>
        </w:tc>
        <w:tc>
          <w:tcPr>
            <w:tcW w:w="1373" w:type="dxa"/>
            <w:vAlign w:val="top"/>
          </w:tcPr>
          <w:p w14:paraId="72B48AA8"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C1174">
              <w:rPr>
                <w:rFonts w:cstheme="minorHAnsi"/>
                <w:szCs w:val="20"/>
              </w:rPr>
              <w:t>No</w:t>
            </w:r>
          </w:p>
        </w:tc>
        <w:tc>
          <w:tcPr>
            <w:tcW w:w="1340" w:type="dxa"/>
            <w:shd w:val="clear" w:color="auto" w:fill="B0DF9B" w:themeFill="accent4" w:themeFillTint="66"/>
            <w:vAlign w:val="top"/>
          </w:tcPr>
          <w:p w14:paraId="13384DF6"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Yes</w:t>
            </w:r>
          </w:p>
        </w:tc>
        <w:tc>
          <w:tcPr>
            <w:tcW w:w="1102" w:type="dxa"/>
            <w:vAlign w:val="top"/>
          </w:tcPr>
          <w:p w14:paraId="7213A4D0"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02410">
              <w:rPr>
                <w:rFonts w:cstheme="minorHAnsi"/>
                <w:szCs w:val="20"/>
              </w:rPr>
              <w:t>No</w:t>
            </w:r>
          </w:p>
        </w:tc>
        <w:tc>
          <w:tcPr>
            <w:tcW w:w="1217" w:type="dxa"/>
            <w:vAlign w:val="top"/>
          </w:tcPr>
          <w:p w14:paraId="76A6C695"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02410">
              <w:rPr>
                <w:rFonts w:cstheme="minorHAnsi"/>
                <w:szCs w:val="20"/>
              </w:rPr>
              <w:t>No</w:t>
            </w:r>
          </w:p>
        </w:tc>
        <w:tc>
          <w:tcPr>
            <w:tcW w:w="1093" w:type="dxa"/>
            <w:vAlign w:val="top"/>
          </w:tcPr>
          <w:p w14:paraId="771D2841"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02410">
              <w:rPr>
                <w:rFonts w:cstheme="minorHAnsi"/>
                <w:szCs w:val="20"/>
              </w:rPr>
              <w:t>No</w:t>
            </w:r>
          </w:p>
        </w:tc>
        <w:tc>
          <w:tcPr>
            <w:tcW w:w="1104" w:type="dxa"/>
            <w:vAlign w:val="top"/>
          </w:tcPr>
          <w:p w14:paraId="349E35A2" w14:textId="77777777" w:rsidR="006303DC" w:rsidRPr="00E11394" w:rsidRDefault="006303DC" w:rsidP="00B94692">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02410">
              <w:rPr>
                <w:rFonts w:cstheme="minorHAnsi"/>
                <w:szCs w:val="20"/>
              </w:rPr>
              <w:t>No</w:t>
            </w:r>
          </w:p>
        </w:tc>
      </w:tr>
    </w:tbl>
    <w:p w14:paraId="47C116E4" w14:textId="77777777" w:rsidR="00370444" w:rsidRDefault="00370444" w:rsidP="003F284D"/>
    <w:p w14:paraId="0B3E5E70" w14:textId="1A624A17" w:rsidR="00370444" w:rsidRPr="0009132C" w:rsidRDefault="00370444" w:rsidP="003F284D">
      <w:pPr>
        <w:sectPr w:rsidR="00370444" w:rsidRPr="0009132C" w:rsidSect="00744E1B">
          <w:pgSz w:w="15840" w:h="12240" w:orient="landscape"/>
          <w:pgMar w:top="1152" w:right="1152" w:bottom="1152" w:left="1152" w:header="720" w:footer="576" w:gutter="0"/>
          <w:cols w:space="720"/>
          <w:docGrid w:linePitch="360"/>
        </w:sectPr>
      </w:pPr>
    </w:p>
    <w:p w14:paraId="56397777" w14:textId="3221FCDF" w:rsidR="00430D07" w:rsidRDefault="00165CBE" w:rsidP="00430D07">
      <w:pPr>
        <w:pStyle w:val="Caption"/>
        <w:keepNext/>
      </w:pPr>
      <w:bookmarkStart w:id="30" w:name="_Ref151460001"/>
      <w:bookmarkStart w:id="31" w:name="_Toc151976453"/>
      <w:r>
        <w:lastRenderedPageBreak/>
        <w:t xml:space="preserve">Table </w:t>
      </w:r>
      <w:r>
        <w:fldChar w:fldCharType="begin"/>
      </w:r>
      <w:r>
        <w:instrText>STYLEREF 1 \s</w:instrText>
      </w:r>
      <w:r>
        <w:fldChar w:fldCharType="separate"/>
      </w:r>
      <w:r w:rsidR="00EB7B05">
        <w:rPr>
          <w:noProof/>
        </w:rPr>
        <w:t>1</w:t>
      </w:r>
      <w:r>
        <w:fldChar w:fldCharType="end"/>
      </w:r>
      <w:r w:rsidR="00433675">
        <w:noBreakHyphen/>
      </w:r>
      <w:r>
        <w:fldChar w:fldCharType="begin"/>
      </w:r>
      <w:r>
        <w:instrText>SEQ Table \* ARABIC \s 1</w:instrText>
      </w:r>
      <w:r>
        <w:fldChar w:fldCharType="separate"/>
      </w:r>
      <w:r w:rsidR="00EB7B05">
        <w:rPr>
          <w:noProof/>
        </w:rPr>
        <w:t>3</w:t>
      </w:r>
      <w:r>
        <w:fldChar w:fldCharType="end"/>
      </w:r>
      <w:bookmarkEnd w:id="30"/>
      <w:r>
        <w:t xml:space="preserve">: Anticipated </w:t>
      </w:r>
      <w:r w:rsidRPr="0009132C">
        <w:t>Timeline for Data Collection, Management, and Analysis</w:t>
      </w:r>
      <w:r>
        <w:t>, MassHealth Demonstration Project</w:t>
      </w:r>
      <w:bookmarkEnd w:id="31"/>
      <w:r w:rsidR="000224F5">
        <w:t xml:space="preserve"> </w:t>
      </w:r>
    </w:p>
    <w:p w14:paraId="28C55050" w14:textId="02CC8974" w:rsidR="00430D07" w:rsidRPr="00430D07" w:rsidRDefault="00430D07" w:rsidP="00FA2857">
      <w:pPr>
        <w:pStyle w:val="TableorFigurefootnote"/>
        <w:spacing w:line="360" w:lineRule="auto"/>
      </w:pPr>
      <w:r w:rsidRPr="007F38D8">
        <w:t xml:space="preserve">Key: Initiation of activity= X, Continuation of activity=c, No activity= – </w:t>
      </w:r>
      <w:r w:rsidRPr="007F38D8">
        <w:tab/>
        <w:t xml:space="preserve">  </w:t>
      </w:r>
      <w:r w:rsidR="00770B3F" w:rsidRPr="007F38D8">
        <w:t xml:space="preserve">Note: </w:t>
      </w:r>
      <w:r w:rsidRPr="007F38D8">
        <w:t>The actual timeline will be updated in accordance with the approval date of the EDD by CMS</w:t>
      </w:r>
    </w:p>
    <w:tbl>
      <w:tblPr>
        <w:tblStyle w:val="FHCTablestyle9sm"/>
        <w:tblW w:w="13530" w:type="dxa"/>
        <w:tblLayout w:type="fixed"/>
        <w:tblLook w:val="0420" w:firstRow="1" w:lastRow="0" w:firstColumn="0" w:lastColumn="0" w:noHBand="0" w:noVBand="1"/>
      </w:tblPr>
      <w:tblGrid>
        <w:gridCol w:w="2922"/>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tblGrid>
      <w:tr w:rsidR="0020559B" w:rsidRPr="00430D07" w14:paraId="241D150F" w14:textId="77777777" w:rsidTr="002C13E9">
        <w:trPr>
          <w:cnfStyle w:val="100000000000" w:firstRow="1" w:lastRow="0" w:firstColumn="0" w:lastColumn="0" w:oddVBand="0" w:evenVBand="0" w:oddHBand="0" w:evenHBand="0" w:firstRowFirstColumn="0" w:firstRowLastColumn="0" w:lastRowFirstColumn="0" w:lastRowLastColumn="0"/>
          <w:trHeight w:val="364"/>
          <w:tblHeader/>
        </w:trPr>
        <w:tc>
          <w:tcPr>
            <w:tcW w:w="2922" w:type="dxa"/>
            <w:tcBorders>
              <w:right w:val="single" w:sz="8" w:space="0" w:color="000000" w:themeColor="text1"/>
            </w:tcBorders>
            <w:noWrap/>
          </w:tcPr>
          <w:p w14:paraId="34A6CB67" w14:textId="77777777" w:rsidR="00430D07" w:rsidRPr="00430D07" w:rsidRDefault="00430D07" w:rsidP="00430D07">
            <w:pPr>
              <w:pStyle w:val="TableorFigurefootnote"/>
              <w:rPr>
                <w:b w:val="0"/>
                <w:bCs w:val="0"/>
                <w:szCs w:val="24"/>
              </w:rPr>
            </w:pPr>
            <w:r w:rsidRPr="00430D07">
              <w:rPr>
                <w:szCs w:val="24"/>
              </w:rPr>
              <w:t>State Fiscal Year</w:t>
            </w:r>
          </w:p>
        </w:tc>
        <w:tc>
          <w:tcPr>
            <w:tcW w:w="408" w:type="dxa"/>
            <w:tcBorders>
              <w:top w:val="single" w:sz="8" w:space="0" w:color="000000" w:themeColor="text1"/>
              <w:left w:val="single" w:sz="8" w:space="0" w:color="000000" w:themeColor="text1"/>
              <w:bottom w:val="single" w:sz="8" w:space="0" w:color="000000" w:themeColor="text1"/>
            </w:tcBorders>
          </w:tcPr>
          <w:p w14:paraId="7DD60D0D" w14:textId="77777777" w:rsidR="00430D07" w:rsidRPr="00430D07" w:rsidRDefault="00430D07" w:rsidP="002C13E9">
            <w:pPr>
              <w:pStyle w:val="TableorFigurefootnote"/>
              <w:jc w:val="center"/>
              <w:rPr>
                <w:szCs w:val="24"/>
              </w:rPr>
            </w:pPr>
            <w:r w:rsidRPr="00430D07">
              <w:rPr>
                <w:szCs w:val="24"/>
              </w:rPr>
              <w:t>23 Q1</w:t>
            </w:r>
          </w:p>
        </w:tc>
        <w:tc>
          <w:tcPr>
            <w:tcW w:w="408" w:type="dxa"/>
            <w:tcBorders>
              <w:top w:val="single" w:sz="8" w:space="0" w:color="000000" w:themeColor="text1"/>
              <w:bottom w:val="single" w:sz="8" w:space="0" w:color="000000" w:themeColor="text1"/>
            </w:tcBorders>
          </w:tcPr>
          <w:p w14:paraId="17BF9560" w14:textId="77777777" w:rsidR="00430D07" w:rsidRPr="00430D07" w:rsidRDefault="00430D07" w:rsidP="002C13E9">
            <w:pPr>
              <w:pStyle w:val="TableorFigurefootnote"/>
              <w:jc w:val="center"/>
              <w:rPr>
                <w:szCs w:val="24"/>
              </w:rPr>
            </w:pPr>
            <w:r w:rsidRPr="00430D07">
              <w:rPr>
                <w:szCs w:val="24"/>
              </w:rPr>
              <w:t>23 Q2</w:t>
            </w:r>
          </w:p>
        </w:tc>
        <w:tc>
          <w:tcPr>
            <w:tcW w:w="408" w:type="dxa"/>
            <w:tcBorders>
              <w:top w:val="single" w:sz="8" w:space="0" w:color="000000" w:themeColor="text1"/>
              <w:bottom w:val="single" w:sz="8" w:space="0" w:color="000000" w:themeColor="text1"/>
            </w:tcBorders>
          </w:tcPr>
          <w:p w14:paraId="2BD23BD9" w14:textId="77777777" w:rsidR="00430D07" w:rsidRPr="00430D07" w:rsidRDefault="00430D07" w:rsidP="002C13E9">
            <w:pPr>
              <w:pStyle w:val="TableorFigurefootnote"/>
              <w:jc w:val="center"/>
              <w:rPr>
                <w:szCs w:val="24"/>
              </w:rPr>
            </w:pPr>
            <w:r w:rsidRPr="00430D07">
              <w:rPr>
                <w:szCs w:val="24"/>
              </w:rPr>
              <w:t>23 Q3</w:t>
            </w:r>
          </w:p>
        </w:tc>
        <w:tc>
          <w:tcPr>
            <w:tcW w:w="408" w:type="dxa"/>
            <w:tcBorders>
              <w:top w:val="single" w:sz="8" w:space="0" w:color="000000" w:themeColor="text1"/>
              <w:bottom w:val="single" w:sz="8" w:space="0" w:color="000000" w:themeColor="text1"/>
              <w:right w:val="single" w:sz="8" w:space="0" w:color="000000" w:themeColor="text1"/>
            </w:tcBorders>
          </w:tcPr>
          <w:p w14:paraId="3B4EC19C" w14:textId="77777777" w:rsidR="00430D07" w:rsidRPr="00430D07" w:rsidRDefault="00430D07" w:rsidP="002C13E9">
            <w:pPr>
              <w:pStyle w:val="TableorFigurefootnote"/>
              <w:jc w:val="center"/>
              <w:rPr>
                <w:szCs w:val="24"/>
              </w:rPr>
            </w:pPr>
            <w:r w:rsidRPr="00430D07">
              <w:rPr>
                <w:szCs w:val="24"/>
              </w:rPr>
              <w:t>23 Q4</w:t>
            </w:r>
          </w:p>
        </w:tc>
        <w:tc>
          <w:tcPr>
            <w:tcW w:w="408" w:type="dxa"/>
            <w:tcBorders>
              <w:top w:val="single" w:sz="8" w:space="0" w:color="000000" w:themeColor="text1"/>
              <w:left w:val="single" w:sz="8" w:space="0" w:color="000000" w:themeColor="text1"/>
              <w:bottom w:val="single" w:sz="8" w:space="0" w:color="000000" w:themeColor="text1"/>
            </w:tcBorders>
            <w:shd w:val="clear" w:color="auto" w:fill="C2E3FF" w:themeFill="accent1" w:themeFillTint="33"/>
          </w:tcPr>
          <w:p w14:paraId="576645FA" w14:textId="77777777" w:rsidR="00430D07" w:rsidRPr="00430D07" w:rsidRDefault="00430D07" w:rsidP="002C13E9">
            <w:pPr>
              <w:pStyle w:val="TableorFigurefootnote"/>
              <w:jc w:val="center"/>
              <w:rPr>
                <w:szCs w:val="24"/>
              </w:rPr>
            </w:pPr>
            <w:r w:rsidRPr="00430D07">
              <w:rPr>
                <w:szCs w:val="24"/>
              </w:rPr>
              <w:t>24 Q1</w:t>
            </w:r>
          </w:p>
        </w:tc>
        <w:tc>
          <w:tcPr>
            <w:tcW w:w="408" w:type="dxa"/>
            <w:tcBorders>
              <w:top w:val="single" w:sz="8" w:space="0" w:color="000000" w:themeColor="text1"/>
              <w:bottom w:val="single" w:sz="8" w:space="0" w:color="000000" w:themeColor="text1"/>
            </w:tcBorders>
            <w:shd w:val="clear" w:color="auto" w:fill="C2E3FF" w:themeFill="accent1" w:themeFillTint="33"/>
          </w:tcPr>
          <w:p w14:paraId="09976C87" w14:textId="77777777" w:rsidR="00430D07" w:rsidRPr="00430D07" w:rsidRDefault="00430D07" w:rsidP="002C13E9">
            <w:pPr>
              <w:pStyle w:val="TableorFigurefootnote"/>
              <w:jc w:val="center"/>
              <w:rPr>
                <w:szCs w:val="24"/>
              </w:rPr>
            </w:pPr>
            <w:r w:rsidRPr="00430D07">
              <w:rPr>
                <w:szCs w:val="24"/>
              </w:rPr>
              <w:t>24 Q2</w:t>
            </w:r>
          </w:p>
        </w:tc>
        <w:tc>
          <w:tcPr>
            <w:tcW w:w="408" w:type="dxa"/>
            <w:tcBorders>
              <w:top w:val="single" w:sz="8" w:space="0" w:color="000000" w:themeColor="text1"/>
              <w:bottom w:val="single" w:sz="8" w:space="0" w:color="000000" w:themeColor="text1"/>
            </w:tcBorders>
            <w:shd w:val="clear" w:color="auto" w:fill="C2E3FF" w:themeFill="accent1" w:themeFillTint="33"/>
          </w:tcPr>
          <w:p w14:paraId="112B2F51" w14:textId="77777777" w:rsidR="00430D07" w:rsidRPr="00430D07" w:rsidRDefault="00430D07" w:rsidP="002C13E9">
            <w:pPr>
              <w:pStyle w:val="TableorFigurefootnote"/>
              <w:jc w:val="center"/>
              <w:rPr>
                <w:szCs w:val="24"/>
              </w:rPr>
            </w:pPr>
            <w:r w:rsidRPr="00430D07">
              <w:rPr>
                <w:szCs w:val="24"/>
              </w:rPr>
              <w:t>24 Q3</w:t>
            </w:r>
          </w:p>
        </w:tc>
        <w:tc>
          <w:tcPr>
            <w:tcW w:w="408" w:type="dxa"/>
            <w:tcBorders>
              <w:top w:val="single" w:sz="8" w:space="0" w:color="000000" w:themeColor="text1"/>
              <w:bottom w:val="single" w:sz="8" w:space="0" w:color="000000" w:themeColor="text1"/>
              <w:right w:val="single" w:sz="8" w:space="0" w:color="000000" w:themeColor="text1"/>
            </w:tcBorders>
            <w:shd w:val="clear" w:color="auto" w:fill="C2E3FF" w:themeFill="accent1" w:themeFillTint="33"/>
          </w:tcPr>
          <w:p w14:paraId="40C2F9B6" w14:textId="77777777" w:rsidR="00430D07" w:rsidRPr="00430D07" w:rsidRDefault="00430D07" w:rsidP="002C13E9">
            <w:pPr>
              <w:pStyle w:val="TableorFigurefootnote"/>
              <w:jc w:val="center"/>
              <w:rPr>
                <w:szCs w:val="24"/>
              </w:rPr>
            </w:pPr>
            <w:r w:rsidRPr="00430D07">
              <w:rPr>
                <w:szCs w:val="24"/>
              </w:rPr>
              <w:t>24 Q4</w:t>
            </w:r>
          </w:p>
        </w:tc>
        <w:tc>
          <w:tcPr>
            <w:tcW w:w="408" w:type="dxa"/>
            <w:tcBorders>
              <w:top w:val="single" w:sz="8" w:space="0" w:color="000000" w:themeColor="text1"/>
              <w:left w:val="single" w:sz="8" w:space="0" w:color="000000" w:themeColor="text1"/>
              <w:bottom w:val="single" w:sz="8" w:space="0" w:color="000000" w:themeColor="text1"/>
            </w:tcBorders>
          </w:tcPr>
          <w:p w14:paraId="12F2994E" w14:textId="77777777" w:rsidR="00430D07" w:rsidRPr="00430D07" w:rsidRDefault="00430D07" w:rsidP="002C13E9">
            <w:pPr>
              <w:pStyle w:val="TableorFigurefootnote"/>
              <w:jc w:val="center"/>
              <w:rPr>
                <w:szCs w:val="24"/>
              </w:rPr>
            </w:pPr>
            <w:r w:rsidRPr="00430D07">
              <w:rPr>
                <w:szCs w:val="24"/>
              </w:rPr>
              <w:t>25 Q1</w:t>
            </w:r>
          </w:p>
        </w:tc>
        <w:tc>
          <w:tcPr>
            <w:tcW w:w="408" w:type="dxa"/>
            <w:tcBorders>
              <w:top w:val="single" w:sz="8" w:space="0" w:color="000000" w:themeColor="text1"/>
              <w:bottom w:val="single" w:sz="8" w:space="0" w:color="000000" w:themeColor="text1"/>
            </w:tcBorders>
          </w:tcPr>
          <w:p w14:paraId="7FF0052C" w14:textId="77777777" w:rsidR="00430D07" w:rsidRPr="00430D07" w:rsidRDefault="00430D07" w:rsidP="002C13E9">
            <w:pPr>
              <w:pStyle w:val="TableorFigurefootnote"/>
              <w:jc w:val="center"/>
              <w:rPr>
                <w:szCs w:val="24"/>
              </w:rPr>
            </w:pPr>
            <w:r w:rsidRPr="00430D07">
              <w:rPr>
                <w:szCs w:val="24"/>
              </w:rPr>
              <w:t>25 Q2</w:t>
            </w:r>
          </w:p>
        </w:tc>
        <w:tc>
          <w:tcPr>
            <w:tcW w:w="408" w:type="dxa"/>
            <w:tcBorders>
              <w:top w:val="single" w:sz="8" w:space="0" w:color="000000" w:themeColor="text1"/>
              <w:bottom w:val="single" w:sz="8" w:space="0" w:color="000000" w:themeColor="text1"/>
            </w:tcBorders>
          </w:tcPr>
          <w:p w14:paraId="36035FE6" w14:textId="77777777" w:rsidR="00430D07" w:rsidRPr="00430D07" w:rsidRDefault="00430D07" w:rsidP="002C13E9">
            <w:pPr>
              <w:pStyle w:val="TableorFigurefootnote"/>
              <w:jc w:val="center"/>
              <w:rPr>
                <w:szCs w:val="24"/>
              </w:rPr>
            </w:pPr>
            <w:r w:rsidRPr="00430D07">
              <w:rPr>
                <w:szCs w:val="24"/>
              </w:rPr>
              <w:t>25 Q3</w:t>
            </w:r>
          </w:p>
        </w:tc>
        <w:tc>
          <w:tcPr>
            <w:tcW w:w="408" w:type="dxa"/>
            <w:tcBorders>
              <w:top w:val="single" w:sz="8" w:space="0" w:color="000000" w:themeColor="text1"/>
              <w:bottom w:val="single" w:sz="8" w:space="0" w:color="000000" w:themeColor="text1"/>
              <w:right w:val="single" w:sz="8" w:space="0" w:color="000000" w:themeColor="text1"/>
            </w:tcBorders>
          </w:tcPr>
          <w:p w14:paraId="3A82B839" w14:textId="77777777" w:rsidR="00430D07" w:rsidRPr="00430D07" w:rsidRDefault="00430D07" w:rsidP="002C13E9">
            <w:pPr>
              <w:pStyle w:val="TableorFigurefootnote"/>
              <w:jc w:val="center"/>
              <w:rPr>
                <w:szCs w:val="24"/>
              </w:rPr>
            </w:pPr>
            <w:r w:rsidRPr="00430D07">
              <w:rPr>
                <w:szCs w:val="24"/>
              </w:rPr>
              <w:t>25 Q4</w:t>
            </w:r>
          </w:p>
        </w:tc>
        <w:tc>
          <w:tcPr>
            <w:tcW w:w="408" w:type="dxa"/>
            <w:tcBorders>
              <w:top w:val="single" w:sz="8" w:space="0" w:color="000000" w:themeColor="text1"/>
              <w:left w:val="single" w:sz="8" w:space="0" w:color="000000" w:themeColor="text1"/>
              <w:bottom w:val="single" w:sz="8" w:space="0" w:color="000000" w:themeColor="text1"/>
            </w:tcBorders>
            <w:shd w:val="clear" w:color="auto" w:fill="C2E3FF" w:themeFill="accent1" w:themeFillTint="33"/>
          </w:tcPr>
          <w:p w14:paraId="43E228FD" w14:textId="77777777" w:rsidR="00430D07" w:rsidRPr="00430D07" w:rsidRDefault="00430D07" w:rsidP="002C13E9">
            <w:pPr>
              <w:pStyle w:val="TableorFigurefootnote"/>
              <w:jc w:val="center"/>
              <w:rPr>
                <w:szCs w:val="24"/>
              </w:rPr>
            </w:pPr>
            <w:r w:rsidRPr="00430D07">
              <w:rPr>
                <w:szCs w:val="24"/>
              </w:rPr>
              <w:t>26 Q1</w:t>
            </w:r>
          </w:p>
        </w:tc>
        <w:tc>
          <w:tcPr>
            <w:tcW w:w="408" w:type="dxa"/>
            <w:tcBorders>
              <w:top w:val="single" w:sz="8" w:space="0" w:color="000000" w:themeColor="text1"/>
              <w:bottom w:val="single" w:sz="8" w:space="0" w:color="000000" w:themeColor="text1"/>
            </w:tcBorders>
            <w:shd w:val="clear" w:color="auto" w:fill="C2E3FF" w:themeFill="accent1" w:themeFillTint="33"/>
          </w:tcPr>
          <w:p w14:paraId="564B5A49" w14:textId="77777777" w:rsidR="00430D07" w:rsidRPr="00430D07" w:rsidRDefault="00430D07" w:rsidP="002C13E9">
            <w:pPr>
              <w:pStyle w:val="TableorFigurefootnote"/>
              <w:jc w:val="center"/>
              <w:rPr>
                <w:szCs w:val="24"/>
              </w:rPr>
            </w:pPr>
            <w:r w:rsidRPr="00430D07">
              <w:rPr>
                <w:szCs w:val="24"/>
              </w:rPr>
              <w:t>26 Q2</w:t>
            </w:r>
          </w:p>
        </w:tc>
        <w:tc>
          <w:tcPr>
            <w:tcW w:w="408" w:type="dxa"/>
            <w:tcBorders>
              <w:top w:val="single" w:sz="8" w:space="0" w:color="000000" w:themeColor="text1"/>
              <w:bottom w:val="single" w:sz="8" w:space="0" w:color="000000" w:themeColor="text1"/>
            </w:tcBorders>
            <w:shd w:val="clear" w:color="auto" w:fill="C2E3FF" w:themeFill="accent1" w:themeFillTint="33"/>
          </w:tcPr>
          <w:p w14:paraId="23D37D56" w14:textId="77777777" w:rsidR="00430D07" w:rsidRPr="00430D07" w:rsidRDefault="00430D07" w:rsidP="002C13E9">
            <w:pPr>
              <w:pStyle w:val="TableorFigurefootnote"/>
              <w:jc w:val="center"/>
              <w:rPr>
                <w:szCs w:val="24"/>
              </w:rPr>
            </w:pPr>
            <w:r w:rsidRPr="00430D07">
              <w:rPr>
                <w:szCs w:val="24"/>
              </w:rPr>
              <w:t>26 Q3</w:t>
            </w:r>
          </w:p>
        </w:tc>
        <w:tc>
          <w:tcPr>
            <w:tcW w:w="408" w:type="dxa"/>
            <w:tcBorders>
              <w:top w:val="single" w:sz="8" w:space="0" w:color="000000" w:themeColor="text1"/>
              <w:bottom w:val="single" w:sz="8" w:space="0" w:color="000000" w:themeColor="text1"/>
              <w:right w:val="single" w:sz="8" w:space="0" w:color="000000" w:themeColor="text1"/>
            </w:tcBorders>
            <w:shd w:val="clear" w:color="auto" w:fill="C2E3FF" w:themeFill="accent1" w:themeFillTint="33"/>
          </w:tcPr>
          <w:p w14:paraId="037C056B" w14:textId="77777777" w:rsidR="00430D07" w:rsidRPr="00430D07" w:rsidRDefault="00430D07" w:rsidP="002C13E9">
            <w:pPr>
              <w:pStyle w:val="TableorFigurefootnote"/>
              <w:jc w:val="center"/>
              <w:rPr>
                <w:szCs w:val="24"/>
              </w:rPr>
            </w:pPr>
            <w:r w:rsidRPr="00430D07">
              <w:rPr>
                <w:szCs w:val="24"/>
              </w:rPr>
              <w:t>26 Q4</w:t>
            </w:r>
          </w:p>
        </w:tc>
        <w:tc>
          <w:tcPr>
            <w:tcW w:w="408" w:type="dxa"/>
            <w:tcBorders>
              <w:top w:val="single" w:sz="8" w:space="0" w:color="000000" w:themeColor="text1"/>
              <w:left w:val="single" w:sz="8" w:space="0" w:color="000000" w:themeColor="text1"/>
              <w:bottom w:val="single" w:sz="8" w:space="0" w:color="000000" w:themeColor="text1"/>
            </w:tcBorders>
          </w:tcPr>
          <w:p w14:paraId="47E87DB0" w14:textId="77777777" w:rsidR="00430D07" w:rsidRPr="00430D07" w:rsidRDefault="00430D07" w:rsidP="002C13E9">
            <w:pPr>
              <w:pStyle w:val="TableorFigurefootnote"/>
              <w:jc w:val="center"/>
              <w:rPr>
                <w:szCs w:val="24"/>
              </w:rPr>
            </w:pPr>
            <w:r w:rsidRPr="00430D07">
              <w:rPr>
                <w:szCs w:val="24"/>
              </w:rPr>
              <w:t>27 Q1</w:t>
            </w:r>
          </w:p>
        </w:tc>
        <w:tc>
          <w:tcPr>
            <w:tcW w:w="408" w:type="dxa"/>
            <w:tcBorders>
              <w:top w:val="single" w:sz="8" w:space="0" w:color="000000" w:themeColor="text1"/>
              <w:bottom w:val="single" w:sz="8" w:space="0" w:color="000000" w:themeColor="text1"/>
            </w:tcBorders>
          </w:tcPr>
          <w:p w14:paraId="3D2A9C09" w14:textId="77777777" w:rsidR="00430D07" w:rsidRPr="00430D07" w:rsidRDefault="00430D07" w:rsidP="002C13E9">
            <w:pPr>
              <w:pStyle w:val="TableorFigurefootnote"/>
              <w:jc w:val="center"/>
              <w:rPr>
                <w:szCs w:val="24"/>
              </w:rPr>
            </w:pPr>
            <w:r w:rsidRPr="00430D07">
              <w:rPr>
                <w:szCs w:val="24"/>
              </w:rPr>
              <w:t>27 Q2</w:t>
            </w:r>
          </w:p>
        </w:tc>
        <w:tc>
          <w:tcPr>
            <w:tcW w:w="408" w:type="dxa"/>
            <w:tcBorders>
              <w:top w:val="single" w:sz="8" w:space="0" w:color="000000" w:themeColor="text1"/>
              <w:bottom w:val="single" w:sz="8" w:space="0" w:color="000000" w:themeColor="text1"/>
            </w:tcBorders>
          </w:tcPr>
          <w:p w14:paraId="26B0C99B" w14:textId="77777777" w:rsidR="00430D07" w:rsidRPr="00430D07" w:rsidRDefault="00430D07" w:rsidP="002C13E9">
            <w:pPr>
              <w:pStyle w:val="TableorFigurefootnote"/>
              <w:jc w:val="center"/>
              <w:rPr>
                <w:szCs w:val="24"/>
              </w:rPr>
            </w:pPr>
            <w:r w:rsidRPr="00430D07">
              <w:rPr>
                <w:szCs w:val="24"/>
              </w:rPr>
              <w:t>27 Q3</w:t>
            </w:r>
          </w:p>
        </w:tc>
        <w:tc>
          <w:tcPr>
            <w:tcW w:w="408" w:type="dxa"/>
            <w:tcBorders>
              <w:top w:val="single" w:sz="8" w:space="0" w:color="000000" w:themeColor="text1"/>
              <w:bottom w:val="single" w:sz="8" w:space="0" w:color="000000" w:themeColor="text1"/>
              <w:right w:val="single" w:sz="8" w:space="0" w:color="000000" w:themeColor="text1"/>
            </w:tcBorders>
          </w:tcPr>
          <w:p w14:paraId="67330BF5" w14:textId="77777777" w:rsidR="00430D07" w:rsidRPr="00430D07" w:rsidRDefault="00430D07" w:rsidP="002C13E9">
            <w:pPr>
              <w:pStyle w:val="TableorFigurefootnote"/>
              <w:jc w:val="center"/>
              <w:rPr>
                <w:szCs w:val="24"/>
              </w:rPr>
            </w:pPr>
            <w:r w:rsidRPr="00430D07">
              <w:rPr>
                <w:szCs w:val="24"/>
              </w:rPr>
              <w:t>27 Q4</w:t>
            </w:r>
          </w:p>
        </w:tc>
        <w:tc>
          <w:tcPr>
            <w:tcW w:w="408" w:type="dxa"/>
            <w:tcBorders>
              <w:top w:val="single" w:sz="8" w:space="0" w:color="000000" w:themeColor="text1"/>
              <w:left w:val="single" w:sz="8" w:space="0" w:color="000000" w:themeColor="text1"/>
              <w:bottom w:val="single" w:sz="8" w:space="0" w:color="000000" w:themeColor="text1"/>
            </w:tcBorders>
          </w:tcPr>
          <w:p w14:paraId="2C5EAF3D" w14:textId="77777777" w:rsidR="00430D07" w:rsidRPr="00430D07" w:rsidRDefault="00430D07" w:rsidP="002C13E9">
            <w:pPr>
              <w:pStyle w:val="TableorFigurefootnote"/>
              <w:jc w:val="center"/>
              <w:rPr>
                <w:szCs w:val="24"/>
              </w:rPr>
            </w:pPr>
            <w:r w:rsidRPr="00430D07">
              <w:rPr>
                <w:szCs w:val="24"/>
              </w:rPr>
              <w:t>28 Q1</w:t>
            </w:r>
          </w:p>
        </w:tc>
        <w:tc>
          <w:tcPr>
            <w:tcW w:w="408" w:type="dxa"/>
            <w:tcBorders>
              <w:top w:val="single" w:sz="8" w:space="0" w:color="000000" w:themeColor="text1"/>
              <w:bottom w:val="single" w:sz="8" w:space="0" w:color="000000" w:themeColor="text1"/>
            </w:tcBorders>
          </w:tcPr>
          <w:p w14:paraId="47758CF4" w14:textId="77777777" w:rsidR="00430D07" w:rsidRPr="00430D07" w:rsidRDefault="00430D07" w:rsidP="002C13E9">
            <w:pPr>
              <w:pStyle w:val="TableorFigurefootnote"/>
              <w:jc w:val="center"/>
              <w:rPr>
                <w:szCs w:val="24"/>
              </w:rPr>
            </w:pPr>
            <w:r w:rsidRPr="00430D07">
              <w:rPr>
                <w:szCs w:val="24"/>
              </w:rPr>
              <w:t>28 Q2</w:t>
            </w:r>
          </w:p>
        </w:tc>
        <w:tc>
          <w:tcPr>
            <w:tcW w:w="408" w:type="dxa"/>
            <w:tcBorders>
              <w:top w:val="single" w:sz="8" w:space="0" w:color="000000" w:themeColor="text1"/>
              <w:bottom w:val="single" w:sz="8" w:space="0" w:color="000000" w:themeColor="text1"/>
            </w:tcBorders>
          </w:tcPr>
          <w:p w14:paraId="03AD45A9" w14:textId="77777777" w:rsidR="00430D07" w:rsidRPr="00430D07" w:rsidRDefault="00430D07" w:rsidP="002C13E9">
            <w:pPr>
              <w:pStyle w:val="TableorFigurefootnote"/>
              <w:jc w:val="center"/>
              <w:rPr>
                <w:szCs w:val="24"/>
              </w:rPr>
            </w:pPr>
            <w:r w:rsidRPr="00430D07">
              <w:rPr>
                <w:szCs w:val="24"/>
              </w:rPr>
              <w:t>28 Q3</w:t>
            </w:r>
          </w:p>
        </w:tc>
        <w:tc>
          <w:tcPr>
            <w:tcW w:w="408" w:type="dxa"/>
            <w:tcBorders>
              <w:top w:val="single" w:sz="8" w:space="0" w:color="000000" w:themeColor="text1"/>
              <w:bottom w:val="single" w:sz="8" w:space="0" w:color="000000" w:themeColor="text1"/>
              <w:right w:val="single" w:sz="8" w:space="0" w:color="000000" w:themeColor="text1"/>
            </w:tcBorders>
          </w:tcPr>
          <w:p w14:paraId="29560FC8" w14:textId="77777777" w:rsidR="00430D07" w:rsidRPr="00430D07" w:rsidRDefault="00430D07" w:rsidP="002C13E9">
            <w:pPr>
              <w:pStyle w:val="TableorFigurefootnote"/>
              <w:jc w:val="center"/>
              <w:rPr>
                <w:szCs w:val="24"/>
              </w:rPr>
            </w:pPr>
            <w:r w:rsidRPr="00430D07">
              <w:rPr>
                <w:szCs w:val="24"/>
              </w:rPr>
              <w:t>28 Q4</w:t>
            </w:r>
          </w:p>
        </w:tc>
        <w:tc>
          <w:tcPr>
            <w:tcW w:w="408" w:type="dxa"/>
            <w:tcBorders>
              <w:top w:val="single" w:sz="8" w:space="0" w:color="000000" w:themeColor="text1"/>
              <w:left w:val="single" w:sz="8" w:space="0" w:color="000000" w:themeColor="text1"/>
              <w:bottom w:val="single" w:sz="8" w:space="0" w:color="000000" w:themeColor="text1"/>
            </w:tcBorders>
          </w:tcPr>
          <w:p w14:paraId="65A825A6" w14:textId="77777777" w:rsidR="00430D07" w:rsidRPr="00430D07" w:rsidRDefault="00430D07" w:rsidP="002C13E9">
            <w:pPr>
              <w:pStyle w:val="TableorFigurefootnote"/>
              <w:jc w:val="center"/>
              <w:rPr>
                <w:szCs w:val="24"/>
              </w:rPr>
            </w:pPr>
            <w:r w:rsidRPr="00430D07">
              <w:rPr>
                <w:szCs w:val="24"/>
              </w:rPr>
              <w:t>29 Q1</w:t>
            </w:r>
          </w:p>
        </w:tc>
        <w:tc>
          <w:tcPr>
            <w:tcW w:w="408" w:type="dxa"/>
            <w:tcBorders>
              <w:top w:val="single" w:sz="8" w:space="0" w:color="000000" w:themeColor="text1"/>
              <w:bottom w:val="single" w:sz="8" w:space="0" w:color="000000" w:themeColor="text1"/>
              <w:right w:val="single" w:sz="8" w:space="0" w:color="000000" w:themeColor="text1"/>
            </w:tcBorders>
          </w:tcPr>
          <w:p w14:paraId="7EB941C5" w14:textId="77777777" w:rsidR="00430D07" w:rsidRPr="00430D07" w:rsidRDefault="00430D07" w:rsidP="002C13E9">
            <w:pPr>
              <w:pStyle w:val="TableorFigurefootnote"/>
              <w:jc w:val="center"/>
              <w:rPr>
                <w:szCs w:val="24"/>
              </w:rPr>
            </w:pPr>
            <w:r w:rsidRPr="00430D07">
              <w:rPr>
                <w:szCs w:val="24"/>
              </w:rPr>
              <w:t>29 Q2</w:t>
            </w:r>
          </w:p>
        </w:tc>
      </w:tr>
      <w:tr w:rsidR="0020559B" w:rsidRPr="00430D07" w14:paraId="5B1DEA52" w14:textId="77777777" w:rsidTr="002C13E9">
        <w:trPr>
          <w:cnfStyle w:val="100000000000" w:firstRow="1" w:lastRow="0" w:firstColumn="0" w:lastColumn="0" w:oddVBand="0" w:evenVBand="0" w:oddHBand="0" w:evenHBand="0" w:firstRowFirstColumn="0" w:firstRowLastColumn="0" w:lastRowFirstColumn="0" w:lastRowLastColumn="0"/>
          <w:trHeight w:val="243"/>
          <w:tblHeader/>
        </w:trPr>
        <w:tc>
          <w:tcPr>
            <w:tcW w:w="2922" w:type="dxa"/>
            <w:tcBorders>
              <w:bottom w:val="single" w:sz="4" w:space="0" w:color="BFBFBF" w:themeColor="background1" w:themeShade="BF"/>
              <w:right w:val="single" w:sz="8" w:space="0" w:color="000000" w:themeColor="text1"/>
            </w:tcBorders>
            <w:noWrap/>
          </w:tcPr>
          <w:p w14:paraId="0ABDA8E9" w14:textId="77777777" w:rsidR="00430D07" w:rsidRPr="00430D07" w:rsidRDefault="00430D07" w:rsidP="00430D07">
            <w:pPr>
              <w:pStyle w:val="TableorFigurefootnote"/>
              <w:rPr>
                <w:b w:val="0"/>
                <w:bCs w:val="0"/>
                <w:szCs w:val="24"/>
              </w:rPr>
            </w:pPr>
            <w:r w:rsidRPr="00430D07">
              <w:rPr>
                <w:szCs w:val="24"/>
              </w:rPr>
              <w:t>Calendar Year</w:t>
            </w:r>
          </w:p>
        </w:tc>
        <w:tc>
          <w:tcPr>
            <w:tcW w:w="408" w:type="dxa"/>
            <w:tcBorders>
              <w:top w:val="single" w:sz="8" w:space="0" w:color="000000" w:themeColor="text1"/>
              <w:left w:val="single" w:sz="8" w:space="0" w:color="000000" w:themeColor="text1"/>
              <w:bottom w:val="single" w:sz="8" w:space="0" w:color="000000" w:themeColor="text1"/>
            </w:tcBorders>
            <w:shd w:val="clear" w:color="auto" w:fill="C2E3FF" w:themeFill="accent1" w:themeFillTint="33"/>
          </w:tcPr>
          <w:p w14:paraId="2905988F" w14:textId="77777777" w:rsidR="00430D07" w:rsidRPr="00430D07" w:rsidRDefault="00430D07" w:rsidP="002C13E9">
            <w:pPr>
              <w:pStyle w:val="TableorFigurefootnote"/>
              <w:jc w:val="center"/>
              <w:rPr>
                <w:szCs w:val="24"/>
              </w:rPr>
            </w:pPr>
            <w:r w:rsidRPr="00430D07">
              <w:rPr>
                <w:szCs w:val="24"/>
              </w:rPr>
              <w:t>22  Q3</w:t>
            </w:r>
          </w:p>
        </w:tc>
        <w:tc>
          <w:tcPr>
            <w:tcW w:w="408" w:type="dxa"/>
            <w:tcBorders>
              <w:top w:val="single" w:sz="8" w:space="0" w:color="000000" w:themeColor="text1"/>
              <w:bottom w:val="single" w:sz="8" w:space="0" w:color="000000" w:themeColor="text1"/>
              <w:right w:val="single" w:sz="8" w:space="0" w:color="000000" w:themeColor="text1"/>
            </w:tcBorders>
            <w:shd w:val="clear" w:color="auto" w:fill="C2E3FF" w:themeFill="accent1" w:themeFillTint="33"/>
          </w:tcPr>
          <w:p w14:paraId="56BA7C57" w14:textId="77777777" w:rsidR="00430D07" w:rsidRPr="00430D07" w:rsidRDefault="00430D07" w:rsidP="002C13E9">
            <w:pPr>
              <w:pStyle w:val="TableorFigurefootnote"/>
              <w:jc w:val="center"/>
              <w:rPr>
                <w:szCs w:val="24"/>
              </w:rPr>
            </w:pPr>
            <w:r w:rsidRPr="00430D07">
              <w:rPr>
                <w:szCs w:val="24"/>
              </w:rPr>
              <w:t>22 Q4</w:t>
            </w:r>
          </w:p>
        </w:tc>
        <w:tc>
          <w:tcPr>
            <w:tcW w:w="408" w:type="dxa"/>
            <w:tcBorders>
              <w:top w:val="single" w:sz="8" w:space="0" w:color="000000" w:themeColor="text1"/>
              <w:left w:val="single" w:sz="8" w:space="0" w:color="000000" w:themeColor="text1"/>
              <w:bottom w:val="single" w:sz="8" w:space="0" w:color="000000" w:themeColor="text1"/>
            </w:tcBorders>
          </w:tcPr>
          <w:p w14:paraId="4B410001" w14:textId="77777777" w:rsidR="00430D07" w:rsidRPr="00430D07" w:rsidRDefault="00430D07" w:rsidP="002C13E9">
            <w:pPr>
              <w:pStyle w:val="TableorFigurefootnote"/>
              <w:jc w:val="center"/>
              <w:rPr>
                <w:szCs w:val="24"/>
              </w:rPr>
            </w:pPr>
            <w:r w:rsidRPr="00430D07">
              <w:rPr>
                <w:szCs w:val="24"/>
              </w:rPr>
              <w:t>23 Q1</w:t>
            </w:r>
          </w:p>
        </w:tc>
        <w:tc>
          <w:tcPr>
            <w:tcW w:w="408" w:type="dxa"/>
            <w:tcBorders>
              <w:top w:val="single" w:sz="8" w:space="0" w:color="000000" w:themeColor="text1"/>
              <w:bottom w:val="single" w:sz="8" w:space="0" w:color="000000" w:themeColor="text1"/>
            </w:tcBorders>
          </w:tcPr>
          <w:p w14:paraId="17A9FD82" w14:textId="77777777" w:rsidR="00430D07" w:rsidRPr="00430D07" w:rsidRDefault="00430D07" w:rsidP="002C13E9">
            <w:pPr>
              <w:pStyle w:val="TableorFigurefootnote"/>
              <w:jc w:val="center"/>
              <w:rPr>
                <w:szCs w:val="24"/>
              </w:rPr>
            </w:pPr>
            <w:r w:rsidRPr="00430D07">
              <w:rPr>
                <w:szCs w:val="24"/>
              </w:rPr>
              <w:t>23 Q2</w:t>
            </w:r>
          </w:p>
        </w:tc>
        <w:tc>
          <w:tcPr>
            <w:tcW w:w="408" w:type="dxa"/>
            <w:tcBorders>
              <w:top w:val="single" w:sz="8" w:space="0" w:color="000000" w:themeColor="text1"/>
              <w:bottom w:val="single" w:sz="8" w:space="0" w:color="000000" w:themeColor="text1"/>
            </w:tcBorders>
          </w:tcPr>
          <w:p w14:paraId="6F6F2137" w14:textId="77777777" w:rsidR="00430D07" w:rsidRPr="00430D07" w:rsidRDefault="00430D07" w:rsidP="002C13E9">
            <w:pPr>
              <w:pStyle w:val="TableorFigurefootnote"/>
              <w:jc w:val="center"/>
              <w:rPr>
                <w:szCs w:val="24"/>
              </w:rPr>
            </w:pPr>
            <w:r w:rsidRPr="00430D07">
              <w:rPr>
                <w:szCs w:val="24"/>
              </w:rPr>
              <w:t>23 Q3</w:t>
            </w:r>
          </w:p>
        </w:tc>
        <w:tc>
          <w:tcPr>
            <w:tcW w:w="408" w:type="dxa"/>
            <w:tcBorders>
              <w:top w:val="single" w:sz="8" w:space="0" w:color="000000" w:themeColor="text1"/>
              <w:bottom w:val="single" w:sz="8" w:space="0" w:color="000000" w:themeColor="text1"/>
              <w:right w:val="single" w:sz="8" w:space="0" w:color="000000" w:themeColor="text1"/>
            </w:tcBorders>
          </w:tcPr>
          <w:p w14:paraId="155A35A4" w14:textId="77777777" w:rsidR="00430D07" w:rsidRPr="00430D07" w:rsidRDefault="00430D07" w:rsidP="002C13E9">
            <w:pPr>
              <w:pStyle w:val="TableorFigurefootnote"/>
              <w:jc w:val="center"/>
              <w:rPr>
                <w:szCs w:val="24"/>
              </w:rPr>
            </w:pPr>
            <w:r w:rsidRPr="00430D07">
              <w:rPr>
                <w:szCs w:val="24"/>
              </w:rPr>
              <w:t>23 Q4</w:t>
            </w:r>
          </w:p>
        </w:tc>
        <w:tc>
          <w:tcPr>
            <w:tcW w:w="408" w:type="dxa"/>
            <w:tcBorders>
              <w:top w:val="single" w:sz="8" w:space="0" w:color="000000" w:themeColor="text1"/>
              <w:left w:val="single" w:sz="8" w:space="0" w:color="000000" w:themeColor="text1"/>
              <w:bottom w:val="single" w:sz="8" w:space="0" w:color="000000" w:themeColor="text1"/>
            </w:tcBorders>
            <w:shd w:val="clear" w:color="auto" w:fill="C2E3FF" w:themeFill="accent1" w:themeFillTint="33"/>
          </w:tcPr>
          <w:p w14:paraId="40C89564" w14:textId="77777777" w:rsidR="00430D07" w:rsidRPr="00430D07" w:rsidRDefault="00430D07" w:rsidP="002C13E9">
            <w:pPr>
              <w:pStyle w:val="TableorFigurefootnote"/>
              <w:jc w:val="center"/>
              <w:rPr>
                <w:szCs w:val="24"/>
              </w:rPr>
            </w:pPr>
            <w:r w:rsidRPr="00430D07">
              <w:rPr>
                <w:szCs w:val="24"/>
              </w:rPr>
              <w:t>24 Q1</w:t>
            </w:r>
          </w:p>
        </w:tc>
        <w:tc>
          <w:tcPr>
            <w:tcW w:w="408" w:type="dxa"/>
            <w:tcBorders>
              <w:top w:val="single" w:sz="8" w:space="0" w:color="000000" w:themeColor="text1"/>
              <w:bottom w:val="single" w:sz="8" w:space="0" w:color="000000" w:themeColor="text1"/>
            </w:tcBorders>
            <w:shd w:val="clear" w:color="auto" w:fill="C2E3FF" w:themeFill="accent1" w:themeFillTint="33"/>
          </w:tcPr>
          <w:p w14:paraId="6A17FBBC" w14:textId="77777777" w:rsidR="00430D07" w:rsidRPr="00430D07" w:rsidRDefault="00430D07" w:rsidP="002C13E9">
            <w:pPr>
              <w:pStyle w:val="TableorFigurefootnote"/>
              <w:jc w:val="center"/>
              <w:rPr>
                <w:szCs w:val="24"/>
              </w:rPr>
            </w:pPr>
            <w:r w:rsidRPr="00430D07">
              <w:rPr>
                <w:szCs w:val="24"/>
              </w:rPr>
              <w:t>24 Q2</w:t>
            </w:r>
          </w:p>
        </w:tc>
        <w:tc>
          <w:tcPr>
            <w:tcW w:w="408" w:type="dxa"/>
            <w:tcBorders>
              <w:top w:val="single" w:sz="8" w:space="0" w:color="000000" w:themeColor="text1"/>
              <w:bottom w:val="single" w:sz="8" w:space="0" w:color="000000" w:themeColor="text1"/>
            </w:tcBorders>
            <w:shd w:val="clear" w:color="auto" w:fill="C2E3FF" w:themeFill="accent1" w:themeFillTint="33"/>
          </w:tcPr>
          <w:p w14:paraId="35215668" w14:textId="77777777" w:rsidR="00430D07" w:rsidRPr="00430D07" w:rsidRDefault="00430D07" w:rsidP="002C13E9">
            <w:pPr>
              <w:pStyle w:val="TableorFigurefootnote"/>
              <w:jc w:val="center"/>
              <w:rPr>
                <w:szCs w:val="24"/>
              </w:rPr>
            </w:pPr>
            <w:r w:rsidRPr="00430D07">
              <w:rPr>
                <w:szCs w:val="24"/>
              </w:rPr>
              <w:t>24 Q3</w:t>
            </w:r>
          </w:p>
        </w:tc>
        <w:tc>
          <w:tcPr>
            <w:tcW w:w="408" w:type="dxa"/>
            <w:tcBorders>
              <w:top w:val="single" w:sz="8" w:space="0" w:color="000000" w:themeColor="text1"/>
              <w:bottom w:val="single" w:sz="8" w:space="0" w:color="000000" w:themeColor="text1"/>
              <w:right w:val="single" w:sz="8" w:space="0" w:color="000000" w:themeColor="text1"/>
            </w:tcBorders>
            <w:shd w:val="clear" w:color="auto" w:fill="C2E3FF" w:themeFill="accent1" w:themeFillTint="33"/>
          </w:tcPr>
          <w:p w14:paraId="5AFC97F7" w14:textId="77777777" w:rsidR="00430D07" w:rsidRPr="00430D07" w:rsidRDefault="00430D07" w:rsidP="002C13E9">
            <w:pPr>
              <w:pStyle w:val="TableorFigurefootnote"/>
              <w:jc w:val="center"/>
              <w:rPr>
                <w:szCs w:val="24"/>
              </w:rPr>
            </w:pPr>
            <w:r w:rsidRPr="00430D07">
              <w:rPr>
                <w:szCs w:val="24"/>
              </w:rPr>
              <w:t>24 Q4</w:t>
            </w:r>
          </w:p>
        </w:tc>
        <w:tc>
          <w:tcPr>
            <w:tcW w:w="408" w:type="dxa"/>
            <w:tcBorders>
              <w:top w:val="single" w:sz="8" w:space="0" w:color="000000" w:themeColor="text1"/>
              <w:left w:val="single" w:sz="8" w:space="0" w:color="000000" w:themeColor="text1"/>
              <w:bottom w:val="single" w:sz="8" w:space="0" w:color="000000" w:themeColor="text1"/>
            </w:tcBorders>
          </w:tcPr>
          <w:p w14:paraId="275EC3D0" w14:textId="77777777" w:rsidR="00430D07" w:rsidRPr="00430D07" w:rsidRDefault="00430D07" w:rsidP="002C13E9">
            <w:pPr>
              <w:pStyle w:val="TableorFigurefootnote"/>
              <w:jc w:val="center"/>
              <w:rPr>
                <w:szCs w:val="24"/>
              </w:rPr>
            </w:pPr>
            <w:r w:rsidRPr="00430D07">
              <w:rPr>
                <w:szCs w:val="24"/>
              </w:rPr>
              <w:t>25 Q1</w:t>
            </w:r>
          </w:p>
        </w:tc>
        <w:tc>
          <w:tcPr>
            <w:tcW w:w="408" w:type="dxa"/>
            <w:tcBorders>
              <w:top w:val="single" w:sz="8" w:space="0" w:color="000000" w:themeColor="text1"/>
              <w:bottom w:val="single" w:sz="8" w:space="0" w:color="000000" w:themeColor="text1"/>
            </w:tcBorders>
          </w:tcPr>
          <w:p w14:paraId="798AB74F" w14:textId="77777777" w:rsidR="00430D07" w:rsidRPr="00430D07" w:rsidRDefault="00430D07" w:rsidP="002C13E9">
            <w:pPr>
              <w:pStyle w:val="TableorFigurefootnote"/>
              <w:jc w:val="center"/>
              <w:rPr>
                <w:szCs w:val="24"/>
              </w:rPr>
            </w:pPr>
            <w:r w:rsidRPr="00430D07">
              <w:rPr>
                <w:szCs w:val="24"/>
              </w:rPr>
              <w:t>25 Q2</w:t>
            </w:r>
          </w:p>
        </w:tc>
        <w:tc>
          <w:tcPr>
            <w:tcW w:w="408" w:type="dxa"/>
            <w:tcBorders>
              <w:top w:val="single" w:sz="8" w:space="0" w:color="000000" w:themeColor="text1"/>
              <w:bottom w:val="single" w:sz="8" w:space="0" w:color="000000" w:themeColor="text1"/>
            </w:tcBorders>
          </w:tcPr>
          <w:p w14:paraId="59A74D1B" w14:textId="77777777" w:rsidR="00430D07" w:rsidRPr="00430D07" w:rsidRDefault="00430D07" w:rsidP="002C13E9">
            <w:pPr>
              <w:pStyle w:val="TableorFigurefootnote"/>
              <w:jc w:val="center"/>
              <w:rPr>
                <w:szCs w:val="24"/>
              </w:rPr>
            </w:pPr>
            <w:r w:rsidRPr="00430D07">
              <w:rPr>
                <w:szCs w:val="24"/>
              </w:rPr>
              <w:t>25 Q3</w:t>
            </w:r>
          </w:p>
        </w:tc>
        <w:tc>
          <w:tcPr>
            <w:tcW w:w="408" w:type="dxa"/>
            <w:tcBorders>
              <w:top w:val="single" w:sz="8" w:space="0" w:color="000000" w:themeColor="text1"/>
              <w:bottom w:val="single" w:sz="8" w:space="0" w:color="000000" w:themeColor="text1"/>
              <w:right w:val="single" w:sz="8" w:space="0" w:color="000000" w:themeColor="text1"/>
            </w:tcBorders>
          </w:tcPr>
          <w:p w14:paraId="0245E4F2" w14:textId="77777777" w:rsidR="00430D07" w:rsidRPr="00430D07" w:rsidRDefault="00430D07" w:rsidP="002C13E9">
            <w:pPr>
              <w:pStyle w:val="TableorFigurefootnote"/>
              <w:jc w:val="center"/>
              <w:rPr>
                <w:szCs w:val="24"/>
              </w:rPr>
            </w:pPr>
            <w:r w:rsidRPr="00430D07">
              <w:rPr>
                <w:szCs w:val="24"/>
              </w:rPr>
              <w:t>25 Q4</w:t>
            </w:r>
          </w:p>
        </w:tc>
        <w:tc>
          <w:tcPr>
            <w:tcW w:w="408" w:type="dxa"/>
            <w:tcBorders>
              <w:top w:val="single" w:sz="8" w:space="0" w:color="000000" w:themeColor="text1"/>
              <w:left w:val="single" w:sz="8" w:space="0" w:color="000000" w:themeColor="text1"/>
              <w:bottom w:val="single" w:sz="8" w:space="0" w:color="000000" w:themeColor="text1"/>
            </w:tcBorders>
            <w:shd w:val="clear" w:color="auto" w:fill="C2E3FF" w:themeFill="accent1" w:themeFillTint="33"/>
          </w:tcPr>
          <w:p w14:paraId="4E6CCD1D" w14:textId="77777777" w:rsidR="00430D07" w:rsidRPr="00430D07" w:rsidRDefault="00430D07" w:rsidP="002C13E9">
            <w:pPr>
              <w:pStyle w:val="TableorFigurefootnote"/>
              <w:jc w:val="center"/>
              <w:rPr>
                <w:szCs w:val="24"/>
              </w:rPr>
            </w:pPr>
            <w:r w:rsidRPr="00430D07">
              <w:rPr>
                <w:szCs w:val="24"/>
              </w:rPr>
              <w:t>26 Q1</w:t>
            </w:r>
          </w:p>
        </w:tc>
        <w:tc>
          <w:tcPr>
            <w:tcW w:w="408" w:type="dxa"/>
            <w:tcBorders>
              <w:top w:val="single" w:sz="8" w:space="0" w:color="000000" w:themeColor="text1"/>
              <w:bottom w:val="single" w:sz="8" w:space="0" w:color="000000" w:themeColor="text1"/>
            </w:tcBorders>
            <w:shd w:val="clear" w:color="auto" w:fill="C2E3FF" w:themeFill="accent1" w:themeFillTint="33"/>
          </w:tcPr>
          <w:p w14:paraId="3F05AA07" w14:textId="77777777" w:rsidR="00430D07" w:rsidRPr="00430D07" w:rsidRDefault="00430D07" w:rsidP="002C13E9">
            <w:pPr>
              <w:pStyle w:val="TableorFigurefootnote"/>
              <w:jc w:val="center"/>
              <w:rPr>
                <w:szCs w:val="24"/>
              </w:rPr>
            </w:pPr>
            <w:r w:rsidRPr="00430D07">
              <w:rPr>
                <w:szCs w:val="24"/>
              </w:rPr>
              <w:t>26 Q2</w:t>
            </w:r>
          </w:p>
        </w:tc>
        <w:tc>
          <w:tcPr>
            <w:tcW w:w="408" w:type="dxa"/>
            <w:tcBorders>
              <w:top w:val="single" w:sz="8" w:space="0" w:color="000000" w:themeColor="text1"/>
              <w:bottom w:val="single" w:sz="8" w:space="0" w:color="000000" w:themeColor="text1"/>
            </w:tcBorders>
            <w:shd w:val="clear" w:color="auto" w:fill="C2E3FF" w:themeFill="accent1" w:themeFillTint="33"/>
          </w:tcPr>
          <w:p w14:paraId="5758ACE0" w14:textId="77777777" w:rsidR="00430D07" w:rsidRPr="00430D07" w:rsidRDefault="00430D07" w:rsidP="002C13E9">
            <w:pPr>
              <w:pStyle w:val="TableorFigurefootnote"/>
              <w:jc w:val="center"/>
              <w:rPr>
                <w:szCs w:val="24"/>
              </w:rPr>
            </w:pPr>
            <w:r w:rsidRPr="00430D07">
              <w:rPr>
                <w:szCs w:val="24"/>
              </w:rPr>
              <w:t>26 Q3</w:t>
            </w:r>
          </w:p>
        </w:tc>
        <w:tc>
          <w:tcPr>
            <w:tcW w:w="408" w:type="dxa"/>
            <w:tcBorders>
              <w:top w:val="single" w:sz="8" w:space="0" w:color="000000" w:themeColor="text1"/>
              <w:bottom w:val="single" w:sz="8" w:space="0" w:color="000000" w:themeColor="text1"/>
              <w:right w:val="single" w:sz="8" w:space="0" w:color="000000" w:themeColor="text1"/>
            </w:tcBorders>
            <w:shd w:val="clear" w:color="auto" w:fill="C2E3FF" w:themeFill="accent1" w:themeFillTint="33"/>
          </w:tcPr>
          <w:p w14:paraId="7FED0183" w14:textId="77777777" w:rsidR="00430D07" w:rsidRPr="00430D07" w:rsidRDefault="00430D07" w:rsidP="002C13E9">
            <w:pPr>
              <w:pStyle w:val="TableorFigurefootnote"/>
              <w:jc w:val="center"/>
              <w:rPr>
                <w:szCs w:val="24"/>
              </w:rPr>
            </w:pPr>
            <w:r w:rsidRPr="00430D07">
              <w:rPr>
                <w:szCs w:val="24"/>
              </w:rPr>
              <w:t>26 Q4</w:t>
            </w:r>
          </w:p>
        </w:tc>
        <w:tc>
          <w:tcPr>
            <w:tcW w:w="408" w:type="dxa"/>
            <w:tcBorders>
              <w:top w:val="single" w:sz="8" w:space="0" w:color="000000" w:themeColor="text1"/>
              <w:left w:val="single" w:sz="8" w:space="0" w:color="000000" w:themeColor="text1"/>
              <w:bottom w:val="single" w:sz="8" w:space="0" w:color="000000" w:themeColor="text1"/>
            </w:tcBorders>
          </w:tcPr>
          <w:p w14:paraId="425FED42" w14:textId="77777777" w:rsidR="00430D07" w:rsidRPr="00430D07" w:rsidRDefault="00430D07" w:rsidP="002C13E9">
            <w:pPr>
              <w:pStyle w:val="TableorFigurefootnote"/>
              <w:jc w:val="center"/>
              <w:rPr>
                <w:szCs w:val="24"/>
              </w:rPr>
            </w:pPr>
            <w:r w:rsidRPr="00430D07">
              <w:rPr>
                <w:szCs w:val="24"/>
              </w:rPr>
              <w:t>27 Q1</w:t>
            </w:r>
          </w:p>
        </w:tc>
        <w:tc>
          <w:tcPr>
            <w:tcW w:w="408" w:type="dxa"/>
            <w:tcBorders>
              <w:top w:val="single" w:sz="8" w:space="0" w:color="000000" w:themeColor="text1"/>
              <w:bottom w:val="single" w:sz="8" w:space="0" w:color="000000" w:themeColor="text1"/>
            </w:tcBorders>
          </w:tcPr>
          <w:p w14:paraId="751DE1C1" w14:textId="77777777" w:rsidR="00430D07" w:rsidRPr="00430D07" w:rsidRDefault="00430D07" w:rsidP="002C13E9">
            <w:pPr>
              <w:pStyle w:val="TableorFigurefootnote"/>
              <w:jc w:val="center"/>
              <w:rPr>
                <w:szCs w:val="24"/>
              </w:rPr>
            </w:pPr>
            <w:r w:rsidRPr="00430D07">
              <w:rPr>
                <w:szCs w:val="24"/>
              </w:rPr>
              <w:t>27 Q2</w:t>
            </w:r>
          </w:p>
        </w:tc>
        <w:tc>
          <w:tcPr>
            <w:tcW w:w="408" w:type="dxa"/>
            <w:tcBorders>
              <w:top w:val="single" w:sz="8" w:space="0" w:color="000000" w:themeColor="text1"/>
              <w:bottom w:val="single" w:sz="8" w:space="0" w:color="000000" w:themeColor="text1"/>
            </w:tcBorders>
          </w:tcPr>
          <w:p w14:paraId="166A8EB8" w14:textId="77777777" w:rsidR="00430D07" w:rsidRPr="00430D07" w:rsidRDefault="00430D07" w:rsidP="002C13E9">
            <w:pPr>
              <w:pStyle w:val="TableorFigurefootnote"/>
              <w:jc w:val="center"/>
              <w:rPr>
                <w:szCs w:val="24"/>
              </w:rPr>
            </w:pPr>
            <w:r w:rsidRPr="00430D07">
              <w:rPr>
                <w:szCs w:val="24"/>
              </w:rPr>
              <w:t>27 Q3</w:t>
            </w:r>
          </w:p>
        </w:tc>
        <w:tc>
          <w:tcPr>
            <w:tcW w:w="408" w:type="dxa"/>
            <w:tcBorders>
              <w:top w:val="single" w:sz="8" w:space="0" w:color="000000" w:themeColor="text1"/>
              <w:bottom w:val="single" w:sz="8" w:space="0" w:color="000000" w:themeColor="text1"/>
              <w:right w:val="single" w:sz="8" w:space="0" w:color="000000" w:themeColor="text1"/>
            </w:tcBorders>
          </w:tcPr>
          <w:p w14:paraId="10F1E803" w14:textId="77777777" w:rsidR="00430D07" w:rsidRPr="00430D07" w:rsidRDefault="00430D07" w:rsidP="002C13E9">
            <w:pPr>
              <w:pStyle w:val="TableorFigurefootnote"/>
              <w:jc w:val="center"/>
              <w:rPr>
                <w:szCs w:val="24"/>
              </w:rPr>
            </w:pPr>
            <w:r w:rsidRPr="00430D07">
              <w:rPr>
                <w:szCs w:val="24"/>
              </w:rPr>
              <w:t>27 Q4</w:t>
            </w:r>
          </w:p>
        </w:tc>
        <w:tc>
          <w:tcPr>
            <w:tcW w:w="408" w:type="dxa"/>
            <w:tcBorders>
              <w:top w:val="single" w:sz="8" w:space="0" w:color="000000" w:themeColor="text1"/>
              <w:left w:val="single" w:sz="8" w:space="0" w:color="000000" w:themeColor="text1"/>
              <w:bottom w:val="single" w:sz="8" w:space="0" w:color="000000" w:themeColor="text1"/>
            </w:tcBorders>
            <w:shd w:val="clear" w:color="auto" w:fill="C2E3FF" w:themeFill="accent1" w:themeFillTint="33"/>
          </w:tcPr>
          <w:p w14:paraId="2B5E734A" w14:textId="77777777" w:rsidR="00430D07" w:rsidRPr="00430D07" w:rsidRDefault="00430D07" w:rsidP="002C13E9">
            <w:pPr>
              <w:pStyle w:val="TableorFigurefootnote"/>
              <w:jc w:val="center"/>
              <w:rPr>
                <w:szCs w:val="24"/>
              </w:rPr>
            </w:pPr>
            <w:r w:rsidRPr="00430D07">
              <w:rPr>
                <w:szCs w:val="24"/>
              </w:rPr>
              <w:t>28 Q1</w:t>
            </w:r>
          </w:p>
        </w:tc>
        <w:tc>
          <w:tcPr>
            <w:tcW w:w="408" w:type="dxa"/>
            <w:tcBorders>
              <w:top w:val="single" w:sz="8" w:space="0" w:color="000000" w:themeColor="text1"/>
              <w:bottom w:val="single" w:sz="8" w:space="0" w:color="000000" w:themeColor="text1"/>
            </w:tcBorders>
            <w:shd w:val="clear" w:color="auto" w:fill="C2E3FF" w:themeFill="accent1" w:themeFillTint="33"/>
          </w:tcPr>
          <w:p w14:paraId="61799A33" w14:textId="77777777" w:rsidR="00430D07" w:rsidRPr="00430D07" w:rsidRDefault="00430D07" w:rsidP="002C13E9">
            <w:pPr>
              <w:pStyle w:val="TableorFigurefootnote"/>
              <w:jc w:val="center"/>
              <w:rPr>
                <w:szCs w:val="24"/>
              </w:rPr>
            </w:pPr>
            <w:r w:rsidRPr="00430D07">
              <w:rPr>
                <w:szCs w:val="24"/>
              </w:rPr>
              <w:t>28 Q2</w:t>
            </w:r>
          </w:p>
        </w:tc>
        <w:tc>
          <w:tcPr>
            <w:tcW w:w="408" w:type="dxa"/>
            <w:tcBorders>
              <w:top w:val="single" w:sz="8" w:space="0" w:color="000000" w:themeColor="text1"/>
              <w:bottom w:val="single" w:sz="8" w:space="0" w:color="000000" w:themeColor="text1"/>
            </w:tcBorders>
            <w:shd w:val="clear" w:color="auto" w:fill="C2E3FF" w:themeFill="accent1" w:themeFillTint="33"/>
          </w:tcPr>
          <w:p w14:paraId="111D78D6" w14:textId="77777777" w:rsidR="00430D07" w:rsidRPr="00430D07" w:rsidRDefault="00430D07" w:rsidP="002C13E9">
            <w:pPr>
              <w:pStyle w:val="TableorFigurefootnote"/>
              <w:jc w:val="center"/>
              <w:rPr>
                <w:szCs w:val="24"/>
              </w:rPr>
            </w:pPr>
            <w:r w:rsidRPr="00430D07">
              <w:rPr>
                <w:szCs w:val="24"/>
              </w:rPr>
              <w:t>28 Q3</w:t>
            </w:r>
          </w:p>
        </w:tc>
        <w:tc>
          <w:tcPr>
            <w:tcW w:w="408" w:type="dxa"/>
            <w:tcBorders>
              <w:top w:val="single" w:sz="8" w:space="0" w:color="000000" w:themeColor="text1"/>
              <w:bottom w:val="single" w:sz="8" w:space="0" w:color="000000" w:themeColor="text1"/>
              <w:right w:val="single" w:sz="8" w:space="0" w:color="000000" w:themeColor="text1"/>
            </w:tcBorders>
            <w:shd w:val="clear" w:color="auto" w:fill="C2E3FF" w:themeFill="accent1" w:themeFillTint="33"/>
          </w:tcPr>
          <w:p w14:paraId="32B16935" w14:textId="77777777" w:rsidR="00430D07" w:rsidRPr="00430D07" w:rsidRDefault="00430D07" w:rsidP="002C13E9">
            <w:pPr>
              <w:pStyle w:val="TableorFigurefootnote"/>
              <w:jc w:val="center"/>
              <w:rPr>
                <w:szCs w:val="24"/>
              </w:rPr>
            </w:pPr>
            <w:r w:rsidRPr="00430D07">
              <w:rPr>
                <w:szCs w:val="24"/>
              </w:rPr>
              <w:t>28 Q4</w:t>
            </w:r>
          </w:p>
        </w:tc>
      </w:tr>
      <w:tr w:rsidR="0020559B" w:rsidRPr="00430D07" w14:paraId="084BEBE5" w14:textId="77777777" w:rsidTr="002C13E9">
        <w:tblPrEx>
          <w:tblCellMar>
            <w:top w:w="43" w:type="dxa"/>
            <w:bottom w:w="0" w:type="dxa"/>
          </w:tblCellMar>
        </w:tblPrEx>
        <w:trPr>
          <w:cnfStyle w:val="000000100000" w:firstRow="0" w:lastRow="0" w:firstColumn="0" w:lastColumn="0" w:oddVBand="0" w:evenVBand="0" w:oddHBand="1" w:evenHBand="0" w:firstRowFirstColumn="0" w:firstRowLastColumn="0" w:lastRowFirstColumn="0" w:lastRowLastColumn="0"/>
          <w:trHeight w:val="136"/>
        </w:trPr>
        <w:tc>
          <w:tcPr>
            <w:tcW w:w="0" w:type="dxa"/>
            <w:tcBorders>
              <w:bottom w:val="single" w:sz="12" w:space="0" w:color="auto"/>
              <w:right w:val="single" w:sz="4" w:space="0" w:color="BFBFBF"/>
            </w:tcBorders>
            <w:noWrap/>
          </w:tcPr>
          <w:p w14:paraId="25B3445A" w14:textId="77777777" w:rsidR="00430D07" w:rsidRPr="00430D07" w:rsidRDefault="00430D07" w:rsidP="00430D07">
            <w:pPr>
              <w:pStyle w:val="TableorFigurefootnote"/>
              <w:rPr>
                <w:b/>
                <w:bCs/>
                <w:szCs w:val="24"/>
              </w:rPr>
            </w:pPr>
            <w:r w:rsidRPr="00430D07">
              <w:rPr>
                <w:b/>
                <w:bCs/>
                <w:szCs w:val="24"/>
              </w:rPr>
              <w:t>Demonstration Project</w:t>
            </w:r>
          </w:p>
        </w:tc>
        <w:tc>
          <w:tcPr>
            <w:tcW w:w="0" w:type="dxa"/>
            <w:tcBorders>
              <w:top w:val="single" w:sz="8" w:space="0" w:color="000000" w:themeColor="text1"/>
              <w:left w:val="single" w:sz="4" w:space="0" w:color="BFBFBF"/>
              <w:bottom w:val="single" w:sz="12" w:space="0" w:color="auto"/>
            </w:tcBorders>
            <w:shd w:val="clear" w:color="auto" w:fill="B0DF9B" w:themeFill="accent4" w:themeFillTint="66"/>
          </w:tcPr>
          <w:p w14:paraId="6951EE22" w14:textId="77777777" w:rsidR="00430D07" w:rsidRPr="00430D07" w:rsidRDefault="00430D07" w:rsidP="002C13E9">
            <w:pPr>
              <w:pStyle w:val="TableorFigurefootnote"/>
              <w:jc w:val="center"/>
              <w:rPr>
                <w:szCs w:val="24"/>
              </w:rPr>
            </w:pPr>
            <w:r w:rsidRPr="00430D07">
              <w:rPr>
                <w:szCs w:val="24"/>
              </w:rPr>
              <w:t>X</w:t>
            </w:r>
          </w:p>
        </w:tc>
        <w:tc>
          <w:tcPr>
            <w:tcW w:w="0" w:type="dxa"/>
            <w:tcBorders>
              <w:top w:val="single" w:sz="8" w:space="0" w:color="000000" w:themeColor="text1"/>
              <w:bottom w:val="single" w:sz="12" w:space="0" w:color="auto"/>
            </w:tcBorders>
            <w:shd w:val="clear" w:color="auto" w:fill="B0DF9B" w:themeFill="accent4" w:themeFillTint="66"/>
          </w:tcPr>
          <w:p w14:paraId="07298C76" w14:textId="77777777" w:rsidR="00430D07" w:rsidRPr="00430D07" w:rsidRDefault="00430D07" w:rsidP="002C13E9">
            <w:pPr>
              <w:pStyle w:val="TableorFigurefootnote"/>
              <w:jc w:val="center"/>
              <w:rPr>
                <w:szCs w:val="24"/>
              </w:rPr>
            </w:pPr>
            <w:r w:rsidRPr="00430D07">
              <w:rPr>
                <w:szCs w:val="24"/>
              </w:rPr>
              <w:t>c</w:t>
            </w:r>
          </w:p>
        </w:tc>
        <w:tc>
          <w:tcPr>
            <w:tcW w:w="0" w:type="dxa"/>
            <w:tcBorders>
              <w:top w:val="single" w:sz="8" w:space="0" w:color="000000" w:themeColor="text1"/>
              <w:bottom w:val="single" w:sz="12" w:space="0" w:color="auto"/>
            </w:tcBorders>
            <w:shd w:val="clear" w:color="auto" w:fill="B0DF9B" w:themeFill="accent4" w:themeFillTint="66"/>
          </w:tcPr>
          <w:p w14:paraId="5FFE32E1" w14:textId="77777777" w:rsidR="00430D07" w:rsidRPr="00430D07" w:rsidRDefault="00430D07" w:rsidP="002C13E9">
            <w:pPr>
              <w:pStyle w:val="TableorFigurefootnote"/>
              <w:jc w:val="center"/>
              <w:rPr>
                <w:szCs w:val="24"/>
              </w:rPr>
            </w:pPr>
            <w:r w:rsidRPr="00430D07">
              <w:rPr>
                <w:szCs w:val="24"/>
              </w:rPr>
              <w:t>c</w:t>
            </w:r>
          </w:p>
        </w:tc>
        <w:tc>
          <w:tcPr>
            <w:tcW w:w="0" w:type="dxa"/>
            <w:tcBorders>
              <w:top w:val="single" w:sz="8" w:space="0" w:color="000000" w:themeColor="text1"/>
              <w:bottom w:val="single" w:sz="12" w:space="0" w:color="auto"/>
            </w:tcBorders>
            <w:shd w:val="clear" w:color="auto" w:fill="B0DF9B" w:themeFill="accent4" w:themeFillTint="66"/>
          </w:tcPr>
          <w:p w14:paraId="35F2BB6E" w14:textId="77777777" w:rsidR="00430D07" w:rsidRPr="00430D07" w:rsidRDefault="00430D07" w:rsidP="002C13E9">
            <w:pPr>
              <w:pStyle w:val="TableorFigurefootnote"/>
              <w:jc w:val="center"/>
              <w:rPr>
                <w:szCs w:val="24"/>
              </w:rPr>
            </w:pPr>
            <w:r w:rsidRPr="00430D07">
              <w:rPr>
                <w:szCs w:val="24"/>
              </w:rPr>
              <w:t>c</w:t>
            </w:r>
          </w:p>
        </w:tc>
        <w:tc>
          <w:tcPr>
            <w:tcW w:w="0" w:type="dxa"/>
            <w:tcBorders>
              <w:top w:val="single" w:sz="8" w:space="0" w:color="000000" w:themeColor="text1"/>
              <w:bottom w:val="single" w:sz="12" w:space="0" w:color="auto"/>
            </w:tcBorders>
            <w:shd w:val="clear" w:color="auto" w:fill="B0DF9B" w:themeFill="accent4" w:themeFillTint="66"/>
          </w:tcPr>
          <w:p w14:paraId="3C0D2EB2" w14:textId="77777777" w:rsidR="00430D07" w:rsidRPr="00430D07" w:rsidRDefault="00430D07" w:rsidP="002C13E9">
            <w:pPr>
              <w:pStyle w:val="TableorFigurefootnote"/>
              <w:jc w:val="center"/>
              <w:rPr>
                <w:szCs w:val="24"/>
              </w:rPr>
            </w:pPr>
            <w:r w:rsidRPr="00430D07">
              <w:rPr>
                <w:szCs w:val="24"/>
              </w:rPr>
              <w:t>c</w:t>
            </w:r>
          </w:p>
        </w:tc>
        <w:tc>
          <w:tcPr>
            <w:tcW w:w="0" w:type="dxa"/>
            <w:tcBorders>
              <w:top w:val="single" w:sz="8" w:space="0" w:color="000000" w:themeColor="text1"/>
              <w:bottom w:val="single" w:sz="12" w:space="0" w:color="auto"/>
            </w:tcBorders>
            <w:shd w:val="clear" w:color="auto" w:fill="B0DF9B" w:themeFill="accent4" w:themeFillTint="66"/>
          </w:tcPr>
          <w:p w14:paraId="60C5444B" w14:textId="77777777" w:rsidR="00430D07" w:rsidRPr="00430D07" w:rsidRDefault="00430D07" w:rsidP="002C13E9">
            <w:pPr>
              <w:pStyle w:val="TableorFigurefootnote"/>
              <w:jc w:val="center"/>
              <w:rPr>
                <w:szCs w:val="24"/>
              </w:rPr>
            </w:pPr>
            <w:r w:rsidRPr="00430D07">
              <w:rPr>
                <w:szCs w:val="24"/>
              </w:rPr>
              <w:t>c</w:t>
            </w:r>
          </w:p>
        </w:tc>
        <w:tc>
          <w:tcPr>
            <w:tcW w:w="0" w:type="dxa"/>
            <w:tcBorders>
              <w:top w:val="single" w:sz="8" w:space="0" w:color="000000" w:themeColor="text1"/>
              <w:bottom w:val="single" w:sz="12" w:space="0" w:color="auto"/>
            </w:tcBorders>
            <w:shd w:val="clear" w:color="auto" w:fill="B0DF9B" w:themeFill="accent4" w:themeFillTint="66"/>
          </w:tcPr>
          <w:p w14:paraId="0AD9E517" w14:textId="77777777" w:rsidR="00430D07" w:rsidRPr="00430D07" w:rsidRDefault="00430D07" w:rsidP="002C13E9">
            <w:pPr>
              <w:pStyle w:val="TableorFigurefootnote"/>
              <w:jc w:val="center"/>
              <w:rPr>
                <w:szCs w:val="24"/>
              </w:rPr>
            </w:pPr>
            <w:r w:rsidRPr="00430D07">
              <w:rPr>
                <w:szCs w:val="24"/>
              </w:rPr>
              <w:t>c</w:t>
            </w:r>
          </w:p>
        </w:tc>
        <w:tc>
          <w:tcPr>
            <w:tcW w:w="0" w:type="dxa"/>
            <w:tcBorders>
              <w:top w:val="single" w:sz="8" w:space="0" w:color="000000" w:themeColor="text1"/>
              <w:bottom w:val="single" w:sz="12" w:space="0" w:color="auto"/>
            </w:tcBorders>
            <w:shd w:val="clear" w:color="auto" w:fill="B0DF9B" w:themeFill="accent4" w:themeFillTint="66"/>
          </w:tcPr>
          <w:p w14:paraId="64364FC9" w14:textId="77777777" w:rsidR="00430D07" w:rsidRPr="00430D07" w:rsidRDefault="00430D07" w:rsidP="002C13E9">
            <w:pPr>
              <w:pStyle w:val="TableorFigurefootnote"/>
              <w:jc w:val="center"/>
              <w:rPr>
                <w:szCs w:val="24"/>
              </w:rPr>
            </w:pPr>
            <w:r w:rsidRPr="00430D07">
              <w:rPr>
                <w:szCs w:val="24"/>
              </w:rPr>
              <w:t>c</w:t>
            </w:r>
          </w:p>
        </w:tc>
        <w:tc>
          <w:tcPr>
            <w:tcW w:w="0" w:type="dxa"/>
            <w:tcBorders>
              <w:top w:val="single" w:sz="8" w:space="0" w:color="000000" w:themeColor="text1"/>
              <w:bottom w:val="single" w:sz="12" w:space="0" w:color="auto"/>
            </w:tcBorders>
            <w:shd w:val="clear" w:color="auto" w:fill="B0DF9B" w:themeFill="accent4" w:themeFillTint="66"/>
          </w:tcPr>
          <w:p w14:paraId="129FC736" w14:textId="77777777" w:rsidR="00430D07" w:rsidRPr="00430D07" w:rsidRDefault="00430D07" w:rsidP="002C13E9">
            <w:pPr>
              <w:pStyle w:val="TableorFigurefootnote"/>
              <w:jc w:val="center"/>
              <w:rPr>
                <w:szCs w:val="24"/>
              </w:rPr>
            </w:pPr>
            <w:r w:rsidRPr="00430D07">
              <w:rPr>
                <w:szCs w:val="24"/>
              </w:rPr>
              <w:t>c</w:t>
            </w:r>
          </w:p>
        </w:tc>
        <w:tc>
          <w:tcPr>
            <w:tcW w:w="0" w:type="dxa"/>
            <w:tcBorders>
              <w:top w:val="single" w:sz="8" w:space="0" w:color="000000" w:themeColor="text1"/>
              <w:bottom w:val="single" w:sz="12" w:space="0" w:color="auto"/>
            </w:tcBorders>
            <w:shd w:val="clear" w:color="auto" w:fill="B0DF9B" w:themeFill="accent4" w:themeFillTint="66"/>
          </w:tcPr>
          <w:p w14:paraId="16AA1965" w14:textId="77777777" w:rsidR="00430D07" w:rsidRPr="00430D07" w:rsidRDefault="00430D07" w:rsidP="002C13E9">
            <w:pPr>
              <w:pStyle w:val="TableorFigurefootnote"/>
              <w:jc w:val="center"/>
              <w:rPr>
                <w:szCs w:val="24"/>
              </w:rPr>
            </w:pPr>
            <w:r w:rsidRPr="00430D07">
              <w:rPr>
                <w:szCs w:val="24"/>
              </w:rPr>
              <w:t>c</w:t>
            </w:r>
          </w:p>
        </w:tc>
        <w:tc>
          <w:tcPr>
            <w:tcW w:w="0" w:type="dxa"/>
            <w:tcBorders>
              <w:top w:val="single" w:sz="8" w:space="0" w:color="000000" w:themeColor="text1"/>
              <w:bottom w:val="single" w:sz="12" w:space="0" w:color="auto"/>
            </w:tcBorders>
            <w:shd w:val="clear" w:color="auto" w:fill="B0DF9B" w:themeFill="accent4" w:themeFillTint="66"/>
          </w:tcPr>
          <w:p w14:paraId="169CE2B4" w14:textId="77777777" w:rsidR="00430D07" w:rsidRPr="00430D07" w:rsidRDefault="00430D07" w:rsidP="002C13E9">
            <w:pPr>
              <w:pStyle w:val="TableorFigurefootnote"/>
              <w:jc w:val="center"/>
              <w:rPr>
                <w:szCs w:val="24"/>
              </w:rPr>
            </w:pPr>
            <w:r w:rsidRPr="00430D07">
              <w:rPr>
                <w:szCs w:val="24"/>
              </w:rPr>
              <w:t>c</w:t>
            </w:r>
          </w:p>
        </w:tc>
        <w:tc>
          <w:tcPr>
            <w:tcW w:w="0" w:type="dxa"/>
            <w:tcBorders>
              <w:top w:val="single" w:sz="8" w:space="0" w:color="000000" w:themeColor="text1"/>
              <w:bottom w:val="single" w:sz="12" w:space="0" w:color="auto"/>
            </w:tcBorders>
            <w:shd w:val="clear" w:color="auto" w:fill="B0DF9B" w:themeFill="accent4" w:themeFillTint="66"/>
          </w:tcPr>
          <w:p w14:paraId="1BB1D0E9" w14:textId="77777777" w:rsidR="00430D07" w:rsidRPr="00430D07" w:rsidRDefault="00430D07" w:rsidP="002C13E9">
            <w:pPr>
              <w:pStyle w:val="TableorFigurefootnote"/>
              <w:jc w:val="center"/>
              <w:rPr>
                <w:szCs w:val="24"/>
              </w:rPr>
            </w:pPr>
            <w:r w:rsidRPr="00430D07">
              <w:rPr>
                <w:szCs w:val="24"/>
              </w:rPr>
              <w:t>c</w:t>
            </w:r>
          </w:p>
        </w:tc>
        <w:tc>
          <w:tcPr>
            <w:tcW w:w="0" w:type="dxa"/>
            <w:tcBorders>
              <w:top w:val="single" w:sz="8" w:space="0" w:color="000000" w:themeColor="text1"/>
              <w:bottom w:val="single" w:sz="12" w:space="0" w:color="auto"/>
            </w:tcBorders>
            <w:shd w:val="clear" w:color="auto" w:fill="B0DF9B" w:themeFill="accent4" w:themeFillTint="66"/>
          </w:tcPr>
          <w:p w14:paraId="0FA832FE" w14:textId="77777777" w:rsidR="00430D07" w:rsidRPr="00430D07" w:rsidRDefault="00430D07" w:rsidP="002C13E9">
            <w:pPr>
              <w:pStyle w:val="TableorFigurefootnote"/>
              <w:jc w:val="center"/>
              <w:rPr>
                <w:szCs w:val="24"/>
              </w:rPr>
            </w:pPr>
            <w:r w:rsidRPr="00430D07">
              <w:rPr>
                <w:szCs w:val="24"/>
              </w:rPr>
              <w:t>c</w:t>
            </w:r>
          </w:p>
        </w:tc>
        <w:tc>
          <w:tcPr>
            <w:tcW w:w="0" w:type="dxa"/>
            <w:tcBorders>
              <w:top w:val="single" w:sz="8" w:space="0" w:color="000000" w:themeColor="text1"/>
              <w:bottom w:val="single" w:sz="12" w:space="0" w:color="auto"/>
            </w:tcBorders>
            <w:shd w:val="clear" w:color="auto" w:fill="B0DF9B" w:themeFill="accent4" w:themeFillTint="66"/>
          </w:tcPr>
          <w:p w14:paraId="42B90487" w14:textId="77777777" w:rsidR="00430D07" w:rsidRPr="00430D07" w:rsidRDefault="00430D07" w:rsidP="002C13E9">
            <w:pPr>
              <w:pStyle w:val="TableorFigurefootnote"/>
              <w:jc w:val="center"/>
              <w:rPr>
                <w:szCs w:val="24"/>
              </w:rPr>
            </w:pPr>
            <w:r w:rsidRPr="00430D07">
              <w:rPr>
                <w:szCs w:val="24"/>
              </w:rPr>
              <w:t>c</w:t>
            </w:r>
          </w:p>
        </w:tc>
        <w:tc>
          <w:tcPr>
            <w:tcW w:w="0" w:type="dxa"/>
            <w:tcBorders>
              <w:top w:val="single" w:sz="8" w:space="0" w:color="000000" w:themeColor="text1"/>
              <w:bottom w:val="single" w:sz="12" w:space="0" w:color="auto"/>
            </w:tcBorders>
            <w:shd w:val="clear" w:color="auto" w:fill="B0DF9B" w:themeFill="accent4" w:themeFillTint="66"/>
          </w:tcPr>
          <w:p w14:paraId="4EEF891B" w14:textId="77777777" w:rsidR="00430D07" w:rsidRPr="00430D07" w:rsidRDefault="00430D07" w:rsidP="002C13E9">
            <w:pPr>
              <w:pStyle w:val="TableorFigurefootnote"/>
              <w:jc w:val="center"/>
              <w:rPr>
                <w:szCs w:val="24"/>
              </w:rPr>
            </w:pPr>
            <w:r w:rsidRPr="00430D07">
              <w:rPr>
                <w:szCs w:val="24"/>
              </w:rPr>
              <w:t>c</w:t>
            </w:r>
          </w:p>
        </w:tc>
        <w:tc>
          <w:tcPr>
            <w:tcW w:w="0" w:type="dxa"/>
            <w:tcBorders>
              <w:top w:val="single" w:sz="8" w:space="0" w:color="000000" w:themeColor="text1"/>
              <w:bottom w:val="single" w:sz="12" w:space="0" w:color="auto"/>
            </w:tcBorders>
            <w:shd w:val="clear" w:color="auto" w:fill="B0DF9B" w:themeFill="accent4" w:themeFillTint="66"/>
          </w:tcPr>
          <w:p w14:paraId="566BB762" w14:textId="77777777" w:rsidR="00430D07" w:rsidRPr="00430D07" w:rsidRDefault="00430D07" w:rsidP="002C13E9">
            <w:pPr>
              <w:pStyle w:val="TableorFigurefootnote"/>
              <w:jc w:val="center"/>
              <w:rPr>
                <w:szCs w:val="24"/>
              </w:rPr>
            </w:pPr>
            <w:r w:rsidRPr="00430D07">
              <w:rPr>
                <w:szCs w:val="24"/>
              </w:rPr>
              <w:t>c</w:t>
            </w:r>
          </w:p>
        </w:tc>
        <w:tc>
          <w:tcPr>
            <w:tcW w:w="0" w:type="dxa"/>
            <w:tcBorders>
              <w:top w:val="single" w:sz="8" w:space="0" w:color="000000" w:themeColor="text1"/>
              <w:bottom w:val="single" w:sz="12" w:space="0" w:color="auto"/>
            </w:tcBorders>
            <w:shd w:val="clear" w:color="auto" w:fill="B0DF9B" w:themeFill="accent4" w:themeFillTint="66"/>
          </w:tcPr>
          <w:p w14:paraId="7D671DFD" w14:textId="77777777" w:rsidR="00430D07" w:rsidRPr="00430D07" w:rsidRDefault="00430D07" w:rsidP="002C13E9">
            <w:pPr>
              <w:pStyle w:val="TableorFigurefootnote"/>
              <w:jc w:val="center"/>
              <w:rPr>
                <w:szCs w:val="24"/>
              </w:rPr>
            </w:pPr>
            <w:r w:rsidRPr="00430D07">
              <w:rPr>
                <w:szCs w:val="24"/>
              </w:rPr>
              <w:t>c</w:t>
            </w:r>
          </w:p>
        </w:tc>
        <w:tc>
          <w:tcPr>
            <w:tcW w:w="0" w:type="dxa"/>
            <w:tcBorders>
              <w:top w:val="single" w:sz="8" w:space="0" w:color="000000" w:themeColor="text1"/>
              <w:bottom w:val="single" w:sz="12" w:space="0" w:color="auto"/>
            </w:tcBorders>
            <w:shd w:val="clear" w:color="auto" w:fill="B0DF9B" w:themeFill="accent4" w:themeFillTint="66"/>
          </w:tcPr>
          <w:p w14:paraId="77F6689F" w14:textId="77777777" w:rsidR="00430D07" w:rsidRPr="00430D07" w:rsidRDefault="00430D07" w:rsidP="002C13E9">
            <w:pPr>
              <w:pStyle w:val="TableorFigurefootnote"/>
              <w:jc w:val="center"/>
              <w:rPr>
                <w:szCs w:val="24"/>
              </w:rPr>
            </w:pPr>
            <w:r w:rsidRPr="00430D07">
              <w:rPr>
                <w:szCs w:val="24"/>
              </w:rPr>
              <w:t>c</w:t>
            </w:r>
          </w:p>
        </w:tc>
        <w:tc>
          <w:tcPr>
            <w:tcW w:w="0" w:type="dxa"/>
            <w:tcBorders>
              <w:top w:val="single" w:sz="8" w:space="0" w:color="000000" w:themeColor="text1"/>
              <w:bottom w:val="single" w:sz="12" w:space="0" w:color="auto"/>
            </w:tcBorders>
            <w:shd w:val="clear" w:color="auto" w:fill="B0DF9B" w:themeFill="accent4" w:themeFillTint="66"/>
          </w:tcPr>
          <w:p w14:paraId="43188363" w14:textId="77777777" w:rsidR="00430D07" w:rsidRPr="00430D07" w:rsidRDefault="00430D07" w:rsidP="002C13E9">
            <w:pPr>
              <w:pStyle w:val="TableorFigurefootnote"/>
              <w:jc w:val="center"/>
              <w:rPr>
                <w:szCs w:val="24"/>
              </w:rPr>
            </w:pPr>
            <w:r w:rsidRPr="00430D07">
              <w:rPr>
                <w:szCs w:val="24"/>
              </w:rPr>
              <w:t>c</w:t>
            </w:r>
          </w:p>
        </w:tc>
        <w:tc>
          <w:tcPr>
            <w:tcW w:w="0" w:type="dxa"/>
            <w:tcBorders>
              <w:top w:val="single" w:sz="8" w:space="0" w:color="000000" w:themeColor="text1"/>
              <w:bottom w:val="single" w:sz="12" w:space="0" w:color="auto"/>
            </w:tcBorders>
            <w:shd w:val="clear" w:color="auto" w:fill="B0DF9B" w:themeFill="accent4" w:themeFillTint="66"/>
          </w:tcPr>
          <w:p w14:paraId="1E754EE6" w14:textId="77777777" w:rsidR="00430D07" w:rsidRPr="00430D07" w:rsidRDefault="00430D07" w:rsidP="002C13E9">
            <w:pPr>
              <w:pStyle w:val="TableorFigurefootnote"/>
              <w:jc w:val="center"/>
              <w:rPr>
                <w:szCs w:val="24"/>
              </w:rPr>
            </w:pPr>
            <w:r w:rsidRPr="00430D07">
              <w:rPr>
                <w:szCs w:val="24"/>
              </w:rPr>
              <w:t>c</w:t>
            </w:r>
          </w:p>
        </w:tc>
        <w:tc>
          <w:tcPr>
            <w:tcW w:w="0" w:type="dxa"/>
            <w:tcBorders>
              <w:top w:val="single" w:sz="8" w:space="0" w:color="000000" w:themeColor="text1"/>
              <w:bottom w:val="single" w:sz="12" w:space="0" w:color="auto"/>
            </w:tcBorders>
          </w:tcPr>
          <w:p w14:paraId="1560908B" w14:textId="77777777" w:rsidR="00430D07" w:rsidRPr="00430D07" w:rsidRDefault="00430D07" w:rsidP="002C13E9">
            <w:pPr>
              <w:pStyle w:val="TableorFigurefootnote"/>
              <w:jc w:val="center"/>
              <w:rPr>
                <w:szCs w:val="24"/>
              </w:rPr>
            </w:pPr>
            <w:r w:rsidRPr="00430D07">
              <w:rPr>
                <w:szCs w:val="24"/>
              </w:rPr>
              <w:t>–</w:t>
            </w:r>
          </w:p>
        </w:tc>
        <w:tc>
          <w:tcPr>
            <w:tcW w:w="0" w:type="dxa"/>
            <w:tcBorders>
              <w:top w:val="single" w:sz="8" w:space="0" w:color="000000" w:themeColor="text1"/>
              <w:bottom w:val="single" w:sz="12" w:space="0" w:color="auto"/>
            </w:tcBorders>
          </w:tcPr>
          <w:p w14:paraId="3495E6CF" w14:textId="77777777" w:rsidR="00430D07" w:rsidRPr="00430D07" w:rsidRDefault="00430D07" w:rsidP="002C13E9">
            <w:pPr>
              <w:pStyle w:val="TableorFigurefootnote"/>
              <w:jc w:val="center"/>
              <w:rPr>
                <w:szCs w:val="24"/>
              </w:rPr>
            </w:pPr>
            <w:r w:rsidRPr="00430D07">
              <w:rPr>
                <w:szCs w:val="24"/>
              </w:rPr>
              <w:t>–</w:t>
            </w:r>
          </w:p>
        </w:tc>
        <w:tc>
          <w:tcPr>
            <w:tcW w:w="0" w:type="dxa"/>
            <w:tcBorders>
              <w:top w:val="single" w:sz="8" w:space="0" w:color="000000" w:themeColor="text1"/>
              <w:bottom w:val="single" w:sz="12" w:space="0" w:color="auto"/>
            </w:tcBorders>
          </w:tcPr>
          <w:p w14:paraId="75C46385" w14:textId="77777777" w:rsidR="00430D07" w:rsidRPr="00430D07" w:rsidRDefault="00430D07" w:rsidP="002C13E9">
            <w:pPr>
              <w:pStyle w:val="TableorFigurefootnote"/>
              <w:jc w:val="center"/>
              <w:rPr>
                <w:szCs w:val="24"/>
              </w:rPr>
            </w:pPr>
            <w:r w:rsidRPr="00430D07">
              <w:rPr>
                <w:szCs w:val="24"/>
              </w:rPr>
              <w:t>–</w:t>
            </w:r>
          </w:p>
        </w:tc>
        <w:tc>
          <w:tcPr>
            <w:tcW w:w="0" w:type="dxa"/>
            <w:tcBorders>
              <w:top w:val="single" w:sz="8" w:space="0" w:color="000000" w:themeColor="text1"/>
              <w:bottom w:val="single" w:sz="12" w:space="0" w:color="auto"/>
            </w:tcBorders>
          </w:tcPr>
          <w:p w14:paraId="0A2ADABC" w14:textId="77777777" w:rsidR="00430D07" w:rsidRPr="00430D07" w:rsidRDefault="00430D07" w:rsidP="002C13E9">
            <w:pPr>
              <w:pStyle w:val="TableorFigurefootnote"/>
              <w:jc w:val="center"/>
              <w:rPr>
                <w:szCs w:val="24"/>
              </w:rPr>
            </w:pPr>
            <w:r w:rsidRPr="00430D07">
              <w:rPr>
                <w:szCs w:val="24"/>
              </w:rPr>
              <w:t>–</w:t>
            </w:r>
          </w:p>
        </w:tc>
        <w:tc>
          <w:tcPr>
            <w:tcW w:w="0" w:type="dxa"/>
            <w:tcBorders>
              <w:top w:val="single" w:sz="8" w:space="0" w:color="000000" w:themeColor="text1"/>
              <w:bottom w:val="single" w:sz="12" w:space="0" w:color="auto"/>
            </w:tcBorders>
          </w:tcPr>
          <w:p w14:paraId="291603B0" w14:textId="77777777" w:rsidR="00430D07" w:rsidRPr="00430D07" w:rsidRDefault="00430D07" w:rsidP="002C13E9">
            <w:pPr>
              <w:pStyle w:val="TableorFigurefootnote"/>
              <w:jc w:val="center"/>
              <w:rPr>
                <w:szCs w:val="24"/>
              </w:rPr>
            </w:pPr>
            <w:r w:rsidRPr="00430D07">
              <w:rPr>
                <w:szCs w:val="24"/>
              </w:rPr>
              <w:t>–</w:t>
            </w:r>
          </w:p>
        </w:tc>
        <w:tc>
          <w:tcPr>
            <w:tcW w:w="0" w:type="dxa"/>
            <w:tcBorders>
              <w:top w:val="single" w:sz="8" w:space="0" w:color="000000" w:themeColor="text1"/>
              <w:bottom w:val="single" w:sz="12" w:space="0" w:color="auto"/>
              <w:right w:val="single" w:sz="4" w:space="0" w:color="BFBFBF"/>
            </w:tcBorders>
          </w:tcPr>
          <w:p w14:paraId="4C9842EA" w14:textId="77777777" w:rsidR="00430D07" w:rsidRPr="00430D07" w:rsidRDefault="00430D07" w:rsidP="002C13E9">
            <w:pPr>
              <w:pStyle w:val="TableorFigurefootnote"/>
              <w:jc w:val="center"/>
              <w:rPr>
                <w:szCs w:val="24"/>
              </w:rPr>
            </w:pPr>
            <w:r w:rsidRPr="00430D07">
              <w:rPr>
                <w:szCs w:val="24"/>
              </w:rPr>
              <w:t>–</w:t>
            </w:r>
          </w:p>
        </w:tc>
      </w:tr>
      <w:tr w:rsidR="00EE41A9" w:rsidRPr="00430D07" w14:paraId="0EF14DF6" w14:textId="77777777" w:rsidTr="002C13E9">
        <w:tblPrEx>
          <w:tblCellMar>
            <w:top w:w="43" w:type="dxa"/>
            <w:bottom w:w="0" w:type="dxa"/>
          </w:tblCellMar>
        </w:tblPrEx>
        <w:trPr>
          <w:trHeight w:val="304"/>
        </w:trPr>
        <w:tc>
          <w:tcPr>
            <w:tcW w:w="2922" w:type="dxa"/>
            <w:tcBorders>
              <w:top w:val="single" w:sz="12" w:space="0" w:color="auto"/>
            </w:tcBorders>
            <w:shd w:val="clear" w:color="auto" w:fill="auto"/>
            <w:noWrap/>
          </w:tcPr>
          <w:p w14:paraId="63A55E58" w14:textId="77777777" w:rsidR="00430D07" w:rsidRPr="00430D07" w:rsidRDefault="00430D07" w:rsidP="00430D07">
            <w:pPr>
              <w:pStyle w:val="TableorFigurefootnote"/>
              <w:rPr>
                <w:szCs w:val="24"/>
              </w:rPr>
            </w:pPr>
            <w:r w:rsidRPr="00430D07">
              <w:rPr>
                <w:szCs w:val="24"/>
              </w:rPr>
              <w:t>Develop Key Informant (KI) Individual or Group interview protocols</w:t>
            </w:r>
          </w:p>
        </w:tc>
        <w:tc>
          <w:tcPr>
            <w:tcW w:w="408" w:type="dxa"/>
            <w:tcBorders>
              <w:top w:val="single" w:sz="12" w:space="0" w:color="auto"/>
            </w:tcBorders>
            <w:noWrap/>
          </w:tcPr>
          <w:p w14:paraId="5A2151F9" w14:textId="77777777" w:rsidR="00430D07" w:rsidRPr="00430D07" w:rsidRDefault="00430D07" w:rsidP="002C13E9">
            <w:pPr>
              <w:pStyle w:val="TableorFigurefootnote"/>
              <w:jc w:val="center"/>
              <w:rPr>
                <w:szCs w:val="24"/>
              </w:rPr>
            </w:pPr>
            <w:r w:rsidRPr="00430D07">
              <w:rPr>
                <w:szCs w:val="24"/>
              </w:rPr>
              <w:t>–</w:t>
            </w:r>
          </w:p>
        </w:tc>
        <w:tc>
          <w:tcPr>
            <w:tcW w:w="408" w:type="dxa"/>
            <w:tcBorders>
              <w:top w:val="single" w:sz="12" w:space="0" w:color="auto"/>
            </w:tcBorders>
            <w:noWrap/>
          </w:tcPr>
          <w:p w14:paraId="4B52AEE6" w14:textId="77777777" w:rsidR="00430D07" w:rsidRPr="00430D07" w:rsidRDefault="00430D07" w:rsidP="002C13E9">
            <w:pPr>
              <w:pStyle w:val="TableorFigurefootnote"/>
              <w:jc w:val="center"/>
              <w:rPr>
                <w:szCs w:val="24"/>
              </w:rPr>
            </w:pPr>
            <w:r w:rsidRPr="00430D07">
              <w:rPr>
                <w:szCs w:val="24"/>
              </w:rPr>
              <w:t>–</w:t>
            </w:r>
          </w:p>
        </w:tc>
        <w:tc>
          <w:tcPr>
            <w:tcW w:w="408" w:type="dxa"/>
            <w:tcBorders>
              <w:top w:val="single" w:sz="12" w:space="0" w:color="auto"/>
            </w:tcBorders>
            <w:noWrap/>
          </w:tcPr>
          <w:p w14:paraId="3E0C878B" w14:textId="77777777" w:rsidR="00430D07" w:rsidRPr="00430D07" w:rsidRDefault="00430D07" w:rsidP="002C13E9">
            <w:pPr>
              <w:pStyle w:val="TableorFigurefootnote"/>
              <w:jc w:val="center"/>
              <w:rPr>
                <w:szCs w:val="24"/>
              </w:rPr>
            </w:pPr>
            <w:r w:rsidRPr="00430D07">
              <w:rPr>
                <w:szCs w:val="24"/>
              </w:rPr>
              <w:t>–</w:t>
            </w:r>
          </w:p>
        </w:tc>
        <w:tc>
          <w:tcPr>
            <w:tcW w:w="408" w:type="dxa"/>
            <w:tcBorders>
              <w:top w:val="single" w:sz="12" w:space="0" w:color="auto"/>
            </w:tcBorders>
            <w:noWrap/>
          </w:tcPr>
          <w:p w14:paraId="01B8BF1C" w14:textId="77777777" w:rsidR="00430D07" w:rsidRPr="00430D07" w:rsidRDefault="00430D07" w:rsidP="002C13E9">
            <w:pPr>
              <w:pStyle w:val="TableorFigurefootnote"/>
              <w:jc w:val="center"/>
              <w:rPr>
                <w:szCs w:val="24"/>
              </w:rPr>
            </w:pPr>
            <w:r w:rsidRPr="00430D07">
              <w:rPr>
                <w:szCs w:val="24"/>
              </w:rPr>
              <w:t>–</w:t>
            </w:r>
          </w:p>
        </w:tc>
        <w:tc>
          <w:tcPr>
            <w:tcW w:w="408" w:type="dxa"/>
            <w:tcBorders>
              <w:top w:val="single" w:sz="12" w:space="0" w:color="auto"/>
            </w:tcBorders>
            <w:noWrap/>
          </w:tcPr>
          <w:p w14:paraId="27883FF5" w14:textId="77777777" w:rsidR="00430D07" w:rsidRPr="00430D07" w:rsidRDefault="00430D07" w:rsidP="002C13E9">
            <w:pPr>
              <w:pStyle w:val="TableorFigurefootnote"/>
              <w:jc w:val="center"/>
              <w:rPr>
                <w:szCs w:val="24"/>
              </w:rPr>
            </w:pPr>
            <w:r w:rsidRPr="00430D07">
              <w:rPr>
                <w:szCs w:val="24"/>
              </w:rPr>
              <w:t>–</w:t>
            </w:r>
          </w:p>
        </w:tc>
        <w:tc>
          <w:tcPr>
            <w:tcW w:w="408" w:type="dxa"/>
            <w:tcBorders>
              <w:top w:val="single" w:sz="12" w:space="0" w:color="auto"/>
            </w:tcBorders>
            <w:shd w:val="clear" w:color="auto" w:fill="B0DF9B" w:themeFill="accent4" w:themeFillTint="66"/>
            <w:noWrap/>
          </w:tcPr>
          <w:p w14:paraId="310A68FB" w14:textId="77777777" w:rsidR="00430D07" w:rsidRPr="00430D07" w:rsidRDefault="00430D07" w:rsidP="002C13E9">
            <w:pPr>
              <w:pStyle w:val="TableorFigurefootnote"/>
              <w:jc w:val="center"/>
              <w:rPr>
                <w:szCs w:val="24"/>
              </w:rPr>
            </w:pPr>
            <w:r w:rsidRPr="00430D07">
              <w:rPr>
                <w:szCs w:val="24"/>
              </w:rPr>
              <w:t>X</w:t>
            </w:r>
          </w:p>
        </w:tc>
        <w:tc>
          <w:tcPr>
            <w:tcW w:w="408" w:type="dxa"/>
            <w:tcBorders>
              <w:top w:val="single" w:sz="12" w:space="0" w:color="auto"/>
            </w:tcBorders>
            <w:shd w:val="clear" w:color="auto" w:fill="B0DF9B" w:themeFill="accent4" w:themeFillTint="66"/>
            <w:noWrap/>
          </w:tcPr>
          <w:p w14:paraId="776A40E5" w14:textId="77777777" w:rsidR="00430D07" w:rsidRPr="00430D07" w:rsidRDefault="00430D07" w:rsidP="002C13E9">
            <w:pPr>
              <w:pStyle w:val="TableorFigurefootnote"/>
              <w:jc w:val="center"/>
              <w:rPr>
                <w:szCs w:val="24"/>
              </w:rPr>
            </w:pPr>
            <w:r w:rsidRPr="00430D07">
              <w:rPr>
                <w:szCs w:val="24"/>
              </w:rPr>
              <w:t>c</w:t>
            </w:r>
          </w:p>
        </w:tc>
        <w:tc>
          <w:tcPr>
            <w:tcW w:w="408" w:type="dxa"/>
            <w:tcBorders>
              <w:top w:val="single" w:sz="12" w:space="0" w:color="auto"/>
            </w:tcBorders>
            <w:noWrap/>
          </w:tcPr>
          <w:p w14:paraId="4248779E" w14:textId="77777777" w:rsidR="00430D07" w:rsidRPr="00430D07" w:rsidRDefault="00430D07" w:rsidP="002C13E9">
            <w:pPr>
              <w:pStyle w:val="TableorFigurefootnote"/>
              <w:jc w:val="center"/>
              <w:rPr>
                <w:szCs w:val="24"/>
              </w:rPr>
            </w:pPr>
            <w:r w:rsidRPr="00430D07">
              <w:rPr>
                <w:szCs w:val="24"/>
              </w:rPr>
              <w:t>–</w:t>
            </w:r>
          </w:p>
        </w:tc>
        <w:tc>
          <w:tcPr>
            <w:tcW w:w="408" w:type="dxa"/>
            <w:tcBorders>
              <w:top w:val="single" w:sz="12" w:space="0" w:color="auto"/>
            </w:tcBorders>
            <w:noWrap/>
          </w:tcPr>
          <w:p w14:paraId="7121CDEC" w14:textId="77777777" w:rsidR="00430D07" w:rsidRPr="00430D07" w:rsidRDefault="00430D07" w:rsidP="002C13E9">
            <w:pPr>
              <w:pStyle w:val="TableorFigurefootnote"/>
              <w:jc w:val="center"/>
              <w:rPr>
                <w:szCs w:val="24"/>
              </w:rPr>
            </w:pPr>
            <w:r w:rsidRPr="00430D07">
              <w:rPr>
                <w:szCs w:val="24"/>
              </w:rPr>
              <w:t>–</w:t>
            </w:r>
          </w:p>
        </w:tc>
        <w:tc>
          <w:tcPr>
            <w:tcW w:w="408" w:type="dxa"/>
            <w:tcBorders>
              <w:top w:val="single" w:sz="12" w:space="0" w:color="auto"/>
            </w:tcBorders>
            <w:shd w:val="clear" w:color="auto" w:fill="B0DF9B" w:themeFill="accent4" w:themeFillTint="66"/>
            <w:noWrap/>
          </w:tcPr>
          <w:p w14:paraId="38E5DBA8" w14:textId="77777777" w:rsidR="00430D07" w:rsidRPr="00430D07" w:rsidRDefault="00430D07" w:rsidP="002C13E9">
            <w:pPr>
              <w:pStyle w:val="TableorFigurefootnote"/>
              <w:jc w:val="center"/>
              <w:rPr>
                <w:szCs w:val="24"/>
              </w:rPr>
            </w:pPr>
            <w:r w:rsidRPr="00430D07">
              <w:rPr>
                <w:szCs w:val="24"/>
              </w:rPr>
              <w:t>X</w:t>
            </w:r>
          </w:p>
        </w:tc>
        <w:tc>
          <w:tcPr>
            <w:tcW w:w="408" w:type="dxa"/>
            <w:tcBorders>
              <w:top w:val="single" w:sz="12" w:space="0" w:color="auto"/>
            </w:tcBorders>
            <w:shd w:val="clear" w:color="auto" w:fill="B0DF9B" w:themeFill="accent4" w:themeFillTint="66"/>
            <w:noWrap/>
          </w:tcPr>
          <w:p w14:paraId="65289EDC" w14:textId="77777777" w:rsidR="00430D07" w:rsidRPr="00430D07" w:rsidRDefault="00430D07" w:rsidP="002C13E9">
            <w:pPr>
              <w:pStyle w:val="TableorFigurefootnote"/>
              <w:jc w:val="center"/>
              <w:rPr>
                <w:szCs w:val="24"/>
              </w:rPr>
            </w:pPr>
            <w:r w:rsidRPr="00430D07">
              <w:rPr>
                <w:szCs w:val="24"/>
              </w:rPr>
              <w:t>c</w:t>
            </w:r>
          </w:p>
        </w:tc>
        <w:tc>
          <w:tcPr>
            <w:tcW w:w="408" w:type="dxa"/>
            <w:tcBorders>
              <w:top w:val="single" w:sz="12" w:space="0" w:color="auto"/>
            </w:tcBorders>
            <w:noWrap/>
          </w:tcPr>
          <w:p w14:paraId="62634E2A" w14:textId="77777777" w:rsidR="00430D07" w:rsidRPr="00430D07" w:rsidRDefault="00430D07" w:rsidP="002C13E9">
            <w:pPr>
              <w:pStyle w:val="TableorFigurefootnote"/>
              <w:jc w:val="center"/>
              <w:rPr>
                <w:szCs w:val="24"/>
              </w:rPr>
            </w:pPr>
            <w:r w:rsidRPr="00430D07">
              <w:rPr>
                <w:szCs w:val="24"/>
              </w:rPr>
              <w:t>–</w:t>
            </w:r>
          </w:p>
        </w:tc>
        <w:tc>
          <w:tcPr>
            <w:tcW w:w="408" w:type="dxa"/>
            <w:tcBorders>
              <w:top w:val="single" w:sz="12" w:space="0" w:color="auto"/>
            </w:tcBorders>
            <w:noWrap/>
          </w:tcPr>
          <w:p w14:paraId="16BA7ED9" w14:textId="77777777" w:rsidR="00430D07" w:rsidRPr="00430D07" w:rsidRDefault="00430D07" w:rsidP="002C13E9">
            <w:pPr>
              <w:pStyle w:val="TableorFigurefootnote"/>
              <w:jc w:val="center"/>
              <w:rPr>
                <w:szCs w:val="24"/>
              </w:rPr>
            </w:pPr>
            <w:r w:rsidRPr="00430D07">
              <w:rPr>
                <w:szCs w:val="24"/>
              </w:rPr>
              <w:t>–</w:t>
            </w:r>
          </w:p>
        </w:tc>
        <w:tc>
          <w:tcPr>
            <w:tcW w:w="408" w:type="dxa"/>
            <w:tcBorders>
              <w:top w:val="single" w:sz="12" w:space="0" w:color="auto"/>
            </w:tcBorders>
            <w:shd w:val="clear" w:color="auto" w:fill="B0DF9B" w:themeFill="accent4" w:themeFillTint="66"/>
            <w:noWrap/>
          </w:tcPr>
          <w:p w14:paraId="0BA0F94B" w14:textId="77777777" w:rsidR="00430D07" w:rsidRPr="00430D07" w:rsidRDefault="00430D07" w:rsidP="002C13E9">
            <w:pPr>
              <w:pStyle w:val="TableorFigurefootnote"/>
              <w:jc w:val="center"/>
              <w:rPr>
                <w:szCs w:val="24"/>
              </w:rPr>
            </w:pPr>
            <w:r w:rsidRPr="00430D07">
              <w:rPr>
                <w:szCs w:val="24"/>
              </w:rPr>
              <w:t>X</w:t>
            </w:r>
          </w:p>
        </w:tc>
        <w:tc>
          <w:tcPr>
            <w:tcW w:w="408" w:type="dxa"/>
            <w:tcBorders>
              <w:top w:val="single" w:sz="12" w:space="0" w:color="auto"/>
            </w:tcBorders>
            <w:shd w:val="clear" w:color="auto" w:fill="B0DF9B" w:themeFill="accent4" w:themeFillTint="66"/>
            <w:noWrap/>
          </w:tcPr>
          <w:p w14:paraId="39885709" w14:textId="77777777" w:rsidR="00430D07" w:rsidRPr="00430D07" w:rsidRDefault="00430D07" w:rsidP="002C13E9">
            <w:pPr>
              <w:pStyle w:val="TableorFigurefootnote"/>
              <w:jc w:val="center"/>
              <w:rPr>
                <w:szCs w:val="24"/>
              </w:rPr>
            </w:pPr>
            <w:r w:rsidRPr="00430D07">
              <w:rPr>
                <w:szCs w:val="24"/>
              </w:rPr>
              <w:t>c</w:t>
            </w:r>
          </w:p>
        </w:tc>
        <w:tc>
          <w:tcPr>
            <w:tcW w:w="408" w:type="dxa"/>
            <w:tcBorders>
              <w:top w:val="single" w:sz="12" w:space="0" w:color="auto"/>
            </w:tcBorders>
            <w:noWrap/>
          </w:tcPr>
          <w:p w14:paraId="3E7FD53A" w14:textId="77777777" w:rsidR="00430D07" w:rsidRPr="00430D07" w:rsidRDefault="00430D07" w:rsidP="002C13E9">
            <w:pPr>
              <w:pStyle w:val="TableorFigurefootnote"/>
              <w:jc w:val="center"/>
              <w:rPr>
                <w:szCs w:val="24"/>
              </w:rPr>
            </w:pPr>
            <w:r w:rsidRPr="00430D07">
              <w:rPr>
                <w:szCs w:val="24"/>
              </w:rPr>
              <w:t>–</w:t>
            </w:r>
          </w:p>
        </w:tc>
        <w:tc>
          <w:tcPr>
            <w:tcW w:w="408" w:type="dxa"/>
            <w:tcBorders>
              <w:top w:val="single" w:sz="12" w:space="0" w:color="auto"/>
            </w:tcBorders>
            <w:noWrap/>
          </w:tcPr>
          <w:p w14:paraId="4923ED8F" w14:textId="77777777" w:rsidR="00430D07" w:rsidRPr="00430D07" w:rsidRDefault="00430D07" w:rsidP="002C13E9">
            <w:pPr>
              <w:pStyle w:val="TableorFigurefootnote"/>
              <w:jc w:val="center"/>
              <w:rPr>
                <w:szCs w:val="24"/>
              </w:rPr>
            </w:pPr>
            <w:r w:rsidRPr="00430D07">
              <w:rPr>
                <w:szCs w:val="24"/>
              </w:rPr>
              <w:t>–</w:t>
            </w:r>
          </w:p>
        </w:tc>
        <w:tc>
          <w:tcPr>
            <w:tcW w:w="408" w:type="dxa"/>
            <w:tcBorders>
              <w:top w:val="single" w:sz="12" w:space="0" w:color="auto"/>
            </w:tcBorders>
            <w:shd w:val="clear" w:color="auto" w:fill="B0DF9B" w:themeFill="accent4" w:themeFillTint="66"/>
            <w:noWrap/>
          </w:tcPr>
          <w:p w14:paraId="025D587A" w14:textId="77777777" w:rsidR="00430D07" w:rsidRPr="00430D07" w:rsidRDefault="00430D07" w:rsidP="002C13E9">
            <w:pPr>
              <w:pStyle w:val="TableorFigurefootnote"/>
              <w:jc w:val="center"/>
              <w:rPr>
                <w:szCs w:val="24"/>
              </w:rPr>
            </w:pPr>
            <w:r w:rsidRPr="00430D07">
              <w:rPr>
                <w:szCs w:val="24"/>
              </w:rPr>
              <w:t>X</w:t>
            </w:r>
          </w:p>
        </w:tc>
        <w:tc>
          <w:tcPr>
            <w:tcW w:w="408" w:type="dxa"/>
            <w:tcBorders>
              <w:top w:val="single" w:sz="12" w:space="0" w:color="auto"/>
            </w:tcBorders>
            <w:shd w:val="clear" w:color="auto" w:fill="B0DF9B" w:themeFill="accent4" w:themeFillTint="66"/>
            <w:noWrap/>
          </w:tcPr>
          <w:p w14:paraId="5217E569" w14:textId="77777777" w:rsidR="00430D07" w:rsidRPr="00430D07" w:rsidRDefault="00430D07" w:rsidP="002C13E9">
            <w:pPr>
              <w:pStyle w:val="TableorFigurefootnote"/>
              <w:jc w:val="center"/>
              <w:rPr>
                <w:szCs w:val="24"/>
              </w:rPr>
            </w:pPr>
            <w:r w:rsidRPr="00430D07">
              <w:rPr>
                <w:szCs w:val="24"/>
              </w:rPr>
              <w:t>c</w:t>
            </w:r>
          </w:p>
        </w:tc>
        <w:tc>
          <w:tcPr>
            <w:tcW w:w="408" w:type="dxa"/>
            <w:tcBorders>
              <w:top w:val="single" w:sz="12" w:space="0" w:color="auto"/>
            </w:tcBorders>
            <w:noWrap/>
          </w:tcPr>
          <w:p w14:paraId="79C8C39C" w14:textId="77777777" w:rsidR="00430D07" w:rsidRPr="00430D07" w:rsidRDefault="00430D07" w:rsidP="002C13E9">
            <w:pPr>
              <w:pStyle w:val="TableorFigurefootnote"/>
              <w:jc w:val="center"/>
              <w:rPr>
                <w:szCs w:val="24"/>
              </w:rPr>
            </w:pPr>
            <w:r w:rsidRPr="00430D07">
              <w:rPr>
                <w:szCs w:val="24"/>
              </w:rPr>
              <w:t>–</w:t>
            </w:r>
          </w:p>
        </w:tc>
        <w:tc>
          <w:tcPr>
            <w:tcW w:w="408" w:type="dxa"/>
            <w:tcBorders>
              <w:top w:val="single" w:sz="12" w:space="0" w:color="auto"/>
            </w:tcBorders>
            <w:noWrap/>
          </w:tcPr>
          <w:p w14:paraId="2605400B" w14:textId="77777777" w:rsidR="00430D07" w:rsidRPr="00430D07" w:rsidRDefault="00430D07" w:rsidP="002C13E9">
            <w:pPr>
              <w:pStyle w:val="TableorFigurefootnote"/>
              <w:jc w:val="center"/>
              <w:rPr>
                <w:szCs w:val="24"/>
              </w:rPr>
            </w:pPr>
            <w:r w:rsidRPr="00430D07">
              <w:rPr>
                <w:szCs w:val="24"/>
              </w:rPr>
              <w:t>–</w:t>
            </w:r>
          </w:p>
        </w:tc>
        <w:tc>
          <w:tcPr>
            <w:tcW w:w="408" w:type="dxa"/>
            <w:tcBorders>
              <w:top w:val="single" w:sz="12" w:space="0" w:color="auto"/>
            </w:tcBorders>
            <w:noWrap/>
          </w:tcPr>
          <w:p w14:paraId="3276AFF4" w14:textId="77777777" w:rsidR="00430D07" w:rsidRPr="00430D07" w:rsidRDefault="00430D07" w:rsidP="002C13E9">
            <w:pPr>
              <w:pStyle w:val="TableorFigurefootnote"/>
              <w:jc w:val="center"/>
              <w:rPr>
                <w:szCs w:val="24"/>
              </w:rPr>
            </w:pPr>
            <w:r w:rsidRPr="00430D07">
              <w:rPr>
                <w:szCs w:val="24"/>
              </w:rPr>
              <w:t>–</w:t>
            </w:r>
          </w:p>
        </w:tc>
        <w:tc>
          <w:tcPr>
            <w:tcW w:w="408" w:type="dxa"/>
            <w:tcBorders>
              <w:top w:val="single" w:sz="12" w:space="0" w:color="auto"/>
            </w:tcBorders>
            <w:noWrap/>
          </w:tcPr>
          <w:p w14:paraId="0E48E1D6" w14:textId="77777777" w:rsidR="00430D07" w:rsidRPr="00430D07" w:rsidRDefault="00430D07" w:rsidP="002C13E9">
            <w:pPr>
              <w:pStyle w:val="TableorFigurefootnote"/>
              <w:jc w:val="center"/>
              <w:rPr>
                <w:szCs w:val="24"/>
              </w:rPr>
            </w:pPr>
            <w:r w:rsidRPr="00430D07">
              <w:rPr>
                <w:szCs w:val="24"/>
              </w:rPr>
              <w:t>–</w:t>
            </w:r>
          </w:p>
        </w:tc>
        <w:tc>
          <w:tcPr>
            <w:tcW w:w="408" w:type="dxa"/>
            <w:tcBorders>
              <w:top w:val="single" w:sz="12" w:space="0" w:color="auto"/>
            </w:tcBorders>
            <w:noWrap/>
          </w:tcPr>
          <w:p w14:paraId="1D0C7914" w14:textId="77777777" w:rsidR="00430D07" w:rsidRPr="00430D07" w:rsidRDefault="00430D07" w:rsidP="002C13E9">
            <w:pPr>
              <w:pStyle w:val="TableorFigurefootnote"/>
              <w:jc w:val="center"/>
              <w:rPr>
                <w:szCs w:val="24"/>
              </w:rPr>
            </w:pPr>
            <w:r w:rsidRPr="00430D07">
              <w:rPr>
                <w:szCs w:val="24"/>
              </w:rPr>
              <w:t>–</w:t>
            </w:r>
          </w:p>
        </w:tc>
        <w:tc>
          <w:tcPr>
            <w:tcW w:w="408" w:type="dxa"/>
            <w:tcBorders>
              <w:top w:val="single" w:sz="12" w:space="0" w:color="auto"/>
            </w:tcBorders>
            <w:noWrap/>
          </w:tcPr>
          <w:p w14:paraId="028DBFCC" w14:textId="77777777" w:rsidR="00430D07" w:rsidRPr="00430D07" w:rsidRDefault="00430D07" w:rsidP="002C13E9">
            <w:pPr>
              <w:pStyle w:val="TableorFigurefootnote"/>
              <w:jc w:val="center"/>
              <w:rPr>
                <w:szCs w:val="24"/>
              </w:rPr>
            </w:pPr>
            <w:r w:rsidRPr="00430D07">
              <w:rPr>
                <w:szCs w:val="24"/>
              </w:rPr>
              <w:t>–</w:t>
            </w:r>
          </w:p>
        </w:tc>
        <w:tc>
          <w:tcPr>
            <w:tcW w:w="408" w:type="dxa"/>
            <w:tcBorders>
              <w:top w:val="single" w:sz="12" w:space="0" w:color="auto"/>
            </w:tcBorders>
            <w:noWrap/>
          </w:tcPr>
          <w:p w14:paraId="1303AC2F" w14:textId="77777777" w:rsidR="00430D07" w:rsidRPr="00430D07" w:rsidRDefault="00430D07" w:rsidP="002C13E9">
            <w:pPr>
              <w:pStyle w:val="TableorFigurefootnote"/>
              <w:jc w:val="center"/>
              <w:rPr>
                <w:szCs w:val="24"/>
              </w:rPr>
            </w:pPr>
            <w:r w:rsidRPr="00430D07">
              <w:rPr>
                <w:szCs w:val="24"/>
              </w:rPr>
              <w:t>–</w:t>
            </w:r>
          </w:p>
        </w:tc>
      </w:tr>
      <w:tr w:rsidR="0020559B" w:rsidRPr="00430D07" w14:paraId="636A8B7F" w14:textId="77777777" w:rsidTr="002C13E9">
        <w:tblPrEx>
          <w:tblCellMar>
            <w:top w:w="43" w:type="dxa"/>
            <w:bottom w:w="0" w:type="dxa"/>
          </w:tblCellMar>
        </w:tblPrEx>
        <w:trPr>
          <w:cnfStyle w:val="000000100000" w:firstRow="0" w:lastRow="0" w:firstColumn="0" w:lastColumn="0" w:oddVBand="0" w:evenVBand="0" w:oddHBand="1" w:evenHBand="0" w:firstRowFirstColumn="0" w:firstRowLastColumn="0" w:lastRowFirstColumn="0" w:lastRowLastColumn="0"/>
          <w:trHeight w:val="304"/>
        </w:trPr>
        <w:tc>
          <w:tcPr>
            <w:tcW w:w="0" w:type="dxa"/>
            <w:shd w:val="clear" w:color="auto" w:fill="auto"/>
            <w:noWrap/>
          </w:tcPr>
          <w:p w14:paraId="5A489A67" w14:textId="77777777" w:rsidR="00430D07" w:rsidRPr="00430D07" w:rsidRDefault="00430D07" w:rsidP="00430D07">
            <w:pPr>
              <w:pStyle w:val="TableorFigurefootnote"/>
              <w:rPr>
                <w:szCs w:val="24"/>
              </w:rPr>
            </w:pPr>
            <w:r w:rsidRPr="00430D07">
              <w:rPr>
                <w:szCs w:val="24"/>
              </w:rPr>
              <w:t xml:space="preserve">KI interview protocols and documents to MassHealth for review </w:t>
            </w:r>
          </w:p>
        </w:tc>
        <w:tc>
          <w:tcPr>
            <w:tcW w:w="0" w:type="dxa"/>
            <w:noWrap/>
          </w:tcPr>
          <w:p w14:paraId="2E583890"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097EA94F"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5B31E9A1"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24DCAC97"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40D5F44C"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6B09E079"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74F56C21" w14:textId="77777777" w:rsidR="00430D07" w:rsidRPr="00430D07" w:rsidRDefault="00430D07" w:rsidP="002C13E9">
            <w:pPr>
              <w:pStyle w:val="TableorFigurefootnote"/>
              <w:jc w:val="center"/>
              <w:rPr>
                <w:szCs w:val="24"/>
              </w:rPr>
            </w:pPr>
            <w:r w:rsidRPr="00430D07">
              <w:rPr>
                <w:szCs w:val="24"/>
              </w:rPr>
              <w:t>–</w:t>
            </w:r>
          </w:p>
        </w:tc>
        <w:tc>
          <w:tcPr>
            <w:tcW w:w="0" w:type="dxa"/>
            <w:shd w:val="clear" w:color="auto" w:fill="B0DF9B" w:themeFill="accent4" w:themeFillTint="66"/>
            <w:noWrap/>
          </w:tcPr>
          <w:p w14:paraId="064216AB" w14:textId="77777777" w:rsidR="00430D07" w:rsidRPr="00430D07" w:rsidRDefault="00430D07" w:rsidP="002C13E9">
            <w:pPr>
              <w:pStyle w:val="TableorFigurefootnote"/>
              <w:jc w:val="center"/>
              <w:rPr>
                <w:szCs w:val="24"/>
              </w:rPr>
            </w:pPr>
            <w:r w:rsidRPr="00430D07">
              <w:rPr>
                <w:szCs w:val="24"/>
              </w:rPr>
              <w:t>X</w:t>
            </w:r>
          </w:p>
        </w:tc>
        <w:tc>
          <w:tcPr>
            <w:tcW w:w="0" w:type="dxa"/>
            <w:shd w:val="clear" w:color="auto" w:fill="B0DF9B" w:themeFill="accent4" w:themeFillTint="66"/>
            <w:noWrap/>
          </w:tcPr>
          <w:p w14:paraId="306C4828" w14:textId="77777777" w:rsidR="00430D07" w:rsidRPr="00430D07" w:rsidRDefault="00430D07" w:rsidP="002C13E9">
            <w:pPr>
              <w:pStyle w:val="TableorFigurefootnote"/>
              <w:jc w:val="center"/>
              <w:rPr>
                <w:szCs w:val="24"/>
              </w:rPr>
            </w:pPr>
            <w:r w:rsidRPr="00430D07">
              <w:rPr>
                <w:szCs w:val="24"/>
              </w:rPr>
              <w:t>c</w:t>
            </w:r>
          </w:p>
        </w:tc>
        <w:tc>
          <w:tcPr>
            <w:tcW w:w="0" w:type="dxa"/>
            <w:noWrap/>
          </w:tcPr>
          <w:p w14:paraId="4518FC8D"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6A9D74C7" w14:textId="77777777" w:rsidR="00430D07" w:rsidRPr="00430D07" w:rsidRDefault="00430D07" w:rsidP="002C13E9">
            <w:pPr>
              <w:pStyle w:val="TableorFigurefootnote"/>
              <w:jc w:val="center"/>
              <w:rPr>
                <w:szCs w:val="24"/>
              </w:rPr>
            </w:pPr>
            <w:r w:rsidRPr="00430D07">
              <w:rPr>
                <w:szCs w:val="24"/>
              </w:rPr>
              <w:t>–</w:t>
            </w:r>
          </w:p>
        </w:tc>
        <w:tc>
          <w:tcPr>
            <w:tcW w:w="0" w:type="dxa"/>
            <w:shd w:val="clear" w:color="auto" w:fill="B0DF9B" w:themeFill="accent4" w:themeFillTint="66"/>
            <w:noWrap/>
          </w:tcPr>
          <w:p w14:paraId="3595E20A" w14:textId="77777777" w:rsidR="00430D07" w:rsidRPr="00430D07" w:rsidRDefault="00430D07" w:rsidP="002C13E9">
            <w:pPr>
              <w:pStyle w:val="TableorFigurefootnote"/>
              <w:jc w:val="center"/>
              <w:rPr>
                <w:szCs w:val="24"/>
              </w:rPr>
            </w:pPr>
            <w:r w:rsidRPr="00430D07">
              <w:rPr>
                <w:szCs w:val="24"/>
              </w:rPr>
              <w:t>X</w:t>
            </w:r>
          </w:p>
        </w:tc>
        <w:tc>
          <w:tcPr>
            <w:tcW w:w="0" w:type="dxa"/>
            <w:shd w:val="clear" w:color="auto" w:fill="B0DF9B" w:themeFill="accent4" w:themeFillTint="66"/>
            <w:noWrap/>
          </w:tcPr>
          <w:p w14:paraId="520D7B1D" w14:textId="77777777" w:rsidR="00430D07" w:rsidRPr="00430D07" w:rsidRDefault="00430D07" w:rsidP="002C13E9">
            <w:pPr>
              <w:pStyle w:val="TableorFigurefootnote"/>
              <w:jc w:val="center"/>
              <w:rPr>
                <w:szCs w:val="24"/>
              </w:rPr>
            </w:pPr>
            <w:r w:rsidRPr="00430D07">
              <w:rPr>
                <w:szCs w:val="24"/>
              </w:rPr>
              <w:t>c</w:t>
            </w:r>
          </w:p>
        </w:tc>
        <w:tc>
          <w:tcPr>
            <w:tcW w:w="0" w:type="dxa"/>
            <w:noWrap/>
          </w:tcPr>
          <w:p w14:paraId="6A38ED6F"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24F9BCBA" w14:textId="77777777" w:rsidR="00430D07" w:rsidRPr="00430D07" w:rsidRDefault="00430D07" w:rsidP="002C13E9">
            <w:pPr>
              <w:pStyle w:val="TableorFigurefootnote"/>
              <w:jc w:val="center"/>
              <w:rPr>
                <w:szCs w:val="24"/>
              </w:rPr>
            </w:pPr>
            <w:r w:rsidRPr="00430D07">
              <w:rPr>
                <w:szCs w:val="24"/>
              </w:rPr>
              <w:t>–</w:t>
            </w:r>
          </w:p>
        </w:tc>
        <w:tc>
          <w:tcPr>
            <w:tcW w:w="0" w:type="dxa"/>
            <w:shd w:val="clear" w:color="auto" w:fill="B0DF9B" w:themeFill="accent4" w:themeFillTint="66"/>
            <w:noWrap/>
          </w:tcPr>
          <w:p w14:paraId="1BC9F9A6" w14:textId="77777777" w:rsidR="00430D07" w:rsidRPr="00430D07" w:rsidRDefault="00430D07" w:rsidP="002C13E9">
            <w:pPr>
              <w:pStyle w:val="TableorFigurefootnote"/>
              <w:jc w:val="center"/>
              <w:rPr>
                <w:szCs w:val="24"/>
              </w:rPr>
            </w:pPr>
            <w:r w:rsidRPr="00430D07">
              <w:rPr>
                <w:szCs w:val="24"/>
              </w:rPr>
              <w:t>X</w:t>
            </w:r>
          </w:p>
        </w:tc>
        <w:tc>
          <w:tcPr>
            <w:tcW w:w="0" w:type="dxa"/>
            <w:shd w:val="clear" w:color="auto" w:fill="B0DF9B" w:themeFill="accent4" w:themeFillTint="66"/>
            <w:noWrap/>
          </w:tcPr>
          <w:p w14:paraId="2E7B131F" w14:textId="77777777" w:rsidR="00430D07" w:rsidRPr="00430D07" w:rsidRDefault="00430D07" w:rsidP="002C13E9">
            <w:pPr>
              <w:pStyle w:val="TableorFigurefootnote"/>
              <w:jc w:val="center"/>
              <w:rPr>
                <w:szCs w:val="24"/>
              </w:rPr>
            </w:pPr>
            <w:r w:rsidRPr="00430D07">
              <w:rPr>
                <w:szCs w:val="24"/>
              </w:rPr>
              <w:t>c</w:t>
            </w:r>
          </w:p>
        </w:tc>
        <w:tc>
          <w:tcPr>
            <w:tcW w:w="0" w:type="dxa"/>
            <w:noWrap/>
          </w:tcPr>
          <w:p w14:paraId="4299607B"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11172ED2" w14:textId="77777777" w:rsidR="00430D07" w:rsidRPr="00430D07" w:rsidRDefault="00430D07" w:rsidP="002C13E9">
            <w:pPr>
              <w:pStyle w:val="TableorFigurefootnote"/>
              <w:jc w:val="center"/>
              <w:rPr>
                <w:szCs w:val="24"/>
              </w:rPr>
            </w:pPr>
            <w:r w:rsidRPr="00430D07">
              <w:rPr>
                <w:szCs w:val="24"/>
              </w:rPr>
              <w:t>–</w:t>
            </w:r>
          </w:p>
        </w:tc>
        <w:tc>
          <w:tcPr>
            <w:tcW w:w="0" w:type="dxa"/>
            <w:shd w:val="clear" w:color="auto" w:fill="B0DF9B" w:themeFill="accent4" w:themeFillTint="66"/>
            <w:noWrap/>
          </w:tcPr>
          <w:p w14:paraId="416BE37D" w14:textId="77777777" w:rsidR="00430D07" w:rsidRPr="00430D07" w:rsidRDefault="00430D07" w:rsidP="002C13E9">
            <w:pPr>
              <w:pStyle w:val="TableorFigurefootnote"/>
              <w:jc w:val="center"/>
              <w:rPr>
                <w:szCs w:val="24"/>
              </w:rPr>
            </w:pPr>
            <w:r w:rsidRPr="00430D07">
              <w:rPr>
                <w:szCs w:val="24"/>
              </w:rPr>
              <w:t>X</w:t>
            </w:r>
          </w:p>
        </w:tc>
        <w:tc>
          <w:tcPr>
            <w:tcW w:w="0" w:type="dxa"/>
            <w:shd w:val="clear" w:color="auto" w:fill="B0DF9B" w:themeFill="accent4" w:themeFillTint="66"/>
            <w:noWrap/>
          </w:tcPr>
          <w:p w14:paraId="63030AE6" w14:textId="77777777" w:rsidR="00430D07" w:rsidRPr="00430D07" w:rsidRDefault="00430D07" w:rsidP="002C13E9">
            <w:pPr>
              <w:pStyle w:val="TableorFigurefootnote"/>
              <w:jc w:val="center"/>
              <w:rPr>
                <w:szCs w:val="24"/>
              </w:rPr>
            </w:pPr>
            <w:r w:rsidRPr="00430D07">
              <w:rPr>
                <w:szCs w:val="24"/>
              </w:rPr>
              <w:t>c</w:t>
            </w:r>
          </w:p>
        </w:tc>
        <w:tc>
          <w:tcPr>
            <w:tcW w:w="0" w:type="dxa"/>
            <w:noWrap/>
          </w:tcPr>
          <w:p w14:paraId="06C60741"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7610F917"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0430D534"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606FEA74"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408257AE" w14:textId="77777777" w:rsidR="00430D07" w:rsidRPr="00430D07" w:rsidRDefault="00430D07" w:rsidP="002C13E9">
            <w:pPr>
              <w:pStyle w:val="TableorFigurefootnote"/>
              <w:jc w:val="center"/>
              <w:rPr>
                <w:szCs w:val="24"/>
              </w:rPr>
            </w:pPr>
            <w:r w:rsidRPr="00430D07">
              <w:rPr>
                <w:szCs w:val="24"/>
              </w:rPr>
              <w:t>–</w:t>
            </w:r>
          </w:p>
        </w:tc>
      </w:tr>
      <w:tr w:rsidR="00EE41A9" w:rsidRPr="00430D07" w14:paraId="01E7D50D" w14:textId="77777777" w:rsidTr="002C13E9">
        <w:tblPrEx>
          <w:tblCellMar>
            <w:top w:w="43" w:type="dxa"/>
            <w:bottom w:w="0" w:type="dxa"/>
          </w:tblCellMar>
        </w:tblPrEx>
        <w:trPr>
          <w:trHeight w:val="433"/>
        </w:trPr>
        <w:tc>
          <w:tcPr>
            <w:tcW w:w="2922" w:type="dxa"/>
            <w:shd w:val="clear" w:color="auto" w:fill="auto"/>
            <w:noWrap/>
          </w:tcPr>
          <w:p w14:paraId="09766673" w14:textId="77777777" w:rsidR="00430D07" w:rsidRPr="00430D07" w:rsidRDefault="00430D07" w:rsidP="00430D07">
            <w:pPr>
              <w:pStyle w:val="TableorFigurefootnote"/>
              <w:rPr>
                <w:szCs w:val="24"/>
              </w:rPr>
            </w:pPr>
            <w:r w:rsidRPr="00430D07">
              <w:rPr>
                <w:szCs w:val="24"/>
              </w:rPr>
              <w:t>Respond to emerging foci for in-depth KI interviewing via protocol development and data collection</w:t>
            </w:r>
          </w:p>
        </w:tc>
        <w:tc>
          <w:tcPr>
            <w:tcW w:w="408" w:type="dxa"/>
            <w:noWrap/>
          </w:tcPr>
          <w:p w14:paraId="1E44FF0E"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57F9752E"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18114F4A"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6B1B7ABC"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1840689F"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79FA6C02"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170E772C"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20FEA2EF" w14:textId="77777777" w:rsidR="00430D07" w:rsidRPr="00430D07" w:rsidRDefault="00430D07" w:rsidP="002C13E9">
            <w:pPr>
              <w:pStyle w:val="TableorFigurefootnote"/>
              <w:jc w:val="center"/>
              <w:rPr>
                <w:szCs w:val="24"/>
              </w:rPr>
            </w:pPr>
            <w:r w:rsidRPr="00430D07">
              <w:rPr>
                <w:szCs w:val="24"/>
              </w:rPr>
              <w:t>–</w:t>
            </w:r>
          </w:p>
        </w:tc>
        <w:tc>
          <w:tcPr>
            <w:tcW w:w="408" w:type="dxa"/>
            <w:shd w:val="clear" w:color="auto" w:fill="B0DF9B" w:themeFill="accent4" w:themeFillTint="66"/>
            <w:noWrap/>
          </w:tcPr>
          <w:p w14:paraId="63BD7D65" w14:textId="77777777" w:rsidR="00430D07" w:rsidRPr="00430D07" w:rsidRDefault="00430D07" w:rsidP="002C13E9">
            <w:pPr>
              <w:pStyle w:val="TableorFigurefootnote"/>
              <w:jc w:val="center"/>
              <w:rPr>
                <w:szCs w:val="24"/>
              </w:rPr>
            </w:pPr>
            <w:r w:rsidRPr="00430D07">
              <w:rPr>
                <w:szCs w:val="24"/>
              </w:rPr>
              <w:t>X</w:t>
            </w:r>
          </w:p>
        </w:tc>
        <w:tc>
          <w:tcPr>
            <w:tcW w:w="408" w:type="dxa"/>
            <w:shd w:val="clear" w:color="auto" w:fill="B0DF9B" w:themeFill="accent4" w:themeFillTint="66"/>
            <w:noWrap/>
          </w:tcPr>
          <w:p w14:paraId="77806BF9" w14:textId="77777777" w:rsidR="00430D07" w:rsidRPr="00430D07" w:rsidRDefault="00430D07" w:rsidP="002C13E9">
            <w:pPr>
              <w:pStyle w:val="TableorFigurefootnote"/>
              <w:jc w:val="center"/>
              <w:rPr>
                <w:szCs w:val="24"/>
              </w:rPr>
            </w:pPr>
            <w:r w:rsidRPr="00430D07">
              <w:rPr>
                <w:szCs w:val="24"/>
              </w:rPr>
              <w:t>c</w:t>
            </w:r>
          </w:p>
        </w:tc>
        <w:tc>
          <w:tcPr>
            <w:tcW w:w="408" w:type="dxa"/>
            <w:shd w:val="clear" w:color="auto" w:fill="B0DF9B" w:themeFill="accent4" w:themeFillTint="66"/>
            <w:noWrap/>
          </w:tcPr>
          <w:p w14:paraId="14BB18F6" w14:textId="77777777" w:rsidR="00430D07" w:rsidRPr="00430D07" w:rsidRDefault="00430D07" w:rsidP="002C13E9">
            <w:pPr>
              <w:pStyle w:val="TableorFigurefootnote"/>
              <w:jc w:val="center"/>
              <w:rPr>
                <w:szCs w:val="24"/>
              </w:rPr>
            </w:pPr>
            <w:r w:rsidRPr="00430D07">
              <w:rPr>
                <w:szCs w:val="24"/>
              </w:rPr>
              <w:t>c</w:t>
            </w:r>
          </w:p>
        </w:tc>
        <w:tc>
          <w:tcPr>
            <w:tcW w:w="408" w:type="dxa"/>
            <w:shd w:val="clear" w:color="auto" w:fill="B0DF9B" w:themeFill="accent4" w:themeFillTint="66"/>
            <w:noWrap/>
          </w:tcPr>
          <w:p w14:paraId="68B93F40" w14:textId="77777777" w:rsidR="00430D07" w:rsidRPr="00430D07" w:rsidRDefault="00430D07" w:rsidP="002C13E9">
            <w:pPr>
              <w:pStyle w:val="TableorFigurefootnote"/>
              <w:jc w:val="center"/>
              <w:rPr>
                <w:szCs w:val="24"/>
              </w:rPr>
            </w:pPr>
            <w:r w:rsidRPr="00430D07">
              <w:rPr>
                <w:szCs w:val="24"/>
              </w:rPr>
              <w:t>c</w:t>
            </w:r>
          </w:p>
        </w:tc>
        <w:tc>
          <w:tcPr>
            <w:tcW w:w="408" w:type="dxa"/>
            <w:shd w:val="clear" w:color="auto" w:fill="B0DF9B" w:themeFill="accent4" w:themeFillTint="66"/>
            <w:noWrap/>
          </w:tcPr>
          <w:p w14:paraId="25BC68B2" w14:textId="77777777" w:rsidR="00430D07" w:rsidRPr="00430D07" w:rsidRDefault="00430D07" w:rsidP="002C13E9">
            <w:pPr>
              <w:pStyle w:val="TableorFigurefootnote"/>
              <w:jc w:val="center"/>
              <w:rPr>
                <w:szCs w:val="24"/>
              </w:rPr>
            </w:pPr>
            <w:r w:rsidRPr="00430D07">
              <w:rPr>
                <w:szCs w:val="24"/>
              </w:rPr>
              <w:t>c</w:t>
            </w:r>
          </w:p>
        </w:tc>
        <w:tc>
          <w:tcPr>
            <w:tcW w:w="408" w:type="dxa"/>
            <w:shd w:val="clear" w:color="auto" w:fill="B0DF9B" w:themeFill="accent4" w:themeFillTint="66"/>
            <w:noWrap/>
          </w:tcPr>
          <w:p w14:paraId="48094476" w14:textId="77777777" w:rsidR="00430D07" w:rsidRPr="00430D07" w:rsidRDefault="00430D07" w:rsidP="002C13E9">
            <w:pPr>
              <w:pStyle w:val="TableorFigurefootnote"/>
              <w:jc w:val="center"/>
              <w:rPr>
                <w:szCs w:val="24"/>
              </w:rPr>
            </w:pPr>
            <w:r w:rsidRPr="00430D07">
              <w:rPr>
                <w:szCs w:val="24"/>
              </w:rPr>
              <w:t>c</w:t>
            </w:r>
          </w:p>
        </w:tc>
        <w:tc>
          <w:tcPr>
            <w:tcW w:w="408" w:type="dxa"/>
            <w:shd w:val="clear" w:color="auto" w:fill="B0DF9B" w:themeFill="accent4" w:themeFillTint="66"/>
            <w:noWrap/>
          </w:tcPr>
          <w:p w14:paraId="26944DDE" w14:textId="77777777" w:rsidR="00430D07" w:rsidRPr="00430D07" w:rsidRDefault="00430D07" w:rsidP="002C13E9">
            <w:pPr>
              <w:pStyle w:val="TableorFigurefootnote"/>
              <w:jc w:val="center"/>
              <w:rPr>
                <w:szCs w:val="24"/>
              </w:rPr>
            </w:pPr>
            <w:r w:rsidRPr="00430D07">
              <w:rPr>
                <w:szCs w:val="24"/>
              </w:rPr>
              <w:t>c</w:t>
            </w:r>
          </w:p>
        </w:tc>
        <w:tc>
          <w:tcPr>
            <w:tcW w:w="408" w:type="dxa"/>
            <w:shd w:val="clear" w:color="auto" w:fill="B0DF9B" w:themeFill="accent4" w:themeFillTint="66"/>
            <w:noWrap/>
          </w:tcPr>
          <w:p w14:paraId="227BFFD0" w14:textId="77777777" w:rsidR="00430D07" w:rsidRPr="00430D07" w:rsidRDefault="00430D07" w:rsidP="002C13E9">
            <w:pPr>
              <w:pStyle w:val="TableorFigurefootnote"/>
              <w:jc w:val="center"/>
              <w:rPr>
                <w:szCs w:val="24"/>
              </w:rPr>
            </w:pPr>
            <w:r w:rsidRPr="00430D07">
              <w:rPr>
                <w:szCs w:val="24"/>
              </w:rPr>
              <w:t>c</w:t>
            </w:r>
          </w:p>
        </w:tc>
        <w:tc>
          <w:tcPr>
            <w:tcW w:w="408" w:type="dxa"/>
            <w:shd w:val="clear" w:color="auto" w:fill="B0DF9B" w:themeFill="accent4" w:themeFillTint="66"/>
            <w:noWrap/>
          </w:tcPr>
          <w:p w14:paraId="0A1190F4" w14:textId="77777777" w:rsidR="00430D07" w:rsidRPr="00430D07" w:rsidRDefault="00430D07" w:rsidP="002C13E9">
            <w:pPr>
              <w:pStyle w:val="TableorFigurefootnote"/>
              <w:jc w:val="center"/>
              <w:rPr>
                <w:szCs w:val="24"/>
              </w:rPr>
            </w:pPr>
            <w:r w:rsidRPr="00430D07">
              <w:rPr>
                <w:szCs w:val="24"/>
              </w:rPr>
              <w:t>c</w:t>
            </w:r>
          </w:p>
        </w:tc>
        <w:tc>
          <w:tcPr>
            <w:tcW w:w="408" w:type="dxa"/>
            <w:shd w:val="clear" w:color="auto" w:fill="B0DF9B" w:themeFill="accent4" w:themeFillTint="66"/>
            <w:noWrap/>
          </w:tcPr>
          <w:p w14:paraId="5EF29191" w14:textId="77777777" w:rsidR="00430D07" w:rsidRPr="00430D07" w:rsidRDefault="00430D07" w:rsidP="002C13E9">
            <w:pPr>
              <w:pStyle w:val="TableorFigurefootnote"/>
              <w:jc w:val="center"/>
              <w:rPr>
                <w:szCs w:val="24"/>
              </w:rPr>
            </w:pPr>
            <w:r w:rsidRPr="00430D07">
              <w:rPr>
                <w:szCs w:val="24"/>
              </w:rPr>
              <w:t>c</w:t>
            </w:r>
          </w:p>
        </w:tc>
        <w:tc>
          <w:tcPr>
            <w:tcW w:w="408" w:type="dxa"/>
            <w:shd w:val="clear" w:color="auto" w:fill="B0DF9B" w:themeFill="accent4" w:themeFillTint="66"/>
            <w:noWrap/>
          </w:tcPr>
          <w:p w14:paraId="1AC758F8" w14:textId="77777777" w:rsidR="00430D07" w:rsidRPr="00430D07" w:rsidRDefault="00430D07" w:rsidP="002C13E9">
            <w:pPr>
              <w:pStyle w:val="TableorFigurefootnote"/>
              <w:jc w:val="center"/>
              <w:rPr>
                <w:szCs w:val="24"/>
              </w:rPr>
            </w:pPr>
            <w:r w:rsidRPr="00430D07">
              <w:rPr>
                <w:szCs w:val="24"/>
              </w:rPr>
              <w:t>c</w:t>
            </w:r>
          </w:p>
        </w:tc>
        <w:tc>
          <w:tcPr>
            <w:tcW w:w="408" w:type="dxa"/>
            <w:shd w:val="clear" w:color="auto" w:fill="B0DF9B" w:themeFill="accent4" w:themeFillTint="66"/>
            <w:noWrap/>
          </w:tcPr>
          <w:p w14:paraId="6CACEE25" w14:textId="77777777" w:rsidR="00430D07" w:rsidRPr="00430D07" w:rsidRDefault="00430D07" w:rsidP="002C13E9">
            <w:pPr>
              <w:pStyle w:val="TableorFigurefootnote"/>
              <w:jc w:val="center"/>
              <w:rPr>
                <w:szCs w:val="24"/>
              </w:rPr>
            </w:pPr>
            <w:r w:rsidRPr="00430D07">
              <w:rPr>
                <w:szCs w:val="24"/>
              </w:rPr>
              <w:t>c</w:t>
            </w:r>
          </w:p>
        </w:tc>
        <w:tc>
          <w:tcPr>
            <w:tcW w:w="408" w:type="dxa"/>
            <w:shd w:val="clear" w:color="auto" w:fill="B0DF9B" w:themeFill="accent4" w:themeFillTint="66"/>
            <w:noWrap/>
          </w:tcPr>
          <w:p w14:paraId="4138E94B" w14:textId="77777777" w:rsidR="00430D07" w:rsidRPr="00430D07" w:rsidRDefault="00430D07" w:rsidP="002C13E9">
            <w:pPr>
              <w:pStyle w:val="TableorFigurefootnote"/>
              <w:jc w:val="center"/>
              <w:rPr>
                <w:szCs w:val="24"/>
              </w:rPr>
            </w:pPr>
            <w:r w:rsidRPr="00430D07">
              <w:rPr>
                <w:szCs w:val="24"/>
              </w:rPr>
              <w:t>c</w:t>
            </w:r>
          </w:p>
        </w:tc>
        <w:tc>
          <w:tcPr>
            <w:tcW w:w="408" w:type="dxa"/>
            <w:noWrap/>
          </w:tcPr>
          <w:p w14:paraId="3F5AB2CB"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1589F9B4"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693D2DB4"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6B0F3EE2"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42EC64E7" w14:textId="77777777" w:rsidR="00430D07" w:rsidRPr="00430D07" w:rsidRDefault="00430D07" w:rsidP="002C13E9">
            <w:pPr>
              <w:pStyle w:val="TableorFigurefootnote"/>
              <w:jc w:val="center"/>
              <w:rPr>
                <w:szCs w:val="24"/>
              </w:rPr>
            </w:pPr>
            <w:r w:rsidRPr="00430D07">
              <w:rPr>
                <w:szCs w:val="24"/>
              </w:rPr>
              <w:t>–</w:t>
            </w:r>
          </w:p>
        </w:tc>
      </w:tr>
      <w:tr w:rsidR="0020559B" w:rsidRPr="00430D07" w14:paraId="62814128" w14:textId="77777777" w:rsidTr="002C13E9">
        <w:tblPrEx>
          <w:tblCellMar>
            <w:top w:w="43" w:type="dxa"/>
            <w:bottom w:w="0" w:type="dxa"/>
          </w:tblCellMar>
        </w:tblPrEx>
        <w:trPr>
          <w:cnfStyle w:val="000000100000" w:firstRow="0" w:lastRow="0" w:firstColumn="0" w:lastColumn="0" w:oddVBand="0" w:evenVBand="0" w:oddHBand="1" w:evenHBand="0" w:firstRowFirstColumn="0" w:firstRowLastColumn="0" w:lastRowFirstColumn="0" w:lastRowLastColumn="0"/>
          <w:trHeight w:val="243"/>
        </w:trPr>
        <w:tc>
          <w:tcPr>
            <w:tcW w:w="0" w:type="dxa"/>
            <w:shd w:val="clear" w:color="auto" w:fill="auto"/>
            <w:noWrap/>
          </w:tcPr>
          <w:p w14:paraId="35E5131D" w14:textId="77777777" w:rsidR="00430D07" w:rsidRPr="00430D07" w:rsidRDefault="00430D07" w:rsidP="00430D07">
            <w:pPr>
              <w:pStyle w:val="TableorFigurefootnote"/>
              <w:rPr>
                <w:szCs w:val="24"/>
              </w:rPr>
            </w:pPr>
            <w:r w:rsidRPr="00430D07">
              <w:rPr>
                <w:szCs w:val="24"/>
              </w:rPr>
              <w:t>Schedule and perform KI interviews</w:t>
            </w:r>
          </w:p>
        </w:tc>
        <w:tc>
          <w:tcPr>
            <w:tcW w:w="0" w:type="dxa"/>
            <w:noWrap/>
          </w:tcPr>
          <w:p w14:paraId="301B0CA4"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18C0B68A"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34278022"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6A6B7470"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375ECF98"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4B4ECB11"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28D124A4"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7A777CC5" w14:textId="77777777" w:rsidR="00430D07" w:rsidRPr="00430D07" w:rsidRDefault="00430D07" w:rsidP="002C13E9">
            <w:pPr>
              <w:pStyle w:val="TableorFigurefootnote"/>
              <w:jc w:val="center"/>
              <w:rPr>
                <w:szCs w:val="24"/>
              </w:rPr>
            </w:pPr>
            <w:r w:rsidRPr="00430D07">
              <w:rPr>
                <w:szCs w:val="24"/>
              </w:rPr>
              <w:t>–</w:t>
            </w:r>
          </w:p>
        </w:tc>
        <w:tc>
          <w:tcPr>
            <w:tcW w:w="0" w:type="dxa"/>
            <w:shd w:val="clear" w:color="auto" w:fill="B0DF9B" w:themeFill="accent4" w:themeFillTint="66"/>
            <w:noWrap/>
          </w:tcPr>
          <w:p w14:paraId="54FA7F8F" w14:textId="77777777" w:rsidR="00430D07" w:rsidRPr="00430D07" w:rsidRDefault="00430D07" w:rsidP="002C13E9">
            <w:pPr>
              <w:pStyle w:val="TableorFigurefootnote"/>
              <w:jc w:val="center"/>
              <w:rPr>
                <w:szCs w:val="24"/>
              </w:rPr>
            </w:pPr>
            <w:r w:rsidRPr="00430D07">
              <w:rPr>
                <w:szCs w:val="24"/>
              </w:rPr>
              <w:t>X</w:t>
            </w:r>
          </w:p>
        </w:tc>
        <w:tc>
          <w:tcPr>
            <w:tcW w:w="0" w:type="dxa"/>
            <w:shd w:val="clear" w:color="auto" w:fill="B0DF9B" w:themeFill="accent4" w:themeFillTint="66"/>
            <w:noWrap/>
          </w:tcPr>
          <w:p w14:paraId="28FC83AB" w14:textId="77777777" w:rsidR="00430D07" w:rsidRPr="00430D07" w:rsidRDefault="00430D07" w:rsidP="002C13E9">
            <w:pPr>
              <w:pStyle w:val="TableorFigurefootnote"/>
              <w:jc w:val="center"/>
              <w:rPr>
                <w:szCs w:val="24"/>
              </w:rPr>
            </w:pPr>
            <w:r w:rsidRPr="00430D07">
              <w:rPr>
                <w:szCs w:val="24"/>
              </w:rPr>
              <w:t>c</w:t>
            </w:r>
          </w:p>
        </w:tc>
        <w:tc>
          <w:tcPr>
            <w:tcW w:w="0" w:type="dxa"/>
            <w:shd w:val="clear" w:color="auto" w:fill="B0DF9B" w:themeFill="accent4" w:themeFillTint="66"/>
            <w:noWrap/>
          </w:tcPr>
          <w:p w14:paraId="7A53EE1D" w14:textId="77777777" w:rsidR="00430D07" w:rsidRPr="00430D07" w:rsidRDefault="00430D07" w:rsidP="002C13E9">
            <w:pPr>
              <w:pStyle w:val="TableorFigurefootnote"/>
              <w:jc w:val="center"/>
              <w:rPr>
                <w:szCs w:val="24"/>
              </w:rPr>
            </w:pPr>
            <w:r w:rsidRPr="00430D07">
              <w:rPr>
                <w:szCs w:val="24"/>
              </w:rPr>
              <w:t>c</w:t>
            </w:r>
          </w:p>
        </w:tc>
        <w:tc>
          <w:tcPr>
            <w:tcW w:w="0" w:type="dxa"/>
            <w:shd w:val="clear" w:color="auto" w:fill="B0DF9B" w:themeFill="accent4" w:themeFillTint="66"/>
            <w:noWrap/>
          </w:tcPr>
          <w:p w14:paraId="00E2DB2E" w14:textId="77777777" w:rsidR="00430D07" w:rsidRPr="00430D07" w:rsidRDefault="00430D07" w:rsidP="002C13E9">
            <w:pPr>
              <w:pStyle w:val="TableorFigurefootnote"/>
              <w:jc w:val="center"/>
              <w:rPr>
                <w:szCs w:val="24"/>
              </w:rPr>
            </w:pPr>
            <w:r w:rsidRPr="00430D07">
              <w:rPr>
                <w:szCs w:val="24"/>
              </w:rPr>
              <w:t>c</w:t>
            </w:r>
          </w:p>
        </w:tc>
        <w:tc>
          <w:tcPr>
            <w:tcW w:w="0" w:type="dxa"/>
            <w:shd w:val="clear" w:color="auto" w:fill="B0DF9B" w:themeFill="accent4" w:themeFillTint="66"/>
            <w:noWrap/>
          </w:tcPr>
          <w:p w14:paraId="19FF24F1" w14:textId="77777777" w:rsidR="00430D07" w:rsidRPr="00430D07" w:rsidRDefault="00430D07" w:rsidP="002C13E9">
            <w:pPr>
              <w:pStyle w:val="TableorFigurefootnote"/>
              <w:jc w:val="center"/>
              <w:rPr>
                <w:szCs w:val="24"/>
              </w:rPr>
            </w:pPr>
            <w:r w:rsidRPr="00430D07">
              <w:rPr>
                <w:szCs w:val="24"/>
              </w:rPr>
              <w:t>c</w:t>
            </w:r>
          </w:p>
        </w:tc>
        <w:tc>
          <w:tcPr>
            <w:tcW w:w="0" w:type="dxa"/>
            <w:shd w:val="clear" w:color="auto" w:fill="B0DF9B" w:themeFill="accent4" w:themeFillTint="66"/>
            <w:noWrap/>
          </w:tcPr>
          <w:p w14:paraId="6C38F1FD" w14:textId="77777777" w:rsidR="00430D07" w:rsidRPr="00430D07" w:rsidRDefault="00430D07" w:rsidP="002C13E9">
            <w:pPr>
              <w:pStyle w:val="TableorFigurefootnote"/>
              <w:jc w:val="center"/>
              <w:rPr>
                <w:szCs w:val="24"/>
              </w:rPr>
            </w:pPr>
            <w:r w:rsidRPr="00430D07">
              <w:rPr>
                <w:szCs w:val="24"/>
              </w:rPr>
              <w:t>c</w:t>
            </w:r>
          </w:p>
        </w:tc>
        <w:tc>
          <w:tcPr>
            <w:tcW w:w="0" w:type="dxa"/>
            <w:shd w:val="clear" w:color="auto" w:fill="B0DF9B" w:themeFill="accent4" w:themeFillTint="66"/>
            <w:noWrap/>
          </w:tcPr>
          <w:p w14:paraId="5FA86457" w14:textId="77777777" w:rsidR="00430D07" w:rsidRPr="00430D07" w:rsidRDefault="00430D07" w:rsidP="002C13E9">
            <w:pPr>
              <w:pStyle w:val="TableorFigurefootnote"/>
              <w:jc w:val="center"/>
              <w:rPr>
                <w:szCs w:val="24"/>
              </w:rPr>
            </w:pPr>
            <w:r w:rsidRPr="00430D07">
              <w:rPr>
                <w:szCs w:val="24"/>
              </w:rPr>
              <w:t>c</w:t>
            </w:r>
          </w:p>
        </w:tc>
        <w:tc>
          <w:tcPr>
            <w:tcW w:w="0" w:type="dxa"/>
            <w:shd w:val="clear" w:color="auto" w:fill="B0DF9B" w:themeFill="accent4" w:themeFillTint="66"/>
            <w:noWrap/>
          </w:tcPr>
          <w:p w14:paraId="5A1E55B7" w14:textId="77777777" w:rsidR="00430D07" w:rsidRPr="00430D07" w:rsidRDefault="00430D07" w:rsidP="002C13E9">
            <w:pPr>
              <w:pStyle w:val="TableorFigurefootnote"/>
              <w:jc w:val="center"/>
              <w:rPr>
                <w:szCs w:val="24"/>
              </w:rPr>
            </w:pPr>
            <w:r w:rsidRPr="00430D07">
              <w:rPr>
                <w:szCs w:val="24"/>
              </w:rPr>
              <w:t>c</w:t>
            </w:r>
          </w:p>
        </w:tc>
        <w:tc>
          <w:tcPr>
            <w:tcW w:w="0" w:type="dxa"/>
            <w:shd w:val="clear" w:color="auto" w:fill="B0DF9B" w:themeFill="accent4" w:themeFillTint="66"/>
            <w:noWrap/>
          </w:tcPr>
          <w:p w14:paraId="58CB2DD6" w14:textId="77777777" w:rsidR="00430D07" w:rsidRPr="00430D07" w:rsidRDefault="00430D07" w:rsidP="002C13E9">
            <w:pPr>
              <w:pStyle w:val="TableorFigurefootnote"/>
              <w:jc w:val="center"/>
              <w:rPr>
                <w:szCs w:val="24"/>
              </w:rPr>
            </w:pPr>
            <w:r w:rsidRPr="00430D07">
              <w:rPr>
                <w:szCs w:val="24"/>
              </w:rPr>
              <w:t>c</w:t>
            </w:r>
          </w:p>
        </w:tc>
        <w:tc>
          <w:tcPr>
            <w:tcW w:w="0" w:type="dxa"/>
            <w:shd w:val="clear" w:color="auto" w:fill="B0DF9B" w:themeFill="accent4" w:themeFillTint="66"/>
            <w:noWrap/>
          </w:tcPr>
          <w:p w14:paraId="05AA5B37" w14:textId="77777777" w:rsidR="00430D07" w:rsidRPr="00430D07" w:rsidRDefault="00430D07" w:rsidP="002C13E9">
            <w:pPr>
              <w:pStyle w:val="TableorFigurefootnote"/>
              <w:jc w:val="center"/>
              <w:rPr>
                <w:szCs w:val="24"/>
              </w:rPr>
            </w:pPr>
            <w:r w:rsidRPr="00430D07">
              <w:rPr>
                <w:szCs w:val="24"/>
              </w:rPr>
              <w:t>c</w:t>
            </w:r>
          </w:p>
        </w:tc>
        <w:tc>
          <w:tcPr>
            <w:tcW w:w="0" w:type="dxa"/>
            <w:shd w:val="clear" w:color="auto" w:fill="B0DF9B" w:themeFill="accent4" w:themeFillTint="66"/>
            <w:noWrap/>
          </w:tcPr>
          <w:p w14:paraId="7379F2BE" w14:textId="77777777" w:rsidR="00430D07" w:rsidRPr="00430D07" w:rsidRDefault="00430D07" w:rsidP="002C13E9">
            <w:pPr>
              <w:pStyle w:val="TableorFigurefootnote"/>
              <w:jc w:val="center"/>
              <w:rPr>
                <w:szCs w:val="24"/>
              </w:rPr>
            </w:pPr>
            <w:r w:rsidRPr="00430D07">
              <w:rPr>
                <w:szCs w:val="24"/>
              </w:rPr>
              <w:t>c</w:t>
            </w:r>
          </w:p>
        </w:tc>
        <w:tc>
          <w:tcPr>
            <w:tcW w:w="0" w:type="dxa"/>
            <w:shd w:val="clear" w:color="auto" w:fill="B0DF9B" w:themeFill="accent4" w:themeFillTint="66"/>
            <w:noWrap/>
          </w:tcPr>
          <w:p w14:paraId="286251D8" w14:textId="77777777" w:rsidR="00430D07" w:rsidRPr="00430D07" w:rsidRDefault="00430D07" w:rsidP="002C13E9">
            <w:pPr>
              <w:pStyle w:val="TableorFigurefootnote"/>
              <w:jc w:val="center"/>
              <w:rPr>
                <w:szCs w:val="24"/>
              </w:rPr>
            </w:pPr>
            <w:r w:rsidRPr="00430D07">
              <w:rPr>
                <w:szCs w:val="24"/>
              </w:rPr>
              <w:t>c</w:t>
            </w:r>
          </w:p>
        </w:tc>
        <w:tc>
          <w:tcPr>
            <w:tcW w:w="0" w:type="dxa"/>
            <w:shd w:val="clear" w:color="auto" w:fill="B0DF9B" w:themeFill="accent4" w:themeFillTint="66"/>
            <w:noWrap/>
          </w:tcPr>
          <w:p w14:paraId="5EEA97D2" w14:textId="77777777" w:rsidR="00430D07" w:rsidRPr="00430D07" w:rsidRDefault="00430D07" w:rsidP="002C13E9">
            <w:pPr>
              <w:pStyle w:val="TableorFigurefootnote"/>
              <w:jc w:val="center"/>
              <w:rPr>
                <w:szCs w:val="24"/>
              </w:rPr>
            </w:pPr>
            <w:r w:rsidRPr="00430D07">
              <w:rPr>
                <w:szCs w:val="24"/>
              </w:rPr>
              <w:t>c</w:t>
            </w:r>
          </w:p>
        </w:tc>
        <w:tc>
          <w:tcPr>
            <w:tcW w:w="0" w:type="dxa"/>
            <w:shd w:val="clear" w:color="auto" w:fill="B0DF9B" w:themeFill="accent4" w:themeFillTint="66"/>
            <w:noWrap/>
          </w:tcPr>
          <w:p w14:paraId="68CF30A6" w14:textId="77777777" w:rsidR="00430D07" w:rsidRPr="00430D07" w:rsidRDefault="00430D07" w:rsidP="002C13E9">
            <w:pPr>
              <w:pStyle w:val="TableorFigurefootnote"/>
              <w:jc w:val="center"/>
              <w:rPr>
                <w:szCs w:val="24"/>
              </w:rPr>
            </w:pPr>
            <w:r w:rsidRPr="00430D07">
              <w:rPr>
                <w:szCs w:val="24"/>
              </w:rPr>
              <w:t>c</w:t>
            </w:r>
          </w:p>
        </w:tc>
        <w:tc>
          <w:tcPr>
            <w:tcW w:w="0" w:type="dxa"/>
            <w:noWrap/>
          </w:tcPr>
          <w:p w14:paraId="6F8A3694"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245CC9A6"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16B09EC7"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10C7F7FC" w14:textId="77777777" w:rsidR="00430D07" w:rsidRPr="00430D07" w:rsidRDefault="00430D07" w:rsidP="002C13E9">
            <w:pPr>
              <w:pStyle w:val="TableorFigurefootnote"/>
              <w:jc w:val="center"/>
              <w:rPr>
                <w:szCs w:val="24"/>
              </w:rPr>
            </w:pPr>
            <w:r w:rsidRPr="00430D07">
              <w:rPr>
                <w:szCs w:val="24"/>
              </w:rPr>
              <w:t>–</w:t>
            </w:r>
          </w:p>
        </w:tc>
      </w:tr>
      <w:tr w:rsidR="0020559B" w:rsidRPr="00430D07" w14:paraId="21908537" w14:textId="77777777" w:rsidTr="002C13E9">
        <w:tblPrEx>
          <w:tblCellMar>
            <w:top w:w="43" w:type="dxa"/>
            <w:bottom w:w="0" w:type="dxa"/>
          </w:tblCellMar>
        </w:tblPrEx>
        <w:trPr>
          <w:trHeight w:val="243"/>
        </w:trPr>
        <w:tc>
          <w:tcPr>
            <w:tcW w:w="0" w:type="dxa"/>
            <w:shd w:val="clear" w:color="auto" w:fill="auto"/>
            <w:noWrap/>
          </w:tcPr>
          <w:p w14:paraId="13AD87BB" w14:textId="77777777" w:rsidR="00430D07" w:rsidRPr="00430D07" w:rsidRDefault="00430D07" w:rsidP="00430D07">
            <w:pPr>
              <w:pStyle w:val="TableorFigurefootnote"/>
              <w:rPr>
                <w:szCs w:val="24"/>
              </w:rPr>
            </w:pPr>
            <w:r w:rsidRPr="00430D07">
              <w:rPr>
                <w:szCs w:val="24"/>
              </w:rPr>
              <w:t>Transcribe, code, and analyze KI interview text</w:t>
            </w:r>
          </w:p>
        </w:tc>
        <w:tc>
          <w:tcPr>
            <w:tcW w:w="0" w:type="dxa"/>
            <w:noWrap/>
          </w:tcPr>
          <w:p w14:paraId="033CCF81"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4EF12EAD"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15988023"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16788EAB"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2A05E255"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3EC890CD"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2F67CB9C"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3BFAEFEC"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24D2F8D1" w14:textId="77777777" w:rsidR="00430D07" w:rsidRPr="00430D07" w:rsidRDefault="00430D07" w:rsidP="002C13E9">
            <w:pPr>
              <w:pStyle w:val="TableorFigurefootnote"/>
              <w:jc w:val="center"/>
              <w:rPr>
                <w:szCs w:val="24"/>
              </w:rPr>
            </w:pPr>
            <w:r w:rsidRPr="00430D07">
              <w:rPr>
                <w:szCs w:val="24"/>
              </w:rPr>
              <w:t>–</w:t>
            </w:r>
          </w:p>
        </w:tc>
        <w:tc>
          <w:tcPr>
            <w:tcW w:w="0" w:type="dxa"/>
            <w:shd w:val="clear" w:color="auto" w:fill="B0DF9B" w:themeFill="accent4" w:themeFillTint="66"/>
            <w:noWrap/>
          </w:tcPr>
          <w:p w14:paraId="4CA039B9" w14:textId="77777777" w:rsidR="00430D07" w:rsidRPr="00430D07" w:rsidRDefault="00430D07" w:rsidP="002C13E9">
            <w:pPr>
              <w:pStyle w:val="TableorFigurefootnote"/>
              <w:jc w:val="center"/>
              <w:rPr>
                <w:szCs w:val="24"/>
              </w:rPr>
            </w:pPr>
            <w:r w:rsidRPr="00430D07">
              <w:rPr>
                <w:szCs w:val="24"/>
              </w:rPr>
              <w:t>X</w:t>
            </w:r>
          </w:p>
        </w:tc>
        <w:tc>
          <w:tcPr>
            <w:tcW w:w="0" w:type="dxa"/>
            <w:shd w:val="clear" w:color="auto" w:fill="B0DF9B" w:themeFill="accent4" w:themeFillTint="66"/>
            <w:noWrap/>
          </w:tcPr>
          <w:p w14:paraId="39D35935" w14:textId="77777777" w:rsidR="00430D07" w:rsidRPr="00430D07" w:rsidRDefault="00430D07" w:rsidP="002C13E9">
            <w:pPr>
              <w:pStyle w:val="TableorFigurefootnote"/>
              <w:jc w:val="center"/>
              <w:rPr>
                <w:szCs w:val="24"/>
              </w:rPr>
            </w:pPr>
            <w:r w:rsidRPr="00430D07">
              <w:rPr>
                <w:szCs w:val="24"/>
              </w:rPr>
              <w:t>c</w:t>
            </w:r>
          </w:p>
        </w:tc>
        <w:tc>
          <w:tcPr>
            <w:tcW w:w="0" w:type="dxa"/>
            <w:shd w:val="clear" w:color="auto" w:fill="B0DF9B" w:themeFill="accent4" w:themeFillTint="66"/>
            <w:noWrap/>
          </w:tcPr>
          <w:p w14:paraId="7C12086A" w14:textId="77777777" w:rsidR="00430D07" w:rsidRPr="00430D07" w:rsidRDefault="00430D07" w:rsidP="002C13E9">
            <w:pPr>
              <w:pStyle w:val="TableorFigurefootnote"/>
              <w:jc w:val="center"/>
              <w:rPr>
                <w:szCs w:val="24"/>
              </w:rPr>
            </w:pPr>
            <w:r w:rsidRPr="00430D07">
              <w:rPr>
                <w:szCs w:val="24"/>
              </w:rPr>
              <w:t>c</w:t>
            </w:r>
          </w:p>
        </w:tc>
        <w:tc>
          <w:tcPr>
            <w:tcW w:w="0" w:type="dxa"/>
            <w:shd w:val="clear" w:color="auto" w:fill="B0DF9B" w:themeFill="accent4" w:themeFillTint="66"/>
            <w:noWrap/>
          </w:tcPr>
          <w:p w14:paraId="5AD9B342" w14:textId="77777777" w:rsidR="00430D07" w:rsidRPr="00430D07" w:rsidRDefault="00430D07" w:rsidP="002C13E9">
            <w:pPr>
              <w:pStyle w:val="TableorFigurefootnote"/>
              <w:jc w:val="center"/>
              <w:rPr>
                <w:szCs w:val="24"/>
              </w:rPr>
            </w:pPr>
            <w:r w:rsidRPr="00430D07">
              <w:rPr>
                <w:szCs w:val="24"/>
              </w:rPr>
              <w:t>c</w:t>
            </w:r>
          </w:p>
        </w:tc>
        <w:tc>
          <w:tcPr>
            <w:tcW w:w="0" w:type="dxa"/>
            <w:shd w:val="clear" w:color="auto" w:fill="B0DF9B" w:themeFill="accent4" w:themeFillTint="66"/>
            <w:noWrap/>
          </w:tcPr>
          <w:p w14:paraId="6CBEC26A" w14:textId="77777777" w:rsidR="00430D07" w:rsidRPr="00430D07" w:rsidRDefault="00430D07" w:rsidP="002C13E9">
            <w:pPr>
              <w:pStyle w:val="TableorFigurefootnote"/>
              <w:jc w:val="center"/>
              <w:rPr>
                <w:szCs w:val="24"/>
              </w:rPr>
            </w:pPr>
            <w:r w:rsidRPr="00430D07">
              <w:rPr>
                <w:szCs w:val="24"/>
              </w:rPr>
              <w:t>c</w:t>
            </w:r>
          </w:p>
        </w:tc>
        <w:tc>
          <w:tcPr>
            <w:tcW w:w="0" w:type="dxa"/>
            <w:shd w:val="clear" w:color="auto" w:fill="B0DF9B" w:themeFill="accent4" w:themeFillTint="66"/>
            <w:noWrap/>
          </w:tcPr>
          <w:p w14:paraId="6D355BBC" w14:textId="77777777" w:rsidR="00430D07" w:rsidRPr="00430D07" w:rsidRDefault="00430D07" w:rsidP="002C13E9">
            <w:pPr>
              <w:pStyle w:val="TableorFigurefootnote"/>
              <w:jc w:val="center"/>
              <w:rPr>
                <w:szCs w:val="24"/>
              </w:rPr>
            </w:pPr>
            <w:r w:rsidRPr="00430D07">
              <w:rPr>
                <w:szCs w:val="24"/>
              </w:rPr>
              <w:t>c</w:t>
            </w:r>
          </w:p>
        </w:tc>
        <w:tc>
          <w:tcPr>
            <w:tcW w:w="0" w:type="dxa"/>
            <w:shd w:val="clear" w:color="auto" w:fill="B0DF9B" w:themeFill="accent4" w:themeFillTint="66"/>
            <w:noWrap/>
          </w:tcPr>
          <w:p w14:paraId="330D259F" w14:textId="77777777" w:rsidR="00430D07" w:rsidRPr="00430D07" w:rsidRDefault="00430D07" w:rsidP="002C13E9">
            <w:pPr>
              <w:pStyle w:val="TableorFigurefootnote"/>
              <w:jc w:val="center"/>
              <w:rPr>
                <w:szCs w:val="24"/>
              </w:rPr>
            </w:pPr>
            <w:r w:rsidRPr="00430D07">
              <w:rPr>
                <w:szCs w:val="24"/>
              </w:rPr>
              <w:t>c</w:t>
            </w:r>
          </w:p>
        </w:tc>
        <w:tc>
          <w:tcPr>
            <w:tcW w:w="0" w:type="dxa"/>
            <w:shd w:val="clear" w:color="auto" w:fill="B0DF9B" w:themeFill="accent4" w:themeFillTint="66"/>
            <w:noWrap/>
          </w:tcPr>
          <w:p w14:paraId="1A691503" w14:textId="77777777" w:rsidR="00430D07" w:rsidRPr="00430D07" w:rsidRDefault="00430D07" w:rsidP="002C13E9">
            <w:pPr>
              <w:pStyle w:val="TableorFigurefootnote"/>
              <w:jc w:val="center"/>
              <w:rPr>
                <w:szCs w:val="24"/>
              </w:rPr>
            </w:pPr>
            <w:r w:rsidRPr="00430D07">
              <w:rPr>
                <w:szCs w:val="24"/>
              </w:rPr>
              <w:t>c</w:t>
            </w:r>
          </w:p>
        </w:tc>
        <w:tc>
          <w:tcPr>
            <w:tcW w:w="0" w:type="dxa"/>
            <w:shd w:val="clear" w:color="auto" w:fill="B0DF9B" w:themeFill="accent4" w:themeFillTint="66"/>
            <w:noWrap/>
          </w:tcPr>
          <w:p w14:paraId="4C57DC2C" w14:textId="77777777" w:rsidR="00430D07" w:rsidRPr="00430D07" w:rsidRDefault="00430D07" w:rsidP="002C13E9">
            <w:pPr>
              <w:pStyle w:val="TableorFigurefootnote"/>
              <w:jc w:val="center"/>
              <w:rPr>
                <w:szCs w:val="24"/>
              </w:rPr>
            </w:pPr>
            <w:r w:rsidRPr="00430D07">
              <w:rPr>
                <w:szCs w:val="24"/>
              </w:rPr>
              <w:t>c</w:t>
            </w:r>
          </w:p>
        </w:tc>
        <w:tc>
          <w:tcPr>
            <w:tcW w:w="0" w:type="dxa"/>
            <w:shd w:val="clear" w:color="auto" w:fill="B0DF9B" w:themeFill="accent4" w:themeFillTint="66"/>
            <w:noWrap/>
          </w:tcPr>
          <w:p w14:paraId="61A653C8" w14:textId="77777777" w:rsidR="00430D07" w:rsidRPr="00430D07" w:rsidRDefault="00430D07" w:rsidP="002C13E9">
            <w:pPr>
              <w:pStyle w:val="TableorFigurefootnote"/>
              <w:jc w:val="center"/>
              <w:rPr>
                <w:szCs w:val="24"/>
              </w:rPr>
            </w:pPr>
            <w:r w:rsidRPr="00430D07">
              <w:rPr>
                <w:szCs w:val="24"/>
              </w:rPr>
              <w:t>c</w:t>
            </w:r>
          </w:p>
        </w:tc>
        <w:tc>
          <w:tcPr>
            <w:tcW w:w="0" w:type="dxa"/>
            <w:shd w:val="clear" w:color="auto" w:fill="B0DF9B" w:themeFill="accent4" w:themeFillTint="66"/>
            <w:noWrap/>
          </w:tcPr>
          <w:p w14:paraId="44E90AA7" w14:textId="77777777" w:rsidR="00430D07" w:rsidRPr="00430D07" w:rsidRDefault="00430D07" w:rsidP="002C13E9">
            <w:pPr>
              <w:pStyle w:val="TableorFigurefootnote"/>
              <w:jc w:val="center"/>
              <w:rPr>
                <w:szCs w:val="24"/>
              </w:rPr>
            </w:pPr>
            <w:r w:rsidRPr="00430D07">
              <w:rPr>
                <w:szCs w:val="24"/>
              </w:rPr>
              <w:t>c</w:t>
            </w:r>
          </w:p>
        </w:tc>
        <w:tc>
          <w:tcPr>
            <w:tcW w:w="0" w:type="dxa"/>
            <w:shd w:val="clear" w:color="auto" w:fill="B0DF9B" w:themeFill="accent4" w:themeFillTint="66"/>
            <w:noWrap/>
          </w:tcPr>
          <w:p w14:paraId="3B4A9132" w14:textId="77777777" w:rsidR="00430D07" w:rsidRPr="00430D07" w:rsidRDefault="00430D07" w:rsidP="002C13E9">
            <w:pPr>
              <w:pStyle w:val="TableorFigurefootnote"/>
              <w:jc w:val="center"/>
              <w:rPr>
                <w:szCs w:val="24"/>
              </w:rPr>
            </w:pPr>
            <w:r w:rsidRPr="00430D07">
              <w:rPr>
                <w:szCs w:val="24"/>
              </w:rPr>
              <w:t>c</w:t>
            </w:r>
          </w:p>
        </w:tc>
        <w:tc>
          <w:tcPr>
            <w:tcW w:w="0" w:type="dxa"/>
            <w:shd w:val="clear" w:color="auto" w:fill="B0DF9B" w:themeFill="accent4" w:themeFillTint="66"/>
            <w:noWrap/>
          </w:tcPr>
          <w:p w14:paraId="36B0ED8D" w14:textId="77777777" w:rsidR="00430D07" w:rsidRPr="00430D07" w:rsidRDefault="00430D07" w:rsidP="002C13E9">
            <w:pPr>
              <w:pStyle w:val="TableorFigurefootnote"/>
              <w:jc w:val="center"/>
              <w:rPr>
                <w:szCs w:val="24"/>
              </w:rPr>
            </w:pPr>
            <w:r w:rsidRPr="00430D07">
              <w:rPr>
                <w:szCs w:val="24"/>
              </w:rPr>
              <w:t>c</w:t>
            </w:r>
          </w:p>
        </w:tc>
        <w:tc>
          <w:tcPr>
            <w:tcW w:w="0" w:type="dxa"/>
            <w:shd w:val="clear" w:color="auto" w:fill="B0DF9B" w:themeFill="accent4" w:themeFillTint="66"/>
            <w:noWrap/>
          </w:tcPr>
          <w:p w14:paraId="3C961184" w14:textId="77777777" w:rsidR="00430D07" w:rsidRPr="00430D07" w:rsidRDefault="00430D07" w:rsidP="002C13E9">
            <w:pPr>
              <w:pStyle w:val="TableorFigurefootnote"/>
              <w:jc w:val="center"/>
              <w:rPr>
                <w:szCs w:val="24"/>
              </w:rPr>
            </w:pPr>
            <w:r w:rsidRPr="00430D07">
              <w:rPr>
                <w:szCs w:val="24"/>
              </w:rPr>
              <w:t>c</w:t>
            </w:r>
          </w:p>
        </w:tc>
        <w:tc>
          <w:tcPr>
            <w:tcW w:w="0" w:type="dxa"/>
            <w:shd w:val="clear" w:color="auto" w:fill="B0DF9B" w:themeFill="accent4" w:themeFillTint="66"/>
            <w:noWrap/>
          </w:tcPr>
          <w:p w14:paraId="642ABFE1" w14:textId="77777777" w:rsidR="00430D07" w:rsidRPr="00430D07" w:rsidRDefault="00430D07" w:rsidP="002C13E9">
            <w:pPr>
              <w:pStyle w:val="TableorFigurefootnote"/>
              <w:jc w:val="center"/>
              <w:rPr>
                <w:szCs w:val="24"/>
              </w:rPr>
            </w:pPr>
            <w:r w:rsidRPr="00430D07">
              <w:rPr>
                <w:szCs w:val="24"/>
              </w:rPr>
              <w:t>c</w:t>
            </w:r>
          </w:p>
        </w:tc>
        <w:tc>
          <w:tcPr>
            <w:tcW w:w="0" w:type="dxa"/>
            <w:shd w:val="clear" w:color="auto" w:fill="B0DF9B" w:themeFill="accent4" w:themeFillTint="66"/>
            <w:noWrap/>
          </w:tcPr>
          <w:p w14:paraId="57100D27" w14:textId="77777777" w:rsidR="00430D07" w:rsidRPr="00430D07" w:rsidRDefault="00430D07" w:rsidP="002C13E9">
            <w:pPr>
              <w:pStyle w:val="TableorFigurefootnote"/>
              <w:jc w:val="center"/>
              <w:rPr>
                <w:szCs w:val="24"/>
              </w:rPr>
            </w:pPr>
            <w:r w:rsidRPr="00430D07">
              <w:rPr>
                <w:szCs w:val="24"/>
              </w:rPr>
              <w:t>c</w:t>
            </w:r>
          </w:p>
        </w:tc>
        <w:tc>
          <w:tcPr>
            <w:tcW w:w="0" w:type="dxa"/>
            <w:shd w:val="clear" w:color="auto" w:fill="B0DF9B" w:themeFill="accent4" w:themeFillTint="66"/>
            <w:noWrap/>
          </w:tcPr>
          <w:p w14:paraId="1DD57905" w14:textId="77777777" w:rsidR="00430D07" w:rsidRPr="00430D07" w:rsidRDefault="00430D07" w:rsidP="002C13E9">
            <w:pPr>
              <w:pStyle w:val="TableorFigurefootnote"/>
              <w:jc w:val="center"/>
              <w:rPr>
                <w:szCs w:val="24"/>
              </w:rPr>
            </w:pPr>
            <w:r w:rsidRPr="00430D07">
              <w:rPr>
                <w:szCs w:val="24"/>
              </w:rPr>
              <w:t>c</w:t>
            </w:r>
          </w:p>
        </w:tc>
      </w:tr>
      <w:tr w:rsidR="0020559B" w:rsidRPr="00430D07" w14:paraId="7BEB8E7D" w14:textId="77777777" w:rsidTr="00E94A5E">
        <w:tblPrEx>
          <w:tblCellMar>
            <w:top w:w="43" w:type="dxa"/>
            <w:bottom w:w="0" w:type="dxa"/>
          </w:tblCellMar>
        </w:tblPrEx>
        <w:trPr>
          <w:cnfStyle w:val="000000100000" w:firstRow="0" w:lastRow="0" w:firstColumn="0" w:lastColumn="0" w:oddVBand="0" w:evenVBand="0" w:oddHBand="1" w:evenHBand="0" w:firstRowFirstColumn="0" w:firstRowLastColumn="0" w:lastRowFirstColumn="0" w:lastRowLastColumn="0"/>
          <w:trHeight w:val="243"/>
        </w:trPr>
        <w:tc>
          <w:tcPr>
            <w:tcW w:w="0" w:type="dxa"/>
            <w:shd w:val="clear" w:color="auto" w:fill="auto"/>
            <w:noWrap/>
          </w:tcPr>
          <w:p w14:paraId="40536500" w14:textId="77777777" w:rsidR="00430D07" w:rsidRPr="00430D07" w:rsidRDefault="00430D07" w:rsidP="00430D07">
            <w:pPr>
              <w:pStyle w:val="TableorFigurefootnote"/>
              <w:rPr>
                <w:szCs w:val="24"/>
              </w:rPr>
            </w:pPr>
            <w:r w:rsidRPr="00430D07">
              <w:rPr>
                <w:szCs w:val="24"/>
              </w:rPr>
              <w:t>Design CP staff and provider survey</w:t>
            </w:r>
          </w:p>
        </w:tc>
        <w:tc>
          <w:tcPr>
            <w:tcW w:w="0" w:type="dxa"/>
            <w:noWrap/>
          </w:tcPr>
          <w:p w14:paraId="5A56788E" w14:textId="07C46113" w:rsidR="00430D07" w:rsidRPr="00430D07" w:rsidRDefault="00BB0BE5" w:rsidP="002C13E9">
            <w:pPr>
              <w:pStyle w:val="TableorFigurefootnote"/>
              <w:jc w:val="center"/>
              <w:rPr>
                <w:szCs w:val="24"/>
              </w:rPr>
            </w:pPr>
            <w:r w:rsidRPr="00430D07">
              <w:rPr>
                <w:szCs w:val="24"/>
              </w:rPr>
              <w:t>–</w:t>
            </w:r>
          </w:p>
        </w:tc>
        <w:tc>
          <w:tcPr>
            <w:tcW w:w="0" w:type="dxa"/>
            <w:noWrap/>
          </w:tcPr>
          <w:p w14:paraId="425BCB55"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56945D5C"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14CE7854"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4FEAE331"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011A9CE1"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7501218D"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477118CE"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58D18282"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78888FBD"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29FF2FAF"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3DD52750"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355200A1"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25EEEECA"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5A4B8E1A"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1F9769AB" w14:textId="77777777" w:rsidR="00430D07" w:rsidRPr="00430D07" w:rsidRDefault="00430D07" w:rsidP="002C13E9">
            <w:pPr>
              <w:pStyle w:val="TableorFigurefootnote"/>
              <w:jc w:val="center"/>
              <w:rPr>
                <w:szCs w:val="24"/>
              </w:rPr>
            </w:pPr>
            <w:r w:rsidRPr="00430D07">
              <w:rPr>
                <w:szCs w:val="24"/>
              </w:rPr>
              <w:t>–</w:t>
            </w:r>
          </w:p>
        </w:tc>
        <w:tc>
          <w:tcPr>
            <w:tcW w:w="0" w:type="dxa"/>
            <w:shd w:val="clear" w:color="auto" w:fill="B0DF9B" w:themeFill="accent4" w:themeFillTint="66"/>
            <w:noWrap/>
          </w:tcPr>
          <w:p w14:paraId="0EBD8005" w14:textId="77777777" w:rsidR="00430D07" w:rsidRPr="00430D07" w:rsidRDefault="00430D07" w:rsidP="002C13E9">
            <w:pPr>
              <w:pStyle w:val="TableorFigurefootnote"/>
              <w:jc w:val="center"/>
              <w:rPr>
                <w:szCs w:val="24"/>
              </w:rPr>
            </w:pPr>
            <w:r w:rsidRPr="00430D07">
              <w:rPr>
                <w:szCs w:val="24"/>
              </w:rPr>
              <w:t>X</w:t>
            </w:r>
          </w:p>
        </w:tc>
        <w:tc>
          <w:tcPr>
            <w:tcW w:w="0" w:type="dxa"/>
            <w:shd w:val="clear" w:color="auto" w:fill="B0DF9B" w:themeFill="accent4" w:themeFillTint="66"/>
            <w:noWrap/>
          </w:tcPr>
          <w:p w14:paraId="16E4EA74" w14:textId="77777777" w:rsidR="00430D07" w:rsidRPr="00430D07" w:rsidRDefault="00430D07" w:rsidP="002C13E9">
            <w:pPr>
              <w:pStyle w:val="TableorFigurefootnote"/>
              <w:jc w:val="center"/>
              <w:rPr>
                <w:szCs w:val="24"/>
              </w:rPr>
            </w:pPr>
            <w:r w:rsidRPr="00430D07">
              <w:rPr>
                <w:szCs w:val="24"/>
              </w:rPr>
              <w:t>c</w:t>
            </w:r>
          </w:p>
        </w:tc>
        <w:tc>
          <w:tcPr>
            <w:tcW w:w="0" w:type="dxa"/>
            <w:noWrap/>
          </w:tcPr>
          <w:p w14:paraId="6703252D"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7EB622A9"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2C5C9C24"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77DED689"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3AD92E38"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38CEFC47"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77B0F2C7"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5A5EA4F7" w14:textId="77777777" w:rsidR="00430D07" w:rsidRPr="00430D07" w:rsidRDefault="00430D07" w:rsidP="002C13E9">
            <w:pPr>
              <w:pStyle w:val="TableorFigurefootnote"/>
              <w:jc w:val="center"/>
              <w:rPr>
                <w:szCs w:val="24"/>
              </w:rPr>
            </w:pPr>
            <w:r w:rsidRPr="00430D07">
              <w:rPr>
                <w:szCs w:val="24"/>
              </w:rPr>
              <w:t>–</w:t>
            </w:r>
          </w:p>
        </w:tc>
      </w:tr>
      <w:tr w:rsidR="00430D07" w:rsidRPr="00430D07" w14:paraId="23B6BA67" w14:textId="77777777" w:rsidTr="00E94A5E">
        <w:tblPrEx>
          <w:tblCellMar>
            <w:top w:w="43" w:type="dxa"/>
            <w:bottom w:w="0" w:type="dxa"/>
          </w:tblCellMar>
        </w:tblPrEx>
        <w:trPr>
          <w:trHeight w:val="243"/>
        </w:trPr>
        <w:tc>
          <w:tcPr>
            <w:tcW w:w="2922" w:type="dxa"/>
            <w:shd w:val="clear" w:color="auto" w:fill="auto"/>
            <w:noWrap/>
          </w:tcPr>
          <w:p w14:paraId="16C64DCB" w14:textId="77777777" w:rsidR="00430D07" w:rsidRPr="00430D07" w:rsidRDefault="00430D07" w:rsidP="00430D07">
            <w:pPr>
              <w:pStyle w:val="TableorFigurefootnote"/>
              <w:rPr>
                <w:szCs w:val="24"/>
              </w:rPr>
            </w:pPr>
            <w:r w:rsidRPr="00430D07">
              <w:rPr>
                <w:szCs w:val="24"/>
              </w:rPr>
              <w:t>CP survey protocols and documents to MassHealth for review</w:t>
            </w:r>
          </w:p>
        </w:tc>
        <w:tc>
          <w:tcPr>
            <w:tcW w:w="408" w:type="dxa"/>
            <w:noWrap/>
          </w:tcPr>
          <w:p w14:paraId="50A32C4D"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1EE771B9"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30028154"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6B28330D"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003B7B21"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04EF48C7"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6AC7BF14"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0BFA40BD"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1A925786"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7B346061"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23626BFD"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11D5A167"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4B9DB3C0"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7C05A397"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7F61C5B2"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64EA48F4"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0AFDAC42" w14:textId="77777777" w:rsidR="00430D07" w:rsidRPr="00430D07" w:rsidRDefault="00430D07" w:rsidP="002C13E9">
            <w:pPr>
              <w:pStyle w:val="TableorFigurefootnote"/>
              <w:jc w:val="center"/>
              <w:rPr>
                <w:szCs w:val="24"/>
              </w:rPr>
            </w:pPr>
            <w:r w:rsidRPr="00430D07">
              <w:rPr>
                <w:szCs w:val="24"/>
              </w:rPr>
              <w:t>–</w:t>
            </w:r>
          </w:p>
        </w:tc>
        <w:tc>
          <w:tcPr>
            <w:tcW w:w="408" w:type="dxa"/>
            <w:shd w:val="clear" w:color="auto" w:fill="B0DF9B" w:themeFill="accent4" w:themeFillTint="66"/>
            <w:noWrap/>
          </w:tcPr>
          <w:p w14:paraId="40C61DDE" w14:textId="77777777" w:rsidR="00430D07" w:rsidRPr="00430D07" w:rsidRDefault="00430D07" w:rsidP="002C13E9">
            <w:pPr>
              <w:pStyle w:val="TableorFigurefootnote"/>
              <w:jc w:val="center"/>
              <w:rPr>
                <w:szCs w:val="24"/>
              </w:rPr>
            </w:pPr>
            <w:r w:rsidRPr="00430D07">
              <w:rPr>
                <w:szCs w:val="24"/>
              </w:rPr>
              <w:t>X</w:t>
            </w:r>
          </w:p>
        </w:tc>
        <w:tc>
          <w:tcPr>
            <w:tcW w:w="408" w:type="dxa"/>
            <w:noWrap/>
          </w:tcPr>
          <w:p w14:paraId="0B74A8D7"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157DF5C2"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1C49C90E"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55B2CCB1"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47637B64"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4E81840B"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59B3763B"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54CBA646" w14:textId="77777777" w:rsidR="00430D07" w:rsidRPr="00430D07" w:rsidRDefault="00430D07" w:rsidP="002C13E9">
            <w:pPr>
              <w:pStyle w:val="TableorFigurefootnote"/>
              <w:jc w:val="center"/>
              <w:rPr>
                <w:szCs w:val="24"/>
              </w:rPr>
            </w:pPr>
            <w:r w:rsidRPr="00430D07">
              <w:rPr>
                <w:szCs w:val="24"/>
              </w:rPr>
              <w:t>–</w:t>
            </w:r>
          </w:p>
        </w:tc>
      </w:tr>
      <w:tr w:rsidR="0020559B" w:rsidRPr="00430D07" w14:paraId="2BEC6E27" w14:textId="77777777" w:rsidTr="00E94A5E">
        <w:tblPrEx>
          <w:tblCellMar>
            <w:top w:w="43" w:type="dxa"/>
            <w:bottom w:w="0" w:type="dxa"/>
          </w:tblCellMar>
        </w:tblPrEx>
        <w:trPr>
          <w:cnfStyle w:val="000000100000" w:firstRow="0" w:lastRow="0" w:firstColumn="0" w:lastColumn="0" w:oddVBand="0" w:evenVBand="0" w:oddHBand="1" w:evenHBand="0" w:firstRowFirstColumn="0" w:firstRowLastColumn="0" w:lastRowFirstColumn="0" w:lastRowLastColumn="0"/>
          <w:trHeight w:val="243"/>
        </w:trPr>
        <w:tc>
          <w:tcPr>
            <w:tcW w:w="0" w:type="dxa"/>
            <w:shd w:val="clear" w:color="auto" w:fill="auto"/>
            <w:noWrap/>
          </w:tcPr>
          <w:p w14:paraId="3419B545" w14:textId="77777777" w:rsidR="00430D07" w:rsidRPr="00430D07" w:rsidRDefault="00430D07" w:rsidP="00430D07">
            <w:pPr>
              <w:pStyle w:val="TableorFigurefootnote"/>
              <w:rPr>
                <w:szCs w:val="24"/>
              </w:rPr>
            </w:pPr>
            <w:r w:rsidRPr="00430D07">
              <w:rPr>
                <w:szCs w:val="24"/>
              </w:rPr>
              <w:t xml:space="preserve">Administer CP survey </w:t>
            </w:r>
          </w:p>
        </w:tc>
        <w:tc>
          <w:tcPr>
            <w:tcW w:w="0" w:type="dxa"/>
            <w:noWrap/>
          </w:tcPr>
          <w:p w14:paraId="594BE637"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4FCBB721"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553D3D16"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295D5580"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7CA5E78A"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03B08363"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25AD0FF5"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7B49FD2C"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608272A6"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07753947"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37230CA5"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56A8E417"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28433181"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34CEF1F6"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02254AE1"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6BB64B6A"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4B780BC2"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5767F1C2" w14:textId="77777777" w:rsidR="00430D07" w:rsidRPr="00430D07" w:rsidRDefault="00430D07" w:rsidP="002C13E9">
            <w:pPr>
              <w:pStyle w:val="TableorFigurefootnote"/>
              <w:jc w:val="center"/>
              <w:rPr>
                <w:szCs w:val="24"/>
              </w:rPr>
            </w:pPr>
            <w:r w:rsidRPr="00430D07">
              <w:rPr>
                <w:szCs w:val="24"/>
              </w:rPr>
              <w:t>–</w:t>
            </w:r>
          </w:p>
        </w:tc>
        <w:tc>
          <w:tcPr>
            <w:tcW w:w="0" w:type="dxa"/>
            <w:shd w:val="clear" w:color="auto" w:fill="B0DF9B" w:themeFill="accent4" w:themeFillTint="66"/>
            <w:noWrap/>
          </w:tcPr>
          <w:p w14:paraId="49B288FA" w14:textId="77777777" w:rsidR="00430D07" w:rsidRPr="00430D07" w:rsidRDefault="00430D07" w:rsidP="002C13E9">
            <w:pPr>
              <w:pStyle w:val="TableorFigurefootnote"/>
              <w:jc w:val="center"/>
              <w:rPr>
                <w:szCs w:val="24"/>
              </w:rPr>
            </w:pPr>
            <w:r w:rsidRPr="00430D07">
              <w:rPr>
                <w:szCs w:val="24"/>
              </w:rPr>
              <w:t>X</w:t>
            </w:r>
          </w:p>
        </w:tc>
        <w:tc>
          <w:tcPr>
            <w:tcW w:w="0" w:type="dxa"/>
            <w:shd w:val="clear" w:color="auto" w:fill="B0DF9B" w:themeFill="accent4" w:themeFillTint="66"/>
            <w:noWrap/>
          </w:tcPr>
          <w:p w14:paraId="613DAF11" w14:textId="77777777" w:rsidR="00430D07" w:rsidRPr="00430D07" w:rsidRDefault="00430D07" w:rsidP="002C13E9">
            <w:pPr>
              <w:pStyle w:val="TableorFigurefootnote"/>
              <w:jc w:val="center"/>
              <w:rPr>
                <w:szCs w:val="24"/>
              </w:rPr>
            </w:pPr>
            <w:r w:rsidRPr="00430D07">
              <w:rPr>
                <w:szCs w:val="24"/>
              </w:rPr>
              <w:t>c</w:t>
            </w:r>
          </w:p>
        </w:tc>
        <w:tc>
          <w:tcPr>
            <w:tcW w:w="0" w:type="dxa"/>
            <w:noWrap/>
          </w:tcPr>
          <w:p w14:paraId="16720D9F"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30815C90"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6DC8C4F2"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4A386070"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6FD89182"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62532CD9" w14:textId="77777777" w:rsidR="00430D07" w:rsidRPr="00430D07" w:rsidRDefault="00430D07" w:rsidP="002C13E9">
            <w:pPr>
              <w:pStyle w:val="TableorFigurefootnote"/>
              <w:jc w:val="center"/>
              <w:rPr>
                <w:szCs w:val="24"/>
              </w:rPr>
            </w:pPr>
            <w:r w:rsidRPr="00430D07">
              <w:rPr>
                <w:szCs w:val="24"/>
              </w:rPr>
              <w:t>–</w:t>
            </w:r>
          </w:p>
        </w:tc>
      </w:tr>
      <w:tr w:rsidR="00EE41A9" w:rsidRPr="00430D07" w14:paraId="3101AEEF" w14:textId="77777777" w:rsidTr="00E94A5E">
        <w:tblPrEx>
          <w:tblCellMar>
            <w:top w:w="43" w:type="dxa"/>
            <w:bottom w:w="0" w:type="dxa"/>
          </w:tblCellMar>
        </w:tblPrEx>
        <w:trPr>
          <w:trHeight w:val="243"/>
        </w:trPr>
        <w:tc>
          <w:tcPr>
            <w:tcW w:w="2922" w:type="dxa"/>
            <w:shd w:val="clear" w:color="auto" w:fill="auto"/>
            <w:noWrap/>
          </w:tcPr>
          <w:p w14:paraId="284AA889" w14:textId="77777777" w:rsidR="00430D07" w:rsidRPr="00430D07" w:rsidRDefault="00430D07" w:rsidP="00430D07">
            <w:pPr>
              <w:pStyle w:val="TableorFigurefootnote"/>
              <w:rPr>
                <w:szCs w:val="24"/>
              </w:rPr>
            </w:pPr>
            <w:r w:rsidRPr="00430D07">
              <w:rPr>
                <w:szCs w:val="24"/>
              </w:rPr>
              <w:t xml:space="preserve">Analyze CP survey </w:t>
            </w:r>
          </w:p>
        </w:tc>
        <w:tc>
          <w:tcPr>
            <w:tcW w:w="408" w:type="dxa"/>
            <w:noWrap/>
          </w:tcPr>
          <w:p w14:paraId="5330457E"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7DE6D5AD"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1BA04510"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6E8629FC"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2C05AB13"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7080BB8F"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15A85DFB"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772A1190"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23F0C809"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6736CB85"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3C2AADBE"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4C58389A"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6F8038F8"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251677CF"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69FF0176"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76E7EDB8"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3A97B497"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68F7CB5C"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054185B5"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3DB318D7" w14:textId="77777777" w:rsidR="00430D07" w:rsidRPr="00430D07" w:rsidRDefault="00430D07" w:rsidP="002C13E9">
            <w:pPr>
              <w:pStyle w:val="TableorFigurefootnote"/>
              <w:jc w:val="center"/>
              <w:rPr>
                <w:szCs w:val="24"/>
              </w:rPr>
            </w:pPr>
            <w:r w:rsidRPr="00430D07">
              <w:rPr>
                <w:szCs w:val="24"/>
              </w:rPr>
              <w:t>–</w:t>
            </w:r>
          </w:p>
        </w:tc>
        <w:tc>
          <w:tcPr>
            <w:tcW w:w="408" w:type="dxa"/>
            <w:shd w:val="clear" w:color="auto" w:fill="B0DF9B" w:themeFill="accent4" w:themeFillTint="66"/>
            <w:noWrap/>
          </w:tcPr>
          <w:p w14:paraId="1ACCD0C4" w14:textId="77777777" w:rsidR="00430D07" w:rsidRPr="00430D07" w:rsidRDefault="00430D07" w:rsidP="002C13E9">
            <w:pPr>
              <w:pStyle w:val="TableorFigurefootnote"/>
              <w:jc w:val="center"/>
              <w:rPr>
                <w:szCs w:val="24"/>
              </w:rPr>
            </w:pPr>
            <w:r w:rsidRPr="00430D07">
              <w:rPr>
                <w:szCs w:val="24"/>
              </w:rPr>
              <w:t>X</w:t>
            </w:r>
          </w:p>
        </w:tc>
        <w:tc>
          <w:tcPr>
            <w:tcW w:w="408" w:type="dxa"/>
            <w:shd w:val="clear" w:color="auto" w:fill="B0DF9B" w:themeFill="accent4" w:themeFillTint="66"/>
            <w:noWrap/>
          </w:tcPr>
          <w:p w14:paraId="3E71AED1" w14:textId="77777777" w:rsidR="00430D07" w:rsidRPr="00430D07" w:rsidRDefault="00430D07" w:rsidP="002C13E9">
            <w:pPr>
              <w:pStyle w:val="TableorFigurefootnote"/>
              <w:jc w:val="center"/>
              <w:rPr>
                <w:szCs w:val="24"/>
              </w:rPr>
            </w:pPr>
            <w:r w:rsidRPr="00430D07">
              <w:rPr>
                <w:szCs w:val="24"/>
              </w:rPr>
              <w:t>c</w:t>
            </w:r>
          </w:p>
        </w:tc>
        <w:tc>
          <w:tcPr>
            <w:tcW w:w="408" w:type="dxa"/>
            <w:shd w:val="clear" w:color="auto" w:fill="B0DF9B" w:themeFill="accent4" w:themeFillTint="66"/>
            <w:noWrap/>
          </w:tcPr>
          <w:p w14:paraId="2A4C69EF" w14:textId="77777777" w:rsidR="00430D07" w:rsidRPr="00430D07" w:rsidRDefault="00430D07" w:rsidP="002C13E9">
            <w:pPr>
              <w:pStyle w:val="TableorFigurefootnote"/>
              <w:jc w:val="center"/>
              <w:rPr>
                <w:szCs w:val="24"/>
              </w:rPr>
            </w:pPr>
            <w:r w:rsidRPr="00430D07">
              <w:rPr>
                <w:szCs w:val="24"/>
              </w:rPr>
              <w:t>c</w:t>
            </w:r>
          </w:p>
        </w:tc>
        <w:tc>
          <w:tcPr>
            <w:tcW w:w="408" w:type="dxa"/>
            <w:shd w:val="clear" w:color="auto" w:fill="B0DF9B" w:themeFill="accent4" w:themeFillTint="66"/>
            <w:noWrap/>
          </w:tcPr>
          <w:p w14:paraId="5088BFC7" w14:textId="77777777" w:rsidR="00430D07" w:rsidRPr="00430D07" w:rsidRDefault="00430D07" w:rsidP="002C13E9">
            <w:pPr>
              <w:pStyle w:val="TableorFigurefootnote"/>
              <w:jc w:val="center"/>
              <w:rPr>
                <w:szCs w:val="24"/>
              </w:rPr>
            </w:pPr>
            <w:r w:rsidRPr="00430D07">
              <w:rPr>
                <w:szCs w:val="24"/>
              </w:rPr>
              <w:t>c</w:t>
            </w:r>
          </w:p>
        </w:tc>
        <w:tc>
          <w:tcPr>
            <w:tcW w:w="408" w:type="dxa"/>
            <w:shd w:val="clear" w:color="auto" w:fill="B0DF9B" w:themeFill="accent4" w:themeFillTint="66"/>
            <w:noWrap/>
          </w:tcPr>
          <w:p w14:paraId="293219D9" w14:textId="77777777" w:rsidR="00430D07" w:rsidRPr="00430D07" w:rsidRDefault="00430D07" w:rsidP="002C13E9">
            <w:pPr>
              <w:pStyle w:val="TableorFigurefootnote"/>
              <w:jc w:val="center"/>
              <w:rPr>
                <w:szCs w:val="24"/>
              </w:rPr>
            </w:pPr>
            <w:r w:rsidRPr="00430D07">
              <w:rPr>
                <w:szCs w:val="24"/>
              </w:rPr>
              <w:t>c</w:t>
            </w:r>
          </w:p>
        </w:tc>
        <w:tc>
          <w:tcPr>
            <w:tcW w:w="408" w:type="dxa"/>
            <w:shd w:val="clear" w:color="auto" w:fill="B0DF9B" w:themeFill="accent4" w:themeFillTint="66"/>
            <w:noWrap/>
          </w:tcPr>
          <w:p w14:paraId="02166A89" w14:textId="77777777" w:rsidR="00430D07" w:rsidRPr="00430D07" w:rsidRDefault="00430D07" w:rsidP="002C13E9">
            <w:pPr>
              <w:pStyle w:val="TableorFigurefootnote"/>
              <w:jc w:val="center"/>
              <w:rPr>
                <w:szCs w:val="24"/>
              </w:rPr>
            </w:pPr>
            <w:r w:rsidRPr="00430D07">
              <w:rPr>
                <w:szCs w:val="24"/>
              </w:rPr>
              <w:t>c</w:t>
            </w:r>
          </w:p>
        </w:tc>
      </w:tr>
      <w:tr w:rsidR="00EE41A9" w:rsidRPr="00430D07" w14:paraId="305825AC" w14:textId="77777777" w:rsidTr="002C13E9">
        <w:tblPrEx>
          <w:tblCellMar>
            <w:top w:w="43" w:type="dxa"/>
            <w:bottom w:w="0" w:type="dxa"/>
          </w:tblCellMar>
        </w:tblPrEx>
        <w:trPr>
          <w:cnfStyle w:val="000000100000" w:firstRow="0" w:lastRow="0" w:firstColumn="0" w:lastColumn="0" w:oddVBand="0" w:evenVBand="0" w:oddHBand="1" w:evenHBand="0" w:firstRowFirstColumn="0" w:firstRowLastColumn="0" w:lastRowFirstColumn="0" w:lastRowLastColumn="0"/>
          <w:trHeight w:val="243"/>
        </w:trPr>
        <w:tc>
          <w:tcPr>
            <w:tcW w:w="2922" w:type="dxa"/>
            <w:shd w:val="clear" w:color="auto" w:fill="auto"/>
            <w:noWrap/>
          </w:tcPr>
          <w:p w14:paraId="28A0E444" w14:textId="77777777" w:rsidR="00430D07" w:rsidRPr="00430D07" w:rsidRDefault="00430D07" w:rsidP="00430D07">
            <w:pPr>
              <w:pStyle w:val="TableorFigurefootnote"/>
              <w:rPr>
                <w:szCs w:val="24"/>
              </w:rPr>
            </w:pPr>
            <w:r w:rsidRPr="00430D07">
              <w:rPr>
                <w:szCs w:val="24"/>
              </w:rPr>
              <w:t>Design Practice Site Administrator (PS Admin) survey</w:t>
            </w:r>
          </w:p>
        </w:tc>
        <w:tc>
          <w:tcPr>
            <w:tcW w:w="408" w:type="dxa"/>
            <w:noWrap/>
          </w:tcPr>
          <w:p w14:paraId="3F61BC3A"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237EC767"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51B47516"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12FCAF73"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02E39C2F"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70EB5C89" w14:textId="77777777" w:rsidR="00430D07" w:rsidRPr="00430D07" w:rsidRDefault="00430D07" w:rsidP="002C13E9">
            <w:pPr>
              <w:pStyle w:val="TableorFigurefootnote"/>
              <w:jc w:val="center"/>
              <w:rPr>
                <w:szCs w:val="24"/>
              </w:rPr>
            </w:pPr>
            <w:r w:rsidRPr="00430D07">
              <w:rPr>
                <w:szCs w:val="24"/>
              </w:rPr>
              <w:t>–</w:t>
            </w:r>
          </w:p>
        </w:tc>
        <w:tc>
          <w:tcPr>
            <w:tcW w:w="408" w:type="dxa"/>
            <w:shd w:val="clear" w:color="auto" w:fill="B0DF9B" w:themeFill="accent4" w:themeFillTint="66"/>
            <w:noWrap/>
          </w:tcPr>
          <w:p w14:paraId="1049ED16" w14:textId="77777777" w:rsidR="00430D07" w:rsidRPr="00430D07" w:rsidRDefault="00430D07" w:rsidP="002C13E9">
            <w:pPr>
              <w:pStyle w:val="TableorFigurefootnote"/>
              <w:jc w:val="center"/>
              <w:rPr>
                <w:szCs w:val="24"/>
              </w:rPr>
            </w:pPr>
            <w:r w:rsidRPr="00430D07">
              <w:rPr>
                <w:szCs w:val="24"/>
              </w:rPr>
              <w:t>X</w:t>
            </w:r>
          </w:p>
        </w:tc>
        <w:tc>
          <w:tcPr>
            <w:tcW w:w="408" w:type="dxa"/>
            <w:shd w:val="clear" w:color="auto" w:fill="B0DF9B" w:themeFill="accent4" w:themeFillTint="66"/>
            <w:noWrap/>
          </w:tcPr>
          <w:p w14:paraId="7F190C07" w14:textId="77777777" w:rsidR="00430D07" w:rsidRPr="00430D07" w:rsidRDefault="00430D07" w:rsidP="002C13E9">
            <w:pPr>
              <w:pStyle w:val="TableorFigurefootnote"/>
              <w:jc w:val="center"/>
              <w:rPr>
                <w:szCs w:val="24"/>
              </w:rPr>
            </w:pPr>
            <w:r w:rsidRPr="00430D07">
              <w:rPr>
                <w:szCs w:val="24"/>
              </w:rPr>
              <w:t>c</w:t>
            </w:r>
          </w:p>
        </w:tc>
        <w:tc>
          <w:tcPr>
            <w:tcW w:w="408" w:type="dxa"/>
            <w:noWrap/>
          </w:tcPr>
          <w:p w14:paraId="7EEF5ABB"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3F78B13E"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1434745D"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3B60C949"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0B16C386"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0357A288"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5402ED62"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0F59A85D"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7D9CB081"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7F2C31F5"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5D856FD3"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631FDA2D"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5801D919"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59F26B5F"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440E0CCE"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6A0E06E3"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372B1A51"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0B9D65D4" w14:textId="77777777" w:rsidR="00430D07" w:rsidRPr="00430D07" w:rsidRDefault="00430D07" w:rsidP="002C13E9">
            <w:pPr>
              <w:pStyle w:val="TableorFigurefootnote"/>
              <w:jc w:val="center"/>
              <w:rPr>
                <w:szCs w:val="24"/>
              </w:rPr>
            </w:pPr>
            <w:r w:rsidRPr="00430D07">
              <w:rPr>
                <w:szCs w:val="24"/>
              </w:rPr>
              <w:t>–</w:t>
            </w:r>
          </w:p>
        </w:tc>
      </w:tr>
      <w:tr w:rsidR="00430D07" w:rsidRPr="00430D07" w14:paraId="59F010B1" w14:textId="77777777" w:rsidTr="002C13E9">
        <w:tblPrEx>
          <w:tblCellMar>
            <w:top w:w="43" w:type="dxa"/>
            <w:bottom w:w="0" w:type="dxa"/>
          </w:tblCellMar>
        </w:tblPrEx>
        <w:trPr>
          <w:trHeight w:val="243"/>
        </w:trPr>
        <w:tc>
          <w:tcPr>
            <w:tcW w:w="2922" w:type="dxa"/>
            <w:shd w:val="clear" w:color="auto" w:fill="auto"/>
            <w:noWrap/>
          </w:tcPr>
          <w:p w14:paraId="40A9FF0B" w14:textId="77777777" w:rsidR="00430D07" w:rsidRPr="00430D07" w:rsidRDefault="00430D07" w:rsidP="00430D07">
            <w:pPr>
              <w:pStyle w:val="TableorFigurefootnote"/>
              <w:rPr>
                <w:szCs w:val="24"/>
              </w:rPr>
            </w:pPr>
            <w:r w:rsidRPr="00430D07">
              <w:rPr>
                <w:szCs w:val="24"/>
              </w:rPr>
              <w:t xml:space="preserve">PS Admin survey protocols and documents to MassHealth for review </w:t>
            </w:r>
          </w:p>
        </w:tc>
        <w:tc>
          <w:tcPr>
            <w:tcW w:w="408" w:type="dxa"/>
            <w:noWrap/>
          </w:tcPr>
          <w:p w14:paraId="54AA0E61"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1AF680B9"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7DB4F8BE"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22B7926D"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77792DBF"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7EDCE388"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7B11CF04" w14:textId="77777777" w:rsidR="00430D07" w:rsidRPr="00430D07" w:rsidRDefault="00430D07" w:rsidP="002C13E9">
            <w:pPr>
              <w:pStyle w:val="TableorFigurefootnote"/>
              <w:jc w:val="center"/>
              <w:rPr>
                <w:szCs w:val="24"/>
              </w:rPr>
            </w:pPr>
            <w:r w:rsidRPr="00430D07">
              <w:rPr>
                <w:szCs w:val="24"/>
              </w:rPr>
              <w:t>–</w:t>
            </w:r>
          </w:p>
        </w:tc>
        <w:tc>
          <w:tcPr>
            <w:tcW w:w="408" w:type="dxa"/>
            <w:shd w:val="clear" w:color="auto" w:fill="B0DF9B" w:themeFill="accent4" w:themeFillTint="66"/>
            <w:noWrap/>
          </w:tcPr>
          <w:p w14:paraId="753FBAF8" w14:textId="77777777" w:rsidR="00430D07" w:rsidRPr="00430D07" w:rsidRDefault="00430D07" w:rsidP="002C13E9">
            <w:pPr>
              <w:pStyle w:val="TableorFigurefootnote"/>
              <w:jc w:val="center"/>
              <w:rPr>
                <w:szCs w:val="24"/>
              </w:rPr>
            </w:pPr>
            <w:r w:rsidRPr="00430D07">
              <w:rPr>
                <w:szCs w:val="24"/>
              </w:rPr>
              <w:t>X</w:t>
            </w:r>
          </w:p>
        </w:tc>
        <w:tc>
          <w:tcPr>
            <w:tcW w:w="408" w:type="dxa"/>
            <w:noWrap/>
          </w:tcPr>
          <w:p w14:paraId="28F4B94D"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4F758687"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6AB6D4CA"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030E2ADE"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518F4630"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00847A7B"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755B7F65"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5233472B"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143E1D35"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2DF332E7"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65F487AE"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71060E27"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1059D63F"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617CEDE6"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10BF878B"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1EBFA40F"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39058EA5"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253E1673" w14:textId="77777777" w:rsidR="00430D07" w:rsidRPr="00430D07" w:rsidRDefault="00430D07" w:rsidP="002C13E9">
            <w:pPr>
              <w:pStyle w:val="TableorFigurefootnote"/>
              <w:jc w:val="center"/>
              <w:rPr>
                <w:szCs w:val="24"/>
              </w:rPr>
            </w:pPr>
            <w:r w:rsidRPr="00430D07">
              <w:rPr>
                <w:szCs w:val="24"/>
              </w:rPr>
              <w:t>–</w:t>
            </w:r>
          </w:p>
        </w:tc>
      </w:tr>
      <w:tr w:rsidR="0020559B" w:rsidRPr="00430D07" w14:paraId="709C201B" w14:textId="77777777" w:rsidTr="002C13E9">
        <w:tblPrEx>
          <w:tblCellMar>
            <w:top w:w="43" w:type="dxa"/>
            <w:bottom w:w="0" w:type="dxa"/>
          </w:tblCellMar>
        </w:tblPrEx>
        <w:trPr>
          <w:cnfStyle w:val="000000100000" w:firstRow="0" w:lastRow="0" w:firstColumn="0" w:lastColumn="0" w:oddVBand="0" w:evenVBand="0" w:oddHBand="1" w:evenHBand="0" w:firstRowFirstColumn="0" w:firstRowLastColumn="0" w:lastRowFirstColumn="0" w:lastRowLastColumn="0"/>
          <w:trHeight w:val="243"/>
        </w:trPr>
        <w:tc>
          <w:tcPr>
            <w:tcW w:w="2922" w:type="dxa"/>
            <w:shd w:val="clear" w:color="auto" w:fill="auto"/>
            <w:noWrap/>
          </w:tcPr>
          <w:p w14:paraId="69BD4B1D" w14:textId="77777777" w:rsidR="00430D07" w:rsidRPr="00430D07" w:rsidRDefault="00430D07" w:rsidP="00430D07">
            <w:pPr>
              <w:pStyle w:val="TableorFigurefootnote"/>
              <w:rPr>
                <w:szCs w:val="24"/>
              </w:rPr>
            </w:pPr>
            <w:r w:rsidRPr="00430D07">
              <w:rPr>
                <w:szCs w:val="24"/>
              </w:rPr>
              <w:t xml:space="preserve">Administer PS Admin survey </w:t>
            </w:r>
          </w:p>
        </w:tc>
        <w:tc>
          <w:tcPr>
            <w:tcW w:w="408" w:type="dxa"/>
            <w:noWrap/>
          </w:tcPr>
          <w:p w14:paraId="1DF77832"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39CAD5C7"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3578154D"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5AD5F4ED"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5D220CA6"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7E4C335D"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4C5B68AD"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69CB9248" w14:textId="77777777" w:rsidR="00430D07" w:rsidRPr="00430D07" w:rsidRDefault="00430D07" w:rsidP="002C13E9">
            <w:pPr>
              <w:pStyle w:val="TableorFigurefootnote"/>
              <w:jc w:val="center"/>
              <w:rPr>
                <w:szCs w:val="24"/>
              </w:rPr>
            </w:pPr>
          </w:p>
        </w:tc>
        <w:tc>
          <w:tcPr>
            <w:tcW w:w="408" w:type="dxa"/>
            <w:shd w:val="clear" w:color="auto" w:fill="B0DF9B" w:themeFill="accent4" w:themeFillTint="66"/>
            <w:noWrap/>
          </w:tcPr>
          <w:p w14:paraId="41B7C167" w14:textId="77777777" w:rsidR="00430D07" w:rsidRPr="00430D07" w:rsidRDefault="00430D07" w:rsidP="002C13E9">
            <w:pPr>
              <w:pStyle w:val="TableorFigurefootnote"/>
              <w:jc w:val="center"/>
              <w:rPr>
                <w:szCs w:val="24"/>
              </w:rPr>
            </w:pPr>
            <w:r w:rsidRPr="00430D07">
              <w:rPr>
                <w:szCs w:val="24"/>
              </w:rPr>
              <w:t>X</w:t>
            </w:r>
          </w:p>
        </w:tc>
        <w:tc>
          <w:tcPr>
            <w:tcW w:w="408" w:type="dxa"/>
            <w:shd w:val="clear" w:color="auto" w:fill="B0DF9B" w:themeFill="accent4" w:themeFillTint="66"/>
            <w:noWrap/>
          </w:tcPr>
          <w:p w14:paraId="41835FD0" w14:textId="77777777" w:rsidR="00430D07" w:rsidRPr="00430D07" w:rsidRDefault="00430D07" w:rsidP="002C13E9">
            <w:pPr>
              <w:pStyle w:val="TableorFigurefootnote"/>
              <w:jc w:val="center"/>
              <w:rPr>
                <w:szCs w:val="24"/>
              </w:rPr>
            </w:pPr>
            <w:r w:rsidRPr="00430D07">
              <w:rPr>
                <w:szCs w:val="24"/>
              </w:rPr>
              <w:t>c</w:t>
            </w:r>
          </w:p>
        </w:tc>
        <w:tc>
          <w:tcPr>
            <w:tcW w:w="408" w:type="dxa"/>
            <w:noWrap/>
          </w:tcPr>
          <w:p w14:paraId="67FF8EC5"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5214FE19"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0A64D974"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59F6FED9"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739B9E26"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340F1769"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4201D782"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5BB57130"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5AC42BE8"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32D54B95"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3BC166F9"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0598421E"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3D2D1C57"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06A50C3A"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04D2BFA7"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240F0E16" w14:textId="77777777" w:rsidR="00430D07" w:rsidRPr="00430D07" w:rsidRDefault="00430D07" w:rsidP="002C13E9">
            <w:pPr>
              <w:pStyle w:val="TableorFigurefootnote"/>
              <w:jc w:val="center"/>
              <w:rPr>
                <w:szCs w:val="24"/>
              </w:rPr>
            </w:pPr>
            <w:r w:rsidRPr="00430D07">
              <w:rPr>
                <w:szCs w:val="24"/>
              </w:rPr>
              <w:t>–</w:t>
            </w:r>
          </w:p>
        </w:tc>
      </w:tr>
      <w:tr w:rsidR="00430D07" w:rsidRPr="00430D07" w14:paraId="62A3A9FF" w14:textId="77777777" w:rsidTr="002C13E9">
        <w:tblPrEx>
          <w:tblCellMar>
            <w:top w:w="43" w:type="dxa"/>
            <w:bottom w:w="0" w:type="dxa"/>
          </w:tblCellMar>
        </w:tblPrEx>
        <w:trPr>
          <w:trHeight w:val="243"/>
        </w:trPr>
        <w:tc>
          <w:tcPr>
            <w:tcW w:w="2922" w:type="dxa"/>
            <w:shd w:val="clear" w:color="auto" w:fill="auto"/>
            <w:noWrap/>
          </w:tcPr>
          <w:p w14:paraId="30889BE7" w14:textId="77777777" w:rsidR="00430D07" w:rsidRPr="00430D07" w:rsidRDefault="00430D07" w:rsidP="00430D07">
            <w:pPr>
              <w:pStyle w:val="TableorFigurefootnote"/>
              <w:rPr>
                <w:szCs w:val="24"/>
              </w:rPr>
            </w:pPr>
            <w:r w:rsidRPr="00430D07">
              <w:rPr>
                <w:szCs w:val="24"/>
              </w:rPr>
              <w:t xml:space="preserve">Analyze PS Admin survey </w:t>
            </w:r>
          </w:p>
        </w:tc>
        <w:tc>
          <w:tcPr>
            <w:tcW w:w="408" w:type="dxa"/>
            <w:noWrap/>
          </w:tcPr>
          <w:p w14:paraId="03D1BC92"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203BE3BD"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349C9411"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75E911CF"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095D36E7"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580FE367"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7493DC0D"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676DE5AB"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7E10B034"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6144A7FC" w14:textId="77777777" w:rsidR="00430D07" w:rsidRPr="00430D07" w:rsidRDefault="00430D07" w:rsidP="002C13E9">
            <w:pPr>
              <w:pStyle w:val="TableorFigurefootnote"/>
              <w:jc w:val="center"/>
              <w:rPr>
                <w:szCs w:val="24"/>
              </w:rPr>
            </w:pPr>
            <w:r w:rsidRPr="00430D07">
              <w:rPr>
                <w:szCs w:val="24"/>
              </w:rPr>
              <w:t>–</w:t>
            </w:r>
          </w:p>
        </w:tc>
        <w:tc>
          <w:tcPr>
            <w:tcW w:w="408" w:type="dxa"/>
            <w:shd w:val="clear" w:color="auto" w:fill="B0DF9B" w:themeFill="accent4" w:themeFillTint="66"/>
            <w:noWrap/>
          </w:tcPr>
          <w:p w14:paraId="21ED5A5F" w14:textId="77777777" w:rsidR="00430D07" w:rsidRPr="00430D07" w:rsidRDefault="00430D07" w:rsidP="002C13E9">
            <w:pPr>
              <w:pStyle w:val="TableorFigurefootnote"/>
              <w:jc w:val="center"/>
              <w:rPr>
                <w:szCs w:val="24"/>
              </w:rPr>
            </w:pPr>
            <w:r w:rsidRPr="00430D07">
              <w:rPr>
                <w:szCs w:val="24"/>
              </w:rPr>
              <w:t>X</w:t>
            </w:r>
          </w:p>
        </w:tc>
        <w:tc>
          <w:tcPr>
            <w:tcW w:w="408" w:type="dxa"/>
            <w:shd w:val="clear" w:color="auto" w:fill="B0DF9B" w:themeFill="accent4" w:themeFillTint="66"/>
            <w:noWrap/>
          </w:tcPr>
          <w:p w14:paraId="29B0B09A" w14:textId="77777777" w:rsidR="00430D07" w:rsidRPr="00430D07" w:rsidRDefault="00430D07" w:rsidP="002C13E9">
            <w:pPr>
              <w:pStyle w:val="TableorFigurefootnote"/>
              <w:jc w:val="center"/>
              <w:rPr>
                <w:szCs w:val="24"/>
              </w:rPr>
            </w:pPr>
            <w:r w:rsidRPr="00430D07">
              <w:rPr>
                <w:szCs w:val="24"/>
              </w:rPr>
              <w:t>c</w:t>
            </w:r>
          </w:p>
        </w:tc>
        <w:tc>
          <w:tcPr>
            <w:tcW w:w="408" w:type="dxa"/>
            <w:shd w:val="clear" w:color="auto" w:fill="B0DF9B" w:themeFill="accent4" w:themeFillTint="66"/>
            <w:noWrap/>
          </w:tcPr>
          <w:p w14:paraId="7A73BF5C" w14:textId="77777777" w:rsidR="00430D07" w:rsidRPr="00430D07" w:rsidRDefault="00430D07" w:rsidP="002C13E9">
            <w:pPr>
              <w:pStyle w:val="TableorFigurefootnote"/>
              <w:jc w:val="center"/>
              <w:rPr>
                <w:szCs w:val="24"/>
              </w:rPr>
            </w:pPr>
            <w:r w:rsidRPr="00430D07">
              <w:rPr>
                <w:szCs w:val="24"/>
              </w:rPr>
              <w:t>c</w:t>
            </w:r>
          </w:p>
        </w:tc>
        <w:tc>
          <w:tcPr>
            <w:tcW w:w="408" w:type="dxa"/>
            <w:shd w:val="clear" w:color="auto" w:fill="B0DF9B" w:themeFill="accent4" w:themeFillTint="66"/>
            <w:noWrap/>
          </w:tcPr>
          <w:p w14:paraId="45812E33" w14:textId="77777777" w:rsidR="00430D07" w:rsidRPr="00430D07" w:rsidRDefault="00430D07" w:rsidP="002C13E9">
            <w:pPr>
              <w:pStyle w:val="TableorFigurefootnote"/>
              <w:jc w:val="center"/>
              <w:rPr>
                <w:szCs w:val="24"/>
              </w:rPr>
            </w:pPr>
            <w:r w:rsidRPr="00430D07">
              <w:rPr>
                <w:szCs w:val="24"/>
              </w:rPr>
              <w:t>c</w:t>
            </w:r>
          </w:p>
        </w:tc>
        <w:tc>
          <w:tcPr>
            <w:tcW w:w="408" w:type="dxa"/>
            <w:shd w:val="clear" w:color="auto" w:fill="B0DF9B" w:themeFill="accent4" w:themeFillTint="66"/>
            <w:noWrap/>
          </w:tcPr>
          <w:p w14:paraId="07D62516" w14:textId="77777777" w:rsidR="00430D07" w:rsidRPr="00430D07" w:rsidRDefault="00430D07" w:rsidP="002C13E9">
            <w:pPr>
              <w:pStyle w:val="TableorFigurefootnote"/>
              <w:jc w:val="center"/>
              <w:rPr>
                <w:szCs w:val="24"/>
              </w:rPr>
            </w:pPr>
            <w:r w:rsidRPr="00430D07">
              <w:rPr>
                <w:szCs w:val="24"/>
              </w:rPr>
              <w:t>c</w:t>
            </w:r>
          </w:p>
        </w:tc>
        <w:tc>
          <w:tcPr>
            <w:tcW w:w="408" w:type="dxa"/>
            <w:shd w:val="clear" w:color="auto" w:fill="B0DF9B" w:themeFill="accent4" w:themeFillTint="66"/>
            <w:noWrap/>
          </w:tcPr>
          <w:p w14:paraId="3D596634" w14:textId="77777777" w:rsidR="00430D07" w:rsidRPr="00430D07" w:rsidRDefault="00430D07" w:rsidP="002C13E9">
            <w:pPr>
              <w:pStyle w:val="TableorFigurefootnote"/>
              <w:jc w:val="center"/>
              <w:rPr>
                <w:szCs w:val="24"/>
              </w:rPr>
            </w:pPr>
            <w:r w:rsidRPr="00430D07">
              <w:rPr>
                <w:szCs w:val="24"/>
              </w:rPr>
              <w:t>c</w:t>
            </w:r>
          </w:p>
        </w:tc>
        <w:tc>
          <w:tcPr>
            <w:tcW w:w="408" w:type="dxa"/>
            <w:shd w:val="clear" w:color="auto" w:fill="B0DF9B" w:themeFill="accent4" w:themeFillTint="66"/>
            <w:noWrap/>
          </w:tcPr>
          <w:p w14:paraId="29B2AEFC" w14:textId="77777777" w:rsidR="00430D07" w:rsidRPr="00430D07" w:rsidRDefault="00430D07" w:rsidP="002C13E9">
            <w:pPr>
              <w:pStyle w:val="TableorFigurefootnote"/>
              <w:jc w:val="center"/>
              <w:rPr>
                <w:szCs w:val="24"/>
              </w:rPr>
            </w:pPr>
            <w:r w:rsidRPr="00430D07">
              <w:rPr>
                <w:szCs w:val="24"/>
              </w:rPr>
              <w:t>c</w:t>
            </w:r>
          </w:p>
        </w:tc>
        <w:tc>
          <w:tcPr>
            <w:tcW w:w="408" w:type="dxa"/>
            <w:shd w:val="clear" w:color="auto" w:fill="B0DF9B" w:themeFill="accent4" w:themeFillTint="66"/>
            <w:noWrap/>
          </w:tcPr>
          <w:p w14:paraId="46EFC812" w14:textId="77777777" w:rsidR="00430D07" w:rsidRPr="00430D07" w:rsidRDefault="00430D07" w:rsidP="002C13E9">
            <w:pPr>
              <w:pStyle w:val="TableorFigurefootnote"/>
              <w:jc w:val="center"/>
              <w:rPr>
                <w:szCs w:val="24"/>
              </w:rPr>
            </w:pPr>
            <w:r w:rsidRPr="00430D07">
              <w:rPr>
                <w:szCs w:val="24"/>
              </w:rPr>
              <w:t>c</w:t>
            </w:r>
          </w:p>
        </w:tc>
        <w:tc>
          <w:tcPr>
            <w:tcW w:w="408" w:type="dxa"/>
            <w:noWrap/>
          </w:tcPr>
          <w:p w14:paraId="77DB4229"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3186271E"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02976612"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05336E8D"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2124B892"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18C97CFE"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04CCDD34"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424EC335" w14:textId="77777777" w:rsidR="00430D07" w:rsidRPr="00430D07" w:rsidRDefault="00430D07" w:rsidP="002C13E9">
            <w:pPr>
              <w:pStyle w:val="TableorFigurefootnote"/>
              <w:jc w:val="center"/>
              <w:rPr>
                <w:szCs w:val="24"/>
              </w:rPr>
            </w:pPr>
            <w:r w:rsidRPr="00430D07">
              <w:rPr>
                <w:szCs w:val="24"/>
              </w:rPr>
              <w:t>–</w:t>
            </w:r>
          </w:p>
        </w:tc>
      </w:tr>
      <w:tr w:rsidR="00EE41A9" w:rsidRPr="00430D07" w14:paraId="62999183" w14:textId="77777777" w:rsidTr="00E94A5E">
        <w:tblPrEx>
          <w:tblCellMar>
            <w:top w:w="43" w:type="dxa"/>
            <w:bottom w:w="0" w:type="dxa"/>
          </w:tblCellMar>
        </w:tblPrEx>
        <w:trPr>
          <w:cnfStyle w:val="000000100000" w:firstRow="0" w:lastRow="0" w:firstColumn="0" w:lastColumn="0" w:oddVBand="0" w:evenVBand="0" w:oddHBand="1" w:evenHBand="0" w:firstRowFirstColumn="0" w:firstRowLastColumn="0" w:lastRowFirstColumn="0" w:lastRowLastColumn="0"/>
          <w:trHeight w:val="243"/>
        </w:trPr>
        <w:tc>
          <w:tcPr>
            <w:tcW w:w="2922" w:type="dxa"/>
            <w:shd w:val="clear" w:color="auto" w:fill="auto"/>
            <w:noWrap/>
          </w:tcPr>
          <w:p w14:paraId="3BBD86C9" w14:textId="77777777" w:rsidR="00430D07" w:rsidRPr="00430D07" w:rsidRDefault="00430D07" w:rsidP="00430D07">
            <w:pPr>
              <w:pStyle w:val="TableorFigurefootnote"/>
              <w:rPr>
                <w:szCs w:val="24"/>
              </w:rPr>
            </w:pPr>
            <w:r w:rsidRPr="00430D07">
              <w:rPr>
                <w:szCs w:val="24"/>
              </w:rPr>
              <w:t>Provide input for development of Member survey</w:t>
            </w:r>
          </w:p>
        </w:tc>
        <w:tc>
          <w:tcPr>
            <w:tcW w:w="408" w:type="dxa"/>
            <w:noWrap/>
          </w:tcPr>
          <w:p w14:paraId="70E89D1D"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26E06868" w14:textId="77777777" w:rsidR="00430D07" w:rsidRPr="00430D07" w:rsidRDefault="00430D07" w:rsidP="002C13E9">
            <w:pPr>
              <w:pStyle w:val="TableorFigurefootnote"/>
              <w:jc w:val="center"/>
              <w:rPr>
                <w:szCs w:val="24"/>
              </w:rPr>
            </w:pPr>
            <w:r w:rsidRPr="00430D07">
              <w:rPr>
                <w:szCs w:val="24"/>
              </w:rPr>
              <w:t>–</w:t>
            </w:r>
          </w:p>
        </w:tc>
        <w:tc>
          <w:tcPr>
            <w:tcW w:w="408" w:type="dxa"/>
            <w:shd w:val="clear" w:color="auto" w:fill="B0DF9B" w:themeFill="accent4" w:themeFillTint="66"/>
            <w:noWrap/>
          </w:tcPr>
          <w:p w14:paraId="0A1235D3" w14:textId="77777777" w:rsidR="00430D07" w:rsidRPr="00430D07" w:rsidRDefault="00430D07" w:rsidP="002C13E9">
            <w:pPr>
              <w:pStyle w:val="TableorFigurefootnote"/>
              <w:jc w:val="center"/>
              <w:rPr>
                <w:szCs w:val="24"/>
              </w:rPr>
            </w:pPr>
            <w:r w:rsidRPr="00430D07">
              <w:rPr>
                <w:szCs w:val="24"/>
              </w:rPr>
              <w:t>X</w:t>
            </w:r>
          </w:p>
        </w:tc>
        <w:tc>
          <w:tcPr>
            <w:tcW w:w="408" w:type="dxa"/>
            <w:noWrap/>
          </w:tcPr>
          <w:p w14:paraId="77A7A389"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7539AE56"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40E204EA"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39E35F99"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62D73B35"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76075D28"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138DBFDE"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400676B3"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53047CB4"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6E30F0C3"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66914DD7"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6F642B9C"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70E9FF32"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5BF0275C"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2722DA8D"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7F271CCC"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1A88CC8D"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0D1BFC3E"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05A880C9"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2C616395"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2F360653"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469D64A9"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1F2B7E50" w14:textId="77777777" w:rsidR="00430D07" w:rsidRPr="00430D07" w:rsidRDefault="00430D07" w:rsidP="002C13E9">
            <w:pPr>
              <w:pStyle w:val="TableorFigurefootnote"/>
              <w:jc w:val="center"/>
              <w:rPr>
                <w:szCs w:val="24"/>
              </w:rPr>
            </w:pPr>
            <w:r w:rsidRPr="00430D07">
              <w:rPr>
                <w:szCs w:val="24"/>
              </w:rPr>
              <w:t>–</w:t>
            </w:r>
          </w:p>
        </w:tc>
      </w:tr>
      <w:tr w:rsidR="0020559B" w:rsidRPr="00430D07" w14:paraId="44D53474" w14:textId="77777777" w:rsidTr="00E94A5E">
        <w:tblPrEx>
          <w:tblCellMar>
            <w:top w:w="43" w:type="dxa"/>
            <w:bottom w:w="0" w:type="dxa"/>
          </w:tblCellMar>
        </w:tblPrEx>
        <w:trPr>
          <w:trHeight w:val="243"/>
        </w:trPr>
        <w:tc>
          <w:tcPr>
            <w:tcW w:w="0" w:type="dxa"/>
            <w:shd w:val="clear" w:color="auto" w:fill="auto"/>
            <w:noWrap/>
          </w:tcPr>
          <w:p w14:paraId="38702F40" w14:textId="6B7C9C67" w:rsidR="00430D07" w:rsidRPr="00430D07" w:rsidRDefault="00430D07" w:rsidP="00430D07">
            <w:pPr>
              <w:pStyle w:val="TableorFigurefootnote"/>
              <w:rPr>
                <w:szCs w:val="24"/>
              </w:rPr>
            </w:pPr>
            <w:r w:rsidRPr="00430D07">
              <w:rPr>
                <w:szCs w:val="24"/>
              </w:rPr>
              <w:t xml:space="preserve">Survey Member vendor fields </w:t>
            </w:r>
            <w:r w:rsidRPr="007F38D8">
              <w:rPr>
                <w:szCs w:val="24"/>
              </w:rPr>
              <w:t>surveys</w:t>
            </w:r>
          </w:p>
        </w:tc>
        <w:tc>
          <w:tcPr>
            <w:tcW w:w="0" w:type="dxa"/>
            <w:noWrap/>
          </w:tcPr>
          <w:p w14:paraId="42D169DD"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76D7254A" w14:textId="77777777" w:rsidR="00430D07" w:rsidRPr="00430D07" w:rsidRDefault="00430D07" w:rsidP="002C13E9">
            <w:pPr>
              <w:pStyle w:val="TableorFigurefootnote"/>
              <w:jc w:val="center"/>
              <w:rPr>
                <w:szCs w:val="24"/>
              </w:rPr>
            </w:pPr>
            <w:r w:rsidRPr="00430D07">
              <w:rPr>
                <w:szCs w:val="24"/>
              </w:rPr>
              <w:t>–</w:t>
            </w:r>
          </w:p>
        </w:tc>
        <w:tc>
          <w:tcPr>
            <w:tcW w:w="0" w:type="dxa"/>
            <w:shd w:val="clear" w:color="auto" w:fill="B0DF9B" w:themeFill="accent4" w:themeFillTint="66"/>
            <w:noWrap/>
          </w:tcPr>
          <w:p w14:paraId="36BE7834" w14:textId="77777777" w:rsidR="00430D07" w:rsidRPr="00430D07" w:rsidRDefault="00430D07" w:rsidP="002C13E9">
            <w:pPr>
              <w:pStyle w:val="TableorFigurefootnote"/>
              <w:jc w:val="center"/>
              <w:rPr>
                <w:szCs w:val="24"/>
              </w:rPr>
            </w:pPr>
            <w:r w:rsidRPr="00430D07">
              <w:rPr>
                <w:szCs w:val="24"/>
              </w:rPr>
              <w:t>X</w:t>
            </w:r>
          </w:p>
        </w:tc>
        <w:tc>
          <w:tcPr>
            <w:tcW w:w="0" w:type="dxa"/>
            <w:shd w:val="clear" w:color="auto" w:fill="B0DF9B" w:themeFill="accent4" w:themeFillTint="66"/>
            <w:noWrap/>
          </w:tcPr>
          <w:p w14:paraId="44162128" w14:textId="77777777" w:rsidR="00430D07" w:rsidRPr="00430D07" w:rsidRDefault="00430D07" w:rsidP="002C13E9">
            <w:pPr>
              <w:pStyle w:val="TableorFigurefootnote"/>
              <w:jc w:val="center"/>
              <w:rPr>
                <w:szCs w:val="24"/>
              </w:rPr>
            </w:pPr>
            <w:r w:rsidRPr="00430D07">
              <w:rPr>
                <w:szCs w:val="24"/>
              </w:rPr>
              <w:t>c</w:t>
            </w:r>
          </w:p>
        </w:tc>
        <w:tc>
          <w:tcPr>
            <w:tcW w:w="0" w:type="dxa"/>
            <w:shd w:val="clear" w:color="auto" w:fill="B0DF9B" w:themeFill="accent4" w:themeFillTint="66"/>
            <w:noWrap/>
          </w:tcPr>
          <w:p w14:paraId="2002D333" w14:textId="77777777" w:rsidR="00430D07" w:rsidRPr="00430D07" w:rsidRDefault="00430D07" w:rsidP="002C13E9">
            <w:pPr>
              <w:pStyle w:val="TableorFigurefootnote"/>
              <w:jc w:val="center"/>
              <w:rPr>
                <w:szCs w:val="24"/>
              </w:rPr>
            </w:pPr>
            <w:r w:rsidRPr="00430D07">
              <w:rPr>
                <w:szCs w:val="24"/>
              </w:rPr>
              <w:t>c</w:t>
            </w:r>
          </w:p>
        </w:tc>
        <w:tc>
          <w:tcPr>
            <w:tcW w:w="0" w:type="dxa"/>
            <w:shd w:val="clear" w:color="auto" w:fill="B0DF9B" w:themeFill="accent4" w:themeFillTint="66"/>
            <w:noWrap/>
          </w:tcPr>
          <w:p w14:paraId="276D12F0" w14:textId="77777777" w:rsidR="00430D07" w:rsidRPr="00430D07" w:rsidRDefault="00430D07" w:rsidP="002C13E9">
            <w:pPr>
              <w:pStyle w:val="TableorFigurefootnote"/>
              <w:jc w:val="center"/>
              <w:rPr>
                <w:szCs w:val="24"/>
              </w:rPr>
            </w:pPr>
            <w:r w:rsidRPr="00430D07">
              <w:rPr>
                <w:szCs w:val="24"/>
              </w:rPr>
              <w:t>c</w:t>
            </w:r>
          </w:p>
        </w:tc>
        <w:tc>
          <w:tcPr>
            <w:tcW w:w="0" w:type="dxa"/>
            <w:shd w:val="clear" w:color="auto" w:fill="B0DF9B" w:themeFill="accent4" w:themeFillTint="66"/>
            <w:noWrap/>
          </w:tcPr>
          <w:p w14:paraId="1E7C38A3" w14:textId="77777777" w:rsidR="00430D07" w:rsidRPr="00430D07" w:rsidRDefault="00430D07" w:rsidP="002C13E9">
            <w:pPr>
              <w:pStyle w:val="TableorFigurefootnote"/>
              <w:jc w:val="center"/>
              <w:rPr>
                <w:szCs w:val="24"/>
              </w:rPr>
            </w:pPr>
            <w:r w:rsidRPr="00430D07">
              <w:rPr>
                <w:szCs w:val="24"/>
              </w:rPr>
              <w:t>c</w:t>
            </w:r>
          </w:p>
        </w:tc>
        <w:tc>
          <w:tcPr>
            <w:tcW w:w="0" w:type="dxa"/>
            <w:shd w:val="clear" w:color="auto" w:fill="B0DF9B" w:themeFill="accent4" w:themeFillTint="66"/>
            <w:noWrap/>
          </w:tcPr>
          <w:p w14:paraId="1E958894" w14:textId="77777777" w:rsidR="00430D07" w:rsidRPr="00430D07" w:rsidRDefault="00430D07" w:rsidP="002C13E9">
            <w:pPr>
              <w:pStyle w:val="TableorFigurefootnote"/>
              <w:jc w:val="center"/>
              <w:rPr>
                <w:szCs w:val="24"/>
              </w:rPr>
            </w:pPr>
            <w:r w:rsidRPr="00430D07">
              <w:rPr>
                <w:szCs w:val="24"/>
              </w:rPr>
              <w:t>c</w:t>
            </w:r>
          </w:p>
        </w:tc>
        <w:tc>
          <w:tcPr>
            <w:tcW w:w="0" w:type="dxa"/>
            <w:shd w:val="clear" w:color="auto" w:fill="B0DF9B" w:themeFill="accent4" w:themeFillTint="66"/>
            <w:noWrap/>
          </w:tcPr>
          <w:p w14:paraId="69A5548E" w14:textId="77777777" w:rsidR="00430D07" w:rsidRPr="00430D07" w:rsidRDefault="00430D07" w:rsidP="002C13E9">
            <w:pPr>
              <w:pStyle w:val="TableorFigurefootnote"/>
              <w:jc w:val="center"/>
              <w:rPr>
                <w:szCs w:val="24"/>
              </w:rPr>
            </w:pPr>
            <w:r w:rsidRPr="00430D07">
              <w:rPr>
                <w:szCs w:val="24"/>
              </w:rPr>
              <w:t>c</w:t>
            </w:r>
          </w:p>
        </w:tc>
        <w:tc>
          <w:tcPr>
            <w:tcW w:w="0" w:type="dxa"/>
            <w:shd w:val="clear" w:color="auto" w:fill="B0DF9B" w:themeFill="accent4" w:themeFillTint="66"/>
            <w:noWrap/>
          </w:tcPr>
          <w:p w14:paraId="06A9ADAC" w14:textId="77777777" w:rsidR="00430D07" w:rsidRPr="00430D07" w:rsidRDefault="00430D07" w:rsidP="002C13E9">
            <w:pPr>
              <w:pStyle w:val="TableorFigurefootnote"/>
              <w:jc w:val="center"/>
              <w:rPr>
                <w:szCs w:val="24"/>
              </w:rPr>
            </w:pPr>
            <w:r w:rsidRPr="00430D07">
              <w:rPr>
                <w:szCs w:val="24"/>
              </w:rPr>
              <w:t>c</w:t>
            </w:r>
          </w:p>
        </w:tc>
        <w:tc>
          <w:tcPr>
            <w:tcW w:w="0" w:type="dxa"/>
            <w:shd w:val="clear" w:color="auto" w:fill="B0DF9B" w:themeFill="accent4" w:themeFillTint="66"/>
            <w:noWrap/>
          </w:tcPr>
          <w:p w14:paraId="36784A0B" w14:textId="77777777" w:rsidR="00430D07" w:rsidRPr="00430D07" w:rsidRDefault="00430D07" w:rsidP="002C13E9">
            <w:pPr>
              <w:pStyle w:val="TableorFigurefootnote"/>
              <w:jc w:val="center"/>
              <w:rPr>
                <w:szCs w:val="24"/>
              </w:rPr>
            </w:pPr>
            <w:r w:rsidRPr="00430D07">
              <w:rPr>
                <w:szCs w:val="24"/>
              </w:rPr>
              <w:t>c</w:t>
            </w:r>
          </w:p>
        </w:tc>
        <w:tc>
          <w:tcPr>
            <w:tcW w:w="0" w:type="dxa"/>
            <w:shd w:val="clear" w:color="auto" w:fill="B0DF9B" w:themeFill="accent4" w:themeFillTint="66"/>
            <w:noWrap/>
          </w:tcPr>
          <w:p w14:paraId="3FBD686E" w14:textId="77777777" w:rsidR="00430D07" w:rsidRPr="00430D07" w:rsidRDefault="00430D07" w:rsidP="002C13E9">
            <w:pPr>
              <w:pStyle w:val="TableorFigurefootnote"/>
              <w:jc w:val="center"/>
              <w:rPr>
                <w:szCs w:val="24"/>
              </w:rPr>
            </w:pPr>
            <w:r w:rsidRPr="00430D07">
              <w:rPr>
                <w:szCs w:val="24"/>
              </w:rPr>
              <w:t>c</w:t>
            </w:r>
          </w:p>
        </w:tc>
        <w:tc>
          <w:tcPr>
            <w:tcW w:w="0" w:type="dxa"/>
            <w:shd w:val="clear" w:color="auto" w:fill="B0DF9B" w:themeFill="accent4" w:themeFillTint="66"/>
            <w:noWrap/>
          </w:tcPr>
          <w:p w14:paraId="605C1508" w14:textId="77777777" w:rsidR="00430D07" w:rsidRPr="00430D07" w:rsidRDefault="00430D07" w:rsidP="002C13E9">
            <w:pPr>
              <w:pStyle w:val="TableorFigurefootnote"/>
              <w:jc w:val="center"/>
              <w:rPr>
                <w:szCs w:val="24"/>
              </w:rPr>
            </w:pPr>
            <w:r w:rsidRPr="00430D07">
              <w:rPr>
                <w:szCs w:val="24"/>
              </w:rPr>
              <w:t>c</w:t>
            </w:r>
          </w:p>
        </w:tc>
        <w:tc>
          <w:tcPr>
            <w:tcW w:w="0" w:type="dxa"/>
            <w:shd w:val="clear" w:color="auto" w:fill="B0DF9B" w:themeFill="accent4" w:themeFillTint="66"/>
            <w:noWrap/>
          </w:tcPr>
          <w:p w14:paraId="479FC247" w14:textId="77777777" w:rsidR="00430D07" w:rsidRPr="00430D07" w:rsidRDefault="00430D07" w:rsidP="002C13E9">
            <w:pPr>
              <w:pStyle w:val="TableorFigurefootnote"/>
              <w:jc w:val="center"/>
              <w:rPr>
                <w:szCs w:val="24"/>
              </w:rPr>
            </w:pPr>
            <w:r w:rsidRPr="00430D07">
              <w:rPr>
                <w:szCs w:val="24"/>
              </w:rPr>
              <w:t>c</w:t>
            </w:r>
          </w:p>
        </w:tc>
        <w:tc>
          <w:tcPr>
            <w:tcW w:w="0" w:type="dxa"/>
            <w:shd w:val="clear" w:color="auto" w:fill="B0DF9B" w:themeFill="accent4" w:themeFillTint="66"/>
            <w:noWrap/>
          </w:tcPr>
          <w:p w14:paraId="56ECE69F" w14:textId="77777777" w:rsidR="00430D07" w:rsidRPr="00430D07" w:rsidRDefault="00430D07" w:rsidP="002C13E9">
            <w:pPr>
              <w:pStyle w:val="TableorFigurefootnote"/>
              <w:jc w:val="center"/>
              <w:rPr>
                <w:szCs w:val="24"/>
              </w:rPr>
            </w:pPr>
            <w:r w:rsidRPr="00430D07">
              <w:rPr>
                <w:szCs w:val="24"/>
              </w:rPr>
              <w:t>c</w:t>
            </w:r>
          </w:p>
        </w:tc>
        <w:tc>
          <w:tcPr>
            <w:tcW w:w="0" w:type="dxa"/>
            <w:shd w:val="clear" w:color="auto" w:fill="B0DF9B" w:themeFill="accent4" w:themeFillTint="66"/>
            <w:noWrap/>
          </w:tcPr>
          <w:p w14:paraId="595850E1" w14:textId="77777777" w:rsidR="00430D07" w:rsidRPr="00430D07" w:rsidRDefault="00430D07" w:rsidP="002C13E9">
            <w:pPr>
              <w:pStyle w:val="TableorFigurefootnote"/>
              <w:jc w:val="center"/>
              <w:rPr>
                <w:szCs w:val="24"/>
              </w:rPr>
            </w:pPr>
            <w:r w:rsidRPr="00430D07">
              <w:rPr>
                <w:szCs w:val="24"/>
              </w:rPr>
              <w:t>c</w:t>
            </w:r>
          </w:p>
        </w:tc>
        <w:tc>
          <w:tcPr>
            <w:tcW w:w="0" w:type="dxa"/>
            <w:shd w:val="clear" w:color="auto" w:fill="B0DF9B" w:themeFill="accent4" w:themeFillTint="66"/>
            <w:noWrap/>
          </w:tcPr>
          <w:p w14:paraId="2C23AFE4" w14:textId="77777777" w:rsidR="00430D07" w:rsidRPr="00430D07" w:rsidRDefault="00430D07" w:rsidP="002C13E9">
            <w:pPr>
              <w:pStyle w:val="TableorFigurefootnote"/>
              <w:jc w:val="center"/>
              <w:rPr>
                <w:szCs w:val="24"/>
              </w:rPr>
            </w:pPr>
            <w:r w:rsidRPr="00430D07">
              <w:rPr>
                <w:szCs w:val="24"/>
              </w:rPr>
              <w:t>c</w:t>
            </w:r>
          </w:p>
        </w:tc>
        <w:tc>
          <w:tcPr>
            <w:tcW w:w="0" w:type="dxa"/>
            <w:shd w:val="clear" w:color="auto" w:fill="B0DF9B" w:themeFill="accent4" w:themeFillTint="66"/>
            <w:noWrap/>
          </w:tcPr>
          <w:p w14:paraId="701F83BC" w14:textId="77777777" w:rsidR="00430D07" w:rsidRPr="00430D07" w:rsidRDefault="00430D07" w:rsidP="002C13E9">
            <w:pPr>
              <w:pStyle w:val="TableorFigurefootnote"/>
              <w:jc w:val="center"/>
              <w:rPr>
                <w:szCs w:val="24"/>
              </w:rPr>
            </w:pPr>
            <w:r w:rsidRPr="00430D07">
              <w:rPr>
                <w:szCs w:val="24"/>
              </w:rPr>
              <w:t>c</w:t>
            </w:r>
          </w:p>
        </w:tc>
        <w:tc>
          <w:tcPr>
            <w:tcW w:w="0" w:type="dxa"/>
            <w:shd w:val="clear" w:color="auto" w:fill="B0DF9B" w:themeFill="accent4" w:themeFillTint="66"/>
            <w:noWrap/>
          </w:tcPr>
          <w:p w14:paraId="040DAF33" w14:textId="77777777" w:rsidR="00430D07" w:rsidRPr="00430D07" w:rsidRDefault="00430D07" w:rsidP="002C13E9">
            <w:pPr>
              <w:pStyle w:val="TableorFigurefootnote"/>
              <w:jc w:val="center"/>
              <w:rPr>
                <w:szCs w:val="24"/>
              </w:rPr>
            </w:pPr>
            <w:r w:rsidRPr="00430D07">
              <w:rPr>
                <w:szCs w:val="24"/>
              </w:rPr>
              <w:t>c</w:t>
            </w:r>
          </w:p>
        </w:tc>
        <w:tc>
          <w:tcPr>
            <w:tcW w:w="0" w:type="dxa"/>
            <w:shd w:val="clear" w:color="auto" w:fill="B0DF9B" w:themeFill="accent4" w:themeFillTint="66"/>
            <w:noWrap/>
          </w:tcPr>
          <w:p w14:paraId="1C06DA39" w14:textId="77777777" w:rsidR="00430D07" w:rsidRPr="00430D07" w:rsidRDefault="00430D07" w:rsidP="002C13E9">
            <w:pPr>
              <w:pStyle w:val="TableorFigurefootnote"/>
              <w:jc w:val="center"/>
              <w:rPr>
                <w:szCs w:val="24"/>
              </w:rPr>
            </w:pPr>
            <w:r w:rsidRPr="00430D07">
              <w:rPr>
                <w:szCs w:val="24"/>
              </w:rPr>
              <w:t>c</w:t>
            </w:r>
          </w:p>
        </w:tc>
        <w:tc>
          <w:tcPr>
            <w:tcW w:w="0" w:type="dxa"/>
            <w:shd w:val="clear" w:color="auto" w:fill="B0DF9B" w:themeFill="accent4" w:themeFillTint="66"/>
            <w:noWrap/>
          </w:tcPr>
          <w:p w14:paraId="4DEE7401" w14:textId="77777777" w:rsidR="00430D07" w:rsidRPr="00430D07" w:rsidRDefault="00430D07" w:rsidP="002C13E9">
            <w:pPr>
              <w:pStyle w:val="TableorFigurefootnote"/>
              <w:jc w:val="center"/>
              <w:rPr>
                <w:szCs w:val="24"/>
              </w:rPr>
            </w:pPr>
            <w:r w:rsidRPr="00430D07">
              <w:rPr>
                <w:szCs w:val="24"/>
              </w:rPr>
              <w:t>c</w:t>
            </w:r>
          </w:p>
        </w:tc>
        <w:tc>
          <w:tcPr>
            <w:tcW w:w="0" w:type="dxa"/>
            <w:shd w:val="clear" w:color="auto" w:fill="B0DF9B" w:themeFill="accent4" w:themeFillTint="66"/>
            <w:noWrap/>
          </w:tcPr>
          <w:p w14:paraId="4FE52626" w14:textId="77777777" w:rsidR="00430D07" w:rsidRPr="00430D07" w:rsidRDefault="00430D07" w:rsidP="002C13E9">
            <w:pPr>
              <w:pStyle w:val="TableorFigurefootnote"/>
              <w:jc w:val="center"/>
              <w:rPr>
                <w:szCs w:val="24"/>
              </w:rPr>
            </w:pPr>
            <w:r w:rsidRPr="00430D07">
              <w:rPr>
                <w:szCs w:val="24"/>
              </w:rPr>
              <w:t>c</w:t>
            </w:r>
          </w:p>
        </w:tc>
        <w:tc>
          <w:tcPr>
            <w:tcW w:w="0" w:type="dxa"/>
            <w:noWrap/>
          </w:tcPr>
          <w:p w14:paraId="24F56D34"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766B1EDB"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068BB5E4"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38CDA8E5" w14:textId="77777777" w:rsidR="00430D07" w:rsidRPr="00430D07" w:rsidRDefault="00430D07" w:rsidP="002C13E9">
            <w:pPr>
              <w:pStyle w:val="TableorFigurefootnote"/>
              <w:jc w:val="center"/>
              <w:rPr>
                <w:szCs w:val="24"/>
              </w:rPr>
            </w:pPr>
            <w:r w:rsidRPr="00430D07">
              <w:rPr>
                <w:szCs w:val="24"/>
              </w:rPr>
              <w:t>–</w:t>
            </w:r>
          </w:p>
        </w:tc>
      </w:tr>
      <w:tr w:rsidR="0020559B" w:rsidRPr="00430D07" w14:paraId="7CBFC2DA" w14:textId="77777777" w:rsidTr="00E94A5E">
        <w:tblPrEx>
          <w:tblCellMar>
            <w:top w:w="43" w:type="dxa"/>
            <w:bottom w:w="0" w:type="dxa"/>
          </w:tblCellMar>
        </w:tblPrEx>
        <w:trPr>
          <w:cnfStyle w:val="000000100000" w:firstRow="0" w:lastRow="0" w:firstColumn="0" w:lastColumn="0" w:oddVBand="0" w:evenVBand="0" w:oddHBand="1" w:evenHBand="0" w:firstRowFirstColumn="0" w:firstRowLastColumn="0" w:lastRowFirstColumn="0" w:lastRowLastColumn="0"/>
          <w:trHeight w:val="243"/>
        </w:trPr>
        <w:tc>
          <w:tcPr>
            <w:tcW w:w="0" w:type="dxa"/>
            <w:shd w:val="clear" w:color="auto" w:fill="auto"/>
            <w:noWrap/>
          </w:tcPr>
          <w:p w14:paraId="424A291F" w14:textId="77777777" w:rsidR="00430D07" w:rsidRPr="00430D07" w:rsidRDefault="00430D07" w:rsidP="00430D07">
            <w:pPr>
              <w:pStyle w:val="TableorFigurefootnote"/>
              <w:rPr>
                <w:szCs w:val="24"/>
              </w:rPr>
            </w:pPr>
            <w:r w:rsidRPr="00430D07">
              <w:rPr>
                <w:szCs w:val="24"/>
              </w:rPr>
              <w:t>Receive data from Member survey</w:t>
            </w:r>
          </w:p>
        </w:tc>
        <w:tc>
          <w:tcPr>
            <w:tcW w:w="0" w:type="dxa"/>
            <w:noWrap/>
          </w:tcPr>
          <w:p w14:paraId="32186214"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6C776E9B"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3CDB2C3E"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3F3D0AC9"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23D386B4" w14:textId="77777777" w:rsidR="00430D07" w:rsidRPr="00430D07" w:rsidRDefault="00430D07" w:rsidP="002C13E9">
            <w:pPr>
              <w:pStyle w:val="TableorFigurefootnote"/>
              <w:jc w:val="center"/>
              <w:rPr>
                <w:szCs w:val="24"/>
              </w:rPr>
            </w:pPr>
            <w:r w:rsidRPr="00430D07">
              <w:rPr>
                <w:szCs w:val="24"/>
              </w:rPr>
              <w:t>–</w:t>
            </w:r>
          </w:p>
        </w:tc>
        <w:tc>
          <w:tcPr>
            <w:tcW w:w="0" w:type="dxa"/>
            <w:shd w:val="clear" w:color="auto" w:fill="B0DF9B" w:themeFill="accent4" w:themeFillTint="66"/>
            <w:noWrap/>
          </w:tcPr>
          <w:p w14:paraId="04E37E63" w14:textId="77777777" w:rsidR="00430D07" w:rsidRPr="00430D07" w:rsidRDefault="00430D07" w:rsidP="002C13E9">
            <w:pPr>
              <w:pStyle w:val="TableorFigurefootnote"/>
              <w:jc w:val="center"/>
              <w:rPr>
                <w:szCs w:val="24"/>
              </w:rPr>
            </w:pPr>
            <w:r w:rsidRPr="00430D07">
              <w:rPr>
                <w:szCs w:val="24"/>
              </w:rPr>
              <w:t>X</w:t>
            </w:r>
          </w:p>
        </w:tc>
        <w:tc>
          <w:tcPr>
            <w:tcW w:w="0" w:type="dxa"/>
            <w:noWrap/>
          </w:tcPr>
          <w:p w14:paraId="26744B06"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566EDB5A"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75E1F20B" w14:textId="77777777" w:rsidR="00430D07" w:rsidRPr="00430D07" w:rsidRDefault="00430D07" w:rsidP="002C13E9">
            <w:pPr>
              <w:pStyle w:val="TableorFigurefootnote"/>
              <w:jc w:val="center"/>
              <w:rPr>
                <w:szCs w:val="24"/>
              </w:rPr>
            </w:pPr>
            <w:r w:rsidRPr="00430D07">
              <w:rPr>
                <w:szCs w:val="24"/>
              </w:rPr>
              <w:t>–</w:t>
            </w:r>
          </w:p>
        </w:tc>
        <w:tc>
          <w:tcPr>
            <w:tcW w:w="0" w:type="dxa"/>
            <w:shd w:val="clear" w:color="auto" w:fill="B0DF9B" w:themeFill="accent4" w:themeFillTint="66"/>
            <w:noWrap/>
          </w:tcPr>
          <w:p w14:paraId="780F94D7" w14:textId="77777777" w:rsidR="00430D07" w:rsidRPr="00430D07" w:rsidRDefault="00430D07" w:rsidP="002C13E9">
            <w:pPr>
              <w:pStyle w:val="TableorFigurefootnote"/>
              <w:jc w:val="center"/>
              <w:rPr>
                <w:szCs w:val="24"/>
              </w:rPr>
            </w:pPr>
            <w:r w:rsidRPr="00430D07">
              <w:rPr>
                <w:szCs w:val="24"/>
              </w:rPr>
              <w:t>X</w:t>
            </w:r>
          </w:p>
        </w:tc>
        <w:tc>
          <w:tcPr>
            <w:tcW w:w="0" w:type="dxa"/>
            <w:noWrap/>
          </w:tcPr>
          <w:p w14:paraId="08CDFE42"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619FF115"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4FF09AEE" w14:textId="77777777" w:rsidR="00430D07" w:rsidRPr="00430D07" w:rsidRDefault="00430D07" w:rsidP="002C13E9">
            <w:pPr>
              <w:pStyle w:val="TableorFigurefootnote"/>
              <w:jc w:val="center"/>
              <w:rPr>
                <w:szCs w:val="24"/>
              </w:rPr>
            </w:pPr>
            <w:r w:rsidRPr="00430D07">
              <w:rPr>
                <w:szCs w:val="24"/>
              </w:rPr>
              <w:t>–</w:t>
            </w:r>
          </w:p>
        </w:tc>
        <w:tc>
          <w:tcPr>
            <w:tcW w:w="0" w:type="dxa"/>
            <w:shd w:val="clear" w:color="auto" w:fill="B0DF9B" w:themeFill="accent4" w:themeFillTint="66"/>
            <w:noWrap/>
          </w:tcPr>
          <w:p w14:paraId="5C74704E" w14:textId="77777777" w:rsidR="00430D07" w:rsidRPr="00430D07" w:rsidRDefault="00430D07" w:rsidP="002C13E9">
            <w:pPr>
              <w:pStyle w:val="TableorFigurefootnote"/>
              <w:jc w:val="center"/>
              <w:rPr>
                <w:szCs w:val="24"/>
              </w:rPr>
            </w:pPr>
            <w:r w:rsidRPr="00430D07">
              <w:rPr>
                <w:szCs w:val="24"/>
              </w:rPr>
              <w:t>X</w:t>
            </w:r>
          </w:p>
        </w:tc>
        <w:tc>
          <w:tcPr>
            <w:tcW w:w="0" w:type="dxa"/>
            <w:noWrap/>
          </w:tcPr>
          <w:p w14:paraId="7A0543FD"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370E3114"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367DA2F5" w14:textId="77777777" w:rsidR="00430D07" w:rsidRPr="00430D07" w:rsidRDefault="00430D07" w:rsidP="002C13E9">
            <w:pPr>
              <w:pStyle w:val="TableorFigurefootnote"/>
              <w:jc w:val="center"/>
              <w:rPr>
                <w:szCs w:val="24"/>
              </w:rPr>
            </w:pPr>
            <w:r w:rsidRPr="00430D07">
              <w:rPr>
                <w:szCs w:val="24"/>
              </w:rPr>
              <w:t>–</w:t>
            </w:r>
          </w:p>
        </w:tc>
        <w:tc>
          <w:tcPr>
            <w:tcW w:w="0" w:type="dxa"/>
            <w:shd w:val="clear" w:color="auto" w:fill="B0DF9B" w:themeFill="accent4" w:themeFillTint="66"/>
            <w:noWrap/>
          </w:tcPr>
          <w:p w14:paraId="0CE170EA" w14:textId="77777777" w:rsidR="00430D07" w:rsidRPr="00430D07" w:rsidRDefault="00430D07" w:rsidP="002C13E9">
            <w:pPr>
              <w:pStyle w:val="TableorFigurefootnote"/>
              <w:jc w:val="center"/>
              <w:rPr>
                <w:szCs w:val="24"/>
              </w:rPr>
            </w:pPr>
            <w:r w:rsidRPr="00430D07">
              <w:rPr>
                <w:szCs w:val="24"/>
              </w:rPr>
              <w:t>X</w:t>
            </w:r>
          </w:p>
        </w:tc>
        <w:tc>
          <w:tcPr>
            <w:tcW w:w="0" w:type="dxa"/>
            <w:noWrap/>
          </w:tcPr>
          <w:p w14:paraId="3FB587AA"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3222699D"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6D3A723E" w14:textId="77777777" w:rsidR="00430D07" w:rsidRPr="00430D07" w:rsidRDefault="00430D07" w:rsidP="002C13E9">
            <w:pPr>
              <w:pStyle w:val="TableorFigurefootnote"/>
              <w:jc w:val="center"/>
              <w:rPr>
                <w:szCs w:val="24"/>
              </w:rPr>
            </w:pPr>
            <w:r w:rsidRPr="00430D07">
              <w:rPr>
                <w:szCs w:val="24"/>
              </w:rPr>
              <w:t>–</w:t>
            </w:r>
          </w:p>
        </w:tc>
        <w:tc>
          <w:tcPr>
            <w:tcW w:w="0" w:type="dxa"/>
            <w:shd w:val="clear" w:color="auto" w:fill="B0DF9B" w:themeFill="accent4" w:themeFillTint="66"/>
            <w:noWrap/>
          </w:tcPr>
          <w:p w14:paraId="763D95ED" w14:textId="77777777" w:rsidR="00430D07" w:rsidRPr="00430D07" w:rsidRDefault="00430D07" w:rsidP="002C13E9">
            <w:pPr>
              <w:pStyle w:val="TableorFigurefootnote"/>
              <w:jc w:val="center"/>
              <w:rPr>
                <w:szCs w:val="24"/>
              </w:rPr>
            </w:pPr>
            <w:r w:rsidRPr="00430D07">
              <w:rPr>
                <w:szCs w:val="24"/>
              </w:rPr>
              <w:t>X</w:t>
            </w:r>
          </w:p>
        </w:tc>
        <w:tc>
          <w:tcPr>
            <w:tcW w:w="0" w:type="dxa"/>
            <w:noWrap/>
          </w:tcPr>
          <w:p w14:paraId="33ADAA65"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286EC3ED"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3C5F2FC4" w14:textId="77777777" w:rsidR="00430D07" w:rsidRPr="00430D07" w:rsidRDefault="00430D07" w:rsidP="002C13E9">
            <w:pPr>
              <w:pStyle w:val="TableorFigurefootnote"/>
              <w:jc w:val="center"/>
              <w:rPr>
                <w:szCs w:val="24"/>
              </w:rPr>
            </w:pPr>
            <w:r w:rsidRPr="00430D07">
              <w:rPr>
                <w:szCs w:val="24"/>
              </w:rPr>
              <w:t>–</w:t>
            </w:r>
          </w:p>
        </w:tc>
        <w:tc>
          <w:tcPr>
            <w:tcW w:w="0" w:type="dxa"/>
            <w:shd w:val="clear" w:color="auto" w:fill="B0DF9B" w:themeFill="accent4" w:themeFillTint="66"/>
            <w:noWrap/>
          </w:tcPr>
          <w:p w14:paraId="2AB855C9" w14:textId="77777777" w:rsidR="00430D07" w:rsidRPr="00430D07" w:rsidRDefault="00430D07" w:rsidP="002C13E9">
            <w:pPr>
              <w:pStyle w:val="TableorFigurefootnote"/>
              <w:jc w:val="center"/>
              <w:rPr>
                <w:szCs w:val="24"/>
              </w:rPr>
            </w:pPr>
            <w:r w:rsidRPr="00430D07">
              <w:rPr>
                <w:szCs w:val="24"/>
              </w:rPr>
              <w:t>X</w:t>
            </w:r>
          </w:p>
        </w:tc>
      </w:tr>
      <w:tr w:rsidR="00EE41A9" w:rsidRPr="00430D07" w14:paraId="09ADCBC6" w14:textId="77777777" w:rsidTr="002C13E9">
        <w:tblPrEx>
          <w:tblCellMar>
            <w:top w:w="43" w:type="dxa"/>
            <w:bottom w:w="0" w:type="dxa"/>
          </w:tblCellMar>
        </w:tblPrEx>
        <w:trPr>
          <w:trHeight w:val="243"/>
        </w:trPr>
        <w:tc>
          <w:tcPr>
            <w:tcW w:w="2922" w:type="dxa"/>
            <w:noWrap/>
          </w:tcPr>
          <w:p w14:paraId="63A3264B" w14:textId="77777777" w:rsidR="00430D07" w:rsidRPr="00430D07" w:rsidRDefault="00430D07" w:rsidP="00430D07">
            <w:pPr>
              <w:pStyle w:val="TableorFigurefootnote"/>
              <w:rPr>
                <w:szCs w:val="24"/>
              </w:rPr>
            </w:pPr>
            <w:r w:rsidRPr="00430D07">
              <w:rPr>
                <w:szCs w:val="24"/>
              </w:rPr>
              <w:t>Analyze Member survey data</w:t>
            </w:r>
          </w:p>
        </w:tc>
        <w:tc>
          <w:tcPr>
            <w:tcW w:w="408" w:type="dxa"/>
            <w:noWrap/>
          </w:tcPr>
          <w:p w14:paraId="05010A41"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13F30E85"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6E80D2EA"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5F28499A"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279C76AF"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3881D3F8" w14:textId="77777777" w:rsidR="00430D07" w:rsidRPr="00430D07" w:rsidRDefault="00430D07" w:rsidP="002C13E9">
            <w:pPr>
              <w:pStyle w:val="TableorFigurefootnote"/>
              <w:jc w:val="center"/>
              <w:rPr>
                <w:szCs w:val="24"/>
              </w:rPr>
            </w:pPr>
            <w:r w:rsidRPr="00430D07">
              <w:rPr>
                <w:szCs w:val="24"/>
              </w:rPr>
              <w:t>–</w:t>
            </w:r>
          </w:p>
        </w:tc>
        <w:tc>
          <w:tcPr>
            <w:tcW w:w="408" w:type="dxa"/>
            <w:shd w:val="clear" w:color="auto" w:fill="B0DF9B" w:themeFill="accent4" w:themeFillTint="66"/>
            <w:noWrap/>
          </w:tcPr>
          <w:p w14:paraId="67AD9401" w14:textId="77777777" w:rsidR="00430D07" w:rsidRPr="00430D07" w:rsidRDefault="00430D07" w:rsidP="002C13E9">
            <w:pPr>
              <w:pStyle w:val="TableorFigurefootnote"/>
              <w:jc w:val="center"/>
              <w:rPr>
                <w:szCs w:val="24"/>
              </w:rPr>
            </w:pPr>
            <w:r w:rsidRPr="00430D07">
              <w:rPr>
                <w:szCs w:val="24"/>
              </w:rPr>
              <w:t>X</w:t>
            </w:r>
          </w:p>
        </w:tc>
        <w:tc>
          <w:tcPr>
            <w:tcW w:w="408" w:type="dxa"/>
            <w:shd w:val="clear" w:color="auto" w:fill="B0DF9B" w:themeFill="accent4" w:themeFillTint="66"/>
            <w:noWrap/>
          </w:tcPr>
          <w:p w14:paraId="0913CC13" w14:textId="77777777" w:rsidR="00430D07" w:rsidRPr="00430D07" w:rsidRDefault="00430D07" w:rsidP="002C13E9">
            <w:pPr>
              <w:pStyle w:val="TableorFigurefootnote"/>
              <w:jc w:val="center"/>
              <w:rPr>
                <w:szCs w:val="24"/>
              </w:rPr>
            </w:pPr>
            <w:r w:rsidRPr="00430D07">
              <w:rPr>
                <w:szCs w:val="24"/>
              </w:rPr>
              <w:t>c</w:t>
            </w:r>
          </w:p>
        </w:tc>
        <w:tc>
          <w:tcPr>
            <w:tcW w:w="408" w:type="dxa"/>
            <w:noWrap/>
          </w:tcPr>
          <w:p w14:paraId="5788A2FB"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2FE16C39" w14:textId="77777777" w:rsidR="00430D07" w:rsidRPr="00430D07" w:rsidRDefault="00430D07" w:rsidP="002C13E9">
            <w:pPr>
              <w:pStyle w:val="TableorFigurefootnote"/>
              <w:jc w:val="center"/>
              <w:rPr>
                <w:szCs w:val="24"/>
              </w:rPr>
            </w:pPr>
            <w:r w:rsidRPr="00430D07">
              <w:rPr>
                <w:szCs w:val="24"/>
              </w:rPr>
              <w:t>–</w:t>
            </w:r>
          </w:p>
        </w:tc>
        <w:tc>
          <w:tcPr>
            <w:tcW w:w="408" w:type="dxa"/>
            <w:shd w:val="clear" w:color="auto" w:fill="B0DF9B" w:themeFill="accent4" w:themeFillTint="66"/>
            <w:noWrap/>
          </w:tcPr>
          <w:p w14:paraId="760195E7" w14:textId="77777777" w:rsidR="00430D07" w:rsidRPr="00430D07" w:rsidRDefault="00430D07" w:rsidP="002C13E9">
            <w:pPr>
              <w:pStyle w:val="TableorFigurefootnote"/>
              <w:jc w:val="center"/>
              <w:rPr>
                <w:szCs w:val="24"/>
              </w:rPr>
            </w:pPr>
            <w:r w:rsidRPr="00430D07">
              <w:rPr>
                <w:szCs w:val="24"/>
              </w:rPr>
              <w:t>X</w:t>
            </w:r>
          </w:p>
        </w:tc>
        <w:tc>
          <w:tcPr>
            <w:tcW w:w="408" w:type="dxa"/>
            <w:shd w:val="clear" w:color="auto" w:fill="B0DF9B" w:themeFill="accent4" w:themeFillTint="66"/>
            <w:noWrap/>
          </w:tcPr>
          <w:p w14:paraId="35E0BEE5" w14:textId="77777777" w:rsidR="00430D07" w:rsidRPr="00430D07" w:rsidRDefault="00430D07" w:rsidP="002C13E9">
            <w:pPr>
              <w:pStyle w:val="TableorFigurefootnote"/>
              <w:jc w:val="center"/>
              <w:rPr>
                <w:szCs w:val="24"/>
              </w:rPr>
            </w:pPr>
            <w:r w:rsidRPr="00430D07">
              <w:rPr>
                <w:szCs w:val="24"/>
              </w:rPr>
              <w:t>c</w:t>
            </w:r>
          </w:p>
        </w:tc>
        <w:tc>
          <w:tcPr>
            <w:tcW w:w="408" w:type="dxa"/>
            <w:noWrap/>
          </w:tcPr>
          <w:p w14:paraId="0A083A53"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78B2418A" w14:textId="77777777" w:rsidR="00430D07" w:rsidRPr="00430D07" w:rsidRDefault="00430D07" w:rsidP="002C13E9">
            <w:pPr>
              <w:pStyle w:val="TableorFigurefootnote"/>
              <w:jc w:val="center"/>
              <w:rPr>
                <w:szCs w:val="24"/>
              </w:rPr>
            </w:pPr>
            <w:r w:rsidRPr="00430D07">
              <w:rPr>
                <w:szCs w:val="24"/>
              </w:rPr>
              <w:t>–</w:t>
            </w:r>
          </w:p>
        </w:tc>
        <w:tc>
          <w:tcPr>
            <w:tcW w:w="408" w:type="dxa"/>
            <w:shd w:val="clear" w:color="auto" w:fill="B0DF9B" w:themeFill="accent4" w:themeFillTint="66"/>
            <w:noWrap/>
          </w:tcPr>
          <w:p w14:paraId="69893E98" w14:textId="77777777" w:rsidR="00430D07" w:rsidRPr="00430D07" w:rsidRDefault="00430D07" w:rsidP="002C13E9">
            <w:pPr>
              <w:pStyle w:val="TableorFigurefootnote"/>
              <w:jc w:val="center"/>
              <w:rPr>
                <w:szCs w:val="24"/>
              </w:rPr>
            </w:pPr>
            <w:r w:rsidRPr="00430D07">
              <w:rPr>
                <w:szCs w:val="24"/>
              </w:rPr>
              <w:t>X</w:t>
            </w:r>
          </w:p>
        </w:tc>
        <w:tc>
          <w:tcPr>
            <w:tcW w:w="408" w:type="dxa"/>
            <w:shd w:val="clear" w:color="auto" w:fill="B0DF9B" w:themeFill="accent4" w:themeFillTint="66"/>
            <w:noWrap/>
          </w:tcPr>
          <w:p w14:paraId="513349F9" w14:textId="77777777" w:rsidR="00430D07" w:rsidRPr="00430D07" w:rsidRDefault="00430D07" w:rsidP="002C13E9">
            <w:pPr>
              <w:pStyle w:val="TableorFigurefootnote"/>
              <w:jc w:val="center"/>
              <w:rPr>
                <w:szCs w:val="24"/>
              </w:rPr>
            </w:pPr>
            <w:r w:rsidRPr="00430D07">
              <w:rPr>
                <w:szCs w:val="24"/>
              </w:rPr>
              <w:t>c</w:t>
            </w:r>
          </w:p>
        </w:tc>
        <w:tc>
          <w:tcPr>
            <w:tcW w:w="408" w:type="dxa"/>
            <w:noWrap/>
          </w:tcPr>
          <w:p w14:paraId="37A9BFDB"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06320BB4" w14:textId="77777777" w:rsidR="00430D07" w:rsidRPr="00430D07" w:rsidRDefault="00430D07" w:rsidP="002C13E9">
            <w:pPr>
              <w:pStyle w:val="TableorFigurefootnote"/>
              <w:jc w:val="center"/>
              <w:rPr>
                <w:szCs w:val="24"/>
              </w:rPr>
            </w:pPr>
            <w:r w:rsidRPr="00430D07">
              <w:rPr>
                <w:szCs w:val="24"/>
              </w:rPr>
              <w:t>–</w:t>
            </w:r>
          </w:p>
        </w:tc>
        <w:tc>
          <w:tcPr>
            <w:tcW w:w="408" w:type="dxa"/>
            <w:shd w:val="clear" w:color="auto" w:fill="B0DF9B" w:themeFill="accent4" w:themeFillTint="66"/>
            <w:noWrap/>
          </w:tcPr>
          <w:p w14:paraId="48F7B562" w14:textId="77777777" w:rsidR="00430D07" w:rsidRPr="00430D07" w:rsidRDefault="00430D07" w:rsidP="002C13E9">
            <w:pPr>
              <w:pStyle w:val="TableorFigurefootnote"/>
              <w:jc w:val="center"/>
              <w:rPr>
                <w:szCs w:val="24"/>
              </w:rPr>
            </w:pPr>
            <w:r w:rsidRPr="00430D07">
              <w:rPr>
                <w:szCs w:val="24"/>
              </w:rPr>
              <w:t>X</w:t>
            </w:r>
          </w:p>
        </w:tc>
        <w:tc>
          <w:tcPr>
            <w:tcW w:w="408" w:type="dxa"/>
            <w:shd w:val="clear" w:color="auto" w:fill="B0DF9B" w:themeFill="accent4" w:themeFillTint="66"/>
            <w:noWrap/>
          </w:tcPr>
          <w:p w14:paraId="61F644E5" w14:textId="77777777" w:rsidR="00430D07" w:rsidRPr="00430D07" w:rsidRDefault="00430D07" w:rsidP="002C13E9">
            <w:pPr>
              <w:pStyle w:val="TableorFigurefootnote"/>
              <w:jc w:val="center"/>
              <w:rPr>
                <w:szCs w:val="24"/>
              </w:rPr>
            </w:pPr>
            <w:r w:rsidRPr="00430D07">
              <w:rPr>
                <w:szCs w:val="24"/>
              </w:rPr>
              <w:t>c</w:t>
            </w:r>
          </w:p>
        </w:tc>
        <w:tc>
          <w:tcPr>
            <w:tcW w:w="408" w:type="dxa"/>
            <w:noWrap/>
          </w:tcPr>
          <w:p w14:paraId="3FBDEC4B"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741ED0AF" w14:textId="77777777" w:rsidR="00430D07" w:rsidRPr="00430D07" w:rsidRDefault="00430D07" w:rsidP="002C13E9">
            <w:pPr>
              <w:pStyle w:val="TableorFigurefootnote"/>
              <w:jc w:val="center"/>
              <w:rPr>
                <w:szCs w:val="24"/>
              </w:rPr>
            </w:pPr>
            <w:r w:rsidRPr="00430D07">
              <w:rPr>
                <w:szCs w:val="24"/>
              </w:rPr>
              <w:t>–</w:t>
            </w:r>
          </w:p>
        </w:tc>
        <w:tc>
          <w:tcPr>
            <w:tcW w:w="408" w:type="dxa"/>
            <w:shd w:val="clear" w:color="auto" w:fill="B0DF9B" w:themeFill="accent4" w:themeFillTint="66"/>
            <w:noWrap/>
          </w:tcPr>
          <w:p w14:paraId="5D38C8CD" w14:textId="77777777" w:rsidR="00430D07" w:rsidRPr="00430D07" w:rsidRDefault="00430D07" w:rsidP="002C13E9">
            <w:pPr>
              <w:pStyle w:val="TableorFigurefootnote"/>
              <w:jc w:val="center"/>
              <w:rPr>
                <w:szCs w:val="24"/>
              </w:rPr>
            </w:pPr>
            <w:r w:rsidRPr="00430D07">
              <w:rPr>
                <w:szCs w:val="24"/>
              </w:rPr>
              <w:t>X</w:t>
            </w:r>
          </w:p>
        </w:tc>
        <w:tc>
          <w:tcPr>
            <w:tcW w:w="408" w:type="dxa"/>
            <w:shd w:val="clear" w:color="auto" w:fill="B0DF9B" w:themeFill="accent4" w:themeFillTint="66"/>
            <w:noWrap/>
          </w:tcPr>
          <w:p w14:paraId="667C4ACB" w14:textId="77777777" w:rsidR="00430D07" w:rsidRPr="00430D07" w:rsidRDefault="00430D07" w:rsidP="002C13E9">
            <w:pPr>
              <w:pStyle w:val="TableorFigurefootnote"/>
              <w:jc w:val="center"/>
              <w:rPr>
                <w:szCs w:val="24"/>
              </w:rPr>
            </w:pPr>
            <w:r w:rsidRPr="00430D07">
              <w:rPr>
                <w:szCs w:val="24"/>
              </w:rPr>
              <w:t>c</w:t>
            </w:r>
          </w:p>
        </w:tc>
        <w:tc>
          <w:tcPr>
            <w:tcW w:w="408" w:type="dxa"/>
            <w:noWrap/>
          </w:tcPr>
          <w:p w14:paraId="494E4448"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5A9E65A2" w14:textId="77777777" w:rsidR="00430D07" w:rsidRPr="00430D07" w:rsidRDefault="00430D07" w:rsidP="002C13E9">
            <w:pPr>
              <w:pStyle w:val="TableorFigurefootnote"/>
              <w:jc w:val="center"/>
              <w:rPr>
                <w:szCs w:val="24"/>
              </w:rPr>
            </w:pPr>
            <w:r w:rsidRPr="00430D07">
              <w:rPr>
                <w:szCs w:val="24"/>
              </w:rPr>
              <w:t>–</w:t>
            </w:r>
          </w:p>
        </w:tc>
      </w:tr>
      <w:tr w:rsidR="0020559B" w:rsidRPr="00430D07" w14:paraId="5A514275" w14:textId="77777777" w:rsidTr="002C13E9">
        <w:tblPrEx>
          <w:tblCellMar>
            <w:top w:w="43" w:type="dxa"/>
            <w:bottom w:w="0" w:type="dxa"/>
          </w:tblCellMar>
        </w:tblPrEx>
        <w:trPr>
          <w:cnfStyle w:val="000000100000" w:firstRow="0" w:lastRow="0" w:firstColumn="0" w:lastColumn="0" w:oddVBand="0" w:evenVBand="0" w:oddHBand="1" w:evenHBand="0" w:firstRowFirstColumn="0" w:firstRowLastColumn="0" w:lastRowFirstColumn="0" w:lastRowLastColumn="0"/>
          <w:trHeight w:val="243"/>
        </w:trPr>
        <w:tc>
          <w:tcPr>
            <w:tcW w:w="0" w:type="dxa"/>
            <w:shd w:val="clear" w:color="auto" w:fill="auto"/>
            <w:noWrap/>
          </w:tcPr>
          <w:p w14:paraId="6B6F2F30" w14:textId="77777777" w:rsidR="00430D07" w:rsidRPr="00430D07" w:rsidRDefault="00430D07" w:rsidP="00430D07">
            <w:pPr>
              <w:pStyle w:val="TableorFigurefootnote"/>
              <w:rPr>
                <w:szCs w:val="24"/>
              </w:rPr>
            </w:pPr>
            <w:r w:rsidRPr="00430D07">
              <w:rPr>
                <w:szCs w:val="24"/>
              </w:rPr>
              <w:t>Design WI survey</w:t>
            </w:r>
          </w:p>
        </w:tc>
        <w:tc>
          <w:tcPr>
            <w:tcW w:w="0" w:type="dxa"/>
            <w:noWrap/>
          </w:tcPr>
          <w:p w14:paraId="2372307C"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6EBADC30"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119E00CC"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75914030"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60586679"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3A6025AC" w14:textId="77777777" w:rsidR="00430D07" w:rsidRPr="00430D07" w:rsidRDefault="00430D07" w:rsidP="002C13E9">
            <w:pPr>
              <w:pStyle w:val="TableorFigurefootnote"/>
              <w:jc w:val="center"/>
              <w:rPr>
                <w:szCs w:val="24"/>
              </w:rPr>
            </w:pPr>
            <w:r w:rsidRPr="00430D07">
              <w:rPr>
                <w:szCs w:val="24"/>
              </w:rPr>
              <w:t>–</w:t>
            </w:r>
          </w:p>
        </w:tc>
        <w:tc>
          <w:tcPr>
            <w:tcW w:w="0" w:type="dxa"/>
            <w:shd w:val="clear" w:color="auto" w:fill="B0DF9B" w:themeFill="accent4" w:themeFillTint="66"/>
            <w:noWrap/>
          </w:tcPr>
          <w:p w14:paraId="1591F8AD" w14:textId="77777777" w:rsidR="00430D07" w:rsidRPr="00430D07" w:rsidRDefault="00430D07" w:rsidP="002C13E9">
            <w:pPr>
              <w:pStyle w:val="TableorFigurefootnote"/>
              <w:jc w:val="center"/>
              <w:rPr>
                <w:szCs w:val="24"/>
              </w:rPr>
            </w:pPr>
            <w:r w:rsidRPr="00430D07">
              <w:rPr>
                <w:szCs w:val="24"/>
              </w:rPr>
              <w:t>X</w:t>
            </w:r>
          </w:p>
        </w:tc>
        <w:tc>
          <w:tcPr>
            <w:tcW w:w="0" w:type="dxa"/>
            <w:shd w:val="clear" w:color="auto" w:fill="B0DF9B" w:themeFill="accent4" w:themeFillTint="66"/>
            <w:noWrap/>
          </w:tcPr>
          <w:p w14:paraId="1BFDB960" w14:textId="77777777" w:rsidR="00430D07" w:rsidRPr="00430D07" w:rsidRDefault="00430D07" w:rsidP="002C13E9">
            <w:pPr>
              <w:pStyle w:val="TableorFigurefootnote"/>
              <w:jc w:val="center"/>
              <w:rPr>
                <w:szCs w:val="24"/>
              </w:rPr>
            </w:pPr>
            <w:r w:rsidRPr="00430D07">
              <w:rPr>
                <w:szCs w:val="24"/>
              </w:rPr>
              <w:t>c</w:t>
            </w:r>
          </w:p>
        </w:tc>
        <w:tc>
          <w:tcPr>
            <w:tcW w:w="0" w:type="dxa"/>
            <w:shd w:val="clear" w:color="auto" w:fill="B0DF9B" w:themeFill="accent4" w:themeFillTint="66"/>
            <w:noWrap/>
          </w:tcPr>
          <w:p w14:paraId="6FBD5803" w14:textId="77777777" w:rsidR="00430D07" w:rsidRPr="00430D07" w:rsidRDefault="00430D07" w:rsidP="002C13E9">
            <w:pPr>
              <w:pStyle w:val="TableorFigurefootnote"/>
              <w:jc w:val="center"/>
              <w:rPr>
                <w:szCs w:val="24"/>
              </w:rPr>
            </w:pPr>
            <w:r w:rsidRPr="00430D07">
              <w:rPr>
                <w:szCs w:val="24"/>
              </w:rPr>
              <w:t>c</w:t>
            </w:r>
          </w:p>
        </w:tc>
        <w:tc>
          <w:tcPr>
            <w:tcW w:w="0" w:type="dxa"/>
            <w:shd w:val="clear" w:color="auto" w:fill="B0DF9B" w:themeFill="accent4" w:themeFillTint="66"/>
            <w:noWrap/>
          </w:tcPr>
          <w:p w14:paraId="4DE65783" w14:textId="77777777" w:rsidR="00430D07" w:rsidRPr="00430D07" w:rsidRDefault="00430D07" w:rsidP="002C13E9">
            <w:pPr>
              <w:pStyle w:val="TableorFigurefootnote"/>
              <w:jc w:val="center"/>
              <w:rPr>
                <w:szCs w:val="24"/>
              </w:rPr>
            </w:pPr>
            <w:r w:rsidRPr="00430D07">
              <w:rPr>
                <w:szCs w:val="24"/>
              </w:rPr>
              <w:t>c</w:t>
            </w:r>
          </w:p>
        </w:tc>
        <w:tc>
          <w:tcPr>
            <w:tcW w:w="0" w:type="dxa"/>
            <w:noWrap/>
          </w:tcPr>
          <w:p w14:paraId="18B81023"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684FD67E"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59E4A06D"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32EB4AB8" w14:textId="77777777" w:rsidR="00430D07" w:rsidRPr="00430D07" w:rsidRDefault="00430D07" w:rsidP="002C13E9">
            <w:pPr>
              <w:pStyle w:val="TableorFigurefootnote"/>
              <w:jc w:val="center"/>
              <w:rPr>
                <w:szCs w:val="24"/>
              </w:rPr>
            </w:pPr>
            <w:r w:rsidRPr="00430D07">
              <w:rPr>
                <w:szCs w:val="24"/>
              </w:rPr>
              <w:t>–</w:t>
            </w:r>
          </w:p>
        </w:tc>
        <w:tc>
          <w:tcPr>
            <w:tcW w:w="0" w:type="dxa"/>
            <w:shd w:val="clear" w:color="auto" w:fill="B0DF9B" w:themeFill="accent4" w:themeFillTint="66"/>
            <w:noWrap/>
          </w:tcPr>
          <w:p w14:paraId="079E3583" w14:textId="77777777" w:rsidR="00430D07" w:rsidRPr="00430D07" w:rsidRDefault="00430D07" w:rsidP="002C13E9">
            <w:pPr>
              <w:pStyle w:val="TableorFigurefootnote"/>
              <w:jc w:val="center"/>
              <w:rPr>
                <w:szCs w:val="24"/>
              </w:rPr>
            </w:pPr>
            <w:r w:rsidRPr="00430D07">
              <w:rPr>
                <w:szCs w:val="24"/>
              </w:rPr>
              <w:t>X</w:t>
            </w:r>
          </w:p>
        </w:tc>
        <w:tc>
          <w:tcPr>
            <w:tcW w:w="0" w:type="dxa"/>
            <w:shd w:val="clear" w:color="auto" w:fill="B0DF9B" w:themeFill="accent4" w:themeFillTint="66"/>
            <w:noWrap/>
          </w:tcPr>
          <w:p w14:paraId="5B778CB3" w14:textId="77777777" w:rsidR="00430D07" w:rsidRPr="00430D07" w:rsidRDefault="00430D07" w:rsidP="002C13E9">
            <w:pPr>
              <w:pStyle w:val="TableorFigurefootnote"/>
              <w:jc w:val="center"/>
              <w:rPr>
                <w:szCs w:val="24"/>
              </w:rPr>
            </w:pPr>
            <w:r w:rsidRPr="00430D07">
              <w:rPr>
                <w:szCs w:val="24"/>
              </w:rPr>
              <w:t>c</w:t>
            </w:r>
          </w:p>
        </w:tc>
        <w:tc>
          <w:tcPr>
            <w:tcW w:w="0" w:type="dxa"/>
            <w:shd w:val="clear" w:color="auto" w:fill="B0DF9B" w:themeFill="accent4" w:themeFillTint="66"/>
            <w:noWrap/>
          </w:tcPr>
          <w:p w14:paraId="145D8C04" w14:textId="77777777" w:rsidR="00430D07" w:rsidRPr="00430D07" w:rsidRDefault="00430D07" w:rsidP="002C13E9">
            <w:pPr>
              <w:pStyle w:val="TableorFigurefootnote"/>
              <w:jc w:val="center"/>
              <w:rPr>
                <w:szCs w:val="24"/>
              </w:rPr>
            </w:pPr>
            <w:r w:rsidRPr="00430D07">
              <w:rPr>
                <w:szCs w:val="24"/>
              </w:rPr>
              <w:t>c</w:t>
            </w:r>
          </w:p>
        </w:tc>
        <w:tc>
          <w:tcPr>
            <w:tcW w:w="0" w:type="dxa"/>
            <w:shd w:val="clear" w:color="auto" w:fill="B0DF9B" w:themeFill="accent4" w:themeFillTint="66"/>
            <w:noWrap/>
          </w:tcPr>
          <w:p w14:paraId="63D138E3" w14:textId="77777777" w:rsidR="00430D07" w:rsidRPr="00430D07" w:rsidRDefault="00430D07" w:rsidP="002C13E9">
            <w:pPr>
              <w:pStyle w:val="TableorFigurefootnote"/>
              <w:jc w:val="center"/>
              <w:rPr>
                <w:szCs w:val="24"/>
              </w:rPr>
            </w:pPr>
            <w:r w:rsidRPr="00430D07">
              <w:rPr>
                <w:szCs w:val="24"/>
              </w:rPr>
              <w:t>c</w:t>
            </w:r>
          </w:p>
        </w:tc>
        <w:tc>
          <w:tcPr>
            <w:tcW w:w="0" w:type="dxa"/>
            <w:noWrap/>
          </w:tcPr>
          <w:p w14:paraId="6C804895"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106D8075"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53E5B396"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2E276C57"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39742032"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3703E8CB"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2C068A4A"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11F40ADC" w14:textId="77777777" w:rsidR="00430D07" w:rsidRPr="00430D07" w:rsidRDefault="00430D07" w:rsidP="002C13E9">
            <w:pPr>
              <w:pStyle w:val="TableorFigurefootnote"/>
              <w:jc w:val="center"/>
              <w:rPr>
                <w:szCs w:val="24"/>
              </w:rPr>
            </w:pPr>
            <w:r w:rsidRPr="00430D07">
              <w:rPr>
                <w:szCs w:val="24"/>
              </w:rPr>
              <w:t>–</w:t>
            </w:r>
          </w:p>
        </w:tc>
      </w:tr>
      <w:tr w:rsidR="00430D07" w:rsidRPr="00430D07" w14:paraId="75230E5F" w14:textId="77777777" w:rsidTr="002C13E9">
        <w:tblPrEx>
          <w:tblCellMar>
            <w:top w:w="43" w:type="dxa"/>
            <w:bottom w:w="0" w:type="dxa"/>
          </w:tblCellMar>
        </w:tblPrEx>
        <w:trPr>
          <w:trHeight w:val="243"/>
        </w:trPr>
        <w:tc>
          <w:tcPr>
            <w:tcW w:w="2922" w:type="dxa"/>
            <w:shd w:val="clear" w:color="auto" w:fill="auto"/>
            <w:noWrap/>
          </w:tcPr>
          <w:p w14:paraId="7A6F669B" w14:textId="77777777" w:rsidR="00430D07" w:rsidRPr="00430D07" w:rsidRDefault="00430D07" w:rsidP="00430D07">
            <w:pPr>
              <w:pStyle w:val="TableorFigurefootnote"/>
              <w:rPr>
                <w:szCs w:val="24"/>
              </w:rPr>
            </w:pPr>
            <w:r w:rsidRPr="00430D07">
              <w:rPr>
                <w:szCs w:val="24"/>
              </w:rPr>
              <w:t xml:space="preserve">WI survey protocols and documents to MassHealth for review  </w:t>
            </w:r>
          </w:p>
        </w:tc>
        <w:tc>
          <w:tcPr>
            <w:tcW w:w="408" w:type="dxa"/>
            <w:noWrap/>
          </w:tcPr>
          <w:p w14:paraId="1EC03BED"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4FC7B110"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3AE094F8"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54BFC5FC"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5C1B30DB"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1A2E395F"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7A5BB5FE" w14:textId="77777777" w:rsidR="00430D07" w:rsidRPr="00430D07" w:rsidRDefault="00430D07" w:rsidP="002C13E9">
            <w:pPr>
              <w:pStyle w:val="TableorFigurefootnote"/>
              <w:jc w:val="center"/>
              <w:rPr>
                <w:szCs w:val="24"/>
              </w:rPr>
            </w:pPr>
            <w:r w:rsidRPr="00430D07">
              <w:rPr>
                <w:szCs w:val="24"/>
              </w:rPr>
              <w:t>–</w:t>
            </w:r>
          </w:p>
        </w:tc>
        <w:tc>
          <w:tcPr>
            <w:tcW w:w="408" w:type="dxa"/>
            <w:shd w:val="clear" w:color="auto" w:fill="B0DF9B" w:themeFill="accent4" w:themeFillTint="66"/>
            <w:noWrap/>
          </w:tcPr>
          <w:p w14:paraId="2B61D23A" w14:textId="77777777" w:rsidR="00430D07" w:rsidRPr="00430D07" w:rsidRDefault="00430D07" w:rsidP="002C13E9">
            <w:pPr>
              <w:pStyle w:val="TableorFigurefootnote"/>
              <w:jc w:val="center"/>
              <w:rPr>
                <w:szCs w:val="24"/>
              </w:rPr>
            </w:pPr>
            <w:r w:rsidRPr="00430D07">
              <w:rPr>
                <w:szCs w:val="24"/>
              </w:rPr>
              <w:t>X</w:t>
            </w:r>
          </w:p>
        </w:tc>
        <w:tc>
          <w:tcPr>
            <w:tcW w:w="408" w:type="dxa"/>
            <w:shd w:val="clear" w:color="auto" w:fill="B0DF9B" w:themeFill="accent4" w:themeFillTint="66"/>
            <w:noWrap/>
          </w:tcPr>
          <w:p w14:paraId="62CAC5C6" w14:textId="77777777" w:rsidR="00430D07" w:rsidRPr="00430D07" w:rsidRDefault="00430D07" w:rsidP="002C13E9">
            <w:pPr>
              <w:pStyle w:val="TableorFigurefootnote"/>
              <w:jc w:val="center"/>
              <w:rPr>
                <w:szCs w:val="24"/>
              </w:rPr>
            </w:pPr>
            <w:r w:rsidRPr="00430D07">
              <w:rPr>
                <w:szCs w:val="24"/>
              </w:rPr>
              <w:t>c</w:t>
            </w:r>
          </w:p>
        </w:tc>
        <w:tc>
          <w:tcPr>
            <w:tcW w:w="408" w:type="dxa"/>
            <w:shd w:val="clear" w:color="auto" w:fill="B0DF9B" w:themeFill="accent4" w:themeFillTint="66"/>
            <w:noWrap/>
          </w:tcPr>
          <w:p w14:paraId="18121A71" w14:textId="77777777" w:rsidR="00430D07" w:rsidRPr="00430D07" w:rsidRDefault="00430D07" w:rsidP="002C13E9">
            <w:pPr>
              <w:pStyle w:val="TableorFigurefootnote"/>
              <w:jc w:val="center"/>
              <w:rPr>
                <w:szCs w:val="24"/>
              </w:rPr>
            </w:pPr>
            <w:r w:rsidRPr="00430D07">
              <w:rPr>
                <w:szCs w:val="24"/>
              </w:rPr>
              <w:t>c</w:t>
            </w:r>
          </w:p>
        </w:tc>
        <w:tc>
          <w:tcPr>
            <w:tcW w:w="408" w:type="dxa"/>
            <w:noWrap/>
          </w:tcPr>
          <w:p w14:paraId="098D2EE8"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084D2332"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124BEF63"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062B619D"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494C83CD" w14:textId="77777777" w:rsidR="00430D07" w:rsidRPr="00430D07" w:rsidRDefault="00430D07" w:rsidP="002C13E9">
            <w:pPr>
              <w:pStyle w:val="TableorFigurefootnote"/>
              <w:jc w:val="center"/>
              <w:rPr>
                <w:szCs w:val="24"/>
              </w:rPr>
            </w:pPr>
            <w:r w:rsidRPr="00430D07">
              <w:rPr>
                <w:szCs w:val="24"/>
              </w:rPr>
              <w:t>–</w:t>
            </w:r>
          </w:p>
        </w:tc>
        <w:tc>
          <w:tcPr>
            <w:tcW w:w="408" w:type="dxa"/>
            <w:shd w:val="clear" w:color="auto" w:fill="B0DF9B" w:themeFill="accent4" w:themeFillTint="66"/>
            <w:noWrap/>
          </w:tcPr>
          <w:p w14:paraId="1769190E" w14:textId="77777777" w:rsidR="00430D07" w:rsidRPr="00430D07" w:rsidRDefault="00430D07" w:rsidP="002C13E9">
            <w:pPr>
              <w:pStyle w:val="TableorFigurefootnote"/>
              <w:jc w:val="center"/>
              <w:rPr>
                <w:szCs w:val="24"/>
              </w:rPr>
            </w:pPr>
            <w:r w:rsidRPr="00430D07">
              <w:rPr>
                <w:szCs w:val="24"/>
              </w:rPr>
              <w:t>X</w:t>
            </w:r>
          </w:p>
        </w:tc>
        <w:tc>
          <w:tcPr>
            <w:tcW w:w="408" w:type="dxa"/>
            <w:shd w:val="clear" w:color="auto" w:fill="B0DF9B" w:themeFill="accent4" w:themeFillTint="66"/>
            <w:noWrap/>
          </w:tcPr>
          <w:p w14:paraId="35F2EFCD" w14:textId="77777777" w:rsidR="00430D07" w:rsidRPr="00430D07" w:rsidRDefault="00430D07" w:rsidP="002C13E9">
            <w:pPr>
              <w:pStyle w:val="TableorFigurefootnote"/>
              <w:jc w:val="center"/>
              <w:rPr>
                <w:szCs w:val="24"/>
              </w:rPr>
            </w:pPr>
            <w:r w:rsidRPr="00430D07">
              <w:rPr>
                <w:szCs w:val="24"/>
              </w:rPr>
              <w:t>c</w:t>
            </w:r>
          </w:p>
        </w:tc>
        <w:tc>
          <w:tcPr>
            <w:tcW w:w="408" w:type="dxa"/>
            <w:shd w:val="clear" w:color="auto" w:fill="B0DF9B" w:themeFill="accent4" w:themeFillTint="66"/>
            <w:noWrap/>
          </w:tcPr>
          <w:p w14:paraId="43E64A6A" w14:textId="77777777" w:rsidR="00430D07" w:rsidRPr="00430D07" w:rsidRDefault="00430D07" w:rsidP="002C13E9">
            <w:pPr>
              <w:pStyle w:val="TableorFigurefootnote"/>
              <w:jc w:val="center"/>
              <w:rPr>
                <w:szCs w:val="24"/>
              </w:rPr>
            </w:pPr>
            <w:r w:rsidRPr="00430D07">
              <w:rPr>
                <w:szCs w:val="24"/>
              </w:rPr>
              <w:t>c</w:t>
            </w:r>
          </w:p>
        </w:tc>
        <w:tc>
          <w:tcPr>
            <w:tcW w:w="408" w:type="dxa"/>
            <w:noWrap/>
          </w:tcPr>
          <w:p w14:paraId="74C18E29"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4077A9F0"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49BF3D85"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48A7EF48"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6D93806F"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4EB31603"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47605C50"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56C24021" w14:textId="77777777" w:rsidR="00430D07" w:rsidRPr="00430D07" w:rsidRDefault="00430D07" w:rsidP="002C13E9">
            <w:pPr>
              <w:pStyle w:val="TableorFigurefootnote"/>
              <w:jc w:val="center"/>
              <w:rPr>
                <w:szCs w:val="24"/>
              </w:rPr>
            </w:pPr>
            <w:r w:rsidRPr="00430D07">
              <w:rPr>
                <w:szCs w:val="24"/>
              </w:rPr>
              <w:t>–</w:t>
            </w:r>
          </w:p>
        </w:tc>
      </w:tr>
      <w:tr w:rsidR="0020559B" w:rsidRPr="00430D07" w14:paraId="2FA073F8" w14:textId="77777777" w:rsidTr="002C13E9">
        <w:tblPrEx>
          <w:tblCellMar>
            <w:top w:w="43" w:type="dxa"/>
            <w:bottom w:w="0" w:type="dxa"/>
          </w:tblCellMar>
        </w:tblPrEx>
        <w:trPr>
          <w:cnfStyle w:val="000000100000" w:firstRow="0" w:lastRow="0" w:firstColumn="0" w:lastColumn="0" w:oddVBand="0" w:evenVBand="0" w:oddHBand="1" w:evenHBand="0" w:firstRowFirstColumn="0" w:firstRowLastColumn="0" w:lastRowFirstColumn="0" w:lastRowLastColumn="0"/>
          <w:trHeight w:val="243"/>
        </w:trPr>
        <w:tc>
          <w:tcPr>
            <w:tcW w:w="0" w:type="dxa"/>
            <w:shd w:val="clear" w:color="auto" w:fill="auto"/>
            <w:noWrap/>
          </w:tcPr>
          <w:p w14:paraId="5CEB514A" w14:textId="77777777" w:rsidR="00430D07" w:rsidRPr="00430D07" w:rsidRDefault="00430D07" w:rsidP="00430D07">
            <w:pPr>
              <w:pStyle w:val="TableorFigurefootnote"/>
              <w:rPr>
                <w:szCs w:val="24"/>
              </w:rPr>
            </w:pPr>
            <w:r w:rsidRPr="00430D07">
              <w:rPr>
                <w:szCs w:val="24"/>
              </w:rPr>
              <w:t xml:space="preserve">Administer WI survey </w:t>
            </w:r>
          </w:p>
        </w:tc>
        <w:tc>
          <w:tcPr>
            <w:tcW w:w="0" w:type="dxa"/>
            <w:noWrap/>
          </w:tcPr>
          <w:p w14:paraId="4A9A6A9C"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20F8BDA3"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018FDD53"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072A7B18"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03C0F535"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1C8B94B0"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31D3D607"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26C6A193"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2D314A20"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56F574EB" w14:textId="77777777" w:rsidR="00430D07" w:rsidRPr="00430D07" w:rsidRDefault="00430D07" w:rsidP="002C13E9">
            <w:pPr>
              <w:pStyle w:val="TableorFigurefootnote"/>
              <w:jc w:val="center"/>
              <w:rPr>
                <w:szCs w:val="24"/>
              </w:rPr>
            </w:pPr>
            <w:r w:rsidRPr="00430D07">
              <w:rPr>
                <w:szCs w:val="24"/>
              </w:rPr>
              <w:t>–</w:t>
            </w:r>
          </w:p>
        </w:tc>
        <w:tc>
          <w:tcPr>
            <w:tcW w:w="0" w:type="dxa"/>
            <w:shd w:val="clear" w:color="auto" w:fill="B0DF9B" w:themeFill="accent4" w:themeFillTint="66"/>
            <w:noWrap/>
          </w:tcPr>
          <w:p w14:paraId="219341EA" w14:textId="77777777" w:rsidR="00430D07" w:rsidRPr="00430D07" w:rsidRDefault="00430D07" w:rsidP="002C13E9">
            <w:pPr>
              <w:pStyle w:val="TableorFigurefootnote"/>
              <w:jc w:val="center"/>
              <w:rPr>
                <w:szCs w:val="24"/>
              </w:rPr>
            </w:pPr>
            <w:r w:rsidRPr="00430D07">
              <w:rPr>
                <w:szCs w:val="24"/>
              </w:rPr>
              <w:t>X</w:t>
            </w:r>
          </w:p>
        </w:tc>
        <w:tc>
          <w:tcPr>
            <w:tcW w:w="0" w:type="dxa"/>
            <w:shd w:val="clear" w:color="auto" w:fill="B0DF9B" w:themeFill="accent4" w:themeFillTint="66"/>
            <w:noWrap/>
          </w:tcPr>
          <w:p w14:paraId="29546468" w14:textId="77777777" w:rsidR="00430D07" w:rsidRPr="00430D07" w:rsidRDefault="00430D07" w:rsidP="002C13E9">
            <w:pPr>
              <w:pStyle w:val="TableorFigurefootnote"/>
              <w:jc w:val="center"/>
              <w:rPr>
                <w:szCs w:val="24"/>
              </w:rPr>
            </w:pPr>
            <w:r w:rsidRPr="00430D07">
              <w:rPr>
                <w:szCs w:val="24"/>
              </w:rPr>
              <w:t>c</w:t>
            </w:r>
          </w:p>
        </w:tc>
        <w:tc>
          <w:tcPr>
            <w:tcW w:w="0" w:type="dxa"/>
            <w:noWrap/>
          </w:tcPr>
          <w:p w14:paraId="259CBEAD"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094BC4F9"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3AD03AEE"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61719852"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5DED7627"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79DA9360" w14:textId="77777777" w:rsidR="00430D07" w:rsidRPr="00430D07" w:rsidRDefault="00430D07" w:rsidP="002C13E9">
            <w:pPr>
              <w:pStyle w:val="TableorFigurefootnote"/>
              <w:jc w:val="center"/>
              <w:rPr>
                <w:szCs w:val="24"/>
              </w:rPr>
            </w:pPr>
            <w:r w:rsidRPr="00430D07">
              <w:rPr>
                <w:szCs w:val="24"/>
              </w:rPr>
              <w:t>–</w:t>
            </w:r>
          </w:p>
        </w:tc>
        <w:tc>
          <w:tcPr>
            <w:tcW w:w="0" w:type="dxa"/>
            <w:shd w:val="clear" w:color="auto" w:fill="B0DF9B" w:themeFill="accent4" w:themeFillTint="66"/>
            <w:noWrap/>
          </w:tcPr>
          <w:p w14:paraId="5154C894" w14:textId="77777777" w:rsidR="00430D07" w:rsidRPr="00430D07" w:rsidRDefault="00430D07" w:rsidP="002C13E9">
            <w:pPr>
              <w:pStyle w:val="TableorFigurefootnote"/>
              <w:jc w:val="center"/>
              <w:rPr>
                <w:szCs w:val="24"/>
              </w:rPr>
            </w:pPr>
            <w:r w:rsidRPr="00430D07">
              <w:rPr>
                <w:szCs w:val="24"/>
              </w:rPr>
              <w:t>X</w:t>
            </w:r>
          </w:p>
        </w:tc>
        <w:tc>
          <w:tcPr>
            <w:tcW w:w="0" w:type="dxa"/>
            <w:shd w:val="clear" w:color="auto" w:fill="B0DF9B" w:themeFill="accent4" w:themeFillTint="66"/>
            <w:noWrap/>
          </w:tcPr>
          <w:p w14:paraId="3C9FB599" w14:textId="77777777" w:rsidR="00430D07" w:rsidRPr="00430D07" w:rsidRDefault="00430D07" w:rsidP="002C13E9">
            <w:pPr>
              <w:pStyle w:val="TableorFigurefootnote"/>
              <w:jc w:val="center"/>
              <w:rPr>
                <w:szCs w:val="24"/>
              </w:rPr>
            </w:pPr>
            <w:r w:rsidRPr="00430D07">
              <w:rPr>
                <w:szCs w:val="24"/>
              </w:rPr>
              <w:t>c</w:t>
            </w:r>
          </w:p>
        </w:tc>
        <w:tc>
          <w:tcPr>
            <w:tcW w:w="0" w:type="dxa"/>
            <w:noWrap/>
          </w:tcPr>
          <w:p w14:paraId="560694A2"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5580F3D3"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4F16D1D9"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397D56C3"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18764405" w14:textId="77777777" w:rsidR="00430D07" w:rsidRPr="00430D07" w:rsidRDefault="00430D07" w:rsidP="002C13E9">
            <w:pPr>
              <w:pStyle w:val="TableorFigurefootnote"/>
              <w:jc w:val="center"/>
              <w:rPr>
                <w:szCs w:val="24"/>
              </w:rPr>
            </w:pPr>
            <w:r w:rsidRPr="00430D07">
              <w:rPr>
                <w:szCs w:val="24"/>
              </w:rPr>
              <w:t>–</w:t>
            </w:r>
          </w:p>
        </w:tc>
        <w:tc>
          <w:tcPr>
            <w:tcW w:w="0" w:type="dxa"/>
            <w:noWrap/>
          </w:tcPr>
          <w:p w14:paraId="0C1C2ABE" w14:textId="77777777" w:rsidR="00430D07" w:rsidRPr="00430D07" w:rsidRDefault="00430D07" w:rsidP="002C13E9">
            <w:pPr>
              <w:pStyle w:val="TableorFigurefootnote"/>
              <w:jc w:val="center"/>
              <w:rPr>
                <w:szCs w:val="24"/>
              </w:rPr>
            </w:pPr>
            <w:r w:rsidRPr="00430D07">
              <w:rPr>
                <w:szCs w:val="24"/>
              </w:rPr>
              <w:t>–</w:t>
            </w:r>
          </w:p>
        </w:tc>
      </w:tr>
      <w:tr w:rsidR="00EE41A9" w:rsidRPr="00430D07" w14:paraId="330B943B" w14:textId="77777777" w:rsidTr="002C13E9">
        <w:tblPrEx>
          <w:tblCellMar>
            <w:top w:w="43" w:type="dxa"/>
            <w:bottom w:w="0" w:type="dxa"/>
          </w:tblCellMar>
        </w:tblPrEx>
        <w:trPr>
          <w:trHeight w:val="243"/>
        </w:trPr>
        <w:tc>
          <w:tcPr>
            <w:tcW w:w="2922" w:type="dxa"/>
            <w:shd w:val="clear" w:color="auto" w:fill="auto"/>
            <w:noWrap/>
          </w:tcPr>
          <w:p w14:paraId="398DCCBB" w14:textId="77777777" w:rsidR="00430D07" w:rsidRPr="00430D07" w:rsidRDefault="00430D07" w:rsidP="00430D07">
            <w:pPr>
              <w:pStyle w:val="TableorFigurefootnote"/>
              <w:rPr>
                <w:szCs w:val="24"/>
              </w:rPr>
            </w:pPr>
            <w:r w:rsidRPr="00430D07">
              <w:rPr>
                <w:szCs w:val="24"/>
              </w:rPr>
              <w:t xml:space="preserve">Analyze WI survey </w:t>
            </w:r>
          </w:p>
        </w:tc>
        <w:tc>
          <w:tcPr>
            <w:tcW w:w="408" w:type="dxa"/>
            <w:noWrap/>
          </w:tcPr>
          <w:p w14:paraId="0FF40165"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1EE642E8"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02A16F23"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063155AE"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2DB09E06"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6BAB2449"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1F9BE67E"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3AE6231A"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29DD602F"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2CBFA658"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4F5D4B72"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49242736" w14:textId="77777777" w:rsidR="00430D07" w:rsidRPr="00430D07" w:rsidRDefault="00430D07" w:rsidP="002C13E9">
            <w:pPr>
              <w:pStyle w:val="TableorFigurefootnote"/>
              <w:jc w:val="center"/>
              <w:rPr>
                <w:szCs w:val="24"/>
              </w:rPr>
            </w:pPr>
            <w:r w:rsidRPr="00430D07">
              <w:rPr>
                <w:szCs w:val="24"/>
              </w:rPr>
              <w:t>–</w:t>
            </w:r>
          </w:p>
        </w:tc>
        <w:tc>
          <w:tcPr>
            <w:tcW w:w="408" w:type="dxa"/>
            <w:shd w:val="clear" w:color="auto" w:fill="B0DF9B" w:themeFill="accent4" w:themeFillTint="66"/>
            <w:noWrap/>
          </w:tcPr>
          <w:p w14:paraId="0B011172" w14:textId="77777777" w:rsidR="00430D07" w:rsidRPr="00430D07" w:rsidRDefault="00430D07" w:rsidP="002C13E9">
            <w:pPr>
              <w:pStyle w:val="TableorFigurefootnote"/>
              <w:jc w:val="center"/>
              <w:rPr>
                <w:szCs w:val="24"/>
              </w:rPr>
            </w:pPr>
            <w:r w:rsidRPr="00430D07">
              <w:rPr>
                <w:szCs w:val="24"/>
              </w:rPr>
              <w:t>X</w:t>
            </w:r>
          </w:p>
        </w:tc>
        <w:tc>
          <w:tcPr>
            <w:tcW w:w="408" w:type="dxa"/>
            <w:shd w:val="clear" w:color="auto" w:fill="B0DF9B" w:themeFill="accent4" w:themeFillTint="66"/>
            <w:noWrap/>
          </w:tcPr>
          <w:p w14:paraId="4306F930" w14:textId="77777777" w:rsidR="00430D07" w:rsidRPr="00430D07" w:rsidRDefault="00430D07" w:rsidP="002C13E9">
            <w:pPr>
              <w:pStyle w:val="TableorFigurefootnote"/>
              <w:jc w:val="center"/>
              <w:rPr>
                <w:szCs w:val="24"/>
              </w:rPr>
            </w:pPr>
            <w:r w:rsidRPr="00430D07">
              <w:rPr>
                <w:szCs w:val="24"/>
              </w:rPr>
              <w:t>c</w:t>
            </w:r>
          </w:p>
        </w:tc>
        <w:tc>
          <w:tcPr>
            <w:tcW w:w="408" w:type="dxa"/>
            <w:shd w:val="clear" w:color="auto" w:fill="B0DF9B" w:themeFill="accent4" w:themeFillTint="66"/>
            <w:noWrap/>
          </w:tcPr>
          <w:p w14:paraId="7D9277CE" w14:textId="77777777" w:rsidR="00430D07" w:rsidRPr="00430D07" w:rsidRDefault="00430D07" w:rsidP="002C13E9">
            <w:pPr>
              <w:pStyle w:val="TableorFigurefootnote"/>
              <w:jc w:val="center"/>
              <w:rPr>
                <w:szCs w:val="24"/>
              </w:rPr>
            </w:pPr>
            <w:r w:rsidRPr="00430D07">
              <w:rPr>
                <w:szCs w:val="24"/>
              </w:rPr>
              <w:t>c</w:t>
            </w:r>
          </w:p>
        </w:tc>
        <w:tc>
          <w:tcPr>
            <w:tcW w:w="408" w:type="dxa"/>
            <w:shd w:val="clear" w:color="auto" w:fill="B0DF9B" w:themeFill="accent4" w:themeFillTint="66"/>
            <w:noWrap/>
          </w:tcPr>
          <w:p w14:paraId="770B2413" w14:textId="77777777" w:rsidR="00430D07" w:rsidRPr="00430D07" w:rsidRDefault="00430D07" w:rsidP="002C13E9">
            <w:pPr>
              <w:pStyle w:val="TableorFigurefootnote"/>
              <w:jc w:val="center"/>
              <w:rPr>
                <w:szCs w:val="24"/>
              </w:rPr>
            </w:pPr>
            <w:r w:rsidRPr="00430D07">
              <w:rPr>
                <w:szCs w:val="24"/>
              </w:rPr>
              <w:t>c</w:t>
            </w:r>
          </w:p>
        </w:tc>
        <w:tc>
          <w:tcPr>
            <w:tcW w:w="408" w:type="dxa"/>
            <w:shd w:val="clear" w:color="auto" w:fill="B0DF9B" w:themeFill="accent4" w:themeFillTint="66"/>
            <w:noWrap/>
          </w:tcPr>
          <w:p w14:paraId="0173F20E" w14:textId="77777777" w:rsidR="00430D07" w:rsidRPr="00430D07" w:rsidRDefault="00430D07" w:rsidP="002C13E9">
            <w:pPr>
              <w:pStyle w:val="TableorFigurefootnote"/>
              <w:jc w:val="center"/>
              <w:rPr>
                <w:szCs w:val="24"/>
              </w:rPr>
            </w:pPr>
            <w:r w:rsidRPr="00430D07">
              <w:rPr>
                <w:szCs w:val="24"/>
              </w:rPr>
              <w:t>c</w:t>
            </w:r>
          </w:p>
        </w:tc>
        <w:tc>
          <w:tcPr>
            <w:tcW w:w="408" w:type="dxa"/>
            <w:shd w:val="clear" w:color="auto" w:fill="B0DF9B" w:themeFill="accent4" w:themeFillTint="66"/>
            <w:noWrap/>
          </w:tcPr>
          <w:p w14:paraId="5819AE05" w14:textId="77777777" w:rsidR="00430D07" w:rsidRPr="00430D07" w:rsidRDefault="00430D07" w:rsidP="002C13E9">
            <w:pPr>
              <w:pStyle w:val="TableorFigurefootnote"/>
              <w:jc w:val="center"/>
              <w:rPr>
                <w:szCs w:val="24"/>
              </w:rPr>
            </w:pPr>
            <w:r w:rsidRPr="00430D07">
              <w:rPr>
                <w:szCs w:val="24"/>
              </w:rPr>
              <w:t>c</w:t>
            </w:r>
          </w:p>
        </w:tc>
        <w:tc>
          <w:tcPr>
            <w:tcW w:w="408" w:type="dxa"/>
            <w:noWrap/>
          </w:tcPr>
          <w:p w14:paraId="6C35D2BA" w14:textId="77777777" w:rsidR="00430D07" w:rsidRPr="00430D07" w:rsidRDefault="00430D07" w:rsidP="002C13E9">
            <w:pPr>
              <w:pStyle w:val="TableorFigurefootnote"/>
              <w:jc w:val="center"/>
              <w:rPr>
                <w:szCs w:val="24"/>
              </w:rPr>
            </w:pPr>
            <w:r w:rsidRPr="00430D07">
              <w:rPr>
                <w:szCs w:val="24"/>
              </w:rPr>
              <w:t>–</w:t>
            </w:r>
          </w:p>
        </w:tc>
        <w:tc>
          <w:tcPr>
            <w:tcW w:w="408" w:type="dxa"/>
            <w:noWrap/>
          </w:tcPr>
          <w:p w14:paraId="67E217DD" w14:textId="77777777" w:rsidR="00430D07" w:rsidRPr="00430D07" w:rsidRDefault="00430D07" w:rsidP="002C13E9">
            <w:pPr>
              <w:pStyle w:val="TableorFigurefootnote"/>
              <w:jc w:val="center"/>
              <w:rPr>
                <w:szCs w:val="24"/>
              </w:rPr>
            </w:pPr>
            <w:r w:rsidRPr="00430D07">
              <w:rPr>
                <w:szCs w:val="24"/>
              </w:rPr>
              <w:t>–</w:t>
            </w:r>
          </w:p>
        </w:tc>
        <w:tc>
          <w:tcPr>
            <w:tcW w:w="408" w:type="dxa"/>
            <w:shd w:val="clear" w:color="auto" w:fill="B0DF9B" w:themeFill="accent4" w:themeFillTint="66"/>
            <w:noWrap/>
          </w:tcPr>
          <w:p w14:paraId="67BA6182" w14:textId="77777777" w:rsidR="00430D07" w:rsidRPr="00430D07" w:rsidRDefault="00430D07" w:rsidP="002C13E9">
            <w:pPr>
              <w:pStyle w:val="TableorFigurefootnote"/>
              <w:jc w:val="center"/>
              <w:rPr>
                <w:szCs w:val="24"/>
              </w:rPr>
            </w:pPr>
            <w:r w:rsidRPr="00430D07">
              <w:rPr>
                <w:szCs w:val="24"/>
              </w:rPr>
              <w:t>X</w:t>
            </w:r>
          </w:p>
        </w:tc>
        <w:tc>
          <w:tcPr>
            <w:tcW w:w="408" w:type="dxa"/>
            <w:shd w:val="clear" w:color="auto" w:fill="B0DF9B" w:themeFill="accent4" w:themeFillTint="66"/>
            <w:noWrap/>
          </w:tcPr>
          <w:p w14:paraId="743BAB77" w14:textId="77777777" w:rsidR="00430D07" w:rsidRPr="00430D07" w:rsidRDefault="00430D07" w:rsidP="002C13E9">
            <w:pPr>
              <w:pStyle w:val="TableorFigurefootnote"/>
              <w:jc w:val="center"/>
              <w:rPr>
                <w:szCs w:val="24"/>
              </w:rPr>
            </w:pPr>
            <w:r w:rsidRPr="00430D07">
              <w:rPr>
                <w:szCs w:val="24"/>
              </w:rPr>
              <w:t>c</w:t>
            </w:r>
          </w:p>
        </w:tc>
        <w:tc>
          <w:tcPr>
            <w:tcW w:w="408" w:type="dxa"/>
            <w:shd w:val="clear" w:color="auto" w:fill="B0DF9B" w:themeFill="accent4" w:themeFillTint="66"/>
            <w:noWrap/>
          </w:tcPr>
          <w:p w14:paraId="302DDC02" w14:textId="77777777" w:rsidR="00430D07" w:rsidRPr="00430D07" w:rsidRDefault="00430D07" w:rsidP="002C13E9">
            <w:pPr>
              <w:pStyle w:val="TableorFigurefootnote"/>
              <w:jc w:val="center"/>
              <w:rPr>
                <w:szCs w:val="24"/>
              </w:rPr>
            </w:pPr>
            <w:r w:rsidRPr="00430D07">
              <w:rPr>
                <w:szCs w:val="24"/>
              </w:rPr>
              <w:t>c</w:t>
            </w:r>
          </w:p>
        </w:tc>
        <w:tc>
          <w:tcPr>
            <w:tcW w:w="408" w:type="dxa"/>
            <w:shd w:val="clear" w:color="auto" w:fill="B0DF9B" w:themeFill="accent4" w:themeFillTint="66"/>
            <w:noWrap/>
          </w:tcPr>
          <w:p w14:paraId="6A5E023B" w14:textId="77777777" w:rsidR="00430D07" w:rsidRPr="00430D07" w:rsidRDefault="00430D07" w:rsidP="002C13E9">
            <w:pPr>
              <w:pStyle w:val="TableorFigurefootnote"/>
              <w:jc w:val="center"/>
              <w:rPr>
                <w:szCs w:val="24"/>
              </w:rPr>
            </w:pPr>
            <w:r w:rsidRPr="00430D07">
              <w:rPr>
                <w:szCs w:val="24"/>
              </w:rPr>
              <w:t>c</w:t>
            </w:r>
          </w:p>
        </w:tc>
        <w:tc>
          <w:tcPr>
            <w:tcW w:w="408" w:type="dxa"/>
            <w:shd w:val="clear" w:color="auto" w:fill="B0DF9B" w:themeFill="accent4" w:themeFillTint="66"/>
            <w:noWrap/>
          </w:tcPr>
          <w:p w14:paraId="3388728B" w14:textId="77777777" w:rsidR="00430D07" w:rsidRPr="00430D07" w:rsidRDefault="00430D07" w:rsidP="002C13E9">
            <w:pPr>
              <w:pStyle w:val="TableorFigurefootnote"/>
              <w:jc w:val="center"/>
              <w:rPr>
                <w:szCs w:val="24"/>
              </w:rPr>
            </w:pPr>
            <w:r w:rsidRPr="00430D07">
              <w:rPr>
                <w:szCs w:val="24"/>
              </w:rPr>
              <w:t>c</w:t>
            </w:r>
          </w:p>
        </w:tc>
        <w:tc>
          <w:tcPr>
            <w:tcW w:w="408" w:type="dxa"/>
            <w:shd w:val="clear" w:color="auto" w:fill="B0DF9B" w:themeFill="accent4" w:themeFillTint="66"/>
            <w:noWrap/>
          </w:tcPr>
          <w:p w14:paraId="149F018F" w14:textId="77777777" w:rsidR="00430D07" w:rsidRPr="00430D07" w:rsidRDefault="00430D07" w:rsidP="002C13E9">
            <w:pPr>
              <w:pStyle w:val="TableorFigurefootnote"/>
              <w:jc w:val="center"/>
              <w:rPr>
                <w:szCs w:val="24"/>
              </w:rPr>
            </w:pPr>
            <w:r w:rsidRPr="00430D07">
              <w:rPr>
                <w:szCs w:val="24"/>
              </w:rPr>
              <w:t>c</w:t>
            </w:r>
          </w:p>
        </w:tc>
      </w:tr>
    </w:tbl>
    <w:p w14:paraId="6A1E8AB8" w14:textId="77777777" w:rsidR="00430D07" w:rsidRPr="0009132C" w:rsidRDefault="00430D07" w:rsidP="008B4762">
      <w:pPr>
        <w:pStyle w:val="TableorFigurefootnote"/>
        <w:sectPr w:rsidR="00430D07" w:rsidRPr="0009132C" w:rsidSect="00744E1B">
          <w:pgSz w:w="15840" w:h="12240" w:orient="landscape"/>
          <w:pgMar w:top="1152" w:right="1152" w:bottom="1152" w:left="1152" w:header="720" w:footer="576" w:gutter="0"/>
          <w:cols w:space="720"/>
          <w:docGrid w:linePitch="360"/>
        </w:sectPr>
      </w:pPr>
    </w:p>
    <w:p w14:paraId="30BCB5E9" w14:textId="77777777" w:rsidR="003F284D" w:rsidRPr="0009132C" w:rsidRDefault="003F284D" w:rsidP="004A5D8D">
      <w:pPr>
        <w:pStyle w:val="Heading3"/>
      </w:pPr>
      <w:r w:rsidRPr="0009132C">
        <w:lastRenderedPageBreak/>
        <w:t>Quantitative Data</w:t>
      </w:r>
    </w:p>
    <w:p w14:paraId="529B6D95" w14:textId="3C4F0CE4" w:rsidR="003F284D" w:rsidRPr="0009132C" w:rsidRDefault="02057B13" w:rsidP="003C6C8F">
      <w:r>
        <w:t>For programs implemented during MassHealth’s 2017-2022 Demonstration</w:t>
      </w:r>
      <w:r w:rsidR="371233A0">
        <w:t xml:space="preserve"> and continuing in the 2022-2027 Demonstration</w:t>
      </w:r>
      <w:r>
        <w:t>, data from January 2015 through December 2022 will be considered. Specific study periods will be customized to reflect implementation timelines: for delivery system reform, we generally plan to use calendar years</w:t>
      </w:r>
      <w:r w:rsidR="0E3D0A79">
        <w:t xml:space="preserve"> (CY)</w:t>
      </w:r>
      <w:r>
        <w:t xml:space="preserve"> 2015 through 2017 as a pre-implementation baseline, 2018 through 2022 as the first phase of implementation, and 2023 through 2027 as the current Demonstration period of interest. For new programs being implemented during the 2022-2027 Demonstration, we expect to use more recent data (e.g., 2018-2022) as a baseline, as appropriate, with consideration given to the impact of the COVID-19 pandemic. </w:t>
      </w:r>
      <w:r w:rsidR="34A6C9A5">
        <w:t xml:space="preserve">In each </w:t>
      </w:r>
      <w:r w:rsidR="56D4874D">
        <w:t>of</w:t>
      </w:r>
      <w:r w:rsidR="34A6C9A5">
        <w:t xml:space="preserve"> the Research Questions and Hypotheses tables within each domain chapter</w:t>
      </w:r>
      <w:r w:rsidR="008E0465">
        <w:t>,</w:t>
      </w:r>
      <w:r w:rsidR="34A6C9A5">
        <w:t xml:space="preserve"> we have specified the expected evaluation periods for each data source and </w:t>
      </w:r>
      <w:r w:rsidR="37C7E11E">
        <w:t xml:space="preserve">research question. </w:t>
      </w:r>
      <w:r w:rsidR="335F854D">
        <w:t xml:space="preserve">We have listed approximate sample sizes for surveys (i.e., those who will be invited to take the survey) and </w:t>
      </w:r>
      <w:r w:rsidR="43CD9D9F">
        <w:t>population sizes</w:t>
      </w:r>
      <w:r w:rsidR="35C37B97">
        <w:t xml:space="preserve"> </w:t>
      </w:r>
      <w:r w:rsidR="561D93F3">
        <w:t xml:space="preserve">for analyses </w:t>
      </w:r>
      <w:r w:rsidR="5A98356B">
        <w:t xml:space="preserve">of administrative data </w:t>
      </w:r>
      <w:r w:rsidR="3EAC4B75">
        <w:t xml:space="preserve">that include </w:t>
      </w:r>
      <w:r w:rsidR="5A98356B">
        <w:t>all eligible members of a population.</w:t>
      </w:r>
      <w:r w:rsidR="335F854D">
        <w:t xml:space="preserve"> </w:t>
      </w:r>
      <w:r w:rsidR="5A98356B">
        <w:t>T</w:t>
      </w:r>
      <w:r w:rsidR="37C7E11E">
        <w:t xml:space="preserve">ime periods </w:t>
      </w:r>
      <w:r w:rsidR="5A98356B">
        <w:t xml:space="preserve">and sample sizes </w:t>
      </w:r>
      <w:r w:rsidR="37C7E11E">
        <w:t xml:space="preserve">will be updated as needed in the methods sections of the Independent Evaluation Interim and Summative Reports. </w:t>
      </w:r>
    </w:p>
    <w:p w14:paraId="2FC7C0FA" w14:textId="2BDE02B5" w:rsidR="003F284D" w:rsidRPr="0009132C" w:rsidRDefault="003F284D" w:rsidP="003C6C8F">
      <w:r w:rsidRPr="0009132C">
        <w:t xml:space="preserve">Text descriptions and summary tables describing the target population(s), data sources, outcome measures, and planned analytic approaches for each policy domain are included in policy domain chapters, as are comparison groups when appropriate. Technical specifications for all quantitative measures to be derived from existing data sources are detailed in </w:t>
      </w:r>
      <w:hyperlink w:anchor="Appendix_B" w:history="1">
        <w:r w:rsidRPr="00614FFB">
          <w:rPr>
            <w:rStyle w:val="Hyperlink"/>
          </w:rPr>
          <w:t>Appendix B</w:t>
        </w:r>
      </w:hyperlink>
      <w:r w:rsidRPr="0009132C">
        <w:t xml:space="preserve">. </w:t>
      </w:r>
    </w:p>
    <w:p w14:paraId="1D42F41D" w14:textId="251A901F" w:rsidR="003F284D" w:rsidRPr="0009132C" w:rsidRDefault="003F284D" w:rsidP="008A3252">
      <w:pPr>
        <w:pStyle w:val="Heading4"/>
      </w:pPr>
      <w:r w:rsidRPr="0009132C">
        <w:t xml:space="preserve">Traditional </w:t>
      </w:r>
      <w:r w:rsidR="00AA424A" w:rsidRPr="0009132C">
        <w:t>Administrative Data</w:t>
      </w:r>
    </w:p>
    <w:p w14:paraId="2C9BC657" w14:textId="1F74CA58" w:rsidR="003F284D" w:rsidRPr="0009132C" w:rsidRDefault="00243039" w:rsidP="003C6C8F">
      <w:r w:rsidRPr="0009132C">
        <w:t>Medicaid administrative d</w:t>
      </w:r>
      <w:r w:rsidR="003F284D" w:rsidRPr="0009132C">
        <w:t xml:space="preserve">ata from the Medicaid Management Information System (MMIS) and MassHealth Data Warehouse will be used by the IE team to conduct analyses for the evaluation. </w:t>
      </w:r>
      <w:r w:rsidR="0092063F" w:rsidRPr="0009132C">
        <w:t xml:space="preserve">Working with its contractors, MassHealth </w:t>
      </w:r>
      <w:r w:rsidR="003F284D" w:rsidRPr="0009132C">
        <w:t xml:space="preserve">routinely conducts extensive quality checks and provides CMS with annual data quality reports on its MMIS </w:t>
      </w:r>
      <w:r w:rsidR="003F284D" w:rsidRPr="005F7FB1">
        <w:t>data.</w:t>
      </w:r>
      <w:r w:rsidR="005F7FB1" w:rsidRPr="005F7FB1">
        <w:t xml:space="preserve"> </w:t>
      </w:r>
      <w:r w:rsidR="2ECE7947" w:rsidRPr="005F7FB1">
        <w:rPr>
          <w:rFonts w:eastAsia="Arial"/>
        </w:rPr>
        <w:t>This administrative</w:t>
      </w:r>
      <w:r w:rsidR="2ECE7947" w:rsidRPr="0009132C">
        <w:rPr>
          <w:rFonts w:eastAsia="Arial"/>
        </w:rPr>
        <w:t xml:space="preserve"> data is </w:t>
      </w:r>
      <w:r w:rsidR="00CA00EB" w:rsidRPr="0009132C">
        <w:rPr>
          <w:rFonts w:eastAsia="Arial"/>
        </w:rPr>
        <w:t xml:space="preserve">the </w:t>
      </w:r>
      <w:r w:rsidR="2ECE7947" w:rsidRPr="0009132C">
        <w:rPr>
          <w:rFonts w:eastAsia="Arial"/>
        </w:rPr>
        <w:t>most integrated</w:t>
      </w:r>
      <w:r w:rsidR="00CA00EB" w:rsidRPr="0009132C">
        <w:rPr>
          <w:rFonts w:eastAsia="Arial"/>
        </w:rPr>
        <w:t xml:space="preserve"> and comprehensive</w:t>
      </w:r>
      <w:r w:rsidR="2ECE7947" w:rsidRPr="0009132C">
        <w:rPr>
          <w:rFonts w:eastAsia="Arial"/>
        </w:rPr>
        <w:t xml:space="preserve">, and </w:t>
      </w:r>
      <w:r w:rsidR="00BC198A" w:rsidRPr="0009132C">
        <w:rPr>
          <w:rFonts w:eastAsia="Arial"/>
        </w:rPr>
        <w:t xml:space="preserve">since it is </w:t>
      </w:r>
      <w:r w:rsidR="00B754BA" w:rsidRPr="0009132C">
        <w:rPr>
          <w:rFonts w:eastAsia="Arial"/>
        </w:rPr>
        <w:t>available</w:t>
      </w:r>
      <w:r w:rsidR="00BC198A" w:rsidRPr="0009132C">
        <w:rPr>
          <w:rFonts w:eastAsia="Arial"/>
        </w:rPr>
        <w:t xml:space="preserve"> as part of </w:t>
      </w:r>
      <w:r w:rsidR="00C11EAB" w:rsidRPr="0009132C">
        <w:rPr>
          <w:rFonts w:eastAsia="Arial"/>
        </w:rPr>
        <w:t xml:space="preserve">the </w:t>
      </w:r>
      <w:r w:rsidR="00BC198A" w:rsidRPr="0009132C">
        <w:rPr>
          <w:rFonts w:eastAsia="Arial"/>
        </w:rPr>
        <w:t xml:space="preserve">routine </w:t>
      </w:r>
      <w:r w:rsidR="009A0873" w:rsidRPr="0009132C">
        <w:rPr>
          <w:rFonts w:eastAsia="Arial"/>
        </w:rPr>
        <w:t>administration of the Medicaid program</w:t>
      </w:r>
      <w:r w:rsidR="0092063F" w:rsidRPr="0009132C">
        <w:rPr>
          <w:rFonts w:eastAsia="Arial"/>
        </w:rPr>
        <w:t>,</w:t>
      </w:r>
      <w:r w:rsidR="009A0873" w:rsidRPr="0009132C">
        <w:rPr>
          <w:rFonts w:eastAsia="Arial"/>
        </w:rPr>
        <w:t xml:space="preserve"> </w:t>
      </w:r>
      <w:r w:rsidR="00412DA6" w:rsidRPr="0009132C">
        <w:rPr>
          <w:rFonts w:eastAsia="Arial"/>
        </w:rPr>
        <w:t>there is no</w:t>
      </w:r>
      <w:r w:rsidR="2ECE7947" w:rsidRPr="0009132C">
        <w:rPr>
          <w:rFonts w:eastAsia="Arial"/>
        </w:rPr>
        <w:t xml:space="preserve"> additional burden to members, providers, and other stakeholders</w:t>
      </w:r>
      <w:r w:rsidR="00412DA6" w:rsidRPr="0009132C">
        <w:rPr>
          <w:rFonts w:eastAsia="Arial"/>
        </w:rPr>
        <w:t xml:space="preserve"> when using it for evaluation</w:t>
      </w:r>
      <w:r w:rsidR="2ECE7947" w:rsidRPr="0009132C">
        <w:rPr>
          <w:rFonts w:eastAsia="Arial"/>
        </w:rPr>
        <w:t xml:space="preserve">. </w:t>
      </w:r>
      <w:r w:rsidR="003F284D" w:rsidRPr="0009132C">
        <w:t>Data in MMIS and the Data Warehouse are used in program administration, including tracking program eligibility for members and providers</w:t>
      </w:r>
      <w:r w:rsidR="003F284D" w:rsidRPr="0009132C" w:rsidDel="00547675">
        <w:t xml:space="preserve">, </w:t>
      </w:r>
      <w:r w:rsidR="003F284D" w:rsidRPr="0009132C">
        <w:t>setting rates, paying providers, and monitoring trends in utilization and costs.</w:t>
      </w:r>
    </w:p>
    <w:p w14:paraId="0C3839A7" w14:textId="340EE858" w:rsidR="003F284D" w:rsidRPr="0009132C" w:rsidRDefault="003F284D" w:rsidP="003C6C8F">
      <w:r w:rsidRPr="0009132C">
        <w:t>The IE is familiar with MMIS and Data Warehouse data through a longstanding collaboration with MassHealth on projects, including the independent evaluation of MassHealth’s 2017-2022 Demonstration</w:t>
      </w:r>
      <w:r w:rsidR="0092063F" w:rsidRPr="0009132C">
        <w:t xml:space="preserve">. </w:t>
      </w:r>
      <w:r w:rsidR="1E05D6AA" w:rsidRPr="0009132C">
        <w:t>A</w:t>
      </w:r>
      <w:r w:rsidRPr="0009132C">
        <w:t>dministrative data relating to traditional services and benefits data includ</w:t>
      </w:r>
      <w:r w:rsidR="4244D12E" w:rsidRPr="0009132C">
        <w:t>e</w:t>
      </w:r>
      <w:r w:rsidR="47165F0C" w:rsidRPr="0009132C">
        <w:t>s</w:t>
      </w:r>
      <w:r w:rsidRPr="0009132C">
        <w:t>:</w:t>
      </w:r>
    </w:p>
    <w:p w14:paraId="64086028" w14:textId="6C609FFB" w:rsidR="003F284D" w:rsidRPr="0009132C" w:rsidRDefault="003F284D" w:rsidP="003C6C8F">
      <w:pPr>
        <w:pStyle w:val="Bullet1"/>
      </w:pPr>
      <w:r w:rsidRPr="008A3252">
        <w:rPr>
          <w:u w:val="single"/>
        </w:rPr>
        <w:t>M</w:t>
      </w:r>
      <w:r w:rsidR="00860C11" w:rsidRPr="008A3252">
        <w:rPr>
          <w:u w:val="single"/>
        </w:rPr>
        <w:t>ember Eligibility</w:t>
      </w:r>
      <w:r w:rsidR="00860C11" w:rsidRPr="008A3252" w:rsidDel="00860C11">
        <w:rPr>
          <w:u w:val="single"/>
        </w:rPr>
        <w:t xml:space="preserve"> </w:t>
      </w:r>
      <w:r w:rsidR="00860C11" w:rsidRPr="008A3252">
        <w:rPr>
          <w:u w:val="single"/>
        </w:rPr>
        <w:t>and Enrollment</w:t>
      </w:r>
      <w:r w:rsidRPr="008A3252">
        <w:rPr>
          <w:u w:val="single"/>
        </w:rPr>
        <w:t>:</w:t>
      </w:r>
      <w:r w:rsidRPr="0009132C">
        <w:t xml:space="preserve"> </w:t>
      </w:r>
      <w:r w:rsidR="009F6B09">
        <w:t>T</w:t>
      </w:r>
      <w:r w:rsidRPr="0009132C">
        <w:t>hese files contain dates when a member is enrolled in or receives benefits from various programs, such as when they are a client of the Massachusetts Department of Mental Health (DMH) or enrolled with a specific ACO or other health plan. MMIS reads and interprets data from the state’s Health Insurance Eligibility Verification Database and from other state agencies.</w:t>
      </w:r>
      <w:r w:rsidR="00CA6E02" w:rsidRPr="0009132C">
        <w:t xml:space="preserve"> </w:t>
      </w:r>
      <w:r w:rsidR="002857A4" w:rsidRPr="0009132C">
        <w:lastRenderedPageBreak/>
        <w:t>Enrollment data will be collected on individuals in specific progra</w:t>
      </w:r>
      <w:r w:rsidR="00CA6E02" w:rsidRPr="0009132C">
        <w:t>m</w:t>
      </w:r>
      <w:r w:rsidR="002857A4" w:rsidRPr="0009132C">
        <w:t>s (e.g., those in</w:t>
      </w:r>
      <w:r w:rsidR="00BF4B9F" w:rsidRPr="0009132C">
        <w:t xml:space="preserve"> an</w:t>
      </w:r>
      <w:r w:rsidR="002857A4" w:rsidRPr="0009132C">
        <w:t xml:space="preserve"> employe</w:t>
      </w:r>
      <w:r w:rsidR="00BF4B9F" w:rsidRPr="0009132C">
        <w:t>r-</w:t>
      </w:r>
      <w:r w:rsidR="002857A4" w:rsidRPr="0009132C">
        <w:t>sponsored insurance program, CommonHealth 65+, Health Connector subsidies)</w:t>
      </w:r>
      <w:r w:rsidR="007735E5">
        <w:t>.</w:t>
      </w:r>
    </w:p>
    <w:p w14:paraId="305DC9FB" w14:textId="17D49352" w:rsidR="003F284D" w:rsidRPr="0009132C" w:rsidRDefault="003F284D" w:rsidP="003C6C8F">
      <w:pPr>
        <w:pStyle w:val="Bullet1"/>
      </w:pPr>
      <w:r w:rsidRPr="008A3252">
        <w:rPr>
          <w:u w:val="single"/>
        </w:rPr>
        <w:t>Claims</w:t>
      </w:r>
      <w:r w:rsidR="00860C11" w:rsidRPr="008A3252" w:rsidDel="00860C11">
        <w:rPr>
          <w:u w:val="single"/>
        </w:rPr>
        <w:t xml:space="preserve"> </w:t>
      </w:r>
      <w:r w:rsidR="00860C11" w:rsidRPr="008A3252">
        <w:rPr>
          <w:u w:val="single"/>
        </w:rPr>
        <w:t>and Encounter Records Stored in the</w:t>
      </w:r>
      <w:r w:rsidR="00860C11" w:rsidRPr="008A3252" w:rsidDel="00860C11">
        <w:rPr>
          <w:u w:val="single"/>
        </w:rPr>
        <w:t xml:space="preserve"> </w:t>
      </w:r>
      <w:r w:rsidRPr="008A3252">
        <w:rPr>
          <w:u w:val="single"/>
        </w:rPr>
        <w:t>Data Warehouse:</w:t>
      </w:r>
      <w:r w:rsidRPr="00D64D8A">
        <w:t xml:space="preserve"> </w:t>
      </w:r>
      <w:r w:rsidRPr="0009132C">
        <w:t xml:space="preserve">Both kinds of records use the same format and are regularly checked for completeness and accuracy. These records contain information about </w:t>
      </w:r>
      <w:r w:rsidR="02CAAAF4" w:rsidRPr="0009132C">
        <w:t xml:space="preserve">utilization and </w:t>
      </w:r>
      <w:r w:rsidRPr="0009132C">
        <w:t xml:space="preserve">services rendered by whom and in what location, members’ diagnoses, and costs. </w:t>
      </w:r>
      <w:r w:rsidR="00C026C9" w:rsidRPr="0009132C">
        <w:t>In addition to their use for rate setting and settlement, t</w:t>
      </w:r>
      <w:r w:rsidRPr="0009132C">
        <w:t xml:space="preserve">hey support </w:t>
      </w:r>
      <w:r w:rsidR="009F0BA7" w:rsidRPr="0009132C">
        <w:t xml:space="preserve">the </w:t>
      </w:r>
      <w:r w:rsidR="00A17539" w:rsidRPr="0009132C">
        <w:t xml:space="preserve">calculation </w:t>
      </w:r>
      <w:r w:rsidRPr="0009132C">
        <w:t xml:space="preserve">of </w:t>
      </w:r>
      <w:r w:rsidR="00C026C9" w:rsidRPr="0009132C">
        <w:t xml:space="preserve">total </w:t>
      </w:r>
      <w:r w:rsidRPr="0009132C">
        <w:t>costs of care and</w:t>
      </w:r>
      <w:r w:rsidR="00C026C9" w:rsidRPr="0009132C">
        <w:t xml:space="preserve"> cost</w:t>
      </w:r>
      <w:r w:rsidRPr="0009132C">
        <w:t xml:space="preserve"> within </w:t>
      </w:r>
      <w:r w:rsidR="00C026C9" w:rsidRPr="0009132C">
        <w:t xml:space="preserve">healthcare </w:t>
      </w:r>
      <w:r w:rsidRPr="0009132C">
        <w:t xml:space="preserve">service categories, such as hospital admissions, ambulatory care, Emergency Department (ED) visits, and Long-Term Services and Supports (LTSS). Supports delivered by BH and LTSS Community Partners (CPs) are also captured in encounter records. </w:t>
      </w:r>
    </w:p>
    <w:p w14:paraId="191A67CB" w14:textId="32EF5E80" w:rsidR="003F284D" w:rsidRPr="005C24BA" w:rsidRDefault="003F284D" w:rsidP="00C45084">
      <w:pPr>
        <w:pStyle w:val="Bullet1"/>
      </w:pPr>
      <w:r w:rsidRPr="008A3252">
        <w:rPr>
          <w:u w:val="single"/>
        </w:rPr>
        <w:t>Providers:</w:t>
      </w:r>
      <w:r w:rsidRPr="005C24BA">
        <w:t xml:space="preserve"> These data </w:t>
      </w:r>
      <w:r w:rsidR="6FFD5BED" w:rsidRPr="005C24BA">
        <w:t xml:space="preserve">include </w:t>
      </w:r>
      <w:r w:rsidR="00202E55">
        <w:t xml:space="preserve">the </w:t>
      </w:r>
      <w:r w:rsidR="6FFD5BED" w:rsidRPr="005C24BA">
        <w:t xml:space="preserve">National Provider Identifier, </w:t>
      </w:r>
      <w:r w:rsidRPr="005C24BA">
        <w:t xml:space="preserve">the provider </w:t>
      </w:r>
      <w:r w:rsidR="7D9AE009" w:rsidRPr="005C24BA">
        <w:t>type and</w:t>
      </w:r>
      <w:r w:rsidR="3D7DC8D3" w:rsidRPr="005C24BA">
        <w:t xml:space="preserve"> </w:t>
      </w:r>
      <w:r w:rsidRPr="005C24BA">
        <w:t>specialty</w:t>
      </w:r>
      <w:r w:rsidR="009F0BA7" w:rsidRPr="005C24BA">
        <w:t>,</w:t>
      </w:r>
      <w:r w:rsidRPr="005C24BA">
        <w:t xml:space="preserve"> and, for </w:t>
      </w:r>
      <w:r w:rsidR="000E029A" w:rsidRPr="005C24BA">
        <w:t xml:space="preserve">primary care </w:t>
      </w:r>
      <w:r w:rsidRPr="005C24BA">
        <w:t xml:space="preserve">doctors, the </w:t>
      </w:r>
      <w:r w:rsidR="0075174C" w:rsidRPr="005C24BA">
        <w:t xml:space="preserve">health </w:t>
      </w:r>
      <w:r w:rsidRPr="005C24BA">
        <w:t xml:space="preserve">plan with which they are affiliated. These data are </w:t>
      </w:r>
      <w:r w:rsidR="76EF55B7" w:rsidRPr="005C24BA">
        <w:t>collected</w:t>
      </w:r>
      <w:r w:rsidRPr="005C24BA">
        <w:t xml:space="preserve"> as part of the process for being accepted as a Medicaid provider.</w:t>
      </w:r>
    </w:p>
    <w:p w14:paraId="250CA6C5" w14:textId="373882C8" w:rsidR="003F284D" w:rsidRPr="0009132C" w:rsidRDefault="003F284D" w:rsidP="003C6C8F">
      <w:r w:rsidRPr="0009132C">
        <w:t xml:space="preserve">It is important to note that there are significant limitations in </w:t>
      </w:r>
      <w:r w:rsidR="00C167FC">
        <w:t xml:space="preserve">the </w:t>
      </w:r>
      <w:r w:rsidR="05C952B2" w:rsidRPr="0009132C">
        <w:t>member demographic data in MMIS</w:t>
      </w:r>
      <w:r w:rsidRPr="0009132C">
        <w:t xml:space="preserve">; for example, </w:t>
      </w:r>
      <w:r w:rsidR="003E9420" w:rsidRPr="0009132C">
        <w:t xml:space="preserve">only </w:t>
      </w:r>
      <w:r w:rsidRPr="0009132C">
        <w:t>40 to 50 percent of members</w:t>
      </w:r>
      <w:r w:rsidR="458CE6A6" w:rsidRPr="0009132C">
        <w:t xml:space="preserve"> </w:t>
      </w:r>
      <w:r w:rsidR="7C091DC5" w:rsidRPr="0009132C">
        <w:t xml:space="preserve">report their race and ethnicity as part of </w:t>
      </w:r>
      <w:r w:rsidR="00764FBC" w:rsidRPr="0009132C">
        <w:t>the</w:t>
      </w:r>
      <w:r w:rsidR="00566B6C" w:rsidRPr="0009132C">
        <w:t>ir MassHealth application process</w:t>
      </w:r>
      <w:r w:rsidRPr="0009132C">
        <w:t xml:space="preserve">, and “limited English proficiency” and “homelessness” were rarely coded. </w:t>
      </w:r>
      <w:r w:rsidR="1244B5DC" w:rsidRPr="0009132C">
        <w:rPr>
          <w:rFonts w:eastAsia="Arial"/>
        </w:rPr>
        <w:t xml:space="preserve">MassHealth has increased its focus on demographic data (see </w:t>
      </w:r>
      <w:hyperlink w:anchor="_Workforce_Initiatives" w:history="1">
        <w:r w:rsidR="1244B5DC" w:rsidRPr="00DE1FFB">
          <w:rPr>
            <w:rStyle w:val="Hyperlink"/>
          </w:rPr>
          <w:t>Chapter 6</w:t>
        </w:r>
      </w:hyperlink>
      <w:r w:rsidR="001D2FF9" w:rsidRPr="001167DB">
        <w:rPr>
          <w:rStyle w:val="Hyperlink"/>
          <w:rFonts w:eastAsia="Arial"/>
          <w:color w:val="auto"/>
          <w:u w:val="none"/>
        </w:rPr>
        <w:t xml:space="preserve"> </w:t>
      </w:r>
      <w:r w:rsidR="00A86021">
        <w:rPr>
          <w:rStyle w:val="Hyperlink"/>
          <w:rFonts w:eastAsia="Arial"/>
          <w:color w:val="auto"/>
          <w:u w:val="none"/>
        </w:rPr>
        <w:t>,</w:t>
      </w:r>
      <w:r w:rsidR="008654BE" w:rsidRPr="001167DB">
        <w:rPr>
          <w:rStyle w:val="Hyperlink"/>
          <w:rFonts w:eastAsia="Arial"/>
          <w:color w:val="auto"/>
          <w:u w:val="none"/>
        </w:rPr>
        <w:t>Workforce Initiatives</w:t>
      </w:r>
      <w:r w:rsidR="1244B5DC" w:rsidRPr="0009132C">
        <w:rPr>
          <w:rFonts w:eastAsia="Arial"/>
        </w:rPr>
        <w:t xml:space="preserve">), including </w:t>
      </w:r>
      <w:r w:rsidRPr="0009132C">
        <w:t xml:space="preserve">incorporating </w:t>
      </w:r>
      <w:r w:rsidR="00261938" w:rsidRPr="0009132C">
        <w:t>Z</w:t>
      </w:r>
      <w:r w:rsidRPr="0009132C">
        <w:t>-codes related to homelessness (</w:t>
      </w:r>
      <w:r w:rsidR="006D0901" w:rsidRPr="0009132C">
        <w:t>Z</w:t>
      </w:r>
      <w:r w:rsidRPr="0009132C">
        <w:t>59.01, Z59.02) into the risk adjustment model in 2017</w:t>
      </w:r>
      <w:r w:rsidR="19856A1A" w:rsidRPr="0009132C">
        <w:t>. This led to</w:t>
      </w:r>
      <w:r w:rsidRPr="0009132C">
        <w:t xml:space="preserve"> an increase in the use of those codes. More recently, MassHealth has begun efforts to improve the completeness of its race and ethnicity data in its Data Warehouse.</w:t>
      </w:r>
    </w:p>
    <w:p w14:paraId="60E72CFB" w14:textId="77777777" w:rsidR="00623643" w:rsidRPr="0009132C" w:rsidRDefault="00623643" w:rsidP="00623643">
      <w:pPr>
        <w:pStyle w:val="Heading4"/>
      </w:pPr>
      <w:r w:rsidRPr="0009132C">
        <w:t>Program Specific Data</w:t>
      </w:r>
    </w:p>
    <w:p w14:paraId="1FB595CB" w14:textId="77777777" w:rsidR="00623643" w:rsidRPr="0009132C" w:rsidRDefault="00623643" w:rsidP="00623643">
      <w:r w:rsidRPr="0009132C">
        <w:rPr>
          <w:rFonts w:eastAsia="Arial"/>
        </w:rPr>
        <w:t xml:space="preserve">In cases where administrative data is insufficient, UMass Chan will utilize additional data to supplement the evaluation. </w:t>
      </w:r>
      <w:r w:rsidRPr="0009132C">
        <w:t>For example, there will be new or augmented data streams relating to the Flexible Services Program (FSP), the Hospital Quality and Equity Initiative (HQEI), and Primary Care payment reform. While some relevant data specifications and workflows are still being finalized, the current assessment of what data will be available is described below. More details of programmatic data will be included in specific policy domain chapters.</w:t>
      </w:r>
    </w:p>
    <w:p w14:paraId="144042D9" w14:textId="77777777" w:rsidR="00623643" w:rsidRPr="0009132C" w:rsidRDefault="00623643" w:rsidP="00623643">
      <w:pPr>
        <w:pStyle w:val="Bullet1"/>
      </w:pPr>
      <w:r w:rsidRPr="008A3252">
        <w:rPr>
          <w:u w:val="single"/>
        </w:rPr>
        <w:t>ACO Data:</w:t>
      </w:r>
      <w:r w:rsidRPr="00C45084">
        <w:t xml:space="preserve"> </w:t>
      </w:r>
      <w:r w:rsidRPr="0009132C">
        <w:t>We will supplement claims and encounter data use with data from other sources when evaluating quality and costs of care in the ACO program. In addition to programmatic documentation submitted to MassHealth (e.g., participation plans for ACO FSPs), ACOs submit member-level data consistent with quality measure specifications for hybrid quality measures (e.g., blood pressure, HbA1c) and to meet program requirements. MassHealth will also have practice site data on the clinical service delivery tier as part of the primary care sub-capitation program that will be made available for the evaluation.</w:t>
      </w:r>
    </w:p>
    <w:p w14:paraId="005137DB" w14:textId="6643973E" w:rsidR="00623643" w:rsidRPr="0009132C" w:rsidRDefault="00623643" w:rsidP="00623643">
      <w:pPr>
        <w:pStyle w:val="Bullet1"/>
      </w:pPr>
      <w:r w:rsidRPr="008A3252">
        <w:rPr>
          <w:u w:val="single"/>
        </w:rPr>
        <w:t>Flexible Services Data:</w:t>
      </w:r>
      <w:r w:rsidRPr="00D64D8A">
        <w:t xml:space="preserve"> </w:t>
      </w:r>
      <w:r w:rsidRPr="0009132C">
        <w:t xml:space="preserve">Both housing and nutritional </w:t>
      </w:r>
      <w:r w:rsidR="00456C63">
        <w:t>FSP</w:t>
      </w:r>
      <w:r w:rsidRPr="0009132C">
        <w:t xml:space="preserve"> data currently lie outside the scope of traditional claims and encounter data but may be incorporated into claims and encounters during the latter years of the Demonstration period. As of the </w:t>
      </w:r>
      <w:r w:rsidRPr="0009132C">
        <w:lastRenderedPageBreak/>
        <w:t>start of the Demonstration, ACOs will report to MassHealth lists of members receiving Flexible Services by type of service, risk factor</w:t>
      </w:r>
      <w:r w:rsidR="000F4CBF">
        <w:t>,</w:t>
      </w:r>
      <w:r w:rsidRPr="0009132C">
        <w:t xml:space="preserve"> and health needs-based criteria and associated conditions qualifying the individual for services, household level data (if receiving allowable nutritional supports for the household), plus baseline and follow-up data on self-reported mental and physical health, food insecurity (if receiving nutritional supports) and their housing situation (if receiving housing supports).</w:t>
      </w:r>
    </w:p>
    <w:p w14:paraId="46D888CD" w14:textId="77777777" w:rsidR="00623643" w:rsidRPr="0009132C" w:rsidRDefault="00623643" w:rsidP="00623643">
      <w:pPr>
        <w:pStyle w:val="Bullet1"/>
      </w:pPr>
      <w:r w:rsidRPr="3383C28C">
        <w:rPr>
          <w:u w:val="single"/>
        </w:rPr>
        <w:t>HQEI Data:</w:t>
      </w:r>
      <w:r>
        <w:t xml:space="preserve"> MassHealth will incentivize the collection of self-reported data on demographics and HRSNs. Participating hospitals will be responsible for reporting demographic and HRSN data to MassHealth in a unified way. Participating hospitals also will report on quality and equity measures to measure progress in improving access to care and reducing disparities. Finally, hospitals will be assessed on their ability to meet rigorous standards for service capacity, access, and culturally and linguistically appropriate care, including those outlined by The Joint Commission (TJC).</w:t>
      </w:r>
    </w:p>
    <w:p w14:paraId="7C04FBCF" w14:textId="42701265" w:rsidR="00623643" w:rsidRPr="0009132C" w:rsidRDefault="00623643" w:rsidP="00623643">
      <w:pPr>
        <w:pStyle w:val="Bullet1"/>
      </w:pPr>
      <w:r w:rsidRPr="008A3252">
        <w:rPr>
          <w:u w:val="single"/>
        </w:rPr>
        <w:t>Workforce Initiative Data:</w:t>
      </w:r>
      <w:r w:rsidRPr="0009132C">
        <w:t xml:space="preserve"> </w:t>
      </w:r>
      <w:r w:rsidR="00192605">
        <w:t>Workforce Initiative (</w:t>
      </w:r>
      <w:r w:rsidRPr="0009132C">
        <w:t>WI</w:t>
      </w:r>
      <w:r w:rsidR="00192605">
        <w:t>)</w:t>
      </w:r>
      <w:r w:rsidRPr="0009132C">
        <w:t xml:space="preserve"> program data, including applicants, awardees, and other information (e.g., service obligation compliance) will be obtained from MassHealth or its program managing partner. </w:t>
      </w:r>
    </w:p>
    <w:p w14:paraId="663D2C88" w14:textId="202C9FC0" w:rsidR="00623643" w:rsidRPr="005C24BA" w:rsidRDefault="00623643" w:rsidP="00623643">
      <w:pPr>
        <w:pStyle w:val="Bullet1"/>
      </w:pPr>
      <w:r w:rsidRPr="7F65FA5F">
        <w:rPr>
          <w:u w:val="single"/>
        </w:rPr>
        <w:t>Specialized Community Support Program for Justice</w:t>
      </w:r>
      <w:r w:rsidR="006F1A66">
        <w:rPr>
          <w:u w:val="single"/>
        </w:rPr>
        <w:t>-</w:t>
      </w:r>
      <w:r w:rsidRPr="7F65FA5F">
        <w:rPr>
          <w:u w:val="single"/>
        </w:rPr>
        <w:t>Involved (CSP-JI) Data:</w:t>
      </w:r>
      <w:r>
        <w:t xml:space="preserve"> the specialized CSP for Individuals with Justice Involvement (CSP-JI) providers that are also Behavioral Health Supports for Justice-Involved Individuals (BH-JI) providers, per the BH-JI Contracts, submit monthly lists of referred and enrolled members to MassHealth. These lists will include the following data that are not redundant to other MassHealth data collection efforts, such as demographics, referral source, enrollment date, disenrollment date, the reason for disenrollment, and housing and employment status at enrollment. </w:t>
      </w:r>
    </w:p>
    <w:p w14:paraId="176D510F" w14:textId="31E7C9E0" w:rsidR="003F284D" w:rsidRPr="0009132C" w:rsidRDefault="003F284D" w:rsidP="008A3252">
      <w:pPr>
        <w:pStyle w:val="Heading4"/>
      </w:pPr>
      <w:r w:rsidRPr="0009132C">
        <w:t xml:space="preserve">Publicly </w:t>
      </w:r>
      <w:r w:rsidR="00B04780" w:rsidRPr="0009132C">
        <w:t>Available and Other Data</w:t>
      </w:r>
    </w:p>
    <w:p w14:paraId="57CB7BF2" w14:textId="1C138C08" w:rsidR="003F284D" w:rsidRPr="0009132C" w:rsidRDefault="15D59E32" w:rsidP="003C6C8F">
      <w:r>
        <w:t xml:space="preserve">The following publicly available survey data will be used: the American Community Survey (ACS), </w:t>
      </w:r>
      <w:r w:rsidR="002A3484">
        <w:t xml:space="preserve">the </w:t>
      </w:r>
      <w:r>
        <w:t xml:space="preserve">National Survey on Drug Use and Health (NSDUH), </w:t>
      </w:r>
      <w:r w:rsidR="002A3484">
        <w:t xml:space="preserve">the </w:t>
      </w:r>
      <w:r>
        <w:t xml:space="preserve">Behavioral Risk Factor Surveillance System (BRFSS), the National Mental Health Services Survey, and the National Survey of Substance Abuse Treatment. </w:t>
      </w:r>
      <w:r w:rsidR="17F98455">
        <w:t>UC</w:t>
      </w:r>
      <w:r>
        <w:t xml:space="preserve"> reports (containing cost data from Medicare cost reports, in addition to data provided by MassHealth on supplemental payments to safety-net hospitals) will be analyzed. Massachusetts death records will be analyzed along with Bureau of Substance Abuse Services (BSAS) data and state data on opiate overdoses collected </w:t>
      </w:r>
      <w:r w:rsidR="53322998">
        <w:t xml:space="preserve">in the Public Health Data Warehouse </w:t>
      </w:r>
      <w:r>
        <w:t xml:space="preserve">and overseen by the Massachusetts Department of Public Health </w:t>
      </w:r>
      <w:r w:rsidR="745342E8">
        <w:t xml:space="preserve">(DPH) </w:t>
      </w:r>
      <w:r>
        <w:t>will be used, if available.</w:t>
      </w:r>
      <w:r w:rsidR="6A0296CA">
        <w:t xml:space="preserve"> </w:t>
      </w:r>
      <w:r w:rsidR="4CAA1066">
        <w:t>The</w:t>
      </w:r>
      <w:r w:rsidR="6A0296CA">
        <w:t xml:space="preserve"> </w:t>
      </w:r>
      <w:r w:rsidR="004515F4">
        <w:t>BH</w:t>
      </w:r>
      <w:r w:rsidR="4CAA1066">
        <w:t xml:space="preserve"> domain may</w:t>
      </w:r>
      <w:r w:rsidR="6A0296CA">
        <w:t xml:space="preserve"> use data from the All-Payer Claims Database </w:t>
      </w:r>
      <w:r w:rsidR="002F7C56">
        <w:t>(APCD)</w:t>
      </w:r>
      <w:r w:rsidR="005E4C1F">
        <w:t xml:space="preserve"> </w:t>
      </w:r>
      <w:r w:rsidR="6A0296CA">
        <w:t>maintained by the</w:t>
      </w:r>
      <w:r w:rsidR="3E9316D3">
        <w:t xml:space="preserve"> </w:t>
      </w:r>
      <w:r w:rsidR="6A0296CA">
        <w:t>Center for Health Information and Ana</w:t>
      </w:r>
      <w:r w:rsidR="00663875">
        <w:t>l</w:t>
      </w:r>
      <w:r w:rsidR="6A0296CA">
        <w:t>ysis</w:t>
      </w:r>
      <w:r w:rsidR="08530F17">
        <w:t xml:space="preserve"> (CHIA)</w:t>
      </w:r>
      <w:r w:rsidR="3E9316D3">
        <w:t>, a</w:t>
      </w:r>
      <w:r w:rsidR="529C5847">
        <w:t xml:space="preserve">n </w:t>
      </w:r>
      <w:r w:rsidR="4CAA1066">
        <w:t>independent</w:t>
      </w:r>
      <w:r w:rsidR="529C5847">
        <w:t xml:space="preserve"> </w:t>
      </w:r>
      <w:r w:rsidR="3E9316D3">
        <w:t>state agency.</w:t>
      </w:r>
      <w:r w:rsidR="4ECD5916">
        <w:t xml:space="preserve"> </w:t>
      </w:r>
      <w:r w:rsidR="38F9E6F8">
        <w:t>We expect to use data from the Hospital Cost and Utilization Project (HCUP) for the</w:t>
      </w:r>
      <w:r w:rsidR="4ECD5916">
        <w:t xml:space="preserve"> HQEI domain</w:t>
      </w:r>
      <w:r w:rsidR="38F9E6F8">
        <w:t>.</w:t>
      </w:r>
      <w:r w:rsidR="4ECD5916">
        <w:t xml:space="preserve"> </w:t>
      </w:r>
    </w:p>
    <w:p w14:paraId="345EE867" w14:textId="217E604F" w:rsidR="003F284D" w:rsidRPr="0009132C" w:rsidRDefault="003F284D" w:rsidP="009D04BC">
      <w:pPr>
        <w:pStyle w:val="Heading3"/>
      </w:pPr>
      <w:r w:rsidRPr="005E4C1F">
        <w:lastRenderedPageBreak/>
        <w:t>Qualitative</w:t>
      </w:r>
      <w:r w:rsidRPr="0009132C">
        <w:t xml:space="preserve"> </w:t>
      </w:r>
      <w:r w:rsidR="00AB34A2" w:rsidRPr="0009132C">
        <w:t>D</w:t>
      </w:r>
      <w:r w:rsidRPr="0009132C">
        <w:t>ata</w:t>
      </w:r>
    </w:p>
    <w:p w14:paraId="1A999C96" w14:textId="24386E31" w:rsidR="00E77065" w:rsidRPr="0009132C" w:rsidRDefault="003F284D" w:rsidP="008A3252">
      <w:pPr>
        <w:pStyle w:val="Heading4"/>
      </w:pPr>
      <w:bookmarkStart w:id="32" w:name="_Document_Review"/>
      <w:bookmarkEnd w:id="32"/>
      <w:r w:rsidRPr="0009132C">
        <w:t xml:space="preserve">Document Review </w:t>
      </w:r>
    </w:p>
    <w:p w14:paraId="78EFF3D6" w14:textId="1DE2009B" w:rsidR="00B77934" w:rsidRPr="0009132C" w:rsidRDefault="003F284D" w:rsidP="003C6C8F">
      <w:r w:rsidRPr="0009132C">
        <w:t xml:space="preserve">A range of existing documents (e.g., </w:t>
      </w:r>
      <w:r w:rsidR="00945FEE" w:rsidRPr="0009132C">
        <w:t>FSP</w:t>
      </w:r>
      <w:r w:rsidRPr="0009132C">
        <w:t xml:space="preserve"> participation plans, state-generated reports on funding allocations, HQEI reports submitted by hospitals) are expected to provide data on participating entities’ plans and progress in implementing Demonstration programs. Additional documents reflecting change or innovation in the delivery system</w:t>
      </w:r>
      <w:r w:rsidR="003A39ED" w:rsidRPr="0009132C">
        <w:t xml:space="preserve"> or other program/policy</w:t>
      </w:r>
      <w:r w:rsidRPr="0009132C">
        <w:t xml:space="preserve"> context will be inventoried and reviewed, for example, as was essential during the COVID</w:t>
      </w:r>
      <w:r w:rsidR="00C172C4">
        <w:t>-19</w:t>
      </w:r>
      <w:r w:rsidRPr="0009132C">
        <w:t xml:space="preserve"> pandemic. </w:t>
      </w:r>
    </w:p>
    <w:p w14:paraId="1F2F7538" w14:textId="1B991803" w:rsidR="00E77065" w:rsidRPr="0009132C" w:rsidRDefault="003F284D" w:rsidP="008A3252">
      <w:pPr>
        <w:pStyle w:val="Heading4"/>
      </w:pPr>
      <w:bookmarkStart w:id="33" w:name="Key_Informant_Interviews"/>
      <w:bookmarkEnd w:id="33"/>
      <w:r w:rsidRPr="0009132C">
        <w:t>Key Informant Interviews</w:t>
      </w:r>
      <w:r w:rsidR="0050729F" w:rsidRPr="0009132C">
        <w:t xml:space="preserve"> (KIIs)</w:t>
      </w:r>
    </w:p>
    <w:p w14:paraId="6DEB6F10" w14:textId="44C8FF04" w:rsidR="003F284D" w:rsidRPr="0009132C" w:rsidRDefault="003F284D" w:rsidP="003C6C8F">
      <w:pPr>
        <w:rPr>
          <w:u w:val="single"/>
        </w:rPr>
      </w:pPr>
      <w:r w:rsidRPr="0009132C">
        <w:t xml:space="preserve">Interviews will be conducted with at least three groups of stakeholders at two points in the </w:t>
      </w:r>
      <w:r w:rsidR="0050729F" w:rsidRPr="0009132C">
        <w:t xml:space="preserve">Demonstration </w:t>
      </w:r>
      <w:r w:rsidR="00CA2416" w:rsidRPr="0009132C">
        <w:t>period</w:t>
      </w:r>
      <w:r w:rsidRPr="0009132C">
        <w:t>.</w:t>
      </w:r>
      <w:r w:rsidR="009A20E2">
        <w:t xml:space="preserve"> Sample sizes are specified for each </w:t>
      </w:r>
      <w:r w:rsidR="00AA4044">
        <w:t xml:space="preserve">group </w:t>
      </w:r>
      <w:r w:rsidR="009A20E2">
        <w:t xml:space="preserve">in each domain chapter </w:t>
      </w:r>
      <w:r w:rsidR="00AA4044">
        <w:t>as the number of interviewees</w:t>
      </w:r>
      <w:r w:rsidR="0095239A">
        <w:t xml:space="preserve"> (i.e., total number of participants, not interviews).</w:t>
      </w:r>
      <w:r w:rsidRPr="0009132C">
        <w:t xml:space="preserve"> Interviews</w:t>
      </w:r>
      <w:r w:rsidRPr="0009132C" w:rsidDel="477B3DA6">
        <w:t xml:space="preserve"> </w:t>
      </w:r>
      <w:r w:rsidRPr="0009132C">
        <w:t>may be conducted with individuals and in focus groups, within and across organizations and roles, and will include:</w:t>
      </w:r>
    </w:p>
    <w:p w14:paraId="7C109E30" w14:textId="01547844" w:rsidR="003F284D" w:rsidRPr="0009132C" w:rsidRDefault="003F284D" w:rsidP="003C6C8F">
      <w:pPr>
        <w:pStyle w:val="Bullet1"/>
      </w:pPr>
      <w:r w:rsidRPr="0009132C">
        <w:t>Representatives of participating entities (e.g., administrative and program staff from ACOs, CPs, Social Service Organizations (SSOs), staff from participating hospitals, primary care practices, safety net providers, community health centers</w:t>
      </w:r>
      <w:r w:rsidR="00DD5588">
        <w:t xml:space="preserve"> (CHCs)</w:t>
      </w:r>
      <w:r w:rsidRPr="0009132C">
        <w:t>, and justice entities) to assess the process of implementing investments, progress developing and adapting essential organizational infrastructure, capacity, and procedures to promote integrated and accountable care, and perceived effectiveness of state actions to support transformation, among other topics.</w:t>
      </w:r>
    </w:p>
    <w:p w14:paraId="24918E80" w14:textId="77777777" w:rsidR="003F284D" w:rsidRPr="0009132C" w:rsidRDefault="003F284D" w:rsidP="003C6C8F">
      <w:pPr>
        <w:pStyle w:val="Bullet1"/>
      </w:pPr>
      <w:r w:rsidRPr="0009132C">
        <w:t>A range of MassHealth personnel responsible for various aspects of the Demonstration will be interviewed to understand the implementation of the policy domains from the state’s perspective.</w:t>
      </w:r>
    </w:p>
    <w:p w14:paraId="7F149019" w14:textId="7B787D95" w:rsidR="003F284D" w:rsidRPr="005C24BA" w:rsidRDefault="003F284D" w:rsidP="00C45084">
      <w:pPr>
        <w:pStyle w:val="Bullet1"/>
      </w:pPr>
      <w:r>
        <w:t>MassHealth members will be interviewed to, among other things, understand how they experience the process and impact of, and satisfaction with delivery system transformation (e.g., care coordination and integration processes, the identification and meeting of HRSN, efforts to address health disparities) and experience of transitions of care upon discharge from treatment services delivered in</w:t>
      </w:r>
      <w:r w:rsidR="00EB4A61">
        <w:t xml:space="preserve"> an</w:t>
      </w:r>
      <w:r>
        <w:t xml:space="preserve"> I</w:t>
      </w:r>
      <w:r w:rsidR="003A39ED">
        <w:t>nstitute for Mental Disea</w:t>
      </w:r>
      <w:r w:rsidR="00712747">
        <w:t>s</w:t>
      </w:r>
      <w:r w:rsidR="003A39ED">
        <w:t>es (I</w:t>
      </w:r>
      <w:r>
        <w:t>MDs</w:t>
      </w:r>
      <w:r w:rsidR="003A39ED">
        <w:t>)</w:t>
      </w:r>
      <w:r>
        <w:t>.</w:t>
      </w:r>
    </w:p>
    <w:p w14:paraId="52E919D9" w14:textId="57AF0BA2" w:rsidR="003F284D" w:rsidRPr="0009132C" w:rsidRDefault="003F284D" w:rsidP="003C6C8F">
      <w:r w:rsidRPr="0009132C">
        <w:t xml:space="preserve">In-depth interviews and/or focus groups with personnel from ACOs, CPs, and other relevant entities (e.g., hospitals, primary care practice sites, etc.) and/or with individuals in selected roles (e.g., care coordinators, members) will be conducted to obtain a more nuanced understanding of how the Demonstration is operating; to integrate perspectives from multiple, diverse sources; and/or to explore ways in which emerging contextual issues contribute to systems transformation. These in-depth interviews will allow the IE to pursue topics of interest that emerge in initial </w:t>
      </w:r>
      <w:r w:rsidR="00945FEE" w:rsidRPr="0009132C">
        <w:t>KIIs</w:t>
      </w:r>
      <w:r w:rsidRPr="0009132C">
        <w:t xml:space="preserve"> or are drawn from context-related developments (e.g., the COVID</w:t>
      </w:r>
      <w:r w:rsidR="00C14C2D">
        <w:t>-19</w:t>
      </w:r>
      <w:r w:rsidRPr="0009132C">
        <w:t xml:space="preserve"> pandemic in the past </w:t>
      </w:r>
      <w:r w:rsidR="00041764" w:rsidRPr="0009132C">
        <w:t>Demonstration</w:t>
      </w:r>
      <w:r w:rsidRPr="0009132C">
        <w:t xml:space="preserve"> evaluation). Several potential foci of in-depth interview data collection include: (1) to examine a sub-sample of entities as they implement organizational change (i.e., adopt core ACO and CP competencies, develop and adapt essential partnerships to support coordinated, integrated care) as compared with a different sub-sample of entities; and </w:t>
      </w:r>
      <w:r w:rsidRPr="0009132C">
        <w:lastRenderedPageBreak/>
        <w:t xml:space="preserve">(2) to study participating entities, staff, and/or member groups, selected from across entities to address specific evaluation questions, explore further needs, suggest remedies, and provide examples of innovation and success. </w:t>
      </w:r>
      <w:r w:rsidR="00CA2416" w:rsidRPr="0009132C">
        <w:t xml:space="preserve">As elaborated in </w:t>
      </w:r>
      <w:r w:rsidR="003161B4" w:rsidRPr="0009132C">
        <w:t xml:space="preserve">subsequent </w:t>
      </w:r>
      <w:r w:rsidR="001A60C6">
        <w:t>d</w:t>
      </w:r>
      <w:r w:rsidR="001A60C6" w:rsidRPr="0009132C">
        <w:t xml:space="preserve">omain </w:t>
      </w:r>
      <w:r w:rsidR="00CA2416" w:rsidRPr="0009132C">
        <w:t>chapters, in-depth interviews regarding new target populations or initiatives</w:t>
      </w:r>
      <w:r w:rsidRPr="0009132C">
        <w:t xml:space="preserve"> will be particularly informative as efforts are implemented to meet new or emerging needs. </w:t>
      </w:r>
    </w:p>
    <w:p w14:paraId="539182F5" w14:textId="1E6DD8B9" w:rsidR="003F284D" w:rsidRPr="0009132C" w:rsidRDefault="003F284D" w:rsidP="00C5496A">
      <w:pPr>
        <w:pStyle w:val="Heading3"/>
      </w:pPr>
      <w:r w:rsidRPr="00C5496A">
        <w:t>Survey</w:t>
      </w:r>
      <w:r w:rsidRPr="0009132C">
        <w:t xml:space="preserve"> </w:t>
      </w:r>
      <w:r w:rsidR="00AB34A2" w:rsidRPr="0009132C">
        <w:t>D</w:t>
      </w:r>
      <w:r w:rsidRPr="0009132C">
        <w:t>ata</w:t>
      </w:r>
    </w:p>
    <w:p w14:paraId="1059C4C7" w14:textId="672E9C01" w:rsidR="003F284D" w:rsidRPr="00466D8A" w:rsidRDefault="003F284D" w:rsidP="008A3252">
      <w:pPr>
        <w:pStyle w:val="Heading4"/>
      </w:pPr>
      <w:r w:rsidRPr="0009132C">
        <w:t xml:space="preserve">Member </w:t>
      </w:r>
      <w:r w:rsidR="0080782B">
        <w:t xml:space="preserve">Experience </w:t>
      </w:r>
      <w:r w:rsidR="00B87988" w:rsidRPr="0009132C">
        <w:t>S</w:t>
      </w:r>
      <w:r w:rsidRPr="0009132C">
        <w:t>urveys</w:t>
      </w:r>
    </w:p>
    <w:p w14:paraId="5EDEBC9D" w14:textId="1951C99E" w:rsidR="003F284D" w:rsidRPr="0009132C" w:rsidRDefault="003F284D" w:rsidP="003C6C8F">
      <w:r w:rsidRPr="0009132C">
        <w:t xml:space="preserve">MassHealth has worked with Massachusetts Health Quality Partners (MHQP), a survey vendor, to annually field six Member Experience Surveys </w:t>
      </w:r>
      <w:r w:rsidR="00246DBB" w:rsidRPr="0009132C">
        <w:t>(MES)</w:t>
      </w:r>
      <w:r w:rsidRPr="0009132C">
        <w:t xml:space="preserve"> for ACO members since 2018 and a primary care survey for members enrolled in MassHealth’s Primary Care Clinician (PCC) plan. Distinct surveys for adults and children address three populations defined by service categories: Primary Care, BH</w:t>
      </w:r>
      <w:r w:rsidR="00D94697" w:rsidRPr="0009132C">
        <w:t>,</w:t>
      </w:r>
      <w:r w:rsidRPr="0009132C">
        <w:t xml:space="preserve"> and/or LTSS. Members are included in sample frames based on their service utilization during a given measurement period, typically a calendar year. MHQP takes random samples of members in the sample frame and determines which survey a given member will receive (Primary Care, BH</w:t>
      </w:r>
      <w:r w:rsidR="00CA2416" w:rsidRPr="0009132C">
        <w:t>,</w:t>
      </w:r>
      <w:r w:rsidRPr="0009132C">
        <w:t xml:space="preserve"> or LTSS); a given household does not receive more than one survey. </w:t>
      </w:r>
    </w:p>
    <w:p w14:paraId="21F6C753" w14:textId="67ADC8BB" w:rsidR="003F284D" w:rsidRPr="0009132C" w:rsidRDefault="0AB32C48" w:rsidP="003C6C8F">
      <w:r>
        <w:t xml:space="preserve">MassHealth’s Primary Care </w:t>
      </w:r>
      <w:r w:rsidR="74AA552B">
        <w:t>MES</w:t>
      </w:r>
      <w:r>
        <w:t xml:space="preserve"> is based on the MHQP-adapted Clinician and Group Consumer Assessment of Healthcare Providers and Systems (CG-CAHPS). The BH and LTSS surveys were developed by</w:t>
      </w:r>
      <w:r w:rsidR="00D42594">
        <w:t xml:space="preserve"> the Massachusetts Executive Office of Health and Human Services</w:t>
      </w:r>
      <w:r>
        <w:t xml:space="preserve"> </w:t>
      </w:r>
      <w:r w:rsidR="00D42594">
        <w:t>(</w:t>
      </w:r>
      <w:r>
        <w:t>E</w:t>
      </w:r>
      <w:r w:rsidR="00A07AB7">
        <w:t>OH</w:t>
      </w:r>
      <w:r>
        <w:t>HS</w:t>
      </w:r>
      <w:r w:rsidR="00D42594">
        <w:t>)</w:t>
      </w:r>
      <w:r>
        <w:t xml:space="preserve"> in 2018 through workgroups</w:t>
      </w:r>
      <w:r w:rsidR="0010726C">
        <w:t>,</w:t>
      </w:r>
      <w:r>
        <w:t xml:space="preserve"> </w:t>
      </w:r>
      <w:r w:rsidR="5D48BD2C">
        <w:t>which included</w:t>
      </w:r>
      <w:r w:rsidR="77DF0F5F">
        <w:t xml:space="preserve"> </w:t>
      </w:r>
      <w:r w:rsidR="00A07AB7">
        <w:t xml:space="preserve">subject matter experts </w:t>
      </w:r>
      <w:r w:rsidR="37441ED1">
        <w:t>(</w:t>
      </w:r>
      <w:r>
        <w:t>SMEs</w:t>
      </w:r>
      <w:r w:rsidR="348590C7">
        <w:t>)</w:t>
      </w:r>
      <w:r>
        <w:t xml:space="preserve">, stakeholder input, and focus groups of both providers and consumers. The domains and questions were identified, assessed, and selected by the workgroup from existing surveys, including the MassHealth One Care survey (of dual eligible members), the Massachusetts </w:t>
      </w:r>
      <w:r w:rsidR="00950A53">
        <w:t>DMH</w:t>
      </w:r>
      <w:r>
        <w:t xml:space="preserve"> Consumer Survey, and the BRFSS. Additional customized questions were developed and tested with members through cognitive testing and piloting of the surveys. The surveys were fielded using multiple modalities, including paper and email. In addition, </w:t>
      </w:r>
      <w:r w:rsidR="7FBAFEA1">
        <w:t xml:space="preserve">the </w:t>
      </w:r>
      <w:r>
        <w:t>telephone was utilized to survey members receiving LTSS services. Members were surveyed between the first and sec</w:t>
      </w:r>
      <w:r w:rsidR="7FBAFEA1">
        <w:t>ond</w:t>
      </w:r>
      <w:r w:rsidR="42401AD8">
        <w:t xml:space="preserve"> </w:t>
      </w:r>
      <w:r w:rsidR="7FBAFEA1">
        <w:t>quarters</w:t>
      </w:r>
      <w:r>
        <w:t xml:space="preserve"> following the measurement year (e.g., </w:t>
      </w:r>
      <w:r w:rsidRPr="00D17606">
        <w:t>Feb</w:t>
      </w:r>
      <w:r w:rsidR="1622B13A" w:rsidRPr="00D17606">
        <w:t>ruary</w:t>
      </w:r>
      <w:r w:rsidR="006072C1" w:rsidRPr="00D17606">
        <w:t>–</w:t>
      </w:r>
      <w:r w:rsidRPr="00D17606">
        <w:t>May).</w:t>
      </w:r>
      <w:r>
        <w:t xml:space="preserve"> It is anticipated </w:t>
      </w:r>
      <w:r w:rsidR="7FBAFEA1">
        <w:t xml:space="preserve">that </w:t>
      </w:r>
      <w:r>
        <w:t>the surveys will continue to be fielded annually for measurement years 2023-2027 for the new Demonstration</w:t>
      </w:r>
      <w:r w:rsidR="521B4F37">
        <w:t xml:space="preserve"> by MassHealth’s vendor</w:t>
      </w:r>
      <w:r>
        <w:t>. The survey cycle timing is anticipated to be similar to prior years, although options for more rapid survey cycles or enhanced modalities may be considered.</w:t>
      </w:r>
    </w:p>
    <w:p w14:paraId="13499166" w14:textId="719D2D72" w:rsidR="003F284D" w:rsidRPr="00466D8A" w:rsidRDefault="003F284D" w:rsidP="008A3252">
      <w:pPr>
        <w:pStyle w:val="Heading4"/>
      </w:pPr>
      <w:r w:rsidRPr="0009132C">
        <w:t xml:space="preserve">Practice </w:t>
      </w:r>
      <w:r w:rsidR="00B87988" w:rsidRPr="0009132C">
        <w:t>S</w:t>
      </w:r>
      <w:r w:rsidRPr="0009132C">
        <w:t xml:space="preserve">ite </w:t>
      </w:r>
      <w:r w:rsidR="00B87988" w:rsidRPr="0009132C">
        <w:t>A</w:t>
      </w:r>
      <w:r w:rsidRPr="0009132C">
        <w:t xml:space="preserve">dministrator </w:t>
      </w:r>
      <w:r w:rsidR="00B87988" w:rsidRPr="0009132C">
        <w:t>S</w:t>
      </w:r>
      <w:r w:rsidRPr="0009132C">
        <w:t>urvey</w:t>
      </w:r>
    </w:p>
    <w:p w14:paraId="425D06D3" w14:textId="267C18D5" w:rsidR="005B47F7" w:rsidRDefault="003F284D" w:rsidP="003C6C8F">
      <w:r w:rsidRPr="0009132C">
        <w:t xml:space="preserve">Two waves of online surveys of ACO primary care practice site administrators were performed during MassHealth’s 2017-2022 Demonstration and will provide baseline data for a single online survey of practice site administrators to be conducted during the first half of the evaluation of MassHealth’s 2022-2027 Demonstration. The sampling frame will again include group practices, </w:t>
      </w:r>
      <w:r w:rsidR="00260CA8">
        <w:t>CHC</w:t>
      </w:r>
      <w:r w:rsidRPr="0009132C">
        <w:t xml:space="preserve">s, and hospital </w:t>
      </w:r>
      <w:r w:rsidR="147FC52D" w:rsidRPr="0009132C">
        <w:t>practices</w:t>
      </w:r>
      <w:r w:rsidR="3D7DC8D3" w:rsidRPr="0009132C">
        <w:t xml:space="preserve"> </w:t>
      </w:r>
      <w:r w:rsidRPr="0009132C">
        <w:t xml:space="preserve">participating in the ACO program. The following sites will be excluded from the survey: solo physician practices, sites that only provide acute care, practice sites located outside of </w:t>
      </w:r>
      <w:r w:rsidRPr="0009132C">
        <w:lastRenderedPageBreak/>
        <w:t xml:space="preserve">Massachusetts, sites with fewer than 50 MassHealth members, and sites with an unknown number of MassHealth members. From within the sampling frame, we expect all sites within each ACO will be selected. </w:t>
      </w:r>
    </w:p>
    <w:p w14:paraId="085BAC28" w14:textId="036A5F36" w:rsidR="003F284D" w:rsidRPr="0009132C" w:rsidRDefault="003F284D" w:rsidP="003C6C8F">
      <w:r w:rsidRPr="0009132C">
        <w:t xml:space="preserve">After a thorough literature review, the questionnaire used for the survey </w:t>
      </w:r>
      <w:r w:rsidR="00703D37">
        <w:t xml:space="preserve">in the 2017-2022 </w:t>
      </w:r>
      <w:r w:rsidR="00AA43DC">
        <w:t xml:space="preserve">evaluation </w:t>
      </w:r>
      <w:r w:rsidRPr="0009132C">
        <w:t xml:space="preserve">was drafted collaboratively by the Independent Assessor, </w:t>
      </w:r>
      <w:r w:rsidR="00246DBB" w:rsidRPr="0009132C">
        <w:t>IE</w:t>
      </w:r>
      <w:r w:rsidRPr="0009132C">
        <w:t xml:space="preserve">, and a research group administering similar surveys. The survey was shared with stakeholders to gather feedback, field-tested with ACO administrators, and further refined before administration. The survey instrument includes questions about care integration, screening, access, social services referrals, risk stratification, performance management, engagement with the ACO, and payment arrangements, among other topics. The survey instrument </w:t>
      </w:r>
      <w:r w:rsidR="00AA43DC">
        <w:t xml:space="preserve">for the 2022-2027 evaluation </w:t>
      </w:r>
      <w:r w:rsidRPr="0009132C">
        <w:t>is expected to be a modified version of the instrument used in the 2017-2022 evaluation. For any new survey questions, the questions will be piloted with a convenience sample of practice site administrators using cognitive testing and assessments for clarity, completeness, and respondent burden. We will retire survey questions that are no longer relevant or informative.</w:t>
      </w:r>
    </w:p>
    <w:p w14:paraId="3FE8338D" w14:textId="3D0DFDF1" w:rsidR="003F284D" w:rsidRPr="00466D8A" w:rsidRDefault="003F284D" w:rsidP="008A3252">
      <w:pPr>
        <w:pStyle w:val="Heading4"/>
      </w:pPr>
      <w:r w:rsidRPr="0009132C">
        <w:t>Provider and Staff Surveys</w:t>
      </w:r>
    </w:p>
    <w:p w14:paraId="4A0E8AD4" w14:textId="19AB77A2" w:rsidR="003F284D" w:rsidRPr="0009132C" w:rsidRDefault="003F284D" w:rsidP="003C6C8F">
      <w:pPr>
        <w:rPr>
          <w:u w:val="single"/>
        </w:rPr>
      </w:pPr>
      <w:r w:rsidRPr="0009132C">
        <w:t xml:space="preserve">Two waves of online surveys of ACO primary care providers </w:t>
      </w:r>
      <w:r w:rsidR="005B47F7">
        <w:t xml:space="preserve">(PCPs) </w:t>
      </w:r>
      <w:r w:rsidRPr="0009132C">
        <w:t xml:space="preserve">and CP staff were performed during MassHealth’s 2017-2022 Demonstration and will provide baseline data for one wave of surveys of ACO </w:t>
      </w:r>
      <w:r w:rsidR="005B47F7">
        <w:t>PCPs</w:t>
      </w:r>
      <w:r w:rsidRPr="0009132C">
        <w:t xml:space="preserve"> and CP front-line staff to be conducted in the second half of the Demonstration period. The survey respondents are expected to be consistent with the sampling frame for the 2022-2027 surveys of ACO/CP providers and staff is expected to be similar to MassHealth’s 2017-2022 Demonstration provider and staff survey respondents</w:t>
      </w:r>
      <w:r w:rsidR="00970C20">
        <w:t>,</w:t>
      </w:r>
      <w:r w:rsidRPr="0009132C">
        <w:t xml:space="preserve"> including medical doctors (MDs), nurse practitioners (NPs), registered nurses (RNs), physician assistants (P</w:t>
      </w:r>
      <w:r w:rsidR="00AE3050">
        <w:t>A</w:t>
      </w:r>
      <w:r w:rsidRPr="0009132C">
        <w:t>s), medical assistants</w:t>
      </w:r>
      <w:r w:rsidR="009E5F70">
        <w:t xml:space="preserve"> (MAs)</w:t>
      </w:r>
      <w:r w:rsidRPr="0009132C">
        <w:t>, and community health workers (CHWs).</w:t>
      </w:r>
    </w:p>
    <w:p w14:paraId="2AF0C25B" w14:textId="75038C1B" w:rsidR="003F284D" w:rsidRPr="0009132C" w:rsidRDefault="003F284D" w:rsidP="003C6C8F">
      <w:r w:rsidRPr="0009132C">
        <w:t xml:space="preserve">The survey instrument is expected to be a modified version of the instrument used in the 2017-2022 evaluation. A core component of the instrument is the Provider and Staff Perceptions of Integrated Care (PSPIC), a validated survey instrument comprising 21 questions across </w:t>
      </w:r>
      <w:r w:rsidR="00246DBB" w:rsidRPr="0009132C">
        <w:t>seven</w:t>
      </w:r>
      <w:r w:rsidRPr="0009132C">
        <w:t xml:space="preserve"> care integration constructs</w:t>
      </w:r>
      <w:r w:rsidR="00970C20">
        <w:t>,</w:t>
      </w:r>
      <w:r w:rsidRPr="0009132C">
        <w:t xml:space="preserve"> including within care team care coordination, across care team care coordination, and coordination between care teams and community resources. It is anticipated that validated survey questions will again be supplemented with questions specifically tailored to the new and modified programs (e.g., perceived effectiveness of CP and </w:t>
      </w:r>
      <w:r w:rsidR="00716884" w:rsidRPr="0009132C">
        <w:t>FSP</w:t>
      </w:r>
      <w:r w:rsidRPr="0009132C">
        <w:t xml:space="preserve">). For any new survey questions, the questions will be piloted with a convenience sample of provider staff using cognitive testing and assessments for clarity, completeness, and respondent burden. ACO </w:t>
      </w:r>
      <w:r w:rsidR="005B47F7">
        <w:t>PCPs</w:t>
      </w:r>
      <w:r w:rsidRPr="0009132C">
        <w:t xml:space="preserve"> will be drawn from the sampling frame of primary care practice sites surveyed in the first half of the Demonstration period. Other details of the sampling plan remain under development and will be informed by pending data (e.g., ACO practice site affiliations and provider distributions).</w:t>
      </w:r>
    </w:p>
    <w:p w14:paraId="57128BB2" w14:textId="5CD3CC3C" w:rsidR="00AD1726" w:rsidRPr="0009132C" w:rsidRDefault="007851C1" w:rsidP="008A3252">
      <w:pPr>
        <w:pStyle w:val="Heading4"/>
      </w:pPr>
      <w:r w:rsidRPr="0009132C">
        <w:t>Workforce</w:t>
      </w:r>
      <w:r w:rsidR="00AD1726" w:rsidRPr="0009132C">
        <w:t xml:space="preserve"> Surveys</w:t>
      </w:r>
    </w:p>
    <w:p w14:paraId="1D395E86" w14:textId="0731540D" w:rsidR="003F5B59" w:rsidRPr="0009132C" w:rsidRDefault="00AD1726" w:rsidP="003C6C8F">
      <w:r w:rsidRPr="0009132C">
        <w:t xml:space="preserve">Two cross-sectional surveys of </w:t>
      </w:r>
      <w:r w:rsidR="001F3F3E" w:rsidRPr="0009132C">
        <w:t xml:space="preserve">clinicians </w:t>
      </w:r>
      <w:r w:rsidR="00322EA0" w:rsidRPr="0009132C">
        <w:t>who are eligible</w:t>
      </w:r>
      <w:r w:rsidR="00666439" w:rsidRPr="0009132C">
        <w:t xml:space="preserve"> for </w:t>
      </w:r>
      <w:r w:rsidR="0023782E">
        <w:t>WI programs</w:t>
      </w:r>
      <w:r w:rsidR="00334427" w:rsidRPr="0009132C">
        <w:t xml:space="preserve"> (including those participating</w:t>
      </w:r>
      <w:r w:rsidR="00D60F90" w:rsidRPr="0009132C">
        <w:t xml:space="preserve"> and others who could have participated</w:t>
      </w:r>
      <w:r w:rsidR="00334427" w:rsidRPr="0009132C">
        <w:t>)</w:t>
      </w:r>
      <w:r w:rsidRPr="0009132C">
        <w:t xml:space="preserve"> and prospective clinicians </w:t>
      </w:r>
      <w:r w:rsidR="00322EA0" w:rsidRPr="0009132C">
        <w:lastRenderedPageBreak/>
        <w:t>(students) who will be eligible for</w:t>
      </w:r>
      <w:r w:rsidR="008F5CAB" w:rsidRPr="0009132C">
        <w:t xml:space="preserve"> Demonstration</w:t>
      </w:r>
      <w:r w:rsidR="00322EA0" w:rsidRPr="0009132C">
        <w:t xml:space="preserve"> </w:t>
      </w:r>
      <w:r w:rsidR="0023782E">
        <w:t>WI programs</w:t>
      </w:r>
      <w:r w:rsidR="00322EA0" w:rsidRPr="0009132C">
        <w:t xml:space="preserve"> </w:t>
      </w:r>
      <w:r w:rsidRPr="0009132C">
        <w:t>will be conducted in SFY25 and SFY27</w:t>
      </w:r>
      <w:r w:rsidR="008F5CAB" w:rsidRPr="0009132C">
        <w:t>. These surveys will</w:t>
      </w:r>
      <w:r w:rsidRPr="0009132C">
        <w:t xml:space="preserve"> elicit providers’ preferences for </w:t>
      </w:r>
      <w:r w:rsidR="00296388" w:rsidRPr="0009132C">
        <w:t xml:space="preserve">scenarios of </w:t>
      </w:r>
      <w:r w:rsidRPr="0009132C">
        <w:t xml:space="preserve">financial and </w:t>
      </w:r>
      <w:r w:rsidR="00B60585" w:rsidRPr="0009132C">
        <w:t xml:space="preserve">non-financial incentives </w:t>
      </w:r>
      <w:r w:rsidRPr="0009132C">
        <w:t>to meet the workforce development initiative objectives using a conjoint design</w:t>
      </w:r>
      <w:r w:rsidR="007770B6" w:rsidRPr="0009132C">
        <w:t>. A conjoint analysis tool will be developed according to recommendations from the International Society for Pharmacoeconomics and Outcomes Research</w:t>
      </w:r>
      <w:r w:rsidRPr="0009132C">
        <w:t>.</w:t>
      </w:r>
      <w:r w:rsidR="001A66F0" w:rsidRPr="0009132C">
        <w:rPr>
          <w:rStyle w:val="FootnoteReference"/>
        </w:rPr>
        <w:footnoteReference w:id="4"/>
      </w:r>
      <w:r w:rsidRPr="0009132C">
        <w:t xml:space="preserve"> The survey will be administered online and include a lottery voucher of three gifts for those who complete the survey. The survey will be </w:t>
      </w:r>
      <w:r w:rsidR="00970C20" w:rsidRPr="0009132C">
        <w:t>field</w:t>
      </w:r>
      <w:r w:rsidR="00970C20">
        <w:t>-</w:t>
      </w:r>
      <w:r w:rsidRPr="0009132C">
        <w:t xml:space="preserve">tested and modified as needed. </w:t>
      </w:r>
      <w:r w:rsidR="00052B2A" w:rsidRPr="0009132C">
        <w:t xml:space="preserve">The survey will also explore </w:t>
      </w:r>
      <w:r w:rsidR="002174EB" w:rsidRPr="0009132C">
        <w:t xml:space="preserve">participating </w:t>
      </w:r>
      <w:r w:rsidR="00052B2A" w:rsidRPr="0009132C">
        <w:t>clinicians</w:t>
      </w:r>
      <w:r w:rsidR="0085546A" w:rsidRPr="0009132C">
        <w:t xml:space="preserve">’ experiences with the WI programs. </w:t>
      </w:r>
      <w:r w:rsidRPr="0009132C">
        <w:t xml:space="preserve">Details of the </w:t>
      </w:r>
      <w:r w:rsidR="00B60585" w:rsidRPr="0009132C">
        <w:t xml:space="preserve">survey are described in </w:t>
      </w:r>
      <w:hyperlink w:anchor="_Workforce_Initiatives" w:history="1">
        <w:r w:rsidR="00B60585" w:rsidRPr="00A53081">
          <w:rPr>
            <w:rStyle w:val="Hyperlink"/>
          </w:rPr>
          <w:t>Chapter 6</w:t>
        </w:r>
      </w:hyperlink>
      <w:r w:rsidR="00153D0F" w:rsidRPr="0009132C">
        <w:t xml:space="preserve"> </w:t>
      </w:r>
      <w:r w:rsidR="0084070C">
        <w:t>(</w:t>
      </w:r>
      <w:r w:rsidR="00A53081" w:rsidRPr="0009132C">
        <w:t>W</w:t>
      </w:r>
      <w:r w:rsidR="00A53081">
        <w:t>orkforce Initiatives</w:t>
      </w:r>
      <w:r w:rsidR="0084070C">
        <w:t>)</w:t>
      </w:r>
      <w:r w:rsidR="00B60585" w:rsidRPr="0009132C">
        <w:t>.</w:t>
      </w:r>
    </w:p>
    <w:p w14:paraId="715CE0A4" w14:textId="26264354" w:rsidR="003F284D" w:rsidRPr="0009132C" w:rsidRDefault="000115E6" w:rsidP="003C6C8F">
      <w:pPr>
        <w:pStyle w:val="Heading2"/>
        <w:keepNext/>
      </w:pPr>
      <w:bookmarkStart w:id="34" w:name="_Evaluation_Limitations"/>
      <w:bookmarkStart w:id="35" w:name="_Toc130209699"/>
      <w:bookmarkEnd w:id="34"/>
      <w:r>
        <w:t xml:space="preserve"> </w:t>
      </w:r>
      <w:bookmarkStart w:id="36" w:name="_Toc151976410"/>
      <w:r w:rsidR="003F284D" w:rsidRPr="0009132C">
        <w:t>Evaluation Limitations</w:t>
      </w:r>
      <w:bookmarkEnd w:id="35"/>
      <w:bookmarkEnd w:id="36"/>
      <w:r w:rsidR="003F284D" w:rsidRPr="0009132C">
        <w:t xml:space="preserve"> </w:t>
      </w:r>
    </w:p>
    <w:p w14:paraId="2AE7D74B" w14:textId="6083ED61" w:rsidR="001E3DCB" w:rsidRDefault="003F284D" w:rsidP="003C6C8F">
      <w:r w:rsidRPr="0009132C">
        <w:t xml:space="preserve">This section </w:t>
      </w:r>
      <w:r w:rsidR="00803941" w:rsidRPr="0009132C">
        <w:t>discusses</w:t>
      </w:r>
      <w:r w:rsidRPr="0009132C">
        <w:t xml:space="preserve"> limitations inherent in evaluati</w:t>
      </w:r>
      <w:r w:rsidR="00803941" w:rsidRPr="0009132C">
        <w:t>ng</w:t>
      </w:r>
      <w:r w:rsidRPr="0009132C">
        <w:t xml:space="preserve"> </w:t>
      </w:r>
      <w:r w:rsidRPr="0009132C" w:rsidDel="00803941">
        <w:t xml:space="preserve">the </w:t>
      </w:r>
      <w:r w:rsidR="005A6C00" w:rsidRPr="0009132C">
        <w:t>multiple</w:t>
      </w:r>
      <w:r w:rsidRPr="0009132C">
        <w:t xml:space="preserve"> public policies </w:t>
      </w:r>
      <w:r w:rsidR="00803941" w:rsidRPr="0009132C">
        <w:t xml:space="preserve">and </w:t>
      </w:r>
      <w:r w:rsidRPr="0009132C">
        <w:t>programs</w:t>
      </w:r>
      <w:r w:rsidR="004E5765" w:rsidRPr="0009132C">
        <w:t xml:space="preserve"> enabled by the </w:t>
      </w:r>
      <w:r w:rsidR="00556B46" w:rsidRPr="0009132C">
        <w:t>2022-2027 Demonstration</w:t>
      </w:r>
      <w:r w:rsidR="004E5765" w:rsidRPr="0009132C">
        <w:t xml:space="preserve">. </w:t>
      </w:r>
      <w:r w:rsidR="00E452BB" w:rsidRPr="0009132C">
        <w:t>I</w:t>
      </w:r>
      <w:r w:rsidR="004E5765" w:rsidRPr="0009132C">
        <w:t xml:space="preserve">ndividual </w:t>
      </w:r>
      <w:r w:rsidR="00B0246A" w:rsidRPr="0009132C">
        <w:t>Demonstration</w:t>
      </w:r>
      <w:r w:rsidR="004E5765" w:rsidRPr="0009132C">
        <w:t xml:space="preserve"> activities</w:t>
      </w:r>
      <w:r w:rsidR="005A6C00" w:rsidRPr="0009132C">
        <w:t xml:space="preserve"> overlap in time</w:t>
      </w:r>
      <w:r w:rsidR="007F312E" w:rsidRPr="0009132C">
        <w:t xml:space="preserve">, </w:t>
      </w:r>
      <w:r w:rsidR="00E452BB" w:rsidRPr="0009132C">
        <w:t xml:space="preserve">will occur </w:t>
      </w:r>
      <w:r w:rsidR="007F312E" w:rsidRPr="0009132C">
        <w:t xml:space="preserve">in the presence of </w:t>
      </w:r>
      <w:r w:rsidR="00E452BB" w:rsidRPr="0009132C">
        <w:t xml:space="preserve">(likely large, but currently unknown) </w:t>
      </w:r>
      <w:r w:rsidR="007F312E" w:rsidRPr="0009132C">
        <w:t>secular change,</w:t>
      </w:r>
      <w:r w:rsidR="005A6C00" w:rsidRPr="0009132C">
        <w:t xml:space="preserve"> and </w:t>
      </w:r>
      <w:r w:rsidR="008B2F05">
        <w:t xml:space="preserve">will </w:t>
      </w:r>
      <w:r w:rsidR="005A6C00" w:rsidRPr="0009132C">
        <w:t>affect</w:t>
      </w:r>
      <w:r w:rsidRPr="0009132C">
        <w:t xml:space="preserve"> </w:t>
      </w:r>
      <w:r w:rsidR="005A6C00" w:rsidRPr="0009132C">
        <w:t xml:space="preserve">various subsets of </w:t>
      </w:r>
      <w:r w:rsidRPr="0009132C">
        <w:t xml:space="preserve">a large and diverse </w:t>
      </w:r>
      <w:r w:rsidR="00BF7D85" w:rsidRPr="0009132C">
        <w:t xml:space="preserve">Medicaid </w:t>
      </w:r>
      <w:r w:rsidRPr="0009132C">
        <w:t>population</w:t>
      </w:r>
      <w:r w:rsidR="00E452BB" w:rsidRPr="0009132C">
        <w:t xml:space="preserve">. There will be no </w:t>
      </w:r>
      <w:r w:rsidR="00372F9A" w:rsidRPr="0009132C">
        <w:t>randomized controls</w:t>
      </w:r>
      <w:r w:rsidR="00A87D22" w:rsidRPr="0009132C">
        <w:t xml:space="preserve"> to compare observed changes to what would have happened absent these programs</w:t>
      </w:r>
      <w:r w:rsidRPr="0009132C">
        <w:t>.</w:t>
      </w:r>
      <w:r w:rsidRPr="0009132C" w:rsidDel="00372F9A">
        <w:t xml:space="preserve"> </w:t>
      </w:r>
      <w:r w:rsidR="00927FFC" w:rsidRPr="0009132C">
        <w:t>In this context</w:t>
      </w:r>
      <w:r w:rsidR="00A87D22" w:rsidRPr="0009132C">
        <w:t>, o</w:t>
      </w:r>
      <w:r w:rsidR="005C2E3F" w:rsidRPr="0009132C">
        <w:t>ur</w:t>
      </w:r>
      <w:r w:rsidR="00372F9A" w:rsidRPr="0009132C">
        <w:t xml:space="preserve"> </w:t>
      </w:r>
      <w:r w:rsidR="41440FC3" w:rsidRPr="0009132C">
        <w:t>E</w:t>
      </w:r>
      <w:r w:rsidR="00372F9A" w:rsidRPr="0009132C">
        <w:t xml:space="preserve">valuation </w:t>
      </w:r>
      <w:r w:rsidR="005C2E3F" w:rsidRPr="0009132C">
        <w:t>is designed to</w:t>
      </w:r>
      <w:r w:rsidR="00372F9A" w:rsidRPr="0009132C">
        <w:t xml:space="preserve"> </w:t>
      </w:r>
      <w:r w:rsidR="00A87D22" w:rsidRPr="0009132C">
        <w:t xml:space="preserve">accurately describe the changes that occurred and to use </w:t>
      </w:r>
      <w:r w:rsidR="00927FFC" w:rsidRPr="0009132C">
        <w:t>both analytic methods and qualitative fact-finding to</w:t>
      </w:r>
      <w:r w:rsidR="00A87D22" w:rsidRPr="0009132C">
        <w:t xml:space="preserve"> </w:t>
      </w:r>
      <w:r w:rsidR="007F312E" w:rsidRPr="0009132C">
        <w:t>shed maximal light on program effectiveness</w:t>
      </w:r>
      <w:r w:rsidR="00927FFC" w:rsidRPr="0009132C">
        <w:t>,</w:t>
      </w:r>
      <w:r w:rsidR="007F312E" w:rsidRPr="0009132C">
        <w:t xml:space="preserve"> while acknowledging the fundamental fact that true</w:t>
      </w:r>
      <w:r w:rsidRPr="0009132C">
        <w:t xml:space="preserve"> causal inference regarding the effects of specific Demonstration components</w:t>
      </w:r>
      <w:r w:rsidR="00927FFC" w:rsidRPr="0009132C">
        <w:t xml:space="preserve"> </w:t>
      </w:r>
      <w:r w:rsidR="00BA6F9B" w:rsidRPr="0009132C">
        <w:t>will be challenging</w:t>
      </w:r>
      <w:r w:rsidRPr="0009132C">
        <w:t xml:space="preserve">. </w:t>
      </w:r>
    </w:p>
    <w:p w14:paraId="1322EDA4" w14:textId="2C7D6E37" w:rsidR="003F284D" w:rsidRPr="0009132C" w:rsidRDefault="00927FFC" w:rsidP="003C6C8F">
      <w:r w:rsidRPr="0009132C">
        <w:t>Broadly, our</w:t>
      </w:r>
      <w:r w:rsidR="003F284D" w:rsidRPr="0009132C">
        <w:t xml:space="preserve"> </w:t>
      </w:r>
      <w:r w:rsidR="00EC0730" w:rsidRPr="0009132C">
        <w:t xml:space="preserve">analytic </w:t>
      </w:r>
      <w:r w:rsidR="003F284D" w:rsidRPr="0009132C">
        <w:t>approach</w:t>
      </w:r>
      <w:r w:rsidR="003F284D" w:rsidRPr="0009132C" w:rsidDel="001F3398">
        <w:t xml:space="preserve"> </w:t>
      </w:r>
      <w:r w:rsidR="001F3398" w:rsidRPr="0009132C">
        <w:t>will be</w:t>
      </w:r>
      <w:r w:rsidR="003F284D" w:rsidRPr="0009132C">
        <w:t xml:space="preserve"> to exploit naturally occurring variation in policy exposure over time (before and after implementation) and between groups </w:t>
      </w:r>
      <w:r w:rsidR="004665C0" w:rsidRPr="0009132C">
        <w:t>(</w:t>
      </w:r>
      <w:r w:rsidR="00EC0730" w:rsidRPr="0009132C">
        <w:t>that were differentially exposed</w:t>
      </w:r>
      <w:r w:rsidR="004665C0" w:rsidRPr="0009132C">
        <w:t>)</w:t>
      </w:r>
      <w:r w:rsidR="00EC0730" w:rsidRPr="0009132C">
        <w:t xml:space="preserve"> </w:t>
      </w:r>
      <w:r w:rsidR="003F284D" w:rsidRPr="0009132C">
        <w:t xml:space="preserve">to estimate </w:t>
      </w:r>
      <w:r w:rsidR="00EC0730" w:rsidRPr="0009132C">
        <w:t xml:space="preserve">policy </w:t>
      </w:r>
      <w:r w:rsidR="003F284D" w:rsidRPr="0009132C">
        <w:t>effects. However,</w:t>
      </w:r>
      <w:r w:rsidR="003F284D" w:rsidRPr="0009132C" w:rsidDel="00EC0730">
        <w:t xml:space="preserve"> </w:t>
      </w:r>
      <w:r w:rsidR="00EC0730" w:rsidRPr="0009132C">
        <w:t xml:space="preserve">there </w:t>
      </w:r>
      <w:r w:rsidR="00E54AA2" w:rsidRPr="0009132C">
        <w:t>will</w:t>
      </w:r>
      <w:r w:rsidR="00EC0730" w:rsidRPr="0009132C">
        <w:t xml:space="preserve"> be limited opportunity to </w:t>
      </w:r>
      <w:r w:rsidR="004665C0" w:rsidRPr="0009132C">
        <w:t>e</w:t>
      </w:r>
      <w:r w:rsidR="003E1171" w:rsidRPr="0009132C">
        <w:t>stim</w:t>
      </w:r>
      <w:r w:rsidR="004665C0" w:rsidRPr="0009132C">
        <w:t xml:space="preserve">ate </w:t>
      </w:r>
      <w:r w:rsidR="00E54AA2" w:rsidRPr="0009132C">
        <w:t xml:space="preserve">the effect of </w:t>
      </w:r>
      <w:r w:rsidR="004665C0" w:rsidRPr="0009132C">
        <w:t>some programs</w:t>
      </w:r>
      <w:r w:rsidR="61DC0549" w:rsidRPr="0009132C">
        <w:t>. For example, it will be difficult to estimate the effect of</w:t>
      </w:r>
      <w:r w:rsidR="004665C0" w:rsidRPr="0009132C">
        <w:t xml:space="preserve"> programs </w:t>
      </w:r>
      <w:r w:rsidR="00E54AA2" w:rsidRPr="0009132C">
        <w:t>that are offered</w:t>
      </w:r>
      <w:r w:rsidR="003E1171" w:rsidRPr="0009132C">
        <w:t xml:space="preserve"> </w:t>
      </w:r>
      <w:r w:rsidR="000D70DC" w:rsidRPr="0009132C">
        <w:t>continuously and without baseline data</w:t>
      </w:r>
      <w:r w:rsidR="00C60DE4" w:rsidRPr="0009132C">
        <w:t xml:space="preserve"> </w:t>
      </w:r>
      <w:r w:rsidR="00E54AA2" w:rsidRPr="0009132C">
        <w:t xml:space="preserve">to entire populations (with no </w:t>
      </w:r>
      <w:r w:rsidR="00F20AD5" w:rsidRPr="0009132C">
        <w:t>control population left unserved</w:t>
      </w:r>
      <w:r w:rsidR="5FBC4C4F" w:rsidRPr="0009132C">
        <w:t>)</w:t>
      </w:r>
      <w:r w:rsidR="4D8BB56A" w:rsidRPr="0009132C">
        <w:t xml:space="preserve">. It </w:t>
      </w:r>
      <w:r w:rsidR="6548A5AA" w:rsidRPr="0009132C">
        <w:t xml:space="preserve">will also be a challenge </w:t>
      </w:r>
      <w:r w:rsidR="4D8BB56A" w:rsidRPr="0009132C">
        <w:t xml:space="preserve">to estimate the effect of </w:t>
      </w:r>
      <w:r w:rsidR="2A523048" w:rsidRPr="0009132C">
        <w:t xml:space="preserve">one </w:t>
      </w:r>
      <w:r w:rsidR="4D8BB56A" w:rsidRPr="0009132C">
        <w:t>program</w:t>
      </w:r>
      <w:r w:rsidR="485238FC" w:rsidRPr="0009132C">
        <w:t xml:space="preserve"> when there are multifaceted programmatic efforts</w:t>
      </w:r>
      <w:r w:rsidR="4D8BB56A" w:rsidRPr="0009132C">
        <w:t xml:space="preserve"> that </w:t>
      </w:r>
      <w:r w:rsidR="003F284D" w:rsidRPr="0009132C" w:rsidDel="792D3CCD">
        <w:t>cannot be isolated</w:t>
      </w:r>
      <w:r w:rsidR="00E3797D" w:rsidRPr="0009132C">
        <w:t>.</w:t>
      </w:r>
      <w:r w:rsidR="792D3CCD" w:rsidRPr="0009132C">
        <w:t xml:space="preserve"> </w:t>
      </w:r>
      <w:r w:rsidR="00E35DA0" w:rsidRPr="0009132C">
        <w:t>C</w:t>
      </w:r>
      <w:r w:rsidR="003F284D" w:rsidRPr="0009132C">
        <w:t xml:space="preserve">omparisons within individuals over time without a comparison group are at risk of bias from time-varying confounding (e.g., from secular trends) and </w:t>
      </w:r>
      <w:r w:rsidR="00C60DE4" w:rsidRPr="0009132C">
        <w:t xml:space="preserve">regression </w:t>
      </w:r>
      <w:r w:rsidR="003F284D" w:rsidRPr="0009132C">
        <w:t xml:space="preserve">to the mean, while comparisons between groups without baseline data </w:t>
      </w:r>
      <w:r w:rsidR="00E35DA0" w:rsidRPr="0009132C">
        <w:t>cannot</w:t>
      </w:r>
      <w:r w:rsidR="003F284D" w:rsidRPr="0009132C">
        <w:t xml:space="preserve"> distinguish </w:t>
      </w:r>
      <w:r w:rsidR="00DF467A" w:rsidRPr="0009132C">
        <w:t xml:space="preserve">policy effects from </w:t>
      </w:r>
      <w:r w:rsidR="003F284D" w:rsidRPr="0009132C">
        <w:t xml:space="preserve">pre-existing </w:t>
      </w:r>
      <w:r w:rsidR="00DF467A" w:rsidRPr="0009132C">
        <w:t xml:space="preserve">between-group </w:t>
      </w:r>
      <w:r w:rsidR="003F284D" w:rsidRPr="0009132C">
        <w:t>differences.</w:t>
      </w:r>
    </w:p>
    <w:p w14:paraId="61D3D0BB" w14:textId="4BBDDC50" w:rsidR="008839C8" w:rsidRPr="000552D7" w:rsidRDefault="39264B07" w:rsidP="7F638223">
      <w:r w:rsidRPr="3383C28C">
        <w:t xml:space="preserve">Due to systematic differences between Medicaid members and commercial enrollees and between interstate policy environments, we plan to primarily draw comparison groups from within the MassHealth program while also exploring opportunities to obtain and leverage data from other Medicaid programs. Accessing individual-level member data from other states is challenging due to privacy and security rules, </w:t>
      </w:r>
      <w:r w:rsidR="523A97E3" w:rsidRPr="3383C28C">
        <w:t xml:space="preserve">unique considerations with each state’s data structure and quality, </w:t>
      </w:r>
      <w:r w:rsidRPr="3383C28C">
        <w:t>capacity constraints and competing priorities for Medicaid staff, and requirements that sharing such data produce</w:t>
      </w:r>
      <w:r w:rsidR="001A76FD">
        <w:t>s</w:t>
      </w:r>
      <w:r w:rsidRPr="3383C28C">
        <w:t xml:space="preserve"> information that is deemed </w:t>
      </w:r>
      <w:r w:rsidR="494D570C" w:rsidRPr="3383C28C">
        <w:t>important</w:t>
      </w:r>
      <w:r w:rsidRPr="3383C28C">
        <w:t xml:space="preserve"> to the other state sharing data. We will </w:t>
      </w:r>
      <w:r w:rsidRPr="3383C28C">
        <w:lastRenderedPageBreak/>
        <w:t>explore the feasibility of creating synthetic controls from other states with the most similar policy environments</w:t>
      </w:r>
      <w:r w:rsidR="5AF850BD" w:rsidRPr="3383C28C">
        <w:t xml:space="preserve"> </w:t>
      </w:r>
      <w:r w:rsidRPr="3383C28C">
        <w:t xml:space="preserve">using aggregated </w:t>
      </w:r>
      <w:r w:rsidR="5AF850BD" w:rsidRPr="3383C28C">
        <w:t xml:space="preserve">and publicly available </w:t>
      </w:r>
      <w:r w:rsidRPr="3383C28C">
        <w:t xml:space="preserve">data. </w:t>
      </w:r>
      <w:r>
        <w:t xml:space="preserve">However, </w:t>
      </w:r>
      <w:r w:rsidR="00BF52D2" w:rsidRPr="00BF52D2">
        <w:t>aggregate data may not be publicly available for many measures</w:t>
      </w:r>
      <w:r w:rsidR="121A74C9">
        <w:t>.</w:t>
      </w:r>
      <w:r w:rsidR="04CA5610">
        <w:t xml:space="preserve"> </w:t>
      </w:r>
      <w:r w:rsidR="3DB0E6F4">
        <w:t>Moreover, t</w:t>
      </w:r>
      <w:r w:rsidR="04CA5610">
        <w:t xml:space="preserve">he </w:t>
      </w:r>
      <w:r>
        <w:t xml:space="preserve">appropriateness of </w:t>
      </w:r>
      <w:r w:rsidR="04CA5610">
        <w:t>a synthetic control</w:t>
      </w:r>
      <w:r>
        <w:t xml:space="preserve"> approach is uncertain because Massachusetts has a unique policy environment and a </w:t>
      </w:r>
      <w:r w:rsidR="009C2AA0">
        <w:t>healthcare</w:t>
      </w:r>
      <w:r>
        <w:t xml:space="preserve"> system that falls in the tails of the distribution</w:t>
      </w:r>
      <w:r w:rsidR="121A74C9">
        <w:t xml:space="preserve"> (i.e., </w:t>
      </w:r>
      <w:r w:rsidR="22FBA0D1">
        <w:t xml:space="preserve">either </w:t>
      </w:r>
      <w:r w:rsidR="121A74C9">
        <w:t>above or below most other states)</w:t>
      </w:r>
      <w:r>
        <w:t xml:space="preserve"> for coverage, delivery system reform efforts, cost, and quality</w:t>
      </w:r>
      <w:r w:rsidR="3DB0E6F4">
        <w:t>.</w:t>
      </w:r>
      <w:r>
        <w:t xml:space="preserve"> </w:t>
      </w:r>
      <w:r w:rsidR="3DB0E6F4">
        <w:t>This</w:t>
      </w:r>
      <w:r>
        <w:t xml:space="preserve"> raises concerns that a pool of other states cannot satisfy assumptions of the method needed to represent a true counterfactual and may introduce interpolation bias.</w:t>
      </w:r>
      <w:r w:rsidR="008839C8">
        <w:rPr>
          <w:rStyle w:val="FootnoteReference"/>
        </w:rPr>
        <w:footnoteReference w:id="5"/>
      </w:r>
    </w:p>
    <w:p w14:paraId="3E035C02" w14:textId="6943749A" w:rsidR="003F284D" w:rsidRPr="0009132C" w:rsidRDefault="00773D31" w:rsidP="003C6C8F">
      <w:r w:rsidRPr="0009132C">
        <w:t>Concurrent non-</w:t>
      </w:r>
      <w:r w:rsidR="00714D6C" w:rsidRPr="0009132C">
        <w:t>Demonstration</w:t>
      </w:r>
      <w:r w:rsidR="00714D6C">
        <w:t>-</w:t>
      </w:r>
      <w:r w:rsidRPr="0009132C">
        <w:t>related p</w:t>
      </w:r>
      <w:r w:rsidR="003F284D" w:rsidRPr="0009132C">
        <w:t>olicy</w:t>
      </w:r>
      <w:r w:rsidR="003F284D" w:rsidRPr="0009132C" w:rsidDel="00070216">
        <w:t xml:space="preserve"> changes </w:t>
      </w:r>
      <w:r w:rsidR="003F284D" w:rsidRPr="0009132C">
        <w:t xml:space="preserve">at the state and federal levels </w:t>
      </w:r>
      <w:r w:rsidR="00E35DA0" w:rsidRPr="0009132C">
        <w:t>will introduce</w:t>
      </w:r>
      <w:r w:rsidR="003F284D" w:rsidRPr="0009132C">
        <w:t xml:space="preserve"> time-varying confounding</w:t>
      </w:r>
      <w:r w:rsidR="00E35DA0" w:rsidRPr="0009132C">
        <w:t>.</w:t>
      </w:r>
      <w:r w:rsidR="003F284D" w:rsidRPr="0009132C">
        <w:t xml:space="preserve"> The Massachusetts Roadmap for Behavioral Health Reform</w:t>
      </w:r>
      <w:r w:rsidR="000F5B9D">
        <w:t xml:space="preserve"> (</w:t>
      </w:r>
      <w:r w:rsidR="000E4C25">
        <w:t xml:space="preserve">BH </w:t>
      </w:r>
      <w:r w:rsidR="000F5B9D">
        <w:t>Roadmap)</w:t>
      </w:r>
      <w:r w:rsidR="003F284D" w:rsidRPr="0009132C">
        <w:t xml:space="preserve">, for example, is a multi-year plan with </w:t>
      </w:r>
      <w:r w:rsidR="00DF467A" w:rsidRPr="0009132C">
        <w:t xml:space="preserve">a range of </w:t>
      </w:r>
      <w:r w:rsidR="003F284D" w:rsidRPr="0009132C">
        <w:t xml:space="preserve">activities designed to make outpatient treatment more accessible for </w:t>
      </w:r>
      <w:r w:rsidR="00C66F3E" w:rsidRPr="0009132C">
        <w:t>all residents</w:t>
      </w:r>
      <w:r w:rsidR="003F284D" w:rsidRPr="0009132C">
        <w:t xml:space="preserve"> with BH conditions. </w:t>
      </w:r>
      <w:r w:rsidR="004506BE" w:rsidRPr="0009132C">
        <w:t>We expect to see improved access, treatment</w:t>
      </w:r>
      <w:r w:rsidR="00714D6C">
        <w:t>,</w:t>
      </w:r>
      <w:r w:rsidR="004506BE" w:rsidRPr="0009132C">
        <w:t xml:space="preserve"> and outcomes for MassHealth members with </w:t>
      </w:r>
      <w:r w:rsidR="00027D8F" w:rsidRPr="0009132C">
        <w:t>BH</w:t>
      </w:r>
      <w:r w:rsidR="00C741BE" w:rsidRPr="0009132C">
        <w:t xml:space="preserve"> conditions, </w:t>
      </w:r>
      <w:r w:rsidR="33D1232A" w:rsidRPr="0009132C">
        <w:t xml:space="preserve">and note that </w:t>
      </w:r>
      <w:r w:rsidR="00C741BE" w:rsidRPr="0009132C">
        <w:t>t</w:t>
      </w:r>
      <w:r w:rsidR="003F284D" w:rsidRPr="0009132C">
        <w:t>he</w:t>
      </w:r>
      <w:r w:rsidR="003F284D" w:rsidRPr="0009132C" w:rsidDel="00C66F3E">
        <w:t xml:space="preserve"> </w:t>
      </w:r>
      <w:r w:rsidR="00C66F3E" w:rsidRPr="0009132C">
        <w:t xml:space="preserve">state’s </w:t>
      </w:r>
      <w:r w:rsidR="003F284D" w:rsidRPr="0009132C">
        <w:t xml:space="preserve">implementation of </w:t>
      </w:r>
      <w:r w:rsidR="00C66F3E" w:rsidRPr="0009132C">
        <w:t xml:space="preserve">the </w:t>
      </w:r>
      <w:r w:rsidR="000E4C25">
        <w:t xml:space="preserve">BH </w:t>
      </w:r>
      <w:r w:rsidR="00C66F3E" w:rsidRPr="0009132C">
        <w:t>Roadmap (</w:t>
      </w:r>
      <w:r w:rsidR="00176734" w:rsidRPr="0009132C">
        <w:t xml:space="preserve">with certain </w:t>
      </w:r>
      <w:r w:rsidR="00395821" w:rsidRPr="0009132C">
        <w:t xml:space="preserve">major components </w:t>
      </w:r>
      <w:r w:rsidR="00C66F3E" w:rsidRPr="0009132C">
        <w:t xml:space="preserve">starting in January 2023) will </w:t>
      </w:r>
      <w:r w:rsidR="3671DE90" w:rsidRPr="0009132C">
        <w:t>impact</w:t>
      </w:r>
      <w:r w:rsidR="00C741BE" w:rsidRPr="0009132C">
        <w:t xml:space="preserve"> our ability to</w:t>
      </w:r>
      <w:r w:rsidR="003F284D" w:rsidRPr="0009132C">
        <w:t xml:space="preserve"> </w:t>
      </w:r>
      <w:r w:rsidR="00C741BE" w:rsidRPr="0009132C">
        <w:t xml:space="preserve">identify </w:t>
      </w:r>
      <w:r w:rsidR="003F284D" w:rsidRPr="0009132C">
        <w:t xml:space="preserve">the effects of Demonstration activities targeting the same population. </w:t>
      </w:r>
      <w:r w:rsidR="00C741BE" w:rsidRPr="0009132C">
        <w:t xml:space="preserve">We will use qualitative methods, including interviews with program administrators and program recipients, to </w:t>
      </w:r>
      <w:r w:rsidR="000A020E" w:rsidRPr="0009132C">
        <w:t>mitigate</w:t>
      </w:r>
      <w:r w:rsidR="00C741BE" w:rsidRPr="0009132C">
        <w:t xml:space="preserve"> this fundamental limitation.</w:t>
      </w:r>
    </w:p>
    <w:p w14:paraId="21ED91BE" w14:textId="76F86424" w:rsidR="003F284D" w:rsidRPr="0009132C" w:rsidRDefault="00C741BE" w:rsidP="003C6C8F">
      <w:r w:rsidRPr="0009132C">
        <w:t>P</w:t>
      </w:r>
      <w:r w:rsidR="003F284D" w:rsidRPr="0009132C">
        <w:t xml:space="preserve">ublic health challenges and policy responses to the COVID-19 pandemic </w:t>
      </w:r>
      <w:r w:rsidRPr="0009132C">
        <w:t xml:space="preserve">are </w:t>
      </w:r>
      <w:r w:rsidR="003F284D" w:rsidRPr="0009132C">
        <w:t xml:space="preserve">another source of time-varying confounding. Throughout the federal Public Health Emergency (PHE), for example, many organizations have experienced financial, workforce, and technology challenges </w:t>
      </w:r>
      <w:r w:rsidR="00953089" w:rsidRPr="0009132C">
        <w:t>affecting their</w:t>
      </w:r>
      <w:r w:rsidR="003F284D" w:rsidRPr="0009132C" w:rsidDel="00953089">
        <w:t xml:space="preserve"> </w:t>
      </w:r>
      <w:r w:rsidR="003F284D" w:rsidRPr="0009132C">
        <w:t xml:space="preserve">performance. MassHealth enrollment increased throughout the PHE due to the continuous enrollment provision of the Families First Coronavirus Response Act, helping many members maintain </w:t>
      </w:r>
      <w:r w:rsidR="005747C6" w:rsidRPr="0009132C">
        <w:t xml:space="preserve">continuous </w:t>
      </w:r>
      <w:r w:rsidR="003F284D" w:rsidRPr="0009132C">
        <w:t xml:space="preserve">coverage. </w:t>
      </w:r>
      <w:r w:rsidR="027F9499" w:rsidRPr="0009132C">
        <w:t xml:space="preserve">The Consolidated Appropriations Act, 2023 detached the continuous enrollment provision from the PHE as of April 1, </w:t>
      </w:r>
      <w:r w:rsidR="003F284D" w:rsidRPr="0009132C">
        <w:t xml:space="preserve">2023, </w:t>
      </w:r>
      <w:r w:rsidR="003F284D" w:rsidRPr="0009132C" w:rsidDel="009145AC">
        <w:t xml:space="preserve">requiring </w:t>
      </w:r>
      <w:r w:rsidR="003F284D" w:rsidRPr="0009132C">
        <w:t>redeterminations of member eligibility</w:t>
      </w:r>
      <w:r w:rsidR="00167C47" w:rsidRPr="0009132C">
        <w:t xml:space="preserve"> to maintain enrollment</w:t>
      </w:r>
      <w:r w:rsidR="003F284D" w:rsidRPr="0009132C">
        <w:t xml:space="preserve">. </w:t>
      </w:r>
      <w:r w:rsidR="00167C47" w:rsidRPr="0009132C">
        <w:t xml:space="preserve">Program membership is </w:t>
      </w:r>
      <w:r w:rsidR="00183BD8" w:rsidRPr="0009132C">
        <w:t>expected</w:t>
      </w:r>
      <w:r w:rsidR="00167C47" w:rsidRPr="0009132C">
        <w:t xml:space="preserve"> to d</w:t>
      </w:r>
      <w:r w:rsidR="00473257" w:rsidRPr="0009132C">
        <w:t>ecline</w:t>
      </w:r>
      <w:r w:rsidR="00167C47" w:rsidRPr="0009132C">
        <w:t xml:space="preserve"> </w:t>
      </w:r>
      <w:r w:rsidR="003F284D" w:rsidRPr="0009132C">
        <w:t>during</w:t>
      </w:r>
      <w:r w:rsidR="003F284D" w:rsidRPr="0009132C" w:rsidDel="00473257">
        <w:t xml:space="preserve"> </w:t>
      </w:r>
      <w:r w:rsidR="003F284D" w:rsidRPr="0009132C">
        <w:t xml:space="preserve">PHE </w:t>
      </w:r>
      <w:r w:rsidR="4A787517" w:rsidRPr="0009132C">
        <w:t>“</w:t>
      </w:r>
      <w:r w:rsidR="003F284D" w:rsidRPr="0009132C">
        <w:t>eligibility unwinding</w:t>
      </w:r>
      <w:r w:rsidR="4D0E6C3A" w:rsidRPr="0009132C">
        <w:t>” as members are redetermined</w:t>
      </w:r>
      <w:r w:rsidR="00473257" w:rsidRPr="0009132C">
        <w:t xml:space="preserve">, and </w:t>
      </w:r>
      <w:r w:rsidR="00F2365C">
        <w:t xml:space="preserve">the </w:t>
      </w:r>
      <w:r w:rsidR="00473257" w:rsidRPr="0009132C">
        <w:t>resulting effects on the experience of continuing members will</w:t>
      </w:r>
      <w:r w:rsidR="003F284D" w:rsidRPr="0009132C">
        <w:t xml:space="preserve"> be difficult to disentangle from the </w:t>
      </w:r>
      <w:r w:rsidR="00473257" w:rsidRPr="0009132C">
        <w:t xml:space="preserve">effects </w:t>
      </w:r>
      <w:r w:rsidR="003F284D" w:rsidRPr="0009132C">
        <w:t>of Demonstration coverage and eligibility policies</w:t>
      </w:r>
      <w:r w:rsidR="00473257" w:rsidRPr="0009132C">
        <w:t xml:space="preserve">. </w:t>
      </w:r>
      <w:r w:rsidR="002959B8" w:rsidRPr="0009132C">
        <w:t>Changes in</w:t>
      </w:r>
      <w:r w:rsidR="00B75DCE" w:rsidRPr="0009132C">
        <w:t xml:space="preserve"> the enrolled </w:t>
      </w:r>
      <w:r w:rsidR="003F284D" w:rsidRPr="0009132C">
        <w:t xml:space="preserve">member </w:t>
      </w:r>
      <w:r w:rsidR="00DB5EAC" w:rsidRPr="0009132C">
        <w:t xml:space="preserve">population </w:t>
      </w:r>
      <w:r w:rsidR="0041005C" w:rsidRPr="0009132C">
        <w:t>are not random and introduce</w:t>
      </w:r>
      <w:r w:rsidR="003F284D" w:rsidRPr="0009132C">
        <w:t xml:space="preserve"> confounding</w:t>
      </w:r>
      <w:r w:rsidR="00473257" w:rsidRPr="0009132C">
        <w:t xml:space="preserve"> </w:t>
      </w:r>
      <w:r w:rsidR="0041005C" w:rsidRPr="0009132C">
        <w:t xml:space="preserve">into longitudinal analyses </w:t>
      </w:r>
      <w:r w:rsidR="00473257" w:rsidRPr="0009132C">
        <w:t>that</w:t>
      </w:r>
      <w:r w:rsidR="0041005C" w:rsidRPr="0009132C">
        <w:t xml:space="preserve"> </w:t>
      </w:r>
      <w:r w:rsidR="00FC58A4" w:rsidRPr="0009132C">
        <w:t>may</w:t>
      </w:r>
      <w:r w:rsidR="0041005C" w:rsidRPr="0009132C">
        <w:t xml:space="preserve"> only partially</w:t>
      </w:r>
      <w:r w:rsidR="00473257" w:rsidRPr="0009132C">
        <w:t xml:space="preserve"> be addressed </w:t>
      </w:r>
      <w:r w:rsidR="00156C85" w:rsidRPr="0009132C">
        <w:t xml:space="preserve">analytically </w:t>
      </w:r>
      <w:r w:rsidR="00473257" w:rsidRPr="0009132C">
        <w:t>when</w:t>
      </w:r>
      <w:r w:rsidR="003F284D" w:rsidRPr="0009132C">
        <w:t xml:space="preserve"> </w:t>
      </w:r>
      <w:r w:rsidR="00473257" w:rsidRPr="0009132C">
        <w:t xml:space="preserve">evaluating </w:t>
      </w:r>
      <w:r w:rsidR="003F284D" w:rsidRPr="0009132C">
        <w:t xml:space="preserve">other Demonstration policies. </w:t>
      </w:r>
      <w:r w:rsidR="2E2EDF16" w:rsidRPr="0009132C">
        <w:t xml:space="preserve">It is particularly challenging to isolate and evaluate coverage and eligibility policies in the context of the unwinding time period. </w:t>
      </w:r>
      <w:r w:rsidR="00097E2F" w:rsidRPr="0009132C">
        <w:t xml:space="preserve">This evaluation will </w:t>
      </w:r>
      <w:r w:rsidR="00CA70CE" w:rsidRPr="0009132C">
        <w:t>capture the</w:t>
      </w:r>
      <w:r w:rsidR="00132B5D" w:rsidRPr="0009132C">
        <w:t xml:space="preserve"> </w:t>
      </w:r>
      <w:r w:rsidR="00F752CF" w:rsidRPr="0009132C">
        <w:t>trend of changes</w:t>
      </w:r>
      <w:r w:rsidR="00C11AC8">
        <w:t>,</w:t>
      </w:r>
      <w:r w:rsidR="00F752CF" w:rsidRPr="0009132C">
        <w:t xml:space="preserve"> </w:t>
      </w:r>
      <w:r w:rsidR="00CA70CE" w:rsidRPr="0009132C">
        <w:t xml:space="preserve">including </w:t>
      </w:r>
      <w:r w:rsidR="004E07BF" w:rsidRPr="0009132C">
        <w:t>utilizing</w:t>
      </w:r>
      <w:r w:rsidR="00CA70CE" w:rsidRPr="0009132C">
        <w:t xml:space="preserve"> pre-PHE data as </w:t>
      </w:r>
      <w:r w:rsidR="006C6311">
        <w:t xml:space="preserve">a </w:t>
      </w:r>
      <w:r w:rsidR="00CA70CE" w:rsidRPr="0009132C">
        <w:t xml:space="preserve">baseline to minimize the bias of estimates impacted by PHE. </w:t>
      </w:r>
    </w:p>
    <w:p w14:paraId="31FCF7C5" w14:textId="1B186CFA" w:rsidR="003F284D" w:rsidRPr="0009132C" w:rsidRDefault="003F284D" w:rsidP="003C6C8F">
      <w:r w:rsidRPr="0009132C">
        <w:t xml:space="preserve">Finally, we recognize that certain data sources used for </w:t>
      </w:r>
      <w:r w:rsidR="005B0409">
        <w:t>e</w:t>
      </w:r>
      <w:r w:rsidR="005B0409" w:rsidRPr="0009132C">
        <w:t xml:space="preserve">valuation </w:t>
      </w:r>
      <w:r w:rsidRPr="0009132C">
        <w:t>activities are subject to uncertainty regarding availability</w:t>
      </w:r>
      <w:r w:rsidR="00AB4D59">
        <w:t>. E</w:t>
      </w:r>
      <w:r w:rsidRPr="0009132C">
        <w:t xml:space="preserve">ach data source has its own potential sources of bias, </w:t>
      </w:r>
      <w:r w:rsidR="007D0EC5" w:rsidRPr="0009132C">
        <w:t>which will be discussed</w:t>
      </w:r>
      <w:r w:rsidRPr="0009132C">
        <w:t xml:space="preserve"> in the </w:t>
      </w:r>
      <w:r w:rsidR="00E9615E" w:rsidRPr="0009132C">
        <w:t xml:space="preserve">relevant </w:t>
      </w:r>
      <w:r w:rsidRPr="0009132C">
        <w:t xml:space="preserve">chapters. </w:t>
      </w:r>
    </w:p>
    <w:p w14:paraId="50BA20EC" w14:textId="35F1BA63" w:rsidR="003F284D" w:rsidRPr="0009132C" w:rsidRDefault="000115E6" w:rsidP="003C6C8F">
      <w:pPr>
        <w:pStyle w:val="Heading2"/>
      </w:pPr>
      <w:bookmarkStart w:id="37" w:name="_Toc130209700"/>
      <w:r>
        <w:lastRenderedPageBreak/>
        <w:t xml:space="preserve"> </w:t>
      </w:r>
      <w:bookmarkStart w:id="38" w:name="_Toc151976411"/>
      <w:r w:rsidR="00F47EB8" w:rsidRPr="0009132C">
        <w:t xml:space="preserve">EDD </w:t>
      </w:r>
      <w:r w:rsidR="003F284D" w:rsidRPr="0009132C">
        <w:t>Timeline, Milestones</w:t>
      </w:r>
      <w:r w:rsidR="00F47EB8" w:rsidRPr="0009132C">
        <w:t xml:space="preserve">, </w:t>
      </w:r>
      <w:r w:rsidR="003F284D" w:rsidRPr="0009132C">
        <w:t>Deliverables</w:t>
      </w:r>
      <w:bookmarkEnd w:id="37"/>
      <w:r w:rsidR="00F47EB8" w:rsidRPr="0009132C">
        <w:t xml:space="preserve"> and Budget</w:t>
      </w:r>
      <w:bookmarkEnd w:id="38"/>
    </w:p>
    <w:p w14:paraId="504DFDFC" w14:textId="69682EA2" w:rsidR="00CD7437" w:rsidRPr="0009132C" w:rsidRDefault="003F284D" w:rsidP="003C6C8F">
      <w:r w:rsidRPr="0009132C">
        <w:t xml:space="preserve">Key milestones and deliverables for the evaluation are mapped out in </w:t>
      </w:r>
      <w:r w:rsidR="0029247A" w:rsidRPr="000325BF">
        <w:rPr>
          <w:color w:val="000F9F"/>
          <w:u w:val="single"/>
        </w:rPr>
        <w:fldChar w:fldCharType="begin"/>
      </w:r>
      <w:r w:rsidR="0029247A" w:rsidRPr="000325BF">
        <w:rPr>
          <w:color w:val="000F9F"/>
          <w:u w:val="single"/>
        </w:rPr>
        <w:instrText xml:space="preserve"> REF _Ref151462139 \h </w:instrText>
      </w:r>
      <w:r w:rsidR="0029247A" w:rsidRPr="000325BF">
        <w:rPr>
          <w:color w:val="000F9F"/>
          <w:u w:val="single"/>
        </w:rPr>
      </w:r>
      <w:r w:rsidR="0029247A" w:rsidRPr="000325BF">
        <w:rPr>
          <w:color w:val="000F9F"/>
          <w:u w:val="single"/>
        </w:rPr>
        <w:fldChar w:fldCharType="separate"/>
      </w:r>
      <w:r w:rsidR="0029247A" w:rsidRPr="000325BF">
        <w:rPr>
          <w:color w:val="000F9F"/>
          <w:u w:val="single"/>
        </w:rPr>
        <w:t xml:space="preserve">Table </w:t>
      </w:r>
      <w:r w:rsidR="0029247A" w:rsidRPr="000325BF">
        <w:rPr>
          <w:noProof/>
          <w:color w:val="000F9F"/>
          <w:u w:val="single"/>
        </w:rPr>
        <w:t>1</w:t>
      </w:r>
      <w:r w:rsidR="0029247A" w:rsidRPr="000325BF">
        <w:rPr>
          <w:color w:val="000F9F"/>
          <w:u w:val="single"/>
        </w:rPr>
        <w:noBreakHyphen/>
      </w:r>
      <w:r w:rsidR="0029247A" w:rsidRPr="000325BF">
        <w:rPr>
          <w:noProof/>
          <w:color w:val="000F9F"/>
          <w:u w:val="single"/>
        </w:rPr>
        <w:t>4</w:t>
      </w:r>
      <w:r w:rsidR="0029247A" w:rsidRPr="000325BF">
        <w:rPr>
          <w:color w:val="000F9F"/>
          <w:u w:val="single"/>
        </w:rPr>
        <w:fldChar w:fldCharType="end"/>
      </w:r>
      <w:r w:rsidRPr="0009132C">
        <w:t xml:space="preserve">. The draft IEIR is due to CMS </w:t>
      </w:r>
      <w:r w:rsidRPr="0029247A">
        <w:t xml:space="preserve">by </w:t>
      </w:r>
      <w:r w:rsidR="00AC225C">
        <w:t xml:space="preserve">December </w:t>
      </w:r>
      <w:r w:rsidRPr="0029247A">
        <w:t>31</w:t>
      </w:r>
      <w:r w:rsidR="00AC225C">
        <w:t xml:space="preserve">, </w:t>
      </w:r>
      <w:r w:rsidRPr="0029247A">
        <w:t xml:space="preserve">2026. The IEIR will include primary data collected through </w:t>
      </w:r>
      <w:r w:rsidR="00396DF6" w:rsidRPr="0029247A">
        <w:t>CY</w:t>
      </w:r>
      <w:r w:rsidRPr="0029247A">
        <w:t xml:space="preserve">2025 and secondary data through </w:t>
      </w:r>
      <w:r w:rsidR="00396DF6" w:rsidRPr="0029247A">
        <w:t>CY</w:t>
      </w:r>
      <w:r w:rsidRPr="0029247A">
        <w:t xml:space="preserve">2024. The IEIR will primarily be focused on addressing research questions regarding the implementation of new policies and descriptive analyses of changes in processes, outcomes, and costs over time. The draft </w:t>
      </w:r>
      <w:r w:rsidR="00DF46C8" w:rsidRPr="0029247A">
        <w:t>I</w:t>
      </w:r>
      <w:r w:rsidR="00627411" w:rsidRPr="0029247A">
        <w:t>ndependent</w:t>
      </w:r>
      <w:r w:rsidRPr="0029247A">
        <w:t xml:space="preserve"> Evaluation Summative Report (</w:t>
      </w:r>
      <w:r w:rsidR="00627411" w:rsidRPr="0029247A">
        <w:t>I</w:t>
      </w:r>
      <w:r w:rsidRPr="0029247A">
        <w:t xml:space="preserve">ESR) is due to </w:t>
      </w:r>
      <w:r w:rsidR="00E54EFD" w:rsidRPr="0029247A">
        <w:t>CMS</w:t>
      </w:r>
      <w:r w:rsidRPr="0029247A">
        <w:t xml:space="preserve"> by </w:t>
      </w:r>
      <w:r w:rsidR="00AC225C">
        <w:t xml:space="preserve">June </w:t>
      </w:r>
      <w:r w:rsidRPr="0029247A">
        <w:t>30</w:t>
      </w:r>
      <w:r w:rsidR="00AC225C">
        <w:t xml:space="preserve">, </w:t>
      </w:r>
      <w:r w:rsidRPr="0029247A">
        <w:t>2029</w:t>
      </w:r>
      <w:r w:rsidRPr="0009132C">
        <w:t xml:space="preserve"> and will address all research questions and analyses specified in the evaluation design.</w:t>
      </w:r>
      <w:r w:rsidR="00CD7437" w:rsidRPr="0009132C">
        <w:t xml:space="preserve"> </w:t>
      </w:r>
      <w:r w:rsidR="00D238ED" w:rsidRPr="0009132C">
        <w:t xml:space="preserve">The draft Evaluation </w:t>
      </w:r>
      <w:r w:rsidR="005318D4" w:rsidRPr="0009132C">
        <w:t>Budget and Budget Narratives are included in</w:t>
      </w:r>
      <w:r w:rsidR="00CD7437" w:rsidRPr="008A3252">
        <w:t xml:space="preserve"> </w:t>
      </w:r>
      <w:r w:rsidR="00CD7437" w:rsidRPr="000325BF">
        <w:t>Attachment 1</w:t>
      </w:r>
      <w:r w:rsidR="00E67FCC" w:rsidRPr="008A3252">
        <w:t>.</w:t>
      </w:r>
    </w:p>
    <w:p w14:paraId="0F8DEE34" w14:textId="5B159778" w:rsidR="003F284D" w:rsidRPr="0009132C" w:rsidRDefault="003F284D" w:rsidP="003F284D">
      <w:pPr>
        <w:sectPr w:rsidR="003F284D" w:rsidRPr="0009132C" w:rsidSect="00744E1B">
          <w:pgSz w:w="12240" w:h="15840"/>
          <w:pgMar w:top="1440" w:right="1440" w:bottom="1242" w:left="1440" w:header="720" w:footer="576" w:gutter="0"/>
          <w:cols w:space="720"/>
          <w:docGrid w:linePitch="360"/>
        </w:sectPr>
      </w:pPr>
    </w:p>
    <w:p w14:paraId="3B1D0E91" w14:textId="7712867F" w:rsidR="00D10DD5" w:rsidRDefault="00D10DD5" w:rsidP="00D10DD5">
      <w:pPr>
        <w:pStyle w:val="Caption"/>
        <w:keepNext/>
      </w:pPr>
      <w:bookmarkStart w:id="39" w:name="_Ref151462139"/>
      <w:bookmarkStart w:id="40" w:name="_Toc151976454"/>
      <w:r>
        <w:lastRenderedPageBreak/>
        <w:t xml:space="preserve">Table </w:t>
      </w:r>
      <w:r>
        <w:fldChar w:fldCharType="begin"/>
      </w:r>
      <w:r>
        <w:instrText>STYLEREF 1 \s</w:instrText>
      </w:r>
      <w:r>
        <w:fldChar w:fldCharType="separate"/>
      </w:r>
      <w:r w:rsidR="00EB7B05">
        <w:rPr>
          <w:noProof/>
        </w:rPr>
        <w:t>1</w:t>
      </w:r>
      <w:r>
        <w:fldChar w:fldCharType="end"/>
      </w:r>
      <w:r w:rsidR="00433675">
        <w:noBreakHyphen/>
      </w:r>
      <w:r>
        <w:fldChar w:fldCharType="begin"/>
      </w:r>
      <w:r>
        <w:instrText>SEQ Table \* ARABIC \s 1</w:instrText>
      </w:r>
      <w:r>
        <w:fldChar w:fldCharType="separate"/>
      </w:r>
      <w:r w:rsidR="00EB7B05">
        <w:rPr>
          <w:noProof/>
        </w:rPr>
        <w:t>4</w:t>
      </w:r>
      <w:r>
        <w:fldChar w:fldCharType="end"/>
      </w:r>
      <w:bookmarkEnd w:id="39"/>
      <w:r>
        <w:t xml:space="preserve">: </w:t>
      </w:r>
      <w:r w:rsidRPr="00BD55F1">
        <w:t>Independent Evaluation Timeline, Milestones, and Deliverables</w:t>
      </w:r>
      <w:r w:rsidR="001C5A86">
        <w:t>*</w:t>
      </w:r>
      <w:bookmarkEnd w:id="40"/>
    </w:p>
    <w:p w14:paraId="078CCF80" w14:textId="77777777" w:rsidR="00183E55" w:rsidRDefault="00183E55" w:rsidP="00183E55">
      <w:pPr>
        <w:pStyle w:val="TableorFigurefootnote"/>
        <w:spacing w:before="20" w:after="200"/>
      </w:pPr>
      <w:r>
        <w:t>*</w:t>
      </w:r>
      <w:r w:rsidRPr="00004444">
        <w:t xml:space="preserve"> Delivery of final document or report contingent on receipt of CMS feedback</w:t>
      </w:r>
      <w:bookmarkStart w:id="41" w:name="MassHealth_has_executed_an_Interdepartme"/>
      <w:bookmarkEnd w:id="41"/>
      <w:r w:rsidRPr="00004444">
        <w:t xml:space="preserve">. </w:t>
      </w:r>
      <w:r w:rsidRPr="008B0C5D">
        <w:t xml:space="preserve"> </w:t>
      </w:r>
    </w:p>
    <w:p w14:paraId="40011E7E" w14:textId="06F6CF26" w:rsidR="00183E55" w:rsidRPr="008B0C5D" w:rsidRDefault="00183E55" w:rsidP="00183E55">
      <w:pPr>
        <w:pStyle w:val="TableorFigurefootnote"/>
        <w:spacing w:before="20" w:after="200"/>
      </w:pPr>
      <w:r>
        <w:t>Key</w:t>
      </w:r>
      <w:r w:rsidRPr="007B5F84">
        <w:t xml:space="preserve">: </w:t>
      </w:r>
      <w:r w:rsidR="003320A8" w:rsidRPr="007B5F84">
        <w:t>Date of Milestone or Deliverable</w:t>
      </w:r>
      <w:r w:rsidR="007B5F84">
        <w:t xml:space="preserve"> </w:t>
      </w:r>
      <w:r w:rsidR="00D473CC" w:rsidRPr="007B5F84">
        <w:t>=</w:t>
      </w:r>
      <w:r w:rsidR="00D473CC">
        <w:t xml:space="preserve"> D;  </w:t>
      </w:r>
      <w:r w:rsidR="007B5F84">
        <w:t xml:space="preserve">   </w:t>
      </w:r>
      <w:r w:rsidR="00D473CC">
        <w:t xml:space="preserve">Time period that </w:t>
      </w:r>
      <w:r w:rsidR="00C971B1">
        <w:t>Demonstration</w:t>
      </w:r>
      <w:r w:rsidR="00D473CC">
        <w:t xml:space="preserve"> is active </w:t>
      </w:r>
      <w:r w:rsidRPr="001C772C">
        <w:t xml:space="preserve">= </w:t>
      </w:r>
      <w:r>
        <w:t>X</w:t>
      </w:r>
      <w:r w:rsidR="007B5F84">
        <w:t>;</w:t>
      </w:r>
      <w:r w:rsidR="004C3428">
        <w:t xml:space="preserve"> </w:t>
      </w:r>
      <w:r>
        <w:t xml:space="preserve"> </w:t>
      </w:r>
      <w:r w:rsidR="007B5F84">
        <w:t xml:space="preserve">    </w:t>
      </w:r>
      <w:r>
        <w:t>No activity</w:t>
      </w:r>
      <w:r w:rsidR="00D473CC">
        <w:t xml:space="preserve"> </w:t>
      </w:r>
      <w:r>
        <w:t xml:space="preserve">= –       </w:t>
      </w:r>
    </w:p>
    <w:tbl>
      <w:tblPr>
        <w:tblStyle w:val="FHCTablestyle9sm"/>
        <w:tblW w:w="13576" w:type="dxa"/>
        <w:tblLayout w:type="fixed"/>
        <w:tblLook w:val="04A0" w:firstRow="1" w:lastRow="0" w:firstColumn="1" w:lastColumn="0" w:noHBand="0" w:noVBand="1"/>
      </w:tblPr>
      <w:tblGrid>
        <w:gridCol w:w="1995"/>
        <w:gridCol w:w="383"/>
        <w:gridCol w:w="383"/>
        <w:gridCol w:w="383"/>
        <w:gridCol w:w="387"/>
        <w:gridCol w:w="387"/>
        <w:gridCol w:w="387"/>
        <w:gridCol w:w="387"/>
        <w:gridCol w:w="388"/>
        <w:gridCol w:w="388"/>
        <w:gridCol w:w="388"/>
        <w:gridCol w:w="388"/>
        <w:gridCol w:w="388"/>
        <w:gridCol w:w="388"/>
        <w:gridCol w:w="388"/>
        <w:gridCol w:w="388"/>
        <w:gridCol w:w="388"/>
        <w:gridCol w:w="388"/>
        <w:gridCol w:w="388"/>
        <w:gridCol w:w="388"/>
        <w:gridCol w:w="388"/>
        <w:gridCol w:w="384"/>
        <w:gridCol w:w="384"/>
        <w:gridCol w:w="384"/>
        <w:gridCol w:w="384"/>
        <w:gridCol w:w="384"/>
        <w:gridCol w:w="384"/>
        <w:gridCol w:w="384"/>
        <w:gridCol w:w="384"/>
        <w:gridCol w:w="384"/>
        <w:gridCol w:w="384"/>
      </w:tblGrid>
      <w:tr w:rsidR="0020559B" w:rsidRPr="00AC573C" w14:paraId="7CC54C21" w14:textId="77777777" w:rsidTr="00B94692">
        <w:trPr>
          <w:cnfStyle w:val="100000000000" w:firstRow="1" w:lastRow="0" w:firstColumn="0" w:lastColumn="0" w:oddVBand="0" w:evenVBand="0" w:oddHBand="0" w:evenHBand="0" w:firstRowFirstColumn="0" w:firstRowLastColumn="0" w:lastRowFirstColumn="0" w:lastRowLastColumn="0"/>
          <w:trHeight w:val="248"/>
          <w:tblHeader/>
        </w:trPr>
        <w:tc>
          <w:tcPr>
            <w:cnfStyle w:val="001000000000" w:firstRow="0" w:lastRow="0" w:firstColumn="1" w:lastColumn="0" w:oddVBand="0" w:evenVBand="0" w:oddHBand="0" w:evenHBand="0" w:firstRowFirstColumn="0" w:firstRowLastColumn="0" w:lastRowFirstColumn="0" w:lastRowLastColumn="0"/>
            <w:tcW w:w="1995" w:type="dxa"/>
            <w:tcBorders>
              <w:right w:val="single" w:sz="8" w:space="0" w:color="auto"/>
            </w:tcBorders>
            <w:noWrap/>
          </w:tcPr>
          <w:p w14:paraId="05FB9C12" w14:textId="77777777" w:rsidR="00183E55" w:rsidRPr="00004444" w:rsidRDefault="00183E55" w:rsidP="00B94692">
            <w:pPr>
              <w:rPr>
                <w:rFonts w:cstheme="minorHAnsi"/>
                <w:sz w:val="16"/>
                <w:szCs w:val="16"/>
              </w:rPr>
            </w:pPr>
            <w:r w:rsidRPr="00004444">
              <w:rPr>
                <w:rFonts w:cstheme="minorHAnsi"/>
                <w:sz w:val="16"/>
                <w:szCs w:val="16"/>
              </w:rPr>
              <w:t>State Fiscal Year</w:t>
            </w:r>
          </w:p>
        </w:tc>
        <w:tc>
          <w:tcPr>
            <w:tcW w:w="383" w:type="dxa"/>
            <w:tcBorders>
              <w:top w:val="single" w:sz="8" w:space="0" w:color="auto"/>
              <w:left w:val="single" w:sz="8" w:space="0" w:color="auto"/>
              <w:bottom w:val="single" w:sz="8" w:space="0" w:color="auto"/>
            </w:tcBorders>
          </w:tcPr>
          <w:p w14:paraId="209F1F48"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004444">
              <w:rPr>
                <w:rFonts w:cstheme="minorHAnsi"/>
                <w:sz w:val="16"/>
                <w:szCs w:val="16"/>
              </w:rPr>
              <w:t>23 Q1</w:t>
            </w:r>
          </w:p>
        </w:tc>
        <w:tc>
          <w:tcPr>
            <w:tcW w:w="383" w:type="dxa"/>
            <w:tcBorders>
              <w:top w:val="single" w:sz="8" w:space="0" w:color="auto"/>
              <w:bottom w:val="single" w:sz="8" w:space="0" w:color="auto"/>
            </w:tcBorders>
          </w:tcPr>
          <w:p w14:paraId="137FBE3D"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004444">
              <w:rPr>
                <w:rFonts w:cstheme="minorHAnsi"/>
                <w:sz w:val="16"/>
                <w:szCs w:val="16"/>
              </w:rPr>
              <w:t>23 Q2</w:t>
            </w:r>
          </w:p>
        </w:tc>
        <w:tc>
          <w:tcPr>
            <w:tcW w:w="383" w:type="dxa"/>
            <w:tcBorders>
              <w:top w:val="single" w:sz="8" w:space="0" w:color="auto"/>
              <w:bottom w:val="single" w:sz="8" w:space="0" w:color="auto"/>
            </w:tcBorders>
          </w:tcPr>
          <w:p w14:paraId="26B1DCAA"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004444">
              <w:rPr>
                <w:rFonts w:cstheme="minorHAnsi"/>
                <w:sz w:val="16"/>
                <w:szCs w:val="16"/>
              </w:rPr>
              <w:t>23 Q3</w:t>
            </w:r>
          </w:p>
        </w:tc>
        <w:tc>
          <w:tcPr>
            <w:tcW w:w="387" w:type="dxa"/>
            <w:tcBorders>
              <w:top w:val="single" w:sz="8" w:space="0" w:color="auto"/>
              <w:bottom w:val="single" w:sz="8" w:space="0" w:color="auto"/>
              <w:right w:val="single" w:sz="8" w:space="0" w:color="auto"/>
            </w:tcBorders>
          </w:tcPr>
          <w:p w14:paraId="106B2992"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004444">
              <w:rPr>
                <w:rFonts w:cstheme="minorHAnsi"/>
                <w:sz w:val="16"/>
                <w:szCs w:val="16"/>
              </w:rPr>
              <w:t>23 Q4</w:t>
            </w:r>
          </w:p>
        </w:tc>
        <w:tc>
          <w:tcPr>
            <w:tcW w:w="387" w:type="dxa"/>
            <w:tcBorders>
              <w:top w:val="single" w:sz="8" w:space="0" w:color="auto"/>
              <w:left w:val="single" w:sz="8" w:space="0" w:color="auto"/>
              <w:bottom w:val="single" w:sz="8" w:space="0" w:color="auto"/>
            </w:tcBorders>
            <w:shd w:val="clear" w:color="auto" w:fill="C2E3FF" w:themeFill="accent1" w:themeFillTint="33"/>
          </w:tcPr>
          <w:p w14:paraId="7A268846"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004444">
              <w:rPr>
                <w:rFonts w:cstheme="minorHAnsi"/>
                <w:sz w:val="16"/>
                <w:szCs w:val="16"/>
              </w:rPr>
              <w:t>24 Q1</w:t>
            </w:r>
          </w:p>
        </w:tc>
        <w:tc>
          <w:tcPr>
            <w:tcW w:w="387" w:type="dxa"/>
            <w:tcBorders>
              <w:top w:val="single" w:sz="8" w:space="0" w:color="auto"/>
              <w:bottom w:val="single" w:sz="8" w:space="0" w:color="auto"/>
            </w:tcBorders>
            <w:shd w:val="clear" w:color="auto" w:fill="C2E3FF" w:themeFill="accent1" w:themeFillTint="33"/>
          </w:tcPr>
          <w:p w14:paraId="3346D526"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004444">
              <w:rPr>
                <w:rFonts w:cstheme="minorHAnsi"/>
                <w:sz w:val="16"/>
                <w:szCs w:val="16"/>
              </w:rPr>
              <w:t>24 Q2</w:t>
            </w:r>
          </w:p>
        </w:tc>
        <w:tc>
          <w:tcPr>
            <w:tcW w:w="387" w:type="dxa"/>
            <w:tcBorders>
              <w:top w:val="single" w:sz="8" w:space="0" w:color="auto"/>
              <w:bottom w:val="single" w:sz="8" w:space="0" w:color="auto"/>
            </w:tcBorders>
            <w:shd w:val="clear" w:color="auto" w:fill="C2E3FF" w:themeFill="accent1" w:themeFillTint="33"/>
          </w:tcPr>
          <w:p w14:paraId="3F6BE60D"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004444">
              <w:rPr>
                <w:rFonts w:cstheme="minorHAnsi"/>
                <w:sz w:val="16"/>
                <w:szCs w:val="16"/>
              </w:rPr>
              <w:t>24 Q3</w:t>
            </w:r>
          </w:p>
        </w:tc>
        <w:tc>
          <w:tcPr>
            <w:tcW w:w="388" w:type="dxa"/>
            <w:tcBorders>
              <w:top w:val="single" w:sz="8" w:space="0" w:color="auto"/>
              <w:bottom w:val="single" w:sz="8" w:space="0" w:color="auto"/>
              <w:right w:val="single" w:sz="8" w:space="0" w:color="auto"/>
            </w:tcBorders>
            <w:shd w:val="clear" w:color="auto" w:fill="C2E3FF" w:themeFill="accent1" w:themeFillTint="33"/>
          </w:tcPr>
          <w:p w14:paraId="296552FF"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004444">
              <w:rPr>
                <w:rFonts w:cstheme="minorHAnsi"/>
                <w:sz w:val="16"/>
                <w:szCs w:val="16"/>
              </w:rPr>
              <w:t>24 Q4</w:t>
            </w:r>
          </w:p>
        </w:tc>
        <w:tc>
          <w:tcPr>
            <w:tcW w:w="388" w:type="dxa"/>
            <w:tcBorders>
              <w:top w:val="single" w:sz="8" w:space="0" w:color="auto"/>
              <w:left w:val="single" w:sz="8" w:space="0" w:color="auto"/>
              <w:bottom w:val="single" w:sz="8" w:space="0" w:color="auto"/>
            </w:tcBorders>
          </w:tcPr>
          <w:p w14:paraId="2F2DC50C"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004444">
              <w:rPr>
                <w:rFonts w:cstheme="minorHAnsi"/>
                <w:sz w:val="16"/>
                <w:szCs w:val="16"/>
              </w:rPr>
              <w:t>25 Q1</w:t>
            </w:r>
          </w:p>
        </w:tc>
        <w:tc>
          <w:tcPr>
            <w:tcW w:w="388" w:type="dxa"/>
            <w:tcBorders>
              <w:top w:val="single" w:sz="8" w:space="0" w:color="auto"/>
              <w:bottom w:val="single" w:sz="8" w:space="0" w:color="auto"/>
            </w:tcBorders>
          </w:tcPr>
          <w:p w14:paraId="09ED30FC"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004444">
              <w:rPr>
                <w:rFonts w:cstheme="minorHAnsi"/>
                <w:sz w:val="16"/>
                <w:szCs w:val="16"/>
              </w:rPr>
              <w:t>25 Q2</w:t>
            </w:r>
          </w:p>
        </w:tc>
        <w:tc>
          <w:tcPr>
            <w:tcW w:w="388" w:type="dxa"/>
            <w:tcBorders>
              <w:top w:val="single" w:sz="8" w:space="0" w:color="auto"/>
              <w:bottom w:val="single" w:sz="8" w:space="0" w:color="auto"/>
            </w:tcBorders>
          </w:tcPr>
          <w:p w14:paraId="6B7CDBEE"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004444">
              <w:rPr>
                <w:rFonts w:cstheme="minorHAnsi"/>
                <w:sz w:val="16"/>
                <w:szCs w:val="16"/>
              </w:rPr>
              <w:t>25 Q3</w:t>
            </w:r>
          </w:p>
        </w:tc>
        <w:tc>
          <w:tcPr>
            <w:tcW w:w="388" w:type="dxa"/>
            <w:tcBorders>
              <w:top w:val="single" w:sz="8" w:space="0" w:color="auto"/>
              <w:bottom w:val="single" w:sz="8" w:space="0" w:color="auto"/>
              <w:right w:val="single" w:sz="8" w:space="0" w:color="auto"/>
            </w:tcBorders>
          </w:tcPr>
          <w:p w14:paraId="300E35FE"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004444">
              <w:rPr>
                <w:rFonts w:cstheme="minorHAnsi"/>
                <w:sz w:val="16"/>
                <w:szCs w:val="16"/>
              </w:rPr>
              <w:t>25 Q4</w:t>
            </w:r>
          </w:p>
        </w:tc>
        <w:tc>
          <w:tcPr>
            <w:tcW w:w="388" w:type="dxa"/>
            <w:tcBorders>
              <w:top w:val="single" w:sz="8" w:space="0" w:color="auto"/>
              <w:left w:val="single" w:sz="8" w:space="0" w:color="auto"/>
              <w:bottom w:val="single" w:sz="8" w:space="0" w:color="auto"/>
            </w:tcBorders>
            <w:shd w:val="clear" w:color="auto" w:fill="C2E3FF" w:themeFill="accent1" w:themeFillTint="33"/>
          </w:tcPr>
          <w:p w14:paraId="2C3A26EB"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004444">
              <w:rPr>
                <w:rFonts w:cstheme="minorHAnsi"/>
                <w:sz w:val="16"/>
                <w:szCs w:val="16"/>
              </w:rPr>
              <w:t>26 Q1</w:t>
            </w:r>
          </w:p>
        </w:tc>
        <w:tc>
          <w:tcPr>
            <w:tcW w:w="388" w:type="dxa"/>
            <w:tcBorders>
              <w:top w:val="single" w:sz="8" w:space="0" w:color="auto"/>
              <w:bottom w:val="single" w:sz="8" w:space="0" w:color="auto"/>
            </w:tcBorders>
            <w:shd w:val="clear" w:color="auto" w:fill="C2E3FF" w:themeFill="accent1" w:themeFillTint="33"/>
          </w:tcPr>
          <w:p w14:paraId="4DF3D073"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004444">
              <w:rPr>
                <w:rFonts w:cstheme="minorHAnsi"/>
                <w:sz w:val="16"/>
                <w:szCs w:val="16"/>
              </w:rPr>
              <w:t>26 Q2</w:t>
            </w:r>
          </w:p>
        </w:tc>
        <w:tc>
          <w:tcPr>
            <w:tcW w:w="388" w:type="dxa"/>
            <w:tcBorders>
              <w:top w:val="single" w:sz="8" w:space="0" w:color="auto"/>
              <w:bottom w:val="single" w:sz="8" w:space="0" w:color="auto"/>
            </w:tcBorders>
            <w:shd w:val="clear" w:color="auto" w:fill="C2E3FF" w:themeFill="accent1" w:themeFillTint="33"/>
          </w:tcPr>
          <w:p w14:paraId="1D90A5C5"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004444">
              <w:rPr>
                <w:rFonts w:cstheme="minorHAnsi"/>
                <w:sz w:val="16"/>
                <w:szCs w:val="16"/>
              </w:rPr>
              <w:t>26 Q3</w:t>
            </w:r>
          </w:p>
        </w:tc>
        <w:tc>
          <w:tcPr>
            <w:tcW w:w="388" w:type="dxa"/>
            <w:tcBorders>
              <w:top w:val="single" w:sz="8" w:space="0" w:color="auto"/>
              <w:bottom w:val="single" w:sz="8" w:space="0" w:color="auto"/>
              <w:right w:val="single" w:sz="8" w:space="0" w:color="auto"/>
            </w:tcBorders>
            <w:shd w:val="clear" w:color="auto" w:fill="C2E3FF" w:themeFill="accent1" w:themeFillTint="33"/>
          </w:tcPr>
          <w:p w14:paraId="51342FD0"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004444">
              <w:rPr>
                <w:rFonts w:cstheme="minorHAnsi"/>
                <w:sz w:val="16"/>
                <w:szCs w:val="16"/>
              </w:rPr>
              <w:t>26 Q4</w:t>
            </w:r>
          </w:p>
        </w:tc>
        <w:tc>
          <w:tcPr>
            <w:tcW w:w="388" w:type="dxa"/>
            <w:tcBorders>
              <w:top w:val="single" w:sz="8" w:space="0" w:color="auto"/>
              <w:left w:val="single" w:sz="8" w:space="0" w:color="auto"/>
              <w:bottom w:val="single" w:sz="8" w:space="0" w:color="auto"/>
            </w:tcBorders>
          </w:tcPr>
          <w:p w14:paraId="5A1B0FB5"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004444">
              <w:rPr>
                <w:rFonts w:cstheme="minorHAnsi"/>
                <w:sz w:val="16"/>
                <w:szCs w:val="16"/>
              </w:rPr>
              <w:t>27 Q1</w:t>
            </w:r>
          </w:p>
        </w:tc>
        <w:tc>
          <w:tcPr>
            <w:tcW w:w="388" w:type="dxa"/>
            <w:tcBorders>
              <w:top w:val="single" w:sz="8" w:space="0" w:color="auto"/>
              <w:bottom w:val="single" w:sz="8" w:space="0" w:color="auto"/>
            </w:tcBorders>
          </w:tcPr>
          <w:p w14:paraId="5B368817"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004444">
              <w:rPr>
                <w:rFonts w:cstheme="minorHAnsi"/>
                <w:sz w:val="16"/>
                <w:szCs w:val="16"/>
              </w:rPr>
              <w:t>27 Q2</w:t>
            </w:r>
          </w:p>
        </w:tc>
        <w:tc>
          <w:tcPr>
            <w:tcW w:w="388" w:type="dxa"/>
            <w:tcBorders>
              <w:top w:val="single" w:sz="8" w:space="0" w:color="auto"/>
              <w:bottom w:val="single" w:sz="8" w:space="0" w:color="auto"/>
            </w:tcBorders>
          </w:tcPr>
          <w:p w14:paraId="560FC56D"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004444">
              <w:rPr>
                <w:rFonts w:cstheme="minorHAnsi"/>
                <w:sz w:val="16"/>
                <w:szCs w:val="16"/>
              </w:rPr>
              <w:t>27 Q3</w:t>
            </w:r>
          </w:p>
        </w:tc>
        <w:tc>
          <w:tcPr>
            <w:tcW w:w="388" w:type="dxa"/>
            <w:tcBorders>
              <w:top w:val="single" w:sz="8" w:space="0" w:color="auto"/>
              <w:bottom w:val="single" w:sz="8" w:space="0" w:color="auto"/>
              <w:right w:val="single" w:sz="8" w:space="0" w:color="auto"/>
            </w:tcBorders>
          </w:tcPr>
          <w:p w14:paraId="3615D618"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004444">
              <w:rPr>
                <w:rFonts w:cstheme="minorHAnsi"/>
                <w:sz w:val="16"/>
                <w:szCs w:val="16"/>
              </w:rPr>
              <w:t>27 Q4</w:t>
            </w:r>
          </w:p>
        </w:tc>
        <w:tc>
          <w:tcPr>
            <w:tcW w:w="384" w:type="dxa"/>
            <w:tcBorders>
              <w:top w:val="single" w:sz="8" w:space="0" w:color="000000" w:themeColor="text1"/>
              <w:left w:val="single" w:sz="8" w:space="0" w:color="auto"/>
              <w:bottom w:val="single" w:sz="8" w:space="0" w:color="auto"/>
            </w:tcBorders>
          </w:tcPr>
          <w:p w14:paraId="7EC314FB"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004444">
              <w:rPr>
                <w:rFonts w:cstheme="minorHAnsi"/>
                <w:sz w:val="16"/>
                <w:szCs w:val="16"/>
              </w:rPr>
              <w:t>28 Q1</w:t>
            </w:r>
          </w:p>
        </w:tc>
        <w:tc>
          <w:tcPr>
            <w:tcW w:w="384" w:type="dxa"/>
            <w:tcBorders>
              <w:top w:val="single" w:sz="8" w:space="0" w:color="000000" w:themeColor="text1"/>
              <w:bottom w:val="single" w:sz="8" w:space="0" w:color="auto"/>
            </w:tcBorders>
          </w:tcPr>
          <w:p w14:paraId="1D08DF37"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004444">
              <w:rPr>
                <w:rFonts w:cstheme="minorHAnsi"/>
                <w:sz w:val="16"/>
                <w:szCs w:val="16"/>
              </w:rPr>
              <w:t>28 Q2</w:t>
            </w:r>
          </w:p>
        </w:tc>
        <w:tc>
          <w:tcPr>
            <w:tcW w:w="384" w:type="dxa"/>
            <w:tcBorders>
              <w:top w:val="single" w:sz="8" w:space="0" w:color="000000" w:themeColor="text1"/>
              <w:bottom w:val="single" w:sz="8" w:space="0" w:color="auto"/>
            </w:tcBorders>
          </w:tcPr>
          <w:p w14:paraId="78680889"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004444">
              <w:rPr>
                <w:rFonts w:cstheme="minorHAnsi"/>
                <w:sz w:val="16"/>
                <w:szCs w:val="16"/>
              </w:rPr>
              <w:t>28 Q3</w:t>
            </w:r>
          </w:p>
        </w:tc>
        <w:tc>
          <w:tcPr>
            <w:tcW w:w="384" w:type="dxa"/>
            <w:tcBorders>
              <w:top w:val="single" w:sz="8" w:space="0" w:color="000000" w:themeColor="text1"/>
              <w:bottom w:val="single" w:sz="8" w:space="0" w:color="auto"/>
              <w:right w:val="single" w:sz="8" w:space="0" w:color="000000" w:themeColor="text1"/>
            </w:tcBorders>
          </w:tcPr>
          <w:p w14:paraId="4A1C5B84"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004444">
              <w:rPr>
                <w:rFonts w:cstheme="minorHAnsi"/>
                <w:sz w:val="16"/>
                <w:szCs w:val="16"/>
              </w:rPr>
              <w:t>28 Q4</w:t>
            </w:r>
          </w:p>
        </w:tc>
        <w:tc>
          <w:tcPr>
            <w:tcW w:w="384" w:type="dxa"/>
            <w:tcBorders>
              <w:top w:val="single" w:sz="8" w:space="0" w:color="000000" w:themeColor="text1"/>
              <w:left w:val="single" w:sz="8" w:space="0" w:color="000000" w:themeColor="text1"/>
              <w:bottom w:val="single" w:sz="8" w:space="0" w:color="auto"/>
            </w:tcBorders>
          </w:tcPr>
          <w:p w14:paraId="3CEFB896"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004444">
              <w:rPr>
                <w:rFonts w:cstheme="minorHAnsi"/>
                <w:sz w:val="16"/>
                <w:szCs w:val="16"/>
              </w:rPr>
              <w:t>29 Q1</w:t>
            </w:r>
          </w:p>
        </w:tc>
        <w:tc>
          <w:tcPr>
            <w:tcW w:w="384" w:type="dxa"/>
            <w:tcBorders>
              <w:top w:val="single" w:sz="8" w:space="0" w:color="000000" w:themeColor="text1"/>
              <w:bottom w:val="single" w:sz="8" w:space="0" w:color="auto"/>
            </w:tcBorders>
          </w:tcPr>
          <w:p w14:paraId="53891FF8"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004444">
              <w:rPr>
                <w:rFonts w:cstheme="minorHAnsi"/>
                <w:sz w:val="16"/>
                <w:szCs w:val="16"/>
              </w:rPr>
              <w:t>29 Q2</w:t>
            </w:r>
          </w:p>
        </w:tc>
        <w:tc>
          <w:tcPr>
            <w:tcW w:w="384" w:type="dxa"/>
            <w:tcBorders>
              <w:top w:val="single" w:sz="8" w:space="0" w:color="000000" w:themeColor="text1"/>
              <w:bottom w:val="single" w:sz="8" w:space="0" w:color="auto"/>
            </w:tcBorders>
          </w:tcPr>
          <w:p w14:paraId="4E9C3FE4"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004444">
              <w:rPr>
                <w:rFonts w:cstheme="minorHAnsi"/>
                <w:sz w:val="16"/>
                <w:szCs w:val="16"/>
              </w:rPr>
              <w:t>29 Q3</w:t>
            </w:r>
          </w:p>
        </w:tc>
        <w:tc>
          <w:tcPr>
            <w:tcW w:w="384" w:type="dxa"/>
            <w:tcBorders>
              <w:top w:val="single" w:sz="8" w:space="0" w:color="000000" w:themeColor="text1"/>
              <w:bottom w:val="single" w:sz="8" w:space="0" w:color="auto"/>
              <w:right w:val="single" w:sz="8" w:space="0" w:color="000000" w:themeColor="text1"/>
            </w:tcBorders>
          </w:tcPr>
          <w:p w14:paraId="5B4BDCA7"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004444">
              <w:rPr>
                <w:rFonts w:cstheme="minorHAnsi"/>
                <w:sz w:val="16"/>
                <w:szCs w:val="16"/>
              </w:rPr>
              <w:t>29 Q4</w:t>
            </w:r>
          </w:p>
        </w:tc>
        <w:tc>
          <w:tcPr>
            <w:tcW w:w="384" w:type="dxa"/>
            <w:tcBorders>
              <w:top w:val="single" w:sz="8" w:space="0" w:color="000000" w:themeColor="text1"/>
              <w:left w:val="single" w:sz="8" w:space="0" w:color="000000" w:themeColor="text1"/>
              <w:bottom w:val="single" w:sz="8" w:space="0" w:color="auto"/>
            </w:tcBorders>
          </w:tcPr>
          <w:p w14:paraId="085CCFCF"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004444">
              <w:rPr>
                <w:rFonts w:cstheme="minorHAnsi"/>
                <w:sz w:val="16"/>
                <w:szCs w:val="16"/>
              </w:rPr>
              <w:t>30 Q1</w:t>
            </w:r>
          </w:p>
        </w:tc>
        <w:tc>
          <w:tcPr>
            <w:tcW w:w="384" w:type="dxa"/>
            <w:tcBorders>
              <w:top w:val="single" w:sz="8" w:space="0" w:color="000000" w:themeColor="text1"/>
              <w:bottom w:val="single" w:sz="8" w:space="0" w:color="auto"/>
              <w:right w:val="single" w:sz="8" w:space="0" w:color="000000" w:themeColor="text1"/>
            </w:tcBorders>
          </w:tcPr>
          <w:p w14:paraId="6B9CE335"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004444">
              <w:rPr>
                <w:rFonts w:cstheme="minorHAnsi"/>
                <w:sz w:val="16"/>
                <w:szCs w:val="16"/>
              </w:rPr>
              <w:t>30 Q2</w:t>
            </w:r>
          </w:p>
        </w:tc>
      </w:tr>
      <w:tr w:rsidR="0020559B" w:rsidRPr="00AC573C" w14:paraId="17B5F9DE" w14:textId="77777777" w:rsidTr="00B94692">
        <w:trPr>
          <w:cnfStyle w:val="100000000000" w:firstRow="1" w:lastRow="0" w:firstColumn="0" w:lastColumn="0" w:oddVBand="0" w:evenVBand="0" w:oddHBand="0" w:evenHBand="0" w:firstRowFirstColumn="0" w:firstRowLastColumn="0" w:lastRowFirstColumn="0" w:lastRowLastColumn="0"/>
          <w:trHeight w:val="248"/>
          <w:tblHeader/>
        </w:trPr>
        <w:tc>
          <w:tcPr>
            <w:cnfStyle w:val="001000000000" w:firstRow="0" w:lastRow="0" w:firstColumn="1" w:lastColumn="0" w:oddVBand="0" w:evenVBand="0" w:oddHBand="0" w:evenHBand="0" w:firstRowFirstColumn="0" w:firstRowLastColumn="0" w:lastRowFirstColumn="0" w:lastRowLastColumn="0"/>
            <w:tcW w:w="1995" w:type="dxa"/>
            <w:tcBorders>
              <w:right w:val="single" w:sz="8" w:space="0" w:color="auto"/>
            </w:tcBorders>
            <w:noWrap/>
          </w:tcPr>
          <w:p w14:paraId="38069323" w14:textId="77777777" w:rsidR="00183E55" w:rsidRPr="00AC573C" w:rsidRDefault="00183E55" w:rsidP="00B94692">
            <w:pPr>
              <w:rPr>
                <w:rFonts w:cstheme="minorHAnsi"/>
                <w:sz w:val="16"/>
                <w:szCs w:val="16"/>
              </w:rPr>
            </w:pPr>
            <w:r>
              <w:rPr>
                <w:rFonts w:cstheme="minorHAnsi"/>
                <w:sz w:val="16"/>
                <w:szCs w:val="16"/>
              </w:rPr>
              <w:t>Calendar Year</w:t>
            </w:r>
          </w:p>
        </w:tc>
        <w:tc>
          <w:tcPr>
            <w:tcW w:w="383" w:type="dxa"/>
            <w:tcBorders>
              <w:top w:val="single" w:sz="8" w:space="0" w:color="auto"/>
              <w:left w:val="single" w:sz="8" w:space="0" w:color="auto"/>
              <w:bottom w:val="single" w:sz="8" w:space="0" w:color="auto"/>
            </w:tcBorders>
            <w:shd w:val="clear" w:color="auto" w:fill="C2E3FF" w:themeFill="accent1" w:themeFillTint="33"/>
          </w:tcPr>
          <w:p w14:paraId="6F477702"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004444">
              <w:rPr>
                <w:rFonts w:cstheme="minorHAnsi"/>
                <w:b w:val="0"/>
                <w:bCs w:val="0"/>
                <w:sz w:val="16"/>
                <w:szCs w:val="16"/>
              </w:rPr>
              <w:t>22 Q3</w:t>
            </w:r>
          </w:p>
        </w:tc>
        <w:tc>
          <w:tcPr>
            <w:tcW w:w="383" w:type="dxa"/>
            <w:tcBorders>
              <w:top w:val="single" w:sz="8" w:space="0" w:color="auto"/>
              <w:bottom w:val="single" w:sz="8" w:space="0" w:color="auto"/>
              <w:right w:val="single" w:sz="8" w:space="0" w:color="auto"/>
            </w:tcBorders>
            <w:shd w:val="clear" w:color="auto" w:fill="C2E3FF" w:themeFill="accent1" w:themeFillTint="33"/>
          </w:tcPr>
          <w:p w14:paraId="23AD8B01"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004444">
              <w:rPr>
                <w:rFonts w:cstheme="minorHAnsi"/>
                <w:b w:val="0"/>
                <w:bCs w:val="0"/>
                <w:sz w:val="16"/>
                <w:szCs w:val="16"/>
              </w:rPr>
              <w:t>22 Q4</w:t>
            </w:r>
          </w:p>
        </w:tc>
        <w:tc>
          <w:tcPr>
            <w:tcW w:w="383" w:type="dxa"/>
            <w:tcBorders>
              <w:top w:val="single" w:sz="8" w:space="0" w:color="auto"/>
              <w:left w:val="single" w:sz="8" w:space="0" w:color="auto"/>
              <w:bottom w:val="single" w:sz="8" w:space="0" w:color="auto"/>
            </w:tcBorders>
          </w:tcPr>
          <w:p w14:paraId="53BA61D4"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004444">
              <w:rPr>
                <w:rFonts w:cstheme="minorHAnsi"/>
                <w:b w:val="0"/>
                <w:bCs w:val="0"/>
                <w:sz w:val="16"/>
                <w:szCs w:val="16"/>
              </w:rPr>
              <w:t>23 Q1</w:t>
            </w:r>
          </w:p>
        </w:tc>
        <w:tc>
          <w:tcPr>
            <w:tcW w:w="387" w:type="dxa"/>
            <w:tcBorders>
              <w:top w:val="single" w:sz="8" w:space="0" w:color="auto"/>
              <w:bottom w:val="single" w:sz="8" w:space="0" w:color="auto"/>
            </w:tcBorders>
          </w:tcPr>
          <w:p w14:paraId="3047F242"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004444">
              <w:rPr>
                <w:rFonts w:cstheme="minorHAnsi"/>
                <w:b w:val="0"/>
                <w:bCs w:val="0"/>
                <w:sz w:val="16"/>
                <w:szCs w:val="16"/>
              </w:rPr>
              <w:t>23 Q2</w:t>
            </w:r>
          </w:p>
        </w:tc>
        <w:tc>
          <w:tcPr>
            <w:tcW w:w="387" w:type="dxa"/>
            <w:tcBorders>
              <w:top w:val="single" w:sz="8" w:space="0" w:color="auto"/>
              <w:bottom w:val="single" w:sz="8" w:space="0" w:color="auto"/>
            </w:tcBorders>
          </w:tcPr>
          <w:p w14:paraId="5325AB90"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004444">
              <w:rPr>
                <w:rFonts w:cstheme="minorHAnsi"/>
                <w:b w:val="0"/>
                <w:bCs w:val="0"/>
                <w:sz w:val="16"/>
                <w:szCs w:val="16"/>
              </w:rPr>
              <w:t>23 Q3</w:t>
            </w:r>
          </w:p>
        </w:tc>
        <w:tc>
          <w:tcPr>
            <w:tcW w:w="387" w:type="dxa"/>
            <w:tcBorders>
              <w:top w:val="single" w:sz="8" w:space="0" w:color="auto"/>
              <w:bottom w:val="single" w:sz="8" w:space="0" w:color="auto"/>
              <w:right w:val="single" w:sz="8" w:space="0" w:color="auto"/>
            </w:tcBorders>
          </w:tcPr>
          <w:p w14:paraId="67338821"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004444">
              <w:rPr>
                <w:rFonts w:cstheme="minorHAnsi"/>
                <w:b w:val="0"/>
                <w:bCs w:val="0"/>
                <w:sz w:val="16"/>
                <w:szCs w:val="16"/>
              </w:rPr>
              <w:t>23 Q4</w:t>
            </w:r>
          </w:p>
        </w:tc>
        <w:tc>
          <w:tcPr>
            <w:tcW w:w="387" w:type="dxa"/>
            <w:tcBorders>
              <w:top w:val="single" w:sz="8" w:space="0" w:color="auto"/>
              <w:left w:val="single" w:sz="8" w:space="0" w:color="auto"/>
              <w:bottom w:val="single" w:sz="8" w:space="0" w:color="auto"/>
            </w:tcBorders>
            <w:shd w:val="clear" w:color="auto" w:fill="C2E3FF" w:themeFill="accent1" w:themeFillTint="33"/>
          </w:tcPr>
          <w:p w14:paraId="3EFA4B81"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004444">
              <w:rPr>
                <w:rFonts w:cstheme="minorHAnsi"/>
                <w:b w:val="0"/>
                <w:bCs w:val="0"/>
                <w:sz w:val="16"/>
                <w:szCs w:val="16"/>
              </w:rPr>
              <w:t>24 Q1</w:t>
            </w:r>
          </w:p>
        </w:tc>
        <w:tc>
          <w:tcPr>
            <w:tcW w:w="388" w:type="dxa"/>
            <w:tcBorders>
              <w:top w:val="single" w:sz="8" w:space="0" w:color="auto"/>
              <w:bottom w:val="single" w:sz="8" w:space="0" w:color="auto"/>
            </w:tcBorders>
            <w:shd w:val="clear" w:color="auto" w:fill="C2E3FF" w:themeFill="accent1" w:themeFillTint="33"/>
          </w:tcPr>
          <w:p w14:paraId="232F74D3"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004444">
              <w:rPr>
                <w:rFonts w:cstheme="minorHAnsi"/>
                <w:b w:val="0"/>
                <w:bCs w:val="0"/>
                <w:sz w:val="16"/>
                <w:szCs w:val="16"/>
              </w:rPr>
              <w:t>24 Q2</w:t>
            </w:r>
          </w:p>
        </w:tc>
        <w:tc>
          <w:tcPr>
            <w:tcW w:w="388" w:type="dxa"/>
            <w:tcBorders>
              <w:top w:val="single" w:sz="8" w:space="0" w:color="auto"/>
              <w:bottom w:val="single" w:sz="8" w:space="0" w:color="auto"/>
            </w:tcBorders>
            <w:shd w:val="clear" w:color="auto" w:fill="C2E3FF" w:themeFill="accent1" w:themeFillTint="33"/>
          </w:tcPr>
          <w:p w14:paraId="6EA177C6"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004444">
              <w:rPr>
                <w:rFonts w:cstheme="minorHAnsi"/>
                <w:b w:val="0"/>
                <w:bCs w:val="0"/>
                <w:sz w:val="16"/>
                <w:szCs w:val="16"/>
              </w:rPr>
              <w:t>24 Q3</w:t>
            </w:r>
          </w:p>
        </w:tc>
        <w:tc>
          <w:tcPr>
            <w:tcW w:w="388" w:type="dxa"/>
            <w:tcBorders>
              <w:top w:val="single" w:sz="8" w:space="0" w:color="auto"/>
              <w:bottom w:val="single" w:sz="8" w:space="0" w:color="auto"/>
              <w:right w:val="single" w:sz="8" w:space="0" w:color="auto"/>
            </w:tcBorders>
            <w:shd w:val="clear" w:color="auto" w:fill="C2E3FF" w:themeFill="accent1" w:themeFillTint="33"/>
          </w:tcPr>
          <w:p w14:paraId="437CDED1"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004444">
              <w:rPr>
                <w:rFonts w:cstheme="minorHAnsi"/>
                <w:b w:val="0"/>
                <w:bCs w:val="0"/>
                <w:sz w:val="16"/>
                <w:szCs w:val="16"/>
              </w:rPr>
              <w:t>24 Q4</w:t>
            </w:r>
          </w:p>
        </w:tc>
        <w:tc>
          <w:tcPr>
            <w:tcW w:w="388" w:type="dxa"/>
            <w:tcBorders>
              <w:top w:val="single" w:sz="8" w:space="0" w:color="auto"/>
              <w:left w:val="single" w:sz="8" w:space="0" w:color="auto"/>
              <w:bottom w:val="single" w:sz="8" w:space="0" w:color="auto"/>
            </w:tcBorders>
          </w:tcPr>
          <w:p w14:paraId="287CC361"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004444">
              <w:rPr>
                <w:rFonts w:cstheme="minorHAnsi"/>
                <w:b w:val="0"/>
                <w:bCs w:val="0"/>
                <w:sz w:val="16"/>
                <w:szCs w:val="16"/>
              </w:rPr>
              <w:t>25 Q1</w:t>
            </w:r>
          </w:p>
        </w:tc>
        <w:tc>
          <w:tcPr>
            <w:tcW w:w="388" w:type="dxa"/>
            <w:tcBorders>
              <w:top w:val="single" w:sz="8" w:space="0" w:color="auto"/>
              <w:bottom w:val="single" w:sz="8" w:space="0" w:color="auto"/>
            </w:tcBorders>
          </w:tcPr>
          <w:p w14:paraId="556036B4"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004444">
              <w:rPr>
                <w:rFonts w:cstheme="minorHAnsi"/>
                <w:b w:val="0"/>
                <w:bCs w:val="0"/>
                <w:sz w:val="16"/>
                <w:szCs w:val="16"/>
              </w:rPr>
              <w:t>25 Q2</w:t>
            </w:r>
          </w:p>
        </w:tc>
        <w:tc>
          <w:tcPr>
            <w:tcW w:w="388" w:type="dxa"/>
            <w:tcBorders>
              <w:top w:val="single" w:sz="8" w:space="0" w:color="auto"/>
              <w:bottom w:val="single" w:sz="8" w:space="0" w:color="auto"/>
            </w:tcBorders>
          </w:tcPr>
          <w:p w14:paraId="671F88C1"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004444">
              <w:rPr>
                <w:rFonts w:cstheme="minorHAnsi"/>
                <w:b w:val="0"/>
                <w:bCs w:val="0"/>
                <w:sz w:val="16"/>
                <w:szCs w:val="16"/>
              </w:rPr>
              <w:t>25 Q3</w:t>
            </w:r>
          </w:p>
        </w:tc>
        <w:tc>
          <w:tcPr>
            <w:tcW w:w="388" w:type="dxa"/>
            <w:tcBorders>
              <w:top w:val="single" w:sz="8" w:space="0" w:color="auto"/>
              <w:bottom w:val="single" w:sz="8" w:space="0" w:color="auto"/>
              <w:right w:val="single" w:sz="8" w:space="0" w:color="auto"/>
            </w:tcBorders>
          </w:tcPr>
          <w:p w14:paraId="3FCE4D7F"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004444">
              <w:rPr>
                <w:rFonts w:cstheme="minorHAnsi"/>
                <w:b w:val="0"/>
                <w:bCs w:val="0"/>
                <w:sz w:val="16"/>
                <w:szCs w:val="16"/>
              </w:rPr>
              <w:t>25 Q4</w:t>
            </w:r>
          </w:p>
        </w:tc>
        <w:tc>
          <w:tcPr>
            <w:tcW w:w="388" w:type="dxa"/>
            <w:tcBorders>
              <w:top w:val="single" w:sz="8" w:space="0" w:color="auto"/>
              <w:left w:val="single" w:sz="8" w:space="0" w:color="auto"/>
              <w:bottom w:val="single" w:sz="8" w:space="0" w:color="auto"/>
            </w:tcBorders>
            <w:shd w:val="clear" w:color="auto" w:fill="C2E3FF" w:themeFill="accent1" w:themeFillTint="33"/>
          </w:tcPr>
          <w:p w14:paraId="687FE4DD"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004444">
              <w:rPr>
                <w:rFonts w:cstheme="minorHAnsi"/>
                <w:b w:val="0"/>
                <w:bCs w:val="0"/>
                <w:sz w:val="16"/>
                <w:szCs w:val="16"/>
              </w:rPr>
              <w:t>26 Q1</w:t>
            </w:r>
          </w:p>
        </w:tc>
        <w:tc>
          <w:tcPr>
            <w:tcW w:w="388" w:type="dxa"/>
            <w:tcBorders>
              <w:top w:val="single" w:sz="8" w:space="0" w:color="auto"/>
              <w:bottom w:val="single" w:sz="8" w:space="0" w:color="auto"/>
            </w:tcBorders>
            <w:shd w:val="clear" w:color="auto" w:fill="C2E3FF" w:themeFill="accent1" w:themeFillTint="33"/>
          </w:tcPr>
          <w:p w14:paraId="0D7BE96D"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004444">
              <w:rPr>
                <w:rFonts w:cstheme="minorHAnsi"/>
                <w:b w:val="0"/>
                <w:bCs w:val="0"/>
                <w:sz w:val="16"/>
                <w:szCs w:val="16"/>
              </w:rPr>
              <w:t>26 Q2</w:t>
            </w:r>
          </w:p>
        </w:tc>
        <w:tc>
          <w:tcPr>
            <w:tcW w:w="388" w:type="dxa"/>
            <w:tcBorders>
              <w:top w:val="single" w:sz="8" w:space="0" w:color="auto"/>
              <w:bottom w:val="single" w:sz="8" w:space="0" w:color="auto"/>
            </w:tcBorders>
            <w:shd w:val="clear" w:color="auto" w:fill="C2E3FF" w:themeFill="accent1" w:themeFillTint="33"/>
          </w:tcPr>
          <w:p w14:paraId="65B6A6BA"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004444">
              <w:rPr>
                <w:rFonts w:cstheme="minorHAnsi"/>
                <w:b w:val="0"/>
                <w:bCs w:val="0"/>
                <w:sz w:val="16"/>
                <w:szCs w:val="16"/>
              </w:rPr>
              <w:t>26 Q3</w:t>
            </w:r>
          </w:p>
        </w:tc>
        <w:tc>
          <w:tcPr>
            <w:tcW w:w="388" w:type="dxa"/>
            <w:tcBorders>
              <w:top w:val="single" w:sz="8" w:space="0" w:color="auto"/>
              <w:bottom w:val="single" w:sz="8" w:space="0" w:color="auto"/>
              <w:right w:val="single" w:sz="8" w:space="0" w:color="auto"/>
            </w:tcBorders>
            <w:shd w:val="clear" w:color="auto" w:fill="C2E3FF" w:themeFill="accent1" w:themeFillTint="33"/>
          </w:tcPr>
          <w:p w14:paraId="2B272D40"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004444">
              <w:rPr>
                <w:rFonts w:cstheme="minorHAnsi"/>
                <w:b w:val="0"/>
                <w:bCs w:val="0"/>
                <w:sz w:val="16"/>
                <w:szCs w:val="16"/>
              </w:rPr>
              <w:t>26 Q4</w:t>
            </w:r>
          </w:p>
        </w:tc>
        <w:tc>
          <w:tcPr>
            <w:tcW w:w="388" w:type="dxa"/>
            <w:tcBorders>
              <w:top w:val="single" w:sz="8" w:space="0" w:color="auto"/>
              <w:left w:val="single" w:sz="8" w:space="0" w:color="auto"/>
              <w:bottom w:val="single" w:sz="8" w:space="0" w:color="auto"/>
            </w:tcBorders>
          </w:tcPr>
          <w:p w14:paraId="18FFB782"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004444">
              <w:rPr>
                <w:rFonts w:cstheme="minorHAnsi"/>
                <w:b w:val="0"/>
                <w:bCs w:val="0"/>
                <w:sz w:val="16"/>
                <w:szCs w:val="16"/>
              </w:rPr>
              <w:t>27 Q1</w:t>
            </w:r>
          </w:p>
        </w:tc>
        <w:tc>
          <w:tcPr>
            <w:tcW w:w="388" w:type="dxa"/>
            <w:tcBorders>
              <w:top w:val="single" w:sz="8" w:space="0" w:color="auto"/>
              <w:bottom w:val="single" w:sz="8" w:space="0" w:color="auto"/>
            </w:tcBorders>
          </w:tcPr>
          <w:p w14:paraId="252FC61A"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004444">
              <w:rPr>
                <w:rFonts w:cstheme="minorHAnsi"/>
                <w:b w:val="0"/>
                <w:bCs w:val="0"/>
                <w:sz w:val="16"/>
                <w:szCs w:val="16"/>
              </w:rPr>
              <w:t>27 Q2</w:t>
            </w:r>
          </w:p>
        </w:tc>
        <w:tc>
          <w:tcPr>
            <w:tcW w:w="384" w:type="dxa"/>
            <w:tcBorders>
              <w:top w:val="single" w:sz="8" w:space="0" w:color="auto"/>
              <w:bottom w:val="single" w:sz="8" w:space="0" w:color="auto"/>
            </w:tcBorders>
          </w:tcPr>
          <w:p w14:paraId="34CF9F0D"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004444">
              <w:rPr>
                <w:rFonts w:cstheme="minorHAnsi"/>
                <w:b w:val="0"/>
                <w:bCs w:val="0"/>
                <w:sz w:val="16"/>
                <w:szCs w:val="16"/>
              </w:rPr>
              <w:t>27 Q3</w:t>
            </w:r>
          </w:p>
        </w:tc>
        <w:tc>
          <w:tcPr>
            <w:tcW w:w="384" w:type="dxa"/>
            <w:tcBorders>
              <w:top w:val="single" w:sz="8" w:space="0" w:color="auto"/>
              <w:bottom w:val="single" w:sz="8" w:space="0" w:color="auto"/>
              <w:right w:val="single" w:sz="8" w:space="0" w:color="auto"/>
            </w:tcBorders>
          </w:tcPr>
          <w:p w14:paraId="1C1573C4"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004444">
              <w:rPr>
                <w:rFonts w:cstheme="minorHAnsi"/>
                <w:b w:val="0"/>
                <w:bCs w:val="0"/>
                <w:sz w:val="16"/>
                <w:szCs w:val="16"/>
              </w:rPr>
              <w:t>27 Q4</w:t>
            </w:r>
          </w:p>
        </w:tc>
        <w:tc>
          <w:tcPr>
            <w:tcW w:w="384" w:type="dxa"/>
            <w:tcBorders>
              <w:top w:val="single" w:sz="8" w:space="0" w:color="auto"/>
              <w:left w:val="single" w:sz="8" w:space="0" w:color="auto"/>
              <w:bottom w:val="single" w:sz="8" w:space="0" w:color="auto"/>
            </w:tcBorders>
            <w:shd w:val="clear" w:color="auto" w:fill="C2E3FF" w:themeFill="accent1" w:themeFillTint="33"/>
          </w:tcPr>
          <w:p w14:paraId="7E06E8F6"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004444">
              <w:rPr>
                <w:rFonts w:cstheme="minorHAnsi"/>
                <w:b w:val="0"/>
                <w:bCs w:val="0"/>
                <w:sz w:val="16"/>
                <w:szCs w:val="16"/>
              </w:rPr>
              <w:t>28 Q1</w:t>
            </w:r>
          </w:p>
        </w:tc>
        <w:tc>
          <w:tcPr>
            <w:tcW w:w="384" w:type="dxa"/>
            <w:tcBorders>
              <w:top w:val="single" w:sz="8" w:space="0" w:color="auto"/>
              <w:bottom w:val="single" w:sz="8" w:space="0" w:color="auto"/>
            </w:tcBorders>
            <w:shd w:val="clear" w:color="auto" w:fill="C2E3FF" w:themeFill="accent1" w:themeFillTint="33"/>
          </w:tcPr>
          <w:p w14:paraId="6A241F80"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004444">
              <w:rPr>
                <w:rFonts w:cstheme="minorHAnsi"/>
                <w:b w:val="0"/>
                <w:bCs w:val="0"/>
                <w:sz w:val="16"/>
                <w:szCs w:val="16"/>
              </w:rPr>
              <w:t>28 Q2</w:t>
            </w:r>
          </w:p>
        </w:tc>
        <w:tc>
          <w:tcPr>
            <w:tcW w:w="384" w:type="dxa"/>
            <w:tcBorders>
              <w:top w:val="single" w:sz="8" w:space="0" w:color="auto"/>
              <w:bottom w:val="single" w:sz="8" w:space="0" w:color="auto"/>
            </w:tcBorders>
            <w:shd w:val="clear" w:color="auto" w:fill="C2E3FF" w:themeFill="accent1" w:themeFillTint="33"/>
          </w:tcPr>
          <w:p w14:paraId="06D94E57"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004444">
              <w:rPr>
                <w:rFonts w:cstheme="minorHAnsi"/>
                <w:b w:val="0"/>
                <w:bCs w:val="0"/>
                <w:sz w:val="16"/>
                <w:szCs w:val="16"/>
              </w:rPr>
              <w:t>28 Q3</w:t>
            </w:r>
          </w:p>
        </w:tc>
        <w:tc>
          <w:tcPr>
            <w:tcW w:w="384" w:type="dxa"/>
            <w:tcBorders>
              <w:top w:val="single" w:sz="8" w:space="0" w:color="auto"/>
              <w:bottom w:val="single" w:sz="8" w:space="0" w:color="auto"/>
              <w:right w:val="single" w:sz="8" w:space="0" w:color="auto"/>
            </w:tcBorders>
            <w:shd w:val="clear" w:color="auto" w:fill="C2E3FF" w:themeFill="accent1" w:themeFillTint="33"/>
          </w:tcPr>
          <w:p w14:paraId="599F151A"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004444">
              <w:rPr>
                <w:rFonts w:cstheme="minorHAnsi"/>
                <w:b w:val="0"/>
                <w:bCs w:val="0"/>
                <w:sz w:val="16"/>
                <w:szCs w:val="16"/>
              </w:rPr>
              <w:t>28 Q4</w:t>
            </w:r>
          </w:p>
        </w:tc>
        <w:tc>
          <w:tcPr>
            <w:tcW w:w="384" w:type="dxa"/>
            <w:tcBorders>
              <w:top w:val="single" w:sz="8" w:space="0" w:color="auto"/>
              <w:left w:val="single" w:sz="8" w:space="0" w:color="auto"/>
              <w:bottom w:val="single" w:sz="8" w:space="0" w:color="auto"/>
            </w:tcBorders>
          </w:tcPr>
          <w:p w14:paraId="46F97ACF"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004444">
              <w:rPr>
                <w:rFonts w:cstheme="minorHAnsi"/>
                <w:b w:val="0"/>
                <w:bCs w:val="0"/>
                <w:sz w:val="16"/>
                <w:szCs w:val="16"/>
              </w:rPr>
              <w:t>29 Q1</w:t>
            </w:r>
          </w:p>
        </w:tc>
        <w:tc>
          <w:tcPr>
            <w:tcW w:w="384" w:type="dxa"/>
            <w:tcBorders>
              <w:top w:val="single" w:sz="8" w:space="0" w:color="auto"/>
              <w:bottom w:val="single" w:sz="8" w:space="0" w:color="auto"/>
            </w:tcBorders>
          </w:tcPr>
          <w:p w14:paraId="6BE93468"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004444">
              <w:rPr>
                <w:rFonts w:cstheme="minorHAnsi"/>
                <w:b w:val="0"/>
                <w:bCs w:val="0"/>
                <w:sz w:val="16"/>
                <w:szCs w:val="16"/>
              </w:rPr>
              <w:t>29 Q2</w:t>
            </w:r>
          </w:p>
        </w:tc>
        <w:tc>
          <w:tcPr>
            <w:tcW w:w="384" w:type="dxa"/>
            <w:tcBorders>
              <w:top w:val="single" w:sz="8" w:space="0" w:color="auto"/>
              <w:bottom w:val="single" w:sz="8" w:space="0" w:color="auto"/>
            </w:tcBorders>
          </w:tcPr>
          <w:p w14:paraId="6C8C787C"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004444">
              <w:rPr>
                <w:rFonts w:cstheme="minorHAnsi"/>
                <w:b w:val="0"/>
                <w:bCs w:val="0"/>
                <w:sz w:val="16"/>
                <w:szCs w:val="16"/>
              </w:rPr>
              <w:t>29 Q3</w:t>
            </w:r>
          </w:p>
        </w:tc>
        <w:tc>
          <w:tcPr>
            <w:tcW w:w="384" w:type="dxa"/>
            <w:tcBorders>
              <w:top w:val="single" w:sz="8" w:space="0" w:color="auto"/>
              <w:bottom w:val="single" w:sz="8" w:space="0" w:color="auto"/>
              <w:right w:val="single" w:sz="8" w:space="0" w:color="auto"/>
            </w:tcBorders>
          </w:tcPr>
          <w:p w14:paraId="63F70CE1" w14:textId="77777777" w:rsidR="00183E55" w:rsidRPr="00004444" w:rsidRDefault="00183E55" w:rsidP="00B9469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004444">
              <w:rPr>
                <w:rFonts w:cstheme="minorHAnsi"/>
                <w:b w:val="0"/>
                <w:bCs w:val="0"/>
                <w:sz w:val="16"/>
                <w:szCs w:val="16"/>
              </w:rPr>
              <w:t>29 Q4</w:t>
            </w:r>
          </w:p>
        </w:tc>
      </w:tr>
      <w:tr w:rsidR="0020559B" w:rsidRPr="00AC573C" w14:paraId="28FB84BB" w14:textId="77777777" w:rsidTr="00B94692">
        <w:tblPrEx>
          <w:tblCellMar>
            <w:top w:w="43" w:type="dxa"/>
            <w:bottom w:w="0" w:type="dxa"/>
          </w:tblCellMar>
        </w:tblPrEx>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995" w:type="dxa"/>
            <w:tcBorders>
              <w:bottom w:val="single" w:sz="12" w:space="0" w:color="000000" w:themeColor="text1"/>
            </w:tcBorders>
            <w:noWrap/>
          </w:tcPr>
          <w:p w14:paraId="3B3F833B" w14:textId="77777777" w:rsidR="00183E55" w:rsidRPr="00AC573C" w:rsidRDefault="00183E55" w:rsidP="00B94692">
            <w:pPr>
              <w:rPr>
                <w:rFonts w:cstheme="minorHAnsi"/>
                <w:sz w:val="16"/>
                <w:szCs w:val="16"/>
              </w:rPr>
            </w:pPr>
            <w:r>
              <w:rPr>
                <w:rFonts w:cstheme="minorHAnsi"/>
                <w:sz w:val="16"/>
                <w:szCs w:val="16"/>
              </w:rPr>
              <w:t>Demonstration</w:t>
            </w:r>
          </w:p>
        </w:tc>
        <w:tc>
          <w:tcPr>
            <w:tcW w:w="383" w:type="dxa"/>
            <w:tcBorders>
              <w:top w:val="single" w:sz="8" w:space="0" w:color="auto"/>
              <w:bottom w:val="single" w:sz="12" w:space="0" w:color="000000" w:themeColor="text1"/>
            </w:tcBorders>
            <w:shd w:val="clear" w:color="auto" w:fill="B0DF9B" w:themeFill="accent4" w:themeFillTint="66"/>
          </w:tcPr>
          <w:p w14:paraId="0E9A3026"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AC573C">
              <w:rPr>
                <w:rFonts w:cstheme="minorHAnsi"/>
                <w:sz w:val="16"/>
                <w:szCs w:val="16"/>
              </w:rPr>
              <w:t>X</w:t>
            </w:r>
          </w:p>
        </w:tc>
        <w:tc>
          <w:tcPr>
            <w:tcW w:w="383" w:type="dxa"/>
            <w:tcBorders>
              <w:top w:val="single" w:sz="8" w:space="0" w:color="auto"/>
              <w:bottom w:val="single" w:sz="12" w:space="0" w:color="000000" w:themeColor="text1"/>
            </w:tcBorders>
            <w:shd w:val="clear" w:color="auto" w:fill="B0DF9B" w:themeFill="accent4" w:themeFillTint="66"/>
          </w:tcPr>
          <w:p w14:paraId="4C35E0BE"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E5763">
              <w:rPr>
                <w:rFonts w:cstheme="minorHAnsi"/>
                <w:sz w:val="16"/>
                <w:szCs w:val="16"/>
              </w:rPr>
              <w:t>X</w:t>
            </w:r>
          </w:p>
        </w:tc>
        <w:tc>
          <w:tcPr>
            <w:tcW w:w="383" w:type="dxa"/>
            <w:tcBorders>
              <w:top w:val="single" w:sz="8" w:space="0" w:color="auto"/>
              <w:bottom w:val="single" w:sz="12" w:space="0" w:color="000000" w:themeColor="text1"/>
            </w:tcBorders>
            <w:shd w:val="clear" w:color="auto" w:fill="B0DF9B" w:themeFill="accent4" w:themeFillTint="66"/>
          </w:tcPr>
          <w:p w14:paraId="49FBC90A"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E5763">
              <w:rPr>
                <w:rFonts w:cstheme="minorHAnsi"/>
                <w:sz w:val="16"/>
                <w:szCs w:val="16"/>
              </w:rPr>
              <w:t>X</w:t>
            </w:r>
          </w:p>
        </w:tc>
        <w:tc>
          <w:tcPr>
            <w:tcW w:w="387" w:type="dxa"/>
            <w:tcBorders>
              <w:top w:val="single" w:sz="8" w:space="0" w:color="auto"/>
              <w:bottom w:val="single" w:sz="12" w:space="0" w:color="000000" w:themeColor="text1"/>
            </w:tcBorders>
            <w:shd w:val="clear" w:color="auto" w:fill="B0DF9B" w:themeFill="accent4" w:themeFillTint="66"/>
          </w:tcPr>
          <w:p w14:paraId="5B5C73AD"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E5763">
              <w:rPr>
                <w:rFonts w:cstheme="minorHAnsi"/>
                <w:sz w:val="16"/>
                <w:szCs w:val="16"/>
              </w:rPr>
              <w:t>X</w:t>
            </w:r>
          </w:p>
        </w:tc>
        <w:tc>
          <w:tcPr>
            <w:tcW w:w="387" w:type="dxa"/>
            <w:tcBorders>
              <w:top w:val="single" w:sz="8" w:space="0" w:color="auto"/>
              <w:bottom w:val="single" w:sz="12" w:space="0" w:color="000000" w:themeColor="text1"/>
            </w:tcBorders>
            <w:shd w:val="clear" w:color="auto" w:fill="B0DF9B" w:themeFill="accent4" w:themeFillTint="66"/>
          </w:tcPr>
          <w:p w14:paraId="04CE9509"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E5763">
              <w:rPr>
                <w:rFonts w:cstheme="minorHAnsi"/>
                <w:sz w:val="16"/>
                <w:szCs w:val="16"/>
              </w:rPr>
              <w:t>X</w:t>
            </w:r>
          </w:p>
        </w:tc>
        <w:tc>
          <w:tcPr>
            <w:tcW w:w="387" w:type="dxa"/>
            <w:tcBorders>
              <w:top w:val="single" w:sz="8" w:space="0" w:color="auto"/>
              <w:bottom w:val="single" w:sz="12" w:space="0" w:color="000000" w:themeColor="text1"/>
            </w:tcBorders>
            <w:shd w:val="clear" w:color="auto" w:fill="B0DF9B" w:themeFill="accent4" w:themeFillTint="66"/>
          </w:tcPr>
          <w:p w14:paraId="04381DF0"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E5763">
              <w:rPr>
                <w:rFonts w:cstheme="minorHAnsi"/>
                <w:sz w:val="16"/>
                <w:szCs w:val="16"/>
              </w:rPr>
              <w:t>X</w:t>
            </w:r>
          </w:p>
        </w:tc>
        <w:tc>
          <w:tcPr>
            <w:tcW w:w="387" w:type="dxa"/>
            <w:tcBorders>
              <w:top w:val="single" w:sz="8" w:space="0" w:color="auto"/>
              <w:bottom w:val="single" w:sz="12" w:space="0" w:color="000000" w:themeColor="text1"/>
            </w:tcBorders>
            <w:shd w:val="clear" w:color="auto" w:fill="B0DF9B" w:themeFill="accent4" w:themeFillTint="66"/>
          </w:tcPr>
          <w:p w14:paraId="77E14558"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E5763">
              <w:rPr>
                <w:rFonts w:cstheme="minorHAnsi"/>
                <w:sz w:val="16"/>
                <w:szCs w:val="16"/>
              </w:rPr>
              <w:t>X</w:t>
            </w:r>
          </w:p>
        </w:tc>
        <w:tc>
          <w:tcPr>
            <w:tcW w:w="388" w:type="dxa"/>
            <w:tcBorders>
              <w:top w:val="single" w:sz="8" w:space="0" w:color="auto"/>
              <w:bottom w:val="single" w:sz="12" w:space="0" w:color="000000" w:themeColor="text1"/>
            </w:tcBorders>
            <w:shd w:val="clear" w:color="auto" w:fill="B0DF9B" w:themeFill="accent4" w:themeFillTint="66"/>
          </w:tcPr>
          <w:p w14:paraId="182E33E9"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E5763">
              <w:rPr>
                <w:rFonts w:cstheme="minorHAnsi"/>
                <w:sz w:val="16"/>
                <w:szCs w:val="16"/>
              </w:rPr>
              <w:t>X</w:t>
            </w:r>
          </w:p>
        </w:tc>
        <w:tc>
          <w:tcPr>
            <w:tcW w:w="388" w:type="dxa"/>
            <w:tcBorders>
              <w:top w:val="single" w:sz="8" w:space="0" w:color="auto"/>
              <w:bottom w:val="single" w:sz="12" w:space="0" w:color="000000" w:themeColor="text1"/>
            </w:tcBorders>
            <w:shd w:val="clear" w:color="auto" w:fill="B0DF9B" w:themeFill="accent4" w:themeFillTint="66"/>
          </w:tcPr>
          <w:p w14:paraId="3F8A3DB2"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E5763">
              <w:rPr>
                <w:rFonts w:cstheme="minorHAnsi"/>
                <w:sz w:val="16"/>
                <w:szCs w:val="16"/>
              </w:rPr>
              <w:t>X</w:t>
            </w:r>
          </w:p>
        </w:tc>
        <w:tc>
          <w:tcPr>
            <w:tcW w:w="388" w:type="dxa"/>
            <w:tcBorders>
              <w:top w:val="single" w:sz="8" w:space="0" w:color="auto"/>
              <w:bottom w:val="single" w:sz="12" w:space="0" w:color="000000" w:themeColor="text1"/>
            </w:tcBorders>
            <w:shd w:val="clear" w:color="auto" w:fill="B0DF9B" w:themeFill="accent4" w:themeFillTint="66"/>
          </w:tcPr>
          <w:p w14:paraId="356DBD84"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E5763">
              <w:rPr>
                <w:rFonts w:cstheme="minorHAnsi"/>
                <w:sz w:val="16"/>
                <w:szCs w:val="16"/>
              </w:rPr>
              <w:t>X</w:t>
            </w:r>
          </w:p>
        </w:tc>
        <w:tc>
          <w:tcPr>
            <w:tcW w:w="388" w:type="dxa"/>
            <w:tcBorders>
              <w:top w:val="single" w:sz="8" w:space="0" w:color="auto"/>
              <w:bottom w:val="single" w:sz="12" w:space="0" w:color="000000" w:themeColor="text1"/>
            </w:tcBorders>
            <w:shd w:val="clear" w:color="auto" w:fill="B0DF9B" w:themeFill="accent4" w:themeFillTint="66"/>
          </w:tcPr>
          <w:p w14:paraId="4E0C415A"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E5763">
              <w:rPr>
                <w:rFonts w:cstheme="minorHAnsi"/>
                <w:sz w:val="16"/>
                <w:szCs w:val="16"/>
              </w:rPr>
              <w:t>X</w:t>
            </w:r>
          </w:p>
        </w:tc>
        <w:tc>
          <w:tcPr>
            <w:tcW w:w="388" w:type="dxa"/>
            <w:tcBorders>
              <w:top w:val="single" w:sz="8" w:space="0" w:color="auto"/>
              <w:bottom w:val="single" w:sz="12" w:space="0" w:color="000000" w:themeColor="text1"/>
            </w:tcBorders>
            <w:shd w:val="clear" w:color="auto" w:fill="B0DF9B" w:themeFill="accent4" w:themeFillTint="66"/>
          </w:tcPr>
          <w:p w14:paraId="4733EFB6"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E5763">
              <w:rPr>
                <w:rFonts w:cstheme="minorHAnsi"/>
                <w:sz w:val="16"/>
                <w:szCs w:val="16"/>
              </w:rPr>
              <w:t>X</w:t>
            </w:r>
          </w:p>
        </w:tc>
        <w:tc>
          <w:tcPr>
            <w:tcW w:w="388" w:type="dxa"/>
            <w:tcBorders>
              <w:top w:val="single" w:sz="8" w:space="0" w:color="auto"/>
              <w:bottom w:val="single" w:sz="12" w:space="0" w:color="000000" w:themeColor="text1"/>
            </w:tcBorders>
            <w:shd w:val="clear" w:color="auto" w:fill="B0DF9B" w:themeFill="accent4" w:themeFillTint="66"/>
          </w:tcPr>
          <w:p w14:paraId="2E80070A"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E5763">
              <w:rPr>
                <w:rFonts w:cstheme="minorHAnsi"/>
                <w:sz w:val="16"/>
                <w:szCs w:val="16"/>
              </w:rPr>
              <w:t>X</w:t>
            </w:r>
          </w:p>
        </w:tc>
        <w:tc>
          <w:tcPr>
            <w:tcW w:w="388" w:type="dxa"/>
            <w:tcBorders>
              <w:top w:val="single" w:sz="8" w:space="0" w:color="auto"/>
              <w:bottom w:val="single" w:sz="12" w:space="0" w:color="000000" w:themeColor="text1"/>
            </w:tcBorders>
            <w:shd w:val="clear" w:color="auto" w:fill="B0DF9B" w:themeFill="accent4" w:themeFillTint="66"/>
          </w:tcPr>
          <w:p w14:paraId="009AD005"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E5763">
              <w:rPr>
                <w:rFonts w:cstheme="minorHAnsi"/>
                <w:sz w:val="16"/>
                <w:szCs w:val="16"/>
              </w:rPr>
              <w:t>X</w:t>
            </w:r>
          </w:p>
        </w:tc>
        <w:tc>
          <w:tcPr>
            <w:tcW w:w="388" w:type="dxa"/>
            <w:tcBorders>
              <w:top w:val="single" w:sz="8" w:space="0" w:color="auto"/>
              <w:bottom w:val="single" w:sz="12" w:space="0" w:color="000000" w:themeColor="text1"/>
            </w:tcBorders>
            <w:shd w:val="clear" w:color="auto" w:fill="B0DF9B" w:themeFill="accent4" w:themeFillTint="66"/>
          </w:tcPr>
          <w:p w14:paraId="4E2B0AEF"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E5763">
              <w:rPr>
                <w:rFonts w:cstheme="minorHAnsi"/>
                <w:sz w:val="16"/>
                <w:szCs w:val="16"/>
              </w:rPr>
              <w:t>X</w:t>
            </w:r>
          </w:p>
        </w:tc>
        <w:tc>
          <w:tcPr>
            <w:tcW w:w="388" w:type="dxa"/>
            <w:tcBorders>
              <w:top w:val="single" w:sz="8" w:space="0" w:color="auto"/>
              <w:bottom w:val="single" w:sz="12" w:space="0" w:color="000000" w:themeColor="text1"/>
            </w:tcBorders>
            <w:shd w:val="clear" w:color="auto" w:fill="B0DF9B" w:themeFill="accent4" w:themeFillTint="66"/>
          </w:tcPr>
          <w:p w14:paraId="644F58BA"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E5763">
              <w:rPr>
                <w:rFonts w:cstheme="minorHAnsi"/>
                <w:sz w:val="16"/>
                <w:szCs w:val="16"/>
              </w:rPr>
              <w:t>X</w:t>
            </w:r>
          </w:p>
        </w:tc>
        <w:tc>
          <w:tcPr>
            <w:tcW w:w="388" w:type="dxa"/>
            <w:tcBorders>
              <w:top w:val="single" w:sz="8" w:space="0" w:color="auto"/>
              <w:bottom w:val="single" w:sz="12" w:space="0" w:color="000000" w:themeColor="text1"/>
            </w:tcBorders>
            <w:shd w:val="clear" w:color="auto" w:fill="B0DF9B" w:themeFill="accent4" w:themeFillTint="66"/>
          </w:tcPr>
          <w:p w14:paraId="530BBE12"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E5763">
              <w:rPr>
                <w:rFonts w:cstheme="minorHAnsi"/>
                <w:sz w:val="16"/>
                <w:szCs w:val="16"/>
              </w:rPr>
              <w:t>X</w:t>
            </w:r>
          </w:p>
        </w:tc>
        <w:tc>
          <w:tcPr>
            <w:tcW w:w="388" w:type="dxa"/>
            <w:tcBorders>
              <w:top w:val="single" w:sz="8" w:space="0" w:color="auto"/>
              <w:bottom w:val="single" w:sz="12" w:space="0" w:color="000000" w:themeColor="text1"/>
            </w:tcBorders>
            <w:shd w:val="clear" w:color="auto" w:fill="B0DF9B" w:themeFill="accent4" w:themeFillTint="66"/>
          </w:tcPr>
          <w:p w14:paraId="0487A4F7"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E5763">
              <w:rPr>
                <w:rFonts w:cstheme="minorHAnsi"/>
                <w:sz w:val="16"/>
                <w:szCs w:val="16"/>
              </w:rPr>
              <w:t>X</w:t>
            </w:r>
          </w:p>
        </w:tc>
        <w:tc>
          <w:tcPr>
            <w:tcW w:w="388" w:type="dxa"/>
            <w:tcBorders>
              <w:top w:val="single" w:sz="8" w:space="0" w:color="auto"/>
              <w:bottom w:val="single" w:sz="12" w:space="0" w:color="000000" w:themeColor="text1"/>
            </w:tcBorders>
            <w:shd w:val="clear" w:color="auto" w:fill="B0DF9B" w:themeFill="accent4" w:themeFillTint="66"/>
          </w:tcPr>
          <w:p w14:paraId="62D044D6"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E5763">
              <w:rPr>
                <w:rFonts w:cstheme="minorHAnsi"/>
                <w:sz w:val="16"/>
                <w:szCs w:val="16"/>
              </w:rPr>
              <w:t>X</w:t>
            </w:r>
          </w:p>
        </w:tc>
        <w:tc>
          <w:tcPr>
            <w:tcW w:w="388" w:type="dxa"/>
            <w:tcBorders>
              <w:top w:val="single" w:sz="8" w:space="0" w:color="auto"/>
              <w:bottom w:val="single" w:sz="12" w:space="0" w:color="000000" w:themeColor="text1"/>
            </w:tcBorders>
            <w:shd w:val="clear" w:color="auto" w:fill="B0DF9B" w:themeFill="accent4" w:themeFillTint="66"/>
          </w:tcPr>
          <w:p w14:paraId="6AEDACEB"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E5763">
              <w:rPr>
                <w:rFonts w:cstheme="minorHAnsi"/>
                <w:sz w:val="16"/>
                <w:szCs w:val="16"/>
              </w:rPr>
              <w:t>X</w:t>
            </w:r>
          </w:p>
        </w:tc>
        <w:tc>
          <w:tcPr>
            <w:tcW w:w="384" w:type="dxa"/>
            <w:tcBorders>
              <w:top w:val="single" w:sz="8" w:space="0" w:color="auto"/>
              <w:bottom w:val="single" w:sz="12" w:space="0" w:color="000000" w:themeColor="text1"/>
            </w:tcBorders>
          </w:tcPr>
          <w:p w14:paraId="3B0F91C8"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w:t>
            </w:r>
          </w:p>
        </w:tc>
        <w:tc>
          <w:tcPr>
            <w:tcW w:w="384" w:type="dxa"/>
            <w:tcBorders>
              <w:top w:val="single" w:sz="8" w:space="0" w:color="auto"/>
              <w:bottom w:val="single" w:sz="12" w:space="0" w:color="000000" w:themeColor="text1"/>
            </w:tcBorders>
          </w:tcPr>
          <w:p w14:paraId="5F587A66"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4F2745">
              <w:rPr>
                <w:rFonts w:cstheme="minorHAnsi"/>
                <w:sz w:val="16"/>
                <w:szCs w:val="16"/>
              </w:rPr>
              <w:t>–</w:t>
            </w:r>
          </w:p>
        </w:tc>
        <w:tc>
          <w:tcPr>
            <w:tcW w:w="384" w:type="dxa"/>
            <w:tcBorders>
              <w:top w:val="single" w:sz="8" w:space="0" w:color="auto"/>
              <w:bottom w:val="single" w:sz="12" w:space="0" w:color="000000" w:themeColor="text1"/>
            </w:tcBorders>
          </w:tcPr>
          <w:p w14:paraId="605C859A"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4F2745">
              <w:rPr>
                <w:rFonts w:cstheme="minorHAnsi"/>
                <w:sz w:val="16"/>
                <w:szCs w:val="16"/>
              </w:rPr>
              <w:t>–</w:t>
            </w:r>
          </w:p>
        </w:tc>
        <w:tc>
          <w:tcPr>
            <w:tcW w:w="384" w:type="dxa"/>
            <w:tcBorders>
              <w:top w:val="single" w:sz="8" w:space="0" w:color="auto"/>
              <w:bottom w:val="single" w:sz="12" w:space="0" w:color="000000" w:themeColor="text1"/>
            </w:tcBorders>
          </w:tcPr>
          <w:p w14:paraId="587E4A06"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4F2745">
              <w:rPr>
                <w:rFonts w:cstheme="minorHAnsi"/>
                <w:sz w:val="16"/>
                <w:szCs w:val="16"/>
              </w:rPr>
              <w:t>–</w:t>
            </w:r>
          </w:p>
        </w:tc>
        <w:tc>
          <w:tcPr>
            <w:tcW w:w="384" w:type="dxa"/>
            <w:tcBorders>
              <w:top w:val="single" w:sz="8" w:space="0" w:color="auto"/>
              <w:bottom w:val="single" w:sz="12" w:space="0" w:color="000000" w:themeColor="text1"/>
            </w:tcBorders>
          </w:tcPr>
          <w:p w14:paraId="7FEAA34A"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4F2745">
              <w:rPr>
                <w:rFonts w:cstheme="minorHAnsi"/>
                <w:sz w:val="16"/>
                <w:szCs w:val="16"/>
              </w:rPr>
              <w:t>–</w:t>
            </w:r>
          </w:p>
        </w:tc>
        <w:tc>
          <w:tcPr>
            <w:tcW w:w="384" w:type="dxa"/>
            <w:tcBorders>
              <w:top w:val="single" w:sz="8" w:space="0" w:color="auto"/>
              <w:bottom w:val="single" w:sz="12" w:space="0" w:color="000000" w:themeColor="text1"/>
            </w:tcBorders>
          </w:tcPr>
          <w:p w14:paraId="6787494A"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4F2745">
              <w:rPr>
                <w:rFonts w:cstheme="minorHAnsi"/>
                <w:sz w:val="16"/>
                <w:szCs w:val="16"/>
              </w:rPr>
              <w:t>–</w:t>
            </w:r>
          </w:p>
        </w:tc>
        <w:tc>
          <w:tcPr>
            <w:tcW w:w="384" w:type="dxa"/>
            <w:tcBorders>
              <w:top w:val="single" w:sz="8" w:space="0" w:color="auto"/>
              <w:bottom w:val="single" w:sz="12" w:space="0" w:color="000000" w:themeColor="text1"/>
            </w:tcBorders>
          </w:tcPr>
          <w:p w14:paraId="4C137C04"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4F2745">
              <w:rPr>
                <w:rFonts w:cstheme="minorHAnsi"/>
                <w:sz w:val="16"/>
                <w:szCs w:val="16"/>
              </w:rPr>
              <w:t>–</w:t>
            </w:r>
          </w:p>
        </w:tc>
        <w:tc>
          <w:tcPr>
            <w:tcW w:w="384" w:type="dxa"/>
            <w:tcBorders>
              <w:top w:val="single" w:sz="8" w:space="0" w:color="auto"/>
              <w:bottom w:val="single" w:sz="12" w:space="0" w:color="000000" w:themeColor="text1"/>
            </w:tcBorders>
          </w:tcPr>
          <w:p w14:paraId="22898105"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4F2745">
              <w:rPr>
                <w:rFonts w:cstheme="minorHAnsi"/>
                <w:sz w:val="16"/>
                <w:szCs w:val="16"/>
              </w:rPr>
              <w:t>–</w:t>
            </w:r>
          </w:p>
        </w:tc>
        <w:tc>
          <w:tcPr>
            <w:tcW w:w="384" w:type="dxa"/>
            <w:tcBorders>
              <w:top w:val="single" w:sz="8" w:space="0" w:color="auto"/>
              <w:bottom w:val="single" w:sz="12" w:space="0" w:color="000000" w:themeColor="text1"/>
            </w:tcBorders>
          </w:tcPr>
          <w:p w14:paraId="10274EF2"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4F2745">
              <w:rPr>
                <w:rFonts w:cstheme="minorHAnsi"/>
                <w:sz w:val="16"/>
                <w:szCs w:val="16"/>
              </w:rPr>
              <w:t>–</w:t>
            </w:r>
          </w:p>
        </w:tc>
        <w:tc>
          <w:tcPr>
            <w:tcW w:w="384" w:type="dxa"/>
            <w:tcBorders>
              <w:top w:val="single" w:sz="8" w:space="0" w:color="auto"/>
              <w:bottom w:val="single" w:sz="12" w:space="0" w:color="000000" w:themeColor="text1"/>
            </w:tcBorders>
          </w:tcPr>
          <w:p w14:paraId="4F0C613F"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4F2745">
              <w:rPr>
                <w:rFonts w:cstheme="minorHAnsi"/>
                <w:sz w:val="16"/>
                <w:szCs w:val="16"/>
              </w:rPr>
              <w:t>–</w:t>
            </w:r>
          </w:p>
        </w:tc>
      </w:tr>
      <w:tr w:rsidR="00183E55" w:rsidRPr="00AC573C" w14:paraId="469FC85A" w14:textId="77777777" w:rsidTr="00B94692">
        <w:tblPrEx>
          <w:tblCellMar>
            <w:top w:w="43" w:type="dxa"/>
            <w:bottom w:w="0" w:type="dxa"/>
          </w:tblCellMar>
        </w:tblPrEx>
        <w:trPr>
          <w:trHeight w:val="310"/>
        </w:trPr>
        <w:tc>
          <w:tcPr>
            <w:cnfStyle w:val="001000000000" w:firstRow="0" w:lastRow="0" w:firstColumn="1" w:lastColumn="0" w:oddVBand="0" w:evenVBand="0" w:oddHBand="0" w:evenHBand="0" w:firstRowFirstColumn="0" w:firstRowLastColumn="0" w:lastRowFirstColumn="0" w:lastRowLastColumn="0"/>
            <w:tcW w:w="1995" w:type="dxa"/>
            <w:tcBorders>
              <w:top w:val="single" w:sz="12" w:space="0" w:color="000000" w:themeColor="text1"/>
            </w:tcBorders>
            <w:noWrap/>
            <w:hideMark/>
          </w:tcPr>
          <w:p w14:paraId="541FC16A" w14:textId="77777777" w:rsidR="00183E55" w:rsidRPr="00AC573C" w:rsidRDefault="00183E55" w:rsidP="00B94692">
            <w:pPr>
              <w:rPr>
                <w:sz w:val="16"/>
                <w:szCs w:val="16"/>
              </w:rPr>
            </w:pPr>
            <w:r w:rsidRPr="3383C28C">
              <w:rPr>
                <w:sz w:val="16"/>
                <w:szCs w:val="16"/>
              </w:rPr>
              <w:t>Submit EDD to CMS 4/14/23 </w:t>
            </w:r>
          </w:p>
        </w:tc>
        <w:tc>
          <w:tcPr>
            <w:tcW w:w="383" w:type="dxa"/>
            <w:tcBorders>
              <w:top w:val="single" w:sz="12" w:space="0" w:color="000000" w:themeColor="text1"/>
            </w:tcBorders>
            <w:noWrap/>
            <w:hideMark/>
          </w:tcPr>
          <w:p w14:paraId="614BE449"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144B1">
              <w:rPr>
                <w:rFonts w:cstheme="minorHAnsi"/>
                <w:sz w:val="16"/>
                <w:szCs w:val="16"/>
              </w:rPr>
              <w:t>–</w:t>
            </w:r>
          </w:p>
        </w:tc>
        <w:tc>
          <w:tcPr>
            <w:tcW w:w="383" w:type="dxa"/>
            <w:tcBorders>
              <w:top w:val="single" w:sz="12" w:space="0" w:color="000000" w:themeColor="text1"/>
            </w:tcBorders>
            <w:noWrap/>
            <w:hideMark/>
          </w:tcPr>
          <w:p w14:paraId="3781AA20"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144B1">
              <w:rPr>
                <w:rFonts w:cstheme="minorHAnsi"/>
                <w:sz w:val="16"/>
                <w:szCs w:val="16"/>
              </w:rPr>
              <w:t>–</w:t>
            </w:r>
          </w:p>
        </w:tc>
        <w:tc>
          <w:tcPr>
            <w:tcW w:w="383" w:type="dxa"/>
            <w:tcBorders>
              <w:top w:val="single" w:sz="12" w:space="0" w:color="000000" w:themeColor="text1"/>
            </w:tcBorders>
            <w:shd w:val="clear" w:color="auto" w:fill="auto"/>
            <w:noWrap/>
            <w:hideMark/>
          </w:tcPr>
          <w:p w14:paraId="04684CCB" w14:textId="77777777" w:rsidR="00183E55" w:rsidRPr="00926021"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144B1">
              <w:rPr>
                <w:rFonts w:cstheme="minorHAnsi"/>
                <w:sz w:val="16"/>
                <w:szCs w:val="16"/>
              </w:rPr>
              <w:t>–</w:t>
            </w:r>
          </w:p>
        </w:tc>
        <w:tc>
          <w:tcPr>
            <w:tcW w:w="387" w:type="dxa"/>
            <w:tcBorders>
              <w:top w:val="single" w:sz="12" w:space="0" w:color="000000" w:themeColor="text1"/>
            </w:tcBorders>
            <w:shd w:val="clear" w:color="auto" w:fill="B0DF9B" w:themeFill="accent4" w:themeFillTint="66"/>
            <w:noWrap/>
            <w:hideMark/>
          </w:tcPr>
          <w:p w14:paraId="3056BFF2" w14:textId="5F81BA30" w:rsidR="00183E55" w:rsidRPr="00926021" w:rsidRDefault="00F92B92"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D</w:t>
            </w:r>
          </w:p>
        </w:tc>
        <w:tc>
          <w:tcPr>
            <w:tcW w:w="387" w:type="dxa"/>
            <w:tcBorders>
              <w:top w:val="single" w:sz="12" w:space="0" w:color="000000" w:themeColor="text1"/>
            </w:tcBorders>
            <w:noWrap/>
            <w:hideMark/>
          </w:tcPr>
          <w:p w14:paraId="0B0E633C"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B50A2">
              <w:rPr>
                <w:rFonts w:cstheme="minorHAnsi"/>
                <w:sz w:val="16"/>
                <w:szCs w:val="16"/>
              </w:rPr>
              <w:t>–</w:t>
            </w:r>
          </w:p>
        </w:tc>
        <w:tc>
          <w:tcPr>
            <w:tcW w:w="387" w:type="dxa"/>
            <w:tcBorders>
              <w:top w:val="single" w:sz="12" w:space="0" w:color="000000" w:themeColor="text1"/>
            </w:tcBorders>
            <w:noWrap/>
            <w:hideMark/>
          </w:tcPr>
          <w:p w14:paraId="4201B0BD"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B50A2">
              <w:rPr>
                <w:rFonts w:cstheme="minorHAnsi"/>
                <w:sz w:val="16"/>
                <w:szCs w:val="16"/>
              </w:rPr>
              <w:t>–</w:t>
            </w:r>
          </w:p>
        </w:tc>
        <w:tc>
          <w:tcPr>
            <w:tcW w:w="387" w:type="dxa"/>
            <w:tcBorders>
              <w:top w:val="single" w:sz="12" w:space="0" w:color="000000" w:themeColor="text1"/>
            </w:tcBorders>
            <w:noWrap/>
            <w:hideMark/>
          </w:tcPr>
          <w:p w14:paraId="55E6287D"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B50A2">
              <w:rPr>
                <w:rFonts w:cstheme="minorHAnsi"/>
                <w:sz w:val="16"/>
                <w:szCs w:val="16"/>
              </w:rPr>
              <w:t>–</w:t>
            </w:r>
          </w:p>
        </w:tc>
        <w:tc>
          <w:tcPr>
            <w:tcW w:w="388" w:type="dxa"/>
            <w:tcBorders>
              <w:top w:val="single" w:sz="12" w:space="0" w:color="000000" w:themeColor="text1"/>
            </w:tcBorders>
            <w:noWrap/>
            <w:hideMark/>
          </w:tcPr>
          <w:p w14:paraId="79AC177A"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B50A2">
              <w:rPr>
                <w:rFonts w:cstheme="minorHAnsi"/>
                <w:sz w:val="16"/>
                <w:szCs w:val="16"/>
              </w:rPr>
              <w:t>–</w:t>
            </w:r>
          </w:p>
        </w:tc>
        <w:tc>
          <w:tcPr>
            <w:tcW w:w="388" w:type="dxa"/>
            <w:tcBorders>
              <w:top w:val="single" w:sz="12" w:space="0" w:color="000000" w:themeColor="text1"/>
            </w:tcBorders>
            <w:noWrap/>
            <w:hideMark/>
          </w:tcPr>
          <w:p w14:paraId="5A0D9BE1"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B50A2">
              <w:rPr>
                <w:rFonts w:cstheme="minorHAnsi"/>
                <w:sz w:val="16"/>
                <w:szCs w:val="16"/>
              </w:rPr>
              <w:t>–</w:t>
            </w:r>
          </w:p>
        </w:tc>
        <w:tc>
          <w:tcPr>
            <w:tcW w:w="388" w:type="dxa"/>
            <w:tcBorders>
              <w:top w:val="single" w:sz="12" w:space="0" w:color="000000" w:themeColor="text1"/>
            </w:tcBorders>
            <w:noWrap/>
            <w:hideMark/>
          </w:tcPr>
          <w:p w14:paraId="5721EA9E"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B50A2">
              <w:rPr>
                <w:rFonts w:cstheme="minorHAnsi"/>
                <w:sz w:val="16"/>
                <w:szCs w:val="16"/>
              </w:rPr>
              <w:t>–</w:t>
            </w:r>
          </w:p>
        </w:tc>
        <w:tc>
          <w:tcPr>
            <w:tcW w:w="388" w:type="dxa"/>
            <w:tcBorders>
              <w:top w:val="single" w:sz="12" w:space="0" w:color="000000" w:themeColor="text1"/>
            </w:tcBorders>
            <w:noWrap/>
            <w:hideMark/>
          </w:tcPr>
          <w:p w14:paraId="4B328E1C"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B50A2">
              <w:rPr>
                <w:rFonts w:cstheme="minorHAnsi"/>
                <w:sz w:val="16"/>
                <w:szCs w:val="16"/>
              </w:rPr>
              <w:t>–</w:t>
            </w:r>
          </w:p>
        </w:tc>
        <w:tc>
          <w:tcPr>
            <w:tcW w:w="388" w:type="dxa"/>
            <w:tcBorders>
              <w:top w:val="single" w:sz="12" w:space="0" w:color="000000" w:themeColor="text1"/>
            </w:tcBorders>
            <w:noWrap/>
            <w:hideMark/>
          </w:tcPr>
          <w:p w14:paraId="6D82926C"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B50A2">
              <w:rPr>
                <w:rFonts w:cstheme="minorHAnsi"/>
                <w:sz w:val="16"/>
                <w:szCs w:val="16"/>
              </w:rPr>
              <w:t>–</w:t>
            </w:r>
          </w:p>
        </w:tc>
        <w:tc>
          <w:tcPr>
            <w:tcW w:w="388" w:type="dxa"/>
            <w:tcBorders>
              <w:top w:val="single" w:sz="12" w:space="0" w:color="000000" w:themeColor="text1"/>
            </w:tcBorders>
            <w:noWrap/>
            <w:hideMark/>
          </w:tcPr>
          <w:p w14:paraId="453839A9"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B50A2">
              <w:rPr>
                <w:rFonts w:cstheme="minorHAnsi"/>
                <w:sz w:val="16"/>
                <w:szCs w:val="16"/>
              </w:rPr>
              <w:t>–</w:t>
            </w:r>
          </w:p>
        </w:tc>
        <w:tc>
          <w:tcPr>
            <w:tcW w:w="388" w:type="dxa"/>
            <w:tcBorders>
              <w:top w:val="single" w:sz="12" w:space="0" w:color="000000" w:themeColor="text1"/>
            </w:tcBorders>
            <w:noWrap/>
            <w:hideMark/>
          </w:tcPr>
          <w:p w14:paraId="1908EF20"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B50A2">
              <w:rPr>
                <w:rFonts w:cstheme="minorHAnsi"/>
                <w:sz w:val="16"/>
                <w:szCs w:val="16"/>
              </w:rPr>
              <w:t>–</w:t>
            </w:r>
          </w:p>
        </w:tc>
        <w:tc>
          <w:tcPr>
            <w:tcW w:w="388" w:type="dxa"/>
            <w:tcBorders>
              <w:top w:val="single" w:sz="12" w:space="0" w:color="000000" w:themeColor="text1"/>
            </w:tcBorders>
            <w:noWrap/>
            <w:hideMark/>
          </w:tcPr>
          <w:p w14:paraId="06CA533A"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B50A2">
              <w:rPr>
                <w:rFonts w:cstheme="minorHAnsi"/>
                <w:sz w:val="16"/>
                <w:szCs w:val="16"/>
              </w:rPr>
              <w:t>–</w:t>
            </w:r>
          </w:p>
        </w:tc>
        <w:tc>
          <w:tcPr>
            <w:tcW w:w="388" w:type="dxa"/>
            <w:tcBorders>
              <w:top w:val="single" w:sz="12" w:space="0" w:color="000000" w:themeColor="text1"/>
            </w:tcBorders>
            <w:noWrap/>
            <w:hideMark/>
          </w:tcPr>
          <w:p w14:paraId="1AE79F2E"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B50A2">
              <w:rPr>
                <w:rFonts w:cstheme="minorHAnsi"/>
                <w:sz w:val="16"/>
                <w:szCs w:val="16"/>
              </w:rPr>
              <w:t>–</w:t>
            </w:r>
          </w:p>
        </w:tc>
        <w:tc>
          <w:tcPr>
            <w:tcW w:w="388" w:type="dxa"/>
            <w:tcBorders>
              <w:top w:val="single" w:sz="12" w:space="0" w:color="000000" w:themeColor="text1"/>
            </w:tcBorders>
            <w:noWrap/>
            <w:hideMark/>
          </w:tcPr>
          <w:p w14:paraId="42D269A6"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B50A2">
              <w:rPr>
                <w:rFonts w:cstheme="minorHAnsi"/>
                <w:sz w:val="16"/>
                <w:szCs w:val="16"/>
              </w:rPr>
              <w:t>–</w:t>
            </w:r>
          </w:p>
        </w:tc>
        <w:tc>
          <w:tcPr>
            <w:tcW w:w="388" w:type="dxa"/>
            <w:tcBorders>
              <w:top w:val="single" w:sz="12" w:space="0" w:color="000000" w:themeColor="text1"/>
            </w:tcBorders>
            <w:noWrap/>
            <w:hideMark/>
          </w:tcPr>
          <w:p w14:paraId="1D2BD927"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B50A2">
              <w:rPr>
                <w:rFonts w:cstheme="minorHAnsi"/>
                <w:sz w:val="16"/>
                <w:szCs w:val="16"/>
              </w:rPr>
              <w:t>–</w:t>
            </w:r>
          </w:p>
        </w:tc>
        <w:tc>
          <w:tcPr>
            <w:tcW w:w="388" w:type="dxa"/>
            <w:tcBorders>
              <w:top w:val="single" w:sz="12" w:space="0" w:color="000000" w:themeColor="text1"/>
            </w:tcBorders>
            <w:noWrap/>
            <w:hideMark/>
          </w:tcPr>
          <w:p w14:paraId="36366A76"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B50A2">
              <w:rPr>
                <w:rFonts w:cstheme="minorHAnsi"/>
                <w:sz w:val="16"/>
                <w:szCs w:val="16"/>
              </w:rPr>
              <w:t>–</w:t>
            </w:r>
          </w:p>
        </w:tc>
        <w:tc>
          <w:tcPr>
            <w:tcW w:w="388" w:type="dxa"/>
            <w:tcBorders>
              <w:top w:val="single" w:sz="12" w:space="0" w:color="000000" w:themeColor="text1"/>
            </w:tcBorders>
            <w:noWrap/>
            <w:hideMark/>
          </w:tcPr>
          <w:p w14:paraId="609EFAAB"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B50A2">
              <w:rPr>
                <w:rFonts w:cstheme="minorHAnsi"/>
                <w:sz w:val="16"/>
                <w:szCs w:val="16"/>
              </w:rPr>
              <w:t>–</w:t>
            </w:r>
          </w:p>
        </w:tc>
        <w:tc>
          <w:tcPr>
            <w:tcW w:w="384" w:type="dxa"/>
            <w:tcBorders>
              <w:top w:val="single" w:sz="12" w:space="0" w:color="000000" w:themeColor="text1"/>
            </w:tcBorders>
            <w:noWrap/>
            <w:hideMark/>
          </w:tcPr>
          <w:p w14:paraId="4E036F1A"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B50A2">
              <w:rPr>
                <w:rFonts w:cstheme="minorHAnsi"/>
                <w:sz w:val="16"/>
                <w:szCs w:val="16"/>
              </w:rPr>
              <w:t>–</w:t>
            </w:r>
          </w:p>
        </w:tc>
        <w:tc>
          <w:tcPr>
            <w:tcW w:w="384" w:type="dxa"/>
            <w:tcBorders>
              <w:top w:val="single" w:sz="12" w:space="0" w:color="000000" w:themeColor="text1"/>
            </w:tcBorders>
            <w:noWrap/>
            <w:hideMark/>
          </w:tcPr>
          <w:p w14:paraId="74CA1162"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B50A2">
              <w:rPr>
                <w:rFonts w:cstheme="minorHAnsi"/>
                <w:sz w:val="16"/>
                <w:szCs w:val="16"/>
              </w:rPr>
              <w:t>–</w:t>
            </w:r>
          </w:p>
        </w:tc>
        <w:tc>
          <w:tcPr>
            <w:tcW w:w="384" w:type="dxa"/>
            <w:tcBorders>
              <w:top w:val="single" w:sz="12" w:space="0" w:color="000000" w:themeColor="text1"/>
            </w:tcBorders>
            <w:noWrap/>
            <w:hideMark/>
          </w:tcPr>
          <w:p w14:paraId="0709CDBF"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B50A2">
              <w:rPr>
                <w:rFonts w:cstheme="minorHAnsi"/>
                <w:sz w:val="16"/>
                <w:szCs w:val="16"/>
              </w:rPr>
              <w:t>–</w:t>
            </w:r>
          </w:p>
        </w:tc>
        <w:tc>
          <w:tcPr>
            <w:tcW w:w="384" w:type="dxa"/>
            <w:tcBorders>
              <w:top w:val="single" w:sz="12" w:space="0" w:color="000000" w:themeColor="text1"/>
            </w:tcBorders>
            <w:noWrap/>
            <w:hideMark/>
          </w:tcPr>
          <w:p w14:paraId="1E26D6A8"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B50A2">
              <w:rPr>
                <w:rFonts w:cstheme="minorHAnsi"/>
                <w:sz w:val="16"/>
                <w:szCs w:val="16"/>
              </w:rPr>
              <w:t>–</w:t>
            </w:r>
          </w:p>
        </w:tc>
        <w:tc>
          <w:tcPr>
            <w:tcW w:w="384" w:type="dxa"/>
            <w:tcBorders>
              <w:top w:val="single" w:sz="12" w:space="0" w:color="000000" w:themeColor="text1"/>
            </w:tcBorders>
            <w:noWrap/>
            <w:hideMark/>
          </w:tcPr>
          <w:p w14:paraId="53059C55"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B50A2">
              <w:rPr>
                <w:rFonts w:cstheme="minorHAnsi"/>
                <w:sz w:val="16"/>
                <w:szCs w:val="16"/>
              </w:rPr>
              <w:t>–</w:t>
            </w:r>
          </w:p>
        </w:tc>
        <w:tc>
          <w:tcPr>
            <w:tcW w:w="384" w:type="dxa"/>
            <w:tcBorders>
              <w:top w:val="single" w:sz="12" w:space="0" w:color="000000" w:themeColor="text1"/>
            </w:tcBorders>
            <w:noWrap/>
            <w:hideMark/>
          </w:tcPr>
          <w:p w14:paraId="194B56A7"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B50A2">
              <w:rPr>
                <w:rFonts w:cstheme="minorHAnsi"/>
                <w:sz w:val="16"/>
                <w:szCs w:val="16"/>
              </w:rPr>
              <w:t>–</w:t>
            </w:r>
          </w:p>
        </w:tc>
        <w:tc>
          <w:tcPr>
            <w:tcW w:w="384" w:type="dxa"/>
            <w:tcBorders>
              <w:top w:val="single" w:sz="12" w:space="0" w:color="000000" w:themeColor="text1"/>
            </w:tcBorders>
            <w:noWrap/>
            <w:hideMark/>
          </w:tcPr>
          <w:p w14:paraId="7A47FC1D"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B50A2">
              <w:rPr>
                <w:rFonts w:cstheme="minorHAnsi"/>
                <w:sz w:val="16"/>
                <w:szCs w:val="16"/>
              </w:rPr>
              <w:t>–</w:t>
            </w:r>
          </w:p>
        </w:tc>
        <w:tc>
          <w:tcPr>
            <w:tcW w:w="384" w:type="dxa"/>
            <w:tcBorders>
              <w:top w:val="single" w:sz="12" w:space="0" w:color="000000" w:themeColor="text1"/>
            </w:tcBorders>
            <w:noWrap/>
            <w:hideMark/>
          </w:tcPr>
          <w:p w14:paraId="369FCE43"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B50A2">
              <w:rPr>
                <w:rFonts w:cstheme="minorHAnsi"/>
                <w:sz w:val="16"/>
                <w:szCs w:val="16"/>
              </w:rPr>
              <w:t>–</w:t>
            </w:r>
          </w:p>
        </w:tc>
        <w:tc>
          <w:tcPr>
            <w:tcW w:w="384" w:type="dxa"/>
            <w:tcBorders>
              <w:top w:val="single" w:sz="12" w:space="0" w:color="000000" w:themeColor="text1"/>
            </w:tcBorders>
            <w:noWrap/>
            <w:hideMark/>
          </w:tcPr>
          <w:p w14:paraId="2BB89F35"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B50A2">
              <w:rPr>
                <w:rFonts w:cstheme="minorHAnsi"/>
                <w:sz w:val="16"/>
                <w:szCs w:val="16"/>
              </w:rPr>
              <w:t>–</w:t>
            </w:r>
          </w:p>
        </w:tc>
        <w:tc>
          <w:tcPr>
            <w:tcW w:w="384" w:type="dxa"/>
            <w:tcBorders>
              <w:top w:val="single" w:sz="12" w:space="0" w:color="000000" w:themeColor="text1"/>
            </w:tcBorders>
            <w:noWrap/>
            <w:hideMark/>
          </w:tcPr>
          <w:p w14:paraId="64C076F0"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B50A2">
              <w:rPr>
                <w:rFonts w:cstheme="minorHAnsi"/>
                <w:sz w:val="16"/>
                <w:szCs w:val="16"/>
              </w:rPr>
              <w:t>–</w:t>
            </w:r>
          </w:p>
        </w:tc>
      </w:tr>
      <w:tr w:rsidR="0020559B" w:rsidRPr="00AC573C" w14:paraId="620BF642" w14:textId="77777777" w:rsidTr="00591DB6">
        <w:tblPrEx>
          <w:tblCellMar>
            <w:top w:w="43" w:type="dxa"/>
            <w:bottom w:w="0" w:type="dxa"/>
          </w:tblCellMar>
        </w:tblPrEx>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95" w:type="dxa"/>
            <w:noWrap/>
            <w:hideMark/>
          </w:tcPr>
          <w:p w14:paraId="7AD60580" w14:textId="77777777" w:rsidR="00591DB6" w:rsidRPr="00D10DD5" w:rsidRDefault="00591DB6" w:rsidP="00591DB6">
            <w:pPr>
              <w:rPr>
                <w:rFonts w:cstheme="minorHAnsi"/>
                <w:b w:val="0"/>
                <w:bCs w:val="0"/>
                <w:sz w:val="16"/>
                <w:szCs w:val="16"/>
              </w:rPr>
            </w:pPr>
            <w:r>
              <w:rPr>
                <w:rFonts w:cstheme="minorHAnsi"/>
                <w:b w:val="0"/>
                <w:bCs w:val="0"/>
                <w:sz w:val="16"/>
                <w:szCs w:val="16"/>
              </w:rPr>
              <w:t>Submit r</w:t>
            </w:r>
            <w:r w:rsidRPr="00D10DD5">
              <w:rPr>
                <w:rFonts w:cstheme="minorHAnsi"/>
                <w:b w:val="0"/>
                <w:bCs w:val="0"/>
                <w:sz w:val="16"/>
                <w:szCs w:val="16"/>
              </w:rPr>
              <w:t>evised EDD</w:t>
            </w:r>
            <w:r>
              <w:rPr>
                <w:rFonts w:cstheme="minorHAnsi"/>
                <w:b w:val="0"/>
                <w:bCs w:val="0"/>
                <w:sz w:val="16"/>
                <w:szCs w:val="16"/>
              </w:rPr>
              <w:t xml:space="preserve"> to CMS 12/4/23</w:t>
            </w:r>
          </w:p>
        </w:tc>
        <w:tc>
          <w:tcPr>
            <w:tcW w:w="383" w:type="dxa"/>
            <w:noWrap/>
            <w:hideMark/>
          </w:tcPr>
          <w:p w14:paraId="7F9DF369" w14:textId="77777777" w:rsidR="00591DB6" w:rsidRPr="00AC573C" w:rsidRDefault="00591DB6" w:rsidP="00591DB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72A78">
              <w:rPr>
                <w:rFonts w:cstheme="minorHAnsi"/>
                <w:sz w:val="16"/>
                <w:szCs w:val="16"/>
              </w:rPr>
              <w:t>–</w:t>
            </w:r>
          </w:p>
        </w:tc>
        <w:tc>
          <w:tcPr>
            <w:tcW w:w="383" w:type="dxa"/>
            <w:noWrap/>
            <w:hideMark/>
          </w:tcPr>
          <w:p w14:paraId="69900358" w14:textId="77777777" w:rsidR="00591DB6" w:rsidRPr="00AC573C" w:rsidRDefault="00591DB6" w:rsidP="00591DB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72A78">
              <w:rPr>
                <w:rFonts w:cstheme="minorHAnsi"/>
                <w:sz w:val="16"/>
                <w:szCs w:val="16"/>
              </w:rPr>
              <w:t>–</w:t>
            </w:r>
          </w:p>
        </w:tc>
        <w:tc>
          <w:tcPr>
            <w:tcW w:w="383" w:type="dxa"/>
            <w:noWrap/>
            <w:hideMark/>
          </w:tcPr>
          <w:p w14:paraId="54DD3F14" w14:textId="77777777" w:rsidR="00591DB6" w:rsidRPr="00926021" w:rsidRDefault="00591DB6" w:rsidP="00591DB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72A78">
              <w:rPr>
                <w:rFonts w:cstheme="minorHAnsi"/>
                <w:sz w:val="16"/>
                <w:szCs w:val="16"/>
              </w:rPr>
              <w:t>–</w:t>
            </w:r>
          </w:p>
        </w:tc>
        <w:tc>
          <w:tcPr>
            <w:tcW w:w="387" w:type="dxa"/>
            <w:noWrap/>
            <w:hideMark/>
          </w:tcPr>
          <w:p w14:paraId="46C9C2A0" w14:textId="4A5739C1" w:rsidR="00591DB6" w:rsidRPr="00926021" w:rsidRDefault="00591DB6" w:rsidP="00591DB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72A78">
              <w:rPr>
                <w:rFonts w:cstheme="minorHAnsi"/>
                <w:sz w:val="16"/>
                <w:szCs w:val="16"/>
              </w:rPr>
              <w:t>–</w:t>
            </w:r>
          </w:p>
        </w:tc>
        <w:tc>
          <w:tcPr>
            <w:tcW w:w="387" w:type="dxa"/>
            <w:noWrap/>
            <w:hideMark/>
          </w:tcPr>
          <w:p w14:paraId="453C3E3B" w14:textId="77777777" w:rsidR="00591DB6" w:rsidRPr="00AC573C" w:rsidRDefault="00591DB6" w:rsidP="00591DB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72A78">
              <w:rPr>
                <w:rFonts w:cstheme="minorHAnsi"/>
                <w:sz w:val="16"/>
                <w:szCs w:val="16"/>
              </w:rPr>
              <w:t>–</w:t>
            </w:r>
          </w:p>
        </w:tc>
        <w:tc>
          <w:tcPr>
            <w:tcW w:w="387" w:type="dxa"/>
            <w:shd w:val="clear" w:color="auto" w:fill="B0DF9B" w:themeFill="accent4" w:themeFillTint="66"/>
            <w:noWrap/>
            <w:hideMark/>
          </w:tcPr>
          <w:p w14:paraId="332C2990" w14:textId="1386CAEC" w:rsidR="00591DB6" w:rsidRPr="00AC573C" w:rsidRDefault="00F92B92" w:rsidP="00591DB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D</w:t>
            </w:r>
          </w:p>
        </w:tc>
        <w:tc>
          <w:tcPr>
            <w:tcW w:w="387" w:type="dxa"/>
            <w:noWrap/>
            <w:hideMark/>
          </w:tcPr>
          <w:p w14:paraId="404341C5" w14:textId="77777777" w:rsidR="00591DB6" w:rsidRPr="00AC573C" w:rsidRDefault="00591DB6" w:rsidP="00591DB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FC633B">
              <w:rPr>
                <w:rFonts w:cstheme="minorHAnsi"/>
                <w:sz w:val="16"/>
                <w:szCs w:val="16"/>
              </w:rPr>
              <w:t>–</w:t>
            </w:r>
          </w:p>
        </w:tc>
        <w:tc>
          <w:tcPr>
            <w:tcW w:w="388" w:type="dxa"/>
            <w:noWrap/>
            <w:hideMark/>
          </w:tcPr>
          <w:p w14:paraId="6F3EEED7" w14:textId="77777777" w:rsidR="00591DB6" w:rsidRPr="00AC573C" w:rsidRDefault="00591DB6" w:rsidP="00591DB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FC633B">
              <w:rPr>
                <w:rFonts w:cstheme="minorHAnsi"/>
                <w:sz w:val="16"/>
                <w:szCs w:val="16"/>
              </w:rPr>
              <w:t>–</w:t>
            </w:r>
          </w:p>
        </w:tc>
        <w:tc>
          <w:tcPr>
            <w:tcW w:w="388" w:type="dxa"/>
            <w:noWrap/>
            <w:hideMark/>
          </w:tcPr>
          <w:p w14:paraId="5C5DAADC" w14:textId="77777777" w:rsidR="00591DB6" w:rsidRPr="00AC573C" w:rsidRDefault="00591DB6" w:rsidP="00591DB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FC633B">
              <w:rPr>
                <w:rFonts w:cstheme="minorHAnsi"/>
                <w:sz w:val="16"/>
                <w:szCs w:val="16"/>
              </w:rPr>
              <w:t>–</w:t>
            </w:r>
          </w:p>
        </w:tc>
        <w:tc>
          <w:tcPr>
            <w:tcW w:w="388" w:type="dxa"/>
            <w:noWrap/>
            <w:hideMark/>
          </w:tcPr>
          <w:p w14:paraId="1070A466" w14:textId="77777777" w:rsidR="00591DB6" w:rsidRPr="00AC573C" w:rsidRDefault="00591DB6" w:rsidP="00591DB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FC633B">
              <w:rPr>
                <w:rFonts w:cstheme="minorHAnsi"/>
                <w:sz w:val="16"/>
                <w:szCs w:val="16"/>
              </w:rPr>
              <w:t>–</w:t>
            </w:r>
          </w:p>
        </w:tc>
        <w:tc>
          <w:tcPr>
            <w:tcW w:w="388" w:type="dxa"/>
            <w:noWrap/>
            <w:hideMark/>
          </w:tcPr>
          <w:p w14:paraId="4C5F94CD" w14:textId="77777777" w:rsidR="00591DB6" w:rsidRPr="00AC573C" w:rsidRDefault="00591DB6" w:rsidP="00591DB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FC633B">
              <w:rPr>
                <w:rFonts w:cstheme="minorHAnsi"/>
                <w:sz w:val="16"/>
                <w:szCs w:val="16"/>
              </w:rPr>
              <w:t>–</w:t>
            </w:r>
          </w:p>
        </w:tc>
        <w:tc>
          <w:tcPr>
            <w:tcW w:w="388" w:type="dxa"/>
            <w:noWrap/>
            <w:hideMark/>
          </w:tcPr>
          <w:p w14:paraId="09DC5BB6" w14:textId="77777777" w:rsidR="00591DB6" w:rsidRPr="00AC573C" w:rsidRDefault="00591DB6" w:rsidP="00591DB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FC633B">
              <w:rPr>
                <w:rFonts w:cstheme="minorHAnsi"/>
                <w:sz w:val="16"/>
                <w:szCs w:val="16"/>
              </w:rPr>
              <w:t>–</w:t>
            </w:r>
          </w:p>
        </w:tc>
        <w:tc>
          <w:tcPr>
            <w:tcW w:w="388" w:type="dxa"/>
            <w:noWrap/>
            <w:hideMark/>
          </w:tcPr>
          <w:p w14:paraId="65B7036C" w14:textId="77777777" w:rsidR="00591DB6" w:rsidRPr="00AC573C" w:rsidRDefault="00591DB6" w:rsidP="00591DB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FC633B">
              <w:rPr>
                <w:rFonts w:cstheme="minorHAnsi"/>
                <w:sz w:val="16"/>
                <w:szCs w:val="16"/>
              </w:rPr>
              <w:t>–</w:t>
            </w:r>
          </w:p>
        </w:tc>
        <w:tc>
          <w:tcPr>
            <w:tcW w:w="388" w:type="dxa"/>
            <w:noWrap/>
            <w:hideMark/>
          </w:tcPr>
          <w:p w14:paraId="390B29D1" w14:textId="77777777" w:rsidR="00591DB6" w:rsidRPr="00AC573C" w:rsidRDefault="00591DB6" w:rsidP="00591DB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FC633B">
              <w:rPr>
                <w:rFonts w:cstheme="minorHAnsi"/>
                <w:sz w:val="16"/>
                <w:szCs w:val="16"/>
              </w:rPr>
              <w:t>–</w:t>
            </w:r>
          </w:p>
        </w:tc>
        <w:tc>
          <w:tcPr>
            <w:tcW w:w="388" w:type="dxa"/>
            <w:noWrap/>
            <w:hideMark/>
          </w:tcPr>
          <w:p w14:paraId="7C4FF9C2" w14:textId="77777777" w:rsidR="00591DB6" w:rsidRPr="00AC573C" w:rsidRDefault="00591DB6" w:rsidP="00591DB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FC633B">
              <w:rPr>
                <w:rFonts w:cstheme="minorHAnsi"/>
                <w:sz w:val="16"/>
                <w:szCs w:val="16"/>
              </w:rPr>
              <w:t>–</w:t>
            </w:r>
          </w:p>
        </w:tc>
        <w:tc>
          <w:tcPr>
            <w:tcW w:w="388" w:type="dxa"/>
            <w:noWrap/>
            <w:hideMark/>
          </w:tcPr>
          <w:p w14:paraId="232D8895" w14:textId="77777777" w:rsidR="00591DB6" w:rsidRPr="00AC573C" w:rsidRDefault="00591DB6" w:rsidP="00591DB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FC633B">
              <w:rPr>
                <w:rFonts w:cstheme="minorHAnsi"/>
                <w:sz w:val="16"/>
                <w:szCs w:val="16"/>
              </w:rPr>
              <w:t>–</w:t>
            </w:r>
          </w:p>
        </w:tc>
        <w:tc>
          <w:tcPr>
            <w:tcW w:w="388" w:type="dxa"/>
            <w:noWrap/>
            <w:hideMark/>
          </w:tcPr>
          <w:p w14:paraId="24DD6E68" w14:textId="77777777" w:rsidR="00591DB6" w:rsidRPr="00AC573C" w:rsidRDefault="00591DB6" w:rsidP="00591DB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FC633B">
              <w:rPr>
                <w:rFonts w:cstheme="minorHAnsi"/>
                <w:sz w:val="16"/>
                <w:szCs w:val="16"/>
              </w:rPr>
              <w:t>–</w:t>
            </w:r>
          </w:p>
        </w:tc>
        <w:tc>
          <w:tcPr>
            <w:tcW w:w="388" w:type="dxa"/>
            <w:noWrap/>
            <w:hideMark/>
          </w:tcPr>
          <w:p w14:paraId="5DE1610C" w14:textId="77777777" w:rsidR="00591DB6" w:rsidRPr="00AC573C" w:rsidRDefault="00591DB6" w:rsidP="00591DB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FC633B">
              <w:rPr>
                <w:rFonts w:cstheme="minorHAnsi"/>
                <w:sz w:val="16"/>
                <w:szCs w:val="16"/>
              </w:rPr>
              <w:t>–</w:t>
            </w:r>
          </w:p>
        </w:tc>
        <w:tc>
          <w:tcPr>
            <w:tcW w:w="388" w:type="dxa"/>
            <w:noWrap/>
            <w:hideMark/>
          </w:tcPr>
          <w:p w14:paraId="2A54FE53" w14:textId="77777777" w:rsidR="00591DB6" w:rsidRPr="00AC573C" w:rsidRDefault="00591DB6" w:rsidP="00591DB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FC633B">
              <w:rPr>
                <w:rFonts w:cstheme="minorHAnsi"/>
                <w:sz w:val="16"/>
                <w:szCs w:val="16"/>
              </w:rPr>
              <w:t>–</w:t>
            </w:r>
          </w:p>
        </w:tc>
        <w:tc>
          <w:tcPr>
            <w:tcW w:w="388" w:type="dxa"/>
            <w:noWrap/>
            <w:hideMark/>
          </w:tcPr>
          <w:p w14:paraId="19AD7E63" w14:textId="77777777" w:rsidR="00591DB6" w:rsidRPr="00AC573C" w:rsidRDefault="00591DB6" w:rsidP="00591DB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FC633B">
              <w:rPr>
                <w:rFonts w:cstheme="minorHAnsi"/>
                <w:sz w:val="16"/>
                <w:szCs w:val="16"/>
              </w:rPr>
              <w:t>–</w:t>
            </w:r>
          </w:p>
        </w:tc>
        <w:tc>
          <w:tcPr>
            <w:tcW w:w="384" w:type="dxa"/>
            <w:noWrap/>
            <w:hideMark/>
          </w:tcPr>
          <w:p w14:paraId="2FD65357" w14:textId="77777777" w:rsidR="00591DB6" w:rsidRPr="00AC573C" w:rsidRDefault="00591DB6" w:rsidP="00591DB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FC633B">
              <w:rPr>
                <w:rFonts w:cstheme="minorHAnsi"/>
                <w:sz w:val="16"/>
                <w:szCs w:val="16"/>
              </w:rPr>
              <w:t>–</w:t>
            </w:r>
          </w:p>
        </w:tc>
        <w:tc>
          <w:tcPr>
            <w:tcW w:w="384" w:type="dxa"/>
            <w:noWrap/>
            <w:hideMark/>
          </w:tcPr>
          <w:p w14:paraId="4C47ECFF" w14:textId="77777777" w:rsidR="00591DB6" w:rsidRPr="00AC573C" w:rsidRDefault="00591DB6" w:rsidP="00591DB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FC633B">
              <w:rPr>
                <w:rFonts w:cstheme="minorHAnsi"/>
                <w:sz w:val="16"/>
                <w:szCs w:val="16"/>
              </w:rPr>
              <w:t>–</w:t>
            </w:r>
          </w:p>
        </w:tc>
        <w:tc>
          <w:tcPr>
            <w:tcW w:w="384" w:type="dxa"/>
            <w:noWrap/>
            <w:hideMark/>
          </w:tcPr>
          <w:p w14:paraId="7E5BDBE8" w14:textId="77777777" w:rsidR="00591DB6" w:rsidRPr="00AC573C" w:rsidRDefault="00591DB6" w:rsidP="00591DB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FC633B">
              <w:rPr>
                <w:rFonts w:cstheme="minorHAnsi"/>
                <w:sz w:val="16"/>
                <w:szCs w:val="16"/>
              </w:rPr>
              <w:t>–</w:t>
            </w:r>
          </w:p>
        </w:tc>
        <w:tc>
          <w:tcPr>
            <w:tcW w:w="384" w:type="dxa"/>
            <w:noWrap/>
            <w:hideMark/>
          </w:tcPr>
          <w:p w14:paraId="25105B5A" w14:textId="77777777" w:rsidR="00591DB6" w:rsidRPr="00AC573C" w:rsidRDefault="00591DB6" w:rsidP="00591DB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FC633B">
              <w:rPr>
                <w:rFonts w:cstheme="minorHAnsi"/>
                <w:sz w:val="16"/>
                <w:szCs w:val="16"/>
              </w:rPr>
              <w:t>–</w:t>
            </w:r>
          </w:p>
        </w:tc>
        <w:tc>
          <w:tcPr>
            <w:tcW w:w="384" w:type="dxa"/>
            <w:noWrap/>
            <w:hideMark/>
          </w:tcPr>
          <w:p w14:paraId="7F8D6023" w14:textId="77777777" w:rsidR="00591DB6" w:rsidRPr="00AC573C" w:rsidRDefault="00591DB6" w:rsidP="00591DB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FC633B">
              <w:rPr>
                <w:rFonts w:cstheme="minorHAnsi"/>
                <w:sz w:val="16"/>
                <w:szCs w:val="16"/>
              </w:rPr>
              <w:t>–</w:t>
            </w:r>
          </w:p>
        </w:tc>
        <w:tc>
          <w:tcPr>
            <w:tcW w:w="384" w:type="dxa"/>
            <w:noWrap/>
            <w:hideMark/>
          </w:tcPr>
          <w:p w14:paraId="6DAE13C0" w14:textId="77777777" w:rsidR="00591DB6" w:rsidRPr="00AC573C" w:rsidRDefault="00591DB6" w:rsidP="00591DB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FC633B">
              <w:rPr>
                <w:rFonts w:cstheme="minorHAnsi"/>
                <w:sz w:val="16"/>
                <w:szCs w:val="16"/>
              </w:rPr>
              <w:t>–</w:t>
            </w:r>
          </w:p>
        </w:tc>
        <w:tc>
          <w:tcPr>
            <w:tcW w:w="384" w:type="dxa"/>
            <w:noWrap/>
            <w:hideMark/>
          </w:tcPr>
          <w:p w14:paraId="4A38A276" w14:textId="77777777" w:rsidR="00591DB6" w:rsidRPr="00AC573C" w:rsidRDefault="00591DB6" w:rsidP="00591DB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FC633B">
              <w:rPr>
                <w:rFonts w:cstheme="minorHAnsi"/>
                <w:sz w:val="16"/>
                <w:szCs w:val="16"/>
              </w:rPr>
              <w:t>–</w:t>
            </w:r>
          </w:p>
        </w:tc>
        <w:tc>
          <w:tcPr>
            <w:tcW w:w="384" w:type="dxa"/>
            <w:noWrap/>
            <w:hideMark/>
          </w:tcPr>
          <w:p w14:paraId="79BD707D" w14:textId="77777777" w:rsidR="00591DB6" w:rsidRPr="00AC573C" w:rsidRDefault="00591DB6" w:rsidP="00591DB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FC633B">
              <w:rPr>
                <w:rFonts w:cstheme="minorHAnsi"/>
                <w:sz w:val="16"/>
                <w:szCs w:val="16"/>
              </w:rPr>
              <w:t>–</w:t>
            </w:r>
          </w:p>
        </w:tc>
        <w:tc>
          <w:tcPr>
            <w:tcW w:w="384" w:type="dxa"/>
            <w:noWrap/>
            <w:hideMark/>
          </w:tcPr>
          <w:p w14:paraId="739173A1" w14:textId="77777777" w:rsidR="00591DB6" w:rsidRPr="00AC573C" w:rsidRDefault="00591DB6" w:rsidP="00591DB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FC633B">
              <w:rPr>
                <w:rFonts w:cstheme="minorHAnsi"/>
                <w:sz w:val="16"/>
                <w:szCs w:val="16"/>
              </w:rPr>
              <w:t>–</w:t>
            </w:r>
          </w:p>
        </w:tc>
        <w:tc>
          <w:tcPr>
            <w:tcW w:w="384" w:type="dxa"/>
            <w:noWrap/>
            <w:hideMark/>
          </w:tcPr>
          <w:p w14:paraId="2E0DCA05" w14:textId="77777777" w:rsidR="00591DB6" w:rsidRPr="00AC573C" w:rsidRDefault="00591DB6" w:rsidP="00591DB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FC633B">
              <w:rPr>
                <w:rFonts w:cstheme="minorHAnsi"/>
                <w:sz w:val="16"/>
                <w:szCs w:val="16"/>
              </w:rPr>
              <w:t>–</w:t>
            </w:r>
          </w:p>
        </w:tc>
      </w:tr>
      <w:tr w:rsidR="00183E55" w:rsidRPr="00AC573C" w14:paraId="0A060A18" w14:textId="77777777" w:rsidTr="00B94692">
        <w:tblPrEx>
          <w:tblCellMar>
            <w:top w:w="43" w:type="dxa"/>
            <w:bottom w:w="0" w:type="dxa"/>
          </w:tblCellMar>
        </w:tblPrEx>
        <w:trPr>
          <w:trHeight w:val="310"/>
        </w:trPr>
        <w:tc>
          <w:tcPr>
            <w:cnfStyle w:val="001000000000" w:firstRow="0" w:lastRow="0" w:firstColumn="1" w:lastColumn="0" w:oddVBand="0" w:evenVBand="0" w:oddHBand="0" w:evenHBand="0" w:firstRowFirstColumn="0" w:firstRowLastColumn="0" w:lastRowFirstColumn="0" w:lastRowLastColumn="0"/>
            <w:tcW w:w="1995" w:type="dxa"/>
            <w:noWrap/>
            <w:hideMark/>
          </w:tcPr>
          <w:p w14:paraId="7FF33703" w14:textId="77777777" w:rsidR="00183E55" w:rsidRPr="008A0A53" w:rsidRDefault="00183E55" w:rsidP="00B94692">
            <w:pPr>
              <w:rPr>
                <w:rFonts w:cstheme="minorHAnsi"/>
                <w:sz w:val="16"/>
                <w:szCs w:val="16"/>
              </w:rPr>
            </w:pPr>
            <w:r w:rsidRPr="008A0A53">
              <w:rPr>
                <w:rFonts w:cstheme="minorHAnsi"/>
                <w:sz w:val="16"/>
                <w:szCs w:val="16"/>
              </w:rPr>
              <w:t>Draft IEIR to CMS 12/31/26</w:t>
            </w:r>
          </w:p>
        </w:tc>
        <w:tc>
          <w:tcPr>
            <w:tcW w:w="383" w:type="dxa"/>
            <w:noWrap/>
            <w:hideMark/>
          </w:tcPr>
          <w:p w14:paraId="309263A7"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8171C">
              <w:rPr>
                <w:rFonts w:cstheme="minorHAnsi"/>
                <w:sz w:val="16"/>
                <w:szCs w:val="16"/>
              </w:rPr>
              <w:t>–</w:t>
            </w:r>
          </w:p>
        </w:tc>
        <w:tc>
          <w:tcPr>
            <w:tcW w:w="383" w:type="dxa"/>
            <w:noWrap/>
            <w:hideMark/>
          </w:tcPr>
          <w:p w14:paraId="7B05D75B"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8171C">
              <w:rPr>
                <w:rFonts w:cstheme="minorHAnsi"/>
                <w:sz w:val="16"/>
                <w:szCs w:val="16"/>
              </w:rPr>
              <w:t>–</w:t>
            </w:r>
          </w:p>
        </w:tc>
        <w:tc>
          <w:tcPr>
            <w:tcW w:w="383" w:type="dxa"/>
            <w:noWrap/>
            <w:hideMark/>
          </w:tcPr>
          <w:p w14:paraId="2A23A829"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8171C">
              <w:rPr>
                <w:rFonts w:cstheme="minorHAnsi"/>
                <w:sz w:val="16"/>
                <w:szCs w:val="16"/>
              </w:rPr>
              <w:t>–</w:t>
            </w:r>
          </w:p>
        </w:tc>
        <w:tc>
          <w:tcPr>
            <w:tcW w:w="387" w:type="dxa"/>
            <w:noWrap/>
            <w:hideMark/>
          </w:tcPr>
          <w:p w14:paraId="34F6E82A"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8171C">
              <w:rPr>
                <w:rFonts w:cstheme="minorHAnsi"/>
                <w:sz w:val="16"/>
                <w:szCs w:val="16"/>
              </w:rPr>
              <w:t>–</w:t>
            </w:r>
          </w:p>
        </w:tc>
        <w:tc>
          <w:tcPr>
            <w:tcW w:w="387" w:type="dxa"/>
            <w:noWrap/>
            <w:hideMark/>
          </w:tcPr>
          <w:p w14:paraId="7F3560BB"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8171C">
              <w:rPr>
                <w:rFonts w:cstheme="minorHAnsi"/>
                <w:sz w:val="16"/>
                <w:szCs w:val="16"/>
              </w:rPr>
              <w:t>–</w:t>
            </w:r>
          </w:p>
        </w:tc>
        <w:tc>
          <w:tcPr>
            <w:tcW w:w="387" w:type="dxa"/>
            <w:noWrap/>
            <w:hideMark/>
          </w:tcPr>
          <w:p w14:paraId="3DCCDF18"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8171C">
              <w:rPr>
                <w:rFonts w:cstheme="minorHAnsi"/>
                <w:sz w:val="16"/>
                <w:szCs w:val="16"/>
              </w:rPr>
              <w:t>–</w:t>
            </w:r>
          </w:p>
        </w:tc>
        <w:tc>
          <w:tcPr>
            <w:tcW w:w="387" w:type="dxa"/>
            <w:noWrap/>
            <w:hideMark/>
          </w:tcPr>
          <w:p w14:paraId="77976A9D"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8171C">
              <w:rPr>
                <w:rFonts w:cstheme="minorHAnsi"/>
                <w:sz w:val="16"/>
                <w:szCs w:val="16"/>
              </w:rPr>
              <w:t>–</w:t>
            </w:r>
          </w:p>
        </w:tc>
        <w:tc>
          <w:tcPr>
            <w:tcW w:w="388" w:type="dxa"/>
            <w:noWrap/>
            <w:hideMark/>
          </w:tcPr>
          <w:p w14:paraId="06E21382"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8171C">
              <w:rPr>
                <w:rFonts w:cstheme="minorHAnsi"/>
                <w:sz w:val="16"/>
                <w:szCs w:val="16"/>
              </w:rPr>
              <w:t>–</w:t>
            </w:r>
          </w:p>
        </w:tc>
        <w:tc>
          <w:tcPr>
            <w:tcW w:w="388" w:type="dxa"/>
            <w:noWrap/>
            <w:hideMark/>
          </w:tcPr>
          <w:p w14:paraId="2A13091E"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8171C">
              <w:rPr>
                <w:rFonts w:cstheme="minorHAnsi"/>
                <w:sz w:val="16"/>
                <w:szCs w:val="16"/>
              </w:rPr>
              <w:t>–</w:t>
            </w:r>
          </w:p>
        </w:tc>
        <w:tc>
          <w:tcPr>
            <w:tcW w:w="388" w:type="dxa"/>
            <w:noWrap/>
            <w:hideMark/>
          </w:tcPr>
          <w:p w14:paraId="375181CA"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8171C">
              <w:rPr>
                <w:rFonts w:cstheme="minorHAnsi"/>
                <w:sz w:val="16"/>
                <w:szCs w:val="16"/>
              </w:rPr>
              <w:t>–</w:t>
            </w:r>
          </w:p>
        </w:tc>
        <w:tc>
          <w:tcPr>
            <w:tcW w:w="388" w:type="dxa"/>
            <w:noWrap/>
            <w:hideMark/>
          </w:tcPr>
          <w:p w14:paraId="4CECFD92"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8171C">
              <w:rPr>
                <w:rFonts w:cstheme="minorHAnsi"/>
                <w:sz w:val="16"/>
                <w:szCs w:val="16"/>
              </w:rPr>
              <w:t>–</w:t>
            </w:r>
          </w:p>
        </w:tc>
        <w:tc>
          <w:tcPr>
            <w:tcW w:w="388" w:type="dxa"/>
            <w:noWrap/>
            <w:hideMark/>
          </w:tcPr>
          <w:p w14:paraId="3AC8A60D"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8171C">
              <w:rPr>
                <w:rFonts w:cstheme="minorHAnsi"/>
                <w:sz w:val="16"/>
                <w:szCs w:val="16"/>
              </w:rPr>
              <w:t>–</w:t>
            </w:r>
          </w:p>
        </w:tc>
        <w:tc>
          <w:tcPr>
            <w:tcW w:w="388" w:type="dxa"/>
            <w:noWrap/>
            <w:hideMark/>
          </w:tcPr>
          <w:p w14:paraId="3E971CA9"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8171C">
              <w:rPr>
                <w:rFonts w:cstheme="minorHAnsi"/>
                <w:sz w:val="16"/>
                <w:szCs w:val="16"/>
              </w:rPr>
              <w:t>–</w:t>
            </w:r>
          </w:p>
        </w:tc>
        <w:tc>
          <w:tcPr>
            <w:tcW w:w="388" w:type="dxa"/>
            <w:noWrap/>
            <w:hideMark/>
          </w:tcPr>
          <w:p w14:paraId="4633545D"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8171C">
              <w:rPr>
                <w:rFonts w:cstheme="minorHAnsi"/>
                <w:sz w:val="16"/>
                <w:szCs w:val="16"/>
              </w:rPr>
              <w:t>–</w:t>
            </w:r>
          </w:p>
        </w:tc>
        <w:tc>
          <w:tcPr>
            <w:tcW w:w="388" w:type="dxa"/>
            <w:noWrap/>
            <w:hideMark/>
          </w:tcPr>
          <w:p w14:paraId="3A384CE0"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8171C">
              <w:rPr>
                <w:rFonts w:cstheme="minorHAnsi"/>
                <w:sz w:val="16"/>
                <w:szCs w:val="16"/>
              </w:rPr>
              <w:t>–</w:t>
            </w:r>
          </w:p>
        </w:tc>
        <w:tc>
          <w:tcPr>
            <w:tcW w:w="388" w:type="dxa"/>
            <w:noWrap/>
            <w:hideMark/>
          </w:tcPr>
          <w:p w14:paraId="1CEA0618"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8171C">
              <w:rPr>
                <w:rFonts w:cstheme="minorHAnsi"/>
                <w:sz w:val="16"/>
                <w:szCs w:val="16"/>
              </w:rPr>
              <w:t>–</w:t>
            </w:r>
          </w:p>
        </w:tc>
        <w:tc>
          <w:tcPr>
            <w:tcW w:w="388" w:type="dxa"/>
            <w:noWrap/>
            <w:hideMark/>
          </w:tcPr>
          <w:p w14:paraId="58F87C97"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8171C">
              <w:rPr>
                <w:rFonts w:cstheme="minorHAnsi"/>
                <w:sz w:val="16"/>
                <w:szCs w:val="16"/>
              </w:rPr>
              <w:t>–</w:t>
            </w:r>
          </w:p>
        </w:tc>
        <w:tc>
          <w:tcPr>
            <w:tcW w:w="388" w:type="dxa"/>
            <w:shd w:val="clear" w:color="auto" w:fill="B0DF9B" w:themeFill="accent4" w:themeFillTint="66"/>
            <w:noWrap/>
            <w:hideMark/>
          </w:tcPr>
          <w:p w14:paraId="4FD09DB2" w14:textId="2CD126E1" w:rsidR="00183E55" w:rsidRPr="00AC573C" w:rsidRDefault="00F92B92"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D</w:t>
            </w:r>
          </w:p>
        </w:tc>
        <w:tc>
          <w:tcPr>
            <w:tcW w:w="388" w:type="dxa"/>
            <w:noWrap/>
            <w:hideMark/>
          </w:tcPr>
          <w:p w14:paraId="113EA4A3"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6296E">
              <w:rPr>
                <w:rFonts w:cstheme="minorHAnsi"/>
                <w:sz w:val="16"/>
                <w:szCs w:val="16"/>
              </w:rPr>
              <w:t>–</w:t>
            </w:r>
          </w:p>
        </w:tc>
        <w:tc>
          <w:tcPr>
            <w:tcW w:w="388" w:type="dxa"/>
            <w:noWrap/>
            <w:hideMark/>
          </w:tcPr>
          <w:p w14:paraId="2B3EB511"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6296E">
              <w:rPr>
                <w:rFonts w:cstheme="minorHAnsi"/>
                <w:sz w:val="16"/>
                <w:szCs w:val="16"/>
              </w:rPr>
              <w:t>–</w:t>
            </w:r>
          </w:p>
        </w:tc>
        <w:tc>
          <w:tcPr>
            <w:tcW w:w="384" w:type="dxa"/>
            <w:noWrap/>
            <w:hideMark/>
          </w:tcPr>
          <w:p w14:paraId="1FB51B54"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6296E">
              <w:rPr>
                <w:rFonts w:cstheme="minorHAnsi"/>
                <w:sz w:val="16"/>
                <w:szCs w:val="16"/>
              </w:rPr>
              <w:t>–</w:t>
            </w:r>
          </w:p>
        </w:tc>
        <w:tc>
          <w:tcPr>
            <w:tcW w:w="384" w:type="dxa"/>
            <w:noWrap/>
            <w:hideMark/>
          </w:tcPr>
          <w:p w14:paraId="01E62A4E"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6296E">
              <w:rPr>
                <w:rFonts w:cstheme="minorHAnsi"/>
                <w:sz w:val="16"/>
                <w:szCs w:val="16"/>
              </w:rPr>
              <w:t>–</w:t>
            </w:r>
          </w:p>
        </w:tc>
        <w:tc>
          <w:tcPr>
            <w:tcW w:w="384" w:type="dxa"/>
            <w:noWrap/>
            <w:hideMark/>
          </w:tcPr>
          <w:p w14:paraId="75F19C11"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6296E">
              <w:rPr>
                <w:rFonts w:cstheme="minorHAnsi"/>
                <w:sz w:val="16"/>
                <w:szCs w:val="16"/>
              </w:rPr>
              <w:t>–</w:t>
            </w:r>
          </w:p>
        </w:tc>
        <w:tc>
          <w:tcPr>
            <w:tcW w:w="384" w:type="dxa"/>
            <w:noWrap/>
            <w:hideMark/>
          </w:tcPr>
          <w:p w14:paraId="50FD3F0C"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6296E">
              <w:rPr>
                <w:rFonts w:cstheme="minorHAnsi"/>
                <w:sz w:val="16"/>
                <w:szCs w:val="16"/>
              </w:rPr>
              <w:t>–</w:t>
            </w:r>
          </w:p>
        </w:tc>
        <w:tc>
          <w:tcPr>
            <w:tcW w:w="384" w:type="dxa"/>
            <w:noWrap/>
            <w:hideMark/>
          </w:tcPr>
          <w:p w14:paraId="1E689E7B"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6296E">
              <w:rPr>
                <w:rFonts w:cstheme="minorHAnsi"/>
                <w:sz w:val="16"/>
                <w:szCs w:val="16"/>
              </w:rPr>
              <w:t>–</w:t>
            </w:r>
          </w:p>
        </w:tc>
        <w:tc>
          <w:tcPr>
            <w:tcW w:w="384" w:type="dxa"/>
            <w:noWrap/>
            <w:hideMark/>
          </w:tcPr>
          <w:p w14:paraId="2E949679"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6296E">
              <w:rPr>
                <w:rFonts w:cstheme="minorHAnsi"/>
                <w:sz w:val="16"/>
                <w:szCs w:val="16"/>
              </w:rPr>
              <w:t>–</w:t>
            </w:r>
          </w:p>
        </w:tc>
        <w:tc>
          <w:tcPr>
            <w:tcW w:w="384" w:type="dxa"/>
            <w:noWrap/>
            <w:hideMark/>
          </w:tcPr>
          <w:p w14:paraId="155D65DE"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6296E">
              <w:rPr>
                <w:rFonts w:cstheme="minorHAnsi"/>
                <w:sz w:val="16"/>
                <w:szCs w:val="16"/>
              </w:rPr>
              <w:t>–</w:t>
            </w:r>
          </w:p>
        </w:tc>
        <w:tc>
          <w:tcPr>
            <w:tcW w:w="384" w:type="dxa"/>
            <w:noWrap/>
            <w:hideMark/>
          </w:tcPr>
          <w:p w14:paraId="3B19BB2F"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6296E">
              <w:rPr>
                <w:rFonts w:cstheme="minorHAnsi"/>
                <w:sz w:val="16"/>
                <w:szCs w:val="16"/>
              </w:rPr>
              <w:t>–</w:t>
            </w:r>
          </w:p>
        </w:tc>
        <w:tc>
          <w:tcPr>
            <w:tcW w:w="384" w:type="dxa"/>
            <w:noWrap/>
            <w:hideMark/>
          </w:tcPr>
          <w:p w14:paraId="652EC321"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6296E">
              <w:rPr>
                <w:rFonts w:cstheme="minorHAnsi"/>
                <w:sz w:val="16"/>
                <w:szCs w:val="16"/>
              </w:rPr>
              <w:t>–</w:t>
            </w:r>
          </w:p>
        </w:tc>
        <w:tc>
          <w:tcPr>
            <w:tcW w:w="384" w:type="dxa"/>
            <w:noWrap/>
            <w:hideMark/>
          </w:tcPr>
          <w:p w14:paraId="4E00A6A6"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6296E">
              <w:rPr>
                <w:rFonts w:cstheme="minorHAnsi"/>
                <w:sz w:val="16"/>
                <w:szCs w:val="16"/>
              </w:rPr>
              <w:t>–</w:t>
            </w:r>
          </w:p>
        </w:tc>
      </w:tr>
      <w:tr w:rsidR="0020559B" w:rsidRPr="00AC573C" w14:paraId="602BC502" w14:textId="77777777" w:rsidTr="00B94692">
        <w:tblPrEx>
          <w:tblCellMar>
            <w:top w:w="43" w:type="dxa"/>
            <w:bottom w:w="0" w:type="dxa"/>
          </w:tblCellMar>
        </w:tblPrEx>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995" w:type="dxa"/>
            <w:noWrap/>
            <w:hideMark/>
          </w:tcPr>
          <w:p w14:paraId="24BE01C1" w14:textId="77777777" w:rsidR="00183E55" w:rsidRPr="00D10DD5" w:rsidRDefault="00183E55" w:rsidP="00B94692">
            <w:pPr>
              <w:rPr>
                <w:rFonts w:cstheme="minorHAnsi"/>
                <w:b w:val="0"/>
                <w:bCs w:val="0"/>
                <w:sz w:val="16"/>
                <w:szCs w:val="16"/>
              </w:rPr>
            </w:pPr>
            <w:r w:rsidRPr="00D10DD5">
              <w:rPr>
                <w:rFonts w:cstheme="minorHAnsi"/>
                <w:b w:val="0"/>
                <w:bCs w:val="0"/>
                <w:sz w:val="16"/>
                <w:szCs w:val="16"/>
              </w:rPr>
              <w:t>Final IEIR 60d after CMS feedback*</w:t>
            </w:r>
          </w:p>
        </w:tc>
        <w:tc>
          <w:tcPr>
            <w:tcW w:w="383" w:type="dxa"/>
            <w:noWrap/>
            <w:hideMark/>
          </w:tcPr>
          <w:p w14:paraId="28560415"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E54A8">
              <w:rPr>
                <w:rFonts w:cstheme="minorHAnsi"/>
                <w:sz w:val="16"/>
                <w:szCs w:val="16"/>
              </w:rPr>
              <w:t>–</w:t>
            </w:r>
          </w:p>
        </w:tc>
        <w:tc>
          <w:tcPr>
            <w:tcW w:w="383" w:type="dxa"/>
            <w:noWrap/>
            <w:hideMark/>
          </w:tcPr>
          <w:p w14:paraId="06E77199"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E54A8">
              <w:rPr>
                <w:rFonts w:cstheme="minorHAnsi"/>
                <w:sz w:val="16"/>
                <w:szCs w:val="16"/>
              </w:rPr>
              <w:t>–</w:t>
            </w:r>
          </w:p>
        </w:tc>
        <w:tc>
          <w:tcPr>
            <w:tcW w:w="383" w:type="dxa"/>
            <w:noWrap/>
            <w:hideMark/>
          </w:tcPr>
          <w:p w14:paraId="77FDB77F"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E54A8">
              <w:rPr>
                <w:rFonts w:cstheme="minorHAnsi"/>
                <w:sz w:val="16"/>
                <w:szCs w:val="16"/>
              </w:rPr>
              <w:t>–</w:t>
            </w:r>
          </w:p>
        </w:tc>
        <w:tc>
          <w:tcPr>
            <w:tcW w:w="387" w:type="dxa"/>
            <w:noWrap/>
            <w:hideMark/>
          </w:tcPr>
          <w:p w14:paraId="5B7576D3"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E54A8">
              <w:rPr>
                <w:rFonts w:cstheme="minorHAnsi"/>
                <w:sz w:val="16"/>
                <w:szCs w:val="16"/>
              </w:rPr>
              <w:t>–</w:t>
            </w:r>
          </w:p>
        </w:tc>
        <w:tc>
          <w:tcPr>
            <w:tcW w:w="387" w:type="dxa"/>
            <w:noWrap/>
            <w:hideMark/>
          </w:tcPr>
          <w:p w14:paraId="445C67E0"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E54A8">
              <w:rPr>
                <w:rFonts w:cstheme="minorHAnsi"/>
                <w:sz w:val="16"/>
                <w:szCs w:val="16"/>
              </w:rPr>
              <w:t>–</w:t>
            </w:r>
          </w:p>
        </w:tc>
        <w:tc>
          <w:tcPr>
            <w:tcW w:w="387" w:type="dxa"/>
            <w:noWrap/>
            <w:hideMark/>
          </w:tcPr>
          <w:p w14:paraId="2809D372"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E54A8">
              <w:rPr>
                <w:rFonts w:cstheme="minorHAnsi"/>
                <w:sz w:val="16"/>
                <w:szCs w:val="16"/>
              </w:rPr>
              <w:t>–</w:t>
            </w:r>
          </w:p>
        </w:tc>
        <w:tc>
          <w:tcPr>
            <w:tcW w:w="387" w:type="dxa"/>
            <w:noWrap/>
            <w:hideMark/>
          </w:tcPr>
          <w:p w14:paraId="1C017271"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E54A8">
              <w:rPr>
                <w:rFonts w:cstheme="minorHAnsi"/>
                <w:sz w:val="16"/>
                <w:szCs w:val="16"/>
              </w:rPr>
              <w:t>–</w:t>
            </w:r>
          </w:p>
        </w:tc>
        <w:tc>
          <w:tcPr>
            <w:tcW w:w="388" w:type="dxa"/>
            <w:noWrap/>
            <w:hideMark/>
          </w:tcPr>
          <w:p w14:paraId="7E900B19"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E54A8">
              <w:rPr>
                <w:rFonts w:cstheme="minorHAnsi"/>
                <w:sz w:val="16"/>
                <w:szCs w:val="16"/>
              </w:rPr>
              <w:t>–</w:t>
            </w:r>
          </w:p>
        </w:tc>
        <w:tc>
          <w:tcPr>
            <w:tcW w:w="388" w:type="dxa"/>
            <w:noWrap/>
            <w:hideMark/>
          </w:tcPr>
          <w:p w14:paraId="7706CB2B"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E54A8">
              <w:rPr>
                <w:rFonts w:cstheme="minorHAnsi"/>
                <w:sz w:val="16"/>
                <w:szCs w:val="16"/>
              </w:rPr>
              <w:t>–</w:t>
            </w:r>
          </w:p>
        </w:tc>
        <w:tc>
          <w:tcPr>
            <w:tcW w:w="388" w:type="dxa"/>
            <w:noWrap/>
            <w:hideMark/>
          </w:tcPr>
          <w:p w14:paraId="5AAD3205"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E54A8">
              <w:rPr>
                <w:rFonts w:cstheme="minorHAnsi"/>
                <w:sz w:val="16"/>
                <w:szCs w:val="16"/>
              </w:rPr>
              <w:t>–</w:t>
            </w:r>
          </w:p>
        </w:tc>
        <w:tc>
          <w:tcPr>
            <w:tcW w:w="388" w:type="dxa"/>
            <w:noWrap/>
            <w:hideMark/>
          </w:tcPr>
          <w:p w14:paraId="4164DE55"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E54A8">
              <w:rPr>
                <w:rFonts w:cstheme="minorHAnsi"/>
                <w:sz w:val="16"/>
                <w:szCs w:val="16"/>
              </w:rPr>
              <w:t>–</w:t>
            </w:r>
          </w:p>
        </w:tc>
        <w:tc>
          <w:tcPr>
            <w:tcW w:w="388" w:type="dxa"/>
            <w:noWrap/>
            <w:hideMark/>
          </w:tcPr>
          <w:p w14:paraId="55B227A9"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E54A8">
              <w:rPr>
                <w:rFonts w:cstheme="minorHAnsi"/>
                <w:sz w:val="16"/>
                <w:szCs w:val="16"/>
              </w:rPr>
              <w:t>–</w:t>
            </w:r>
          </w:p>
        </w:tc>
        <w:tc>
          <w:tcPr>
            <w:tcW w:w="388" w:type="dxa"/>
            <w:noWrap/>
            <w:hideMark/>
          </w:tcPr>
          <w:p w14:paraId="2EA874DC"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E54A8">
              <w:rPr>
                <w:rFonts w:cstheme="minorHAnsi"/>
                <w:sz w:val="16"/>
                <w:szCs w:val="16"/>
              </w:rPr>
              <w:t>–</w:t>
            </w:r>
          </w:p>
        </w:tc>
        <w:tc>
          <w:tcPr>
            <w:tcW w:w="388" w:type="dxa"/>
            <w:noWrap/>
            <w:hideMark/>
          </w:tcPr>
          <w:p w14:paraId="0F97D612"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E54A8">
              <w:rPr>
                <w:rFonts w:cstheme="minorHAnsi"/>
                <w:sz w:val="16"/>
                <w:szCs w:val="16"/>
              </w:rPr>
              <w:t>–</w:t>
            </w:r>
          </w:p>
        </w:tc>
        <w:tc>
          <w:tcPr>
            <w:tcW w:w="388" w:type="dxa"/>
            <w:noWrap/>
            <w:hideMark/>
          </w:tcPr>
          <w:p w14:paraId="4EFC2237"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E54A8">
              <w:rPr>
                <w:rFonts w:cstheme="minorHAnsi"/>
                <w:sz w:val="16"/>
                <w:szCs w:val="16"/>
              </w:rPr>
              <w:t>–</w:t>
            </w:r>
          </w:p>
        </w:tc>
        <w:tc>
          <w:tcPr>
            <w:tcW w:w="388" w:type="dxa"/>
            <w:noWrap/>
            <w:hideMark/>
          </w:tcPr>
          <w:p w14:paraId="39B9823B"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E54A8">
              <w:rPr>
                <w:rFonts w:cstheme="minorHAnsi"/>
                <w:sz w:val="16"/>
                <w:szCs w:val="16"/>
              </w:rPr>
              <w:t>–</w:t>
            </w:r>
          </w:p>
        </w:tc>
        <w:tc>
          <w:tcPr>
            <w:tcW w:w="388" w:type="dxa"/>
            <w:noWrap/>
            <w:hideMark/>
          </w:tcPr>
          <w:p w14:paraId="1CC5DAA4"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E54A8">
              <w:rPr>
                <w:rFonts w:cstheme="minorHAnsi"/>
                <w:sz w:val="16"/>
                <w:szCs w:val="16"/>
              </w:rPr>
              <w:t>–</w:t>
            </w:r>
          </w:p>
        </w:tc>
        <w:tc>
          <w:tcPr>
            <w:tcW w:w="388" w:type="dxa"/>
            <w:noWrap/>
            <w:hideMark/>
          </w:tcPr>
          <w:p w14:paraId="6D618ACF"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E54A8">
              <w:rPr>
                <w:rFonts w:cstheme="minorHAnsi"/>
                <w:sz w:val="16"/>
                <w:szCs w:val="16"/>
              </w:rPr>
              <w:t>–</w:t>
            </w:r>
          </w:p>
        </w:tc>
        <w:tc>
          <w:tcPr>
            <w:tcW w:w="388" w:type="dxa"/>
            <w:shd w:val="clear" w:color="auto" w:fill="B0DF9B" w:themeFill="accent4" w:themeFillTint="66"/>
            <w:noWrap/>
            <w:hideMark/>
          </w:tcPr>
          <w:p w14:paraId="5217211B" w14:textId="3BC994EB" w:rsidR="00183E55" w:rsidRPr="00AC573C" w:rsidRDefault="00F92B92"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D</w:t>
            </w:r>
          </w:p>
        </w:tc>
        <w:tc>
          <w:tcPr>
            <w:tcW w:w="388" w:type="dxa"/>
            <w:noWrap/>
            <w:hideMark/>
          </w:tcPr>
          <w:p w14:paraId="5C5DF707"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A76A78">
              <w:rPr>
                <w:rFonts w:cstheme="minorHAnsi"/>
                <w:sz w:val="16"/>
                <w:szCs w:val="16"/>
              </w:rPr>
              <w:t>–</w:t>
            </w:r>
          </w:p>
        </w:tc>
        <w:tc>
          <w:tcPr>
            <w:tcW w:w="384" w:type="dxa"/>
            <w:noWrap/>
            <w:hideMark/>
          </w:tcPr>
          <w:p w14:paraId="1BDAA8CD"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A76A78">
              <w:rPr>
                <w:rFonts w:cstheme="minorHAnsi"/>
                <w:sz w:val="16"/>
                <w:szCs w:val="16"/>
              </w:rPr>
              <w:t>–</w:t>
            </w:r>
          </w:p>
        </w:tc>
        <w:tc>
          <w:tcPr>
            <w:tcW w:w="384" w:type="dxa"/>
            <w:noWrap/>
            <w:hideMark/>
          </w:tcPr>
          <w:p w14:paraId="2E8A9179"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A76A78">
              <w:rPr>
                <w:rFonts w:cstheme="minorHAnsi"/>
                <w:sz w:val="16"/>
                <w:szCs w:val="16"/>
              </w:rPr>
              <w:t>–</w:t>
            </w:r>
          </w:p>
        </w:tc>
        <w:tc>
          <w:tcPr>
            <w:tcW w:w="384" w:type="dxa"/>
            <w:noWrap/>
            <w:hideMark/>
          </w:tcPr>
          <w:p w14:paraId="14FB8FFF"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A76A78">
              <w:rPr>
                <w:rFonts w:cstheme="minorHAnsi"/>
                <w:sz w:val="16"/>
                <w:szCs w:val="16"/>
              </w:rPr>
              <w:t>–</w:t>
            </w:r>
          </w:p>
        </w:tc>
        <w:tc>
          <w:tcPr>
            <w:tcW w:w="384" w:type="dxa"/>
            <w:noWrap/>
            <w:hideMark/>
          </w:tcPr>
          <w:p w14:paraId="11CFF697"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A76A78">
              <w:rPr>
                <w:rFonts w:cstheme="minorHAnsi"/>
                <w:sz w:val="16"/>
                <w:szCs w:val="16"/>
              </w:rPr>
              <w:t>–</w:t>
            </w:r>
          </w:p>
        </w:tc>
        <w:tc>
          <w:tcPr>
            <w:tcW w:w="384" w:type="dxa"/>
            <w:noWrap/>
            <w:hideMark/>
          </w:tcPr>
          <w:p w14:paraId="7233C73C"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A76A78">
              <w:rPr>
                <w:rFonts w:cstheme="minorHAnsi"/>
                <w:sz w:val="16"/>
                <w:szCs w:val="16"/>
              </w:rPr>
              <w:t>–</w:t>
            </w:r>
          </w:p>
        </w:tc>
        <w:tc>
          <w:tcPr>
            <w:tcW w:w="384" w:type="dxa"/>
            <w:noWrap/>
            <w:hideMark/>
          </w:tcPr>
          <w:p w14:paraId="476F3478"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A76A78">
              <w:rPr>
                <w:rFonts w:cstheme="minorHAnsi"/>
                <w:sz w:val="16"/>
                <w:szCs w:val="16"/>
              </w:rPr>
              <w:t>–</w:t>
            </w:r>
          </w:p>
        </w:tc>
        <w:tc>
          <w:tcPr>
            <w:tcW w:w="384" w:type="dxa"/>
            <w:noWrap/>
            <w:hideMark/>
          </w:tcPr>
          <w:p w14:paraId="103CBA2F"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A76A78">
              <w:rPr>
                <w:rFonts w:cstheme="minorHAnsi"/>
                <w:sz w:val="16"/>
                <w:szCs w:val="16"/>
              </w:rPr>
              <w:t>–</w:t>
            </w:r>
          </w:p>
        </w:tc>
        <w:tc>
          <w:tcPr>
            <w:tcW w:w="384" w:type="dxa"/>
            <w:noWrap/>
            <w:hideMark/>
          </w:tcPr>
          <w:p w14:paraId="04BF67B5"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A76A78">
              <w:rPr>
                <w:rFonts w:cstheme="minorHAnsi"/>
                <w:sz w:val="16"/>
                <w:szCs w:val="16"/>
              </w:rPr>
              <w:t>–</w:t>
            </w:r>
          </w:p>
        </w:tc>
        <w:tc>
          <w:tcPr>
            <w:tcW w:w="384" w:type="dxa"/>
            <w:noWrap/>
            <w:hideMark/>
          </w:tcPr>
          <w:p w14:paraId="3DFA3AEF"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A76A78">
              <w:rPr>
                <w:rFonts w:cstheme="minorHAnsi"/>
                <w:sz w:val="16"/>
                <w:szCs w:val="16"/>
              </w:rPr>
              <w:t>–</w:t>
            </w:r>
          </w:p>
        </w:tc>
        <w:tc>
          <w:tcPr>
            <w:tcW w:w="384" w:type="dxa"/>
            <w:noWrap/>
            <w:hideMark/>
          </w:tcPr>
          <w:p w14:paraId="43B3B4CC"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A76A78">
              <w:rPr>
                <w:rFonts w:cstheme="minorHAnsi"/>
                <w:sz w:val="16"/>
                <w:szCs w:val="16"/>
              </w:rPr>
              <w:t>–</w:t>
            </w:r>
          </w:p>
        </w:tc>
      </w:tr>
      <w:tr w:rsidR="00EE41A9" w:rsidRPr="00AC573C" w14:paraId="503009F3" w14:textId="77777777" w:rsidTr="00B94692">
        <w:tblPrEx>
          <w:tblCellMar>
            <w:top w:w="43" w:type="dxa"/>
            <w:bottom w:w="0" w:type="dxa"/>
          </w:tblCellMar>
        </w:tblPrEx>
        <w:trPr>
          <w:trHeight w:val="248"/>
        </w:trPr>
        <w:tc>
          <w:tcPr>
            <w:cnfStyle w:val="001000000000" w:firstRow="0" w:lastRow="0" w:firstColumn="1" w:lastColumn="0" w:oddVBand="0" w:evenVBand="0" w:oddHBand="0" w:evenHBand="0" w:firstRowFirstColumn="0" w:firstRowLastColumn="0" w:lastRowFirstColumn="0" w:lastRowLastColumn="0"/>
            <w:tcW w:w="1995" w:type="dxa"/>
            <w:noWrap/>
            <w:hideMark/>
          </w:tcPr>
          <w:p w14:paraId="0A31C1D6" w14:textId="77777777" w:rsidR="00183E55" w:rsidRPr="00AC573C" w:rsidRDefault="00183E55" w:rsidP="00B94692">
            <w:pPr>
              <w:rPr>
                <w:rFonts w:cstheme="minorHAnsi"/>
                <w:sz w:val="16"/>
                <w:szCs w:val="16"/>
              </w:rPr>
            </w:pPr>
            <w:r w:rsidRPr="00AC573C">
              <w:rPr>
                <w:rFonts w:cstheme="minorHAnsi"/>
                <w:sz w:val="16"/>
                <w:szCs w:val="16"/>
              </w:rPr>
              <w:t>Draft IESR to CMS 6/30/29</w:t>
            </w:r>
          </w:p>
        </w:tc>
        <w:tc>
          <w:tcPr>
            <w:tcW w:w="383" w:type="dxa"/>
            <w:noWrap/>
            <w:hideMark/>
          </w:tcPr>
          <w:p w14:paraId="31E5D5A2"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376C">
              <w:rPr>
                <w:rFonts w:cstheme="minorHAnsi"/>
                <w:sz w:val="16"/>
                <w:szCs w:val="16"/>
              </w:rPr>
              <w:t>–</w:t>
            </w:r>
          </w:p>
        </w:tc>
        <w:tc>
          <w:tcPr>
            <w:tcW w:w="383" w:type="dxa"/>
            <w:noWrap/>
            <w:hideMark/>
          </w:tcPr>
          <w:p w14:paraId="594165BE"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376C">
              <w:rPr>
                <w:rFonts w:cstheme="minorHAnsi"/>
                <w:sz w:val="16"/>
                <w:szCs w:val="16"/>
              </w:rPr>
              <w:t>–</w:t>
            </w:r>
          </w:p>
        </w:tc>
        <w:tc>
          <w:tcPr>
            <w:tcW w:w="383" w:type="dxa"/>
            <w:noWrap/>
            <w:hideMark/>
          </w:tcPr>
          <w:p w14:paraId="3CE90536"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376C">
              <w:rPr>
                <w:rFonts w:cstheme="minorHAnsi"/>
                <w:sz w:val="16"/>
                <w:szCs w:val="16"/>
              </w:rPr>
              <w:t>–</w:t>
            </w:r>
          </w:p>
        </w:tc>
        <w:tc>
          <w:tcPr>
            <w:tcW w:w="387" w:type="dxa"/>
            <w:noWrap/>
            <w:hideMark/>
          </w:tcPr>
          <w:p w14:paraId="5279C4A1"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376C">
              <w:rPr>
                <w:rFonts w:cstheme="minorHAnsi"/>
                <w:sz w:val="16"/>
                <w:szCs w:val="16"/>
              </w:rPr>
              <w:t>–</w:t>
            </w:r>
          </w:p>
        </w:tc>
        <w:tc>
          <w:tcPr>
            <w:tcW w:w="387" w:type="dxa"/>
            <w:noWrap/>
            <w:hideMark/>
          </w:tcPr>
          <w:p w14:paraId="2479306D"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376C">
              <w:rPr>
                <w:rFonts w:cstheme="minorHAnsi"/>
                <w:sz w:val="16"/>
                <w:szCs w:val="16"/>
              </w:rPr>
              <w:t>–</w:t>
            </w:r>
          </w:p>
        </w:tc>
        <w:tc>
          <w:tcPr>
            <w:tcW w:w="387" w:type="dxa"/>
            <w:noWrap/>
            <w:hideMark/>
          </w:tcPr>
          <w:p w14:paraId="58439A91"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376C">
              <w:rPr>
                <w:rFonts w:cstheme="minorHAnsi"/>
                <w:sz w:val="16"/>
                <w:szCs w:val="16"/>
              </w:rPr>
              <w:t>–</w:t>
            </w:r>
          </w:p>
        </w:tc>
        <w:tc>
          <w:tcPr>
            <w:tcW w:w="387" w:type="dxa"/>
            <w:noWrap/>
            <w:hideMark/>
          </w:tcPr>
          <w:p w14:paraId="348D85C4"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376C">
              <w:rPr>
                <w:rFonts w:cstheme="minorHAnsi"/>
                <w:sz w:val="16"/>
                <w:szCs w:val="16"/>
              </w:rPr>
              <w:t>–</w:t>
            </w:r>
          </w:p>
        </w:tc>
        <w:tc>
          <w:tcPr>
            <w:tcW w:w="388" w:type="dxa"/>
            <w:noWrap/>
            <w:hideMark/>
          </w:tcPr>
          <w:p w14:paraId="345188EB"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376C">
              <w:rPr>
                <w:rFonts w:cstheme="minorHAnsi"/>
                <w:sz w:val="16"/>
                <w:szCs w:val="16"/>
              </w:rPr>
              <w:t>–</w:t>
            </w:r>
          </w:p>
        </w:tc>
        <w:tc>
          <w:tcPr>
            <w:tcW w:w="388" w:type="dxa"/>
            <w:noWrap/>
            <w:hideMark/>
          </w:tcPr>
          <w:p w14:paraId="36FE7B9C"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376C">
              <w:rPr>
                <w:rFonts w:cstheme="minorHAnsi"/>
                <w:sz w:val="16"/>
                <w:szCs w:val="16"/>
              </w:rPr>
              <w:t>–</w:t>
            </w:r>
          </w:p>
        </w:tc>
        <w:tc>
          <w:tcPr>
            <w:tcW w:w="388" w:type="dxa"/>
            <w:noWrap/>
            <w:hideMark/>
          </w:tcPr>
          <w:p w14:paraId="5BD8DA26"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376C">
              <w:rPr>
                <w:rFonts w:cstheme="minorHAnsi"/>
                <w:sz w:val="16"/>
                <w:szCs w:val="16"/>
              </w:rPr>
              <w:t>–</w:t>
            </w:r>
          </w:p>
        </w:tc>
        <w:tc>
          <w:tcPr>
            <w:tcW w:w="388" w:type="dxa"/>
            <w:noWrap/>
            <w:hideMark/>
          </w:tcPr>
          <w:p w14:paraId="2935D2C6"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376C">
              <w:rPr>
                <w:rFonts w:cstheme="minorHAnsi"/>
                <w:sz w:val="16"/>
                <w:szCs w:val="16"/>
              </w:rPr>
              <w:t>–</w:t>
            </w:r>
          </w:p>
        </w:tc>
        <w:tc>
          <w:tcPr>
            <w:tcW w:w="388" w:type="dxa"/>
            <w:noWrap/>
            <w:hideMark/>
          </w:tcPr>
          <w:p w14:paraId="10E3D026"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376C">
              <w:rPr>
                <w:rFonts w:cstheme="minorHAnsi"/>
                <w:sz w:val="16"/>
                <w:szCs w:val="16"/>
              </w:rPr>
              <w:t>–</w:t>
            </w:r>
          </w:p>
        </w:tc>
        <w:tc>
          <w:tcPr>
            <w:tcW w:w="388" w:type="dxa"/>
            <w:noWrap/>
            <w:hideMark/>
          </w:tcPr>
          <w:p w14:paraId="0EB4E998"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376C">
              <w:rPr>
                <w:rFonts w:cstheme="minorHAnsi"/>
                <w:sz w:val="16"/>
                <w:szCs w:val="16"/>
              </w:rPr>
              <w:t>–</w:t>
            </w:r>
          </w:p>
        </w:tc>
        <w:tc>
          <w:tcPr>
            <w:tcW w:w="388" w:type="dxa"/>
            <w:noWrap/>
            <w:hideMark/>
          </w:tcPr>
          <w:p w14:paraId="4D723101"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376C">
              <w:rPr>
                <w:rFonts w:cstheme="minorHAnsi"/>
                <w:sz w:val="16"/>
                <w:szCs w:val="16"/>
              </w:rPr>
              <w:t>–</w:t>
            </w:r>
          </w:p>
        </w:tc>
        <w:tc>
          <w:tcPr>
            <w:tcW w:w="388" w:type="dxa"/>
            <w:noWrap/>
            <w:hideMark/>
          </w:tcPr>
          <w:p w14:paraId="30CEC376"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376C">
              <w:rPr>
                <w:rFonts w:cstheme="minorHAnsi"/>
                <w:sz w:val="16"/>
                <w:szCs w:val="16"/>
              </w:rPr>
              <w:t>–</w:t>
            </w:r>
          </w:p>
        </w:tc>
        <w:tc>
          <w:tcPr>
            <w:tcW w:w="388" w:type="dxa"/>
            <w:noWrap/>
            <w:hideMark/>
          </w:tcPr>
          <w:p w14:paraId="072D6661"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376C">
              <w:rPr>
                <w:rFonts w:cstheme="minorHAnsi"/>
                <w:sz w:val="16"/>
                <w:szCs w:val="16"/>
              </w:rPr>
              <w:t>–</w:t>
            </w:r>
          </w:p>
        </w:tc>
        <w:tc>
          <w:tcPr>
            <w:tcW w:w="388" w:type="dxa"/>
            <w:noWrap/>
            <w:hideMark/>
          </w:tcPr>
          <w:p w14:paraId="73BD48EA"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376C">
              <w:rPr>
                <w:rFonts w:cstheme="minorHAnsi"/>
                <w:sz w:val="16"/>
                <w:szCs w:val="16"/>
              </w:rPr>
              <w:t>–</w:t>
            </w:r>
          </w:p>
        </w:tc>
        <w:tc>
          <w:tcPr>
            <w:tcW w:w="388" w:type="dxa"/>
            <w:noWrap/>
            <w:hideMark/>
          </w:tcPr>
          <w:p w14:paraId="3FA32342"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376C">
              <w:rPr>
                <w:rFonts w:cstheme="minorHAnsi"/>
                <w:sz w:val="16"/>
                <w:szCs w:val="16"/>
              </w:rPr>
              <w:t>–</w:t>
            </w:r>
          </w:p>
        </w:tc>
        <w:tc>
          <w:tcPr>
            <w:tcW w:w="388" w:type="dxa"/>
            <w:noWrap/>
            <w:hideMark/>
          </w:tcPr>
          <w:p w14:paraId="708C6454"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376C">
              <w:rPr>
                <w:rFonts w:cstheme="minorHAnsi"/>
                <w:sz w:val="16"/>
                <w:szCs w:val="16"/>
              </w:rPr>
              <w:t>–</w:t>
            </w:r>
          </w:p>
        </w:tc>
        <w:tc>
          <w:tcPr>
            <w:tcW w:w="388" w:type="dxa"/>
            <w:noWrap/>
            <w:hideMark/>
          </w:tcPr>
          <w:p w14:paraId="54F1E40C"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376C">
              <w:rPr>
                <w:rFonts w:cstheme="minorHAnsi"/>
                <w:sz w:val="16"/>
                <w:szCs w:val="16"/>
              </w:rPr>
              <w:t>–</w:t>
            </w:r>
          </w:p>
        </w:tc>
        <w:tc>
          <w:tcPr>
            <w:tcW w:w="384" w:type="dxa"/>
            <w:noWrap/>
            <w:hideMark/>
          </w:tcPr>
          <w:p w14:paraId="5EC6922D"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376C">
              <w:rPr>
                <w:rFonts w:cstheme="minorHAnsi"/>
                <w:sz w:val="16"/>
                <w:szCs w:val="16"/>
              </w:rPr>
              <w:t>–</w:t>
            </w:r>
          </w:p>
        </w:tc>
        <w:tc>
          <w:tcPr>
            <w:tcW w:w="384" w:type="dxa"/>
            <w:noWrap/>
            <w:hideMark/>
          </w:tcPr>
          <w:p w14:paraId="02E29ED2"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376C">
              <w:rPr>
                <w:rFonts w:cstheme="minorHAnsi"/>
                <w:sz w:val="16"/>
                <w:szCs w:val="16"/>
              </w:rPr>
              <w:t>–</w:t>
            </w:r>
          </w:p>
        </w:tc>
        <w:tc>
          <w:tcPr>
            <w:tcW w:w="384" w:type="dxa"/>
            <w:noWrap/>
            <w:hideMark/>
          </w:tcPr>
          <w:p w14:paraId="4AF382EE"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E5ACB">
              <w:rPr>
                <w:rFonts w:cstheme="minorHAnsi"/>
                <w:sz w:val="16"/>
                <w:szCs w:val="16"/>
              </w:rPr>
              <w:t>–</w:t>
            </w:r>
          </w:p>
        </w:tc>
        <w:tc>
          <w:tcPr>
            <w:tcW w:w="384" w:type="dxa"/>
            <w:noWrap/>
            <w:hideMark/>
          </w:tcPr>
          <w:p w14:paraId="7AF2B77B"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E5ACB">
              <w:rPr>
                <w:rFonts w:cstheme="minorHAnsi"/>
                <w:sz w:val="16"/>
                <w:szCs w:val="16"/>
              </w:rPr>
              <w:t>–</w:t>
            </w:r>
          </w:p>
        </w:tc>
        <w:tc>
          <w:tcPr>
            <w:tcW w:w="384" w:type="dxa"/>
            <w:noWrap/>
            <w:hideMark/>
          </w:tcPr>
          <w:p w14:paraId="4C75E46A"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E5ACB">
              <w:rPr>
                <w:rFonts w:cstheme="minorHAnsi"/>
                <w:sz w:val="16"/>
                <w:szCs w:val="16"/>
              </w:rPr>
              <w:t>–</w:t>
            </w:r>
          </w:p>
        </w:tc>
        <w:tc>
          <w:tcPr>
            <w:tcW w:w="384" w:type="dxa"/>
            <w:noWrap/>
          </w:tcPr>
          <w:p w14:paraId="61C8A4BA"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E5ACB">
              <w:rPr>
                <w:rFonts w:cstheme="minorHAnsi"/>
                <w:sz w:val="16"/>
                <w:szCs w:val="16"/>
              </w:rPr>
              <w:t>–</w:t>
            </w:r>
          </w:p>
        </w:tc>
        <w:tc>
          <w:tcPr>
            <w:tcW w:w="384" w:type="dxa"/>
            <w:noWrap/>
            <w:hideMark/>
          </w:tcPr>
          <w:p w14:paraId="696454D3"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7E5ACB">
              <w:rPr>
                <w:rFonts w:cstheme="minorHAnsi"/>
                <w:sz w:val="16"/>
                <w:szCs w:val="16"/>
              </w:rPr>
              <w:t>–</w:t>
            </w:r>
          </w:p>
        </w:tc>
        <w:tc>
          <w:tcPr>
            <w:tcW w:w="384" w:type="dxa"/>
            <w:shd w:val="clear" w:color="auto" w:fill="B0DF9B" w:themeFill="accent4" w:themeFillTint="66"/>
            <w:noWrap/>
            <w:hideMark/>
          </w:tcPr>
          <w:p w14:paraId="49171A03" w14:textId="7DF8A4EE" w:rsidR="00183E55" w:rsidRPr="00AC573C" w:rsidRDefault="00F92B92"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D</w:t>
            </w:r>
          </w:p>
        </w:tc>
        <w:tc>
          <w:tcPr>
            <w:tcW w:w="384" w:type="dxa"/>
            <w:noWrap/>
            <w:hideMark/>
          </w:tcPr>
          <w:p w14:paraId="164DCC7E"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w:t>
            </w:r>
          </w:p>
        </w:tc>
        <w:tc>
          <w:tcPr>
            <w:tcW w:w="384" w:type="dxa"/>
            <w:noWrap/>
            <w:hideMark/>
          </w:tcPr>
          <w:p w14:paraId="41AACABA"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w:t>
            </w:r>
          </w:p>
        </w:tc>
      </w:tr>
      <w:tr w:rsidR="0020559B" w:rsidRPr="00AC573C" w14:paraId="671825F9" w14:textId="77777777" w:rsidTr="00B94692">
        <w:tblPrEx>
          <w:tblCellMar>
            <w:top w:w="43" w:type="dxa"/>
            <w:bottom w:w="0" w:type="dxa"/>
          </w:tblCellMar>
        </w:tblPrEx>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995" w:type="dxa"/>
            <w:noWrap/>
            <w:hideMark/>
          </w:tcPr>
          <w:p w14:paraId="5DFA9AF3" w14:textId="77777777" w:rsidR="00183E55" w:rsidRPr="00D10DD5" w:rsidRDefault="00183E55" w:rsidP="00B94692">
            <w:pPr>
              <w:rPr>
                <w:rFonts w:cstheme="minorHAnsi"/>
                <w:b w:val="0"/>
                <w:bCs w:val="0"/>
                <w:sz w:val="16"/>
                <w:szCs w:val="16"/>
              </w:rPr>
            </w:pPr>
            <w:r w:rsidRPr="00D10DD5">
              <w:rPr>
                <w:rFonts w:cstheme="minorHAnsi"/>
                <w:b w:val="0"/>
                <w:bCs w:val="0"/>
                <w:sz w:val="16"/>
                <w:szCs w:val="16"/>
              </w:rPr>
              <w:t>Final IESR 60d after CMS feedback*</w:t>
            </w:r>
          </w:p>
        </w:tc>
        <w:tc>
          <w:tcPr>
            <w:tcW w:w="383" w:type="dxa"/>
            <w:noWrap/>
            <w:hideMark/>
          </w:tcPr>
          <w:p w14:paraId="721736CA"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376C">
              <w:rPr>
                <w:rFonts w:cstheme="minorHAnsi"/>
                <w:sz w:val="16"/>
                <w:szCs w:val="16"/>
              </w:rPr>
              <w:t>–</w:t>
            </w:r>
          </w:p>
        </w:tc>
        <w:tc>
          <w:tcPr>
            <w:tcW w:w="383" w:type="dxa"/>
            <w:noWrap/>
            <w:hideMark/>
          </w:tcPr>
          <w:p w14:paraId="7F9DCD67"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376C">
              <w:rPr>
                <w:rFonts w:cstheme="minorHAnsi"/>
                <w:sz w:val="16"/>
                <w:szCs w:val="16"/>
              </w:rPr>
              <w:t>–</w:t>
            </w:r>
          </w:p>
        </w:tc>
        <w:tc>
          <w:tcPr>
            <w:tcW w:w="383" w:type="dxa"/>
            <w:noWrap/>
            <w:hideMark/>
          </w:tcPr>
          <w:p w14:paraId="63DDE984"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376C">
              <w:rPr>
                <w:rFonts w:cstheme="minorHAnsi"/>
                <w:sz w:val="16"/>
                <w:szCs w:val="16"/>
              </w:rPr>
              <w:t>–</w:t>
            </w:r>
          </w:p>
        </w:tc>
        <w:tc>
          <w:tcPr>
            <w:tcW w:w="387" w:type="dxa"/>
            <w:noWrap/>
            <w:hideMark/>
          </w:tcPr>
          <w:p w14:paraId="53546BF5"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376C">
              <w:rPr>
                <w:rFonts w:cstheme="minorHAnsi"/>
                <w:sz w:val="16"/>
                <w:szCs w:val="16"/>
              </w:rPr>
              <w:t>–</w:t>
            </w:r>
          </w:p>
        </w:tc>
        <w:tc>
          <w:tcPr>
            <w:tcW w:w="387" w:type="dxa"/>
            <w:noWrap/>
            <w:hideMark/>
          </w:tcPr>
          <w:p w14:paraId="68BE6B45"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376C">
              <w:rPr>
                <w:rFonts w:cstheme="minorHAnsi"/>
                <w:sz w:val="16"/>
                <w:szCs w:val="16"/>
              </w:rPr>
              <w:t>–</w:t>
            </w:r>
          </w:p>
        </w:tc>
        <w:tc>
          <w:tcPr>
            <w:tcW w:w="387" w:type="dxa"/>
            <w:noWrap/>
            <w:hideMark/>
          </w:tcPr>
          <w:p w14:paraId="6C262B07"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376C">
              <w:rPr>
                <w:rFonts w:cstheme="minorHAnsi"/>
                <w:sz w:val="16"/>
                <w:szCs w:val="16"/>
              </w:rPr>
              <w:t>–</w:t>
            </w:r>
          </w:p>
        </w:tc>
        <w:tc>
          <w:tcPr>
            <w:tcW w:w="387" w:type="dxa"/>
            <w:noWrap/>
            <w:hideMark/>
          </w:tcPr>
          <w:p w14:paraId="0F4D9A24"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376C">
              <w:rPr>
                <w:rFonts w:cstheme="minorHAnsi"/>
                <w:sz w:val="16"/>
                <w:szCs w:val="16"/>
              </w:rPr>
              <w:t>–</w:t>
            </w:r>
          </w:p>
        </w:tc>
        <w:tc>
          <w:tcPr>
            <w:tcW w:w="388" w:type="dxa"/>
            <w:noWrap/>
            <w:hideMark/>
          </w:tcPr>
          <w:p w14:paraId="2F1F0E74"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376C">
              <w:rPr>
                <w:rFonts w:cstheme="minorHAnsi"/>
                <w:sz w:val="16"/>
                <w:szCs w:val="16"/>
              </w:rPr>
              <w:t>–</w:t>
            </w:r>
          </w:p>
        </w:tc>
        <w:tc>
          <w:tcPr>
            <w:tcW w:w="388" w:type="dxa"/>
            <w:noWrap/>
            <w:hideMark/>
          </w:tcPr>
          <w:p w14:paraId="557A3488"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376C">
              <w:rPr>
                <w:rFonts w:cstheme="minorHAnsi"/>
                <w:sz w:val="16"/>
                <w:szCs w:val="16"/>
              </w:rPr>
              <w:t>–</w:t>
            </w:r>
          </w:p>
        </w:tc>
        <w:tc>
          <w:tcPr>
            <w:tcW w:w="388" w:type="dxa"/>
            <w:noWrap/>
            <w:hideMark/>
          </w:tcPr>
          <w:p w14:paraId="4C3E2EAE"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376C">
              <w:rPr>
                <w:rFonts w:cstheme="minorHAnsi"/>
                <w:sz w:val="16"/>
                <w:szCs w:val="16"/>
              </w:rPr>
              <w:t>–</w:t>
            </w:r>
          </w:p>
        </w:tc>
        <w:tc>
          <w:tcPr>
            <w:tcW w:w="388" w:type="dxa"/>
            <w:noWrap/>
            <w:hideMark/>
          </w:tcPr>
          <w:p w14:paraId="0891AAEC"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376C">
              <w:rPr>
                <w:rFonts w:cstheme="minorHAnsi"/>
                <w:sz w:val="16"/>
                <w:szCs w:val="16"/>
              </w:rPr>
              <w:t>–</w:t>
            </w:r>
          </w:p>
        </w:tc>
        <w:tc>
          <w:tcPr>
            <w:tcW w:w="388" w:type="dxa"/>
            <w:noWrap/>
            <w:hideMark/>
          </w:tcPr>
          <w:p w14:paraId="5756CDD0"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376C">
              <w:rPr>
                <w:rFonts w:cstheme="minorHAnsi"/>
                <w:sz w:val="16"/>
                <w:szCs w:val="16"/>
              </w:rPr>
              <w:t>–</w:t>
            </w:r>
          </w:p>
        </w:tc>
        <w:tc>
          <w:tcPr>
            <w:tcW w:w="388" w:type="dxa"/>
            <w:noWrap/>
            <w:hideMark/>
          </w:tcPr>
          <w:p w14:paraId="3822999A"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376C">
              <w:rPr>
                <w:rFonts w:cstheme="minorHAnsi"/>
                <w:sz w:val="16"/>
                <w:szCs w:val="16"/>
              </w:rPr>
              <w:t>–</w:t>
            </w:r>
          </w:p>
        </w:tc>
        <w:tc>
          <w:tcPr>
            <w:tcW w:w="388" w:type="dxa"/>
            <w:noWrap/>
            <w:hideMark/>
          </w:tcPr>
          <w:p w14:paraId="226B7826"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376C">
              <w:rPr>
                <w:rFonts w:cstheme="minorHAnsi"/>
                <w:sz w:val="16"/>
                <w:szCs w:val="16"/>
              </w:rPr>
              <w:t>–</w:t>
            </w:r>
          </w:p>
        </w:tc>
        <w:tc>
          <w:tcPr>
            <w:tcW w:w="388" w:type="dxa"/>
            <w:noWrap/>
            <w:hideMark/>
          </w:tcPr>
          <w:p w14:paraId="0FECFD0F"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376C">
              <w:rPr>
                <w:rFonts w:cstheme="minorHAnsi"/>
                <w:sz w:val="16"/>
                <w:szCs w:val="16"/>
              </w:rPr>
              <w:t>–</w:t>
            </w:r>
          </w:p>
        </w:tc>
        <w:tc>
          <w:tcPr>
            <w:tcW w:w="388" w:type="dxa"/>
            <w:noWrap/>
            <w:hideMark/>
          </w:tcPr>
          <w:p w14:paraId="11B4E538"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376C">
              <w:rPr>
                <w:rFonts w:cstheme="minorHAnsi"/>
                <w:sz w:val="16"/>
                <w:szCs w:val="16"/>
              </w:rPr>
              <w:t>–</w:t>
            </w:r>
          </w:p>
        </w:tc>
        <w:tc>
          <w:tcPr>
            <w:tcW w:w="388" w:type="dxa"/>
            <w:noWrap/>
            <w:hideMark/>
          </w:tcPr>
          <w:p w14:paraId="63CA54BB"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376C">
              <w:rPr>
                <w:rFonts w:cstheme="minorHAnsi"/>
                <w:sz w:val="16"/>
                <w:szCs w:val="16"/>
              </w:rPr>
              <w:t>–</w:t>
            </w:r>
          </w:p>
        </w:tc>
        <w:tc>
          <w:tcPr>
            <w:tcW w:w="388" w:type="dxa"/>
            <w:noWrap/>
            <w:hideMark/>
          </w:tcPr>
          <w:p w14:paraId="64217D65"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376C">
              <w:rPr>
                <w:rFonts w:cstheme="minorHAnsi"/>
                <w:sz w:val="16"/>
                <w:szCs w:val="16"/>
              </w:rPr>
              <w:t>–</w:t>
            </w:r>
          </w:p>
        </w:tc>
        <w:tc>
          <w:tcPr>
            <w:tcW w:w="388" w:type="dxa"/>
            <w:noWrap/>
            <w:hideMark/>
          </w:tcPr>
          <w:p w14:paraId="73D4885F"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376C">
              <w:rPr>
                <w:rFonts w:cstheme="minorHAnsi"/>
                <w:sz w:val="16"/>
                <w:szCs w:val="16"/>
              </w:rPr>
              <w:t>–</w:t>
            </w:r>
          </w:p>
        </w:tc>
        <w:tc>
          <w:tcPr>
            <w:tcW w:w="388" w:type="dxa"/>
            <w:noWrap/>
            <w:hideMark/>
          </w:tcPr>
          <w:p w14:paraId="3B8087F1"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376C">
              <w:rPr>
                <w:rFonts w:cstheme="minorHAnsi"/>
                <w:sz w:val="16"/>
                <w:szCs w:val="16"/>
              </w:rPr>
              <w:t>–</w:t>
            </w:r>
          </w:p>
        </w:tc>
        <w:tc>
          <w:tcPr>
            <w:tcW w:w="384" w:type="dxa"/>
            <w:noWrap/>
            <w:hideMark/>
          </w:tcPr>
          <w:p w14:paraId="4CEC03E3"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376C">
              <w:rPr>
                <w:rFonts w:cstheme="minorHAnsi"/>
                <w:sz w:val="16"/>
                <w:szCs w:val="16"/>
              </w:rPr>
              <w:t>–</w:t>
            </w:r>
          </w:p>
        </w:tc>
        <w:tc>
          <w:tcPr>
            <w:tcW w:w="384" w:type="dxa"/>
            <w:noWrap/>
            <w:hideMark/>
          </w:tcPr>
          <w:p w14:paraId="155E056B"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376C">
              <w:rPr>
                <w:rFonts w:cstheme="minorHAnsi"/>
                <w:sz w:val="16"/>
                <w:szCs w:val="16"/>
              </w:rPr>
              <w:t>–</w:t>
            </w:r>
          </w:p>
        </w:tc>
        <w:tc>
          <w:tcPr>
            <w:tcW w:w="384" w:type="dxa"/>
            <w:noWrap/>
            <w:hideMark/>
          </w:tcPr>
          <w:p w14:paraId="53028734"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7E5ACB">
              <w:rPr>
                <w:rFonts w:cstheme="minorHAnsi"/>
                <w:sz w:val="16"/>
                <w:szCs w:val="16"/>
              </w:rPr>
              <w:t>–</w:t>
            </w:r>
          </w:p>
        </w:tc>
        <w:tc>
          <w:tcPr>
            <w:tcW w:w="384" w:type="dxa"/>
            <w:noWrap/>
            <w:hideMark/>
          </w:tcPr>
          <w:p w14:paraId="2309AB9C"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7E5ACB">
              <w:rPr>
                <w:rFonts w:cstheme="minorHAnsi"/>
                <w:sz w:val="16"/>
                <w:szCs w:val="16"/>
              </w:rPr>
              <w:t>–</w:t>
            </w:r>
          </w:p>
        </w:tc>
        <w:tc>
          <w:tcPr>
            <w:tcW w:w="384" w:type="dxa"/>
            <w:noWrap/>
            <w:hideMark/>
          </w:tcPr>
          <w:p w14:paraId="450951B8"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7E5ACB">
              <w:rPr>
                <w:rFonts w:cstheme="minorHAnsi"/>
                <w:sz w:val="16"/>
                <w:szCs w:val="16"/>
              </w:rPr>
              <w:t>–</w:t>
            </w:r>
          </w:p>
        </w:tc>
        <w:tc>
          <w:tcPr>
            <w:tcW w:w="384" w:type="dxa"/>
            <w:noWrap/>
            <w:hideMark/>
          </w:tcPr>
          <w:p w14:paraId="1190D5B7"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7E5ACB">
              <w:rPr>
                <w:rFonts w:cstheme="minorHAnsi"/>
                <w:sz w:val="16"/>
                <w:szCs w:val="16"/>
              </w:rPr>
              <w:t>–</w:t>
            </w:r>
          </w:p>
        </w:tc>
        <w:tc>
          <w:tcPr>
            <w:tcW w:w="384" w:type="dxa"/>
            <w:noWrap/>
            <w:hideMark/>
          </w:tcPr>
          <w:p w14:paraId="7C638719"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7E5ACB">
              <w:rPr>
                <w:rFonts w:cstheme="minorHAnsi"/>
                <w:sz w:val="16"/>
                <w:szCs w:val="16"/>
              </w:rPr>
              <w:t>–</w:t>
            </w:r>
          </w:p>
        </w:tc>
        <w:tc>
          <w:tcPr>
            <w:tcW w:w="384" w:type="dxa"/>
            <w:noWrap/>
            <w:hideMark/>
          </w:tcPr>
          <w:p w14:paraId="1142BE13"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w:t>
            </w:r>
          </w:p>
        </w:tc>
        <w:tc>
          <w:tcPr>
            <w:tcW w:w="384" w:type="dxa"/>
            <w:shd w:val="clear" w:color="auto" w:fill="B0DF9B" w:themeFill="accent4" w:themeFillTint="66"/>
            <w:noWrap/>
            <w:hideMark/>
          </w:tcPr>
          <w:p w14:paraId="48829945" w14:textId="31C7B94D" w:rsidR="00183E55" w:rsidRPr="00AC573C" w:rsidRDefault="00F92B92"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D</w:t>
            </w:r>
          </w:p>
        </w:tc>
        <w:tc>
          <w:tcPr>
            <w:tcW w:w="384" w:type="dxa"/>
            <w:noWrap/>
            <w:hideMark/>
          </w:tcPr>
          <w:p w14:paraId="553ED903"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w:t>
            </w:r>
          </w:p>
        </w:tc>
      </w:tr>
      <w:tr w:rsidR="00183E55" w:rsidRPr="00AC573C" w14:paraId="174611EC" w14:textId="77777777" w:rsidTr="00B94692">
        <w:tblPrEx>
          <w:tblCellMar>
            <w:top w:w="43" w:type="dxa"/>
            <w:bottom w:w="0" w:type="dxa"/>
          </w:tblCellMar>
        </w:tblPrEx>
        <w:trPr>
          <w:trHeight w:val="248"/>
        </w:trPr>
        <w:tc>
          <w:tcPr>
            <w:cnfStyle w:val="001000000000" w:firstRow="0" w:lastRow="0" w:firstColumn="1" w:lastColumn="0" w:oddVBand="0" w:evenVBand="0" w:oddHBand="0" w:evenHBand="0" w:firstRowFirstColumn="0" w:firstRowLastColumn="0" w:lastRowFirstColumn="0" w:lastRowLastColumn="0"/>
            <w:tcW w:w="1995" w:type="dxa"/>
            <w:noWrap/>
            <w:hideMark/>
          </w:tcPr>
          <w:p w14:paraId="2475B227" w14:textId="77777777" w:rsidR="00183E55" w:rsidRPr="00AC573C" w:rsidRDefault="00183E55" w:rsidP="00B94692">
            <w:pPr>
              <w:rPr>
                <w:rFonts w:cstheme="minorHAnsi"/>
                <w:sz w:val="16"/>
                <w:szCs w:val="16"/>
              </w:rPr>
            </w:pPr>
            <w:r w:rsidRPr="00AC573C">
              <w:rPr>
                <w:rFonts w:cstheme="minorHAnsi"/>
                <w:sz w:val="16"/>
                <w:szCs w:val="16"/>
              </w:rPr>
              <w:t>Draft Close Out Report to CMS </w:t>
            </w:r>
            <w:r>
              <w:rPr>
                <w:rFonts w:cstheme="minorHAnsi"/>
                <w:sz w:val="16"/>
                <w:szCs w:val="16"/>
              </w:rPr>
              <w:t>4/30/28</w:t>
            </w:r>
          </w:p>
        </w:tc>
        <w:tc>
          <w:tcPr>
            <w:tcW w:w="383" w:type="dxa"/>
            <w:noWrap/>
            <w:hideMark/>
          </w:tcPr>
          <w:p w14:paraId="52403CD6"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376C">
              <w:rPr>
                <w:rFonts w:cstheme="minorHAnsi"/>
                <w:sz w:val="16"/>
                <w:szCs w:val="16"/>
              </w:rPr>
              <w:t>–</w:t>
            </w:r>
          </w:p>
        </w:tc>
        <w:tc>
          <w:tcPr>
            <w:tcW w:w="383" w:type="dxa"/>
            <w:noWrap/>
            <w:hideMark/>
          </w:tcPr>
          <w:p w14:paraId="056AC034"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376C">
              <w:rPr>
                <w:rFonts w:cstheme="minorHAnsi"/>
                <w:sz w:val="16"/>
                <w:szCs w:val="16"/>
              </w:rPr>
              <w:t>–</w:t>
            </w:r>
          </w:p>
        </w:tc>
        <w:tc>
          <w:tcPr>
            <w:tcW w:w="383" w:type="dxa"/>
            <w:noWrap/>
            <w:hideMark/>
          </w:tcPr>
          <w:p w14:paraId="6B5C31ED"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376C">
              <w:rPr>
                <w:rFonts w:cstheme="minorHAnsi"/>
                <w:sz w:val="16"/>
                <w:szCs w:val="16"/>
              </w:rPr>
              <w:t>–</w:t>
            </w:r>
          </w:p>
        </w:tc>
        <w:tc>
          <w:tcPr>
            <w:tcW w:w="387" w:type="dxa"/>
            <w:noWrap/>
            <w:hideMark/>
          </w:tcPr>
          <w:p w14:paraId="4AF4434A"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376C">
              <w:rPr>
                <w:rFonts w:cstheme="minorHAnsi"/>
                <w:sz w:val="16"/>
                <w:szCs w:val="16"/>
              </w:rPr>
              <w:t>–</w:t>
            </w:r>
          </w:p>
        </w:tc>
        <w:tc>
          <w:tcPr>
            <w:tcW w:w="387" w:type="dxa"/>
            <w:noWrap/>
            <w:hideMark/>
          </w:tcPr>
          <w:p w14:paraId="17C640D5"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376C">
              <w:rPr>
                <w:rFonts w:cstheme="minorHAnsi"/>
                <w:sz w:val="16"/>
                <w:szCs w:val="16"/>
              </w:rPr>
              <w:t>–</w:t>
            </w:r>
          </w:p>
        </w:tc>
        <w:tc>
          <w:tcPr>
            <w:tcW w:w="387" w:type="dxa"/>
            <w:noWrap/>
            <w:hideMark/>
          </w:tcPr>
          <w:p w14:paraId="2BB1E1C7"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376C">
              <w:rPr>
                <w:rFonts w:cstheme="minorHAnsi"/>
                <w:sz w:val="16"/>
                <w:szCs w:val="16"/>
              </w:rPr>
              <w:t>–</w:t>
            </w:r>
          </w:p>
        </w:tc>
        <w:tc>
          <w:tcPr>
            <w:tcW w:w="387" w:type="dxa"/>
            <w:noWrap/>
            <w:hideMark/>
          </w:tcPr>
          <w:p w14:paraId="622F642F"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376C">
              <w:rPr>
                <w:rFonts w:cstheme="minorHAnsi"/>
                <w:sz w:val="16"/>
                <w:szCs w:val="16"/>
              </w:rPr>
              <w:t>–</w:t>
            </w:r>
          </w:p>
        </w:tc>
        <w:tc>
          <w:tcPr>
            <w:tcW w:w="388" w:type="dxa"/>
            <w:noWrap/>
            <w:hideMark/>
          </w:tcPr>
          <w:p w14:paraId="4F23578F"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376C">
              <w:rPr>
                <w:rFonts w:cstheme="minorHAnsi"/>
                <w:sz w:val="16"/>
                <w:szCs w:val="16"/>
              </w:rPr>
              <w:t>–</w:t>
            </w:r>
          </w:p>
        </w:tc>
        <w:tc>
          <w:tcPr>
            <w:tcW w:w="388" w:type="dxa"/>
            <w:noWrap/>
            <w:hideMark/>
          </w:tcPr>
          <w:p w14:paraId="19E2E5CA"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376C">
              <w:rPr>
                <w:rFonts w:cstheme="minorHAnsi"/>
                <w:sz w:val="16"/>
                <w:szCs w:val="16"/>
              </w:rPr>
              <w:t>–</w:t>
            </w:r>
          </w:p>
        </w:tc>
        <w:tc>
          <w:tcPr>
            <w:tcW w:w="388" w:type="dxa"/>
            <w:noWrap/>
            <w:hideMark/>
          </w:tcPr>
          <w:p w14:paraId="30962BE2"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376C">
              <w:rPr>
                <w:rFonts w:cstheme="minorHAnsi"/>
                <w:sz w:val="16"/>
                <w:szCs w:val="16"/>
              </w:rPr>
              <w:t>–</w:t>
            </w:r>
          </w:p>
        </w:tc>
        <w:tc>
          <w:tcPr>
            <w:tcW w:w="388" w:type="dxa"/>
            <w:noWrap/>
            <w:hideMark/>
          </w:tcPr>
          <w:p w14:paraId="0C1E4B1B"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376C">
              <w:rPr>
                <w:rFonts w:cstheme="minorHAnsi"/>
                <w:sz w:val="16"/>
                <w:szCs w:val="16"/>
              </w:rPr>
              <w:t>–</w:t>
            </w:r>
          </w:p>
        </w:tc>
        <w:tc>
          <w:tcPr>
            <w:tcW w:w="388" w:type="dxa"/>
            <w:noWrap/>
            <w:hideMark/>
          </w:tcPr>
          <w:p w14:paraId="013401A9"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376C">
              <w:rPr>
                <w:rFonts w:cstheme="minorHAnsi"/>
                <w:sz w:val="16"/>
                <w:szCs w:val="16"/>
              </w:rPr>
              <w:t>–</w:t>
            </w:r>
          </w:p>
        </w:tc>
        <w:tc>
          <w:tcPr>
            <w:tcW w:w="388" w:type="dxa"/>
            <w:noWrap/>
            <w:hideMark/>
          </w:tcPr>
          <w:p w14:paraId="4330625F"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376C">
              <w:rPr>
                <w:rFonts w:cstheme="minorHAnsi"/>
                <w:sz w:val="16"/>
                <w:szCs w:val="16"/>
              </w:rPr>
              <w:t>–</w:t>
            </w:r>
          </w:p>
        </w:tc>
        <w:tc>
          <w:tcPr>
            <w:tcW w:w="388" w:type="dxa"/>
            <w:noWrap/>
            <w:hideMark/>
          </w:tcPr>
          <w:p w14:paraId="323AB646"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376C">
              <w:rPr>
                <w:rFonts w:cstheme="minorHAnsi"/>
                <w:sz w:val="16"/>
                <w:szCs w:val="16"/>
              </w:rPr>
              <w:t>–</w:t>
            </w:r>
          </w:p>
        </w:tc>
        <w:tc>
          <w:tcPr>
            <w:tcW w:w="388" w:type="dxa"/>
            <w:noWrap/>
            <w:hideMark/>
          </w:tcPr>
          <w:p w14:paraId="116F5F9E"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376C">
              <w:rPr>
                <w:rFonts w:cstheme="minorHAnsi"/>
                <w:sz w:val="16"/>
                <w:szCs w:val="16"/>
              </w:rPr>
              <w:t>–</w:t>
            </w:r>
          </w:p>
        </w:tc>
        <w:tc>
          <w:tcPr>
            <w:tcW w:w="388" w:type="dxa"/>
            <w:noWrap/>
            <w:hideMark/>
          </w:tcPr>
          <w:p w14:paraId="78B3EF1C"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376C">
              <w:rPr>
                <w:rFonts w:cstheme="minorHAnsi"/>
                <w:sz w:val="16"/>
                <w:szCs w:val="16"/>
              </w:rPr>
              <w:t>–</w:t>
            </w:r>
          </w:p>
        </w:tc>
        <w:tc>
          <w:tcPr>
            <w:tcW w:w="388" w:type="dxa"/>
            <w:noWrap/>
            <w:hideMark/>
          </w:tcPr>
          <w:p w14:paraId="29E906A6"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376C">
              <w:rPr>
                <w:rFonts w:cstheme="minorHAnsi"/>
                <w:sz w:val="16"/>
                <w:szCs w:val="16"/>
              </w:rPr>
              <w:t>–</w:t>
            </w:r>
          </w:p>
        </w:tc>
        <w:tc>
          <w:tcPr>
            <w:tcW w:w="388" w:type="dxa"/>
            <w:noWrap/>
            <w:hideMark/>
          </w:tcPr>
          <w:p w14:paraId="6BB0E359"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376C">
              <w:rPr>
                <w:rFonts w:cstheme="minorHAnsi"/>
                <w:sz w:val="16"/>
                <w:szCs w:val="16"/>
              </w:rPr>
              <w:t>–</w:t>
            </w:r>
          </w:p>
        </w:tc>
        <w:tc>
          <w:tcPr>
            <w:tcW w:w="388" w:type="dxa"/>
            <w:noWrap/>
            <w:hideMark/>
          </w:tcPr>
          <w:p w14:paraId="7C0EAD63"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376C">
              <w:rPr>
                <w:rFonts w:cstheme="minorHAnsi"/>
                <w:sz w:val="16"/>
                <w:szCs w:val="16"/>
              </w:rPr>
              <w:t>–</w:t>
            </w:r>
          </w:p>
        </w:tc>
        <w:tc>
          <w:tcPr>
            <w:tcW w:w="388" w:type="dxa"/>
            <w:noWrap/>
            <w:hideMark/>
          </w:tcPr>
          <w:p w14:paraId="5A1EAA12"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376C">
              <w:rPr>
                <w:rFonts w:cstheme="minorHAnsi"/>
                <w:sz w:val="16"/>
                <w:szCs w:val="16"/>
              </w:rPr>
              <w:t>–</w:t>
            </w:r>
          </w:p>
        </w:tc>
        <w:tc>
          <w:tcPr>
            <w:tcW w:w="384" w:type="dxa"/>
            <w:noWrap/>
            <w:hideMark/>
          </w:tcPr>
          <w:p w14:paraId="656F5F29"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376C">
              <w:rPr>
                <w:rFonts w:cstheme="minorHAnsi"/>
                <w:sz w:val="16"/>
                <w:szCs w:val="16"/>
              </w:rPr>
              <w:t>–</w:t>
            </w:r>
          </w:p>
        </w:tc>
        <w:tc>
          <w:tcPr>
            <w:tcW w:w="384" w:type="dxa"/>
            <w:shd w:val="clear" w:color="auto" w:fill="auto"/>
            <w:noWrap/>
            <w:hideMark/>
          </w:tcPr>
          <w:p w14:paraId="7CA293F0"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E376C">
              <w:rPr>
                <w:rFonts w:cstheme="minorHAnsi"/>
                <w:sz w:val="16"/>
                <w:szCs w:val="16"/>
              </w:rPr>
              <w:t>–</w:t>
            </w:r>
          </w:p>
        </w:tc>
        <w:tc>
          <w:tcPr>
            <w:tcW w:w="384" w:type="dxa"/>
            <w:noWrap/>
            <w:hideMark/>
          </w:tcPr>
          <w:p w14:paraId="04125B8C"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w:t>
            </w:r>
          </w:p>
        </w:tc>
        <w:tc>
          <w:tcPr>
            <w:tcW w:w="384" w:type="dxa"/>
            <w:shd w:val="clear" w:color="auto" w:fill="B0DF9B" w:themeFill="accent4" w:themeFillTint="66"/>
            <w:noWrap/>
            <w:hideMark/>
          </w:tcPr>
          <w:p w14:paraId="4F4EB8FD" w14:textId="45D21FEC" w:rsidR="00183E55" w:rsidRPr="00AC573C" w:rsidRDefault="00F92B92"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D</w:t>
            </w:r>
          </w:p>
        </w:tc>
        <w:tc>
          <w:tcPr>
            <w:tcW w:w="384" w:type="dxa"/>
            <w:noWrap/>
            <w:hideMark/>
          </w:tcPr>
          <w:p w14:paraId="1A1BA56B"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12896">
              <w:rPr>
                <w:rFonts w:cstheme="minorHAnsi"/>
                <w:sz w:val="16"/>
                <w:szCs w:val="16"/>
              </w:rPr>
              <w:t>–</w:t>
            </w:r>
          </w:p>
        </w:tc>
        <w:tc>
          <w:tcPr>
            <w:tcW w:w="384" w:type="dxa"/>
            <w:noWrap/>
            <w:hideMark/>
          </w:tcPr>
          <w:p w14:paraId="31A5B5BD"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12896">
              <w:rPr>
                <w:rFonts w:cstheme="minorHAnsi"/>
                <w:sz w:val="16"/>
                <w:szCs w:val="16"/>
              </w:rPr>
              <w:t>–</w:t>
            </w:r>
          </w:p>
        </w:tc>
        <w:tc>
          <w:tcPr>
            <w:tcW w:w="384" w:type="dxa"/>
            <w:noWrap/>
            <w:hideMark/>
          </w:tcPr>
          <w:p w14:paraId="3D39F285"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12896">
              <w:rPr>
                <w:rFonts w:cstheme="minorHAnsi"/>
                <w:sz w:val="16"/>
                <w:szCs w:val="16"/>
              </w:rPr>
              <w:t>–</w:t>
            </w:r>
          </w:p>
        </w:tc>
        <w:tc>
          <w:tcPr>
            <w:tcW w:w="384" w:type="dxa"/>
            <w:noWrap/>
            <w:hideMark/>
          </w:tcPr>
          <w:p w14:paraId="7319B081"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12896">
              <w:rPr>
                <w:rFonts w:cstheme="minorHAnsi"/>
                <w:sz w:val="16"/>
                <w:szCs w:val="16"/>
              </w:rPr>
              <w:t>–</w:t>
            </w:r>
          </w:p>
        </w:tc>
        <w:tc>
          <w:tcPr>
            <w:tcW w:w="384" w:type="dxa"/>
            <w:noWrap/>
            <w:hideMark/>
          </w:tcPr>
          <w:p w14:paraId="3B953D0D"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12896">
              <w:rPr>
                <w:rFonts w:cstheme="minorHAnsi"/>
                <w:sz w:val="16"/>
                <w:szCs w:val="16"/>
              </w:rPr>
              <w:t>–</w:t>
            </w:r>
          </w:p>
        </w:tc>
        <w:tc>
          <w:tcPr>
            <w:tcW w:w="384" w:type="dxa"/>
            <w:noWrap/>
            <w:hideMark/>
          </w:tcPr>
          <w:p w14:paraId="6753DCAF" w14:textId="77777777" w:rsidR="00183E55" w:rsidRPr="00AC573C" w:rsidRDefault="00183E55" w:rsidP="00B9469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12896">
              <w:rPr>
                <w:rFonts w:cstheme="minorHAnsi"/>
                <w:sz w:val="16"/>
                <w:szCs w:val="16"/>
              </w:rPr>
              <w:t>–</w:t>
            </w:r>
          </w:p>
        </w:tc>
      </w:tr>
      <w:tr w:rsidR="0020559B" w:rsidRPr="00AC573C" w14:paraId="397054C6" w14:textId="77777777" w:rsidTr="00B94692">
        <w:tblPrEx>
          <w:tblCellMar>
            <w:top w:w="43" w:type="dxa"/>
            <w:bottom w:w="0" w:type="dxa"/>
          </w:tblCellMar>
        </w:tblPrEx>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995" w:type="dxa"/>
            <w:noWrap/>
            <w:hideMark/>
          </w:tcPr>
          <w:p w14:paraId="762A573C" w14:textId="77777777" w:rsidR="00183E55" w:rsidRPr="008B0C5D" w:rsidRDefault="00183E55" w:rsidP="00B94692">
            <w:pPr>
              <w:rPr>
                <w:rFonts w:cstheme="minorHAnsi"/>
                <w:sz w:val="16"/>
                <w:szCs w:val="16"/>
              </w:rPr>
            </w:pPr>
            <w:r w:rsidRPr="00D10DD5">
              <w:rPr>
                <w:rFonts w:cstheme="minorHAnsi"/>
                <w:b w:val="0"/>
                <w:bCs w:val="0"/>
                <w:sz w:val="16"/>
                <w:szCs w:val="16"/>
              </w:rPr>
              <w:t>Final Close Out Report to CMS</w:t>
            </w:r>
          </w:p>
        </w:tc>
        <w:tc>
          <w:tcPr>
            <w:tcW w:w="383" w:type="dxa"/>
            <w:noWrap/>
            <w:hideMark/>
          </w:tcPr>
          <w:p w14:paraId="51618418"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376C">
              <w:rPr>
                <w:rFonts w:cstheme="minorHAnsi"/>
                <w:sz w:val="16"/>
                <w:szCs w:val="16"/>
              </w:rPr>
              <w:t>–</w:t>
            </w:r>
          </w:p>
        </w:tc>
        <w:tc>
          <w:tcPr>
            <w:tcW w:w="383" w:type="dxa"/>
            <w:noWrap/>
            <w:hideMark/>
          </w:tcPr>
          <w:p w14:paraId="25156AC1"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376C">
              <w:rPr>
                <w:rFonts w:cstheme="minorHAnsi"/>
                <w:sz w:val="16"/>
                <w:szCs w:val="16"/>
              </w:rPr>
              <w:t>–</w:t>
            </w:r>
          </w:p>
        </w:tc>
        <w:tc>
          <w:tcPr>
            <w:tcW w:w="383" w:type="dxa"/>
            <w:noWrap/>
            <w:hideMark/>
          </w:tcPr>
          <w:p w14:paraId="41AD4661"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376C">
              <w:rPr>
                <w:rFonts w:cstheme="minorHAnsi"/>
                <w:sz w:val="16"/>
                <w:szCs w:val="16"/>
              </w:rPr>
              <w:t>–</w:t>
            </w:r>
          </w:p>
        </w:tc>
        <w:tc>
          <w:tcPr>
            <w:tcW w:w="387" w:type="dxa"/>
            <w:noWrap/>
            <w:hideMark/>
          </w:tcPr>
          <w:p w14:paraId="2F71D008"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376C">
              <w:rPr>
                <w:rFonts w:cstheme="minorHAnsi"/>
                <w:sz w:val="16"/>
                <w:szCs w:val="16"/>
              </w:rPr>
              <w:t>–</w:t>
            </w:r>
          </w:p>
        </w:tc>
        <w:tc>
          <w:tcPr>
            <w:tcW w:w="387" w:type="dxa"/>
            <w:noWrap/>
            <w:hideMark/>
          </w:tcPr>
          <w:p w14:paraId="3C467FC0"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376C">
              <w:rPr>
                <w:rFonts w:cstheme="minorHAnsi"/>
                <w:sz w:val="16"/>
                <w:szCs w:val="16"/>
              </w:rPr>
              <w:t>–</w:t>
            </w:r>
          </w:p>
        </w:tc>
        <w:tc>
          <w:tcPr>
            <w:tcW w:w="387" w:type="dxa"/>
            <w:noWrap/>
            <w:hideMark/>
          </w:tcPr>
          <w:p w14:paraId="779FAF1B"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376C">
              <w:rPr>
                <w:rFonts w:cstheme="minorHAnsi"/>
                <w:sz w:val="16"/>
                <w:szCs w:val="16"/>
              </w:rPr>
              <w:t>–</w:t>
            </w:r>
          </w:p>
        </w:tc>
        <w:tc>
          <w:tcPr>
            <w:tcW w:w="387" w:type="dxa"/>
            <w:noWrap/>
            <w:hideMark/>
          </w:tcPr>
          <w:p w14:paraId="440D8E27"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376C">
              <w:rPr>
                <w:rFonts w:cstheme="minorHAnsi"/>
                <w:sz w:val="16"/>
                <w:szCs w:val="16"/>
              </w:rPr>
              <w:t>–</w:t>
            </w:r>
          </w:p>
        </w:tc>
        <w:tc>
          <w:tcPr>
            <w:tcW w:w="388" w:type="dxa"/>
            <w:noWrap/>
            <w:hideMark/>
          </w:tcPr>
          <w:p w14:paraId="57134502"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376C">
              <w:rPr>
                <w:rFonts w:cstheme="minorHAnsi"/>
                <w:sz w:val="16"/>
                <w:szCs w:val="16"/>
              </w:rPr>
              <w:t>–</w:t>
            </w:r>
          </w:p>
        </w:tc>
        <w:tc>
          <w:tcPr>
            <w:tcW w:w="388" w:type="dxa"/>
            <w:noWrap/>
            <w:hideMark/>
          </w:tcPr>
          <w:p w14:paraId="194B4B93"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376C">
              <w:rPr>
                <w:rFonts w:cstheme="minorHAnsi"/>
                <w:sz w:val="16"/>
                <w:szCs w:val="16"/>
              </w:rPr>
              <w:t>–</w:t>
            </w:r>
          </w:p>
        </w:tc>
        <w:tc>
          <w:tcPr>
            <w:tcW w:w="388" w:type="dxa"/>
            <w:noWrap/>
            <w:hideMark/>
          </w:tcPr>
          <w:p w14:paraId="789F04D1"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376C">
              <w:rPr>
                <w:rFonts w:cstheme="minorHAnsi"/>
                <w:sz w:val="16"/>
                <w:szCs w:val="16"/>
              </w:rPr>
              <w:t>–</w:t>
            </w:r>
          </w:p>
        </w:tc>
        <w:tc>
          <w:tcPr>
            <w:tcW w:w="388" w:type="dxa"/>
            <w:noWrap/>
            <w:hideMark/>
          </w:tcPr>
          <w:p w14:paraId="0788AB88"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376C">
              <w:rPr>
                <w:rFonts w:cstheme="minorHAnsi"/>
                <w:sz w:val="16"/>
                <w:szCs w:val="16"/>
              </w:rPr>
              <w:t>–</w:t>
            </w:r>
          </w:p>
        </w:tc>
        <w:tc>
          <w:tcPr>
            <w:tcW w:w="388" w:type="dxa"/>
            <w:noWrap/>
            <w:hideMark/>
          </w:tcPr>
          <w:p w14:paraId="21293F93"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376C">
              <w:rPr>
                <w:rFonts w:cstheme="minorHAnsi"/>
                <w:sz w:val="16"/>
                <w:szCs w:val="16"/>
              </w:rPr>
              <w:t>–</w:t>
            </w:r>
          </w:p>
        </w:tc>
        <w:tc>
          <w:tcPr>
            <w:tcW w:w="388" w:type="dxa"/>
            <w:noWrap/>
            <w:hideMark/>
          </w:tcPr>
          <w:p w14:paraId="4678A299"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376C">
              <w:rPr>
                <w:rFonts w:cstheme="minorHAnsi"/>
                <w:sz w:val="16"/>
                <w:szCs w:val="16"/>
              </w:rPr>
              <w:t>–</w:t>
            </w:r>
          </w:p>
        </w:tc>
        <w:tc>
          <w:tcPr>
            <w:tcW w:w="388" w:type="dxa"/>
            <w:noWrap/>
            <w:hideMark/>
          </w:tcPr>
          <w:p w14:paraId="1D02AA44"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376C">
              <w:rPr>
                <w:rFonts w:cstheme="minorHAnsi"/>
                <w:sz w:val="16"/>
                <w:szCs w:val="16"/>
              </w:rPr>
              <w:t>–</w:t>
            </w:r>
          </w:p>
        </w:tc>
        <w:tc>
          <w:tcPr>
            <w:tcW w:w="388" w:type="dxa"/>
            <w:noWrap/>
            <w:hideMark/>
          </w:tcPr>
          <w:p w14:paraId="0A4AAEA6"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376C">
              <w:rPr>
                <w:rFonts w:cstheme="minorHAnsi"/>
                <w:sz w:val="16"/>
                <w:szCs w:val="16"/>
              </w:rPr>
              <w:t>–</w:t>
            </w:r>
          </w:p>
        </w:tc>
        <w:tc>
          <w:tcPr>
            <w:tcW w:w="388" w:type="dxa"/>
            <w:noWrap/>
            <w:hideMark/>
          </w:tcPr>
          <w:p w14:paraId="6E1AD5C4"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376C">
              <w:rPr>
                <w:rFonts w:cstheme="minorHAnsi"/>
                <w:sz w:val="16"/>
                <w:szCs w:val="16"/>
              </w:rPr>
              <w:t>–</w:t>
            </w:r>
          </w:p>
        </w:tc>
        <w:tc>
          <w:tcPr>
            <w:tcW w:w="388" w:type="dxa"/>
            <w:noWrap/>
            <w:hideMark/>
          </w:tcPr>
          <w:p w14:paraId="1687BAA4"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376C">
              <w:rPr>
                <w:rFonts w:cstheme="minorHAnsi"/>
                <w:sz w:val="16"/>
                <w:szCs w:val="16"/>
              </w:rPr>
              <w:t>–</w:t>
            </w:r>
          </w:p>
        </w:tc>
        <w:tc>
          <w:tcPr>
            <w:tcW w:w="388" w:type="dxa"/>
            <w:noWrap/>
            <w:hideMark/>
          </w:tcPr>
          <w:p w14:paraId="700FD18F"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376C">
              <w:rPr>
                <w:rFonts w:cstheme="minorHAnsi"/>
                <w:sz w:val="16"/>
                <w:szCs w:val="16"/>
              </w:rPr>
              <w:t>–</w:t>
            </w:r>
          </w:p>
        </w:tc>
        <w:tc>
          <w:tcPr>
            <w:tcW w:w="388" w:type="dxa"/>
            <w:noWrap/>
            <w:hideMark/>
          </w:tcPr>
          <w:p w14:paraId="29E74CB1"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376C">
              <w:rPr>
                <w:rFonts w:cstheme="minorHAnsi"/>
                <w:sz w:val="16"/>
                <w:szCs w:val="16"/>
              </w:rPr>
              <w:t>–</w:t>
            </w:r>
          </w:p>
        </w:tc>
        <w:tc>
          <w:tcPr>
            <w:tcW w:w="388" w:type="dxa"/>
            <w:noWrap/>
            <w:hideMark/>
          </w:tcPr>
          <w:p w14:paraId="2975F1F4"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376C">
              <w:rPr>
                <w:rFonts w:cstheme="minorHAnsi"/>
                <w:sz w:val="16"/>
                <w:szCs w:val="16"/>
              </w:rPr>
              <w:t>–</w:t>
            </w:r>
          </w:p>
        </w:tc>
        <w:tc>
          <w:tcPr>
            <w:tcW w:w="384" w:type="dxa"/>
            <w:noWrap/>
            <w:hideMark/>
          </w:tcPr>
          <w:p w14:paraId="2CCFD457"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376C">
              <w:rPr>
                <w:rFonts w:cstheme="minorHAnsi"/>
                <w:sz w:val="16"/>
                <w:szCs w:val="16"/>
              </w:rPr>
              <w:t>–</w:t>
            </w:r>
          </w:p>
        </w:tc>
        <w:tc>
          <w:tcPr>
            <w:tcW w:w="384" w:type="dxa"/>
            <w:noWrap/>
            <w:hideMark/>
          </w:tcPr>
          <w:p w14:paraId="3C11D803"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E376C">
              <w:rPr>
                <w:rFonts w:cstheme="minorHAnsi"/>
                <w:sz w:val="16"/>
                <w:szCs w:val="16"/>
              </w:rPr>
              <w:t>–</w:t>
            </w:r>
          </w:p>
        </w:tc>
        <w:tc>
          <w:tcPr>
            <w:tcW w:w="384" w:type="dxa"/>
            <w:shd w:val="clear" w:color="auto" w:fill="B0DF9B" w:themeFill="accent4" w:themeFillTint="66"/>
            <w:noWrap/>
            <w:hideMark/>
          </w:tcPr>
          <w:p w14:paraId="1398ACBB" w14:textId="5C1D23DA" w:rsidR="00183E55" w:rsidRPr="00AC573C" w:rsidRDefault="00F92B92"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D</w:t>
            </w:r>
          </w:p>
        </w:tc>
        <w:tc>
          <w:tcPr>
            <w:tcW w:w="384" w:type="dxa"/>
            <w:noWrap/>
            <w:hideMark/>
          </w:tcPr>
          <w:p w14:paraId="632739E7"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w:t>
            </w:r>
          </w:p>
        </w:tc>
        <w:tc>
          <w:tcPr>
            <w:tcW w:w="384" w:type="dxa"/>
            <w:noWrap/>
            <w:hideMark/>
          </w:tcPr>
          <w:p w14:paraId="72E5470E"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12896">
              <w:rPr>
                <w:rFonts w:cstheme="minorHAnsi"/>
                <w:sz w:val="16"/>
                <w:szCs w:val="16"/>
              </w:rPr>
              <w:t>–</w:t>
            </w:r>
          </w:p>
        </w:tc>
        <w:tc>
          <w:tcPr>
            <w:tcW w:w="384" w:type="dxa"/>
            <w:noWrap/>
            <w:hideMark/>
          </w:tcPr>
          <w:p w14:paraId="60E3D2C1"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12896">
              <w:rPr>
                <w:rFonts w:cstheme="minorHAnsi"/>
                <w:sz w:val="16"/>
                <w:szCs w:val="16"/>
              </w:rPr>
              <w:t>–</w:t>
            </w:r>
          </w:p>
        </w:tc>
        <w:tc>
          <w:tcPr>
            <w:tcW w:w="384" w:type="dxa"/>
            <w:noWrap/>
            <w:hideMark/>
          </w:tcPr>
          <w:p w14:paraId="1F191AE5"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12896">
              <w:rPr>
                <w:rFonts w:cstheme="minorHAnsi"/>
                <w:sz w:val="16"/>
                <w:szCs w:val="16"/>
              </w:rPr>
              <w:t>–</w:t>
            </w:r>
          </w:p>
        </w:tc>
        <w:tc>
          <w:tcPr>
            <w:tcW w:w="384" w:type="dxa"/>
            <w:noWrap/>
            <w:hideMark/>
          </w:tcPr>
          <w:p w14:paraId="2129826F"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12896">
              <w:rPr>
                <w:rFonts w:cstheme="minorHAnsi"/>
                <w:sz w:val="16"/>
                <w:szCs w:val="16"/>
              </w:rPr>
              <w:t>–</w:t>
            </w:r>
          </w:p>
        </w:tc>
        <w:tc>
          <w:tcPr>
            <w:tcW w:w="384" w:type="dxa"/>
            <w:noWrap/>
            <w:hideMark/>
          </w:tcPr>
          <w:p w14:paraId="507D9B7D"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12896">
              <w:rPr>
                <w:rFonts w:cstheme="minorHAnsi"/>
                <w:sz w:val="16"/>
                <w:szCs w:val="16"/>
              </w:rPr>
              <w:t>–</w:t>
            </w:r>
          </w:p>
        </w:tc>
        <w:tc>
          <w:tcPr>
            <w:tcW w:w="384" w:type="dxa"/>
            <w:noWrap/>
            <w:hideMark/>
          </w:tcPr>
          <w:p w14:paraId="7DC2E8F7" w14:textId="77777777" w:rsidR="00183E55" w:rsidRPr="00AC573C" w:rsidRDefault="00183E55" w:rsidP="00B94692">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12896">
              <w:rPr>
                <w:rFonts w:cstheme="minorHAnsi"/>
                <w:sz w:val="16"/>
                <w:szCs w:val="16"/>
              </w:rPr>
              <w:t>–</w:t>
            </w:r>
          </w:p>
        </w:tc>
      </w:tr>
    </w:tbl>
    <w:p w14:paraId="25711250" w14:textId="77777777" w:rsidR="00183E55" w:rsidRPr="0009132C" w:rsidRDefault="00183E55" w:rsidP="00183E55"/>
    <w:p w14:paraId="586C4C9A" w14:textId="62387405" w:rsidR="00371054" w:rsidRPr="0009132C" w:rsidRDefault="00371054" w:rsidP="00BF73A5">
      <w:pPr>
        <w:sectPr w:rsidR="00371054" w:rsidRPr="0009132C" w:rsidSect="00744E1B">
          <w:headerReference w:type="first" r:id="rId18"/>
          <w:pgSz w:w="15840" w:h="12240" w:orient="landscape"/>
          <w:pgMar w:top="1152" w:right="1152" w:bottom="1152" w:left="1152" w:header="720" w:footer="576" w:gutter="0"/>
          <w:cols w:space="720"/>
          <w:docGrid w:linePitch="360"/>
        </w:sectPr>
      </w:pPr>
    </w:p>
    <w:p w14:paraId="39392CFD" w14:textId="5E1A287F" w:rsidR="003E3CCA" w:rsidRPr="003E3CCA" w:rsidRDefault="1AE95A66" w:rsidP="003E3CCA">
      <w:pPr>
        <w:pStyle w:val="Heading1"/>
      </w:pPr>
      <w:bookmarkStart w:id="42" w:name="_Coverage_and_Eligibility"/>
      <w:bookmarkStart w:id="43" w:name="_Toc132114146"/>
      <w:bookmarkStart w:id="44" w:name="_Ref142920685"/>
      <w:bookmarkStart w:id="45" w:name="_Ref142920692"/>
      <w:bookmarkStart w:id="46" w:name="_Ref142921062"/>
      <w:bookmarkStart w:id="47" w:name="_Toc151976412"/>
      <w:bookmarkStart w:id="48" w:name="_Toc129619742"/>
      <w:bookmarkStart w:id="49" w:name="_Toc130209701"/>
      <w:bookmarkEnd w:id="42"/>
      <w:r>
        <w:lastRenderedPageBreak/>
        <w:t>Coverage and Eligibility</w:t>
      </w:r>
      <w:bookmarkEnd w:id="43"/>
      <w:bookmarkEnd w:id="44"/>
      <w:bookmarkEnd w:id="45"/>
      <w:bookmarkEnd w:id="46"/>
      <w:bookmarkEnd w:id="47"/>
    </w:p>
    <w:bookmarkEnd w:id="48"/>
    <w:bookmarkEnd w:id="49"/>
    <w:p w14:paraId="11E16338" w14:textId="68F312E1" w:rsidR="00BF2B7F" w:rsidRPr="0009132C" w:rsidRDefault="00BF2B7F" w:rsidP="004455E2">
      <w:pPr>
        <w:pStyle w:val="Heading2"/>
      </w:pPr>
      <w:r w:rsidRPr="0009132C">
        <w:t xml:space="preserve"> </w:t>
      </w:r>
      <w:bookmarkStart w:id="50" w:name="_Toc130209702"/>
      <w:bookmarkStart w:id="51" w:name="_Toc151976413"/>
      <w:r w:rsidRPr="0009132C">
        <w:t>Overview of Coverage &amp; Eligibility (C&amp;E) Policy Domain</w:t>
      </w:r>
      <w:bookmarkEnd w:id="50"/>
      <w:bookmarkEnd w:id="51"/>
    </w:p>
    <w:p w14:paraId="0EA81DE2" w14:textId="51F2BF06" w:rsidR="00BF2B7F" w:rsidRPr="0009132C" w:rsidRDefault="00BF2B7F" w:rsidP="007E72C7">
      <w:r w:rsidRPr="0009132C">
        <w:t>Massachusetts continues to lead the nation with near-universal health insurance coverage. Only 2.4 percent of residents in the Commonwealth were uninsured in 2021, well below the national rate of 9.2 percent.</w:t>
      </w:r>
      <w:r w:rsidRPr="0009132C">
        <w:rPr>
          <w:rStyle w:val="FootnoteReference"/>
          <w:rFonts w:eastAsia="Arial"/>
        </w:rPr>
        <w:footnoteReference w:id="6"/>
      </w:r>
      <w:r w:rsidRPr="0009132C">
        <w:t xml:space="preserve"> During the COVID-19 Public Health Emergency (PHE) period, Medicaid enrollment peaked because MassHealth implemented the continuous coverage provision of the Families First Coronavirus Response Act (FFCRA) to allow individuals not to lose coverage or have a decrease in benefits during this period except for special circumstances.</w:t>
      </w:r>
      <w:r w:rsidRPr="0009132C">
        <w:rPr>
          <w:rStyle w:val="FootnoteReference"/>
          <w:rFonts w:eastAsia="Arial"/>
        </w:rPr>
        <w:footnoteReference w:id="7"/>
      </w:r>
      <w:r w:rsidRPr="0009132C">
        <w:t xml:space="preserve"> </w:t>
      </w:r>
    </w:p>
    <w:p w14:paraId="628F25F7" w14:textId="77777777" w:rsidR="00BF2B7F" w:rsidRPr="0009132C" w:rsidRDefault="00BF2B7F" w:rsidP="00EE4105">
      <w:pPr>
        <w:pStyle w:val="Heading3"/>
      </w:pPr>
      <w:r w:rsidRPr="0009132C">
        <w:t xml:space="preserve">Policy Domain Goals </w:t>
      </w:r>
    </w:p>
    <w:p w14:paraId="28B05DC8" w14:textId="157EBEF4" w:rsidR="00BF2B7F" w:rsidRPr="0009132C" w:rsidRDefault="00BF2B7F" w:rsidP="007E72C7">
      <w:r w:rsidRPr="0009132C">
        <w:t>With the 2022-2027</w:t>
      </w:r>
      <w:r w:rsidR="002F6EC5">
        <w:t xml:space="preserve"> </w:t>
      </w:r>
      <w:r w:rsidRPr="0009132C">
        <w:t>Demonstration, the Commonwealth seeks to continue programs begun under previous Demonstrations as well as implement new ones with the goals of (1) Increasing insurance coverage and access; (2) Improving health outcomes; and (3) Maintaining the sustainability of Medicaid resources.</w:t>
      </w:r>
    </w:p>
    <w:p w14:paraId="110A8E76" w14:textId="77777777" w:rsidR="00BF2B7F" w:rsidRPr="0009132C" w:rsidRDefault="00BF2B7F" w:rsidP="00EE4105">
      <w:pPr>
        <w:pStyle w:val="Heading3"/>
      </w:pPr>
      <w:r w:rsidRPr="0009132C">
        <w:t>C&amp;E Policy Domain Components and Desired Outcomes</w:t>
      </w:r>
    </w:p>
    <w:p w14:paraId="5D07FF4F" w14:textId="18945733" w:rsidR="00BF2B7F" w:rsidRPr="0009132C" w:rsidRDefault="00BF2B7F" w:rsidP="007E72C7">
      <w:r w:rsidRPr="0009132C">
        <w:t xml:space="preserve">The policy components center on continuous eligibility (CE) policies (to cover individuals for a longer period), policies to cover more populations, premium assistance and cost-sharing policies, and </w:t>
      </w:r>
      <w:r w:rsidR="3500ABB7" w:rsidRPr="0009132C">
        <w:t>w</w:t>
      </w:r>
      <w:r w:rsidRPr="0009132C">
        <w:t>aiver of retroactive eligibility (RE) policies, alongside several continuing policies from the prior Demonstration period.</w:t>
      </w:r>
    </w:p>
    <w:p w14:paraId="16DA6D9E" w14:textId="77777777" w:rsidR="00BF2B7F" w:rsidRPr="0009132C" w:rsidRDefault="00BF2B7F" w:rsidP="00301DAB">
      <w:pPr>
        <w:pStyle w:val="Heading4"/>
      </w:pPr>
      <w:r w:rsidRPr="0009132C">
        <w:t>Continuous</w:t>
      </w:r>
      <w:r w:rsidRPr="0009132C" w:rsidDel="003623E9">
        <w:t xml:space="preserve"> </w:t>
      </w:r>
      <w:r w:rsidRPr="0009132C">
        <w:t>Eligibility (CE) Policies</w:t>
      </w:r>
    </w:p>
    <w:p w14:paraId="7DD0D30C" w14:textId="7C6D9D7F" w:rsidR="005548C9" w:rsidRPr="001D6890" w:rsidRDefault="00BF2B7F" w:rsidP="001E6217">
      <w:pPr>
        <w:pStyle w:val="Heading5"/>
      </w:pPr>
      <w:r w:rsidRPr="0009132C">
        <w:rPr>
          <w:rFonts w:eastAsia="Arial"/>
        </w:rPr>
        <w:t xml:space="preserve">Coverage for a </w:t>
      </w:r>
      <w:r w:rsidR="002D54A1">
        <w:rPr>
          <w:rFonts w:eastAsia="Arial"/>
        </w:rPr>
        <w:t>L</w:t>
      </w:r>
      <w:r w:rsidRPr="0009132C">
        <w:rPr>
          <w:rFonts w:eastAsia="Arial"/>
        </w:rPr>
        <w:t xml:space="preserve">onger </w:t>
      </w:r>
      <w:r w:rsidR="002D54A1">
        <w:rPr>
          <w:rFonts w:eastAsia="Arial"/>
        </w:rPr>
        <w:t>P</w:t>
      </w:r>
      <w:r w:rsidRPr="0009132C">
        <w:rPr>
          <w:rFonts w:eastAsia="Arial"/>
        </w:rPr>
        <w:t>eriod</w:t>
      </w:r>
    </w:p>
    <w:p w14:paraId="649AF82D" w14:textId="72A9C9D9" w:rsidR="00BF2B7F" w:rsidRPr="0009132C" w:rsidRDefault="5C8A0780" w:rsidP="003C6C8F">
      <w:r w:rsidRPr="0009132C">
        <w:t xml:space="preserve">MassHealth will introduce new CE programs for justice-involved individuals and those experiencing homelessness that will limit churn (defined as the temporary loss of coverage in which beneficiaries are disenrolled from and reenrolled in MassHealth within 12 months) and reduce verification procedures to once every 12 months. Special Terms and Conditions (STCs) 4.11 and STC </w:t>
      </w:r>
      <w:r w:rsidRPr="005C6F92">
        <w:t>Attachment O</w:t>
      </w:r>
      <w:r w:rsidR="00BF2B7F" w:rsidRPr="0009132C">
        <w:rPr>
          <w:rStyle w:val="FootnoteReference"/>
          <w:rFonts w:eastAsia="Arial"/>
        </w:rPr>
        <w:footnoteReference w:id="8"/>
      </w:r>
      <w:r w:rsidRPr="0009132C">
        <w:t xml:space="preserve"> (the CE Implementation Plan) describe the requirements for annual verification and beneficiary contact information updates for these two populations. </w:t>
      </w:r>
    </w:p>
    <w:p w14:paraId="4913CCC6" w14:textId="642B2DE2" w:rsidR="00BF2B7F" w:rsidRPr="0009132C" w:rsidRDefault="00BF2B7F" w:rsidP="003C6C8F">
      <w:pPr>
        <w:rPr>
          <w:b/>
          <w:bCs/>
          <w:i/>
          <w:iCs/>
        </w:rPr>
      </w:pPr>
      <w:r w:rsidRPr="0009132C">
        <w:t xml:space="preserve">Beginning in April 2023, justice-involved individuals who are Medicaid eligible and under 65 years of age will be continuously eligible for coverage during the 12 months following their release from correctional settings, regardless of income or other changes that would affect eligibility. Individuals who are experiencing homelessness, qualify for Medicaid, are under 65 years of age, and have a confirmed status of homelessness for at least six months will be continuously eligible for coverage for 24 months, regardless </w:t>
      </w:r>
      <w:r w:rsidRPr="0009132C">
        <w:lastRenderedPageBreak/>
        <w:t xml:space="preserve">of income or other changes that would affect eligibility. Further details about both programs are available in STC 4.10. </w:t>
      </w:r>
    </w:p>
    <w:p w14:paraId="22524EFC" w14:textId="26CD22FD" w:rsidR="006E3611" w:rsidRPr="0009132C" w:rsidRDefault="00BF2B7F" w:rsidP="003C6C8F">
      <w:pPr>
        <w:pStyle w:val="Heading5"/>
      </w:pPr>
      <w:r w:rsidRPr="0009132C">
        <w:t xml:space="preserve">Coverage of </w:t>
      </w:r>
      <w:r w:rsidR="002D54A1">
        <w:t>M</w:t>
      </w:r>
      <w:r w:rsidRPr="0009132C">
        <w:t xml:space="preserve">ore </w:t>
      </w:r>
      <w:r w:rsidR="002D54A1">
        <w:t>P</w:t>
      </w:r>
      <w:r w:rsidRPr="0009132C">
        <w:t>opulations</w:t>
      </w:r>
    </w:p>
    <w:p w14:paraId="17A39735" w14:textId="42B17FB0" w:rsidR="00BF2B7F" w:rsidRPr="0009132C" w:rsidRDefault="00BF2B7F" w:rsidP="007E72C7">
      <w:r w:rsidRPr="0009132C">
        <w:t>To maintain near-universal health insurance coverage and improve insurance access, MassHealth will continue or expand coverage eligibility to several populations through three programs. First, MassHealth will continue the CommonHealth program with two modifications in this Demonstration period. Qualifying non-working adults (19-64</w:t>
      </w:r>
      <w:r w:rsidR="000310D4">
        <w:t xml:space="preserve"> years of age</w:t>
      </w:r>
      <w:r w:rsidRPr="0009132C">
        <w:t>) with total and permanent disabilities will no longer be required to pay a one-time deductible.</w:t>
      </w:r>
      <w:r w:rsidRPr="0009132C">
        <w:rPr>
          <w:rStyle w:val="FootnoteReference"/>
          <w:rFonts w:eastAsia="Arial"/>
        </w:rPr>
        <w:footnoteReference w:id="9"/>
      </w:r>
      <w:r w:rsidRPr="0009132C">
        <w:t xml:space="preserve"> Additionally, disabled adults over 65 </w:t>
      </w:r>
      <w:r w:rsidR="00864F24">
        <w:t xml:space="preserve">years of age </w:t>
      </w:r>
      <w:r w:rsidRPr="0009132C">
        <w:t xml:space="preserve">who have had CommonHealth for </w:t>
      </w:r>
      <w:r w:rsidR="00864F24">
        <w:t>10</w:t>
      </w:r>
      <w:r w:rsidR="00864F24" w:rsidRPr="0009132C">
        <w:t xml:space="preserve"> </w:t>
      </w:r>
      <w:r w:rsidRPr="0009132C">
        <w:t>or more years will retain coverage regardless of their work status.</w:t>
      </w:r>
      <w:r w:rsidR="00A675FB">
        <w:rPr>
          <w:vertAlign w:val="superscript"/>
        </w:rPr>
        <w:t>8</w:t>
      </w:r>
    </w:p>
    <w:p w14:paraId="79EC8678" w14:textId="1EB279EB" w:rsidR="00BF2B7F" w:rsidRPr="0009132C" w:rsidRDefault="00BF2B7F" w:rsidP="007E72C7">
      <w:r w:rsidRPr="0009132C">
        <w:t xml:space="preserve">MassHealth will continue the Breast and Cervical Cancer Demonstration Program (BCCDP), whereby individuals are determined financially eligible if they have income between 133.1 percent and 250 percent </w:t>
      </w:r>
      <w:r w:rsidR="00F12573" w:rsidRPr="0009132C">
        <w:t>of the Federal Poverty Level (FPL)</w:t>
      </w:r>
      <w:r w:rsidRPr="0009132C">
        <w:t>. Eligibility may be determined by qualified hospitals’ data</w:t>
      </w:r>
      <w:r w:rsidR="00F31D7D" w:rsidRPr="0009132C">
        <w:t>,</w:t>
      </w:r>
      <w:r w:rsidRPr="0009132C">
        <w:rPr>
          <w:rStyle w:val="FootnoteReference"/>
          <w:rFonts w:eastAsia="Arial"/>
        </w:rPr>
        <w:footnoteReference w:id="10"/>
      </w:r>
      <w:r w:rsidR="00F31D7D" w:rsidRPr="0009132C">
        <w:t xml:space="preserve"> </w:t>
      </w:r>
      <w:r w:rsidRPr="0009132C">
        <w:t>data hub verification</w:t>
      </w:r>
      <w:r w:rsidR="00A56E08" w:rsidRPr="0009132C">
        <w:t>,</w:t>
      </w:r>
      <w:r w:rsidRPr="0009132C">
        <w:rPr>
          <w:rStyle w:val="FootnoteReference"/>
          <w:rFonts w:eastAsia="Arial"/>
        </w:rPr>
        <w:footnoteReference w:id="11"/>
      </w:r>
      <w:r w:rsidRPr="0009132C">
        <w:t xml:space="preserve"> or self-attestation.</w:t>
      </w:r>
      <w:r w:rsidR="00A675FB">
        <w:rPr>
          <w:vertAlign w:val="superscript"/>
        </w:rPr>
        <w:t>10</w:t>
      </w:r>
      <w:r w:rsidRPr="0009132C">
        <w:t xml:space="preserve"> </w:t>
      </w:r>
    </w:p>
    <w:p w14:paraId="01EFAEF8" w14:textId="3596F825" w:rsidR="00BF2B7F" w:rsidRPr="0009132C" w:rsidRDefault="00BF2B7F" w:rsidP="007E72C7">
      <w:r w:rsidRPr="0009132C">
        <w:t xml:space="preserve">Family </w:t>
      </w:r>
      <w:r w:rsidR="00215F03">
        <w:t>a</w:t>
      </w:r>
      <w:r w:rsidR="00215F03" w:rsidRPr="0009132C">
        <w:t xml:space="preserve">ssistance </w:t>
      </w:r>
      <w:r w:rsidRPr="0009132C">
        <w:t>programs for children (non-disabled children with incomes between 150 percent and 300 percent of the FPL who are insured at application) and people with HIV/AIDS</w:t>
      </w:r>
      <w:r w:rsidRPr="0009132C">
        <w:rPr>
          <w:rStyle w:val="FootnoteReference"/>
          <w:rFonts w:eastAsia="Arial"/>
        </w:rPr>
        <w:footnoteReference w:id="12"/>
      </w:r>
      <w:r w:rsidRPr="0009132C">
        <w:t xml:space="preserve"> (individuals with HIV not otherwise eligible with income between 133 percent and 200 percent of the FPL) will continue in this Demonstration.</w:t>
      </w:r>
      <w:r w:rsidRPr="0009132C">
        <w:rPr>
          <w:rStyle w:val="FootnoteReference"/>
          <w:rFonts w:eastAsia="Arial"/>
        </w:rPr>
        <w:footnoteReference w:id="13"/>
      </w:r>
    </w:p>
    <w:p w14:paraId="63181FDB" w14:textId="77777777" w:rsidR="00BF2B7F" w:rsidRPr="0009132C" w:rsidRDefault="00BF2B7F" w:rsidP="007E72C7">
      <w:r w:rsidRPr="0009132C">
        <w:t xml:space="preserve">In addition, the expansion of the Medicare Savings Program (MSP) has increased the income limit for MSP benefits (i.e., Medicare Part B premium) without an asset test to MassHealth Standard members of any age with income up to 165 percent </w:t>
      </w:r>
      <w:r w:rsidR="3BBFA23F" w:rsidRPr="0009132C">
        <w:t xml:space="preserve">of the </w:t>
      </w:r>
      <w:r w:rsidRPr="0009132C">
        <w:t>FPL.</w:t>
      </w:r>
      <w:r w:rsidRPr="0009132C">
        <w:rPr>
          <w:rStyle w:val="FootnoteReference"/>
          <w:rFonts w:eastAsia="Arial"/>
        </w:rPr>
        <w:footnoteReference w:id="14"/>
      </w:r>
      <w:r w:rsidRPr="0009132C">
        <w:t xml:space="preserve"> This policy was approved on August 11, 2022, as part of the amendment to the 2017-2022</w:t>
      </w:r>
      <w:bookmarkStart w:id="52" w:name="_Hlk129267235"/>
      <w:r w:rsidRPr="0009132C">
        <w:t xml:space="preserve"> Demonstration</w:t>
      </w:r>
      <w:bookmarkEnd w:id="52"/>
      <w:r w:rsidRPr="0009132C">
        <w:t xml:space="preserve">, effective on September 1, 2022; the policy continues through the current Demonstration. </w:t>
      </w:r>
    </w:p>
    <w:p w14:paraId="2F8B0481" w14:textId="590073FD" w:rsidR="00BF2B7F" w:rsidRPr="0009132C" w:rsidRDefault="00BF2B7F" w:rsidP="00301DAB">
      <w:pPr>
        <w:pStyle w:val="Heading4"/>
      </w:pPr>
      <w:r w:rsidRPr="0009132C">
        <w:t xml:space="preserve">Premium Assistance and </w:t>
      </w:r>
      <w:r w:rsidR="00AA0742" w:rsidRPr="0009132C">
        <w:t>Cost</w:t>
      </w:r>
      <w:r w:rsidR="00AA0742">
        <w:t>-</w:t>
      </w:r>
      <w:r w:rsidRPr="0009132C">
        <w:t xml:space="preserve">Sharing Policies </w:t>
      </w:r>
    </w:p>
    <w:p w14:paraId="2E9B8701" w14:textId="652719F5" w:rsidR="00BF2B7F" w:rsidRPr="0009132C" w:rsidRDefault="00BF2B7F" w:rsidP="003C6C8F">
      <w:r w:rsidRPr="0009132C">
        <w:t xml:space="preserve">MassHealth is committed to providing flexibility in coverage access by providing premium assistance, </w:t>
      </w:r>
      <w:r w:rsidR="00EE632C" w:rsidRPr="0009132C">
        <w:t>cost</w:t>
      </w:r>
      <w:r w:rsidR="00EE632C">
        <w:t>-</w:t>
      </w:r>
      <w:r w:rsidRPr="0009132C">
        <w:t xml:space="preserve">sharing, and marketplace subsidies, as described in STC 8.12 Premium Assistance, STC 9 </w:t>
      </w:r>
      <w:r w:rsidR="00AA0742" w:rsidRPr="0009132C">
        <w:t>Cost</w:t>
      </w:r>
      <w:r w:rsidR="00AA0742">
        <w:t>-</w:t>
      </w:r>
      <w:r w:rsidRPr="0009132C">
        <w:t>Sharing, and STC 10 Marketplace Subsidies. These programs are described below.</w:t>
      </w:r>
    </w:p>
    <w:p w14:paraId="7E486D13" w14:textId="14C57A61" w:rsidR="00BF2B7F" w:rsidRPr="0009132C" w:rsidRDefault="2AE42FF3" w:rsidP="003C6C8F">
      <w:r w:rsidRPr="0009132C">
        <w:t>As set forth in</w:t>
      </w:r>
      <w:r w:rsidR="00BF2B7F" w:rsidRPr="0009132C">
        <w:t xml:space="preserve"> STC 8.12, all MassHealth-eligible individuals in Standard, CarePlus, Family Assistance, or CommonHealth may receive Premium Assistance to support </w:t>
      </w:r>
      <w:r w:rsidR="00BF2B7F" w:rsidRPr="0009132C">
        <w:lastRenderedPageBreak/>
        <w:t>enrollment in cost-effective private insurance such as employer-sponsored insurance (ESI) that meets the basic benefit level (BBL). MassHealth will provide wraparound services to ensure these individuals receive no less coverage than they should have through their MassHealth coverage type.</w:t>
      </w:r>
    </w:p>
    <w:p w14:paraId="3B11D68F" w14:textId="4EC2D3B7" w:rsidR="00BF2B7F" w:rsidRPr="0009132C" w:rsidRDefault="00BF2B7F" w:rsidP="003C6C8F">
      <w:r w:rsidRPr="0009132C">
        <w:t xml:space="preserve">Under MassHealth’s </w:t>
      </w:r>
      <w:r w:rsidR="00EE632C" w:rsidRPr="0009132C">
        <w:t>cost</w:t>
      </w:r>
      <w:r w:rsidR="00EE632C">
        <w:t>-</w:t>
      </w:r>
      <w:r w:rsidRPr="0009132C">
        <w:t>sharing policy (STC 9),</w:t>
      </w:r>
      <w:r w:rsidRPr="0009132C" w:rsidDel="00B54A0C">
        <w:t xml:space="preserve"> </w:t>
      </w:r>
      <w:r w:rsidRPr="0009132C">
        <w:t xml:space="preserve">specific populations, including children under 21 years of age, pregnant individuals, Native American/Alaska Native members, and individuals with income under 50 percent </w:t>
      </w:r>
      <w:r w:rsidR="1BC4B8C2" w:rsidRPr="0009132C">
        <w:t xml:space="preserve">of the </w:t>
      </w:r>
      <w:r w:rsidRPr="0009132C">
        <w:t xml:space="preserve">FPL, will not be charged co-pays. Additionally, individuals whose gross income is less than 150 percent of the FPL and Native American/Alaska Native members will not be charged premiums. Attachment C details the “full description of </w:t>
      </w:r>
      <w:r w:rsidR="00EE632C" w:rsidRPr="0009132C">
        <w:t>cost</w:t>
      </w:r>
      <w:r w:rsidR="00EE632C">
        <w:t>-</w:t>
      </w:r>
      <w:r w:rsidRPr="0009132C">
        <w:t>sharing and premiums under the Demonstrations for MassHealth-administered programs” of STC 9.1.</w:t>
      </w:r>
      <w:r w:rsidRPr="0009132C">
        <w:rPr>
          <w:rStyle w:val="FootnoteReference"/>
          <w:rFonts w:eastAsia="Arial"/>
        </w:rPr>
        <w:footnoteReference w:id="15"/>
      </w:r>
    </w:p>
    <w:p w14:paraId="3660F7A1" w14:textId="1DADB00F" w:rsidR="00BF2B7F" w:rsidRPr="0009132C" w:rsidRDefault="00BF2B7F" w:rsidP="003C6C8F">
      <w:r w:rsidRPr="0009132C">
        <w:t xml:space="preserve">Under STC 10, the Commonwealth will provide Marketplace premium and </w:t>
      </w:r>
      <w:r w:rsidR="00EE632C" w:rsidRPr="0009132C">
        <w:t>cost</w:t>
      </w:r>
      <w:r w:rsidR="00EE632C">
        <w:t>-</w:t>
      </w:r>
      <w:r w:rsidRPr="0009132C">
        <w:t>sharing subsidies for individuals who purchase health insurance through the Health Connector’s ConnectorCare program. Eligible individuals are those who (1) are not Medicaid or Children’s Health Insurance (CHIP) eligible; (2) have income at or below 300 percent of the FPL; and (3) are eligible for coverage with an Advanced Premium Tax Credit (APTC). Gap coverage for ConnectorCare is supported through the state-operated Health Safety Net (HSN) program. Annual reporting must include the number of individuals served, the size of the subsidies, and a comparison of projected and actual costs.</w:t>
      </w:r>
      <w:r w:rsidRPr="0009132C">
        <w:rPr>
          <w:rStyle w:val="FootnoteReference"/>
          <w:rFonts w:eastAsia="Arial"/>
        </w:rPr>
        <w:footnoteReference w:id="16"/>
      </w:r>
    </w:p>
    <w:p w14:paraId="4108A07F" w14:textId="77777777" w:rsidR="00BF2B7F" w:rsidRPr="0009132C" w:rsidRDefault="00BF2B7F" w:rsidP="00301DAB">
      <w:pPr>
        <w:pStyle w:val="Heading4"/>
      </w:pPr>
      <w:r w:rsidRPr="0009132C">
        <w:t>Waiver of Retroactive Eligibility (RE) Policies</w:t>
      </w:r>
    </w:p>
    <w:p w14:paraId="03020D25" w14:textId="79CDB5E2" w:rsidR="00BF2B7F" w:rsidRPr="0009132C" w:rsidRDefault="00BF2B7F" w:rsidP="003C6C8F">
      <w:pPr>
        <w:rPr>
          <w:b/>
          <w:bCs/>
        </w:rPr>
      </w:pPr>
      <w:r w:rsidRPr="0009132C">
        <w:rPr>
          <w:rFonts w:eastAsia="Arial"/>
        </w:rPr>
        <w:t xml:space="preserve">In the 2022-2027 Demonstration period, MassHealth will </w:t>
      </w:r>
      <w:r w:rsidRPr="0009132C">
        <w:t>continue to use the RE Waiver, allowing a period of 10 days of RE prior to the date of application for most individuals. However, individuals who are under 19 years of age or pregnant will instead be eligible for a RE period of 90 days prior to the date of application</w:t>
      </w:r>
      <w:r w:rsidRPr="0009132C">
        <w:rPr>
          <w:rFonts w:eastAsia="Arial"/>
        </w:rPr>
        <w:t>.</w:t>
      </w:r>
      <w:r w:rsidRPr="0009132C">
        <w:rPr>
          <w:rStyle w:val="FootnoteReference"/>
          <w:rFonts w:eastAsia="Arial"/>
        </w:rPr>
        <w:footnoteReference w:id="17"/>
      </w:r>
    </w:p>
    <w:p w14:paraId="1E8ACCFF" w14:textId="2EC87E0D" w:rsidR="0089245F" w:rsidRPr="0009132C" w:rsidRDefault="00DD7997" w:rsidP="00301DAB">
      <w:pPr>
        <w:pStyle w:val="Heading4"/>
      </w:pPr>
      <w:r w:rsidRPr="0009132C">
        <w:t xml:space="preserve">Additional Policies </w:t>
      </w:r>
      <w:r w:rsidR="00522147" w:rsidRPr="0009132C">
        <w:t>Recommended for Evaluation by CMS</w:t>
      </w:r>
    </w:p>
    <w:p w14:paraId="385F4DE0" w14:textId="4232E46D" w:rsidR="00BF2B7F" w:rsidRPr="0009132C" w:rsidRDefault="00BF2B7F" w:rsidP="007E72C7">
      <w:pPr>
        <w:rPr>
          <w:b/>
          <w:bCs/>
        </w:rPr>
      </w:pPr>
      <w:r w:rsidRPr="0009132C">
        <w:t>In addition to the C&amp;E policies described above, the Centers for Medicare and Medicaid Services (CMS) recommends evaluating four policies</w:t>
      </w:r>
      <w:r w:rsidR="002A507B">
        <w:t xml:space="preserve">: </w:t>
      </w:r>
      <w:r w:rsidR="00120E3C">
        <w:t xml:space="preserve">(1) </w:t>
      </w:r>
      <w:r w:rsidR="002A507B">
        <w:t>streamlined eligib</w:t>
      </w:r>
      <w:r w:rsidR="00E76A23">
        <w:t>i</w:t>
      </w:r>
      <w:r w:rsidR="002A507B">
        <w:t>l</w:t>
      </w:r>
      <w:r w:rsidR="005B0409">
        <w:t>i</w:t>
      </w:r>
      <w:r w:rsidR="002A507B">
        <w:t xml:space="preserve">ty determination, </w:t>
      </w:r>
      <w:r w:rsidR="00120E3C">
        <w:t xml:space="preserve">(2) </w:t>
      </w:r>
      <w:r w:rsidR="002A507B">
        <w:t>waiver of early and periodic screening, diagnos</w:t>
      </w:r>
      <w:r w:rsidR="008F3C5D">
        <w:t>tic, and treatment services,</w:t>
      </w:r>
      <w:r w:rsidR="00096277" w:rsidRPr="00096277">
        <w:t xml:space="preserve"> </w:t>
      </w:r>
      <w:r w:rsidR="00120E3C">
        <w:t xml:space="preserve">(3) </w:t>
      </w:r>
      <w:r w:rsidR="00096277">
        <w:t>provisional coverage for individuals who self-attest to eligibility,</w:t>
      </w:r>
      <w:r w:rsidR="008F3C5D">
        <w:t xml:space="preserve"> and </w:t>
      </w:r>
      <w:r w:rsidR="00120E3C">
        <w:t xml:space="preserve">(4) </w:t>
      </w:r>
      <w:r w:rsidR="008F3C5D">
        <w:t xml:space="preserve">extended eligibility for out-of-state former foster care </w:t>
      </w:r>
      <w:r w:rsidR="00096277">
        <w:t xml:space="preserve">youth residing in Massachusetts. </w:t>
      </w:r>
      <w:r w:rsidRPr="0009132C">
        <w:t>T</w:t>
      </w:r>
      <w:r w:rsidR="002F6EC5">
        <w:t>he latter t</w:t>
      </w:r>
      <w:r w:rsidR="00322A5D">
        <w:t>wo</w:t>
      </w:r>
      <w:r w:rsidRPr="0009132C">
        <w:t xml:space="preserve"> policies </w:t>
      </w:r>
      <w:r w:rsidR="00322A5D">
        <w:t xml:space="preserve">were </w:t>
      </w:r>
      <w:r w:rsidR="00120E3C">
        <w:t xml:space="preserve">ongoing and </w:t>
      </w:r>
      <w:r w:rsidR="00322A5D">
        <w:t>included in the 2017-2022</w:t>
      </w:r>
      <w:r w:rsidRPr="0009132C">
        <w:t xml:space="preserve"> Demonstration</w:t>
      </w:r>
      <w:r w:rsidR="00322A5D">
        <w:t xml:space="preserve"> evaluation</w:t>
      </w:r>
      <w:r w:rsidR="001C06B5">
        <w:t>. Reevaluatin</w:t>
      </w:r>
      <w:r w:rsidR="0078481C">
        <w:t>g</w:t>
      </w:r>
      <w:r w:rsidR="001C06B5">
        <w:t xml:space="preserve"> them </w:t>
      </w:r>
      <w:r w:rsidR="0078481C">
        <w:t>is not expected to</w:t>
      </w:r>
      <w:r w:rsidR="001C06B5">
        <w:t xml:space="preserve"> generate </w:t>
      </w:r>
      <w:r w:rsidR="0078481C">
        <w:t>substantial</w:t>
      </w:r>
      <w:r w:rsidR="001C06B5">
        <w:t xml:space="preserve"> new information</w:t>
      </w:r>
      <w:r w:rsidR="0078481C">
        <w:t>,</w:t>
      </w:r>
      <w:r w:rsidR="001C06B5">
        <w:t xml:space="preserve"> so</w:t>
      </w:r>
      <w:r w:rsidR="0078481C">
        <w:t xml:space="preserve"> we</w:t>
      </w:r>
      <w:r w:rsidR="001C06B5">
        <w:t xml:space="preserve"> </w:t>
      </w:r>
      <w:r w:rsidR="00322A5D">
        <w:t xml:space="preserve">do not </w:t>
      </w:r>
      <w:r w:rsidR="00120E3C">
        <w:t xml:space="preserve">plan to </w:t>
      </w:r>
      <w:r w:rsidR="001C06B5">
        <w:t>do so</w:t>
      </w:r>
      <w:r w:rsidR="00120E3C">
        <w:t>. Below are the description</w:t>
      </w:r>
      <w:r w:rsidR="005B0409">
        <w:t>s</w:t>
      </w:r>
      <w:r w:rsidR="00120E3C">
        <w:t xml:space="preserve"> of the </w:t>
      </w:r>
      <w:r w:rsidR="002F6EC5">
        <w:t>first</w:t>
      </w:r>
      <w:r w:rsidR="00120E3C">
        <w:t xml:space="preserve"> two policies.</w:t>
      </w:r>
    </w:p>
    <w:p w14:paraId="2763FA13" w14:textId="19C5CBB4" w:rsidR="006E3611" w:rsidRPr="0009132C" w:rsidRDefault="00BF2B7F" w:rsidP="003C6C8F">
      <w:pPr>
        <w:pStyle w:val="Heading5"/>
      </w:pPr>
      <w:r w:rsidRPr="0009132C">
        <w:t xml:space="preserve">Streamlined </w:t>
      </w:r>
      <w:r w:rsidR="006B790B" w:rsidRPr="0009132C">
        <w:t>E</w:t>
      </w:r>
      <w:r w:rsidRPr="0009132C">
        <w:t xml:space="preserve">ligibility </w:t>
      </w:r>
      <w:r w:rsidR="006B790B" w:rsidRPr="0009132C">
        <w:t>R</w:t>
      </w:r>
      <w:r w:rsidRPr="0009132C">
        <w:t>edetermination</w:t>
      </w:r>
    </w:p>
    <w:p w14:paraId="3B3B5AB1" w14:textId="67549F35" w:rsidR="00BF2B7F" w:rsidRPr="0009132C" w:rsidRDefault="05791A3D" w:rsidP="003C6C8F">
      <w:r>
        <w:t xml:space="preserve">There is a </w:t>
      </w:r>
      <w:r w:rsidR="00BF2B7F" w:rsidDel="05791A3D">
        <w:t xml:space="preserve"> </w:t>
      </w:r>
      <w:r>
        <w:t xml:space="preserve">streamlined eligibility redetermination process in this Demonstration whereby </w:t>
      </w:r>
      <w:r w:rsidR="3CA1DBCA">
        <w:t xml:space="preserve">certain </w:t>
      </w:r>
      <w:r>
        <w:t xml:space="preserve">members who have not had changes in circumstances are not required to </w:t>
      </w:r>
      <w:r>
        <w:lastRenderedPageBreak/>
        <w:t>submit an annual eligibility form but instead attest to their eligibility. This policy applies to the following groups:</w:t>
      </w:r>
    </w:p>
    <w:p w14:paraId="6F131A9B" w14:textId="501F6E1E" w:rsidR="00BF2B7F" w:rsidRPr="0009132C" w:rsidRDefault="00BF2B7F" w:rsidP="005F02C8">
      <w:pPr>
        <w:pStyle w:val="Bullet1"/>
      </w:pPr>
      <w:r w:rsidRPr="0009132C">
        <w:t xml:space="preserve">Families with children under 19 </w:t>
      </w:r>
      <w:r w:rsidR="001907DA">
        <w:t>years of</w:t>
      </w:r>
      <w:r w:rsidR="001907DA" w:rsidRPr="0009132C">
        <w:t xml:space="preserve"> age </w:t>
      </w:r>
      <w:r w:rsidRPr="0009132C">
        <w:t xml:space="preserve">who have gross income, as verified by MassHealth, at or below 150 percent </w:t>
      </w:r>
      <w:r w:rsidR="6337D9F8" w:rsidRPr="0009132C">
        <w:t>of the</w:t>
      </w:r>
      <w:r w:rsidRPr="0009132C">
        <w:t xml:space="preserve"> FPL and who are receiving Supplemental Nutrition Assistance Program (SNAP) benefits with SNAP-verified income at or below 180 percent </w:t>
      </w:r>
      <w:r w:rsidR="1E08A157" w:rsidRPr="0009132C">
        <w:t xml:space="preserve">of the </w:t>
      </w:r>
      <w:r w:rsidRPr="0009132C">
        <w:t>FPL;</w:t>
      </w:r>
    </w:p>
    <w:p w14:paraId="4AF09223" w14:textId="15BE510A" w:rsidR="00BF2B7F" w:rsidRPr="0009132C" w:rsidRDefault="00BF2B7F" w:rsidP="005F02C8">
      <w:pPr>
        <w:pStyle w:val="Bullet1"/>
      </w:pPr>
      <w:r w:rsidRPr="0009132C">
        <w:t xml:space="preserve">Families with children under 21 </w:t>
      </w:r>
      <w:r w:rsidR="001907DA">
        <w:t>years of</w:t>
      </w:r>
      <w:r w:rsidR="001907DA" w:rsidRPr="0009132C">
        <w:t xml:space="preserve"> age </w:t>
      </w:r>
      <w:r w:rsidRPr="0009132C">
        <w:t>whose SNAP</w:t>
      </w:r>
      <w:r w:rsidR="00A23620" w:rsidRPr="0009132C">
        <w:t>-</w:t>
      </w:r>
      <w:r w:rsidRPr="0009132C">
        <w:t xml:space="preserve">verified income is at or below 180 percent </w:t>
      </w:r>
      <w:r w:rsidR="56D97B20" w:rsidRPr="0009132C">
        <w:t xml:space="preserve">of the </w:t>
      </w:r>
      <w:r w:rsidRPr="0009132C">
        <w:t>FPL, effective to the extent that the state uses an Express Lane eligibility process under its state plan for children under 21</w:t>
      </w:r>
      <w:r w:rsidR="002157A9" w:rsidRPr="002157A9">
        <w:t xml:space="preserve"> </w:t>
      </w:r>
      <w:r w:rsidR="002157A9">
        <w:t>years of</w:t>
      </w:r>
      <w:r w:rsidR="002157A9" w:rsidRPr="0009132C">
        <w:t xml:space="preserve"> age</w:t>
      </w:r>
      <w:r w:rsidRPr="0009132C">
        <w:t>;</w:t>
      </w:r>
    </w:p>
    <w:p w14:paraId="0A231CDD" w14:textId="4EC65A79" w:rsidR="00BF2B7F" w:rsidRPr="0009132C" w:rsidRDefault="00BF2B7F" w:rsidP="005F02C8">
      <w:pPr>
        <w:pStyle w:val="Bullet1"/>
      </w:pPr>
      <w:r w:rsidRPr="0009132C">
        <w:t>Childless adults whose SNAP</w:t>
      </w:r>
      <w:r w:rsidR="0065087A" w:rsidRPr="0009132C">
        <w:t>-</w:t>
      </w:r>
      <w:r w:rsidRPr="0009132C">
        <w:t xml:space="preserve">verified income is at or below 163 percent </w:t>
      </w:r>
      <w:r w:rsidR="67B4F666" w:rsidRPr="0009132C">
        <w:t>of the</w:t>
      </w:r>
      <w:r w:rsidRPr="0009132C">
        <w:t xml:space="preserve"> FPL; and</w:t>
      </w:r>
    </w:p>
    <w:p w14:paraId="0016FD17" w14:textId="77777777" w:rsidR="00BF2B7F" w:rsidRPr="005C24BA" w:rsidRDefault="00BF2B7F" w:rsidP="00C45084">
      <w:pPr>
        <w:pStyle w:val="Bullet1"/>
      </w:pPr>
      <w:r w:rsidRPr="005C24BA">
        <w:t>Families with children, notwithstanding sunset dates for Express Lane Eligibility applicable to the companion state plan amendments.</w:t>
      </w:r>
      <w:r w:rsidRPr="00C45084">
        <w:rPr>
          <w:rStyle w:val="FootnoteReference"/>
        </w:rPr>
        <w:footnoteReference w:id="18"/>
      </w:r>
    </w:p>
    <w:p w14:paraId="709FA46F" w14:textId="0A7E853A" w:rsidR="00F75B1D" w:rsidRPr="00C45084" w:rsidRDefault="00BF2B7F" w:rsidP="003C6C8F">
      <w:pPr>
        <w:pStyle w:val="Heading5"/>
      </w:pPr>
      <w:r w:rsidRPr="0009132C">
        <w:t xml:space="preserve">Waiver </w:t>
      </w:r>
      <w:r w:rsidR="00F35D89" w:rsidRPr="0009132C">
        <w:t xml:space="preserve">of Early and Periodic Screening, Diagnostic, and Treatment </w:t>
      </w:r>
      <w:r w:rsidRPr="0009132C">
        <w:t>Services</w:t>
      </w:r>
    </w:p>
    <w:p w14:paraId="2059DD41" w14:textId="1375ED04" w:rsidR="00BF2B7F" w:rsidRPr="00C45084" w:rsidRDefault="00BF2B7F" w:rsidP="002739A1">
      <w:r w:rsidRPr="0009132C">
        <w:t xml:space="preserve">As described in STCs 5.3 and 5.6, children under 21 </w:t>
      </w:r>
      <w:r w:rsidR="002157A9">
        <w:t>years of</w:t>
      </w:r>
      <w:r w:rsidR="002157A9" w:rsidRPr="0009132C">
        <w:t xml:space="preserve"> age </w:t>
      </w:r>
      <w:r w:rsidRPr="0009132C">
        <w:t>enrolled in MassHealth Standard and CommonHealth are eligible for Early and Periodic Screening, Diagnostic and Treatment (EPSDT) benefits. Under the Waiver of EPSDT, children enrolled in Family Assistance are not eligible for EPSDT.</w:t>
      </w:r>
    </w:p>
    <w:p w14:paraId="69950BF0" w14:textId="66896FD9" w:rsidR="00BF2B7F" w:rsidRPr="0009132C" w:rsidRDefault="00BF2B7F" w:rsidP="00301DAB">
      <w:pPr>
        <w:pStyle w:val="Heading4"/>
      </w:pPr>
      <w:r w:rsidRPr="0009132C">
        <w:t>Desired Outcomes</w:t>
      </w:r>
    </w:p>
    <w:p w14:paraId="193373B5" w14:textId="104FA503" w:rsidR="00917651" w:rsidRPr="0009132C" w:rsidRDefault="00BF2B7F" w:rsidP="00D22788">
      <w:r w:rsidRPr="0009132C">
        <w:t xml:space="preserve">The policies and programs under the Demonstration </w:t>
      </w:r>
      <w:r w:rsidR="002455E7" w:rsidRPr="0009132C">
        <w:t>provide</w:t>
      </w:r>
      <w:r w:rsidRPr="0009132C">
        <w:t xml:space="preserve"> coverage to new populations</w:t>
      </w:r>
      <w:r w:rsidR="00EE06E5" w:rsidRPr="0009132C">
        <w:t xml:space="preserve"> </w:t>
      </w:r>
      <w:r w:rsidR="007A372E" w:rsidRPr="0009132C">
        <w:t>and</w:t>
      </w:r>
      <w:r w:rsidRPr="0009132C">
        <w:t xml:space="preserve"> extend the range of coverage </w:t>
      </w:r>
      <w:r w:rsidR="007A372E" w:rsidRPr="0009132C">
        <w:t xml:space="preserve">to </w:t>
      </w:r>
      <w:r w:rsidRPr="0009132C">
        <w:t>current members</w:t>
      </w:r>
      <w:r w:rsidR="007A372E" w:rsidRPr="0009132C">
        <w:t xml:space="preserve">. These policies also </w:t>
      </w:r>
      <w:r w:rsidRPr="0009132C">
        <w:t xml:space="preserve">allow for flexibility of coverage through premium assistance for specific populations enrolled in MassHealth and through subsidies for individuals meeting eligibility requirements </w:t>
      </w:r>
      <w:r w:rsidR="00394F34" w:rsidRPr="0009132C">
        <w:t xml:space="preserve">to </w:t>
      </w:r>
      <w:r w:rsidRPr="0009132C">
        <w:t xml:space="preserve">purchase health insurance through the Massachusetts Health Insurance Connector Authority (Health Connector). </w:t>
      </w:r>
      <w:r w:rsidR="008F77BC" w:rsidRPr="0009132C">
        <w:t>It is expected that those members no</w:t>
      </w:r>
      <w:r w:rsidR="000371FF" w:rsidRPr="0009132C">
        <w:t>w</w:t>
      </w:r>
      <w:r w:rsidR="008F77BC" w:rsidRPr="0009132C">
        <w:t xml:space="preserve"> eligible for the 90-day RE will </w:t>
      </w:r>
      <w:r w:rsidR="000371FF" w:rsidRPr="0009132C">
        <w:t>experience less</w:t>
      </w:r>
      <w:r w:rsidR="008F77BC" w:rsidRPr="0009132C">
        <w:t xml:space="preserve"> financial burden</w:t>
      </w:r>
      <w:r w:rsidR="00134B28" w:rsidRPr="0009132C">
        <w:t xml:space="preserve"> </w:t>
      </w:r>
      <w:r w:rsidR="00BE30E1" w:rsidRPr="0009132C">
        <w:t>related to</w:t>
      </w:r>
      <w:r w:rsidR="00134B28" w:rsidRPr="0009132C">
        <w:t xml:space="preserve"> health expenditures</w:t>
      </w:r>
      <w:r w:rsidR="000371FF" w:rsidRPr="0009132C">
        <w:t>.</w:t>
      </w:r>
    </w:p>
    <w:p w14:paraId="627545DD" w14:textId="33B7AEF9" w:rsidR="00BF2B7F" w:rsidRPr="0009132C" w:rsidRDefault="00BF2B7F" w:rsidP="00D22788">
      <w:r w:rsidRPr="0009132C">
        <w:t xml:space="preserve">If implemented </w:t>
      </w:r>
      <w:r w:rsidR="000516C9" w:rsidRPr="0009132C">
        <w:t>effectively</w:t>
      </w:r>
      <w:r w:rsidRPr="0009132C">
        <w:t xml:space="preserve">, </w:t>
      </w:r>
      <w:r w:rsidR="000516C9" w:rsidRPr="0009132C">
        <w:t xml:space="preserve">the CE policies </w:t>
      </w:r>
      <w:r w:rsidRPr="0009132C">
        <w:t xml:space="preserve">are expected to streamline administrative processes around enrollment and eligibility determinations. In turn, </w:t>
      </w:r>
      <w:r w:rsidR="000F7E4A" w:rsidRPr="0009132C">
        <w:t xml:space="preserve">it is hoped that </w:t>
      </w:r>
      <w:r w:rsidR="00BF5410" w:rsidRPr="0009132C">
        <w:t xml:space="preserve">the CE policies in the Demonstration </w:t>
      </w:r>
      <w:r w:rsidR="000371FF" w:rsidRPr="0009132C">
        <w:t xml:space="preserve">will </w:t>
      </w:r>
      <w:r w:rsidR="00BF5410" w:rsidRPr="0009132C">
        <w:t xml:space="preserve">minimize coverage gaps and disruption of services and </w:t>
      </w:r>
      <w:r w:rsidR="00E54B32" w:rsidRPr="0009132C">
        <w:t>have a positive impact</w:t>
      </w:r>
      <w:r w:rsidR="00EE06E5" w:rsidRPr="0009132C">
        <w:t xml:space="preserve"> on</w:t>
      </w:r>
      <w:r w:rsidRPr="0009132C">
        <w:t xml:space="preserve"> the uninsurance rate </w:t>
      </w:r>
      <w:r w:rsidR="00EE06E5" w:rsidRPr="0009132C">
        <w:t xml:space="preserve">in Massachusetts. </w:t>
      </w:r>
    </w:p>
    <w:p w14:paraId="04BE708B" w14:textId="2DCC19E9" w:rsidR="00BF2B7F" w:rsidRPr="0009132C" w:rsidRDefault="00BF2B7F" w:rsidP="00D22788">
      <w:r w:rsidRPr="0009132C">
        <w:t>Through these programs</w:t>
      </w:r>
      <w:r w:rsidR="77728DD9" w:rsidRPr="0009132C">
        <w:t xml:space="preserve"> and </w:t>
      </w:r>
      <w:r w:rsidRPr="0009132C">
        <w:t xml:space="preserve">policies, members </w:t>
      </w:r>
      <w:r w:rsidR="00BE30E1" w:rsidRPr="0009132C">
        <w:t xml:space="preserve">may </w:t>
      </w:r>
      <w:r w:rsidRPr="0009132C">
        <w:t xml:space="preserve">experience </w:t>
      </w:r>
      <w:r w:rsidR="00BE30E1" w:rsidRPr="0009132C">
        <w:t xml:space="preserve">improved </w:t>
      </w:r>
      <w:r w:rsidRPr="0009132C">
        <w:t>access to care,</w:t>
      </w:r>
      <w:r w:rsidR="008743A8" w:rsidRPr="0009132C">
        <w:t xml:space="preserve"> increased satisfaction </w:t>
      </w:r>
      <w:r w:rsidRPr="0009132C">
        <w:t>with coverage and services, and an improvement in overall health status. Through better access to insurance coverage, members may maintain or increase</w:t>
      </w:r>
      <w:r w:rsidR="00644B6A" w:rsidRPr="0009132C">
        <w:t xml:space="preserve"> their use of</w:t>
      </w:r>
      <w:r w:rsidRPr="0009132C">
        <w:t xml:space="preserve"> primary and preventative care and decrease utilization of emergency or specialty services. </w:t>
      </w:r>
      <w:r w:rsidR="7A564E56" w:rsidRPr="0009132C">
        <w:t>T</w:t>
      </w:r>
      <w:r w:rsidRPr="0009132C">
        <w:t xml:space="preserve">hese policies </w:t>
      </w:r>
      <w:r w:rsidR="00644B6A" w:rsidRPr="0009132C">
        <w:t xml:space="preserve">are designed </w:t>
      </w:r>
      <w:r w:rsidR="00346222" w:rsidRPr="0009132C">
        <w:t>to</w:t>
      </w:r>
      <w:r w:rsidR="00644B6A" w:rsidRPr="0009132C">
        <w:t xml:space="preserve"> </w:t>
      </w:r>
      <w:r w:rsidR="00346222" w:rsidRPr="0009132C">
        <w:t>improve</w:t>
      </w:r>
      <w:r w:rsidRPr="0009132C">
        <w:t xml:space="preserve"> members’ </w:t>
      </w:r>
      <w:r w:rsidRPr="0009132C">
        <w:lastRenderedPageBreak/>
        <w:t xml:space="preserve">health outcomes. Ultimately, improved health status can reduce healthcare utilization and </w:t>
      </w:r>
      <w:r w:rsidR="000E1F91" w:rsidRPr="0009132C">
        <w:t xml:space="preserve">contribute to </w:t>
      </w:r>
      <w:r w:rsidRPr="0009132C">
        <w:t xml:space="preserve">the sustainability of Medicaid program resources. </w:t>
      </w:r>
    </w:p>
    <w:p w14:paraId="18F03A4C" w14:textId="2ED57C0C" w:rsidR="00BF2B7F" w:rsidRPr="0009132C" w:rsidRDefault="00BF2B7F" w:rsidP="00EE4105">
      <w:pPr>
        <w:pStyle w:val="Heading3"/>
      </w:pPr>
      <w:r w:rsidRPr="0009132C">
        <w:t>C&amp;E Policy Domain Implementation Plan and Timeline</w:t>
      </w:r>
    </w:p>
    <w:p w14:paraId="52F9391E" w14:textId="77777777" w:rsidR="00BF2B7F" w:rsidRPr="0009132C" w:rsidRDefault="00BF2B7F" w:rsidP="00D22788">
      <w:r w:rsidRPr="0009132C">
        <w:t xml:space="preserve">STC Attachment O details the implementation plan regarding CE policies for </w:t>
      </w:r>
      <w:r w:rsidRPr="0009132C" w:rsidDel="00F336BF">
        <w:t>justice-involved</w:t>
      </w:r>
      <w:r w:rsidRPr="0009132C">
        <w:t xml:space="preserve"> individuals and individuals experiencing homelessness. MassHealth is creating a systematic enrollment process for justice-involved individuals that should be online by July 2024, while a manual process </w:t>
      </w:r>
      <w:r w:rsidR="7A008AC5" w:rsidRPr="0009132C">
        <w:t xml:space="preserve">will be </w:t>
      </w:r>
      <w:r w:rsidRPr="0009132C">
        <w:t xml:space="preserve">available </w:t>
      </w:r>
      <w:r w:rsidRPr="0009132C">
        <w:rPr>
          <w:rFonts w:eastAsia="Calibri"/>
        </w:rPr>
        <w:t>as of April 2023.</w:t>
      </w:r>
      <w:r w:rsidRPr="0009132C">
        <w:rPr>
          <w:rStyle w:val="FootnoteReference"/>
          <w:rFonts w:eastAsia="Calibri"/>
        </w:rPr>
        <w:footnoteReference w:id="19"/>
      </w:r>
      <w:r w:rsidRPr="0009132C">
        <w:rPr>
          <w:rFonts w:eastAsia="Calibri"/>
        </w:rPr>
        <w:t xml:space="preserve"> Similarly, automation of existing processes to verify eligibility for those experiencing homelessness is expected to be in place by December 2023, and CE for those individuals will not be available until that date.</w:t>
      </w:r>
      <w:r w:rsidRPr="0009132C">
        <w:rPr>
          <w:rStyle w:val="FootnoteReference"/>
          <w:rFonts w:eastAsia="Calibri"/>
        </w:rPr>
        <w:footnoteReference w:id="20"/>
      </w:r>
      <w:r w:rsidRPr="0009132C">
        <w:t xml:space="preserve"> </w:t>
      </w:r>
    </w:p>
    <w:p w14:paraId="3E1126FD" w14:textId="67F2E15C" w:rsidR="00BF2B7F" w:rsidRPr="0009132C" w:rsidRDefault="00BF2B7F" w:rsidP="00D22788">
      <w:pPr>
        <w:rPr>
          <w:rFonts w:eastAsia="Calibri"/>
        </w:rPr>
      </w:pPr>
      <w:r w:rsidRPr="0009132C">
        <w:t xml:space="preserve">The removal of </w:t>
      </w:r>
      <w:r w:rsidR="00506F42">
        <w:t xml:space="preserve">the </w:t>
      </w:r>
      <w:r w:rsidRPr="0009132C">
        <w:t xml:space="preserve">RE Waiver for pregnant members and children was effective on October 1, 2022. The MSP expansion was effective on September 1, 2022. </w:t>
      </w:r>
    </w:p>
    <w:p w14:paraId="331191C0" w14:textId="0E4DE677" w:rsidR="00BF2B7F" w:rsidRDefault="00BF2B7F" w:rsidP="00D22788">
      <w:pPr>
        <w:rPr>
          <w:rFonts w:eastAsia="Calibri"/>
        </w:rPr>
      </w:pPr>
      <w:r w:rsidRPr="0009132C">
        <w:rPr>
          <w:rFonts w:eastAsia="Calibri"/>
        </w:rPr>
        <w:t xml:space="preserve">Several other policies will continue from the prior </w:t>
      </w:r>
      <w:r w:rsidRPr="0009132C">
        <w:t>Demonstration</w:t>
      </w:r>
      <w:r w:rsidRPr="0009132C">
        <w:rPr>
          <w:rFonts w:eastAsia="Calibri"/>
        </w:rPr>
        <w:t xml:space="preserve">, including coverage through MassHealth CommonHealth and Family Assistance programs, </w:t>
      </w:r>
      <w:r w:rsidRPr="0009132C">
        <w:t xml:space="preserve">BCCDP, premium assistance, </w:t>
      </w:r>
      <w:r w:rsidR="00EE632C" w:rsidRPr="0009132C">
        <w:t>cost</w:t>
      </w:r>
      <w:r w:rsidR="00EE632C">
        <w:t>-</w:t>
      </w:r>
      <w:r w:rsidRPr="0009132C">
        <w:t xml:space="preserve">sharing, and </w:t>
      </w:r>
      <w:r w:rsidR="005E7697" w:rsidRPr="0009132C">
        <w:t xml:space="preserve">the waiver of </w:t>
      </w:r>
      <w:r w:rsidRPr="0009132C">
        <w:t>EPSDT</w:t>
      </w:r>
      <w:r w:rsidR="005E7697" w:rsidRPr="0009132C">
        <w:t xml:space="preserve"> for children </w:t>
      </w:r>
      <w:r w:rsidR="001C0B70" w:rsidRPr="0009132C">
        <w:t xml:space="preserve">on </w:t>
      </w:r>
      <w:r w:rsidR="005E7697" w:rsidRPr="0009132C">
        <w:t>Family Assistance</w:t>
      </w:r>
      <w:r w:rsidRPr="0009132C">
        <w:t>.</w:t>
      </w:r>
      <w:r w:rsidRPr="0009132C">
        <w:rPr>
          <w:rFonts w:eastAsia="Calibri"/>
        </w:rPr>
        <w:t xml:space="preserve"> </w:t>
      </w:r>
    </w:p>
    <w:p w14:paraId="2B3E0FAE" w14:textId="77777777" w:rsidR="005B0F50" w:rsidRPr="005B0F50" w:rsidRDefault="005B0F50" w:rsidP="00800001">
      <w:pPr>
        <w:pStyle w:val="Heading2"/>
      </w:pPr>
      <w:bookmarkStart w:id="55" w:name="_Toc151976414"/>
      <w:r w:rsidRPr="005B0F50">
        <w:t>Logic Model</w:t>
      </w:r>
      <w:bookmarkEnd w:id="55"/>
      <w:r w:rsidRPr="005B0F50">
        <w:t xml:space="preserve"> </w:t>
      </w:r>
    </w:p>
    <w:p w14:paraId="06EC42C2" w14:textId="487FBF21" w:rsidR="005B0F50" w:rsidRPr="0009132C" w:rsidRDefault="005B0F50" w:rsidP="005B0F50">
      <w:r>
        <w:t xml:space="preserve">The C&amp;E logic model in </w:t>
      </w:r>
      <w:r w:rsidR="00D17606" w:rsidRPr="00AC0E5F">
        <w:rPr>
          <w:color w:val="000F9F"/>
          <w:u w:val="single"/>
        </w:rPr>
        <w:fldChar w:fldCharType="begin"/>
      </w:r>
      <w:r w:rsidR="00D17606" w:rsidRPr="00AC0E5F">
        <w:rPr>
          <w:color w:val="000F9F"/>
          <w:u w:val="single"/>
        </w:rPr>
        <w:instrText xml:space="preserve"> REF _Ref151463042 \h </w:instrText>
      </w:r>
      <w:r w:rsidR="00D17606" w:rsidRPr="00AC0E5F">
        <w:rPr>
          <w:color w:val="000F9F"/>
          <w:u w:val="single"/>
        </w:rPr>
      </w:r>
      <w:r w:rsidR="00D17606" w:rsidRPr="00AC0E5F">
        <w:rPr>
          <w:color w:val="000F9F"/>
          <w:u w:val="single"/>
        </w:rPr>
        <w:fldChar w:fldCharType="separate"/>
      </w:r>
      <w:r w:rsidR="00D17606" w:rsidRPr="00AC0E5F">
        <w:rPr>
          <w:color w:val="000F9F"/>
          <w:u w:val="single"/>
        </w:rPr>
        <w:t>Figure 2</w:t>
      </w:r>
      <w:r w:rsidR="00D17606" w:rsidRPr="00AC0E5F">
        <w:rPr>
          <w:color w:val="000F9F"/>
          <w:u w:val="single"/>
        </w:rPr>
        <w:noBreakHyphen/>
        <w:t>1</w:t>
      </w:r>
      <w:r w:rsidR="00D17606" w:rsidRPr="00AC0E5F">
        <w:rPr>
          <w:color w:val="000F9F"/>
          <w:u w:val="single"/>
        </w:rPr>
        <w:fldChar w:fldCharType="end"/>
      </w:r>
      <w:r>
        <w:t xml:space="preserve"> links the C&amp;E Demonstration Goals to the Demonstration Inputs, Implementation Activities (e.g., funding pool), Outputs, and Outcomes and Impact (e.g., member access, quality of care, amount of uncompensated care use, and financial sustainability). This logic model guides the research questions (RQs) and hypotheses that follow.</w:t>
      </w:r>
    </w:p>
    <w:p w14:paraId="09AB7C67" w14:textId="77777777" w:rsidR="005B0F50" w:rsidRPr="00800001" w:rsidRDefault="005B0F50" w:rsidP="005B0F50"/>
    <w:p w14:paraId="4411446C" w14:textId="2C0388D1" w:rsidR="00BF2B7F" w:rsidRPr="00800001" w:rsidRDefault="00BF2B7F" w:rsidP="005B0F50"/>
    <w:p w14:paraId="657ABC9F" w14:textId="77777777" w:rsidR="00BF2B7F" w:rsidRPr="0009132C" w:rsidRDefault="00BF2B7F" w:rsidP="00BF2B7F">
      <w:pPr>
        <w:rPr>
          <w:rFonts w:eastAsia="Calibri"/>
        </w:rPr>
        <w:sectPr w:rsidR="00BF2B7F" w:rsidRPr="0009132C" w:rsidSect="00744E1B">
          <w:pgSz w:w="12240" w:h="15840"/>
          <w:pgMar w:top="1440" w:right="1440" w:bottom="1440" w:left="1440" w:header="720" w:footer="720" w:gutter="0"/>
          <w:cols w:space="720"/>
          <w:docGrid w:linePitch="360"/>
        </w:sectPr>
      </w:pPr>
    </w:p>
    <w:p w14:paraId="750307D1" w14:textId="6DF1F297" w:rsidR="00E74DED" w:rsidRDefault="00106FE8" w:rsidP="00E74DED">
      <w:pPr>
        <w:pStyle w:val="FigureorTableTitle"/>
      </w:pPr>
      <w:bookmarkStart w:id="56" w:name="_Ref151463042"/>
      <w:bookmarkStart w:id="57" w:name="_Toc151976467"/>
      <w:r w:rsidRPr="00E74DED">
        <w:lastRenderedPageBreak/>
        <w:t xml:space="preserve">Figure </w:t>
      </w:r>
      <w:r>
        <w:fldChar w:fldCharType="begin"/>
      </w:r>
      <w:r>
        <w:instrText>STYLEREF 1 \s</w:instrText>
      </w:r>
      <w:r>
        <w:fldChar w:fldCharType="separate"/>
      </w:r>
      <w:r w:rsidR="00EB7B05" w:rsidRPr="00E74DED">
        <w:t>2</w:t>
      </w:r>
      <w:r>
        <w:fldChar w:fldCharType="end"/>
      </w:r>
      <w:r w:rsidR="00743B23" w:rsidRPr="00E74DED">
        <w:noBreakHyphen/>
      </w:r>
      <w:r>
        <w:fldChar w:fldCharType="begin"/>
      </w:r>
      <w:r>
        <w:instrText>SEQ Figure \* ARABIC \s 1</w:instrText>
      </w:r>
      <w:r>
        <w:fldChar w:fldCharType="separate"/>
      </w:r>
      <w:r w:rsidR="00EB7B05" w:rsidRPr="00E74DED">
        <w:t>1</w:t>
      </w:r>
      <w:r>
        <w:fldChar w:fldCharType="end"/>
      </w:r>
      <w:bookmarkEnd w:id="56"/>
      <w:r w:rsidRPr="00E74DED">
        <w:t>: Logic Model for the C&amp;E Component of the Demonstration</w:t>
      </w:r>
      <w:bookmarkEnd w:id="57"/>
    </w:p>
    <w:p w14:paraId="6866BF36" w14:textId="68136531" w:rsidR="006B0253" w:rsidRDefault="007345A0" w:rsidP="00E74DED">
      <w:pPr>
        <w:pStyle w:val="FigureorTableTitle"/>
      </w:pPr>
      <w:r w:rsidRPr="007345A0">
        <w:rPr>
          <w:noProof/>
        </w:rPr>
        <w:drawing>
          <wp:inline distT="0" distB="0" distL="0" distR="0" wp14:anchorId="7DC282B3" wp14:editId="47EB49FA">
            <wp:extent cx="8555990" cy="5391150"/>
            <wp:effectExtent l="0" t="0" r="0" b="0"/>
            <wp:docPr id="1039497591" name="Picture 1039497591" descr="At the top of this model diagram is the following text: Goals: (1) Increase insurance coverage and access; (2) Improve health outcomes; and (3) Maintain the sustainability of Medicaid resources. &#10;&#10;Underneath the GOALS is a long horizontal gray box with the title, Contextual Factors. Under this title is the following text: Macro economy, current federal rules and regulations in coverage and eligibility policy, Public Health Emergency, underlying health status of beneficiaries. &#10;&#10;At the bottom edge of the gray box are three arrows pointing down and center-aligned to three tall boxes arranged horizontally from left to right. &#10;&#10;In the empty space between each box is an arrow pointing to the right suggesting that each box leads into the next from left to right. &#10;&#10;The first box is light blue and titled: Inputs/Policy Initiatives. Beneath this title are five items and their related bullets.&#10;&#10;Item 1 is: Continuing Eligibility (New). Under this are the following bullets: • Provide 12-month continuous eligibility for Medicaid and CHIP beneficiaries upon release from correctional settings, regardless of income or other changes that would affect eligibility; and • Offer 24-month continuous eligibility for beneficiaries with a confirmed status of homelessness, regardless of income or other changes that would affect eligibility.&#10;&#10;Item 2 is: Coverage of More Populations (Continuing and Revised). Under this are the following bullets: • Continue to enable adults with long-term disabilities to retain their coverage after age 65; • Continue CommonHealth and Family Assistance coverage; • Continue Breast and Cervical Cancer Demonstration Program (BCCDP); • Eliminate one-time deductible for non-working adults with disabilities; • Increase the income limit for Medicare Savings Program (MSP) benefits without an asset test from 135% to 165%; • Early and Periodic Screening, Diagnostic and Treatment benefit for Standard and CommonHealth members.&#10;&#10;Item 3 is: Streamlined Eligibility Redetermination Process (Continuing) &#10;&#10;Item 4 is: Premium Assistance and Cost Sharing (Continuing). Under this are the following bullets: • Continue to enable individuals in Standard, CarePlus, CommonHealth and Family Assistance to enroll in private health insurance with premium assistance; • Provide premium and cost-sharing subsidies to purchase health insurance through the Health Connector.   &#10;&#10;Item 5 is: Waiver of Retroactive Eligibility (Revised). Under this are the following bullets: • Allow a period of 10 days of RE prior to the date of application for most individuals; • Provide 90 days of RE prior to the date of application for children and pregnant individuals. &#10;&#10;The second box is blue and titled, Outputs. Beneath this title are two items and their related bullets. &#10;&#10;Item 1 is: Policy Implementation Effectiveness. Under this are the following bullets: • Facilitators and barriers; • Streamlined administrative process around enrollment and eligibility determinations; • Beneficiary awareness of new coverage policies. &#10;&#10;Item 2 is: Increase Coverage. Under this is the following bullet: • Reduce uninsurance rate; • Minimize churn rate, coverage gap, and disruption of services.&#10;&#10;The third box is green and titled, Outcome and Impact. Beneath this title are three items and their related bullets.&#10;&#10;Item 1 is: Member Outcomes (With a Focus on Special Populations Under the Current Waiver). Under this are the following bullets: • Increase in use of preventive, primary, and specialist care; • Reduce use of emergency services; • Improve overall health status.&#10;&#10;Item 2: Member/Individual Experience. Under this are the following bullets: • Merits of expanded coverage; • Merits of retroactive eligibility; • Continuity of care; • Reduced delays in access to care (urgent, preventive, primary, and specialty); • Incidence of beneficiary medical debt; • More efficient use of health services; • Improved health equity; • Reduce financial burdens; • Change in beneficiary income at 12-month intervals; • Overall satisfaction of coverage and services.&#10;  &#10;Item 3 is: (System) Cost and Financial Sustainability. Under this are the following bullets: • Reduce future and downstream costs of medical intervention; • Maintain the sustainability of Medicaid program resources. &#10;&#10;Beneath these three boxes is a horizontal line with three arrow lines branching off of it, pointing upward, and almost touching the bottom of  the three boxes above it. On the horizontal line is the following text: Inform policy improvement. This indicates that the contents in the boxes the arrows are pointing to will inform policy improvement.">
              <a:extLst xmlns:a="http://schemas.openxmlformats.org/drawingml/2006/main">
                <a:ext uri="{FF2B5EF4-FFF2-40B4-BE49-F238E27FC236}">
                  <a16:creationId xmlns:a16="http://schemas.microsoft.com/office/drawing/2014/main" id="{6A30E184-7599-59C0-8AF9-871BA87BF8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97591" name="Picture 1039497591" descr="At the top of this model diagram is the following text: Goals: (1) Increase insurance coverage and access; (2) Improve health outcomes; and (3) Maintain the sustainability of Medicaid resources. &#10;&#10;Underneath the GOALS is a long horizontal gray box with the title, Contextual Factors. Under this title is the following text: Macro economy, current federal rules and regulations in coverage and eligibility policy, Public Health Emergency, underlying health status of beneficiaries. &#10;&#10;At the bottom edge of the gray box are three arrows pointing down and center-aligned to three tall boxes arranged horizontally from left to right. &#10;&#10;In the empty space between each box is an arrow pointing to the right suggesting that each box leads into the next from left to right. &#10;&#10;The first box is light blue and titled: Inputs/Policy Initiatives. Beneath this title are five items and their related bullets.&#10;&#10;Item 1 is: Continuing Eligibility (New). Under this are the following bullets: • Provide 12-month continuous eligibility for Medicaid and CHIP beneficiaries upon release from correctional settings, regardless of income or other changes that would affect eligibility; and • Offer 24-month continuous eligibility for beneficiaries with a confirmed status of homelessness, regardless of income or other changes that would affect eligibility.&#10;&#10;Item 2 is: Coverage of More Populations (Continuing and Revised). Under this are the following bullets: • Continue to enable adults with long-term disabilities to retain their coverage after age 65; • Continue CommonHealth and Family Assistance coverage; • Continue Breast and Cervical Cancer Demonstration Program (BCCDP); • Eliminate one-time deductible for non-working adults with disabilities; • Increase the income limit for Medicare Savings Program (MSP) benefits without an asset test from 135% to 165%; • Early and Periodic Screening, Diagnostic and Treatment benefit for Standard and CommonHealth members.&#10;&#10;Item 3 is: Streamlined Eligibility Redetermination Process (Continuing) &#10;&#10;Item 4 is: Premium Assistance and Cost Sharing (Continuing). Under this are the following bullets: • Continue to enable individuals in Standard, CarePlus, CommonHealth and Family Assistance to enroll in private health insurance with premium assistance; • Provide premium and cost-sharing subsidies to purchase health insurance through the Health Connector.   &#10;&#10;Item 5 is: Waiver of Retroactive Eligibility (Revised). Under this are the following bullets: • Allow a period of 10 days of RE prior to the date of application for most individuals; • Provide 90 days of RE prior to the date of application for children and pregnant individuals. &#10;&#10;The second box is blue and titled, Outputs. Beneath this title are two items and their related bullets. &#10;&#10;Item 1 is: Policy Implementation Effectiveness. Under this are the following bullets: • Facilitators and barriers; • Streamlined administrative process around enrollment and eligibility determinations; • Beneficiary awareness of new coverage policies. &#10;&#10;Item 2 is: Increase Coverage. Under this is the following bullet: • Reduce uninsurance rate; • Minimize churn rate, coverage gap, and disruption of services.&#10;&#10;The third box is green and titled, Outcome and Impact. Beneath this title are three items and their related bullets.&#10;&#10;Item 1 is: Member Outcomes (With a Focus on Special Populations Under the Current Waiver). Under this are the following bullets: • Increase in use of preventive, primary, and specialist care; • Reduce use of emergency services; • Improve overall health status.&#10;&#10;Item 2: Member/Individual Experience. Under this are the following bullets: • Merits of expanded coverage; • Merits of retroactive eligibility; • Continuity of care; • Reduced delays in access to care (urgent, preventive, primary, and specialty); • Incidence of beneficiary medical debt; • More efficient use of health services; • Improved health equity; • Reduce financial burdens; • Change in beneficiary income at 12-month intervals; • Overall satisfaction of coverage and services.&#10;  &#10;Item 3 is: (System) Cost and Financial Sustainability. Under this are the following bullets: • Reduce future and downstream costs of medical intervention; • Maintain the sustainability of Medicaid program resources. &#10;&#10;Beneath these three boxes is a horizontal line with three arrow lines branching off of it, pointing upward, and almost touching the bottom of  the three boxes above it. On the horizontal line is the following text: Inform policy improvement. This indicates that the contents in the boxes the arrows are pointing to will inform policy improvement.">
                      <a:extLst>
                        <a:ext uri="{FF2B5EF4-FFF2-40B4-BE49-F238E27FC236}">
                          <a16:creationId xmlns:a16="http://schemas.microsoft.com/office/drawing/2014/main" id="{6A30E184-7599-59C0-8AF9-871BA87BF8B5}"/>
                        </a:ext>
                      </a:extLst>
                    </pic:cNvPr>
                    <pic:cNvPicPr>
                      <a:picLocks noChangeAspect="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8555990" cy="5391150"/>
                    </a:xfrm>
                    <a:prstGeom prst="rect">
                      <a:avLst/>
                    </a:prstGeom>
                    <a:noFill/>
                    <a:ln>
                      <a:noFill/>
                    </a:ln>
                  </pic:spPr>
                </pic:pic>
              </a:graphicData>
            </a:graphic>
          </wp:inline>
        </w:drawing>
      </w:r>
    </w:p>
    <w:p w14:paraId="394BDAEE" w14:textId="27F90C40" w:rsidR="005B0F50" w:rsidRDefault="005B0F50">
      <w:pPr>
        <w:rPr>
          <w:rFonts w:asciiTheme="majorHAnsi" w:eastAsiaTheme="minorEastAsia" w:hAnsiTheme="majorHAnsi" w:cs="Arial"/>
          <w:b/>
          <w:bCs/>
          <w:color w:val="000000" w:themeColor="text1"/>
          <w:szCs w:val="22"/>
        </w:rPr>
      </w:pPr>
      <w:r>
        <w:br w:type="page"/>
      </w:r>
    </w:p>
    <w:p w14:paraId="27B64426" w14:textId="4AFC959D" w:rsidR="00BF2B7F" w:rsidRPr="0009132C" w:rsidRDefault="00BF2B7F" w:rsidP="005B0F50">
      <w:pPr>
        <w:pStyle w:val="Heading2"/>
      </w:pPr>
      <w:bookmarkStart w:id="58" w:name="_Toc130209704"/>
      <w:bookmarkStart w:id="59" w:name="_Toc151976415"/>
      <w:r w:rsidRPr="0009132C">
        <w:lastRenderedPageBreak/>
        <w:t>Research Questions and Hypotheses</w:t>
      </w:r>
      <w:bookmarkEnd w:id="58"/>
      <w:bookmarkEnd w:id="59"/>
      <w:r w:rsidRPr="0009132C">
        <w:t xml:space="preserve"> </w:t>
      </w:r>
    </w:p>
    <w:p w14:paraId="166121E6" w14:textId="6A6DC89C" w:rsidR="00BF2B7F" w:rsidRPr="0009132C" w:rsidRDefault="004F31A3" w:rsidP="00DD7A8F">
      <w:r w:rsidRPr="00D53EDD">
        <w:rPr>
          <w:color w:val="000F9F"/>
          <w:u w:val="single"/>
        </w:rPr>
        <w:fldChar w:fldCharType="begin"/>
      </w:r>
      <w:r w:rsidRPr="00D53EDD">
        <w:rPr>
          <w:color w:val="000F9F"/>
          <w:u w:val="single"/>
        </w:rPr>
        <w:instrText xml:space="preserve"> REF _Ref143161348 \h </w:instrText>
      </w:r>
      <w:r w:rsidRPr="00D53EDD">
        <w:rPr>
          <w:color w:val="000F9F"/>
          <w:u w:val="single"/>
        </w:rPr>
      </w:r>
      <w:r w:rsidRPr="00D53EDD">
        <w:rPr>
          <w:color w:val="000F9F"/>
          <w:u w:val="single"/>
        </w:rPr>
        <w:fldChar w:fldCharType="separate"/>
      </w:r>
      <w:r w:rsidRPr="00D53EDD">
        <w:rPr>
          <w:color w:val="000F9F"/>
          <w:u w:val="single"/>
        </w:rPr>
        <w:t xml:space="preserve">Table </w:t>
      </w:r>
      <w:r w:rsidRPr="00D53EDD">
        <w:rPr>
          <w:noProof/>
          <w:color w:val="000F9F"/>
          <w:u w:val="single"/>
        </w:rPr>
        <w:t>2</w:t>
      </w:r>
      <w:r w:rsidRPr="00D53EDD">
        <w:rPr>
          <w:color w:val="000F9F"/>
          <w:u w:val="single"/>
        </w:rPr>
        <w:noBreakHyphen/>
      </w:r>
      <w:r w:rsidRPr="00D53EDD">
        <w:rPr>
          <w:noProof/>
          <w:color w:val="000F9F"/>
          <w:u w:val="single"/>
        </w:rPr>
        <w:t>1</w:t>
      </w:r>
      <w:r w:rsidRPr="00D53EDD">
        <w:rPr>
          <w:color w:val="000F9F"/>
          <w:u w:val="single"/>
        </w:rPr>
        <w:fldChar w:fldCharType="end"/>
      </w:r>
      <w:r w:rsidR="00BF2B7F" w:rsidRPr="0009132C">
        <w:t xml:space="preserve"> summarizes the C&amp;E evaluation RQs and associated hypotheses. It includes the study populations, data sources, measures, and analytic methods, detailed in </w:t>
      </w:r>
      <w:hyperlink w:anchor="_Data_and_Methods_4" w:history="1">
        <w:r w:rsidR="00BF2B7F" w:rsidRPr="00863884">
          <w:rPr>
            <w:rStyle w:val="Hyperlink"/>
          </w:rPr>
          <w:t>Section 2.4</w:t>
        </w:r>
      </w:hyperlink>
      <w:r w:rsidR="00BF2B7F" w:rsidRPr="0009132C">
        <w:t>. As guided by the logic model, the RQs explore policy impact</w:t>
      </w:r>
      <w:r w:rsidR="00754D63" w:rsidRPr="0009132C">
        <w:t>s</w:t>
      </w:r>
      <w:r w:rsidR="00BF2B7F" w:rsidRPr="0009132C">
        <w:t xml:space="preserve"> in areas such as MassHealth member enrollment and enrollment continuity and their access to and utilization of healthcare over time.</w:t>
      </w:r>
    </w:p>
    <w:p w14:paraId="03E57693" w14:textId="7CAC6012" w:rsidR="00C84BAF" w:rsidRDefault="00C84BAF" w:rsidP="001518DA">
      <w:pPr>
        <w:pStyle w:val="FigureorTableTitle"/>
      </w:pPr>
      <w:bookmarkStart w:id="60" w:name="_Ref143161348"/>
      <w:bookmarkStart w:id="61" w:name="_Toc151976455"/>
      <w:r>
        <w:t xml:space="preserve">Table </w:t>
      </w:r>
      <w:r>
        <w:fldChar w:fldCharType="begin"/>
      </w:r>
      <w:r>
        <w:instrText>STYLEREF 1 \s</w:instrText>
      </w:r>
      <w:r>
        <w:fldChar w:fldCharType="separate"/>
      </w:r>
      <w:r w:rsidR="00EB7B05">
        <w:rPr>
          <w:noProof/>
        </w:rPr>
        <w:t>2</w:t>
      </w:r>
      <w:r>
        <w:fldChar w:fldCharType="end"/>
      </w:r>
      <w:r w:rsidR="00433675">
        <w:noBreakHyphen/>
      </w:r>
      <w:r>
        <w:fldChar w:fldCharType="begin"/>
      </w:r>
      <w:r>
        <w:instrText>SEQ Table \* ARABIC \s 1</w:instrText>
      </w:r>
      <w:r>
        <w:fldChar w:fldCharType="separate"/>
      </w:r>
      <w:r w:rsidR="00EB7B05">
        <w:rPr>
          <w:noProof/>
        </w:rPr>
        <w:t>1</w:t>
      </w:r>
      <w:r>
        <w:fldChar w:fldCharType="end"/>
      </w:r>
      <w:bookmarkEnd w:id="60"/>
      <w:r>
        <w:t xml:space="preserve">: </w:t>
      </w:r>
      <w:r w:rsidRPr="008357DF">
        <w:t>Research Questions and Hypotheses for C&amp;E</w:t>
      </w:r>
      <w:bookmarkEnd w:id="61"/>
    </w:p>
    <w:tbl>
      <w:tblPr>
        <w:tblStyle w:val="FHCTablestyle9"/>
        <w:tblW w:w="13536" w:type="dxa"/>
        <w:tblLayout w:type="fixed"/>
        <w:tblLook w:val="04A0" w:firstRow="1" w:lastRow="0" w:firstColumn="1" w:lastColumn="0" w:noHBand="0" w:noVBand="1"/>
      </w:tblPr>
      <w:tblGrid>
        <w:gridCol w:w="1525"/>
        <w:gridCol w:w="2340"/>
        <w:gridCol w:w="1890"/>
        <w:gridCol w:w="2340"/>
        <w:gridCol w:w="4145"/>
        <w:gridCol w:w="1296"/>
      </w:tblGrid>
      <w:tr w:rsidR="00E83A11" w:rsidRPr="00C64566" w14:paraId="507A0F59" w14:textId="77777777" w:rsidTr="3383C28C">
        <w:trPr>
          <w:cnfStyle w:val="100000000000" w:firstRow="1" w:lastRow="0" w:firstColumn="0" w:lastColumn="0" w:oddVBand="0" w:evenVBand="0" w:oddHBand="0" w:evenHBand="0"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1525" w:type="dxa"/>
            <w:hideMark/>
          </w:tcPr>
          <w:p w14:paraId="66151FD4" w14:textId="77777777" w:rsidR="00BF2B7F" w:rsidRPr="00282E62" w:rsidRDefault="00BF2B7F" w:rsidP="001518DA">
            <w:pPr>
              <w:pStyle w:val="TableNormal0"/>
            </w:pPr>
            <w:r w:rsidRPr="00282E62">
              <w:t>Research Questions</w:t>
            </w:r>
            <w:r w:rsidRPr="00282E62">
              <w:rPr>
                <w:vertAlign w:val="superscript"/>
              </w:rPr>
              <w:t xml:space="preserve">a </w:t>
            </w:r>
          </w:p>
        </w:tc>
        <w:tc>
          <w:tcPr>
            <w:tcW w:w="2340" w:type="dxa"/>
            <w:hideMark/>
          </w:tcPr>
          <w:p w14:paraId="53730153" w14:textId="77777777" w:rsidR="00BF2B7F" w:rsidRPr="00282E62" w:rsidRDefault="00BF2B7F" w:rsidP="001518DA">
            <w:pPr>
              <w:pStyle w:val="TableNormal0"/>
              <w:cnfStyle w:val="100000000000" w:firstRow="1" w:lastRow="0" w:firstColumn="0" w:lastColumn="0" w:oddVBand="0" w:evenVBand="0" w:oddHBand="0" w:evenHBand="0" w:firstRowFirstColumn="0" w:firstRowLastColumn="0" w:lastRowFirstColumn="0" w:lastRowLastColumn="0"/>
            </w:pPr>
            <w:r w:rsidRPr="00282E62">
              <w:t>Hypotheses</w:t>
            </w:r>
          </w:p>
        </w:tc>
        <w:tc>
          <w:tcPr>
            <w:tcW w:w="1890" w:type="dxa"/>
            <w:hideMark/>
          </w:tcPr>
          <w:p w14:paraId="7E06A9E9" w14:textId="30CAE074" w:rsidR="00BF2B7F" w:rsidRPr="00282E62" w:rsidRDefault="00BF2B7F" w:rsidP="001518DA">
            <w:pPr>
              <w:pStyle w:val="TableNormal0"/>
              <w:cnfStyle w:val="100000000000" w:firstRow="1" w:lastRow="0" w:firstColumn="0" w:lastColumn="0" w:oddVBand="0" w:evenVBand="0" w:oddHBand="0" w:evenHBand="0" w:firstRowFirstColumn="0" w:firstRowLastColumn="0" w:lastRowFirstColumn="0" w:lastRowLastColumn="0"/>
            </w:pPr>
            <w:r w:rsidRPr="00282E62">
              <w:t>Data Sources</w:t>
            </w:r>
            <w:r w:rsidR="005D2280" w:rsidRPr="00282E62">
              <w:t xml:space="preserve"> (Evaluation Periods)</w:t>
            </w:r>
            <w:r w:rsidRPr="00282E62">
              <w:rPr>
                <w:vertAlign w:val="superscript"/>
              </w:rPr>
              <w:t>b</w:t>
            </w:r>
          </w:p>
        </w:tc>
        <w:tc>
          <w:tcPr>
            <w:tcW w:w="2340" w:type="dxa"/>
          </w:tcPr>
          <w:p w14:paraId="29FB8F6B" w14:textId="77777777" w:rsidR="00BF2B7F" w:rsidRPr="001518DA" w:rsidRDefault="00BF2B7F" w:rsidP="001518DA">
            <w:pPr>
              <w:pStyle w:val="TableNormal0"/>
              <w:cnfStyle w:val="100000000000" w:firstRow="1" w:lastRow="0" w:firstColumn="0" w:lastColumn="0" w:oddVBand="0" w:evenVBand="0" w:oddHBand="0" w:evenHBand="0" w:firstRowFirstColumn="0" w:firstRowLastColumn="0" w:lastRowFirstColumn="0" w:lastRowLastColumn="0"/>
            </w:pPr>
            <w:r w:rsidRPr="00282E62">
              <w:t>Study Population</w:t>
            </w:r>
            <w:r w:rsidR="00DD7A8F" w:rsidRPr="00282E62">
              <w:t>s</w:t>
            </w:r>
          </w:p>
          <w:p w14:paraId="60B14AE6" w14:textId="25907D6E" w:rsidR="005D2280" w:rsidRPr="00282E62" w:rsidRDefault="00B00CE6" w:rsidP="001518DA">
            <w:pPr>
              <w:pStyle w:val="TableNormal0"/>
              <w:cnfStyle w:val="100000000000" w:firstRow="1" w:lastRow="0" w:firstColumn="0" w:lastColumn="0" w:oddVBand="0" w:evenVBand="0" w:oddHBand="0" w:evenHBand="0" w:firstRowFirstColumn="0" w:firstRowLastColumn="0" w:lastRowFirstColumn="0" w:lastRowLastColumn="0"/>
            </w:pPr>
            <w:r w:rsidRPr="00282E62">
              <w:t>(Estimated Sample or Population Size- per Wave for Primary Data and per Year for Secondary Data)</w:t>
            </w:r>
          </w:p>
        </w:tc>
        <w:tc>
          <w:tcPr>
            <w:tcW w:w="4145" w:type="dxa"/>
            <w:hideMark/>
          </w:tcPr>
          <w:p w14:paraId="0C93521E" w14:textId="77777777" w:rsidR="00BF2B7F" w:rsidRPr="00282E62" w:rsidRDefault="00BF2B7F" w:rsidP="001518DA">
            <w:pPr>
              <w:pStyle w:val="TableNormal0"/>
              <w:cnfStyle w:val="100000000000" w:firstRow="1" w:lastRow="0" w:firstColumn="0" w:lastColumn="0" w:oddVBand="0" w:evenVBand="0" w:oddHBand="0" w:evenHBand="0" w:firstRowFirstColumn="0" w:firstRowLastColumn="0" w:lastRowFirstColumn="0" w:lastRowLastColumn="0"/>
            </w:pPr>
            <w:r w:rsidRPr="00282E62">
              <w:t>Measures</w:t>
            </w:r>
          </w:p>
        </w:tc>
        <w:tc>
          <w:tcPr>
            <w:tcW w:w="1296" w:type="dxa"/>
          </w:tcPr>
          <w:p w14:paraId="0AC20658" w14:textId="48113E47" w:rsidR="00BF2B7F" w:rsidRPr="00282E62" w:rsidRDefault="00BF2B7F" w:rsidP="001518DA">
            <w:pPr>
              <w:pStyle w:val="TableNormal0"/>
              <w:cnfStyle w:val="100000000000" w:firstRow="1" w:lastRow="0" w:firstColumn="0" w:lastColumn="0" w:oddVBand="0" w:evenVBand="0" w:oddHBand="0" w:evenHBand="0" w:firstRowFirstColumn="0" w:firstRowLastColumn="0" w:lastRowFirstColumn="0" w:lastRowLastColumn="0"/>
            </w:pPr>
            <w:r w:rsidRPr="00282E62">
              <w:t>Analytic Methods</w:t>
            </w:r>
            <w:r w:rsidR="005D2280" w:rsidRPr="00282E62">
              <w:t xml:space="preserve"> (Unit of Analysis</w:t>
            </w:r>
            <w:r w:rsidR="00F076AF" w:rsidRPr="00282E62">
              <w:t>)</w:t>
            </w:r>
            <w:r w:rsidRPr="00282E62">
              <w:rPr>
                <w:vertAlign w:val="superscript"/>
              </w:rPr>
              <w:t>c</w:t>
            </w:r>
          </w:p>
        </w:tc>
      </w:tr>
      <w:tr w:rsidR="00E64FD8" w:rsidRPr="002576EA" w14:paraId="22E01AF7" w14:textId="77777777" w:rsidTr="3383C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hideMark/>
          </w:tcPr>
          <w:p w14:paraId="52E7D471" w14:textId="2FA86AE6" w:rsidR="00BF2B7F" w:rsidRPr="002576EA" w:rsidRDefault="00BF2B7F" w:rsidP="001518DA">
            <w:pPr>
              <w:pStyle w:val="TableNormal0"/>
              <w:rPr>
                <w:rFonts w:cstheme="minorHAnsi"/>
                <w:szCs w:val="18"/>
              </w:rPr>
            </w:pPr>
            <w:r w:rsidRPr="002576EA">
              <w:rPr>
                <w:rFonts w:cstheme="minorHAnsi"/>
                <w:szCs w:val="18"/>
              </w:rPr>
              <w:t>RQ1</w:t>
            </w:r>
            <w:r w:rsidR="00CC445B" w:rsidRPr="002576EA">
              <w:rPr>
                <w:rFonts w:cstheme="minorHAnsi"/>
                <w:szCs w:val="18"/>
              </w:rPr>
              <w:t>-1</w:t>
            </w:r>
            <w:r w:rsidRPr="002576EA">
              <w:rPr>
                <w:rFonts w:cstheme="minorHAnsi"/>
                <w:szCs w:val="18"/>
              </w:rPr>
              <w:t xml:space="preserve"> Have C&amp;E policies collectively maintained Medicaid enrollment and enrollment continuity? </w:t>
            </w:r>
          </w:p>
        </w:tc>
        <w:tc>
          <w:tcPr>
            <w:tcW w:w="2340" w:type="dxa"/>
            <w:hideMark/>
          </w:tcPr>
          <w:p w14:paraId="4E7963C2" w14:textId="652134F2" w:rsidR="0010694D" w:rsidRPr="002576EA" w:rsidRDefault="00BF2B7F"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576EA">
              <w:rPr>
                <w:rFonts w:cstheme="minorHAnsi"/>
                <w:szCs w:val="18"/>
              </w:rPr>
              <w:t>H1</w:t>
            </w:r>
            <w:r w:rsidR="0028211A" w:rsidRPr="002576EA">
              <w:rPr>
                <w:rFonts w:cstheme="minorHAnsi"/>
                <w:szCs w:val="18"/>
              </w:rPr>
              <w:t>-1.</w:t>
            </w:r>
            <w:r w:rsidRPr="002576EA">
              <w:rPr>
                <w:rFonts w:cstheme="minorHAnsi"/>
                <w:szCs w:val="18"/>
              </w:rPr>
              <w:t>1 C&amp;E policies have collectively maintained Medicaid enrollment and reduced churning among MassHealth members.</w:t>
            </w:r>
          </w:p>
          <w:p w14:paraId="05D89EC5" w14:textId="10043662" w:rsidR="0010694D" w:rsidRPr="002576EA" w:rsidRDefault="0010694D"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576EA">
              <w:rPr>
                <w:rFonts w:cstheme="minorHAnsi"/>
                <w:szCs w:val="18"/>
              </w:rPr>
              <w:t>H1</w:t>
            </w:r>
            <w:r w:rsidR="0028211A" w:rsidRPr="002576EA">
              <w:rPr>
                <w:rFonts w:cstheme="minorHAnsi"/>
                <w:szCs w:val="18"/>
              </w:rPr>
              <w:t>-1.</w:t>
            </w:r>
            <w:r w:rsidRPr="002576EA">
              <w:rPr>
                <w:rFonts w:cstheme="minorHAnsi"/>
                <w:szCs w:val="18"/>
              </w:rPr>
              <w:t>2 CE policy for justice-involved and homeless populations has increased coverage and reduced the churn of these populations.</w:t>
            </w:r>
          </w:p>
          <w:p w14:paraId="624F91B4" w14:textId="6915D06F" w:rsidR="0010694D" w:rsidRPr="002576EA" w:rsidRDefault="0010694D"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576EA">
              <w:rPr>
                <w:rFonts w:cstheme="minorHAnsi"/>
                <w:szCs w:val="18"/>
              </w:rPr>
              <w:t>H1</w:t>
            </w:r>
            <w:r w:rsidR="008679A4" w:rsidRPr="002576EA">
              <w:rPr>
                <w:rFonts w:cstheme="minorHAnsi"/>
                <w:szCs w:val="18"/>
              </w:rPr>
              <w:t>-1.</w:t>
            </w:r>
            <w:r w:rsidRPr="002576EA">
              <w:rPr>
                <w:rFonts w:cstheme="minorHAnsi"/>
                <w:szCs w:val="18"/>
              </w:rPr>
              <w:t>3</w:t>
            </w:r>
            <w:r w:rsidRPr="002576EA" w:rsidDel="00852F46">
              <w:rPr>
                <w:rFonts w:cstheme="minorHAnsi"/>
                <w:szCs w:val="18"/>
              </w:rPr>
              <w:t xml:space="preserve"> </w:t>
            </w:r>
            <w:r w:rsidRPr="002576EA">
              <w:rPr>
                <w:rFonts w:cstheme="minorHAnsi"/>
                <w:szCs w:val="18"/>
              </w:rPr>
              <w:t>MassHealth enrollment for special populations has been maintained or expanded.</w:t>
            </w:r>
          </w:p>
          <w:p w14:paraId="22CDDD3A" w14:textId="4B5BC8FE" w:rsidR="00BF2B7F" w:rsidRPr="002576EA" w:rsidRDefault="0010694D"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576EA">
              <w:rPr>
                <w:rFonts w:cstheme="minorHAnsi"/>
                <w:szCs w:val="18"/>
              </w:rPr>
              <w:t>H1</w:t>
            </w:r>
            <w:r w:rsidR="008679A4" w:rsidRPr="002576EA">
              <w:rPr>
                <w:rFonts w:cstheme="minorHAnsi"/>
                <w:szCs w:val="18"/>
              </w:rPr>
              <w:t>-1.</w:t>
            </w:r>
            <w:r w:rsidRPr="002576EA">
              <w:rPr>
                <w:rFonts w:cstheme="minorHAnsi"/>
                <w:szCs w:val="18"/>
              </w:rPr>
              <w:t xml:space="preserve">4 The streamlined eligibility redetermination has increased auto-renewal in Medicaid. </w:t>
            </w:r>
          </w:p>
        </w:tc>
        <w:tc>
          <w:tcPr>
            <w:tcW w:w="1890" w:type="dxa"/>
            <w:hideMark/>
          </w:tcPr>
          <w:p w14:paraId="4EACBC4E" w14:textId="7770B83B" w:rsidR="00BF2B7F" w:rsidRPr="002576EA" w:rsidRDefault="05791A3D" w:rsidP="7F638223">
            <w:pPr>
              <w:pStyle w:val="TableNormal0"/>
              <w:cnfStyle w:val="000000100000" w:firstRow="0" w:lastRow="0" w:firstColumn="0" w:lastColumn="0" w:oddVBand="0" w:evenVBand="0" w:oddHBand="1" w:evenHBand="0" w:firstRowFirstColumn="0" w:firstRowLastColumn="0" w:lastRowFirstColumn="0" w:lastRowLastColumn="0"/>
              <w:rPr>
                <w:rFonts w:cstheme="minorBidi"/>
              </w:rPr>
            </w:pPr>
            <w:r w:rsidRPr="7F638223">
              <w:rPr>
                <w:rFonts w:cstheme="minorBidi"/>
              </w:rPr>
              <w:t>American Community Survey (ACS)</w:t>
            </w:r>
            <w:r w:rsidR="79A7690E" w:rsidRPr="0013690C">
              <w:rPr>
                <w:rFonts w:cstheme="minorBidi"/>
              </w:rPr>
              <w:t xml:space="preserve"> (20</w:t>
            </w:r>
            <w:r w:rsidR="6F5ACDD7" w:rsidRPr="0013690C">
              <w:rPr>
                <w:rFonts w:cstheme="minorBidi"/>
              </w:rPr>
              <w:t>18</w:t>
            </w:r>
            <w:r w:rsidR="79A7690E" w:rsidRPr="0013690C">
              <w:rPr>
                <w:rFonts w:cstheme="minorBidi"/>
              </w:rPr>
              <w:t xml:space="preserve"> – 2027</w:t>
            </w:r>
            <w:r w:rsidRPr="0013690C">
              <w:rPr>
                <w:rFonts w:cstheme="minorBidi"/>
              </w:rPr>
              <w:t>)</w:t>
            </w:r>
          </w:p>
          <w:p w14:paraId="53C0EC0E" w14:textId="77777777" w:rsidR="00BF2B7F" w:rsidRPr="002576EA" w:rsidRDefault="00BF2B7F"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576EA">
              <w:rPr>
                <w:rFonts w:cstheme="minorHAnsi"/>
                <w:szCs w:val="18"/>
              </w:rPr>
              <w:t>Medicaid enrollment and eligibility data;</w:t>
            </w:r>
          </w:p>
          <w:p w14:paraId="2B2CA842" w14:textId="56930BF4" w:rsidR="00BF2B7F" w:rsidRPr="002576EA" w:rsidRDefault="05791A3D" w:rsidP="7F638223">
            <w:pPr>
              <w:pStyle w:val="TableNormal0"/>
              <w:cnfStyle w:val="000000100000" w:firstRow="0" w:lastRow="0" w:firstColumn="0" w:lastColumn="0" w:oddVBand="0" w:evenVBand="0" w:oddHBand="1" w:evenHBand="0" w:firstRowFirstColumn="0" w:firstRowLastColumn="0" w:lastRowFirstColumn="0" w:lastRowLastColumn="0"/>
              <w:rPr>
                <w:rFonts w:cstheme="minorBidi"/>
              </w:rPr>
            </w:pPr>
            <w:r w:rsidRPr="7F638223">
              <w:rPr>
                <w:rFonts w:cstheme="minorBidi"/>
              </w:rPr>
              <w:t>MassHealth programmatic enrollment reports</w:t>
            </w:r>
            <w:r w:rsidR="6F5ACDD7" w:rsidRPr="7F638223">
              <w:rPr>
                <w:rFonts w:cstheme="minorBidi"/>
              </w:rPr>
              <w:t xml:space="preserve"> </w:t>
            </w:r>
            <w:r w:rsidR="6F5ACDD7" w:rsidRPr="0013690C">
              <w:rPr>
                <w:rFonts w:cstheme="minorBidi"/>
              </w:rPr>
              <w:t>(2018 – 2027)</w:t>
            </w:r>
            <w:r w:rsidR="235A4B6A" w:rsidRPr="0013690C">
              <w:rPr>
                <w:rFonts w:cstheme="minorBidi"/>
              </w:rPr>
              <w:t>;</w:t>
            </w:r>
          </w:p>
          <w:p w14:paraId="5D615F68" w14:textId="14CD4499" w:rsidR="0010694D" w:rsidRPr="002576EA" w:rsidRDefault="2D49E1B6" w:rsidP="7F638223">
            <w:pPr>
              <w:pStyle w:val="TableNormal0"/>
              <w:cnfStyle w:val="000000100000" w:firstRow="0" w:lastRow="0" w:firstColumn="0" w:lastColumn="0" w:oddVBand="0" w:evenVBand="0" w:oddHBand="1" w:evenHBand="0" w:firstRowFirstColumn="0" w:firstRowLastColumn="0" w:lastRowFirstColumn="0" w:lastRowLastColumn="0"/>
              <w:rPr>
                <w:rFonts w:cstheme="minorBidi"/>
              </w:rPr>
            </w:pPr>
            <w:r w:rsidRPr="7F638223">
              <w:rPr>
                <w:rFonts w:cstheme="minorBidi"/>
              </w:rPr>
              <w:t>Health Insurance Exchange (HIX) data</w:t>
            </w:r>
            <w:r w:rsidR="3D4032B4" w:rsidRPr="7F638223">
              <w:rPr>
                <w:rFonts w:cstheme="minorBidi"/>
              </w:rPr>
              <w:t xml:space="preserve"> </w:t>
            </w:r>
            <w:r w:rsidR="3D4032B4" w:rsidRPr="0013690C">
              <w:rPr>
                <w:rFonts w:cstheme="minorBidi"/>
              </w:rPr>
              <w:t>(2018 – 2027);</w:t>
            </w:r>
          </w:p>
          <w:p w14:paraId="06670DB1" w14:textId="665C6906" w:rsidR="00BF2B7F" w:rsidRPr="002576EA" w:rsidRDefault="2D49E1B6" w:rsidP="7F638223">
            <w:pPr>
              <w:pStyle w:val="TableNormal0"/>
              <w:cnfStyle w:val="000000100000" w:firstRow="0" w:lastRow="0" w:firstColumn="0" w:lastColumn="0" w:oddVBand="0" w:evenVBand="0" w:oddHBand="1" w:evenHBand="0" w:firstRowFirstColumn="0" w:firstRowLastColumn="0" w:lastRowFirstColumn="0" w:lastRowLastColumn="0"/>
              <w:rPr>
                <w:rFonts w:cstheme="minorBidi"/>
              </w:rPr>
            </w:pPr>
            <w:r w:rsidRPr="7F638223">
              <w:rPr>
                <w:rFonts w:cstheme="minorBidi"/>
              </w:rPr>
              <w:t>Qualitative interviews with members</w:t>
            </w:r>
            <w:r w:rsidRPr="0013690C">
              <w:rPr>
                <w:rFonts w:cstheme="minorBidi"/>
              </w:rPr>
              <w:t xml:space="preserve"> </w:t>
            </w:r>
            <w:r w:rsidR="3D4032B4" w:rsidRPr="0013690C">
              <w:rPr>
                <w:rFonts w:cstheme="minorBidi"/>
              </w:rPr>
              <w:t>(</w:t>
            </w:r>
            <w:r w:rsidR="49C81280" w:rsidRPr="0013690C">
              <w:rPr>
                <w:rFonts w:cstheme="minorBidi"/>
              </w:rPr>
              <w:t>20</w:t>
            </w:r>
            <w:r w:rsidR="3D4032B4" w:rsidRPr="0013690C">
              <w:rPr>
                <w:rFonts w:cstheme="minorBidi"/>
              </w:rPr>
              <w:t>2</w:t>
            </w:r>
            <w:r w:rsidR="70BBFECE" w:rsidRPr="0013690C">
              <w:rPr>
                <w:rFonts w:cstheme="minorBidi"/>
              </w:rPr>
              <w:t>5</w:t>
            </w:r>
            <w:r w:rsidR="3D4032B4" w:rsidRPr="0013690C">
              <w:rPr>
                <w:rFonts w:cstheme="minorBidi"/>
              </w:rPr>
              <w:t xml:space="preserve">, </w:t>
            </w:r>
            <w:r w:rsidR="49C81280" w:rsidRPr="0013690C">
              <w:rPr>
                <w:rFonts w:cstheme="minorBidi"/>
              </w:rPr>
              <w:t>20</w:t>
            </w:r>
            <w:r w:rsidR="3D4032B4" w:rsidRPr="0013690C">
              <w:rPr>
                <w:rFonts w:cstheme="minorBidi"/>
              </w:rPr>
              <w:t>2</w:t>
            </w:r>
            <w:r w:rsidR="70BBFECE" w:rsidRPr="0013690C">
              <w:rPr>
                <w:rFonts w:cstheme="minorBidi"/>
              </w:rPr>
              <w:t>7</w:t>
            </w:r>
            <w:r w:rsidR="3D4032B4" w:rsidRPr="0013690C">
              <w:rPr>
                <w:rFonts w:cstheme="minorBidi"/>
              </w:rPr>
              <w:t>)</w:t>
            </w:r>
            <w:r w:rsidRPr="0013690C">
              <w:rPr>
                <w:rFonts w:cstheme="minorBidi"/>
              </w:rPr>
              <w:t xml:space="preserve"> </w:t>
            </w:r>
          </w:p>
        </w:tc>
        <w:tc>
          <w:tcPr>
            <w:tcW w:w="2340" w:type="dxa"/>
          </w:tcPr>
          <w:p w14:paraId="3A84EC2F" w14:textId="77777777" w:rsidR="00BF2B7F" w:rsidRPr="002576EA" w:rsidRDefault="00BF2B7F"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576EA">
              <w:rPr>
                <w:rFonts w:cstheme="minorHAnsi"/>
                <w:szCs w:val="18"/>
              </w:rPr>
              <w:t>Mass</w:t>
            </w:r>
            <w:r w:rsidR="3EA2A54C" w:rsidRPr="002576EA">
              <w:rPr>
                <w:rFonts w:cstheme="minorHAnsi"/>
                <w:szCs w:val="18"/>
              </w:rPr>
              <w:t>a</w:t>
            </w:r>
            <w:r w:rsidRPr="002576EA">
              <w:rPr>
                <w:rFonts w:cstheme="minorHAnsi"/>
                <w:szCs w:val="18"/>
              </w:rPr>
              <w:t>chusetts residents;</w:t>
            </w:r>
          </w:p>
          <w:p w14:paraId="6F8CCF20" w14:textId="55EB0035" w:rsidR="0010694D" w:rsidRPr="002576EA" w:rsidRDefault="00BF2B7F"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576EA">
              <w:rPr>
                <w:rFonts w:cstheme="minorHAnsi"/>
                <w:szCs w:val="18"/>
              </w:rPr>
              <w:t xml:space="preserve">MassHealth members </w:t>
            </w:r>
            <w:r w:rsidR="001F7370" w:rsidRPr="002576EA">
              <w:rPr>
                <w:rFonts w:cstheme="minorHAnsi"/>
                <w:szCs w:val="18"/>
              </w:rPr>
              <w:t>(including those</w:t>
            </w:r>
            <w:r w:rsidR="0010694D" w:rsidRPr="002576EA">
              <w:rPr>
                <w:rFonts w:cstheme="minorHAnsi"/>
                <w:szCs w:val="18"/>
              </w:rPr>
              <w:t xml:space="preserve"> with justice involvement or confirmed status of homelessness</w:t>
            </w:r>
            <w:r w:rsidR="00E12C50" w:rsidRPr="002576EA">
              <w:rPr>
                <w:rFonts w:cstheme="minorHAnsi"/>
                <w:szCs w:val="18"/>
              </w:rPr>
              <w:t>)</w:t>
            </w:r>
            <w:r w:rsidR="002F2232">
              <w:rPr>
                <w:rFonts w:cstheme="minorHAnsi"/>
                <w:szCs w:val="18"/>
              </w:rPr>
              <w:t>;</w:t>
            </w:r>
            <w:r w:rsidR="0010694D" w:rsidRPr="002576EA">
              <w:rPr>
                <w:rFonts w:cstheme="minorHAnsi"/>
                <w:szCs w:val="18"/>
              </w:rPr>
              <w:t xml:space="preserve"> </w:t>
            </w:r>
          </w:p>
          <w:p w14:paraId="07F2E4E8" w14:textId="77777777" w:rsidR="0010694D" w:rsidRPr="002576EA" w:rsidRDefault="0010694D"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576EA">
              <w:rPr>
                <w:rFonts w:cstheme="minorHAnsi"/>
                <w:szCs w:val="18"/>
              </w:rPr>
              <w:t>MassHealth CommonHealth members;</w:t>
            </w:r>
          </w:p>
          <w:p w14:paraId="0C444983" w14:textId="14708AD5" w:rsidR="0010694D" w:rsidRPr="002576EA" w:rsidRDefault="0010694D"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576EA">
              <w:rPr>
                <w:rFonts w:cstheme="minorHAnsi"/>
                <w:szCs w:val="18"/>
              </w:rPr>
              <w:t>MassHealth Family Assistance members;</w:t>
            </w:r>
            <w:r w:rsidR="001E3DCB">
              <w:rPr>
                <w:rFonts w:cstheme="minorHAnsi"/>
                <w:szCs w:val="18"/>
              </w:rPr>
              <w:t xml:space="preserve"> </w:t>
            </w:r>
          </w:p>
          <w:p w14:paraId="32C4E708" w14:textId="77777777" w:rsidR="0010694D" w:rsidRPr="002576EA" w:rsidRDefault="0010694D"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576EA">
              <w:rPr>
                <w:rFonts w:cstheme="minorHAnsi"/>
                <w:szCs w:val="18"/>
              </w:rPr>
              <w:t xml:space="preserve">MassHealth members in the BCCDP program; </w:t>
            </w:r>
          </w:p>
          <w:p w14:paraId="46DFD979" w14:textId="77777777" w:rsidR="0010694D" w:rsidRPr="002576EA" w:rsidRDefault="0010694D"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576EA">
              <w:rPr>
                <w:rFonts w:cstheme="minorHAnsi"/>
                <w:szCs w:val="18"/>
              </w:rPr>
              <w:t>MassHealth members newly receiving MSP through the MSP expansion;</w:t>
            </w:r>
          </w:p>
          <w:p w14:paraId="18659959" w14:textId="69E1C3A2" w:rsidR="00BF2B7F" w:rsidRPr="002576EA" w:rsidRDefault="0010694D"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576EA">
              <w:rPr>
                <w:rFonts w:cstheme="minorHAnsi"/>
                <w:szCs w:val="18"/>
              </w:rPr>
              <w:t xml:space="preserve">MassHealth members who are auto-renewed during the re-determination process </w:t>
            </w:r>
          </w:p>
        </w:tc>
        <w:tc>
          <w:tcPr>
            <w:tcW w:w="4145" w:type="dxa"/>
            <w:hideMark/>
          </w:tcPr>
          <w:p w14:paraId="0CB8AFBF" w14:textId="20E37CE4" w:rsidR="00BF2B7F" w:rsidRPr="002576EA" w:rsidRDefault="00BF2B7F"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576EA">
              <w:rPr>
                <w:rFonts w:cstheme="minorHAnsi"/>
                <w:szCs w:val="18"/>
              </w:rPr>
              <w:t>Number (%) of MassHealth members with a coverage gap 45 days or longer (churning) in one calendar year (CY);</w:t>
            </w:r>
          </w:p>
          <w:p w14:paraId="243ADFA5" w14:textId="5ACD1492" w:rsidR="00BF2B7F" w:rsidRPr="002576EA" w:rsidRDefault="00BF2B7F"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576EA">
              <w:rPr>
                <w:rFonts w:cstheme="minorHAnsi"/>
                <w:szCs w:val="18"/>
              </w:rPr>
              <w:t>Number (%) of MassHealth members who disenrolled and re-enrolled within 12 months</w:t>
            </w:r>
            <w:r w:rsidR="00CD3FF5" w:rsidRPr="002576EA">
              <w:rPr>
                <w:rFonts w:cstheme="minorHAnsi"/>
                <w:szCs w:val="18"/>
              </w:rPr>
              <w:t>;</w:t>
            </w:r>
          </w:p>
          <w:p w14:paraId="1134C343" w14:textId="77777777" w:rsidR="0010694D" w:rsidRPr="002576EA" w:rsidRDefault="00BF2B7F"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576EA">
              <w:rPr>
                <w:rFonts w:cstheme="minorHAnsi"/>
                <w:szCs w:val="18"/>
              </w:rPr>
              <w:t>Number of MassHealth members remaining enrolled at the 12</w:t>
            </w:r>
            <w:r w:rsidRPr="00C76E9B">
              <w:rPr>
                <w:rFonts w:cstheme="minorHAnsi"/>
                <w:szCs w:val="18"/>
                <w:vertAlign w:val="superscript"/>
              </w:rPr>
              <w:t>th</w:t>
            </w:r>
            <w:r w:rsidRPr="002576EA">
              <w:rPr>
                <w:rFonts w:cstheme="minorHAnsi"/>
                <w:szCs w:val="18"/>
              </w:rPr>
              <w:t>, 18</w:t>
            </w:r>
            <w:r w:rsidRPr="00C76E9B">
              <w:rPr>
                <w:rFonts w:cstheme="minorHAnsi"/>
                <w:szCs w:val="18"/>
                <w:vertAlign w:val="superscript"/>
              </w:rPr>
              <w:t>th</w:t>
            </w:r>
            <w:r w:rsidRPr="002576EA">
              <w:rPr>
                <w:rFonts w:cstheme="minorHAnsi"/>
                <w:szCs w:val="18"/>
              </w:rPr>
              <w:t>, and 24</w:t>
            </w:r>
            <w:r w:rsidRPr="00C76E9B">
              <w:rPr>
                <w:rFonts w:cstheme="minorHAnsi"/>
                <w:szCs w:val="18"/>
                <w:vertAlign w:val="superscript"/>
              </w:rPr>
              <w:t>th</w:t>
            </w:r>
            <w:r w:rsidRPr="002576EA">
              <w:rPr>
                <w:rFonts w:cstheme="minorHAnsi"/>
                <w:szCs w:val="18"/>
              </w:rPr>
              <w:t xml:space="preserve"> month </w:t>
            </w:r>
          </w:p>
          <w:p w14:paraId="30339531" w14:textId="77777777" w:rsidR="0010694D" w:rsidRPr="002576EA" w:rsidRDefault="0010694D"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576EA">
              <w:rPr>
                <w:rFonts w:cstheme="minorHAnsi"/>
                <w:szCs w:val="18"/>
              </w:rPr>
              <w:t>Number (%) of MassHealth members with 12-month CE upon release from correctional settings (unless they voluntarily disenroll, have moved out of state, are deceased, are enrolled due to agency error or fraud, abuse or perjury attributed to the individual, or become reincarcerated) with a coverage gap of 45 days or longer;</w:t>
            </w:r>
          </w:p>
          <w:p w14:paraId="45EF46F3" w14:textId="2AEBB8DD" w:rsidR="0010694D" w:rsidRPr="002576EA" w:rsidRDefault="0010694D"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576EA">
              <w:rPr>
                <w:rFonts w:cstheme="minorHAnsi"/>
                <w:szCs w:val="18"/>
              </w:rPr>
              <w:t>Number (%) of MassHealth members eligible for 12-month C&amp;E upon release from correctional settings who remain enrolled at the 18</w:t>
            </w:r>
            <w:r w:rsidRPr="00C76E9B">
              <w:rPr>
                <w:rFonts w:cstheme="minorHAnsi"/>
                <w:szCs w:val="18"/>
                <w:vertAlign w:val="superscript"/>
              </w:rPr>
              <w:t>th</w:t>
            </w:r>
            <w:r w:rsidRPr="002576EA">
              <w:rPr>
                <w:rFonts w:cstheme="minorHAnsi"/>
                <w:szCs w:val="18"/>
              </w:rPr>
              <w:t xml:space="preserve"> and 24</w:t>
            </w:r>
            <w:r w:rsidRPr="00C76E9B">
              <w:rPr>
                <w:rFonts w:cstheme="minorHAnsi"/>
                <w:szCs w:val="18"/>
                <w:vertAlign w:val="superscript"/>
              </w:rPr>
              <w:t>th</w:t>
            </w:r>
            <w:r w:rsidRPr="002576EA">
              <w:rPr>
                <w:rFonts w:cstheme="minorHAnsi"/>
                <w:szCs w:val="18"/>
              </w:rPr>
              <w:t xml:space="preserve"> month;</w:t>
            </w:r>
          </w:p>
          <w:p w14:paraId="0781C36E" w14:textId="77777777" w:rsidR="0010694D" w:rsidRPr="002576EA" w:rsidRDefault="0010694D"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576EA">
              <w:rPr>
                <w:rFonts w:cstheme="minorHAnsi"/>
                <w:szCs w:val="18"/>
              </w:rPr>
              <w:t>Number (%) of MassHealth members with a confirmed status of homelessness for at least six months who have maintained 24-month CE (unless they voluntarily disenroll, have moved out of state, are enrolled due to agency error or fraud, abuse or perjury attributed to the individual, or are deceased);</w:t>
            </w:r>
          </w:p>
          <w:p w14:paraId="1832FCB3" w14:textId="73BE3452" w:rsidR="0010694D" w:rsidRPr="002576EA" w:rsidRDefault="0010694D"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576EA">
              <w:rPr>
                <w:rFonts w:cstheme="minorHAnsi"/>
                <w:szCs w:val="18"/>
              </w:rPr>
              <w:t xml:space="preserve">Number (%) of MassHealth members with a status of homelessness for at least six months who are eligible </w:t>
            </w:r>
            <w:r w:rsidRPr="002576EA">
              <w:rPr>
                <w:rFonts w:cstheme="minorHAnsi"/>
                <w:szCs w:val="18"/>
              </w:rPr>
              <w:lastRenderedPageBreak/>
              <w:t>for 24-month CE remain enrolled at the 36</w:t>
            </w:r>
            <w:r w:rsidRPr="00C76E9B">
              <w:rPr>
                <w:rFonts w:cstheme="minorHAnsi"/>
                <w:szCs w:val="18"/>
                <w:vertAlign w:val="superscript"/>
              </w:rPr>
              <w:t>th</w:t>
            </w:r>
            <w:r w:rsidRPr="002576EA">
              <w:rPr>
                <w:rFonts w:cstheme="minorHAnsi"/>
                <w:szCs w:val="18"/>
              </w:rPr>
              <w:t xml:space="preserve"> and 48</w:t>
            </w:r>
            <w:r w:rsidRPr="00C76E9B">
              <w:rPr>
                <w:rFonts w:cstheme="minorHAnsi"/>
                <w:szCs w:val="18"/>
                <w:vertAlign w:val="superscript"/>
              </w:rPr>
              <w:t>th</w:t>
            </w:r>
            <w:r w:rsidRPr="002576EA">
              <w:rPr>
                <w:rFonts w:cstheme="minorHAnsi"/>
                <w:szCs w:val="18"/>
              </w:rPr>
              <w:t xml:space="preserve"> month</w:t>
            </w:r>
          </w:p>
          <w:p w14:paraId="02878FEC" w14:textId="77777777" w:rsidR="0010694D" w:rsidRPr="002576EA" w:rsidRDefault="0010694D"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576EA">
              <w:rPr>
                <w:rFonts w:cstheme="minorHAnsi"/>
                <w:szCs w:val="18"/>
              </w:rPr>
              <w:t xml:space="preserve">Number (%) of MassHealth members in CommonHealth program (by age) over time; </w:t>
            </w:r>
          </w:p>
          <w:p w14:paraId="25A9051C" w14:textId="77777777" w:rsidR="0010694D" w:rsidRPr="002576EA" w:rsidRDefault="0010694D"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576EA">
              <w:rPr>
                <w:rFonts w:cstheme="minorHAnsi"/>
                <w:szCs w:val="18"/>
              </w:rPr>
              <w:t>Number (%) of MassHealth members in the Family Assistance Program over time;</w:t>
            </w:r>
          </w:p>
          <w:p w14:paraId="6035DBBD" w14:textId="77777777" w:rsidR="0010694D" w:rsidRPr="002576EA" w:rsidRDefault="0010694D"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576EA">
              <w:rPr>
                <w:rFonts w:cstheme="minorHAnsi"/>
                <w:szCs w:val="18"/>
              </w:rPr>
              <w:t>Number(%) of MassHealth members in the BCCDP program over time;</w:t>
            </w:r>
          </w:p>
          <w:p w14:paraId="0D3BC6F7" w14:textId="77777777" w:rsidR="0010694D" w:rsidRPr="002576EA" w:rsidRDefault="0010694D"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576EA">
              <w:rPr>
                <w:rFonts w:cstheme="minorHAnsi"/>
                <w:szCs w:val="18"/>
              </w:rPr>
              <w:t>Number (%) of MassHealth members newly receiving MSP through the MSP expansion over time;</w:t>
            </w:r>
          </w:p>
          <w:p w14:paraId="1CA999A8" w14:textId="1A0588B1" w:rsidR="0010694D" w:rsidRPr="002576EA" w:rsidRDefault="0010694D"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576EA">
              <w:rPr>
                <w:rFonts w:cstheme="minorHAnsi"/>
                <w:szCs w:val="18"/>
              </w:rPr>
              <w:t>Number (%) of MassHealth members who are auto-renewed in MassHealth during the re-determination process;</w:t>
            </w:r>
            <w:r w:rsidR="001E3DCB">
              <w:rPr>
                <w:rFonts w:cstheme="minorHAnsi"/>
                <w:szCs w:val="18"/>
              </w:rPr>
              <w:t xml:space="preserve"> </w:t>
            </w:r>
          </w:p>
          <w:p w14:paraId="01A28BB2" w14:textId="616C5578" w:rsidR="00BF2B7F" w:rsidRPr="002576EA" w:rsidRDefault="0010694D"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576EA">
              <w:rPr>
                <w:rFonts w:cstheme="minorHAnsi"/>
                <w:szCs w:val="18"/>
              </w:rPr>
              <w:t>The level of churn between those auto-renewed and not auto-renewed</w:t>
            </w:r>
          </w:p>
        </w:tc>
        <w:tc>
          <w:tcPr>
            <w:tcW w:w="1296" w:type="dxa"/>
          </w:tcPr>
          <w:p w14:paraId="53D5DB78" w14:textId="3328B3B6" w:rsidR="00BF2B7F" w:rsidRPr="002576EA" w:rsidRDefault="00BF2B7F"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576EA">
              <w:rPr>
                <w:rFonts w:cstheme="minorHAnsi"/>
                <w:szCs w:val="18"/>
              </w:rPr>
              <w:lastRenderedPageBreak/>
              <w:t>Descriptive statistics (frequency and percentages)</w:t>
            </w:r>
            <w:r w:rsidR="0069795F">
              <w:rPr>
                <w:rFonts w:cstheme="minorHAnsi"/>
                <w:szCs w:val="18"/>
              </w:rPr>
              <w:t xml:space="preserve"> (</w:t>
            </w:r>
            <w:r w:rsidR="00B12C9C">
              <w:rPr>
                <w:rFonts w:cstheme="minorHAnsi"/>
                <w:szCs w:val="18"/>
              </w:rPr>
              <w:t>m</w:t>
            </w:r>
            <w:r w:rsidR="0069795F">
              <w:rPr>
                <w:rFonts w:cstheme="minorHAnsi"/>
                <w:szCs w:val="18"/>
              </w:rPr>
              <w:t>ember</w:t>
            </w:r>
            <w:r w:rsidRPr="002576EA">
              <w:rPr>
                <w:rFonts w:cstheme="minorHAnsi"/>
                <w:szCs w:val="18"/>
              </w:rPr>
              <w:t xml:space="preserve">); </w:t>
            </w:r>
          </w:p>
          <w:p w14:paraId="6D26D2B1" w14:textId="3B832349" w:rsidR="0010694D" w:rsidRPr="002576EA" w:rsidRDefault="00BF2B7F" w:rsidP="3383C28C">
            <w:pPr>
              <w:pStyle w:val="TableNormal0"/>
              <w:cnfStyle w:val="000000100000" w:firstRow="0" w:lastRow="0" w:firstColumn="0" w:lastColumn="0" w:oddVBand="0" w:evenVBand="0" w:oddHBand="1" w:evenHBand="0" w:firstRowFirstColumn="0" w:firstRowLastColumn="0" w:lastRowFirstColumn="0" w:lastRowLastColumn="0"/>
              <w:rPr>
                <w:rFonts w:cstheme="minorBidi"/>
              </w:rPr>
            </w:pPr>
            <w:r w:rsidRPr="3383C28C">
              <w:rPr>
                <w:rFonts w:cstheme="minorBidi"/>
              </w:rPr>
              <w:t>Subgroup analysis</w:t>
            </w:r>
            <w:r w:rsidR="1B6FA008" w:rsidRPr="3383C28C">
              <w:rPr>
                <w:rFonts w:cstheme="minorBidi"/>
              </w:rPr>
              <w:t xml:space="preserve"> (</w:t>
            </w:r>
            <w:r w:rsidR="00B12C9C">
              <w:rPr>
                <w:rFonts w:cstheme="minorBidi"/>
              </w:rPr>
              <w:t>m</w:t>
            </w:r>
            <w:r w:rsidR="1B6FA008" w:rsidRPr="3383C28C">
              <w:rPr>
                <w:rFonts w:cstheme="minorBidi"/>
              </w:rPr>
              <w:t>ember)</w:t>
            </w:r>
            <w:r w:rsidR="7C97191C" w:rsidRPr="3383C28C">
              <w:rPr>
                <w:rFonts w:cstheme="minorBidi"/>
              </w:rPr>
              <w:t>;</w:t>
            </w:r>
            <w:r w:rsidRPr="3383C28C">
              <w:rPr>
                <w:rFonts w:cstheme="minorBidi"/>
              </w:rPr>
              <w:t xml:space="preserve"> </w:t>
            </w:r>
          </w:p>
          <w:p w14:paraId="1D191FF5" w14:textId="77777777" w:rsidR="00BF2B7F" w:rsidRDefault="0010694D"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576EA">
              <w:rPr>
                <w:rFonts w:cstheme="minorHAnsi"/>
                <w:szCs w:val="18"/>
              </w:rPr>
              <w:t>Thematic analysis</w:t>
            </w:r>
            <w:r w:rsidR="00746823">
              <w:rPr>
                <w:rFonts w:cstheme="minorHAnsi"/>
                <w:szCs w:val="18"/>
              </w:rPr>
              <w:t xml:space="preserve"> </w:t>
            </w:r>
          </w:p>
          <w:p w14:paraId="4E516016" w14:textId="30ED7D04" w:rsidR="00BF2B7F" w:rsidRPr="002576EA" w:rsidRDefault="00746823"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Pr>
                <w:rFonts w:cstheme="minorHAnsi"/>
                <w:szCs w:val="18"/>
              </w:rPr>
              <w:t>(</w:t>
            </w:r>
            <w:r w:rsidR="00B12C9C">
              <w:rPr>
                <w:rFonts w:cstheme="minorHAnsi"/>
                <w:szCs w:val="18"/>
              </w:rPr>
              <w:t>m</w:t>
            </w:r>
            <w:r>
              <w:rPr>
                <w:rFonts w:cstheme="minorHAnsi"/>
                <w:szCs w:val="18"/>
              </w:rPr>
              <w:t>ember)</w:t>
            </w:r>
          </w:p>
        </w:tc>
      </w:tr>
      <w:tr w:rsidR="00E64FD8" w:rsidRPr="002576EA" w14:paraId="2F03BBAD" w14:textId="77777777" w:rsidTr="3383C28C">
        <w:trPr>
          <w:trHeight w:val="575"/>
        </w:trPr>
        <w:tc>
          <w:tcPr>
            <w:cnfStyle w:val="001000000000" w:firstRow="0" w:lastRow="0" w:firstColumn="1" w:lastColumn="0" w:oddVBand="0" w:evenVBand="0" w:oddHBand="0" w:evenHBand="0" w:firstRowFirstColumn="0" w:firstRowLastColumn="0" w:lastRowFirstColumn="0" w:lastRowLastColumn="0"/>
            <w:tcW w:w="1525" w:type="dxa"/>
            <w:hideMark/>
          </w:tcPr>
          <w:p w14:paraId="65E32945" w14:textId="21E1BF99" w:rsidR="00BF2B7F" w:rsidRPr="002576EA" w:rsidRDefault="00BF2B7F" w:rsidP="001518DA">
            <w:pPr>
              <w:pStyle w:val="TableNormal0"/>
              <w:rPr>
                <w:rFonts w:cstheme="minorHAnsi"/>
                <w:szCs w:val="18"/>
              </w:rPr>
            </w:pPr>
            <w:r w:rsidRPr="002576EA">
              <w:rPr>
                <w:rFonts w:cstheme="minorHAnsi"/>
                <w:szCs w:val="18"/>
              </w:rPr>
              <w:t>RQ</w:t>
            </w:r>
            <w:r w:rsidR="00E11DAA" w:rsidRPr="002576EA">
              <w:rPr>
                <w:rFonts w:cstheme="minorHAnsi"/>
                <w:szCs w:val="18"/>
              </w:rPr>
              <w:t>1-2</w:t>
            </w:r>
            <w:r w:rsidRPr="002576EA">
              <w:rPr>
                <w:rFonts w:cstheme="minorHAnsi"/>
                <w:szCs w:val="18"/>
              </w:rPr>
              <w:t xml:space="preserve"> Have premium assistance and </w:t>
            </w:r>
            <w:r w:rsidR="008E504B" w:rsidRPr="002576EA">
              <w:rPr>
                <w:rFonts w:cstheme="minorHAnsi"/>
                <w:szCs w:val="18"/>
              </w:rPr>
              <w:t>cost</w:t>
            </w:r>
            <w:r w:rsidR="008E504B">
              <w:rPr>
                <w:rFonts w:cstheme="minorHAnsi"/>
                <w:szCs w:val="18"/>
              </w:rPr>
              <w:t>-</w:t>
            </w:r>
            <w:r w:rsidRPr="002576EA">
              <w:rPr>
                <w:rFonts w:cstheme="minorHAnsi"/>
                <w:szCs w:val="18"/>
              </w:rPr>
              <w:t xml:space="preserve">sharing programs supported continued coverage in the Demonstration? </w:t>
            </w:r>
          </w:p>
        </w:tc>
        <w:tc>
          <w:tcPr>
            <w:tcW w:w="2340" w:type="dxa"/>
            <w:hideMark/>
          </w:tcPr>
          <w:p w14:paraId="56B33A78" w14:textId="6C800C73" w:rsidR="00BF2B7F" w:rsidRPr="002576EA" w:rsidRDefault="00BF2B7F" w:rsidP="001518D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576EA">
              <w:rPr>
                <w:rFonts w:cstheme="minorHAnsi"/>
                <w:szCs w:val="18"/>
              </w:rPr>
              <w:t>H</w:t>
            </w:r>
            <w:r w:rsidR="00E11DAA" w:rsidRPr="002576EA">
              <w:rPr>
                <w:rFonts w:cstheme="minorHAnsi"/>
                <w:szCs w:val="18"/>
              </w:rPr>
              <w:t>1</w:t>
            </w:r>
            <w:r w:rsidR="008679A4" w:rsidRPr="002576EA">
              <w:rPr>
                <w:rFonts w:cstheme="minorHAnsi"/>
                <w:szCs w:val="18"/>
              </w:rPr>
              <w:t>-2.</w:t>
            </w:r>
            <w:r w:rsidRPr="002576EA">
              <w:rPr>
                <w:rFonts w:cstheme="minorHAnsi"/>
                <w:szCs w:val="18"/>
              </w:rPr>
              <w:t>1</w:t>
            </w:r>
            <w:r w:rsidRPr="002576EA" w:rsidDel="006875AA">
              <w:rPr>
                <w:rFonts w:cstheme="minorHAnsi"/>
                <w:szCs w:val="18"/>
              </w:rPr>
              <w:t xml:space="preserve"> </w:t>
            </w:r>
            <w:r w:rsidRPr="002576EA">
              <w:rPr>
                <w:rFonts w:cstheme="minorHAnsi"/>
                <w:szCs w:val="18"/>
              </w:rPr>
              <w:t xml:space="preserve">The enrollment in private health insurance through MassHealth’s premium assistance and/or </w:t>
            </w:r>
            <w:r w:rsidR="008E504B" w:rsidRPr="002576EA">
              <w:rPr>
                <w:rFonts w:cstheme="minorHAnsi"/>
                <w:szCs w:val="18"/>
              </w:rPr>
              <w:t>cost</w:t>
            </w:r>
            <w:r w:rsidR="008E504B">
              <w:rPr>
                <w:rFonts w:cstheme="minorHAnsi"/>
                <w:szCs w:val="18"/>
              </w:rPr>
              <w:t>-</w:t>
            </w:r>
            <w:r w:rsidRPr="002576EA">
              <w:rPr>
                <w:rFonts w:cstheme="minorHAnsi"/>
                <w:szCs w:val="18"/>
              </w:rPr>
              <w:t xml:space="preserve">sharing has been maintained. </w:t>
            </w:r>
          </w:p>
        </w:tc>
        <w:tc>
          <w:tcPr>
            <w:tcW w:w="1890" w:type="dxa"/>
            <w:hideMark/>
          </w:tcPr>
          <w:p w14:paraId="52BDED6A" w14:textId="6AC4B50D" w:rsidR="00936A2B" w:rsidRDefault="007A6F97" w:rsidP="00282E62">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EA6756">
              <w:rPr>
                <w:rFonts w:cstheme="minorHAnsi"/>
                <w:szCs w:val="18"/>
              </w:rPr>
              <w:t>Medicaid enrollment and eligibility data</w:t>
            </w:r>
          </w:p>
          <w:p w14:paraId="63379119" w14:textId="21FFD67B" w:rsidR="00936A2B" w:rsidRPr="002576EA" w:rsidRDefault="00936A2B" w:rsidP="001518D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936A2B">
              <w:rPr>
                <w:rFonts w:cstheme="minorHAnsi"/>
                <w:szCs w:val="18"/>
              </w:rPr>
              <w:t>MassHealth programmatic enrollment reports;</w:t>
            </w:r>
          </w:p>
          <w:p w14:paraId="0632F748" w14:textId="269D85CF" w:rsidR="00BF2B7F" w:rsidRPr="002576EA" w:rsidRDefault="00BF2B7F" w:rsidP="001518DA">
            <w:pPr>
              <w:pStyle w:val="TableNormal0"/>
              <w:cnfStyle w:val="000000000000" w:firstRow="0" w:lastRow="0" w:firstColumn="0" w:lastColumn="0" w:oddVBand="0" w:evenVBand="0" w:oddHBand="0" w:evenHBand="0" w:firstRowFirstColumn="0" w:firstRowLastColumn="0" w:lastRowFirstColumn="0" w:lastRowLastColumn="0"/>
            </w:pPr>
          </w:p>
        </w:tc>
        <w:tc>
          <w:tcPr>
            <w:tcW w:w="2340" w:type="dxa"/>
          </w:tcPr>
          <w:p w14:paraId="6C4533FC" w14:textId="77777777" w:rsidR="00BF2B7F" w:rsidRPr="002576EA" w:rsidRDefault="00BF2B7F" w:rsidP="001518D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576EA">
              <w:rPr>
                <w:rFonts w:cstheme="minorHAnsi"/>
                <w:szCs w:val="18"/>
              </w:rPr>
              <w:t xml:space="preserve">MassHealth members enrolled in private health insurance (e.g., employer-sponsored insurance); </w:t>
            </w:r>
          </w:p>
          <w:p w14:paraId="35E8388B" w14:textId="52521F89" w:rsidR="00BF2B7F" w:rsidRPr="002576EA" w:rsidRDefault="00BF2B7F" w:rsidP="001518D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576EA">
              <w:rPr>
                <w:rFonts w:cstheme="minorHAnsi"/>
                <w:szCs w:val="18"/>
              </w:rPr>
              <w:t>Individuals enrolled in ConnectorCare</w:t>
            </w:r>
            <w:r w:rsidR="00AB4507">
              <w:rPr>
                <w:rFonts w:cstheme="minorHAnsi"/>
                <w:szCs w:val="18"/>
              </w:rPr>
              <w:t xml:space="preserve"> </w:t>
            </w:r>
          </w:p>
        </w:tc>
        <w:tc>
          <w:tcPr>
            <w:tcW w:w="4145" w:type="dxa"/>
            <w:hideMark/>
          </w:tcPr>
          <w:p w14:paraId="28CDF8DA" w14:textId="77777777" w:rsidR="00BF2B7F" w:rsidRPr="002576EA" w:rsidRDefault="00BF2B7F" w:rsidP="001518D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576EA">
              <w:rPr>
                <w:rFonts w:cstheme="minorHAnsi"/>
                <w:szCs w:val="18"/>
              </w:rPr>
              <w:t>Number (%) of MassHealth members in Standard, CarePlus, CommonHealth, and Family Assistance receiving premium assistance for ESI over time;</w:t>
            </w:r>
          </w:p>
          <w:p w14:paraId="00D07A32" w14:textId="04231452" w:rsidR="00BF2B7F" w:rsidRPr="002576EA" w:rsidRDefault="00BF2B7F" w:rsidP="001518D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576EA">
              <w:rPr>
                <w:rFonts w:cstheme="minorHAnsi"/>
                <w:szCs w:val="18"/>
              </w:rPr>
              <w:t>Number</w:t>
            </w:r>
            <w:r w:rsidR="00A317CD" w:rsidRPr="002576EA">
              <w:rPr>
                <w:rFonts w:cstheme="minorHAnsi"/>
                <w:szCs w:val="18"/>
              </w:rPr>
              <w:t xml:space="preserve"> (%)</w:t>
            </w:r>
            <w:r w:rsidRPr="002576EA">
              <w:rPr>
                <w:rFonts w:cstheme="minorHAnsi"/>
                <w:szCs w:val="18"/>
              </w:rPr>
              <w:t xml:space="preserve"> of individuals enrolled in ConnectorCare through cost</w:t>
            </w:r>
            <w:r w:rsidR="008E504B">
              <w:rPr>
                <w:rFonts w:cstheme="minorHAnsi"/>
                <w:szCs w:val="18"/>
              </w:rPr>
              <w:t>-</w:t>
            </w:r>
            <w:r w:rsidRPr="002576EA">
              <w:rPr>
                <w:rFonts w:cstheme="minorHAnsi"/>
                <w:szCs w:val="18"/>
              </w:rPr>
              <w:t xml:space="preserve">sharing subsidies over time; </w:t>
            </w:r>
          </w:p>
          <w:p w14:paraId="58EC9014" w14:textId="379D9B2E" w:rsidR="00BF2B7F" w:rsidRPr="002576EA" w:rsidRDefault="00BF2B7F" w:rsidP="001518DA">
            <w:pPr>
              <w:pStyle w:val="TableNormal0"/>
              <w:cnfStyle w:val="000000000000" w:firstRow="0" w:lastRow="0" w:firstColumn="0" w:lastColumn="0" w:oddVBand="0" w:evenVBand="0" w:oddHBand="0" w:evenHBand="0" w:firstRowFirstColumn="0" w:firstRowLastColumn="0" w:lastRowFirstColumn="0" w:lastRowLastColumn="0"/>
            </w:pPr>
          </w:p>
        </w:tc>
        <w:tc>
          <w:tcPr>
            <w:tcW w:w="1296" w:type="dxa"/>
          </w:tcPr>
          <w:p w14:paraId="066026C9" w14:textId="0B2B4656" w:rsidR="00BF2B7F" w:rsidRPr="002576EA" w:rsidRDefault="00BF2B7F" w:rsidP="001518D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576EA">
              <w:rPr>
                <w:rFonts w:cstheme="minorHAnsi"/>
                <w:szCs w:val="18"/>
              </w:rPr>
              <w:t>Descriptive statistics (frequency and percentages)</w:t>
            </w:r>
            <w:r w:rsidR="00801525">
              <w:rPr>
                <w:rFonts w:cstheme="minorHAnsi"/>
                <w:szCs w:val="18"/>
              </w:rPr>
              <w:t xml:space="preserve"> (</w:t>
            </w:r>
            <w:r w:rsidR="00B12C9C">
              <w:rPr>
                <w:rFonts w:cstheme="minorHAnsi"/>
                <w:szCs w:val="18"/>
              </w:rPr>
              <w:t>m</w:t>
            </w:r>
            <w:r w:rsidR="00801525">
              <w:rPr>
                <w:rFonts w:cstheme="minorHAnsi"/>
                <w:szCs w:val="18"/>
              </w:rPr>
              <w:t>ember</w:t>
            </w:r>
            <w:r w:rsidRPr="002576EA">
              <w:rPr>
                <w:rFonts w:cstheme="minorHAnsi"/>
                <w:szCs w:val="18"/>
              </w:rPr>
              <w:t>)</w:t>
            </w:r>
          </w:p>
          <w:p w14:paraId="31BCB1F4" w14:textId="163612E2" w:rsidR="00BF2B7F" w:rsidRPr="002576EA" w:rsidRDefault="00BF2B7F" w:rsidP="001518D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576EA">
              <w:rPr>
                <w:rFonts w:cstheme="minorHAnsi"/>
                <w:szCs w:val="18"/>
              </w:rPr>
              <w:t xml:space="preserve"> </w:t>
            </w:r>
          </w:p>
        </w:tc>
      </w:tr>
      <w:tr w:rsidR="00E64FD8" w:rsidRPr="002576EA" w14:paraId="1F77924A" w14:textId="77777777" w:rsidTr="3383C28C">
        <w:trPr>
          <w:cnfStyle w:val="000000100000" w:firstRow="0" w:lastRow="0" w:firstColumn="0" w:lastColumn="0" w:oddVBand="0" w:evenVBand="0" w:oddHBand="1" w:evenHBand="0" w:firstRowFirstColumn="0" w:firstRowLastColumn="0" w:lastRowFirstColumn="0" w:lastRowLastColumn="0"/>
          <w:trHeight w:val="1728"/>
        </w:trPr>
        <w:tc>
          <w:tcPr>
            <w:cnfStyle w:val="001000000000" w:firstRow="0" w:lastRow="0" w:firstColumn="1" w:lastColumn="0" w:oddVBand="0" w:evenVBand="0" w:oddHBand="0" w:evenHBand="0" w:firstRowFirstColumn="0" w:firstRowLastColumn="0" w:lastRowFirstColumn="0" w:lastRowLastColumn="0"/>
            <w:tcW w:w="1525" w:type="dxa"/>
            <w:hideMark/>
          </w:tcPr>
          <w:p w14:paraId="69619553" w14:textId="337F2013" w:rsidR="00BF2B7F" w:rsidRPr="002576EA" w:rsidRDefault="00BF2B7F" w:rsidP="001518DA">
            <w:pPr>
              <w:pStyle w:val="TableNormal0"/>
              <w:rPr>
                <w:rFonts w:cstheme="minorHAnsi"/>
                <w:szCs w:val="18"/>
              </w:rPr>
            </w:pPr>
            <w:r w:rsidRPr="002576EA">
              <w:rPr>
                <w:rFonts w:cstheme="minorHAnsi"/>
                <w:szCs w:val="18"/>
              </w:rPr>
              <w:t>RQ</w:t>
            </w:r>
            <w:r w:rsidR="00E11DAA" w:rsidRPr="002576EA">
              <w:rPr>
                <w:rFonts w:cstheme="minorHAnsi"/>
                <w:szCs w:val="18"/>
              </w:rPr>
              <w:t>1-</w:t>
            </w:r>
            <w:r w:rsidRPr="002576EA">
              <w:rPr>
                <w:rFonts w:cstheme="minorHAnsi"/>
                <w:szCs w:val="18"/>
              </w:rPr>
              <w:t>3 Has RE coverage of 90 days for children and pregnant individuals impacted an individual</w:t>
            </w:r>
            <w:r w:rsidR="00C46D1B">
              <w:rPr>
                <w:rFonts w:cstheme="minorHAnsi"/>
                <w:szCs w:val="18"/>
              </w:rPr>
              <w:t>’</w:t>
            </w:r>
            <w:r w:rsidRPr="002576EA">
              <w:rPr>
                <w:rFonts w:cstheme="minorHAnsi"/>
                <w:szCs w:val="18"/>
              </w:rPr>
              <w:t xml:space="preserve">s </w:t>
            </w:r>
            <w:r w:rsidRPr="002576EA">
              <w:rPr>
                <w:rFonts w:cstheme="minorHAnsi"/>
                <w:szCs w:val="18"/>
              </w:rPr>
              <w:lastRenderedPageBreak/>
              <w:t>MassHealth enrollment?</w:t>
            </w:r>
          </w:p>
        </w:tc>
        <w:tc>
          <w:tcPr>
            <w:tcW w:w="2340" w:type="dxa"/>
            <w:hideMark/>
          </w:tcPr>
          <w:p w14:paraId="293EB3C8" w14:textId="161331A9" w:rsidR="00BF2B7F" w:rsidRPr="002576EA" w:rsidRDefault="00BF2B7F" w:rsidP="001518DA">
            <w:pPr>
              <w:pStyle w:val="TableNormal0"/>
              <w:cnfStyle w:val="000000100000" w:firstRow="0" w:lastRow="0" w:firstColumn="0" w:lastColumn="0" w:oddVBand="0" w:evenVBand="0" w:oddHBand="1" w:evenHBand="0" w:firstRowFirstColumn="0" w:firstRowLastColumn="0" w:lastRowFirstColumn="0" w:lastRowLastColumn="0"/>
              <w:rPr>
                <w:rFonts w:cstheme="minorBidi"/>
              </w:rPr>
            </w:pPr>
            <w:r w:rsidRPr="3159DE32">
              <w:rPr>
                <w:rFonts w:cstheme="minorBidi"/>
              </w:rPr>
              <w:lastRenderedPageBreak/>
              <w:t>H</w:t>
            </w:r>
            <w:r w:rsidR="003F42F2" w:rsidRPr="3159DE32">
              <w:rPr>
                <w:rFonts w:cstheme="minorBidi"/>
              </w:rPr>
              <w:t>1</w:t>
            </w:r>
            <w:r w:rsidR="008679A4" w:rsidRPr="3159DE32">
              <w:rPr>
                <w:rFonts w:cstheme="minorBidi"/>
              </w:rPr>
              <w:t>-3.</w:t>
            </w:r>
            <w:r w:rsidRPr="3159DE32">
              <w:rPr>
                <w:rFonts w:cstheme="minorBidi"/>
              </w:rPr>
              <w:t>1 Increasing the RE coverage from 10 to 90 days</w:t>
            </w:r>
            <w:r w:rsidR="005453A9" w:rsidRPr="3159DE32">
              <w:rPr>
                <w:rFonts w:cstheme="minorBidi"/>
              </w:rPr>
              <w:t xml:space="preserve"> for children and pregnant members</w:t>
            </w:r>
            <w:r w:rsidRPr="3159DE32">
              <w:rPr>
                <w:rFonts w:cstheme="minorBidi"/>
              </w:rPr>
              <w:t xml:space="preserve"> increased the likelihood of enrollment and enrollment continuity.</w:t>
            </w:r>
          </w:p>
        </w:tc>
        <w:tc>
          <w:tcPr>
            <w:tcW w:w="1890" w:type="dxa"/>
            <w:hideMark/>
          </w:tcPr>
          <w:p w14:paraId="36CB0331" w14:textId="2CD8DB69" w:rsidR="00BF2B7F" w:rsidRPr="002576EA" w:rsidRDefault="007A6F97"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EA6756">
              <w:rPr>
                <w:rFonts w:cstheme="minorHAnsi"/>
                <w:szCs w:val="18"/>
              </w:rPr>
              <w:t>MassHealth programmatic enrollment reports (201</w:t>
            </w:r>
            <w:r w:rsidR="00D23D18">
              <w:rPr>
                <w:rFonts w:cstheme="minorHAnsi"/>
                <w:szCs w:val="18"/>
              </w:rPr>
              <w:t>5</w:t>
            </w:r>
            <w:r w:rsidRPr="00EA6756">
              <w:rPr>
                <w:rFonts w:cstheme="minorHAnsi"/>
                <w:szCs w:val="18"/>
              </w:rPr>
              <w:t xml:space="preserve"> – 2027);</w:t>
            </w:r>
          </w:p>
        </w:tc>
        <w:tc>
          <w:tcPr>
            <w:tcW w:w="2340" w:type="dxa"/>
          </w:tcPr>
          <w:p w14:paraId="1D96C5A2" w14:textId="6D22462A" w:rsidR="00BF2B7F" w:rsidRPr="002576EA" w:rsidRDefault="00BF2B7F"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576EA">
              <w:rPr>
                <w:rFonts w:cstheme="minorHAnsi"/>
                <w:szCs w:val="18"/>
              </w:rPr>
              <w:t>MassHealth members who receive 90 days of RE coverage</w:t>
            </w:r>
          </w:p>
        </w:tc>
        <w:tc>
          <w:tcPr>
            <w:tcW w:w="4145" w:type="dxa"/>
            <w:hideMark/>
          </w:tcPr>
          <w:p w14:paraId="19FABCC9" w14:textId="3876DEF6" w:rsidR="00BF2B7F" w:rsidRPr="002576EA" w:rsidRDefault="00BF2B7F"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576EA">
              <w:rPr>
                <w:rFonts w:cstheme="minorHAnsi"/>
                <w:szCs w:val="18"/>
              </w:rPr>
              <w:t xml:space="preserve">Number of children and pregnant Medicaid members by eligibility group and their probability </w:t>
            </w:r>
            <w:r w:rsidR="00706F80" w:rsidRPr="002576EA">
              <w:rPr>
                <w:rFonts w:cstheme="minorHAnsi"/>
                <w:szCs w:val="18"/>
              </w:rPr>
              <w:t xml:space="preserve">(%) </w:t>
            </w:r>
            <w:r w:rsidRPr="002576EA">
              <w:rPr>
                <w:rFonts w:cstheme="minorHAnsi"/>
                <w:szCs w:val="18"/>
              </w:rPr>
              <w:t>of remaining enrolled in Medicaid for 12-, 18-</w:t>
            </w:r>
            <w:r w:rsidR="002C5202" w:rsidRPr="002576EA">
              <w:rPr>
                <w:rFonts w:cstheme="minorHAnsi"/>
                <w:szCs w:val="18"/>
              </w:rPr>
              <w:t>,</w:t>
            </w:r>
            <w:r w:rsidRPr="002576EA">
              <w:rPr>
                <w:rFonts w:cstheme="minorHAnsi"/>
                <w:szCs w:val="18"/>
              </w:rPr>
              <w:t xml:space="preserve"> and 24-consecutive months</w:t>
            </w:r>
          </w:p>
        </w:tc>
        <w:tc>
          <w:tcPr>
            <w:tcW w:w="1296" w:type="dxa"/>
          </w:tcPr>
          <w:p w14:paraId="2DCCCBD3" w14:textId="27988093" w:rsidR="007A6F97" w:rsidRDefault="00BF2B7F" w:rsidP="001518DA">
            <w:pPr>
              <w:pStyle w:val="TableNormal0"/>
              <w:cnfStyle w:val="000000100000" w:firstRow="0" w:lastRow="0" w:firstColumn="0" w:lastColumn="0" w:oddVBand="0" w:evenVBand="0" w:oddHBand="1" w:evenHBand="0" w:firstRowFirstColumn="0" w:firstRowLastColumn="0" w:lastRowFirstColumn="0" w:lastRowLastColumn="0"/>
            </w:pPr>
            <w:r>
              <w:t>Descriptive statistics (frequency and percentages</w:t>
            </w:r>
            <w:r w:rsidR="0044654C">
              <w:t>; interrupted time series</w:t>
            </w:r>
            <w:r>
              <w:t>)</w:t>
            </w:r>
          </w:p>
          <w:p w14:paraId="432938DF" w14:textId="1666031E" w:rsidR="00BF2B7F" w:rsidRPr="002576EA" w:rsidRDefault="00746823"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Pr>
                <w:rFonts w:cstheme="minorHAnsi"/>
                <w:szCs w:val="18"/>
              </w:rPr>
              <w:t>(</w:t>
            </w:r>
            <w:r w:rsidR="00B12C9C">
              <w:rPr>
                <w:rFonts w:cstheme="minorHAnsi"/>
                <w:szCs w:val="18"/>
              </w:rPr>
              <w:t>m</w:t>
            </w:r>
            <w:r>
              <w:rPr>
                <w:rFonts w:cstheme="minorHAnsi"/>
                <w:szCs w:val="18"/>
              </w:rPr>
              <w:t>ember)</w:t>
            </w:r>
          </w:p>
        </w:tc>
      </w:tr>
      <w:tr w:rsidR="00E64FD8" w:rsidRPr="002576EA" w14:paraId="2EBD8863" w14:textId="77777777" w:rsidTr="3383C28C">
        <w:trPr>
          <w:trHeight w:val="548"/>
        </w:trPr>
        <w:tc>
          <w:tcPr>
            <w:cnfStyle w:val="001000000000" w:firstRow="0" w:lastRow="0" w:firstColumn="1" w:lastColumn="0" w:oddVBand="0" w:evenVBand="0" w:oddHBand="0" w:evenHBand="0" w:firstRowFirstColumn="0" w:firstRowLastColumn="0" w:lastRowFirstColumn="0" w:lastRowLastColumn="0"/>
            <w:tcW w:w="1525" w:type="dxa"/>
          </w:tcPr>
          <w:p w14:paraId="4933DB1A" w14:textId="629263AC" w:rsidR="00BF2B7F" w:rsidRPr="002576EA" w:rsidRDefault="475E9F6E" w:rsidP="001518DA">
            <w:pPr>
              <w:pStyle w:val="TableNormal0"/>
              <w:rPr>
                <w:b w:val="0"/>
                <w:bCs w:val="0"/>
              </w:rPr>
            </w:pPr>
            <w:r>
              <w:t>RQ</w:t>
            </w:r>
            <w:r w:rsidR="3A2630B5">
              <w:t>1-4</w:t>
            </w:r>
            <w:r>
              <w:t xml:space="preserve"> What is the impact of the RE waiver on the level of medical bills for members subject to the RE waiver?</w:t>
            </w:r>
          </w:p>
        </w:tc>
        <w:tc>
          <w:tcPr>
            <w:tcW w:w="2340" w:type="dxa"/>
          </w:tcPr>
          <w:p w14:paraId="14949B30" w14:textId="1EA7229B" w:rsidR="00E6581A" w:rsidRPr="002576EA" w:rsidRDefault="00BF2B7F" w:rsidP="001518D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576EA">
              <w:rPr>
                <w:rFonts w:cstheme="minorHAnsi"/>
                <w:szCs w:val="18"/>
              </w:rPr>
              <w:t>H</w:t>
            </w:r>
            <w:r w:rsidR="002A3EEB" w:rsidRPr="002576EA">
              <w:rPr>
                <w:rFonts w:cstheme="minorHAnsi"/>
                <w:szCs w:val="18"/>
              </w:rPr>
              <w:t>1</w:t>
            </w:r>
            <w:r w:rsidR="008679A4" w:rsidRPr="002576EA">
              <w:rPr>
                <w:rFonts w:cstheme="minorHAnsi"/>
                <w:szCs w:val="18"/>
              </w:rPr>
              <w:t>-4.</w:t>
            </w:r>
            <w:r w:rsidR="00FE342A" w:rsidRPr="002576EA">
              <w:rPr>
                <w:rFonts w:cstheme="minorHAnsi"/>
                <w:szCs w:val="18"/>
              </w:rPr>
              <w:t>1</w:t>
            </w:r>
            <w:r w:rsidRPr="002576EA">
              <w:rPr>
                <w:rFonts w:cstheme="minorHAnsi"/>
                <w:szCs w:val="18"/>
              </w:rPr>
              <w:t xml:space="preserve"> Increasing the RE coverage from 10 to 90 days for </w:t>
            </w:r>
            <w:r w:rsidR="00AF1957" w:rsidRPr="002576EA">
              <w:rPr>
                <w:rFonts w:cstheme="minorHAnsi"/>
                <w:szCs w:val="18"/>
              </w:rPr>
              <w:t xml:space="preserve">children and </w:t>
            </w:r>
            <w:r w:rsidRPr="002576EA">
              <w:rPr>
                <w:rFonts w:cstheme="minorHAnsi"/>
                <w:szCs w:val="18"/>
              </w:rPr>
              <w:t>pregnant members will result in a lesser financial burden on those members</w:t>
            </w:r>
            <w:r w:rsidR="001F7370" w:rsidRPr="002576EA">
              <w:rPr>
                <w:rFonts w:cstheme="minorHAnsi"/>
                <w:szCs w:val="18"/>
              </w:rPr>
              <w:t>.</w:t>
            </w:r>
          </w:p>
          <w:p w14:paraId="65695374" w14:textId="67CF2097" w:rsidR="00BF2B7F" w:rsidRPr="002576EA" w:rsidRDefault="4B45F0DC" w:rsidP="001518DA">
            <w:pPr>
              <w:pStyle w:val="TableNormal0"/>
              <w:cnfStyle w:val="000000000000" w:firstRow="0" w:lastRow="0" w:firstColumn="0" w:lastColumn="0" w:oddVBand="0" w:evenVBand="0" w:oddHBand="0" w:evenHBand="0" w:firstRowFirstColumn="0" w:firstRowLastColumn="0" w:lastRowFirstColumn="0" w:lastRowLastColumn="0"/>
            </w:pPr>
            <w:r>
              <w:t>H</w:t>
            </w:r>
            <w:r w:rsidR="628C8963">
              <w:t>1</w:t>
            </w:r>
            <w:r w:rsidR="079E4912">
              <w:t>-4.</w:t>
            </w:r>
            <w:r w:rsidR="02F62EF2">
              <w:t>2</w:t>
            </w:r>
            <w:r>
              <w:t xml:space="preserve"> Members subject to the RE waiver </w:t>
            </w:r>
            <w:r w:rsidR="2768EDFE">
              <w:t xml:space="preserve">of 10-day </w:t>
            </w:r>
            <w:r w:rsidR="39B2AEF5">
              <w:t>retro</w:t>
            </w:r>
            <w:r w:rsidR="13A1A685">
              <w:t xml:space="preserve">active </w:t>
            </w:r>
            <w:r w:rsidR="2768EDFE">
              <w:t xml:space="preserve"> coverage </w:t>
            </w:r>
            <w:r>
              <w:t xml:space="preserve">will have </w:t>
            </w:r>
            <w:r w:rsidR="49763775">
              <w:t>higher</w:t>
            </w:r>
            <w:r>
              <w:t xml:space="preserve"> debt levels than </w:t>
            </w:r>
            <w:r w:rsidR="0D055636">
              <w:t xml:space="preserve">MassHealth </w:t>
            </w:r>
            <w:r w:rsidR="63F8A5BA">
              <w:t>members</w:t>
            </w:r>
            <w:r w:rsidR="57A4ADE4">
              <w:t xml:space="preserve"> and </w:t>
            </w:r>
            <w:r>
              <w:t xml:space="preserve">members in states without an RE waiver </w:t>
            </w:r>
            <w:r w:rsidR="072DA4A0">
              <w:t>who</w:t>
            </w:r>
            <w:r w:rsidR="2768EDFE">
              <w:t xml:space="preserve"> receive 90</w:t>
            </w:r>
            <w:r w:rsidR="158EFE89">
              <w:t>-</w:t>
            </w:r>
            <w:r w:rsidR="2768EDFE">
              <w:t xml:space="preserve">day </w:t>
            </w:r>
            <w:r w:rsidR="39B2AEF5">
              <w:t>retro</w:t>
            </w:r>
            <w:r w:rsidR="6A6AD7EA">
              <w:t xml:space="preserve">active </w:t>
            </w:r>
            <w:r w:rsidR="2768EDFE">
              <w:t xml:space="preserve"> coverage </w:t>
            </w:r>
            <w:r>
              <w:t>(if feasible to recruit Medicaid members from other states</w:t>
            </w:r>
            <w:r w:rsidR="44862387">
              <w:t xml:space="preserve"> and/or </w:t>
            </w:r>
            <w:r w:rsidR="467DE50D">
              <w:t>interview with stakeholders</w:t>
            </w:r>
            <w:r>
              <w:t xml:space="preserve">) </w:t>
            </w:r>
          </w:p>
        </w:tc>
        <w:tc>
          <w:tcPr>
            <w:tcW w:w="1890" w:type="dxa"/>
          </w:tcPr>
          <w:p w14:paraId="3E403E3B" w14:textId="2AEC4FA0" w:rsidR="00BF2B7F" w:rsidRPr="002576EA" w:rsidRDefault="00BF2B7F" w:rsidP="001518D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576EA">
              <w:rPr>
                <w:rFonts w:cstheme="minorHAnsi"/>
                <w:szCs w:val="18"/>
              </w:rPr>
              <w:t>Qualitative member interviews/focus groups</w:t>
            </w:r>
            <w:r w:rsidR="00E6581A" w:rsidRPr="002576EA">
              <w:rPr>
                <w:rFonts w:cstheme="minorHAnsi"/>
                <w:szCs w:val="18"/>
              </w:rPr>
              <w:t xml:space="preserve"> (if data feasible to collect</w:t>
            </w:r>
            <w:r w:rsidR="007A6F97">
              <w:rPr>
                <w:rFonts w:cstheme="minorHAnsi"/>
                <w:szCs w:val="18"/>
              </w:rPr>
              <w:t xml:space="preserve">, </w:t>
            </w:r>
            <w:r w:rsidR="002243C7">
              <w:rPr>
                <w:rFonts w:cstheme="minorHAnsi"/>
                <w:szCs w:val="18"/>
              </w:rPr>
              <w:t>20</w:t>
            </w:r>
            <w:r w:rsidR="007A6F97">
              <w:rPr>
                <w:rFonts w:cstheme="minorHAnsi"/>
                <w:szCs w:val="18"/>
              </w:rPr>
              <w:t xml:space="preserve">25, </w:t>
            </w:r>
            <w:r w:rsidR="002243C7">
              <w:rPr>
                <w:rFonts w:cstheme="minorHAnsi"/>
                <w:szCs w:val="18"/>
              </w:rPr>
              <w:t>20</w:t>
            </w:r>
            <w:r w:rsidR="007A6F97">
              <w:rPr>
                <w:rFonts w:cstheme="minorHAnsi"/>
                <w:szCs w:val="18"/>
              </w:rPr>
              <w:t>27</w:t>
            </w:r>
            <w:r w:rsidR="00E6581A" w:rsidRPr="002576EA">
              <w:rPr>
                <w:rFonts w:cstheme="minorHAnsi"/>
                <w:szCs w:val="18"/>
              </w:rPr>
              <w:t>)</w:t>
            </w:r>
            <w:r w:rsidR="002E7F4F" w:rsidRPr="002576EA">
              <w:rPr>
                <w:rFonts w:cstheme="minorHAnsi"/>
                <w:szCs w:val="18"/>
              </w:rPr>
              <w:t>;</w:t>
            </w:r>
          </w:p>
          <w:p w14:paraId="182242F3" w14:textId="77777777" w:rsidR="005F77C9" w:rsidRDefault="002E7F4F" w:rsidP="001518DA">
            <w:pPr>
              <w:pStyle w:val="TableNormal0"/>
              <w:cnfStyle w:val="000000000000" w:firstRow="0" w:lastRow="0" w:firstColumn="0" w:lastColumn="0" w:oddVBand="0" w:evenVBand="0" w:oddHBand="0" w:evenHBand="0" w:firstRowFirstColumn="0" w:firstRowLastColumn="0" w:lastRowFirstColumn="0" w:lastRowLastColumn="0"/>
            </w:pPr>
            <w:r w:rsidRPr="752C1EB3">
              <w:t>Program staff/stakeholder interviews</w:t>
            </w:r>
            <w:r w:rsidR="005F77C9">
              <w:t>;</w:t>
            </w:r>
          </w:p>
          <w:p w14:paraId="14B36F45" w14:textId="10DADF22" w:rsidR="005F77C9" w:rsidRPr="002576EA" w:rsidRDefault="005F77C9" w:rsidP="001518DA">
            <w:pPr>
              <w:pStyle w:val="TableNormal0"/>
              <w:cnfStyle w:val="000000000000" w:firstRow="0" w:lastRow="0" w:firstColumn="0" w:lastColumn="0" w:oddVBand="0" w:evenVBand="0" w:oddHBand="0" w:evenHBand="0" w:firstRowFirstColumn="0" w:firstRowLastColumn="0" w:lastRowFirstColumn="0" w:lastRowLastColumn="0"/>
            </w:pPr>
            <w:r>
              <w:t xml:space="preserve">Document review </w:t>
            </w:r>
          </w:p>
        </w:tc>
        <w:tc>
          <w:tcPr>
            <w:tcW w:w="2340" w:type="dxa"/>
          </w:tcPr>
          <w:p w14:paraId="239C159C" w14:textId="3B91612A" w:rsidR="00856967" w:rsidRPr="00C76E9B" w:rsidRDefault="32B9E76A" w:rsidP="001518DA">
            <w:pPr>
              <w:pStyle w:val="TableNormal0"/>
              <w:cnfStyle w:val="000000000000" w:firstRow="0" w:lastRow="0" w:firstColumn="0" w:lastColumn="0" w:oddVBand="0" w:evenVBand="0" w:oddHBand="0" w:evenHBand="0" w:firstRowFirstColumn="0" w:firstRowLastColumn="0" w:lastRowFirstColumn="0" w:lastRowLastColumn="0"/>
            </w:pPr>
            <w:r>
              <w:t xml:space="preserve">MassHealth </w:t>
            </w:r>
            <w:r w:rsidR="333C7720">
              <w:t>members with 10</w:t>
            </w:r>
            <w:r w:rsidR="067CC4B0">
              <w:t xml:space="preserve"> and 90</w:t>
            </w:r>
            <w:r w:rsidR="333C7720">
              <w:t xml:space="preserve"> days of RE coverage </w:t>
            </w:r>
            <w:r w:rsidR="3929EB9D">
              <w:t>(n</w:t>
            </w:r>
            <w:r w:rsidR="5C8053DC">
              <w:t xml:space="preserve"> </w:t>
            </w:r>
            <w:r w:rsidR="5C8053DC" w:rsidRPr="3383C28C">
              <w:rPr>
                <w:rStyle w:val="ui-provider"/>
              </w:rPr>
              <w:t xml:space="preserve">≤ </w:t>
            </w:r>
            <w:r w:rsidR="3929EB9D" w:rsidRPr="00C76E9B">
              <w:t>30)</w:t>
            </w:r>
            <w:r w:rsidR="607DC1C9" w:rsidRPr="00C76E9B">
              <w:t>;</w:t>
            </w:r>
          </w:p>
          <w:p w14:paraId="0B75C8CE" w14:textId="03F82A92" w:rsidR="002E7F4F" w:rsidRPr="00846C16" w:rsidRDefault="607DC1C9" w:rsidP="001518DA">
            <w:pPr>
              <w:pStyle w:val="TableNormal0"/>
              <w:cnfStyle w:val="000000000000" w:firstRow="0" w:lastRow="0" w:firstColumn="0" w:lastColumn="0" w:oddVBand="0" w:evenVBand="0" w:oddHBand="0" w:evenHBand="0" w:firstRowFirstColumn="0" w:firstRowLastColumn="0" w:lastRowFirstColumn="0" w:lastRowLastColumn="0"/>
            </w:pPr>
            <w:r>
              <w:t>O</w:t>
            </w:r>
            <w:r w:rsidR="32B9E76A">
              <w:t>ther states’ Medicaid members who receive</w:t>
            </w:r>
            <w:r w:rsidR="32797C07">
              <w:t xml:space="preserve"> </w:t>
            </w:r>
            <w:r w:rsidR="248CD473">
              <w:t xml:space="preserve">90 days </w:t>
            </w:r>
            <w:r w:rsidR="1D8A416A">
              <w:t>or less than 90 days’</w:t>
            </w:r>
            <w:r w:rsidR="248CD473">
              <w:t xml:space="preserve"> </w:t>
            </w:r>
            <w:r w:rsidR="32B9E76A">
              <w:t xml:space="preserve">RE coverage </w:t>
            </w:r>
            <w:r w:rsidR="21D82181">
              <w:t>(n</w:t>
            </w:r>
            <w:r w:rsidR="5C8053DC">
              <w:t xml:space="preserve"> </w:t>
            </w:r>
            <w:r w:rsidR="5C8053DC" w:rsidRPr="3383C28C">
              <w:rPr>
                <w:rStyle w:val="ui-provider"/>
              </w:rPr>
              <w:t xml:space="preserve">≤ </w:t>
            </w:r>
            <w:r w:rsidR="4C8C50B0">
              <w:t>30</w:t>
            </w:r>
            <w:r w:rsidR="3929EB9D">
              <w:t xml:space="preserve">, </w:t>
            </w:r>
            <w:r w:rsidR="3929EB9D" w:rsidRPr="00C76E9B">
              <w:rPr>
                <w:i/>
                <w:iCs/>
              </w:rPr>
              <w:t>if feasible</w:t>
            </w:r>
            <w:r w:rsidR="21D82181">
              <w:t>)</w:t>
            </w:r>
            <w:r w:rsidR="3C4EEBA6">
              <w:t>;</w:t>
            </w:r>
          </w:p>
          <w:p w14:paraId="6C216904" w14:textId="24284FB3" w:rsidR="00BF2B7F" w:rsidRPr="00846C16" w:rsidRDefault="622BCDE4" w:rsidP="001518DA">
            <w:pPr>
              <w:pStyle w:val="TableNormal0"/>
              <w:cnfStyle w:val="000000000000" w:firstRow="0" w:lastRow="0" w:firstColumn="0" w:lastColumn="0" w:oddVBand="0" w:evenVBand="0" w:oddHBand="0" w:evenHBand="0" w:firstRowFirstColumn="0" w:firstRowLastColumn="0" w:lastRowFirstColumn="0" w:lastRowLastColumn="0"/>
            </w:pPr>
            <w:r>
              <w:t xml:space="preserve">Stakeholders (e.g., </w:t>
            </w:r>
            <w:r w:rsidR="4DF44713">
              <w:t xml:space="preserve">MA and other states’ </w:t>
            </w:r>
            <w:r>
              <w:t xml:space="preserve">program </w:t>
            </w:r>
            <w:r w:rsidR="4DF44713">
              <w:t xml:space="preserve">staff and key informants </w:t>
            </w:r>
            <w:r>
              <w:t>f</w:t>
            </w:r>
            <w:r w:rsidR="4BE8FBF8">
              <w:t xml:space="preserve"> </w:t>
            </w:r>
            <w:r w:rsidR="394F3D0E">
              <w:t>(n</w:t>
            </w:r>
            <w:r w:rsidR="59510E4D">
              <w:t xml:space="preserve"> </w:t>
            </w:r>
            <w:r w:rsidR="3BB02517" w:rsidRPr="3383C28C">
              <w:rPr>
                <w:rStyle w:val="ui-provider"/>
              </w:rPr>
              <w:t>≤</w:t>
            </w:r>
            <w:r w:rsidR="726917B7">
              <w:t xml:space="preserve"> </w:t>
            </w:r>
            <w:r w:rsidR="4DF44713">
              <w:t>10</w:t>
            </w:r>
            <w:r w:rsidR="726917B7">
              <w:t>)</w:t>
            </w:r>
          </w:p>
        </w:tc>
        <w:tc>
          <w:tcPr>
            <w:tcW w:w="4145" w:type="dxa"/>
          </w:tcPr>
          <w:p w14:paraId="58C6A3C1" w14:textId="75800FB2" w:rsidR="00BF2B7F" w:rsidRPr="002576EA" w:rsidRDefault="00BF2B7F" w:rsidP="001518D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576EA">
              <w:rPr>
                <w:rFonts w:cstheme="minorHAnsi"/>
                <w:szCs w:val="18"/>
              </w:rPr>
              <w:t>Level of unpaid medical bills at the time of application</w:t>
            </w:r>
            <w:r w:rsidR="008128A4" w:rsidRPr="002576EA">
              <w:rPr>
                <w:rFonts w:cstheme="minorHAnsi"/>
                <w:szCs w:val="18"/>
              </w:rPr>
              <w:t>;</w:t>
            </w:r>
            <w:r w:rsidR="001E3DCB">
              <w:rPr>
                <w:rFonts w:cstheme="minorHAnsi"/>
                <w:szCs w:val="18"/>
              </w:rPr>
              <w:t xml:space="preserve"> </w:t>
            </w:r>
          </w:p>
          <w:p w14:paraId="57851321" w14:textId="49C6B57D" w:rsidR="00BF2B7F" w:rsidRPr="002576EA" w:rsidRDefault="00BF2B7F" w:rsidP="001518D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576EA">
              <w:rPr>
                <w:rFonts w:cstheme="minorHAnsi"/>
                <w:szCs w:val="18"/>
              </w:rPr>
              <w:t>Level of third-party payment for healthcare before Medicaid enrollment</w:t>
            </w:r>
            <w:r w:rsidR="00D068E6" w:rsidRPr="002576EA">
              <w:rPr>
                <w:rFonts w:cstheme="minorHAnsi"/>
                <w:szCs w:val="18"/>
              </w:rPr>
              <w:t>;</w:t>
            </w:r>
          </w:p>
          <w:p w14:paraId="273BC809" w14:textId="398654B4" w:rsidR="00BF2B7F" w:rsidRPr="002576EA" w:rsidRDefault="54591BC7" w:rsidP="001518DA">
            <w:pPr>
              <w:pStyle w:val="TableNormal0"/>
              <w:cnfStyle w:val="000000000000" w:firstRow="0" w:lastRow="0" w:firstColumn="0" w:lastColumn="0" w:oddVBand="0" w:evenVBand="0" w:oddHBand="0" w:evenHBand="0" w:firstRowFirstColumn="0" w:firstRowLastColumn="0" w:lastRowFirstColumn="0" w:lastRowLastColumn="0"/>
            </w:pPr>
            <w:r w:rsidRPr="4F8B1801">
              <w:t>Experiences with knowing</w:t>
            </w:r>
            <w:r w:rsidR="0DDCC269" w:rsidRPr="4F8B1801">
              <w:t xml:space="preserve"> and benefiting from the policy </w:t>
            </w:r>
            <w:r w:rsidR="00D50FB3">
              <w:t xml:space="preserve"> </w:t>
            </w:r>
          </w:p>
        </w:tc>
        <w:tc>
          <w:tcPr>
            <w:tcW w:w="1296" w:type="dxa"/>
          </w:tcPr>
          <w:p w14:paraId="0E1DE95E" w14:textId="77777777" w:rsidR="00BF2B7F" w:rsidRDefault="00BF2B7F" w:rsidP="001518D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576EA">
              <w:rPr>
                <w:rFonts w:cstheme="minorHAnsi"/>
                <w:szCs w:val="18"/>
              </w:rPr>
              <w:t>Thematic analysis</w:t>
            </w:r>
          </w:p>
          <w:p w14:paraId="3B75BC17" w14:textId="716C4C96" w:rsidR="00BF2B7F" w:rsidRPr="002576EA" w:rsidRDefault="00746823" w:rsidP="001518D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B12C9C">
              <w:rPr>
                <w:rFonts w:cstheme="minorHAnsi"/>
                <w:szCs w:val="18"/>
              </w:rPr>
              <w:t>m</w:t>
            </w:r>
            <w:r>
              <w:rPr>
                <w:rFonts w:cstheme="minorHAnsi"/>
                <w:szCs w:val="18"/>
              </w:rPr>
              <w:t>ember</w:t>
            </w:r>
            <w:r w:rsidR="007C5BAD">
              <w:rPr>
                <w:rFonts w:cstheme="minorHAnsi"/>
                <w:szCs w:val="18"/>
              </w:rPr>
              <w:t xml:space="preserve"> &amp; stakeholder</w:t>
            </w:r>
            <w:r>
              <w:rPr>
                <w:rFonts w:cstheme="minorHAnsi"/>
                <w:szCs w:val="18"/>
              </w:rPr>
              <w:t>)</w:t>
            </w:r>
          </w:p>
        </w:tc>
      </w:tr>
      <w:tr w:rsidR="00E64FD8" w:rsidRPr="002576EA" w14:paraId="568BCCC7" w14:textId="77777777" w:rsidTr="3383C28C">
        <w:trPr>
          <w:cnfStyle w:val="000000100000" w:firstRow="0" w:lastRow="0" w:firstColumn="0" w:lastColumn="0" w:oddVBand="0" w:evenVBand="0" w:oddHBand="1" w:evenHBand="0" w:firstRowFirstColumn="0" w:firstRowLastColumn="0" w:lastRowFirstColumn="0" w:lastRowLastColumn="0"/>
          <w:trHeight w:val="1009"/>
        </w:trPr>
        <w:tc>
          <w:tcPr>
            <w:cnfStyle w:val="001000000000" w:firstRow="0" w:lastRow="0" w:firstColumn="1" w:lastColumn="0" w:oddVBand="0" w:evenVBand="0" w:oddHBand="0" w:evenHBand="0" w:firstRowFirstColumn="0" w:firstRowLastColumn="0" w:lastRowFirstColumn="0" w:lastRowLastColumn="0"/>
            <w:tcW w:w="1525" w:type="dxa"/>
          </w:tcPr>
          <w:p w14:paraId="38260320" w14:textId="6B27FB9E" w:rsidR="00BF2B7F" w:rsidRPr="002576EA" w:rsidRDefault="00BF2B7F" w:rsidP="007633CA">
            <w:pPr>
              <w:pStyle w:val="TableNormal0"/>
              <w:rPr>
                <w:rFonts w:cstheme="minorHAnsi"/>
                <w:szCs w:val="18"/>
              </w:rPr>
            </w:pPr>
            <w:r w:rsidRPr="002576EA">
              <w:rPr>
                <w:rFonts w:cstheme="minorHAnsi"/>
                <w:szCs w:val="18"/>
              </w:rPr>
              <w:t>RQ</w:t>
            </w:r>
            <w:r w:rsidR="002B4685" w:rsidRPr="002576EA">
              <w:rPr>
                <w:rFonts w:cstheme="minorHAnsi"/>
                <w:szCs w:val="18"/>
              </w:rPr>
              <w:t>1-</w:t>
            </w:r>
            <w:r w:rsidR="00FE342A" w:rsidRPr="002576EA">
              <w:rPr>
                <w:rFonts w:cstheme="minorHAnsi"/>
                <w:szCs w:val="18"/>
              </w:rPr>
              <w:t>5</w:t>
            </w:r>
            <w:r w:rsidRPr="002576EA">
              <w:rPr>
                <w:rFonts w:cstheme="minorHAnsi"/>
                <w:szCs w:val="18"/>
              </w:rPr>
              <w:t xml:space="preserve"> Has continuous eligibility streamlined Massachusetts’ administrative process for </w:t>
            </w:r>
            <w:r w:rsidRPr="002576EA">
              <w:rPr>
                <w:rFonts w:cstheme="minorHAnsi"/>
                <w:szCs w:val="18"/>
              </w:rPr>
              <w:lastRenderedPageBreak/>
              <w:t xml:space="preserve">enrollment and eligibility? </w:t>
            </w:r>
          </w:p>
        </w:tc>
        <w:tc>
          <w:tcPr>
            <w:tcW w:w="2340" w:type="dxa"/>
          </w:tcPr>
          <w:p w14:paraId="2552AF34" w14:textId="2BB94E96" w:rsidR="00BF2B7F" w:rsidRPr="002576EA" w:rsidRDefault="00BF2B7F" w:rsidP="007633C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576EA">
              <w:rPr>
                <w:rFonts w:cstheme="minorHAnsi"/>
                <w:szCs w:val="18"/>
              </w:rPr>
              <w:lastRenderedPageBreak/>
              <w:t>H</w:t>
            </w:r>
            <w:r w:rsidR="001D1CDC" w:rsidRPr="002576EA">
              <w:rPr>
                <w:rFonts w:cstheme="minorHAnsi"/>
                <w:szCs w:val="18"/>
              </w:rPr>
              <w:t>1-</w:t>
            </w:r>
            <w:r w:rsidR="00FE342A" w:rsidRPr="002576EA">
              <w:rPr>
                <w:rFonts w:cstheme="minorHAnsi"/>
                <w:szCs w:val="18"/>
              </w:rPr>
              <w:t>5</w:t>
            </w:r>
            <w:r w:rsidRPr="002576EA" w:rsidDel="000B5FD3">
              <w:rPr>
                <w:rFonts w:cstheme="minorHAnsi"/>
                <w:szCs w:val="18"/>
              </w:rPr>
              <w:t>.1</w:t>
            </w:r>
            <w:r w:rsidRPr="002576EA">
              <w:rPr>
                <w:rFonts w:cstheme="minorHAnsi"/>
                <w:szCs w:val="18"/>
              </w:rPr>
              <w:t xml:space="preserve"> Continuous eligibility has streamlined Massachusetts’ enrollment and eligibility administrative processes.</w:t>
            </w:r>
          </w:p>
        </w:tc>
        <w:tc>
          <w:tcPr>
            <w:tcW w:w="1890" w:type="dxa"/>
          </w:tcPr>
          <w:p w14:paraId="701829CA" w14:textId="797D6E9F" w:rsidR="00BF2B7F" w:rsidRPr="002576EA" w:rsidRDefault="00BF2B7F" w:rsidP="007633C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576EA">
              <w:rPr>
                <w:rFonts w:cstheme="minorHAnsi"/>
                <w:szCs w:val="18"/>
              </w:rPr>
              <w:t>Member interviews/focus groups</w:t>
            </w:r>
            <w:r w:rsidR="001078EF">
              <w:rPr>
                <w:rFonts w:cstheme="minorHAnsi"/>
                <w:szCs w:val="18"/>
              </w:rPr>
              <w:t xml:space="preserve"> (</w:t>
            </w:r>
            <w:r w:rsidR="002243C7">
              <w:rPr>
                <w:rFonts w:cstheme="minorHAnsi"/>
                <w:szCs w:val="18"/>
              </w:rPr>
              <w:t>20</w:t>
            </w:r>
            <w:r w:rsidR="001078EF">
              <w:rPr>
                <w:rFonts w:cstheme="minorHAnsi"/>
                <w:szCs w:val="18"/>
              </w:rPr>
              <w:t xml:space="preserve">25, </w:t>
            </w:r>
            <w:r w:rsidR="002243C7">
              <w:rPr>
                <w:rFonts w:cstheme="minorHAnsi"/>
                <w:szCs w:val="18"/>
              </w:rPr>
              <w:t>20</w:t>
            </w:r>
            <w:r w:rsidR="001078EF">
              <w:rPr>
                <w:rFonts w:cstheme="minorHAnsi"/>
                <w:szCs w:val="18"/>
              </w:rPr>
              <w:t>27)</w:t>
            </w:r>
            <w:r w:rsidRPr="002576EA">
              <w:rPr>
                <w:rFonts w:cstheme="minorHAnsi"/>
                <w:szCs w:val="18"/>
              </w:rPr>
              <w:t xml:space="preserve">; </w:t>
            </w:r>
          </w:p>
          <w:p w14:paraId="6A082AA8" w14:textId="661C1BC5" w:rsidR="00BF2B7F" w:rsidRPr="002576EA" w:rsidRDefault="00BF2B7F" w:rsidP="3383C28C">
            <w:pPr>
              <w:pStyle w:val="TableNormal0"/>
              <w:cnfStyle w:val="000000100000" w:firstRow="0" w:lastRow="0" w:firstColumn="0" w:lastColumn="0" w:oddVBand="0" w:evenVBand="0" w:oddHBand="1" w:evenHBand="0" w:firstRowFirstColumn="0" w:firstRowLastColumn="0" w:lastRowFirstColumn="0" w:lastRowLastColumn="0"/>
              <w:rPr>
                <w:rFonts w:cstheme="minorBidi"/>
              </w:rPr>
            </w:pPr>
            <w:r w:rsidRPr="3383C28C">
              <w:rPr>
                <w:rFonts w:cstheme="minorBidi"/>
              </w:rPr>
              <w:t>Interviews with MassHealth program staff</w:t>
            </w:r>
            <w:r w:rsidR="15DF4808" w:rsidRPr="3383C28C">
              <w:rPr>
                <w:rFonts w:cstheme="minorBidi"/>
              </w:rPr>
              <w:t xml:space="preserve"> (</w:t>
            </w:r>
            <w:r w:rsidR="17EB1E6D" w:rsidRPr="3383C28C">
              <w:rPr>
                <w:rFonts w:cstheme="minorBidi"/>
              </w:rPr>
              <w:t>20</w:t>
            </w:r>
            <w:r w:rsidR="15DF4808" w:rsidRPr="3383C28C">
              <w:rPr>
                <w:rFonts w:cstheme="minorBidi"/>
              </w:rPr>
              <w:t xml:space="preserve">25, </w:t>
            </w:r>
            <w:r w:rsidR="17EB1E6D" w:rsidRPr="3383C28C">
              <w:rPr>
                <w:rFonts w:cstheme="minorBidi"/>
              </w:rPr>
              <w:t>20</w:t>
            </w:r>
            <w:r w:rsidR="15DF4808" w:rsidRPr="3383C28C">
              <w:rPr>
                <w:rFonts w:cstheme="minorBidi"/>
              </w:rPr>
              <w:t>27)</w:t>
            </w:r>
          </w:p>
        </w:tc>
        <w:tc>
          <w:tcPr>
            <w:tcW w:w="2340" w:type="dxa"/>
          </w:tcPr>
          <w:p w14:paraId="331505FD" w14:textId="3088CC9F" w:rsidR="00BF2B7F" w:rsidRDefault="00BF2B7F" w:rsidP="007633CA">
            <w:pPr>
              <w:pStyle w:val="TableNormal0"/>
              <w:cnfStyle w:val="000000100000" w:firstRow="0" w:lastRow="0" w:firstColumn="0" w:lastColumn="0" w:oddVBand="0" w:evenVBand="0" w:oddHBand="1" w:evenHBand="0" w:firstRowFirstColumn="0" w:firstRowLastColumn="0" w:lastRowFirstColumn="0" w:lastRowLastColumn="0"/>
            </w:pPr>
            <w:r w:rsidRPr="002576EA">
              <w:rPr>
                <w:rFonts w:cstheme="minorHAnsi"/>
                <w:szCs w:val="18"/>
              </w:rPr>
              <w:t xml:space="preserve">MassHealth members who have gone through </w:t>
            </w:r>
            <w:r w:rsidRPr="00F8075F">
              <w:t xml:space="preserve">eligibility redetermination </w:t>
            </w:r>
            <w:r w:rsidR="00C0045B" w:rsidRPr="00F8075F">
              <w:t>(</w:t>
            </w:r>
            <w:r w:rsidR="003B2E94" w:rsidRPr="00F8075F">
              <w:t>n</w:t>
            </w:r>
            <w:r w:rsidR="00021F12" w:rsidRPr="00F8075F">
              <w:t xml:space="preserve"> </w:t>
            </w:r>
            <w:r w:rsidR="00021F12" w:rsidRPr="007633CA">
              <w:t xml:space="preserve">≤ </w:t>
            </w:r>
            <w:r w:rsidR="003B2E94" w:rsidRPr="00F8075F">
              <w:t>30)</w:t>
            </w:r>
            <w:r w:rsidR="005F77C9">
              <w:t>;</w:t>
            </w:r>
          </w:p>
          <w:p w14:paraId="56596E09" w14:textId="01EF1133" w:rsidR="005F77C9" w:rsidRPr="002576EA" w:rsidRDefault="005F77C9" w:rsidP="007633C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t>MassHealth program staff (</w:t>
            </w:r>
            <w:r w:rsidRPr="00846C16">
              <w:t>n</w:t>
            </w:r>
            <w:r>
              <w:t xml:space="preserve"> </w:t>
            </w:r>
            <w:r>
              <w:rPr>
                <w:rStyle w:val="ui-provider"/>
              </w:rPr>
              <w:t>≤</w:t>
            </w:r>
            <w:r w:rsidRPr="00846C16">
              <w:t xml:space="preserve"> </w:t>
            </w:r>
            <w:r>
              <w:t>5)</w:t>
            </w:r>
          </w:p>
        </w:tc>
        <w:tc>
          <w:tcPr>
            <w:tcW w:w="4145" w:type="dxa"/>
          </w:tcPr>
          <w:p w14:paraId="3FDF248A" w14:textId="77777777" w:rsidR="00BF2B7F" w:rsidRPr="002576EA" w:rsidRDefault="00BF2B7F" w:rsidP="007633C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576EA">
              <w:rPr>
                <w:rFonts w:cstheme="minorHAnsi"/>
                <w:szCs w:val="18"/>
              </w:rPr>
              <w:t>Member experience in eligibility redetermination and continuity of coverage;</w:t>
            </w:r>
          </w:p>
          <w:p w14:paraId="6E8990BB" w14:textId="51409076" w:rsidR="00BF2B7F" w:rsidRPr="002576EA" w:rsidRDefault="00BF2B7F" w:rsidP="007633C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576EA">
              <w:rPr>
                <w:rFonts w:cstheme="minorHAnsi"/>
                <w:szCs w:val="18"/>
              </w:rPr>
              <w:t>Staff’s experience with the administrative burden on eligibility review, the processing time of applicants, etc.</w:t>
            </w:r>
          </w:p>
        </w:tc>
        <w:tc>
          <w:tcPr>
            <w:tcW w:w="1296" w:type="dxa"/>
          </w:tcPr>
          <w:p w14:paraId="5B396FE0" w14:textId="77777777" w:rsidR="00BF2B7F" w:rsidRDefault="00BF2B7F" w:rsidP="007633C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576EA">
              <w:rPr>
                <w:rFonts w:cstheme="minorHAnsi"/>
                <w:szCs w:val="18"/>
              </w:rPr>
              <w:t xml:space="preserve">Thematic analysis </w:t>
            </w:r>
          </w:p>
          <w:p w14:paraId="2E824487" w14:textId="0B1EADA8" w:rsidR="00BF2B7F" w:rsidRPr="002576EA" w:rsidRDefault="00746823" w:rsidP="007633C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Pr>
                <w:rFonts w:cstheme="minorHAnsi"/>
                <w:szCs w:val="18"/>
              </w:rPr>
              <w:t>(</w:t>
            </w:r>
            <w:r w:rsidR="00B12C9C">
              <w:rPr>
                <w:rFonts w:cstheme="minorHAnsi"/>
                <w:szCs w:val="18"/>
              </w:rPr>
              <w:t>m</w:t>
            </w:r>
            <w:r>
              <w:rPr>
                <w:rFonts w:cstheme="minorHAnsi"/>
                <w:szCs w:val="18"/>
              </w:rPr>
              <w:t>ember</w:t>
            </w:r>
            <w:r w:rsidR="005F77C9">
              <w:rPr>
                <w:rFonts w:cstheme="minorHAnsi"/>
                <w:szCs w:val="18"/>
              </w:rPr>
              <w:t>, program staff</w:t>
            </w:r>
            <w:r>
              <w:rPr>
                <w:rFonts w:cstheme="minorHAnsi"/>
                <w:szCs w:val="18"/>
              </w:rPr>
              <w:t>)</w:t>
            </w:r>
          </w:p>
        </w:tc>
      </w:tr>
      <w:tr w:rsidR="00E64FD8" w:rsidRPr="002576EA" w14:paraId="7CE2C9A6" w14:textId="77777777" w:rsidTr="3383C28C">
        <w:trPr>
          <w:trHeight w:val="2377"/>
        </w:trPr>
        <w:tc>
          <w:tcPr>
            <w:cnfStyle w:val="001000000000" w:firstRow="0" w:lastRow="0" w:firstColumn="1" w:lastColumn="0" w:oddVBand="0" w:evenVBand="0" w:oddHBand="0" w:evenHBand="0" w:firstRowFirstColumn="0" w:firstRowLastColumn="0" w:lastRowFirstColumn="0" w:lastRowLastColumn="0"/>
            <w:tcW w:w="1525" w:type="dxa"/>
          </w:tcPr>
          <w:p w14:paraId="4C3BD10C" w14:textId="2664BE32" w:rsidR="00BF2B7F" w:rsidRPr="002576EA" w:rsidRDefault="00BF2B7F" w:rsidP="007633CA">
            <w:pPr>
              <w:pStyle w:val="TableNormal0"/>
              <w:rPr>
                <w:rFonts w:cstheme="minorHAnsi"/>
                <w:szCs w:val="18"/>
              </w:rPr>
            </w:pPr>
            <w:r w:rsidRPr="002576EA">
              <w:rPr>
                <w:rFonts w:cstheme="minorHAnsi"/>
                <w:szCs w:val="18"/>
              </w:rPr>
              <w:t>RQ</w:t>
            </w:r>
            <w:r w:rsidR="00BE1BC3" w:rsidRPr="002576EA">
              <w:rPr>
                <w:rFonts w:cstheme="minorHAnsi"/>
                <w:szCs w:val="18"/>
              </w:rPr>
              <w:t>1-</w:t>
            </w:r>
            <w:r w:rsidR="00FE342A" w:rsidRPr="002576EA">
              <w:rPr>
                <w:rFonts w:cstheme="minorHAnsi"/>
                <w:szCs w:val="18"/>
              </w:rPr>
              <w:t>6</w:t>
            </w:r>
            <w:r w:rsidRPr="002576EA">
              <w:rPr>
                <w:rFonts w:cstheme="minorHAnsi"/>
                <w:szCs w:val="18"/>
              </w:rPr>
              <w:t xml:space="preserve"> Did C&amp;E policies change MassHealth members’ healthcare utilization? </w:t>
            </w:r>
          </w:p>
        </w:tc>
        <w:tc>
          <w:tcPr>
            <w:tcW w:w="2340" w:type="dxa"/>
          </w:tcPr>
          <w:p w14:paraId="13455852" w14:textId="6E5E942B" w:rsidR="006E7FDE" w:rsidRPr="002576EA" w:rsidRDefault="00BF2B7F" w:rsidP="007633C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576EA">
              <w:rPr>
                <w:rFonts w:cstheme="minorHAnsi"/>
                <w:szCs w:val="18"/>
              </w:rPr>
              <w:t>H</w:t>
            </w:r>
            <w:r w:rsidR="00BE1BC3" w:rsidRPr="002576EA">
              <w:rPr>
                <w:rFonts w:cstheme="minorHAnsi"/>
                <w:szCs w:val="18"/>
              </w:rPr>
              <w:t>1-</w:t>
            </w:r>
            <w:r w:rsidR="00FE342A" w:rsidRPr="002576EA">
              <w:rPr>
                <w:rFonts w:cstheme="minorHAnsi"/>
                <w:szCs w:val="18"/>
              </w:rPr>
              <w:t>6</w:t>
            </w:r>
            <w:r w:rsidRPr="002576EA">
              <w:rPr>
                <w:rFonts w:cstheme="minorHAnsi"/>
                <w:szCs w:val="18"/>
              </w:rPr>
              <w:t xml:space="preserve">.1 MassHealth members have increased preventive, primary, and medically necessary specialist care. </w:t>
            </w:r>
          </w:p>
          <w:p w14:paraId="2DCFA2A3" w14:textId="3D671D66" w:rsidR="00BF2B7F" w:rsidRPr="002576EA" w:rsidRDefault="006E7FDE" w:rsidP="007633C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576EA">
              <w:rPr>
                <w:rFonts w:cstheme="minorHAnsi"/>
                <w:szCs w:val="18"/>
              </w:rPr>
              <w:t>H</w:t>
            </w:r>
            <w:r w:rsidR="00BE1BC3" w:rsidRPr="002576EA">
              <w:rPr>
                <w:rFonts w:cstheme="minorHAnsi"/>
                <w:szCs w:val="18"/>
              </w:rPr>
              <w:t>1-</w:t>
            </w:r>
            <w:r w:rsidR="00FE342A" w:rsidRPr="002576EA">
              <w:rPr>
                <w:rFonts w:cstheme="minorHAnsi"/>
                <w:szCs w:val="18"/>
              </w:rPr>
              <w:t>6</w:t>
            </w:r>
            <w:r w:rsidRPr="002576EA">
              <w:rPr>
                <w:rFonts w:cstheme="minorHAnsi"/>
                <w:szCs w:val="18"/>
              </w:rPr>
              <w:t>.2 MassHealth members subject to the new &amp; ongoing C&amp;E policies have reduced emergency and inpatient services.</w:t>
            </w:r>
          </w:p>
        </w:tc>
        <w:tc>
          <w:tcPr>
            <w:tcW w:w="1890" w:type="dxa"/>
          </w:tcPr>
          <w:p w14:paraId="44AC7D5E" w14:textId="56991054" w:rsidR="00BF2B7F" w:rsidRPr="002576EA" w:rsidRDefault="00BF2B7F" w:rsidP="007633C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576EA">
              <w:rPr>
                <w:rFonts w:cstheme="minorHAnsi"/>
                <w:szCs w:val="18"/>
              </w:rPr>
              <w:t>Medicaid administrative data</w:t>
            </w:r>
            <w:r w:rsidR="001078EF">
              <w:rPr>
                <w:rFonts w:cstheme="minorHAnsi"/>
                <w:szCs w:val="18"/>
              </w:rPr>
              <w:t xml:space="preserve"> (</w:t>
            </w:r>
            <w:r w:rsidR="002243C7">
              <w:rPr>
                <w:rFonts w:cstheme="minorHAnsi"/>
                <w:szCs w:val="18"/>
              </w:rPr>
              <w:t>20</w:t>
            </w:r>
            <w:r w:rsidR="001078EF">
              <w:rPr>
                <w:rFonts w:cstheme="minorHAnsi"/>
                <w:szCs w:val="18"/>
              </w:rPr>
              <w:t xml:space="preserve">18 – </w:t>
            </w:r>
            <w:r w:rsidR="002243C7">
              <w:rPr>
                <w:rFonts w:cstheme="minorHAnsi"/>
                <w:szCs w:val="18"/>
              </w:rPr>
              <w:t>20</w:t>
            </w:r>
            <w:r w:rsidR="001078EF">
              <w:rPr>
                <w:rFonts w:cstheme="minorHAnsi"/>
                <w:szCs w:val="18"/>
              </w:rPr>
              <w:t>27)</w:t>
            </w:r>
          </w:p>
        </w:tc>
        <w:tc>
          <w:tcPr>
            <w:tcW w:w="2340" w:type="dxa"/>
          </w:tcPr>
          <w:p w14:paraId="28524E59" w14:textId="5802E7EA" w:rsidR="00BF2B7F" w:rsidRPr="002576EA" w:rsidRDefault="00BF2B7F" w:rsidP="007633C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576EA">
              <w:rPr>
                <w:rFonts w:cstheme="minorHAnsi"/>
                <w:szCs w:val="18"/>
              </w:rPr>
              <w:t>MassHealth members subject to the C&amp;E policies</w:t>
            </w:r>
            <w:r w:rsidR="003B2E94">
              <w:rPr>
                <w:rFonts w:cstheme="minorHAnsi"/>
                <w:szCs w:val="18"/>
              </w:rPr>
              <w:t xml:space="preserve"> </w:t>
            </w:r>
          </w:p>
        </w:tc>
        <w:tc>
          <w:tcPr>
            <w:tcW w:w="4145" w:type="dxa"/>
          </w:tcPr>
          <w:p w14:paraId="789485F1" w14:textId="77777777" w:rsidR="00BF2B7F" w:rsidRPr="002576EA" w:rsidRDefault="00BF2B7F" w:rsidP="007633C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576EA">
              <w:rPr>
                <w:rFonts w:cstheme="minorHAnsi"/>
                <w:szCs w:val="18"/>
              </w:rPr>
              <w:t>Adult access to preventive/ambulatory health services;</w:t>
            </w:r>
          </w:p>
          <w:p w14:paraId="74E3780B" w14:textId="2F39D438" w:rsidR="00BF2B7F" w:rsidRPr="002576EA" w:rsidRDefault="00BF2B7F" w:rsidP="007633C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576EA">
              <w:rPr>
                <w:rFonts w:cstheme="minorHAnsi"/>
                <w:szCs w:val="18"/>
              </w:rPr>
              <w:t>Annual primary care visits;</w:t>
            </w:r>
          </w:p>
          <w:p w14:paraId="558123D3" w14:textId="77777777" w:rsidR="00BF2B7F" w:rsidRPr="002576EA" w:rsidRDefault="00BF2B7F" w:rsidP="007633C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576EA">
              <w:rPr>
                <w:rFonts w:cstheme="minorHAnsi"/>
                <w:szCs w:val="18"/>
              </w:rPr>
              <w:t>Immunization for adults and children;</w:t>
            </w:r>
          </w:p>
          <w:p w14:paraId="281BB0E7" w14:textId="77777777" w:rsidR="006E7FDE" w:rsidRPr="002576EA" w:rsidRDefault="00BF2B7F" w:rsidP="007633C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576EA">
              <w:rPr>
                <w:rFonts w:cstheme="minorHAnsi"/>
                <w:szCs w:val="18"/>
              </w:rPr>
              <w:t>Adolescent well-care visits</w:t>
            </w:r>
          </w:p>
          <w:p w14:paraId="495E6236" w14:textId="77777777" w:rsidR="006E7FDE" w:rsidRPr="002576EA" w:rsidRDefault="006E7FDE" w:rsidP="007633C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576EA">
              <w:rPr>
                <w:rFonts w:cstheme="minorHAnsi"/>
                <w:szCs w:val="18"/>
              </w:rPr>
              <w:t>All-cause inpatient admissions;</w:t>
            </w:r>
          </w:p>
          <w:p w14:paraId="44EA98B8" w14:textId="77777777" w:rsidR="006E7FDE" w:rsidRPr="002576EA" w:rsidRDefault="006E7FDE" w:rsidP="007633C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576EA">
              <w:rPr>
                <w:rFonts w:cstheme="minorHAnsi"/>
                <w:szCs w:val="18"/>
              </w:rPr>
              <w:t>All-cause Emergency Department (ED) visits;</w:t>
            </w:r>
          </w:p>
          <w:p w14:paraId="76F1A248" w14:textId="77777777" w:rsidR="006E7FDE" w:rsidRPr="002576EA" w:rsidRDefault="006E7FDE" w:rsidP="007633C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576EA">
              <w:rPr>
                <w:rFonts w:cstheme="minorHAnsi"/>
                <w:szCs w:val="18"/>
              </w:rPr>
              <w:t xml:space="preserve">Preventable ED visits; </w:t>
            </w:r>
          </w:p>
          <w:p w14:paraId="564829CC" w14:textId="2EEBA363" w:rsidR="00BF2B7F" w:rsidRPr="002576EA" w:rsidRDefault="006E7FDE" w:rsidP="007633C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576EA">
              <w:rPr>
                <w:rFonts w:cstheme="minorHAnsi"/>
                <w:szCs w:val="18"/>
              </w:rPr>
              <w:t>Primary care-sensitive ED visits</w:t>
            </w:r>
          </w:p>
        </w:tc>
        <w:tc>
          <w:tcPr>
            <w:tcW w:w="1296" w:type="dxa"/>
          </w:tcPr>
          <w:p w14:paraId="29785047" w14:textId="747620E7" w:rsidR="00BF2B7F" w:rsidRPr="002576EA" w:rsidRDefault="00BF2B7F" w:rsidP="007633C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576EA">
              <w:rPr>
                <w:rFonts w:cstheme="minorHAnsi"/>
                <w:szCs w:val="18"/>
              </w:rPr>
              <w:t>Descriptive statistics (frequency and percentages)</w:t>
            </w:r>
            <w:r w:rsidR="008128A4" w:rsidRPr="002576EA">
              <w:rPr>
                <w:rFonts w:cstheme="minorHAnsi"/>
                <w:szCs w:val="18"/>
              </w:rPr>
              <w:t>;</w:t>
            </w:r>
            <w:r w:rsidR="001E3DCB">
              <w:rPr>
                <w:rFonts w:cstheme="minorHAnsi"/>
                <w:szCs w:val="18"/>
              </w:rPr>
              <w:t xml:space="preserve"> </w:t>
            </w:r>
          </w:p>
          <w:p w14:paraId="0B6E8B7F" w14:textId="77777777" w:rsidR="00BF2B7F" w:rsidRDefault="00BF2B7F" w:rsidP="007633C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576EA">
              <w:rPr>
                <w:rFonts w:cstheme="minorHAnsi"/>
                <w:szCs w:val="18"/>
              </w:rPr>
              <w:t>Interrupted time series (ITS)</w:t>
            </w:r>
            <w:r w:rsidR="006E7FDE" w:rsidRPr="002576EA">
              <w:rPr>
                <w:rFonts w:cstheme="minorHAnsi"/>
                <w:szCs w:val="18"/>
              </w:rPr>
              <w:t xml:space="preserve"> </w:t>
            </w:r>
          </w:p>
          <w:p w14:paraId="07AC6D1E" w14:textId="32F8BADB" w:rsidR="00BF2B7F" w:rsidRPr="002576EA" w:rsidRDefault="00746823" w:rsidP="007633C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B12C9C">
              <w:rPr>
                <w:rFonts w:cstheme="minorHAnsi"/>
                <w:szCs w:val="18"/>
              </w:rPr>
              <w:t>m</w:t>
            </w:r>
            <w:r>
              <w:rPr>
                <w:rFonts w:cstheme="minorHAnsi"/>
                <w:szCs w:val="18"/>
              </w:rPr>
              <w:t>ember)</w:t>
            </w:r>
          </w:p>
        </w:tc>
      </w:tr>
      <w:tr w:rsidR="00E64FD8" w:rsidRPr="002576EA" w14:paraId="67092A62" w14:textId="77777777" w:rsidTr="3383C28C">
        <w:trPr>
          <w:cnfStyle w:val="000000100000" w:firstRow="0" w:lastRow="0" w:firstColumn="0" w:lastColumn="0" w:oddVBand="0" w:evenVBand="0" w:oddHBand="1" w:evenHBand="0" w:firstRowFirstColumn="0" w:firstRowLastColumn="0" w:lastRowFirstColumn="0" w:lastRowLastColumn="0"/>
          <w:trHeight w:val="908"/>
        </w:trPr>
        <w:tc>
          <w:tcPr>
            <w:cnfStyle w:val="001000000000" w:firstRow="0" w:lastRow="0" w:firstColumn="1" w:lastColumn="0" w:oddVBand="0" w:evenVBand="0" w:oddHBand="0" w:evenHBand="0" w:firstRowFirstColumn="0" w:firstRowLastColumn="0" w:lastRowFirstColumn="0" w:lastRowLastColumn="0"/>
            <w:tcW w:w="1525" w:type="dxa"/>
          </w:tcPr>
          <w:p w14:paraId="336056B1" w14:textId="43548475" w:rsidR="00BF2B7F" w:rsidRPr="002576EA" w:rsidRDefault="00BF2B7F" w:rsidP="007633CA">
            <w:pPr>
              <w:pStyle w:val="TableNormal0"/>
              <w:rPr>
                <w:rFonts w:cstheme="minorHAnsi"/>
                <w:szCs w:val="18"/>
              </w:rPr>
            </w:pPr>
            <w:r w:rsidRPr="002576EA">
              <w:rPr>
                <w:rFonts w:cstheme="minorHAnsi"/>
                <w:szCs w:val="18"/>
              </w:rPr>
              <w:t>RQ</w:t>
            </w:r>
            <w:r w:rsidR="00C2565A" w:rsidRPr="002576EA">
              <w:rPr>
                <w:rFonts w:cstheme="minorHAnsi"/>
                <w:szCs w:val="18"/>
              </w:rPr>
              <w:t>1-</w:t>
            </w:r>
            <w:r w:rsidR="00FE342A" w:rsidRPr="002576EA">
              <w:rPr>
                <w:rFonts w:cstheme="minorHAnsi"/>
                <w:szCs w:val="18"/>
              </w:rPr>
              <w:t>7</w:t>
            </w:r>
            <w:r w:rsidRPr="002576EA">
              <w:rPr>
                <w:rFonts w:cstheme="minorHAnsi"/>
                <w:szCs w:val="18"/>
              </w:rPr>
              <w:t xml:space="preserve"> What have been members’ overall experiences with the new and ongoing C&amp;E policies/</w:t>
            </w:r>
            <w:r w:rsidR="00C45084" w:rsidRPr="002576EA">
              <w:rPr>
                <w:rFonts w:cstheme="minorHAnsi"/>
                <w:szCs w:val="18"/>
              </w:rPr>
              <w:t xml:space="preserve"> </w:t>
            </w:r>
            <w:r w:rsidRPr="002576EA">
              <w:rPr>
                <w:rFonts w:cstheme="minorHAnsi"/>
                <w:szCs w:val="18"/>
              </w:rPr>
              <w:t xml:space="preserve">programs? </w:t>
            </w:r>
          </w:p>
        </w:tc>
        <w:tc>
          <w:tcPr>
            <w:tcW w:w="2340" w:type="dxa"/>
          </w:tcPr>
          <w:p w14:paraId="11EAA603" w14:textId="0B253F93" w:rsidR="00BF2B7F" w:rsidRPr="002576EA" w:rsidRDefault="00BF2B7F" w:rsidP="007633C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576EA">
              <w:rPr>
                <w:rFonts w:cstheme="minorHAnsi"/>
                <w:szCs w:val="18"/>
              </w:rPr>
              <w:t>H</w:t>
            </w:r>
            <w:r w:rsidR="00C2565A" w:rsidRPr="002576EA">
              <w:rPr>
                <w:rFonts w:cstheme="minorHAnsi"/>
                <w:szCs w:val="18"/>
              </w:rPr>
              <w:t>1-</w:t>
            </w:r>
            <w:r w:rsidR="00FE342A" w:rsidRPr="002576EA">
              <w:rPr>
                <w:rFonts w:cstheme="minorHAnsi"/>
                <w:szCs w:val="18"/>
              </w:rPr>
              <w:t>7</w:t>
            </w:r>
            <w:r w:rsidRPr="002576EA">
              <w:rPr>
                <w:rFonts w:cstheme="minorHAnsi"/>
                <w:szCs w:val="18"/>
              </w:rPr>
              <w:t>.1 The new and ongoing C&amp;E programs/policies have improved members</w:t>
            </w:r>
            <w:r w:rsidR="00C46D1B">
              <w:rPr>
                <w:rFonts w:cstheme="minorHAnsi"/>
                <w:szCs w:val="18"/>
              </w:rPr>
              <w:t>’</w:t>
            </w:r>
            <w:r w:rsidRPr="002576EA">
              <w:rPr>
                <w:rFonts w:cstheme="minorHAnsi"/>
                <w:szCs w:val="18"/>
              </w:rPr>
              <w:t xml:space="preserve"> experiences. </w:t>
            </w:r>
          </w:p>
        </w:tc>
        <w:tc>
          <w:tcPr>
            <w:tcW w:w="1890" w:type="dxa"/>
          </w:tcPr>
          <w:p w14:paraId="71EF6F2B" w14:textId="0EE2D9A4" w:rsidR="00BF2B7F" w:rsidRPr="002576EA" w:rsidRDefault="00BF2B7F" w:rsidP="007633C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576EA">
              <w:rPr>
                <w:rFonts w:cstheme="minorHAnsi"/>
                <w:szCs w:val="18"/>
              </w:rPr>
              <w:t xml:space="preserve">Member interviews/focus groups </w:t>
            </w:r>
            <w:r w:rsidR="001078EF">
              <w:rPr>
                <w:rFonts w:cstheme="minorHAnsi"/>
                <w:szCs w:val="18"/>
              </w:rPr>
              <w:t>(</w:t>
            </w:r>
            <w:r w:rsidR="002243C7">
              <w:rPr>
                <w:rFonts w:cstheme="minorHAnsi"/>
                <w:szCs w:val="18"/>
              </w:rPr>
              <w:t>20</w:t>
            </w:r>
            <w:r w:rsidR="001078EF">
              <w:rPr>
                <w:rFonts w:cstheme="minorHAnsi"/>
                <w:szCs w:val="18"/>
              </w:rPr>
              <w:t xml:space="preserve">25, </w:t>
            </w:r>
            <w:r w:rsidR="002243C7">
              <w:rPr>
                <w:rFonts w:cstheme="minorHAnsi"/>
                <w:szCs w:val="18"/>
              </w:rPr>
              <w:t>20</w:t>
            </w:r>
            <w:r w:rsidR="001078EF">
              <w:rPr>
                <w:rFonts w:cstheme="minorHAnsi"/>
                <w:szCs w:val="18"/>
              </w:rPr>
              <w:t>27)</w:t>
            </w:r>
          </w:p>
        </w:tc>
        <w:tc>
          <w:tcPr>
            <w:tcW w:w="2340" w:type="dxa"/>
          </w:tcPr>
          <w:p w14:paraId="0988B9AA" w14:textId="6567DEAC" w:rsidR="00BF2B7F" w:rsidRPr="002576EA" w:rsidRDefault="00BF2B7F" w:rsidP="007633C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576EA">
              <w:rPr>
                <w:rFonts w:cstheme="minorHAnsi"/>
                <w:szCs w:val="18"/>
              </w:rPr>
              <w:t>MassH</w:t>
            </w:r>
            <w:r w:rsidR="00B5311D" w:rsidRPr="002576EA">
              <w:rPr>
                <w:rFonts w:cstheme="minorHAnsi"/>
                <w:szCs w:val="18"/>
              </w:rPr>
              <w:t>e</w:t>
            </w:r>
            <w:r w:rsidRPr="002576EA">
              <w:rPr>
                <w:rFonts w:cstheme="minorHAnsi"/>
                <w:szCs w:val="18"/>
              </w:rPr>
              <w:t>alth members enrolled in new or ongoing programs under the Demonstration</w:t>
            </w:r>
            <w:r w:rsidR="003B2E94">
              <w:rPr>
                <w:rFonts w:cstheme="minorHAnsi"/>
                <w:szCs w:val="18"/>
              </w:rPr>
              <w:t xml:space="preserve"> (n </w:t>
            </w:r>
            <w:r w:rsidR="004B24FF" w:rsidRPr="00770E7F">
              <w:t xml:space="preserve">≤ </w:t>
            </w:r>
            <w:r w:rsidR="003B2E94">
              <w:rPr>
                <w:rFonts w:cstheme="minorHAnsi"/>
                <w:szCs w:val="18"/>
              </w:rPr>
              <w:t>30)</w:t>
            </w:r>
          </w:p>
        </w:tc>
        <w:tc>
          <w:tcPr>
            <w:tcW w:w="4145" w:type="dxa"/>
          </w:tcPr>
          <w:p w14:paraId="5D4757BE" w14:textId="77777777" w:rsidR="00BF2B7F" w:rsidRPr="002576EA" w:rsidRDefault="00BF2B7F" w:rsidP="007633C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576EA">
              <w:rPr>
                <w:rFonts w:cstheme="minorHAnsi"/>
                <w:szCs w:val="18"/>
              </w:rPr>
              <w:t>Examples of topics:</w:t>
            </w:r>
          </w:p>
          <w:p w14:paraId="14FDFB94" w14:textId="5CD648B8" w:rsidR="00BF2B7F" w:rsidRPr="002576EA" w:rsidRDefault="22EDBC1B" w:rsidP="007633CA">
            <w:pPr>
              <w:pStyle w:val="TableNormal0"/>
              <w:cnfStyle w:val="000000100000" w:firstRow="0" w:lastRow="0" w:firstColumn="0" w:lastColumn="0" w:oddVBand="0" w:evenVBand="0" w:oddHBand="1" w:evenHBand="0" w:firstRowFirstColumn="0" w:firstRowLastColumn="0" w:lastRowFirstColumn="0" w:lastRowLastColumn="0"/>
            </w:pPr>
            <w:r>
              <w:t>Awareness of new and revised C&amp;E policies</w:t>
            </w:r>
            <w:r w:rsidR="2C7D328B">
              <w:t xml:space="preserve"> (including facilitators and challenges in understanding the policies and how policies impact their application for and use of benefits)</w:t>
            </w:r>
            <w:r>
              <w:t>; g</w:t>
            </w:r>
            <w:r w:rsidR="00BF2B7F">
              <w:t>etting needed care; likelihood and frequency of income changes at 12-month intervals; overall experiences, etc. (and by program type)</w:t>
            </w:r>
          </w:p>
        </w:tc>
        <w:tc>
          <w:tcPr>
            <w:tcW w:w="1296" w:type="dxa"/>
          </w:tcPr>
          <w:p w14:paraId="6EA9114A" w14:textId="23B0ABB0" w:rsidR="00BF2B7F" w:rsidRPr="00282E62" w:rsidRDefault="00BF2B7F" w:rsidP="007633C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576EA">
              <w:rPr>
                <w:rFonts w:cstheme="minorHAnsi"/>
                <w:szCs w:val="18"/>
              </w:rPr>
              <w:t xml:space="preserve">Thematic analysis </w:t>
            </w:r>
            <w:r w:rsidR="007C5BAD">
              <w:rPr>
                <w:rFonts w:cstheme="minorHAnsi"/>
                <w:szCs w:val="18"/>
              </w:rPr>
              <w:t>(</w:t>
            </w:r>
            <w:r w:rsidR="00B12C9C">
              <w:rPr>
                <w:rFonts w:cstheme="minorHAnsi"/>
                <w:szCs w:val="18"/>
              </w:rPr>
              <w:t>m</w:t>
            </w:r>
            <w:r w:rsidR="007C5BAD">
              <w:rPr>
                <w:rFonts w:cstheme="minorHAnsi"/>
                <w:szCs w:val="18"/>
              </w:rPr>
              <w:t>ember)</w:t>
            </w:r>
          </w:p>
        </w:tc>
      </w:tr>
    </w:tbl>
    <w:p w14:paraId="65ABDE05" w14:textId="3C31CE3E" w:rsidR="00BF2B7F" w:rsidRPr="00282E62" w:rsidRDefault="00C45084" w:rsidP="00282E62">
      <w:pPr>
        <w:pStyle w:val="TableorFigurefootnote"/>
      </w:pPr>
      <w:r w:rsidRPr="00282E62">
        <w:t xml:space="preserve">a. </w:t>
      </w:r>
      <w:r w:rsidR="00BF2B7F" w:rsidRPr="00282E62">
        <w:t>RQs developed based on STC sections 4.2, 4.10, 4.11, 8.13, 9.1, 10.1, 16.5.b.iv, 16.5.b.v, 16.5.b.vi, 17.6.f, Ta</w:t>
      </w:r>
      <w:r w:rsidR="00BE4B68">
        <w:t>"</w:t>
      </w:r>
      <w:r w:rsidR="00BF2B7F" w:rsidRPr="00282E62">
        <w:t>ble 1, Table 9.</w:t>
      </w:r>
      <w:r w:rsidR="007B50AD">
        <w:t xml:space="preserve"> (</w:t>
      </w:r>
      <w:hyperlink r:id="rId20" w:history="1">
        <w:r w:rsidR="007B50AD" w:rsidRPr="007B50AD">
          <w:rPr>
            <w:rStyle w:val="Hyperlink"/>
          </w:rPr>
          <w:t>1115 MassHealth Demonstration ("Waiver") | Mass.gov</w:t>
        </w:r>
      </w:hyperlink>
      <w:r w:rsidR="007B50AD">
        <w:t>)</w:t>
      </w:r>
    </w:p>
    <w:p w14:paraId="0D715FA7" w14:textId="7384D264" w:rsidR="00BF2B7F" w:rsidRPr="00282E62" w:rsidRDefault="00C45084" w:rsidP="00282E62">
      <w:pPr>
        <w:pStyle w:val="TableorFigurefootnote"/>
      </w:pPr>
      <w:r>
        <w:t xml:space="preserve">b. </w:t>
      </w:r>
      <w:r w:rsidR="00BF2B7F">
        <w:t>Data sources are described in section 2.4.</w:t>
      </w:r>
      <w:r w:rsidR="00AE18DD">
        <w:t>2</w:t>
      </w:r>
      <w:r w:rsidR="00BF2B7F">
        <w:t xml:space="preserve"> </w:t>
      </w:r>
      <w:r w:rsidR="00BE4B68">
        <w:t xml:space="preserve">“Data Sources and Collection Methods” </w:t>
      </w:r>
      <w:r w:rsidR="00BF2B7F">
        <w:t xml:space="preserve">below and section 1.4.1 </w:t>
      </w:r>
      <w:r w:rsidR="00BE4B68">
        <w:t>“</w:t>
      </w:r>
      <w:r w:rsidR="00BF2B7F">
        <w:t>Summary of Data Sources</w:t>
      </w:r>
      <w:r w:rsidR="00BE4B68">
        <w:t>”</w:t>
      </w:r>
      <w:r w:rsidR="00106D1A">
        <w:t>.</w:t>
      </w:r>
    </w:p>
    <w:p w14:paraId="35892F18" w14:textId="7CC44733" w:rsidR="00BF2B7F" w:rsidRPr="00282E62" w:rsidRDefault="00C45084" w:rsidP="00282E62">
      <w:pPr>
        <w:pStyle w:val="TableorFigurefootnote"/>
      </w:pPr>
      <w:r w:rsidRPr="00282E62">
        <w:t xml:space="preserve">c. </w:t>
      </w:r>
      <w:r w:rsidR="00BF2B7F" w:rsidRPr="00282E62">
        <w:t>Analytic methods are described below in section 2.4.</w:t>
      </w:r>
      <w:r w:rsidR="00AE18DD">
        <w:t>4</w:t>
      </w:r>
      <w:r w:rsidR="003D66D0">
        <w:t xml:space="preserve"> “Analysis Methods”</w:t>
      </w:r>
    </w:p>
    <w:p w14:paraId="6AE08076" w14:textId="77777777" w:rsidR="00BF2B7F" w:rsidRPr="0009132C" w:rsidRDefault="00BF2B7F" w:rsidP="00BF2B7F">
      <w:pPr>
        <w:sectPr w:rsidR="00BF2B7F" w:rsidRPr="0009132C" w:rsidSect="00744E1B">
          <w:pgSz w:w="15840" w:h="12240" w:orient="landscape"/>
          <w:pgMar w:top="1152" w:right="1152" w:bottom="1152" w:left="1152" w:header="720" w:footer="720" w:gutter="0"/>
          <w:cols w:space="720"/>
          <w:docGrid w:linePitch="360"/>
        </w:sectPr>
      </w:pPr>
    </w:p>
    <w:p w14:paraId="41AD196A" w14:textId="27584CB0" w:rsidR="00BF2B7F" w:rsidRPr="003E3CCA" w:rsidRDefault="00BF2B7F" w:rsidP="00B264A2">
      <w:pPr>
        <w:pStyle w:val="Heading2"/>
      </w:pPr>
      <w:bookmarkStart w:id="62" w:name="_Data_and_Methods_4"/>
      <w:bookmarkStart w:id="63" w:name="_Toc130209705"/>
      <w:bookmarkStart w:id="64" w:name="_Toc151976416"/>
      <w:bookmarkEnd w:id="62"/>
      <w:r w:rsidRPr="0009132C">
        <w:lastRenderedPageBreak/>
        <w:t>Data and Methods</w:t>
      </w:r>
      <w:bookmarkStart w:id="65" w:name="_Toc127880669"/>
      <w:bookmarkEnd w:id="63"/>
      <w:bookmarkEnd w:id="64"/>
    </w:p>
    <w:p w14:paraId="28B4DCBD" w14:textId="77777777" w:rsidR="00BF2B7F" w:rsidRPr="0009132C" w:rsidRDefault="00BF2B7F" w:rsidP="00EE4105">
      <w:pPr>
        <w:pStyle w:val="Heading3"/>
      </w:pPr>
      <w:r w:rsidRPr="0009132C">
        <w:t>Study Populations</w:t>
      </w:r>
    </w:p>
    <w:p w14:paraId="3D850159" w14:textId="77777777" w:rsidR="00BF2B7F" w:rsidRPr="0009132C" w:rsidRDefault="00BF2B7F" w:rsidP="00B264A2">
      <w:r w:rsidRPr="0009132C">
        <w:t xml:space="preserve">The study population to examine insurance rates will consist of all Massachusetts residents. Annual estimates of the percentage insured will be obtained from the annual American Community Survey (ACS) (described below). For supporting analyses tracking enrollment in specific C&amp;E policies/programs, the study populations will consist of members in those respective programs. </w:t>
      </w:r>
    </w:p>
    <w:p w14:paraId="32918022" w14:textId="1842B046" w:rsidR="00BF2B7F" w:rsidRPr="0055484C" w:rsidRDefault="00BF2B7F" w:rsidP="00B264A2">
      <w:r w:rsidRPr="0009132C">
        <w:t xml:space="preserve">The evaluation will track estimates from Calendar Year (CY) 2018 </w:t>
      </w:r>
      <w:r w:rsidR="004F31A3">
        <w:t>—</w:t>
      </w:r>
      <w:r w:rsidR="004F31A3" w:rsidRPr="0009132C">
        <w:t xml:space="preserve"> </w:t>
      </w:r>
      <w:r w:rsidRPr="0009132C">
        <w:t xml:space="preserve">baseline estimates </w:t>
      </w:r>
      <w:r w:rsidR="004F31A3">
        <w:t>—</w:t>
      </w:r>
      <w:r w:rsidR="004F31A3" w:rsidRPr="0009132C">
        <w:t xml:space="preserve"> </w:t>
      </w:r>
      <w:r w:rsidRPr="0009132C">
        <w:t>to the most recently available data for ongoing programs. The evaluation will track enrollment as of the program start date for programs that begin during this Demonstration.</w:t>
      </w:r>
    </w:p>
    <w:p w14:paraId="12ED7929" w14:textId="1C94E4FC" w:rsidR="00BF2B7F" w:rsidRPr="0009132C" w:rsidRDefault="00124055" w:rsidP="00EE4105">
      <w:pPr>
        <w:pStyle w:val="Heading3"/>
      </w:pPr>
      <w:bookmarkStart w:id="66" w:name="_Data_Sources_and_1"/>
      <w:bookmarkStart w:id="67" w:name="_Ref158730456"/>
      <w:bookmarkEnd w:id="66"/>
      <w:r w:rsidRPr="0009132C">
        <w:t>Data Sources and Collection Methods</w:t>
      </w:r>
      <w:bookmarkEnd w:id="67"/>
      <w:r w:rsidRPr="0009132C">
        <w:t xml:space="preserve"> </w:t>
      </w:r>
    </w:p>
    <w:p w14:paraId="3B4DE772" w14:textId="09E72452" w:rsidR="00BF2B7F" w:rsidRPr="0009132C" w:rsidRDefault="00BF2B7F" w:rsidP="00B264A2">
      <w:r w:rsidRPr="0009132C">
        <w:t xml:space="preserve">The evaluation will use mixed quantitative and qualitative methods, as described in </w:t>
      </w:r>
      <w:r w:rsidR="00550619" w:rsidRPr="004E732A">
        <w:rPr>
          <w:color w:val="000F9F"/>
          <w:u w:val="single"/>
        </w:rPr>
        <w:fldChar w:fldCharType="begin"/>
      </w:r>
      <w:r w:rsidR="00550619" w:rsidRPr="004E732A">
        <w:rPr>
          <w:color w:val="000F9F"/>
          <w:u w:val="single"/>
        </w:rPr>
        <w:instrText xml:space="preserve"> REF _Ref143161348 \h </w:instrText>
      </w:r>
      <w:r w:rsidR="00550619" w:rsidRPr="004E732A">
        <w:rPr>
          <w:color w:val="000F9F"/>
          <w:u w:val="single"/>
        </w:rPr>
      </w:r>
      <w:r w:rsidR="00550619" w:rsidRPr="004E732A">
        <w:rPr>
          <w:color w:val="000F9F"/>
          <w:u w:val="single"/>
        </w:rPr>
        <w:fldChar w:fldCharType="separate"/>
      </w:r>
      <w:r w:rsidR="00550619" w:rsidRPr="004E732A">
        <w:rPr>
          <w:color w:val="000F9F"/>
          <w:u w:val="single"/>
        </w:rPr>
        <w:t xml:space="preserve">Table </w:t>
      </w:r>
      <w:r w:rsidR="00550619" w:rsidRPr="004E732A">
        <w:rPr>
          <w:noProof/>
          <w:color w:val="000F9F"/>
          <w:u w:val="single"/>
        </w:rPr>
        <w:t>2</w:t>
      </w:r>
      <w:r w:rsidR="00550619" w:rsidRPr="004E732A">
        <w:rPr>
          <w:color w:val="000F9F"/>
          <w:u w:val="single"/>
        </w:rPr>
        <w:noBreakHyphen/>
      </w:r>
      <w:r w:rsidR="00550619" w:rsidRPr="004E732A">
        <w:rPr>
          <w:noProof/>
          <w:color w:val="000F9F"/>
          <w:u w:val="single"/>
        </w:rPr>
        <w:t>1</w:t>
      </w:r>
      <w:r w:rsidR="00550619" w:rsidRPr="004E732A">
        <w:rPr>
          <w:color w:val="000F9F"/>
          <w:u w:val="single"/>
        </w:rPr>
        <w:fldChar w:fldCharType="end"/>
      </w:r>
      <w:r w:rsidRPr="0009132C">
        <w:t>. The data sources for these measures are the following:</w:t>
      </w:r>
    </w:p>
    <w:p w14:paraId="7E53A7A3" w14:textId="2E71BB76" w:rsidR="005D002D" w:rsidRPr="0009132C" w:rsidRDefault="00BF2B7F" w:rsidP="000F5B9D">
      <w:pPr>
        <w:pStyle w:val="Heading4"/>
      </w:pPr>
      <w:r w:rsidRPr="0009132C">
        <w:t>American Community Survey</w:t>
      </w:r>
    </w:p>
    <w:p w14:paraId="36B4DA2E" w14:textId="7D674875" w:rsidR="00BF2B7F" w:rsidRPr="0009132C" w:rsidRDefault="00BF2B7F" w:rsidP="008D51B6">
      <w:r w:rsidRPr="0009132C">
        <w:t>The ACS is a national survey conducted by the U.S. Census Bureau. The ACS collects information about health insurance coverage nationwide and by the state annually, disseminated by the Census Bureau for public use.</w:t>
      </w:r>
      <w:r w:rsidRPr="0009132C" w:rsidDel="000B2341">
        <w:t xml:space="preserve"> </w:t>
      </w:r>
      <w:r w:rsidRPr="0009132C">
        <w:t>Data will be available for three years prior to the PHE through the current Demonstration period.</w:t>
      </w:r>
      <w:r w:rsidRPr="0009132C">
        <w:rPr>
          <w:rStyle w:val="FootnoteReference"/>
        </w:rPr>
        <w:footnoteReference w:id="21"/>
      </w:r>
      <w:r w:rsidRPr="0009132C">
        <w:t xml:space="preserve"> </w:t>
      </w:r>
    </w:p>
    <w:p w14:paraId="2DDA487B" w14:textId="5C3160DA" w:rsidR="005D002D" w:rsidRPr="0009132C" w:rsidRDefault="00BF2B7F" w:rsidP="000F5B9D">
      <w:pPr>
        <w:pStyle w:val="Heading4"/>
      </w:pPr>
      <w:r w:rsidRPr="0009132C">
        <w:t xml:space="preserve">Program </w:t>
      </w:r>
      <w:r w:rsidR="00B87988" w:rsidRPr="0009132C">
        <w:t>Enrollment Reports</w:t>
      </w:r>
    </w:p>
    <w:p w14:paraId="5322E16A" w14:textId="1722D1E0" w:rsidR="00BF2B7F" w:rsidRPr="0009132C" w:rsidRDefault="00BF2B7F" w:rsidP="00B264A2">
      <w:r w:rsidRPr="0009132C">
        <w:t xml:space="preserve">Program reports and summary data will allow the Independent Evaluator (IE) to track enrollment in MassHealth programs. Data will be obtained from MassHealth and the Health Connector. </w:t>
      </w:r>
    </w:p>
    <w:p w14:paraId="19F2A239" w14:textId="6D5D73DE" w:rsidR="005D002D" w:rsidRPr="0009132C" w:rsidRDefault="00BF2B7F" w:rsidP="000F5B9D">
      <w:pPr>
        <w:pStyle w:val="Heading4"/>
      </w:pPr>
      <w:bookmarkStart w:id="68" w:name="_Medicaid_Administrative_Data"/>
      <w:bookmarkEnd w:id="68"/>
      <w:r w:rsidRPr="0009132C">
        <w:t xml:space="preserve">Medicaid </w:t>
      </w:r>
      <w:r w:rsidR="00B87988" w:rsidRPr="0009132C">
        <w:t>Administrative Data</w:t>
      </w:r>
    </w:p>
    <w:p w14:paraId="7C2E7D04" w14:textId="498BF995" w:rsidR="00BF2B7F" w:rsidRPr="0009132C" w:rsidRDefault="00BF2B7F" w:rsidP="00B264A2">
      <w:r w:rsidRPr="0009132C">
        <w:t xml:space="preserve">Medicaid Management Information Systems (MMIS) enrollment data will be used to evaluate study population enrollment and continuity/churning. </w:t>
      </w:r>
    </w:p>
    <w:p w14:paraId="2ABD29A1" w14:textId="35330256" w:rsidR="005D002D" w:rsidRPr="0009132C" w:rsidRDefault="00BF2B7F" w:rsidP="000F5B9D">
      <w:pPr>
        <w:pStyle w:val="Heading4"/>
      </w:pPr>
      <w:r w:rsidRPr="0009132C">
        <w:t xml:space="preserve">Member </w:t>
      </w:r>
      <w:r w:rsidR="00B87988" w:rsidRPr="0009132C">
        <w:t>Interviews and Focus Groups</w:t>
      </w:r>
      <w:r w:rsidRPr="0009132C">
        <w:t xml:space="preserve"> </w:t>
      </w:r>
    </w:p>
    <w:p w14:paraId="1E7EF6AB" w14:textId="29B0C4FA" w:rsidR="00BF2B7F" w:rsidRPr="0009132C" w:rsidRDefault="00BF2B7F" w:rsidP="00B264A2">
      <w:r>
        <w:t xml:space="preserve">The IE will randomly select approximately 30 members across MassHealth programs for one-on-one interviews or focus groups to learn about their experiences with these programs. The final number will depend on the saturation of data (i.e., whether interviewees share consistent feedback). </w:t>
      </w:r>
      <w:r w:rsidR="7F7C9009">
        <w:t>The IE will look into possible ways to gauge members</w:t>
      </w:r>
      <w:r w:rsidR="1BB9D611">
        <w:t>’</w:t>
      </w:r>
      <w:r w:rsidR="7F7C9009">
        <w:t xml:space="preserve"> awareness of policies </w:t>
      </w:r>
      <w:r w:rsidR="11120F29">
        <w:t xml:space="preserve">through possible engagement with </w:t>
      </w:r>
      <w:r w:rsidR="14FE9F1F">
        <w:t>members</w:t>
      </w:r>
      <w:r w:rsidR="2F0E8E78">
        <w:t xml:space="preserve"> and program staff.</w:t>
      </w:r>
      <w:r w:rsidR="11120F29">
        <w:t xml:space="preserve"> </w:t>
      </w:r>
      <w:r>
        <w:t>This data collection will be conducted during State Fiscal Year (SFY)</w:t>
      </w:r>
      <w:r w:rsidR="00D43E3B">
        <w:t xml:space="preserve"> </w:t>
      </w:r>
      <w:r>
        <w:t xml:space="preserve">25 and SFY27. </w:t>
      </w:r>
      <w:r w:rsidR="16786B17">
        <w:t xml:space="preserve">If feasible, the IE will identify Medicaid members from other states that do </w:t>
      </w:r>
      <w:r w:rsidR="16786B17">
        <w:lastRenderedPageBreak/>
        <w:t xml:space="preserve">not have RE policies (e.g., California, Oregon). Recruiting these Medicaid members may be achieved through collaboration with other state Medicaid agencies </w:t>
      </w:r>
      <w:r w:rsidR="004F31A3">
        <w:t xml:space="preserve">— </w:t>
      </w:r>
      <w:r w:rsidR="16786B17">
        <w:t xml:space="preserve">through the assistance of MassHealth </w:t>
      </w:r>
      <w:r w:rsidR="004F31A3">
        <w:t xml:space="preserve">— </w:t>
      </w:r>
      <w:r w:rsidR="16786B17">
        <w:t>or through advocacy organizations that serve a large number of Medicaid members.</w:t>
      </w:r>
    </w:p>
    <w:p w14:paraId="301AB25E" w14:textId="2F6044ED" w:rsidR="00BF17E1" w:rsidRPr="0009132C" w:rsidRDefault="00BF2B7F" w:rsidP="000F5B9D">
      <w:pPr>
        <w:pStyle w:val="Heading4"/>
      </w:pPr>
      <w:r w:rsidRPr="0009132C">
        <w:t xml:space="preserve">Program </w:t>
      </w:r>
      <w:r w:rsidR="00B87988" w:rsidRPr="0009132C">
        <w:t xml:space="preserve">Staff </w:t>
      </w:r>
      <w:r w:rsidR="009B2209" w:rsidRPr="0009132C">
        <w:t>and Stakeholder</w:t>
      </w:r>
      <w:r w:rsidR="00B87988" w:rsidRPr="0009132C">
        <w:t xml:space="preserve"> Interview</w:t>
      </w:r>
    </w:p>
    <w:p w14:paraId="2A74334A" w14:textId="04871B90" w:rsidR="00BE48A0" w:rsidRPr="0009132C" w:rsidRDefault="00BF2B7F" w:rsidP="00B264A2">
      <w:r w:rsidRPr="0009132C">
        <w:t>The IE will also conduct interviews with MassHealth program staff who oversee specific C&amp;E programs/policies to understand staff experiences administering these programs/policies. These interviews will be conducted during SFY2</w:t>
      </w:r>
      <w:r w:rsidR="00AB7272">
        <w:t>5</w:t>
      </w:r>
      <w:r w:rsidRPr="0009132C">
        <w:t xml:space="preserve"> and SFY2</w:t>
      </w:r>
      <w:r w:rsidR="00AB7272">
        <w:t>7</w:t>
      </w:r>
      <w:r w:rsidRPr="0009132C">
        <w:t xml:space="preserve">. </w:t>
      </w:r>
      <w:r w:rsidR="005C63A6" w:rsidRPr="0009132C">
        <w:t>In addition</w:t>
      </w:r>
      <w:r w:rsidR="0E29CE95">
        <w:t xml:space="preserve">, </w:t>
      </w:r>
      <w:r w:rsidR="01F37308">
        <w:t>if feasible</w:t>
      </w:r>
      <w:r w:rsidR="005C63A6" w:rsidRPr="0009132C">
        <w:t>, the IE will aim to identify program staff or organizations that serve a lot of Medicaid members in other states to discuss the perceived impact of RE policy on members’ financial wellbeing and experiences with knowing and using the policy.</w:t>
      </w:r>
      <w:r w:rsidR="00AB34A2" w:rsidRPr="0009132C">
        <w:t xml:space="preserve"> Qualitative interviews with MassHealth members not receiving 90 days</w:t>
      </w:r>
      <w:r w:rsidR="00C46D1B">
        <w:t>’</w:t>
      </w:r>
      <w:r w:rsidR="00AB34A2" w:rsidRPr="0009132C">
        <w:t xml:space="preserve"> RE coverage may be conducted as an alternative.</w:t>
      </w:r>
    </w:p>
    <w:p w14:paraId="779A5592" w14:textId="5596BC9E" w:rsidR="006D5750" w:rsidRPr="0009132C" w:rsidRDefault="00F43390" w:rsidP="00EE4105">
      <w:pPr>
        <w:pStyle w:val="Heading3"/>
      </w:pPr>
      <w:r w:rsidRPr="0009132C">
        <w:t xml:space="preserve">Measures </w:t>
      </w:r>
    </w:p>
    <w:p w14:paraId="63DC5C25" w14:textId="126021CD" w:rsidR="00BF2B7F" w:rsidRPr="0009132C" w:rsidRDefault="00BF2B7F" w:rsidP="00B264A2">
      <w:r w:rsidRPr="0009132C">
        <w:t xml:space="preserve">The measures are described in </w:t>
      </w:r>
      <w:r w:rsidR="005A5F7E" w:rsidRPr="005C4A5C">
        <w:rPr>
          <w:color w:val="000F9F"/>
          <w:u w:val="single"/>
        </w:rPr>
        <w:fldChar w:fldCharType="begin"/>
      </w:r>
      <w:r w:rsidR="005A5F7E" w:rsidRPr="005C4A5C">
        <w:rPr>
          <w:color w:val="000F9F"/>
          <w:u w:val="single"/>
        </w:rPr>
        <w:instrText xml:space="preserve"> REF _Ref143161348 \h </w:instrText>
      </w:r>
      <w:r w:rsidR="005A5F7E" w:rsidRPr="005C4A5C">
        <w:rPr>
          <w:color w:val="000F9F"/>
          <w:u w:val="single"/>
        </w:rPr>
      </w:r>
      <w:r w:rsidR="005A5F7E" w:rsidRPr="005C4A5C">
        <w:rPr>
          <w:color w:val="000F9F"/>
          <w:u w:val="single"/>
        </w:rPr>
        <w:fldChar w:fldCharType="separate"/>
      </w:r>
      <w:r w:rsidR="00EB7B05" w:rsidRPr="005C4A5C">
        <w:rPr>
          <w:color w:val="000F9F"/>
          <w:u w:val="single"/>
        </w:rPr>
        <w:t xml:space="preserve">Table </w:t>
      </w:r>
      <w:r w:rsidR="00EB7B05" w:rsidRPr="005C4A5C">
        <w:rPr>
          <w:noProof/>
          <w:color w:val="000F9F"/>
          <w:u w:val="single"/>
        </w:rPr>
        <w:t>2</w:t>
      </w:r>
      <w:r w:rsidR="00EB7B05" w:rsidRPr="005C4A5C">
        <w:rPr>
          <w:color w:val="000F9F"/>
          <w:u w:val="single"/>
        </w:rPr>
        <w:noBreakHyphen/>
      </w:r>
      <w:r w:rsidR="00EB7B05" w:rsidRPr="005C4A5C">
        <w:rPr>
          <w:noProof/>
          <w:color w:val="000F9F"/>
          <w:u w:val="single"/>
        </w:rPr>
        <w:t>1</w:t>
      </w:r>
      <w:r w:rsidR="005A5F7E" w:rsidRPr="005C4A5C">
        <w:rPr>
          <w:color w:val="000F9F"/>
          <w:u w:val="single"/>
        </w:rPr>
        <w:fldChar w:fldCharType="end"/>
      </w:r>
      <w:r w:rsidR="005A5F7E">
        <w:t xml:space="preserve"> </w:t>
      </w:r>
      <w:r w:rsidRPr="0009132C">
        <w:t>and fall into three categories</w:t>
      </w:r>
      <w:r w:rsidR="00106FE8">
        <w:t>:</w:t>
      </w:r>
    </w:p>
    <w:p w14:paraId="207417D7" w14:textId="273AE551" w:rsidR="00BF17E1" w:rsidRPr="0009132C" w:rsidRDefault="00BF2B7F" w:rsidP="000F5B9D">
      <w:pPr>
        <w:pStyle w:val="Heading4"/>
      </w:pPr>
      <w:r w:rsidRPr="0009132C">
        <w:t xml:space="preserve">Quantitative </w:t>
      </w:r>
      <w:r w:rsidR="00B87988" w:rsidRPr="0009132C">
        <w:t>Measures about Coverage and Enrollment</w:t>
      </w:r>
    </w:p>
    <w:p w14:paraId="17C7D255" w14:textId="6BE670F3" w:rsidR="00BF2B7F" w:rsidRPr="0009132C" w:rsidRDefault="00BF2B7F" w:rsidP="00B264A2">
      <w:r w:rsidRPr="0009132C">
        <w:t xml:space="preserve">The quantitative measures generally focus on the number and percentage of enrollment and length of enrollment in Medicaid or the Health Connector and in specific MassHealth programs (e.g., Family Assistance, MSP). The IE will work with MassHealth to collect enrollment data across programs. Measures will be presented annually over the analysis period. </w:t>
      </w:r>
    </w:p>
    <w:p w14:paraId="093F57F8" w14:textId="479F7B23" w:rsidR="00BF17E1" w:rsidRPr="0009132C" w:rsidRDefault="00BF2B7F" w:rsidP="000F5B9D">
      <w:pPr>
        <w:pStyle w:val="Heading4"/>
      </w:pPr>
      <w:r w:rsidRPr="0009132C">
        <w:t xml:space="preserve">Quantitative </w:t>
      </w:r>
      <w:r w:rsidR="00B87988" w:rsidRPr="0009132C">
        <w:t>Measures about Healthcare Utilization</w:t>
      </w:r>
    </w:p>
    <w:p w14:paraId="67DCC704" w14:textId="00D1BCA9" w:rsidR="00BF2B7F" w:rsidRPr="0009132C" w:rsidRDefault="00BF2B7F" w:rsidP="00B264A2">
      <w:r w:rsidRPr="0009132C">
        <w:t>These measures will be created from MassHealth administrative data (e.g., claims/encounter data).</w:t>
      </w:r>
    </w:p>
    <w:p w14:paraId="710FA864" w14:textId="5D4A4B61" w:rsidR="00BF17E1" w:rsidRPr="0009132C" w:rsidRDefault="00BF2B7F" w:rsidP="000F5B9D">
      <w:pPr>
        <w:pStyle w:val="Heading4"/>
      </w:pPr>
      <w:r w:rsidRPr="0009132C">
        <w:t xml:space="preserve">Qualitative </w:t>
      </w:r>
      <w:r w:rsidR="00B87988" w:rsidRPr="0009132C">
        <w:t xml:space="preserve">Measures about Member </w:t>
      </w:r>
      <w:r w:rsidR="00F51B91" w:rsidRPr="0009132C">
        <w:t xml:space="preserve">and </w:t>
      </w:r>
      <w:r w:rsidR="00B87988" w:rsidRPr="0009132C">
        <w:t>Staff Experiences</w:t>
      </w:r>
    </w:p>
    <w:p w14:paraId="1BCBD0E0" w14:textId="4B541ECB" w:rsidR="00BF2B7F" w:rsidRPr="0009132C" w:rsidRDefault="00BF2B7F" w:rsidP="00B264A2">
      <w:r w:rsidRPr="0009132C">
        <w:t>The member interview/focus groups will examine topics such as access to care; the likelihood and frequency of income changes at 12-month intervals; the likelihood of third-party payment for healthcare before Medicaid enrollment; and experiences with MassHealth’s eligibility determination processes. In addition, program-specific questions will be asked of interviewees as appropriate. Staff interviews will explore their experiences with program administration, such as application and eligibility review processes, facilitators and barriers of data systems, and program-related success</w:t>
      </w:r>
      <w:r w:rsidR="00942AC2" w:rsidRPr="0009132C">
        <w:t>es</w:t>
      </w:r>
      <w:r w:rsidRPr="0009132C">
        <w:t xml:space="preserve"> and challenges.</w:t>
      </w:r>
    </w:p>
    <w:p w14:paraId="66F8AA09" w14:textId="65F4685D" w:rsidR="00F43390" w:rsidRPr="0009132C" w:rsidRDefault="00253D33" w:rsidP="00EE4105">
      <w:pPr>
        <w:pStyle w:val="Heading3"/>
      </w:pPr>
      <w:r>
        <w:t xml:space="preserve">Analysis Methods </w:t>
      </w:r>
    </w:p>
    <w:p w14:paraId="45CC03FC" w14:textId="6D62BE59" w:rsidR="00A26385" w:rsidRPr="0009132C" w:rsidRDefault="00A26385" w:rsidP="00B264A2">
      <w:r w:rsidRPr="0009132C">
        <w:t xml:space="preserve">The IE will present descriptive statistics for quantitative measures regarding coverage, enrollment, and coverage continuity. For example, the number and percentage of uninsured Massachusetts residents will be tabulated and graphed for each CY. Additional analyses will be performed across populations and by program and other individual characteristics (e.g., age, gender, race, disability status, primary language, </w:t>
      </w:r>
      <w:r w:rsidRPr="0009132C">
        <w:lastRenderedPageBreak/>
        <w:t>and geography), as appropriate.</w:t>
      </w:r>
      <w:r w:rsidRPr="0009132C">
        <w:rPr>
          <w:rStyle w:val="FootnoteReference"/>
        </w:rPr>
        <w:footnoteReference w:id="22"/>
      </w:r>
      <w:r w:rsidRPr="0009132C">
        <w:t xml:space="preserve"> To examine the change in the uninsurance rate and Medicaid enrollment (e.g., churn) over time, a time-series approach will be used to evaluate the trends before, during, and after the Demonstration period. </w:t>
      </w:r>
      <w:r w:rsidR="00747A7D" w:rsidRPr="0009132C">
        <w:t xml:space="preserve">The trend will be interpreted appropriately. For instance, a decrease </w:t>
      </w:r>
      <w:r w:rsidR="006A1729" w:rsidRPr="0009132C">
        <w:t xml:space="preserve">in the total number on MassHealth does not always suggest a negative finding (e.g., </w:t>
      </w:r>
      <w:r w:rsidR="00747A7D" w:rsidRPr="0009132C">
        <w:t xml:space="preserve">if the number of </w:t>
      </w:r>
      <w:r w:rsidR="00084A35">
        <w:t xml:space="preserve">the </w:t>
      </w:r>
      <w:r w:rsidR="00747A7D" w:rsidRPr="0009132C">
        <w:t>justice-involved population has reduced over time, that is</w:t>
      </w:r>
      <w:r w:rsidR="006A1729" w:rsidRPr="0009132C">
        <w:t xml:space="preserve"> an encouraging trend).</w:t>
      </w:r>
      <w:r w:rsidR="001E3DCB">
        <w:t xml:space="preserve"> </w:t>
      </w:r>
    </w:p>
    <w:p w14:paraId="7518F4D8" w14:textId="1917CADF" w:rsidR="00BF2B7F" w:rsidRPr="0009132C" w:rsidRDefault="00BF2B7F" w:rsidP="00B264A2">
      <w:r w:rsidRPr="0009132C">
        <w:t xml:space="preserve">MassHealth offered many flexibilities to members during PHE, including implementation of the continuous coverage provision of the FFCRA, which skewed the enrollment, eligibility, and healthcare utilization patterns during this period. </w:t>
      </w:r>
      <w:r w:rsidR="00BC77D0" w:rsidRPr="0009132C">
        <w:t xml:space="preserve">Therefore, our analyses will </w:t>
      </w:r>
      <w:r w:rsidR="002E1908" w:rsidRPr="0009132C">
        <w:t xml:space="preserve">examine data from before, during, and after the </w:t>
      </w:r>
      <w:r w:rsidR="00490DC1" w:rsidRPr="0009132C">
        <w:t>PHE.</w:t>
      </w:r>
      <w:r w:rsidRPr="0009132C">
        <w:t xml:space="preserve"> Pre-COVID</w:t>
      </w:r>
      <w:r w:rsidR="00966B23">
        <w:t>-19</w:t>
      </w:r>
      <w:r w:rsidRPr="0009132C">
        <w:t xml:space="preserve"> data (from 2018) will be included to set a more realistic baseline for outcomes under this </w:t>
      </w:r>
      <w:r w:rsidRPr="0009132C">
        <w:rPr>
          <w:rFonts w:eastAsia="Arial"/>
        </w:rPr>
        <w:t>Demonstration</w:t>
      </w:r>
      <w:r w:rsidRPr="0009132C">
        <w:t xml:space="preserve">. </w:t>
      </w:r>
    </w:p>
    <w:p w14:paraId="5975E9A5" w14:textId="676C8C54" w:rsidR="00BF2B7F" w:rsidRPr="0009132C" w:rsidRDefault="00BF2B7F" w:rsidP="00B264A2">
      <w:r w:rsidRPr="0009132C">
        <w:t>For quantitative measures of healthcare utilization (e.g., annual primary care visits and adult immunizations), the Interrupted Time Series (ITS)</w:t>
      </w:r>
      <w:r w:rsidRPr="0009132C">
        <w:rPr>
          <w:rStyle w:val="FootnoteReference"/>
        </w:rPr>
        <w:footnoteReference w:id="23"/>
      </w:r>
      <w:r w:rsidRPr="0009132C">
        <w:t xml:space="preserve"> approach will be used to examine trends over time. ITS is a quasi-experimental method used to track outcomes over a long-term period to determine the impact of an intervention or policy. The measures will be </w:t>
      </w:r>
      <w:r w:rsidR="00214541" w:rsidRPr="0009132C">
        <w:t>regression</w:t>
      </w:r>
      <w:r w:rsidR="00214541">
        <w:t>-</w:t>
      </w:r>
      <w:r w:rsidRPr="0009132C">
        <w:t xml:space="preserve">adjusted to account for individual and other organizational characteristics with trends presented before, during, and after the start of the Demonstration period. </w:t>
      </w:r>
      <w:r w:rsidR="0082161E">
        <w:t>The analyses will draw on a few covariates</w:t>
      </w:r>
      <w:r w:rsidR="002F169D">
        <w:t>; the examples are</w:t>
      </w:r>
      <w:r w:rsidR="00131B4F">
        <w:t xml:space="preserve"> member demographic and clinical characteristics (e.g., age, sex, disability status, rating categorie</w:t>
      </w:r>
      <w:r w:rsidR="00BA3946">
        <w:t>s</w:t>
      </w:r>
      <w:r w:rsidR="002F169D">
        <w:t>, homeless status, justice involvement</w:t>
      </w:r>
      <w:r w:rsidR="004B68F9">
        <w:t>, federal poverty level</w:t>
      </w:r>
      <w:r w:rsidR="00BA3946">
        <w:t>)</w:t>
      </w:r>
      <w:r w:rsidR="00A56583">
        <w:t xml:space="preserve">, regional characteristics (e.g., region, </w:t>
      </w:r>
      <w:r w:rsidR="00A659BE">
        <w:t>health</w:t>
      </w:r>
      <w:r w:rsidR="002F169D">
        <w:t xml:space="preserve">care </w:t>
      </w:r>
      <w:r w:rsidR="00A659BE">
        <w:t>resources)</w:t>
      </w:r>
      <w:r w:rsidR="004B68F9">
        <w:t xml:space="preserve">, </w:t>
      </w:r>
      <w:r w:rsidR="00BA3946">
        <w:t xml:space="preserve">and indicators </w:t>
      </w:r>
      <w:r w:rsidR="00A56583">
        <w:t>of time</w:t>
      </w:r>
      <w:r w:rsidR="00A659BE">
        <w:t xml:space="preserve"> and whether the member is subject to C&amp;E policy</w:t>
      </w:r>
      <w:r w:rsidR="00A56583">
        <w:t xml:space="preserve">. </w:t>
      </w:r>
      <w:r w:rsidR="008B5A41">
        <w:t>The IE will explore the use of imputation method or sensitiv</w:t>
      </w:r>
      <w:r w:rsidR="00607631">
        <w:t>ity</w:t>
      </w:r>
      <w:r w:rsidR="008B5A41">
        <w:t xml:space="preserve"> analysis related to r</w:t>
      </w:r>
      <w:r w:rsidR="007775D2">
        <w:t>ace/ethnicity data</w:t>
      </w:r>
      <w:r w:rsidR="008B5A41">
        <w:t xml:space="preserve"> and include th</w:t>
      </w:r>
      <w:r w:rsidR="1EBC6185">
        <w:t>e</w:t>
      </w:r>
      <w:r w:rsidR="008B5A41">
        <w:t>s</w:t>
      </w:r>
      <w:r w:rsidR="1EBC6185">
        <w:t>e</w:t>
      </w:r>
      <w:r w:rsidR="008B5A41">
        <w:t xml:space="preserve"> demographic characteristics in our analysis, as appropriate.</w:t>
      </w:r>
    </w:p>
    <w:p w14:paraId="1B913D6E" w14:textId="77777777" w:rsidR="00BF2B7F" w:rsidRDefault="00BF2B7F" w:rsidP="00B264A2">
      <w:r w:rsidRPr="0009132C">
        <w:t>For the qualitative data, analyses will identify consistent themes arising from interviews (or focus groups) with members and program staff. The interview data will be transcribed and uploaded to Dedoose, a web-based qualitative data management software designed to support data analysis. A draft codebook will be developed based on the logic model, interview topics, and themes that arise during the interviews and applied to each interview transcript. Coding will be conducted in multiple rounds, first by pairs and then independently, to ensure the shared understanding and consistent application of the codes to the transcripts. In addition, the team will meet regularly to discuss the coding process, resolve discrepancies, and identify emerging themes.</w:t>
      </w:r>
    </w:p>
    <w:p w14:paraId="4C1D1AF3" w14:textId="2ECFFC54" w:rsidR="004B68F9" w:rsidRDefault="00A65005" w:rsidP="0083696E">
      <w:r w:rsidRPr="00FA3817">
        <w:rPr>
          <w:rStyle w:val="normaltextrun"/>
          <w:rFonts w:ascii="Arial" w:hAnsi="Arial"/>
          <w:color w:val="000000"/>
          <w:shd w:val="clear" w:color="auto" w:fill="FFFFFF"/>
        </w:rPr>
        <w:t>Using an embedded mix</w:t>
      </w:r>
      <w:r>
        <w:rPr>
          <w:rStyle w:val="normaltextrun"/>
          <w:rFonts w:ascii="Arial" w:hAnsi="Arial"/>
          <w:color w:val="000000"/>
          <w:shd w:val="clear" w:color="auto" w:fill="FFFFFF"/>
        </w:rPr>
        <w:t xml:space="preserve">ed </w:t>
      </w:r>
      <w:r w:rsidRPr="00FA3817">
        <w:rPr>
          <w:rStyle w:val="normaltextrun"/>
          <w:rFonts w:ascii="Arial" w:hAnsi="Arial"/>
          <w:color w:val="000000"/>
          <w:shd w:val="clear" w:color="auto" w:fill="FFFFFF"/>
        </w:rPr>
        <w:t>methods approach</w:t>
      </w:r>
      <w:r>
        <w:rPr>
          <w:rStyle w:val="normaltextrun"/>
          <w:rFonts w:ascii="Arial" w:hAnsi="Arial"/>
          <w:color w:val="000000"/>
          <w:shd w:val="clear" w:color="auto" w:fill="FFFFFF"/>
        </w:rPr>
        <w:t xml:space="preserve">, we will </w:t>
      </w:r>
      <w:r w:rsidRPr="00FA3817">
        <w:rPr>
          <w:rStyle w:val="normaltextrun"/>
          <w:rFonts w:ascii="Arial" w:hAnsi="Arial"/>
          <w:color w:val="000000"/>
          <w:shd w:val="clear" w:color="auto" w:fill="FFFFFF"/>
        </w:rPr>
        <w:t>synthesi</w:t>
      </w:r>
      <w:r>
        <w:rPr>
          <w:rStyle w:val="normaltextrun"/>
          <w:rFonts w:ascii="Arial" w:hAnsi="Arial"/>
          <w:color w:val="000000"/>
          <w:shd w:val="clear" w:color="auto" w:fill="FFFFFF"/>
        </w:rPr>
        <w:t>ze</w:t>
      </w:r>
      <w:r w:rsidRPr="00FA3817">
        <w:rPr>
          <w:rStyle w:val="normaltextrun"/>
          <w:rFonts w:ascii="Arial" w:hAnsi="Arial"/>
          <w:color w:val="000000"/>
          <w:shd w:val="clear" w:color="auto" w:fill="FFFFFF"/>
        </w:rPr>
        <w:t xml:space="preserve"> the quantitative and qualitative data</w:t>
      </w:r>
      <w:r>
        <w:rPr>
          <w:rStyle w:val="normaltextrun"/>
          <w:rFonts w:ascii="Arial" w:hAnsi="Arial"/>
          <w:color w:val="000000"/>
          <w:shd w:val="clear" w:color="auto" w:fill="FFFFFF"/>
        </w:rPr>
        <w:t>. W</w:t>
      </w:r>
      <w:r w:rsidRPr="00FA3817">
        <w:rPr>
          <w:rStyle w:val="normaltextrun"/>
          <w:rFonts w:ascii="Arial" w:hAnsi="Arial"/>
          <w:color w:val="000000"/>
          <w:shd w:val="clear" w:color="auto" w:fill="FFFFFF"/>
        </w:rPr>
        <w:t>e will solicit an in-depth nuanced understanding of members</w:t>
      </w:r>
      <w:r>
        <w:rPr>
          <w:rStyle w:val="normaltextrun"/>
          <w:rFonts w:ascii="Arial" w:hAnsi="Arial"/>
          <w:color w:val="000000"/>
          <w:shd w:val="clear" w:color="auto" w:fill="FFFFFF"/>
        </w:rPr>
        <w:t>’ and staff</w:t>
      </w:r>
      <w:r w:rsidRPr="00FA3817">
        <w:rPr>
          <w:rStyle w:val="normaltextrun"/>
          <w:rFonts w:ascii="Arial" w:hAnsi="Arial"/>
          <w:color w:val="000000"/>
          <w:shd w:val="clear" w:color="auto" w:fill="FFFFFF"/>
        </w:rPr>
        <w:t xml:space="preserve"> experiences, examine how those experiences </w:t>
      </w:r>
      <w:r>
        <w:rPr>
          <w:rStyle w:val="normaltextrun"/>
          <w:rFonts w:ascii="Arial" w:hAnsi="Arial"/>
          <w:color w:val="000000"/>
          <w:shd w:val="clear" w:color="auto" w:fill="FFFFFF"/>
        </w:rPr>
        <w:t>may be</w:t>
      </w:r>
      <w:r w:rsidRPr="00FA3817">
        <w:rPr>
          <w:rStyle w:val="normaltextrun"/>
          <w:rFonts w:ascii="Arial" w:hAnsi="Arial"/>
          <w:color w:val="000000"/>
          <w:shd w:val="clear" w:color="auto" w:fill="FFFFFF"/>
        </w:rPr>
        <w:t xml:space="preserve"> related to policy and practice innovation, and use the</w:t>
      </w:r>
      <w:r>
        <w:rPr>
          <w:rStyle w:val="normaltextrun"/>
          <w:rFonts w:ascii="Arial" w:hAnsi="Arial"/>
          <w:color w:val="000000"/>
          <w:shd w:val="clear" w:color="auto" w:fill="FFFFFF"/>
        </w:rPr>
        <w:t>se</w:t>
      </w:r>
      <w:r w:rsidRPr="00FA3817">
        <w:rPr>
          <w:rStyle w:val="normaltextrun"/>
          <w:rFonts w:ascii="Arial" w:hAnsi="Arial"/>
          <w:color w:val="000000"/>
          <w:shd w:val="clear" w:color="auto" w:fill="FFFFFF"/>
        </w:rPr>
        <w:t xml:space="preserve"> findings to explain </w:t>
      </w:r>
      <w:r>
        <w:rPr>
          <w:rStyle w:val="normaltextrun"/>
          <w:rFonts w:ascii="Arial" w:hAnsi="Arial"/>
          <w:color w:val="000000"/>
          <w:shd w:val="clear" w:color="auto" w:fill="FFFFFF"/>
        </w:rPr>
        <w:t xml:space="preserve">pertinent </w:t>
      </w:r>
      <w:r w:rsidRPr="00FA3817">
        <w:rPr>
          <w:rStyle w:val="normaltextrun"/>
          <w:rFonts w:ascii="Arial" w:hAnsi="Arial"/>
          <w:color w:val="000000"/>
          <w:shd w:val="clear" w:color="auto" w:fill="FFFFFF"/>
        </w:rPr>
        <w:t xml:space="preserve">trends </w:t>
      </w:r>
      <w:r>
        <w:rPr>
          <w:rStyle w:val="normaltextrun"/>
          <w:rFonts w:ascii="Arial" w:hAnsi="Arial"/>
          <w:color w:val="000000"/>
          <w:shd w:val="clear" w:color="auto" w:fill="FFFFFF"/>
        </w:rPr>
        <w:t>and</w:t>
      </w:r>
      <w:r w:rsidRPr="00FA3817">
        <w:rPr>
          <w:rStyle w:val="normaltextrun"/>
          <w:rFonts w:ascii="Arial" w:hAnsi="Arial"/>
          <w:color w:val="000000"/>
          <w:shd w:val="clear" w:color="auto" w:fill="FFFFFF"/>
        </w:rPr>
        <w:t xml:space="preserve"> outcomes. For example, understanding members</w:t>
      </w:r>
      <w:r>
        <w:rPr>
          <w:rStyle w:val="normaltextrun"/>
          <w:rFonts w:ascii="Arial" w:hAnsi="Arial"/>
          <w:color w:val="000000"/>
          <w:shd w:val="clear" w:color="auto" w:fill="FFFFFF"/>
        </w:rPr>
        <w:t>’</w:t>
      </w:r>
      <w:r w:rsidRPr="00FA3817">
        <w:rPr>
          <w:rStyle w:val="normaltextrun"/>
          <w:rFonts w:ascii="Arial" w:hAnsi="Arial"/>
          <w:color w:val="000000"/>
          <w:shd w:val="clear" w:color="auto" w:fill="FFFFFF"/>
        </w:rPr>
        <w:t xml:space="preserve"> experiences </w:t>
      </w:r>
      <w:r>
        <w:rPr>
          <w:rStyle w:val="normaltextrun"/>
          <w:rFonts w:ascii="Arial" w:hAnsi="Arial"/>
          <w:color w:val="000000"/>
          <w:shd w:val="clear" w:color="auto" w:fill="FFFFFF"/>
        </w:rPr>
        <w:t xml:space="preserve">and staff perspectives on </w:t>
      </w:r>
      <w:r w:rsidR="00FE1151">
        <w:rPr>
          <w:rStyle w:val="normaltextrun"/>
          <w:rFonts w:ascii="Arial" w:hAnsi="Arial"/>
          <w:color w:val="000000"/>
          <w:shd w:val="clear" w:color="auto" w:fill="FFFFFF"/>
        </w:rPr>
        <w:t>C&amp;E policies</w:t>
      </w:r>
      <w:r>
        <w:rPr>
          <w:rStyle w:val="normaltextrun"/>
          <w:rFonts w:ascii="Arial" w:hAnsi="Arial"/>
          <w:color w:val="000000"/>
          <w:shd w:val="clear" w:color="auto" w:fill="FFFFFF"/>
        </w:rPr>
        <w:t xml:space="preserve"> </w:t>
      </w:r>
      <w:r>
        <w:rPr>
          <w:rStyle w:val="normaltextrun"/>
          <w:rFonts w:ascii="Arial" w:hAnsi="Arial"/>
          <w:color w:val="000000"/>
          <w:shd w:val="clear" w:color="auto" w:fill="FFFFFF"/>
        </w:rPr>
        <w:lastRenderedPageBreak/>
        <w:t>can help contextualize enrollment trends.</w:t>
      </w:r>
      <w:r w:rsidR="00713052">
        <w:rPr>
          <w:rStyle w:val="FootnoteReference"/>
          <w:rFonts w:ascii="Arial" w:hAnsi="Arial"/>
          <w:color w:val="000000"/>
          <w:shd w:val="clear" w:color="auto" w:fill="FFFFFF"/>
        </w:rPr>
        <w:footnoteReference w:id="24"/>
      </w:r>
      <w:r w:rsidR="008455A9">
        <w:rPr>
          <w:rStyle w:val="normaltextrun"/>
          <w:rFonts w:ascii="Arial" w:hAnsi="Arial"/>
          <w:color w:val="000000"/>
          <w:shd w:val="clear" w:color="auto" w:fill="FFFFFF"/>
        </w:rPr>
        <w:t xml:space="preserve"> Conversely, preliminary quantitative findings from </w:t>
      </w:r>
      <w:r w:rsidR="002A38B3">
        <w:rPr>
          <w:rStyle w:val="normaltextrun"/>
          <w:rFonts w:ascii="Arial" w:hAnsi="Arial"/>
          <w:color w:val="000000"/>
          <w:shd w:val="clear" w:color="auto" w:fill="FFFFFF"/>
        </w:rPr>
        <w:t xml:space="preserve">the </w:t>
      </w:r>
      <w:r w:rsidR="008455A9">
        <w:rPr>
          <w:rStyle w:val="normaltextrun"/>
          <w:rFonts w:ascii="Arial" w:hAnsi="Arial"/>
          <w:color w:val="000000"/>
          <w:shd w:val="clear" w:color="auto" w:fill="FFFFFF"/>
        </w:rPr>
        <w:t xml:space="preserve">analysis of data from early in the Demonstration period can generate </w:t>
      </w:r>
      <w:r w:rsidR="00D436A0">
        <w:rPr>
          <w:rStyle w:val="normaltextrun"/>
          <w:rFonts w:ascii="Arial" w:hAnsi="Arial"/>
          <w:color w:val="000000"/>
          <w:shd w:val="clear" w:color="auto" w:fill="FFFFFF"/>
        </w:rPr>
        <w:t>interview</w:t>
      </w:r>
      <w:r w:rsidR="00F76070">
        <w:rPr>
          <w:rStyle w:val="normaltextrun"/>
          <w:rFonts w:ascii="Arial" w:hAnsi="Arial"/>
          <w:color w:val="000000"/>
          <w:shd w:val="clear" w:color="auto" w:fill="FFFFFF"/>
        </w:rPr>
        <w:t xml:space="preserve">/focus group </w:t>
      </w:r>
      <w:r w:rsidR="008455A9">
        <w:rPr>
          <w:rStyle w:val="normaltextrun"/>
          <w:rFonts w:ascii="Arial" w:hAnsi="Arial"/>
          <w:color w:val="000000"/>
          <w:shd w:val="clear" w:color="auto" w:fill="FFFFFF"/>
        </w:rPr>
        <w:t>questions in subsequent qualitative data collection and analysis</w:t>
      </w:r>
      <w:r w:rsidR="00AD2237">
        <w:t>.</w:t>
      </w:r>
    </w:p>
    <w:p w14:paraId="2DEE5A50" w14:textId="77777777" w:rsidR="00BF2B7F" w:rsidRPr="0009132C" w:rsidRDefault="00BF2B7F" w:rsidP="00EE4105">
      <w:pPr>
        <w:pStyle w:val="Heading3"/>
      </w:pPr>
      <w:r w:rsidRPr="0009132C">
        <w:t>Limitations</w:t>
      </w:r>
    </w:p>
    <w:p w14:paraId="2C0B6F21" w14:textId="7F87B706" w:rsidR="00BF2B7F" w:rsidRPr="0009132C" w:rsidRDefault="00BF2B7F" w:rsidP="00B264A2">
      <w:r w:rsidRPr="0009132C">
        <w:t>This evaluation</w:t>
      </w:r>
      <w:r w:rsidR="00822071" w:rsidRPr="0009132C">
        <w:t xml:space="preserve"> design</w:t>
      </w:r>
      <w:r w:rsidRPr="0009132C">
        <w:t xml:space="preserve"> of C&amp;E policies </w:t>
      </w:r>
      <w:r w:rsidR="00CF3FD6" w:rsidRPr="0009132C">
        <w:t>include</w:t>
      </w:r>
      <w:r w:rsidR="00822071" w:rsidRPr="0009132C">
        <w:t>s</w:t>
      </w:r>
      <w:r w:rsidR="00FC7EDF" w:rsidRPr="0009132C">
        <w:t xml:space="preserve"> several </w:t>
      </w:r>
      <w:r w:rsidR="007D6D1F" w:rsidRPr="0009132C">
        <w:t xml:space="preserve">limitations </w:t>
      </w:r>
      <w:r w:rsidR="00FC7EDF" w:rsidRPr="0009132C">
        <w:t xml:space="preserve">broadly </w:t>
      </w:r>
      <w:r w:rsidR="007D6D1F" w:rsidRPr="0009132C">
        <w:t xml:space="preserve">described in </w:t>
      </w:r>
      <w:hyperlink w:anchor="_Evaluation_Limitations" w:history="1">
        <w:r w:rsidR="007D6D1F" w:rsidRPr="00863884">
          <w:rPr>
            <w:rStyle w:val="Hyperlink"/>
          </w:rPr>
          <w:t>Section 1.5</w:t>
        </w:r>
      </w:hyperlink>
      <w:r w:rsidRPr="0009132C">
        <w:t xml:space="preserve">. </w:t>
      </w:r>
      <w:r w:rsidR="00115D04" w:rsidRPr="0009132C">
        <w:t>Most importantly</w:t>
      </w:r>
      <w:r w:rsidR="0009033B" w:rsidRPr="0009132C">
        <w:t>,</w:t>
      </w:r>
      <w:r w:rsidR="00C1305B" w:rsidRPr="0009132C">
        <w:t xml:space="preserve"> the</w:t>
      </w:r>
      <w:r w:rsidR="00115D04" w:rsidRPr="0009132C">
        <w:t>se</w:t>
      </w:r>
      <w:r w:rsidR="00C1305B" w:rsidRPr="0009132C">
        <w:t xml:space="preserve"> C&amp;E programs and policies </w:t>
      </w:r>
      <w:r w:rsidR="00822071" w:rsidRPr="0009132C">
        <w:t>are state-wide</w:t>
      </w:r>
      <w:r w:rsidR="00C1305B" w:rsidRPr="0009132C">
        <w:t>, meaning that no in-state (unexposed) comparison group exist</w:t>
      </w:r>
      <w:r w:rsidR="00E47149" w:rsidRPr="0009132C">
        <w:t>s</w:t>
      </w:r>
      <w:r w:rsidR="00CC006E" w:rsidRPr="0009132C">
        <w:t>. Furthermore</w:t>
      </w:r>
      <w:r w:rsidR="00404A95" w:rsidRPr="0009132C">
        <w:t xml:space="preserve">, </w:t>
      </w:r>
      <w:r w:rsidRPr="0009132C">
        <w:t xml:space="preserve">given the </w:t>
      </w:r>
      <w:r w:rsidR="0087780B" w:rsidRPr="0009132C">
        <w:t xml:space="preserve">current Demonstration’s </w:t>
      </w:r>
      <w:r w:rsidRPr="0009132C">
        <w:t>multiple C&amp;E programs and policies</w:t>
      </w:r>
      <w:r w:rsidR="00C5596F">
        <w:t>,</w:t>
      </w:r>
      <w:r w:rsidRPr="0009132C">
        <w:t xml:space="preserve"> </w:t>
      </w:r>
      <w:r w:rsidR="001D40D9" w:rsidRPr="0009132C">
        <w:t xml:space="preserve">we </w:t>
      </w:r>
      <w:r w:rsidR="0087780B" w:rsidRPr="0009132C">
        <w:t>cannot find</w:t>
      </w:r>
      <w:r w:rsidRPr="0009132C">
        <w:t xml:space="preserve"> a comparison group of states </w:t>
      </w:r>
      <w:r w:rsidR="00841F81" w:rsidRPr="0009132C">
        <w:t>with</w:t>
      </w:r>
      <w:r w:rsidRPr="0009132C">
        <w:t xml:space="preserve"> </w:t>
      </w:r>
      <w:r w:rsidR="00404A95" w:rsidRPr="0009132C">
        <w:t xml:space="preserve">C&amp;E </w:t>
      </w:r>
      <w:r w:rsidR="00EF667C" w:rsidRPr="0009132C">
        <w:t xml:space="preserve">policy </w:t>
      </w:r>
      <w:r w:rsidRPr="0009132C">
        <w:t>portfoli</w:t>
      </w:r>
      <w:r w:rsidR="00841F81" w:rsidRPr="0009132C">
        <w:t>os</w:t>
      </w:r>
      <w:r w:rsidRPr="0009132C">
        <w:t xml:space="preserve"> </w:t>
      </w:r>
      <w:r w:rsidR="0087780B" w:rsidRPr="0009132C">
        <w:t>that are well-</w:t>
      </w:r>
      <w:r w:rsidR="5C16980C" w:rsidRPr="0009132C">
        <w:t>m</w:t>
      </w:r>
      <w:r w:rsidR="0087780B" w:rsidRPr="0009132C">
        <w:t xml:space="preserve">atched </w:t>
      </w:r>
      <w:r w:rsidR="00EF667C" w:rsidRPr="0009132C">
        <w:t>to our</w:t>
      </w:r>
      <w:r w:rsidR="00E47149" w:rsidRPr="0009132C">
        <w:t>s</w:t>
      </w:r>
      <w:r w:rsidR="00EF667C" w:rsidRPr="0009132C">
        <w:t xml:space="preserve"> </w:t>
      </w:r>
      <w:r w:rsidRPr="0009132C">
        <w:t>at baseline</w:t>
      </w:r>
      <w:r w:rsidR="009C70BB">
        <w:t xml:space="preserve">, due to varying data privacy and security rules, </w:t>
      </w:r>
      <w:r w:rsidR="00115043">
        <w:t>data quality, policy environment, etc.</w:t>
      </w:r>
      <w:r w:rsidRPr="0009132C">
        <w:t xml:space="preserve"> </w:t>
      </w:r>
      <w:r w:rsidR="0009033B" w:rsidRPr="0009132C">
        <w:t>Also</w:t>
      </w:r>
      <w:r w:rsidR="00EF667C" w:rsidRPr="0009132C">
        <w:t xml:space="preserve">, we </w:t>
      </w:r>
      <w:r w:rsidR="008F112B" w:rsidRPr="0009132C">
        <w:t xml:space="preserve">have no control over other policies or </w:t>
      </w:r>
      <w:r w:rsidR="00F62186" w:rsidRPr="0009132C">
        <w:t xml:space="preserve">events (e.g., </w:t>
      </w:r>
      <w:r w:rsidR="00E47149" w:rsidRPr="0009132C">
        <w:t>a</w:t>
      </w:r>
      <w:r w:rsidR="074AE42B" w:rsidRPr="0009132C">
        <w:t>n economic</w:t>
      </w:r>
      <w:r w:rsidR="00E47149" w:rsidRPr="0009132C">
        <w:t xml:space="preserve"> </w:t>
      </w:r>
      <w:r w:rsidR="00F62186" w:rsidRPr="0009132C">
        <w:t>recession) external to the Demonstration</w:t>
      </w:r>
      <w:r w:rsidR="008F112B" w:rsidRPr="0009132C">
        <w:t xml:space="preserve"> </w:t>
      </w:r>
      <w:r w:rsidR="00BA37E3" w:rsidRPr="0009132C">
        <w:t xml:space="preserve">that </w:t>
      </w:r>
      <w:r w:rsidR="008C7EB5">
        <w:t>may</w:t>
      </w:r>
      <w:r w:rsidR="008C7EB5" w:rsidRPr="0009132C">
        <w:t xml:space="preserve"> </w:t>
      </w:r>
      <w:r w:rsidR="00005424" w:rsidRPr="0009132C">
        <w:t>affect</w:t>
      </w:r>
      <w:r w:rsidR="00BA37E3" w:rsidRPr="0009132C">
        <w:t xml:space="preserve"> C&amp;E</w:t>
      </w:r>
      <w:r w:rsidRPr="0009132C">
        <w:t xml:space="preserve">. </w:t>
      </w:r>
    </w:p>
    <w:p w14:paraId="4DB30414" w14:textId="1EABADF1" w:rsidR="00BF2B7F" w:rsidRPr="0009132C" w:rsidRDefault="00F05033" w:rsidP="00B264A2">
      <w:r w:rsidRPr="0009132C">
        <w:t>Although their evaluation is required</w:t>
      </w:r>
      <w:r w:rsidRPr="0009132C">
        <w:rPr>
          <w:rFonts w:eastAsia="Arial"/>
        </w:rPr>
        <w:t>,</w:t>
      </w:r>
      <w:r w:rsidRPr="0009132C" w:rsidDel="00D64ED8">
        <w:t xml:space="preserve"> </w:t>
      </w:r>
      <w:r w:rsidR="00336A63" w:rsidRPr="0009132C">
        <w:t>i</w:t>
      </w:r>
      <w:r w:rsidR="00BF2B7F" w:rsidRPr="0009132C">
        <w:t xml:space="preserve">t </w:t>
      </w:r>
      <w:r w:rsidR="00D64ED8" w:rsidRPr="0009132C">
        <w:t xml:space="preserve">will </w:t>
      </w:r>
      <w:r w:rsidR="00BF2B7F" w:rsidRPr="0009132C">
        <w:t xml:space="preserve">be </w:t>
      </w:r>
      <w:r w:rsidR="00336A63" w:rsidRPr="0009132C">
        <w:t xml:space="preserve">particularly </w:t>
      </w:r>
      <w:r w:rsidR="00BF2B7F" w:rsidRPr="0009132C">
        <w:t>challenging to assess</w:t>
      </w:r>
      <w:r w:rsidR="00D64ED8" w:rsidRPr="0009132C">
        <w:t xml:space="preserve"> </w:t>
      </w:r>
      <w:r w:rsidR="00BF2B7F" w:rsidRPr="0009132C">
        <w:t xml:space="preserve">the impact of individual C&amp;E programs </w:t>
      </w:r>
      <w:r w:rsidR="00D64ED8" w:rsidRPr="0009132C">
        <w:t>that</w:t>
      </w:r>
      <w:r w:rsidR="00BF2B7F" w:rsidRPr="0009132C">
        <w:t xml:space="preserve"> </w:t>
      </w:r>
      <w:r w:rsidR="00BF2B7F" w:rsidRPr="00AD2237">
        <w:t xml:space="preserve">have had no substantive changes from prior years. </w:t>
      </w:r>
      <w:r w:rsidR="0028671D" w:rsidRPr="00AD2237">
        <w:t xml:space="preserve">Substantial new </w:t>
      </w:r>
      <w:r w:rsidR="00921F1B" w:rsidRPr="00AD2237">
        <w:t xml:space="preserve">or statistically significant </w:t>
      </w:r>
      <w:r w:rsidR="0028671D" w:rsidRPr="00AD2237">
        <w:t xml:space="preserve">effects from programs that continue unaltered from a prior period throughout the Demonstration are unlikely. </w:t>
      </w:r>
      <w:r w:rsidR="00D75071" w:rsidRPr="00AD2237">
        <w:t>Some programs</w:t>
      </w:r>
      <w:r w:rsidR="4F90C77F" w:rsidRPr="00AD2237">
        <w:t xml:space="preserve"> and </w:t>
      </w:r>
      <w:r w:rsidR="00BF2B7F" w:rsidRPr="00AD2237">
        <w:t xml:space="preserve">policies have varying start and end dates within and </w:t>
      </w:r>
      <w:r w:rsidR="0011342C" w:rsidRPr="00AD2237">
        <w:t xml:space="preserve">beyond the </w:t>
      </w:r>
      <w:r w:rsidR="00BF2B7F" w:rsidRPr="00AD2237">
        <w:t>Demonstration period</w:t>
      </w:r>
      <w:r w:rsidR="00BB4B7F" w:rsidRPr="00AD2237">
        <w:t>, with some</w:t>
      </w:r>
      <w:r w:rsidR="00BF2B7F" w:rsidRPr="00AD2237">
        <w:t xml:space="preserve"> </w:t>
      </w:r>
      <w:r w:rsidR="00F53C64" w:rsidRPr="00AD2237">
        <w:t xml:space="preserve">coverage </w:t>
      </w:r>
      <w:r w:rsidR="00CA381C" w:rsidRPr="00AD2237">
        <w:t>being</w:t>
      </w:r>
      <w:r w:rsidR="00BF2B7F" w:rsidRPr="00AD2237">
        <w:t xml:space="preserve"> new</w:t>
      </w:r>
      <w:r w:rsidR="0011342C" w:rsidRPr="00AD2237">
        <w:t xml:space="preserve"> (e.g., CE for justice-involved populations</w:t>
      </w:r>
      <w:r w:rsidR="0E779B5F" w:rsidRPr="00AD2237">
        <w:t>)</w:t>
      </w:r>
      <w:r w:rsidR="00BF2B7F" w:rsidRPr="00AD2237">
        <w:t xml:space="preserve">. Programs coming online during this Demonstration may experience an initial period of engagement, enrollment, and initiation that </w:t>
      </w:r>
      <w:r w:rsidR="0011342C" w:rsidRPr="00AD2237">
        <w:t xml:space="preserve">will </w:t>
      </w:r>
      <w:r w:rsidR="00BF2B7F" w:rsidRPr="00AD2237">
        <w:t xml:space="preserve">delay analytical evidence of program impact. </w:t>
      </w:r>
      <w:r w:rsidR="00D635E2" w:rsidRPr="00AD2237">
        <w:t>Member experience data</w:t>
      </w:r>
      <w:r w:rsidR="00435428" w:rsidRPr="00AD2237">
        <w:t xml:space="preserve"> will </w:t>
      </w:r>
      <w:r w:rsidR="005806D7" w:rsidRPr="00AD2237">
        <w:t>be used to</w:t>
      </w:r>
      <w:r w:rsidR="005806D7" w:rsidRPr="0009132C">
        <w:t xml:space="preserve"> </w:t>
      </w:r>
      <w:r w:rsidR="00435428" w:rsidRPr="0009132C">
        <w:t xml:space="preserve">augment our limited ability to </w:t>
      </w:r>
      <w:r w:rsidR="005806D7" w:rsidRPr="0009132C">
        <w:t xml:space="preserve">analytically interpret observed changes in </w:t>
      </w:r>
      <w:r w:rsidR="005A5F7E">
        <w:t>this chapter</w:t>
      </w:r>
      <w:r w:rsidR="005806D7" w:rsidRPr="0009132C">
        <w:t>.</w:t>
      </w:r>
      <w:r w:rsidR="00435428" w:rsidRPr="0009132C">
        <w:t xml:space="preserve"> </w:t>
      </w:r>
    </w:p>
    <w:p w14:paraId="67B04ADB" w14:textId="308F7322" w:rsidR="00BF2B7F" w:rsidRPr="0009132C" w:rsidRDefault="008A4CCF" w:rsidP="00B264A2">
      <w:r w:rsidRPr="0009132C">
        <w:t>Finally</w:t>
      </w:r>
      <w:r w:rsidR="00BF2B7F" w:rsidRPr="0009132C">
        <w:t>, enrollment rate</w:t>
      </w:r>
      <w:r w:rsidRPr="0009132C">
        <w:t>s</w:t>
      </w:r>
      <w:r w:rsidR="00BF2B7F" w:rsidRPr="0009132C">
        <w:t xml:space="preserve"> </w:t>
      </w:r>
      <w:r w:rsidRPr="0009132C">
        <w:t xml:space="preserve">peaked </w:t>
      </w:r>
      <w:r w:rsidR="00BF2B7F" w:rsidRPr="0009132C">
        <w:t>during COVID-1</w:t>
      </w:r>
      <w:r w:rsidR="00C313F0" w:rsidRPr="0009132C">
        <w:t>9</w:t>
      </w:r>
      <w:r w:rsidR="00BF2B7F" w:rsidRPr="0009132C">
        <w:t xml:space="preserve">, </w:t>
      </w:r>
      <w:r w:rsidRPr="0009132C">
        <w:t xml:space="preserve">making it difficult to interpret </w:t>
      </w:r>
      <w:r w:rsidR="00F75A23" w:rsidRPr="0009132C">
        <w:t xml:space="preserve">changes </w:t>
      </w:r>
      <w:r w:rsidR="0013731B" w:rsidRPr="0009132C">
        <w:t xml:space="preserve">from </w:t>
      </w:r>
      <w:r w:rsidR="00C5596F">
        <w:t xml:space="preserve">the </w:t>
      </w:r>
      <w:r w:rsidR="00155110" w:rsidRPr="0009132C">
        <w:t>Demonstration baseline</w:t>
      </w:r>
      <w:r w:rsidR="00F75A23" w:rsidRPr="0009132C">
        <w:t xml:space="preserve">. </w:t>
      </w:r>
      <w:r w:rsidR="00BF2B7F" w:rsidRPr="0009132C">
        <w:t xml:space="preserve">Therefore, </w:t>
      </w:r>
      <w:r w:rsidR="00F75A23" w:rsidRPr="0009132C">
        <w:t>we</w:t>
      </w:r>
      <w:r w:rsidR="00BF2B7F" w:rsidRPr="0009132C">
        <w:t xml:space="preserve"> will </w:t>
      </w:r>
      <w:r w:rsidR="00155110" w:rsidRPr="0009132C">
        <w:t xml:space="preserve">measure </w:t>
      </w:r>
      <w:r w:rsidR="00BF2B7F" w:rsidRPr="0009132C">
        <w:t>uninsurance rate</w:t>
      </w:r>
      <w:r w:rsidR="00F75A23" w:rsidRPr="0009132C">
        <w:t>s</w:t>
      </w:r>
      <w:r w:rsidR="00BF2B7F" w:rsidRPr="0009132C">
        <w:t xml:space="preserve"> and other </w:t>
      </w:r>
      <w:r w:rsidR="00C061A2" w:rsidRPr="0009132C">
        <w:t xml:space="preserve">healthcare </w:t>
      </w:r>
      <w:r w:rsidR="00BF2B7F" w:rsidRPr="0009132C">
        <w:t xml:space="preserve">utilization before COVID-19 to examine changes over a longer time to </w:t>
      </w:r>
      <w:r w:rsidR="00542015" w:rsidRPr="0009132C">
        <w:t xml:space="preserve">distinguish the </w:t>
      </w:r>
      <w:r w:rsidR="00DA74C6" w:rsidRPr="0009132C">
        <w:t>impact of C</w:t>
      </w:r>
      <w:r w:rsidRPr="0009132C">
        <w:t>&amp;</w:t>
      </w:r>
      <w:r w:rsidR="00DA74C6" w:rsidRPr="0009132C">
        <w:t xml:space="preserve">E policies from </w:t>
      </w:r>
      <w:r w:rsidR="00BF2B7F" w:rsidRPr="0009132C">
        <w:t>COVID-19</w:t>
      </w:r>
      <w:r w:rsidR="005E6D81" w:rsidRPr="0009132C">
        <w:t xml:space="preserve"> effects</w:t>
      </w:r>
      <w:r w:rsidR="00BF2B7F" w:rsidRPr="0009132C">
        <w:t>.</w:t>
      </w:r>
    </w:p>
    <w:bookmarkEnd w:id="65"/>
    <w:p w14:paraId="71349A5C" w14:textId="614105FC" w:rsidR="00BF2B7F" w:rsidRPr="0009132C" w:rsidRDefault="00BF2B7F" w:rsidP="00B264A2"/>
    <w:p w14:paraId="532F9ACF" w14:textId="77777777" w:rsidR="007A3EFD" w:rsidRPr="0009132C" w:rsidRDefault="007A3EFD" w:rsidP="00C56579">
      <w:pPr>
        <w:pStyle w:val="Heading2"/>
        <w:sectPr w:rsidR="007A3EFD" w:rsidRPr="0009132C" w:rsidSect="00744E1B">
          <w:pgSz w:w="12240" w:h="15840"/>
          <w:pgMar w:top="1440" w:right="1440" w:bottom="1440" w:left="1440" w:header="720" w:footer="576" w:gutter="0"/>
          <w:cols w:space="720"/>
          <w:docGrid w:linePitch="360"/>
        </w:sectPr>
      </w:pPr>
    </w:p>
    <w:p w14:paraId="41835825" w14:textId="77777777" w:rsidR="001B52EF" w:rsidRPr="008D6BAD" w:rsidRDefault="7925ABDD" w:rsidP="008D6BAD">
      <w:pPr>
        <w:pStyle w:val="Heading1"/>
      </w:pPr>
      <w:bookmarkStart w:id="69" w:name="_Delivery_System_Reform"/>
      <w:bookmarkStart w:id="70" w:name="_Toc129619743"/>
      <w:bookmarkStart w:id="71" w:name="_Toc130209706"/>
      <w:bookmarkStart w:id="72" w:name="_Ref142869437"/>
      <w:bookmarkStart w:id="73" w:name="_Ref142920741"/>
      <w:bookmarkStart w:id="74" w:name="_Ref142921103"/>
      <w:bookmarkStart w:id="75" w:name="_Toc151976417"/>
      <w:bookmarkEnd w:id="69"/>
      <w:r>
        <w:lastRenderedPageBreak/>
        <w:t>Delivery System Reform</w:t>
      </w:r>
      <w:bookmarkEnd w:id="70"/>
      <w:bookmarkEnd w:id="71"/>
      <w:bookmarkEnd w:id="72"/>
      <w:bookmarkEnd w:id="73"/>
      <w:bookmarkEnd w:id="74"/>
      <w:bookmarkEnd w:id="75"/>
    </w:p>
    <w:p w14:paraId="66D9661F" w14:textId="6C843367" w:rsidR="001B52EF" w:rsidRPr="0009132C" w:rsidRDefault="00A97213" w:rsidP="003C6C8F">
      <w:pPr>
        <w:pStyle w:val="Heading2"/>
      </w:pPr>
      <w:bookmarkStart w:id="76" w:name="_Toc130209707"/>
      <w:r>
        <w:t xml:space="preserve"> </w:t>
      </w:r>
      <w:bookmarkStart w:id="77" w:name="_Toc151976418"/>
      <w:r w:rsidR="001B52EF" w:rsidRPr="0009132C">
        <w:t>Overview of Delivery System Reform (DSR) Policy Domain</w:t>
      </w:r>
      <w:bookmarkEnd w:id="76"/>
      <w:bookmarkEnd w:id="77"/>
    </w:p>
    <w:p w14:paraId="3D2F9591" w14:textId="1D6A86C9" w:rsidR="001B52EF" w:rsidRPr="0009132C" w:rsidRDefault="001B52EF" w:rsidP="00507F8D">
      <w:r w:rsidRPr="0009132C">
        <w:t>The Delivery System Reform (DSR) evaluation domain includes the Commonwealth’s efforts under 1115 Demonstration authority to enact payment and delivery system reforms that promote member-driven, integrated, coordinated care</w:t>
      </w:r>
      <w:r w:rsidR="1EC81EC2" w:rsidRPr="0009132C">
        <w:t>;</w:t>
      </w:r>
      <w:r w:rsidRPr="0009132C">
        <w:t xml:space="preserve"> hold </w:t>
      </w:r>
      <w:r w:rsidR="54E91115" w:rsidRPr="0009132C">
        <w:t xml:space="preserve">plans and </w:t>
      </w:r>
      <w:r w:rsidRPr="0009132C">
        <w:t>providers accountable for the quality and total cost of care</w:t>
      </w:r>
      <w:r w:rsidR="006F7B01" w:rsidRPr="0009132C">
        <w:t xml:space="preserve"> (TCOC</w:t>
      </w:r>
      <w:r w:rsidR="1363F06E" w:rsidRPr="0009132C">
        <w:t>)</w:t>
      </w:r>
      <w:r w:rsidR="387898E4" w:rsidRPr="0009132C">
        <w:t>;</w:t>
      </w:r>
      <w:r w:rsidRPr="0009132C">
        <w:t xml:space="preserve"> and advance health equity. Policy components in this evaluation domain also include new or re-authorized aspects of the Accountable Care Organization (ACO) Program </w:t>
      </w:r>
      <w:r w:rsidR="2D0AE0F0" w:rsidRPr="0009132C">
        <w:t xml:space="preserve">and </w:t>
      </w:r>
      <w:r w:rsidRPr="0009132C">
        <w:t xml:space="preserve">the Community Partners (CP) Program, </w:t>
      </w:r>
      <w:r w:rsidR="37FC3376" w:rsidRPr="0009132C">
        <w:t xml:space="preserve">and interact with and are supported by </w:t>
      </w:r>
      <w:r w:rsidRPr="0009132C">
        <w:t>safety net support and workforce development initiatives.</w:t>
      </w:r>
      <w:r w:rsidR="003F186B" w:rsidRPr="0009132C">
        <w:rPr>
          <w:rStyle w:val="FootnoteReference"/>
        </w:rPr>
        <w:footnoteReference w:id="25"/>
      </w:r>
      <w:bookmarkStart w:id="78" w:name="_Ref124511804"/>
      <w:r w:rsidR="003F186B" w:rsidRPr="0009132C">
        <w:rPr>
          <w:rStyle w:val="FootnoteReference"/>
        </w:rPr>
        <w:t>,</w:t>
      </w:r>
      <w:r w:rsidR="003F186B" w:rsidRPr="0009132C">
        <w:rPr>
          <w:rStyle w:val="FootnoteReference"/>
        </w:rPr>
        <w:footnoteReference w:id="26"/>
      </w:r>
      <w:bookmarkStart w:id="79" w:name="_Ref124511851"/>
      <w:bookmarkEnd w:id="78"/>
      <w:r w:rsidR="003F186B" w:rsidRPr="0009132C">
        <w:rPr>
          <w:rStyle w:val="FootnoteReference"/>
        </w:rPr>
        <w:t>,</w:t>
      </w:r>
      <w:r w:rsidR="003F186B" w:rsidRPr="0009132C">
        <w:rPr>
          <w:rStyle w:val="FootnoteReference"/>
        </w:rPr>
        <w:footnoteReference w:id="27"/>
      </w:r>
      <w:bookmarkEnd w:id="79"/>
      <w:r w:rsidR="003F186B" w:rsidRPr="0009132C">
        <w:rPr>
          <w:rStyle w:val="FootnoteReference"/>
        </w:rPr>
        <w:t>,</w:t>
      </w:r>
      <w:r w:rsidR="003F186B" w:rsidRPr="0009132C">
        <w:rPr>
          <w:rStyle w:val="FootnoteReference"/>
        </w:rPr>
        <w:footnoteReference w:id="28"/>
      </w:r>
    </w:p>
    <w:p w14:paraId="6589C180" w14:textId="77777777" w:rsidR="001B52EF" w:rsidRPr="0009132C" w:rsidRDefault="001B52EF" w:rsidP="00EE4105">
      <w:pPr>
        <w:pStyle w:val="Heading3"/>
      </w:pPr>
      <w:r w:rsidRPr="0009132C">
        <w:t>Recap of DSR in the 2017-2022 Demonstration</w:t>
      </w:r>
    </w:p>
    <w:p w14:paraId="70D145EE" w14:textId="4090E56D" w:rsidR="001B52EF" w:rsidRPr="0009132C" w:rsidRDefault="001B52EF" w:rsidP="00507F8D">
      <w:r w:rsidRPr="0009132C">
        <w:t>Under</w:t>
      </w:r>
      <w:r w:rsidR="00795AFE" w:rsidRPr="0009132C">
        <w:t xml:space="preserve"> the</w:t>
      </w:r>
      <w:r w:rsidRPr="0009132C">
        <w:t xml:space="preserve"> Massachusetts 2017-2022 Section 1115 Demonstration, MassHealth used $1.8 billion in federal Delivery System Reform Incentive Payment (DSRIP) program funding to support infrastructure and capacity building to achieve the following goals. Additional details on the design of MassHealth’s DSRIP program are available in the Commonwealth’s DSRIP </w:t>
      </w:r>
      <w:r w:rsidR="0EE4CC3D" w:rsidRPr="0009132C">
        <w:t>P</w:t>
      </w:r>
      <w:r w:rsidRPr="0009132C">
        <w:t>rotocol.</w:t>
      </w:r>
    </w:p>
    <w:p w14:paraId="2774B406" w14:textId="6328D946" w:rsidR="001B52EF" w:rsidRPr="0009132C" w:rsidRDefault="001B52EF" w:rsidP="00301DAB">
      <w:pPr>
        <w:pStyle w:val="Heading4"/>
      </w:pPr>
      <w:r w:rsidRPr="0009132C">
        <w:t>2017-2022 DSRIP Program Goals</w:t>
      </w:r>
      <w:r w:rsidR="00D1090D" w:rsidRPr="0009132C">
        <w:t>:</w:t>
      </w:r>
      <w:r w:rsidRPr="00A3334E">
        <w:rPr>
          <w:rStyle w:val="FootnoteReference"/>
          <w:b w:val="0"/>
          <w:bCs/>
        </w:rPr>
        <w:fldChar w:fldCharType="begin"/>
      </w:r>
      <w:r w:rsidRPr="00A3334E">
        <w:rPr>
          <w:rStyle w:val="FootnoteReference"/>
          <w:b w:val="0"/>
          <w:bCs/>
        </w:rPr>
        <w:instrText xml:space="preserve"> NOTEREF _Ref124511851 \h  \* MERGEFORMAT </w:instrText>
      </w:r>
      <w:r w:rsidRPr="00A3334E">
        <w:rPr>
          <w:rStyle w:val="FootnoteReference"/>
          <w:b w:val="0"/>
          <w:bCs/>
        </w:rPr>
      </w:r>
      <w:r w:rsidRPr="00A3334E">
        <w:rPr>
          <w:rStyle w:val="FootnoteReference"/>
          <w:b w:val="0"/>
          <w:bCs/>
        </w:rPr>
        <w:fldChar w:fldCharType="separate"/>
      </w:r>
      <w:r w:rsidR="00EB7B05" w:rsidRPr="00A3334E">
        <w:rPr>
          <w:rStyle w:val="FootnoteReference"/>
          <w:b w:val="0"/>
          <w:bCs/>
        </w:rPr>
        <w:t>26</w:t>
      </w:r>
      <w:r w:rsidRPr="00A3334E">
        <w:rPr>
          <w:rStyle w:val="FootnoteReference"/>
          <w:b w:val="0"/>
          <w:bCs/>
        </w:rPr>
        <w:fldChar w:fldCharType="end"/>
      </w:r>
    </w:p>
    <w:p w14:paraId="432B07B2" w14:textId="1166DE2E" w:rsidR="001B52EF" w:rsidRPr="00C66B80" w:rsidRDefault="001B52EF" w:rsidP="00C66B80">
      <w:pPr>
        <w:pStyle w:val="ListNumber"/>
        <w:numPr>
          <w:ilvl w:val="0"/>
          <w:numId w:val="71"/>
        </w:numPr>
      </w:pPr>
      <w:r w:rsidRPr="00C66B80">
        <w:t xml:space="preserve">Enact payment and delivery system reforms that promote integrated, coordinated care and hold providers accountable for the quality and </w:t>
      </w:r>
      <w:r w:rsidR="006F7B01" w:rsidRPr="00C66B80">
        <w:t>TCOC;</w:t>
      </w:r>
      <w:r w:rsidRPr="00C66B80">
        <w:t xml:space="preserve"> and</w:t>
      </w:r>
    </w:p>
    <w:p w14:paraId="64D3165F" w14:textId="586C8D51" w:rsidR="001B52EF" w:rsidRPr="0009132C" w:rsidRDefault="001B52EF" w:rsidP="003417FC">
      <w:pPr>
        <w:pStyle w:val="ListNumber"/>
      </w:pPr>
      <w:r w:rsidRPr="0009132C">
        <w:t>Improve integration of physical, behavioral, and long-term services.</w:t>
      </w:r>
    </w:p>
    <w:p w14:paraId="181A2B90" w14:textId="77777777" w:rsidR="00363FC3" w:rsidRDefault="001B52EF" w:rsidP="00106FE8">
      <w:pPr>
        <w:spacing w:after="120"/>
      </w:pPr>
      <w:r w:rsidRPr="0009132C">
        <w:t xml:space="preserve">At the center of MassHealth’s 2017-2022 payment and delivery system reforms were 17 new ACOs that launched in 2018. As of the end of the Demonstration, more than 1.2 million members were enrolled with ACOs, constituting more than three-quarters of eligible members. MassHealth ACOs were built on a foundation of primary care, with expectations and incentives for care to be well-coordinated across a member’s physical, behavioral, and social needs. MassHealth required ACOs to engage primary care practice sites with value-based payments tied to cost and quality performance and sought to improve care coordination and reduce potentially avoidable and costly healthcare utilization through: </w:t>
      </w:r>
    </w:p>
    <w:p w14:paraId="05E23680" w14:textId="5E542725" w:rsidR="00363FC3" w:rsidRPr="00363FC3" w:rsidRDefault="00363FC3" w:rsidP="00C66B80">
      <w:pPr>
        <w:pStyle w:val="ListParagraph"/>
        <w:numPr>
          <w:ilvl w:val="0"/>
          <w:numId w:val="66"/>
        </w:numPr>
        <w:tabs>
          <w:tab w:val="left" w:pos="1080"/>
        </w:tabs>
      </w:pPr>
      <w:r w:rsidRPr="00363FC3">
        <w:t>I</w:t>
      </w:r>
      <w:r w:rsidR="001B52EF" w:rsidRPr="00363FC3">
        <w:t xml:space="preserve">nvestments in inter- and intra-organizational </w:t>
      </w:r>
      <w:r w:rsidR="0075727F" w:rsidRPr="00363FC3">
        <w:t>relationship</w:t>
      </w:r>
      <w:r w:rsidR="0075727F">
        <w:t>-</w:t>
      </w:r>
      <w:r w:rsidR="001B52EF" w:rsidRPr="00363FC3">
        <w:t>building</w:t>
      </w:r>
    </w:p>
    <w:p w14:paraId="5E4852FA" w14:textId="74E8AE3E" w:rsidR="00363FC3" w:rsidRPr="00363FC3" w:rsidRDefault="00363FC3" w:rsidP="00C66B80">
      <w:pPr>
        <w:pStyle w:val="ListParagraph"/>
        <w:numPr>
          <w:ilvl w:val="0"/>
          <w:numId w:val="66"/>
        </w:numPr>
        <w:tabs>
          <w:tab w:val="left" w:pos="1080"/>
        </w:tabs>
      </w:pPr>
      <w:r w:rsidRPr="00363FC3">
        <w:t>N</w:t>
      </w:r>
      <w:r w:rsidR="001B52EF" w:rsidRPr="00363FC3">
        <w:t>ew services and supports for ACO members</w:t>
      </w:r>
    </w:p>
    <w:p w14:paraId="4FE3714B" w14:textId="6F062C4B" w:rsidR="00C66B80" w:rsidRDefault="00363FC3">
      <w:pPr>
        <w:pStyle w:val="ListParagraph"/>
        <w:numPr>
          <w:ilvl w:val="0"/>
          <w:numId w:val="66"/>
        </w:numPr>
        <w:tabs>
          <w:tab w:val="left" w:pos="1080"/>
        </w:tabs>
      </w:pPr>
      <w:r w:rsidRPr="00363FC3">
        <w:t>T</w:t>
      </w:r>
      <w:r w:rsidR="001B52EF" w:rsidRPr="00363FC3">
        <w:t xml:space="preserve">wo-sided financial risk </w:t>
      </w:r>
    </w:p>
    <w:p w14:paraId="66E64796" w14:textId="4162A8D6" w:rsidR="00363FC3" w:rsidRPr="00363FC3" w:rsidRDefault="00363FC3" w:rsidP="00C66B80">
      <w:pPr>
        <w:pStyle w:val="ListParagraph"/>
        <w:numPr>
          <w:ilvl w:val="0"/>
          <w:numId w:val="66"/>
        </w:numPr>
        <w:tabs>
          <w:tab w:val="left" w:pos="1080"/>
        </w:tabs>
      </w:pPr>
      <w:r w:rsidRPr="00363FC3">
        <w:t>A</w:t>
      </w:r>
      <w:r w:rsidR="001B52EF" w:rsidRPr="00363FC3">
        <w:t>ccountability</w:t>
      </w:r>
      <w:r w:rsidR="00673306" w:rsidRPr="00363FC3">
        <w:t xml:space="preserve"> for the quality of care</w:t>
      </w:r>
    </w:p>
    <w:p w14:paraId="110E2B22" w14:textId="22D5CC86" w:rsidR="001B52EF" w:rsidRPr="0009132C" w:rsidRDefault="001B52EF" w:rsidP="003C6C8F">
      <w:r w:rsidRPr="0009132C">
        <w:lastRenderedPageBreak/>
        <w:t xml:space="preserve">ACOs were required to collaborate with community-based organizations through the CP program to provide care coordination supports for members with complex behavioral health (BH) and </w:t>
      </w:r>
      <w:r w:rsidRPr="0009132C" w:rsidDel="0052057B">
        <w:t>long-term service and support (LTSS)</w:t>
      </w:r>
      <w:r w:rsidRPr="0009132C">
        <w:t xml:space="preserve"> needs. ACOs were also expected to partner with social services organizations (SSOs) to implement the Flexible Services Program (FSP) to address health-related social needs (HRSNs). </w:t>
      </w:r>
    </w:p>
    <w:p w14:paraId="03ACB84E" w14:textId="4A948C8B" w:rsidR="001B52EF" w:rsidRPr="00363FC3" w:rsidRDefault="001B52EF" w:rsidP="00C66B80">
      <w:r w:rsidRPr="0009132C">
        <w:t>The 2022-2027 Demonstration authorizes Massachusetts to claim up to $253.2 million (</w:t>
      </w:r>
      <w:r w:rsidR="004F31A3" w:rsidRPr="006C79AC">
        <w:rPr>
          <w:color w:val="000F9F"/>
          <w:u w:val="single"/>
        </w:rPr>
        <w:fldChar w:fldCharType="begin"/>
      </w:r>
      <w:r w:rsidR="004F31A3" w:rsidRPr="006C79AC">
        <w:rPr>
          <w:color w:val="000F9F"/>
          <w:u w:val="single"/>
        </w:rPr>
        <w:instrText xml:space="preserve"> REF _Ref151463604 \h </w:instrText>
      </w:r>
      <w:r w:rsidR="004F31A3" w:rsidRPr="006C79AC">
        <w:rPr>
          <w:color w:val="000F9F"/>
          <w:u w:val="single"/>
        </w:rPr>
      </w:r>
      <w:r w:rsidR="004F31A3" w:rsidRPr="006C79AC">
        <w:rPr>
          <w:color w:val="000F9F"/>
          <w:u w:val="single"/>
        </w:rPr>
        <w:fldChar w:fldCharType="separate"/>
      </w:r>
      <w:r w:rsidR="004F31A3" w:rsidRPr="006C79AC">
        <w:rPr>
          <w:color w:val="000F9F"/>
          <w:u w:val="single"/>
        </w:rPr>
        <w:t>Table 3</w:t>
      </w:r>
      <w:r w:rsidR="004F31A3" w:rsidRPr="006C79AC">
        <w:rPr>
          <w:color w:val="000F9F"/>
          <w:u w:val="single"/>
        </w:rPr>
        <w:noBreakHyphen/>
        <w:t>1</w:t>
      </w:r>
      <w:r w:rsidR="004F31A3" w:rsidRPr="006C79AC">
        <w:rPr>
          <w:color w:val="000F9F"/>
          <w:u w:val="single"/>
        </w:rPr>
        <w:fldChar w:fldCharType="end"/>
      </w:r>
      <w:r w:rsidRPr="0009132C">
        <w:t xml:space="preserve">) of remaining DSRIP funds from the previous 2017-2022 Demonstration period. </w:t>
      </w:r>
      <w:r w:rsidR="0058697B" w:rsidRPr="0009132C">
        <w:t>DSR</w:t>
      </w:r>
      <w:r w:rsidR="42BE7A56" w:rsidRPr="0009132C">
        <w:t>IP</w:t>
      </w:r>
      <w:r w:rsidRPr="0009132C">
        <w:t xml:space="preserve"> funds will be used to support ACOs, ACO FSP, LTSS CP infrastructure and capacity building, and CP care coordination. DSRIP funding allocation per year is as follows:</w:t>
      </w:r>
    </w:p>
    <w:p w14:paraId="6365308B" w14:textId="04853668" w:rsidR="00363FC3" w:rsidRPr="001F55D1" w:rsidRDefault="00363FC3" w:rsidP="00D902D2">
      <w:pPr>
        <w:pStyle w:val="FigureorTableTitle"/>
      </w:pPr>
      <w:bookmarkStart w:id="80" w:name="_Ref151463604"/>
      <w:bookmarkStart w:id="81" w:name="_Toc151976456"/>
      <w:r w:rsidRPr="001F55D1">
        <w:t xml:space="preserve">Table </w:t>
      </w:r>
      <w:r w:rsidR="003E5205" w:rsidRPr="00D902D2">
        <w:fldChar w:fldCharType="begin"/>
      </w:r>
      <w:r w:rsidR="003E5205" w:rsidRPr="001F55D1">
        <w:instrText xml:space="preserve"> STYLEREF 1 \s </w:instrText>
      </w:r>
      <w:r w:rsidR="003E5205" w:rsidRPr="00D902D2">
        <w:fldChar w:fldCharType="separate"/>
      </w:r>
      <w:r w:rsidR="00EB7B05" w:rsidRPr="00D902D2">
        <w:t>3</w:t>
      </w:r>
      <w:r w:rsidR="003E5205" w:rsidRPr="00D902D2">
        <w:fldChar w:fldCharType="end"/>
      </w:r>
      <w:r w:rsidR="00433675" w:rsidRPr="001F55D1">
        <w:noBreakHyphen/>
      </w:r>
      <w:r w:rsidR="003E5205" w:rsidRPr="00D902D2">
        <w:fldChar w:fldCharType="begin"/>
      </w:r>
      <w:r w:rsidR="003E5205" w:rsidRPr="001F55D1">
        <w:instrText xml:space="preserve"> SEQ Table \* ARABIC \s 1 </w:instrText>
      </w:r>
      <w:r w:rsidR="003E5205" w:rsidRPr="00D902D2">
        <w:fldChar w:fldCharType="separate"/>
      </w:r>
      <w:r w:rsidR="00EB7B05" w:rsidRPr="00D902D2">
        <w:t>1</w:t>
      </w:r>
      <w:r w:rsidR="003E5205" w:rsidRPr="00D902D2">
        <w:fldChar w:fldCharType="end"/>
      </w:r>
      <w:bookmarkEnd w:id="80"/>
      <w:r w:rsidRPr="001F55D1">
        <w:t>: DSRIP Funding Allocation (In Millions) by Calendar Year (CY)</w:t>
      </w:r>
      <w:bookmarkEnd w:id="81"/>
    </w:p>
    <w:tbl>
      <w:tblPr>
        <w:tblStyle w:val="FHCtableclean10pt"/>
        <w:tblW w:w="8640" w:type="dxa"/>
        <w:tblLook w:val="0420" w:firstRow="1" w:lastRow="0" w:firstColumn="0" w:lastColumn="0" w:noHBand="0" w:noVBand="1"/>
      </w:tblPr>
      <w:tblGrid>
        <w:gridCol w:w="1264"/>
        <w:gridCol w:w="1264"/>
        <w:gridCol w:w="1264"/>
        <w:gridCol w:w="1264"/>
        <w:gridCol w:w="1102"/>
        <w:gridCol w:w="1058"/>
        <w:gridCol w:w="1424"/>
      </w:tblGrid>
      <w:tr w:rsidR="00C45084" w:rsidRPr="00EA250D" w14:paraId="6A77228C" w14:textId="77777777" w:rsidTr="00EE41A9">
        <w:trPr>
          <w:cnfStyle w:val="100000000000" w:firstRow="1" w:lastRow="0" w:firstColumn="0" w:lastColumn="0" w:oddVBand="0" w:evenVBand="0" w:oddHBand="0" w:evenHBand="0" w:firstRowFirstColumn="0" w:firstRowLastColumn="0" w:lastRowFirstColumn="0" w:lastRowLastColumn="0"/>
          <w:trHeight w:val="300"/>
          <w:tblHeader/>
        </w:trPr>
        <w:tc>
          <w:tcPr>
            <w:tcW w:w="0" w:type="auto"/>
          </w:tcPr>
          <w:p w14:paraId="3E42E259" w14:textId="7FE962C4" w:rsidR="00B25CEC" w:rsidRPr="00D902D2" w:rsidRDefault="00B25CEC" w:rsidP="00D902D2">
            <w:pPr>
              <w:pStyle w:val="TableHeading"/>
              <w:rPr>
                <w:b/>
                <w:bCs w:val="0"/>
              </w:rPr>
            </w:pPr>
            <w:r w:rsidRPr="00D902D2">
              <w:rPr>
                <w:b/>
                <w:bCs w:val="0"/>
              </w:rPr>
              <w:t>CY22</w:t>
            </w:r>
          </w:p>
        </w:tc>
        <w:tc>
          <w:tcPr>
            <w:tcW w:w="0" w:type="auto"/>
          </w:tcPr>
          <w:p w14:paraId="26F257E3" w14:textId="77777777" w:rsidR="00B25CEC" w:rsidRPr="00D902D2" w:rsidRDefault="00B25CEC" w:rsidP="00D902D2">
            <w:pPr>
              <w:pStyle w:val="TableHeading"/>
              <w:rPr>
                <w:b/>
                <w:bCs w:val="0"/>
              </w:rPr>
            </w:pPr>
            <w:r w:rsidRPr="00D902D2">
              <w:rPr>
                <w:b/>
                <w:bCs w:val="0"/>
              </w:rPr>
              <w:t>CY23</w:t>
            </w:r>
          </w:p>
        </w:tc>
        <w:tc>
          <w:tcPr>
            <w:tcW w:w="0" w:type="auto"/>
          </w:tcPr>
          <w:p w14:paraId="3A2253FE" w14:textId="77777777" w:rsidR="00B25CEC" w:rsidRPr="00D902D2" w:rsidRDefault="00B25CEC" w:rsidP="00D902D2">
            <w:pPr>
              <w:pStyle w:val="TableHeading"/>
              <w:rPr>
                <w:b/>
                <w:bCs w:val="0"/>
              </w:rPr>
            </w:pPr>
            <w:r w:rsidRPr="00D902D2">
              <w:rPr>
                <w:b/>
                <w:bCs w:val="0"/>
              </w:rPr>
              <w:t>CY24</w:t>
            </w:r>
          </w:p>
        </w:tc>
        <w:tc>
          <w:tcPr>
            <w:tcW w:w="0" w:type="auto"/>
          </w:tcPr>
          <w:p w14:paraId="51FCF769" w14:textId="77777777" w:rsidR="00B25CEC" w:rsidRPr="00D902D2" w:rsidRDefault="00B25CEC" w:rsidP="00D902D2">
            <w:pPr>
              <w:pStyle w:val="TableHeading"/>
              <w:rPr>
                <w:b/>
                <w:bCs w:val="0"/>
              </w:rPr>
            </w:pPr>
            <w:r w:rsidRPr="00D902D2">
              <w:rPr>
                <w:b/>
                <w:bCs w:val="0"/>
              </w:rPr>
              <w:t>CY25</w:t>
            </w:r>
          </w:p>
        </w:tc>
        <w:tc>
          <w:tcPr>
            <w:tcW w:w="0" w:type="auto"/>
          </w:tcPr>
          <w:p w14:paraId="70AC6390" w14:textId="77777777" w:rsidR="00B25CEC" w:rsidRPr="00D902D2" w:rsidRDefault="00B25CEC" w:rsidP="00D902D2">
            <w:pPr>
              <w:pStyle w:val="TableHeading"/>
              <w:rPr>
                <w:b/>
                <w:bCs w:val="0"/>
              </w:rPr>
            </w:pPr>
            <w:r w:rsidRPr="00D902D2">
              <w:rPr>
                <w:b/>
                <w:bCs w:val="0"/>
              </w:rPr>
              <w:t>CY26</w:t>
            </w:r>
          </w:p>
        </w:tc>
        <w:tc>
          <w:tcPr>
            <w:tcW w:w="0" w:type="auto"/>
          </w:tcPr>
          <w:p w14:paraId="20748526" w14:textId="77777777" w:rsidR="00B25CEC" w:rsidRPr="00D902D2" w:rsidRDefault="00B25CEC" w:rsidP="00D902D2">
            <w:pPr>
              <w:pStyle w:val="TableHeading"/>
              <w:rPr>
                <w:b/>
                <w:bCs w:val="0"/>
              </w:rPr>
            </w:pPr>
            <w:r w:rsidRPr="00D902D2">
              <w:rPr>
                <w:b/>
                <w:bCs w:val="0"/>
              </w:rPr>
              <w:t>CY27</w:t>
            </w:r>
          </w:p>
        </w:tc>
        <w:tc>
          <w:tcPr>
            <w:tcW w:w="0" w:type="auto"/>
          </w:tcPr>
          <w:p w14:paraId="3124C3C5" w14:textId="77777777" w:rsidR="00B25CEC" w:rsidRPr="00D902D2" w:rsidRDefault="00B25CEC" w:rsidP="00D902D2">
            <w:pPr>
              <w:pStyle w:val="TableHeading"/>
              <w:rPr>
                <w:b/>
                <w:bCs w:val="0"/>
              </w:rPr>
            </w:pPr>
            <w:r w:rsidRPr="00D902D2">
              <w:rPr>
                <w:b/>
                <w:bCs w:val="0"/>
              </w:rPr>
              <w:t>Total</w:t>
            </w:r>
          </w:p>
        </w:tc>
      </w:tr>
      <w:tr w:rsidR="00B25CEC" w:rsidRPr="00363FC3" w14:paraId="2092FB7A" w14:textId="77777777" w:rsidTr="00D902D2">
        <w:trPr>
          <w:trHeight w:val="300"/>
        </w:trPr>
        <w:tc>
          <w:tcPr>
            <w:tcW w:w="0" w:type="auto"/>
          </w:tcPr>
          <w:p w14:paraId="694D6F81" w14:textId="77777777" w:rsidR="00B25CEC" w:rsidRPr="00363FC3" w:rsidRDefault="00B25CEC" w:rsidP="00D902D2">
            <w:pPr>
              <w:pStyle w:val="TableNormal0"/>
            </w:pPr>
            <w:r w:rsidRPr="00363FC3">
              <w:t>$45.7M</w:t>
            </w:r>
          </w:p>
        </w:tc>
        <w:tc>
          <w:tcPr>
            <w:tcW w:w="0" w:type="auto"/>
          </w:tcPr>
          <w:p w14:paraId="5ABB85E6" w14:textId="77777777" w:rsidR="00B25CEC" w:rsidRPr="00363FC3" w:rsidRDefault="00B25CEC" w:rsidP="00D902D2">
            <w:pPr>
              <w:pStyle w:val="TableNormal0"/>
            </w:pPr>
            <w:r w:rsidRPr="00363FC3">
              <w:t>$98.6M</w:t>
            </w:r>
          </w:p>
        </w:tc>
        <w:tc>
          <w:tcPr>
            <w:tcW w:w="0" w:type="auto"/>
          </w:tcPr>
          <w:p w14:paraId="670CA0D1" w14:textId="77777777" w:rsidR="00B25CEC" w:rsidRPr="00363FC3" w:rsidRDefault="00B25CEC" w:rsidP="00D902D2">
            <w:pPr>
              <w:pStyle w:val="TableNormal0"/>
            </w:pPr>
            <w:r w:rsidRPr="00363FC3">
              <w:t>$56.1M</w:t>
            </w:r>
          </w:p>
        </w:tc>
        <w:tc>
          <w:tcPr>
            <w:tcW w:w="0" w:type="auto"/>
          </w:tcPr>
          <w:p w14:paraId="6A827114" w14:textId="77777777" w:rsidR="00B25CEC" w:rsidRPr="00363FC3" w:rsidRDefault="00B25CEC" w:rsidP="00D902D2">
            <w:pPr>
              <w:pStyle w:val="TableNormal0"/>
            </w:pPr>
            <w:r w:rsidRPr="00363FC3">
              <w:t>$52.4M</w:t>
            </w:r>
          </w:p>
        </w:tc>
        <w:tc>
          <w:tcPr>
            <w:tcW w:w="0" w:type="auto"/>
          </w:tcPr>
          <w:p w14:paraId="2938EF79" w14:textId="77777777" w:rsidR="00B25CEC" w:rsidRPr="00363FC3" w:rsidRDefault="00B25CEC" w:rsidP="00D902D2">
            <w:pPr>
              <w:pStyle w:val="TableNormal0"/>
            </w:pPr>
            <w:r w:rsidRPr="00363FC3">
              <w:t>$0.5M</w:t>
            </w:r>
          </w:p>
        </w:tc>
        <w:tc>
          <w:tcPr>
            <w:tcW w:w="0" w:type="auto"/>
          </w:tcPr>
          <w:p w14:paraId="0847BB52" w14:textId="77777777" w:rsidR="00B25CEC" w:rsidRPr="00363FC3" w:rsidRDefault="00B25CEC" w:rsidP="00D902D2">
            <w:pPr>
              <w:pStyle w:val="TableNormal0"/>
            </w:pPr>
            <w:r w:rsidRPr="00363FC3">
              <w:t>$0</w:t>
            </w:r>
          </w:p>
        </w:tc>
        <w:tc>
          <w:tcPr>
            <w:tcW w:w="0" w:type="auto"/>
          </w:tcPr>
          <w:p w14:paraId="42E9DB68" w14:textId="77777777" w:rsidR="00B25CEC" w:rsidRPr="00363FC3" w:rsidRDefault="00B25CEC" w:rsidP="00D902D2">
            <w:pPr>
              <w:pStyle w:val="TableNormal0"/>
            </w:pPr>
            <w:r w:rsidRPr="00363FC3">
              <w:t>$253.2M</w:t>
            </w:r>
          </w:p>
        </w:tc>
      </w:tr>
    </w:tbl>
    <w:p w14:paraId="442FCB59" w14:textId="314B5AA0" w:rsidR="00262A67" w:rsidRDefault="00262A67">
      <w:pPr>
        <w:pStyle w:val="TableorFigurefootnote"/>
      </w:pPr>
      <w:r w:rsidRPr="00363FC3">
        <w:t>*This table is subject to change and will be updated as applicable.</w:t>
      </w:r>
    </w:p>
    <w:p w14:paraId="517EA1FA" w14:textId="77777777" w:rsidR="00C66B80" w:rsidRPr="00363FC3" w:rsidRDefault="00C66B80" w:rsidP="00C66B80">
      <w:pPr>
        <w:pStyle w:val="TableorFigurefootnote"/>
      </w:pPr>
    </w:p>
    <w:p w14:paraId="6B4D7B4E" w14:textId="3ABD615D" w:rsidR="001B52EF" w:rsidRPr="0009132C" w:rsidRDefault="001B52EF" w:rsidP="00EE4105">
      <w:pPr>
        <w:pStyle w:val="Heading3"/>
      </w:pPr>
      <w:r w:rsidRPr="0009132C">
        <w:t>2022-2027 DSR Policy Domain Goals</w:t>
      </w:r>
      <w:r w:rsidR="00CC688D" w:rsidRPr="0009132C">
        <w:rPr>
          <w:rStyle w:val="FootnoteReference"/>
        </w:rPr>
        <w:footnoteReference w:id="29"/>
      </w:r>
      <w:r w:rsidRPr="0009132C">
        <w:t xml:space="preserve"> </w:t>
      </w:r>
    </w:p>
    <w:p w14:paraId="16804431" w14:textId="592D8207" w:rsidR="001B52EF" w:rsidRPr="0009132C" w:rsidRDefault="001B52EF" w:rsidP="00D422DC">
      <w:r w:rsidRPr="0009132C">
        <w:t>In the 2022-2027 extension of its</w:t>
      </w:r>
      <w:r w:rsidR="005A5F7E">
        <w:t xml:space="preserve"> </w:t>
      </w:r>
      <w:r w:rsidRPr="0009132C">
        <w:t>Demonstration, MassHealth declared its ongoing commitment to continue the path of delivery system reform. Of MassHealth’s five goals for its 2022-2027 Demonstration, the following four are either focused on or directly linked to DSR.</w:t>
      </w:r>
    </w:p>
    <w:p w14:paraId="44B6709A" w14:textId="052D5C98" w:rsidR="00970688" w:rsidRPr="003417FC" w:rsidRDefault="00970688" w:rsidP="003417FC">
      <w:pPr>
        <w:pStyle w:val="ListNumber"/>
        <w:numPr>
          <w:ilvl w:val="0"/>
          <w:numId w:val="70"/>
        </w:numPr>
      </w:pPr>
      <w:r w:rsidRPr="003417FC">
        <w:t>Continue the path of restructuring and reaffirm</w:t>
      </w:r>
      <w:r w:rsidR="00B93A07">
        <w:t>ing</w:t>
      </w:r>
      <w:r w:rsidRPr="003417FC">
        <w:t xml:space="preserve"> accountable, value-based care </w:t>
      </w:r>
      <w:r w:rsidR="004F31A3">
        <w:t>—</w:t>
      </w:r>
      <w:r w:rsidR="004F31A3" w:rsidRPr="003417FC">
        <w:t xml:space="preserve"> </w:t>
      </w:r>
      <w:r w:rsidRPr="003417FC">
        <w:t xml:space="preserve">increasing expectations for how ACOs improve care and trend management and refining the model; </w:t>
      </w:r>
    </w:p>
    <w:p w14:paraId="260AAE45" w14:textId="38AA295C" w:rsidR="00970688" w:rsidRPr="003417FC" w:rsidRDefault="00970688" w:rsidP="003417FC">
      <w:pPr>
        <w:pStyle w:val="ListNumber"/>
      </w:pPr>
      <w:r>
        <w:t xml:space="preserve">Make reforms and investments in primary care, </w:t>
      </w:r>
      <w:r w:rsidR="00F02016">
        <w:t>BH</w:t>
      </w:r>
      <w:r>
        <w:t xml:space="preserve">, and pediatric care that expand access and move the delivery system away from siloed, fee-for-service </w:t>
      </w:r>
      <w:r w:rsidR="03C68280">
        <w:t xml:space="preserve">(FFS) </w:t>
      </w:r>
      <w:r w:rsidR="009C2AA0">
        <w:t>healthcare</w:t>
      </w:r>
      <w:r>
        <w:t xml:space="preserve">; </w:t>
      </w:r>
    </w:p>
    <w:p w14:paraId="02CC5D3E" w14:textId="24303C02" w:rsidR="00970688" w:rsidRPr="003417FC" w:rsidRDefault="00970688" w:rsidP="003417FC">
      <w:pPr>
        <w:pStyle w:val="ListNumber"/>
      </w:pPr>
      <w:r w:rsidRPr="003417FC">
        <w:t xml:space="preserve">Continue to improve access to and quality and equity of care, with a focus on initiatives addressing </w:t>
      </w:r>
      <w:r w:rsidR="003B0F49">
        <w:t>HRSN</w:t>
      </w:r>
      <w:r w:rsidRPr="003417FC">
        <w:t xml:space="preserve"> and specific improvement areas relating to health quality and equity, including maternal health and </w:t>
      </w:r>
      <w:r w:rsidR="009C2AA0">
        <w:t>healthcare</w:t>
      </w:r>
      <w:r w:rsidRPr="003417FC">
        <w:t xml:space="preserve"> for justice-involved individuals who are in the community; </w:t>
      </w:r>
    </w:p>
    <w:p w14:paraId="0D37ED5A" w14:textId="3E3B7CAE" w:rsidR="00573FB7" w:rsidRPr="003417FC" w:rsidRDefault="00970688" w:rsidP="003417FC">
      <w:pPr>
        <w:pStyle w:val="ListNumber"/>
      </w:pPr>
      <w:r w:rsidRPr="003417FC">
        <w:t>Support the Commonwealth’s safety net, including ongoing, predictable funding for safety net providers, with a continued linkage to accountable care</w:t>
      </w:r>
      <w:r w:rsidR="00573FB7" w:rsidRPr="003417FC">
        <w:t>.</w:t>
      </w:r>
    </w:p>
    <w:p w14:paraId="459E09A6" w14:textId="10E884F8" w:rsidR="001B52EF" w:rsidRPr="0009132C" w:rsidRDefault="001B52EF" w:rsidP="00EE4105">
      <w:pPr>
        <w:pStyle w:val="Heading3"/>
      </w:pPr>
      <w:r w:rsidRPr="0009132C">
        <w:lastRenderedPageBreak/>
        <w:t>DSR Policie</w:t>
      </w:r>
      <w:r w:rsidR="00D56821" w:rsidRPr="0009132C">
        <w:t>s</w:t>
      </w:r>
      <w:r w:rsidR="00A675FB">
        <w:rPr>
          <w:vertAlign w:val="superscript"/>
        </w:rPr>
        <w:t>28</w:t>
      </w:r>
    </w:p>
    <w:p w14:paraId="5AE50A28" w14:textId="6A2491FD" w:rsidR="001B52EF" w:rsidRPr="0009132C" w:rsidRDefault="001B52EF" w:rsidP="00A7018C">
      <w:r w:rsidRPr="0009132C">
        <w:t>The primary vehicle for delivery system reform is the ACO program. A description of the program</w:t>
      </w:r>
      <w:r w:rsidR="007D16F6">
        <w:t>,</w:t>
      </w:r>
      <w:r w:rsidRPr="0009132C">
        <w:t xml:space="preserve"> followed by descriptions of new and enhanced policies related to the program that support 2022-2027 DSR goals</w:t>
      </w:r>
      <w:r w:rsidR="00D17D42">
        <w:t>,</w:t>
      </w:r>
      <w:r w:rsidRPr="0009132C">
        <w:t xml:space="preserve"> are described below.</w:t>
      </w:r>
    </w:p>
    <w:p w14:paraId="1FC38D1B" w14:textId="5434585D" w:rsidR="001B52EF" w:rsidRPr="0009132C" w:rsidRDefault="001B52EF" w:rsidP="00F01FF8">
      <w:pPr>
        <w:pStyle w:val="Heading4"/>
      </w:pPr>
      <w:r w:rsidRPr="0009132C">
        <w:t>Accountable Care Organization (ACO) Program</w:t>
      </w:r>
    </w:p>
    <w:p w14:paraId="2C08FFDB" w14:textId="51761E7D" w:rsidR="001B52EF" w:rsidRPr="0009132C" w:rsidRDefault="001B52EF" w:rsidP="00A7018C">
      <w:pPr>
        <w:rPr>
          <w:b/>
          <w:bCs/>
        </w:rPr>
      </w:pPr>
      <w:r w:rsidRPr="0009132C">
        <w:t xml:space="preserve">ACOs are provider-led organizations held contractually responsible for the quality, coordination, and total cost of members’ care. The ACO program was re-authorized and approved by CMS with the intent to move MassHealth providers from a primarily FFS system that pays for volume to one that rewards value. As such, ACOs are accountable and at financial risk for the total cost of members’ care and quality measures across multiple domains. Members are attributed to ACOs based on primary care providers (PCPs); members choose or are assigned their PCP and are assigned to the plan in which that provider is enrolled. In the MassHealth ACO program, a given PCP may only participate </w:t>
      </w:r>
      <w:r w:rsidR="00CB62C8" w:rsidRPr="0009132C">
        <w:t xml:space="preserve">as a PCP </w:t>
      </w:r>
      <w:r w:rsidRPr="0009132C">
        <w:t xml:space="preserve">in one ACO. </w:t>
      </w:r>
    </w:p>
    <w:p w14:paraId="704C2D20" w14:textId="3788A242" w:rsidR="001B52EF" w:rsidRPr="0009132C" w:rsidRDefault="001B52EF" w:rsidP="00A7018C">
      <w:pPr>
        <w:rPr>
          <w:b/>
          <w:bCs/>
        </w:rPr>
      </w:pPr>
      <w:r w:rsidRPr="0009132C">
        <w:t>Massachusetts has procured two ACO models for an operational start date of April 1, 2023</w:t>
      </w:r>
      <w:r w:rsidR="06056A63" w:rsidRPr="0009132C">
        <w:t>,</w:t>
      </w:r>
      <w:r w:rsidR="001D41B8" w:rsidRPr="0009132C">
        <w:t xml:space="preserve"> </w:t>
      </w:r>
      <w:r w:rsidRPr="0009132C">
        <w:t>running through the end of the Demonstration in 2027</w:t>
      </w:r>
      <w:r w:rsidR="00D650E9">
        <w:t>.</w:t>
      </w:r>
      <w:r w:rsidRPr="0009132C">
        <w:rPr>
          <w:rStyle w:val="FootnoteReference"/>
        </w:rPr>
        <w:footnoteReference w:id="30"/>
      </w:r>
    </w:p>
    <w:p w14:paraId="17E06E0F" w14:textId="2FB7B0AC" w:rsidR="00034192" w:rsidRPr="00034192" w:rsidRDefault="001B52EF" w:rsidP="000F5B9D">
      <w:pPr>
        <w:pStyle w:val="Heading5"/>
      </w:pPr>
      <w:r w:rsidRPr="00C66B80">
        <w:t>Accountable Care Partnership Plan (ACPP)</w:t>
      </w:r>
    </w:p>
    <w:p w14:paraId="356C2A26" w14:textId="69CE6EFC" w:rsidR="001B52EF" w:rsidRPr="00034192" w:rsidRDefault="001B52EF" w:rsidP="000F5B9D">
      <w:r w:rsidRPr="00034192">
        <w:t xml:space="preserve">An </w:t>
      </w:r>
      <w:r w:rsidR="00C81CDB">
        <w:t xml:space="preserve">ACPP is an </w:t>
      </w:r>
      <w:r w:rsidRPr="00034192">
        <w:t xml:space="preserve">integrated partnership between a Managed Care Organization (MCO) and a provider-led entity (also referred to as an ACO Partner). Members who enroll in an ACPP have the ACPP as their health plan and receive ACO Covered Services through the ACPP’s Provider Network, including its exclusive group of PCPs. ACPPs are responsible for administrative health plan functions (such as claims payment and network development) and coordinated care delivery for the full range of ACO Covered Services. ACPPs are paid capitation rates and bear risk for members’ cost of care. The ACPP is also held accountable for quality through a series of Quality Measures. ACPPs are expected to pilot different alternative payment methodologies, maintain close provider relationships, access real-time claims data, and leverage enhanced administrative dollars. </w:t>
      </w:r>
    </w:p>
    <w:p w14:paraId="606E3D48" w14:textId="35017400" w:rsidR="00034192" w:rsidRDefault="001B52EF" w:rsidP="000F5B9D">
      <w:pPr>
        <w:pStyle w:val="Heading5"/>
      </w:pPr>
      <w:r w:rsidRPr="00C66B80">
        <w:t>Primary Care Accountable Care Organization (PCACO)</w:t>
      </w:r>
    </w:p>
    <w:p w14:paraId="1199C1A9" w14:textId="3C86AFF6" w:rsidR="001B52EF" w:rsidRPr="00E12089" w:rsidRDefault="00DA0DEB" w:rsidP="000F5B9D">
      <w:r>
        <w:t xml:space="preserve">PCACOs are </w:t>
      </w:r>
      <w:r w:rsidR="001B52EF" w:rsidRPr="00E12089">
        <w:t>advanced provider-led entit</w:t>
      </w:r>
      <w:r>
        <w:t>ies</w:t>
      </w:r>
      <w:r w:rsidR="001B52EF" w:rsidRPr="00E12089">
        <w:t xml:space="preserve"> with an exclusive group of participating PCPs. Members who enroll in a PCACO receive primary care through these participating PCPs, BH services through the MassHealth BH Vendor, and other covered services through MassHealth’s FFS network. PCACOs and their participating PCPs contract directly with MassHealth. PCACOs are paid a monthly administrative rate. PCACOs are accountable through shared savings and shared losses payments based on TCOC and a TCOC benchmark, as well as on quality through a series of </w:t>
      </w:r>
      <w:r w:rsidR="005941CC">
        <w:t>q</w:t>
      </w:r>
      <w:r w:rsidR="005941CC" w:rsidRPr="00E12089">
        <w:t xml:space="preserve">uality </w:t>
      </w:r>
      <w:r w:rsidR="005941CC">
        <w:t>m</w:t>
      </w:r>
      <w:r w:rsidR="005941CC" w:rsidRPr="00E12089">
        <w:t>easures</w:t>
      </w:r>
      <w:r w:rsidR="001B52EF" w:rsidRPr="00E12089">
        <w:t xml:space="preserve">. </w:t>
      </w:r>
    </w:p>
    <w:p w14:paraId="52A7194E" w14:textId="0D0252C5" w:rsidR="001B52EF" w:rsidRPr="0009132C" w:rsidRDefault="001B52EF" w:rsidP="00301DAB">
      <w:pPr>
        <w:pStyle w:val="Heading4"/>
      </w:pPr>
      <w:r w:rsidRPr="0009132C">
        <w:lastRenderedPageBreak/>
        <w:t xml:space="preserve">New and </w:t>
      </w:r>
      <w:r w:rsidR="008D6BAD">
        <w:t>E</w:t>
      </w:r>
      <w:r w:rsidRPr="0009132C">
        <w:t xml:space="preserve">nhanced </w:t>
      </w:r>
      <w:r w:rsidR="008D6BAD">
        <w:t>E</w:t>
      </w:r>
      <w:r w:rsidRPr="0009132C">
        <w:t xml:space="preserve">xpectations of ACOs in the 2022-2027 Demonstration </w:t>
      </w:r>
    </w:p>
    <w:p w14:paraId="6F82A5EA" w14:textId="3BCD7F41" w:rsidR="001B52EF" w:rsidRPr="0009132C" w:rsidRDefault="2B322BCA" w:rsidP="00EB4A39">
      <w:pPr>
        <w:pStyle w:val="Heading5"/>
      </w:pPr>
      <w:r w:rsidRPr="0009132C">
        <w:t xml:space="preserve">Value-based </w:t>
      </w:r>
      <w:r w:rsidR="00106E72">
        <w:t>P</w:t>
      </w:r>
      <w:r w:rsidRPr="0009132C">
        <w:t xml:space="preserve">ayment in </w:t>
      </w:r>
      <w:r w:rsidR="00106E72">
        <w:t>P</w:t>
      </w:r>
      <w:r w:rsidR="624109B3" w:rsidRPr="0009132C">
        <w:t>rimary</w:t>
      </w:r>
      <w:r w:rsidR="001B52EF" w:rsidRPr="0009132C">
        <w:t xml:space="preserve"> </w:t>
      </w:r>
      <w:r w:rsidR="00106E72">
        <w:t>C</w:t>
      </w:r>
      <w:r w:rsidR="001B52EF" w:rsidRPr="0009132C">
        <w:t>are</w:t>
      </w:r>
      <w:r w:rsidR="001B52EF" w:rsidRPr="008D6BAD">
        <w:rPr>
          <w:rStyle w:val="FootnoteReference"/>
        </w:rPr>
        <w:footnoteReference w:id="31"/>
      </w:r>
      <w:r w:rsidR="001B52EF" w:rsidRPr="000F5B9D">
        <w:t xml:space="preserve"> </w:t>
      </w:r>
    </w:p>
    <w:p w14:paraId="02240762" w14:textId="5062E906" w:rsidR="001B52EF" w:rsidRPr="0009132C" w:rsidRDefault="001B52EF" w:rsidP="009818D5">
      <w:r w:rsidRPr="0009132C">
        <w:t xml:space="preserve">While the Massachusetts delivery system as a whole has made progress in moving away from FFS payment, </w:t>
      </w:r>
      <w:r w:rsidRPr="0009132C" w:rsidDel="00DC799D">
        <w:t>the experience of</w:t>
      </w:r>
      <w:r w:rsidRPr="0009132C" w:rsidDel="00A95659">
        <w:t xml:space="preserve"> </w:t>
      </w:r>
      <w:r w:rsidRPr="0009132C">
        <w:t>individual provider</w:t>
      </w:r>
      <w:r w:rsidRPr="0009132C" w:rsidDel="00A95659">
        <w:t>s</w:t>
      </w:r>
      <w:r w:rsidRPr="0009132C">
        <w:t xml:space="preserve"> </w:t>
      </w:r>
      <w:r w:rsidRPr="0009132C" w:rsidDel="00DC799D">
        <w:t>is still often that they are</w:t>
      </w:r>
      <w:r w:rsidRPr="0009132C" w:rsidDel="00A95659">
        <w:t xml:space="preserve"> </w:t>
      </w:r>
      <w:r w:rsidRPr="0009132C" w:rsidDel="00F02F02">
        <w:t>paid for</w:t>
      </w:r>
      <w:r w:rsidRPr="0009132C">
        <w:t xml:space="preserve"> volume</w:t>
      </w:r>
      <w:r w:rsidR="00F02F02" w:rsidRPr="0009132C">
        <w:t xml:space="preserve"> </w:t>
      </w:r>
      <w:r w:rsidRPr="0009132C" w:rsidDel="00F02F02">
        <w:t>and not value.</w:t>
      </w:r>
      <w:r w:rsidRPr="0009132C">
        <w:t xml:space="preserve"> In the 2022-2027 Demonstration, MassHealth is increasing the amount of funding </w:t>
      </w:r>
      <w:r w:rsidR="5425E9F8" w:rsidRPr="0009132C">
        <w:t>for</w:t>
      </w:r>
      <w:r w:rsidRPr="0009132C">
        <w:t xml:space="preserve"> primary care and implementing a primary care sub-capitation payment model that will bring payment reform to the provider level. Payments to participating PCPs will be calculated on a per-member-per-month (PMPM) basis, based on attributed population and a defined set of services/codes, with appropriate risk adjustment. Rates will reflect the enhanced clinical expectations for providers participating in the primary care sub-capitation program and </w:t>
      </w:r>
      <w:r w:rsidR="1A6BDE8C" w:rsidRPr="0009132C">
        <w:t xml:space="preserve">will </w:t>
      </w:r>
      <w:r w:rsidRPr="0009132C">
        <w:t xml:space="preserve">increase for higher </w:t>
      </w:r>
      <w:r w:rsidR="3C0D7212" w:rsidRPr="0009132C">
        <w:t>t</w:t>
      </w:r>
      <w:r w:rsidRPr="0009132C">
        <w:t xml:space="preserve">ier practices, commensurate with enhanced care delivery expectations. These expectations will incentivize specific care delivery improvements, including BH integration, enhanced team-based models of primary care, bolstered care coordination services, and more. The primary care sub-capitation program will provide flexible and predictable revenue via prospective, panel-based payments and incentivize population health improvements while moving providers off of </w:t>
      </w:r>
      <w:r w:rsidR="4807DCBC" w:rsidRPr="0009132C">
        <w:t>an</w:t>
      </w:r>
      <w:r w:rsidRPr="0009132C">
        <w:t xml:space="preserve"> FFS model.</w:t>
      </w:r>
      <w:r w:rsidRPr="0009132C">
        <w:rPr>
          <w:rStyle w:val="FootnoteReference"/>
        </w:rPr>
        <w:footnoteReference w:id="32"/>
      </w:r>
    </w:p>
    <w:p w14:paraId="3B3BFA5E" w14:textId="57960AFF" w:rsidR="001B52EF" w:rsidRPr="003B74F6" w:rsidRDefault="001B52EF" w:rsidP="003B74F6">
      <w:pPr>
        <w:pStyle w:val="Heading5"/>
      </w:pPr>
      <w:r w:rsidRPr="003B74F6">
        <w:t>Care Coordination</w:t>
      </w:r>
      <w:r w:rsidRPr="003B74F6">
        <w:rPr>
          <w:rStyle w:val="FootnoteReference"/>
        </w:rPr>
        <w:footnoteReference w:id="33"/>
      </w:r>
      <w:r w:rsidRPr="003B74F6">
        <w:rPr>
          <w:rStyle w:val="FootnoteReference"/>
        </w:rPr>
        <w:t>,</w:t>
      </w:r>
      <w:r w:rsidRPr="003B74F6">
        <w:rPr>
          <w:rStyle w:val="FootnoteReference"/>
        </w:rPr>
        <w:footnoteReference w:id="34"/>
      </w:r>
    </w:p>
    <w:p w14:paraId="46BD489F" w14:textId="7EE254C5" w:rsidR="00106E72" w:rsidRDefault="001B52EF" w:rsidP="005A6824">
      <w:pPr>
        <w:spacing w:after="200"/>
      </w:pPr>
      <w:r w:rsidRPr="0009132C">
        <w:t>ACOs will be responsible for providing baseline care coordination support for all their members. Several required elements of baseline care coordination are specified in the ACO contracts</w:t>
      </w:r>
      <w:r w:rsidR="00ED7190">
        <w:t>,</w:t>
      </w:r>
      <w:r w:rsidRPr="0009132C">
        <w:t xml:space="preserve"> such as: </w:t>
      </w:r>
    </w:p>
    <w:p w14:paraId="0F678CAC" w14:textId="38E0487D" w:rsidR="00DC6706" w:rsidRDefault="005A5F7E" w:rsidP="005A6824">
      <w:pPr>
        <w:pStyle w:val="ListNumber"/>
        <w:numPr>
          <w:ilvl w:val="0"/>
          <w:numId w:val="75"/>
        </w:numPr>
        <w:spacing w:after="60"/>
      </w:pPr>
      <w:r>
        <w:t>A</w:t>
      </w:r>
      <w:r w:rsidR="001B52EF" w:rsidRPr="0041061E">
        <w:t>ssigning members to PCPs</w:t>
      </w:r>
    </w:p>
    <w:p w14:paraId="4BBAE627" w14:textId="23217925" w:rsidR="00DC6706" w:rsidRDefault="005A5F7E" w:rsidP="005A6824">
      <w:pPr>
        <w:pStyle w:val="ListNumber"/>
        <w:numPr>
          <w:ilvl w:val="0"/>
          <w:numId w:val="75"/>
        </w:numPr>
        <w:spacing w:after="60"/>
      </w:pPr>
      <w:r>
        <w:t>S</w:t>
      </w:r>
      <w:r w:rsidR="001B52EF" w:rsidRPr="00DC6706">
        <w:t>creening for physical health, BH, LTSS, and HRSNs</w:t>
      </w:r>
    </w:p>
    <w:p w14:paraId="1A0E93AB" w14:textId="24783B83" w:rsidR="00DC6706" w:rsidRDefault="005A5F7E" w:rsidP="005A6824">
      <w:pPr>
        <w:pStyle w:val="ListNumber"/>
        <w:numPr>
          <w:ilvl w:val="0"/>
          <w:numId w:val="75"/>
        </w:numPr>
        <w:spacing w:after="60"/>
      </w:pPr>
      <w:r>
        <w:t>E</w:t>
      </w:r>
      <w:r w:rsidR="001B52EF" w:rsidRPr="00DC6706">
        <w:t>nsuring appropriate referrals are made</w:t>
      </w:r>
    </w:p>
    <w:p w14:paraId="7E3EBF66" w14:textId="10C1B2BC" w:rsidR="00DC6706" w:rsidRDefault="005A5F7E" w:rsidP="005A6824">
      <w:pPr>
        <w:pStyle w:val="ListNumber"/>
        <w:numPr>
          <w:ilvl w:val="0"/>
          <w:numId w:val="75"/>
        </w:numPr>
        <w:spacing w:after="60"/>
      </w:pPr>
      <w:r>
        <w:t>E</w:t>
      </w:r>
      <w:r w:rsidR="001B52EF" w:rsidRPr="00DC6706">
        <w:t xml:space="preserve">nsuring appropriate and timely follow-up </w:t>
      </w:r>
    </w:p>
    <w:p w14:paraId="09B015D2" w14:textId="1B797FDD" w:rsidR="00106E72" w:rsidRPr="00DC6706" w:rsidRDefault="005A5F7E" w:rsidP="005A6824">
      <w:pPr>
        <w:pStyle w:val="ListNumber"/>
        <w:numPr>
          <w:ilvl w:val="0"/>
          <w:numId w:val="75"/>
        </w:numPr>
        <w:spacing w:after="240"/>
      </w:pPr>
      <w:r>
        <w:t>C</w:t>
      </w:r>
      <w:r w:rsidR="001B52EF" w:rsidRPr="00DC6706">
        <w:t>oordinating with service providers, community-based organizations, and state agencies to improve integration of care</w:t>
      </w:r>
    </w:p>
    <w:p w14:paraId="0700B1BC" w14:textId="0F1A6E89" w:rsidR="001B52EF" w:rsidRPr="0009132C" w:rsidRDefault="001B52EF" w:rsidP="009818D5">
      <w:r w:rsidRPr="0009132C">
        <w:t>ACOs must have a methodology to predictively model, stratify</w:t>
      </w:r>
      <w:r w:rsidR="00ED7190">
        <w:t>,</w:t>
      </w:r>
      <w:r w:rsidRPr="0009132C">
        <w:t xml:space="preserve"> and assign the</w:t>
      </w:r>
      <w:r w:rsidR="23D2A6BE" w:rsidRPr="0009132C">
        <w:t>ir</w:t>
      </w:r>
      <w:r w:rsidRPr="0009132C">
        <w:t xml:space="preserve"> member population</w:t>
      </w:r>
      <w:r w:rsidR="2AE9C232" w:rsidRPr="0009132C">
        <w:t>s</w:t>
      </w:r>
      <w:r w:rsidRPr="0009132C">
        <w:t xml:space="preserve"> into risk categories and use </w:t>
      </w:r>
      <w:r w:rsidR="31A9D65C" w:rsidRPr="0009132C">
        <w:t xml:space="preserve">their </w:t>
      </w:r>
      <w:r w:rsidRPr="0009132C">
        <w:t>risk stratification process to identify high- and rising-risk members</w:t>
      </w:r>
      <w:r w:rsidR="0A27808F" w:rsidRPr="0009132C">
        <w:t>.</w:t>
      </w:r>
      <w:r w:rsidR="76BEF2CF" w:rsidRPr="0009132C">
        <w:t xml:space="preserve"> </w:t>
      </w:r>
      <w:r w:rsidR="0D3872B4" w:rsidRPr="0009132C">
        <w:t>ACOs must</w:t>
      </w:r>
      <w:r w:rsidR="76BEF2CF" w:rsidRPr="0009132C">
        <w:t xml:space="preserve"> </w:t>
      </w:r>
      <w:r w:rsidR="0061589F" w:rsidRPr="0009132C">
        <w:t>then</w:t>
      </w:r>
      <w:r w:rsidRPr="0009132C">
        <w:t xml:space="preserve"> evaluate such high- and rising-risk members to determine their appropriateness for Enhanced Care Coordination. </w:t>
      </w:r>
    </w:p>
    <w:p w14:paraId="40AF2BA6" w14:textId="5760A7B7" w:rsidR="001B52EF" w:rsidRPr="0009132C" w:rsidRDefault="001B52EF" w:rsidP="009818D5">
      <w:r w:rsidRPr="0009132C">
        <w:t>Enhanced Care Coordination can be delivered through ACO Care Management or the CP program.</w:t>
      </w:r>
      <w:r w:rsidRPr="00564E48">
        <w:t xml:space="preserve"> </w:t>
      </w:r>
      <w:r w:rsidRPr="0009132C">
        <w:t>CPs</w:t>
      </w:r>
      <w:r w:rsidRPr="0009132C">
        <w:rPr>
          <w:rStyle w:val="FootnoteReference"/>
        </w:rPr>
        <w:footnoteReference w:id="35"/>
      </w:r>
      <w:r w:rsidRPr="0009132C">
        <w:t xml:space="preserve"> are community-based organizations that provide care coordination </w:t>
      </w:r>
      <w:r w:rsidR="00064BFD" w:rsidRPr="0009132C">
        <w:lastRenderedPageBreak/>
        <w:t xml:space="preserve">for members with complex </w:t>
      </w:r>
      <w:r w:rsidR="007B2A92">
        <w:t>BH</w:t>
      </w:r>
      <w:r w:rsidR="00064BFD" w:rsidRPr="0009132C">
        <w:t xml:space="preserve"> and long-term care needs </w:t>
      </w:r>
      <w:r w:rsidRPr="0009132C">
        <w:t>and offer members linkages and support to community resources that facilitate a coordinated, holistic approach to care. CPs provide supports such as person-centered care coordination, assessments, care planning, coordinating the member</w:t>
      </w:r>
      <w:r w:rsidR="7EDFA29C" w:rsidRPr="0009132C">
        <w:t>’</w:t>
      </w:r>
      <w:r w:rsidRPr="0009132C">
        <w:t xml:space="preserve">s </w:t>
      </w:r>
      <w:r w:rsidR="002E24C5">
        <w:t>c</w:t>
      </w:r>
      <w:r w:rsidR="002E24C5" w:rsidRPr="0009132C">
        <w:t xml:space="preserve">are </w:t>
      </w:r>
      <w:r w:rsidR="002E24C5">
        <w:t>t</w:t>
      </w:r>
      <w:r w:rsidR="002E24C5" w:rsidRPr="0009132C">
        <w:t>eam</w:t>
      </w:r>
      <w:r w:rsidRPr="0009132C">
        <w:t xml:space="preserve">, navigation to social and community services, and health promotion and wellness activities to their enrolled members. During the 2022-2027 Demonstration, MassHealth will shift the program’s structure from a state-managed Demonstration to </w:t>
      </w:r>
      <w:r w:rsidR="279AA637" w:rsidRPr="0009132C">
        <w:t>an ACO</w:t>
      </w:r>
      <w:r w:rsidR="00584C36" w:rsidRPr="0009132C">
        <w:t>/MCO</w:t>
      </w:r>
      <w:r w:rsidR="279AA637" w:rsidRPr="0009132C">
        <w:t>-administered program</w:t>
      </w:r>
      <w:r w:rsidRPr="0009132C">
        <w:t xml:space="preserve">. Massachusetts has </w:t>
      </w:r>
      <w:r w:rsidR="3C59309A" w:rsidRPr="0009132C">
        <w:t>procured</w:t>
      </w:r>
      <w:r w:rsidRPr="0009132C">
        <w:t xml:space="preserve"> two types of CPs </w:t>
      </w:r>
      <w:r w:rsidR="40E6537E" w:rsidRPr="0009132C">
        <w:t xml:space="preserve">that </w:t>
      </w:r>
      <w:r w:rsidRPr="0009132C">
        <w:t>partner with ACOs and MCOs:</w:t>
      </w:r>
    </w:p>
    <w:p w14:paraId="1B2A5B8B" w14:textId="6631B7BB" w:rsidR="001B52EF" w:rsidRPr="0009132C" w:rsidRDefault="001B52EF" w:rsidP="005C24BA">
      <w:pPr>
        <w:pStyle w:val="Bullet1"/>
      </w:pPr>
      <w:r w:rsidRPr="0009132C">
        <w:rPr>
          <w:u w:val="single"/>
        </w:rPr>
        <w:t>Behavioral Health Community Partners (BH CPs):</w:t>
      </w:r>
      <w:r w:rsidRPr="0009132C">
        <w:t xml:space="preserve"> These CPs support eligible adult members (18-64 years </w:t>
      </w:r>
      <w:r w:rsidR="002E24C5">
        <w:t>of age</w:t>
      </w:r>
      <w:r w:rsidRPr="0009132C">
        <w:t>) with a diagnosis of or need for services to treat a serious mental illness (SMI), serious emotional disturbance (SED), or substance use disorder (SUD).</w:t>
      </w:r>
    </w:p>
    <w:p w14:paraId="724D186C" w14:textId="688C314B" w:rsidR="001B52EF" w:rsidRPr="0009132C" w:rsidRDefault="001B52EF" w:rsidP="008D6BAD">
      <w:pPr>
        <w:pStyle w:val="Bullet1"/>
      </w:pPr>
      <w:r w:rsidRPr="0009132C">
        <w:rPr>
          <w:u w:val="single"/>
        </w:rPr>
        <w:t>Long-term Services and Supports Community Partners (LTSS CPs)</w:t>
      </w:r>
      <w:r w:rsidRPr="0009132C">
        <w:t xml:space="preserve">: These CPs support eligible pediatric and adult members (3-64 years </w:t>
      </w:r>
      <w:r w:rsidR="006E4416">
        <w:t>of age</w:t>
      </w:r>
      <w:r w:rsidRPr="0009132C">
        <w:t>) with LTSS needs</w:t>
      </w:r>
      <w:r w:rsidR="007B2A92">
        <w:t>,</w:t>
      </w:r>
      <w:r w:rsidRPr="0009132C">
        <w:t xml:space="preserve"> including those with physical disabilities, traumatic brain injuries, development or intellectual disabilities, or other eligible diagnoses. LTSS CPs will have enhanced expectations and an increased scope of responsibilities compared to the 2017-2022 Demonstration. Responsibilities include conducting comprehensive assessments, coordinating the member’s </w:t>
      </w:r>
      <w:r w:rsidR="006E4416">
        <w:t>c</w:t>
      </w:r>
      <w:r w:rsidR="006E4416" w:rsidRPr="0009132C">
        <w:t xml:space="preserve">are </w:t>
      </w:r>
      <w:r w:rsidR="006E4416">
        <w:t>t</w:t>
      </w:r>
      <w:r w:rsidRPr="0009132C">
        <w:t>eam, and serving as the lead responsible entity and care coordination home for their enrolled members.</w:t>
      </w:r>
      <w:r w:rsidRPr="0009132C">
        <w:rPr>
          <w:rStyle w:val="FootnoteReference"/>
        </w:rPr>
        <w:footnoteReference w:id="36"/>
      </w:r>
      <w:r w:rsidRPr="0009132C">
        <w:rPr>
          <w:vertAlign w:val="superscript"/>
        </w:rPr>
        <w:t xml:space="preserve"> </w:t>
      </w:r>
      <w:r w:rsidRPr="0009132C">
        <w:t>LTSS CPs will also have increased programmatic expectations in technology, workforce, and operations. MassHealth may provide up to $20 million in additional payments to LTSS CPs (paid directly through the Commonwealth) to support LTSS CPs</w:t>
      </w:r>
      <w:r w:rsidR="00172E81" w:rsidRPr="0009132C">
        <w:t>’</w:t>
      </w:r>
      <w:r w:rsidRPr="0009132C">
        <w:t xml:space="preserve"> Enhanced Care Coordination responsibilities</w:t>
      </w:r>
      <w:r w:rsidR="004C7844">
        <w:t>,</w:t>
      </w:r>
      <w:r w:rsidRPr="0009132C">
        <w:t xml:space="preserve"> including technology, workforce, </w:t>
      </w:r>
      <w:r w:rsidR="004C7844" w:rsidRPr="0009132C">
        <w:t>ramp</w:t>
      </w:r>
      <w:r w:rsidR="004C7844">
        <w:t>-</w:t>
      </w:r>
      <w:r w:rsidRPr="0009132C">
        <w:t>up, and operations.</w:t>
      </w:r>
      <w:r w:rsidRPr="0009132C">
        <w:rPr>
          <w:rStyle w:val="FootnoteReference"/>
        </w:rPr>
        <w:footnoteReference w:id="37"/>
      </w:r>
    </w:p>
    <w:p w14:paraId="12AEE7D0" w14:textId="06259FD0" w:rsidR="001B52EF" w:rsidRPr="0009132C" w:rsidRDefault="001B52EF" w:rsidP="00F9489A">
      <w:r w:rsidRPr="00564E48">
        <w:t>Enhanced Care Coordination provides a main point of contact and “first line” coordinator for the member</w:t>
      </w:r>
      <w:r w:rsidR="00EB65FA">
        <w:t>. It</w:t>
      </w:r>
      <w:r w:rsidRPr="00564E48">
        <w:t xml:space="preserve"> includes maintaining high-functioning relationships and open communication with members’ PCPs, health systems, community and specialty care team members, schools and early education programs, and other state agencies in order to facilitate care coordination. Additionally, all members enrolled in an Enhanced Care Coordination program must receive a comprehensive assessment and member-centered care plan. As necessitated by the members’ needs, Enhanced Care Coordination also provides intensive supports for transitions of care and HRSN coordination.</w:t>
      </w:r>
      <w:r w:rsidRPr="0009132C">
        <w:t xml:space="preserve"> ACOs will be required to enroll a percentage of members in ACO Care Management program</w:t>
      </w:r>
      <w:r w:rsidR="6348FEE9" w:rsidRPr="0009132C">
        <w:t>s</w:t>
      </w:r>
      <w:r w:rsidRPr="0009132C">
        <w:t xml:space="preserve"> and the CP program. If a member is enrolled in both ACO Care Management and in a CP, the CP serves as the lead care coordination entity.</w:t>
      </w:r>
    </w:p>
    <w:p w14:paraId="5AFFE4B6" w14:textId="28439F8E" w:rsidR="001B52EF" w:rsidRPr="0009132C" w:rsidRDefault="001B52EF" w:rsidP="00F9489A">
      <w:r>
        <w:t xml:space="preserve">Additionally, ACOs shall ensure that their providers refer members who meet medical necessity criteria to certain ACO Covered Services that provide additional care coordination, including Community Support Programs (CSP), Intensive Care </w:t>
      </w:r>
      <w:r>
        <w:lastRenderedPageBreak/>
        <w:t>Coordination (ICC), and MassHealth Coordinating Aligned, Relationship-centered, Enhanced Support (CARES) for Kids, as appropriate.</w:t>
      </w:r>
    </w:p>
    <w:p w14:paraId="25F60544" w14:textId="39EE251C" w:rsidR="001B52EF" w:rsidRPr="0009132C" w:rsidRDefault="001B52EF" w:rsidP="00F9489A">
      <w:r w:rsidRPr="0009132C">
        <w:t xml:space="preserve">CSP services include outreach and support that enables beneficiaries to use clinical treatment services and other supports in relation to HRSN. Specialized CSPs include a program for homeless individuals (CSP-HI), a program for individuals with justice involvement (CSP-JI), and a tenancy preservation program (CSP-TPP). </w:t>
      </w:r>
      <w:r w:rsidR="7C2D9ACA">
        <w:t xml:space="preserve">See </w:t>
      </w:r>
      <w:hyperlink w:anchor="_Health-Related_Social_Needs" w:history="1">
        <w:r w:rsidR="0084070C" w:rsidRPr="0084070C">
          <w:rPr>
            <w:rStyle w:val="Hyperlink"/>
          </w:rPr>
          <w:t>Chapter 8</w:t>
        </w:r>
      </w:hyperlink>
      <w:r w:rsidR="00577DAA">
        <w:t xml:space="preserve"> (</w:t>
      </w:r>
      <w:r w:rsidR="0084070C" w:rsidRPr="00EB553D">
        <w:t>H</w:t>
      </w:r>
      <w:r w:rsidR="0084070C">
        <w:t>ealth Related Social Needs</w:t>
      </w:r>
      <w:r w:rsidR="00577DAA">
        <w:t>)</w:t>
      </w:r>
      <w:r w:rsidRPr="0009132C">
        <w:t xml:space="preserve"> for more information and detail</w:t>
      </w:r>
      <w:r w:rsidR="004C7844">
        <w:t>s</w:t>
      </w:r>
      <w:r w:rsidRPr="0009132C">
        <w:t xml:space="preserve"> regarding </w:t>
      </w:r>
      <w:r w:rsidR="003E712A">
        <w:t>s</w:t>
      </w:r>
      <w:r w:rsidRPr="0009132C">
        <w:t xml:space="preserve">pecialized CSP services. ICC is a Targeted Case Management benefit through the Children’s BH Initiative, </w:t>
      </w:r>
      <w:r w:rsidR="00FC6EF5">
        <w:t xml:space="preserve">which </w:t>
      </w:r>
      <w:r w:rsidRPr="0009132C">
        <w:t xml:space="preserve">provides care planning and coordination services for youth under 21 years of age with SED. MassHealth’s CARES for Kids Program is a Targeted Case Management benefit, which provides care planning and coordination services for </w:t>
      </w:r>
      <w:r w:rsidR="009E0C88" w:rsidRPr="0009132C">
        <w:t xml:space="preserve">the highest risk </w:t>
      </w:r>
      <w:r w:rsidRPr="0009132C">
        <w:t>youth under 21 years of age with medical and social complexity.</w:t>
      </w:r>
    </w:p>
    <w:p w14:paraId="6A34D1CD" w14:textId="6A2B23FA" w:rsidR="001B52EF" w:rsidRPr="0009132C" w:rsidRDefault="001B52EF" w:rsidP="003C6C8F">
      <w:pPr>
        <w:pStyle w:val="Heading5"/>
      </w:pPr>
      <w:r w:rsidRPr="0009132C">
        <w:t>BH Integration</w:t>
      </w:r>
    </w:p>
    <w:p w14:paraId="076185FC" w14:textId="61C2F733" w:rsidR="001B52EF" w:rsidRPr="0009132C" w:rsidRDefault="001B52EF" w:rsidP="00F9489A">
      <w:r w:rsidRPr="0009132C">
        <w:t xml:space="preserve">ACOs will also be responsible for implementing a variety of changes resulting in expanded access and services in BH. Among these will be contracting with newly created Community Behavioral Health Centers (CBHCs), as a part of the </w:t>
      </w:r>
      <w:r w:rsidR="00AF2CD9" w:rsidRPr="0009132C">
        <w:t>Massachusetts Roadmap for Behavioral Health Reform</w:t>
      </w:r>
      <w:r w:rsidR="00AF2CD9">
        <w:t xml:space="preserve"> (BH Roadmap)</w:t>
      </w:r>
      <w:r w:rsidR="00AF2CD9" w:rsidRPr="0009132C">
        <w:t>,</w:t>
      </w:r>
      <w:r w:rsidRPr="0009132C">
        <w:t xml:space="preserve"> to serve as an entry point for timely, flexible, person-centered, high-quality mental health and addiction treatment on an urgent and ongoing basis.</w:t>
      </w:r>
      <w:r w:rsidRPr="0009132C">
        <w:rPr>
          <w:rStyle w:val="FootnoteReference"/>
        </w:rPr>
        <w:footnoteReference w:id="38"/>
      </w:r>
      <w:r w:rsidRPr="0009132C">
        <w:t xml:space="preserve"> BH CPs will be required to facilitate integration with CBHCs, either by having a CBHC in their organizational structure, as an Affiliated Partner or Consortium Entity, or by holding formalized agreements with all CBHCs in their service area(s).</w:t>
      </w:r>
      <w:r w:rsidRPr="0009132C">
        <w:rPr>
          <w:rStyle w:val="FootnoteReference"/>
        </w:rPr>
        <w:footnoteReference w:id="39"/>
      </w:r>
      <w:r w:rsidRPr="0009132C">
        <w:t xml:space="preserve"> This expectation will ensure alignment between members’ care coordination home and BH providers, where appropriate, and support better treatment access for the highest risk members, more clinically robust care planning, and better communication between the BH CP and other providers involved in the member</w:t>
      </w:r>
      <w:r w:rsidR="00C46D1B">
        <w:t>’</w:t>
      </w:r>
      <w:r w:rsidRPr="0009132C">
        <w:t xml:space="preserve">s care (e.g., PCPs, acute hospitals). See </w:t>
      </w:r>
      <w:hyperlink w:anchor="_Behavioral_Health" w:history="1">
        <w:r w:rsidR="00577DAA" w:rsidRPr="00577DAA">
          <w:rPr>
            <w:rStyle w:val="Hyperlink"/>
          </w:rPr>
          <w:t>Chapter 4</w:t>
        </w:r>
      </w:hyperlink>
      <w:r w:rsidR="00577DAA" w:rsidRPr="0048115C">
        <w:t xml:space="preserve"> </w:t>
      </w:r>
      <w:r w:rsidR="00577DAA">
        <w:t>(</w:t>
      </w:r>
      <w:r w:rsidR="00577DAA" w:rsidRPr="0048115C">
        <w:t>B</w:t>
      </w:r>
      <w:r w:rsidR="00577DAA">
        <w:t xml:space="preserve">ehavioral </w:t>
      </w:r>
      <w:r w:rsidR="00577DAA" w:rsidRPr="0048115C">
        <w:t>H</w:t>
      </w:r>
      <w:r w:rsidR="00577DAA">
        <w:t>ealth)</w:t>
      </w:r>
      <w:r w:rsidRPr="0009132C">
        <w:t xml:space="preserve"> for </w:t>
      </w:r>
      <w:r w:rsidR="00125FF7">
        <w:t>additional details</w:t>
      </w:r>
      <w:r w:rsidRPr="0009132C">
        <w:t xml:space="preserve">. </w:t>
      </w:r>
    </w:p>
    <w:p w14:paraId="435DC639" w14:textId="73B2A7BB" w:rsidR="001B52EF" w:rsidRPr="00922461" w:rsidRDefault="001B52EF" w:rsidP="00922461">
      <w:pPr>
        <w:pStyle w:val="Heading5"/>
      </w:pPr>
      <w:r w:rsidRPr="00922461">
        <w:t xml:space="preserve">Implementation of </w:t>
      </w:r>
      <w:r w:rsidR="00020632" w:rsidRPr="00922461">
        <w:t>H</w:t>
      </w:r>
      <w:r w:rsidRPr="00922461">
        <w:t xml:space="preserve">ealth </w:t>
      </w:r>
      <w:r w:rsidR="00020632" w:rsidRPr="00922461">
        <w:t>E</w:t>
      </w:r>
      <w:r w:rsidRPr="00922461">
        <w:t xml:space="preserve">quity-focused </w:t>
      </w:r>
      <w:r w:rsidR="00020632" w:rsidRPr="00922461">
        <w:t>P</w:t>
      </w:r>
      <w:r w:rsidRPr="00922461">
        <w:t>olicies</w:t>
      </w:r>
      <w:r w:rsidR="00922461" w:rsidRPr="008D6BAD">
        <w:rPr>
          <w:rStyle w:val="FootnoteReference"/>
        </w:rPr>
        <w:footnoteReference w:id="40"/>
      </w:r>
      <w:r w:rsidR="00922461" w:rsidRPr="008D6BAD">
        <w:rPr>
          <w:rStyle w:val="FootnoteReference"/>
        </w:rPr>
        <w:t>,</w:t>
      </w:r>
      <w:r w:rsidR="00922461" w:rsidRPr="008D6BAD">
        <w:rPr>
          <w:rStyle w:val="FootnoteReference"/>
        </w:rPr>
        <w:footnoteReference w:id="41"/>
      </w:r>
      <w:r w:rsidR="00922461" w:rsidRPr="008D6BAD">
        <w:rPr>
          <w:rStyle w:val="FootnoteReference"/>
        </w:rPr>
        <w:t xml:space="preserve"> </w:t>
      </w:r>
    </w:p>
    <w:p w14:paraId="7F8A62F4" w14:textId="76A98E8A" w:rsidR="001B52EF" w:rsidRPr="0009132C" w:rsidRDefault="001B52EF" w:rsidP="00F9489A">
      <w:r w:rsidRPr="0009132C">
        <w:t xml:space="preserve">MassHealth has several new and enhanced expectations of ACOs </w:t>
      </w:r>
      <w:r w:rsidR="38EF2B67" w:rsidRPr="0009132C">
        <w:t xml:space="preserve">relating to </w:t>
      </w:r>
      <w:r w:rsidRPr="0009132C">
        <w:t xml:space="preserve">health equity. ACOs must maintain a Health Equity Committee with diverse representation that has responsibilities including developing and steering </w:t>
      </w:r>
      <w:r w:rsidR="00CF775A">
        <w:t xml:space="preserve">the </w:t>
      </w:r>
      <w:r w:rsidRPr="0009132C">
        <w:t xml:space="preserve">implementation of the ACO’s health equity strategy. Information from a population and community needs assessment and input from the Health Equity Committee and ACO stakeholders must be used to develop a Health Equity Strategic Plan. As part of this plan, ACOs must describe </w:t>
      </w:r>
      <w:r w:rsidR="6640B86D" w:rsidRPr="0009132C">
        <w:t xml:space="preserve">any </w:t>
      </w:r>
      <w:r w:rsidRPr="0009132C">
        <w:t>plans for partnering with affiliated hospitals to further shared health equity goals as part of the Hospital Quality and Equity Initiative (HQEI</w:t>
      </w:r>
      <w:r w:rsidR="1D1F748C" w:rsidRPr="0009132C">
        <w:t>)</w:t>
      </w:r>
      <w:r w:rsidR="005E615D">
        <w:t>; s</w:t>
      </w:r>
      <w:r w:rsidRPr="0009132C">
        <w:t xml:space="preserve">ee </w:t>
      </w:r>
      <w:hyperlink w:anchor="_Hospital_Quality_and" w:history="1">
        <w:r w:rsidR="009746E1" w:rsidRPr="009746E1">
          <w:rPr>
            <w:rStyle w:val="Hyperlink"/>
          </w:rPr>
          <w:t>Chapter 7</w:t>
        </w:r>
      </w:hyperlink>
      <w:r w:rsidR="009746E1" w:rsidRPr="00102C75">
        <w:t xml:space="preserve"> </w:t>
      </w:r>
      <w:r w:rsidRPr="0009132C">
        <w:t>for additional detail</w:t>
      </w:r>
      <w:r w:rsidR="00060235" w:rsidRPr="0009132C">
        <w:t>s</w:t>
      </w:r>
      <w:r w:rsidRPr="0009132C">
        <w:t xml:space="preserve">. </w:t>
      </w:r>
      <w:r w:rsidRPr="0009132C">
        <w:lastRenderedPageBreak/>
        <w:t>As part of their contracts, ACOs will also be required to ensure meaningful and appropriate training to advance health equity is periodically received by all staff and providers. ACOs must obtain accreditation from the National Committee on Quality Assurance (NCQA)</w:t>
      </w:r>
      <w:r w:rsidR="00C46D1B">
        <w:t>’</w:t>
      </w:r>
      <w:r w:rsidR="017AAA3D" w:rsidRPr="0009132C">
        <w:t xml:space="preserve">s </w:t>
      </w:r>
      <w:r w:rsidRPr="0009132C">
        <w:t>Health Equity Accreditation program.</w:t>
      </w:r>
    </w:p>
    <w:p w14:paraId="7B031A35" w14:textId="675F4515" w:rsidR="001B52EF" w:rsidRPr="0009132C" w:rsidRDefault="001B52EF" w:rsidP="00F9489A">
      <w:r w:rsidRPr="0009132C">
        <w:t xml:space="preserve">In addition to a quality incentive arrangement, ACOs will participate in the Health Equity Incentive Arrangement. For the purposes of the Health Equity Incentive </w:t>
      </w:r>
      <w:r w:rsidR="51984A6C" w:rsidRPr="0009132C">
        <w:t>a</w:t>
      </w:r>
      <w:r w:rsidRPr="0009132C">
        <w:t>rrangement, ACO performance will be assessed on three domains:</w:t>
      </w:r>
    </w:p>
    <w:p w14:paraId="41114EED" w14:textId="77777777" w:rsidR="001B52EF" w:rsidRPr="0009132C" w:rsidRDefault="001B52EF" w:rsidP="00020632">
      <w:pPr>
        <w:pStyle w:val="ListNumber"/>
        <w:numPr>
          <w:ilvl w:val="0"/>
          <w:numId w:val="76"/>
        </w:numPr>
      </w:pPr>
      <w:r w:rsidRPr="00922461">
        <w:rPr>
          <w:u w:val="single"/>
        </w:rPr>
        <w:t>Social Risk Factor Data Domain:</w:t>
      </w:r>
      <w:r w:rsidRPr="00020632">
        <w:t xml:space="preserve"> </w:t>
      </w:r>
      <w:r w:rsidRPr="0009132C">
        <w:t xml:space="preserve">Achievement of complete, self-reported, member-level social risk factor data </w:t>
      </w:r>
    </w:p>
    <w:p w14:paraId="500DB4AF" w14:textId="037148A6" w:rsidR="001B52EF" w:rsidRPr="0009132C" w:rsidRDefault="001B52EF" w:rsidP="003417FC">
      <w:pPr>
        <w:pStyle w:val="ListNumber"/>
      </w:pPr>
      <w:r w:rsidRPr="00922461">
        <w:rPr>
          <w:u w:val="single"/>
        </w:rPr>
        <w:t>Reporting Domain:</w:t>
      </w:r>
      <w:r w:rsidRPr="0009132C">
        <w:t xml:space="preserve"> Reporting on readiness for health equity disparities reduction</w:t>
      </w:r>
      <w:r w:rsidR="00DA7625">
        <w:t>,</w:t>
      </w:r>
      <w:r w:rsidRPr="0009132C">
        <w:t xml:space="preserve"> including by reporting performance on certain ACO quality measures stratified by social risk factors </w:t>
      </w:r>
    </w:p>
    <w:p w14:paraId="0D3F2739" w14:textId="7C070F7E" w:rsidR="001B52EF" w:rsidRPr="0009132C" w:rsidRDefault="001B52EF" w:rsidP="00C66B80">
      <w:pPr>
        <w:pStyle w:val="ListNumber"/>
        <w:spacing w:after="240"/>
      </w:pPr>
      <w:r w:rsidRPr="00922461">
        <w:rPr>
          <w:u w:val="single"/>
        </w:rPr>
        <w:t>Disparities Reduction Domain:</w:t>
      </w:r>
      <w:r w:rsidRPr="00020632">
        <w:t xml:space="preserve"> </w:t>
      </w:r>
      <w:r w:rsidRPr="0009132C">
        <w:t>Reduction of identified disparities in performance on ACO quality metrics between subgroups stratified by social risk factors</w:t>
      </w:r>
    </w:p>
    <w:p w14:paraId="4AD06151" w14:textId="6C6F8442" w:rsidR="001B52EF" w:rsidRPr="001D6890" w:rsidRDefault="001B52EF" w:rsidP="003C6C8F">
      <w:pPr>
        <w:pStyle w:val="Heading5"/>
      </w:pPr>
      <w:r w:rsidRPr="0009132C" w:rsidDel="00185E69">
        <w:t>Safety Net Support Linked to Accountable Care</w:t>
      </w:r>
      <w:r w:rsidRPr="00675951" w:rsidDel="00185E69">
        <w:rPr>
          <w:rStyle w:val="FootnoteReference"/>
        </w:rPr>
        <w:footnoteReference w:id="42"/>
      </w:r>
    </w:p>
    <w:p w14:paraId="37322F53" w14:textId="69AC918A" w:rsidR="001B52EF" w:rsidRPr="0009132C" w:rsidDel="00185E69" w:rsidRDefault="001B52EF" w:rsidP="00F9489A">
      <w:r w:rsidRPr="0009132C" w:rsidDel="00185E69">
        <w:t xml:space="preserve">A key goal of the overall Demonstration includes supporting the Safety Net by funding safety net providers in continuous ways while </w:t>
      </w:r>
      <w:r w:rsidR="1F7C35E3" w:rsidRPr="0009132C">
        <w:t xml:space="preserve">creating and </w:t>
      </w:r>
      <w:r w:rsidR="744EAC77" w:rsidRPr="0009132C">
        <w:t>strengthening</w:t>
      </w:r>
      <w:r w:rsidRPr="0009132C" w:rsidDel="00185E69">
        <w:t xml:space="preserve"> association</w:t>
      </w:r>
      <w:r w:rsidR="45D9FC92" w:rsidRPr="0009132C">
        <w:t>s</w:t>
      </w:r>
      <w:r w:rsidRPr="0009132C" w:rsidDel="00185E69">
        <w:t xml:space="preserve"> with accountable care</w:t>
      </w:r>
      <w:r w:rsidR="00922461">
        <w:t>.</w:t>
      </w:r>
      <w:r w:rsidRPr="0009132C">
        <w:t xml:space="preserve"> </w:t>
      </w:r>
      <w:r w:rsidR="74660E6C" w:rsidRPr="0009132C">
        <w:t>As such,</w:t>
      </w:r>
      <w:r w:rsidRPr="0009132C" w:rsidDel="00185E69">
        <w:t xml:space="preserve"> the Demonstration </w:t>
      </w:r>
      <w:r w:rsidR="04A9FA02" w:rsidRPr="0009132C">
        <w:t>aligns funding by conditioning certain safety net payments on participating in an ACO</w:t>
      </w:r>
      <w:r w:rsidR="50470CD1" w:rsidRPr="0009132C">
        <w:t>.</w:t>
      </w:r>
      <w:r w:rsidRPr="0009132C" w:rsidDel="00185E69">
        <w:t xml:space="preserve"> </w:t>
      </w:r>
      <w:r w:rsidR="00837178" w:rsidRPr="0009132C">
        <w:t xml:space="preserve">See </w:t>
      </w:r>
      <w:hyperlink w:anchor="_Safety_Net_Care" w:history="1">
        <w:r w:rsidR="003564B6">
          <w:rPr>
            <w:rStyle w:val="Hyperlink"/>
          </w:rPr>
          <w:t>Chapter 5</w:t>
        </w:r>
      </w:hyperlink>
      <w:r w:rsidRPr="0009132C" w:rsidDel="00185E69">
        <w:t xml:space="preserve"> </w:t>
      </w:r>
      <w:r w:rsidR="00EC3798">
        <w:t xml:space="preserve">(Safety Net Care Pool) </w:t>
      </w:r>
      <w:r w:rsidRPr="0009132C" w:rsidDel="00185E69">
        <w:t xml:space="preserve">for </w:t>
      </w:r>
      <w:r w:rsidR="00837178" w:rsidRPr="0009132C">
        <w:t>additional</w:t>
      </w:r>
      <w:r w:rsidRPr="0009132C" w:rsidDel="00185E69">
        <w:t xml:space="preserve"> details.</w:t>
      </w:r>
    </w:p>
    <w:p w14:paraId="1B4E6742" w14:textId="4AE236D2" w:rsidR="001B52EF" w:rsidRPr="0009132C" w:rsidRDefault="001B52EF" w:rsidP="003C6C8F">
      <w:pPr>
        <w:pStyle w:val="Heading5"/>
      </w:pPr>
      <w:r w:rsidRPr="0009132C">
        <w:t>Workforce Initiatives (WI)</w:t>
      </w:r>
      <w:r w:rsidRPr="00675951">
        <w:rPr>
          <w:rStyle w:val="FootnoteReference"/>
        </w:rPr>
        <w:footnoteReference w:id="43"/>
      </w:r>
    </w:p>
    <w:p w14:paraId="7B3CD9E6" w14:textId="066D66D7" w:rsidR="007711B5" w:rsidRPr="0009132C" w:rsidRDefault="001B52EF" w:rsidP="00F9489A">
      <w:r w:rsidRPr="0009132C">
        <w:t xml:space="preserve">WI aim to support workforce recruitment and retention and </w:t>
      </w:r>
      <w:r w:rsidR="7D249D15" w:rsidRPr="0009132C">
        <w:t>to</w:t>
      </w:r>
      <w:r w:rsidRPr="0009132C">
        <w:t xml:space="preserve"> promote the increased availability of certain healthcare practitioners to serve Medicaid beneficiaries. These initiatives aim to address shortages in qualified providers serving MassHealth members. </w:t>
      </w:r>
      <w:r w:rsidR="00837178" w:rsidRPr="0009132C">
        <w:t>See</w:t>
      </w:r>
      <w:r w:rsidR="003A332D" w:rsidRPr="0009132C">
        <w:t xml:space="preserve"> </w:t>
      </w:r>
      <w:hyperlink w:anchor="_Workforce_Initiatives" w:history="1">
        <w:r w:rsidR="00EC3798">
          <w:rPr>
            <w:rStyle w:val="Hyperlink"/>
          </w:rPr>
          <w:t>Chapter 6</w:t>
        </w:r>
      </w:hyperlink>
      <w:r w:rsidR="003A332D" w:rsidRPr="0009132C">
        <w:t xml:space="preserve"> </w:t>
      </w:r>
      <w:r w:rsidR="00EC3798">
        <w:t xml:space="preserve">(Workforce Initiatives) </w:t>
      </w:r>
      <w:r w:rsidR="003A332D" w:rsidRPr="0009132C">
        <w:t xml:space="preserve">for </w:t>
      </w:r>
      <w:r w:rsidR="00837178" w:rsidRPr="0009132C">
        <w:t>additional</w:t>
      </w:r>
      <w:r w:rsidR="003A332D" w:rsidRPr="0009132C">
        <w:t xml:space="preserve"> details. </w:t>
      </w:r>
      <w:r w:rsidRPr="0009132C">
        <w:t xml:space="preserve">Three programs under the 2022-2027 Demonstration </w:t>
      </w:r>
      <w:r w:rsidR="00276CA0" w:rsidRPr="0009132C">
        <w:t xml:space="preserve">are similar to </w:t>
      </w:r>
      <w:r w:rsidR="002708DC" w:rsidRPr="0009132C">
        <w:t xml:space="preserve">some of </w:t>
      </w:r>
      <w:r w:rsidRPr="0009132C">
        <w:t xml:space="preserve">the Statewide Investment (SWI) programs under the 2017-2022 Demonstration with either similar or higher levels of financial incentives. </w:t>
      </w:r>
      <w:r w:rsidR="00591750" w:rsidRPr="0009132C">
        <w:t xml:space="preserve">In </w:t>
      </w:r>
      <w:r w:rsidR="002F71D7" w:rsidRPr="0009132C">
        <w:t xml:space="preserve">data collected for </w:t>
      </w:r>
      <w:r w:rsidR="00591750" w:rsidRPr="0009132C">
        <w:t xml:space="preserve">our Interim Evaluation of the 2017-2022 Demonstration, these initiatives were described by ACOs and CPs as </w:t>
      </w:r>
      <w:r w:rsidR="003A332D" w:rsidRPr="0009132C">
        <w:t>beneficial for recruiting and retaining staff</w:t>
      </w:r>
      <w:r w:rsidR="00DE3E34" w:rsidRPr="0009132C">
        <w:t xml:space="preserve"> as they increased capacity for implementing delivery system reform activities</w:t>
      </w:r>
      <w:r w:rsidR="003A332D" w:rsidRPr="0009132C">
        <w:t xml:space="preserve">. </w:t>
      </w:r>
      <w:r w:rsidR="002F71D7" w:rsidRPr="0009132C">
        <w:t xml:space="preserve">We </w:t>
      </w:r>
      <w:r w:rsidR="00DE3E34" w:rsidRPr="0009132C">
        <w:t>hypothesize that these initiatives will again be</w:t>
      </w:r>
      <w:r w:rsidR="0090440C" w:rsidRPr="0009132C">
        <w:t xml:space="preserve"> especially</w:t>
      </w:r>
      <w:r w:rsidR="00DE3E34" w:rsidRPr="0009132C">
        <w:t xml:space="preserve"> useful for ACOs </w:t>
      </w:r>
      <w:r w:rsidR="002B1B5D" w:rsidRPr="0009132C">
        <w:t xml:space="preserve">and CPs </w:t>
      </w:r>
      <w:r w:rsidR="0090440C" w:rsidRPr="0009132C">
        <w:t>seeking to retain and increase capacity</w:t>
      </w:r>
      <w:r w:rsidR="002B1B5D" w:rsidRPr="0009132C">
        <w:t xml:space="preserve"> to meet enhanced expectations for the 2022-2027 Demonstration</w:t>
      </w:r>
      <w:r w:rsidR="0090440C" w:rsidRPr="0009132C">
        <w:t>.</w:t>
      </w:r>
    </w:p>
    <w:p w14:paraId="7C33C152" w14:textId="2ABBCF83" w:rsidR="001B52EF" w:rsidRPr="0009132C" w:rsidRDefault="001B52EF" w:rsidP="00EE4105">
      <w:pPr>
        <w:pStyle w:val="Heading3"/>
      </w:pPr>
      <w:r w:rsidRPr="0009132C">
        <w:t xml:space="preserve">DSR Policy Domain Implementation </w:t>
      </w:r>
      <w:r w:rsidR="00C66B80">
        <w:t>P</w:t>
      </w:r>
      <w:r w:rsidRPr="0009132C">
        <w:t xml:space="preserve">lans and </w:t>
      </w:r>
      <w:r w:rsidR="00C66B80">
        <w:t>T</w:t>
      </w:r>
      <w:r w:rsidRPr="0009132C">
        <w:t>imeline</w:t>
      </w:r>
    </w:p>
    <w:p w14:paraId="0F6C162A" w14:textId="364BABEA" w:rsidR="001B52EF" w:rsidRDefault="001B52EF" w:rsidP="001B52EF">
      <w:r w:rsidRPr="0009132C">
        <w:t>These aspects of the ACO program are specified in contracts with EOHHS</w:t>
      </w:r>
      <w:r w:rsidR="00672D73" w:rsidRPr="0009132C">
        <w:t>.</w:t>
      </w:r>
      <w:r w:rsidRPr="0009132C">
        <w:t xml:space="preserve"> The contract term is the duration of time for which the contract is in effect, starting with the contract</w:t>
      </w:r>
      <w:r w:rsidR="00312ADE">
        <w:t>'s</w:t>
      </w:r>
      <w:r w:rsidRPr="0009132C">
        <w:t xml:space="preserve"> effective date and lasting until December 31, 2027, or as otherwise specified </w:t>
      </w:r>
      <w:r w:rsidRPr="0009132C">
        <w:lastRenderedPageBreak/>
        <w:t xml:space="preserve">by EOHHS. Cost and quality accountability is reconciled to contract (i.e., performance) years. Program Year 1 is anticipated to be a </w:t>
      </w:r>
      <w:r w:rsidR="0FDD653C" w:rsidRPr="0009132C">
        <w:t>nine</w:t>
      </w:r>
      <w:r w:rsidRPr="0009132C">
        <w:t>-month period commencing April 1, 2023, and ending December 31, 2023, unless otherwise specified by EOHHS. Other Program Years will span a 12-month period commencing January 1 and ending December 31 unless otherwise specified by EOHHS.</w:t>
      </w:r>
    </w:p>
    <w:p w14:paraId="6121B471" w14:textId="2B74A9E6" w:rsidR="00E95646" w:rsidRPr="00E95646" w:rsidRDefault="00A97213" w:rsidP="008B0A63">
      <w:pPr>
        <w:pStyle w:val="Heading2"/>
      </w:pPr>
      <w:r>
        <w:t xml:space="preserve"> </w:t>
      </w:r>
      <w:bookmarkStart w:id="82" w:name="_Toc151976419"/>
      <w:r w:rsidR="00E95646" w:rsidRPr="00E95646">
        <w:t>Logic Model</w:t>
      </w:r>
      <w:bookmarkEnd w:id="82"/>
    </w:p>
    <w:p w14:paraId="6514356E" w14:textId="78F30E9A" w:rsidR="00E95646" w:rsidRPr="00E95646" w:rsidRDefault="00E95646" w:rsidP="00E95646">
      <w:r w:rsidRPr="00E95646">
        <w:t>The DSR logic model</w:t>
      </w:r>
      <w:r w:rsidR="00D2727E">
        <w:t xml:space="preserve"> in </w:t>
      </w:r>
      <w:r w:rsidR="00D2727E" w:rsidRPr="00C6243F">
        <w:rPr>
          <w:color w:val="000F9F"/>
          <w:u w:val="single"/>
        </w:rPr>
        <w:fldChar w:fldCharType="begin"/>
      </w:r>
      <w:r w:rsidR="00D2727E" w:rsidRPr="00C6243F">
        <w:rPr>
          <w:color w:val="000F9F"/>
          <w:u w:val="single"/>
        </w:rPr>
        <w:instrText xml:space="preserve"> REF _Ref151464535 \h </w:instrText>
      </w:r>
      <w:r w:rsidR="00D2727E" w:rsidRPr="00C6243F">
        <w:rPr>
          <w:color w:val="000F9F"/>
          <w:u w:val="single"/>
        </w:rPr>
      </w:r>
      <w:r w:rsidR="00D2727E" w:rsidRPr="00C6243F">
        <w:rPr>
          <w:color w:val="000F9F"/>
          <w:u w:val="single"/>
        </w:rPr>
        <w:fldChar w:fldCharType="separate"/>
      </w:r>
      <w:r w:rsidR="00D2727E" w:rsidRPr="00C6243F">
        <w:rPr>
          <w:color w:val="000F9F"/>
          <w:u w:val="single"/>
        </w:rPr>
        <w:t>Figure 3</w:t>
      </w:r>
      <w:r w:rsidR="00D2727E" w:rsidRPr="00C6243F">
        <w:rPr>
          <w:color w:val="000F9F"/>
          <w:u w:val="single"/>
        </w:rPr>
        <w:noBreakHyphen/>
        <w:t>1</w:t>
      </w:r>
      <w:r w:rsidR="00D2727E" w:rsidRPr="00C6243F">
        <w:rPr>
          <w:color w:val="000F9F"/>
          <w:u w:val="single"/>
        </w:rPr>
        <w:fldChar w:fldCharType="end"/>
      </w:r>
      <w:r w:rsidR="00D2727E">
        <w:t xml:space="preserve"> l</w:t>
      </w:r>
      <w:r w:rsidRPr="00E95646">
        <w:t>inks the Demonstration Goals to the Demonstration Inputs, Implementation Activities, Outputs, and Outcomes and Impact of the Demonstration. Th</w:t>
      </w:r>
      <w:r w:rsidR="00F515D8">
        <w:t>is logic guides the RQs and hypotheses that follow</w:t>
      </w:r>
      <w:r w:rsidRPr="00E95646">
        <w:t>.</w:t>
      </w:r>
    </w:p>
    <w:p w14:paraId="1605A2DE" w14:textId="77777777" w:rsidR="00E95646" w:rsidRDefault="00E95646" w:rsidP="001B52EF"/>
    <w:p w14:paraId="6D8BADB1" w14:textId="3D238081" w:rsidR="00E95646" w:rsidRPr="0009132C" w:rsidRDefault="00E95646" w:rsidP="001B52EF">
      <w:pPr>
        <w:sectPr w:rsidR="00E95646" w:rsidRPr="0009132C" w:rsidSect="00744E1B">
          <w:headerReference w:type="first" r:id="rId21"/>
          <w:pgSz w:w="12240" w:h="15840"/>
          <w:pgMar w:top="1440" w:right="1440" w:bottom="1440" w:left="1440" w:header="720" w:footer="720" w:gutter="0"/>
          <w:cols w:space="720"/>
          <w:docGrid w:linePitch="360"/>
        </w:sectPr>
      </w:pPr>
    </w:p>
    <w:p w14:paraId="7ADBF86C" w14:textId="5AED12DA" w:rsidR="00020632" w:rsidRDefault="01F602AE" w:rsidP="00D902D2">
      <w:pPr>
        <w:pStyle w:val="FigureorTableTitle"/>
      </w:pPr>
      <w:bookmarkStart w:id="83" w:name="_Ref151464535"/>
      <w:bookmarkStart w:id="84" w:name="_Toc151976468"/>
      <w:r w:rsidRPr="001F55D1">
        <w:lastRenderedPageBreak/>
        <w:t xml:space="preserve">Figure </w:t>
      </w:r>
      <w:r w:rsidR="003E5205" w:rsidRPr="00E7584C">
        <w:fldChar w:fldCharType="begin"/>
      </w:r>
      <w:r w:rsidR="003E5205" w:rsidRPr="001F55D1">
        <w:instrText xml:space="preserve"> STYLEREF 1 \s </w:instrText>
      </w:r>
      <w:r w:rsidR="003E5205" w:rsidRPr="00E7584C">
        <w:fldChar w:fldCharType="separate"/>
      </w:r>
      <w:r w:rsidR="00EB7B05" w:rsidRPr="00E7584C">
        <w:t>3</w:t>
      </w:r>
      <w:r w:rsidR="003E5205" w:rsidRPr="00E7584C">
        <w:fldChar w:fldCharType="end"/>
      </w:r>
      <w:r w:rsidR="00743B23" w:rsidRPr="001F55D1">
        <w:noBreakHyphen/>
      </w:r>
      <w:r w:rsidR="003E5205" w:rsidRPr="00E7584C">
        <w:fldChar w:fldCharType="begin"/>
      </w:r>
      <w:r w:rsidR="003E5205" w:rsidRPr="001F55D1">
        <w:instrText xml:space="preserve"> SEQ Figure \* ARABIC \s 1 </w:instrText>
      </w:r>
      <w:r w:rsidR="003E5205" w:rsidRPr="00E7584C">
        <w:fldChar w:fldCharType="separate"/>
      </w:r>
      <w:r w:rsidR="00EB7B05" w:rsidRPr="00E7584C">
        <w:t>1</w:t>
      </w:r>
      <w:r w:rsidR="003E5205" w:rsidRPr="00E7584C">
        <w:fldChar w:fldCharType="end"/>
      </w:r>
      <w:bookmarkEnd w:id="83"/>
      <w:r w:rsidRPr="001F55D1">
        <w:t xml:space="preserve">: Logic Model for the DSR Component of the </w:t>
      </w:r>
      <w:r w:rsidR="3B957F14" w:rsidRPr="001F55D1">
        <w:t>Demonstration</w:t>
      </w:r>
      <w:bookmarkEnd w:id="84"/>
    </w:p>
    <w:p w14:paraId="4F093CBC" w14:textId="66422861" w:rsidR="001B52EF" w:rsidRPr="0009132C" w:rsidRDefault="00B12E3C" w:rsidP="003F3AD9">
      <w:pPr>
        <w:pStyle w:val="FigureorTableTitle"/>
        <w:sectPr w:rsidR="001B52EF" w:rsidRPr="0009132C" w:rsidSect="00744E1B">
          <w:pgSz w:w="15840" w:h="12240" w:orient="landscape"/>
          <w:pgMar w:top="1152" w:right="1152" w:bottom="1152" w:left="1152" w:header="720" w:footer="720" w:gutter="0"/>
          <w:cols w:space="720"/>
          <w:docGrid w:linePitch="360"/>
        </w:sectPr>
      </w:pPr>
      <w:r w:rsidRPr="00B12E3C">
        <w:rPr>
          <w:noProof/>
        </w:rPr>
        <w:drawing>
          <wp:inline distT="0" distB="0" distL="0" distR="0" wp14:anchorId="11570D98" wp14:editId="50900BE3">
            <wp:extent cx="8158349" cy="5868308"/>
            <wp:effectExtent l="0" t="0" r="0" b="0"/>
            <wp:docPr id="662445602" name="Picture 662445602" descr="At the top of this model diagram is the following text: Goals: (1) implement payment and delivery system reforms that promote member-driven, integrated, coordinated care and hold providers accountable for the quality and total cost of care; (2) improve integration among physical health, behavioral health, long-term services and supports and health-related social services; and (3) sustainably support safety net providers to ensure continued access to care for Medicaid and low-income, uninsured individuals. &#10;&#10;Underneath the GOALS is a long horizontal gray box with the title, Contextual Factors. Under this title is the following text: Healthcare market characteristics (e.g., Medicare and commercial payer market share and reform initiatives), external shocks (e.g., infectious disease outbreaks), other federal, state, and local programs, area-level resources (e.g., community-based organizations, affordable housing), secular trends and economic environment (e.g., housing and food inflation, low unemployment). &#10;&#10;At the bottom edge of the gray box are four arrows pointing down and center-aligned to four tall boxes arranged horizontally from left to right. &#10;&#10;In the empty space between each box is an arrow pointing to the right suggesting that each box leads into the next from left to right. &#10;&#10;The first box is light blue and titled: Demonstration Initiatives. Beneath this title are six items and their related bullets.&#10;&#10;Item 1 is: ACO Program with New and Enhanced Components (Revised). Under this are the following bullets: • Primary care payment and delivery reform; • Approach to baseline and enhanced care coordination and population health management; • ACO and hospital health equity-focused policies.  &#10;&#10;Item 2 is: Refined CP Program (Revised). Under this are the following bullets: • Direct ACO-CP contracting; • Enhanced programmatic expectations of LTSS CPs; • New CBHC relationship requirements for BH CPs.&#10;&#10;Item 3 is: Safety Net Support Linked to Accountable Care* (Revised). The asterisk refers to the following note: Safety net support linked to accountable care represented in SNCP Model. &#10;&#10;Item 4 is: Workforce Development Initiatives** (Revised). The double asterisk refers to the following note: Workforce development initiatives represented on Workforce Model.&#10;   &#10;Item 5 is: State Operations and Implementation Funding (Continuing).&#10;&#10;Item 6 is: Internal ACO And CP Program Planning and Investments (Continuing).  &#10;&#10;The second box is medium blue and titled, Implementation Activities. Beneath this title are eight items and their related bullets.&#10;&#10;Item 1 is: Interventions/Programs Delivery System Changes at the Intra and Inter-Organizational Levels. &#10;&#10;Item 2 is: Partnership Formation and Enhancement. Under this is the following bullet: • Formation of new and enriching existing inter- and intra-organizational, member, and community collaborations. &#10;&#10;Item 3 is: Workforce Capacity **. The double asterisk refers to the following note:  Workforce development initiatives represented on Workforce Model.&#10;&#10;Item 4 is: Workflow Coordination. Under this are the following bullets: • Clear roles and responsibilities; • Specification of team and member involvement; • Designated communication processes and opportunities. &#10;&#10;Item 5 is: Health Equity Efforts. Under this is the following bullet: • Integration of health equity efforts in all policies, programs, and processes.&#10;&#10;Item 6 is: Health Information Technology and Infrastructure and Processes. Under this are the following bullets: • Interorganizational system connections to facilitate information exchange and interoperability; • Multi-modality care delivery; • Protocols and procedures for population health management and systematic health-related social needs data collection and standardization. &#10;&#10;Item 7 is: Data-Driven Quality Improvement. Under this are the following bullets: • Compilation and organization of data into useful reports for quality assessment; • Implementation of data-driven quality improvement initiatives.&#10;&#10;Item 8 is: Program Management and Leadership. Under this are the following bullets: • Committed leadership and managers; • Opportunities for sharing, reflection, and learning across and within organizations; • Feedback leading to responsive adaptations, modifications, improvements.   &#10;&#10;The third box is blue and titled, Outputs. Beneath this title are two items and their related bullets.&#10;&#10;Item 1 is: Improved Care Processes at the Intra and Inter-Organizational Levels.&#10;&#10;Item 2: Maintain Improvements in Care Achieved During DSR Implementation while Achieving New and Continued Improvement in Targeted Areas***. The triple asterisk refers to the following note: Hypotheses will specify areas where maintenance versus improvement is expected. Under this are the following bullets: • Outreach and engagement; • Identification of clinical and health-related social needs; • Care planning and coordination; • Access to care; • Care integration; • Health equity in care processes; • Safety net provider capacity; • Cost management.&#10;&#10;The fourth box is green and titled, Outcome and Impacts. Beneath this title are four items and their related bullets.&#10;&#10;Item 1 is: Improved Member Outcomes. Under this are the following bullets: • Improved clinical outcomes; • Improved member experience and member-reported outcomes; • Reduction in potentially avoidable acute and emergency care utilization.&#10;&#10;Item 2 is: More Equitable Member Outcomes.&#10;  &#10;Item 3 is: Moderated Cost Trends.&#10; &#10;Item 4 is: Program Sustainability. &#10;&#10;Beneath these four boxes is a horizontal line with four arrow lines branching off of it, pointing upward, and almost touching the bottom of the four boxes above it. On the horizontal line is the following text: Inform policy improvement. This indicates that the contents in the boxes the arrows are pointing to will inform policy improvement.&#10;">
              <a:extLst xmlns:a="http://schemas.openxmlformats.org/drawingml/2006/main">
                <a:ext uri="{FF2B5EF4-FFF2-40B4-BE49-F238E27FC236}">
                  <a16:creationId xmlns:a16="http://schemas.microsoft.com/office/drawing/2014/main" id="{6395F327-8BC2-B00C-1A52-C612CF67BB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445602" name="Picture 662445602" descr="At the top of this model diagram is the following text: Goals: (1) implement payment and delivery system reforms that promote member-driven, integrated, coordinated care and hold providers accountable for the quality and total cost of care; (2) improve integration among physical health, behavioral health, long-term services and supports and health-related social services; and (3) sustainably support safety net providers to ensure continued access to care for Medicaid and low-income, uninsured individuals. &#10;&#10;Underneath the GOALS is a long horizontal gray box with the title, Contextual Factors. Under this title is the following text: Healthcare market characteristics (e.g., Medicare and commercial payer market share and reform initiatives), external shocks (e.g., infectious disease outbreaks), other federal, state, and local programs, area-level resources (e.g., community-based organizations, affordable housing), secular trends and economic environment (e.g., housing and food inflation, low unemployment). &#10;&#10;At the bottom edge of the gray box are four arrows pointing down and center-aligned to four tall boxes arranged horizontally from left to right. &#10;&#10;In the empty space between each box is an arrow pointing to the right suggesting that each box leads into the next from left to right. &#10;&#10;The first box is light blue and titled: Demonstration Initiatives. Beneath this title are six items and their related bullets.&#10;&#10;Item 1 is: ACO Program with New and Enhanced Components (Revised). Under this are the following bullets: • Primary care payment and delivery reform; • Approach to baseline and enhanced care coordination and population health management; • ACO and hospital health equity-focused policies.  &#10;&#10;Item 2 is: Refined CP Program (Revised). Under this are the following bullets: • Direct ACO-CP contracting; • Enhanced programmatic expectations of LTSS CPs; • New CBHC relationship requirements for BH CPs.&#10;&#10;Item 3 is: Safety Net Support Linked to Accountable Care* (Revised). The asterisk refers to the following note: Safety net support linked to accountable care represented in SNCP Model. &#10;&#10;Item 4 is: Workforce Development Initiatives** (Revised). The double asterisk refers to the following note: Workforce development initiatives represented on Workforce Model.&#10;   &#10;Item 5 is: State Operations and Implementation Funding (Continuing).&#10;&#10;Item 6 is: Internal ACO And CP Program Planning and Investments (Continuing).  &#10;&#10;The second box is medium blue and titled, Implementation Activities. Beneath this title are eight items and their related bullets.&#10;&#10;Item 1 is: Interventions/Programs Delivery System Changes at the Intra and Inter-Organizational Levels. &#10;&#10;Item 2 is: Partnership Formation and Enhancement. Under this is the following bullet: • Formation of new and enriching existing inter- and intra-organizational, member, and community collaborations. &#10;&#10;Item 3 is: Workforce Capacity **. The double asterisk refers to the following note:  Workforce development initiatives represented on Workforce Model.&#10;&#10;Item 4 is: Workflow Coordination. Under this are the following bullets: • Clear roles and responsibilities; • Specification of team and member involvement; • Designated communication processes and opportunities. &#10;&#10;Item 5 is: Health Equity Efforts. Under this is the following bullet: • Integration of health equity efforts in all policies, programs, and processes.&#10;&#10;Item 6 is: Health Information Technology and Infrastructure and Processes. Under this are the following bullets: • Interorganizational system connections to facilitate information exchange and interoperability; • Multi-modality care delivery; • Protocols and procedures for population health management and systematic health-related social needs data collection and standardization. &#10;&#10;Item 7 is: Data-Driven Quality Improvement. Under this are the following bullets: • Compilation and organization of data into useful reports for quality assessment; • Implementation of data-driven quality improvement initiatives.&#10;&#10;Item 8 is: Program Management and Leadership. Under this are the following bullets: • Committed leadership and managers; • Opportunities for sharing, reflection, and learning across and within organizations; • Feedback leading to responsive adaptations, modifications, improvements.   &#10;&#10;The third box is blue and titled, Outputs. Beneath this title are two items and their related bullets.&#10;&#10;Item 1 is: Improved Care Processes at the Intra and Inter-Organizational Levels.&#10;&#10;Item 2: Maintain Improvements in Care Achieved During DSR Implementation while Achieving New and Continued Improvement in Targeted Areas***. The triple asterisk refers to the following note: Hypotheses will specify areas where maintenance versus improvement is expected. Under this are the following bullets: • Outreach and engagement; • Identification of clinical and health-related social needs; • Care planning and coordination; • Access to care; • Care integration; • Health equity in care processes; • Safety net provider capacity; • Cost management.&#10;&#10;The fourth box is green and titled, Outcome and Impacts. Beneath this title are four items and their related bullets.&#10;&#10;Item 1 is: Improved Member Outcomes. Under this are the following bullets: • Improved clinical outcomes; • Improved member experience and member-reported outcomes; • Reduction in potentially avoidable acute and emergency care utilization.&#10;&#10;Item 2 is: More Equitable Member Outcomes.&#10;  &#10;Item 3 is: Moderated Cost Trends.&#10; &#10;Item 4 is: Program Sustainability. &#10;&#10;Beneath these four boxes is a horizontal line with four arrow lines branching off of it, pointing upward, and almost touching the bottom of the four boxes above it. On the horizontal line is the following text: Inform policy improvement. This indicates that the contents in the boxes the arrows are pointing to will inform policy improvement.&#10;">
                      <a:extLst>
                        <a:ext uri="{FF2B5EF4-FFF2-40B4-BE49-F238E27FC236}">
                          <a16:creationId xmlns:a16="http://schemas.microsoft.com/office/drawing/2014/main" id="{6395F327-8BC2-B00C-1A52-C612CF67BBDA}"/>
                        </a:ext>
                      </a:extLst>
                    </pic:cNvPr>
                    <pic:cNvPicPr>
                      <a:picLocks noChangeAspect="1"/>
                    </pic:cNvPicPr>
                  </pic:nvPicPr>
                  <pic:blipFill rotWithShape="1">
                    <a:blip r:embed="rId22" cstate="hqprint">
                      <a:extLst>
                        <a:ext uri="{28A0092B-C50C-407E-A947-70E740481C1C}">
                          <a14:useLocalDpi xmlns:a14="http://schemas.microsoft.com/office/drawing/2010/main" val="0"/>
                        </a:ext>
                      </a:extLst>
                    </a:blip>
                    <a:srcRect b="3449"/>
                    <a:stretch/>
                  </pic:blipFill>
                  <pic:spPr bwMode="auto">
                    <a:xfrm>
                      <a:off x="0" y="0"/>
                      <a:ext cx="8159265" cy="5868967"/>
                    </a:xfrm>
                    <a:prstGeom prst="rect">
                      <a:avLst/>
                    </a:prstGeom>
                    <a:noFill/>
                    <a:ln>
                      <a:noFill/>
                    </a:ln>
                  </pic:spPr>
                </pic:pic>
              </a:graphicData>
            </a:graphic>
          </wp:inline>
        </w:drawing>
      </w:r>
      <w:r w:rsidR="008460C4">
        <w:t>A</w:t>
      </w:r>
    </w:p>
    <w:p w14:paraId="306BEB03" w14:textId="22F448D2" w:rsidR="001B52EF" w:rsidRPr="0009132C" w:rsidRDefault="001B52EF" w:rsidP="00946D3B">
      <w:pPr>
        <w:pStyle w:val="Heading2"/>
      </w:pPr>
      <w:r w:rsidRPr="0009132C">
        <w:lastRenderedPageBreak/>
        <w:t xml:space="preserve"> </w:t>
      </w:r>
      <w:bookmarkStart w:id="85" w:name="_Toc130209709"/>
      <w:bookmarkStart w:id="86" w:name="_Toc151976420"/>
      <w:r w:rsidRPr="0009132C">
        <w:t>Research Questions and Hypotheses</w:t>
      </w:r>
      <w:bookmarkEnd w:id="85"/>
      <w:bookmarkEnd w:id="86"/>
    </w:p>
    <w:p w14:paraId="3723AF74" w14:textId="38739136" w:rsidR="001B52EF" w:rsidRPr="0009132C" w:rsidRDefault="00D2727E" w:rsidP="00A124AE">
      <w:r w:rsidRPr="00C6243F">
        <w:rPr>
          <w:color w:val="000F9F"/>
          <w:u w:val="single"/>
        </w:rPr>
        <w:fldChar w:fldCharType="begin"/>
      </w:r>
      <w:r w:rsidRPr="00C6243F">
        <w:rPr>
          <w:color w:val="000F9F"/>
          <w:u w:val="single"/>
        </w:rPr>
        <w:instrText xml:space="preserve"> REF _Ref143090901 \h </w:instrText>
      </w:r>
      <w:r w:rsidRPr="00C6243F">
        <w:rPr>
          <w:color w:val="000F9F"/>
          <w:u w:val="single"/>
        </w:rPr>
      </w:r>
      <w:r w:rsidRPr="00C6243F">
        <w:rPr>
          <w:color w:val="000F9F"/>
          <w:u w:val="single"/>
        </w:rPr>
        <w:fldChar w:fldCharType="separate"/>
      </w:r>
      <w:r w:rsidRPr="00C6243F">
        <w:rPr>
          <w:color w:val="000F9F"/>
          <w:u w:val="single"/>
        </w:rPr>
        <w:t xml:space="preserve">Table </w:t>
      </w:r>
      <w:r w:rsidRPr="00C6243F">
        <w:rPr>
          <w:noProof/>
          <w:color w:val="000F9F"/>
          <w:u w:val="single"/>
        </w:rPr>
        <w:t>3</w:t>
      </w:r>
      <w:r w:rsidRPr="00C6243F">
        <w:rPr>
          <w:color w:val="000F9F"/>
          <w:u w:val="single"/>
        </w:rPr>
        <w:noBreakHyphen/>
      </w:r>
      <w:r w:rsidRPr="00C6243F">
        <w:rPr>
          <w:noProof/>
          <w:color w:val="000F9F"/>
          <w:u w:val="single"/>
        </w:rPr>
        <w:t>2</w:t>
      </w:r>
      <w:r w:rsidRPr="00C6243F">
        <w:rPr>
          <w:color w:val="000F9F"/>
          <w:u w:val="single"/>
        </w:rPr>
        <w:fldChar w:fldCharType="end"/>
      </w:r>
      <w:r>
        <w:t xml:space="preserve"> </w:t>
      </w:r>
      <w:r w:rsidR="001B52EF" w:rsidRPr="0009132C">
        <w:t xml:space="preserve">provides an overview of the RQs, hypotheses, data sources, study populations, measures, and analytic methods that will be used to evaluate the DSR domain. The elements are described in detail below in </w:t>
      </w:r>
      <w:hyperlink w:anchor="_Data_and_Methods" w:history="1">
        <w:r w:rsidR="007A6488" w:rsidRPr="004C4043">
          <w:rPr>
            <w:rStyle w:val="Hyperlink"/>
          </w:rPr>
          <w:t xml:space="preserve">Section </w:t>
        </w:r>
        <w:r w:rsidR="001B52EF" w:rsidRPr="004C4043">
          <w:rPr>
            <w:rStyle w:val="Hyperlink"/>
          </w:rPr>
          <w:t>3.4</w:t>
        </w:r>
        <w:r w:rsidR="001B52EF" w:rsidRPr="00C6243F">
          <w:rPr>
            <w:rStyle w:val="Hyperlink"/>
            <w:color w:val="000F9F"/>
          </w:rPr>
          <w:t xml:space="preserve"> Data and Methods</w:t>
        </w:r>
      </w:hyperlink>
      <w:r w:rsidR="001B52EF" w:rsidRPr="0009132C">
        <w:t>.</w:t>
      </w:r>
    </w:p>
    <w:p w14:paraId="54180280" w14:textId="7B77BC8F" w:rsidR="004A0265" w:rsidRDefault="004A0265" w:rsidP="00C6243F">
      <w:pPr>
        <w:pStyle w:val="FigureorTableTitle"/>
        <w:spacing w:after="240"/>
      </w:pPr>
      <w:bookmarkStart w:id="87" w:name="_Ref143090901"/>
      <w:bookmarkStart w:id="88" w:name="_Toc151976457"/>
      <w:r>
        <w:t xml:space="preserve">Table </w:t>
      </w:r>
      <w:r>
        <w:fldChar w:fldCharType="begin"/>
      </w:r>
      <w:r>
        <w:instrText>STYLEREF 1 \s</w:instrText>
      </w:r>
      <w:r>
        <w:fldChar w:fldCharType="separate"/>
      </w:r>
      <w:r w:rsidR="00EB7B05">
        <w:rPr>
          <w:noProof/>
        </w:rPr>
        <w:t>3</w:t>
      </w:r>
      <w:r>
        <w:fldChar w:fldCharType="end"/>
      </w:r>
      <w:r w:rsidR="00433675">
        <w:noBreakHyphen/>
      </w:r>
      <w:r>
        <w:fldChar w:fldCharType="begin"/>
      </w:r>
      <w:r>
        <w:instrText>SEQ Table \* ARABIC \s 1</w:instrText>
      </w:r>
      <w:r>
        <w:fldChar w:fldCharType="separate"/>
      </w:r>
      <w:r w:rsidR="00EB7B05">
        <w:rPr>
          <w:noProof/>
        </w:rPr>
        <w:t>2</w:t>
      </w:r>
      <w:r>
        <w:fldChar w:fldCharType="end"/>
      </w:r>
      <w:bookmarkEnd w:id="87"/>
      <w:r>
        <w:t xml:space="preserve">: </w:t>
      </w:r>
      <w:r w:rsidRPr="00C9567B">
        <w:t>Research Questions and Hypotheses for DSR</w:t>
      </w:r>
      <w:bookmarkEnd w:id="88"/>
    </w:p>
    <w:tbl>
      <w:tblPr>
        <w:tblStyle w:val="FHCTablestyle9"/>
        <w:tblW w:w="13045" w:type="dxa"/>
        <w:tblLayout w:type="fixed"/>
        <w:tblLook w:val="04A0" w:firstRow="1" w:lastRow="0" w:firstColumn="1" w:lastColumn="0" w:noHBand="0" w:noVBand="1"/>
      </w:tblPr>
      <w:tblGrid>
        <w:gridCol w:w="2175"/>
        <w:gridCol w:w="2174"/>
        <w:gridCol w:w="2174"/>
        <w:gridCol w:w="2174"/>
        <w:gridCol w:w="2174"/>
        <w:gridCol w:w="2174"/>
      </w:tblGrid>
      <w:tr w:rsidR="00524668" w:rsidRPr="00524668" w14:paraId="1AF9FC9A" w14:textId="77777777" w:rsidTr="000132FC">
        <w:trPr>
          <w:cnfStyle w:val="100000000000" w:firstRow="1" w:lastRow="0" w:firstColumn="0" w:lastColumn="0" w:oddVBand="0" w:evenVBand="0" w:oddHBand="0" w:evenHBand="0" w:firstRowFirstColumn="0" w:firstRowLastColumn="0" w:lastRowFirstColumn="0" w:lastRowLastColumn="0"/>
          <w:cantSplit w:val="0"/>
          <w:trHeight w:val="64"/>
        </w:trPr>
        <w:tc>
          <w:tcPr>
            <w:cnfStyle w:val="001000000000" w:firstRow="0" w:lastRow="0" w:firstColumn="1" w:lastColumn="0" w:oddVBand="0" w:evenVBand="0" w:oddHBand="0" w:evenHBand="0" w:firstRowFirstColumn="0" w:firstRowLastColumn="0" w:lastRowFirstColumn="0" w:lastRowLastColumn="0"/>
            <w:tcW w:w="0" w:type="dxa"/>
          </w:tcPr>
          <w:p w14:paraId="6216A823" w14:textId="77777777" w:rsidR="00F27351" w:rsidRPr="00E7584C" w:rsidRDefault="00F27351" w:rsidP="00BA4F36">
            <w:pPr>
              <w:pStyle w:val="TableNormal0"/>
              <w:rPr>
                <w:sz w:val="21"/>
              </w:rPr>
            </w:pPr>
            <w:r w:rsidRPr="00E7584C">
              <w:rPr>
                <w:sz w:val="21"/>
              </w:rPr>
              <w:t>Research Questions</w:t>
            </w:r>
            <w:r w:rsidRPr="00E7584C">
              <w:rPr>
                <w:sz w:val="21"/>
                <w:vertAlign w:val="superscript"/>
              </w:rPr>
              <w:t>a</w:t>
            </w:r>
          </w:p>
        </w:tc>
        <w:tc>
          <w:tcPr>
            <w:tcW w:w="0" w:type="dxa"/>
          </w:tcPr>
          <w:p w14:paraId="1A3D3BAE" w14:textId="069B709F" w:rsidR="00F27351" w:rsidRPr="00E7584C" w:rsidRDefault="00F27351" w:rsidP="00BA4F36">
            <w:pPr>
              <w:pStyle w:val="TableNormal0"/>
              <w:cnfStyle w:val="100000000000" w:firstRow="1" w:lastRow="0" w:firstColumn="0" w:lastColumn="0" w:oddVBand="0" w:evenVBand="0" w:oddHBand="0" w:evenHBand="0" w:firstRowFirstColumn="0" w:firstRowLastColumn="0" w:lastRowFirstColumn="0" w:lastRowLastColumn="0"/>
              <w:rPr>
                <w:sz w:val="21"/>
              </w:rPr>
            </w:pPr>
            <w:r w:rsidRPr="00E7584C">
              <w:rPr>
                <w:sz w:val="21"/>
              </w:rPr>
              <w:t>Hypotheses</w:t>
            </w:r>
          </w:p>
        </w:tc>
        <w:tc>
          <w:tcPr>
            <w:tcW w:w="0" w:type="dxa"/>
          </w:tcPr>
          <w:p w14:paraId="3A274A71" w14:textId="143C3DD6" w:rsidR="00F27351" w:rsidRPr="00E7584C" w:rsidRDefault="00F27351" w:rsidP="00BA4F36">
            <w:pPr>
              <w:pStyle w:val="TableNormal0"/>
              <w:cnfStyle w:val="100000000000" w:firstRow="1" w:lastRow="0" w:firstColumn="0" w:lastColumn="0" w:oddVBand="0" w:evenVBand="0" w:oddHBand="0" w:evenHBand="0" w:firstRowFirstColumn="0" w:firstRowLastColumn="0" w:lastRowFirstColumn="0" w:lastRowLastColumn="0"/>
              <w:rPr>
                <w:sz w:val="21"/>
              </w:rPr>
            </w:pPr>
            <w:r w:rsidRPr="00E7584C">
              <w:rPr>
                <w:sz w:val="21"/>
              </w:rPr>
              <w:t>Data Sources (Evaluation Periods)</w:t>
            </w:r>
            <w:r w:rsidRPr="00E7584C">
              <w:rPr>
                <w:sz w:val="21"/>
                <w:vertAlign w:val="superscript"/>
              </w:rPr>
              <w:t xml:space="preserve">b </w:t>
            </w:r>
          </w:p>
        </w:tc>
        <w:tc>
          <w:tcPr>
            <w:tcW w:w="0" w:type="dxa"/>
          </w:tcPr>
          <w:p w14:paraId="105FAECA" w14:textId="225DC4C2" w:rsidR="00F27351" w:rsidRPr="00E7584C" w:rsidRDefault="00F27351" w:rsidP="00BA4F36">
            <w:pPr>
              <w:pStyle w:val="TableNormal0"/>
              <w:cnfStyle w:val="100000000000" w:firstRow="1" w:lastRow="0" w:firstColumn="0" w:lastColumn="0" w:oddVBand="0" w:evenVBand="0" w:oddHBand="0" w:evenHBand="0" w:firstRowFirstColumn="0" w:firstRowLastColumn="0" w:lastRowFirstColumn="0" w:lastRowLastColumn="0"/>
              <w:rPr>
                <w:sz w:val="21"/>
                <w:szCs w:val="21"/>
              </w:rPr>
            </w:pPr>
            <w:r w:rsidRPr="3383C28C">
              <w:rPr>
                <w:rFonts w:cstheme="minorBidi"/>
                <w:sz w:val="21"/>
                <w:szCs w:val="21"/>
              </w:rPr>
              <w:t>Study Populations (Estimated Sample or Population Size- per Wave for Primary Data and per Year for Secondary Data)</w:t>
            </w:r>
          </w:p>
        </w:tc>
        <w:tc>
          <w:tcPr>
            <w:tcW w:w="0" w:type="dxa"/>
          </w:tcPr>
          <w:p w14:paraId="41C137C6" w14:textId="6520FAF8" w:rsidR="00F27351" w:rsidRPr="00E7584C" w:rsidRDefault="00F27351" w:rsidP="00BA4F36">
            <w:pPr>
              <w:pStyle w:val="TableNormal0"/>
              <w:cnfStyle w:val="100000000000" w:firstRow="1" w:lastRow="0" w:firstColumn="0" w:lastColumn="0" w:oddVBand="0" w:evenVBand="0" w:oddHBand="0" w:evenHBand="0" w:firstRowFirstColumn="0" w:firstRowLastColumn="0" w:lastRowFirstColumn="0" w:lastRowLastColumn="0"/>
              <w:rPr>
                <w:sz w:val="21"/>
              </w:rPr>
            </w:pPr>
            <w:r w:rsidRPr="00E7584C">
              <w:rPr>
                <w:sz w:val="21"/>
              </w:rPr>
              <w:t>Measures</w:t>
            </w:r>
          </w:p>
        </w:tc>
        <w:tc>
          <w:tcPr>
            <w:tcW w:w="0" w:type="dxa"/>
          </w:tcPr>
          <w:p w14:paraId="2C859035" w14:textId="3D48E43F" w:rsidR="00F27351" w:rsidRPr="00E7584C" w:rsidRDefault="00F27351" w:rsidP="00BA4F36">
            <w:pPr>
              <w:pStyle w:val="TableNormal0"/>
              <w:cnfStyle w:val="100000000000" w:firstRow="1" w:lastRow="0" w:firstColumn="0" w:lastColumn="0" w:oddVBand="0" w:evenVBand="0" w:oddHBand="0" w:evenHBand="0" w:firstRowFirstColumn="0" w:firstRowLastColumn="0" w:lastRowFirstColumn="0" w:lastRowLastColumn="0"/>
              <w:rPr>
                <w:sz w:val="21"/>
              </w:rPr>
            </w:pPr>
            <w:r w:rsidRPr="00E7584C">
              <w:rPr>
                <w:sz w:val="21"/>
              </w:rPr>
              <w:t>Analytic Methods (Unit of Analysis)</w:t>
            </w:r>
            <w:r w:rsidRPr="00E7584C">
              <w:rPr>
                <w:sz w:val="21"/>
                <w:vertAlign w:val="superscript"/>
              </w:rPr>
              <w:t>c</w:t>
            </w:r>
          </w:p>
        </w:tc>
      </w:tr>
      <w:tr w:rsidR="006F3ACC" w:rsidRPr="0009132C" w14:paraId="1C0D4703" w14:textId="77777777" w:rsidTr="000132FC">
        <w:trPr>
          <w:cnfStyle w:val="000000100000" w:firstRow="0" w:lastRow="0" w:firstColumn="0" w:lastColumn="0" w:oddVBand="0" w:evenVBand="0" w:oddHBand="1" w:evenHBand="0" w:firstRowFirstColumn="0" w:firstRowLastColumn="0" w:lastRowFirstColumn="0" w:lastRowLastColumn="0"/>
          <w:trHeight w:val="2137"/>
        </w:trPr>
        <w:tc>
          <w:tcPr>
            <w:cnfStyle w:val="001000000000" w:firstRow="0" w:lastRow="0" w:firstColumn="1" w:lastColumn="0" w:oddVBand="0" w:evenVBand="0" w:oddHBand="0" w:evenHBand="0" w:firstRowFirstColumn="0" w:firstRowLastColumn="0" w:lastRowFirstColumn="0" w:lastRowLastColumn="0"/>
            <w:tcW w:w="0" w:type="dxa"/>
            <w:hideMark/>
          </w:tcPr>
          <w:p w14:paraId="1DFAB11B" w14:textId="77777777" w:rsidR="00F27351" w:rsidRPr="0009132C" w:rsidRDefault="00F27351" w:rsidP="00BA4F36">
            <w:pPr>
              <w:pStyle w:val="TableNormal0"/>
              <w:rPr>
                <w:rFonts w:eastAsia="Arial"/>
              </w:rPr>
            </w:pPr>
            <w:r w:rsidRPr="0009132C">
              <w:rPr>
                <w:rFonts w:eastAsia="Arial"/>
              </w:rPr>
              <w:t>RQ2-1 How did ACOs respond to enhanced expectations for quality, equity, and integrated care?</w:t>
            </w:r>
          </w:p>
          <w:p w14:paraId="35691A86" w14:textId="77777777" w:rsidR="00F27351" w:rsidRPr="0009132C" w:rsidRDefault="00F27351" w:rsidP="00BA4F36">
            <w:pPr>
              <w:pStyle w:val="TableNormal0"/>
              <w:rPr>
                <w:rFonts w:eastAsia="Arial"/>
              </w:rPr>
            </w:pPr>
          </w:p>
        </w:tc>
        <w:tc>
          <w:tcPr>
            <w:tcW w:w="0" w:type="dxa"/>
            <w:hideMark/>
          </w:tcPr>
          <w:p w14:paraId="1C2B459F" w14:textId="0A06290D" w:rsidR="00F27351" w:rsidRPr="0009132C" w:rsidRDefault="5272A2FA" w:rsidP="00BA4F36">
            <w:pPr>
              <w:pStyle w:val="TableNormal0"/>
              <w:cnfStyle w:val="000000100000" w:firstRow="0" w:lastRow="0" w:firstColumn="0" w:lastColumn="0" w:oddVBand="0" w:evenVBand="0" w:oddHBand="1" w:evenHBand="0" w:firstRowFirstColumn="0" w:firstRowLastColumn="0" w:lastRowFirstColumn="0" w:lastRowLastColumn="0"/>
              <w:rPr>
                <w:rFonts w:eastAsia="Arial"/>
                <w:color w:val="000000"/>
              </w:rPr>
            </w:pPr>
            <w:r w:rsidRPr="3383C28C">
              <w:rPr>
                <w:rFonts w:eastAsia="Arial"/>
              </w:rPr>
              <w:t>H2-1.1 ACOs will implement organizational changes to increase their capacity to deliver high-quality, equitable, and integrated care.</w:t>
            </w:r>
            <w:r>
              <w:br/>
            </w:r>
            <w:r>
              <w:br/>
            </w:r>
            <w:r w:rsidRPr="3383C28C">
              <w:rPr>
                <w:rFonts w:eastAsia="Arial"/>
              </w:rPr>
              <w:t xml:space="preserve">H2-1.2 ACOs will form and strengthen relationships with hospitals, primary care practices, and PCPs to jointly deliver high-quality, equitable, and integrated care. </w:t>
            </w:r>
            <w:r>
              <w:br/>
            </w:r>
            <w:r>
              <w:br/>
            </w:r>
            <w:r w:rsidRPr="3383C28C">
              <w:rPr>
                <w:rFonts w:eastAsia="Arial"/>
              </w:rPr>
              <w:t xml:space="preserve">H2-1.3 </w:t>
            </w:r>
            <w:r w:rsidRPr="3383C28C">
              <w:rPr>
                <w:color w:val="auto"/>
              </w:rPr>
              <w:t xml:space="preserve">The number of </w:t>
            </w:r>
            <w:r w:rsidR="0F144C90" w:rsidRPr="3383C28C">
              <w:rPr>
                <w:color w:val="auto"/>
              </w:rPr>
              <w:t>ACO</w:t>
            </w:r>
            <w:r w:rsidRPr="3383C28C">
              <w:rPr>
                <w:color w:val="auto"/>
              </w:rPr>
              <w:t xml:space="preserve"> providers (health systems, practices, and individuals) accepting value-based payments and the amount of such payments will increase</w:t>
            </w:r>
          </w:p>
        </w:tc>
        <w:tc>
          <w:tcPr>
            <w:tcW w:w="0" w:type="dxa"/>
          </w:tcPr>
          <w:p w14:paraId="431AAE6B" w14:textId="46B7BDBD"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 xml:space="preserve">Document review; </w:t>
            </w:r>
            <w:r w:rsidRPr="00D27631">
              <w:t>(Ongoing)</w:t>
            </w:r>
          </w:p>
          <w:p w14:paraId="71A2078D" w14:textId="3E8CBB5D"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 xml:space="preserve">Key Informant </w:t>
            </w:r>
            <w:r w:rsidR="00136643">
              <w:t>i</w:t>
            </w:r>
            <w:r w:rsidRPr="0009132C">
              <w:t>ndividual and/or group interviews</w:t>
            </w:r>
            <w:r>
              <w:t xml:space="preserve"> and/or open-ended surveys</w:t>
            </w:r>
            <w:r w:rsidRPr="0009132C">
              <w:t>;</w:t>
            </w:r>
            <w:r w:rsidRPr="0009132C">
              <w:rPr>
                <w:rStyle w:val="eop"/>
              </w:rPr>
              <w:t> </w:t>
            </w:r>
            <w:r w:rsidRPr="00D27631">
              <w:t>(2024-2025; 2026-2027)</w:t>
            </w:r>
          </w:p>
          <w:p w14:paraId="70088D67" w14:textId="2B906056"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rPr>
                <w:color w:val="000000"/>
                <w:shd w:val="clear" w:color="auto" w:fill="FFFFFF"/>
              </w:rPr>
            </w:pPr>
            <w:r w:rsidRPr="0009132C">
              <w:t>Practice site administrator</w:t>
            </w:r>
            <w:r>
              <w:t xml:space="preserve"> (</w:t>
            </w:r>
            <w:r w:rsidR="00A143FE">
              <w:t>pre-</w:t>
            </w:r>
            <w:r>
              <w:t xml:space="preserve">2019, </w:t>
            </w:r>
            <w:r w:rsidR="00A143FE">
              <w:t>pre-</w:t>
            </w:r>
            <w:r>
              <w:t xml:space="preserve">2021, </w:t>
            </w:r>
            <w:r w:rsidR="00A143FE">
              <w:t>post-</w:t>
            </w:r>
            <w:r>
              <w:t>2024)</w:t>
            </w:r>
            <w:r w:rsidRPr="0009132C">
              <w:t xml:space="preserve"> and ACO provider surveys</w:t>
            </w:r>
            <w:r>
              <w:t xml:space="preserve"> (</w:t>
            </w:r>
            <w:r w:rsidR="00A143FE">
              <w:t>pre-</w:t>
            </w:r>
            <w:r>
              <w:t xml:space="preserve">2020, </w:t>
            </w:r>
            <w:r w:rsidR="00A143FE">
              <w:t>pre-</w:t>
            </w:r>
            <w:r>
              <w:t xml:space="preserve">2022, </w:t>
            </w:r>
            <w:r w:rsidR="00A143FE">
              <w:t>post-</w:t>
            </w:r>
            <w:r>
              <w:t>2026)</w:t>
            </w:r>
          </w:p>
        </w:tc>
        <w:tc>
          <w:tcPr>
            <w:tcW w:w="0" w:type="dxa"/>
          </w:tcPr>
          <w:p w14:paraId="132598E3" w14:textId="77777777" w:rsidR="00F27351" w:rsidRPr="006B50B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6B50B7">
              <w:t>ACO and practice level providers and staff:</w:t>
            </w:r>
          </w:p>
          <w:p w14:paraId="246708AB" w14:textId="5CCC7CC9" w:rsidR="00F27351" w:rsidRPr="008A7F2E" w:rsidRDefault="00F27351" w:rsidP="00BA4F36">
            <w:pPr>
              <w:pStyle w:val="TableBullet"/>
              <w:cnfStyle w:val="000000100000" w:firstRow="0" w:lastRow="0" w:firstColumn="0" w:lastColumn="0" w:oddVBand="0" w:evenVBand="0" w:oddHBand="1" w:evenHBand="0" w:firstRowFirstColumn="0" w:firstRowLastColumn="0" w:lastRowFirstColumn="0" w:lastRowLastColumn="0"/>
            </w:pPr>
            <w:r w:rsidRPr="008A7F2E">
              <w:t xml:space="preserve">Providers </w:t>
            </w:r>
            <w:r w:rsidR="00136643">
              <w:t>s</w:t>
            </w:r>
            <w:r w:rsidRPr="008A7F2E">
              <w:t>urvey (n=~5,000);</w:t>
            </w:r>
          </w:p>
          <w:p w14:paraId="1FC4578C" w14:textId="244EB3E1" w:rsidR="00F27351" w:rsidRPr="00ED0CF4" w:rsidRDefault="00F27351" w:rsidP="00BA4F36">
            <w:pPr>
              <w:pStyle w:val="TableBullet"/>
              <w:cnfStyle w:val="000000100000" w:firstRow="0" w:lastRow="0" w:firstColumn="0" w:lastColumn="0" w:oddVBand="0" w:evenVBand="0" w:oddHBand="1" w:evenHBand="0" w:firstRowFirstColumn="0" w:firstRowLastColumn="0" w:lastRowFirstColumn="0" w:lastRowLastColumn="0"/>
            </w:pPr>
            <w:r w:rsidRPr="00ED0CF4">
              <w:t xml:space="preserve">Practice </w:t>
            </w:r>
            <w:r w:rsidR="00136643">
              <w:t>s</w:t>
            </w:r>
            <w:r w:rsidR="00136643" w:rsidRPr="00ED0CF4">
              <w:t xml:space="preserve">ite </w:t>
            </w:r>
            <w:r w:rsidR="00136643">
              <w:t>a</w:t>
            </w:r>
            <w:r w:rsidR="00136643" w:rsidRPr="00ED0CF4">
              <w:t xml:space="preserve">dministrator </w:t>
            </w:r>
            <w:r w:rsidR="00136643">
              <w:t>s</w:t>
            </w:r>
            <w:r>
              <w:t xml:space="preserve">urvey </w:t>
            </w:r>
            <w:r w:rsidRPr="00ED0CF4">
              <w:t>(n=</w:t>
            </w:r>
            <w:r>
              <w:t>~</w:t>
            </w:r>
            <w:r w:rsidRPr="00ED0CF4">
              <w:t>350);</w:t>
            </w:r>
          </w:p>
          <w:p w14:paraId="4A5F5E04" w14:textId="44F53A79" w:rsidR="00F27351" w:rsidRPr="00ED0CF4" w:rsidRDefault="00F27351" w:rsidP="00BA4F36">
            <w:pPr>
              <w:pStyle w:val="TableBullet"/>
              <w:cnfStyle w:val="000000100000" w:firstRow="0" w:lastRow="0" w:firstColumn="0" w:lastColumn="0" w:oddVBand="0" w:evenVBand="0" w:oddHBand="1" w:evenHBand="0" w:firstRowFirstColumn="0" w:firstRowLastColumn="0" w:lastRowFirstColumn="0" w:lastRowLastColumn="0"/>
            </w:pPr>
            <w:r w:rsidRPr="00ED0CF4">
              <w:t xml:space="preserve">Leadership and Other </w:t>
            </w:r>
            <w:r w:rsidR="00136643">
              <w:t>s</w:t>
            </w:r>
            <w:r w:rsidR="00136643" w:rsidRPr="00ED0CF4">
              <w:t>taff</w:t>
            </w:r>
            <w:r w:rsidR="00136643">
              <w:t xml:space="preserve"> i</w:t>
            </w:r>
            <w:r>
              <w:t xml:space="preserve">nterviewees </w:t>
            </w:r>
            <w:r w:rsidR="006607CB">
              <w:br/>
            </w:r>
            <w:r>
              <w:t>(n</w:t>
            </w:r>
            <w:r w:rsidR="00B442EB">
              <w:t xml:space="preserve"> ≤ </w:t>
            </w:r>
            <w:r>
              <w:t>50)</w:t>
            </w:r>
            <w:r w:rsidRPr="00ED0CF4">
              <w:t>;</w:t>
            </w:r>
            <w:r>
              <w:t xml:space="preserve"> </w:t>
            </w:r>
          </w:p>
          <w:p w14:paraId="47A69638" w14:textId="3E2AC8CC" w:rsidR="00F27351" w:rsidRPr="00464DBD" w:rsidRDefault="00F27351" w:rsidP="00BA4F36">
            <w:pPr>
              <w:pStyle w:val="TableBullet"/>
              <w:cnfStyle w:val="000000100000" w:firstRow="0" w:lastRow="0" w:firstColumn="0" w:lastColumn="0" w:oddVBand="0" w:evenVBand="0" w:oddHBand="1" w:evenHBand="0" w:firstRowFirstColumn="0" w:firstRowLastColumn="0" w:lastRowFirstColumn="0" w:lastRowLastColumn="0"/>
            </w:pPr>
            <w:r w:rsidRPr="000E5007">
              <w:t xml:space="preserve">MassHealth staff </w:t>
            </w:r>
            <w:r w:rsidR="00136643">
              <w:t>i</w:t>
            </w:r>
            <w:r>
              <w:t xml:space="preserve">nterviewees </w:t>
            </w:r>
            <w:r w:rsidR="006607CB">
              <w:br/>
            </w:r>
            <w:r w:rsidRPr="000E5007">
              <w:t>(n</w:t>
            </w:r>
            <w:r w:rsidR="00B442EB">
              <w:t xml:space="preserve"> ≤ </w:t>
            </w:r>
            <w:r w:rsidRPr="000E5007">
              <w:t>10-15)</w:t>
            </w:r>
          </w:p>
        </w:tc>
        <w:tc>
          <w:tcPr>
            <w:tcW w:w="0" w:type="dxa"/>
          </w:tcPr>
          <w:p w14:paraId="5CDDC938" w14:textId="77777777"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Changes to organizational structures, activities, and processes to promote quality, equity, and integration;</w:t>
            </w:r>
          </w:p>
          <w:p w14:paraId="437D523E" w14:textId="44660C9F"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 xml:space="preserve">Reported increases </w:t>
            </w:r>
            <w:r w:rsidR="00160468">
              <w:t>in</w:t>
            </w:r>
            <w:r w:rsidR="00160468" w:rsidRPr="0009132C">
              <w:t xml:space="preserve"> </w:t>
            </w:r>
            <w:r w:rsidRPr="0009132C">
              <w:t>capacity to deliver high-quality, equitable, and integrated care;</w:t>
            </w:r>
          </w:p>
          <w:p w14:paraId="39C8F9C1" w14:textId="1816B76F"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Formation of new and strengthening of existing relationships between ACOs and their hospitals, primary care practices</w:t>
            </w:r>
            <w:r w:rsidR="00160468">
              <w:t>,</w:t>
            </w:r>
            <w:r w:rsidRPr="0009132C">
              <w:t xml:space="preserve"> and PCPs;</w:t>
            </w:r>
          </w:p>
          <w:p w14:paraId="6E2223CC" w14:textId="395D504F"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 xml:space="preserve">Implementation of strategies by ACOs to increase </w:t>
            </w:r>
            <w:r w:rsidR="00160468">
              <w:t xml:space="preserve">the </w:t>
            </w:r>
            <w:r w:rsidRPr="0009132C">
              <w:t>level of quality and cost accountability for PCPs and practices;</w:t>
            </w:r>
          </w:p>
          <w:p w14:paraId="21F1ABEC" w14:textId="19FF0688" w:rsidR="00F27351" w:rsidRPr="008A7F2E"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t xml:space="preserve">Number of </w:t>
            </w:r>
            <w:r w:rsidR="00C05EA1">
              <w:t>ACO</w:t>
            </w:r>
            <w:r w:rsidRPr="26480E17">
              <w:t xml:space="preserve"> providers (health systems, primary </w:t>
            </w:r>
            <w:r w:rsidRPr="26480E17">
              <w:lastRenderedPageBreak/>
              <w:t xml:space="preserve">care practices, and </w:t>
            </w:r>
            <w:r w:rsidRPr="00464DBD">
              <w:t>individuals) accepting or incentivized by value-based payments, and the amount of such payments</w:t>
            </w:r>
          </w:p>
          <w:p w14:paraId="2EC43C47" w14:textId="56E59D4B"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8A7F2E">
              <w:t>Type and amount of quality accountability accepted by health systems, primary care practices, and individual providers</w:t>
            </w:r>
          </w:p>
        </w:tc>
        <w:tc>
          <w:tcPr>
            <w:tcW w:w="0" w:type="dxa"/>
          </w:tcPr>
          <w:p w14:paraId="39492A50" w14:textId="77777777"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lastRenderedPageBreak/>
              <w:t>Qualitative analysis of existing documents;</w:t>
            </w:r>
          </w:p>
          <w:p w14:paraId="46E91395" w14:textId="77777777"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Qualitative analysis of data collected through key informant interviews (KIIs);</w:t>
            </w:r>
          </w:p>
          <w:p w14:paraId="76A110C5" w14:textId="77777777"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Analysis of surveys of ACO practice sites</w:t>
            </w:r>
            <w:r>
              <w:t xml:space="preserve"> (practice site)</w:t>
            </w:r>
            <w:r w:rsidRPr="0009132C">
              <w:t xml:space="preserve"> and ACO providers</w:t>
            </w:r>
            <w:r>
              <w:t xml:space="preserve"> (provider)</w:t>
            </w:r>
          </w:p>
        </w:tc>
      </w:tr>
      <w:tr w:rsidR="00F27351" w:rsidRPr="0009132C" w14:paraId="385294A8" w14:textId="77777777" w:rsidTr="000132FC">
        <w:trPr>
          <w:trHeight w:val="643"/>
        </w:trPr>
        <w:tc>
          <w:tcPr>
            <w:cnfStyle w:val="001000000000" w:firstRow="0" w:lastRow="0" w:firstColumn="1" w:lastColumn="0" w:oddVBand="0" w:evenVBand="0" w:oddHBand="0" w:evenHBand="0" w:firstRowFirstColumn="0" w:firstRowLastColumn="0" w:lastRowFirstColumn="0" w:lastRowLastColumn="0"/>
            <w:tcW w:w="0" w:type="dxa"/>
          </w:tcPr>
          <w:p w14:paraId="4469F1DE" w14:textId="77777777" w:rsidR="00F27351" w:rsidRPr="0009132C" w:rsidRDefault="00F27351" w:rsidP="00BA4F36">
            <w:pPr>
              <w:pStyle w:val="TableNormal0"/>
              <w:rPr>
                <w:rFonts w:eastAsia="Arial"/>
                <w:color w:val="000000"/>
              </w:rPr>
            </w:pPr>
            <w:r w:rsidRPr="0009132C">
              <w:rPr>
                <w:rFonts w:eastAsia="Arial"/>
              </w:rPr>
              <w:t xml:space="preserve">RQ2-2 How did </w:t>
            </w:r>
            <w:bookmarkStart w:id="89" w:name="_Int_0REtzEDS"/>
            <w:r w:rsidRPr="0009132C">
              <w:rPr>
                <w:rFonts w:eastAsia="Arial"/>
              </w:rPr>
              <w:t>ACOs</w:t>
            </w:r>
            <w:bookmarkEnd w:id="89"/>
            <w:r w:rsidRPr="0009132C">
              <w:rPr>
                <w:rFonts w:eastAsia="Arial"/>
              </w:rPr>
              <w:t xml:space="preserve"> and their primary care practices respond to enhanced expectations for clinical service delivery and financial incentives for primary care reform included in MassHealth’s sub-capitation program? </w:t>
            </w:r>
          </w:p>
        </w:tc>
        <w:tc>
          <w:tcPr>
            <w:tcW w:w="0" w:type="dxa"/>
          </w:tcPr>
          <w:p w14:paraId="2F7098D5" w14:textId="77777777" w:rsidR="00F27351" w:rsidRPr="00464DBD"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464DBD">
              <w:t>H2-2.1 ACOs and their primary care practices will invest in staff and infrastructure to increase their clinical service delivery capacity and decrease staff burnout.</w:t>
            </w:r>
          </w:p>
          <w:p w14:paraId="0DA3EC4A" w14:textId="77777777" w:rsidR="00F27351" w:rsidRPr="0001339F"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01339F">
              <w:t>H2-2.2 ACOs and their primary care practices will implement strategies to increase access, quality, and continuity of primary care.</w:t>
            </w:r>
          </w:p>
          <w:p w14:paraId="64AC7C3E" w14:textId="77777777" w:rsidR="00F27351" w:rsidRPr="00AE288C"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AE288C">
              <w:t>H2-2.3 ACOs and their primary care practices will implement strategies to reduce inappropriate or potentially avoidable service utilization for their members.</w:t>
            </w:r>
          </w:p>
        </w:tc>
        <w:tc>
          <w:tcPr>
            <w:tcW w:w="0" w:type="dxa"/>
          </w:tcPr>
          <w:p w14:paraId="48273A8D" w14:textId="2824E469" w:rsidR="00F27351" w:rsidRPr="008A7F2E"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8A7F2E">
              <w:t>Document review; (Ongoing)</w:t>
            </w:r>
          </w:p>
          <w:p w14:paraId="23FE1FDF" w14:textId="41D03969" w:rsidR="00F27351" w:rsidRPr="008A7F2E"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8A7F2E">
              <w:t>Key Informant Individual and/or group interviews and/or open-ended surveys; (2024-2025; 2026-2027)</w:t>
            </w:r>
          </w:p>
          <w:p w14:paraId="67197006" w14:textId="6B580EE0" w:rsidR="00F27351" w:rsidRPr="00AE288C"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8A7F2E">
              <w:t>ACO practice site (</w:t>
            </w:r>
            <w:r w:rsidR="0053005E" w:rsidRPr="008A7F2E">
              <w:t>pre</w:t>
            </w:r>
            <w:r w:rsidR="0053005E">
              <w:t>-</w:t>
            </w:r>
            <w:r w:rsidRPr="008A7F2E">
              <w:t xml:space="preserve">2019, </w:t>
            </w:r>
            <w:r w:rsidR="0053005E" w:rsidRPr="008A7F2E">
              <w:t>pre</w:t>
            </w:r>
            <w:r w:rsidR="0053005E">
              <w:t>-</w:t>
            </w:r>
            <w:r w:rsidRPr="008A7F2E">
              <w:t xml:space="preserve">2021, </w:t>
            </w:r>
            <w:r w:rsidR="0053005E" w:rsidRPr="008A7F2E">
              <w:t>post</w:t>
            </w:r>
            <w:r w:rsidR="0053005E">
              <w:t>-</w:t>
            </w:r>
            <w:r w:rsidRPr="008A7F2E">
              <w:t>2024) and provider surveys (</w:t>
            </w:r>
            <w:r w:rsidR="0053005E" w:rsidRPr="008A7F2E">
              <w:t>pre</w:t>
            </w:r>
            <w:r w:rsidR="0053005E">
              <w:t>-</w:t>
            </w:r>
            <w:r w:rsidRPr="008A7F2E">
              <w:t xml:space="preserve">2020, </w:t>
            </w:r>
            <w:r w:rsidR="0053005E" w:rsidRPr="008A7F2E">
              <w:t>pre</w:t>
            </w:r>
            <w:r w:rsidR="0053005E">
              <w:t>-</w:t>
            </w:r>
            <w:r w:rsidRPr="008A7F2E">
              <w:t xml:space="preserve">2022, </w:t>
            </w:r>
            <w:r w:rsidR="0053005E" w:rsidRPr="008A7F2E">
              <w:t>post</w:t>
            </w:r>
            <w:r w:rsidR="0053005E">
              <w:t>-</w:t>
            </w:r>
            <w:r w:rsidRPr="008A7F2E">
              <w:t xml:space="preserve">2026) </w:t>
            </w:r>
          </w:p>
        </w:tc>
        <w:tc>
          <w:tcPr>
            <w:tcW w:w="0" w:type="dxa"/>
          </w:tcPr>
          <w:p w14:paraId="55EB70FE" w14:textId="77777777" w:rsidR="00F27351" w:rsidRPr="00F00631" w:rsidRDefault="00F27351" w:rsidP="00BA4F36">
            <w:pPr>
              <w:pStyle w:val="TableNormal0"/>
              <w:cnfStyle w:val="000000000000" w:firstRow="0" w:lastRow="0" w:firstColumn="0" w:lastColumn="0" w:oddVBand="0" w:evenVBand="0" w:oddHBand="0" w:evenHBand="0" w:firstRowFirstColumn="0" w:firstRowLastColumn="0" w:lastRowFirstColumn="0" w:lastRowLastColumn="0"/>
              <w:rPr>
                <w:shd w:val="clear" w:color="auto" w:fill="FFFFFF"/>
              </w:rPr>
            </w:pPr>
            <w:r w:rsidRPr="00F00631">
              <w:t>ACO and practice level providers and staff:</w:t>
            </w:r>
          </w:p>
          <w:p w14:paraId="445A9FCF" w14:textId="11D21878" w:rsidR="00F27351" w:rsidRPr="00F00631" w:rsidRDefault="00F27351" w:rsidP="00BA4F36">
            <w:pPr>
              <w:pStyle w:val="TableBullet"/>
              <w:cnfStyle w:val="000000000000" w:firstRow="0" w:lastRow="0" w:firstColumn="0" w:lastColumn="0" w:oddVBand="0" w:evenVBand="0" w:oddHBand="0" w:evenHBand="0" w:firstRowFirstColumn="0" w:firstRowLastColumn="0" w:lastRowFirstColumn="0" w:lastRowLastColumn="0"/>
            </w:pPr>
            <w:r w:rsidRPr="00F00631">
              <w:t>Provider</w:t>
            </w:r>
            <w:r>
              <w:t xml:space="preserve"> </w:t>
            </w:r>
            <w:r w:rsidR="00136643">
              <w:t>s</w:t>
            </w:r>
            <w:r>
              <w:t>urvey (n=~5,000)</w:t>
            </w:r>
            <w:r w:rsidRPr="00F00631">
              <w:t>;</w:t>
            </w:r>
          </w:p>
          <w:p w14:paraId="63B19260" w14:textId="1B72C1B6" w:rsidR="00F27351" w:rsidRPr="00F00631" w:rsidRDefault="00F27351" w:rsidP="00BA4F36">
            <w:pPr>
              <w:pStyle w:val="TableBullet"/>
              <w:cnfStyle w:val="000000000000" w:firstRow="0" w:lastRow="0" w:firstColumn="0" w:lastColumn="0" w:oddVBand="0" w:evenVBand="0" w:oddHBand="0" w:evenHBand="0" w:firstRowFirstColumn="0" w:firstRowLastColumn="0" w:lastRowFirstColumn="0" w:lastRowLastColumn="0"/>
            </w:pPr>
            <w:r w:rsidRPr="00F00631">
              <w:t xml:space="preserve">Practice </w:t>
            </w:r>
            <w:r w:rsidR="00136643">
              <w:t>s</w:t>
            </w:r>
            <w:r w:rsidRPr="00F00631">
              <w:t xml:space="preserve">ite </w:t>
            </w:r>
            <w:r w:rsidR="00136643">
              <w:t>a</w:t>
            </w:r>
            <w:r w:rsidR="00136643" w:rsidRPr="00F00631">
              <w:t>dministrator</w:t>
            </w:r>
            <w:r w:rsidR="00136643">
              <w:t xml:space="preserve"> s</w:t>
            </w:r>
            <w:r>
              <w:t>urvey (n=~350)</w:t>
            </w:r>
            <w:r w:rsidRPr="00F00631">
              <w:t>;</w:t>
            </w:r>
          </w:p>
          <w:p w14:paraId="2E496656" w14:textId="0A78D427" w:rsidR="00F27351" w:rsidRPr="00F00631" w:rsidRDefault="00F27351" w:rsidP="00BA4F36">
            <w:pPr>
              <w:pStyle w:val="TableBullet"/>
              <w:cnfStyle w:val="000000000000" w:firstRow="0" w:lastRow="0" w:firstColumn="0" w:lastColumn="0" w:oddVBand="0" w:evenVBand="0" w:oddHBand="0" w:evenHBand="0" w:firstRowFirstColumn="0" w:firstRowLastColumn="0" w:lastRowFirstColumn="0" w:lastRowLastColumn="0"/>
            </w:pPr>
            <w:r w:rsidRPr="00F00631">
              <w:t xml:space="preserve">Leadership and </w:t>
            </w:r>
            <w:r w:rsidR="00136643">
              <w:t>o</w:t>
            </w:r>
            <w:r w:rsidR="00136643" w:rsidRPr="00F00631">
              <w:t xml:space="preserve">ther </w:t>
            </w:r>
            <w:r w:rsidR="00136643">
              <w:t>s</w:t>
            </w:r>
            <w:r w:rsidRPr="00F00631">
              <w:t>taff</w:t>
            </w:r>
            <w:r>
              <w:t xml:space="preserve"> </w:t>
            </w:r>
            <w:r w:rsidR="00136643">
              <w:t>i</w:t>
            </w:r>
            <w:r>
              <w:t xml:space="preserve">nterviewees </w:t>
            </w:r>
            <w:r w:rsidR="006607CB">
              <w:br/>
            </w:r>
            <w:r>
              <w:t>(n</w:t>
            </w:r>
            <w:r w:rsidR="00B442EB">
              <w:t xml:space="preserve"> ≤ </w:t>
            </w:r>
            <w:r>
              <w:t>50);</w:t>
            </w:r>
          </w:p>
          <w:p w14:paraId="50E7B593" w14:textId="166DE55F" w:rsidR="00F27351" w:rsidRPr="003B270D" w:rsidRDefault="00F27351" w:rsidP="00BA4F36">
            <w:pPr>
              <w:pStyle w:val="TableBullet"/>
              <w:cnfStyle w:val="000000000000" w:firstRow="0" w:lastRow="0" w:firstColumn="0" w:lastColumn="0" w:oddVBand="0" w:evenVBand="0" w:oddHBand="0" w:evenHBand="0" w:firstRowFirstColumn="0" w:firstRowLastColumn="0" w:lastRowFirstColumn="0" w:lastRowLastColumn="0"/>
            </w:pPr>
            <w:r w:rsidRPr="003821F4">
              <w:t>MassHealth staff</w:t>
            </w:r>
            <w:r>
              <w:t xml:space="preserve"> </w:t>
            </w:r>
            <w:r w:rsidR="00136643">
              <w:t>i</w:t>
            </w:r>
            <w:r>
              <w:t>nterviewees</w:t>
            </w:r>
            <w:r w:rsidR="006607CB">
              <w:br/>
            </w:r>
            <w:r>
              <w:t xml:space="preserve"> (n</w:t>
            </w:r>
            <w:r w:rsidR="00B442EB">
              <w:t xml:space="preserve"> ≤ </w:t>
            </w:r>
            <w:r>
              <w:t>10-15)</w:t>
            </w:r>
          </w:p>
        </w:tc>
        <w:tc>
          <w:tcPr>
            <w:tcW w:w="0" w:type="dxa"/>
          </w:tcPr>
          <w:p w14:paraId="642DBB6A" w14:textId="77777777" w:rsidR="00F27351" w:rsidRPr="008A7F2E"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8A7F2E">
              <w:t>Reported changes to primary care practice staffing, infrastructure, and delivery of clinical services;</w:t>
            </w:r>
          </w:p>
          <w:p w14:paraId="497BCABE" w14:textId="77777777" w:rsidR="00F27351" w:rsidRPr="008A7F2E"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8A7F2E">
              <w:t>Reported changes to the types and amounts of primary care practice and provider payment and cost accountability arrangements;</w:t>
            </w:r>
          </w:p>
          <w:p w14:paraId="2D1DB0D1" w14:textId="77777777" w:rsidR="00F27351" w:rsidRPr="008A7F2E"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8A7F2E">
              <w:t>Implementation of strategies to increase access, quality, and continuity of primary care;</w:t>
            </w:r>
          </w:p>
          <w:p w14:paraId="67151AF0" w14:textId="6253C4DB" w:rsidR="00F27351" w:rsidRPr="008A7F2E"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8A7F2E">
              <w:t xml:space="preserve">Implementation of strategies by primary care practices to manage </w:t>
            </w:r>
            <w:r w:rsidR="001E4196">
              <w:t xml:space="preserve">the </w:t>
            </w:r>
            <w:r w:rsidRPr="008A7F2E">
              <w:t>cost of care for members</w:t>
            </w:r>
          </w:p>
        </w:tc>
        <w:tc>
          <w:tcPr>
            <w:tcW w:w="0" w:type="dxa"/>
          </w:tcPr>
          <w:p w14:paraId="2FB7614D" w14:textId="77777777" w:rsidR="00F27351" w:rsidRPr="008A7F2E"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8A7F2E">
              <w:t>Qualitative analysis of existing documents</w:t>
            </w:r>
          </w:p>
          <w:p w14:paraId="291C80F8" w14:textId="77777777" w:rsidR="00F27351" w:rsidRPr="008A7F2E"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8A7F2E">
              <w:t>Qualitative analysis of data collected through KIIs</w:t>
            </w:r>
          </w:p>
          <w:p w14:paraId="458C7433" w14:textId="77777777" w:rsidR="00F27351" w:rsidRPr="008A7F2E"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8A7F2E">
              <w:t>Analysis of surveys of ACO practice sites (practice site) and providers (provider)</w:t>
            </w:r>
          </w:p>
        </w:tc>
      </w:tr>
      <w:tr w:rsidR="006F3ACC" w:rsidRPr="0009132C" w14:paraId="5A2CEFA6" w14:textId="77777777" w:rsidTr="000132FC">
        <w:trPr>
          <w:cnfStyle w:val="000000100000" w:firstRow="0" w:lastRow="0" w:firstColumn="0" w:lastColumn="0" w:oddVBand="0" w:evenVBand="0" w:oddHBand="1" w:evenHBand="0" w:firstRowFirstColumn="0" w:firstRowLastColumn="0" w:lastRowFirstColumn="0" w:lastRowLastColumn="0"/>
          <w:trHeight w:val="3712"/>
        </w:trPr>
        <w:tc>
          <w:tcPr>
            <w:cnfStyle w:val="001000000000" w:firstRow="0" w:lastRow="0" w:firstColumn="1" w:lastColumn="0" w:oddVBand="0" w:evenVBand="0" w:oddHBand="0" w:evenHBand="0" w:firstRowFirstColumn="0" w:firstRowLastColumn="0" w:lastRowFirstColumn="0" w:lastRowLastColumn="0"/>
            <w:tcW w:w="0" w:type="dxa"/>
          </w:tcPr>
          <w:p w14:paraId="531DB97C" w14:textId="77777777" w:rsidR="00F27351" w:rsidRPr="0009132C" w:rsidRDefault="00F27351" w:rsidP="00BA4F36">
            <w:pPr>
              <w:pStyle w:val="TableNormal0"/>
              <w:rPr>
                <w:rFonts w:eastAsia="Arial Narrow"/>
                <w:bCs w:val="0"/>
              </w:rPr>
            </w:pPr>
            <w:r w:rsidRPr="0009132C">
              <w:rPr>
                <w:rFonts w:eastAsia="Arial"/>
              </w:rPr>
              <w:lastRenderedPageBreak/>
              <w:t xml:space="preserve">RQ2-3 </w:t>
            </w:r>
            <w:r w:rsidRPr="0009132C">
              <w:rPr>
                <w:rFonts w:eastAsia="Arial Narrow"/>
              </w:rPr>
              <w:t xml:space="preserve">How did access to and continuity of </w:t>
            </w:r>
            <w:r w:rsidRPr="0009132C">
              <w:rPr>
                <w:rFonts w:eastAsia="Arial"/>
              </w:rPr>
              <w:t>primary care</w:t>
            </w:r>
            <w:r w:rsidRPr="0009132C">
              <w:rPr>
                <w:rFonts w:eastAsia="Arial Narrow"/>
              </w:rPr>
              <w:t xml:space="preserve"> change for ACO members receiving care from </w:t>
            </w:r>
            <w:r w:rsidRPr="0009132C">
              <w:rPr>
                <w:rFonts w:eastAsia="Arial"/>
              </w:rPr>
              <w:t xml:space="preserve">primary care </w:t>
            </w:r>
            <w:r w:rsidRPr="0009132C">
              <w:rPr>
                <w:rFonts w:eastAsia="Arial Narrow"/>
              </w:rPr>
              <w:t>practice sites participating in MassHealth’s sub-capitation program?</w:t>
            </w:r>
          </w:p>
          <w:p w14:paraId="3661BCB0" w14:textId="77777777" w:rsidR="00F27351" w:rsidRPr="0009132C" w:rsidRDefault="00F27351" w:rsidP="00BA4F36">
            <w:pPr>
              <w:pStyle w:val="TableNormal0"/>
              <w:rPr>
                <w:rFonts w:eastAsia="Arial"/>
              </w:rPr>
            </w:pPr>
          </w:p>
        </w:tc>
        <w:tc>
          <w:tcPr>
            <w:tcW w:w="0" w:type="dxa"/>
          </w:tcPr>
          <w:p w14:paraId="5E908254" w14:textId="77777777"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rPr>
                <w:rFonts w:eastAsia="Arial Narrow" w:cs="Arial Narrow"/>
                <w:bCs/>
              </w:rPr>
            </w:pPr>
            <w:r w:rsidRPr="0009132C">
              <w:rPr>
                <w:rFonts w:eastAsia="Arial"/>
                <w:b/>
              </w:rPr>
              <w:t>H2-3.1</w:t>
            </w:r>
            <w:r w:rsidRPr="0009132C">
              <w:rPr>
                <w:rFonts w:eastAsia="Arial"/>
                <w:bCs/>
              </w:rPr>
              <w:t xml:space="preserve"> </w:t>
            </w:r>
            <w:r w:rsidRPr="0009132C">
              <w:rPr>
                <w:rFonts w:eastAsia="Arial"/>
              </w:rPr>
              <w:t>Access to and continuity of primary care will increase.</w:t>
            </w:r>
          </w:p>
          <w:p w14:paraId="68E4BAE9" w14:textId="77777777"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rPr>
                <w:rFonts w:eastAsia="Arial"/>
              </w:rPr>
            </w:pPr>
          </w:p>
        </w:tc>
        <w:tc>
          <w:tcPr>
            <w:tcW w:w="0" w:type="dxa"/>
          </w:tcPr>
          <w:p w14:paraId="29E37A27" w14:textId="0600E58B"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 xml:space="preserve">ACO practice site </w:t>
            </w:r>
            <w:r>
              <w:t>(</w:t>
            </w:r>
            <w:r w:rsidR="001E4196">
              <w:t>pre-</w:t>
            </w:r>
            <w:r>
              <w:t xml:space="preserve">2019, </w:t>
            </w:r>
            <w:r w:rsidR="001E4196">
              <w:t>pre-</w:t>
            </w:r>
            <w:r>
              <w:t xml:space="preserve">2021, </w:t>
            </w:r>
            <w:r w:rsidR="001E4196">
              <w:t>post-</w:t>
            </w:r>
            <w:r>
              <w:t xml:space="preserve">2024) </w:t>
            </w:r>
            <w:r w:rsidRPr="0009132C">
              <w:t>and provider surveys</w:t>
            </w:r>
            <w:r>
              <w:t xml:space="preserve"> (</w:t>
            </w:r>
            <w:r w:rsidR="001E4196">
              <w:t>pre-</w:t>
            </w:r>
            <w:r>
              <w:t>2020, pre</w:t>
            </w:r>
            <w:r w:rsidR="001E4196">
              <w:t>-</w:t>
            </w:r>
            <w:r>
              <w:t xml:space="preserve">2022, </w:t>
            </w:r>
            <w:r w:rsidR="001E4196">
              <w:t>post-</w:t>
            </w:r>
            <w:r>
              <w:t>2026)</w:t>
            </w:r>
            <w:r w:rsidRPr="0009132C">
              <w:t>;</w:t>
            </w:r>
          </w:p>
          <w:p w14:paraId="16D1E72A" w14:textId="29323105"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Administrative data</w:t>
            </w:r>
            <w:r>
              <w:t xml:space="preserve"> (baseline 2015-2017, </w:t>
            </w:r>
            <w:r w:rsidR="001E4196">
              <w:t>pre-</w:t>
            </w:r>
            <w:r>
              <w:t xml:space="preserve">2018-2022, </w:t>
            </w:r>
            <w:r w:rsidR="001E4196">
              <w:t>post-</w:t>
            </w:r>
            <w:r>
              <w:t>2023-2027)</w:t>
            </w:r>
            <w:r w:rsidRPr="0009132C">
              <w:t>;</w:t>
            </w:r>
          </w:p>
          <w:p w14:paraId="0D9DE431" w14:textId="6967CC71"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Member surveys</w:t>
            </w:r>
            <w:r>
              <w:t xml:space="preserve"> (</w:t>
            </w:r>
            <w:r w:rsidR="001E4196">
              <w:t>pre-</w:t>
            </w:r>
            <w:r>
              <w:t xml:space="preserve">2018-2022, </w:t>
            </w:r>
            <w:r w:rsidR="001E4196">
              <w:t>post-</w:t>
            </w:r>
            <w:r>
              <w:t>2023-2027)</w:t>
            </w:r>
          </w:p>
          <w:p w14:paraId="7D47EC89" w14:textId="77777777"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p>
        </w:tc>
        <w:tc>
          <w:tcPr>
            <w:tcW w:w="0" w:type="dxa"/>
          </w:tcPr>
          <w:p w14:paraId="4B4A4193" w14:textId="4FC734EC"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rPr>
                <w:shd w:val="clear" w:color="auto" w:fill="FFFFFF"/>
              </w:rPr>
            </w:pPr>
            <w:r w:rsidRPr="0009132C">
              <w:t xml:space="preserve">ACO </w:t>
            </w:r>
            <w:r w:rsidR="00913FBE">
              <w:t>p</w:t>
            </w:r>
            <w:r w:rsidR="00913FBE" w:rsidRPr="0009132C">
              <w:t xml:space="preserve">ractice </w:t>
            </w:r>
            <w:r w:rsidR="00913FBE">
              <w:t>s</w:t>
            </w:r>
            <w:r w:rsidR="00913FBE" w:rsidRPr="0009132C">
              <w:t xml:space="preserve">ite </w:t>
            </w:r>
            <w:r w:rsidR="00913FBE">
              <w:t>a</w:t>
            </w:r>
            <w:r w:rsidRPr="0009132C">
              <w:t>dministrator</w:t>
            </w:r>
            <w:r>
              <w:t xml:space="preserve"> </w:t>
            </w:r>
            <w:r w:rsidR="00913FBE">
              <w:t>s</w:t>
            </w:r>
            <w:r>
              <w:t>urvey (n=~350)</w:t>
            </w:r>
            <w:r w:rsidRPr="0009132C">
              <w:t>;</w:t>
            </w:r>
          </w:p>
          <w:p w14:paraId="7AC27D57" w14:textId="0108846D"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ACO members</w:t>
            </w:r>
            <w:r>
              <w:t xml:space="preserve"> (n=~1.3 million; comparison group of MCO/PCC members n=~152,000)</w:t>
            </w:r>
            <w:r w:rsidRPr="0009132C">
              <w:t>;</w:t>
            </w:r>
          </w:p>
          <w:p w14:paraId="124F63C0" w14:textId="77777777"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rPr>
                <w:b/>
              </w:rPr>
            </w:pPr>
            <w:r w:rsidRPr="0009132C">
              <w:rPr>
                <w:rFonts w:eastAsia="Arial"/>
              </w:rPr>
              <w:t>Subgroups</w:t>
            </w:r>
            <w:r w:rsidRPr="0009132C">
              <w:rPr>
                <w:rFonts w:eastAsia="Arial"/>
                <w:b/>
              </w:rPr>
              <w:t xml:space="preserve"> </w:t>
            </w:r>
            <w:r w:rsidRPr="0009132C">
              <w:rPr>
                <w:rFonts w:eastAsia="Arial"/>
              </w:rPr>
              <w:t>defined by member, practice site (e.g., sub-capitation clinical tier), and ACO characteristics</w:t>
            </w:r>
          </w:p>
        </w:tc>
        <w:tc>
          <w:tcPr>
            <w:tcW w:w="0" w:type="dxa"/>
          </w:tcPr>
          <w:p w14:paraId="0AB27B05" w14:textId="77777777"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Prevalence of primary care practices in each sub-capitation clinical tier;</w:t>
            </w:r>
          </w:p>
          <w:p w14:paraId="7C26201E" w14:textId="77777777"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Continuity of BH care;</w:t>
            </w:r>
          </w:p>
          <w:p w14:paraId="5DAB0CAB" w14:textId="77777777"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Continuity of primary care;</w:t>
            </w:r>
          </w:p>
          <w:p w14:paraId="0611DA03" w14:textId="77777777"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Access measures reported by practice sites;</w:t>
            </w:r>
          </w:p>
          <w:p w14:paraId="75E5490D" w14:textId="3ECCF3B5" w:rsidR="00F27351" w:rsidRPr="0009132C" w:rsidRDefault="00AB34FD" w:rsidP="00BA4F36">
            <w:pPr>
              <w:pStyle w:val="TableNormal0"/>
              <w:cnfStyle w:val="000000100000" w:firstRow="0" w:lastRow="0" w:firstColumn="0" w:lastColumn="0" w:oddVBand="0" w:evenVBand="0" w:oddHBand="1" w:evenHBand="0" w:firstRowFirstColumn="0" w:firstRowLastColumn="0" w:lastRowFirstColumn="0" w:lastRowLastColumn="0"/>
            </w:pPr>
            <w:r w:rsidRPr="0009132C">
              <w:t>Member</w:t>
            </w:r>
            <w:r>
              <w:t>-</w:t>
            </w:r>
            <w:r w:rsidR="00F27351" w:rsidRPr="0009132C">
              <w:t>reported access to care</w:t>
            </w:r>
          </w:p>
        </w:tc>
        <w:tc>
          <w:tcPr>
            <w:tcW w:w="0" w:type="dxa"/>
          </w:tcPr>
          <w:p w14:paraId="78307F1D" w14:textId="77777777"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Descriptive analysis</w:t>
            </w:r>
            <w:r>
              <w:t xml:space="preserve"> (member)</w:t>
            </w:r>
            <w:r w:rsidRPr="0009132C">
              <w:t>;</w:t>
            </w:r>
          </w:p>
          <w:p w14:paraId="7789846D" w14:textId="57AE43BD"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 xml:space="preserve">Observed vs </w:t>
            </w:r>
            <w:r w:rsidR="00BF46AC">
              <w:t>e</w:t>
            </w:r>
            <w:r w:rsidRPr="0009132C">
              <w:t>xpected</w:t>
            </w:r>
            <w:r>
              <w:t xml:space="preserve"> (member)</w:t>
            </w:r>
            <w:r w:rsidRPr="0009132C">
              <w:t>;</w:t>
            </w:r>
          </w:p>
          <w:p w14:paraId="71AA4467" w14:textId="1602A7D7"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Quasi-</w:t>
            </w:r>
            <w:r w:rsidR="00BF46AC">
              <w:t>e</w:t>
            </w:r>
            <w:r w:rsidRPr="0009132C">
              <w:t xml:space="preserve">xperimental </w:t>
            </w:r>
            <w:r w:rsidR="00BF46AC">
              <w:t>m</w:t>
            </w:r>
            <w:r w:rsidRPr="0009132C">
              <w:t>ethods</w:t>
            </w:r>
            <w:r>
              <w:t xml:space="preserve"> (member)</w:t>
            </w:r>
            <w:r w:rsidRPr="0009132C">
              <w:t>;</w:t>
            </w:r>
          </w:p>
          <w:p w14:paraId="2C0F1888" w14:textId="77777777"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Analysis of surveys of ACO practice sites</w:t>
            </w:r>
            <w:r>
              <w:t xml:space="preserve"> (practice site)</w:t>
            </w:r>
          </w:p>
        </w:tc>
      </w:tr>
      <w:tr w:rsidR="00F27351" w:rsidRPr="0009132C" w14:paraId="7254D950" w14:textId="77777777" w:rsidTr="000132FC">
        <w:trPr>
          <w:trHeight w:val="89"/>
        </w:trPr>
        <w:tc>
          <w:tcPr>
            <w:cnfStyle w:val="001000000000" w:firstRow="0" w:lastRow="0" w:firstColumn="1" w:lastColumn="0" w:oddVBand="0" w:evenVBand="0" w:oddHBand="0" w:evenHBand="0" w:firstRowFirstColumn="0" w:firstRowLastColumn="0" w:lastRowFirstColumn="0" w:lastRowLastColumn="0"/>
            <w:tcW w:w="0" w:type="dxa"/>
            <w:hideMark/>
          </w:tcPr>
          <w:p w14:paraId="08F28FC5" w14:textId="77777777" w:rsidR="00F27351" w:rsidRPr="0009132C" w:rsidRDefault="00F27351" w:rsidP="00BA4F36">
            <w:pPr>
              <w:pStyle w:val="TableNormal0"/>
              <w:rPr>
                <w:rFonts w:eastAsia="Arial"/>
                <w:color w:val="000000"/>
              </w:rPr>
            </w:pPr>
            <w:r w:rsidRPr="0009132C">
              <w:rPr>
                <w:rFonts w:eastAsia="Arial"/>
              </w:rPr>
              <w:t>RQ2-4 How did integration between physical, behavioral, social, and long-term services change over time for ACO members?</w:t>
            </w:r>
          </w:p>
        </w:tc>
        <w:tc>
          <w:tcPr>
            <w:tcW w:w="0" w:type="dxa"/>
            <w:hideMark/>
          </w:tcPr>
          <w:p w14:paraId="5C823196" w14:textId="77777777"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rPr>
                <w:rFonts w:eastAsia="Arial"/>
                <w:color w:val="000000"/>
              </w:rPr>
            </w:pPr>
            <w:r w:rsidRPr="0009132C">
              <w:rPr>
                <w:rFonts w:eastAsia="Arial"/>
                <w:b/>
              </w:rPr>
              <w:t>H2-4.1</w:t>
            </w:r>
            <w:r w:rsidRPr="0009132C">
              <w:rPr>
                <w:rFonts w:eastAsia="Arial"/>
              </w:rPr>
              <w:t xml:space="preserve"> Integration across the care continuum (e.g., physical health, BH, LTSS, acute care, social services) will increase.</w:t>
            </w:r>
            <w:r w:rsidRPr="0009132C">
              <w:br/>
            </w:r>
          </w:p>
        </w:tc>
        <w:tc>
          <w:tcPr>
            <w:tcW w:w="0" w:type="dxa"/>
          </w:tcPr>
          <w:p w14:paraId="09B52A1A" w14:textId="7EEDB05A"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09132C">
              <w:t>Key Informant Individual and/or group interviews</w:t>
            </w:r>
            <w:r w:rsidRPr="00072F0F">
              <w:t>;</w:t>
            </w:r>
            <w:r w:rsidRPr="00072F0F">
              <w:rPr>
                <w:rStyle w:val="eop"/>
              </w:rPr>
              <w:t> </w:t>
            </w:r>
            <w:r w:rsidRPr="00072F0F">
              <w:t>(2024-2025; 2026-2027)</w:t>
            </w:r>
          </w:p>
          <w:p w14:paraId="061CDC6C" w14:textId="52289A15"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09132C">
              <w:t>ACO Practice Site</w:t>
            </w:r>
            <w:r>
              <w:t xml:space="preserve"> (</w:t>
            </w:r>
            <w:r w:rsidR="0002608C">
              <w:t>pre-</w:t>
            </w:r>
            <w:r>
              <w:t xml:space="preserve">2019, </w:t>
            </w:r>
            <w:r w:rsidR="0002608C">
              <w:t>pre-</w:t>
            </w:r>
            <w:r>
              <w:t xml:space="preserve">2021, </w:t>
            </w:r>
            <w:r w:rsidR="0002608C">
              <w:t>post-</w:t>
            </w:r>
            <w:r>
              <w:t>2024)</w:t>
            </w:r>
            <w:r w:rsidRPr="0009132C">
              <w:t>, ACO provider</w:t>
            </w:r>
            <w:r>
              <w:t xml:space="preserve"> (</w:t>
            </w:r>
            <w:r w:rsidR="0002608C">
              <w:t>pre-</w:t>
            </w:r>
            <w:r>
              <w:t xml:space="preserve">2020, </w:t>
            </w:r>
            <w:r w:rsidR="0002608C">
              <w:t>pre-</w:t>
            </w:r>
            <w:r>
              <w:t xml:space="preserve">2022, </w:t>
            </w:r>
            <w:r w:rsidR="0002608C">
              <w:t>post-</w:t>
            </w:r>
            <w:r>
              <w:t>2026)</w:t>
            </w:r>
            <w:r w:rsidRPr="0009132C">
              <w:t>, CP staff</w:t>
            </w:r>
            <w:r>
              <w:t xml:space="preserve"> (</w:t>
            </w:r>
            <w:r w:rsidR="0002608C">
              <w:t>pre-</w:t>
            </w:r>
            <w:r>
              <w:t xml:space="preserve">2020, </w:t>
            </w:r>
            <w:r w:rsidR="0002608C">
              <w:t>pre-</w:t>
            </w:r>
            <w:r>
              <w:t xml:space="preserve">2022, </w:t>
            </w:r>
            <w:r w:rsidR="0002608C">
              <w:t>post-</w:t>
            </w:r>
            <w:r>
              <w:t>2026)</w:t>
            </w:r>
            <w:r w:rsidRPr="0009132C">
              <w:t>, and Member Surveys</w:t>
            </w:r>
            <w:r>
              <w:t xml:space="preserve"> (</w:t>
            </w:r>
            <w:r w:rsidR="0002608C">
              <w:t>pre-</w:t>
            </w:r>
            <w:r>
              <w:t xml:space="preserve">2018-2022, </w:t>
            </w:r>
            <w:r w:rsidR="0002608C">
              <w:t>post-</w:t>
            </w:r>
            <w:r>
              <w:t>2023-2027)</w:t>
            </w:r>
            <w:r w:rsidRPr="0009132C">
              <w:t>;</w:t>
            </w:r>
          </w:p>
          <w:p w14:paraId="1C40DED2" w14:textId="33D69DB0"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09132C">
              <w:t>Administrative data</w:t>
            </w:r>
            <w:r>
              <w:t xml:space="preserve"> (baseline 2015-2017, </w:t>
            </w:r>
            <w:r w:rsidR="00474481">
              <w:t>pre-</w:t>
            </w:r>
            <w:r>
              <w:lastRenderedPageBreak/>
              <w:t xml:space="preserve">2018-2022, </w:t>
            </w:r>
            <w:r w:rsidR="00474481">
              <w:t>post-</w:t>
            </w:r>
            <w:r>
              <w:t>2023-2027)</w:t>
            </w:r>
          </w:p>
        </w:tc>
        <w:tc>
          <w:tcPr>
            <w:tcW w:w="0" w:type="dxa"/>
          </w:tcPr>
          <w:p w14:paraId="7FB0F1FB" w14:textId="77777777" w:rsidR="00F27351" w:rsidRPr="0009132C" w:rsidRDefault="00F27351" w:rsidP="00BA4F36">
            <w:pPr>
              <w:pStyle w:val="TableNormal0"/>
              <w:spacing w:after="0"/>
              <w:cnfStyle w:val="000000000000" w:firstRow="0" w:lastRow="0" w:firstColumn="0" w:lastColumn="0" w:oddVBand="0" w:evenVBand="0" w:oddHBand="0" w:evenHBand="0" w:firstRowFirstColumn="0" w:firstRowLastColumn="0" w:lastRowFirstColumn="0" w:lastRowLastColumn="0"/>
            </w:pPr>
            <w:r w:rsidRPr="0009132C">
              <w:lastRenderedPageBreak/>
              <w:t>ACO and practice level providers and staff:</w:t>
            </w:r>
          </w:p>
          <w:p w14:paraId="42402644" w14:textId="4B6C2601" w:rsidR="00F27351" w:rsidRPr="0009132C" w:rsidRDefault="00F27351" w:rsidP="00BA4F36">
            <w:pPr>
              <w:pStyle w:val="TableBullet"/>
              <w:cnfStyle w:val="000000000000" w:firstRow="0" w:lastRow="0" w:firstColumn="0" w:lastColumn="0" w:oddVBand="0" w:evenVBand="0" w:oddHBand="0" w:evenHBand="0" w:firstRowFirstColumn="0" w:firstRowLastColumn="0" w:lastRowFirstColumn="0" w:lastRowLastColumn="0"/>
            </w:pPr>
            <w:r w:rsidRPr="0009132C">
              <w:t>Providers</w:t>
            </w:r>
            <w:r>
              <w:t xml:space="preserve"> </w:t>
            </w:r>
            <w:r w:rsidR="005571AE">
              <w:t>s</w:t>
            </w:r>
            <w:r>
              <w:t>urvey (n=~5,000)</w:t>
            </w:r>
            <w:r w:rsidRPr="0009132C">
              <w:t>;</w:t>
            </w:r>
          </w:p>
          <w:p w14:paraId="3208D0C0" w14:textId="4F02B3A0" w:rsidR="00F27351" w:rsidRPr="0009132C" w:rsidRDefault="00F27351" w:rsidP="00BA4F36">
            <w:pPr>
              <w:pStyle w:val="TableBullet"/>
              <w:cnfStyle w:val="000000000000" w:firstRow="0" w:lastRow="0" w:firstColumn="0" w:lastColumn="0" w:oddVBand="0" w:evenVBand="0" w:oddHBand="0" w:evenHBand="0" w:firstRowFirstColumn="0" w:firstRowLastColumn="0" w:lastRowFirstColumn="0" w:lastRowLastColumn="0"/>
            </w:pPr>
            <w:r w:rsidRPr="0009132C">
              <w:t xml:space="preserve">Practice </w:t>
            </w:r>
            <w:r w:rsidR="005571AE">
              <w:t>s</w:t>
            </w:r>
            <w:r w:rsidRPr="0009132C">
              <w:t xml:space="preserve">ite </w:t>
            </w:r>
            <w:r w:rsidR="005571AE">
              <w:t>a</w:t>
            </w:r>
            <w:r w:rsidRPr="0009132C">
              <w:t>dministrators</w:t>
            </w:r>
            <w:r>
              <w:t xml:space="preserve"> </w:t>
            </w:r>
            <w:r w:rsidR="005571AE">
              <w:t>s</w:t>
            </w:r>
            <w:r>
              <w:t>urvey (n=~350)</w:t>
            </w:r>
            <w:r w:rsidRPr="0009132C">
              <w:t>;</w:t>
            </w:r>
          </w:p>
          <w:p w14:paraId="173D2B9F" w14:textId="15C7AE14" w:rsidR="00F27351" w:rsidRPr="0009132C" w:rsidRDefault="00F27351" w:rsidP="00BA4F36">
            <w:pPr>
              <w:pStyle w:val="TableBullet"/>
              <w:cnfStyle w:val="000000000000" w:firstRow="0" w:lastRow="0" w:firstColumn="0" w:lastColumn="0" w:oddVBand="0" w:evenVBand="0" w:oddHBand="0" w:evenHBand="0" w:firstRowFirstColumn="0" w:firstRowLastColumn="0" w:lastRowFirstColumn="0" w:lastRowLastColumn="0"/>
            </w:pPr>
            <w:r w:rsidRPr="0009132C">
              <w:t xml:space="preserve">Leadership and </w:t>
            </w:r>
            <w:r w:rsidR="005571AE">
              <w:t>o</w:t>
            </w:r>
            <w:r w:rsidRPr="0009132C">
              <w:t xml:space="preserve">ther </w:t>
            </w:r>
            <w:r w:rsidR="005571AE">
              <w:t>s</w:t>
            </w:r>
            <w:r w:rsidRPr="0009132C">
              <w:t>taff</w:t>
            </w:r>
            <w:r>
              <w:t xml:space="preserve"> </w:t>
            </w:r>
            <w:r w:rsidR="005571AE">
              <w:t>i</w:t>
            </w:r>
            <w:r>
              <w:t xml:space="preserve">nterviewees </w:t>
            </w:r>
            <w:r w:rsidR="006607CB">
              <w:br/>
            </w:r>
            <w:r>
              <w:t>(n</w:t>
            </w:r>
            <w:r w:rsidR="00B442EB">
              <w:t xml:space="preserve"> </w:t>
            </w:r>
            <w:r w:rsidR="00B442EB">
              <w:rPr>
                <w:rStyle w:val="ui-provider"/>
              </w:rPr>
              <w:t xml:space="preserve">≤ </w:t>
            </w:r>
            <w:r>
              <w:t>50)</w:t>
            </w:r>
            <w:r w:rsidRPr="0009132C">
              <w:t>;</w:t>
            </w:r>
            <w:r>
              <w:t xml:space="preserve"> </w:t>
            </w:r>
          </w:p>
          <w:p w14:paraId="20BF2C62" w14:textId="4B3FCCC6" w:rsidR="00F27351" w:rsidRPr="0009132C" w:rsidRDefault="00F27351" w:rsidP="00BA4F36">
            <w:pPr>
              <w:pStyle w:val="TableBullet"/>
              <w:cnfStyle w:val="000000000000" w:firstRow="0" w:lastRow="0" w:firstColumn="0" w:lastColumn="0" w:oddVBand="0" w:evenVBand="0" w:oddHBand="0" w:evenHBand="0" w:firstRowFirstColumn="0" w:firstRowLastColumn="0" w:lastRowFirstColumn="0" w:lastRowLastColumn="0"/>
            </w:pPr>
            <w:r w:rsidRPr="0009132C">
              <w:t xml:space="preserve">Care </w:t>
            </w:r>
            <w:r w:rsidR="005571AE">
              <w:t>m</w:t>
            </w:r>
            <w:r w:rsidRPr="0009132C">
              <w:t xml:space="preserve">anagement </w:t>
            </w:r>
            <w:r w:rsidR="005571AE">
              <w:t>s</w:t>
            </w:r>
            <w:r w:rsidRPr="0009132C">
              <w:t>taff</w:t>
            </w:r>
            <w:r>
              <w:t xml:space="preserve"> Interviewees </w:t>
            </w:r>
            <w:r w:rsidR="006607CB">
              <w:br/>
            </w:r>
            <w:r>
              <w:t>(n</w:t>
            </w:r>
            <w:r w:rsidR="00B442EB">
              <w:t xml:space="preserve"> ≤ </w:t>
            </w:r>
            <w:r>
              <w:t>20-30)</w:t>
            </w:r>
          </w:p>
          <w:p w14:paraId="6116793A" w14:textId="77777777" w:rsidR="00F27351" w:rsidRPr="0009132C" w:rsidRDefault="00F27351" w:rsidP="00BA4F36">
            <w:pPr>
              <w:pStyle w:val="TableNormal0"/>
              <w:spacing w:before="240" w:after="0"/>
              <w:cnfStyle w:val="000000000000" w:firstRow="0" w:lastRow="0" w:firstColumn="0" w:lastColumn="0" w:oddVBand="0" w:evenVBand="0" w:oddHBand="0" w:evenHBand="0" w:firstRowFirstColumn="0" w:firstRowLastColumn="0" w:lastRowFirstColumn="0" w:lastRowLastColumn="0"/>
            </w:pPr>
            <w:r w:rsidRPr="0009132C">
              <w:lastRenderedPageBreak/>
              <w:t>CP staff:</w:t>
            </w:r>
          </w:p>
          <w:p w14:paraId="363586CE" w14:textId="0F40873D" w:rsidR="00F27351" w:rsidRPr="0009132C" w:rsidRDefault="00F27351" w:rsidP="00BA4F36">
            <w:pPr>
              <w:pStyle w:val="TableBullet"/>
              <w:cnfStyle w:val="000000000000" w:firstRow="0" w:lastRow="0" w:firstColumn="0" w:lastColumn="0" w:oddVBand="0" w:evenVBand="0" w:oddHBand="0" w:evenHBand="0" w:firstRowFirstColumn="0" w:firstRowLastColumn="0" w:lastRowFirstColumn="0" w:lastRowLastColumn="0"/>
            </w:pPr>
            <w:r w:rsidRPr="0009132C">
              <w:t>Administrators</w:t>
            </w:r>
            <w:r>
              <w:t xml:space="preserve"> </w:t>
            </w:r>
            <w:r w:rsidR="00D53284">
              <w:t>i</w:t>
            </w:r>
            <w:r>
              <w:t>nterviewees (n</w:t>
            </w:r>
            <w:r w:rsidR="00B442EB">
              <w:t xml:space="preserve"> ≤ </w:t>
            </w:r>
            <w:r>
              <w:t>60)</w:t>
            </w:r>
            <w:r w:rsidRPr="0009132C">
              <w:t>;</w:t>
            </w:r>
          </w:p>
          <w:p w14:paraId="3E81536B" w14:textId="5230086C" w:rsidR="00F27351" w:rsidRDefault="00F27351" w:rsidP="00BA4F36">
            <w:pPr>
              <w:pStyle w:val="TableBullet"/>
              <w:cnfStyle w:val="000000000000" w:firstRow="0" w:lastRow="0" w:firstColumn="0" w:lastColumn="0" w:oddVBand="0" w:evenVBand="0" w:oddHBand="0" w:evenHBand="0" w:firstRowFirstColumn="0" w:firstRowLastColumn="0" w:lastRowFirstColumn="0" w:lastRowLastColumn="0"/>
            </w:pPr>
            <w:r w:rsidRPr="0009132C">
              <w:t>Front</w:t>
            </w:r>
            <w:r w:rsidR="00FC4EF9">
              <w:t>-</w:t>
            </w:r>
            <w:r w:rsidR="00D53284">
              <w:t>l</w:t>
            </w:r>
            <w:r w:rsidRPr="0009132C">
              <w:t xml:space="preserve">ine </w:t>
            </w:r>
            <w:r w:rsidR="00D53284">
              <w:t>s</w:t>
            </w:r>
            <w:r w:rsidRPr="0009132C">
              <w:t>taff</w:t>
            </w:r>
            <w:r>
              <w:t xml:space="preserve"> </w:t>
            </w:r>
            <w:r w:rsidR="00D53284">
              <w:t>s</w:t>
            </w:r>
            <w:r>
              <w:t>urvey (n=~600)</w:t>
            </w:r>
          </w:p>
          <w:p w14:paraId="026A0DC3" w14:textId="77777777" w:rsidR="00F27351" w:rsidRPr="0078481C" w:rsidRDefault="00F27351" w:rsidP="00BA4F36">
            <w:pPr>
              <w:spacing w:after="120"/>
              <w:cnfStyle w:val="000000000000" w:firstRow="0" w:lastRow="0" w:firstColumn="0" w:lastColumn="0" w:oddVBand="0" w:evenVBand="0" w:oddHBand="0" w:evenHBand="0" w:firstRowFirstColumn="0" w:firstRowLastColumn="0" w:lastRowFirstColumn="0" w:lastRowLastColumn="0"/>
            </w:pPr>
            <w:r w:rsidRPr="0078481C">
              <w:t>Members</w:t>
            </w:r>
            <w:r>
              <w:t>:</w:t>
            </w:r>
          </w:p>
          <w:p w14:paraId="399E95CE" w14:textId="13A22DE4" w:rsidR="00F27351" w:rsidRPr="0009132C" w:rsidRDefault="00F27351" w:rsidP="00BA4F36">
            <w:pPr>
              <w:pStyle w:val="TableBullet"/>
              <w:cnfStyle w:val="000000000000" w:firstRow="0" w:lastRow="0" w:firstColumn="0" w:lastColumn="0" w:oddVBand="0" w:evenVBand="0" w:oddHBand="0" w:evenHBand="0" w:firstRowFirstColumn="0" w:firstRowLastColumn="0" w:lastRowFirstColumn="0" w:lastRowLastColumn="0"/>
            </w:pPr>
            <w:r w:rsidRPr="0009132C">
              <w:t>Managed care eligible members</w:t>
            </w:r>
            <w:r>
              <w:t xml:space="preserve"> (n=~1.3 million)</w:t>
            </w:r>
            <w:r w:rsidRPr="0009132C">
              <w:t>;</w:t>
            </w:r>
          </w:p>
          <w:p w14:paraId="13E5E0E0" w14:textId="041F1E19" w:rsidR="00F27351" w:rsidRPr="0009132C" w:rsidRDefault="00F27351" w:rsidP="00BA4F36">
            <w:pPr>
              <w:pStyle w:val="TableBullet"/>
              <w:cnfStyle w:val="000000000000" w:firstRow="0" w:lastRow="0" w:firstColumn="0" w:lastColumn="0" w:oddVBand="0" w:evenVBand="0" w:oddHBand="0" w:evenHBand="0" w:firstRowFirstColumn="0" w:firstRowLastColumn="0" w:lastRowFirstColumn="0" w:lastRowLastColumn="0"/>
            </w:pPr>
            <w:r w:rsidRPr="0009132C">
              <w:t>ACO members</w:t>
            </w:r>
            <w:r>
              <w:t xml:space="preserve"> (n=~1.3 million; comparison group of MCO/PCC members n=~152000)</w:t>
            </w:r>
            <w:r w:rsidRPr="0009132C">
              <w:t>;</w:t>
            </w:r>
          </w:p>
          <w:p w14:paraId="74F09E1B" w14:textId="45FC53B4" w:rsidR="00F27351" w:rsidRPr="0009132C" w:rsidRDefault="00F27351" w:rsidP="00BA4F36">
            <w:pPr>
              <w:pStyle w:val="TableBullet"/>
              <w:cnfStyle w:val="000000000000" w:firstRow="0" w:lastRow="0" w:firstColumn="0" w:lastColumn="0" w:oddVBand="0" w:evenVBand="0" w:oddHBand="0" w:evenHBand="0" w:firstRowFirstColumn="0" w:firstRowLastColumn="0" w:lastRowFirstColumn="0" w:lastRowLastColumn="0"/>
            </w:pPr>
            <w:r w:rsidRPr="0009132C">
              <w:t>CP</w:t>
            </w:r>
            <w:r>
              <w:t xml:space="preserve"> (n=~35,000)</w:t>
            </w:r>
            <w:r w:rsidRPr="0009132C">
              <w:t xml:space="preserve"> and ACO </w:t>
            </w:r>
            <w:r w:rsidR="00EC4746">
              <w:t>c</w:t>
            </w:r>
            <w:r w:rsidRPr="0009132C">
              <w:t xml:space="preserve">are </w:t>
            </w:r>
            <w:r w:rsidR="00EC4746">
              <w:t>m</w:t>
            </w:r>
            <w:r w:rsidRPr="0009132C">
              <w:t>anagement members</w:t>
            </w:r>
            <w:r>
              <w:t xml:space="preserve"> (n=~110,000)</w:t>
            </w:r>
          </w:p>
          <w:p w14:paraId="4DEE5C82" w14:textId="77777777" w:rsidR="00F27351" w:rsidRPr="0009132C" w:rsidRDefault="00F27351" w:rsidP="00BA4F36">
            <w:pPr>
              <w:pStyle w:val="TableNormal0"/>
              <w:spacing w:before="240" w:after="0"/>
              <w:cnfStyle w:val="000000000000" w:firstRow="0" w:lastRow="0" w:firstColumn="0" w:lastColumn="0" w:oddVBand="0" w:evenVBand="0" w:oddHBand="0" w:evenHBand="0" w:firstRowFirstColumn="0" w:firstRowLastColumn="0" w:lastRowFirstColumn="0" w:lastRowLastColumn="0"/>
              <w:rPr>
                <w:b/>
                <w:shd w:val="clear" w:color="auto" w:fill="FFFFFF"/>
              </w:rPr>
            </w:pPr>
            <w:r w:rsidRPr="0009132C">
              <w:rPr>
                <w:rFonts w:eastAsia="Arial"/>
                <w:bCs/>
              </w:rPr>
              <w:t xml:space="preserve">Subgroups </w:t>
            </w:r>
            <w:r w:rsidRPr="0009132C">
              <w:rPr>
                <w:rFonts w:eastAsia="Arial"/>
              </w:rPr>
              <w:t>defined by member (e.g., adults, children, chronic conditions) and ACO characteristics (e.g., type)</w:t>
            </w:r>
          </w:p>
        </w:tc>
        <w:tc>
          <w:tcPr>
            <w:tcW w:w="0" w:type="dxa"/>
          </w:tcPr>
          <w:p w14:paraId="4C5FB3E1" w14:textId="77777777"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09132C">
              <w:lastRenderedPageBreak/>
              <w:t>Changes to organizational structures, activities, and processes to promote integration;</w:t>
            </w:r>
          </w:p>
          <w:p w14:paraId="0E84919D" w14:textId="77777777"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rPr>
                <w:color w:val="000000"/>
              </w:rPr>
            </w:pPr>
            <w:r w:rsidRPr="0009132C">
              <w:t>Member experience of physical, social, behavioral, and long-term services integration;</w:t>
            </w:r>
          </w:p>
          <w:p w14:paraId="0ED2E378" w14:textId="02480D54"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09132C">
              <w:t>Practice site manager, ACO provider</w:t>
            </w:r>
            <w:r w:rsidR="00474481">
              <w:t>,</w:t>
            </w:r>
            <w:r w:rsidRPr="0009132C">
              <w:t xml:space="preserve"> and CP staff perceptions of changes in integration;</w:t>
            </w:r>
          </w:p>
          <w:p w14:paraId="4B6D253F" w14:textId="22AF1B24" w:rsidR="00F27351" w:rsidRPr="00524668"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524668">
              <w:t xml:space="preserve">Diabetes </w:t>
            </w:r>
            <w:r w:rsidR="00907341">
              <w:t>s</w:t>
            </w:r>
            <w:r w:rsidRPr="00524668">
              <w:t xml:space="preserve">creening for </w:t>
            </w:r>
            <w:r w:rsidR="00907341">
              <w:t>i</w:t>
            </w:r>
            <w:r w:rsidRPr="00524668">
              <w:t xml:space="preserve">ndividuals with </w:t>
            </w:r>
            <w:r w:rsidR="00907341">
              <w:t>s</w:t>
            </w:r>
            <w:r w:rsidRPr="00524668">
              <w:t xml:space="preserve">chizophrenia or </w:t>
            </w:r>
            <w:r w:rsidR="00907341">
              <w:t>b</w:t>
            </w:r>
            <w:r w:rsidRPr="00524668">
              <w:t xml:space="preserve">ipolar </w:t>
            </w:r>
            <w:r w:rsidR="00907341">
              <w:lastRenderedPageBreak/>
              <w:t>d</w:t>
            </w:r>
            <w:r w:rsidRPr="00524668">
              <w:t xml:space="preserve">isorder </w:t>
            </w:r>
            <w:r w:rsidR="00907341">
              <w:t>w</w:t>
            </w:r>
            <w:r w:rsidRPr="00524668">
              <w:t xml:space="preserve">ho </w:t>
            </w:r>
            <w:r w:rsidR="00907341">
              <w:t>a</w:t>
            </w:r>
            <w:r w:rsidR="00907341" w:rsidRPr="00524668">
              <w:t xml:space="preserve">re </w:t>
            </w:r>
            <w:r w:rsidR="00907341">
              <w:t>u</w:t>
            </w:r>
            <w:r w:rsidR="00907341" w:rsidRPr="00524668">
              <w:t xml:space="preserve">sing </w:t>
            </w:r>
            <w:r w:rsidR="00907341">
              <w:t>a</w:t>
            </w:r>
            <w:r w:rsidR="00907341" w:rsidRPr="00524668">
              <w:t xml:space="preserve">ntipsychotic </w:t>
            </w:r>
            <w:r w:rsidR="00907341">
              <w:t>m</w:t>
            </w:r>
            <w:r w:rsidR="00907341" w:rsidRPr="00524668">
              <w:t>edication</w:t>
            </w:r>
            <w:r w:rsidRPr="00524668">
              <w:t>;</w:t>
            </w:r>
          </w:p>
          <w:p w14:paraId="353AB3A2" w14:textId="77777777"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09132C">
              <w:t>Physician visit within 30 days of hospital discharge;</w:t>
            </w:r>
          </w:p>
          <w:p w14:paraId="280A2E36" w14:textId="05C07B00"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09132C">
              <w:t xml:space="preserve">Follow-Up </w:t>
            </w:r>
            <w:r w:rsidR="00F96FAB">
              <w:t>a</w:t>
            </w:r>
            <w:r w:rsidR="00F96FAB" w:rsidRPr="0009132C">
              <w:t xml:space="preserve">fter </w:t>
            </w:r>
            <w:r w:rsidRPr="0009132C">
              <w:t>Emergency Department</w:t>
            </w:r>
            <w:r w:rsidR="002536E8">
              <w:t xml:space="preserve"> (ED)</w:t>
            </w:r>
            <w:r w:rsidRPr="0009132C">
              <w:t xml:space="preserve"> </w:t>
            </w:r>
            <w:r w:rsidR="00F96FAB">
              <w:t>v</w:t>
            </w:r>
            <w:r w:rsidR="00F96FAB" w:rsidRPr="0009132C">
              <w:t xml:space="preserve">isit </w:t>
            </w:r>
            <w:r w:rsidRPr="0009132C">
              <w:t>for Alcohol and Other Drug Abuse or Dependence (FUA-AD);</w:t>
            </w:r>
          </w:p>
          <w:p w14:paraId="299B97B9" w14:textId="17F81230"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rPr>
                <w:color w:val="000000"/>
              </w:rPr>
            </w:pPr>
            <w:r w:rsidRPr="0009132C">
              <w:t xml:space="preserve">Follow-up after </w:t>
            </w:r>
            <w:r w:rsidR="00907341">
              <w:t>h</w:t>
            </w:r>
            <w:r w:rsidR="00907341" w:rsidRPr="0009132C">
              <w:t xml:space="preserve">ospitalization </w:t>
            </w:r>
            <w:r w:rsidRPr="0009132C">
              <w:t xml:space="preserve">for </w:t>
            </w:r>
            <w:r w:rsidR="00907341">
              <w:t>m</w:t>
            </w:r>
            <w:r w:rsidR="00907341" w:rsidRPr="0009132C">
              <w:t xml:space="preserve">ental </w:t>
            </w:r>
            <w:r w:rsidR="00907341">
              <w:t>i</w:t>
            </w:r>
            <w:r w:rsidRPr="0009132C">
              <w:t>llness;</w:t>
            </w:r>
          </w:p>
          <w:p w14:paraId="51186055" w14:textId="77777777"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09132C">
              <w:t>Follow-up with CP after acute or post-acute stay;</w:t>
            </w:r>
          </w:p>
          <w:p w14:paraId="2F348BB3" w14:textId="77777777"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09132C">
              <w:t>Follow-up with CP after ED visit (BH CP)</w:t>
            </w:r>
          </w:p>
        </w:tc>
        <w:tc>
          <w:tcPr>
            <w:tcW w:w="0" w:type="dxa"/>
          </w:tcPr>
          <w:p w14:paraId="0DE01E4F" w14:textId="77777777"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09132C">
              <w:lastRenderedPageBreak/>
              <w:t>Qualitative analysis of existing documents;</w:t>
            </w:r>
          </w:p>
          <w:p w14:paraId="69F76CBA" w14:textId="77777777"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09132C">
              <w:t>Qualitative analysis of data collected through KIIs;</w:t>
            </w:r>
          </w:p>
          <w:p w14:paraId="541305F8" w14:textId="22DE7582"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09132C">
              <w:t xml:space="preserve">Analysis of </w:t>
            </w:r>
            <w:r w:rsidR="00BF46AC">
              <w:t>s</w:t>
            </w:r>
            <w:r w:rsidRPr="0009132C">
              <w:t>urvey of ACO practice site</w:t>
            </w:r>
            <w:r>
              <w:t xml:space="preserve"> (practice site)</w:t>
            </w:r>
            <w:r w:rsidRPr="0009132C">
              <w:t>, ACO providers</w:t>
            </w:r>
            <w:r>
              <w:t xml:space="preserve"> (provider)</w:t>
            </w:r>
            <w:r w:rsidRPr="0009132C">
              <w:t>, and CP staff</w:t>
            </w:r>
            <w:r>
              <w:t xml:space="preserve"> (staff)</w:t>
            </w:r>
            <w:r w:rsidRPr="0009132C">
              <w:t>;</w:t>
            </w:r>
          </w:p>
          <w:p w14:paraId="78D8D23B" w14:textId="2926CAFB"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09132C">
              <w:t xml:space="preserve">Analysis of </w:t>
            </w:r>
            <w:r w:rsidR="00BF46AC">
              <w:t>m</w:t>
            </w:r>
            <w:r w:rsidRPr="0009132C">
              <w:t xml:space="preserve">ember </w:t>
            </w:r>
            <w:r w:rsidR="00BF46AC">
              <w:t>s</w:t>
            </w:r>
            <w:r w:rsidRPr="0009132C">
              <w:t>urvey</w:t>
            </w:r>
            <w:r>
              <w:t xml:space="preserve"> (member)</w:t>
            </w:r>
            <w:r w:rsidRPr="0009132C">
              <w:t>;</w:t>
            </w:r>
          </w:p>
          <w:p w14:paraId="31062B27" w14:textId="77777777"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09132C">
              <w:t>Descriptive analysis</w:t>
            </w:r>
            <w:r>
              <w:t xml:space="preserve"> (member)</w:t>
            </w:r>
          </w:p>
          <w:p w14:paraId="54B24B9C" w14:textId="5045C803"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09132C">
              <w:t xml:space="preserve">Observed vs </w:t>
            </w:r>
            <w:r w:rsidR="00BF46AC">
              <w:t>e</w:t>
            </w:r>
            <w:r w:rsidRPr="0009132C">
              <w:t>xpected</w:t>
            </w:r>
            <w:r>
              <w:t xml:space="preserve"> (member)</w:t>
            </w:r>
            <w:r w:rsidRPr="0009132C">
              <w:t>;</w:t>
            </w:r>
          </w:p>
          <w:p w14:paraId="570B94B5" w14:textId="2EEF7B68"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09132C">
              <w:lastRenderedPageBreak/>
              <w:t>Quasi-</w:t>
            </w:r>
            <w:r w:rsidR="00BF46AC">
              <w:t>e</w:t>
            </w:r>
            <w:r w:rsidRPr="0009132C">
              <w:t xml:space="preserve">xperimental </w:t>
            </w:r>
            <w:r w:rsidR="00BF46AC">
              <w:t>m</w:t>
            </w:r>
            <w:r w:rsidRPr="0009132C">
              <w:t>ethods</w:t>
            </w:r>
            <w:r>
              <w:t xml:space="preserve"> (member)</w:t>
            </w:r>
          </w:p>
        </w:tc>
      </w:tr>
      <w:tr w:rsidR="006F3ACC" w:rsidRPr="0009132C" w14:paraId="4F069D60" w14:textId="77777777" w:rsidTr="000132F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dxa"/>
            <w:hideMark/>
          </w:tcPr>
          <w:p w14:paraId="3C21D20A" w14:textId="77777777" w:rsidR="00F27351" w:rsidRPr="0009132C" w:rsidRDefault="00F27351" w:rsidP="00BA4F36">
            <w:pPr>
              <w:pStyle w:val="TableNormal0"/>
              <w:rPr>
                <w:rFonts w:eastAsia="Arial"/>
                <w:color w:val="000000"/>
              </w:rPr>
            </w:pPr>
            <w:r w:rsidRPr="0009132C">
              <w:rPr>
                <w:rFonts w:eastAsia="Arial"/>
              </w:rPr>
              <w:lastRenderedPageBreak/>
              <w:t>RQ2-5 To what extent did enhanced expectations for quality and equity change care for ACO members? </w:t>
            </w:r>
          </w:p>
        </w:tc>
        <w:tc>
          <w:tcPr>
            <w:tcW w:w="0" w:type="dxa"/>
            <w:hideMark/>
          </w:tcPr>
          <w:p w14:paraId="7883ACC3" w14:textId="77777777"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rPr>
                <w:rFonts w:eastAsia="Arial"/>
              </w:rPr>
            </w:pPr>
            <w:r w:rsidRPr="0009132C">
              <w:rPr>
                <w:rFonts w:eastAsia="Arial"/>
                <w:b/>
              </w:rPr>
              <w:t>H2-5.1</w:t>
            </w:r>
            <w:r w:rsidRPr="0009132C">
              <w:rPr>
                <w:rFonts w:eastAsia="Arial"/>
                <w:bCs/>
              </w:rPr>
              <w:t xml:space="preserve"> </w:t>
            </w:r>
            <w:r w:rsidRPr="0009132C">
              <w:rPr>
                <w:rFonts w:eastAsia="Arial"/>
              </w:rPr>
              <w:t>The identification of individual members’ unmet needs (including health-related social needs) for ACO members will improve</w:t>
            </w:r>
          </w:p>
          <w:p w14:paraId="6E879A97" w14:textId="77777777"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rPr>
                <w:rFonts w:eastAsia="Arial"/>
                <w:color w:val="000000"/>
              </w:rPr>
            </w:pPr>
            <w:r w:rsidRPr="0009132C">
              <w:rPr>
                <w:rFonts w:eastAsia="Arial"/>
                <w:b/>
              </w:rPr>
              <w:lastRenderedPageBreak/>
              <w:t>H2-5.2</w:t>
            </w:r>
            <w:r w:rsidRPr="0009132C">
              <w:rPr>
                <w:rFonts w:eastAsia="Arial"/>
                <w:bCs/>
              </w:rPr>
              <w:t xml:space="preserve"> </w:t>
            </w:r>
            <w:r w:rsidRPr="0009132C">
              <w:rPr>
                <w:rFonts w:eastAsia="Arial"/>
              </w:rPr>
              <w:t xml:space="preserve">Care processes for ACO members will improve. </w:t>
            </w:r>
          </w:p>
          <w:p w14:paraId="63428678" w14:textId="77777777"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rPr>
                <w:rFonts w:eastAsia="Arial"/>
                <w:color w:val="000000"/>
              </w:rPr>
            </w:pPr>
            <w:r w:rsidRPr="0009132C">
              <w:rPr>
                <w:rFonts w:eastAsia="Arial"/>
                <w:b/>
              </w:rPr>
              <w:t>H2-5.3</w:t>
            </w:r>
            <w:r w:rsidRPr="0009132C">
              <w:rPr>
                <w:rFonts w:eastAsia="Arial"/>
                <w:bCs/>
              </w:rPr>
              <w:t xml:space="preserve"> </w:t>
            </w:r>
            <w:r w:rsidRPr="0009132C">
              <w:rPr>
                <w:rFonts w:eastAsia="Arial"/>
              </w:rPr>
              <w:t xml:space="preserve">Healthcare inequities will decline in targeted measures. </w:t>
            </w:r>
          </w:p>
        </w:tc>
        <w:tc>
          <w:tcPr>
            <w:tcW w:w="0" w:type="dxa"/>
          </w:tcPr>
          <w:p w14:paraId="0A2D8DED" w14:textId="791C86A6"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lastRenderedPageBreak/>
              <w:t>Document review;</w:t>
            </w:r>
            <w:r>
              <w:t xml:space="preserve"> </w:t>
            </w:r>
            <w:r w:rsidRPr="00072F0F">
              <w:t>(Ongoing)</w:t>
            </w:r>
          </w:p>
          <w:p w14:paraId="10AA78E5" w14:textId="16CCEDD6"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Administrative data</w:t>
            </w:r>
            <w:r>
              <w:t xml:space="preserve"> (baseline 2015-2017, </w:t>
            </w:r>
            <w:r w:rsidR="007C5FA5">
              <w:t>pre-</w:t>
            </w:r>
            <w:r>
              <w:t>2018-2022, post</w:t>
            </w:r>
            <w:r w:rsidR="007C5FA5">
              <w:t>-</w:t>
            </w:r>
            <w:r>
              <w:t>2023-2027)</w:t>
            </w:r>
            <w:r w:rsidRPr="0009132C">
              <w:t>;</w:t>
            </w:r>
          </w:p>
          <w:p w14:paraId="76EC9AB7" w14:textId="4ECCF3CC"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rPr>
                <w:rStyle w:val="eop"/>
              </w:rPr>
            </w:pPr>
            <w:r w:rsidRPr="0009132C">
              <w:lastRenderedPageBreak/>
              <w:t>Key Informant Individual and/or group interviews</w:t>
            </w:r>
            <w:r>
              <w:t xml:space="preserve"> and/or open-ended surveys</w:t>
            </w:r>
            <w:r w:rsidRPr="0009132C">
              <w:t>;</w:t>
            </w:r>
            <w:r>
              <w:t xml:space="preserve"> </w:t>
            </w:r>
            <w:r w:rsidRPr="00072F0F">
              <w:t>(2024-2025; 2026-2027)</w:t>
            </w:r>
          </w:p>
          <w:p w14:paraId="6DF86127" w14:textId="67BD7F5A"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rPr>
                <w:color w:val="000000"/>
                <w:shd w:val="clear" w:color="auto" w:fill="FFFFFF"/>
              </w:rPr>
            </w:pPr>
            <w:r w:rsidRPr="0009132C">
              <w:t>Member surveys</w:t>
            </w:r>
            <w:r>
              <w:t xml:space="preserve"> (</w:t>
            </w:r>
            <w:r w:rsidR="007C5FA5">
              <w:t>pre-</w:t>
            </w:r>
            <w:r>
              <w:t xml:space="preserve">2018-2022, </w:t>
            </w:r>
            <w:r w:rsidR="007C5FA5">
              <w:t>post-</w:t>
            </w:r>
            <w:r>
              <w:t>2023-2027)</w:t>
            </w:r>
            <w:r w:rsidRPr="0009132C">
              <w:t>;</w:t>
            </w:r>
          </w:p>
        </w:tc>
        <w:tc>
          <w:tcPr>
            <w:tcW w:w="0" w:type="dxa"/>
          </w:tcPr>
          <w:p w14:paraId="6CB40CFA" w14:textId="77777777" w:rsidR="00F27351" w:rsidRPr="0009132C" w:rsidRDefault="00F27351" w:rsidP="00BA4F36">
            <w:pPr>
              <w:pStyle w:val="TableNormal0"/>
              <w:spacing w:after="0"/>
              <w:cnfStyle w:val="000000100000" w:firstRow="0" w:lastRow="0" w:firstColumn="0" w:lastColumn="0" w:oddVBand="0" w:evenVBand="0" w:oddHBand="1" w:evenHBand="0" w:firstRowFirstColumn="0" w:firstRowLastColumn="0" w:lastRowFirstColumn="0" w:lastRowLastColumn="0"/>
            </w:pPr>
            <w:r w:rsidRPr="0009132C">
              <w:lastRenderedPageBreak/>
              <w:t>ACO and practice level providers and staff:</w:t>
            </w:r>
          </w:p>
          <w:p w14:paraId="5262BDBE" w14:textId="6BCB8D17" w:rsidR="00F27351" w:rsidRPr="0009132C" w:rsidRDefault="00F27351" w:rsidP="00BA4F36">
            <w:pPr>
              <w:pStyle w:val="TableBullet"/>
              <w:cnfStyle w:val="000000100000" w:firstRow="0" w:lastRow="0" w:firstColumn="0" w:lastColumn="0" w:oddVBand="0" w:evenVBand="0" w:oddHBand="1" w:evenHBand="0" w:firstRowFirstColumn="0" w:firstRowLastColumn="0" w:lastRowFirstColumn="0" w:lastRowLastColumn="0"/>
            </w:pPr>
            <w:r w:rsidRPr="0009132C">
              <w:t>Providers</w:t>
            </w:r>
            <w:r>
              <w:t xml:space="preserve"> </w:t>
            </w:r>
            <w:r w:rsidR="00CF7546">
              <w:t>s</w:t>
            </w:r>
            <w:r>
              <w:t>urvey (n=~5,000)</w:t>
            </w:r>
            <w:r w:rsidRPr="0009132C">
              <w:t>;</w:t>
            </w:r>
          </w:p>
          <w:p w14:paraId="311603A8" w14:textId="7D3D83B0" w:rsidR="00F27351" w:rsidRPr="0009132C" w:rsidRDefault="00F27351" w:rsidP="00BA4F36">
            <w:pPr>
              <w:pStyle w:val="TableBullet"/>
              <w:cnfStyle w:val="000000100000" w:firstRow="0" w:lastRow="0" w:firstColumn="0" w:lastColumn="0" w:oddVBand="0" w:evenVBand="0" w:oddHBand="1" w:evenHBand="0" w:firstRowFirstColumn="0" w:firstRowLastColumn="0" w:lastRowFirstColumn="0" w:lastRowLastColumn="0"/>
            </w:pPr>
            <w:r w:rsidRPr="0009132C">
              <w:lastRenderedPageBreak/>
              <w:t xml:space="preserve">Practice </w:t>
            </w:r>
            <w:r w:rsidR="00CF7546">
              <w:t>s</w:t>
            </w:r>
            <w:r w:rsidR="00CF7546" w:rsidRPr="0009132C">
              <w:t xml:space="preserve">ite </w:t>
            </w:r>
            <w:r w:rsidR="00CF7546">
              <w:t>a</w:t>
            </w:r>
            <w:r w:rsidR="00CF7546" w:rsidRPr="0009132C">
              <w:t>dministrators</w:t>
            </w:r>
            <w:r w:rsidR="00CF7546">
              <w:t xml:space="preserve"> s</w:t>
            </w:r>
            <w:r>
              <w:t>urvey (n=~350)</w:t>
            </w:r>
            <w:r w:rsidRPr="0009132C">
              <w:t>;</w:t>
            </w:r>
          </w:p>
          <w:p w14:paraId="34971182" w14:textId="257FCD0B" w:rsidR="00F27351" w:rsidRPr="0009132C" w:rsidRDefault="00F27351" w:rsidP="00BA4F36">
            <w:pPr>
              <w:pStyle w:val="TableBullet"/>
              <w:cnfStyle w:val="000000100000" w:firstRow="0" w:lastRow="0" w:firstColumn="0" w:lastColumn="0" w:oddVBand="0" w:evenVBand="0" w:oddHBand="1" w:evenHBand="0" w:firstRowFirstColumn="0" w:firstRowLastColumn="0" w:lastRowFirstColumn="0" w:lastRowLastColumn="0"/>
            </w:pPr>
            <w:r w:rsidRPr="0009132C">
              <w:t xml:space="preserve">Leadership and </w:t>
            </w:r>
            <w:r w:rsidR="00CF7546">
              <w:t>o</w:t>
            </w:r>
            <w:r w:rsidR="00CF7546" w:rsidRPr="0009132C">
              <w:t xml:space="preserve">ther </w:t>
            </w:r>
            <w:r w:rsidR="00CF7546">
              <w:t>s</w:t>
            </w:r>
            <w:r w:rsidR="00CF7546" w:rsidRPr="0009132C">
              <w:t>taff</w:t>
            </w:r>
            <w:r w:rsidR="00CF7546">
              <w:t xml:space="preserve"> i</w:t>
            </w:r>
            <w:r>
              <w:t>nterviewees (n&lt;50)</w:t>
            </w:r>
            <w:r w:rsidRPr="0009132C">
              <w:t>;</w:t>
            </w:r>
          </w:p>
          <w:p w14:paraId="22877B06" w14:textId="32E9EF3F" w:rsidR="00F27351" w:rsidRPr="0009132C" w:rsidRDefault="00F27351" w:rsidP="00BA4F36">
            <w:pPr>
              <w:pStyle w:val="TableBullet"/>
              <w:cnfStyle w:val="000000100000" w:firstRow="0" w:lastRow="0" w:firstColumn="0" w:lastColumn="0" w:oddVBand="0" w:evenVBand="0" w:oddHBand="1" w:evenHBand="0" w:firstRowFirstColumn="0" w:firstRowLastColumn="0" w:lastRowFirstColumn="0" w:lastRowLastColumn="0"/>
            </w:pPr>
            <w:r w:rsidRPr="0009132C">
              <w:t>Managed care eligible members</w:t>
            </w:r>
            <w:r>
              <w:t xml:space="preserve"> (n=~1.3 million)</w:t>
            </w:r>
            <w:r w:rsidRPr="0009132C">
              <w:t>;</w:t>
            </w:r>
          </w:p>
          <w:p w14:paraId="42876401" w14:textId="19602DD4" w:rsidR="00F27351" w:rsidRDefault="00F27351" w:rsidP="00BA4F36">
            <w:pPr>
              <w:pStyle w:val="TableBullet"/>
              <w:cnfStyle w:val="000000100000" w:firstRow="0" w:lastRow="0" w:firstColumn="0" w:lastColumn="0" w:oddVBand="0" w:evenVBand="0" w:oddHBand="1" w:evenHBand="0" w:firstRowFirstColumn="0" w:firstRowLastColumn="0" w:lastRowFirstColumn="0" w:lastRowLastColumn="0"/>
            </w:pPr>
            <w:r w:rsidRPr="0009132C">
              <w:t>ACO members</w:t>
            </w:r>
            <w:r>
              <w:t xml:space="preserve"> (n=~1.3 million; comparison group of MCO/PCC members n= 152,000)</w:t>
            </w:r>
            <w:r w:rsidRPr="0009132C">
              <w:t>;</w:t>
            </w:r>
          </w:p>
          <w:p w14:paraId="5F14577F" w14:textId="329CBE2E" w:rsidR="00F27351" w:rsidRPr="0009132C" w:rsidRDefault="00F27351" w:rsidP="00BA4F36">
            <w:pPr>
              <w:pStyle w:val="TableBullet"/>
              <w:cnfStyle w:val="000000100000" w:firstRow="0" w:lastRow="0" w:firstColumn="0" w:lastColumn="0" w:oddVBand="0" w:evenVBand="0" w:oddHBand="1" w:evenHBand="0" w:firstRowFirstColumn="0" w:firstRowLastColumn="0" w:lastRowFirstColumn="0" w:lastRowLastColumn="0"/>
            </w:pPr>
            <w:r>
              <w:t xml:space="preserve">MassHealth staff </w:t>
            </w:r>
            <w:r w:rsidR="00CF7546">
              <w:t>i</w:t>
            </w:r>
            <w:r>
              <w:t xml:space="preserve">nterviewees </w:t>
            </w:r>
            <w:r w:rsidR="006607CB">
              <w:br/>
            </w:r>
            <w:r>
              <w:t>(n</w:t>
            </w:r>
            <w:r w:rsidR="00B442EB">
              <w:t xml:space="preserve"> ≤ </w:t>
            </w:r>
            <w:r>
              <w:t>10-15)</w:t>
            </w:r>
          </w:p>
          <w:p w14:paraId="2A6D9AE0" w14:textId="77777777" w:rsidR="00F27351" w:rsidRPr="0009132C" w:rsidRDefault="00F27351" w:rsidP="00BA4F36">
            <w:pPr>
              <w:pStyle w:val="TableNormal0"/>
              <w:spacing w:before="240" w:after="0"/>
              <w:cnfStyle w:val="000000100000" w:firstRow="0" w:lastRow="0" w:firstColumn="0" w:lastColumn="0" w:oddVBand="0" w:evenVBand="0" w:oddHBand="1" w:evenHBand="0" w:firstRowFirstColumn="0" w:firstRowLastColumn="0" w:lastRowFirstColumn="0" w:lastRowLastColumn="0"/>
            </w:pPr>
            <w:r w:rsidRPr="0009132C">
              <w:t>Subgroups defined by member (e.g., adults, children, chronic conditions) and ACO characteristics (e.g., type)</w:t>
            </w:r>
          </w:p>
        </w:tc>
        <w:tc>
          <w:tcPr>
            <w:tcW w:w="0" w:type="dxa"/>
          </w:tcPr>
          <w:p w14:paraId="49DB40E4" w14:textId="77777777"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rPr>
                <w:color w:val="000000"/>
              </w:rPr>
            </w:pPr>
            <w:r w:rsidRPr="0009132C">
              <w:lastRenderedPageBreak/>
              <w:t>Perceived improvement in identifying unmet member needs;</w:t>
            </w:r>
          </w:p>
          <w:p w14:paraId="7B554989" w14:textId="77777777"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rPr>
                <w:color w:val="000000"/>
              </w:rPr>
            </w:pPr>
            <w:r w:rsidRPr="0009132C">
              <w:t>Perceived improvement in member care processes;</w:t>
            </w:r>
          </w:p>
          <w:p w14:paraId="11F2FD64" w14:textId="054BA4FE"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lastRenderedPageBreak/>
              <w:t xml:space="preserve">Developmental </w:t>
            </w:r>
            <w:r w:rsidR="004B3623">
              <w:t>s</w:t>
            </w:r>
            <w:r w:rsidRPr="0009132C">
              <w:t xml:space="preserve">creening in the </w:t>
            </w:r>
            <w:r w:rsidR="009A734D">
              <w:t>f</w:t>
            </w:r>
            <w:r w:rsidRPr="0009132C">
              <w:t xml:space="preserve">irst </w:t>
            </w:r>
            <w:r w:rsidR="009A734D">
              <w:t>t</w:t>
            </w:r>
            <w:r w:rsidR="00451D00" w:rsidRPr="0009132C">
              <w:t xml:space="preserve">hree </w:t>
            </w:r>
            <w:r w:rsidR="009A734D">
              <w:t>y</w:t>
            </w:r>
            <w:r w:rsidRPr="0009132C">
              <w:t xml:space="preserve">ears of </w:t>
            </w:r>
            <w:r w:rsidR="009A734D">
              <w:t>l</w:t>
            </w:r>
            <w:r w:rsidRPr="0009132C">
              <w:t>ife;</w:t>
            </w:r>
          </w:p>
          <w:p w14:paraId="31EF991B" w14:textId="42054637"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 xml:space="preserve">Immunizations for </w:t>
            </w:r>
            <w:r w:rsidR="009A734D">
              <w:t>a</w:t>
            </w:r>
            <w:r w:rsidRPr="0009132C">
              <w:t>dolescents;</w:t>
            </w:r>
          </w:p>
          <w:p w14:paraId="4FD167FD" w14:textId="09B26836"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 xml:space="preserve">Childhood </w:t>
            </w:r>
            <w:r w:rsidR="009A734D">
              <w:t>i</w:t>
            </w:r>
            <w:r w:rsidRPr="0009132C">
              <w:t xml:space="preserve">mmunization </w:t>
            </w:r>
            <w:r w:rsidR="009A734D">
              <w:t>s</w:t>
            </w:r>
            <w:r w:rsidRPr="0009132C">
              <w:t>tatus;</w:t>
            </w:r>
          </w:p>
          <w:p w14:paraId="2F8F442E" w14:textId="77777777"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Timeliness of prenatal care;</w:t>
            </w:r>
          </w:p>
          <w:p w14:paraId="26376870" w14:textId="6E209026"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 xml:space="preserve">Topical </w:t>
            </w:r>
            <w:r w:rsidR="00E644D1">
              <w:t>f</w:t>
            </w:r>
            <w:r w:rsidRPr="0009132C">
              <w:t xml:space="preserve">luoride for </w:t>
            </w:r>
            <w:r w:rsidR="00E644D1">
              <w:t>c</w:t>
            </w:r>
            <w:r w:rsidRPr="0009132C">
              <w:t xml:space="preserve">hildren at </w:t>
            </w:r>
            <w:r w:rsidR="00E644D1">
              <w:t>e</w:t>
            </w:r>
            <w:r w:rsidRPr="0009132C">
              <w:t xml:space="preserve">levated </w:t>
            </w:r>
            <w:r w:rsidR="00E644D1">
              <w:t>c</w:t>
            </w:r>
            <w:r w:rsidRPr="0009132C">
              <w:t xml:space="preserve">aries </w:t>
            </w:r>
            <w:r w:rsidR="00E644D1">
              <w:t>r</w:t>
            </w:r>
            <w:r w:rsidRPr="0009132C">
              <w:t>isk;</w:t>
            </w:r>
          </w:p>
          <w:p w14:paraId="36AE4E5B" w14:textId="252B4642"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 xml:space="preserve">Asthma </w:t>
            </w:r>
            <w:r w:rsidR="00E644D1">
              <w:t>m</w:t>
            </w:r>
            <w:r w:rsidRPr="0009132C">
              <w:t xml:space="preserve">edication </w:t>
            </w:r>
            <w:r w:rsidR="00E644D1">
              <w:t>r</w:t>
            </w:r>
            <w:r w:rsidRPr="0009132C">
              <w:t>atio;</w:t>
            </w:r>
          </w:p>
          <w:p w14:paraId="5800BF57" w14:textId="7B0D5226"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 xml:space="preserve">Initiation and </w:t>
            </w:r>
            <w:r w:rsidR="00E644D1">
              <w:t>e</w:t>
            </w:r>
            <w:r w:rsidRPr="0009132C">
              <w:t xml:space="preserve">ngagement of </w:t>
            </w:r>
            <w:r w:rsidR="00E644D1">
              <w:t>a</w:t>
            </w:r>
            <w:r w:rsidRPr="0009132C">
              <w:t xml:space="preserve">lcohol or </w:t>
            </w:r>
            <w:r w:rsidR="00E644D1">
              <w:t>o</w:t>
            </w:r>
            <w:r w:rsidRPr="0009132C">
              <w:t xml:space="preserve">ther </w:t>
            </w:r>
            <w:r w:rsidR="00E644D1">
              <w:t>d</w:t>
            </w:r>
            <w:r w:rsidRPr="0009132C">
              <w:t xml:space="preserve">rug </w:t>
            </w:r>
            <w:r w:rsidR="00E644D1">
              <w:t>a</w:t>
            </w:r>
            <w:r w:rsidRPr="0009132C">
              <w:t xml:space="preserve">buse or </w:t>
            </w:r>
            <w:r w:rsidR="00E644D1">
              <w:t>d</w:t>
            </w:r>
            <w:r w:rsidRPr="0009132C">
              <w:t xml:space="preserve">ependence </w:t>
            </w:r>
            <w:r w:rsidR="00E644D1">
              <w:t>t</w:t>
            </w:r>
            <w:r w:rsidRPr="0009132C">
              <w:t>reatment;</w:t>
            </w:r>
          </w:p>
          <w:p w14:paraId="2FB954FB" w14:textId="2E088AA1"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 xml:space="preserve">Metabolic </w:t>
            </w:r>
            <w:r w:rsidR="00E644D1">
              <w:t>m</w:t>
            </w:r>
            <w:r w:rsidRPr="0009132C">
              <w:t xml:space="preserve">onitoring for </w:t>
            </w:r>
            <w:r w:rsidR="00F1248E">
              <w:t>c</w:t>
            </w:r>
            <w:r w:rsidRPr="0009132C">
              <w:t xml:space="preserve">hildren and </w:t>
            </w:r>
            <w:r w:rsidR="00F1248E">
              <w:t>a</w:t>
            </w:r>
            <w:r w:rsidRPr="0009132C">
              <w:t xml:space="preserve">dolescents on </w:t>
            </w:r>
            <w:r w:rsidR="00F1248E">
              <w:t>a</w:t>
            </w:r>
            <w:r w:rsidRPr="0009132C">
              <w:t>ntipsychotics;</w:t>
            </w:r>
          </w:p>
          <w:p w14:paraId="73FDFBFE" w14:textId="5BE76372"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 xml:space="preserve">Antidepressant </w:t>
            </w:r>
            <w:r w:rsidR="00F1248E">
              <w:t>m</w:t>
            </w:r>
            <w:r w:rsidRPr="0009132C">
              <w:t xml:space="preserve">edication </w:t>
            </w:r>
            <w:r w:rsidR="00F1248E">
              <w:t>m</w:t>
            </w:r>
            <w:r w:rsidRPr="0009132C">
              <w:t>anagement;</w:t>
            </w:r>
          </w:p>
          <w:p w14:paraId="71B9452B" w14:textId="44057150"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 xml:space="preserve">Oral </w:t>
            </w:r>
            <w:r w:rsidR="00F1248E">
              <w:t>h</w:t>
            </w:r>
            <w:r w:rsidRPr="0009132C">
              <w:t xml:space="preserve">ealth </w:t>
            </w:r>
            <w:r w:rsidR="00F1248E">
              <w:t>e</w:t>
            </w:r>
            <w:r w:rsidRPr="0009132C">
              <w:t>valuation;</w:t>
            </w:r>
          </w:p>
          <w:p w14:paraId="6B9F733C" w14:textId="23CDB75F"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 xml:space="preserve">Screening for </w:t>
            </w:r>
            <w:r w:rsidR="00F1248E">
              <w:t>d</w:t>
            </w:r>
            <w:r w:rsidRPr="0009132C">
              <w:t xml:space="preserve">epression and </w:t>
            </w:r>
            <w:r w:rsidR="00F1248E">
              <w:t>f</w:t>
            </w:r>
            <w:r w:rsidR="0013375B" w:rsidRPr="0009132C">
              <w:t>ollow</w:t>
            </w:r>
            <w:r w:rsidR="0013375B">
              <w:t>-</w:t>
            </w:r>
            <w:r w:rsidR="00F1248E">
              <w:t>u</w:t>
            </w:r>
            <w:r w:rsidRPr="0009132C">
              <w:t xml:space="preserve">p </w:t>
            </w:r>
            <w:r w:rsidR="00F1248E">
              <w:t>p</w:t>
            </w:r>
            <w:r w:rsidRPr="0009132C">
              <w:t>lan;</w:t>
            </w:r>
          </w:p>
          <w:p w14:paraId="5F14C54C" w14:textId="2600891C"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 xml:space="preserve">HRSN </w:t>
            </w:r>
            <w:r w:rsidR="00F1248E">
              <w:t>s</w:t>
            </w:r>
            <w:r w:rsidRPr="0009132C">
              <w:t>creening;</w:t>
            </w:r>
          </w:p>
          <w:p w14:paraId="3AE1E23B" w14:textId="77777777"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rPr>
                <w:rFonts w:eastAsiaTheme="minorHAnsi"/>
              </w:rPr>
            </w:pPr>
            <w:r w:rsidRPr="0009132C">
              <w:t>Annual primary care visit;</w:t>
            </w:r>
          </w:p>
          <w:p w14:paraId="06B0C150" w14:textId="77777777"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rPr>
                <w:rFonts w:eastAsiaTheme="minorHAnsi"/>
              </w:rPr>
            </w:pPr>
            <w:r w:rsidRPr="0009132C">
              <w:t xml:space="preserve">Other metrics targeted by ACOs for quality </w:t>
            </w:r>
            <w:r w:rsidRPr="0009132C">
              <w:lastRenderedPageBreak/>
              <w:t>improvement and disparities reduction</w:t>
            </w:r>
          </w:p>
        </w:tc>
        <w:tc>
          <w:tcPr>
            <w:tcW w:w="0" w:type="dxa"/>
          </w:tcPr>
          <w:p w14:paraId="45F4BF4D" w14:textId="77777777"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lastRenderedPageBreak/>
              <w:t>Qualitative analysis of existing documents;</w:t>
            </w:r>
          </w:p>
          <w:p w14:paraId="595BD160" w14:textId="697A9E90"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 xml:space="preserve">Descriptive </w:t>
            </w:r>
            <w:r w:rsidR="00BF46AC">
              <w:t>a</w:t>
            </w:r>
            <w:r w:rsidR="00BF46AC" w:rsidRPr="0009132C">
              <w:t>nalysis</w:t>
            </w:r>
            <w:r w:rsidR="00BF46AC">
              <w:t xml:space="preserve"> </w:t>
            </w:r>
            <w:r>
              <w:t>(member)</w:t>
            </w:r>
            <w:r w:rsidRPr="0009132C">
              <w:t>;</w:t>
            </w:r>
          </w:p>
          <w:p w14:paraId="327C3900" w14:textId="506C8474"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 xml:space="preserve">Observed vs </w:t>
            </w:r>
            <w:r w:rsidR="00BF46AC">
              <w:t>e</w:t>
            </w:r>
            <w:r w:rsidR="00BF46AC" w:rsidRPr="0009132C">
              <w:t>xpected</w:t>
            </w:r>
            <w:r w:rsidR="00BF46AC">
              <w:t xml:space="preserve"> </w:t>
            </w:r>
            <w:r>
              <w:t>(member)</w:t>
            </w:r>
            <w:r w:rsidRPr="0009132C">
              <w:t>;</w:t>
            </w:r>
          </w:p>
          <w:p w14:paraId="62A388C5" w14:textId="01BB699F"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lastRenderedPageBreak/>
              <w:t>Quasi-</w:t>
            </w:r>
            <w:r w:rsidR="0013375B">
              <w:t>e</w:t>
            </w:r>
            <w:r w:rsidR="0013375B" w:rsidRPr="0009132C">
              <w:t xml:space="preserve">xperimental </w:t>
            </w:r>
            <w:r w:rsidR="0013375B">
              <w:t>m</w:t>
            </w:r>
            <w:r w:rsidR="0013375B" w:rsidRPr="0009132C">
              <w:t>ethods</w:t>
            </w:r>
            <w:r w:rsidR="0013375B">
              <w:t xml:space="preserve"> </w:t>
            </w:r>
            <w:r>
              <w:t>(member)</w:t>
            </w:r>
            <w:r w:rsidRPr="0009132C">
              <w:t>;</w:t>
            </w:r>
          </w:p>
          <w:p w14:paraId="36C2CA41" w14:textId="77777777"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Qualitative analysis of data collected through KIIs;</w:t>
            </w:r>
          </w:p>
          <w:p w14:paraId="69D5ED89" w14:textId="77777777"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p>
        </w:tc>
      </w:tr>
      <w:tr w:rsidR="00F27351" w:rsidRPr="0009132C" w14:paraId="20315273" w14:textId="77777777" w:rsidTr="000132FC">
        <w:trPr>
          <w:trHeight w:val="539"/>
        </w:trPr>
        <w:tc>
          <w:tcPr>
            <w:cnfStyle w:val="001000000000" w:firstRow="0" w:lastRow="0" w:firstColumn="1" w:lastColumn="0" w:oddVBand="0" w:evenVBand="0" w:oddHBand="0" w:evenHBand="0" w:firstRowFirstColumn="0" w:firstRowLastColumn="0" w:lastRowFirstColumn="0" w:lastRowLastColumn="0"/>
            <w:tcW w:w="0" w:type="dxa"/>
            <w:hideMark/>
          </w:tcPr>
          <w:p w14:paraId="4BD04856" w14:textId="77777777" w:rsidR="00F27351" w:rsidRPr="0009132C" w:rsidRDefault="00F27351" w:rsidP="00BA4F36">
            <w:pPr>
              <w:pStyle w:val="TableNormal0"/>
              <w:rPr>
                <w:rFonts w:eastAsia="Arial"/>
                <w:color w:val="000000"/>
              </w:rPr>
            </w:pPr>
            <w:r w:rsidRPr="0009132C">
              <w:rPr>
                <w:rFonts w:eastAsia="Arial"/>
              </w:rPr>
              <w:lastRenderedPageBreak/>
              <w:t>RQ2-6 How did ACOs and CPs respond to expectations for Enhanced Care Coordination Programs (CP and ACO Care Management)?</w:t>
            </w:r>
          </w:p>
        </w:tc>
        <w:tc>
          <w:tcPr>
            <w:tcW w:w="0" w:type="dxa"/>
            <w:hideMark/>
          </w:tcPr>
          <w:p w14:paraId="1073EAA1" w14:textId="77777777"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rPr>
                <w:rFonts w:eastAsia="Arial"/>
                <w:color w:val="000000"/>
              </w:rPr>
            </w:pPr>
            <w:r w:rsidRPr="0009132C">
              <w:rPr>
                <w:rFonts w:eastAsia="Arial"/>
                <w:b/>
              </w:rPr>
              <w:t>H2-6.1</w:t>
            </w:r>
            <w:r w:rsidRPr="0009132C">
              <w:rPr>
                <w:rFonts w:eastAsia="Arial"/>
              </w:rPr>
              <w:t xml:space="preserve"> Changes to the CP program will strengthen existing and new partnerships between ACOs and CPs.</w:t>
            </w:r>
          </w:p>
          <w:p w14:paraId="49FCDEBB" w14:textId="77777777"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rPr>
                <w:rFonts w:eastAsia="Arial"/>
                <w:color w:val="000000"/>
              </w:rPr>
            </w:pPr>
            <w:r w:rsidRPr="0009132C">
              <w:rPr>
                <w:rFonts w:eastAsia="Arial"/>
                <w:b/>
              </w:rPr>
              <w:t>H2-6.2</w:t>
            </w:r>
            <w:r w:rsidRPr="0009132C">
              <w:rPr>
                <w:rFonts w:eastAsia="Arial"/>
              </w:rPr>
              <w:t xml:space="preserve"> The ACOs and CPs will develop new or updated care coordination processes in alignment with enhanced CP expectations.</w:t>
            </w:r>
          </w:p>
          <w:p w14:paraId="04F98746" w14:textId="77777777"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rPr>
                <w:rFonts w:eastAsia="Arial"/>
              </w:rPr>
            </w:pPr>
            <w:r w:rsidRPr="0009132C">
              <w:rPr>
                <w:rFonts w:eastAsia="Arial"/>
                <w:b/>
              </w:rPr>
              <w:t>H2-6.3</w:t>
            </w:r>
            <w:r w:rsidRPr="0009132C">
              <w:rPr>
                <w:rFonts w:eastAsia="Arial"/>
              </w:rPr>
              <w:t xml:space="preserve"> LTSS CPs will use infrastructure payments to build an infrastructure and develop the workforce to support enhanced care coordination and to meet higher expectations in the current Demonstration period.</w:t>
            </w:r>
          </w:p>
          <w:p w14:paraId="73C74C03" w14:textId="77777777"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rPr>
                <w:rFonts w:eastAsia="Arial"/>
                <w:color w:val="000000"/>
              </w:rPr>
            </w:pPr>
            <w:r w:rsidRPr="0009132C">
              <w:rPr>
                <w:rFonts w:eastAsia="Arial"/>
                <w:b/>
              </w:rPr>
              <w:t>H2-6.4</w:t>
            </w:r>
            <w:r w:rsidRPr="0009132C">
              <w:rPr>
                <w:rFonts w:eastAsia="Arial"/>
                <w:bCs/>
              </w:rPr>
              <w:t xml:space="preserve"> </w:t>
            </w:r>
            <w:r w:rsidRPr="0009132C">
              <w:rPr>
                <w:rFonts w:eastAsia="Arial"/>
              </w:rPr>
              <w:t>ACOs will implement new or refine existing care management programs to meet the needs of their enrolled population.</w:t>
            </w:r>
          </w:p>
        </w:tc>
        <w:tc>
          <w:tcPr>
            <w:tcW w:w="0" w:type="dxa"/>
          </w:tcPr>
          <w:p w14:paraId="3FBC0926" w14:textId="79CD7B17"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09132C">
              <w:t>Document review;</w:t>
            </w:r>
            <w:r>
              <w:t xml:space="preserve"> </w:t>
            </w:r>
            <w:r w:rsidRPr="00072F0F">
              <w:t>(Ongoing)</w:t>
            </w:r>
          </w:p>
          <w:p w14:paraId="2BB7CC99" w14:textId="0DCFA32D"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rPr>
                <w:color w:val="000000"/>
                <w:shd w:val="clear" w:color="auto" w:fill="FFFFFF"/>
              </w:rPr>
            </w:pPr>
            <w:r w:rsidRPr="0009132C">
              <w:t>Key Informant Individual and/or group interviews</w:t>
            </w:r>
            <w:r w:rsidRPr="0009132C">
              <w:rPr>
                <w:rStyle w:val="eop"/>
              </w:rPr>
              <w:t> </w:t>
            </w:r>
            <w:r>
              <w:t xml:space="preserve">and/or open-ended surveys </w:t>
            </w:r>
            <w:r w:rsidRPr="00072F0F">
              <w:t>(2024-2025; 2026-2027)</w:t>
            </w:r>
          </w:p>
        </w:tc>
        <w:tc>
          <w:tcPr>
            <w:tcW w:w="0" w:type="dxa"/>
          </w:tcPr>
          <w:p w14:paraId="4530E299" w14:textId="77777777" w:rsidR="00F27351" w:rsidRPr="00677762" w:rsidRDefault="00F27351" w:rsidP="00BA4F36">
            <w:pPr>
              <w:pStyle w:val="TableNormal0"/>
              <w:spacing w:after="0"/>
              <w:cnfStyle w:val="000000000000" w:firstRow="0" w:lastRow="0" w:firstColumn="0" w:lastColumn="0" w:oddVBand="0" w:evenVBand="0" w:oddHBand="0" w:evenHBand="0" w:firstRowFirstColumn="0" w:firstRowLastColumn="0" w:lastRowFirstColumn="0" w:lastRowLastColumn="0"/>
            </w:pPr>
            <w:r w:rsidRPr="00677762">
              <w:t>ACO and practice level providers and staff:</w:t>
            </w:r>
          </w:p>
          <w:p w14:paraId="753E57D8" w14:textId="71B3A17B" w:rsidR="00DD58DA" w:rsidRPr="00DD58DA" w:rsidRDefault="00DD58DA" w:rsidP="00BA4F36">
            <w:pPr>
              <w:pStyle w:val="TableBullet"/>
              <w:cnfStyle w:val="000000000000" w:firstRow="0" w:lastRow="0" w:firstColumn="0" w:lastColumn="0" w:oddVBand="0" w:evenVBand="0" w:oddHBand="0" w:evenHBand="0" w:firstRowFirstColumn="0" w:firstRowLastColumn="0" w:lastRowFirstColumn="0" w:lastRowLastColumn="0"/>
            </w:pPr>
            <w:r w:rsidRPr="00DD58DA">
              <w:t xml:space="preserve">Providers </w:t>
            </w:r>
            <w:r w:rsidR="00916793">
              <w:t>s</w:t>
            </w:r>
            <w:r w:rsidR="00916793" w:rsidRPr="00DD58DA">
              <w:t xml:space="preserve">urvey </w:t>
            </w:r>
            <w:r w:rsidRPr="00DD58DA">
              <w:t>(n=~5,000);</w:t>
            </w:r>
          </w:p>
          <w:p w14:paraId="4DAB4BDF" w14:textId="62062DF0" w:rsidR="00F27351" w:rsidRPr="00677762" w:rsidRDefault="00F27351" w:rsidP="00BA4F36">
            <w:pPr>
              <w:pStyle w:val="TableBullet"/>
              <w:cnfStyle w:val="000000000000" w:firstRow="0" w:lastRow="0" w:firstColumn="0" w:lastColumn="0" w:oddVBand="0" w:evenVBand="0" w:oddHBand="0" w:evenHBand="0" w:firstRowFirstColumn="0" w:firstRowLastColumn="0" w:lastRowFirstColumn="0" w:lastRowLastColumn="0"/>
            </w:pPr>
            <w:r w:rsidRPr="00677762">
              <w:t xml:space="preserve">Practice </w:t>
            </w:r>
            <w:r w:rsidR="00916793">
              <w:t>s</w:t>
            </w:r>
            <w:r w:rsidR="00916793" w:rsidRPr="00677762">
              <w:t xml:space="preserve">ite </w:t>
            </w:r>
            <w:r w:rsidR="00916793">
              <w:t>a</w:t>
            </w:r>
            <w:r w:rsidRPr="00677762">
              <w:t>dministrators</w:t>
            </w:r>
            <w:r>
              <w:t xml:space="preserve"> </w:t>
            </w:r>
            <w:r w:rsidR="00916793">
              <w:t>s</w:t>
            </w:r>
            <w:r>
              <w:t>urvey (n=~350)</w:t>
            </w:r>
            <w:r w:rsidRPr="00677762">
              <w:t>;</w:t>
            </w:r>
          </w:p>
          <w:p w14:paraId="3F8A9AA1" w14:textId="67D50D77" w:rsidR="00F27351" w:rsidRPr="00677762" w:rsidRDefault="00F27351" w:rsidP="00BA4F36">
            <w:pPr>
              <w:pStyle w:val="TableBullet"/>
              <w:cnfStyle w:val="000000000000" w:firstRow="0" w:lastRow="0" w:firstColumn="0" w:lastColumn="0" w:oddVBand="0" w:evenVBand="0" w:oddHBand="0" w:evenHBand="0" w:firstRowFirstColumn="0" w:firstRowLastColumn="0" w:lastRowFirstColumn="0" w:lastRowLastColumn="0"/>
            </w:pPr>
            <w:r w:rsidRPr="00677762">
              <w:t>Care management staff</w:t>
            </w:r>
            <w:r>
              <w:t xml:space="preserve"> </w:t>
            </w:r>
            <w:r w:rsidR="00916793">
              <w:t>i</w:t>
            </w:r>
            <w:r>
              <w:t>nterviewees (n</w:t>
            </w:r>
            <w:r w:rsidR="00B442EB">
              <w:t xml:space="preserve"> ≤ </w:t>
            </w:r>
            <w:r>
              <w:t>20-30)</w:t>
            </w:r>
            <w:r w:rsidRPr="00677762">
              <w:t>;</w:t>
            </w:r>
          </w:p>
          <w:p w14:paraId="435AEC8D" w14:textId="3603426D" w:rsidR="00F27351" w:rsidRPr="00677762" w:rsidRDefault="00F27351" w:rsidP="00BA4F36">
            <w:pPr>
              <w:pStyle w:val="TableBullet"/>
              <w:cnfStyle w:val="000000000000" w:firstRow="0" w:lastRow="0" w:firstColumn="0" w:lastColumn="0" w:oddVBand="0" w:evenVBand="0" w:oddHBand="0" w:evenHBand="0" w:firstRowFirstColumn="0" w:firstRowLastColumn="0" w:lastRowFirstColumn="0" w:lastRowLastColumn="0"/>
            </w:pPr>
            <w:r w:rsidRPr="00677762">
              <w:t xml:space="preserve">Leadership and </w:t>
            </w:r>
            <w:r w:rsidR="00BA4350">
              <w:t>o</w:t>
            </w:r>
            <w:r w:rsidRPr="00677762">
              <w:t xml:space="preserve">ther </w:t>
            </w:r>
            <w:r w:rsidR="00BA4350">
              <w:t>s</w:t>
            </w:r>
            <w:r w:rsidR="00BA4350" w:rsidRPr="00677762">
              <w:t>taff</w:t>
            </w:r>
            <w:r w:rsidR="00BA4350">
              <w:t xml:space="preserve"> i</w:t>
            </w:r>
            <w:r>
              <w:t xml:space="preserve">nterviewees </w:t>
            </w:r>
            <w:r w:rsidR="006607CB">
              <w:br/>
            </w:r>
            <w:r>
              <w:t>(n</w:t>
            </w:r>
            <w:r w:rsidR="00B442EB">
              <w:t xml:space="preserve"> ≤ </w:t>
            </w:r>
            <w:r>
              <w:t>50)</w:t>
            </w:r>
          </w:p>
          <w:p w14:paraId="1231C3CD" w14:textId="20DAFB23" w:rsidR="00F27351" w:rsidRPr="00677762" w:rsidRDefault="00F27351" w:rsidP="00BA4F36">
            <w:pPr>
              <w:pStyle w:val="TableBullet"/>
              <w:numPr>
                <w:ilvl w:val="0"/>
                <w:numId w:val="0"/>
              </w:numPr>
              <w:cnfStyle w:val="000000000000" w:firstRow="0" w:lastRow="0" w:firstColumn="0" w:lastColumn="0" w:oddVBand="0" w:evenVBand="0" w:oddHBand="0" w:evenHBand="0" w:firstRowFirstColumn="0" w:firstRowLastColumn="0" w:lastRowFirstColumn="0" w:lastRowLastColumn="0"/>
            </w:pPr>
            <w:r w:rsidRPr="00677762">
              <w:t>CP staff</w:t>
            </w:r>
          </w:p>
          <w:p w14:paraId="3AFF9BC2" w14:textId="431670FD" w:rsidR="00F27351" w:rsidRDefault="00F27351" w:rsidP="00BA4F36">
            <w:pPr>
              <w:pStyle w:val="TableBullet"/>
              <w:cnfStyle w:val="000000000000" w:firstRow="0" w:lastRow="0" w:firstColumn="0" w:lastColumn="0" w:oddVBand="0" w:evenVBand="0" w:oddHBand="0" w:evenHBand="0" w:firstRowFirstColumn="0" w:firstRowLastColumn="0" w:lastRowFirstColumn="0" w:lastRowLastColumn="0"/>
            </w:pPr>
            <w:r w:rsidRPr="0009132C">
              <w:t>Administrators</w:t>
            </w:r>
            <w:r>
              <w:t xml:space="preserve"> </w:t>
            </w:r>
            <w:r w:rsidR="00BA4350">
              <w:t>i</w:t>
            </w:r>
            <w:r>
              <w:t xml:space="preserve">nterviewees </w:t>
            </w:r>
            <w:r w:rsidR="00BA4F36">
              <w:br/>
            </w:r>
            <w:r>
              <w:t>(n</w:t>
            </w:r>
            <w:r w:rsidR="00B442EB">
              <w:t xml:space="preserve"> ≤ </w:t>
            </w:r>
            <w:r>
              <w:t>60)</w:t>
            </w:r>
            <w:r w:rsidRPr="0009132C">
              <w:t>;</w:t>
            </w:r>
          </w:p>
          <w:p w14:paraId="1A315C80" w14:textId="081C1075" w:rsidR="00F27351" w:rsidRPr="00677762" w:rsidRDefault="432090E9" w:rsidP="00BA4F36">
            <w:pPr>
              <w:pStyle w:val="TableBullet"/>
              <w:cnfStyle w:val="000000000000" w:firstRow="0" w:lastRow="0" w:firstColumn="0" w:lastColumn="0" w:oddVBand="0" w:evenVBand="0" w:oddHBand="0" w:evenHBand="0" w:firstRowFirstColumn="0" w:firstRowLastColumn="0" w:lastRowFirstColumn="0" w:lastRowLastColumn="0"/>
            </w:pPr>
            <w:r>
              <w:t xml:space="preserve">Administrators and </w:t>
            </w:r>
            <w:r w:rsidR="00BA4350">
              <w:t>front</w:t>
            </w:r>
            <w:r>
              <w:t>-</w:t>
            </w:r>
            <w:r w:rsidR="00BA4350">
              <w:t>line s</w:t>
            </w:r>
            <w:r>
              <w:t xml:space="preserve">taff </w:t>
            </w:r>
            <w:r w:rsidR="00BA4350">
              <w:t>s</w:t>
            </w:r>
            <w:r>
              <w:t>urvey (n=~600);</w:t>
            </w:r>
          </w:p>
          <w:p w14:paraId="72B669D9" w14:textId="31838A54" w:rsidR="00F27351" w:rsidRPr="003B270D" w:rsidRDefault="00F27351" w:rsidP="00BA4F36">
            <w:pPr>
              <w:pStyle w:val="TableBullet"/>
              <w:numPr>
                <w:ilvl w:val="0"/>
                <w:numId w:val="0"/>
              </w:numPr>
              <w:cnfStyle w:val="000000000000" w:firstRow="0" w:lastRow="0" w:firstColumn="0" w:lastColumn="0" w:oddVBand="0" w:evenVBand="0" w:oddHBand="0" w:evenHBand="0" w:firstRowFirstColumn="0" w:firstRowLastColumn="0" w:lastRowFirstColumn="0" w:lastRowLastColumn="0"/>
            </w:pPr>
            <w:r w:rsidRPr="003821F4">
              <w:t>MassHealth staff</w:t>
            </w:r>
            <w:r>
              <w:t xml:space="preserve"> Interviewees (n</w:t>
            </w:r>
            <w:r w:rsidR="00B442EB">
              <w:t xml:space="preserve"> ≤ </w:t>
            </w:r>
            <w:r>
              <w:t>10-15)</w:t>
            </w:r>
          </w:p>
        </w:tc>
        <w:tc>
          <w:tcPr>
            <w:tcW w:w="0" w:type="dxa"/>
          </w:tcPr>
          <w:p w14:paraId="5B079162" w14:textId="77777777"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09132C">
              <w:t>Factors related to the implementation of changes to care coordination and management processes and programs;</w:t>
            </w:r>
          </w:p>
          <w:p w14:paraId="4C6137A4" w14:textId="77777777"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09132C">
              <w:t xml:space="preserve">Perceived effectiveness of changes to CP program to support development of new partnerships and strengthen existing partnerships; </w:t>
            </w:r>
          </w:p>
          <w:p w14:paraId="48A05CA7" w14:textId="77777777"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09132C">
              <w:t>Perceived alignment of care coordination processes with enhanced CP expectations;</w:t>
            </w:r>
          </w:p>
          <w:p w14:paraId="4B0F56D9" w14:textId="77777777"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09132C">
              <w:t>Development of enhanced infrastructure and workforce by LTSS CPs;</w:t>
            </w:r>
          </w:p>
          <w:p w14:paraId="2683970E" w14:textId="77777777"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09132C">
              <w:t>Perceived value of LTSS CP direct payments to effectively support enhanced care coordination and efforts to meet higher expectations;</w:t>
            </w:r>
          </w:p>
          <w:p w14:paraId="2146ADDC" w14:textId="77777777"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09132C">
              <w:t>Perceived effectiveness of changes to ACO care management programs</w:t>
            </w:r>
          </w:p>
        </w:tc>
        <w:tc>
          <w:tcPr>
            <w:tcW w:w="0" w:type="dxa"/>
          </w:tcPr>
          <w:p w14:paraId="2F88861F" w14:textId="77777777"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09132C">
              <w:t>Qualitative analysis of existing documents;</w:t>
            </w:r>
          </w:p>
          <w:p w14:paraId="238E2BC1" w14:textId="77777777"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09132C">
              <w:t>Qualitative analysis of data collected through KIIs</w:t>
            </w:r>
          </w:p>
        </w:tc>
      </w:tr>
      <w:tr w:rsidR="006F3ACC" w:rsidRPr="0009132C" w14:paraId="302F43B1" w14:textId="77777777" w:rsidTr="000132FC">
        <w:trPr>
          <w:cnfStyle w:val="000000100000" w:firstRow="0" w:lastRow="0" w:firstColumn="0" w:lastColumn="0" w:oddVBand="0" w:evenVBand="0" w:oddHBand="1" w:evenHBand="0" w:firstRowFirstColumn="0" w:firstRowLastColumn="0" w:lastRowFirstColumn="0" w:lastRowLastColumn="0"/>
          <w:trHeight w:val="1239"/>
        </w:trPr>
        <w:tc>
          <w:tcPr>
            <w:cnfStyle w:val="001000000000" w:firstRow="0" w:lastRow="0" w:firstColumn="1" w:lastColumn="0" w:oddVBand="0" w:evenVBand="0" w:oddHBand="0" w:evenHBand="0" w:firstRowFirstColumn="0" w:firstRowLastColumn="0" w:lastRowFirstColumn="0" w:lastRowLastColumn="0"/>
            <w:tcW w:w="0" w:type="dxa"/>
            <w:hideMark/>
          </w:tcPr>
          <w:p w14:paraId="1F34B642" w14:textId="77777777" w:rsidR="00F27351" w:rsidRPr="0009132C" w:rsidRDefault="00F27351" w:rsidP="00BA4F36">
            <w:pPr>
              <w:pStyle w:val="TableNormal0"/>
              <w:rPr>
                <w:rFonts w:eastAsia="Arial"/>
                <w:color w:val="000000"/>
              </w:rPr>
            </w:pPr>
            <w:r w:rsidRPr="0009132C">
              <w:rPr>
                <w:rFonts w:eastAsia="Arial"/>
              </w:rPr>
              <w:lastRenderedPageBreak/>
              <w:t>RQ2-7 To what extent did access to and quality of care coordination supports change for members of ACO Enhanced Care Coordination Programs (CP and ACO Care Management)?</w:t>
            </w:r>
          </w:p>
        </w:tc>
        <w:tc>
          <w:tcPr>
            <w:tcW w:w="0" w:type="dxa"/>
            <w:hideMark/>
          </w:tcPr>
          <w:p w14:paraId="4440C975" w14:textId="77777777"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rPr>
                <w:rFonts w:eastAsia="Arial"/>
              </w:rPr>
            </w:pPr>
            <w:r w:rsidRPr="0009132C">
              <w:rPr>
                <w:rFonts w:eastAsia="Arial"/>
                <w:b/>
              </w:rPr>
              <w:t>H2-7.1</w:t>
            </w:r>
            <w:r w:rsidRPr="0009132C">
              <w:rPr>
                <w:rFonts w:eastAsia="Arial"/>
                <w:bCs/>
              </w:rPr>
              <w:t xml:space="preserve"> </w:t>
            </w:r>
            <w:r w:rsidRPr="0009132C">
              <w:rPr>
                <w:rFonts w:eastAsia="Arial"/>
              </w:rPr>
              <w:t>Coordination of care will improve.</w:t>
            </w:r>
          </w:p>
          <w:p w14:paraId="047D7249" w14:textId="77777777"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rPr>
                <w:rFonts w:eastAsia="Arial"/>
                <w:color w:val="000000"/>
              </w:rPr>
            </w:pPr>
            <w:r w:rsidRPr="0009132C">
              <w:rPr>
                <w:rFonts w:eastAsia="Arial"/>
                <w:b/>
              </w:rPr>
              <w:t>H2-7.2</w:t>
            </w:r>
            <w:r w:rsidRPr="0009132C">
              <w:rPr>
                <w:rFonts w:eastAsia="Arial"/>
              </w:rPr>
              <w:t xml:space="preserve"> The quality-of-care coordination supports delivered by CPs and ACOs will increase.</w:t>
            </w:r>
          </w:p>
        </w:tc>
        <w:tc>
          <w:tcPr>
            <w:tcW w:w="0" w:type="dxa"/>
          </w:tcPr>
          <w:p w14:paraId="5B9619C2" w14:textId="6906AC26"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Key Informant Individual and/or group interviews</w:t>
            </w:r>
            <w:r w:rsidRPr="0009132C">
              <w:rPr>
                <w:rStyle w:val="eop"/>
              </w:rPr>
              <w:t>;</w:t>
            </w:r>
            <w:r>
              <w:rPr>
                <w:rStyle w:val="eop"/>
              </w:rPr>
              <w:t xml:space="preserve"> </w:t>
            </w:r>
            <w:r w:rsidRPr="00072F0F">
              <w:t>(2024-2025; 2026-2027)</w:t>
            </w:r>
          </w:p>
          <w:p w14:paraId="28670D02" w14:textId="4F69FF99"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ACO Practice Site</w:t>
            </w:r>
            <w:r>
              <w:t xml:space="preserve"> (</w:t>
            </w:r>
            <w:r w:rsidR="0013375B">
              <w:t>pre-</w:t>
            </w:r>
            <w:r>
              <w:t xml:space="preserve">2019, </w:t>
            </w:r>
            <w:r w:rsidR="0013375B">
              <w:t>pre-</w:t>
            </w:r>
            <w:r>
              <w:t xml:space="preserve">2021, </w:t>
            </w:r>
            <w:r w:rsidR="0013375B">
              <w:t>post-</w:t>
            </w:r>
            <w:r>
              <w:t>2024)</w:t>
            </w:r>
            <w:r w:rsidRPr="0009132C">
              <w:t>, ACO provider</w:t>
            </w:r>
            <w:r>
              <w:t xml:space="preserve"> (</w:t>
            </w:r>
            <w:r w:rsidR="0013375B">
              <w:t>pre-</w:t>
            </w:r>
            <w:r>
              <w:t xml:space="preserve">2020, </w:t>
            </w:r>
            <w:r w:rsidR="0013375B">
              <w:t>pre-</w:t>
            </w:r>
            <w:r>
              <w:t xml:space="preserve">2022, </w:t>
            </w:r>
            <w:r w:rsidR="0013375B">
              <w:t>post-</w:t>
            </w:r>
            <w:r>
              <w:t>2026)</w:t>
            </w:r>
            <w:r w:rsidRPr="0009132C">
              <w:t>, CP staff</w:t>
            </w:r>
            <w:r>
              <w:t xml:space="preserve"> (</w:t>
            </w:r>
            <w:r w:rsidR="0013375B">
              <w:t>pre-</w:t>
            </w:r>
            <w:r>
              <w:t xml:space="preserve">2020, </w:t>
            </w:r>
            <w:r w:rsidR="0013375B">
              <w:t>pre-</w:t>
            </w:r>
            <w:r>
              <w:t xml:space="preserve">2022, </w:t>
            </w:r>
            <w:r w:rsidR="0013375B">
              <w:t>post-</w:t>
            </w:r>
            <w:r>
              <w:t>2026)</w:t>
            </w:r>
            <w:r w:rsidR="0013375B">
              <w:t>,</w:t>
            </w:r>
            <w:r w:rsidRPr="0009132C">
              <w:t xml:space="preserve"> and Member Surveys</w:t>
            </w:r>
            <w:r>
              <w:t xml:space="preserve"> (</w:t>
            </w:r>
            <w:r w:rsidR="0013375B">
              <w:t>pre-</w:t>
            </w:r>
            <w:r>
              <w:t xml:space="preserve">2018-2022, </w:t>
            </w:r>
            <w:r w:rsidR="0013375B">
              <w:t>post-</w:t>
            </w:r>
            <w:r>
              <w:t>2023-2027)</w:t>
            </w:r>
            <w:r w:rsidRPr="0009132C">
              <w:t>;</w:t>
            </w:r>
          </w:p>
          <w:p w14:paraId="146ABDED" w14:textId="23C65B89"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rPr>
                <w:color w:val="000000"/>
                <w:shd w:val="clear" w:color="auto" w:fill="FFFFFF"/>
              </w:rPr>
            </w:pPr>
            <w:r w:rsidRPr="0009132C">
              <w:t>Administrative data</w:t>
            </w:r>
            <w:r>
              <w:t xml:space="preserve"> (baseline 2015-2017, </w:t>
            </w:r>
            <w:r w:rsidR="0013375B">
              <w:t>pre-</w:t>
            </w:r>
            <w:r>
              <w:t xml:space="preserve">2018-2022, </w:t>
            </w:r>
            <w:r w:rsidR="007C24B2">
              <w:t>post-</w:t>
            </w:r>
            <w:r>
              <w:t>2023-2027)</w:t>
            </w:r>
          </w:p>
        </w:tc>
        <w:tc>
          <w:tcPr>
            <w:tcW w:w="0" w:type="dxa"/>
          </w:tcPr>
          <w:p w14:paraId="5E04E96A" w14:textId="77777777" w:rsidR="00F27351" w:rsidRPr="0009132C" w:rsidRDefault="00F27351" w:rsidP="00BA4F36">
            <w:pPr>
              <w:pStyle w:val="TableNormal0"/>
              <w:spacing w:after="0"/>
              <w:cnfStyle w:val="000000100000" w:firstRow="0" w:lastRow="0" w:firstColumn="0" w:lastColumn="0" w:oddVBand="0" w:evenVBand="0" w:oddHBand="1" w:evenHBand="0" w:firstRowFirstColumn="0" w:firstRowLastColumn="0" w:lastRowFirstColumn="0" w:lastRowLastColumn="0"/>
            </w:pPr>
            <w:r w:rsidRPr="0009132C">
              <w:t>ACO and practice level providers and staff:</w:t>
            </w:r>
          </w:p>
          <w:p w14:paraId="7D7B69CF" w14:textId="0BB26B71" w:rsidR="00F27351" w:rsidRPr="008A5693" w:rsidRDefault="432090E9" w:rsidP="00BA4F36">
            <w:pPr>
              <w:pStyle w:val="TableBullet"/>
              <w:cnfStyle w:val="000000100000" w:firstRow="0" w:lastRow="0" w:firstColumn="0" w:lastColumn="0" w:oddVBand="0" w:evenVBand="0" w:oddHBand="1" w:evenHBand="0" w:firstRowFirstColumn="0" w:firstRowLastColumn="0" w:lastRowFirstColumn="0" w:lastRowLastColumn="0"/>
            </w:pPr>
            <w:r w:rsidRPr="008A5693">
              <w:t xml:space="preserve">Providers </w:t>
            </w:r>
            <w:r w:rsidR="00FC4EF9">
              <w:t>s</w:t>
            </w:r>
            <w:r w:rsidRPr="008A5693">
              <w:t>urvey (n=~5,000);</w:t>
            </w:r>
          </w:p>
          <w:p w14:paraId="02973665" w14:textId="35A5B0A8" w:rsidR="00F27351" w:rsidRPr="008A5693" w:rsidRDefault="432090E9" w:rsidP="00BA4F36">
            <w:pPr>
              <w:pStyle w:val="TableBullet"/>
              <w:cnfStyle w:val="000000100000" w:firstRow="0" w:lastRow="0" w:firstColumn="0" w:lastColumn="0" w:oddVBand="0" w:evenVBand="0" w:oddHBand="1" w:evenHBand="0" w:firstRowFirstColumn="0" w:firstRowLastColumn="0" w:lastRowFirstColumn="0" w:lastRowLastColumn="0"/>
            </w:pPr>
            <w:r w:rsidRPr="008A5693">
              <w:t xml:space="preserve">Practice </w:t>
            </w:r>
            <w:r w:rsidR="00FC4EF9">
              <w:t>s</w:t>
            </w:r>
            <w:r w:rsidRPr="008A5693">
              <w:t xml:space="preserve">ite </w:t>
            </w:r>
            <w:r w:rsidR="00FC4EF9">
              <w:t>a</w:t>
            </w:r>
            <w:r w:rsidRPr="008A5693">
              <w:t xml:space="preserve">dministrators </w:t>
            </w:r>
            <w:r w:rsidR="00FC4EF9">
              <w:t>s</w:t>
            </w:r>
            <w:r w:rsidRPr="008A5693">
              <w:t>urvey (n=~350);</w:t>
            </w:r>
          </w:p>
          <w:p w14:paraId="7E0E6E78" w14:textId="39AD7807" w:rsidR="00F27351" w:rsidRPr="008A5693" w:rsidRDefault="432090E9" w:rsidP="00BA4F36">
            <w:pPr>
              <w:pStyle w:val="TableBullet"/>
              <w:cnfStyle w:val="000000100000" w:firstRow="0" w:lastRow="0" w:firstColumn="0" w:lastColumn="0" w:oddVBand="0" w:evenVBand="0" w:oddHBand="1" w:evenHBand="0" w:firstRowFirstColumn="0" w:firstRowLastColumn="0" w:lastRowFirstColumn="0" w:lastRowLastColumn="0"/>
            </w:pPr>
            <w:r w:rsidRPr="008A5693">
              <w:t xml:space="preserve">Leadership and </w:t>
            </w:r>
            <w:r w:rsidR="00FC4EF9">
              <w:t>o</w:t>
            </w:r>
            <w:r w:rsidR="00FC4EF9" w:rsidRPr="008A5693">
              <w:t xml:space="preserve">ther </w:t>
            </w:r>
            <w:r w:rsidR="00FC4EF9">
              <w:t>s</w:t>
            </w:r>
            <w:r w:rsidR="00FC4EF9" w:rsidRPr="008A5693">
              <w:t xml:space="preserve">taff </w:t>
            </w:r>
            <w:r w:rsidR="00FC4EF9">
              <w:t>i</w:t>
            </w:r>
            <w:r w:rsidRPr="008A5693">
              <w:t xml:space="preserve">nterviewees </w:t>
            </w:r>
            <w:r w:rsidR="006607CB">
              <w:br/>
            </w:r>
            <w:r w:rsidRPr="008A5693">
              <w:t>(n</w:t>
            </w:r>
            <w:r w:rsidR="7D1C6E1F" w:rsidRPr="008A5693">
              <w:t xml:space="preserve"> ≤ </w:t>
            </w:r>
            <w:r w:rsidRPr="008A5693">
              <w:t>50);</w:t>
            </w:r>
          </w:p>
          <w:p w14:paraId="0AB0F121" w14:textId="42C2B8D6" w:rsidR="00F27351" w:rsidRPr="0009132C" w:rsidRDefault="432090E9" w:rsidP="00BA4F36">
            <w:pPr>
              <w:pStyle w:val="TableBullet"/>
              <w:cnfStyle w:val="000000100000" w:firstRow="0" w:lastRow="0" w:firstColumn="0" w:lastColumn="0" w:oddVBand="0" w:evenVBand="0" w:oddHBand="1" w:evenHBand="0" w:firstRowFirstColumn="0" w:firstRowLastColumn="0" w:lastRowFirstColumn="0" w:lastRowLastColumn="0"/>
            </w:pPr>
            <w:r w:rsidRPr="008A5693">
              <w:t xml:space="preserve">Care </w:t>
            </w:r>
            <w:r w:rsidR="00FC4EF9">
              <w:t>m</w:t>
            </w:r>
            <w:r w:rsidR="00FC4EF9" w:rsidRPr="008A5693">
              <w:t xml:space="preserve">anagement </w:t>
            </w:r>
            <w:r w:rsidR="00FC4EF9">
              <w:t>s</w:t>
            </w:r>
            <w:r w:rsidR="00FC4EF9" w:rsidRPr="008A5693">
              <w:t xml:space="preserve">taff </w:t>
            </w:r>
            <w:r w:rsidR="00FC4EF9">
              <w:t>i</w:t>
            </w:r>
            <w:r w:rsidRPr="008A5693">
              <w:t>nterviewees (n</w:t>
            </w:r>
            <w:r w:rsidR="7D1C6E1F" w:rsidRPr="008A5693">
              <w:t xml:space="preserve"> ≤ </w:t>
            </w:r>
            <w:r w:rsidRPr="008A5693">
              <w:t>20-30)</w:t>
            </w:r>
          </w:p>
          <w:p w14:paraId="411F2906" w14:textId="77777777" w:rsidR="00F27351" w:rsidRPr="0009132C" w:rsidRDefault="00F27351" w:rsidP="00BA4F36">
            <w:pPr>
              <w:pStyle w:val="TableNormal0"/>
              <w:spacing w:before="240" w:after="0"/>
              <w:cnfStyle w:val="000000100000" w:firstRow="0" w:lastRow="0" w:firstColumn="0" w:lastColumn="0" w:oddVBand="0" w:evenVBand="0" w:oddHBand="1" w:evenHBand="0" w:firstRowFirstColumn="0" w:firstRowLastColumn="0" w:lastRowFirstColumn="0" w:lastRowLastColumn="0"/>
            </w:pPr>
            <w:r w:rsidRPr="0009132C">
              <w:t>CP staff:</w:t>
            </w:r>
          </w:p>
          <w:p w14:paraId="6375A132" w14:textId="7CAAEB9A" w:rsidR="00F27351" w:rsidRPr="0009132C" w:rsidRDefault="432090E9" w:rsidP="00BA4F36">
            <w:pPr>
              <w:pStyle w:val="TableBullet"/>
              <w:cnfStyle w:val="000000100000" w:firstRow="0" w:lastRow="0" w:firstColumn="0" w:lastColumn="0" w:oddVBand="0" w:evenVBand="0" w:oddHBand="1" w:evenHBand="0" w:firstRowFirstColumn="0" w:firstRowLastColumn="0" w:lastRowFirstColumn="0" w:lastRowLastColumn="0"/>
            </w:pPr>
            <w:r>
              <w:t xml:space="preserve">Administrators </w:t>
            </w:r>
            <w:r w:rsidR="00FC4EF9">
              <w:t>i</w:t>
            </w:r>
            <w:r>
              <w:t xml:space="preserve">nterviewees </w:t>
            </w:r>
            <w:r w:rsidR="00BA4F36">
              <w:br/>
            </w:r>
            <w:r>
              <w:t>(n</w:t>
            </w:r>
            <w:r w:rsidR="7D1C6E1F">
              <w:t xml:space="preserve"> ≤ </w:t>
            </w:r>
            <w:r>
              <w:t>60);</w:t>
            </w:r>
          </w:p>
          <w:p w14:paraId="32B5E916" w14:textId="420A60FF" w:rsidR="00F27351" w:rsidRPr="0009132C" w:rsidRDefault="432090E9" w:rsidP="00BA4F36">
            <w:pPr>
              <w:pStyle w:val="TableBullet"/>
              <w:cnfStyle w:val="000000100000" w:firstRow="0" w:lastRow="0" w:firstColumn="0" w:lastColumn="0" w:oddVBand="0" w:evenVBand="0" w:oddHBand="1" w:evenHBand="0" w:firstRowFirstColumn="0" w:firstRowLastColumn="0" w:lastRowFirstColumn="0" w:lastRowLastColumn="0"/>
            </w:pPr>
            <w:r>
              <w:t>Front</w:t>
            </w:r>
            <w:r w:rsidR="00FC4EF9">
              <w:t>-l</w:t>
            </w:r>
            <w:r>
              <w:t xml:space="preserve">ine </w:t>
            </w:r>
            <w:r w:rsidR="00FC4EF9">
              <w:t>s</w:t>
            </w:r>
            <w:r>
              <w:t xml:space="preserve">taff </w:t>
            </w:r>
            <w:r w:rsidR="00FC4EF9">
              <w:t>s</w:t>
            </w:r>
            <w:r>
              <w:t>urvey (n=~600)</w:t>
            </w:r>
          </w:p>
          <w:p w14:paraId="07BBB661" w14:textId="4D7A8FD8" w:rsidR="00F27351" w:rsidRPr="0009132C" w:rsidRDefault="00F27351" w:rsidP="00BA4F36">
            <w:pPr>
              <w:pStyle w:val="TableNormal0"/>
              <w:spacing w:before="240" w:after="0"/>
              <w:cnfStyle w:val="000000100000" w:firstRow="0" w:lastRow="0" w:firstColumn="0" w:lastColumn="0" w:oddVBand="0" w:evenVBand="0" w:oddHBand="1" w:evenHBand="0" w:firstRowFirstColumn="0" w:firstRowLastColumn="0" w:lastRowFirstColumn="0" w:lastRowLastColumn="0"/>
            </w:pPr>
            <w:r w:rsidRPr="0009132C">
              <w:t>CP</w:t>
            </w:r>
            <w:r>
              <w:t xml:space="preserve"> (n=~35,000)</w:t>
            </w:r>
            <w:r w:rsidRPr="0009132C">
              <w:t xml:space="preserve"> and ACO </w:t>
            </w:r>
            <w:r w:rsidR="00EC4746">
              <w:t>c</w:t>
            </w:r>
            <w:r w:rsidRPr="0009132C">
              <w:t xml:space="preserve">are </w:t>
            </w:r>
            <w:r w:rsidR="00EC4746">
              <w:t>m</w:t>
            </w:r>
            <w:r w:rsidRPr="0009132C">
              <w:t>anagement members</w:t>
            </w:r>
            <w:r>
              <w:t xml:space="preserve"> (n=~110,000)</w:t>
            </w:r>
          </w:p>
          <w:p w14:paraId="4750625B" w14:textId="77777777"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rPr>
                <w:b/>
                <w:shd w:val="clear" w:color="auto" w:fill="FFFFFF"/>
              </w:rPr>
            </w:pPr>
            <w:r w:rsidRPr="0009132C">
              <w:t>Subgroups defined by member (e.g., adults, children, chronic conditions) and ACO characteristics (e.g., type)</w:t>
            </w:r>
          </w:p>
        </w:tc>
        <w:tc>
          <w:tcPr>
            <w:tcW w:w="0" w:type="dxa"/>
          </w:tcPr>
          <w:p w14:paraId="71DA22F5" w14:textId="77777777"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 xml:space="preserve">Perceived changes in how well care is coordinated; </w:t>
            </w:r>
          </w:p>
          <w:p w14:paraId="587C1267" w14:textId="77777777"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Perceived changes in access to and quality-of-care coordination supports;</w:t>
            </w:r>
          </w:p>
          <w:p w14:paraId="2ADAEDEF" w14:textId="3EF93B71"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 xml:space="preserve">Rate of enrollment in ACO </w:t>
            </w:r>
            <w:r w:rsidR="00243457">
              <w:t>e</w:t>
            </w:r>
            <w:r w:rsidR="00243457" w:rsidRPr="0009132C">
              <w:t xml:space="preserve">nhanced </w:t>
            </w:r>
            <w:r w:rsidR="00243457">
              <w:t>c</w:t>
            </w:r>
            <w:r w:rsidR="00243457" w:rsidRPr="0009132C">
              <w:t xml:space="preserve">are </w:t>
            </w:r>
            <w:r w:rsidR="00243457">
              <w:t>c</w:t>
            </w:r>
            <w:r w:rsidR="00243457" w:rsidRPr="0009132C">
              <w:t xml:space="preserve">oordination </w:t>
            </w:r>
            <w:r w:rsidR="00243457">
              <w:t>p</w:t>
            </w:r>
            <w:r w:rsidR="00243457" w:rsidRPr="0009132C">
              <w:t>rograms</w:t>
            </w:r>
            <w:r w:rsidRPr="0009132C">
              <w:t>;</w:t>
            </w:r>
          </w:p>
          <w:p w14:paraId="2BE6AE9C" w14:textId="77777777"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Annual primary care visit;</w:t>
            </w:r>
          </w:p>
          <w:p w14:paraId="4BC566C5" w14:textId="731A0F19"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Initiation/</w:t>
            </w:r>
            <w:r w:rsidR="001E39DB">
              <w:t>e</w:t>
            </w:r>
            <w:r w:rsidR="001E39DB" w:rsidRPr="0009132C">
              <w:t xml:space="preserve">ngagement </w:t>
            </w:r>
            <w:r w:rsidRPr="0009132C">
              <w:t xml:space="preserve">of </w:t>
            </w:r>
            <w:r w:rsidR="001E39DB">
              <w:t>a</w:t>
            </w:r>
            <w:r w:rsidRPr="0009132C">
              <w:t xml:space="preserve">lcohol, </w:t>
            </w:r>
            <w:r w:rsidR="001E39DB">
              <w:t>o</w:t>
            </w:r>
            <w:r w:rsidRPr="0009132C">
              <w:t xml:space="preserve">pioid, or </w:t>
            </w:r>
            <w:r w:rsidR="001E39DB">
              <w:t>o</w:t>
            </w:r>
            <w:r w:rsidRPr="0009132C">
              <w:t xml:space="preserve">ther </w:t>
            </w:r>
            <w:r w:rsidR="001E39DB">
              <w:t>d</w:t>
            </w:r>
            <w:r w:rsidRPr="0009132C">
              <w:t xml:space="preserve">rug </w:t>
            </w:r>
            <w:r w:rsidR="001E39DB">
              <w:t>a</w:t>
            </w:r>
            <w:r w:rsidRPr="0009132C">
              <w:t xml:space="preserve">buse or </w:t>
            </w:r>
            <w:r w:rsidR="001E39DB">
              <w:t>d</w:t>
            </w:r>
            <w:r w:rsidRPr="0009132C">
              <w:t xml:space="preserve">ependence </w:t>
            </w:r>
            <w:r w:rsidR="001E39DB">
              <w:t>t</w:t>
            </w:r>
            <w:r w:rsidRPr="0009132C">
              <w:t>reatment;</w:t>
            </w:r>
          </w:p>
          <w:p w14:paraId="6F047412" w14:textId="397A72FE"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 xml:space="preserve">Antidepressant </w:t>
            </w:r>
            <w:r w:rsidR="001E39DB">
              <w:t>m</w:t>
            </w:r>
            <w:r w:rsidRPr="0009132C">
              <w:t xml:space="preserve">edication </w:t>
            </w:r>
            <w:r w:rsidR="001E39DB">
              <w:t>m</w:t>
            </w:r>
            <w:r w:rsidRPr="0009132C">
              <w:t>anagement;</w:t>
            </w:r>
          </w:p>
          <w:p w14:paraId="18E5D4F2" w14:textId="1F325E60"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 xml:space="preserve">Treatment </w:t>
            </w:r>
            <w:r w:rsidR="001E39DB">
              <w:t>p</w:t>
            </w:r>
            <w:r w:rsidRPr="0009132C">
              <w:t xml:space="preserve">lan </w:t>
            </w:r>
            <w:r w:rsidR="00243457">
              <w:t>c</w:t>
            </w:r>
            <w:r w:rsidRPr="0009132C">
              <w:t>ompletion;</w:t>
            </w:r>
          </w:p>
          <w:p w14:paraId="44270BE0" w14:textId="4B8B5ED2"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 xml:space="preserve">Care </w:t>
            </w:r>
            <w:r w:rsidR="00243457">
              <w:t>p</w:t>
            </w:r>
            <w:r w:rsidRPr="0009132C">
              <w:t xml:space="preserve">lan </w:t>
            </w:r>
            <w:r w:rsidR="00243457">
              <w:t>c</w:t>
            </w:r>
            <w:r w:rsidRPr="0009132C">
              <w:t>ompletion;</w:t>
            </w:r>
          </w:p>
          <w:p w14:paraId="28FF608D" w14:textId="65C8748C"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 xml:space="preserve">Oral </w:t>
            </w:r>
            <w:r w:rsidR="00243457">
              <w:t>h</w:t>
            </w:r>
            <w:r w:rsidRPr="0009132C">
              <w:t xml:space="preserve">ealth </w:t>
            </w:r>
            <w:r w:rsidR="00243457">
              <w:t>e</w:t>
            </w:r>
            <w:r w:rsidRPr="0009132C">
              <w:t>valuation (LTSS CP);</w:t>
            </w:r>
          </w:p>
          <w:p w14:paraId="6827C255" w14:textId="77777777"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Metrics selected corresponding to ACO care management program target populations</w:t>
            </w:r>
          </w:p>
        </w:tc>
        <w:tc>
          <w:tcPr>
            <w:tcW w:w="0" w:type="dxa"/>
          </w:tcPr>
          <w:p w14:paraId="58573129" w14:textId="562BFBC5"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 xml:space="preserve">Descriptive </w:t>
            </w:r>
            <w:r w:rsidR="00BF46AC">
              <w:t>a</w:t>
            </w:r>
            <w:r w:rsidRPr="0009132C">
              <w:t>nalysis</w:t>
            </w:r>
            <w:r>
              <w:t xml:space="preserve"> (member)</w:t>
            </w:r>
            <w:r w:rsidRPr="0009132C">
              <w:t>;</w:t>
            </w:r>
          </w:p>
          <w:p w14:paraId="2405DC85" w14:textId="70669765"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 xml:space="preserve">Observed vs </w:t>
            </w:r>
            <w:r w:rsidR="00BF46AC">
              <w:t>e</w:t>
            </w:r>
            <w:r w:rsidRPr="0009132C">
              <w:t>xpected</w:t>
            </w:r>
            <w:r>
              <w:t xml:space="preserve"> (member)</w:t>
            </w:r>
            <w:r w:rsidRPr="0009132C">
              <w:t>;</w:t>
            </w:r>
          </w:p>
          <w:p w14:paraId="0FE9A001" w14:textId="72F29BB4"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Quasi-</w:t>
            </w:r>
            <w:r w:rsidR="00BF46AC">
              <w:t>e</w:t>
            </w:r>
            <w:r w:rsidR="00BF46AC" w:rsidRPr="0009132C">
              <w:t xml:space="preserve">xperimental </w:t>
            </w:r>
            <w:r w:rsidR="00BF46AC">
              <w:t>m</w:t>
            </w:r>
            <w:r w:rsidR="00BF46AC" w:rsidRPr="0009132C">
              <w:t>ethods</w:t>
            </w:r>
            <w:r w:rsidR="00BF46AC">
              <w:t xml:space="preserve"> </w:t>
            </w:r>
            <w:r>
              <w:t>(member)</w:t>
            </w:r>
            <w:r w:rsidRPr="0009132C">
              <w:t>;</w:t>
            </w:r>
          </w:p>
          <w:p w14:paraId="10ABF6FF" w14:textId="77777777"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Qualitative analysis of data collected through KIIs</w:t>
            </w:r>
          </w:p>
        </w:tc>
      </w:tr>
      <w:tr w:rsidR="00F27351" w:rsidRPr="0009132C" w14:paraId="0F0EA5AF" w14:textId="77777777" w:rsidTr="000132FC">
        <w:trPr>
          <w:trHeight w:val="3563"/>
        </w:trPr>
        <w:tc>
          <w:tcPr>
            <w:cnfStyle w:val="001000000000" w:firstRow="0" w:lastRow="0" w:firstColumn="1" w:lastColumn="0" w:oddVBand="0" w:evenVBand="0" w:oddHBand="0" w:evenHBand="0" w:firstRowFirstColumn="0" w:firstRowLastColumn="0" w:lastRowFirstColumn="0" w:lastRowLastColumn="0"/>
            <w:tcW w:w="0" w:type="dxa"/>
            <w:hideMark/>
          </w:tcPr>
          <w:p w14:paraId="2044B9D7" w14:textId="77777777" w:rsidR="00F27351" w:rsidRPr="0009132C" w:rsidRDefault="00F27351" w:rsidP="00BA4F36">
            <w:pPr>
              <w:pStyle w:val="TableNormal0"/>
              <w:rPr>
                <w:rFonts w:eastAsia="Arial"/>
                <w:color w:val="000000"/>
              </w:rPr>
            </w:pPr>
            <w:r w:rsidRPr="0009132C">
              <w:rPr>
                <w:rFonts w:eastAsia="Arial"/>
              </w:rPr>
              <w:lastRenderedPageBreak/>
              <w:t>RQ2-8 How did the volume and mix of services change for ACO members? </w:t>
            </w:r>
          </w:p>
        </w:tc>
        <w:tc>
          <w:tcPr>
            <w:tcW w:w="0" w:type="dxa"/>
            <w:hideMark/>
          </w:tcPr>
          <w:p w14:paraId="079A2D19" w14:textId="77777777"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rPr>
                <w:rFonts w:eastAsia="Arial"/>
              </w:rPr>
            </w:pPr>
            <w:r w:rsidRPr="0009132C">
              <w:rPr>
                <w:rFonts w:eastAsia="Arial"/>
                <w:b/>
              </w:rPr>
              <w:t>H2-8.1</w:t>
            </w:r>
            <w:r w:rsidRPr="0009132C">
              <w:rPr>
                <w:rFonts w:eastAsia="Arial"/>
                <w:bCs/>
              </w:rPr>
              <w:t xml:space="preserve"> </w:t>
            </w:r>
            <w:r w:rsidRPr="0009132C">
              <w:rPr>
                <w:rFonts w:eastAsia="Arial"/>
              </w:rPr>
              <w:t>The volume and mix of services utilized will shift, when clinically appropriate, in the direction of lower-cost sites and types of care. </w:t>
            </w:r>
          </w:p>
          <w:p w14:paraId="40C0D034" w14:textId="77777777"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rPr>
                <w:rFonts w:eastAsia="Arial"/>
              </w:rPr>
            </w:pPr>
            <w:r w:rsidRPr="0009132C">
              <w:rPr>
                <w:rFonts w:eastAsia="Arial"/>
                <w:b/>
              </w:rPr>
              <w:t>H2-8.2</w:t>
            </w:r>
            <w:r w:rsidRPr="0009132C">
              <w:rPr>
                <w:rFonts w:eastAsia="Arial"/>
                <w:bCs/>
              </w:rPr>
              <w:t xml:space="preserve"> </w:t>
            </w:r>
            <w:r w:rsidRPr="0009132C">
              <w:rPr>
                <w:rFonts w:eastAsia="Arial"/>
              </w:rPr>
              <w:t>Rates of potentially avoidable emergency care and inpatient utilization will decrease.</w:t>
            </w:r>
          </w:p>
          <w:p w14:paraId="4000369A" w14:textId="77777777"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rPr>
                <w:rFonts w:eastAsia="Arial"/>
                <w:color w:val="000000"/>
              </w:rPr>
            </w:pPr>
            <w:r w:rsidRPr="0009132C">
              <w:rPr>
                <w:rFonts w:eastAsia="Arial"/>
                <w:b/>
              </w:rPr>
              <w:t>H2-8.3</w:t>
            </w:r>
            <w:r w:rsidRPr="0009132C">
              <w:rPr>
                <w:rFonts w:eastAsia="Arial"/>
              </w:rPr>
              <w:t xml:space="preserve"> Utilization of outpatient LTSS, BH, and physical care services will increase or remain consistent for members.</w:t>
            </w:r>
          </w:p>
        </w:tc>
        <w:tc>
          <w:tcPr>
            <w:tcW w:w="0" w:type="dxa"/>
          </w:tcPr>
          <w:p w14:paraId="633B985F" w14:textId="661A288A"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09132C">
              <w:t>Administrative data</w:t>
            </w:r>
            <w:r>
              <w:t xml:space="preserve"> (baseline 2015-2017, </w:t>
            </w:r>
            <w:r w:rsidR="007C24B2">
              <w:t>pre-</w:t>
            </w:r>
            <w:r>
              <w:t xml:space="preserve">2018-2022, </w:t>
            </w:r>
            <w:r w:rsidR="007C24B2">
              <w:t>post-</w:t>
            </w:r>
            <w:r>
              <w:t>2023-2027)</w:t>
            </w:r>
          </w:p>
        </w:tc>
        <w:tc>
          <w:tcPr>
            <w:tcW w:w="0" w:type="dxa"/>
          </w:tcPr>
          <w:p w14:paraId="005159F8" w14:textId="2FA52B18"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09132C">
              <w:t>Managed care eligible members</w:t>
            </w:r>
            <w:r>
              <w:t xml:space="preserve"> (n=~1.3 million)</w:t>
            </w:r>
            <w:r w:rsidRPr="0009132C">
              <w:t>;</w:t>
            </w:r>
          </w:p>
          <w:p w14:paraId="5B7CF4E8" w14:textId="1492118C"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09132C">
              <w:t>ACO members</w:t>
            </w:r>
            <w:r>
              <w:t xml:space="preserve"> (n=~</w:t>
            </w:r>
            <w:r w:rsidR="00786BB0">
              <w:t>1</w:t>
            </w:r>
            <w:r>
              <w:t>.3 million; comparison group of MCO/PCC members n=~152,000)</w:t>
            </w:r>
            <w:r w:rsidRPr="0009132C">
              <w:t>;</w:t>
            </w:r>
          </w:p>
          <w:p w14:paraId="184BA098" w14:textId="7F66BF3D"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rPr>
                <w:bCs/>
              </w:rPr>
            </w:pPr>
            <w:r w:rsidRPr="0009132C">
              <w:t>CP</w:t>
            </w:r>
            <w:r>
              <w:t xml:space="preserve"> (n=~35,000)</w:t>
            </w:r>
            <w:r w:rsidRPr="0009132C">
              <w:t xml:space="preserve"> and ACO </w:t>
            </w:r>
            <w:r w:rsidR="00095FA6">
              <w:t>c</w:t>
            </w:r>
            <w:r w:rsidRPr="0009132C">
              <w:t xml:space="preserve">are </w:t>
            </w:r>
            <w:r w:rsidR="00095FA6">
              <w:t>m</w:t>
            </w:r>
            <w:r w:rsidRPr="0009132C">
              <w:t>anagement members</w:t>
            </w:r>
            <w:r>
              <w:t xml:space="preserve"> (n=~110,000)</w:t>
            </w:r>
          </w:p>
          <w:p w14:paraId="285CB12D" w14:textId="77777777"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rPr>
                <w:rFonts w:eastAsia="Arial"/>
                <w:b/>
              </w:rPr>
            </w:pPr>
            <w:r w:rsidRPr="0009132C">
              <w:rPr>
                <w:rFonts w:eastAsia="Arial"/>
                <w:bCs/>
              </w:rPr>
              <w:t>Subgroups defined by member</w:t>
            </w:r>
            <w:r w:rsidRPr="0009132C">
              <w:rPr>
                <w:rFonts w:eastAsia="Arial"/>
                <w:b/>
              </w:rPr>
              <w:t xml:space="preserve"> </w:t>
            </w:r>
            <w:r w:rsidRPr="0009132C">
              <w:rPr>
                <w:rFonts w:eastAsia="Arial"/>
              </w:rPr>
              <w:t>(e.g., adults, children, chronic conditions) and ACO characteristics (e.g., type)</w:t>
            </w:r>
          </w:p>
        </w:tc>
        <w:tc>
          <w:tcPr>
            <w:tcW w:w="0" w:type="dxa"/>
          </w:tcPr>
          <w:p w14:paraId="0705C98B" w14:textId="77777777"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09132C">
              <w:t>Primary care utilization;</w:t>
            </w:r>
          </w:p>
          <w:p w14:paraId="041183D6" w14:textId="77777777"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09132C">
              <w:t>Post-acute care and LTSS utilization;</w:t>
            </w:r>
          </w:p>
          <w:p w14:paraId="2EFB4DE8" w14:textId="77777777"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09132C">
              <w:t>Outpatient utilization;</w:t>
            </w:r>
          </w:p>
          <w:p w14:paraId="79E89AB7" w14:textId="77777777"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09132C">
              <w:t>Pharmacy utilization;</w:t>
            </w:r>
          </w:p>
          <w:p w14:paraId="6B844BB9" w14:textId="77777777"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09132C">
              <w:t>Inpatient utilization;</w:t>
            </w:r>
          </w:p>
          <w:p w14:paraId="4D59F21D" w14:textId="77777777"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09132C">
              <w:t>ED visits and boarding;</w:t>
            </w:r>
          </w:p>
          <w:p w14:paraId="0EAA30C2" w14:textId="3878F5CE" w:rsidR="00F27351" w:rsidRPr="0009132C" w:rsidRDefault="00095FA6" w:rsidP="00BA4F36">
            <w:pPr>
              <w:pStyle w:val="TableNormal0"/>
              <w:cnfStyle w:val="000000000000" w:firstRow="0" w:lastRow="0" w:firstColumn="0" w:lastColumn="0" w:oddVBand="0" w:evenVBand="0" w:oddHBand="0" w:evenHBand="0" w:firstRowFirstColumn="0" w:firstRowLastColumn="0" w:lastRowFirstColumn="0" w:lastRowLastColumn="0"/>
            </w:pPr>
            <w:r>
              <w:t>ED</w:t>
            </w:r>
            <w:r w:rsidR="00F27351" w:rsidRPr="0009132C">
              <w:t xml:space="preserve"> </w:t>
            </w:r>
            <w:r>
              <w:t>v</w:t>
            </w:r>
            <w:r w:rsidR="00F27351" w:rsidRPr="0009132C">
              <w:t xml:space="preserve">isits for </w:t>
            </w:r>
            <w:r>
              <w:t>i</w:t>
            </w:r>
            <w:r w:rsidR="00F27351" w:rsidRPr="0009132C">
              <w:t xml:space="preserve">ndividuals with </w:t>
            </w:r>
            <w:r>
              <w:t>m</w:t>
            </w:r>
            <w:r w:rsidR="00F27351" w:rsidRPr="0009132C">
              <w:t xml:space="preserve">ental </w:t>
            </w:r>
            <w:r>
              <w:t>i</w:t>
            </w:r>
            <w:r w:rsidR="00F27351" w:rsidRPr="0009132C">
              <w:t xml:space="preserve">llness, </w:t>
            </w:r>
            <w:r>
              <w:t>a</w:t>
            </w:r>
            <w:r w:rsidR="00F27351" w:rsidRPr="0009132C">
              <w:t xml:space="preserve">ddiction, or </w:t>
            </w:r>
            <w:r>
              <w:t>c</w:t>
            </w:r>
            <w:r w:rsidR="00F27351" w:rsidRPr="0009132C">
              <w:t xml:space="preserve">o-occurring </w:t>
            </w:r>
            <w:r>
              <w:t>c</w:t>
            </w:r>
            <w:r w:rsidR="00F27351" w:rsidRPr="0009132C">
              <w:t>onditions;</w:t>
            </w:r>
          </w:p>
          <w:p w14:paraId="321D3D5F" w14:textId="77777777"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09132C">
              <w:t>All-cause readmissions;</w:t>
            </w:r>
          </w:p>
          <w:p w14:paraId="26C83683" w14:textId="137AA55F"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09132C">
              <w:t xml:space="preserve">Hospital admissions for ambulatory </w:t>
            </w:r>
            <w:r w:rsidR="007C24B2" w:rsidRPr="0009132C">
              <w:t>care</w:t>
            </w:r>
            <w:r w:rsidR="007C24B2">
              <w:t>-</w:t>
            </w:r>
            <w:r w:rsidRPr="0009132C">
              <w:t>sensitive conditions;</w:t>
            </w:r>
          </w:p>
          <w:p w14:paraId="69E000A0" w14:textId="77777777"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09132C">
              <w:t>Pediatric asthma admissions;</w:t>
            </w:r>
          </w:p>
          <w:p w14:paraId="5184ED70" w14:textId="77777777"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09132C">
              <w:t>Imaging for low back pain</w:t>
            </w:r>
          </w:p>
        </w:tc>
        <w:tc>
          <w:tcPr>
            <w:tcW w:w="0" w:type="dxa"/>
          </w:tcPr>
          <w:p w14:paraId="7395D06E" w14:textId="6326F691"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09132C">
              <w:t xml:space="preserve">Descriptive </w:t>
            </w:r>
            <w:r w:rsidR="00471E36">
              <w:t>a</w:t>
            </w:r>
            <w:r w:rsidRPr="0009132C">
              <w:t>nalysis</w:t>
            </w:r>
            <w:r>
              <w:t xml:space="preserve"> (member)</w:t>
            </w:r>
            <w:r w:rsidRPr="0009132C">
              <w:t>;</w:t>
            </w:r>
          </w:p>
          <w:p w14:paraId="5569F7A2" w14:textId="68CDF655"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09132C">
              <w:t xml:space="preserve">Observed vs </w:t>
            </w:r>
            <w:r w:rsidR="00471E36">
              <w:t>e</w:t>
            </w:r>
            <w:r w:rsidRPr="0009132C">
              <w:t>xpected</w:t>
            </w:r>
            <w:r>
              <w:t xml:space="preserve"> (member)</w:t>
            </w:r>
            <w:r w:rsidRPr="0009132C">
              <w:t>;</w:t>
            </w:r>
          </w:p>
          <w:p w14:paraId="5D4DDC70" w14:textId="02AA1286"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09132C">
              <w:t>Quasi-</w:t>
            </w:r>
            <w:r w:rsidR="00471E36">
              <w:t>e</w:t>
            </w:r>
            <w:r w:rsidRPr="0009132C">
              <w:t xml:space="preserve">xperimental </w:t>
            </w:r>
            <w:r w:rsidR="00471E36">
              <w:t>m</w:t>
            </w:r>
            <w:r w:rsidR="00471E36" w:rsidRPr="0009132C">
              <w:t>ethods</w:t>
            </w:r>
            <w:r w:rsidR="00471E36">
              <w:t xml:space="preserve"> </w:t>
            </w:r>
            <w:r>
              <w:t>(member)</w:t>
            </w:r>
          </w:p>
        </w:tc>
      </w:tr>
      <w:tr w:rsidR="006F3ACC" w:rsidRPr="0009132C" w14:paraId="3AA2D69C" w14:textId="77777777" w:rsidTr="000132FC">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0" w:type="dxa"/>
            <w:hideMark/>
          </w:tcPr>
          <w:p w14:paraId="3FF6DAC1" w14:textId="77777777" w:rsidR="00F27351" w:rsidRPr="0009132C" w:rsidRDefault="00F27351" w:rsidP="00BA4F36">
            <w:pPr>
              <w:pStyle w:val="TableNormal0"/>
              <w:rPr>
                <w:rFonts w:eastAsia="Arial"/>
                <w:color w:val="000000"/>
              </w:rPr>
            </w:pPr>
            <w:r w:rsidRPr="0009132C">
              <w:rPr>
                <w:rFonts w:eastAsia="Arial"/>
              </w:rPr>
              <w:t>RQ2-9 How did member outcomes and member experience change for ACO members?</w:t>
            </w:r>
          </w:p>
        </w:tc>
        <w:tc>
          <w:tcPr>
            <w:tcW w:w="0" w:type="dxa"/>
            <w:hideMark/>
          </w:tcPr>
          <w:p w14:paraId="7C32F015" w14:textId="77777777"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rPr>
                <w:rFonts w:eastAsia="Arial"/>
              </w:rPr>
            </w:pPr>
            <w:r w:rsidRPr="0009132C">
              <w:rPr>
                <w:rFonts w:eastAsia="Arial"/>
                <w:b/>
              </w:rPr>
              <w:t>H2-9.1</w:t>
            </w:r>
            <w:r w:rsidRPr="0009132C">
              <w:rPr>
                <w:rFonts w:eastAsia="Arial"/>
                <w:bCs/>
              </w:rPr>
              <w:t xml:space="preserve"> </w:t>
            </w:r>
            <w:r w:rsidRPr="0009132C">
              <w:rPr>
                <w:rFonts w:eastAsia="Arial"/>
              </w:rPr>
              <w:t>Clinical outcomes will improve.</w:t>
            </w:r>
          </w:p>
          <w:p w14:paraId="49314AE4" w14:textId="77777777"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rPr>
                <w:rFonts w:eastAsia="Arial"/>
                <w:color w:val="000000"/>
              </w:rPr>
            </w:pPr>
            <w:r w:rsidRPr="0009132C">
              <w:rPr>
                <w:rFonts w:eastAsia="Arial"/>
                <w:b/>
              </w:rPr>
              <w:t>H2-9.2</w:t>
            </w:r>
            <w:r w:rsidRPr="0009132C">
              <w:rPr>
                <w:rFonts w:eastAsia="Arial"/>
              </w:rPr>
              <w:t xml:space="preserve"> Members will report improved experiences of healthcare services and supports.</w:t>
            </w:r>
          </w:p>
          <w:p w14:paraId="0312F103" w14:textId="77777777"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rPr>
                <w:rFonts w:eastAsia="Arial"/>
                <w:bCs/>
                <w:color w:val="000000"/>
              </w:rPr>
            </w:pPr>
            <w:r w:rsidRPr="0009132C">
              <w:rPr>
                <w:rFonts w:eastAsia="Arial"/>
                <w:b/>
              </w:rPr>
              <w:t>H2-9.3</w:t>
            </w:r>
            <w:r w:rsidRPr="0009132C">
              <w:rPr>
                <w:rFonts w:eastAsia="Arial"/>
                <w:bCs/>
              </w:rPr>
              <w:t xml:space="preserve"> </w:t>
            </w:r>
            <w:r w:rsidRPr="0009132C">
              <w:rPr>
                <w:rFonts w:eastAsia="Arial"/>
              </w:rPr>
              <w:t>Inequities in health outcomes will decline in targeted measures.</w:t>
            </w:r>
          </w:p>
        </w:tc>
        <w:tc>
          <w:tcPr>
            <w:tcW w:w="0" w:type="dxa"/>
          </w:tcPr>
          <w:p w14:paraId="08B4ADF3" w14:textId="31F08F00"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Member interviews</w:t>
            </w:r>
            <w:r>
              <w:t xml:space="preserve"> and/or focus groups</w:t>
            </w:r>
            <w:r w:rsidRPr="0009132C">
              <w:t>;</w:t>
            </w:r>
            <w:r w:rsidRPr="0009132C">
              <w:rPr>
                <w:rStyle w:val="eop"/>
              </w:rPr>
              <w:t> </w:t>
            </w:r>
            <w:r w:rsidRPr="00072F0F">
              <w:t>(2024-2025; 2026-2027)</w:t>
            </w:r>
          </w:p>
          <w:p w14:paraId="1681FD0D" w14:textId="6835BD70"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Member surveys</w:t>
            </w:r>
            <w:r>
              <w:t xml:space="preserve"> (</w:t>
            </w:r>
            <w:r w:rsidR="00B2255A">
              <w:t>pre-</w:t>
            </w:r>
            <w:r>
              <w:t xml:space="preserve">2018-2022, </w:t>
            </w:r>
            <w:r w:rsidR="00B2255A">
              <w:t>post-</w:t>
            </w:r>
            <w:r>
              <w:t>2023-2027)</w:t>
            </w:r>
            <w:r w:rsidRPr="0009132C">
              <w:t>;</w:t>
            </w:r>
          </w:p>
          <w:p w14:paraId="13D5A7EB" w14:textId="70B15604"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rPr>
                <w:color w:val="000000"/>
                <w:shd w:val="clear" w:color="auto" w:fill="FFFFFF"/>
              </w:rPr>
            </w:pPr>
            <w:r w:rsidRPr="0009132C">
              <w:t>Administrative data</w:t>
            </w:r>
            <w:r>
              <w:t xml:space="preserve"> (baseline 2015-2017, </w:t>
            </w:r>
            <w:r w:rsidR="00B2255A">
              <w:t>pre-</w:t>
            </w:r>
            <w:r>
              <w:lastRenderedPageBreak/>
              <w:t>2018-2022, post 2023-2027)</w:t>
            </w:r>
          </w:p>
        </w:tc>
        <w:tc>
          <w:tcPr>
            <w:tcW w:w="0" w:type="dxa"/>
          </w:tcPr>
          <w:p w14:paraId="6AE67822" w14:textId="4E0FE6A1" w:rsidR="00F27351"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lastRenderedPageBreak/>
              <w:t xml:space="preserve">Member interviewees </w:t>
            </w:r>
            <w:r w:rsidR="006607CB">
              <w:br/>
            </w:r>
            <w:r>
              <w:t>(</w:t>
            </w:r>
            <w:r w:rsidRPr="0A71B3C8">
              <w:rPr>
                <w:rFonts w:eastAsia="Arial"/>
              </w:rPr>
              <w:t>n</w:t>
            </w:r>
            <w:r w:rsidR="00B442EB">
              <w:rPr>
                <w:rFonts w:eastAsia="Arial"/>
              </w:rPr>
              <w:t xml:space="preserve"> ≤ </w:t>
            </w:r>
            <w:r w:rsidRPr="0A71B3C8">
              <w:rPr>
                <w:rFonts w:eastAsia="Arial"/>
              </w:rPr>
              <w:t>30</w:t>
            </w:r>
            <w:r>
              <w:rPr>
                <w:rFonts w:eastAsia="Arial"/>
              </w:rPr>
              <w:t>)</w:t>
            </w:r>
          </w:p>
          <w:p w14:paraId="0697A28D" w14:textId="01066DB7"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Managed care eligible members</w:t>
            </w:r>
            <w:r>
              <w:t xml:space="preserve"> (n=~1.3 million)</w:t>
            </w:r>
          </w:p>
          <w:p w14:paraId="0243B196" w14:textId="203D47E9"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ACO members</w:t>
            </w:r>
            <w:r>
              <w:t xml:space="preserve"> (n=~1.3 million; comparison group of MCO/PCC members n=~152,000)</w:t>
            </w:r>
          </w:p>
          <w:p w14:paraId="7A0085B8" w14:textId="485FE7C3"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lastRenderedPageBreak/>
              <w:t xml:space="preserve">CP (n=35,000) and ACO </w:t>
            </w:r>
            <w:r w:rsidR="000E2933">
              <w:t>c</w:t>
            </w:r>
            <w:r>
              <w:t xml:space="preserve">are </w:t>
            </w:r>
            <w:r w:rsidR="000E2933">
              <w:t>m</w:t>
            </w:r>
            <w:r>
              <w:t>anagement members (n=~110,000)</w:t>
            </w:r>
          </w:p>
          <w:p w14:paraId="0116CB37" w14:textId="1AA89AD7"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rPr>
                <w:rFonts w:eastAsia="Arial"/>
                <w:shd w:val="clear" w:color="auto" w:fill="FFFFFF"/>
              </w:rPr>
            </w:pPr>
            <w:r w:rsidRPr="0009132C">
              <w:rPr>
                <w:rFonts w:eastAsia="Arial"/>
                <w:bCs/>
              </w:rPr>
              <w:t>Subgroups defined by member</w:t>
            </w:r>
            <w:r w:rsidRPr="0009132C">
              <w:rPr>
                <w:rFonts w:eastAsia="Arial"/>
                <w:b/>
              </w:rPr>
              <w:t xml:space="preserve"> </w:t>
            </w:r>
            <w:r w:rsidRPr="0009132C">
              <w:rPr>
                <w:rFonts w:eastAsia="Arial"/>
              </w:rPr>
              <w:t xml:space="preserve">(e.g., adults, children, chronic conditions) and ACO characteristics (e.g., type) </w:t>
            </w:r>
          </w:p>
        </w:tc>
        <w:tc>
          <w:tcPr>
            <w:tcW w:w="0" w:type="dxa"/>
          </w:tcPr>
          <w:p w14:paraId="627EA404" w14:textId="77777777"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rPr>
                <w:color w:val="000000"/>
              </w:rPr>
              <w:lastRenderedPageBreak/>
              <w:t>Member e</w:t>
            </w:r>
            <w:r w:rsidRPr="0009132C">
              <w:t>xperience of healthcare services and supports;</w:t>
            </w:r>
          </w:p>
          <w:p w14:paraId="2F671FA5" w14:textId="77777777"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Person-centered primary care measure;</w:t>
            </w:r>
          </w:p>
          <w:p w14:paraId="2235DB5A" w14:textId="77777777"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Unnecessary C-Section;</w:t>
            </w:r>
          </w:p>
          <w:p w14:paraId="072CE071" w14:textId="77777777"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Maternal morbidity;</w:t>
            </w:r>
          </w:p>
          <w:p w14:paraId="5FAB133C" w14:textId="77777777"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NICU utilization;</w:t>
            </w:r>
          </w:p>
          <w:p w14:paraId="410DC9E0" w14:textId="426D0209"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lastRenderedPageBreak/>
              <w:t xml:space="preserve">Controlling </w:t>
            </w:r>
            <w:r w:rsidR="00187F06">
              <w:t>h</w:t>
            </w:r>
            <w:r w:rsidR="00187F06" w:rsidRPr="0009132C">
              <w:t xml:space="preserve">igh </w:t>
            </w:r>
            <w:r w:rsidR="00187F06">
              <w:t>b</w:t>
            </w:r>
            <w:r w:rsidR="00187F06" w:rsidRPr="0009132C">
              <w:t xml:space="preserve">lood </w:t>
            </w:r>
            <w:r w:rsidR="00187F06">
              <w:t>p</w:t>
            </w:r>
            <w:r w:rsidR="00187F06" w:rsidRPr="0009132C">
              <w:t>ressure</w:t>
            </w:r>
            <w:r w:rsidRPr="0009132C">
              <w:t>;</w:t>
            </w:r>
          </w:p>
          <w:p w14:paraId="7EE57ADA" w14:textId="2B159A42" w:rsidR="00187F06"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 xml:space="preserve">Comprehensive </w:t>
            </w:r>
            <w:r w:rsidR="00187F06">
              <w:t>d</w:t>
            </w:r>
            <w:r w:rsidR="00187F06" w:rsidRPr="0009132C">
              <w:t xml:space="preserve">iabetes </w:t>
            </w:r>
            <w:r w:rsidR="00187F06">
              <w:t>c</w:t>
            </w:r>
            <w:r w:rsidR="00187F06" w:rsidRPr="0009132C">
              <w:t>are</w:t>
            </w:r>
            <w:r w:rsidRPr="0009132C">
              <w:t xml:space="preserve">: </w:t>
            </w:r>
          </w:p>
          <w:p w14:paraId="4906717D" w14:textId="7E3EC0F1"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 xml:space="preserve">HBA1c </w:t>
            </w:r>
            <w:r w:rsidR="00187F06">
              <w:t>p</w:t>
            </w:r>
            <w:r w:rsidR="00187F06" w:rsidRPr="0009132C">
              <w:t xml:space="preserve">oor </w:t>
            </w:r>
            <w:r w:rsidR="00187F06">
              <w:t>c</w:t>
            </w:r>
            <w:r w:rsidR="00187F06" w:rsidRPr="0009132C">
              <w:t>ontrol</w:t>
            </w:r>
            <w:r w:rsidRPr="0009132C">
              <w:t>;</w:t>
            </w:r>
          </w:p>
          <w:p w14:paraId="173C9D75" w14:textId="77777777"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rPr>
                <w:color w:val="000000"/>
              </w:rPr>
            </w:pPr>
            <w:r w:rsidRPr="0009132C">
              <w:t>Other metrics targeted for disparities reduction</w:t>
            </w:r>
          </w:p>
        </w:tc>
        <w:tc>
          <w:tcPr>
            <w:tcW w:w="0" w:type="dxa"/>
          </w:tcPr>
          <w:p w14:paraId="0B714B34" w14:textId="76F2A246"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lastRenderedPageBreak/>
              <w:t xml:space="preserve">Descriptive </w:t>
            </w:r>
            <w:r w:rsidR="000E2933">
              <w:t>a</w:t>
            </w:r>
            <w:r w:rsidR="000E2933" w:rsidRPr="0009132C">
              <w:t>nalysis</w:t>
            </w:r>
            <w:r w:rsidR="000E2933">
              <w:t xml:space="preserve"> </w:t>
            </w:r>
            <w:r>
              <w:t>(member)</w:t>
            </w:r>
            <w:r w:rsidRPr="0009132C">
              <w:t>;</w:t>
            </w:r>
          </w:p>
          <w:p w14:paraId="145EB820" w14:textId="5303576C"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 xml:space="preserve">Observed vs </w:t>
            </w:r>
            <w:r w:rsidR="000E2933">
              <w:t>e</w:t>
            </w:r>
            <w:r w:rsidR="000E2933" w:rsidRPr="0009132C">
              <w:t>xpected</w:t>
            </w:r>
            <w:r w:rsidR="000E2933">
              <w:t xml:space="preserve"> </w:t>
            </w:r>
            <w:r>
              <w:t>(member)</w:t>
            </w:r>
            <w:r w:rsidRPr="0009132C">
              <w:t>;</w:t>
            </w:r>
          </w:p>
          <w:p w14:paraId="10CA59E0" w14:textId="174642AA"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Quasi-</w:t>
            </w:r>
            <w:r w:rsidR="00187F06">
              <w:t>e</w:t>
            </w:r>
            <w:r w:rsidR="00187F06" w:rsidRPr="0009132C">
              <w:t xml:space="preserve">xperimental </w:t>
            </w:r>
            <w:r w:rsidR="00187F06">
              <w:t>m</w:t>
            </w:r>
            <w:r w:rsidR="00187F06" w:rsidRPr="0009132C">
              <w:t>ethods</w:t>
            </w:r>
            <w:r w:rsidR="00187F06">
              <w:t xml:space="preserve"> </w:t>
            </w:r>
            <w:r>
              <w:t>(member)</w:t>
            </w:r>
            <w:r w:rsidRPr="0009132C">
              <w:t>;</w:t>
            </w:r>
          </w:p>
          <w:p w14:paraId="3DE6AD55" w14:textId="77777777"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Qualitative analysis of data collected through KIIs</w:t>
            </w:r>
          </w:p>
          <w:p w14:paraId="5594703E" w14:textId="77777777"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p>
        </w:tc>
      </w:tr>
      <w:tr w:rsidR="00F27351" w:rsidRPr="0009132C" w14:paraId="255085CA" w14:textId="77777777" w:rsidTr="000132FC">
        <w:trPr>
          <w:trHeight w:val="1471"/>
        </w:trPr>
        <w:tc>
          <w:tcPr>
            <w:cnfStyle w:val="001000000000" w:firstRow="0" w:lastRow="0" w:firstColumn="1" w:lastColumn="0" w:oddVBand="0" w:evenVBand="0" w:oddHBand="0" w:evenHBand="0" w:firstRowFirstColumn="0" w:firstRowLastColumn="0" w:lastRowFirstColumn="0" w:lastRowLastColumn="0"/>
            <w:tcW w:w="0" w:type="dxa"/>
            <w:hideMark/>
          </w:tcPr>
          <w:p w14:paraId="14100195" w14:textId="77777777" w:rsidR="00F27351" w:rsidRPr="0009132C" w:rsidRDefault="00F27351" w:rsidP="00BA4F36">
            <w:pPr>
              <w:pStyle w:val="TableNormal0"/>
              <w:rPr>
                <w:rFonts w:eastAsia="Arial"/>
                <w:color w:val="000000"/>
              </w:rPr>
            </w:pPr>
            <w:r w:rsidRPr="0009132C">
              <w:rPr>
                <w:rFonts w:eastAsia="Arial"/>
              </w:rPr>
              <w:lastRenderedPageBreak/>
              <w:t>RQ2-10 How were Medicaid total cost of care trends affected for ACO members?</w:t>
            </w:r>
          </w:p>
        </w:tc>
        <w:tc>
          <w:tcPr>
            <w:tcW w:w="0" w:type="dxa"/>
            <w:hideMark/>
          </w:tcPr>
          <w:p w14:paraId="45195B9D" w14:textId="77777777"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rPr>
                <w:rFonts w:eastAsia="Arial"/>
                <w:bCs/>
                <w:color w:val="000000"/>
              </w:rPr>
            </w:pPr>
            <w:r w:rsidRPr="0009132C">
              <w:rPr>
                <w:rFonts w:eastAsia="Arial"/>
                <w:b/>
              </w:rPr>
              <w:t>H2-10.1</w:t>
            </w:r>
            <w:r w:rsidRPr="0009132C">
              <w:rPr>
                <w:rFonts w:eastAsia="Arial"/>
                <w:bCs/>
              </w:rPr>
              <w:t xml:space="preserve"> </w:t>
            </w:r>
            <w:r w:rsidRPr="0009132C">
              <w:rPr>
                <w:rFonts w:eastAsia="Arial"/>
              </w:rPr>
              <w:t>The rate of increase in the total cost of care for ACO members overall and for those receiving enhanced care coordination will decrease.</w:t>
            </w:r>
          </w:p>
        </w:tc>
        <w:tc>
          <w:tcPr>
            <w:tcW w:w="0" w:type="dxa"/>
          </w:tcPr>
          <w:p w14:paraId="78DC6F7F" w14:textId="7D78286E"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09132C">
              <w:t>Administrative data</w:t>
            </w:r>
            <w:r>
              <w:t xml:space="preserve"> (baseline 2015-2017, </w:t>
            </w:r>
            <w:r w:rsidR="00187F06">
              <w:t>pre-</w:t>
            </w:r>
            <w:r>
              <w:t>2018-2022, post 2023-2027)</w:t>
            </w:r>
            <w:r w:rsidRPr="0009132C">
              <w:t>;</w:t>
            </w:r>
          </w:p>
          <w:p w14:paraId="3BAE56B2" w14:textId="644D4562"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rPr>
                <w:color w:val="000000"/>
                <w:shd w:val="clear" w:color="auto" w:fill="FFFFFF"/>
              </w:rPr>
            </w:pPr>
            <w:r w:rsidRPr="0009132C">
              <w:t>ACO financial reconciliation reports</w:t>
            </w:r>
            <w:r>
              <w:t xml:space="preserve"> (</w:t>
            </w:r>
            <w:r w:rsidR="00187F06">
              <w:t>pre-</w:t>
            </w:r>
            <w:r>
              <w:t xml:space="preserve">2018-2022, </w:t>
            </w:r>
            <w:r w:rsidR="00187F06">
              <w:t>post-</w:t>
            </w:r>
            <w:r>
              <w:t>2023-2027)</w:t>
            </w:r>
          </w:p>
        </w:tc>
        <w:tc>
          <w:tcPr>
            <w:tcW w:w="0" w:type="dxa"/>
          </w:tcPr>
          <w:p w14:paraId="2A40B25F" w14:textId="036BA2C3"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09132C">
              <w:t>Managed care eligible members</w:t>
            </w:r>
            <w:r>
              <w:t xml:space="preserve"> (n=~1.3 million)</w:t>
            </w:r>
          </w:p>
          <w:p w14:paraId="0F07B9D6" w14:textId="7D294E50"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09132C">
              <w:t>ACO members</w:t>
            </w:r>
            <w:r>
              <w:t xml:space="preserve"> (n=~1.3 million; comparison group of MCO/PCC members n=~152,000)</w:t>
            </w:r>
          </w:p>
          <w:p w14:paraId="3670F99F" w14:textId="158AFE2B"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09132C">
              <w:t>CP</w:t>
            </w:r>
            <w:r>
              <w:t xml:space="preserve"> (n=~35,000)</w:t>
            </w:r>
            <w:r w:rsidRPr="0009132C">
              <w:t xml:space="preserve"> and ACO </w:t>
            </w:r>
            <w:r w:rsidR="002D43F3">
              <w:t>c</w:t>
            </w:r>
            <w:r w:rsidRPr="0009132C">
              <w:t xml:space="preserve">are </w:t>
            </w:r>
            <w:r w:rsidR="002D43F3">
              <w:t>m</w:t>
            </w:r>
            <w:r w:rsidRPr="0009132C">
              <w:t>anagement members</w:t>
            </w:r>
            <w:r>
              <w:t xml:space="preserve"> (n=~110,000)</w:t>
            </w:r>
          </w:p>
          <w:p w14:paraId="2725090D" w14:textId="77777777"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rPr>
                <w:rFonts w:eastAsia="Arial"/>
                <w:b/>
              </w:rPr>
            </w:pPr>
            <w:r w:rsidRPr="0009132C">
              <w:rPr>
                <w:rFonts w:eastAsia="Arial"/>
                <w:bCs/>
              </w:rPr>
              <w:t>Subgroups defined by member (</w:t>
            </w:r>
            <w:r w:rsidRPr="0009132C">
              <w:rPr>
                <w:rFonts w:eastAsia="Arial"/>
              </w:rPr>
              <w:t>e.g., adults, children, chronic conditions) and ACO characteristics (e.g., type)</w:t>
            </w:r>
          </w:p>
        </w:tc>
        <w:tc>
          <w:tcPr>
            <w:tcW w:w="0" w:type="dxa"/>
          </w:tcPr>
          <w:p w14:paraId="52D90BB7" w14:textId="77777777"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rPr>
                <w:color w:val="000000"/>
              </w:rPr>
            </w:pPr>
            <w:r w:rsidRPr="0009132C">
              <w:t>TCOC;</w:t>
            </w:r>
          </w:p>
          <w:p w14:paraId="6BA35D12" w14:textId="77777777"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rPr>
                <w:color w:val="000000"/>
              </w:rPr>
            </w:pPr>
            <w:r w:rsidRPr="0009132C">
              <w:t>Cost by service category;</w:t>
            </w:r>
          </w:p>
          <w:p w14:paraId="75366376" w14:textId="77777777"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rPr>
                <w:color w:val="000000"/>
              </w:rPr>
            </w:pPr>
            <w:r w:rsidRPr="0009132C">
              <w:t>Shared savings and shared losses</w:t>
            </w:r>
          </w:p>
        </w:tc>
        <w:tc>
          <w:tcPr>
            <w:tcW w:w="0" w:type="dxa"/>
          </w:tcPr>
          <w:p w14:paraId="4292A3AC" w14:textId="104585ED"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09132C">
              <w:t xml:space="preserve">Descriptive </w:t>
            </w:r>
            <w:r w:rsidR="00471E36">
              <w:t>a</w:t>
            </w:r>
            <w:r w:rsidRPr="0009132C">
              <w:t>nalysis</w:t>
            </w:r>
            <w:r>
              <w:t xml:space="preserve"> (member)</w:t>
            </w:r>
            <w:r w:rsidRPr="0009132C">
              <w:t>;</w:t>
            </w:r>
          </w:p>
          <w:p w14:paraId="0E9DD66D" w14:textId="562F8174"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09132C">
              <w:t xml:space="preserve">Observed vs </w:t>
            </w:r>
            <w:r w:rsidR="00471E36">
              <w:t>e</w:t>
            </w:r>
            <w:r w:rsidRPr="0009132C">
              <w:t>xpected</w:t>
            </w:r>
            <w:r>
              <w:t xml:space="preserve"> (member)</w:t>
            </w:r>
            <w:r w:rsidRPr="0009132C">
              <w:t>;</w:t>
            </w:r>
          </w:p>
          <w:p w14:paraId="5837DE60" w14:textId="63A4FB5B"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09132C">
              <w:t>Quasi-</w:t>
            </w:r>
            <w:r w:rsidR="00471E36">
              <w:t>e</w:t>
            </w:r>
            <w:r w:rsidRPr="0009132C">
              <w:t xml:space="preserve">xperimental </w:t>
            </w:r>
            <w:r w:rsidR="00471E36">
              <w:t>m</w:t>
            </w:r>
            <w:r w:rsidR="00471E36" w:rsidRPr="0009132C">
              <w:t>ethods</w:t>
            </w:r>
            <w:r w:rsidR="00471E36">
              <w:t xml:space="preserve"> </w:t>
            </w:r>
            <w:r>
              <w:t>(member)</w:t>
            </w:r>
          </w:p>
          <w:p w14:paraId="725AED5A" w14:textId="77777777" w:rsidR="00F27351" w:rsidRPr="0009132C" w:rsidRDefault="00F27351" w:rsidP="00BA4F36">
            <w:pPr>
              <w:pStyle w:val="TableNormal0"/>
              <w:cnfStyle w:val="000000000000" w:firstRow="0" w:lastRow="0" w:firstColumn="0" w:lastColumn="0" w:oddVBand="0" w:evenVBand="0" w:oddHBand="0" w:evenHBand="0" w:firstRowFirstColumn="0" w:firstRowLastColumn="0" w:lastRowFirstColumn="0" w:lastRowLastColumn="0"/>
            </w:pPr>
          </w:p>
        </w:tc>
      </w:tr>
      <w:tr w:rsidR="006F3ACC" w:rsidRPr="0009132C" w14:paraId="566BE072" w14:textId="77777777" w:rsidTr="000132FC">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0" w:type="dxa"/>
          </w:tcPr>
          <w:p w14:paraId="1D296609" w14:textId="77777777" w:rsidR="00F27351" w:rsidRPr="0009132C" w:rsidRDefault="00F27351" w:rsidP="00BA4F36">
            <w:pPr>
              <w:pStyle w:val="TableNormal0"/>
              <w:rPr>
                <w:rFonts w:eastAsia="Arial"/>
                <w:bCs w:val="0"/>
              </w:rPr>
            </w:pPr>
            <w:r w:rsidRPr="0009132C">
              <w:rPr>
                <w:rFonts w:eastAsia="Arial"/>
              </w:rPr>
              <w:t>RQ2-11 To what extent can observed changes in care processes, outcomes, and costs be attributed to DSR programs?</w:t>
            </w:r>
          </w:p>
        </w:tc>
        <w:tc>
          <w:tcPr>
            <w:tcW w:w="0" w:type="dxa"/>
          </w:tcPr>
          <w:p w14:paraId="583C1DF7" w14:textId="5AFDE8AA"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rPr>
                <w:rFonts w:eastAsia="Arial"/>
              </w:rPr>
            </w:pPr>
            <w:r w:rsidRPr="0009132C">
              <w:rPr>
                <w:rFonts w:eastAsia="Arial"/>
                <w:b/>
              </w:rPr>
              <w:t>H2-11.1</w:t>
            </w:r>
            <w:r w:rsidRPr="0009132C">
              <w:rPr>
                <w:rFonts w:eastAsia="Arial"/>
                <w:bCs/>
              </w:rPr>
              <w:t xml:space="preserve"> </w:t>
            </w:r>
            <w:r w:rsidRPr="0009132C">
              <w:rPr>
                <w:rFonts w:eastAsia="Arial"/>
              </w:rPr>
              <w:t>Improvements in outcomes will be associated with delivery system changes (e.g., changes in program design, organizational activities</w:t>
            </w:r>
            <w:r w:rsidR="00065D02">
              <w:rPr>
                <w:rFonts w:eastAsia="Arial"/>
              </w:rPr>
              <w:t>,</w:t>
            </w:r>
            <w:r w:rsidRPr="0009132C">
              <w:rPr>
                <w:rFonts w:eastAsia="Arial"/>
              </w:rPr>
              <w:t xml:space="preserve"> and processes).</w:t>
            </w:r>
          </w:p>
          <w:p w14:paraId="15567D80" w14:textId="77777777" w:rsidR="00F27351" w:rsidRPr="0009132C" w:rsidDel="00EC60FD" w:rsidRDefault="00F27351" w:rsidP="00BA4F36">
            <w:pPr>
              <w:pStyle w:val="TableNormal0"/>
              <w:cnfStyle w:val="000000100000" w:firstRow="0" w:lastRow="0" w:firstColumn="0" w:lastColumn="0" w:oddVBand="0" w:evenVBand="0" w:oddHBand="1" w:evenHBand="0" w:firstRowFirstColumn="0" w:firstRowLastColumn="0" w:lastRowFirstColumn="0" w:lastRowLastColumn="0"/>
              <w:rPr>
                <w:rFonts w:eastAsia="Arial"/>
              </w:rPr>
            </w:pPr>
            <w:r w:rsidRPr="0009132C">
              <w:rPr>
                <w:rFonts w:eastAsia="Arial"/>
                <w:b/>
              </w:rPr>
              <w:lastRenderedPageBreak/>
              <w:t>H2-11.2</w:t>
            </w:r>
            <w:r w:rsidRPr="0009132C">
              <w:rPr>
                <w:rFonts w:eastAsia="Arial"/>
                <w:bCs/>
              </w:rPr>
              <w:t xml:space="preserve"> </w:t>
            </w:r>
            <w:r w:rsidRPr="0009132C">
              <w:rPr>
                <w:rFonts w:eastAsia="Arial"/>
              </w:rPr>
              <w:t xml:space="preserve">Cost of care trends will be associated with delivery system changes. </w:t>
            </w:r>
          </w:p>
        </w:tc>
        <w:tc>
          <w:tcPr>
            <w:tcW w:w="0" w:type="dxa"/>
          </w:tcPr>
          <w:p w14:paraId="32195923" w14:textId="12426A64"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lastRenderedPageBreak/>
              <w:t>Key Informant Individual and/or group interviews;</w:t>
            </w:r>
            <w:r w:rsidRPr="0009132C">
              <w:rPr>
                <w:rStyle w:val="eop"/>
              </w:rPr>
              <w:t> </w:t>
            </w:r>
            <w:r w:rsidRPr="005B32EE">
              <w:t>(2024-2025; 2026-2027)</w:t>
            </w:r>
            <w:r w:rsidRPr="0009132C">
              <w:t xml:space="preserve"> </w:t>
            </w:r>
          </w:p>
          <w:p w14:paraId="117D720D" w14:textId="10B9D50E"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ACO Practice Site</w:t>
            </w:r>
            <w:r>
              <w:t xml:space="preserve"> (</w:t>
            </w:r>
            <w:r w:rsidR="007F49EF">
              <w:t>pre-</w:t>
            </w:r>
            <w:r>
              <w:t>2019, pre</w:t>
            </w:r>
            <w:r w:rsidR="002D43F3">
              <w:t>-</w:t>
            </w:r>
            <w:r>
              <w:t>2021, post</w:t>
            </w:r>
            <w:r w:rsidR="002D43F3">
              <w:t>-</w:t>
            </w:r>
            <w:r>
              <w:t>2024)</w:t>
            </w:r>
            <w:r w:rsidRPr="0009132C">
              <w:t xml:space="preserve">, CP </w:t>
            </w:r>
            <w:r>
              <w:t xml:space="preserve">staff and ACO </w:t>
            </w:r>
            <w:r w:rsidRPr="0009132C">
              <w:lastRenderedPageBreak/>
              <w:t>Provider</w:t>
            </w:r>
            <w:r>
              <w:t xml:space="preserve"> (</w:t>
            </w:r>
            <w:r w:rsidR="007F49EF">
              <w:t>pre-</w:t>
            </w:r>
            <w:r>
              <w:t xml:space="preserve">2020, </w:t>
            </w:r>
            <w:r w:rsidR="007F49EF">
              <w:t>pre-</w:t>
            </w:r>
            <w:r>
              <w:t xml:space="preserve">2022, </w:t>
            </w:r>
            <w:r w:rsidR="007F49EF">
              <w:t>post-</w:t>
            </w:r>
            <w:r>
              <w:t>2026)</w:t>
            </w:r>
            <w:r w:rsidRPr="0009132C">
              <w:t>, and Member Surveys</w:t>
            </w:r>
            <w:r>
              <w:t xml:space="preserve"> (</w:t>
            </w:r>
            <w:r w:rsidR="007F49EF">
              <w:t>pre-</w:t>
            </w:r>
            <w:r>
              <w:t>2018-2022, post</w:t>
            </w:r>
            <w:r w:rsidR="007F49EF">
              <w:t>-</w:t>
            </w:r>
            <w:r>
              <w:t>2023-2027)</w:t>
            </w:r>
            <w:r w:rsidRPr="0009132C">
              <w:t>;</w:t>
            </w:r>
          </w:p>
          <w:p w14:paraId="148D2A80" w14:textId="5FC02CD2"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Administrative data</w:t>
            </w:r>
            <w:r>
              <w:t xml:space="preserve"> (baseline 2015-2017, </w:t>
            </w:r>
            <w:r w:rsidR="007F49EF">
              <w:t>pre-</w:t>
            </w:r>
            <w:r>
              <w:t>2018-2022, post</w:t>
            </w:r>
            <w:r w:rsidR="007F49EF">
              <w:t>-</w:t>
            </w:r>
            <w:r>
              <w:t>2023-2027)</w:t>
            </w:r>
          </w:p>
        </w:tc>
        <w:tc>
          <w:tcPr>
            <w:tcW w:w="0" w:type="dxa"/>
          </w:tcPr>
          <w:p w14:paraId="41BEC0D8" w14:textId="77777777" w:rsidR="00F27351" w:rsidRPr="00677762" w:rsidRDefault="00F27351" w:rsidP="00BA4F36">
            <w:pPr>
              <w:pStyle w:val="TableNormal0"/>
              <w:spacing w:after="0"/>
              <w:cnfStyle w:val="000000100000" w:firstRow="0" w:lastRow="0" w:firstColumn="0" w:lastColumn="0" w:oddVBand="0" w:evenVBand="0" w:oddHBand="1" w:evenHBand="0" w:firstRowFirstColumn="0" w:firstRowLastColumn="0" w:lastRowFirstColumn="0" w:lastRowLastColumn="0"/>
            </w:pPr>
            <w:r w:rsidRPr="00677762">
              <w:lastRenderedPageBreak/>
              <w:t>ACO and practice level providers and staff:</w:t>
            </w:r>
          </w:p>
          <w:p w14:paraId="2FFC2F91" w14:textId="6A8460A2" w:rsidR="00F27351" w:rsidRPr="00677762" w:rsidRDefault="00F27351" w:rsidP="00BA4F36">
            <w:pPr>
              <w:pStyle w:val="TableBullet"/>
              <w:cnfStyle w:val="000000100000" w:firstRow="0" w:lastRow="0" w:firstColumn="0" w:lastColumn="0" w:oddVBand="0" w:evenVBand="0" w:oddHBand="1" w:evenHBand="0" w:firstRowFirstColumn="0" w:firstRowLastColumn="0" w:lastRowFirstColumn="0" w:lastRowLastColumn="0"/>
            </w:pPr>
            <w:r w:rsidRPr="00677762">
              <w:t>Care management staff</w:t>
            </w:r>
            <w:r>
              <w:t xml:space="preserve"> Interviewees (n</w:t>
            </w:r>
            <w:r w:rsidR="00B442EB">
              <w:t xml:space="preserve"> ≤ </w:t>
            </w:r>
            <w:r>
              <w:t>20-30)</w:t>
            </w:r>
            <w:r w:rsidRPr="00677762">
              <w:t>;</w:t>
            </w:r>
          </w:p>
          <w:p w14:paraId="78B989D7" w14:textId="317A41D1" w:rsidR="00F27351" w:rsidRPr="00677762" w:rsidRDefault="00F27351" w:rsidP="00BA4F36">
            <w:pPr>
              <w:pStyle w:val="TableBullet"/>
              <w:cnfStyle w:val="000000100000" w:firstRow="0" w:lastRow="0" w:firstColumn="0" w:lastColumn="0" w:oddVBand="0" w:evenVBand="0" w:oddHBand="1" w:evenHBand="0" w:firstRowFirstColumn="0" w:firstRowLastColumn="0" w:lastRowFirstColumn="0" w:lastRowLastColumn="0"/>
            </w:pPr>
            <w:r w:rsidRPr="00677762">
              <w:lastRenderedPageBreak/>
              <w:t xml:space="preserve">Leadership and </w:t>
            </w:r>
            <w:r w:rsidR="002D43F3">
              <w:t>o</w:t>
            </w:r>
            <w:r w:rsidRPr="00677762">
              <w:t xml:space="preserve">ther </w:t>
            </w:r>
            <w:r w:rsidR="002D43F3">
              <w:t>s</w:t>
            </w:r>
            <w:r w:rsidRPr="00677762">
              <w:t>taff</w:t>
            </w:r>
            <w:r>
              <w:t xml:space="preserve"> </w:t>
            </w:r>
            <w:r w:rsidR="002D43F3">
              <w:t>i</w:t>
            </w:r>
            <w:r>
              <w:t xml:space="preserve">nterviewees </w:t>
            </w:r>
            <w:r w:rsidR="006607CB">
              <w:br/>
            </w:r>
            <w:r>
              <w:t>(n</w:t>
            </w:r>
            <w:r w:rsidR="00B442EB">
              <w:t xml:space="preserve"> ≤ </w:t>
            </w:r>
            <w:r>
              <w:t>50)</w:t>
            </w:r>
          </w:p>
          <w:p w14:paraId="00E9F7D8" w14:textId="1B7E30A3" w:rsidR="00F27351" w:rsidRPr="00677762" w:rsidRDefault="00F27351" w:rsidP="00BA4F36">
            <w:pPr>
              <w:pStyle w:val="TableBullet"/>
              <w:numPr>
                <w:ilvl w:val="0"/>
                <w:numId w:val="0"/>
              </w:numPr>
              <w:cnfStyle w:val="000000100000" w:firstRow="0" w:lastRow="0" w:firstColumn="0" w:lastColumn="0" w:oddVBand="0" w:evenVBand="0" w:oddHBand="1" w:evenHBand="0" w:firstRowFirstColumn="0" w:firstRowLastColumn="0" w:lastRowFirstColumn="0" w:lastRowLastColumn="0"/>
            </w:pPr>
            <w:r w:rsidRPr="00677762">
              <w:t>CP staff</w:t>
            </w:r>
            <w:r w:rsidR="007E468E">
              <w:t>:</w:t>
            </w:r>
          </w:p>
          <w:p w14:paraId="6014DCE7" w14:textId="01F28D36" w:rsidR="00F27351" w:rsidRDefault="00F27351" w:rsidP="00BA4F36">
            <w:pPr>
              <w:pStyle w:val="TableBullet"/>
              <w:cnfStyle w:val="000000100000" w:firstRow="0" w:lastRow="0" w:firstColumn="0" w:lastColumn="0" w:oddVBand="0" w:evenVBand="0" w:oddHBand="1" w:evenHBand="0" w:firstRowFirstColumn="0" w:firstRowLastColumn="0" w:lastRowFirstColumn="0" w:lastRowLastColumn="0"/>
            </w:pPr>
            <w:r w:rsidRPr="0009132C">
              <w:t>Administrators</w:t>
            </w:r>
            <w:r>
              <w:t xml:space="preserve"> Interviewees </w:t>
            </w:r>
            <w:r w:rsidR="00BA4F36">
              <w:br/>
            </w:r>
            <w:r>
              <w:t>(n</w:t>
            </w:r>
            <w:r w:rsidR="00B442EB">
              <w:t xml:space="preserve"> ≤ </w:t>
            </w:r>
            <w:r>
              <w:t>60)</w:t>
            </w:r>
            <w:r w:rsidRPr="0009132C">
              <w:t>;</w:t>
            </w:r>
          </w:p>
          <w:p w14:paraId="526E99ED" w14:textId="3DEA2E7B"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Managed care eligible members</w:t>
            </w:r>
            <w:r>
              <w:t xml:space="preserve"> (n=~1.3 million)</w:t>
            </w:r>
          </w:p>
          <w:p w14:paraId="65241B8A" w14:textId="5D79293B"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ACO members</w:t>
            </w:r>
            <w:r>
              <w:t xml:space="preserve"> (n=~1.3 million; comparison group of MCO/PCC members n= ~152,000)</w:t>
            </w:r>
          </w:p>
          <w:p w14:paraId="35415BC5" w14:textId="1CA14AA8"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 xml:space="preserve">CP </w:t>
            </w:r>
            <w:r>
              <w:t>(n=~35,000)</w:t>
            </w:r>
            <w:r w:rsidRPr="0009132C">
              <w:t xml:space="preserve"> and ACO </w:t>
            </w:r>
            <w:r w:rsidR="007F49EF">
              <w:t>c</w:t>
            </w:r>
            <w:r w:rsidRPr="0009132C">
              <w:t xml:space="preserve">are </w:t>
            </w:r>
            <w:r w:rsidR="007F49EF">
              <w:t>m</w:t>
            </w:r>
            <w:r w:rsidRPr="0009132C">
              <w:t>anagement members</w:t>
            </w:r>
            <w:r>
              <w:t xml:space="preserve"> (n=~110,000)</w:t>
            </w:r>
          </w:p>
          <w:p w14:paraId="276A57DB" w14:textId="6FA521D2"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rPr>
                <w:rFonts w:eastAsia="Arial"/>
                <w:b/>
              </w:rPr>
            </w:pPr>
            <w:r w:rsidRPr="0A71B3C8">
              <w:rPr>
                <w:rFonts w:eastAsia="Arial"/>
              </w:rPr>
              <w:t>Subgroups defined by member (</w:t>
            </w:r>
            <w:r w:rsidR="00570799" w:rsidRPr="0A71B3C8">
              <w:rPr>
                <w:rFonts w:eastAsia="Arial"/>
              </w:rPr>
              <w:t>e.g.</w:t>
            </w:r>
            <w:r w:rsidRPr="0A71B3C8">
              <w:rPr>
                <w:rFonts w:eastAsia="Arial"/>
              </w:rPr>
              <w:t xml:space="preserve">, adults, children, </w:t>
            </w:r>
            <w:r w:rsidRPr="0009132C">
              <w:rPr>
                <w:rFonts w:eastAsia="Arial"/>
              </w:rPr>
              <w:t>chronic conditions) and ACO characteristics (e.g., type</w:t>
            </w:r>
            <w:r w:rsidRPr="1D3AF258">
              <w:rPr>
                <w:rFonts w:eastAsia="Arial"/>
              </w:rPr>
              <w:t>).</w:t>
            </w:r>
          </w:p>
        </w:tc>
        <w:tc>
          <w:tcPr>
            <w:tcW w:w="0" w:type="dxa"/>
          </w:tcPr>
          <w:p w14:paraId="35B92462" w14:textId="77777777"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rPr>
                <w:color w:val="000000"/>
              </w:rPr>
            </w:pPr>
            <w:r w:rsidRPr="0009132C">
              <w:lastRenderedPageBreak/>
              <w:t>Select quality, utilization, and outcome measures listed in other RQs;</w:t>
            </w:r>
          </w:p>
          <w:p w14:paraId="1AB58371" w14:textId="77777777"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rPr>
                <w:color w:val="000000"/>
              </w:rPr>
            </w:pPr>
            <w:r w:rsidRPr="0009132C">
              <w:t>TCOC;</w:t>
            </w:r>
          </w:p>
          <w:p w14:paraId="40805699" w14:textId="77777777" w:rsidR="00F27351" w:rsidRPr="0009132C" w:rsidDel="00575942" w:rsidRDefault="00F27351" w:rsidP="00BA4F36">
            <w:pPr>
              <w:pStyle w:val="TableNormal0"/>
              <w:cnfStyle w:val="000000100000" w:firstRow="0" w:lastRow="0" w:firstColumn="0" w:lastColumn="0" w:oddVBand="0" w:evenVBand="0" w:oddHBand="1" w:evenHBand="0" w:firstRowFirstColumn="0" w:firstRowLastColumn="0" w:lastRowFirstColumn="0" w:lastRowLastColumn="0"/>
              <w:rPr>
                <w:color w:val="000000"/>
              </w:rPr>
            </w:pPr>
            <w:r w:rsidRPr="0009132C">
              <w:t>Cost by service category</w:t>
            </w:r>
          </w:p>
        </w:tc>
        <w:tc>
          <w:tcPr>
            <w:tcW w:w="0" w:type="dxa"/>
          </w:tcPr>
          <w:p w14:paraId="16870F8A" w14:textId="77777777" w:rsidR="00F27351" w:rsidRPr="0009132C"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09132C">
              <w:t xml:space="preserve">Mixed methods to synthesize results across RQs and examine how delivery system changes (e.g., new partnerships, increased accountability or capacity, better integration) are likely causes of </w:t>
            </w:r>
            <w:r w:rsidRPr="0009132C">
              <w:lastRenderedPageBreak/>
              <w:t>changes in outcomes and costs</w:t>
            </w:r>
            <w:r>
              <w:t xml:space="preserve"> (member)</w:t>
            </w:r>
          </w:p>
        </w:tc>
      </w:tr>
    </w:tbl>
    <w:p w14:paraId="1BE2081C" w14:textId="2A157A91" w:rsidR="00F87B2B" w:rsidRPr="007F3ABF" w:rsidRDefault="00F87B2B" w:rsidP="0086016A">
      <w:pPr>
        <w:pStyle w:val="TableorFigurefootnote"/>
        <w:numPr>
          <w:ilvl w:val="0"/>
          <w:numId w:val="182"/>
        </w:numPr>
        <w:ind w:left="180" w:hanging="180"/>
      </w:pPr>
      <w:r w:rsidRPr="007F3ABF">
        <w:lastRenderedPageBreak/>
        <w:t>Research questions developed in response to Special Terms and Conditions sections 17.6i; 8.1-8.13</w:t>
      </w:r>
      <w:r w:rsidR="001F1763" w:rsidRPr="001F1763">
        <w:t xml:space="preserve">; </w:t>
      </w:r>
      <w:hyperlink r:id="rId23" w:history="1">
        <w:r w:rsidR="001F1763" w:rsidRPr="001F1763">
          <w:rPr>
            <w:rStyle w:val="Hyperlink"/>
          </w:rPr>
          <w:t>1115 MassHealth Demonstration ("Waiver") | Mass.gov</w:t>
        </w:r>
      </w:hyperlink>
    </w:p>
    <w:p w14:paraId="495DCCC0" w14:textId="150BE47A" w:rsidR="00F87B2B" w:rsidRPr="007F3ABF" w:rsidRDefault="00F87B2B" w:rsidP="0086016A">
      <w:pPr>
        <w:pStyle w:val="TableorFigurefootnote"/>
        <w:numPr>
          <w:ilvl w:val="0"/>
          <w:numId w:val="182"/>
        </w:numPr>
        <w:ind w:left="180" w:hanging="180"/>
      </w:pPr>
      <w:r w:rsidRPr="007F3ABF">
        <w:t>Data Sources are described in section 3.4.2 “Data Sources</w:t>
      </w:r>
      <w:r w:rsidR="005556FE">
        <w:t xml:space="preserve"> and Collection Methods</w:t>
      </w:r>
      <w:r w:rsidRPr="007F3ABF">
        <w:t>” and section 1.4.1 “Summary of Data Sources.” Evaluation periods reflect the anticipated year of data collection for primary data and the expected baseline, prior demonstration (“pre”)</w:t>
      </w:r>
      <w:r w:rsidR="00C07603">
        <w:t>,</w:t>
      </w:r>
      <w:r w:rsidRPr="007F3ABF">
        <w:t xml:space="preserve"> and current demonstration (“post”) policy periods, as appropriate, for quantitative analyses of secondary data. The timing of data collection and all details regarding evaluation periods will be updated and provided in the Interim and Summative Evaluation Reports.</w:t>
      </w:r>
    </w:p>
    <w:p w14:paraId="2E84AC88" w14:textId="0448D32C" w:rsidR="00F87B2B" w:rsidRPr="007F3ABF" w:rsidRDefault="00F87B2B" w:rsidP="0086016A">
      <w:pPr>
        <w:pStyle w:val="TableorFigurefootnote"/>
        <w:numPr>
          <w:ilvl w:val="0"/>
          <w:numId w:val="182"/>
        </w:numPr>
        <w:ind w:left="180" w:hanging="180"/>
        <w:sectPr w:rsidR="00F87B2B" w:rsidRPr="007F3ABF" w:rsidSect="00744E1B">
          <w:pgSz w:w="15840" w:h="12240" w:orient="landscape"/>
          <w:pgMar w:top="1440" w:right="1440" w:bottom="1440" w:left="1440" w:header="720" w:footer="720" w:gutter="0"/>
          <w:cols w:space="720"/>
          <w:docGrid w:linePitch="360"/>
        </w:sectPr>
      </w:pPr>
      <w:r w:rsidRPr="007F3ABF">
        <w:t>Analysis methods are described in section 3.4.</w:t>
      </w:r>
      <w:r w:rsidR="001F1763">
        <w:t>5</w:t>
      </w:r>
      <w:r w:rsidRPr="007F3ABF">
        <w:t xml:space="preserve"> “Analysis Methods”</w:t>
      </w:r>
    </w:p>
    <w:p w14:paraId="7DA15EAA" w14:textId="1C45994F" w:rsidR="001B52EF" w:rsidRPr="0009132C" w:rsidRDefault="001B52EF" w:rsidP="00AF6DDC">
      <w:pPr>
        <w:pStyle w:val="Heading2"/>
      </w:pPr>
      <w:bookmarkStart w:id="90" w:name="_Data_and_Methods"/>
      <w:bookmarkEnd w:id="90"/>
      <w:r w:rsidRPr="0009132C">
        <w:lastRenderedPageBreak/>
        <w:t xml:space="preserve"> </w:t>
      </w:r>
      <w:bookmarkStart w:id="91" w:name="_Toc130209710"/>
      <w:bookmarkStart w:id="92" w:name="_Toc151976421"/>
      <w:r w:rsidRPr="0009132C">
        <w:t>Data and Methods</w:t>
      </w:r>
      <w:bookmarkEnd w:id="91"/>
      <w:bookmarkEnd w:id="92"/>
    </w:p>
    <w:p w14:paraId="32B99399" w14:textId="77777777" w:rsidR="001B52EF" w:rsidRPr="0009132C" w:rsidRDefault="001B52EF" w:rsidP="00EE4105">
      <w:pPr>
        <w:pStyle w:val="Heading3"/>
      </w:pPr>
      <w:r w:rsidRPr="0009132C">
        <w:t>Study Populations</w:t>
      </w:r>
    </w:p>
    <w:p w14:paraId="14602788" w14:textId="53409BFF" w:rsidR="001B52EF" w:rsidRPr="0009132C" w:rsidRDefault="001B52EF" w:rsidP="00212F9B">
      <w:r w:rsidRPr="0009132C">
        <w:t xml:space="preserve">The relevant populations to be studied by RQs are presented along with hypotheses, data sources, and measures in </w:t>
      </w:r>
      <w:r w:rsidR="00125FF7" w:rsidRPr="00CD60CB">
        <w:rPr>
          <w:color w:val="000F9F"/>
          <w:u w:val="single"/>
        </w:rPr>
        <w:fldChar w:fldCharType="begin"/>
      </w:r>
      <w:r w:rsidR="00125FF7" w:rsidRPr="00CD60CB">
        <w:rPr>
          <w:color w:val="000F9F"/>
          <w:u w:val="single"/>
        </w:rPr>
        <w:instrText xml:space="preserve"> REF _Ref143090901 \h </w:instrText>
      </w:r>
      <w:r w:rsidR="00125FF7" w:rsidRPr="00CD60CB">
        <w:rPr>
          <w:color w:val="000F9F"/>
          <w:u w:val="single"/>
        </w:rPr>
      </w:r>
      <w:r w:rsidR="00125FF7" w:rsidRPr="00CD60CB">
        <w:rPr>
          <w:color w:val="000F9F"/>
          <w:u w:val="single"/>
        </w:rPr>
        <w:fldChar w:fldCharType="separate"/>
      </w:r>
      <w:r w:rsidR="00EB7B05" w:rsidRPr="00CD60CB">
        <w:rPr>
          <w:color w:val="000F9F"/>
          <w:u w:val="single"/>
        </w:rPr>
        <w:t xml:space="preserve">Table </w:t>
      </w:r>
      <w:r w:rsidR="00EB7B05" w:rsidRPr="00CD60CB">
        <w:rPr>
          <w:noProof/>
          <w:color w:val="000F9F"/>
          <w:u w:val="single"/>
        </w:rPr>
        <w:t>3</w:t>
      </w:r>
      <w:r w:rsidR="00EB7B05" w:rsidRPr="00CD60CB">
        <w:rPr>
          <w:color w:val="000F9F"/>
          <w:u w:val="single"/>
        </w:rPr>
        <w:noBreakHyphen/>
      </w:r>
      <w:r w:rsidR="00EB7B05" w:rsidRPr="00CD60CB">
        <w:rPr>
          <w:noProof/>
          <w:color w:val="000F9F"/>
          <w:u w:val="single"/>
        </w:rPr>
        <w:t>2</w:t>
      </w:r>
      <w:r w:rsidR="00125FF7" w:rsidRPr="00CD60CB">
        <w:rPr>
          <w:color w:val="000F9F"/>
          <w:u w:val="single"/>
        </w:rPr>
        <w:fldChar w:fldCharType="end"/>
      </w:r>
      <w:r w:rsidRPr="0009132C">
        <w:t xml:space="preserve">. </w:t>
      </w:r>
    </w:p>
    <w:p w14:paraId="47D942CE" w14:textId="635DE782" w:rsidR="001B52EF" w:rsidRPr="0009132C" w:rsidRDefault="001B52EF" w:rsidP="003C6C8F">
      <w:pPr>
        <w:pStyle w:val="Heading5"/>
      </w:pPr>
      <w:r w:rsidRPr="0009132C">
        <w:t xml:space="preserve">ACO </w:t>
      </w:r>
      <w:r w:rsidR="00F42044" w:rsidRPr="0009132C">
        <w:t>S</w:t>
      </w:r>
      <w:r w:rsidRPr="0009132C">
        <w:t>taff</w:t>
      </w:r>
    </w:p>
    <w:p w14:paraId="74E4ADBA" w14:textId="5912295A" w:rsidR="001B52EF" w:rsidRPr="0009132C" w:rsidRDefault="001B52EF" w:rsidP="005F02C8">
      <w:pPr>
        <w:pStyle w:val="Bullet1"/>
      </w:pPr>
      <w:r w:rsidRPr="00F70284">
        <w:rPr>
          <w:u w:val="single"/>
        </w:rPr>
        <w:t>ACO leadership</w:t>
      </w:r>
      <w:r w:rsidRPr="0009132C">
        <w:t xml:space="preserve">: Includes </w:t>
      </w:r>
      <w:r w:rsidR="005C07E7" w:rsidRPr="0009132C">
        <w:t>executive</w:t>
      </w:r>
      <w:r w:rsidR="005C07E7">
        <w:t>-</w:t>
      </w:r>
      <w:r w:rsidRPr="0009132C">
        <w:t>level employees at each MassHealth ACO.</w:t>
      </w:r>
    </w:p>
    <w:p w14:paraId="03E9B10F" w14:textId="77777777" w:rsidR="001B52EF" w:rsidRPr="0009132C" w:rsidRDefault="001B52EF" w:rsidP="005F02C8">
      <w:pPr>
        <w:pStyle w:val="Bullet1"/>
      </w:pPr>
      <w:r w:rsidRPr="00F70284">
        <w:rPr>
          <w:u w:val="single"/>
        </w:rPr>
        <w:t>ACO care management staff</w:t>
      </w:r>
      <w:r w:rsidRPr="007F3ABF">
        <w:t>:</w:t>
      </w:r>
      <w:r w:rsidRPr="0009132C">
        <w:t xml:space="preserve"> Includes non-executive staff employed by the ACO responsible for delivering care management or coordination to ACO members.</w:t>
      </w:r>
    </w:p>
    <w:p w14:paraId="373A42EC" w14:textId="77777777" w:rsidR="001B52EF" w:rsidRPr="005C24BA" w:rsidRDefault="001B52EF" w:rsidP="00106FE8">
      <w:pPr>
        <w:pStyle w:val="Bullet1"/>
      </w:pPr>
      <w:r w:rsidRPr="00F70284">
        <w:rPr>
          <w:u w:val="single"/>
        </w:rPr>
        <w:t>ACO staff</w:t>
      </w:r>
      <w:r w:rsidRPr="005C24BA">
        <w:t xml:space="preserve">: Includes non-executive level employees at each MassHealth ACO with responsibilities other than care management or coordination. </w:t>
      </w:r>
    </w:p>
    <w:p w14:paraId="51263399" w14:textId="017C5D2B" w:rsidR="001B52EF" w:rsidRPr="0009132C" w:rsidRDefault="00746F79" w:rsidP="00AF6DDC">
      <w:pPr>
        <w:pStyle w:val="Heading5"/>
      </w:pPr>
      <w:r>
        <w:t xml:space="preserve">Primary Care </w:t>
      </w:r>
      <w:r w:rsidR="001B52EF" w:rsidRPr="0009132C">
        <w:t>Practice Sites and Providers</w:t>
      </w:r>
    </w:p>
    <w:p w14:paraId="41964295" w14:textId="09D17D91" w:rsidR="001B52EF" w:rsidRPr="0009132C" w:rsidRDefault="001B52EF" w:rsidP="005F02C8">
      <w:pPr>
        <w:pStyle w:val="Bullet1"/>
      </w:pPr>
      <w:r w:rsidRPr="0009132C">
        <w:rPr>
          <w:u w:val="single"/>
        </w:rPr>
        <w:t>PCPs</w:t>
      </w:r>
      <w:r w:rsidRPr="0009132C">
        <w:t>: Includes physicians, nurses, physician assistants (PA</w:t>
      </w:r>
      <w:r w:rsidR="00F32892">
        <w:t>s</w:t>
      </w:r>
      <w:r w:rsidRPr="0009132C">
        <w:t>), nurse practitioners (NP</w:t>
      </w:r>
      <w:r w:rsidR="00F32892">
        <w:t>s</w:t>
      </w:r>
      <w:r w:rsidRPr="0009132C">
        <w:t xml:space="preserve">), pharmacists, and social workers delivering primary care services at ACO primary care practice sites. </w:t>
      </w:r>
    </w:p>
    <w:p w14:paraId="3C852B57" w14:textId="2B9D302D" w:rsidR="001B52EF" w:rsidRPr="0009132C" w:rsidRDefault="001B52EF" w:rsidP="005F02C8">
      <w:pPr>
        <w:pStyle w:val="Bullet1"/>
      </w:pPr>
      <w:r w:rsidRPr="0009132C">
        <w:rPr>
          <w:u w:val="single"/>
        </w:rPr>
        <w:t xml:space="preserve">Practice </w:t>
      </w:r>
      <w:r w:rsidR="00125FF7">
        <w:rPr>
          <w:u w:val="single"/>
        </w:rPr>
        <w:t>S</w:t>
      </w:r>
      <w:r w:rsidRPr="0009132C">
        <w:rPr>
          <w:u w:val="single"/>
        </w:rPr>
        <w:t xml:space="preserve">ite </w:t>
      </w:r>
      <w:r w:rsidR="00125FF7">
        <w:rPr>
          <w:u w:val="single"/>
        </w:rPr>
        <w:t>A</w:t>
      </w:r>
      <w:r w:rsidRPr="0009132C">
        <w:rPr>
          <w:u w:val="single"/>
        </w:rPr>
        <w:t>dministrators (i.e., managers)</w:t>
      </w:r>
      <w:r w:rsidRPr="0009132C">
        <w:rPr>
          <w:i/>
          <w:iCs/>
        </w:rPr>
        <w:t>:</w:t>
      </w:r>
      <w:r w:rsidRPr="0009132C">
        <w:t xml:space="preserve"> Includes ACO primary care practice site managers. Practice managers may be providers.</w:t>
      </w:r>
    </w:p>
    <w:p w14:paraId="5BDC80F2" w14:textId="484DF0F5" w:rsidR="001B52EF" w:rsidRPr="005C24BA" w:rsidRDefault="001B52EF" w:rsidP="00F70284">
      <w:pPr>
        <w:pStyle w:val="Bullet1"/>
      </w:pPr>
      <w:r w:rsidRPr="00106FE8">
        <w:rPr>
          <w:u w:val="single"/>
        </w:rPr>
        <w:t xml:space="preserve">Practice Care </w:t>
      </w:r>
      <w:r w:rsidR="00125FF7">
        <w:rPr>
          <w:u w:val="single"/>
        </w:rPr>
        <w:t>M</w:t>
      </w:r>
      <w:r w:rsidRPr="00106FE8">
        <w:rPr>
          <w:u w:val="single"/>
        </w:rPr>
        <w:t xml:space="preserve">anagement </w:t>
      </w:r>
      <w:r w:rsidR="00125FF7">
        <w:rPr>
          <w:u w:val="single"/>
        </w:rPr>
        <w:t>S</w:t>
      </w:r>
      <w:r w:rsidRPr="00106FE8">
        <w:rPr>
          <w:u w:val="single"/>
        </w:rPr>
        <w:t>taff</w:t>
      </w:r>
      <w:r w:rsidRPr="005C24BA">
        <w:t>: Includes staff embedded at specific primary care practice sites who are responsible for delivering enhanced care coordination to ACO members.</w:t>
      </w:r>
    </w:p>
    <w:p w14:paraId="354BA3AC" w14:textId="78DBE25B" w:rsidR="001B52EF" w:rsidRPr="0009132C" w:rsidRDefault="001B52EF" w:rsidP="00AF6DDC">
      <w:pPr>
        <w:pStyle w:val="Heading5"/>
      </w:pPr>
      <w:r w:rsidRPr="0009132C">
        <w:t xml:space="preserve">CP </w:t>
      </w:r>
      <w:r w:rsidR="00F42044" w:rsidRPr="0009132C">
        <w:t>S</w:t>
      </w:r>
      <w:r w:rsidRPr="0009132C">
        <w:t>taff</w:t>
      </w:r>
    </w:p>
    <w:p w14:paraId="31D2DC92" w14:textId="60EA7230" w:rsidR="001B52EF" w:rsidRPr="0009132C" w:rsidRDefault="001B52EF" w:rsidP="001B52EF">
      <w:pPr>
        <w:rPr>
          <w:rFonts w:eastAsia="Arial"/>
        </w:rPr>
      </w:pPr>
      <w:r w:rsidRPr="0009132C">
        <w:rPr>
          <w:rFonts w:eastAsia="Arial"/>
        </w:rPr>
        <w:t>Includes staff or executive level employees providing and/or supporting care management and coordination services for MassHealth members at each CP.</w:t>
      </w:r>
    </w:p>
    <w:p w14:paraId="016493C7" w14:textId="2687ACEE" w:rsidR="001B52EF" w:rsidRPr="0009132C" w:rsidRDefault="001B52EF" w:rsidP="00DD5EF4">
      <w:pPr>
        <w:pStyle w:val="Heading5"/>
      </w:pPr>
      <w:r w:rsidRPr="0009132C">
        <w:t>MassHealth Members</w:t>
      </w:r>
    </w:p>
    <w:p w14:paraId="0A85D864" w14:textId="318B2D8F" w:rsidR="001B52EF" w:rsidRPr="0009132C" w:rsidRDefault="001B52EF" w:rsidP="00212F9B">
      <w:r w:rsidRPr="0009132C">
        <w:t>MassHealth, the Massachusetts Medicaid and Children’s Health Insurance Program (CHIP), serves over 2.16 million Massachusetts residents as of December 2022.</w:t>
      </w:r>
      <w:r w:rsidRPr="0009132C">
        <w:rPr>
          <w:rStyle w:val="FootnoteReference"/>
        </w:rPr>
        <w:footnoteReference w:id="44"/>
      </w:r>
      <w:r w:rsidRPr="0009132C">
        <w:t xml:space="preserve"> We will study the MassHealth members eligible for enrollment in ACOs (i.e., managed care eligible), the primary vehicle for the state’s DSR efforts. As of December 2022, the managed care eligible population included approximately 1.48 million members, of whom about 1.22 million were enrolled with one of the state’s 17 ACOs. Managed care eligible MassHealth members who were not enrolled with ACOs were either enrolled with one of two MCOs </w:t>
      </w:r>
      <w:r w:rsidR="003B0F49">
        <w:t>(</w:t>
      </w:r>
      <w:r w:rsidRPr="0009132C">
        <w:t>about 127,000 members)</w:t>
      </w:r>
      <w:r w:rsidR="003B0F49">
        <w:t>,</w:t>
      </w:r>
      <w:r w:rsidRPr="0009132C">
        <w:t xml:space="preserve"> or with the Commonwealth’s primary care case </w:t>
      </w:r>
      <w:r w:rsidR="00654206" w:rsidRPr="0009132C">
        <w:t xml:space="preserve">management </w:t>
      </w:r>
      <w:r w:rsidRPr="0009132C">
        <w:t>delivery system (i.e., the PCC plan, about 142,000 members). As described above, t</w:t>
      </w:r>
      <w:r w:rsidR="001E77E8">
        <w:t>wo ACO models</w:t>
      </w:r>
      <w:r w:rsidRPr="0009132C">
        <w:t xml:space="preserve"> will be in effect during the 2023-2027 contracting period, and we expect to perform stratified analyses to examine differences in experience and performance by type of ACO and potentially other ACO characteristics </w:t>
      </w:r>
      <w:r w:rsidRPr="0009132C">
        <w:lastRenderedPageBreak/>
        <w:t>that emerge as important during preliminary analyses of our mixed methods data sources.</w:t>
      </w:r>
    </w:p>
    <w:p w14:paraId="4BCB366A" w14:textId="4B2BDA63" w:rsidR="001B52EF" w:rsidRPr="0009132C" w:rsidRDefault="51E01341" w:rsidP="003C6C8F">
      <w:r w:rsidRPr="0009132C">
        <w:t>W</w:t>
      </w:r>
      <w:r w:rsidR="001B52EF" w:rsidRPr="0009132C">
        <w:t xml:space="preserve">e will </w:t>
      </w:r>
      <w:r w:rsidR="748BE186" w:rsidRPr="0009132C">
        <w:t xml:space="preserve">be </w:t>
      </w:r>
      <w:r w:rsidR="001B52EF" w:rsidRPr="0009132C">
        <w:t>study</w:t>
      </w:r>
      <w:r w:rsidR="7626C9B1" w:rsidRPr="0009132C">
        <w:t>ing</w:t>
      </w:r>
      <w:r w:rsidR="001B52EF" w:rsidRPr="0009132C">
        <w:t xml:space="preserve"> several subgroups of interest. To understand the impact of enhanced programmatic expectations of ACOs, LTSS CPs</w:t>
      </w:r>
      <w:r w:rsidR="0087163D">
        <w:t>,</w:t>
      </w:r>
      <w:r w:rsidR="001B52EF" w:rsidRPr="0009132C">
        <w:t xml:space="preserve"> and new CBHC requirements for BH CPs, we will study members with BH and LTSS needs, including those receiving ACO care management (when data are available to identify members) and CP care coordination supports. Consistent with the DSR policy domain’s emphasis on integration and care coordination, health equity-focused policies, and primary care payment reform, we also expect to examine subgroups of adult and pediatric members with complex health or social needs or linguistically, ethnically, or racially diverse members for whom these Demonstration initiatives are expected to be particularly beneficial. To understand associations between DSR programs and potential effects, we will also study members with conditions that place them in the denominator of accountability measures (e.g., members with hypertension).</w:t>
      </w:r>
      <w:r w:rsidR="001B52EF" w:rsidRPr="0009132C">
        <w:rPr>
          <w:rFonts w:cstheme="minorHAnsi"/>
        </w:rPr>
        <w:t xml:space="preserve"> Members from the described subgroups may be sampled to participate in key informant interviews (KIIs) or the target of survey recruitment efforts. </w:t>
      </w:r>
    </w:p>
    <w:p w14:paraId="4DF36DCA" w14:textId="3E01E148" w:rsidR="001B52EF" w:rsidRPr="0009132C" w:rsidRDefault="001B52EF" w:rsidP="003C6C8F">
      <w:pPr>
        <w:pStyle w:val="Heading5"/>
        <w:rPr>
          <w:rFonts w:eastAsia="Arial"/>
        </w:rPr>
      </w:pPr>
      <w:r w:rsidRPr="0009132C">
        <w:t>Comparison Groups</w:t>
      </w:r>
      <w:r w:rsidRPr="00F863AD">
        <w:rPr>
          <w:rStyle w:val="FootnoteReference"/>
        </w:rPr>
        <w:footnoteReference w:id="45"/>
      </w:r>
    </w:p>
    <w:p w14:paraId="777A3BC7" w14:textId="77777777" w:rsidR="00BC2267" w:rsidRPr="0009132C" w:rsidRDefault="710A13C2" w:rsidP="3383C28C">
      <w:r>
        <w:t xml:space="preserve">We will use several comparison groups, following the general principles of selecting comparator populations that most closely resemble the populations exposed to specific Demonstration policies and programs. Due to systematic differences between Medicaid members and commercial members and between interstate policy environments, we plan to primarily draw comparison groups from within the MassHealth program while also exploring opportunities to obtain and leverage data from other state Medicaid programs. MassHealth managed care eligible members enrolled in MCOs and the PCC Plan with similar characteristics will serve as comparison groups for analyses of ACO members, including analyses studying members in ACO care management programs. MassHealth members who are not enrolled with CPs but who have similar sociodemographic and clinical characteristics as members enrolled with CPs will serve as comparison group members for CP members. We will use one or both historical comparison groups and contemporary comparison groups when data for a pool of members with similar characteristics and who are unexposed to programs are available. We will seek to leverage situations conducive to quasi-experimental methods that support stronger levels of inference, such as phased implementation, when possible. </w:t>
      </w:r>
    </w:p>
    <w:p w14:paraId="76AB58B6" w14:textId="74432517" w:rsidR="001B52EF" w:rsidRPr="0009132C" w:rsidRDefault="001B52EF" w:rsidP="00EE4105">
      <w:pPr>
        <w:pStyle w:val="Heading3"/>
      </w:pPr>
      <w:bookmarkStart w:id="93" w:name="_Data_Sources_and"/>
      <w:bookmarkStart w:id="94" w:name="_Ref142869308"/>
      <w:bookmarkEnd w:id="93"/>
      <w:r w:rsidRPr="0009132C">
        <w:t>Data Sources and Collection Methods</w:t>
      </w:r>
      <w:bookmarkEnd w:id="94"/>
    </w:p>
    <w:p w14:paraId="45FAF46B" w14:textId="19A418DA" w:rsidR="001B52EF" w:rsidRPr="0009132C" w:rsidRDefault="001B52EF" w:rsidP="00594464">
      <w:pPr>
        <w:rPr>
          <w:rFonts w:eastAsia="Arial"/>
        </w:rPr>
      </w:pPr>
      <w:r w:rsidRPr="0009132C">
        <w:rPr>
          <w:rFonts w:eastAsia="Arial"/>
        </w:rPr>
        <w:t>Our prior evaluation of MassHealth’s D</w:t>
      </w:r>
      <w:r w:rsidR="004E37FE">
        <w:rPr>
          <w:rFonts w:eastAsia="Arial"/>
        </w:rPr>
        <w:t>emonstration</w:t>
      </w:r>
      <w:r w:rsidRPr="0009132C">
        <w:rPr>
          <w:rFonts w:eastAsia="Arial"/>
        </w:rPr>
        <w:t xml:space="preserve"> focused on systems transformation/implementation processes and outcomes, informed by the</w:t>
      </w:r>
      <w:r w:rsidR="004A0265">
        <w:rPr>
          <w:rFonts w:eastAsia="Arial"/>
        </w:rPr>
        <w:t xml:space="preserve"> </w:t>
      </w:r>
      <w:r w:rsidRPr="0009132C">
        <w:rPr>
          <w:rFonts w:eastAsia="Arial"/>
        </w:rPr>
        <w:t xml:space="preserve">Consolidated </w:t>
      </w:r>
      <w:r w:rsidRPr="0009132C">
        <w:rPr>
          <w:rFonts w:eastAsia="Arial"/>
        </w:rPr>
        <w:lastRenderedPageBreak/>
        <w:t>Framework for Implementation Research (CFIR)</w:t>
      </w:r>
      <w:r w:rsidR="00B20822" w:rsidRPr="0009132C">
        <w:rPr>
          <w:rFonts w:eastAsia="Arial"/>
        </w:rPr>
        <w:t>.</w:t>
      </w:r>
      <w:r w:rsidRPr="0009132C">
        <w:rPr>
          <w:rStyle w:val="FootnoteReference"/>
          <w:rFonts w:eastAsia="Arial"/>
        </w:rPr>
        <w:footnoteReference w:id="46"/>
      </w:r>
      <w:r w:rsidRPr="0009132C">
        <w:rPr>
          <w:rFonts w:eastAsia="Arial"/>
          <w:vertAlign w:val="superscript"/>
        </w:rPr>
        <w:t>,</w:t>
      </w:r>
      <w:r w:rsidRPr="0009132C">
        <w:rPr>
          <w:rStyle w:val="FootnoteReference"/>
          <w:rFonts w:eastAsia="Arial"/>
        </w:rPr>
        <w:footnoteReference w:id="47"/>
      </w:r>
      <w:r w:rsidRPr="0009132C">
        <w:rPr>
          <w:rFonts w:eastAsia="Arial"/>
        </w:rPr>
        <w:t xml:space="preserve"> The CFIR model, with its focus on facilitators and barriers to implementation and implementation strategies, suggests that implementation is an ongoing process, with continued adaptations, given changes in the external context, organizations involved, and member/population needs. We will continue to monitor the </w:t>
      </w:r>
      <w:r w:rsidR="00EF04F5" w:rsidRPr="0009132C">
        <w:rPr>
          <w:rFonts w:eastAsia="Arial"/>
        </w:rPr>
        <w:t>DSR</w:t>
      </w:r>
      <w:r w:rsidRPr="0009132C">
        <w:rPr>
          <w:rFonts w:eastAsia="Arial"/>
        </w:rPr>
        <w:t xml:space="preserve"> implementation process, using quantitative and qualitative data and methods to study existing and new activities. </w:t>
      </w:r>
    </w:p>
    <w:p w14:paraId="477F8117" w14:textId="24C939A2" w:rsidR="001B52EF" w:rsidRPr="0009132C" w:rsidRDefault="001B52EF" w:rsidP="00594464">
      <w:pPr>
        <w:rPr>
          <w:rFonts w:eastAsia="Arial"/>
        </w:rPr>
      </w:pPr>
      <w:r w:rsidRPr="0009132C">
        <w:rPr>
          <w:rFonts w:eastAsia="Arial"/>
        </w:rPr>
        <w:t xml:space="preserve">An additional focus of the 2022–2027 Demonstration is the ongoing shift toward the integration of care processes, given the progress in organizational infrastructure, workforce development, and care coordination. </w:t>
      </w:r>
      <w:r w:rsidR="00125FF7">
        <w:rPr>
          <w:rFonts w:eastAsia="Arial"/>
        </w:rPr>
        <w:t>A</w:t>
      </w:r>
      <w:r w:rsidR="00125FF7" w:rsidRPr="00125FF7">
        <w:rPr>
          <w:rFonts w:eastAsia="Arial"/>
        </w:rPr>
        <w:t>s part of th</w:t>
      </w:r>
      <w:r w:rsidR="00125FF7">
        <w:rPr>
          <w:rFonts w:eastAsia="Arial"/>
        </w:rPr>
        <w:t>is</w:t>
      </w:r>
      <w:r w:rsidR="00125FF7" w:rsidRPr="00125FF7">
        <w:rPr>
          <w:rFonts w:eastAsia="Arial"/>
        </w:rPr>
        <w:t xml:space="preserve"> Demonstration,</w:t>
      </w:r>
      <w:r w:rsidR="00125FF7">
        <w:rPr>
          <w:rFonts w:eastAsia="Arial"/>
        </w:rPr>
        <w:t xml:space="preserve"> t</w:t>
      </w:r>
      <w:r w:rsidRPr="0009132C">
        <w:rPr>
          <w:rFonts w:eastAsia="Arial"/>
        </w:rPr>
        <w:t>o comprehensively and specifically document the implementation of more integrated care processes</w:t>
      </w:r>
      <w:r w:rsidR="00125FF7">
        <w:rPr>
          <w:rFonts w:eastAsia="Arial"/>
        </w:rPr>
        <w:t>,</w:t>
      </w:r>
      <w:r w:rsidRPr="0009132C">
        <w:rPr>
          <w:rFonts w:eastAsia="Arial"/>
        </w:rPr>
        <w:t xml:space="preserve"> we will draw on the Comprehensive Theory of Integration (CTI) conceptual model.</w:t>
      </w:r>
      <w:r w:rsidR="00AC4BBE" w:rsidRPr="0009132C">
        <w:rPr>
          <w:rStyle w:val="FootnoteReference"/>
          <w:rFonts w:eastAsia="Arial"/>
        </w:rPr>
        <w:footnoteReference w:id="48"/>
      </w:r>
      <w:r w:rsidR="00AC4BBE" w:rsidRPr="0009132C">
        <w:rPr>
          <w:rStyle w:val="FootnoteReference"/>
        </w:rPr>
        <w:t>,</w:t>
      </w:r>
      <w:r w:rsidR="00AC4BBE" w:rsidRPr="0009132C">
        <w:rPr>
          <w:rStyle w:val="FootnoteReference"/>
          <w:rFonts w:eastAsia="Arial"/>
        </w:rPr>
        <w:footnoteReference w:id="49"/>
      </w:r>
      <w:r w:rsidRPr="0009132C">
        <w:rPr>
          <w:rFonts w:eastAsia="Arial"/>
        </w:rPr>
        <w:t xml:space="preserve"> In this model, integration is defined as “a set of organizational and social features and course of action or activities requiring unification that may exist both within and between organizations</w:t>
      </w:r>
      <w:r w:rsidR="00BF3EAD">
        <w:rPr>
          <w:rFonts w:eastAsia="Arial"/>
        </w:rPr>
        <w:t>.</w:t>
      </w:r>
      <w:r w:rsidRPr="0009132C">
        <w:rPr>
          <w:rFonts w:eastAsia="Arial"/>
        </w:rPr>
        <w:t>”</w:t>
      </w:r>
      <w:r w:rsidR="00FD2151">
        <w:rPr>
          <w:rFonts w:eastAsia="Arial"/>
          <w:vertAlign w:val="superscript"/>
        </w:rPr>
        <w:t>48</w:t>
      </w:r>
      <w:r w:rsidRPr="0009132C">
        <w:rPr>
          <w:rFonts w:eastAsia="Arial"/>
        </w:rPr>
        <w:t xml:space="preserve"> The model provides a framework that specifies different types of integration, including organizational features (i.e., structural and functional integration), social features (normative and interpersonal integration), and activities (i.e., process integration). Organizational, social, and activity/process integration are conceptualized as interrelated and mutually reinforcing but conceptually distinct. They are hypothesized to collectively result in more integrated patient care and to ultimately produce beneficial outcomes (i.e., technical quality, efficiency, patient experience, provider satisfaction, and patient health). This model has a foundation in the literature, has been applied and tested in several healthcare systems</w:t>
      </w:r>
      <w:r w:rsidR="00FF302E">
        <w:rPr>
          <w:rFonts w:eastAsia="Arial"/>
        </w:rPr>
        <w:t>,</w:t>
      </w:r>
      <w:r w:rsidR="009C4ECF" w:rsidRPr="0009132C">
        <w:rPr>
          <w:rStyle w:val="FootnoteReference"/>
          <w:rFonts w:eastAsia="Arial"/>
        </w:rPr>
        <w:footnoteReference w:id="50"/>
      </w:r>
      <w:r w:rsidRPr="0009132C">
        <w:rPr>
          <w:rFonts w:eastAsia="Arial"/>
        </w:rPr>
        <w:t xml:space="preserve"> and is consistent with the vision, values, and components of the Demonstration</w:t>
      </w:r>
      <w:r w:rsidR="00B20822" w:rsidRPr="0009132C">
        <w:rPr>
          <w:rFonts w:eastAsia="Arial"/>
        </w:rPr>
        <w:t>.</w:t>
      </w:r>
      <w:r w:rsidRPr="0009132C">
        <w:rPr>
          <w:rStyle w:val="FootnoteReference"/>
          <w:rFonts w:eastAsia="Arial"/>
        </w:rPr>
        <w:footnoteReference w:id="51"/>
      </w:r>
      <w:r w:rsidRPr="0009132C">
        <w:rPr>
          <w:rFonts w:eastAsia="Arial"/>
          <w:vertAlign w:val="superscript"/>
        </w:rPr>
        <w:t>,</w:t>
      </w:r>
      <w:r w:rsidRPr="0009132C">
        <w:rPr>
          <w:rStyle w:val="FootnoteReference"/>
          <w:rFonts w:eastAsia="Arial"/>
        </w:rPr>
        <w:footnoteReference w:id="52"/>
      </w:r>
      <w:r w:rsidRPr="0009132C">
        <w:rPr>
          <w:rFonts w:eastAsia="Arial"/>
        </w:rPr>
        <w:t xml:space="preserve"> In the proposed DSR logic model, we provide a framework for Demonstration initiatives, activities, outputs, and outcomes that takes advantage of the CTI model to support hypothesized relationships and anticipated outcomes. </w:t>
      </w:r>
    </w:p>
    <w:p w14:paraId="01882F7E" w14:textId="5DEB4E95" w:rsidR="001B52EF" w:rsidRPr="0009132C" w:rsidRDefault="001B52EF" w:rsidP="00594464">
      <w:pPr>
        <w:rPr>
          <w:rFonts w:eastAsia="Arial"/>
        </w:rPr>
      </w:pPr>
      <w:r w:rsidRPr="0009132C">
        <w:rPr>
          <w:rFonts w:eastAsia="Arial"/>
        </w:rPr>
        <w:t>Data for qualitative analysis will be obtained in two waves during the Demonstration and evaluation. The analysis of document and interview data from Wave 1 (Y</w:t>
      </w:r>
      <w:r w:rsidR="5A9674EF" w:rsidRPr="0009132C">
        <w:rPr>
          <w:rFonts w:eastAsia="Arial"/>
        </w:rPr>
        <w:t>ea</w:t>
      </w:r>
      <w:r w:rsidRPr="0009132C">
        <w:rPr>
          <w:rFonts w:eastAsia="Arial"/>
        </w:rPr>
        <w:t>rs 1 and 2 of the Demonstration) will inform the selection of topics and interviewees of interest in Wave 2 (Y</w:t>
      </w:r>
      <w:r w:rsidR="7EB40C3B" w:rsidRPr="0009132C">
        <w:rPr>
          <w:rFonts w:eastAsia="Arial"/>
        </w:rPr>
        <w:t>ea</w:t>
      </w:r>
      <w:r w:rsidRPr="0009132C">
        <w:rPr>
          <w:rFonts w:eastAsia="Arial"/>
        </w:rPr>
        <w:t xml:space="preserve">rs 3 to 5 of the Demonstration). For example, in the evaluation of </w:t>
      </w:r>
      <w:r w:rsidR="00125FF7">
        <w:rPr>
          <w:rFonts w:eastAsia="Arial"/>
        </w:rPr>
        <w:t>the</w:t>
      </w:r>
      <w:r w:rsidRPr="0009132C">
        <w:rPr>
          <w:rFonts w:eastAsia="Arial"/>
        </w:rPr>
        <w:t xml:space="preserve"> </w:t>
      </w:r>
      <w:r w:rsidRPr="0009132C">
        <w:rPr>
          <w:rFonts w:eastAsia="Arial"/>
        </w:rPr>
        <w:lastRenderedPageBreak/>
        <w:t xml:space="preserve">2017–2022 Demonstration, the facilitators and barriers for SSOs providing FSP in collaboration with ACOs and CPs to meet members’ </w:t>
      </w:r>
      <w:r w:rsidR="00963257" w:rsidRPr="0009132C">
        <w:rPr>
          <w:rFonts w:eastAsia="Arial"/>
        </w:rPr>
        <w:t>HRSNs</w:t>
      </w:r>
      <w:r w:rsidRPr="0009132C">
        <w:rPr>
          <w:rFonts w:eastAsia="Arial"/>
        </w:rPr>
        <w:t xml:space="preserve"> emerged as an issue warranting further exploration. Consequently, in-depth interviews were conducted to explore facilitators and barriers to care coordination and delivery and members’ experiences with planning, referral to, and receipt of FSP. Likewise, the COVID pandemic contributed to changes in context that warranted attention in later interviews (e.g., the impact and experience of telemedicine on the workforce and MassHealth members). Similarly, we will leverage Wave 1 data to inform the selection of topics and interviewees in Wave 2 of the evaluation of MassHealth’s 2022-2027 Demonstration. </w:t>
      </w:r>
    </w:p>
    <w:p w14:paraId="6092A9F9" w14:textId="2F70763A" w:rsidR="001B52EF" w:rsidRPr="0009132C" w:rsidRDefault="001B52EF" w:rsidP="00594464">
      <w:pPr>
        <w:rPr>
          <w:rFonts w:eastAsia="Arial"/>
        </w:rPr>
      </w:pPr>
      <w:r w:rsidRPr="0009132C">
        <w:rPr>
          <w:rFonts w:eastAsia="Arial"/>
        </w:rPr>
        <w:t xml:space="preserve">We will rely on six qualitative and quantitative data sources to evaluate the DSR policy domain. A summary of evaluation data sources can be found in </w:t>
      </w:r>
      <w:hyperlink w:anchor="_Summary_of_Data_1" w:history="1">
        <w:r w:rsidR="00857A53" w:rsidRPr="00863884">
          <w:rPr>
            <w:rStyle w:val="Hyperlink"/>
            <w:rFonts w:eastAsia="Arial"/>
            <w:color w:val="000F9F"/>
          </w:rPr>
          <w:t>Section 1.4.1 Summary of Data Sources</w:t>
        </w:r>
      </w:hyperlink>
      <w:r w:rsidRPr="0009132C">
        <w:rPr>
          <w:rFonts w:eastAsia="Arial"/>
        </w:rPr>
        <w:t>. A description of the data sources and collection methods with details specific to the evaluation of DSR policies and programs follows.</w:t>
      </w:r>
    </w:p>
    <w:p w14:paraId="7880A59C" w14:textId="692C512F" w:rsidR="00B8525D" w:rsidRPr="0009132C" w:rsidRDefault="001B52EF" w:rsidP="003C6C8F">
      <w:pPr>
        <w:pStyle w:val="Heading5"/>
      </w:pPr>
      <w:r w:rsidRPr="0009132C">
        <w:t>Document Review</w:t>
      </w:r>
    </w:p>
    <w:p w14:paraId="758F8DF2" w14:textId="2C6FA630" w:rsidR="001B52EF" w:rsidRPr="0009132C" w:rsidRDefault="001B52EF" w:rsidP="00212F9B">
      <w:r w:rsidRPr="0009132C">
        <w:t>A range of existing documents (e.g., contracts, participation plans, progress reports) are expected to provide data on participating entities’ plans and progress implementing initiatives and the state’s progress implementing supports for the delivery system. These data are expected to include narrative descriptions provided by participating entities in their participation plans and progress reports (where required); DSR funding amounts and financial performance by entity, where applicable; and the state’s documentation of DSR initiatives, including enrollment rates, contractual relationships, and quality performance. Relevant documents will include, but are not limited to</w:t>
      </w:r>
      <w:r w:rsidR="00EC1F6A">
        <w:t>,</w:t>
      </w:r>
      <w:r w:rsidR="00EC1F6A" w:rsidRPr="0009132C">
        <w:t xml:space="preserve"> </w:t>
      </w:r>
      <w:r w:rsidRPr="0009132C">
        <w:t xml:space="preserve">proposals, contracts and formal agreements between partners, participation plans, progress reports, public-facing annual reports, state-generated reports on funding allocations, and participation in/use of </w:t>
      </w:r>
      <w:r w:rsidR="00963257" w:rsidRPr="0009132C">
        <w:t>WI</w:t>
      </w:r>
      <w:r w:rsidRPr="0009132C">
        <w:t xml:space="preserve">. </w:t>
      </w:r>
    </w:p>
    <w:p w14:paraId="1F457613" w14:textId="32021378" w:rsidR="001B52EF" w:rsidRPr="0009132C" w:rsidRDefault="001B52EF" w:rsidP="00212F9B">
      <w:r w:rsidRPr="0009132C">
        <w:t xml:space="preserve">To standardize the review process, a template will be developed for each set of documents to be reviewed, providing a framework of topics related to targeted RQs and hypotheses (as informed by the </w:t>
      </w:r>
      <w:r w:rsidR="009C4ECF" w:rsidRPr="0009132C">
        <w:t>CTI</w:t>
      </w:r>
      <w:r w:rsidRPr="0009132C">
        <w:t xml:space="preserve"> model). For example, templates will be developed, and documents will be reviewed as they relate to and provide evidence of partnership formation and enhancement, progress in building workforce capacity, investments in staff and infrastructure, quality improvement efforts, and the provision of opportunities to enhance and improve care processes particularly related to high-risk populations (e.g., homeless, criminal justice-involved). Initially, document reviews will be conducted by staff partner teams to come to a consensus on the definition, meaning, and interpretation of the template framework(s) and data to be extracted. Once consensus has been achieved, staff members will review documents independently, coming together in routine meetings to address questions, agree on a shared understanding of any emerging topics and data extracted, and offer impressions to inform any necessary revisions to the template or document review process. The document review process will be ongoing as organizations provide routine reports </w:t>
      </w:r>
      <w:r w:rsidR="006A7A80">
        <w:t>throughout</w:t>
      </w:r>
      <w:r w:rsidRPr="0009132C">
        <w:t xml:space="preserve"> the evaluation; additional documents (e.g., policy memos, relevant meeting minutes, etc.) will be reviewed as they become available and known to the evaluation team. For example, new or unexpected documents may emerge in response to changes in context (e.g., a pandemic or public health crisis). These will be reviewed as they relate to specific </w:t>
      </w:r>
      <w:r w:rsidRPr="0009132C">
        <w:lastRenderedPageBreak/>
        <w:t>research questions and larger contextual factors. These data will be obtained to provide insight into factors that may contribute to outcomes for organizations and members and facilitate an in-depth understanding of the relationships among implementation activities, outputs, and outcomes.</w:t>
      </w:r>
    </w:p>
    <w:p w14:paraId="30D6CEB7" w14:textId="64336398" w:rsidR="00BF2851" w:rsidRPr="0009132C" w:rsidRDefault="001B52EF" w:rsidP="003C6C8F">
      <w:pPr>
        <w:pStyle w:val="Heading5"/>
      </w:pPr>
      <w:r w:rsidRPr="0009132C">
        <w:t>KIIs</w:t>
      </w:r>
    </w:p>
    <w:p w14:paraId="63E46A99" w14:textId="55F8033E" w:rsidR="006E6C68" w:rsidRDefault="001B52EF" w:rsidP="00212F9B">
      <w:r w:rsidRPr="0009132C">
        <w:t xml:space="preserve">Semi-structured individual and/or group interviews will be conducted virtually, using </w:t>
      </w:r>
      <w:r w:rsidR="00E2692E">
        <w:t>Z</w:t>
      </w:r>
      <w:r w:rsidR="00E2692E" w:rsidRPr="0009132C">
        <w:t xml:space="preserve">oom </w:t>
      </w:r>
      <w:r w:rsidRPr="0009132C">
        <w:t>or a comparable platform, in two waves of data collection (</w:t>
      </w:r>
      <w:r w:rsidR="001068CE" w:rsidRPr="0009132C">
        <w:t>Demonstration Years (</w:t>
      </w:r>
      <w:r w:rsidR="00FF5828" w:rsidRPr="0009132C">
        <w:t>D</w:t>
      </w:r>
      <w:r w:rsidR="00FF5828" w:rsidRPr="0061121C">
        <w:t>Y</w:t>
      </w:r>
      <w:r w:rsidR="00FF5828" w:rsidRPr="00FF5828">
        <w:t>s</w:t>
      </w:r>
      <w:r w:rsidR="001068CE" w:rsidRPr="0009132C">
        <w:t xml:space="preserve">) </w:t>
      </w:r>
      <w:r w:rsidR="002F6BB9" w:rsidRPr="0009132C">
        <w:t>2</w:t>
      </w:r>
      <w:r w:rsidRPr="0009132C">
        <w:t>–</w:t>
      </w:r>
      <w:r w:rsidR="002F6BB9" w:rsidRPr="0009132C">
        <w:t>3</w:t>
      </w:r>
      <w:r w:rsidRPr="0009132C">
        <w:t xml:space="preserve"> and </w:t>
      </w:r>
      <w:r w:rsidR="002F6BB9" w:rsidRPr="0009132C">
        <w:t>4</w:t>
      </w:r>
      <w:r w:rsidRPr="0009132C">
        <w:t xml:space="preserve">–5) with six categories of key informants: </w:t>
      </w:r>
    </w:p>
    <w:p w14:paraId="349F22E0" w14:textId="6DB62D3D" w:rsidR="006E6C68" w:rsidRDefault="001B52EF" w:rsidP="005A6824">
      <w:pPr>
        <w:pStyle w:val="ListNumber"/>
        <w:numPr>
          <w:ilvl w:val="0"/>
          <w:numId w:val="141"/>
        </w:numPr>
        <w:spacing w:after="60"/>
      </w:pPr>
      <w:r w:rsidRPr="0009132C">
        <w:t>MassHealth staff</w:t>
      </w:r>
    </w:p>
    <w:p w14:paraId="334684B3" w14:textId="309BEAC7" w:rsidR="006E6C68" w:rsidRDefault="001B52EF" w:rsidP="005A6824">
      <w:pPr>
        <w:pStyle w:val="ListNumber"/>
        <w:spacing w:after="60"/>
      </w:pPr>
      <w:r w:rsidRPr="0009132C">
        <w:t>ACO leadership and other staff</w:t>
      </w:r>
    </w:p>
    <w:p w14:paraId="15D9E6D5" w14:textId="2B3E806A" w:rsidR="006E6C68" w:rsidRDefault="006E6C68" w:rsidP="005A6824">
      <w:pPr>
        <w:pStyle w:val="ListNumber"/>
        <w:spacing w:after="60"/>
      </w:pPr>
      <w:r>
        <w:t>P</w:t>
      </w:r>
      <w:r w:rsidR="001B52EF" w:rsidRPr="0009132C">
        <w:t>ractice site administrators,</w:t>
      </w:r>
    </w:p>
    <w:p w14:paraId="15EB7185" w14:textId="1C9FF712" w:rsidR="006E6C68" w:rsidRDefault="006E6C68" w:rsidP="005A6824">
      <w:pPr>
        <w:pStyle w:val="ListNumber"/>
        <w:spacing w:after="60"/>
      </w:pPr>
      <w:r>
        <w:t>C</w:t>
      </w:r>
      <w:r w:rsidR="001B52EF" w:rsidRPr="0009132C">
        <w:t xml:space="preserve">are management staff (ACO and practice </w:t>
      </w:r>
      <w:r w:rsidR="00143B92" w:rsidRPr="0009132C">
        <w:t>site</w:t>
      </w:r>
      <w:r w:rsidR="00143B92">
        <w:t>-</w:t>
      </w:r>
      <w:r w:rsidR="001B52EF" w:rsidRPr="0009132C">
        <w:t>based)</w:t>
      </w:r>
    </w:p>
    <w:p w14:paraId="370004AA" w14:textId="2D45691B" w:rsidR="006E6C68" w:rsidRDefault="001B52EF" w:rsidP="005A6824">
      <w:pPr>
        <w:pStyle w:val="ListNumber"/>
        <w:spacing w:after="60"/>
      </w:pPr>
      <w:r w:rsidRPr="0009132C">
        <w:t>CP leadership and staff</w:t>
      </w:r>
    </w:p>
    <w:p w14:paraId="760F2E2A" w14:textId="0EEA466B" w:rsidR="006E6C68" w:rsidRDefault="001B52EF" w:rsidP="0061121C">
      <w:pPr>
        <w:pStyle w:val="ListNumber"/>
        <w:spacing w:after="240"/>
      </w:pPr>
      <w:r w:rsidRPr="0009132C">
        <w:t>MassHealth members</w:t>
      </w:r>
    </w:p>
    <w:p w14:paraId="46CF85CD" w14:textId="77CA3D64" w:rsidR="001B52EF" w:rsidRPr="0009132C" w:rsidRDefault="00E8009E" w:rsidP="00212F9B">
      <w:r>
        <w:t xml:space="preserve">Open-ended response </w:t>
      </w:r>
      <w:r w:rsidR="00064AB9">
        <w:t>surveys</w:t>
      </w:r>
      <w:r>
        <w:t xml:space="preserve"> may be used in lieu of interviews</w:t>
      </w:r>
      <w:r w:rsidR="009D50F4">
        <w:t xml:space="preserve"> with MassHealth staff</w:t>
      </w:r>
      <w:r w:rsidR="004448E8">
        <w:t xml:space="preserve"> for efficiency and informed by prior experience</w:t>
      </w:r>
      <w:r w:rsidR="00AC3C20">
        <w:t xml:space="preserve"> that suggests </w:t>
      </w:r>
      <w:r w:rsidR="00213F5A">
        <w:t>the information content will be similar between modalities</w:t>
      </w:r>
      <w:r w:rsidR="009D50F4">
        <w:t>.</w:t>
      </w:r>
      <w:r>
        <w:t xml:space="preserve"> </w:t>
      </w:r>
      <w:r w:rsidR="001B52EF" w:rsidRPr="0009132C">
        <w:t xml:space="preserve">The perspectives of diverse informants will be obtained as they relate to implementation and integration activities, processes, and outcomes as outlined in the logic model and support an understanding of the Demonstration’s impact and effectiveness. All </w:t>
      </w:r>
      <w:r w:rsidR="0078481C">
        <w:t xml:space="preserve">interview </w:t>
      </w:r>
      <w:r w:rsidR="001B52EF" w:rsidRPr="0009132C">
        <w:t xml:space="preserve">participants will complete a background </w:t>
      </w:r>
      <w:r w:rsidR="00064AB9">
        <w:t>survey</w:t>
      </w:r>
      <w:r w:rsidR="00D40BBE">
        <w:t xml:space="preserve"> </w:t>
      </w:r>
      <w:r w:rsidR="001B52EF" w:rsidRPr="0009132C">
        <w:t>in addition to attending interviews to provide relevant information (e.g., demographic characteristics, discipline, role, responsibilities, years with the organization for staff and providers</w:t>
      </w:r>
      <w:r w:rsidR="006D63C3">
        <w:t>,</w:t>
      </w:r>
      <w:r w:rsidR="006D63C3" w:rsidRPr="0009132C">
        <w:t xml:space="preserve"> </w:t>
      </w:r>
      <w:r w:rsidR="001B52EF" w:rsidRPr="0009132C">
        <w:t xml:space="preserve">demographic characteristics, ACO and practice enrollment, </w:t>
      </w:r>
      <w:r w:rsidR="006D63C3">
        <w:t xml:space="preserve">and </w:t>
      </w:r>
      <w:r w:rsidR="001B52EF" w:rsidRPr="0009132C">
        <w:t>CP services received for members). KIIs will focus on staff, provider, and member experience with the Demonstration; interview data will provide context for interpreting quantitative findings.</w:t>
      </w:r>
    </w:p>
    <w:p w14:paraId="224CED94" w14:textId="77777777" w:rsidR="001B52EF" w:rsidRPr="0009132C" w:rsidRDefault="001B52EF" w:rsidP="00301DAB">
      <w:pPr>
        <w:pStyle w:val="Heading4"/>
      </w:pPr>
      <w:r w:rsidRPr="0009132C">
        <w:t xml:space="preserve">Wave 1: </w:t>
      </w:r>
    </w:p>
    <w:p w14:paraId="7C431403" w14:textId="576EB9FA" w:rsidR="001B52EF" w:rsidRPr="0009132C" w:rsidRDefault="001B52EF" w:rsidP="00DE3D03">
      <w:r w:rsidRPr="0009132C">
        <w:t>In the first wave (</w:t>
      </w:r>
      <w:r w:rsidR="00FF5828" w:rsidRPr="0009132C">
        <w:t>D</w:t>
      </w:r>
      <w:r w:rsidR="00FF5828" w:rsidRPr="0061121C">
        <w:t>Y</w:t>
      </w:r>
      <w:r w:rsidR="00FF5828" w:rsidRPr="00FF5828">
        <w:t>s</w:t>
      </w:r>
      <w:r w:rsidR="00FF5828" w:rsidRPr="0009132C">
        <w:t xml:space="preserve"> </w:t>
      </w:r>
      <w:r w:rsidR="00AB34A2" w:rsidRPr="0009132C">
        <w:t>2</w:t>
      </w:r>
      <w:r w:rsidRPr="0009132C">
        <w:t>–</w:t>
      </w:r>
      <w:r w:rsidR="00AB34A2" w:rsidRPr="0009132C">
        <w:t>3</w:t>
      </w:r>
      <w:r w:rsidRPr="0009132C">
        <w:t>), we will focus on staff interviews and perspectives on key Demonstration activities within organizations and on members’ experiences of integrated patient care processes generically and in groups of members specifically targeted by the Demonstration. In the first two years of the evaluation, we will conduct semi-structured interviews</w:t>
      </w:r>
      <w:r w:rsidR="00F6595A">
        <w:t xml:space="preserve">, focus groups, or open-ended </w:t>
      </w:r>
      <w:r w:rsidR="00064AB9">
        <w:t>surveys</w:t>
      </w:r>
      <w:r w:rsidRPr="0009132C">
        <w:t xml:space="preserve"> with representatives of three key informant groups: (1) MassHealth staff responsible for administering the DSR (n=10 estimated); (2) ACO (about five representatives at each of 17 ACOS) and CP staff (about three representatives at each of 20 CPs); and (3) MassHealth members (up to 30 representing those receiving BH, LTSS, and/or pediatric services and supports). For the MassHealth staff sample, we will identify and recruit MassHealth </w:t>
      </w:r>
      <w:r w:rsidR="00FB6FDF" w:rsidRPr="0009132C">
        <w:t>staff who are</w:t>
      </w:r>
      <w:r w:rsidRPr="0009132C">
        <w:t xml:space="preserve"> knowledgeable about DSR. </w:t>
      </w:r>
      <w:r w:rsidR="0066698E">
        <w:t>Th</w:t>
      </w:r>
      <w:r w:rsidR="000D4559">
        <w:t>is will come from</w:t>
      </w:r>
      <w:r w:rsidR="0066698E">
        <w:t xml:space="preserve"> </w:t>
      </w:r>
      <w:r w:rsidRPr="0009132C">
        <w:t xml:space="preserve">MassHealth’s </w:t>
      </w:r>
      <w:r w:rsidR="00143B92">
        <w:t>O</w:t>
      </w:r>
      <w:r w:rsidR="00143B92" w:rsidRPr="0009132C">
        <w:t xml:space="preserve">ffice </w:t>
      </w:r>
      <w:r w:rsidRPr="0009132C">
        <w:t>of Payment and Care Delivery Innovation (PCDI)</w:t>
      </w:r>
      <w:r w:rsidR="0066698E">
        <w:t>, which</w:t>
      </w:r>
      <w:r w:rsidRPr="0009132C">
        <w:t xml:space="preserve"> oversees various teams, each focused on a specific aspect of DSR, including: ACOs; CPs; Data Governance, Reporting, and Systems; Medical Directors (including clinical and quality improvement); Investments and Social Service Integration; and Analytics. In total, an estimated 55 to 65 </w:t>
      </w:r>
      <w:r w:rsidRPr="0009132C">
        <w:lastRenderedPageBreak/>
        <w:t>MassHealth staff are working across these units and teams. We will target unit and team leads for the interviews. In addition to PCDI staff, when appropriate</w:t>
      </w:r>
      <w:r w:rsidR="00FC0FEA">
        <w:t>,</w:t>
      </w:r>
      <w:r w:rsidRPr="0009132C">
        <w:t xml:space="preserve"> we will interview staff from other divisions of MassHealth</w:t>
      </w:r>
      <w:r w:rsidR="005E21EC">
        <w:t>,</w:t>
      </w:r>
      <w:r w:rsidRPr="0009132C">
        <w:t xml:space="preserve"> including staff from the Office of B</w:t>
      </w:r>
      <w:r w:rsidR="00941847">
        <w:t xml:space="preserve">ehavioral </w:t>
      </w:r>
      <w:r w:rsidRPr="0009132C">
        <w:t>H</w:t>
      </w:r>
      <w:r w:rsidR="00941847">
        <w:t>ealth</w:t>
      </w:r>
      <w:r w:rsidRPr="0009132C">
        <w:t>.</w:t>
      </w:r>
    </w:p>
    <w:p w14:paraId="3463C1B5" w14:textId="77A631C5" w:rsidR="001B52EF" w:rsidRPr="0009132C" w:rsidRDefault="001B52EF" w:rsidP="00DE3D03">
      <w:r w:rsidRPr="0009132C">
        <w:t>We have successfully identified and recruited ACO and CP representatives from all participating entities in the evaluation of MassHealth’s 2017-2022 Demonstration, using a combination of approaches including contact with MassHealth staff liaisons and direct outreach. By providing the ACO and/or CP liaisons with an overview of the interview protocol, they can assist in identifying and scheduling the relevant representatives for the topics to be queried. As part of the 2017-2022 evaluation, we established a Member Work Group, which advised us regarding member recruitment, interview protocols, and procedures. In addition, our prior interview procedures have been reviewed by a consultant with experience receiving and expertise in studying LTSS, who provided recommendations regarding the use of plain language, the presentation of materials, and the purposeful sampling of disability type</w:t>
      </w:r>
      <w:r w:rsidR="006B6F3B">
        <w:t>s</w:t>
      </w:r>
      <w:r w:rsidRPr="0009132C">
        <w:t xml:space="preserve">. To develop the member experience interview protocols and tailor them for specific target populations, we will obtain consultation from community experts and advocates affiliated with the MassHealth initiative (e.g., members of Advisory Groups) and key advocates representing the member groups of interest. We will recruit our initial sample of members through ACO, CP, and provider organizations nominations and attend to diversity in sample selection. The analysis of Wave 1 interview data will inform the development of interview protocols, procedures, and sampling strategies for the second wave of in-depth data collection. </w:t>
      </w:r>
    </w:p>
    <w:p w14:paraId="720B1817" w14:textId="77777777" w:rsidR="001B52EF" w:rsidRPr="0009132C" w:rsidRDefault="001B52EF" w:rsidP="00301DAB">
      <w:pPr>
        <w:pStyle w:val="Heading4"/>
      </w:pPr>
      <w:r w:rsidRPr="0009132C">
        <w:t>Wave 2:</w:t>
      </w:r>
    </w:p>
    <w:p w14:paraId="300AD039" w14:textId="785B44FA" w:rsidR="002F662B" w:rsidRPr="0009132C" w:rsidRDefault="001B52EF" w:rsidP="0023113E">
      <w:r w:rsidRPr="0009132C">
        <w:t xml:space="preserve">In </w:t>
      </w:r>
      <w:r w:rsidR="001E5E4F" w:rsidRPr="0009132C">
        <w:t>D</w:t>
      </w:r>
      <w:r w:rsidR="005117B3">
        <w:t>Y</w:t>
      </w:r>
      <w:r w:rsidRPr="0009132C">
        <w:t xml:space="preserve">s 4 and 5, we will conduct in-depth, virtual individual and/or focus group interviews (e.g., several care coordinators or care team members from within or between one or more entities) regarding activities occurring within and between sites and organizations with strategically selected MassHealth, ACO, and CP staff, and with members reflecting </w:t>
      </w:r>
      <w:r w:rsidR="769B903A" w:rsidRPr="0009132C">
        <w:t xml:space="preserve">different </w:t>
      </w:r>
      <w:r w:rsidRPr="0009132C">
        <w:t xml:space="preserve">demographic factors or characteristics (e.g., race, disability), </w:t>
      </w:r>
      <w:r w:rsidR="003B0F49">
        <w:t>HRSN</w:t>
      </w:r>
      <w:r w:rsidRPr="0009132C">
        <w:t xml:space="preserve">, and/or defined by other individual- or community-level markers or indices of social risk (e.g., homeless, justice-involved), particularly as these factors may be related to health inequities. </w:t>
      </w:r>
      <w:r w:rsidR="004558F2">
        <w:t>As with Wave 1, we</w:t>
      </w:r>
      <w:r w:rsidR="00476351">
        <w:t xml:space="preserve"> anticipate we may use open-ended response </w:t>
      </w:r>
      <w:r w:rsidR="00064AB9">
        <w:t>surveys</w:t>
      </w:r>
      <w:r w:rsidR="00476351">
        <w:t xml:space="preserve"> </w:t>
      </w:r>
      <w:r w:rsidR="004558F2">
        <w:t xml:space="preserve">in lieu of interviews with MassHealth staff. </w:t>
      </w:r>
      <w:r w:rsidRPr="0009132C">
        <w:t xml:space="preserve">Wave 2 DSR data collection will include interviews </w:t>
      </w:r>
      <w:r w:rsidR="004E5781">
        <w:t>with</w:t>
      </w:r>
      <w:r w:rsidR="004E5781" w:rsidRPr="0009132C">
        <w:t xml:space="preserve"> </w:t>
      </w:r>
      <w:r w:rsidRPr="0009132C">
        <w:t xml:space="preserve">up to 100 individuals (i.e., staff and/or members) participating in individual or focus group interview sessions. The purpose of these interviews is to obtain in-depth information on a particular topic or issue identified in Wave 1 or that has emerged in the implementation process. The decision regarding individual versus group interview procedures will be made based on the focus or topic of the interview (e.g., care processes from multiple staff and agency perspectives) and the met or unmet needs of participants (e.g., members at risk of homelessness), and to minimize the burden to organizations and members. Consideration will be given to individuals’ communication preferences, particularly members receiving LTSS services, who may prefer to be interviewed individually or using the video chat function rather than communicate verbally. While data collection with cross-agency staff teams or specific groups of members may be challenging in terms of scheduling, every effort will be made </w:t>
      </w:r>
      <w:r w:rsidRPr="0009132C">
        <w:lastRenderedPageBreak/>
        <w:t xml:space="preserve">to efficiently engage and reflect diverse perspectives while reducing the burden on participants. </w:t>
      </w:r>
    </w:p>
    <w:p w14:paraId="4D4E7A68" w14:textId="2D269763" w:rsidR="00BF2851" w:rsidRPr="0009132C" w:rsidRDefault="001B52EF" w:rsidP="00090D5E">
      <w:pPr>
        <w:pStyle w:val="Heading5"/>
      </w:pPr>
      <w:r w:rsidRPr="0009132C">
        <w:t xml:space="preserve">Member </w:t>
      </w:r>
      <w:r w:rsidR="00EB3782">
        <w:t xml:space="preserve">Experience </w:t>
      </w:r>
      <w:r w:rsidR="00F42044" w:rsidRPr="0009132C">
        <w:t>S</w:t>
      </w:r>
      <w:r w:rsidRPr="0009132C">
        <w:t>urveys</w:t>
      </w:r>
    </w:p>
    <w:p w14:paraId="011FC82F" w14:textId="78DA1619" w:rsidR="001B52EF" w:rsidRPr="0009132C" w:rsidRDefault="7925ABDD" w:rsidP="00DE3D03">
      <w:r w:rsidRPr="0009132C">
        <w:t xml:space="preserve">Five rounds of member experience surveys (MES) were conducted by Massachusetts Health Quality Partners (MHQP) to assess change in MassHealth members’ experience during the 2017-2022 Demonstration: primary care, BH, and LTSS surveys. Each round had a child </w:t>
      </w:r>
      <w:r w:rsidR="000808F2" w:rsidRPr="0009132C">
        <w:t>(</w:t>
      </w:r>
      <w:r w:rsidR="000808F2">
        <w:t xml:space="preserve">under </w:t>
      </w:r>
      <w:r w:rsidRPr="0009132C">
        <w:t>18 years of age) and an adult (18 years</w:t>
      </w:r>
      <w:r w:rsidR="000808F2">
        <w:t xml:space="preserve"> of age or older</w:t>
      </w:r>
      <w:r w:rsidRPr="0009132C">
        <w:t xml:space="preserve">) survey for each surveyed population. These surveys will provide baseline data for member surveys to be conducted by MassHealth’s vendor to evaluate </w:t>
      </w:r>
      <w:r w:rsidR="6F6E1E31">
        <w:t xml:space="preserve">the 2022-2027 </w:t>
      </w:r>
      <w:r w:rsidRPr="0009132C">
        <w:t xml:space="preserve">Demonstration. These surveys will be conducted annually during the 2022-2027 Demonstration for members enrolled in ACO and/or CPs and for members enrolled in the PCC Plan. </w:t>
      </w:r>
      <w:r w:rsidRPr="00DA704E">
        <w:t xml:space="preserve">Although MHQP </w:t>
      </w:r>
      <w:r w:rsidR="7BCDD4D2" w:rsidRPr="00DA704E">
        <w:t>currently</w:t>
      </w:r>
      <w:r w:rsidRPr="00DA704E">
        <w:t xml:space="preserve"> fields these surveys for a </w:t>
      </w:r>
      <w:r w:rsidR="6F6E1E31" w:rsidRPr="00DA704E">
        <w:t>purpose</w:t>
      </w:r>
      <w:r w:rsidR="7F9BF084" w:rsidRPr="00DA704E">
        <w:t xml:space="preserve"> that is</w:t>
      </w:r>
      <w:r w:rsidR="6F6E1E31" w:rsidRPr="00DA704E">
        <w:t xml:space="preserve"> </w:t>
      </w:r>
      <w:r w:rsidRPr="00DA704E">
        <w:t>distinct from the Independent Evaluation, these surveys will continue to be an important source of information on member experience</w:t>
      </w:r>
      <w:r w:rsidR="004F2BBB">
        <w:t>. W</w:t>
      </w:r>
      <w:r w:rsidRPr="00DA704E">
        <w:t xml:space="preserve">e will continue to provide recommendations to MassHealth and </w:t>
      </w:r>
      <w:r w:rsidR="29DEC7ED" w:rsidRPr="00DA704E">
        <w:t>MassHealth’s vendor</w:t>
      </w:r>
      <w:r w:rsidR="00320005">
        <w:t>(s)</w:t>
      </w:r>
      <w:r w:rsidR="6DE346BF" w:rsidRPr="00DA704E">
        <w:t xml:space="preserve"> </w:t>
      </w:r>
      <w:r w:rsidRPr="00DA704E">
        <w:t xml:space="preserve">to enhance the value of </w:t>
      </w:r>
      <w:r w:rsidR="47CDA4A5" w:rsidRPr="00DA704E">
        <w:t>future</w:t>
      </w:r>
      <w:r w:rsidRPr="00DA704E">
        <w:t xml:space="preserve"> surveys for the purposes of evaluation without unduly increasing the burden on respondents</w:t>
      </w:r>
      <w:r w:rsidRPr="0009132C">
        <w:t>.</w:t>
      </w:r>
      <w:r w:rsidR="001B52EF" w:rsidRPr="0009132C">
        <w:rPr>
          <w:rStyle w:val="FootnoteReference"/>
        </w:rPr>
        <w:footnoteReference w:id="53"/>
      </w:r>
      <w:r w:rsidRPr="0009132C">
        <w:t xml:space="preserve"> This includes parsimoniously adding content (e.g., the person-centered primary care measure</w:t>
      </w:r>
      <w:r w:rsidR="35166C70" w:rsidRPr="0009132C">
        <w:t>)</w:t>
      </w:r>
      <w:r w:rsidR="001B52EF" w:rsidRPr="0009132C">
        <w:rPr>
          <w:rStyle w:val="FootnoteReference"/>
        </w:rPr>
        <w:footnoteReference w:id="54"/>
      </w:r>
      <w:r w:rsidRPr="0009132C">
        <w:t xml:space="preserve"> and leveraging readily available information from existing data sources that could be combined with survey responses. </w:t>
      </w:r>
    </w:p>
    <w:p w14:paraId="3B4F705E" w14:textId="1D3EB94A" w:rsidR="001B52EF" w:rsidRPr="0009132C" w:rsidRDefault="001B52EF" w:rsidP="00DE3D03">
      <w:r w:rsidRPr="0009132C">
        <w:t>The sample frame for the ACO/CP’s primary care, BH</w:t>
      </w:r>
      <w:r w:rsidR="000A2506" w:rsidRPr="0009132C">
        <w:t>,</w:t>
      </w:r>
      <w:r w:rsidRPr="0009132C">
        <w:t xml:space="preserve"> and LTSS surveys has historically contained members who received at least one of three types of service(s) during the measurement year: primary care, BH, and/or LTSS. Members were included in the sample frame if the following conditions were met:</w:t>
      </w:r>
    </w:p>
    <w:p w14:paraId="5564B567" w14:textId="14FB7462" w:rsidR="00EA3684" w:rsidRPr="0009132C" w:rsidRDefault="001B52EF" w:rsidP="004E60A7">
      <w:pPr>
        <w:pStyle w:val="ListNumber"/>
        <w:numPr>
          <w:ilvl w:val="0"/>
          <w:numId w:val="78"/>
        </w:numPr>
      </w:pPr>
      <w:r w:rsidRPr="0009132C">
        <w:t>The member was enrolled in one of the ACOs and</w:t>
      </w:r>
      <w:r w:rsidR="0CFB85DB" w:rsidRPr="0009132C">
        <w:t xml:space="preserve"> potentially</w:t>
      </w:r>
      <w:r w:rsidRPr="0009132C">
        <w:t xml:space="preserve"> one of the CPs on the anchor date defined for each survey cycle.</w:t>
      </w:r>
    </w:p>
    <w:p w14:paraId="5120FD70" w14:textId="06D99DFE" w:rsidR="00EA3684" w:rsidRPr="0009132C" w:rsidRDefault="001B52EF" w:rsidP="003417FC">
      <w:pPr>
        <w:pStyle w:val="ListNumber"/>
      </w:pPr>
      <w:r w:rsidRPr="0009132C">
        <w:t>The member received primary care, BH services, and/or LTSS services during the measurement year.</w:t>
      </w:r>
    </w:p>
    <w:p w14:paraId="5AD43B34" w14:textId="77777777" w:rsidR="001B52EF" w:rsidRPr="0009132C" w:rsidRDefault="001B52EF" w:rsidP="003417FC">
      <w:pPr>
        <w:pStyle w:val="ListNumber"/>
      </w:pPr>
      <w:r w:rsidRPr="0009132C">
        <w:t>The sample frame for the PCC Plan will focus on primary care services only and include members who met the following conditions:</w:t>
      </w:r>
    </w:p>
    <w:p w14:paraId="1AF0214B" w14:textId="3E90E33F" w:rsidR="001B52EF" w:rsidRPr="0009132C" w:rsidRDefault="001B52EF" w:rsidP="003C6C8F">
      <w:pPr>
        <w:pStyle w:val="Bullet2"/>
      </w:pPr>
      <w:r w:rsidRPr="0009132C">
        <w:t xml:space="preserve">The member </w:t>
      </w:r>
      <w:r w:rsidR="00CA160A" w:rsidRPr="0009132C">
        <w:t>was</w:t>
      </w:r>
      <w:r w:rsidRPr="0009132C">
        <w:t xml:space="preserve"> enrolled in the PCC Plan on the anchor date defined for each survey cycle.</w:t>
      </w:r>
    </w:p>
    <w:p w14:paraId="093A0733" w14:textId="77777777" w:rsidR="001B52EF" w:rsidRPr="0009132C" w:rsidRDefault="001B52EF" w:rsidP="005A6824">
      <w:pPr>
        <w:pStyle w:val="Bullet2"/>
        <w:spacing w:after="240"/>
      </w:pPr>
      <w:r w:rsidRPr="0009132C">
        <w:t>The PCC Plan member had at least one primary care visit at one of the PCC Plan practices during the measurement year.</w:t>
      </w:r>
    </w:p>
    <w:p w14:paraId="1232F7E9" w14:textId="21F2A9A4" w:rsidR="001B52EF" w:rsidRPr="0009132C" w:rsidRDefault="001B52EF" w:rsidP="003C6C8F">
      <w:r w:rsidRPr="0009132C">
        <w:t>From within the primary care, BH</w:t>
      </w:r>
      <w:r w:rsidR="000851E7" w:rsidRPr="0009132C">
        <w:t>,</w:t>
      </w:r>
      <w:r w:rsidRPr="0009132C">
        <w:t xml:space="preserve"> and LTSS sampling frame</w:t>
      </w:r>
      <w:r w:rsidR="35A4895A" w:rsidRPr="0009132C">
        <w:t>s</w:t>
      </w:r>
      <w:r w:rsidRPr="0009132C">
        <w:t>, on average, 350,000 members will be surveyed annually</w:t>
      </w:r>
      <w:r w:rsidR="003A2F28">
        <w:t>:</w:t>
      </w:r>
      <w:r w:rsidR="003A2F28" w:rsidRPr="0009132C">
        <w:t xml:space="preserve"> </w:t>
      </w:r>
      <w:r w:rsidRPr="0009132C">
        <w:t>around 80</w:t>
      </w:r>
      <w:r w:rsidR="005B2DB4">
        <w:t xml:space="preserve"> percent</w:t>
      </w:r>
      <w:r w:rsidR="005B2DB4" w:rsidRPr="0009132C">
        <w:t xml:space="preserve"> </w:t>
      </w:r>
      <w:r w:rsidRPr="0009132C">
        <w:t>for the primary care survey, 14</w:t>
      </w:r>
      <w:r w:rsidR="005B2DB4">
        <w:t xml:space="preserve"> percent</w:t>
      </w:r>
      <w:r w:rsidR="005B2DB4" w:rsidRPr="0009132C">
        <w:t xml:space="preserve"> </w:t>
      </w:r>
      <w:r w:rsidRPr="0009132C">
        <w:t>for the BH survey, and 6</w:t>
      </w:r>
      <w:r w:rsidR="005B2DB4">
        <w:t xml:space="preserve"> percent</w:t>
      </w:r>
      <w:r w:rsidR="005B2DB4" w:rsidRPr="0009132C">
        <w:t xml:space="preserve"> </w:t>
      </w:r>
      <w:r w:rsidRPr="0009132C">
        <w:t xml:space="preserve">for the LTSS survey. The survey sampling </w:t>
      </w:r>
      <w:r w:rsidRPr="0009132C">
        <w:lastRenderedPageBreak/>
        <w:t>design will be stratified to collect information from adult members and from parents or guardians of pediatric members.</w:t>
      </w:r>
    </w:p>
    <w:p w14:paraId="485D6AF4" w14:textId="77777777" w:rsidR="001B52EF" w:rsidRPr="0009132C" w:rsidRDefault="001B52EF" w:rsidP="0079488C">
      <w:r w:rsidRPr="0009132C">
        <w:t xml:space="preserve">The primary care survey consists of 13 domains: </w:t>
      </w:r>
      <w:bookmarkStart w:id="95" w:name="_Hlk126320141"/>
      <w:r w:rsidRPr="0009132C">
        <w:t>communications, integration of care, knowledge of patient, adult BH, pediatric prevention, child development, organizational access, office staff, self-management support, telemedicine, child provider communication, overall provider rating, and willingness to recommend.</w:t>
      </w:r>
    </w:p>
    <w:bookmarkEnd w:id="95"/>
    <w:p w14:paraId="42DCED27" w14:textId="77777777" w:rsidR="001B52EF" w:rsidRPr="0009132C" w:rsidRDefault="001B52EF" w:rsidP="0079488C">
      <w:r w:rsidRPr="0009132C">
        <w:t>The BH survey consists of 11 domains: communications, needs for BH, care plan, care coordinator, service scheduling, teamwork, telemedicine, healthy living in the community, members’ engagement with care team needs met, willingness to recommend, and overall rating</w:t>
      </w:r>
      <w:r w:rsidRPr="0009132C" w:rsidDel="00E41543">
        <w:t>.</w:t>
      </w:r>
      <w:r w:rsidRPr="0009132C">
        <w:t xml:space="preserve"> </w:t>
      </w:r>
    </w:p>
    <w:p w14:paraId="3082DB31" w14:textId="11BE4210" w:rsidR="001B52EF" w:rsidRPr="0009132C" w:rsidRDefault="001B52EF" w:rsidP="0079488C">
      <w:r w:rsidRPr="0009132C">
        <w:t xml:space="preserve">The LTSS survey consists of 12 domains: communications, needs met LTSS core, </w:t>
      </w:r>
      <w:r w:rsidR="00720E42">
        <w:t>n</w:t>
      </w:r>
      <w:r w:rsidR="00720E42" w:rsidRPr="0009132C">
        <w:t xml:space="preserve">eeds </w:t>
      </w:r>
      <w:r w:rsidRPr="0009132C">
        <w:t>met LTSS non-core, care plan, care coordinator, service scheduling, teamwork, telemedicine, healthy living in the community, members engagement with care team-needs met, willingness to recommend, and overall rating.</w:t>
      </w:r>
    </w:p>
    <w:p w14:paraId="271FC177" w14:textId="4032F1A8" w:rsidR="001B52EF" w:rsidRPr="0009132C" w:rsidRDefault="001B52EF" w:rsidP="0079488C">
      <w:r w:rsidRPr="0009132C">
        <w:t xml:space="preserve">The surveys are expected to be fielded annually by web and mail in </w:t>
      </w:r>
      <w:r w:rsidR="004920DE" w:rsidRPr="0009132C">
        <w:t>C</w:t>
      </w:r>
      <w:r w:rsidR="004920DE">
        <w:t>Y</w:t>
      </w:r>
      <w:r w:rsidRPr="0009132C">
        <w:t xml:space="preserve">2023-2028 to assess member experience for </w:t>
      </w:r>
      <w:r w:rsidR="004920DE" w:rsidRPr="0009132C">
        <w:t>C</w:t>
      </w:r>
      <w:r w:rsidR="004920DE">
        <w:t>Y</w:t>
      </w:r>
      <w:r w:rsidRPr="0009132C">
        <w:t>2022-2027.</w:t>
      </w:r>
    </w:p>
    <w:p w14:paraId="2CD3CF9B" w14:textId="69649505" w:rsidR="00BF2851" w:rsidRPr="0009132C" w:rsidRDefault="001B52EF" w:rsidP="003C6C8F">
      <w:pPr>
        <w:pStyle w:val="Heading5"/>
      </w:pPr>
      <w:r w:rsidRPr="0009132C">
        <w:t xml:space="preserve">Practice </w:t>
      </w:r>
      <w:r w:rsidR="00A6782D" w:rsidRPr="0009132C">
        <w:t>Site Administrator Survey</w:t>
      </w:r>
    </w:p>
    <w:p w14:paraId="084DC3D5" w14:textId="0AF57D26" w:rsidR="001B52EF" w:rsidRPr="0009132C" w:rsidRDefault="001B52EF" w:rsidP="0079488C">
      <w:r w:rsidRPr="0009132C">
        <w:t xml:space="preserve">Two waves of online surveys of ACO primary care practice site administrators were performed during </w:t>
      </w:r>
      <w:r w:rsidR="006E6C68">
        <w:t>the</w:t>
      </w:r>
      <w:r w:rsidRPr="0009132C">
        <w:t xml:space="preserve"> 2017-2022 Demonstration and will provide baseline data for a single online survey of practice site administrators to be conducted during the first half of </w:t>
      </w:r>
      <w:r w:rsidR="006E6C68">
        <w:t>the</w:t>
      </w:r>
      <w:r w:rsidRPr="0009132C">
        <w:t xml:space="preserve"> 2022-2027 Demonstration. The sampling frame will again include group practices, community health centers (CHCs), and hospital </w:t>
      </w:r>
      <w:r w:rsidR="3915C27A" w:rsidRPr="0009132C">
        <w:t>practices</w:t>
      </w:r>
      <w:r w:rsidRPr="0009132C">
        <w:t xml:space="preserve"> participating in the ACO program. The following sites will be excluded from the survey: solo physician practices, sites that only provide acute care, practice sites located outside of Massachusetts, sites with fewer than 50 MassHealth members, and sites with an unknown number of MassHealth members. From within the sampling frame, we expect all sites within each ACO will be selected. After a thorough literature review, the questionnaire used for the </w:t>
      </w:r>
      <w:r w:rsidR="00786BB0">
        <w:t>2017-2022 evaluation</w:t>
      </w:r>
      <w:r w:rsidR="00786BB0" w:rsidRPr="0009132C">
        <w:t xml:space="preserve"> </w:t>
      </w:r>
      <w:r w:rsidRPr="0009132C">
        <w:t xml:space="preserve">was drafted collaboratively by the Independent Assessor, </w:t>
      </w:r>
      <w:r w:rsidR="00781071">
        <w:t>IE</w:t>
      </w:r>
      <w:r w:rsidRPr="0009132C">
        <w:t xml:space="preserve">, and a research group administering similar surveys. The survey was shared with stakeholders to gather feedback, field-tested with ACO administrators, and further refined before administration. The survey instrument includes questions about care integration, screening, access, social services referrals, risk stratification, performance management, engagement with the ACO, and payment arrangements, among other topics. The </w:t>
      </w:r>
      <w:r w:rsidR="00786BB0">
        <w:t xml:space="preserve">2022-2027 </w:t>
      </w:r>
      <w:r w:rsidRPr="0009132C">
        <w:t>survey instrument is expected to be a modified version of the instrument used in the 2017-2022 evaluation. For any new survey questions, the questions will be piloted with a convenience sample of practice site administrators using cognitive testing and assessments for clarity, completeness, and respondent burden. We will retire survey questions that are no longer relevant or informative.</w:t>
      </w:r>
    </w:p>
    <w:p w14:paraId="7BF89F92" w14:textId="52B5DFD2" w:rsidR="00BF2851" w:rsidRPr="0009132C" w:rsidRDefault="001B52EF" w:rsidP="003C6C8F">
      <w:pPr>
        <w:pStyle w:val="Heading5"/>
      </w:pPr>
      <w:r w:rsidRPr="0009132C">
        <w:t>Provider and Staff Surveys</w:t>
      </w:r>
    </w:p>
    <w:p w14:paraId="2A5E6E70" w14:textId="1D911EA7" w:rsidR="001B52EF" w:rsidRPr="0009132C" w:rsidRDefault="001B52EF" w:rsidP="0079488C">
      <w:pPr>
        <w:rPr>
          <w:u w:val="single"/>
        </w:rPr>
      </w:pPr>
      <w:r w:rsidRPr="0009132C">
        <w:t xml:space="preserve">The IE will conduct a survey of ACO PCPs and CP front-line staff in the second half of the Demonstration period to assess how front-line staff experience delivery system </w:t>
      </w:r>
      <w:r w:rsidRPr="0009132C">
        <w:lastRenderedPageBreak/>
        <w:t xml:space="preserve">transformation. Survey respondents are expected to be consistent with the sampling frame for the surveys of ACO/CP providers and staff conducted as part of the independent evaluation of </w:t>
      </w:r>
      <w:r w:rsidR="006E6C68">
        <w:t>the</w:t>
      </w:r>
      <w:r w:rsidRPr="0009132C">
        <w:t xml:space="preserve"> 2017-2022 Demonstration</w:t>
      </w:r>
      <w:r w:rsidR="002670EE">
        <w:t>,</w:t>
      </w:r>
      <w:r w:rsidRPr="0009132C">
        <w:t xml:space="preserve"> including MDs, NPs, RNs, P</w:t>
      </w:r>
      <w:r w:rsidR="00DE2D4B">
        <w:t>A</w:t>
      </w:r>
      <w:r w:rsidRPr="0009132C">
        <w:t xml:space="preserve">s, </w:t>
      </w:r>
      <w:r w:rsidR="00DE2D4B" w:rsidRPr="0009132C">
        <w:t>M</w:t>
      </w:r>
      <w:r w:rsidR="00DE2D4B">
        <w:t>A</w:t>
      </w:r>
      <w:r w:rsidR="00DE2D4B" w:rsidRPr="0009132C">
        <w:t>s</w:t>
      </w:r>
      <w:r w:rsidRPr="0009132C">
        <w:t>, and CHWs.</w:t>
      </w:r>
    </w:p>
    <w:p w14:paraId="03BF910A" w14:textId="7DA0481C" w:rsidR="001B52EF" w:rsidRPr="0009132C" w:rsidRDefault="001B52EF" w:rsidP="0079488C">
      <w:r w:rsidRPr="0009132C">
        <w:t>The survey instrument is expected to be a</w:t>
      </w:r>
      <w:r w:rsidR="00C46D1B" w:rsidRPr="0009132C">
        <w:t xml:space="preserve"> </w:t>
      </w:r>
      <w:r w:rsidRPr="0009132C">
        <w:t xml:space="preserve">modified version of the instrument used in the 2017-2022 evaluation. A core component of the instrument is the Provider and Staff Perceptions of Integrated Care (PPICs), a validated survey instrument comprising 21 questions across </w:t>
      </w:r>
      <w:r w:rsidR="00DE2D4B">
        <w:t>seven</w:t>
      </w:r>
      <w:r w:rsidR="00DE2D4B" w:rsidRPr="0009132C">
        <w:t xml:space="preserve"> </w:t>
      </w:r>
      <w:r w:rsidRPr="0009132C">
        <w:t>care integration constructs</w:t>
      </w:r>
      <w:r w:rsidR="00DE2D4B">
        <w:t>,</w:t>
      </w:r>
      <w:r w:rsidRPr="0009132C">
        <w:t xml:space="preserve"> including within care team care coordination, across care team care coordination, and coordination between care teams and community resources. It is anticipated that validated survey questions will again be supplemented with questions specifically tailored to the new and modified programs. For any new survey questions, the questions will be piloted with a convenience sample of provider staff using cognitive testing and assessments for clarity, completeness, and respondent burden. We will retire survey questions that are no longer relevant or informative. The survey will be administered to providers’ primary care sites that are included in the sampling frame for the practice site administrator survey. Other details of the sampling plan remain under development and will be informed by pending data (e.g., ACO practice site affiliations and provider distributions).</w:t>
      </w:r>
    </w:p>
    <w:p w14:paraId="567997C7" w14:textId="2658508F" w:rsidR="00BF2851" w:rsidRPr="0009132C" w:rsidRDefault="001B52EF" w:rsidP="003C6C8F">
      <w:pPr>
        <w:pStyle w:val="Heading5"/>
      </w:pPr>
      <w:r w:rsidRPr="0009132C">
        <w:t xml:space="preserve">Administrative Data </w:t>
      </w:r>
    </w:p>
    <w:p w14:paraId="672BD1A5" w14:textId="4595AE93" w:rsidR="001B52EF" w:rsidRPr="0009132C" w:rsidRDefault="001B52EF" w:rsidP="005519D5">
      <w:r w:rsidRPr="0009132C">
        <w:t>Individual-level administrative data comprise</w:t>
      </w:r>
      <w:r w:rsidR="006377EB">
        <w:t xml:space="preserve"> of</w:t>
      </w:r>
      <w:r w:rsidRPr="0009132C">
        <w:t xml:space="preserve"> eligibility, enrollment, claims and encounter, and provider records for healthcare services delivered to the MassHealth member population. Since the CP program was implemented, in addition to traditional healthcare services (e.g., medical, pharmacy, laboratory) included in claims and encounters</w:t>
      </w:r>
      <w:r w:rsidR="009A3BCF">
        <w:t>,</w:t>
      </w:r>
      <w:r w:rsidRPr="0009132C">
        <w:t xml:space="preserve"> MassHealth administrative data also include data on enrollment with and supports delivered by CPs (i.e., qualifying activities). This level of enrollment data is also planned to be collected and made available for members of ACO care management programs during this Demonstration period, at which point it will be used for the evaluation. Unique provider identification numbers included on billing records enable linkage to the MassHealth provider characteristics file, which contains provider type, demographics, and ACO affiliation information. Unique practice site identification numbers will allow linkage to practice site survey responses and information provided by the ACO (or publicly available) regarding practice site characteristics (e.g., clinical service tier attested to under MassHealth’s sub-capitation program). The MassHealth</w:t>
      </w:r>
      <w:r w:rsidR="00537A72" w:rsidRPr="0009132C">
        <w:t xml:space="preserve"> </w:t>
      </w:r>
      <w:r w:rsidRPr="0009132C">
        <w:t>administrative data are of research quality and have been used previously by the evaluation team.</w:t>
      </w:r>
      <w:r w:rsidRPr="0009132C">
        <w:rPr>
          <w:rStyle w:val="FootnoteReference"/>
        </w:rPr>
        <w:footnoteReference w:id="55"/>
      </w:r>
      <w:r w:rsidR="00480D53" w:rsidRPr="0009132C">
        <w:rPr>
          <w:rStyle w:val="FootnoteReference"/>
        </w:rPr>
        <w:t>,</w:t>
      </w:r>
      <w:r w:rsidR="007E0231" w:rsidRPr="0009132C">
        <w:rPr>
          <w:rStyle w:val="FootnoteReference"/>
        </w:rPr>
        <w:footnoteReference w:id="56"/>
      </w:r>
      <w:r w:rsidR="007E0231" w:rsidRPr="0009132C">
        <w:rPr>
          <w:rStyle w:val="FootnoteReference"/>
        </w:rPr>
        <w:t>,</w:t>
      </w:r>
      <w:r w:rsidR="007E0231" w:rsidRPr="0009132C">
        <w:rPr>
          <w:rStyle w:val="FootnoteReference"/>
        </w:rPr>
        <w:footnoteReference w:id="57"/>
      </w:r>
    </w:p>
    <w:p w14:paraId="17169CCE" w14:textId="77777777" w:rsidR="001B52EF" w:rsidRPr="0009132C" w:rsidRDefault="001B52EF" w:rsidP="00EE4105">
      <w:pPr>
        <w:pStyle w:val="Heading3"/>
      </w:pPr>
      <w:bookmarkStart w:id="96" w:name="_Measures"/>
      <w:bookmarkEnd w:id="96"/>
      <w:r w:rsidRPr="0009132C">
        <w:lastRenderedPageBreak/>
        <w:t>Measures</w:t>
      </w:r>
    </w:p>
    <w:p w14:paraId="598A59F5" w14:textId="42423D89" w:rsidR="001B52EF" w:rsidRPr="0009132C" w:rsidRDefault="001B52EF" w:rsidP="00D414CF">
      <w:r w:rsidRPr="0009132C">
        <w:t xml:space="preserve">The measures that will be used to evaluate the DSR policy domain are listed in </w:t>
      </w:r>
      <w:r w:rsidR="00550619" w:rsidRPr="00FF4ED5">
        <w:rPr>
          <w:color w:val="000F9F"/>
          <w:u w:val="single"/>
        </w:rPr>
        <w:fldChar w:fldCharType="begin"/>
      </w:r>
      <w:r w:rsidR="00550619" w:rsidRPr="00FF4ED5">
        <w:rPr>
          <w:color w:val="000F9F"/>
          <w:u w:val="single"/>
        </w:rPr>
        <w:instrText xml:space="preserve"> REF _Ref143090901 \h </w:instrText>
      </w:r>
      <w:r w:rsidR="00550619" w:rsidRPr="00FF4ED5">
        <w:rPr>
          <w:color w:val="000F9F"/>
          <w:u w:val="single"/>
        </w:rPr>
      </w:r>
      <w:r w:rsidR="00550619" w:rsidRPr="00FF4ED5">
        <w:rPr>
          <w:color w:val="000F9F"/>
          <w:u w:val="single"/>
        </w:rPr>
        <w:fldChar w:fldCharType="separate"/>
      </w:r>
      <w:r w:rsidR="00550619" w:rsidRPr="00FF4ED5">
        <w:rPr>
          <w:color w:val="000F9F"/>
          <w:u w:val="single"/>
        </w:rPr>
        <w:t xml:space="preserve">Table </w:t>
      </w:r>
      <w:r w:rsidR="00550619" w:rsidRPr="00FF4ED5">
        <w:rPr>
          <w:noProof/>
          <w:color w:val="000F9F"/>
          <w:u w:val="single"/>
        </w:rPr>
        <w:t>3</w:t>
      </w:r>
      <w:r w:rsidR="00550619" w:rsidRPr="00FF4ED5">
        <w:rPr>
          <w:color w:val="000F9F"/>
          <w:u w:val="single"/>
        </w:rPr>
        <w:noBreakHyphen/>
      </w:r>
      <w:r w:rsidR="00550619" w:rsidRPr="00FF4ED5">
        <w:rPr>
          <w:noProof/>
          <w:color w:val="000F9F"/>
          <w:u w:val="single"/>
        </w:rPr>
        <w:t>2</w:t>
      </w:r>
      <w:r w:rsidR="00550619" w:rsidRPr="00FF4ED5">
        <w:rPr>
          <w:color w:val="000F9F"/>
          <w:u w:val="single"/>
        </w:rPr>
        <w:fldChar w:fldCharType="end"/>
      </w:r>
      <w:r w:rsidRPr="0009132C">
        <w:t xml:space="preserve"> by RQ. </w:t>
      </w:r>
    </w:p>
    <w:p w14:paraId="2BAA0504" w14:textId="77777777" w:rsidR="001B52EF" w:rsidRPr="0009132C" w:rsidRDefault="001B52EF" w:rsidP="00D21721">
      <w:r w:rsidRPr="0009132C">
        <w:t>Qualitative measures will capture information on actions taken by ACOs and CPs in response to programmatic changes made by MassHealth for the 2022-2027 Demonstration, including further developing structures and processes for delivering integrated, equitable, and high-quality care. Qualitative analyses will also produce information on changes in the approach to identifying and addressing member needs, delivering services and supports, and improving health equity from the perspective of members, providers, staff, and organizational leaders. For ACOs and CPs, we will examine the facilitators and barriers to developing the inter and intra-organizational structures and processes put in place for the 2022-2027 Demonstration, plans for maintaining them, and what modifications are needed going forward.</w:t>
      </w:r>
      <w:r w:rsidRPr="0009132C">
        <w:rPr>
          <w:rFonts w:cstheme="minorHAnsi"/>
        </w:rPr>
        <w:t> </w:t>
      </w:r>
    </w:p>
    <w:p w14:paraId="348F2B58" w14:textId="778B67CF" w:rsidR="001B52EF" w:rsidRPr="0009132C" w:rsidRDefault="001B52EF" w:rsidP="00D21721">
      <w:r w:rsidRPr="0009132C">
        <w:t xml:space="preserve">Quantitative measures hypothesized to be affected by the Demonstration and that can be operationalized using available data or collected from primary sources (e.g., member and provider/staff surveys) will be studied. </w:t>
      </w:r>
      <w:r w:rsidR="008A3252" w:rsidRPr="007F3ABF">
        <w:t>Quality measures</w:t>
      </w:r>
      <w:r w:rsidRPr="0009132C">
        <w:t xml:space="preserve"> were drawn from the following sources:</w:t>
      </w:r>
    </w:p>
    <w:p w14:paraId="737E8DFB" w14:textId="77777777" w:rsidR="001B52EF" w:rsidRPr="0009132C" w:rsidRDefault="001B52EF" w:rsidP="005F02C8">
      <w:pPr>
        <w:pStyle w:val="Bullet1"/>
      </w:pPr>
      <w:r w:rsidRPr="0009132C">
        <w:t>MassHealth ACO Quality Slate</w:t>
      </w:r>
    </w:p>
    <w:p w14:paraId="5919CD2B" w14:textId="77777777" w:rsidR="001B52EF" w:rsidRPr="0009132C" w:rsidRDefault="001B52EF" w:rsidP="005F02C8">
      <w:pPr>
        <w:pStyle w:val="Bullet1"/>
      </w:pPr>
      <w:r w:rsidRPr="0009132C">
        <w:t>MassHealth CP Quality Slate</w:t>
      </w:r>
    </w:p>
    <w:p w14:paraId="4DE0D58B" w14:textId="77777777" w:rsidR="001B52EF" w:rsidRPr="0009132C" w:rsidRDefault="001B52EF" w:rsidP="005F02C8">
      <w:pPr>
        <w:pStyle w:val="Bullet1"/>
      </w:pPr>
      <w:r w:rsidRPr="0009132C">
        <w:t xml:space="preserve">MassHealth HQEI Slate </w:t>
      </w:r>
    </w:p>
    <w:p w14:paraId="456D170D" w14:textId="77777777" w:rsidR="001B52EF" w:rsidRPr="0009132C" w:rsidRDefault="001B52EF" w:rsidP="005F02C8">
      <w:pPr>
        <w:pStyle w:val="Bullet1"/>
      </w:pPr>
      <w:r w:rsidRPr="0009132C">
        <w:t>CMS Health Equity Slate (to be added once published)</w:t>
      </w:r>
    </w:p>
    <w:p w14:paraId="6034C024" w14:textId="1655CF99" w:rsidR="019D182C" w:rsidRDefault="001B52EF" w:rsidP="00D40BBE">
      <w:pPr>
        <w:pStyle w:val="Bullet1"/>
      </w:pPr>
      <w:r>
        <w:t>National quality measure stewards</w:t>
      </w:r>
      <w:r w:rsidR="00363FC3">
        <w:t xml:space="preserve"> (e.g., Agency for Healthcare Research and Quality </w:t>
      </w:r>
      <w:r w:rsidR="00C26103">
        <w:t>(</w:t>
      </w:r>
      <w:r w:rsidR="00363FC3">
        <w:t>AHRQ</w:t>
      </w:r>
      <w:r w:rsidR="00C26103">
        <w:t>)</w:t>
      </w:r>
      <w:r w:rsidR="00363FC3">
        <w:t xml:space="preserve">, National Committee </w:t>
      </w:r>
      <w:r w:rsidR="0042229C">
        <w:t xml:space="preserve">for </w:t>
      </w:r>
      <w:r w:rsidR="00363FC3">
        <w:t xml:space="preserve">Quality Assurance </w:t>
      </w:r>
      <w:r w:rsidR="00C26103">
        <w:t>(</w:t>
      </w:r>
      <w:r w:rsidR="00363FC3">
        <w:t>NCQA</w:t>
      </w:r>
      <w:r w:rsidR="00C26103">
        <w:t>)</w:t>
      </w:r>
      <w:r w:rsidR="00363FC3">
        <w:t>)</w:t>
      </w:r>
    </w:p>
    <w:p w14:paraId="64DFFD2A" w14:textId="34192BEC" w:rsidR="001B52EF" w:rsidRPr="0009132C" w:rsidRDefault="001B52EF" w:rsidP="003C6C8F">
      <w:r w:rsidRPr="0009132C">
        <w:t xml:space="preserve">In addition to quality measures, we will examine administrative data to better understand changes in utilization patterns over time that may be driving the TCOC performance. We will describe utilization by service categories such as inpatient (e.g., non-maternity physical health, maternity, </w:t>
      </w:r>
      <w:r w:rsidR="00093B91">
        <w:t xml:space="preserve">and </w:t>
      </w:r>
      <w:r w:rsidRPr="0009132C">
        <w:t xml:space="preserve">BH), </w:t>
      </w:r>
      <w:r w:rsidRPr="00FD1814">
        <w:t>ED</w:t>
      </w:r>
      <w:r w:rsidRPr="0009132C">
        <w:t xml:space="preserve"> visits, outpatient non-BH (lab and radiology, non-BH outpatient hospital), outpatient BH (e.g., </w:t>
      </w:r>
      <w:r w:rsidR="10D4DE0A" w:rsidRPr="0009132C">
        <w:t>Adult/Youth Mobile Crisis intervention</w:t>
      </w:r>
      <w:r w:rsidRPr="0009132C">
        <w:t xml:space="preserve">, </w:t>
      </w:r>
      <w:r w:rsidR="00093B91">
        <w:t xml:space="preserve">and </w:t>
      </w:r>
      <w:r w:rsidRPr="0009132C">
        <w:t xml:space="preserve">diversionary services), professional services, pharmacy, home health, durable medical equipment, emergency transportation, other medical services, and services </w:t>
      </w:r>
      <w:r w:rsidR="2171118B" w:rsidRPr="0009132C">
        <w:t>not covered by</w:t>
      </w:r>
      <w:r w:rsidRPr="0009132C">
        <w:t xml:space="preserve"> ACO</w:t>
      </w:r>
      <w:r w:rsidR="4533E823" w:rsidRPr="0009132C">
        <w:t xml:space="preserve">s but rather provided by MassHealth </w:t>
      </w:r>
      <w:r w:rsidR="00212CF3" w:rsidRPr="0009132C">
        <w:t xml:space="preserve">through its </w:t>
      </w:r>
      <w:r w:rsidR="2EB4BD6D" w:rsidRPr="0009132C">
        <w:t>F</w:t>
      </w:r>
      <w:r w:rsidR="004515F4">
        <w:t>F</w:t>
      </w:r>
      <w:r w:rsidR="2EB4BD6D" w:rsidRPr="0009132C">
        <w:t xml:space="preserve">S </w:t>
      </w:r>
      <w:r w:rsidR="00212CF3" w:rsidRPr="0009132C">
        <w:t>program</w:t>
      </w:r>
      <w:r w:rsidR="4533E823" w:rsidRPr="0009132C">
        <w:t xml:space="preserve"> </w:t>
      </w:r>
      <w:r w:rsidRPr="0009132C">
        <w:t>(e.g., LTSS). For services associated with new and enhanced elements of the ACO and CP programs, we will add measures to surveys (e.g., person-centered primary care measure,</w:t>
      </w:r>
      <w:r w:rsidRPr="0009132C">
        <w:rPr>
          <w:vertAlign w:val="superscript"/>
        </w:rPr>
        <w:footnoteReference w:id="58"/>
      </w:r>
      <w:r w:rsidRPr="0009132C">
        <w:t xml:space="preserve"> prevalence and magnitude of quality</w:t>
      </w:r>
      <w:r w:rsidR="00A9385B">
        <w:t>,</w:t>
      </w:r>
      <w:r w:rsidRPr="0009132C">
        <w:t xml:space="preserve"> and cost accountability</w:t>
      </w:r>
      <w:r w:rsidR="08318F6F" w:rsidRPr="0009132C">
        <w:t xml:space="preserve"> arrangements for primary care practice sites and provider</w:t>
      </w:r>
      <w:r w:rsidR="00A9385B">
        <w:t>s</w:t>
      </w:r>
      <w:r w:rsidRPr="0009132C">
        <w:t>)</w:t>
      </w:r>
      <w:r w:rsidR="00F77B42">
        <w:t>. W</w:t>
      </w:r>
      <w:r w:rsidRPr="0009132C">
        <w:t xml:space="preserve">e will operationalize custom measures from administrative data to address relevant hypotheses (e.g., for </w:t>
      </w:r>
      <w:r w:rsidRPr="008C4CD3">
        <w:t>RQ2-</w:t>
      </w:r>
      <w:r w:rsidR="00F06E7E">
        <w:t>2 – RQ2-</w:t>
      </w:r>
      <w:r w:rsidR="002F6BB9" w:rsidRPr="008C4CD3">
        <w:t>3</w:t>
      </w:r>
      <w:r w:rsidRPr="0009132C">
        <w:t xml:space="preserve">: prevalence of primary care practices in </w:t>
      </w:r>
      <w:r w:rsidR="006B66D5">
        <w:t>T</w:t>
      </w:r>
      <w:r w:rsidR="006B66D5" w:rsidRPr="0009132C">
        <w:t xml:space="preserve">ier </w:t>
      </w:r>
      <w:r w:rsidRPr="0009132C">
        <w:t xml:space="preserve">1, 2, and 3 sub-capitation </w:t>
      </w:r>
      <w:r w:rsidRPr="0009132C">
        <w:lastRenderedPageBreak/>
        <w:t>clinical tier, continuity of primary care</w:t>
      </w:r>
      <w:r w:rsidR="00A9385B">
        <w:t>,</w:t>
      </w:r>
      <w:r w:rsidRPr="0009132C">
        <w:t xml:space="preserve"> and BH care). These measures will be interpreted in the context of other relevant knowledge generated in the course of the evaluation. </w:t>
      </w:r>
    </w:p>
    <w:p w14:paraId="000014EB" w14:textId="77777777" w:rsidR="001B52EF" w:rsidRDefault="001B52EF" w:rsidP="005519D5">
      <w:pPr>
        <w:rPr>
          <w:rFonts w:cstheme="minorHAnsi"/>
        </w:rPr>
      </w:pPr>
      <w:r w:rsidRPr="0009132C">
        <w:t xml:space="preserve">The overarching rationale for our hypotheses is that contract requirements, shared risk, and accountability provisions will lead organizations and their providers to implement strategies to increase quality, improve health equity, and shift </w:t>
      </w:r>
      <w:r w:rsidRPr="0009132C">
        <w:rPr>
          <w:rFonts w:cstheme="minorHAnsi"/>
        </w:rPr>
        <w:t>utilization</w:t>
      </w:r>
      <w:r w:rsidRPr="0009132C">
        <w:t xml:space="preserve"> to lower-cost settings or services that will deliver equal or greater quality and experience for members. Progress in implementing such strategies is expected to vary across organizations depending upon past experience as MassHealth ACOs, participation in other alternative payment models and value-based payment arrangements, and other factors (e.g., staffing and capital resources).</w:t>
      </w:r>
      <w:r w:rsidRPr="0009132C">
        <w:rPr>
          <w:rFonts w:cstheme="minorHAnsi"/>
        </w:rPr>
        <w:t> </w:t>
      </w:r>
    </w:p>
    <w:p w14:paraId="156CEC53" w14:textId="156266BC" w:rsidR="00A555E4" w:rsidRPr="00EC50F9" w:rsidRDefault="48E99C57" w:rsidP="7F638223">
      <w:pPr>
        <w:pStyle w:val="Heading3"/>
        <w:numPr>
          <w:ilvl w:val="2"/>
          <w:numId w:val="8"/>
        </w:numPr>
        <w:ind w:left="1987"/>
        <w:rPr>
          <w:u w:val="single"/>
        </w:rPr>
      </w:pPr>
      <w:r>
        <w:t>C</w:t>
      </w:r>
      <w:r w:rsidRPr="00DA704E">
        <w:t>ovariates</w:t>
      </w:r>
    </w:p>
    <w:p w14:paraId="0EB2E926" w14:textId="30DEC9EC" w:rsidR="00A555E4" w:rsidRDefault="48E99C57" w:rsidP="3383C28C">
      <w:r>
        <w:t>For analyses conducted at the individual (member) level using administrative data</w:t>
      </w:r>
      <w:r w:rsidR="006B66D5">
        <w:t>,</w:t>
      </w:r>
      <w:r>
        <w:t xml:space="preserve"> we will draw from a consistent set of characteristics</w:t>
      </w:r>
      <w:r w:rsidR="10D9862A">
        <w:t>:</w:t>
      </w:r>
      <w:r>
        <w:t xml:space="preserve"> age, sex (men or women), disability status (either </w:t>
      </w:r>
      <w:r w:rsidR="16BC3097">
        <w:t xml:space="preserve">a </w:t>
      </w:r>
      <w:r>
        <w:t xml:space="preserve">client of the Massachusetts </w:t>
      </w:r>
      <w:r w:rsidR="00014872">
        <w:t>DMH</w:t>
      </w:r>
      <w:r>
        <w:t xml:space="preserve"> </w:t>
      </w:r>
      <w:r w:rsidR="000D1F68">
        <w:t>or</w:t>
      </w:r>
      <w:r>
        <w:t xml:space="preserve"> the Department of Developmental Services</w:t>
      </w:r>
      <w:r w:rsidR="00436F46">
        <w:t xml:space="preserve"> (DDS)</w:t>
      </w:r>
      <w:r>
        <w:t xml:space="preserve">, or </w:t>
      </w:r>
      <w:r w:rsidR="4AB06142">
        <w:t xml:space="preserve">are </w:t>
      </w:r>
      <w:r>
        <w:t>eligible for Medicaid due to disability), housing problems (</w:t>
      </w:r>
      <w:bookmarkStart w:id="97" w:name="_Hlk74308361"/>
      <w:r>
        <w:t xml:space="preserve">either </w:t>
      </w:r>
      <w:r w:rsidR="00CE7694">
        <w:t>three or more</w:t>
      </w:r>
      <w:r>
        <w:t xml:space="preserve"> addresses in the year or homelessness by</w:t>
      </w:r>
      <w:r w:rsidR="00FD3D20">
        <w:t xml:space="preserve"> </w:t>
      </w:r>
      <w:r w:rsidR="00FD3D20" w:rsidRPr="00FD3D20">
        <w:t>International Classification of Diseases</w:t>
      </w:r>
      <w:r>
        <w:t xml:space="preserve"> </w:t>
      </w:r>
      <w:r w:rsidR="00FD3D20">
        <w:t>(</w:t>
      </w:r>
      <w:r>
        <w:t>ICD</w:t>
      </w:r>
      <w:r w:rsidR="00FD3D20">
        <w:t>)</w:t>
      </w:r>
      <w:r>
        <w:t>-10 code</w:t>
      </w:r>
      <w:bookmarkEnd w:id="97"/>
      <w:r>
        <w:t xml:space="preserve">), the Neighborhood Stress Score (NSS), the DxCG medical morbidity summary score, and the RxCG drug-based medical morbidity summary score. A narrower set of characteristics may be used for specific analyses as applicable (e.g., subgroup analyses among women would not use sex as a covariate). </w:t>
      </w:r>
    </w:p>
    <w:p w14:paraId="7C09BB52" w14:textId="555FD4C4" w:rsidR="00A555E4" w:rsidRPr="0009132C" w:rsidRDefault="48E99C57" w:rsidP="3383C28C">
      <w:r>
        <w:t xml:space="preserve">For analyses conducted at the primary care practice site level, covariates will include practice type (solo practitioner, group practice, </w:t>
      </w:r>
      <w:r w:rsidR="00E52B91">
        <w:t>CHC</w:t>
      </w:r>
      <w:r>
        <w:t>, hospital licensed health center), size (number of MassHealth members attributed to the site), rurality, and service region. Additional practice site administrator characteristics available to be used as covariates in analyses restricted to survey respondents include age, gender, race/ethnicity, and years at the practice site. Provider-level covariates include type of provider (e.g., physician, social worker) and specialty. Additional provi</w:t>
      </w:r>
      <w:r w:rsidR="3CB5DF24">
        <w:t>d</w:t>
      </w:r>
      <w:r>
        <w:t>er-level covariates collected via surveys include age, gender, race/ethnicity, years in practice, years at the practice site, and panel size and composition. Analyses conducted at the ACO level (or that incorporate clustering at the ACO level) will include covariates such as ACO type (academic hospital-anchored, community hospital anchored, physician-anchored), ACO size (</w:t>
      </w:r>
      <w:r w:rsidR="006B66D5">
        <w:t>number</w:t>
      </w:r>
      <w:r>
        <w:t xml:space="preserve"> of MassHealth members, number of total enrollees across all payers), region, and experience with risk-based contracts with Medicare and commercial payers.</w:t>
      </w:r>
    </w:p>
    <w:p w14:paraId="1E2F3AFD" w14:textId="77777777" w:rsidR="001B52EF" w:rsidRPr="0009132C" w:rsidRDefault="1CB845C9" w:rsidP="00EE4105">
      <w:pPr>
        <w:pStyle w:val="Heading3"/>
      </w:pPr>
      <w:bookmarkStart w:id="98" w:name="_Analysis_Methods"/>
      <w:bookmarkEnd w:id="98"/>
      <w:r>
        <w:t>Analysis Methods</w:t>
      </w:r>
    </w:p>
    <w:p w14:paraId="14F6B78F" w14:textId="7334BD35" w:rsidR="001B52EF" w:rsidRPr="0009132C" w:rsidRDefault="001B52EF" w:rsidP="001B52EF">
      <w:pPr>
        <w:rPr>
          <w:rFonts w:eastAsia="Arial"/>
        </w:rPr>
      </w:pPr>
      <w:r w:rsidRPr="0009132C">
        <w:rPr>
          <w:rFonts w:eastAsia="Arial"/>
        </w:rPr>
        <w:t xml:space="preserve">Mixed qualitative and quantitative methods will be used to answer the RQs in the DSR policy domain and to evaluate the extent to which Demonstration initiatives and implementation activities promoted delivery system transformation and improved outcomes. </w:t>
      </w:r>
      <w:r w:rsidR="006B66D5" w:rsidRPr="0009132C">
        <w:rPr>
          <w:rFonts w:eastAsia="Arial"/>
        </w:rPr>
        <w:t xml:space="preserve">Quantitative analyses will examine the impact of policy implementation and changes in outcomes. </w:t>
      </w:r>
      <w:r w:rsidRPr="0009132C">
        <w:rPr>
          <w:rFonts w:eastAsia="Arial"/>
        </w:rPr>
        <w:t xml:space="preserve">Qualitative approaches, including two rounds of semi-structured interviews and/or focus groups with key stakeholders, will support an understanding of stakeholder perspectives related to policy implementation activities, context, and </w:t>
      </w:r>
      <w:r w:rsidRPr="0009132C">
        <w:rPr>
          <w:rFonts w:eastAsia="Arial"/>
        </w:rPr>
        <w:lastRenderedPageBreak/>
        <w:t xml:space="preserve">outcomes. Interviews will also provide a contextual understanding of factors that help to explain identified outcomes. </w:t>
      </w:r>
    </w:p>
    <w:p w14:paraId="57EC9A53" w14:textId="77777777" w:rsidR="001B52EF" w:rsidRPr="0009132C" w:rsidRDefault="001B52EF" w:rsidP="00301DAB">
      <w:pPr>
        <w:pStyle w:val="Heading4"/>
      </w:pPr>
      <w:r w:rsidRPr="0009132C">
        <w:t>Quantitative Analyses</w:t>
      </w:r>
    </w:p>
    <w:p w14:paraId="33E24C86" w14:textId="056C90E1" w:rsidR="00F25755" w:rsidRPr="0009132C" w:rsidRDefault="001B52EF" w:rsidP="005519D5">
      <w:pPr>
        <w:pStyle w:val="Heading5"/>
      </w:pPr>
      <w:r w:rsidRPr="0009132C">
        <w:t>Descriptive</w:t>
      </w:r>
    </w:p>
    <w:p w14:paraId="2AE956E4" w14:textId="0583889B" w:rsidR="001B52EF" w:rsidRPr="0009132C" w:rsidRDefault="001B52EF" w:rsidP="005519D5">
      <w:r w:rsidRPr="0009132C">
        <w:t xml:space="preserve">The demographic, clinical, and social characteristics will first be described by data source and </w:t>
      </w:r>
      <w:r w:rsidR="00B55B32" w:rsidRPr="0009132C">
        <w:t xml:space="preserve">CY </w:t>
      </w:r>
      <w:r w:rsidRPr="0009132C">
        <w:t xml:space="preserve">for each study population and subpopulation of interest, including </w:t>
      </w:r>
      <w:r w:rsidR="00E43C1E" w:rsidRPr="0009132C">
        <w:t>measur</w:t>
      </w:r>
      <w:r w:rsidR="00E43C1E">
        <w:t>ing</w:t>
      </w:r>
      <w:r w:rsidR="00E43C1E" w:rsidRPr="0009132C">
        <w:t xml:space="preserve"> </w:t>
      </w:r>
      <w:r w:rsidRPr="0009132C">
        <w:t>specific populations (e.g., A1c and members with diabetes). Where feasible, process and outcome measures will then be calculated for each population in each CY during the baseline and Demonstration period. Certain survey and clinical quality measures will only have data available for the 2018-2022 and/or 2023-2027 periods. All analyses of survey data will use sampling and inverse probability of response weights to obtain results that are adjusted for the sampling approach and observed sources of non-response bias.</w:t>
      </w:r>
    </w:p>
    <w:p w14:paraId="57FDAC73" w14:textId="38B70F43" w:rsidR="00F25755" w:rsidRPr="0009132C" w:rsidRDefault="001B52EF" w:rsidP="003C6C8F">
      <w:pPr>
        <w:pStyle w:val="Heading5"/>
      </w:pPr>
      <w:r w:rsidRPr="0009132C">
        <w:t xml:space="preserve">Observed </w:t>
      </w:r>
      <w:r w:rsidR="00F42044" w:rsidRPr="0009132C">
        <w:t>v</w:t>
      </w:r>
      <w:r w:rsidR="003B208F" w:rsidRPr="0009132C">
        <w:t>ersus Expected</w:t>
      </w:r>
    </w:p>
    <w:p w14:paraId="54B74284" w14:textId="532FE530" w:rsidR="001B52EF" w:rsidRPr="0009132C" w:rsidRDefault="001B52EF" w:rsidP="005519D5">
      <w:r w:rsidRPr="0009132C">
        <w:t xml:space="preserve">The first type of comparison will be between observed and multivariable-adjusted estimates of expected values of each measure for each CY of the Demonstration period. Expected values will be estimated from multivariable models developed using pre-period data and applied to Demonstration period data to predict an individual’s value for each measure based on a member’s demographic and clinical characteristics (e.g., members with </w:t>
      </w:r>
      <w:r w:rsidR="00BE35B0">
        <w:t>SMI</w:t>
      </w:r>
      <w:r w:rsidRPr="0009132C">
        <w:t xml:space="preserve"> will have a higher probability of ED utilization). These expected values will serve as a type of historical benchmark against which performance during the Demonstration will be compared. For dichotomous (i.e., yes or no) measures, the probability of success on a given measure will be predicted using logistic models. Rates (e.g., hospitalizations per 100 person-years) will be predicted using Poisson, negative binomial, or zero-inflated models, as appropriate. Continuous outcomes (e.g., expenditures) will be predicted using linear models. For each measure and year of the Demonstration period, the observed value for a measure will be divided by the expected value predicted by the model. When higher values of a measure are desired (e.g., a higher proportion of the population screened), a ratio of observed to predicted greater than one will suggest improved quality. When lower values of a measure are desired (e.g., readmission rates), a ratio of observed to predicted of less than one will suggest quality improvement.</w:t>
      </w:r>
    </w:p>
    <w:p w14:paraId="3921F26A" w14:textId="383823CE" w:rsidR="00F25755" w:rsidRPr="0009132C" w:rsidRDefault="001B52EF" w:rsidP="003C6C8F">
      <w:pPr>
        <w:pStyle w:val="Heading5"/>
      </w:pPr>
      <w:r w:rsidRPr="0009132C">
        <w:t>Quasi</w:t>
      </w:r>
      <w:r w:rsidR="003B208F" w:rsidRPr="0009132C">
        <w:t>-Experimental Methods</w:t>
      </w:r>
    </w:p>
    <w:p w14:paraId="157FAC0E" w14:textId="342B6567" w:rsidR="001B52EF" w:rsidRPr="0009132C" w:rsidRDefault="001B52EF" w:rsidP="005519D5">
      <w:r w:rsidRPr="0009132C">
        <w:t>To estimate the counterfactual outcomes that would have occurred absent the Demonstration and which can support stronger inferences regarding program effects, analyses must address potential biases arising from 1) population and system characteristics that differ between plans</w:t>
      </w:r>
      <w:r w:rsidR="003077C9">
        <w:t>,</w:t>
      </w:r>
      <w:r w:rsidRPr="0009132C">
        <w:t xml:space="preserve"> and 2) unrelated secular trends occurring between the baseline (2015-17), DSRIP (2018-2022), and the Demonstration (2022-2027) periods. Modern epidemiologic and quasi-experimental design and analysis methods will be applied for this purpose, including propensity score methods to balance </w:t>
      </w:r>
      <w:r w:rsidRPr="0009132C">
        <w:lastRenderedPageBreak/>
        <w:t>population characteristics,</w:t>
      </w:r>
      <w:r w:rsidRPr="0009132C">
        <w:rPr>
          <w:rStyle w:val="FootnoteReference"/>
        </w:rPr>
        <w:footnoteReference w:id="59"/>
      </w:r>
      <w:r w:rsidRPr="0009132C">
        <w:rPr>
          <w:rStyle w:val="FootnoteReference"/>
        </w:rPr>
        <w:t>,</w:t>
      </w:r>
      <w:r w:rsidRPr="0009132C">
        <w:rPr>
          <w:rStyle w:val="FootnoteReference"/>
        </w:rPr>
        <w:footnoteReference w:id="60"/>
      </w:r>
      <w:r w:rsidRPr="0009132C">
        <w:t xml:space="preserve"> </w:t>
      </w:r>
      <w:r w:rsidR="00C020BD">
        <w:t>and</w:t>
      </w:r>
      <w:r w:rsidRPr="0009132C">
        <w:t xml:space="preserve"> overlap weighting, which addresses the limitations of traditional inverse probability weighting</w:t>
      </w:r>
      <w:r w:rsidR="00B20822" w:rsidRPr="0009132C">
        <w:t>.</w:t>
      </w:r>
      <w:r w:rsidRPr="0009132C">
        <w:rPr>
          <w:rStyle w:val="FootnoteReference"/>
        </w:rPr>
        <w:footnoteReference w:id="61"/>
      </w:r>
      <w:r w:rsidRPr="0009132C">
        <w:t xml:space="preserve"> Difference-in-difference comparisons will address secular trends,</w:t>
      </w:r>
      <w:r w:rsidRPr="0009132C">
        <w:rPr>
          <w:rStyle w:val="FootnoteReference"/>
        </w:rPr>
        <w:footnoteReference w:id="62"/>
      </w:r>
      <w:r w:rsidRPr="0009132C">
        <w:rPr>
          <w:rStyle w:val="FootnoteReference"/>
        </w:rPr>
        <w:t>,</w:t>
      </w:r>
      <w:r w:rsidRPr="0009132C">
        <w:rPr>
          <w:rStyle w:val="FootnoteReference"/>
        </w:rPr>
        <w:footnoteReference w:id="63"/>
      </w:r>
      <w:r w:rsidRPr="0009132C">
        <w:t xml:space="preserve"> and weighting will be used to address any violations of parallel trends assumptions. Difference-in-difference comparisons will be combined with interrupted time series</w:t>
      </w:r>
      <w:r w:rsidR="006D7060">
        <w:t xml:space="preserve"> (</w:t>
      </w:r>
      <w:r w:rsidR="00781071">
        <w:t>ITS</w:t>
      </w:r>
      <w:r w:rsidR="006D7060">
        <w:t>)</w:t>
      </w:r>
      <w:r w:rsidRPr="0009132C">
        <w:t xml:space="preserve"> methods</w:t>
      </w:r>
      <w:r w:rsidRPr="0009132C">
        <w:rPr>
          <w:rStyle w:val="FootnoteReference"/>
        </w:rPr>
        <w:footnoteReference w:id="64"/>
      </w:r>
      <w:r w:rsidRPr="0009132C">
        <w:rPr>
          <w:rStyle w:val="FootnoteReference"/>
        </w:rPr>
        <w:t>,</w:t>
      </w:r>
      <w:r w:rsidRPr="0009132C">
        <w:rPr>
          <w:rStyle w:val="FootnoteReference"/>
        </w:rPr>
        <w:footnoteReference w:id="65"/>
      </w:r>
      <w:r w:rsidRPr="0009132C">
        <w:t xml:space="preserve"> for measures that can be calculated at quarterly or monthly frequencies, with seasonal adjustments. Generalized mixed effects linear models will be used for modeling each type of outcome (e.g., dichotomous, continuous, rate) as appropriate and based on observed distributions, with random effects to account for clustering within healthcare organizations, geographic units, and repeated measurements within individuals over time.</w:t>
      </w:r>
      <w:r w:rsidRPr="0009132C">
        <w:rPr>
          <w:rStyle w:val="FootnoteReference"/>
        </w:rPr>
        <w:footnoteReference w:id="66"/>
      </w:r>
      <w:r w:rsidRPr="0009132C">
        <w:t xml:space="preserve"> Bootstrap methods that reflect clustering adjustments will be used to calculate confidence intervals. Analyses spanning multiple COVID-19 time periods (i.e., before, during, and after) will incorporate time-varying terms to adjust for the confounding effects of the COVID-19 pandemic. Sensitivity analyses will be performed to examine the robustness of findings to varied assumptions regarding the onset and offset of COVID-19-related confounding effects.</w:t>
      </w:r>
    </w:p>
    <w:p w14:paraId="3DB53B3E" w14:textId="5CC26482" w:rsidR="00F25755" w:rsidRPr="0009132C" w:rsidRDefault="001B52EF" w:rsidP="003C6C8F">
      <w:pPr>
        <w:pStyle w:val="Heading5"/>
      </w:pPr>
      <w:r w:rsidRPr="0009132C">
        <w:t xml:space="preserve">Continuous </w:t>
      </w:r>
      <w:r w:rsidR="003B208F" w:rsidRPr="0009132C">
        <w:t>Enrollee Analysis</w:t>
      </w:r>
    </w:p>
    <w:p w14:paraId="5DF8505A" w14:textId="7ED67CCC" w:rsidR="001B52EF" w:rsidRPr="0009132C" w:rsidRDefault="001B52EF" w:rsidP="001B52EF">
      <w:r w:rsidRPr="0009132C">
        <w:t>The stable population of continuous MassHealth members</w:t>
      </w:r>
      <w:r w:rsidR="005B47F7">
        <w:t>,</w:t>
      </w:r>
      <w:r w:rsidRPr="0009132C">
        <w:t xml:space="preserve"> </w:t>
      </w:r>
      <w:r w:rsidR="005B47F7" w:rsidRPr="0009132C">
        <w:t>who may have disabilities or other criteria for eligibility for MassHealth that are likely to be permanent or semi-permanent</w:t>
      </w:r>
      <w:r w:rsidR="005B47F7">
        <w:t>,</w:t>
      </w:r>
      <w:r w:rsidR="005B47F7" w:rsidRPr="0009132C">
        <w:t xml:space="preserve"> </w:t>
      </w:r>
      <w:r w:rsidRPr="0009132C">
        <w:t xml:space="preserve">has been identified as a subpopulation of interest. The stability of this population also affords the opportunity to perform a self-controlled comparison, which contrasts member outcomes during the Demonstration period with their own outcomes during the pre-Demonstration period. A strength of this self-controlled design is that by comparing within individuals, it accounts for time-invariant member characteristics (i.e., those that do not change over time). We will again use difference-in-difference analyses to remove secular effects and mixed effects generalized linear models to account for clustering and repeated measurements while adjusting for demographic (e.g., aging) and disease trends. For each year of the Demonstration, we will conduct a continuous member subgroup analysis where members present in the population of interest during the Demonstration year will be evaluated if they were continuously enrolled in the MassHealth managed care eligible population beginning in 2021 or 2022. </w:t>
      </w:r>
    </w:p>
    <w:p w14:paraId="1A2F8089" w14:textId="30B35616" w:rsidR="001B52EF" w:rsidRPr="0009132C" w:rsidRDefault="001B52EF" w:rsidP="00301DAB">
      <w:pPr>
        <w:pStyle w:val="Heading4"/>
      </w:pPr>
      <w:r w:rsidRPr="0009132C">
        <w:lastRenderedPageBreak/>
        <w:t xml:space="preserve">Qualitative </w:t>
      </w:r>
      <w:r w:rsidR="00674269" w:rsidRPr="0009132C">
        <w:t>Analyses</w:t>
      </w:r>
    </w:p>
    <w:p w14:paraId="2B62DA91" w14:textId="2233A5BC" w:rsidR="001B52EF" w:rsidRPr="0009132C" w:rsidRDefault="001B52EF" w:rsidP="005519D5">
      <w:r w:rsidRPr="0009132C">
        <w:t>Our use of document and KII data, qualitatively analyzed, reflects our commitment to an embedded design, integrating quantitative and qualitative data reflecting diverse perspectives to explore the implementation process and to contribute to the explanation of outcomes</w:t>
      </w:r>
      <w:r w:rsidR="008A298B">
        <w:t>.</w:t>
      </w:r>
      <w:r w:rsidR="00994183">
        <w:t xml:space="preserve"> </w:t>
      </w:r>
      <w:r w:rsidR="00994183">
        <w:rPr>
          <w:rStyle w:val="FootnoteReference"/>
        </w:rPr>
        <w:footnoteReference w:id="67"/>
      </w:r>
    </w:p>
    <w:p w14:paraId="0A67BB81" w14:textId="77777777" w:rsidR="001B52EF" w:rsidRPr="0009132C" w:rsidRDefault="001B52EF" w:rsidP="005519D5">
      <w:r w:rsidRPr="0009132C">
        <w:t xml:space="preserve">Data systematically extracted from documents and recorded in standardized templates will be stored in secure files for qualitative analyses. The team will review document data templates as they are relevant to specific RQs and hypotheses being addressed. Team members will draft memos summarizing template data for routine review by the larger team. Document review data will be integrated with findings from other sources to address RQs and hypotheses. </w:t>
      </w:r>
    </w:p>
    <w:p w14:paraId="4890FAA3" w14:textId="77777777" w:rsidR="001B52EF" w:rsidRPr="0009132C" w:rsidRDefault="001B52EF" w:rsidP="005519D5">
      <w:r w:rsidRPr="0009132C">
        <w:t>Demographic data for the interview participants will be compiled in Microsoft Excel and analyzed descriptively. Descriptive demographic data will be uploaded into Dedoose, a web-based qualitative data management software, for use in conjunction with the analysis of interview data. Using a framework approach, the team will develop initial codes based on the evaluation logic model, related interview topics, and additional themes that arise organically during the interview process. Coding will be conducted in multiple rounds, first by pairs of research team members and then independently, to ensure the team shares an understanding of the codes and applies them consistently. The team will meet routinely to discuss coding until agreement on coding definitions and applications is reached and to address any issues during the coding process. Interrater reliability will be monitored at regular intervals during the coding processes. The Dedoose platform provides for the calculation of kappa coefficients.</w:t>
      </w:r>
    </w:p>
    <w:p w14:paraId="7CEC1095" w14:textId="30F6FFEB" w:rsidR="001B52EF" w:rsidRDefault="001B52EF" w:rsidP="005519D5">
      <w:r w:rsidRPr="0009132C">
        <w:t xml:space="preserve">Once the coding process is complete, researchers will extract reports of coded text from Dedoose, review the reports for patterns among themes, and summarize findings in memos drafted for review by the total team. Finally, the team will discuss the summary memos to ensure that themes are accurately conveyed and to add additional information as relevant (e.g., to integrate significant contextual factors as identified in </w:t>
      </w:r>
      <w:r w:rsidR="00D65117">
        <w:t xml:space="preserve">the </w:t>
      </w:r>
      <w:r w:rsidRPr="0009132C">
        <w:t>document review). Where relevant and useful, the team will compile analytic matrices with coded data to facilitate further analysis within and/or across participant or organization type</w:t>
      </w:r>
      <w:r w:rsidR="00D65117">
        <w:t>s</w:t>
      </w:r>
      <w:r w:rsidRPr="0009132C">
        <w:t>, for example.</w:t>
      </w:r>
    </w:p>
    <w:p w14:paraId="5C1DB356" w14:textId="145FA54A" w:rsidR="00B45960" w:rsidRPr="005B30B2" w:rsidRDefault="00B45960" w:rsidP="00B45960">
      <w:pPr>
        <w:rPr>
          <w:rStyle w:val="normaltextrun"/>
          <w:rFonts w:ascii="Arial" w:hAnsi="Arial"/>
          <w:color w:val="000000"/>
          <w:shd w:val="clear" w:color="auto" w:fill="FFFFFF"/>
          <w:vertAlign w:val="superscript"/>
        </w:rPr>
      </w:pPr>
      <w:r w:rsidRPr="29E43697">
        <w:rPr>
          <w:rStyle w:val="normaltextrun"/>
          <w:rFonts w:ascii="Arial" w:hAnsi="Arial"/>
          <w:color w:val="000000" w:themeColor="text1"/>
        </w:rPr>
        <w:t xml:space="preserve">Using an embedded mixed methods approach, we will </w:t>
      </w:r>
      <w:r w:rsidR="13F3DBA3" w:rsidRPr="1D3AF258">
        <w:rPr>
          <w:rStyle w:val="normaltextrun"/>
          <w:rFonts w:ascii="Arial" w:hAnsi="Arial"/>
          <w:color w:val="000000" w:themeColor="text1"/>
        </w:rPr>
        <w:t>integrate</w:t>
      </w:r>
      <w:r w:rsidRPr="29E43697">
        <w:rPr>
          <w:rStyle w:val="normaltextrun"/>
          <w:rFonts w:ascii="Arial" w:hAnsi="Arial"/>
          <w:color w:val="000000" w:themeColor="text1"/>
        </w:rPr>
        <w:t xml:space="preserve"> the quantitative and qualitative data. We will solicit an in-depth </w:t>
      </w:r>
      <w:r w:rsidR="002D3CB5" w:rsidRPr="29E43697">
        <w:rPr>
          <w:rStyle w:val="normaltextrun"/>
          <w:rFonts w:ascii="Arial" w:hAnsi="Arial"/>
          <w:color w:val="000000" w:themeColor="text1"/>
        </w:rPr>
        <w:t>and</w:t>
      </w:r>
      <w:r w:rsidRPr="29E43697">
        <w:rPr>
          <w:rStyle w:val="normaltextrun"/>
          <w:rFonts w:ascii="Arial" w:hAnsi="Arial"/>
          <w:color w:val="000000" w:themeColor="text1"/>
        </w:rPr>
        <w:t xml:space="preserve"> nuanced understanding of various stakeholder experiences, examine how those experiences may be related to </w:t>
      </w:r>
      <w:r w:rsidR="00607631" w:rsidRPr="29E43697">
        <w:rPr>
          <w:rStyle w:val="normaltextrun"/>
          <w:rFonts w:ascii="Arial" w:hAnsi="Arial"/>
          <w:color w:val="000000" w:themeColor="text1"/>
        </w:rPr>
        <w:t xml:space="preserve">DSR </w:t>
      </w:r>
      <w:r w:rsidRPr="29E43697">
        <w:rPr>
          <w:rStyle w:val="normaltextrun"/>
          <w:rFonts w:ascii="Arial" w:hAnsi="Arial"/>
          <w:color w:val="000000" w:themeColor="text1"/>
        </w:rPr>
        <w:t xml:space="preserve">policy and practice innovation, and use these findings to </w:t>
      </w:r>
      <w:r w:rsidR="24F721A3" w:rsidRPr="1D3AF258">
        <w:rPr>
          <w:rStyle w:val="normaltextrun"/>
          <w:rFonts w:ascii="Arial" w:hAnsi="Arial"/>
          <w:color w:val="000000" w:themeColor="text1"/>
        </w:rPr>
        <w:t>offer explanations regarding</w:t>
      </w:r>
      <w:r w:rsidR="031F5812" w:rsidRPr="1D3AF258">
        <w:rPr>
          <w:rStyle w:val="normaltextrun"/>
          <w:rFonts w:ascii="Arial" w:hAnsi="Arial"/>
          <w:color w:val="000000" w:themeColor="text1"/>
        </w:rPr>
        <w:t xml:space="preserve"> </w:t>
      </w:r>
      <w:r w:rsidRPr="29E43697">
        <w:rPr>
          <w:rStyle w:val="normaltextrun"/>
          <w:rFonts w:ascii="Arial" w:hAnsi="Arial"/>
          <w:color w:val="000000" w:themeColor="text1"/>
        </w:rPr>
        <w:t xml:space="preserve">pertinent trends and outcomes. For example, understanding stakeholder perspectives on program implementation </w:t>
      </w:r>
      <w:r w:rsidR="5C12E7AC" w:rsidRPr="1D3AF258">
        <w:rPr>
          <w:rStyle w:val="normaltextrun"/>
          <w:rFonts w:ascii="Arial" w:hAnsi="Arial"/>
          <w:color w:val="000000" w:themeColor="text1"/>
        </w:rPr>
        <w:t>may</w:t>
      </w:r>
      <w:r w:rsidRPr="29E43697">
        <w:rPr>
          <w:rStyle w:val="normaltextrun"/>
          <w:rFonts w:ascii="Arial" w:hAnsi="Arial"/>
          <w:color w:val="000000" w:themeColor="text1"/>
        </w:rPr>
        <w:t xml:space="preserve"> help contextualize trends seen in cost and clinical outcomes.</w:t>
      </w:r>
      <w:r w:rsidR="00971E27" w:rsidRPr="29E43697">
        <w:rPr>
          <w:vertAlign w:val="superscript"/>
        </w:rPr>
        <w:t>69</w:t>
      </w:r>
      <w:r w:rsidR="00EA6D86" w:rsidRPr="29E43697">
        <w:rPr>
          <w:rStyle w:val="normaltextrun"/>
          <w:rFonts w:ascii="Arial" w:hAnsi="Arial"/>
          <w:color w:val="000000" w:themeColor="text1"/>
        </w:rPr>
        <w:t xml:space="preserve"> Conversely,</w:t>
      </w:r>
      <w:r w:rsidR="008824C9" w:rsidRPr="29E43697">
        <w:rPr>
          <w:rStyle w:val="normaltextrun"/>
          <w:rFonts w:ascii="Arial" w:hAnsi="Arial"/>
          <w:color w:val="000000" w:themeColor="text1"/>
        </w:rPr>
        <w:t xml:space="preserve"> preliminary</w:t>
      </w:r>
      <w:r w:rsidR="00EA6D86" w:rsidRPr="29E43697">
        <w:rPr>
          <w:rStyle w:val="normaltextrun"/>
          <w:rFonts w:ascii="Arial" w:hAnsi="Arial"/>
          <w:color w:val="000000" w:themeColor="text1"/>
        </w:rPr>
        <w:t xml:space="preserve"> </w:t>
      </w:r>
      <w:r w:rsidR="008824C9" w:rsidRPr="29E43697">
        <w:rPr>
          <w:rStyle w:val="normaltextrun"/>
          <w:rFonts w:ascii="Arial" w:hAnsi="Arial"/>
          <w:color w:val="000000" w:themeColor="text1"/>
        </w:rPr>
        <w:t xml:space="preserve">quantitative findings </w:t>
      </w:r>
      <w:r w:rsidR="006B0F57" w:rsidRPr="29E43697">
        <w:rPr>
          <w:rStyle w:val="normaltextrun"/>
          <w:rFonts w:ascii="Arial" w:hAnsi="Arial"/>
          <w:color w:val="000000" w:themeColor="text1"/>
        </w:rPr>
        <w:t xml:space="preserve">from analysis of data </w:t>
      </w:r>
      <w:r w:rsidR="51B66852" w:rsidRPr="1D3AF258">
        <w:rPr>
          <w:rStyle w:val="normaltextrun"/>
          <w:rFonts w:ascii="Arial" w:hAnsi="Arial"/>
          <w:color w:val="000000" w:themeColor="text1"/>
        </w:rPr>
        <w:t>obtained</w:t>
      </w:r>
      <w:r w:rsidR="006B0F57" w:rsidRPr="29E43697">
        <w:rPr>
          <w:rStyle w:val="normaltextrun"/>
          <w:rFonts w:ascii="Arial" w:hAnsi="Arial"/>
          <w:color w:val="000000" w:themeColor="text1"/>
        </w:rPr>
        <w:t xml:space="preserve"> early in the Demonstration period </w:t>
      </w:r>
      <w:r w:rsidR="008824C9" w:rsidRPr="29E43697">
        <w:rPr>
          <w:rStyle w:val="normaltextrun"/>
          <w:rFonts w:ascii="Arial" w:hAnsi="Arial"/>
          <w:color w:val="000000" w:themeColor="text1"/>
        </w:rPr>
        <w:t xml:space="preserve">can generate questions regarding underlying </w:t>
      </w:r>
      <w:r w:rsidR="008824C9" w:rsidRPr="29E43697">
        <w:rPr>
          <w:rStyle w:val="normaltextrun"/>
          <w:rFonts w:ascii="Arial" w:hAnsi="Arial"/>
          <w:color w:val="000000" w:themeColor="text1"/>
        </w:rPr>
        <w:lastRenderedPageBreak/>
        <w:t xml:space="preserve">mechanisms </w:t>
      </w:r>
      <w:r w:rsidR="006B0F57" w:rsidRPr="29E43697">
        <w:rPr>
          <w:rStyle w:val="normaltextrun"/>
          <w:rFonts w:ascii="Arial" w:hAnsi="Arial"/>
          <w:color w:val="000000" w:themeColor="text1"/>
        </w:rPr>
        <w:t xml:space="preserve">that can then be explored in subsequent </w:t>
      </w:r>
      <w:r w:rsidR="005F5047" w:rsidRPr="29E43697">
        <w:rPr>
          <w:rStyle w:val="normaltextrun"/>
          <w:rFonts w:ascii="Arial" w:hAnsi="Arial"/>
          <w:color w:val="000000" w:themeColor="text1"/>
        </w:rPr>
        <w:t>qualitative data collection and analysis.</w:t>
      </w:r>
    </w:p>
    <w:p w14:paraId="07452E60" w14:textId="77777777" w:rsidR="001B52EF" w:rsidRPr="0009132C" w:rsidRDefault="1CB845C9" w:rsidP="00EE4105">
      <w:pPr>
        <w:pStyle w:val="Heading3"/>
      </w:pPr>
      <w:r>
        <w:t>Limitations</w:t>
      </w:r>
    </w:p>
    <w:p w14:paraId="0410D14D" w14:textId="77777777" w:rsidR="001B52EF" w:rsidRPr="00301DAB" w:rsidRDefault="001B52EF" w:rsidP="00301DAB">
      <w:pPr>
        <w:pStyle w:val="Heading4"/>
      </w:pPr>
      <w:r w:rsidRPr="00301DAB">
        <w:t>Quantitative Analyses</w:t>
      </w:r>
    </w:p>
    <w:p w14:paraId="143A21D6" w14:textId="08B9F89A" w:rsidR="001B52EF" w:rsidRPr="0009132C" w:rsidRDefault="001B52EF" w:rsidP="005519D5">
      <w:r w:rsidRPr="0009132C">
        <w:t xml:space="preserve">Our quantitative data sources and analytic approaches utilizing these data have several limitations. </w:t>
      </w:r>
      <w:r w:rsidR="002453FD" w:rsidRPr="0009132C">
        <w:t>We will cautiously interpret results from</w:t>
      </w:r>
      <w:r w:rsidR="00D13430" w:rsidRPr="0009132C">
        <w:t xml:space="preserve"> </w:t>
      </w:r>
      <w:r w:rsidR="00F72D6F" w:rsidRPr="0009132C">
        <w:t xml:space="preserve">multiple analytic methods </w:t>
      </w:r>
      <w:r w:rsidR="00B369B4" w:rsidRPr="0009132C">
        <w:t xml:space="preserve">together with qualitative </w:t>
      </w:r>
      <w:r w:rsidR="00AC04C6" w:rsidRPr="0009132C">
        <w:t xml:space="preserve">findings </w:t>
      </w:r>
      <w:r w:rsidR="00452608" w:rsidRPr="0009132C">
        <w:t xml:space="preserve">to </w:t>
      </w:r>
      <w:r w:rsidR="002453FD" w:rsidRPr="0009132C">
        <w:t>arrive at</w:t>
      </w:r>
      <w:r w:rsidR="004512FE" w:rsidRPr="0009132C">
        <w:t xml:space="preserve"> robust </w:t>
      </w:r>
      <w:r w:rsidR="00B369B4" w:rsidRPr="0009132C">
        <w:t>conclusions.</w:t>
      </w:r>
    </w:p>
    <w:p w14:paraId="427AF560" w14:textId="3B0852FF" w:rsidR="007E724A" w:rsidRPr="0009132C" w:rsidRDefault="001B52EF" w:rsidP="003C6C8F">
      <w:pPr>
        <w:pStyle w:val="Heading5"/>
      </w:pPr>
      <w:r w:rsidRPr="0009132C">
        <w:t>Surveys</w:t>
      </w:r>
    </w:p>
    <w:p w14:paraId="1530BE53" w14:textId="31A4DB3F" w:rsidR="001B52EF" w:rsidRPr="0009132C" w:rsidRDefault="7925ABDD" w:rsidP="005519D5">
      <w:r>
        <w:t>The MES have several limitations, including the potential for recall bias, low response rates, and</w:t>
      </w:r>
      <w:r w:rsidR="6DE346BF">
        <w:t xml:space="preserve"> </w:t>
      </w:r>
      <w:r>
        <w:t xml:space="preserve">residual non-response bias despite weighting adjustments that will be applied to correct for it, limited data on clinical conditions and healthcare utilization to adjust for non-response bias, and new items </w:t>
      </w:r>
      <w:r w:rsidR="701718F6">
        <w:t xml:space="preserve">that </w:t>
      </w:r>
      <w:r>
        <w:t xml:space="preserve">may require further refinement and validation. Furthermore, members may have been surveyed in multiple years, but we do not have </w:t>
      </w:r>
      <w:r w:rsidRPr="00F049B4">
        <w:t xml:space="preserve">unique member </w:t>
      </w:r>
      <w:r w:rsidR="102F24DF" w:rsidRPr="00F049B4">
        <w:t xml:space="preserve">identification numbers (i.e., member </w:t>
      </w:r>
      <w:r w:rsidRPr="00F049B4">
        <w:t>IDs</w:t>
      </w:r>
      <w:r w:rsidR="102F24DF" w:rsidRPr="00F049B4">
        <w:t>)</w:t>
      </w:r>
      <w:r>
        <w:t xml:space="preserve"> to account for repeated measurements within individuals, and large sample sizes increased the likelihood of detecting statistically significant differences between repeated measure results that are not of clinical or policy significance. </w:t>
      </w:r>
      <w:r w:rsidR="3C0CAB91">
        <w:t xml:space="preserve">Some member </w:t>
      </w:r>
      <w:r>
        <w:t xml:space="preserve">surveys </w:t>
      </w:r>
      <w:r w:rsidR="3C0CAB91">
        <w:t>(BH, LTSS)</w:t>
      </w:r>
      <w:r>
        <w:t xml:space="preserve"> are only to be conducted among ACO members, and data will not be available for comparison groups enrolled with MCOs or the PCC</w:t>
      </w:r>
      <w:r w:rsidR="595B8669">
        <w:t xml:space="preserve"> Plan</w:t>
      </w:r>
      <w:r>
        <w:t>. Finally, the member surveys are conducted by a third party for a purpose distinct from evaluation, and the evaluation team has limited input into survey design and implementation.</w:t>
      </w:r>
    </w:p>
    <w:p w14:paraId="0A0236BF" w14:textId="13C1D10B" w:rsidR="001B52EF" w:rsidRPr="0009132C" w:rsidRDefault="001B52EF" w:rsidP="005519D5">
      <w:pPr>
        <w:rPr>
          <w:rFonts w:eastAsia="Arial"/>
        </w:rPr>
      </w:pPr>
      <w:r w:rsidRPr="0009132C">
        <w:t>The ACO provider and CP staff surveys may be subject to recall bias. The surveys are also susceptible to non-response bias. However, the response rate historically has been very good for CP staff surveys, while the ACO response rate was consistent with other provider surveys</w:t>
      </w:r>
      <w:r w:rsidR="00EA5B7B">
        <w:t>;</w:t>
      </w:r>
      <w:r w:rsidR="00EA5B7B" w:rsidRPr="0009132C">
        <w:t xml:space="preserve"> </w:t>
      </w:r>
      <w:r w:rsidRPr="0009132C">
        <w:t xml:space="preserve">for both surveys, we plan to apply weights to adjust for the sampling approach and observed sources of non-response bias. </w:t>
      </w:r>
    </w:p>
    <w:p w14:paraId="776D8E1A" w14:textId="76E4FFF8" w:rsidR="007E724A" w:rsidRPr="0009132C" w:rsidRDefault="001B52EF" w:rsidP="003C6C8F">
      <w:pPr>
        <w:pStyle w:val="Heading5"/>
      </w:pPr>
      <w:r w:rsidRPr="0009132C">
        <w:t xml:space="preserve">Administrative Data Analyses </w:t>
      </w:r>
    </w:p>
    <w:p w14:paraId="11FAE088" w14:textId="2079B04F" w:rsidR="001B52EF" w:rsidRPr="0009132C" w:rsidRDefault="001B52EF" w:rsidP="005519D5">
      <w:r w:rsidRPr="0009132C">
        <w:t xml:space="preserve">Analyses of administrative data are subject to limitations associated with the nature of such data being created for billing purposes, which may not reflect the actual presence of clinical conditions (e.g., if a member doesn’t seek care or obtain a diagnosis) or use of a medication (e.g., if a drug is filled and not taken). Administrative data lack important clinical details such as laboratory values and non-billable services (e.g., certain forms of care coordination and management). For select quality measures and associated measurements, clinical data will be available. However, such data are expected only to be available for subsets of the populations and comparison groups of interest. Demonstration programs are only one of many factors affecting the measures we’ll be studying. </w:t>
      </w:r>
    </w:p>
    <w:p w14:paraId="60847C26" w14:textId="786B90C4" w:rsidR="001B52EF" w:rsidRPr="0009132C" w:rsidRDefault="7925ABDD" w:rsidP="005519D5">
      <w:r>
        <w:t xml:space="preserve">Two prominent time-varying confounders include the COVID-19 pandemic and the policy changes enacted </w:t>
      </w:r>
      <w:r w:rsidR="00B10172">
        <w:t>throughout</w:t>
      </w:r>
      <w:r>
        <w:t xml:space="preserve"> the Public Health Emergency (PHE), which will </w:t>
      </w:r>
      <w:r w:rsidR="00EA5B7B">
        <w:t>end</w:t>
      </w:r>
      <w:r>
        <w:t xml:space="preserve"> in the first year of our study period. Although rigorous quasi-experimental designs and statistical methods are planned, comparative analyses remain </w:t>
      </w:r>
      <w:r w:rsidR="75F97D38">
        <w:t>at risk of</w:t>
      </w:r>
      <w:r>
        <w:t xml:space="preserve"> unmeasured </w:t>
      </w:r>
      <w:r>
        <w:lastRenderedPageBreak/>
        <w:t xml:space="preserve">confounding. Another potential limitation will be missing data. In situations with substantial missing </w:t>
      </w:r>
      <w:r w:rsidR="3AC8DF99">
        <w:t xml:space="preserve">sociodemographic </w:t>
      </w:r>
      <w:r w:rsidR="64514BFE">
        <w:t>data</w:t>
      </w:r>
      <w:r w:rsidR="3E8214E0">
        <w:t xml:space="preserve"> </w:t>
      </w:r>
      <w:r>
        <w:t>(e.g., of self-reported race and ethnicity)</w:t>
      </w:r>
      <w:r w:rsidR="00F6388F">
        <w:t>,</w:t>
      </w:r>
      <w:r>
        <w:t xml:space="preserve"> we will explore options for conducting analyses using imputed data. We will perform extensive sensitivity analyses to examine the plausibility of alternative explanations for our findings</w:t>
      </w:r>
      <w:r w:rsidR="4230BD51">
        <w:t xml:space="preserve"> under alternative assumptions about missingness</w:t>
      </w:r>
      <w:r w:rsidR="7F80F592">
        <w:t xml:space="preserve"> mechanisms and how to account for them analytically</w:t>
      </w:r>
      <w:r>
        <w:t>.</w:t>
      </w:r>
    </w:p>
    <w:p w14:paraId="559BA73A" w14:textId="77777777" w:rsidR="001B52EF" w:rsidRPr="0009132C" w:rsidRDefault="001B52EF" w:rsidP="00301DAB">
      <w:pPr>
        <w:pStyle w:val="Heading4"/>
      </w:pPr>
      <w:r w:rsidRPr="0009132C">
        <w:t>Qualitative Analyses</w:t>
      </w:r>
    </w:p>
    <w:p w14:paraId="4F6B4BB6" w14:textId="77777777" w:rsidR="001B52EF" w:rsidRPr="0009132C" w:rsidRDefault="001B52EF" w:rsidP="005519D5">
      <w:pPr>
        <w:rPr>
          <w:rFonts w:eastAsia="Arial"/>
        </w:rPr>
      </w:pPr>
      <w:r w:rsidRPr="0009132C">
        <w:t xml:space="preserve">Our qualitative data sources and analytic approaches utilizing these data have several limitations. </w:t>
      </w:r>
    </w:p>
    <w:p w14:paraId="2256F1B4" w14:textId="3E82BBF5" w:rsidR="007E724A" w:rsidRPr="0009132C" w:rsidRDefault="001B52EF" w:rsidP="003C6C8F">
      <w:pPr>
        <w:pStyle w:val="Heading5"/>
      </w:pPr>
      <w:r w:rsidRPr="0009132C">
        <w:t xml:space="preserve">Document Review </w:t>
      </w:r>
    </w:p>
    <w:p w14:paraId="624477AE" w14:textId="7E30DB43" w:rsidR="001B52EF" w:rsidRPr="0009132C" w:rsidRDefault="001B52EF" w:rsidP="005519D5">
      <w:r w:rsidRPr="0009132C">
        <w:t xml:space="preserve">Relevant documents for review will be provided by MassHealth as they become available and from other sources (e.g., relevant state-wide groups) as they are identified. The volume of available documents poses a potential </w:t>
      </w:r>
      <w:r w:rsidR="00041699" w:rsidRPr="0009132C">
        <w:t xml:space="preserve">challenge for </w:t>
      </w:r>
      <w:r w:rsidR="0035676A" w:rsidRPr="0009132C">
        <w:t xml:space="preserve">staff to extract all </w:t>
      </w:r>
      <w:r w:rsidR="002952EB" w:rsidRPr="0009132C">
        <w:t>necessary</w:t>
      </w:r>
      <w:r w:rsidR="00775A05" w:rsidRPr="0009132C">
        <w:t xml:space="preserve"> information</w:t>
      </w:r>
      <w:r w:rsidR="002952EB" w:rsidRPr="0009132C">
        <w:t xml:space="preserve"> within available capacity constraints</w:t>
      </w:r>
      <w:r w:rsidRPr="0009132C">
        <w:t>. We will work with MassHealth to prioritize documents for the review process to ensure we review the most relevant and significant documents</w:t>
      </w:r>
      <w:r w:rsidR="007D7E2A" w:rsidRPr="0009132C">
        <w:t xml:space="preserve"> first before proceeding to other </w:t>
      </w:r>
      <w:r w:rsidR="000C6DE9" w:rsidRPr="0009132C">
        <w:t>documents with potentially relevant information</w:t>
      </w:r>
      <w:r w:rsidR="00041699" w:rsidRPr="0009132C">
        <w:t>.</w:t>
      </w:r>
    </w:p>
    <w:p w14:paraId="2789C8B0" w14:textId="7359A920" w:rsidR="00D0269A" w:rsidRPr="0009132C" w:rsidRDefault="001B52EF" w:rsidP="003C6C8F">
      <w:pPr>
        <w:pStyle w:val="Heading5"/>
      </w:pPr>
      <w:r w:rsidRPr="0009132C">
        <w:t>KIIs</w:t>
      </w:r>
    </w:p>
    <w:p w14:paraId="2C00E160" w14:textId="69CF5A17" w:rsidR="001B52EF" w:rsidRDefault="7925ABDD" w:rsidP="005519D5">
      <w:r>
        <w:t xml:space="preserve">We may confront several limitations during the primary data collection process. </w:t>
      </w:r>
      <w:r w:rsidR="6D3E20DE">
        <w:t xml:space="preserve">As with any self-reported data, </w:t>
      </w:r>
      <w:r w:rsidR="4C4A20C3">
        <w:t xml:space="preserve">information collected in KIIs may be subject to recall bias. </w:t>
      </w:r>
      <w:r>
        <w:t xml:space="preserve">KIIs may be conducted by </w:t>
      </w:r>
      <w:r w:rsidR="3E8214E0">
        <w:t>video</w:t>
      </w:r>
      <w:r w:rsidR="404E518C">
        <w:t xml:space="preserve"> </w:t>
      </w:r>
      <w:r w:rsidR="3E8214E0">
        <w:t>conference</w:t>
      </w:r>
      <w:r w:rsidR="1F26DFC3">
        <w:t>, which represents a strength in terms of</w:t>
      </w:r>
      <w:r w:rsidR="5B487ED7">
        <w:t xml:space="preserve"> consistency of </w:t>
      </w:r>
      <w:r w:rsidR="2A11D045">
        <w:t xml:space="preserve">interview </w:t>
      </w:r>
      <w:r w:rsidR="5B487ED7">
        <w:t xml:space="preserve">format </w:t>
      </w:r>
      <w:r w:rsidR="5CB7ECC5">
        <w:t xml:space="preserve">and data collected </w:t>
      </w:r>
      <w:r w:rsidR="5B487ED7">
        <w:t xml:space="preserve">across </w:t>
      </w:r>
      <w:r w:rsidR="2A11D045">
        <w:t>sites</w:t>
      </w:r>
      <w:r w:rsidR="5CB7ECC5">
        <w:t>. Another strength is</w:t>
      </w:r>
      <w:r w:rsidR="2A11D045">
        <w:t xml:space="preserve"> </w:t>
      </w:r>
      <w:r w:rsidR="00240CBF">
        <w:t xml:space="preserve">the </w:t>
      </w:r>
      <w:r w:rsidR="2A11D045">
        <w:t>increased</w:t>
      </w:r>
      <w:r w:rsidR="1F26DFC3">
        <w:t xml:space="preserve"> efficiency</w:t>
      </w:r>
      <w:r w:rsidR="7246A106">
        <w:t xml:space="preserve"> that we anticipate will enable us to </w:t>
      </w:r>
      <w:r w:rsidR="6B93CD52">
        <w:t xml:space="preserve">successfully </w:t>
      </w:r>
      <w:r w:rsidR="7246A106">
        <w:t>schedule and collect</w:t>
      </w:r>
      <w:r w:rsidR="6B93CD52">
        <w:t xml:space="preserve"> information from a larger pool of respondents</w:t>
      </w:r>
      <w:r w:rsidR="293F7D9A">
        <w:t>.</w:t>
      </w:r>
      <w:r>
        <w:t xml:space="preserve"> </w:t>
      </w:r>
      <w:r w:rsidR="6B93CD52">
        <w:t xml:space="preserve">However, </w:t>
      </w:r>
      <w:r w:rsidR="293F7D9A">
        <w:t xml:space="preserve">the </w:t>
      </w:r>
      <w:r w:rsidR="6B93CD52">
        <w:t>video conference</w:t>
      </w:r>
      <w:r w:rsidR="293F7D9A">
        <w:t xml:space="preserve"> format</w:t>
      </w:r>
      <w:r w:rsidR="6B93CD52">
        <w:t xml:space="preserve"> </w:t>
      </w:r>
      <w:r>
        <w:t>limit</w:t>
      </w:r>
      <w:r w:rsidR="293F7D9A">
        <w:t>s</w:t>
      </w:r>
      <w:r>
        <w:t xml:space="preserve"> our ability to view organizational contexts firsthand</w:t>
      </w:r>
      <w:r w:rsidR="6C980643">
        <w:t xml:space="preserve">. </w:t>
      </w:r>
      <w:r w:rsidR="5E47187A">
        <w:t>W</w:t>
      </w:r>
      <w:r w:rsidR="6C980643">
        <w:t xml:space="preserve">e </w:t>
      </w:r>
      <w:r>
        <w:t>will solicit responses from a range of staff and probe for specifics about processes and workflows to achieve a nuanced understanding of each organizat</w:t>
      </w:r>
      <w:r w:rsidR="00240CBF">
        <w:t>i</w:t>
      </w:r>
      <w:r>
        <w:t xml:space="preserve">on's activities. For member interviews, videoconferencing may pose difficulties related to technology availability. Furthermore, some members may initially express interest when recruited but may no longer be interested or could not participate in an interview due to various clinical or social factors. Our interview procedures have been reviewed by a consultant with experience receiving </w:t>
      </w:r>
      <w:r w:rsidR="4FB800B9">
        <w:t>LTSS</w:t>
      </w:r>
      <w:r w:rsidR="1B5B8A55">
        <w:t xml:space="preserve"> </w:t>
      </w:r>
      <w:r>
        <w:t>and expertise in studying LTSS, who provided recommendations regarding the use of plain language and the presentation of materials. Historically, we have had a sufficiently</w:t>
      </w:r>
      <w:r w:rsidRPr="00E74AB0">
        <w:t xml:space="preserve"> </w:t>
      </w:r>
      <w:r w:rsidR="6011D605" w:rsidRPr="00E74AB0">
        <w:t xml:space="preserve">robust </w:t>
      </w:r>
      <w:r>
        <w:t>pool of potential interviewees to draw from for interviews; therefore, we anticipate we will be able to complete the planned number of interviews.</w:t>
      </w:r>
    </w:p>
    <w:p w14:paraId="74071EBA" w14:textId="77777777" w:rsidR="004455E2" w:rsidRPr="0009132C" w:rsidRDefault="004455E2" w:rsidP="005519D5">
      <w:pPr>
        <w:rPr>
          <w:rFonts w:cstheme="minorHAnsi"/>
        </w:rPr>
      </w:pPr>
    </w:p>
    <w:p w14:paraId="420CC53B" w14:textId="77777777" w:rsidR="007A3EFD" w:rsidRPr="004455E2" w:rsidRDefault="007A3EFD" w:rsidP="008A3252">
      <w:pPr>
        <w:rPr>
          <w:b/>
          <w:bCs/>
        </w:rPr>
        <w:sectPr w:rsidR="007A3EFD" w:rsidRPr="004455E2" w:rsidSect="00744E1B">
          <w:pgSz w:w="12240" w:h="15840"/>
          <w:pgMar w:top="1440" w:right="1440" w:bottom="1260" w:left="1440" w:header="720" w:footer="576" w:gutter="0"/>
          <w:cols w:space="720"/>
          <w:docGrid w:linePitch="360"/>
        </w:sectPr>
      </w:pPr>
    </w:p>
    <w:p w14:paraId="33827929" w14:textId="7A96AA43" w:rsidR="00233E61" w:rsidRPr="00233E61" w:rsidRDefault="51479E46" w:rsidP="006E6C68">
      <w:pPr>
        <w:pStyle w:val="Heading1"/>
      </w:pPr>
      <w:bookmarkStart w:id="99" w:name="_Behavioral_Health"/>
      <w:bookmarkStart w:id="100" w:name="_Ref142920800"/>
      <w:bookmarkStart w:id="101" w:name="_Ref142921118"/>
      <w:bookmarkStart w:id="102" w:name="_Toc151976422"/>
      <w:bookmarkStart w:id="103" w:name="_Toc127367486"/>
      <w:bookmarkStart w:id="104" w:name="_Toc129619744"/>
      <w:bookmarkStart w:id="105" w:name="_Toc130209711"/>
      <w:bookmarkEnd w:id="99"/>
      <w:r>
        <w:lastRenderedPageBreak/>
        <w:t>Behavioral Health</w:t>
      </w:r>
      <w:bookmarkEnd w:id="100"/>
      <w:bookmarkEnd w:id="101"/>
      <w:bookmarkEnd w:id="102"/>
    </w:p>
    <w:p w14:paraId="2805EDF1" w14:textId="4DA7C400" w:rsidR="00BC742E" w:rsidRPr="0009132C" w:rsidRDefault="004714C4" w:rsidP="006E6C68">
      <w:pPr>
        <w:pStyle w:val="Heading2"/>
      </w:pPr>
      <w:bookmarkStart w:id="106" w:name="_Toc142867385"/>
      <w:bookmarkStart w:id="107" w:name="_Toc143089668"/>
      <w:bookmarkStart w:id="108" w:name="_Toc143089774"/>
      <w:bookmarkStart w:id="109" w:name="_Toc143092618"/>
      <w:bookmarkStart w:id="110" w:name="_Toc130209712"/>
      <w:bookmarkEnd w:id="103"/>
      <w:bookmarkEnd w:id="104"/>
      <w:bookmarkEnd w:id="105"/>
      <w:bookmarkEnd w:id="106"/>
      <w:bookmarkEnd w:id="107"/>
      <w:bookmarkEnd w:id="108"/>
      <w:bookmarkEnd w:id="109"/>
      <w:r>
        <w:t xml:space="preserve"> </w:t>
      </w:r>
      <w:bookmarkStart w:id="111" w:name="_Toc151976423"/>
      <w:r w:rsidR="00BC742E" w:rsidRPr="0009132C">
        <w:t>Overview of Behavioral Health (BH) Demonstration Policy Domain</w:t>
      </w:r>
      <w:bookmarkEnd w:id="110"/>
      <w:bookmarkEnd w:id="111"/>
    </w:p>
    <w:p w14:paraId="0686017C" w14:textId="76992EE7" w:rsidR="00BC742E" w:rsidRPr="0009132C" w:rsidRDefault="00BC742E" w:rsidP="005435E6">
      <w:r w:rsidRPr="0009132C">
        <w:t>Behavioral health (BH)</w:t>
      </w:r>
      <w:r w:rsidR="00240CBF">
        <w:t>,</w:t>
      </w:r>
      <w:r w:rsidRPr="0009132C">
        <w:t xml:space="preserve"> defined here as serious mental illness (SMI), severe emotional disturbance (SED), and/or substance use disorders/opioid use disorder (SUD/OUD), remains a top priority in the 2022-2027 Demonstration period. The BH Demonstration domain has three main policy components: </w:t>
      </w:r>
      <w:r w:rsidR="00BF2F4D" w:rsidRPr="0009132C">
        <w:t xml:space="preserve">(1) </w:t>
      </w:r>
      <w:r w:rsidRPr="0009132C">
        <w:t xml:space="preserve">diversionary BH services (Special Terms and Conditions (STC) 5.11), </w:t>
      </w:r>
      <w:r w:rsidR="00BF2F4D" w:rsidRPr="0009132C">
        <w:t xml:space="preserve">(2) </w:t>
      </w:r>
      <w:r w:rsidRPr="0009132C">
        <w:t>a full range of SUD/OUD treatment services, including residential and inpatient treatment for individuals with SUDs/OUD (STC 6), and</w:t>
      </w:r>
      <w:r w:rsidR="00BF2F4D" w:rsidRPr="0009132C">
        <w:t xml:space="preserve"> (3)</w:t>
      </w:r>
      <w:r w:rsidRPr="0009132C">
        <w:t xml:space="preserve"> residential and psychiatric inpatient treatment for individuals with SMI or SED (STC 7).</w:t>
      </w:r>
    </w:p>
    <w:p w14:paraId="5DF397BC" w14:textId="77777777" w:rsidR="00BC742E" w:rsidRPr="0009132C" w:rsidRDefault="00BC742E" w:rsidP="00EE4105">
      <w:pPr>
        <w:pStyle w:val="Heading3"/>
      </w:pPr>
      <w:r w:rsidRPr="0009132C">
        <w:t>BH Policy Domain Goals</w:t>
      </w:r>
    </w:p>
    <w:p w14:paraId="6510EF25" w14:textId="77777777" w:rsidR="00BC742E" w:rsidRPr="0009132C" w:rsidRDefault="00BC742E" w:rsidP="005435E6">
      <w:r w:rsidRPr="0009132C">
        <w:t>The overall goals of the BH Demonstration policy domain are to:</w:t>
      </w:r>
    </w:p>
    <w:p w14:paraId="55B35534" w14:textId="77777777" w:rsidR="00BC742E" w:rsidRPr="006E6C68" w:rsidRDefault="00BC742E" w:rsidP="00A66C2F">
      <w:pPr>
        <w:pStyle w:val="ListNumber"/>
        <w:numPr>
          <w:ilvl w:val="0"/>
          <w:numId w:val="143"/>
        </w:numPr>
      </w:pPr>
      <w:r w:rsidRPr="006E6C68">
        <w:t xml:space="preserve">Strengthen the delivery of BH outpatient, urgent, and crisis care; </w:t>
      </w:r>
    </w:p>
    <w:p w14:paraId="5BD881E8" w14:textId="31B550C7" w:rsidR="00BC742E" w:rsidRPr="006E6C68" w:rsidRDefault="00BC742E" w:rsidP="006E6C68">
      <w:pPr>
        <w:pStyle w:val="ListNumber"/>
      </w:pPr>
      <w:r w:rsidRPr="006E6C68">
        <w:t>Increase rates of early identification, initiation, and engagement in BH treatment;</w:t>
      </w:r>
    </w:p>
    <w:p w14:paraId="1BFC8F34" w14:textId="77777777" w:rsidR="00BC742E" w:rsidRPr="006E6C68" w:rsidRDefault="00BC742E" w:rsidP="006E6C68">
      <w:pPr>
        <w:pStyle w:val="ListNumber"/>
      </w:pPr>
      <w:r w:rsidRPr="006E6C68">
        <w:t xml:space="preserve">Increase access to community-based recovery support services to improve member health and increase rates of long-term BH recovery; </w:t>
      </w:r>
    </w:p>
    <w:p w14:paraId="430E8346" w14:textId="77777777" w:rsidR="00BC742E" w:rsidRPr="006E6C68" w:rsidRDefault="00BC742E" w:rsidP="006E6C68">
      <w:pPr>
        <w:pStyle w:val="ListNumber"/>
      </w:pPr>
      <w:r w:rsidRPr="006E6C68">
        <w:t xml:space="preserve">Improve access to high-quality, evidence-based BH treatment services, including services provided in residential and inpatient treatment settings that qualify as an Institution for Mental Disease (IMD); </w:t>
      </w:r>
    </w:p>
    <w:p w14:paraId="1ECEF5EA" w14:textId="77777777" w:rsidR="00BC742E" w:rsidRPr="006E6C68" w:rsidRDefault="00BC742E" w:rsidP="006E6C68">
      <w:pPr>
        <w:pStyle w:val="ListNumber"/>
      </w:pPr>
      <w:r w:rsidRPr="006E6C68">
        <w:t>Increase adherence and retention to treatment for members with SUDs;</w:t>
      </w:r>
    </w:p>
    <w:p w14:paraId="04BCD18D" w14:textId="77777777" w:rsidR="00BC742E" w:rsidRPr="006E6C68" w:rsidRDefault="00BC742E" w:rsidP="006E6C68">
      <w:pPr>
        <w:pStyle w:val="ListNumber"/>
      </w:pPr>
      <w:r w:rsidRPr="006E6C68">
        <w:t>Improve access to care for physical health conditions amongst members with BH conditions;</w:t>
      </w:r>
    </w:p>
    <w:p w14:paraId="5ABFC2E5" w14:textId="77777777" w:rsidR="00BC742E" w:rsidRPr="006E6C68" w:rsidRDefault="00BC742E" w:rsidP="006E6C68">
      <w:pPr>
        <w:pStyle w:val="ListNumber"/>
      </w:pPr>
      <w:r w:rsidRPr="006E6C68">
        <w:t>Improve care coordination, especially continuity of care in the community following episodes of acute care in hospitals and residential treatment facilities.</w:t>
      </w:r>
    </w:p>
    <w:p w14:paraId="09A4BFA2" w14:textId="50E8655C" w:rsidR="00BC742E" w:rsidRPr="006E6C68" w:rsidRDefault="00BC742E" w:rsidP="006E6C68">
      <w:pPr>
        <w:pStyle w:val="ListNumber"/>
      </w:pPr>
      <w:r w:rsidRPr="006E6C68">
        <w:t>Reduce utilization of emergency departments</w:t>
      </w:r>
      <w:r w:rsidR="00C46D1B" w:rsidRPr="006E6C68">
        <w:t xml:space="preserve"> </w:t>
      </w:r>
      <w:r w:rsidRPr="006E6C68">
        <w:t>(EDs) and inpatient hospital settings for treatment where the utilization is preventable or medically inappropriate through improved access to other services along the continuum of care services;</w:t>
      </w:r>
    </w:p>
    <w:p w14:paraId="105867AC" w14:textId="77777777" w:rsidR="00BC742E" w:rsidRPr="006E6C68" w:rsidRDefault="00BC742E" w:rsidP="006E6C68">
      <w:pPr>
        <w:pStyle w:val="ListNumber"/>
      </w:pPr>
      <w:r w:rsidRPr="006E6C68">
        <w:t>Improve the availability of crisis stabilization services;</w:t>
      </w:r>
    </w:p>
    <w:p w14:paraId="2A8DDF58" w14:textId="5C155EFA" w:rsidR="00BC742E" w:rsidRPr="006E6C68" w:rsidRDefault="00BC742E" w:rsidP="006E6C68">
      <w:pPr>
        <w:pStyle w:val="ListNumber"/>
      </w:pPr>
      <w:r w:rsidRPr="006E6C68">
        <w:t>Reduce time spent i</w:t>
      </w:r>
      <w:r w:rsidR="00C46D1B" w:rsidRPr="006E6C68">
        <w:t>n</w:t>
      </w:r>
      <w:r w:rsidRPr="006E6C68">
        <w:t xml:space="preserve"> EDs awaiting disposition to clinically appropriate placement; </w:t>
      </w:r>
    </w:p>
    <w:p w14:paraId="1FBDECBE" w14:textId="77777777" w:rsidR="00BC742E" w:rsidRPr="006E6C68" w:rsidRDefault="00BC742E" w:rsidP="006E6C68">
      <w:pPr>
        <w:pStyle w:val="ListNumber"/>
      </w:pPr>
      <w:r w:rsidRPr="006E6C68">
        <w:t>Reduce preventable readmissions to acute psychiatric hospitals, 24-hour SUD treatment services, and residential settings; and</w:t>
      </w:r>
    </w:p>
    <w:p w14:paraId="542FEA39" w14:textId="36C4563E" w:rsidR="00BC742E" w:rsidRPr="006E6C68" w:rsidRDefault="00BC742E" w:rsidP="006E6C68">
      <w:pPr>
        <w:pStyle w:val="ListNumber"/>
      </w:pPr>
      <w:r w:rsidRPr="006E6C68">
        <w:t xml:space="preserve">Reduce overdose deaths, particularly those due to opioids. </w:t>
      </w:r>
    </w:p>
    <w:p w14:paraId="4D396532" w14:textId="552BB868" w:rsidR="00BC742E" w:rsidRPr="0009132C" w:rsidRDefault="00BC742E" w:rsidP="003C6C8F">
      <w:pPr>
        <w:rPr>
          <w:rFonts w:eastAsia="Calibri"/>
        </w:rPr>
      </w:pPr>
      <w:r w:rsidRPr="0009132C">
        <w:lastRenderedPageBreak/>
        <w:t>The BH policy domain is being implemented in the context of the</w:t>
      </w:r>
      <w:r w:rsidRPr="0009132C" w:rsidDel="007327AC">
        <w:t xml:space="preserve"> Massachusetts Roadmap for Behavioral Health Reform (</w:t>
      </w:r>
      <w:r w:rsidRPr="0009132C">
        <w:t xml:space="preserve">BH </w:t>
      </w:r>
      <w:r w:rsidRPr="0009132C" w:rsidDel="007327AC">
        <w:t>Roadmap</w:t>
      </w:r>
      <w:r w:rsidRPr="0009132C">
        <w:t>)</w:t>
      </w:r>
      <w:r w:rsidR="00CC2CE1" w:rsidRPr="0009132C">
        <w:t>,</w:t>
      </w:r>
      <w:r w:rsidRPr="0009132C">
        <w:rPr>
          <w:rStyle w:val="FootnoteReference"/>
          <w:rFonts w:eastAsiaTheme="majorEastAsia"/>
        </w:rPr>
        <w:footnoteReference w:id="68"/>
      </w:r>
      <w:r w:rsidRPr="0009132C">
        <w:t xml:space="preserve"> which provides significant investments to (1) increase access to the appropriate BH treatment when and where people need it and (2) significantly strengthen the delivery of outpatient, urgent, and crisis treatment, and to improve the integration of BH care with primary care. </w:t>
      </w:r>
    </w:p>
    <w:p w14:paraId="2DEC1CDC" w14:textId="77777777" w:rsidR="00BC742E" w:rsidRPr="0009132C" w:rsidRDefault="00BC742E" w:rsidP="00301DAB">
      <w:pPr>
        <w:pStyle w:val="Heading4"/>
      </w:pPr>
      <w:r w:rsidRPr="0009132C">
        <w:t>Overview of Diversionary BH Services</w:t>
      </w:r>
    </w:p>
    <w:p w14:paraId="561BFAC3" w14:textId="6E809310" w:rsidR="00BC742E" w:rsidRPr="0009132C" w:rsidRDefault="00BC742E" w:rsidP="008932AC">
      <w:r w:rsidRPr="0009132C">
        <w:t>Diversionary BH services are home- and community-based mental health and SUD services provided as a clinically appropriate alternative to, and diversion from, inpatient services in more community-based, less structured environments. Diversionary services are provided to support an individual’s return to the community following a 24-hour acute placement or to provide intensive support to maintain functioning in the community. There are two categories of diversionary services</w:t>
      </w:r>
      <w:r w:rsidR="00234E9A">
        <w:t>:</w:t>
      </w:r>
      <w:r w:rsidR="00234E9A" w:rsidRPr="0009132C">
        <w:t xml:space="preserve"> </w:t>
      </w:r>
      <w:r w:rsidRPr="0009132C">
        <w:t>those provided in a 24-hour facility and those provided on an outpatient basis in a non-24-hour setting or facility. Both 24-hour and non-24-hour diversionary BH services are primarily provided by free-standing (community-based) or hospital-based programs licensed by the DMH or DPH.</w:t>
      </w:r>
      <w:bookmarkStart w:id="112" w:name="_Hlk114464553"/>
      <w:r w:rsidRPr="0009132C">
        <w:t xml:space="preserve"> </w:t>
      </w:r>
      <w:bookmarkStart w:id="113" w:name="_Hlk114745165"/>
    </w:p>
    <w:bookmarkEnd w:id="112"/>
    <w:bookmarkEnd w:id="113"/>
    <w:p w14:paraId="0A6FF8B0" w14:textId="77777777" w:rsidR="00BC742E" w:rsidRPr="0009132C" w:rsidRDefault="00BC742E" w:rsidP="00301DAB">
      <w:pPr>
        <w:pStyle w:val="Heading4"/>
      </w:pPr>
      <w:r w:rsidRPr="0009132C">
        <w:t>Overview of SUD Services</w:t>
      </w:r>
    </w:p>
    <w:p w14:paraId="04A4365B" w14:textId="3DF035AC" w:rsidR="00BC742E" w:rsidRPr="0009132C" w:rsidRDefault="00BC742E" w:rsidP="008932AC">
      <w:r w:rsidRPr="0009132C">
        <w:t xml:space="preserve">Under prior </w:t>
      </w:r>
      <w:r w:rsidR="00FC6278" w:rsidRPr="0009132C">
        <w:t>D</w:t>
      </w:r>
      <w:r w:rsidRPr="0009132C">
        <w:t xml:space="preserve">emonstrations, the Commonwealth has expanded access to SUD treatment services and ongoing recovery support to improve beneficiary health and increase rates of long-term recovery. Under the SUD Demonstration component, </w:t>
      </w:r>
      <w:r w:rsidR="1EAFFE53" w:rsidRPr="0009132C">
        <w:t xml:space="preserve">eligible </w:t>
      </w:r>
      <w:r w:rsidRPr="0009132C">
        <w:t>MassHealth members will continue to have access to high-quality, evidence-based OUD and other SUD treatment services, including services provided in residential and inpatient treatment settings that qualify as an IMD that are not otherwise reimbursable under section 1903 of the Social Security Act</w:t>
      </w:r>
      <w:r w:rsidR="00B20822" w:rsidRPr="0009132C">
        <w:t>.</w:t>
      </w:r>
      <w:r w:rsidRPr="0009132C">
        <w:rPr>
          <w:rStyle w:val="FootnoteReference"/>
          <w:rFonts w:eastAsiaTheme="majorEastAsia"/>
        </w:rPr>
        <w:footnoteReference w:id="69"/>
      </w:r>
      <w:r w:rsidRPr="0009132C">
        <w:t xml:space="preserve"> The Commonwealth will continue to be eligible to receive Federal Financial Participation (FFP) for Medicaid beneficiaries residing in IMDs under the terms of this Demonstration for coverage of medical assistance, including OUD/SUD benefits that would otherwise be reimbursable if the beneficiary were not residing in an IMD. </w:t>
      </w:r>
    </w:p>
    <w:p w14:paraId="2AC6004D" w14:textId="77777777" w:rsidR="00BC742E" w:rsidRPr="0009132C" w:rsidRDefault="00BC742E" w:rsidP="008932AC">
      <w:r w:rsidRPr="0009132C">
        <w:t xml:space="preserve">The American Society of Addiction Medicine (ASAM) Criteria Assessment shall continue to be used for all beneficiaries to determine placement into the appropriate level of care. </w:t>
      </w:r>
    </w:p>
    <w:p w14:paraId="09064924" w14:textId="2856F4C3" w:rsidR="00BC742E" w:rsidRPr="0009132C" w:rsidRDefault="00BC742E" w:rsidP="008932AC">
      <w:r>
        <w:t xml:space="preserve">MassHealth anticipates that the </w:t>
      </w:r>
      <w:r w:rsidR="0022007D">
        <w:t xml:space="preserve">Massachusetts </w:t>
      </w:r>
      <w:r>
        <w:t xml:space="preserve">DPH Bureau of Substance Addiction Services (BSAS), the single state authority on SUD services, will continue to fund primary prevention efforts, including education campaigns and community prevention coalitions. Intervention and treatment will be available to MassHealth members, as described below, in several different settings and allow for a bio-psycho-social clinical assessment, based on the ASAM principles, to gain an understanding of addiction </w:t>
      </w:r>
      <w:r>
        <w:lastRenderedPageBreak/>
        <w:t>severity, co-occurring mental health issues and trauma, physical health issues, family and social supports, housing stability</w:t>
      </w:r>
      <w:r w:rsidR="008D1245">
        <w:t>,</w:t>
      </w:r>
      <w:r>
        <w:t xml:space="preserve"> and other issues.</w:t>
      </w:r>
    </w:p>
    <w:p w14:paraId="5130A246" w14:textId="77777777" w:rsidR="00BC742E" w:rsidRPr="0009132C" w:rsidRDefault="00BC742E" w:rsidP="00301DAB">
      <w:pPr>
        <w:pStyle w:val="Heading4"/>
      </w:pPr>
      <w:r w:rsidRPr="0009132C">
        <w:t>Overview of SMI/SED Services</w:t>
      </w:r>
    </w:p>
    <w:p w14:paraId="51CE3A1C" w14:textId="2D569A14" w:rsidR="00BC742E" w:rsidRPr="0009132C" w:rsidRDefault="00BC742E" w:rsidP="008932AC">
      <w:r w:rsidRPr="0009132C">
        <w:t xml:space="preserve">MassHealth </w:t>
      </w:r>
      <w:r w:rsidR="129CA5D3" w:rsidRPr="0009132C">
        <w:t>aims to ensure that</w:t>
      </w:r>
      <w:r w:rsidRPr="0009132C">
        <w:t xml:space="preserve"> members have access to the full range of services, including those services provided in facilities that meet the definition of an IMD</w:t>
      </w:r>
      <w:r w:rsidR="00234E9A">
        <w:t>,</w:t>
      </w:r>
      <w:r w:rsidR="0093245A" w:rsidRPr="0009132C">
        <w:t xml:space="preserve"> such as</w:t>
      </w:r>
      <w:r w:rsidRPr="0009132C">
        <w:t xml:space="preserve"> </w:t>
      </w:r>
      <w:r w:rsidR="0093245A" w:rsidRPr="0009132C">
        <w:t>a</w:t>
      </w:r>
      <w:r w:rsidRPr="0009132C">
        <w:t xml:space="preserve">cute inpatient psychiatric hospitalization services, community crisis stabilization for adults and youth (CCS), and community-based acute treatment for children and adolescents (CBAT). </w:t>
      </w:r>
      <w:r w:rsidR="00861FF1" w:rsidRPr="0009132C">
        <w:t>IMDs</w:t>
      </w:r>
      <w:r w:rsidRPr="0009132C">
        <w:t xml:space="preserve"> will ensure smooth transitions to clinically appropriate levels of community BH care, physical healthcare, and social services</w:t>
      </w:r>
      <w:r w:rsidR="367661DF" w:rsidRPr="0009132C">
        <w:t xml:space="preserve"> </w:t>
      </w:r>
      <w:r w:rsidR="2C693465" w:rsidRPr="0009132C">
        <w:t>(</w:t>
      </w:r>
      <w:r w:rsidR="367661DF" w:rsidRPr="0009132C">
        <w:t>as available</w:t>
      </w:r>
      <w:r w:rsidR="3508FEA2" w:rsidRPr="0009132C">
        <w:t>)</w:t>
      </w:r>
      <w:r w:rsidRPr="0009132C">
        <w:t xml:space="preserve"> necessary to support individuals with SMI or SED in the community through transition planning and care coordination.</w:t>
      </w:r>
    </w:p>
    <w:p w14:paraId="6F98267A" w14:textId="65EB6568" w:rsidR="00BC742E" w:rsidRPr="0009132C" w:rsidRDefault="00BC742E" w:rsidP="00EE4105">
      <w:pPr>
        <w:pStyle w:val="Heading3"/>
      </w:pPr>
      <w:r w:rsidRPr="0009132C">
        <w:t>BH Policy Domain Components and Desired Outcomes</w:t>
      </w:r>
      <w:r w:rsidRPr="0009132C">
        <w:rPr>
          <w:rStyle w:val="FootnoteReference"/>
        </w:rPr>
        <w:footnoteReference w:id="70"/>
      </w:r>
    </w:p>
    <w:p w14:paraId="3B08FC26" w14:textId="77777777" w:rsidR="00BC742E" w:rsidRPr="0009132C" w:rsidRDefault="00BC742E" w:rsidP="00301DAB">
      <w:pPr>
        <w:pStyle w:val="Heading4"/>
      </w:pPr>
      <w:r w:rsidRPr="0009132C">
        <w:t>Diversionary BH Services Domain Components</w:t>
      </w:r>
    </w:p>
    <w:p w14:paraId="30C37071" w14:textId="6BC14316" w:rsidR="00BC742E" w:rsidRPr="0009132C" w:rsidRDefault="00BC742E" w:rsidP="008932AC">
      <w:r w:rsidRPr="0009132C">
        <w:t>As outlined in the STCs, the following is a summary of Diversionary BH Services that the Commonwealth will cover under the Demonstration:</w:t>
      </w:r>
    </w:p>
    <w:p w14:paraId="1F3A43F8" w14:textId="2F9F11B1" w:rsidR="00E63AF2" w:rsidRPr="0009132C" w:rsidRDefault="40FD03A1" w:rsidP="00E63AF2">
      <w:pPr>
        <w:pStyle w:val="Bullet1"/>
      </w:pPr>
      <w:r w:rsidRPr="0009132C">
        <w:t>Community Support Program (CSP)</w:t>
      </w:r>
      <w:r w:rsidR="00E63AF2" w:rsidRPr="0009132C">
        <w:rPr>
          <w:rStyle w:val="FootnoteReference"/>
        </w:rPr>
        <w:footnoteReference w:id="71"/>
      </w:r>
      <w:r w:rsidRPr="0009132C">
        <w:rPr>
          <w:rStyle w:val="FootnoteReference"/>
        </w:rPr>
        <w:t xml:space="preserve"> </w:t>
      </w:r>
      <w:r w:rsidRPr="0009132C">
        <w:t>(</w:t>
      </w:r>
      <w:r w:rsidR="751F17B7">
        <w:t>N</w:t>
      </w:r>
      <w:r w:rsidRPr="0009132C">
        <w:t>on-24-hour facility)</w:t>
      </w:r>
    </w:p>
    <w:p w14:paraId="194E3F70" w14:textId="77777777" w:rsidR="00E63AF2" w:rsidRPr="0009132C" w:rsidRDefault="382974D0" w:rsidP="00E63AF2">
      <w:pPr>
        <w:pStyle w:val="Bullet1"/>
      </w:pPr>
      <w:r>
        <w:t>Transitional Care Unit Services (24-hour facility)</w:t>
      </w:r>
    </w:p>
    <w:p w14:paraId="69E463F5" w14:textId="1CAEFF6F" w:rsidR="00E63AF2" w:rsidRPr="0009132C" w:rsidRDefault="382974D0" w:rsidP="00E63AF2">
      <w:pPr>
        <w:pStyle w:val="Bullet1"/>
      </w:pPr>
      <w:r>
        <w:t xml:space="preserve">Program </w:t>
      </w:r>
      <w:r w:rsidR="0ACEC88E">
        <w:t>for</w:t>
      </w:r>
      <w:r>
        <w:t xml:space="preserve"> Assertive Community Treatment (PACT) (Non-24-hour facility)</w:t>
      </w:r>
    </w:p>
    <w:p w14:paraId="79DB97A6" w14:textId="04766EA6" w:rsidR="00E63AF2" w:rsidRPr="0009132C" w:rsidRDefault="382974D0" w:rsidP="00E63AF2">
      <w:pPr>
        <w:pStyle w:val="Bullet1"/>
      </w:pPr>
      <w:r w:rsidRPr="0009132C">
        <w:t>Partial Hospitalization</w:t>
      </w:r>
      <w:r w:rsidR="00E63AF2" w:rsidRPr="0009132C">
        <w:rPr>
          <w:rStyle w:val="FootnoteReference"/>
        </w:rPr>
        <w:footnoteReference w:id="72"/>
      </w:r>
      <w:r w:rsidRPr="0009132C">
        <w:rPr>
          <w:vertAlign w:val="superscript"/>
        </w:rPr>
        <w:t xml:space="preserve"> </w:t>
      </w:r>
      <w:r w:rsidRPr="0009132C">
        <w:t>(</w:t>
      </w:r>
      <w:r w:rsidR="5D2ADD24">
        <w:t>N</w:t>
      </w:r>
      <w:r w:rsidRPr="0009132C">
        <w:t>on-24-hour facility)</w:t>
      </w:r>
    </w:p>
    <w:p w14:paraId="7855BFDA" w14:textId="4C75F06F" w:rsidR="00E63AF2" w:rsidRPr="0009132C" w:rsidRDefault="382974D0" w:rsidP="00E63AF2">
      <w:pPr>
        <w:pStyle w:val="Bullet1"/>
      </w:pPr>
      <w:r>
        <w:t>Psychiatric Day Treatment (PDT)</w:t>
      </w:r>
      <w:r w:rsidR="06F3E2C9" w:rsidRPr="29E43697">
        <w:rPr>
          <w:vertAlign w:val="superscript"/>
        </w:rPr>
        <w:t>7</w:t>
      </w:r>
      <w:r w:rsidR="00BF6018">
        <w:rPr>
          <w:vertAlign w:val="superscript"/>
        </w:rPr>
        <w:t>1</w:t>
      </w:r>
      <w:r w:rsidR="325B5536" w:rsidRPr="29E43697">
        <w:rPr>
          <w:vertAlign w:val="superscript"/>
        </w:rPr>
        <w:t xml:space="preserve"> </w:t>
      </w:r>
      <w:r w:rsidR="325B5536" w:rsidRPr="29E43697">
        <w:rPr>
          <w:rStyle w:val="Heading3Char"/>
        </w:rPr>
        <w:t xml:space="preserve"> </w:t>
      </w:r>
      <w:r>
        <w:t>(</w:t>
      </w:r>
      <w:r w:rsidR="5D2ADD24">
        <w:t>N</w:t>
      </w:r>
      <w:r>
        <w:t>on-24-hour facility)</w:t>
      </w:r>
    </w:p>
    <w:p w14:paraId="0CADF47A" w14:textId="3EA7AFD4" w:rsidR="00E63AF2" w:rsidRPr="0009132C" w:rsidRDefault="382974D0" w:rsidP="00E63AF2">
      <w:pPr>
        <w:pStyle w:val="Bullet1"/>
      </w:pPr>
      <w:r>
        <w:t>Intensive Outpatient Program (IOP)</w:t>
      </w:r>
      <w:r w:rsidR="06F3E2C9" w:rsidRPr="29E43697">
        <w:rPr>
          <w:vertAlign w:val="superscript"/>
        </w:rPr>
        <w:t>7</w:t>
      </w:r>
      <w:r w:rsidR="00BF6018">
        <w:rPr>
          <w:vertAlign w:val="superscript"/>
        </w:rPr>
        <w:t>1</w:t>
      </w:r>
      <w:r w:rsidRPr="29E43697">
        <w:rPr>
          <w:vertAlign w:val="superscript"/>
        </w:rPr>
        <w:t xml:space="preserve"> </w:t>
      </w:r>
      <w:r>
        <w:t>(</w:t>
      </w:r>
      <w:r w:rsidR="5D2ADD24">
        <w:t>N</w:t>
      </w:r>
      <w:r>
        <w:t>on-24-hour facility)</w:t>
      </w:r>
    </w:p>
    <w:p w14:paraId="08889D8D" w14:textId="7638611D" w:rsidR="00E63AF2" w:rsidRPr="0009132C" w:rsidRDefault="382974D0" w:rsidP="00E63AF2">
      <w:pPr>
        <w:pStyle w:val="Bullet1"/>
      </w:pPr>
      <w:r>
        <w:t>Structured Outpatient Addiction Program (SOAP)</w:t>
      </w:r>
      <w:r w:rsidR="06F3E2C9" w:rsidRPr="29E43697">
        <w:rPr>
          <w:vertAlign w:val="superscript"/>
        </w:rPr>
        <w:t>7</w:t>
      </w:r>
      <w:r w:rsidR="00BF6018">
        <w:rPr>
          <w:vertAlign w:val="superscript"/>
        </w:rPr>
        <w:t>1</w:t>
      </w:r>
      <w:r>
        <w:t xml:space="preserve"> (</w:t>
      </w:r>
      <w:r w:rsidR="5D2ADD24">
        <w:t>N</w:t>
      </w:r>
      <w:r>
        <w:t>on-24-hour facility)</w:t>
      </w:r>
    </w:p>
    <w:p w14:paraId="7C10EAA8" w14:textId="29BB477F" w:rsidR="00E63AF2" w:rsidRPr="0009132C" w:rsidRDefault="382974D0" w:rsidP="00E63AF2">
      <w:pPr>
        <w:pStyle w:val="Bullet1"/>
      </w:pPr>
      <w:r>
        <w:t>Emergency Services Program (ESP)</w:t>
      </w:r>
      <w:r w:rsidR="06F3E2C9" w:rsidRPr="29E43697">
        <w:rPr>
          <w:vertAlign w:val="superscript"/>
        </w:rPr>
        <w:t>7</w:t>
      </w:r>
      <w:r w:rsidR="00BF6018">
        <w:rPr>
          <w:vertAlign w:val="superscript"/>
        </w:rPr>
        <w:t>1</w:t>
      </w:r>
      <w:r w:rsidR="06F3E2C9" w:rsidRPr="29E43697">
        <w:rPr>
          <w:vertAlign w:val="superscript"/>
        </w:rPr>
        <w:t xml:space="preserve"> </w:t>
      </w:r>
      <w:r w:rsidRPr="29E43697">
        <w:rPr>
          <w:vertAlign w:val="superscript"/>
        </w:rPr>
        <w:t xml:space="preserve"> </w:t>
      </w:r>
      <w:r>
        <w:t>(</w:t>
      </w:r>
      <w:r w:rsidR="5D2ADD24">
        <w:t>R</w:t>
      </w:r>
      <w:r>
        <w:t xml:space="preserve">enamed Mobile Crisis Intervention as of </w:t>
      </w:r>
      <w:r w:rsidR="006E3539">
        <w:t xml:space="preserve">January </w:t>
      </w:r>
      <w:r>
        <w:t>2023)</w:t>
      </w:r>
    </w:p>
    <w:p w14:paraId="200256FB" w14:textId="77777777" w:rsidR="00BC742E" w:rsidRPr="0009132C" w:rsidRDefault="00BC742E" w:rsidP="00301DAB">
      <w:pPr>
        <w:pStyle w:val="Heading4"/>
      </w:pPr>
      <w:r w:rsidRPr="0009132C">
        <w:t>SUD Services Domain Components</w:t>
      </w:r>
    </w:p>
    <w:p w14:paraId="79D198DD" w14:textId="0644AEFD" w:rsidR="00BC742E" w:rsidRPr="0009132C" w:rsidRDefault="00BC742E" w:rsidP="008A58E2">
      <w:bookmarkStart w:id="115" w:name="_Hlk124330296"/>
      <w:r w:rsidRPr="0009132C">
        <w:t>As outlined in the STCs, the following is a summary of SUD/OUD Services that the Commonwealth will cover under the Demonstration</w:t>
      </w:r>
      <w:bookmarkEnd w:id="115"/>
      <w:r w:rsidRPr="0009132C">
        <w:t>:</w:t>
      </w:r>
    </w:p>
    <w:p w14:paraId="78E25CB4" w14:textId="77777777" w:rsidR="00BC742E" w:rsidRPr="0009132C" w:rsidRDefault="0BFC8D86" w:rsidP="008932AC">
      <w:pPr>
        <w:pStyle w:val="Bullet1"/>
      </w:pPr>
      <w:r>
        <w:t>ASAM Level 3.3 Clinically Managed Population-Specific High-Intensity</w:t>
      </w:r>
      <w:r w:rsidR="33C83505">
        <w:t xml:space="preserve"> (not currently implemented)</w:t>
      </w:r>
    </w:p>
    <w:p w14:paraId="1F0B6080" w14:textId="77777777" w:rsidR="00BC742E" w:rsidRPr="0009132C" w:rsidRDefault="0BFC8D86" w:rsidP="008932AC">
      <w:pPr>
        <w:pStyle w:val="Bullet1"/>
      </w:pPr>
      <w:r>
        <w:t>ASAM Level 3.1 Clinically Managed Low-Intensity Residential Services (24-hour Transitional Support Services)</w:t>
      </w:r>
    </w:p>
    <w:p w14:paraId="1281D2C3" w14:textId="77777777" w:rsidR="00BC742E" w:rsidRPr="0009132C" w:rsidRDefault="0BFC8D86" w:rsidP="008932AC">
      <w:pPr>
        <w:pStyle w:val="Bullet1"/>
      </w:pPr>
      <w:r>
        <w:lastRenderedPageBreak/>
        <w:t>ASAM Level 3.1 Clinically Managed Low-Intensity Residential Services (24-hour Residential Rehabilitation Services and 24-hour community-based family, transition-age youth, and youth SUD treatment services)</w:t>
      </w:r>
    </w:p>
    <w:p w14:paraId="197F4887" w14:textId="77777777" w:rsidR="00BC742E" w:rsidRPr="0009132C" w:rsidRDefault="0BFC8D86" w:rsidP="008932AC">
      <w:pPr>
        <w:pStyle w:val="Bullet1"/>
      </w:pPr>
      <w:r>
        <w:t>Recovery support navigator services</w:t>
      </w:r>
    </w:p>
    <w:p w14:paraId="430E13AC" w14:textId="77777777" w:rsidR="00BC742E" w:rsidRPr="0009132C" w:rsidRDefault="0BFC8D86" w:rsidP="008932AC">
      <w:pPr>
        <w:pStyle w:val="Bullet1"/>
      </w:pPr>
      <w:r>
        <w:t>Recovery coach services</w:t>
      </w:r>
    </w:p>
    <w:p w14:paraId="0E1582E8" w14:textId="77777777" w:rsidR="00BC742E" w:rsidRPr="0009132C" w:rsidRDefault="0BFC8D86" w:rsidP="008932AC">
      <w:pPr>
        <w:pStyle w:val="Bullet1"/>
      </w:pPr>
      <w:r>
        <w:t>ASAM Level 3.5 Clinical Stabilization Services</w:t>
      </w:r>
    </w:p>
    <w:p w14:paraId="6A4BB474" w14:textId="77777777" w:rsidR="00BC742E" w:rsidRPr="0009132C" w:rsidRDefault="0BFC8D86" w:rsidP="008932AC">
      <w:pPr>
        <w:pStyle w:val="Bullet1"/>
      </w:pPr>
      <w:r>
        <w:t xml:space="preserve">ASAM Level 3.7 Acute Treatment Services </w:t>
      </w:r>
    </w:p>
    <w:p w14:paraId="28369D88" w14:textId="77777777" w:rsidR="00E10060" w:rsidRPr="0009132C" w:rsidRDefault="395353D8" w:rsidP="008932AC">
      <w:pPr>
        <w:pStyle w:val="Bullet1"/>
      </w:pPr>
      <w:r w:rsidRPr="0009132C">
        <w:t>ASAM Level 4 Inpatient Medically Managed Addiction Treatment</w:t>
      </w:r>
      <w:r w:rsidR="00E10060" w:rsidRPr="0009132C">
        <w:rPr>
          <w:rStyle w:val="FootnoteReference"/>
        </w:rPr>
        <w:footnoteReference w:id="73"/>
      </w:r>
    </w:p>
    <w:p w14:paraId="19243C43" w14:textId="77777777" w:rsidR="00BC742E" w:rsidRPr="0009132C" w:rsidRDefault="00BC742E" w:rsidP="00301DAB">
      <w:pPr>
        <w:pStyle w:val="Heading4"/>
      </w:pPr>
      <w:r w:rsidRPr="0009132C">
        <w:t>SMI/SED Services Domain Components</w:t>
      </w:r>
    </w:p>
    <w:p w14:paraId="1486A53D" w14:textId="6DF1E091" w:rsidR="00BC742E" w:rsidRPr="0009132C" w:rsidRDefault="00BC742E" w:rsidP="001C0B48">
      <w:pPr>
        <w:spacing w:after="200"/>
      </w:pPr>
      <w:bookmarkStart w:id="116" w:name="_Hlk129255645"/>
      <w:r w:rsidRPr="0009132C">
        <w:t>As outlined in the STCs, the following is a summary of SMI/SED Services that the Commonwealth will cover under the Demonstration</w:t>
      </w:r>
      <w:bookmarkEnd w:id="116"/>
      <w:r w:rsidR="00F87E74" w:rsidRPr="0009132C">
        <w:t>:</w:t>
      </w:r>
    </w:p>
    <w:p w14:paraId="0C7DD022" w14:textId="77777777" w:rsidR="00BC742E" w:rsidRPr="0009132C" w:rsidRDefault="0BFC8D86" w:rsidP="003C6C8F">
      <w:pPr>
        <w:pStyle w:val="Bullet1"/>
      </w:pPr>
      <w:r w:rsidRPr="0009132C">
        <w:t>Community Crisis Stabilization (CCS)</w:t>
      </w:r>
      <w:r w:rsidR="00BC742E" w:rsidRPr="0009132C">
        <w:rPr>
          <w:rStyle w:val="FootnoteReference"/>
        </w:rPr>
        <w:footnoteReference w:id="74"/>
      </w:r>
    </w:p>
    <w:p w14:paraId="51A659F4" w14:textId="61FC44BF" w:rsidR="00BC742E" w:rsidRPr="0009132C" w:rsidRDefault="0BFC8D86" w:rsidP="003C6C8F">
      <w:pPr>
        <w:pStyle w:val="Bullet1"/>
      </w:pPr>
      <w:r>
        <w:t xml:space="preserve">Acute psychiatric inpatient </w:t>
      </w:r>
      <w:r w:rsidR="02F484A4">
        <w:t xml:space="preserve">services delivered in </w:t>
      </w:r>
      <w:r>
        <w:t>facilities that qualify as IMDs</w:t>
      </w:r>
      <w:r w:rsidR="49FCCFC1" w:rsidRPr="29E43697">
        <w:rPr>
          <w:vertAlign w:val="superscript"/>
        </w:rPr>
        <w:t>7</w:t>
      </w:r>
      <w:r w:rsidR="39486372" w:rsidRPr="29E43697">
        <w:rPr>
          <w:vertAlign w:val="superscript"/>
        </w:rPr>
        <w:t>2</w:t>
      </w:r>
    </w:p>
    <w:p w14:paraId="75D5C8EB" w14:textId="3A829268" w:rsidR="00BC742E" w:rsidRPr="0009132C" w:rsidRDefault="0BFC8D86" w:rsidP="003C6C8F">
      <w:pPr>
        <w:pStyle w:val="Bullet1"/>
      </w:pPr>
      <w:r w:rsidRPr="0009132C">
        <w:t>Community-Based Acute Treatment for Children and Adolescents (CBAT)</w:t>
      </w:r>
      <w:r w:rsidR="000C1F67" w:rsidRPr="29E43697">
        <w:rPr>
          <w:rStyle w:val="FootnoteReference"/>
          <w:rFonts w:eastAsiaTheme="majorEastAsia"/>
        </w:rPr>
        <w:footnoteReference w:id="75"/>
      </w:r>
    </w:p>
    <w:p w14:paraId="2589D310" w14:textId="77777777" w:rsidR="00BC742E" w:rsidRPr="0009132C" w:rsidRDefault="00BC742E" w:rsidP="00301DAB">
      <w:pPr>
        <w:pStyle w:val="Heading4"/>
      </w:pPr>
      <w:r w:rsidRPr="0009132C">
        <w:t xml:space="preserve">Desired BH Outcomes </w:t>
      </w:r>
    </w:p>
    <w:p w14:paraId="3372D1AC" w14:textId="77777777" w:rsidR="00BC742E" w:rsidRPr="0009132C" w:rsidRDefault="00BC742E" w:rsidP="001C0B48">
      <w:pPr>
        <w:spacing w:after="200"/>
      </w:pPr>
      <w:r w:rsidRPr="0009132C">
        <w:t>The overall desired member outcomes for the BH policy domain of the Demonstration include the following:</w:t>
      </w:r>
    </w:p>
    <w:p w14:paraId="56E28A8D" w14:textId="2A3D7A46" w:rsidR="00BC742E" w:rsidRPr="001C0B48" w:rsidRDefault="0BFC8D86" w:rsidP="003C6C8F">
      <w:pPr>
        <w:pStyle w:val="Bullet1"/>
        <w:rPr>
          <w:rFonts w:cs="Times New Roman (Body CS)"/>
          <w:spacing w:val="-4"/>
        </w:rPr>
      </w:pPr>
      <w:r w:rsidRPr="001C0B48">
        <w:rPr>
          <w:rFonts w:cs="Times New Roman (Body CS)"/>
          <w:spacing w:val="-4"/>
        </w:rPr>
        <w:t>Reduce the time spent i</w:t>
      </w:r>
      <w:r w:rsidR="00C46D1B" w:rsidRPr="001C0B48">
        <w:rPr>
          <w:rFonts w:cs="Times New Roman (Body CS)"/>
          <w:spacing w:val="-4"/>
        </w:rPr>
        <w:t>n</w:t>
      </w:r>
      <w:r w:rsidRPr="001C0B48">
        <w:rPr>
          <w:rFonts w:cs="Times New Roman (Body CS)"/>
          <w:spacing w:val="-4"/>
        </w:rPr>
        <w:t xml:space="preserve"> EDs awaiting placement in a clinically appropriate level of care</w:t>
      </w:r>
    </w:p>
    <w:p w14:paraId="4BEA1F9C" w14:textId="77777777" w:rsidR="00BC742E" w:rsidRPr="0009132C" w:rsidRDefault="0BFC8D86" w:rsidP="003C6C8F">
      <w:pPr>
        <w:pStyle w:val="Bullet1"/>
      </w:pPr>
      <w:r>
        <w:t>Shorten medically necessary inpatient lengths of stay</w:t>
      </w:r>
    </w:p>
    <w:p w14:paraId="6FCB7C16" w14:textId="77777777" w:rsidR="00BC742E" w:rsidRPr="0009132C" w:rsidRDefault="0BFC8D86" w:rsidP="003C6C8F">
      <w:pPr>
        <w:pStyle w:val="Bullet1"/>
      </w:pPr>
      <w:r>
        <w:t>Reduce overdoses and overdose deaths, particularly due to opioids</w:t>
      </w:r>
    </w:p>
    <w:p w14:paraId="6C643EB7" w14:textId="33DED2CD" w:rsidR="00BC742E" w:rsidRPr="0009132C" w:rsidRDefault="0BFC8D86" w:rsidP="003C6C8F">
      <w:pPr>
        <w:pStyle w:val="Bullet1"/>
      </w:pPr>
      <w:r>
        <w:t xml:space="preserve">Decrease 30-day </w:t>
      </w:r>
      <w:r w:rsidR="00A73C8B">
        <w:t>all-</w:t>
      </w:r>
      <w:r>
        <w:t>cause readmissions to acute BH hospitals and residential programs</w:t>
      </w:r>
    </w:p>
    <w:p w14:paraId="5CC6F3E1" w14:textId="77777777" w:rsidR="00BC742E" w:rsidRPr="0009132C" w:rsidRDefault="0BFC8D86" w:rsidP="003C6C8F">
      <w:pPr>
        <w:pStyle w:val="Bullet1"/>
      </w:pPr>
      <w:r>
        <w:t>Increase utilization of medically necessary community BH services</w:t>
      </w:r>
    </w:p>
    <w:p w14:paraId="5786F340" w14:textId="77777777" w:rsidR="00BC742E" w:rsidRPr="0009132C" w:rsidRDefault="0BFC8D86" w:rsidP="003C6C8F">
      <w:pPr>
        <w:pStyle w:val="Bullet1"/>
      </w:pPr>
      <w:r>
        <w:t>Improve access to physical healthcare for members with BH diagnoses</w:t>
      </w:r>
    </w:p>
    <w:p w14:paraId="6F2EC965" w14:textId="77777777" w:rsidR="00BC742E" w:rsidRPr="0009132C" w:rsidRDefault="0BFC8D86" w:rsidP="003C6C8F">
      <w:pPr>
        <w:pStyle w:val="Bullet1"/>
      </w:pPr>
      <w:r>
        <w:t>Increase rates of identification, initiation, and engagement in treatment for SUD</w:t>
      </w:r>
    </w:p>
    <w:p w14:paraId="70F11E26" w14:textId="77777777" w:rsidR="00BC742E" w:rsidRPr="0009132C" w:rsidRDefault="0BFC8D86" w:rsidP="003C6C8F">
      <w:pPr>
        <w:pStyle w:val="Bullet1"/>
      </w:pPr>
      <w:r>
        <w:t>Increase adherence to and retention in SUD treatment</w:t>
      </w:r>
    </w:p>
    <w:p w14:paraId="6D1E9EC0" w14:textId="7B00E2B0" w:rsidR="00BC742E" w:rsidRPr="0009132C" w:rsidRDefault="0BFC8D86" w:rsidP="003C6C8F">
      <w:pPr>
        <w:pStyle w:val="Bullet1"/>
      </w:pPr>
      <w:r>
        <w:t>Reduce utilization o</w:t>
      </w:r>
      <w:r w:rsidR="00C46D1B">
        <w:t>f</w:t>
      </w:r>
      <w:r>
        <w:t xml:space="preserve"> EDs and inpatient hospital settings for treatment where the utilization is preventable or medically inappropriate through improved access to other continuum of care services</w:t>
      </w:r>
    </w:p>
    <w:p w14:paraId="4ABD0AD5" w14:textId="77777777" w:rsidR="00BC742E" w:rsidRPr="005C24BA" w:rsidRDefault="0BFC8D86" w:rsidP="00464168">
      <w:pPr>
        <w:pStyle w:val="Bullet1"/>
      </w:pPr>
      <w:r>
        <w:t>Balance the benefits and costs of Demonstration services</w:t>
      </w:r>
    </w:p>
    <w:p w14:paraId="51557A8C" w14:textId="77777777" w:rsidR="00BC742E" w:rsidRPr="0009132C" w:rsidRDefault="00BC742E" w:rsidP="00EE4105">
      <w:pPr>
        <w:pStyle w:val="Heading3"/>
      </w:pPr>
      <w:r w:rsidRPr="0009132C">
        <w:lastRenderedPageBreak/>
        <w:t xml:space="preserve">BH Policy Domain Implementation Plans and Timeline </w:t>
      </w:r>
    </w:p>
    <w:p w14:paraId="256A7FD8" w14:textId="534777A9" w:rsidR="007A472E" w:rsidRPr="00CA6351" w:rsidRDefault="00BC742E" w:rsidP="005B0F50">
      <w:r w:rsidRPr="0009132C">
        <w:t>The evaluation of the BH domain will rely on a mixed</w:t>
      </w:r>
      <w:r w:rsidR="00F1439D">
        <w:t xml:space="preserve"> </w:t>
      </w:r>
      <w:r w:rsidRPr="0009132C">
        <w:t>methods approach to determine whether and how the investments made through the BH program are contributing to achieving the Demonstration goals as described in the STCs</w:t>
      </w:r>
      <w:r w:rsidRPr="3383C28C">
        <w:rPr>
          <w:rStyle w:val="FootnoteReference"/>
          <w:rFonts w:eastAsiaTheme="majorEastAsia"/>
        </w:rPr>
        <w:footnoteReference w:id="76"/>
      </w:r>
      <w:r w:rsidRPr="0009132C">
        <w:t xml:space="preserve"> and SMI/SED Implementation Plan, in particular STC 7.2.</w:t>
      </w:r>
      <w:r w:rsidRPr="3383C28C">
        <w:rPr>
          <w:rStyle w:val="FootnoteReference"/>
          <w:rFonts w:eastAsiaTheme="majorEastAsia"/>
        </w:rPr>
        <w:footnoteReference w:id="77"/>
      </w:r>
    </w:p>
    <w:p w14:paraId="0E755AA2" w14:textId="20A6A96D" w:rsidR="005B0F50" w:rsidRPr="005B0F50" w:rsidRDefault="002B0A93" w:rsidP="00CA6351">
      <w:pPr>
        <w:pStyle w:val="Heading2"/>
      </w:pPr>
      <w:r>
        <w:t xml:space="preserve"> </w:t>
      </w:r>
      <w:bookmarkStart w:id="117" w:name="_Toc151976424"/>
      <w:r w:rsidR="005B0F50" w:rsidRPr="005B0F50">
        <w:t>Logic Model</w:t>
      </w:r>
      <w:bookmarkEnd w:id="117"/>
      <w:r w:rsidR="005B0F50" w:rsidRPr="005B0F50">
        <w:t xml:space="preserve"> </w:t>
      </w:r>
    </w:p>
    <w:p w14:paraId="4722ACA0" w14:textId="17DAC607" w:rsidR="005B0F50" w:rsidRPr="0009132C" w:rsidRDefault="005B0F50" w:rsidP="005B0F50">
      <w:r w:rsidRPr="0009132C">
        <w:t xml:space="preserve">The BH logic model </w:t>
      </w:r>
      <w:r w:rsidR="00990690">
        <w:t xml:space="preserve">in </w:t>
      </w:r>
      <w:r w:rsidR="00990690" w:rsidRPr="00FF4ED5">
        <w:rPr>
          <w:color w:val="000F9F"/>
          <w:u w:val="single"/>
        </w:rPr>
        <w:fldChar w:fldCharType="begin"/>
      </w:r>
      <w:r w:rsidR="00990690" w:rsidRPr="00FF4ED5">
        <w:rPr>
          <w:color w:val="000F9F"/>
          <w:u w:val="single"/>
        </w:rPr>
        <w:instrText xml:space="preserve"> REF _Ref151466613 \h  \* MERGEFORMAT </w:instrText>
      </w:r>
      <w:r w:rsidR="00990690" w:rsidRPr="00FF4ED5">
        <w:rPr>
          <w:color w:val="000F9F"/>
          <w:u w:val="single"/>
        </w:rPr>
      </w:r>
      <w:r w:rsidR="00990690" w:rsidRPr="00FF4ED5">
        <w:rPr>
          <w:color w:val="000F9F"/>
          <w:u w:val="single"/>
        </w:rPr>
        <w:fldChar w:fldCharType="separate"/>
      </w:r>
      <w:r w:rsidR="00990690" w:rsidRPr="00FF4ED5">
        <w:rPr>
          <w:color w:val="000F9F"/>
          <w:sz w:val="22"/>
          <w:szCs w:val="22"/>
          <w:u w:val="single"/>
        </w:rPr>
        <w:t>Figure 4</w:t>
      </w:r>
      <w:r w:rsidR="00990690" w:rsidRPr="00FF4ED5">
        <w:rPr>
          <w:color w:val="000F9F"/>
          <w:sz w:val="22"/>
          <w:szCs w:val="22"/>
          <w:u w:val="single"/>
        </w:rPr>
        <w:noBreakHyphen/>
        <w:t>1</w:t>
      </w:r>
      <w:r w:rsidR="00990690" w:rsidRPr="00FF4ED5">
        <w:rPr>
          <w:color w:val="000F9F"/>
          <w:u w:val="single"/>
        </w:rPr>
        <w:fldChar w:fldCharType="end"/>
      </w:r>
      <w:r w:rsidRPr="0009132C">
        <w:t xml:space="preserve"> links the Demonstration Goals to the Demonstration Inputs, Implementation Activities, Outputs, and Outcomes and Impact of the Demonstration. The research questions (RQs) and hypotheses that follow are guided by this logic.</w:t>
      </w:r>
    </w:p>
    <w:p w14:paraId="30D175C3" w14:textId="77777777" w:rsidR="005B0F50" w:rsidRDefault="005B0F50" w:rsidP="00BC742E">
      <w:pPr>
        <w:rPr>
          <w:rFonts w:eastAsiaTheme="majorEastAsia"/>
        </w:rPr>
      </w:pPr>
    </w:p>
    <w:p w14:paraId="51F8969B" w14:textId="77777777" w:rsidR="005B0F50" w:rsidRDefault="005B0F50" w:rsidP="00BC742E">
      <w:pPr>
        <w:rPr>
          <w:rFonts w:eastAsiaTheme="majorEastAsia"/>
        </w:rPr>
      </w:pPr>
    </w:p>
    <w:p w14:paraId="385ED174" w14:textId="77777777" w:rsidR="005B0F50" w:rsidRPr="0009132C" w:rsidRDefault="005B0F50" w:rsidP="00BC742E">
      <w:pPr>
        <w:rPr>
          <w:rFonts w:eastAsiaTheme="majorEastAsia"/>
        </w:rPr>
        <w:sectPr w:rsidR="005B0F50" w:rsidRPr="0009132C" w:rsidSect="00744E1B">
          <w:headerReference w:type="first" r:id="rId24"/>
          <w:endnotePr>
            <w:numFmt w:val="decimal"/>
            <w:numStart w:val="3"/>
          </w:endnotePr>
          <w:pgSz w:w="12240" w:h="15840"/>
          <w:pgMar w:top="1440" w:right="1440" w:bottom="1440" w:left="1440" w:header="720" w:footer="720" w:gutter="0"/>
          <w:cols w:space="720"/>
          <w:docGrid w:linePitch="360"/>
        </w:sectPr>
      </w:pPr>
    </w:p>
    <w:p w14:paraId="61EC95FA" w14:textId="17541C7C" w:rsidR="008E2E41" w:rsidRPr="005B47F7" w:rsidRDefault="008E2E41" w:rsidP="00741C3C">
      <w:pPr>
        <w:pStyle w:val="FigureorTableTitle"/>
      </w:pPr>
      <w:bookmarkStart w:id="118" w:name="_Ref151466613"/>
      <w:bookmarkStart w:id="119" w:name="_Toc151976469"/>
      <w:r w:rsidRPr="00173BC5">
        <w:lastRenderedPageBreak/>
        <w:t xml:space="preserve">Figure </w:t>
      </w:r>
      <w:r>
        <w:fldChar w:fldCharType="begin"/>
      </w:r>
      <w:r>
        <w:instrText xml:space="preserve"> STYLEREF 1 \s </w:instrText>
      </w:r>
      <w:r>
        <w:fldChar w:fldCharType="separate"/>
      </w:r>
      <w:r w:rsidRPr="00173BC5">
        <w:t>4</w:t>
      </w:r>
      <w:r>
        <w:fldChar w:fldCharType="end"/>
      </w:r>
      <w:r w:rsidRPr="00173BC5">
        <w:noBreakHyphen/>
      </w:r>
      <w:r>
        <w:fldChar w:fldCharType="begin"/>
      </w:r>
      <w:r>
        <w:instrText xml:space="preserve"> SEQ Figure \* ARABIC \s 1 </w:instrText>
      </w:r>
      <w:r>
        <w:fldChar w:fldCharType="separate"/>
      </w:r>
      <w:r w:rsidRPr="00173BC5">
        <w:t>1</w:t>
      </w:r>
      <w:r>
        <w:fldChar w:fldCharType="end"/>
      </w:r>
      <w:bookmarkEnd w:id="118"/>
      <w:r w:rsidRPr="00173BC5">
        <w:t>: Logic Model for the BH Component of the Demonstration</w:t>
      </w:r>
      <w:bookmarkEnd w:id="119"/>
    </w:p>
    <w:p w14:paraId="4157A070" w14:textId="5625F261" w:rsidR="00067E04" w:rsidRDefault="00A3584D" w:rsidP="00375D5F">
      <w:r w:rsidRPr="00A3584D">
        <w:rPr>
          <w:noProof/>
        </w:rPr>
        <w:drawing>
          <wp:inline distT="0" distB="0" distL="0" distR="0" wp14:anchorId="08D05FD0" wp14:editId="2E03F47B">
            <wp:extent cx="8595360" cy="4993783"/>
            <wp:effectExtent l="0" t="0" r="0" b="0"/>
            <wp:docPr id="870232286" name="Picture 870232286" descr="At the top of this model diagram is a long horizontal gray box with the title, Contextual Factors. Under this title is the following text: Macro-Economy; Public Health Emergency; BH Roadmap Implementation; behavioral health workforce shortages. &#10;&#10;At the bottom edge of the gray box are four arrows pointing down and center-aligned to four tall boxes arranged horizontally from left to right. &#10;&#10;In the empty space between each box is an arrow pointing to the right suggesting that each box leads into the next from left to right. &#10;&#10;The first box is light blue and titled: Demonstration Initiatives. Beneath this title are three items and their related bullets.&#10;&#10;Item 1 is: BH Diversionary Services (Revised* and Continuing). The asterisk refers to the following text: ESP/MCI, structured outpatient addiction program (SOAP), psychiatric day treatment, partial hospitalization, intensive outpatient are state plan services. ASAM 4.0 is state plan except for IMD waiver authority. Transitional Care Unit is continuing. &#10;&#10;Under Item 1, BH Diversionary Services, are the following bullets: • Community Support Program (expanded to FFS); • Transitional Care Unit Services; • Program of Assertive Community Treatment (expanded population to FFS).  &#10;&#10;Item 2 is: SUD Services (Continuing). Under this are the following bullets: • ASAM Level 3.3; • ASAM Level 3.1 Programs; • ASAM 3.5; • ASAM 3.7; • ASAM 4.0* new 8/22 for IMD authority (The asterisk refers to the following text: ESP/MCI, structured outpatient addiction program (SOAP), psychiatric day treatment, partial hospitalization, intensive outpatient are state plan services. ASAM 4.0 is state plan except for IMD waiver authority. Transitional Care Unit is continuing.); • Recovery Support Navigator Services; • Recovery  Coach Services.&#10;&#10;Item 3 is: SMI/SED (new as of August 2022). Under this are the following bullets: • Community Based Acute Treatment for Children and Adolescents**; • Acute psychiatric impatient; • Community Crisis Stabilization (added for &lt;18)**. The double asterisk in the previous two bullets refers to the following text: CCS (except for the &lt;18 population) and CBAT are continued from the previous waiver under IMD authority as of August 2022.&#10;&#10;The second box is medium blue and titled, Implementation. Beneath this title are the following bullets: • Implementation of screening for co-morbid physical health conditions, mental illness, and SUDs in all 24-hour diversionary services, SUD services, and IMDs; • Referrals for healthcare and BH care services in non-24- hour services and CSPs; • Intensive pre-discharge planning and care coordination in all 24-hour diversionary services, SUD services, and IMDs; • Implementation and expansion of Health IT functionality, including the PDMP.&#10;&#10;The third box is blue and titled, Outputs. Beneath this title are the following bullets: • Warm handoffs to community behavioral health  providers upon discharge from IMDs and emergency departments; • Referral and coordination of health care services for BH patients with co-morbidities; • Acute BH inpatient diversion for adults and youth; • Coordinated early discharge planning from 24-hour diversionary service, 24-hour SUD services, and IMDs.&#10;&#10;The fourth box is green and titled, Outcome and Impact. Beneath this title are four items and their related bullets.&#10;&#10;Item 1 is: Member Experience – Access (Focus).&#10;&#10;Item 2 is: Organization and Individual Provider Experience.&#10;  &#10;Item 3 is: Member Outcomes. Under this are the following bullets: • Decreased ED lengths of stay; • Shortened medically necessary inpatient lengths of stay; • Reduce overdoses and overdose deaths, particularly due to opioids; • Decreased  all cause unplanned 30- readmissions to acute BH hospitals and residential programs; • Increased utilization of medically necessary community BH services; • Improved access to physical health care for members with BH diagnoses.&#10;&#10;Item 4 is: Cost and Financial Sustainability. Under this is the following bullet: •  The benefit of the program will equal or exceed the cost (Total investment cost and benefits).&#10;&#10;Beneath these four boxes is a horizontal line with four arrow lines branching off of it, pointing upward, and almost touching the bottom of the four boxes above it. On the horizontal line is the following text: Inform programmatic improvement. This indicates that the contents in the boxes the arrows are pointing to will inform programmatic improvement.">
              <a:extLst xmlns:a="http://schemas.openxmlformats.org/drawingml/2006/main">
                <a:ext uri="{FF2B5EF4-FFF2-40B4-BE49-F238E27FC236}">
                  <a16:creationId xmlns:a16="http://schemas.microsoft.com/office/drawing/2014/main" id="{B3D53B8E-9311-0F10-37A2-477D03AC6A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232286" name="Picture 870232286" descr="At the top of this model diagram is a long horizontal gray box with the title, Contextual Factors. Under this title is the following text: Macro-Economy; Public Health Emergency; BH Roadmap Implementation; behavioral health workforce shortages. &#10;&#10;At the bottom edge of the gray box are four arrows pointing down and center-aligned to four tall boxes arranged horizontally from left to right. &#10;&#10;In the empty space between each box is an arrow pointing to the right suggesting that each box leads into the next from left to right. &#10;&#10;The first box is light blue and titled: Demonstration Initiatives. Beneath this title are three items and their related bullets.&#10;&#10;Item 1 is: BH Diversionary Services (Revised* and Continuing). The asterisk refers to the following text: ESP/MCI, structured outpatient addiction program (SOAP), psychiatric day treatment, partial hospitalization, intensive outpatient are state plan services. ASAM 4.0 is state plan except for IMD waiver authority. Transitional Care Unit is continuing. &#10;&#10;Under Item 1, BH Diversionary Services, are the following bullets: • Community Support Program (expanded to FFS); • Transitional Care Unit Services; • Program of Assertive Community Treatment (expanded population to FFS).  &#10;&#10;Item 2 is: SUD Services (Continuing). Under this are the following bullets: • ASAM Level 3.3; • ASAM Level 3.1 Programs; • ASAM 3.5; • ASAM 3.7; • ASAM 4.0* new 8/22 for IMD authority (The asterisk refers to the following text: ESP/MCI, structured outpatient addiction program (SOAP), psychiatric day treatment, partial hospitalization, intensive outpatient are state plan services. ASAM 4.0 is state plan except for IMD waiver authority. Transitional Care Unit is continuing.); • Recovery Support Navigator Services; • Recovery  Coach Services.&#10;&#10;Item 3 is: SMI/SED (new as of August 2022). Under this are the following bullets: • Community Based Acute Treatment for Children and Adolescents**; • Acute psychiatric impatient; • Community Crisis Stabilization (added for &lt;18)**. The double asterisk in the previous two bullets refers to the following text: CCS (except for the &lt;18 population) and CBAT are continued from the previous waiver under IMD authority as of August 2022.&#10;&#10;The second box is medium blue and titled, Implementation. Beneath this title are the following bullets: • Implementation of screening for co-morbid physical health conditions, mental illness, and SUDs in all 24-hour diversionary services, SUD services, and IMDs; • Referrals for healthcare and BH care services in non-24- hour services and CSPs; • Intensive pre-discharge planning and care coordination in all 24-hour diversionary services, SUD services, and IMDs; • Implementation and expansion of Health IT functionality, including the PDMP.&#10;&#10;The third box is blue and titled, Outputs. Beneath this title are the following bullets: • Warm handoffs to community behavioral health  providers upon discharge from IMDs and emergency departments; • Referral and coordination of health care services for BH patients with co-morbidities; • Acute BH inpatient diversion for adults and youth; • Coordinated early discharge planning from 24-hour diversionary service, 24-hour SUD services, and IMDs.&#10;&#10;The fourth box is green and titled, Outcome and Impact. Beneath this title are four items and their related bullets.&#10;&#10;Item 1 is: Member Experience – Access (Focus).&#10;&#10;Item 2 is: Organization and Individual Provider Experience.&#10;  &#10;Item 3 is: Member Outcomes. Under this are the following bullets: • Decreased ED lengths of stay; • Shortened medically necessary inpatient lengths of stay; • Reduce overdoses and overdose deaths, particularly due to opioids; • Decreased  all cause unplanned 30- readmissions to acute BH hospitals and residential programs; • Increased utilization of medically necessary community BH services; • Improved access to physical health care for members with BH diagnoses.&#10;&#10;Item 4 is: Cost and Financial Sustainability. Under this is the following bullet: •  The benefit of the program will equal or exceed the cost (Total investment cost and benefits).&#10;&#10;Beneath these four boxes is a horizontal line with four arrow lines branching off of it, pointing upward, and almost touching the bottom of the four boxes above it. On the horizontal line is the following text: Inform programmatic improvement. This indicates that the contents in the boxes the arrows are pointing to will inform programmatic improvement.">
                      <a:extLst>
                        <a:ext uri="{FF2B5EF4-FFF2-40B4-BE49-F238E27FC236}">
                          <a16:creationId xmlns:a16="http://schemas.microsoft.com/office/drawing/2014/main" id="{B3D53B8E-9311-0F10-37A2-477D03AC6A75}"/>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bwMode="auto">
                    <a:xfrm>
                      <a:off x="0" y="0"/>
                      <a:ext cx="8595360" cy="4993783"/>
                    </a:xfrm>
                    <a:prstGeom prst="rect">
                      <a:avLst/>
                    </a:prstGeom>
                    <a:noFill/>
                    <a:ln>
                      <a:noFill/>
                    </a:ln>
                  </pic:spPr>
                </pic:pic>
              </a:graphicData>
            </a:graphic>
          </wp:inline>
        </w:drawing>
      </w:r>
    </w:p>
    <w:p w14:paraId="14FC8533" w14:textId="77777777" w:rsidR="008E2E41" w:rsidRDefault="008E2E41" w:rsidP="00375D5F"/>
    <w:p w14:paraId="16438AC3" w14:textId="656A7D59" w:rsidR="002A497C" w:rsidRPr="0009132C" w:rsidRDefault="002A497C" w:rsidP="00375D5F">
      <w:pPr>
        <w:sectPr w:rsidR="002A497C" w:rsidRPr="0009132C" w:rsidSect="00744E1B">
          <w:pgSz w:w="15840" w:h="12240" w:orient="landscape"/>
          <w:pgMar w:top="1152" w:right="1152" w:bottom="1152" w:left="1152" w:header="720" w:footer="720" w:gutter="0"/>
          <w:cols w:space="720"/>
          <w:docGrid w:linePitch="360"/>
        </w:sectPr>
      </w:pPr>
    </w:p>
    <w:p w14:paraId="627B05D6" w14:textId="759E4106" w:rsidR="002A497C" w:rsidRPr="0009132C" w:rsidRDefault="002B0A93" w:rsidP="002A497C">
      <w:pPr>
        <w:pStyle w:val="Heading2"/>
      </w:pPr>
      <w:bookmarkStart w:id="120" w:name="_Toc130209714"/>
      <w:bookmarkStart w:id="121" w:name="_Toc130209363"/>
      <w:bookmarkStart w:id="122" w:name="_Toc130310925"/>
      <w:bookmarkStart w:id="123" w:name="_Toc130420455"/>
      <w:r>
        <w:lastRenderedPageBreak/>
        <w:t xml:space="preserve"> </w:t>
      </w:r>
      <w:bookmarkStart w:id="124" w:name="_Toc151976425"/>
      <w:r w:rsidR="002A497C">
        <w:t>Research Questions and Hypotheses</w:t>
      </w:r>
      <w:bookmarkEnd w:id="124"/>
      <w:r w:rsidR="002A497C">
        <w:t xml:space="preserve"> </w:t>
      </w:r>
      <w:bookmarkEnd w:id="120"/>
    </w:p>
    <w:p w14:paraId="249BC460" w14:textId="497A5565" w:rsidR="002A497C" w:rsidRPr="0009132C" w:rsidRDefault="00990690" w:rsidP="002A497C">
      <w:r w:rsidRPr="00FF4ED5">
        <w:rPr>
          <w:color w:val="000F9F"/>
          <w:u w:val="single"/>
        </w:rPr>
        <w:fldChar w:fldCharType="begin"/>
      </w:r>
      <w:r w:rsidRPr="00FF4ED5">
        <w:rPr>
          <w:color w:val="000F9F"/>
          <w:u w:val="single"/>
        </w:rPr>
        <w:instrText xml:space="preserve"> REF _Ref151466613 \h  \* MERGEFORMAT </w:instrText>
      </w:r>
      <w:r w:rsidRPr="00FF4ED5">
        <w:rPr>
          <w:color w:val="000F9F"/>
          <w:u w:val="single"/>
        </w:rPr>
      </w:r>
      <w:r w:rsidRPr="00FF4ED5">
        <w:rPr>
          <w:color w:val="000F9F"/>
          <w:u w:val="single"/>
        </w:rPr>
        <w:fldChar w:fldCharType="separate"/>
      </w:r>
      <w:r w:rsidRPr="00FF4ED5">
        <w:rPr>
          <w:color w:val="000F9F"/>
          <w:sz w:val="22"/>
          <w:szCs w:val="22"/>
          <w:u w:val="single"/>
        </w:rPr>
        <w:t>Figure 4</w:t>
      </w:r>
      <w:r w:rsidRPr="00FF4ED5">
        <w:rPr>
          <w:color w:val="000F9F"/>
          <w:sz w:val="22"/>
          <w:szCs w:val="22"/>
          <w:u w:val="single"/>
        </w:rPr>
        <w:noBreakHyphen/>
        <w:t>1</w:t>
      </w:r>
      <w:r w:rsidRPr="00FF4ED5">
        <w:rPr>
          <w:color w:val="000F9F"/>
          <w:u w:val="single"/>
        </w:rPr>
        <w:fldChar w:fldCharType="end"/>
      </w:r>
      <w:r w:rsidR="002A497C" w:rsidRPr="001C0B48">
        <w:rPr>
          <w:color w:val="000F9F"/>
        </w:rPr>
        <w:t xml:space="preserve"> </w:t>
      </w:r>
      <w:r w:rsidR="002A497C" w:rsidRPr="0009132C">
        <w:t>provides an overview of the RQs, hypotheses, data sources, study populations</w:t>
      </w:r>
      <w:r w:rsidR="00277410">
        <w:t>,</w:t>
      </w:r>
      <w:r w:rsidR="002A497C" w:rsidRPr="002A497C">
        <w:rPr>
          <w:rStyle w:val="FootnoteReference"/>
        </w:rPr>
        <w:footnoteReference w:id="78"/>
      </w:r>
      <w:r w:rsidR="002A497C" w:rsidRPr="0009132C">
        <w:t xml:space="preserve"> measures, and analytic methods that will be used to evaluate the BH domain. The elements are described in detail in </w:t>
      </w:r>
      <w:hyperlink w:anchor="_Data_and_Methods_3" w:history="1">
        <w:r w:rsidR="002A497C" w:rsidRPr="001C2BB8">
          <w:rPr>
            <w:rStyle w:val="Hyperlink"/>
          </w:rPr>
          <w:t>Section 4.</w:t>
        </w:r>
        <w:r w:rsidR="001C2BB8" w:rsidRPr="001C2BB8">
          <w:rPr>
            <w:rStyle w:val="Hyperlink"/>
          </w:rPr>
          <w:t>4</w:t>
        </w:r>
        <w:r w:rsidR="00863884" w:rsidRPr="001C0B48">
          <w:rPr>
            <w:color w:val="000F9F"/>
            <w:u w:val="single"/>
          </w:rPr>
          <w:t xml:space="preserve"> </w:t>
        </w:r>
        <w:r w:rsidR="00863884" w:rsidRPr="00863884">
          <w:rPr>
            <w:rStyle w:val="Hyperlink"/>
          </w:rPr>
          <w:t>Data and Methods</w:t>
        </w:r>
      </w:hyperlink>
      <w:r w:rsidR="002A497C" w:rsidRPr="0009132C">
        <w:t>.</w:t>
      </w:r>
      <w:r w:rsidR="002A497C" w:rsidRPr="0009132C">
        <w:rPr>
          <w:vertAlign w:val="superscript"/>
        </w:rPr>
        <w:t xml:space="preserve"> </w:t>
      </w:r>
      <w:r w:rsidR="002A497C" w:rsidRPr="0009132C">
        <w:rPr>
          <w:vertAlign w:val="superscript"/>
        </w:rPr>
        <w:footnoteReference w:id="79"/>
      </w:r>
      <w:r w:rsidR="002A497C" w:rsidRPr="0009132C">
        <w:rPr>
          <w:vertAlign w:val="superscript"/>
        </w:rPr>
        <w:t>,</w:t>
      </w:r>
      <w:r w:rsidR="002A497C" w:rsidRPr="0009132C">
        <w:rPr>
          <w:vertAlign w:val="superscript"/>
        </w:rPr>
        <w:footnoteReference w:id="80"/>
      </w:r>
      <w:r w:rsidR="002A497C" w:rsidRPr="0009132C">
        <w:rPr>
          <w:vertAlign w:val="superscript"/>
        </w:rPr>
        <w:t>,</w:t>
      </w:r>
      <w:r w:rsidR="002A497C" w:rsidRPr="0009132C">
        <w:rPr>
          <w:vertAlign w:val="superscript"/>
        </w:rPr>
        <w:footnoteReference w:id="81"/>
      </w:r>
      <w:r w:rsidR="002A497C" w:rsidRPr="0009132C">
        <w:rPr>
          <w:vertAlign w:val="superscript"/>
        </w:rPr>
        <w:t>,</w:t>
      </w:r>
      <w:r w:rsidR="002A497C" w:rsidRPr="0009132C">
        <w:rPr>
          <w:vertAlign w:val="superscript"/>
        </w:rPr>
        <w:footnoteReference w:id="82"/>
      </w:r>
    </w:p>
    <w:p w14:paraId="1C7FC57F" w14:textId="4367EF0F" w:rsidR="002A497C" w:rsidRDefault="58E6B33D" w:rsidP="00A04539">
      <w:pPr>
        <w:pStyle w:val="FigureorTableTitle"/>
      </w:pPr>
      <w:bookmarkStart w:id="125" w:name="_Ref151466991"/>
      <w:bookmarkStart w:id="126" w:name="_Toc151976458"/>
      <w:bookmarkEnd w:id="121"/>
      <w:bookmarkEnd w:id="122"/>
      <w:bookmarkEnd w:id="123"/>
      <w:r>
        <w:t xml:space="preserve">Table </w:t>
      </w:r>
      <w:r>
        <w:fldChar w:fldCharType="begin"/>
      </w:r>
      <w:r>
        <w:instrText>STYLEREF 1 \s</w:instrText>
      </w:r>
      <w:r>
        <w:fldChar w:fldCharType="separate"/>
      </w:r>
      <w:r w:rsidR="00EB7B05">
        <w:rPr>
          <w:noProof/>
        </w:rPr>
        <w:t>4</w:t>
      </w:r>
      <w:r>
        <w:fldChar w:fldCharType="end"/>
      </w:r>
      <w:r w:rsidR="00433675">
        <w:noBreakHyphen/>
      </w:r>
      <w:r>
        <w:fldChar w:fldCharType="begin"/>
      </w:r>
      <w:r>
        <w:instrText>SEQ Table \* ARABIC \s 1</w:instrText>
      </w:r>
      <w:r>
        <w:fldChar w:fldCharType="separate"/>
      </w:r>
      <w:r w:rsidR="00EB7B05">
        <w:rPr>
          <w:noProof/>
        </w:rPr>
        <w:t>1</w:t>
      </w:r>
      <w:r>
        <w:fldChar w:fldCharType="end"/>
      </w:r>
      <w:bookmarkEnd w:id="125"/>
      <w:r>
        <w:t xml:space="preserve">: </w:t>
      </w:r>
      <w:r w:rsidRPr="004102AD">
        <w:t>Research Questions and Hypotheses for BH</w:t>
      </w:r>
      <w:bookmarkEnd w:id="126"/>
    </w:p>
    <w:tbl>
      <w:tblPr>
        <w:tblStyle w:val="FHCTablestyle9"/>
        <w:tblW w:w="0" w:type="auto"/>
        <w:tblLayout w:type="fixed"/>
        <w:tblLook w:val="04A0" w:firstRow="1" w:lastRow="0" w:firstColumn="1" w:lastColumn="0" w:noHBand="0" w:noVBand="1"/>
      </w:tblPr>
      <w:tblGrid>
        <w:gridCol w:w="1790"/>
        <w:gridCol w:w="1895"/>
        <w:gridCol w:w="2070"/>
        <w:gridCol w:w="2974"/>
        <w:gridCol w:w="2434"/>
        <w:gridCol w:w="2363"/>
      </w:tblGrid>
      <w:tr w:rsidR="009D1A61" w:rsidRPr="00A04539" w14:paraId="0E10E754" w14:textId="77777777" w:rsidTr="3383C28C">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790" w:type="dxa"/>
          </w:tcPr>
          <w:p w14:paraId="2AC20B2A" w14:textId="16F6EAA4" w:rsidR="00BC742E" w:rsidRPr="00A04539" w:rsidRDefault="00BC742E" w:rsidP="002A497C">
            <w:pPr>
              <w:rPr>
                <w:rFonts w:cstheme="minorHAnsi"/>
                <w:sz w:val="21"/>
                <w:szCs w:val="21"/>
              </w:rPr>
            </w:pPr>
            <w:r w:rsidRPr="00A04539">
              <w:rPr>
                <w:rFonts w:cstheme="minorHAnsi"/>
                <w:sz w:val="21"/>
                <w:szCs w:val="21"/>
              </w:rPr>
              <w:t>Research Questions</w:t>
            </w:r>
            <w:r w:rsidRPr="00A04539">
              <w:rPr>
                <w:rFonts w:cstheme="minorHAnsi"/>
                <w:sz w:val="21"/>
                <w:szCs w:val="21"/>
                <w:vertAlign w:val="superscript"/>
              </w:rPr>
              <w:t>a</w:t>
            </w:r>
          </w:p>
        </w:tc>
        <w:tc>
          <w:tcPr>
            <w:tcW w:w="1895" w:type="dxa"/>
            <w:hideMark/>
          </w:tcPr>
          <w:p w14:paraId="71330DB1" w14:textId="77777777" w:rsidR="00BC742E" w:rsidRPr="00A04539" w:rsidRDefault="00BC742E" w:rsidP="002A497C">
            <w:pP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A04539">
              <w:rPr>
                <w:rFonts w:cstheme="minorHAnsi"/>
                <w:sz w:val="21"/>
                <w:szCs w:val="21"/>
              </w:rPr>
              <w:t>Hypotheses</w:t>
            </w:r>
          </w:p>
        </w:tc>
        <w:tc>
          <w:tcPr>
            <w:tcW w:w="2070" w:type="dxa"/>
          </w:tcPr>
          <w:p w14:paraId="20A6B9D0" w14:textId="5F6A69C7" w:rsidR="00BC742E" w:rsidRPr="00A04539" w:rsidRDefault="00BC742E" w:rsidP="002A497C">
            <w:pPr>
              <w:cnfStyle w:val="100000000000" w:firstRow="1" w:lastRow="0" w:firstColumn="0" w:lastColumn="0" w:oddVBand="0" w:evenVBand="0" w:oddHBand="0" w:evenHBand="0" w:firstRowFirstColumn="0" w:firstRowLastColumn="0" w:lastRowFirstColumn="0" w:lastRowLastColumn="0"/>
              <w:rPr>
                <w:rFonts w:cstheme="minorHAnsi"/>
                <w:b w:val="0"/>
                <w:bCs w:val="0"/>
                <w:sz w:val="21"/>
                <w:szCs w:val="21"/>
              </w:rPr>
            </w:pPr>
            <w:r w:rsidRPr="00A04539">
              <w:rPr>
                <w:rFonts w:cstheme="minorHAnsi"/>
                <w:sz w:val="21"/>
                <w:szCs w:val="21"/>
              </w:rPr>
              <w:t>Data Sources</w:t>
            </w:r>
            <w:r w:rsidR="00866F67" w:rsidRPr="00A04539">
              <w:rPr>
                <w:rFonts w:cstheme="minorHAnsi"/>
                <w:sz w:val="21"/>
                <w:szCs w:val="21"/>
              </w:rPr>
              <w:t xml:space="preserve"> (Evaluation Periods)</w:t>
            </w:r>
            <w:r w:rsidRPr="00A04539">
              <w:rPr>
                <w:rFonts w:cstheme="minorHAnsi"/>
                <w:sz w:val="21"/>
                <w:szCs w:val="21"/>
                <w:vertAlign w:val="superscript"/>
              </w:rPr>
              <w:t>b</w:t>
            </w:r>
          </w:p>
          <w:p w14:paraId="4EA12B6C" w14:textId="2FCFE876" w:rsidR="00BC742E" w:rsidRPr="00A04539" w:rsidDel="00730FC8" w:rsidRDefault="00BC742E" w:rsidP="002A497C">
            <w:pPr>
              <w:cnfStyle w:val="100000000000" w:firstRow="1" w:lastRow="0" w:firstColumn="0" w:lastColumn="0" w:oddVBand="0" w:evenVBand="0" w:oddHBand="0" w:evenHBand="0" w:firstRowFirstColumn="0" w:firstRowLastColumn="0" w:lastRowFirstColumn="0" w:lastRowLastColumn="0"/>
              <w:rPr>
                <w:rFonts w:cstheme="minorHAnsi"/>
                <w:sz w:val="21"/>
                <w:szCs w:val="21"/>
              </w:rPr>
            </w:pPr>
          </w:p>
        </w:tc>
        <w:tc>
          <w:tcPr>
            <w:tcW w:w="2974" w:type="dxa"/>
          </w:tcPr>
          <w:p w14:paraId="388A38CF" w14:textId="77777777" w:rsidR="00F131FA" w:rsidRPr="00A04539" w:rsidRDefault="1E8BE0CB" w:rsidP="00F131FA">
            <w:pPr>
              <w:cnfStyle w:val="100000000000" w:firstRow="1" w:lastRow="0" w:firstColumn="0" w:lastColumn="0" w:oddVBand="0" w:evenVBand="0" w:oddHBand="0" w:evenHBand="0" w:firstRowFirstColumn="0" w:firstRowLastColumn="0" w:lastRowFirstColumn="0" w:lastRowLastColumn="0"/>
              <w:rPr>
                <w:sz w:val="21"/>
                <w:szCs w:val="21"/>
              </w:rPr>
            </w:pPr>
            <w:r w:rsidRPr="3383C28C">
              <w:rPr>
                <w:sz w:val="21"/>
                <w:szCs w:val="21"/>
              </w:rPr>
              <w:t>Study Populations</w:t>
            </w:r>
          </w:p>
          <w:p w14:paraId="180BAC46" w14:textId="1288DE60" w:rsidR="00BC742E" w:rsidRPr="00A04539" w:rsidRDefault="00B00CE6" w:rsidP="002A497C">
            <w:pP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A04539">
              <w:rPr>
                <w:sz w:val="21"/>
                <w:szCs w:val="21"/>
              </w:rPr>
              <w:t>(Estimated Sample or Population Size- per Wave for Primary Data and per Year for Secondary Data)</w:t>
            </w:r>
          </w:p>
        </w:tc>
        <w:tc>
          <w:tcPr>
            <w:tcW w:w="2434" w:type="dxa"/>
            <w:hideMark/>
          </w:tcPr>
          <w:p w14:paraId="12DCAB56" w14:textId="77777777" w:rsidR="00BC742E" w:rsidRPr="00A04539" w:rsidRDefault="00BC742E" w:rsidP="002A497C">
            <w:pP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A04539">
              <w:rPr>
                <w:rFonts w:cstheme="minorHAnsi"/>
                <w:sz w:val="21"/>
                <w:szCs w:val="21"/>
              </w:rPr>
              <w:t>Measures</w:t>
            </w:r>
          </w:p>
        </w:tc>
        <w:tc>
          <w:tcPr>
            <w:tcW w:w="2363" w:type="dxa"/>
            <w:hideMark/>
          </w:tcPr>
          <w:p w14:paraId="12021C6A" w14:textId="77777777" w:rsidR="00A2287F" w:rsidRPr="00A04539" w:rsidRDefault="00BC742E" w:rsidP="002A497C">
            <w:pPr>
              <w:cnfStyle w:val="100000000000" w:firstRow="1" w:lastRow="0" w:firstColumn="0" w:lastColumn="0" w:oddVBand="0" w:evenVBand="0" w:oddHBand="0" w:evenHBand="0" w:firstRowFirstColumn="0" w:firstRowLastColumn="0" w:lastRowFirstColumn="0" w:lastRowLastColumn="0"/>
              <w:rPr>
                <w:rFonts w:cstheme="minorHAnsi"/>
                <w:b w:val="0"/>
                <w:bCs w:val="0"/>
                <w:sz w:val="21"/>
                <w:szCs w:val="21"/>
              </w:rPr>
            </w:pPr>
            <w:r w:rsidRPr="00A04539">
              <w:rPr>
                <w:rFonts w:cstheme="minorHAnsi"/>
                <w:sz w:val="21"/>
                <w:szCs w:val="21"/>
              </w:rPr>
              <w:t>Analytic Methods</w:t>
            </w:r>
          </w:p>
          <w:p w14:paraId="36A5B4AB" w14:textId="081BAAE0" w:rsidR="00BC742E" w:rsidRPr="00A04539" w:rsidRDefault="00A2287F" w:rsidP="002A497C">
            <w:pP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A04539">
              <w:rPr>
                <w:rFonts w:cstheme="minorHAnsi"/>
                <w:sz w:val="21"/>
                <w:szCs w:val="21"/>
              </w:rPr>
              <w:t>(</w:t>
            </w:r>
            <w:r w:rsidR="00413707" w:rsidRPr="00A04539">
              <w:rPr>
                <w:rFonts w:cstheme="minorHAnsi"/>
                <w:sz w:val="21"/>
                <w:szCs w:val="21"/>
              </w:rPr>
              <w:t>Unit of Analysis</w:t>
            </w:r>
            <w:r w:rsidRPr="00A04539">
              <w:rPr>
                <w:rFonts w:cstheme="minorHAnsi"/>
                <w:sz w:val="21"/>
                <w:szCs w:val="21"/>
              </w:rPr>
              <w:t>)</w:t>
            </w:r>
            <w:r w:rsidR="00BC742E" w:rsidRPr="00A04539">
              <w:rPr>
                <w:rFonts w:cstheme="minorHAnsi"/>
                <w:sz w:val="21"/>
                <w:szCs w:val="21"/>
                <w:vertAlign w:val="superscript"/>
              </w:rPr>
              <w:t>c</w:t>
            </w:r>
          </w:p>
        </w:tc>
      </w:tr>
      <w:tr w:rsidR="0047158A" w:rsidRPr="002A497C" w14:paraId="5800AB4E" w14:textId="77777777" w:rsidTr="3383C28C">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0" w:type="dxa"/>
          </w:tcPr>
          <w:p w14:paraId="4A196AA0" w14:textId="27C7D621" w:rsidR="00BC742E" w:rsidRPr="002A497C" w:rsidRDefault="00BC742E" w:rsidP="00A04539">
            <w:pPr>
              <w:pStyle w:val="TableNormal0"/>
            </w:pPr>
            <w:r w:rsidRPr="002A497C">
              <w:t>RQ</w:t>
            </w:r>
            <w:r w:rsidR="004215A7" w:rsidRPr="002A497C">
              <w:t>3-</w:t>
            </w:r>
            <w:r w:rsidRPr="002A497C">
              <w:t>1 Do Demonstration diversionary services result in a reduction in ED use and length of stay (LOS)?</w:t>
            </w:r>
          </w:p>
        </w:tc>
        <w:tc>
          <w:tcPr>
            <w:tcW w:w="0" w:type="dxa"/>
          </w:tcPr>
          <w:p w14:paraId="4C1C5750" w14:textId="5D72A86E" w:rsidR="00BC742E" w:rsidRPr="002A497C"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A497C">
              <w:t>H</w:t>
            </w:r>
            <w:r w:rsidR="006D1E1A" w:rsidRPr="002A497C">
              <w:t>3-</w:t>
            </w:r>
            <w:r w:rsidRPr="002A497C">
              <w:t xml:space="preserve">1.1 A reduction in ED use will be observed </w:t>
            </w:r>
            <w:r w:rsidR="0028629D" w:rsidRPr="002A497C">
              <w:t>over time</w:t>
            </w:r>
            <w:r w:rsidRPr="002A497C">
              <w:t xml:space="preserve"> after the </w:t>
            </w:r>
            <w:r w:rsidR="0028629D" w:rsidRPr="002A497C">
              <w:t xml:space="preserve">implementation of the </w:t>
            </w:r>
            <w:r w:rsidRPr="002A497C">
              <w:t xml:space="preserve">Demonstration. </w:t>
            </w:r>
          </w:p>
          <w:p w14:paraId="764E7412" w14:textId="7EA71D6C" w:rsidR="00BC742E" w:rsidRPr="002A497C"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A497C">
              <w:t>H</w:t>
            </w:r>
            <w:r w:rsidR="006D1E1A" w:rsidRPr="002A497C">
              <w:t>3-</w:t>
            </w:r>
            <w:r w:rsidRPr="002A497C">
              <w:t xml:space="preserve">1.2 A reduction in ED LOS will be observed over time after the implementation of the </w:t>
            </w:r>
            <w:r w:rsidR="3C699BCE" w:rsidRPr="002A497C">
              <w:t>Demonstration</w:t>
            </w:r>
            <w:r w:rsidRPr="002A497C">
              <w:t xml:space="preserve">.  </w:t>
            </w:r>
          </w:p>
        </w:tc>
        <w:tc>
          <w:tcPr>
            <w:tcW w:w="2070" w:type="dxa"/>
          </w:tcPr>
          <w:p w14:paraId="3AC7D8D7" w14:textId="0CF3FF1D" w:rsidR="00BC742E" w:rsidRPr="002A497C" w:rsidRDefault="67AF65D0" w:rsidP="7F638223">
            <w:pPr>
              <w:pStyle w:val="TableNormal0"/>
              <w:cnfStyle w:val="000000100000" w:firstRow="0" w:lastRow="0" w:firstColumn="0" w:lastColumn="0" w:oddVBand="0" w:evenVBand="0" w:oddHBand="1" w:evenHBand="0" w:firstRowFirstColumn="0" w:firstRowLastColumn="0" w:lastRowFirstColumn="0" w:lastRowLastColumn="0"/>
              <w:rPr>
                <w:u w:val="single"/>
              </w:rPr>
            </w:pPr>
            <w:r>
              <w:t>MassHealth Medicaid Management Information System (MMIS) claims/</w:t>
            </w:r>
            <w:r w:rsidR="00914A60">
              <w:t xml:space="preserve"> </w:t>
            </w:r>
            <w:r>
              <w:t>encounter data</w:t>
            </w:r>
            <w:r w:rsidR="10531820">
              <w:t xml:space="preserve"> </w:t>
            </w:r>
            <w:r w:rsidR="10531820" w:rsidRPr="00173BC5">
              <w:t xml:space="preserve">(baseline 2015-2017, </w:t>
            </w:r>
            <w:r w:rsidR="00873325" w:rsidRPr="00173BC5">
              <w:t>pre</w:t>
            </w:r>
            <w:r w:rsidR="00873325">
              <w:rPr>
                <w:u w:val="single"/>
              </w:rPr>
              <w:t>-</w:t>
            </w:r>
            <w:r w:rsidR="10531820" w:rsidRPr="00173BC5">
              <w:t xml:space="preserve">2018-2022, </w:t>
            </w:r>
            <w:r w:rsidR="00873325" w:rsidRPr="00173BC5">
              <w:t>post</w:t>
            </w:r>
            <w:r w:rsidR="00873325">
              <w:rPr>
                <w:u w:val="single"/>
              </w:rPr>
              <w:t>-</w:t>
            </w:r>
            <w:r w:rsidR="10531820" w:rsidRPr="00173BC5">
              <w:t>2023-2027);</w:t>
            </w:r>
          </w:p>
          <w:p w14:paraId="1FD68527" w14:textId="392CDFF3" w:rsidR="00BC742E" w:rsidRPr="002A497C"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A497C">
              <w:t>Provider</w:t>
            </w:r>
            <w:r w:rsidR="00B36ACF">
              <w:t xml:space="preserve"> </w:t>
            </w:r>
            <w:r w:rsidRPr="002A497C">
              <w:t>and member interviews</w:t>
            </w:r>
            <w:r w:rsidR="006C741D" w:rsidRPr="00BD7536">
              <w:t xml:space="preserve"> </w:t>
            </w:r>
            <w:r w:rsidR="00B25E38">
              <w:t>2024-20</w:t>
            </w:r>
            <w:r w:rsidR="00FB32A4">
              <w:t>25; 2026-2027</w:t>
            </w:r>
          </w:p>
        </w:tc>
        <w:tc>
          <w:tcPr>
            <w:tcW w:w="2974" w:type="dxa"/>
          </w:tcPr>
          <w:p w14:paraId="1CC4D909" w14:textId="32DD5F80" w:rsidR="00F92F0F" w:rsidRDefault="00FD2373" w:rsidP="00A04539">
            <w:pPr>
              <w:pStyle w:val="TableNormal0"/>
              <w:cnfStyle w:val="000000100000" w:firstRow="0" w:lastRow="0" w:firstColumn="0" w:lastColumn="0" w:oddVBand="0" w:evenVBand="0" w:oddHBand="1" w:evenHBand="0" w:firstRowFirstColumn="0" w:firstRowLastColumn="0" w:lastRowFirstColumn="0" w:lastRowLastColumn="0"/>
            </w:pPr>
            <w:r>
              <w:t xml:space="preserve">Quantitative: </w:t>
            </w:r>
            <w:r w:rsidR="001C2BB8">
              <w:t>m</w:t>
            </w:r>
            <w:r w:rsidR="001C2BB8" w:rsidRPr="002A497C">
              <w:t xml:space="preserve">embers </w:t>
            </w:r>
            <w:r w:rsidR="00BC742E" w:rsidRPr="002A497C">
              <w:t xml:space="preserve">with BH diagnoses </w:t>
            </w:r>
            <w:r w:rsidR="00A3522F">
              <w:t>(</w:t>
            </w:r>
            <w:r w:rsidR="00516D5E">
              <w:t>N</w:t>
            </w:r>
            <w:r w:rsidR="000E4246">
              <w:t>=</w:t>
            </w:r>
            <w:r w:rsidR="00D61F21">
              <w:t>~</w:t>
            </w:r>
            <w:r w:rsidR="00F131FA">
              <w:t>275</w:t>
            </w:r>
            <w:r w:rsidR="00515992">
              <w:t>,000</w:t>
            </w:r>
            <w:r w:rsidR="007631C0">
              <w:t>)</w:t>
            </w:r>
            <w:r w:rsidR="00BC742E" w:rsidRPr="002A497C">
              <w:t xml:space="preserve"> </w:t>
            </w:r>
          </w:p>
          <w:p w14:paraId="4735F33B" w14:textId="77777777" w:rsidR="00F92F0F" w:rsidRDefault="00F92F0F" w:rsidP="00A04539">
            <w:pPr>
              <w:pStyle w:val="TableNormal0"/>
              <w:cnfStyle w:val="000000100000" w:firstRow="0" w:lastRow="0" w:firstColumn="0" w:lastColumn="0" w:oddVBand="0" w:evenVBand="0" w:oddHBand="1" w:evenHBand="0" w:firstRowFirstColumn="0" w:firstRowLastColumn="0" w:lastRowFirstColumn="0" w:lastRowLastColumn="0"/>
            </w:pPr>
          </w:p>
          <w:p w14:paraId="73A4C74A" w14:textId="4DF19034" w:rsidR="00C0360D" w:rsidRDefault="00FD2373" w:rsidP="00A04539">
            <w:pPr>
              <w:pStyle w:val="TableNormal0"/>
              <w:spacing w:after="0"/>
              <w:cnfStyle w:val="000000100000" w:firstRow="0" w:lastRow="0" w:firstColumn="0" w:lastColumn="0" w:oddVBand="0" w:evenVBand="0" w:oddHBand="1" w:evenHBand="0" w:firstRowFirstColumn="0" w:firstRowLastColumn="0" w:lastRowFirstColumn="0" w:lastRowLastColumn="0"/>
            </w:pPr>
            <w:r>
              <w:t>Qualitative:</w:t>
            </w:r>
          </w:p>
          <w:p w14:paraId="1A4B77B5" w14:textId="751EEE73" w:rsidR="006C741D" w:rsidRDefault="000261EC" w:rsidP="00A04539">
            <w:pPr>
              <w:pStyle w:val="TableNormal0"/>
              <w:spacing w:before="0" w:after="0"/>
              <w:cnfStyle w:val="000000100000" w:firstRow="0" w:lastRow="0" w:firstColumn="0" w:lastColumn="0" w:oddVBand="0" w:evenVBand="0" w:oddHBand="1" w:evenHBand="0" w:firstRowFirstColumn="0" w:firstRowLastColumn="0" w:lastRowFirstColumn="0" w:lastRowLastColumn="0"/>
            </w:pPr>
            <w:r>
              <w:t>p</w:t>
            </w:r>
            <w:r w:rsidR="006C741D">
              <w:t>roviders</w:t>
            </w:r>
            <w:r w:rsidR="001F4EC7">
              <w:t xml:space="preserve"> (n</w:t>
            </w:r>
            <w:r w:rsidR="00B442EB">
              <w:t xml:space="preserve"> ≤ </w:t>
            </w:r>
            <w:r w:rsidR="00593969">
              <w:t>60</w:t>
            </w:r>
            <w:r w:rsidR="001F4EC7">
              <w:t>)</w:t>
            </w:r>
          </w:p>
          <w:p w14:paraId="351E073F" w14:textId="4D7ECC7C" w:rsidR="00FD2373" w:rsidRDefault="000261EC" w:rsidP="00A04539">
            <w:pPr>
              <w:pStyle w:val="TableNormal0"/>
              <w:spacing w:before="0" w:after="0"/>
              <w:cnfStyle w:val="000000100000" w:firstRow="0" w:lastRow="0" w:firstColumn="0" w:lastColumn="0" w:oddVBand="0" w:evenVBand="0" w:oddHBand="1" w:evenHBand="0" w:firstRowFirstColumn="0" w:firstRowLastColumn="0" w:lastRowFirstColumn="0" w:lastRowLastColumn="0"/>
            </w:pPr>
            <w:r w:rsidRPr="0A71B3C8">
              <w:t>m</w:t>
            </w:r>
            <w:r w:rsidR="00FD2373" w:rsidRPr="0A71B3C8">
              <w:t>embers</w:t>
            </w:r>
            <w:r w:rsidR="00D76CBB" w:rsidRPr="0A71B3C8">
              <w:t xml:space="preserve"> (n</w:t>
            </w:r>
            <w:r w:rsidR="00B442EB">
              <w:t xml:space="preserve"> ≤ </w:t>
            </w:r>
            <w:r w:rsidR="00593969" w:rsidRPr="0A71B3C8">
              <w:t>30</w:t>
            </w:r>
            <w:r w:rsidR="00D76CBB" w:rsidRPr="0A71B3C8">
              <w:t>)</w:t>
            </w:r>
          </w:p>
          <w:p w14:paraId="03BEE2DE" w14:textId="644E63E5" w:rsidR="006C741D" w:rsidRPr="002A497C" w:rsidRDefault="006C741D" w:rsidP="00A04539">
            <w:pPr>
              <w:pStyle w:val="TableNormal0"/>
              <w:cnfStyle w:val="000000100000" w:firstRow="0" w:lastRow="0" w:firstColumn="0" w:lastColumn="0" w:oddVBand="0" w:evenVBand="0" w:oddHBand="1" w:evenHBand="0" w:firstRowFirstColumn="0" w:firstRowLastColumn="0" w:lastRowFirstColumn="0" w:lastRowLastColumn="0"/>
            </w:pPr>
          </w:p>
        </w:tc>
        <w:tc>
          <w:tcPr>
            <w:tcW w:w="0" w:type="dxa"/>
          </w:tcPr>
          <w:p w14:paraId="4D120CE1" w14:textId="77B9415D" w:rsidR="00BC742E" w:rsidRPr="002A497C"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A497C">
              <w:t xml:space="preserve">ED </w:t>
            </w:r>
            <w:r w:rsidR="00963031">
              <w:t>v</w:t>
            </w:r>
            <w:r w:rsidR="00963031" w:rsidRPr="002A497C">
              <w:t xml:space="preserve">isits </w:t>
            </w:r>
            <w:r w:rsidRPr="002A497C">
              <w:t xml:space="preserve">for </w:t>
            </w:r>
            <w:r w:rsidR="00963031">
              <w:t>i</w:t>
            </w:r>
            <w:r w:rsidRPr="002A497C">
              <w:t xml:space="preserve">ndividuals with </w:t>
            </w:r>
            <w:r w:rsidR="00963031">
              <w:t>m</w:t>
            </w:r>
            <w:r w:rsidRPr="002A497C">
              <w:t xml:space="preserve">ental </w:t>
            </w:r>
            <w:r w:rsidR="00963031">
              <w:t>i</w:t>
            </w:r>
            <w:r w:rsidRPr="002A497C">
              <w:t xml:space="preserve">llness, </w:t>
            </w:r>
            <w:r w:rsidR="00963031">
              <w:t>a</w:t>
            </w:r>
            <w:r w:rsidRPr="002A497C">
              <w:t xml:space="preserve">ddiction, or </w:t>
            </w:r>
            <w:r w:rsidR="00963031">
              <w:t>c</w:t>
            </w:r>
            <w:r w:rsidRPr="002A497C">
              <w:t xml:space="preserve">o-occurring </w:t>
            </w:r>
            <w:r w:rsidR="00963031">
              <w:t>c</w:t>
            </w:r>
            <w:r w:rsidRPr="002A497C">
              <w:t xml:space="preserve">onditions </w:t>
            </w:r>
            <w:r w:rsidR="0077645B">
              <w:t>s</w:t>
            </w:r>
            <w:r w:rsidRPr="002A497C">
              <w:t xml:space="preserve">tratified by </w:t>
            </w:r>
            <w:r w:rsidR="0077645B">
              <w:t>a</w:t>
            </w:r>
            <w:r w:rsidRPr="002A497C">
              <w:t>ge (</w:t>
            </w:r>
            <w:r w:rsidR="0098470F" w:rsidRPr="002A497C">
              <w:t>6</w:t>
            </w:r>
            <w:r w:rsidRPr="002A497C">
              <w:t>-17, 18-64);</w:t>
            </w:r>
          </w:p>
          <w:p w14:paraId="4884F059" w14:textId="48284BCD" w:rsidR="00BC742E" w:rsidRPr="002A497C"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A497C">
              <w:t xml:space="preserve">ED </w:t>
            </w:r>
            <w:r w:rsidR="0077645B">
              <w:t>b</w:t>
            </w:r>
            <w:r w:rsidRPr="002A497C">
              <w:t xml:space="preserve">oarding of </w:t>
            </w:r>
            <w:r w:rsidR="0077645B">
              <w:t>m</w:t>
            </w:r>
            <w:r w:rsidRPr="002A497C">
              <w:t xml:space="preserve">embers with BH </w:t>
            </w:r>
            <w:r w:rsidR="0077645B">
              <w:t>c</w:t>
            </w:r>
            <w:r w:rsidRPr="002A497C">
              <w:t xml:space="preserve">onditions; </w:t>
            </w:r>
          </w:p>
          <w:p w14:paraId="2F0573A7" w14:textId="77777777" w:rsidR="00BC742E" w:rsidRPr="002A497C"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A497C">
              <w:t>Member report of support from peers and psychiatric consultants and perception of its reduction in LOS;</w:t>
            </w:r>
          </w:p>
          <w:p w14:paraId="7F32A807" w14:textId="7DE5BD8B" w:rsidR="00BC742E" w:rsidRPr="002A497C"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A497C">
              <w:t xml:space="preserve">Provider report of </w:t>
            </w:r>
            <w:r w:rsidR="00873325">
              <w:t xml:space="preserve">the </w:t>
            </w:r>
            <w:r w:rsidRPr="002A497C">
              <w:t>usefulness of peer support and psychiatric consultation on reduced ED LOS and factors that support/impede use and effectiveness of peers and psychiatric consultants i</w:t>
            </w:r>
            <w:r w:rsidR="00C46D1B" w:rsidRPr="002A497C">
              <w:t>n</w:t>
            </w:r>
            <w:r w:rsidRPr="002A497C">
              <w:t xml:space="preserve"> EDs</w:t>
            </w:r>
          </w:p>
        </w:tc>
        <w:tc>
          <w:tcPr>
            <w:tcW w:w="0" w:type="dxa"/>
          </w:tcPr>
          <w:p w14:paraId="556516FE" w14:textId="4CF0C061" w:rsidR="00BC742E" w:rsidRPr="002A497C"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A497C">
              <w:t xml:space="preserve">Descriptive </w:t>
            </w:r>
            <w:r w:rsidR="005E19D1">
              <w:t>s</w:t>
            </w:r>
            <w:r w:rsidRPr="002A497C">
              <w:t>tatistics</w:t>
            </w:r>
            <w:r w:rsidR="00A2287F">
              <w:t xml:space="preserve"> (member)</w:t>
            </w:r>
            <w:r w:rsidRPr="002A497C">
              <w:t>;</w:t>
            </w:r>
          </w:p>
          <w:p w14:paraId="222FF141" w14:textId="7E356213" w:rsidR="00BC742E" w:rsidRPr="002A497C"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E59E4">
              <w:t xml:space="preserve">Interrupted </w:t>
            </w:r>
            <w:r w:rsidR="005E19D1" w:rsidRPr="002E59E4">
              <w:t>t</w:t>
            </w:r>
            <w:r w:rsidRPr="002E59E4">
              <w:t xml:space="preserve">ime </w:t>
            </w:r>
            <w:r w:rsidR="002E59E4" w:rsidRPr="002E59E4">
              <w:t>series</w:t>
            </w:r>
            <w:r w:rsidRPr="002E59E4">
              <w:t xml:space="preserve"> (ITS)</w:t>
            </w:r>
            <w:r w:rsidR="00A43157" w:rsidRPr="002E59E4">
              <w:t xml:space="preserve"> (member</w:t>
            </w:r>
            <w:r w:rsidRPr="002E59E4">
              <w:t>);</w:t>
            </w:r>
          </w:p>
          <w:p w14:paraId="2447226E" w14:textId="1C1D6B37" w:rsidR="00BC742E" w:rsidRPr="002A497C"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A497C">
              <w:t xml:space="preserve">Qualitative </w:t>
            </w:r>
            <w:r w:rsidR="005E19D1">
              <w:t>t</w:t>
            </w:r>
            <w:r w:rsidR="005E19D1" w:rsidRPr="002A497C">
              <w:t xml:space="preserve">hematic </w:t>
            </w:r>
            <w:r w:rsidR="005E19D1">
              <w:t>a</w:t>
            </w:r>
            <w:r w:rsidR="005E19D1" w:rsidRPr="002A497C">
              <w:t>nalysis</w:t>
            </w:r>
            <w:r w:rsidR="005E19D1">
              <w:t xml:space="preserve"> </w:t>
            </w:r>
            <w:r w:rsidR="00456E8E">
              <w:t>(</w:t>
            </w:r>
            <w:r w:rsidR="00456E8E" w:rsidRPr="00BD7536">
              <w:t>provider</w:t>
            </w:r>
            <w:r w:rsidR="000261EC" w:rsidRPr="0082369A">
              <w:t>s</w:t>
            </w:r>
            <w:r w:rsidR="00456E8E" w:rsidRPr="00BD7536">
              <w:t>/member</w:t>
            </w:r>
            <w:r w:rsidR="00175561">
              <w:t>s</w:t>
            </w:r>
            <w:r w:rsidR="00456E8E">
              <w:t>)</w:t>
            </w:r>
          </w:p>
        </w:tc>
      </w:tr>
      <w:tr w:rsidR="0047158A" w:rsidRPr="002A497C" w14:paraId="05D4428F" w14:textId="77777777" w:rsidTr="3383C28C">
        <w:trPr>
          <w:trHeight w:val="1027"/>
        </w:trPr>
        <w:tc>
          <w:tcPr>
            <w:cnfStyle w:val="001000000000" w:firstRow="0" w:lastRow="0" w:firstColumn="1" w:lastColumn="0" w:oddVBand="0" w:evenVBand="0" w:oddHBand="0" w:evenHBand="0" w:firstRowFirstColumn="0" w:firstRowLastColumn="0" w:lastRowFirstColumn="0" w:lastRowLastColumn="0"/>
            <w:tcW w:w="1790" w:type="dxa"/>
          </w:tcPr>
          <w:p w14:paraId="429B1C64" w14:textId="75829058" w:rsidR="00BC742E" w:rsidRPr="002A497C" w:rsidRDefault="00BC742E" w:rsidP="00A04539">
            <w:pPr>
              <w:pStyle w:val="TableNormal0"/>
            </w:pPr>
            <w:r w:rsidRPr="002A497C">
              <w:lastRenderedPageBreak/>
              <w:t>RQ</w:t>
            </w:r>
            <w:r w:rsidR="006D1E1A" w:rsidRPr="002A497C">
              <w:t>3-</w:t>
            </w:r>
            <w:r w:rsidRPr="002A497C">
              <w:t>2 Do Demonstration diversionary services reduce the number of preventable acute psychiatric readmissions?</w:t>
            </w:r>
          </w:p>
        </w:tc>
        <w:tc>
          <w:tcPr>
            <w:tcW w:w="1895" w:type="dxa"/>
          </w:tcPr>
          <w:p w14:paraId="539D0670" w14:textId="6D7C9CE9" w:rsidR="00BC742E" w:rsidRPr="002A497C"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A497C">
              <w:t>H</w:t>
            </w:r>
            <w:r w:rsidR="006D1E1A" w:rsidRPr="002A497C">
              <w:t>3-</w:t>
            </w:r>
            <w:r w:rsidRPr="002A497C">
              <w:t>2.1 Use of diversionary services will be associated with a small reduction in 30-day acute psychiatric readmissions</w:t>
            </w:r>
            <w:r w:rsidRPr="002A497C">
              <w:rPr>
                <w:rStyle w:val="FootnoteReference"/>
                <w:rFonts w:cstheme="minorHAnsi"/>
              </w:rPr>
              <w:footnoteReference w:id="83"/>
            </w:r>
            <w:r w:rsidRPr="002A497C">
              <w:t xml:space="preserve"> </w:t>
            </w:r>
          </w:p>
        </w:tc>
        <w:tc>
          <w:tcPr>
            <w:tcW w:w="2070" w:type="dxa"/>
          </w:tcPr>
          <w:p w14:paraId="4A0CD5EC" w14:textId="74E7096D" w:rsidR="00BC742E" w:rsidRPr="002A497C"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A497C">
              <w:t>MMIS claims/encounter data</w:t>
            </w:r>
            <w:r w:rsidR="001D0AE2">
              <w:t xml:space="preserve"> </w:t>
            </w:r>
            <w:r w:rsidR="001D0AE2" w:rsidRPr="001D0AE2">
              <w:t>(</w:t>
            </w:r>
            <w:r w:rsidR="001D0AE2" w:rsidRPr="00BD7536">
              <w:t xml:space="preserve">baseline 2015-2017, </w:t>
            </w:r>
            <w:r w:rsidR="0077645B" w:rsidRPr="00BD7536">
              <w:t>pre</w:t>
            </w:r>
            <w:r w:rsidR="0077645B">
              <w:t>-</w:t>
            </w:r>
            <w:r w:rsidR="001D0AE2" w:rsidRPr="00BD7536">
              <w:t xml:space="preserve">2018-2022, </w:t>
            </w:r>
            <w:r w:rsidR="0077645B" w:rsidRPr="00BD7536">
              <w:t>post</w:t>
            </w:r>
            <w:r w:rsidR="0077645B">
              <w:t>-</w:t>
            </w:r>
            <w:r w:rsidR="001D0AE2" w:rsidRPr="00BD7536">
              <w:t>2023-2027</w:t>
            </w:r>
            <w:r w:rsidR="001D0AE2" w:rsidRPr="001D0AE2">
              <w:t>)</w:t>
            </w:r>
          </w:p>
        </w:tc>
        <w:tc>
          <w:tcPr>
            <w:tcW w:w="2974" w:type="dxa"/>
          </w:tcPr>
          <w:p w14:paraId="69779367" w14:textId="7D5F4A02" w:rsidR="00BC742E" w:rsidRPr="002A497C"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A497C">
              <w:t>Members with BH diagnoses</w:t>
            </w:r>
            <w:r w:rsidR="00765E2C">
              <w:t xml:space="preserve"> (</w:t>
            </w:r>
            <w:r w:rsidR="00516D5E">
              <w:t>N</w:t>
            </w:r>
            <w:r w:rsidR="00D61F21">
              <w:t>=</w:t>
            </w:r>
            <w:r w:rsidR="0055174B" w:rsidRPr="00BD7536">
              <w:t>~</w:t>
            </w:r>
            <w:r w:rsidR="00F131FA">
              <w:t>275</w:t>
            </w:r>
            <w:r w:rsidR="00DA063B">
              <w:t>,000</w:t>
            </w:r>
            <w:r w:rsidR="00765E2C">
              <w:t>)</w:t>
            </w:r>
          </w:p>
        </w:tc>
        <w:tc>
          <w:tcPr>
            <w:tcW w:w="2434" w:type="dxa"/>
          </w:tcPr>
          <w:p w14:paraId="6C1254D5" w14:textId="1DF1424F" w:rsidR="00BC742E" w:rsidRPr="002A497C"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A497C">
              <w:t xml:space="preserve">Plan </w:t>
            </w:r>
            <w:r w:rsidR="0043639F">
              <w:t>a</w:t>
            </w:r>
            <w:r w:rsidRPr="002A497C">
              <w:t>ll-</w:t>
            </w:r>
            <w:r w:rsidR="0043639F">
              <w:t>c</w:t>
            </w:r>
            <w:r w:rsidRPr="002A497C">
              <w:t xml:space="preserve">ause </w:t>
            </w:r>
            <w:r w:rsidR="00C44E49">
              <w:t>r</w:t>
            </w:r>
            <w:r w:rsidRPr="002A497C">
              <w:t xml:space="preserve">eadmissions for </w:t>
            </w:r>
            <w:r w:rsidR="00C44E49">
              <w:t>m</w:t>
            </w:r>
            <w:r w:rsidRPr="002A497C">
              <w:t>embers with a SUD/SMI/SED;</w:t>
            </w:r>
          </w:p>
          <w:p w14:paraId="164D707C" w14:textId="77777777" w:rsidR="00BC742E" w:rsidRPr="002A497C"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A497C">
              <w:t>Number of beneficiaries in the Demonstration population who used any services related to mental health during the measurement period;</w:t>
            </w:r>
          </w:p>
          <w:p w14:paraId="33E0F753" w14:textId="77777777" w:rsidR="00BC742E" w:rsidRPr="002A497C"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A497C">
              <w:t xml:space="preserve">Number of beneficiaries in the Demonstration population who used any services related to mental health during the measurement period; </w:t>
            </w:r>
          </w:p>
          <w:p w14:paraId="587D006B" w14:textId="77777777" w:rsidR="00BC742E" w:rsidRPr="002A497C"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A497C">
              <w:t>Number of beneficiaries in the Demonstration population who used intensive outpatient and/or partial hospitalization services related to mental health during the measurement period;</w:t>
            </w:r>
          </w:p>
          <w:p w14:paraId="4CE52B92" w14:textId="666E4183" w:rsidR="00BC742E" w:rsidRPr="002A497C"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A497C">
              <w:t>Follow-</w:t>
            </w:r>
            <w:r w:rsidR="00A60B5D" w:rsidRPr="002A497C">
              <w:t>u</w:t>
            </w:r>
            <w:r w:rsidRPr="002A497C">
              <w:t xml:space="preserve">p </w:t>
            </w:r>
            <w:r w:rsidR="00A316E3">
              <w:t>a</w:t>
            </w:r>
            <w:r w:rsidR="00A316E3" w:rsidRPr="002A497C">
              <w:t xml:space="preserve">fter </w:t>
            </w:r>
            <w:r w:rsidRPr="002A497C">
              <w:t xml:space="preserve">ED </w:t>
            </w:r>
            <w:r w:rsidR="00A316E3">
              <w:t>v</w:t>
            </w:r>
            <w:r w:rsidR="00A316E3" w:rsidRPr="002A497C">
              <w:t xml:space="preserve">isit </w:t>
            </w:r>
            <w:r w:rsidRPr="002A497C">
              <w:t xml:space="preserve">for </w:t>
            </w:r>
            <w:r w:rsidR="00A316E3">
              <w:t>m</w:t>
            </w:r>
            <w:r w:rsidRPr="002A497C">
              <w:t xml:space="preserve">ental </w:t>
            </w:r>
            <w:r w:rsidR="00A316E3">
              <w:t>i</w:t>
            </w:r>
            <w:r w:rsidRPr="002A497C">
              <w:t xml:space="preserve">llness </w:t>
            </w:r>
            <w:r w:rsidRPr="002A497C" w:rsidDel="00CB00FC">
              <w:t xml:space="preserve"> </w:t>
            </w:r>
          </w:p>
          <w:p w14:paraId="4E85FDD5" w14:textId="5F564B68" w:rsidR="00C13256" w:rsidRPr="002A497C" w:rsidRDefault="00C13256" w:rsidP="00A04539">
            <w:pPr>
              <w:pStyle w:val="TableNormal0"/>
              <w:cnfStyle w:val="000000000000" w:firstRow="0" w:lastRow="0" w:firstColumn="0" w:lastColumn="0" w:oddVBand="0" w:evenVBand="0" w:oddHBand="0" w:evenHBand="0" w:firstRowFirstColumn="0" w:firstRowLastColumn="0" w:lastRowFirstColumn="0" w:lastRowLastColumn="0"/>
            </w:pPr>
          </w:p>
        </w:tc>
        <w:tc>
          <w:tcPr>
            <w:tcW w:w="2363" w:type="dxa"/>
          </w:tcPr>
          <w:p w14:paraId="0567C2FA" w14:textId="2ED422D8" w:rsidR="00BC742E" w:rsidRPr="002A497C"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A497C">
              <w:t xml:space="preserve">Descriptive </w:t>
            </w:r>
            <w:r w:rsidR="00C44E49">
              <w:t>s</w:t>
            </w:r>
            <w:r w:rsidRPr="002A497C">
              <w:t>tatistics</w:t>
            </w:r>
            <w:r w:rsidR="00120AA7">
              <w:t xml:space="preserve"> (</w:t>
            </w:r>
            <w:r w:rsidR="00120AA7" w:rsidRPr="00BD7536">
              <w:t>member</w:t>
            </w:r>
            <w:r w:rsidR="00120AA7">
              <w:t>)</w:t>
            </w:r>
            <w:r w:rsidRPr="002A497C">
              <w:t>;</w:t>
            </w:r>
          </w:p>
          <w:p w14:paraId="78AFA830" w14:textId="2C6B5CE4" w:rsidR="00BC742E" w:rsidRPr="002A497C"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A497C">
              <w:t xml:space="preserve">Joint </w:t>
            </w:r>
            <w:r w:rsidR="00C44E49">
              <w:t>l</w:t>
            </w:r>
            <w:r w:rsidRPr="002A497C">
              <w:t xml:space="preserve">ongitudinal and </w:t>
            </w:r>
            <w:r w:rsidR="00C44E49">
              <w:t>s</w:t>
            </w:r>
            <w:r w:rsidRPr="002A497C">
              <w:t>urvival Analysis</w:t>
            </w:r>
            <w:r w:rsidR="00EC726D">
              <w:t xml:space="preserve"> </w:t>
            </w:r>
            <w:r w:rsidRPr="002A497C">
              <w:t>-</w:t>
            </w:r>
            <w:r w:rsidR="001E3DCB">
              <w:t xml:space="preserve"> </w:t>
            </w:r>
            <w:r w:rsidRPr="002A497C">
              <w:t>ITS approa</w:t>
            </w:r>
            <w:r w:rsidR="00A316E3">
              <w:t>c</w:t>
            </w:r>
            <w:r w:rsidRPr="002A497C">
              <w:t>h - segmented regression</w:t>
            </w:r>
            <w:r w:rsidR="00120AA7">
              <w:t xml:space="preserve"> (</w:t>
            </w:r>
            <w:r w:rsidR="00120AA7" w:rsidRPr="00BD7536">
              <w:t>member</w:t>
            </w:r>
            <w:r w:rsidR="00120AA7">
              <w:t>)</w:t>
            </w:r>
          </w:p>
        </w:tc>
      </w:tr>
      <w:tr w:rsidR="0047158A" w:rsidRPr="002A497C" w14:paraId="7877905A" w14:textId="77777777" w:rsidTr="3383C28C">
        <w:trPr>
          <w:cnfStyle w:val="000000100000" w:firstRow="0" w:lastRow="0" w:firstColumn="0" w:lastColumn="0" w:oddVBand="0" w:evenVBand="0" w:oddHBand="1" w:evenHBand="0" w:firstRowFirstColumn="0" w:firstRowLastColumn="0" w:lastRowFirstColumn="0" w:lastRowLastColumn="0"/>
          <w:trHeight w:val="1027"/>
        </w:trPr>
        <w:tc>
          <w:tcPr>
            <w:cnfStyle w:val="001000000000" w:firstRow="0" w:lastRow="0" w:firstColumn="1" w:lastColumn="0" w:oddVBand="0" w:evenVBand="0" w:oddHBand="0" w:evenHBand="0" w:firstRowFirstColumn="0" w:firstRowLastColumn="0" w:lastRowFirstColumn="0" w:lastRowLastColumn="0"/>
            <w:tcW w:w="0" w:type="dxa"/>
          </w:tcPr>
          <w:p w14:paraId="3B0A2B03" w14:textId="6FF9D92D" w:rsidR="00C13256" w:rsidRPr="002A497C" w:rsidRDefault="00BC742E" w:rsidP="00A04539">
            <w:pPr>
              <w:pStyle w:val="TableNormal0"/>
            </w:pPr>
            <w:r w:rsidRPr="002A497C">
              <w:t>RQ</w:t>
            </w:r>
            <w:r w:rsidR="006D1E1A" w:rsidRPr="002A497C">
              <w:t>3-</w:t>
            </w:r>
            <w:r w:rsidRPr="002A497C">
              <w:t xml:space="preserve">3 What is the impact of Demonstration diversionary services on the overall cost of care </w:t>
            </w:r>
            <w:r w:rsidRPr="002A497C">
              <w:lastRenderedPageBreak/>
              <w:t>for members with a BH diagnosis?</w:t>
            </w:r>
          </w:p>
        </w:tc>
        <w:tc>
          <w:tcPr>
            <w:tcW w:w="0" w:type="dxa"/>
          </w:tcPr>
          <w:p w14:paraId="1020DB5F" w14:textId="7ADCF424" w:rsidR="00BC742E" w:rsidRPr="002A497C"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A497C">
              <w:lastRenderedPageBreak/>
              <w:t>H</w:t>
            </w:r>
            <w:r w:rsidR="006D1E1A" w:rsidRPr="002A497C">
              <w:t>3-</w:t>
            </w:r>
            <w:r w:rsidRPr="002A497C">
              <w:t>3.1 Use of diversionary services will be cost-neutral.</w:t>
            </w:r>
          </w:p>
        </w:tc>
        <w:tc>
          <w:tcPr>
            <w:tcW w:w="2070" w:type="dxa"/>
          </w:tcPr>
          <w:p w14:paraId="578C97B6" w14:textId="2E138A59" w:rsidR="00BC742E" w:rsidRPr="002A497C"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A497C">
              <w:t>MMIS claims/encounter data</w:t>
            </w:r>
            <w:r w:rsidR="00E56314">
              <w:t xml:space="preserve"> </w:t>
            </w:r>
            <w:r w:rsidR="00F07F92">
              <w:t>a</w:t>
            </w:r>
            <w:r w:rsidR="005B70F5">
              <w:t>nnual</w:t>
            </w:r>
            <w:r w:rsidR="00A77FC5">
              <w:t xml:space="preserve"> </w:t>
            </w:r>
            <w:r w:rsidR="00A77FC5" w:rsidRPr="00A77FC5">
              <w:t xml:space="preserve">baseline </w:t>
            </w:r>
            <w:r w:rsidR="00A77FC5">
              <w:t>(</w:t>
            </w:r>
            <w:r w:rsidR="00A77FC5" w:rsidRPr="00BD7536">
              <w:t>2015-2017, pre</w:t>
            </w:r>
            <w:r w:rsidR="00F6673E">
              <w:t>-</w:t>
            </w:r>
            <w:r w:rsidR="00A77FC5" w:rsidRPr="00BD7536">
              <w:t>2018-2022, post</w:t>
            </w:r>
            <w:r w:rsidR="00F6673E">
              <w:t>-</w:t>
            </w:r>
            <w:r w:rsidR="00A77FC5" w:rsidRPr="00BD7536">
              <w:t>2023-2027</w:t>
            </w:r>
            <w:r w:rsidR="00A77FC5" w:rsidRPr="00A77FC5">
              <w:t>)</w:t>
            </w:r>
          </w:p>
        </w:tc>
        <w:tc>
          <w:tcPr>
            <w:tcW w:w="2974" w:type="dxa"/>
          </w:tcPr>
          <w:p w14:paraId="47A516E8" w14:textId="4C17CDF6" w:rsidR="00BC742E" w:rsidRPr="002A497C"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A497C">
              <w:t>Members with BH diagnoses</w:t>
            </w:r>
            <w:r w:rsidR="00175561">
              <w:t xml:space="preserve"> </w:t>
            </w:r>
            <w:r w:rsidR="00175561" w:rsidRPr="00175561">
              <w:t>(</w:t>
            </w:r>
            <w:r w:rsidR="00516D5E">
              <w:t>N</w:t>
            </w:r>
            <w:r w:rsidR="00D61F21">
              <w:t>=</w:t>
            </w:r>
            <w:r w:rsidR="00175561" w:rsidRPr="00BD7536">
              <w:t>~</w:t>
            </w:r>
            <w:r w:rsidR="00F131FA">
              <w:t>275</w:t>
            </w:r>
            <w:r w:rsidR="00175561" w:rsidRPr="00175561">
              <w:t>,000)</w:t>
            </w:r>
          </w:p>
        </w:tc>
        <w:tc>
          <w:tcPr>
            <w:tcW w:w="0" w:type="dxa"/>
          </w:tcPr>
          <w:p w14:paraId="236C8A70" w14:textId="22B30348" w:rsidR="00BC742E" w:rsidRPr="002A497C"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A497C">
              <w:t xml:space="preserve">Total </w:t>
            </w:r>
            <w:r w:rsidR="00C44E49">
              <w:t>c</w:t>
            </w:r>
            <w:r w:rsidR="00C44E49" w:rsidRPr="002A497C">
              <w:t xml:space="preserve">ost </w:t>
            </w:r>
            <w:r w:rsidRPr="002A497C">
              <w:t xml:space="preserve">of </w:t>
            </w:r>
            <w:r w:rsidR="00C44E49">
              <w:t>c</w:t>
            </w:r>
            <w:r w:rsidR="00C44E49" w:rsidRPr="002A497C">
              <w:t xml:space="preserve">are </w:t>
            </w:r>
            <w:r w:rsidRPr="002A497C">
              <w:t>(TCOC) (All Covered Services);</w:t>
            </w:r>
          </w:p>
          <w:p w14:paraId="0A0CEA21" w14:textId="13F17D2C" w:rsidR="00BC742E" w:rsidRPr="002A497C"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A497C">
              <w:t xml:space="preserve">Expenditures by </w:t>
            </w:r>
            <w:r w:rsidR="00F6673E">
              <w:t>s</w:t>
            </w:r>
            <w:r w:rsidRPr="002A497C">
              <w:t xml:space="preserve">ervice </w:t>
            </w:r>
            <w:r w:rsidR="00F6673E">
              <w:t>c</w:t>
            </w:r>
            <w:r w:rsidR="00F6673E" w:rsidRPr="002A497C">
              <w:t xml:space="preserve">ategory </w:t>
            </w:r>
            <w:r w:rsidRPr="002A497C">
              <w:t xml:space="preserve">broken down by individuals with any SUD-related diagnosis, OUD </w:t>
            </w:r>
            <w:r w:rsidRPr="002A497C">
              <w:lastRenderedPageBreak/>
              <w:t>diagnosis, or SMI/SED diagnosis</w:t>
            </w:r>
          </w:p>
          <w:p w14:paraId="1607C175" w14:textId="6A278B03" w:rsidR="00B940C6" w:rsidRPr="002A497C" w:rsidRDefault="00B940C6" w:rsidP="00A04539">
            <w:pPr>
              <w:pStyle w:val="TableNormal0"/>
              <w:cnfStyle w:val="000000100000" w:firstRow="0" w:lastRow="0" w:firstColumn="0" w:lastColumn="0" w:oddVBand="0" w:evenVBand="0" w:oddHBand="1" w:evenHBand="0" w:firstRowFirstColumn="0" w:firstRowLastColumn="0" w:lastRowFirstColumn="0" w:lastRowLastColumn="0"/>
            </w:pPr>
          </w:p>
        </w:tc>
        <w:tc>
          <w:tcPr>
            <w:tcW w:w="0" w:type="dxa"/>
          </w:tcPr>
          <w:p w14:paraId="42956604" w14:textId="6617A01C" w:rsidR="00BC742E" w:rsidRPr="002A497C"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A497C">
              <w:lastRenderedPageBreak/>
              <w:t xml:space="preserve">ITS for </w:t>
            </w:r>
            <w:r w:rsidR="00C44E49">
              <w:t>c</w:t>
            </w:r>
            <w:r w:rsidR="00C44E49" w:rsidRPr="002A497C">
              <w:t xml:space="preserve">ost </w:t>
            </w:r>
            <w:r w:rsidR="00C44E49">
              <w:t>a</w:t>
            </w:r>
            <w:r w:rsidR="00C44E49" w:rsidRPr="002A497C">
              <w:t>nalysis</w:t>
            </w:r>
            <w:r w:rsidR="00C44E49">
              <w:t xml:space="preserve"> </w:t>
            </w:r>
            <w:r w:rsidR="00553721">
              <w:t>(</w:t>
            </w:r>
            <w:r w:rsidR="00E56314">
              <w:t>member</w:t>
            </w:r>
            <w:r w:rsidR="00553721">
              <w:t>)</w:t>
            </w:r>
            <w:r w:rsidR="00E56314">
              <w:t xml:space="preserve"> </w:t>
            </w:r>
          </w:p>
        </w:tc>
      </w:tr>
      <w:tr w:rsidR="0047158A" w:rsidRPr="002A497C" w14:paraId="00C87EEC" w14:textId="77777777" w:rsidTr="3383C28C">
        <w:trPr>
          <w:trHeight w:val="2258"/>
        </w:trPr>
        <w:tc>
          <w:tcPr>
            <w:cnfStyle w:val="001000000000" w:firstRow="0" w:lastRow="0" w:firstColumn="1" w:lastColumn="0" w:oddVBand="0" w:evenVBand="0" w:oddHBand="0" w:evenHBand="0" w:firstRowFirstColumn="0" w:firstRowLastColumn="0" w:lastRowFirstColumn="0" w:lastRowLastColumn="0"/>
            <w:tcW w:w="1790" w:type="dxa"/>
          </w:tcPr>
          <w:p w14:paraId="2A6569FC" w14:textId="683EE641" w:rsidR="00BC742E" w:rsidRPr="002A497C" w:rsidRDefault="00BC742E" w:rsidP="00A04539">
            <w:pPr>
              <w:pStyle w:val="TableNormal0"/>
            </w:pPr>
            <w:r w:rsidRPr="002A497C">
              <w:t>RQ</w:t>
            </w:r>
            <w:r w:rsidR="006D1E1A" w:rsidRPr="002A497C">
              <w:t>3-4</w:t>
            </w:r>
            <w:r w:rsidRPr="002A497C">
              <w:t xml:space="preserve"> How well did the Demonstration increase access to and utilization of SUD treatment services?</w:t>
            </w:r>
          </w:p>
        </w:tc>
        <w:tc>
          <w:tcPr>
            <w:tcW w:w="1895" w:type="dxa"/>
            <w:hideMark/>
          </w:tcPr>
          <w:p w14:paraId="0F9FA0D2" w14:textId="3D666D21" w:rsidR="00BC742E" w:rsidRPr="002A497C" w:rsidRDefault="00BC742E" w:rsidP="00A04539">
            <w:pPr>
              <w:pStyle w:val="TableNormal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A497C">
              <w:t>H</w:t>
            </w:r>
            <w:r w:rsidR="006D1E1A" w:rsidRPr="002A497C">
              <w:t>3-</w:t>
            </w:r>
            <w:r w:rsidR="008F0F51" w:rsidRPr="002A497C">
              <w:t>4</w:t>
            </w:r>
            <w:r w:rsidRPr="002A497C">
              <w:t>.1 The Demonstration’s continuous coverage of OUD/SUD treatment services increased rates of identification, initiation, and engagement in treatment among individuals with SUD.</w:t>
            </w:r>
          </w:p>
        </w:tc>
        <w:tc>
          <w:tcPr>
            <w:tcW w:w="2070" w:type="dxa"/>
          </w:tcPr>
          <w:p w14:paraId="79E95B92" w14:textId="0670FC15" w:rsidR="00BC742E" w:rsidRPr="002A497C"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A497C">
              <w:t>MMIS claims/encounter data</w:t>
            </w:r>
            <w:r w:rsidR="00A77FC5">
              <w:t xml:space="preserve"> (</w:t>
            </w:r>
            <w:r w:rsidR="00A77FC5" w:rsidRPr="00BD7536">
              <w:t xml:space="preserve">baseline 2015-2017, </w:t>
            </w:r>
            <w:r w:rsidR="00FF537B" w:rsidRPr="00BD7536">
              <w:t>pre</w:t>
            </w:r>
            <w:r w:rsidR="00FF537B">
              <w:t>-</w:t>
            </w:r>
            <w:r w:rsidR="00A77FC5" w:rsidRPr="00BD7536">
              <w:t xml:space="preserve">2018-2022, </w:t>
            </w:r>
            <w:r w:rsidR="00FF537B" w:rsidRPr="00BD7536">
              <w:t>post</w:t>
            </w:r>
            <w:r w:rsidR="00FF537B">
              <w:t>-</w:t>
            </w:r>
            <w:r w:rsidR="00A77FC5" w:rsidRPr="00BD7536">
              <w:t>2023-2027</w:t>
            </w:r>
            <w:r w:rsidR="00A77FC5" w:rsidRPr="00A77FC5">
              <w:t>)</w:t>
            </w:r>
          </w:p>
          <w:p w14:paraId="086AF497" w14:textId="77777777" w:rsidR="00BC742E" w:rsidRPr="002A497C"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A497C">
              <w:t xml:space="preserve"> </w:t>
            </w:r>
          </w:p>
        </w:tc>
        <w:tc>
          <w:tcPr>
            <w:tcW w:w="2974" w:type="dxa"/>
          </w:tcPr>
          <w:p w14:paraId="0A3604C6" w14:textId="37837165" w:rsidR="001466A0" w:rsidRPr="002A497C" w:rsidRDefault="67AF65D0" w:rsidP="00A04539">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t>Members with SUD</w:t>
            </w:r>
            <w:r w:rsidR="60B2E39C">
              <w:t>/OUD</w:t>
            </w:r>
            <w:r>
              <w:t xml:space="preserve"> diagnoses</w:t>
            </w:r>
            <w:r w:rsidR="2CA481D3">
              <w:t xml:space="preserve"> </w:t>
            </w:r>
            <w:r w:rsidR="2CA481D3" w:rsidRPr="00917DBF">
              <w:t>(</w:t>
            </w:r>
            <w:r w:rsidR="00516D5E">
              <w:rPr>
                <w:rFonts w:eastAsia="Times New Roman"/>
              </w:rPr>
              <w:t>N</w:t>
            </w:r>
            <w:r w:rsidR="02EDA0D2" w:rsidRPr="00917DBF">
              <w:rPr>
                <w:rFonts w:eastAsia="Times New Roman"/>
              </w:rPr>
              <w:t>=</w:t>
            </w:r>
            <w:r w:rsidR="788F6154" w:rsidRPr="00917DBF">
              <w:rPr>
                <w:rFonts w:eastAsia="Times New Roman"/>
              </w:rPr>
              <w:t>~</w:t>
            </w:r>
            <w:r w:rsidR="46DA3F4C" w:rsidRPr="00917DBF">
              <w:rPr>
                <w:rFonts w:eastAsia="Times New Roman"/>
              </w:rPr>
              <w:t>2</w:t>
            </w:r>
            <w:r w:rsidR="163E4A31" w:rsidRPr="00917DBF">
              <w:rPr>
                <w:rFonts w:eastAsia="Times New Roman"/>
              </w:rPr>
              <w:t>60</w:t>
            </w:r>
            <w:r w:rsidR="04867996" w:rsidRPr="00917DBF">
              <w:rPr>
                <w:rFonts w:eastAsia="Times New Roman"/>
              </w:rPr>
              <w:t>,000</w:t>
            </w:r>
            <w:r w:rsidR="2CA481D3" w:rsidRPr="00917DBF">
              <w:rPr>
                <w:rFonts w:eastAsia="Times New Roman"/>
              </w:rPr>
              <w:t>)</w:t>
            </w:r>
          </w:p>
        </w:tc>
        <w:tc>
          <w:tcPr>
            <w:tcW w:w="2434" w:type="dxa"/>
            <w:hideMark/>
          </w:tcPr>
          <w:p w14:paraId="5561D115" w14:textId="77777777" w:rsidR="00BC742E" w:rsidRPr="002A497C"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A497C">
              <w:t>Initiation and engagement of alcohol and other drug dependence treatment (IET)</w:t>
            </w:r>
          </w:p>
        </w:tc>
        <w:tc>
          <w:tcPr>
            <w:tcW w:w="2363" w:type="dxa"/>
            <w:hideMark/>
          </w:tcPr>
          <w:p w14:paraId="32B29003" w14:textId="5F959AEC" w:rsidR="00200F78" w:rsidRPr="002A497C"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A497C">
              <w:t>Descriptive statistics</w:t>
            </w:r>
            <w:r w:rsidR="00553721">
              <w:t xml:space="preserve"> (</w:t>
            </w:r>
            <w:r w:rsidR="00553721" w:rsidRPr="00BD7536">
              <w:t>member</w:t>
            </w:r>
            <w:r w:rsidR="00553721">
              <w:t>)</w:t>
            </w:r>
            <w:r w:rsidRPr="002A497C">
              <w:t>;</w:t>
            </w:r>
          </w:p>
          <w:p w14:paraId="249EF277" w14:textId="48A1F945" w:rsidR="00BC742E" w:rsidRPr="002A497C"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A497C">
              <w:t>ITS approa</w:t>
            </w:r>
            <w:r w:rsidR="00FF537B">
              <w:t>c</w:t>
            </w:r>
            <w:r w:rsidRPr="002A497C">
              <w:t xml:space="preserve">h - segmented regression </w:t>
            </w:r>
            <w:r w:rsidR="00553721" w:rsidRPr="00BD7536">
              <w:t>(</w:t>
            </w:r>
            <w:r w:rsidR="00F4349F" w:rsidRPr="00BD7536">
              <w:t>member</w:t>
            </w:r>
            <w:r w:rsidR="00F4349F">
              <w:t>)</w:t>
            </w:r>
          </w:p>
        </w:tc>
      </w:tr>
      <w:tr w:rsidR="0047158A" w:rsidRPr="002A497C" w14:paraId="675661D9" w14:textId="77777777" w:rsidTr="3383C28C">
        <w:trPr>
          <w:cnfStyle w:val="000000100000" w:firstRow="0" w:lastRow="0" w:firstColumn="0" w:lastColumn="0" w:oddVBand="0" w:evenVBand="0" w:oddHBand="1" w:evenHBand="0" w:firstRowFirstColumn="0" w:firstRowLastColumn="0" w:lastRowFirstColumn="0" w:lastRowLastColumn="0"/>
          <w:trHeight w:val="1421"/>
        </w:trPr>
        <w:tc>
          <w:tcPr>
            <w:cnfStyle w:val="001000000000" w:firstRow="0" w:lastRow="0" w:firstColumn="1" w:lastColumn="0" w:oddVBand="0" w:evenVBand="0" w:oddHBand="0" w:evenHBand="0" w:firstRowFirstColumn="0" w:firstRowLastColumn="0" w:lastRowFirstColumn="0" w:lastRowLastColumn="0"/>
            <w:tcW w:w="0" w:type="dxa"/>
          </w:tcPr>
          <w:p w14:paraId="26B9E659" w14:textId="6FC760D3" w:rsidR="00073850" w:rsidRPr="002A497C" w:rsidRDefault="00073850" w:rsidP="00A04539">
            <w:pPr>
              <w:pStyle w:val="TableNormal0"/>
            </w:pPr>
            <w:r w:rsidRPr="002A497C">
              <w:t>RQ3-5 What was the impact of the Demonstration on individuals with any SUD diagnosis (including, in particular, OUD diagnosis) adherence to and retention in treatment?</w:t>
            </w:r>
          </w:p>
        </w:tc>
        <w:tc>
          <w:tcPr>
            <w:tcW w:w="0" w:type="dxa"/>
            <w:hideMark/>
          </w:tcPr>
          <w:p w14:paraId="44C6AA2B" w14:textId="7B83D4C0" w:rsidR="00073850" w:rsidRPr="002A497C" w:rsidRDefault="00073850" w:rsidP="00A04539">
            <w:pPr>
              <w:pStyle w:val="TableNormal0"/>
              <w:cnfStyle w:val="000000100000" w:firstRow="0" w:lastRow="0" w:firstColumn="0" w:lastColumn="0" w:oddVBand="0" w:evenVBand="0" w:oddHBand="1" w:evenHBand="0" w:firstRowFirstColumn="0" w:firstRowLastColumn="0" w:lastRowFirstColumn="0" w:lastRowLastColumn="0"/>
            </w:pPr>
            <w:r w:rsidRPr="002A497C">
              <w:t>H3-5.1 The Demonstration’s continuous coverage of OUD/SUD treatment services improved adherence to treatment among individuals with any SUD diagnosis (including, in particular, OUD diagnosis).</w:t>
            </w:r>
          </w:p>
          <w:p w14:paraId="147AFDB1" w14:textId="77777777" w:rsidR="00073850" w:rsidRPr="002A497C" w:rsidRDefault="00073850" w:rsidP="00A04539">
            <w:pPr>
              <w:pStyle w:val="TableNormal0"/>
              <w:cnfStyle w:val="000000100000" w:firstRow="0" w:lastRow="0" w:firstColumn="0" w:lastColumn="0" w:oddVBand="0" w:evenVBand="0" w:oddHBand="1" w:evenHBand="0" w:firstRowFirstColumn="0" w:firstRowLastColumn="0" w:lastRowFirstColumn="0" w:lastRowLastColumn="0"/>
            </w:pPr>
          </w:p>
        </w:tc>
        <w:tc>
          <w:tcPr>
            <w:tcW w:w="2070" w:type="dxa"/>
          </w:tcPr>
          <w:p w14:paraId="4AD4F2C3" w14:textId="4831AF42" w:rsidR="00C646EE" w:rsidRPr="002A497C" w:rsidRDefault="00DC0EBB" w:rsidP="00A04539">
            <w:pPr>
              <w:pStyle w:val="TableNormal0"/>
              <w:cnfStyle w:val="000000100000" w:firstRow="0" w:lastRow="0" w:firstColumn="0" w:lastColumn="0" w:oddVBand="0" w:evenVBand="0" w:oddHBand="1" w:evenHBand="0" w:firstRowFirstColumn="0" w:firstRowLastColumn="0" w:lastRowFirstColumn="0" w:lastRowLastColumn="0"/>
            </w:pPr>
            <w:r w:rsidRPr="002A497C">
              <w:t>MMIS claims/encounter data</w:t>
            </w:r>
            <w:r w:rsidR="00D844FB">
              <w:t xml:space="preserve"> (</w:t>
            </w:r>
            <w:r w:rsidR="00D844FB" w:rsidRPr="00BD7536">
              <w:t xml:space="preserve">baseline 2015-2017, </w:t>
            </w:r>
            <w:r w:rsidR="00686390" w:rsidRPr="00BD7536">
              <w:t>pre</w:t>
            </w:r>
            <w:r w:rsidR="00686390">
              <w:t>-</w:t>
            </w:r>
            <w:r w:rsidR="00D844FB" w:rsidRPr="00BD7536">
              <w:t xml:space="preserve">2018-2022, </w:t>
            </w:r>
            <w:r w:rsidR="00686390" w:rsidRPr="00BD7536">
              <w:t>post</w:t>
            </w:r>
            <w:r w:rsidR="00686390">
              <w:t>-</w:t>
            </w:r>
            <w:r w:rsidR="00D844FB" w:rsidRPr="00BD7536">
              <w:t>2023-2027</w:t>
            </w:r>
            <w:r w:rsidR="00D844FB" w:rsidRPr="00D844FB">
              <w:t>)</w:t>
            </w:r>
            <w:r w:rsidR="00C646EE" w:rsidRPr="002A497C">
              <w:t>;</w:t>
            </w:r>
          </w:p>
          <w:p w14:paraId="6F879A78" w14:textId="6600A8BE" w:rsidR="00073850" w:rsidRPr="002A497C" w:rsidRDefault="00DC0EBB" w:rsidP="00A04539">
            <w:pPr>
              <w:pStyle w:val="TableNormal0"/>
              <w:cnfStyle w:val="000000100000" w:firstRow="0" w:lastRow="0" w:firstColumn="0" w:lastColumn="0" w:oddVBand="0" w:evenVBand="0" w:oddHBand="1" w:evenHBand="0" w:firstRowFirstColumn="0" w:firstRowLastColumn="0" w:lastRowFirstColumn="0" w:lastRowLastColumn="0"/>
            </w:pPr>
            <w:r w:rsidRPr="002A497C">
              <w:t>BSAS program data, if available</w:t>
            </w:r>
          </w:p>
        </w:tc>
        <w:tc>
          <w:tcPr>
            <w:tcW w:w="2974" w:type="dxa"/>
          </w:tcPr>
          <w:p w14:paraId="5BF8FC51" w14:textId="351D3FA8" w:rsidR="00073850" w:rsidRPr="002A497C" w:rsidRDefault="00073850" w:rsidP="00A04539">
            <w:pPr>
              <w:pStyle w:val="TableNormal0"/>
              <w:cnfStyle w:val="000000100000" w:firstRow="0" w:lastRow="0" w:firstColumn="0" w:lastColumn="0" w:oddVBand="0" w:evenVBand="0" w:oddHBand="1" w:evenHBand="0" w:firstRowFirstColumn="0" w:firstRowLastColumn="0" w:lastRowFirstColumn="0" w:lastRowLastColumn="0"/>
            </w:pPr>
            <w:r w:rsidRPr="002A497C">
              <w:t>Members with SUD</w:t>
            </w:r>
            <w:r w:rsidR="00DD4830">
              <w:t>/</w:t>
            </w:r>
            <w:r w:rsidR="00DD4830" w:rsidRPr="002A497C">
              <w:t>OUD</w:t>
            </w:r>
            <w:r w:rsidRPr="002A497C">
              <w:t xml:space="preserve"> diagnoses</w:t>
            </w:r>
          </w:p>
          <w:p w14:paraId="403DF12B" w14:textId="3E1FF137" w:rsidR="00073850" w:rsidRPr="00917DBF" w:rsidRDefault="1479C625" w:rsidP="7F638223">
            <w:pPr>
              <w:pStyle w:val="TableNormal0"/>
              <w:cnfStyle w:val="000000100000" w:firstRow="0" w:lastRow="0" w:firstColumn="0" w:lastColumn="0" w:oddVBand="0" w:evenVBand="0" w:oddHBand="1" w:evenHBand="0" w:firstRowFirstColumn="0" w:firstRowLastColumn="0" w:lastRowFirstColumn="0" w:lastRowLastColumn="0"/>
            </w:pPr>
            <w:r w:rsidRPr="00917DBF">
              <w:t>(</w:t>
            </w:r>
            <w:r w:rsidR="00516D5E">
              <w:t>N</w:t>
            </w:r>
            <w:r w:rsidR="02EDA0D2" w:rsidRPr="00917DBF">
              <w:t>=</w:t>
            </w:r>
            <w:r w:rsidR="788F6154" w:rsidRPr="00917DBF">
              <w:t>~</w:t>
            </w:r>
            <w:r w:rsidR="46DA3F4C" w:rsidRPr="00917DBF">
              <w:t>2</w:t>
            </w:r>
            <w:r w:rsidR="163E4A31" w:rsidRPr="00917DBF">
              <w:t>60</w:t>
            </w:r>
            <w:r w:rsidR="04867996" w:rsidRPr="00917DBF">
              <w:t>,</w:t>
            </w:r>
            <w:r w:rsidR="7FF6CBC3" w:rsidRPr="00917DBF">
              <w:t>0</w:t>
            </w:r>
            <w:r w:rsidR="04867996" w:rsidRPr="00917DBF">
              <w:t>00</w:t>
            </w:r>
            <w:r w:rsidRPr="00917DBF">
              <w:t>)</w:t>
            </w:r>
          </w:p>
        </w:tc>
        <w:tc>
          <w:tcPr>
            <w:tcW w:w="0" w:type="dxa"/>
            <w:hideMark/>
          </w:tcPr>
          <w:p w14:paraId="2359D6F7" w14:textId="6A759502" w:rsidR="00073850" w:rsidRPr="002A497C" w:rsidRDefault="00073850" w:rsidP="00A04539">
            <w:pPr>
              <w:pStyle w:val="TableNormal0"/>
              <w:cnfStyle w:val="000000100000" w:firstRow="0" w:lastRow="0" w:firstColumn="0" w:lastColumn="0" w:oddVBand="0" w:evenVBand="0" w:oddHBand="1" w:evenHBand="0" w:firstRowFirstColumn="0" w:firstRowLastColumn="0" w:lastRowFirstColumn="0" w:lastRowLastColumn="0"/>
            </w:pPr>
            <w:r w:rsidRPr="002A497C">
              <w:t xml:space="preserve">Continuity of </w:t>
            </w:r>
            <w:r w:rsidR="007C7EF9">
              <w:t>p</w:t>
            </w:r>
            <w:r w:rsidRPr="002A497C">
              <w:t>harmacotherapy for OUD</w:t>
            </w:r>
          </w:p>
          <w:p w14:paraId="1AA9E574" w14:textId="1C5ED95D" w:rsidR="00073850" w:rsidRPr="002A497C" w:rsidRDefault="00073850" w:rsidP="00A04539">
            <w:pPr>
              <w:pStyle w:val="TableNormal0"/>
              <w:cnfStyle w:val="000000100000" w:firstRow="0" w:lastRow="0" w:firstColumn="0" w:lastColumn="0" w:oddVBand="0" w:evenVBand="0" w:oddHBand="1" w:evenHBand="0" w:firstRowFirstColumn="0" w:firstRowLastColumn="0" w:lastRowFirstColumn="0" w:lastRowLastColumn="0"/>
            </w:pPr>
            <w:r w:rsidRPr="002A497C">
              <w:t xml:space="preserve">Follow-up </w:t>
            </w:r>
            <w:r w:rsidR="007C7EF9">
              <w:t>a</w:t>
            </w:r>
            <w:r w:rsidR="007C7EF9" w:rsidRPr="002A497C">
              <w:t xml:space="preserve">fter </w:t>
            </w:r>
            <w:r w:rsidRPr="002A497C">
              <w:t xml:space="preserve">ED </w:t>
            </w:r>
            <w:r w:rsidR="007C7EF9">
              <w:t>v</w:t>
            </w:r>
            <w:r w:rsidR="007C7EF9" w:rsidRPr="002A497C">
              <w:t xml:space="preserve">isit </w:t>
            </w:r>
            <w:r w:rsidRPr="002A497C">
              <w:t xml:space="preserve">for </w:t>
            </w:r>
            <w:r w:rsidR="00686390">
              <w:t>m</w:t>
            </w:r>
            <w:r w:rsidRPr="002A497C">
              <w:t xml:space="preserve">ental </w:t>
            </w:r>
            <w:r w:rsidR="00686390">
              <w:t>i</w:t>
            </w:r>
            <w:r w:rsidRPr="002A497C">
              <w:t>llness</w:t>
            </w:r>
          </w:p>
          <w:p w14:paraId="02D45A07" w14:textId="77777777" w:rsidR="00073850" w:rsidRPr="002A497C" w:rsidRDefault="00073850" w:rsidP="00A04539">
            <w:pPr>
              <w:pStyle w:val="TableNormal0"/>
              <w:cnfStyle w:val="000000100000" w:firstRow="0" w:lastRow="0" w:firstColumn="0" w:lastColumn="0" w:oddVBand="0" w:evenVBand="0" w:oddHBand="1" w:evenHBand="0" w:firstRowFirstColumn="0" w:firstRowLastColumn="0" w:lastRowFirstColumn="0" w:lastRowLastColumn="0"/>
            </w:pPr>
            <w:r w:rsidRPr="002A497C">
              <w:t xml:space="preserve">Percentage of members with any SUD/OUD diagnosis who used the following per month: </w:t>
            </w:r>
          </w:p>
          <w:p w14:paraId="278E6B94" w14:textId="63C7411D" w:rsidR="00073850" w:rsidRPr="009F1F6D" w:rsidRDefault="00073850" w:rsidP="00A04539">
            <w:pPr>
              <w:pStyle w:val="TableNormal0"/>
              <w:cnfStyle w:val="000000100000" w:firstRow="0" w:lastRow="0" w:firstColumn="0" w:lastColumn="0" w:oddVBand="0" w:evenVBand="0" w:oddHBand="1" w:evenHBand="0" w:firstRowFirstColumn="0" w:firstRowLastColumn="0" w:lastRowFirstColumn="0" w:lastRowLastColumn="0"/>
              <w:rPr>
                <w:lang w:val="fr-FR"/>
              </w:rPr>
            </w:pPr>
            <w:r w:rsidRPr="009F1F6D">
              <w:rPr>
                <w:lang w:val="fr-FR"/>
              </w:rPr>
              <w:t xml:space="preserve">Outpatient SUD services; </w:t>
            </w:r>
          </w:p>
          <w:p w14:paraId="1DC1C69D" w14:textId="35F39745" w:rsidR="00073850" w:rsidRPr="009F1F6D" w:rsidRDefault="00073850" w:rsidP="00A04539">
            <w:pPr>
              <w:pStyle w:val="TableNormal0"/>
              <w:cnfStyle w:val="000000100000" w:firstRow="0" w:lastRow="0" w:firstColumn="0" w:lastColumn="0" w:oddVBand="0" w:evenVBand="0" w:oddHBand="1" w:evenHBand="0" w:firstRowFirstColumn="0" w:firstRowLastColumn="0" w:lastRowFirstColumn="0" w:lastRowLastColumn="0"/>
              <w:rPr>
                <w:lang w:val="fr-FR"/>
              </w:rPr>
            </w:pPr>
            <w:r w:rsidRPr="009F1F6D">
              <w:rPr>
                <w:lang w:val="fr-FR"/>
              </w:rPr>
              <w:t xml:space="preserve">Intensive </w:t>
            </w:r>
            <w:r w:rsidRPr="003672E4">
              <w:rPr>
                <w:lang w:val="fr-FR"/>
              </w:rPr>
              <w:t>outpatient</w:t>
            </w:r>
            <w:r w:rsidRPr="009F1F6D">
              <w:rPr>
                <w:lang w:val="fr-FR"/>
              </w:rPr>
              <w:t xml:space="preserve"> services;</w:t>
            </w:r>
          </w:p>
          <w:p w14:paraId="2DED4835" w14:textId="7DC57E07" w:rsidR="00073850" w:rsidRPr="002A497C" w:rsidRDefault="00073850" w:rsidP="00A04539">
            <w:pPr>
              <w:pStyle w:val="TableNormal0"/>
              <w:cnfStyle w:val="000000100000" w:firstRow="0" w:lastRow="0" w:firstColumn="0" w:lastColumn="0" w:oddVBand="0" w:evenVBand="0" w:oddHBand="1" w:evenHBand="0" w:firstRowFirstColumn="0" w:firstRowLastColumn="0" w:lastRowFirstColumn="0" w:lastRowLastColumn="0"/>
            </w:pPr>
            <w:r w:rsidRPr="002A497C">
              <w:t>Medication</w:t>
            </w:r>
            <w:r w:rsidR="007C7EF9">
              <w:t>-</w:t>
            </w:r>
            <w:r w:rsidRPr="002A497C">
              <w:t xml:space="preserve">assisted treatment for SUD; </w:t>
            </w:r>
          </w:p>
          <w:p w14:paraId="02F7E490" w14:textId="77777777" w:rsidR="00073850" w:rsidRPr="002A497C" w:rsidRDefault="00073850" w:rsidP="00A04539">
            <w:pPr>
              <w:pStyle w:val="TableNormal0"/>
              <w:cnfStyle w:val="000000100000" w:firstRow="0" w:lastRow="0" w:firstColumn="0" w:lastColumn="0" w:oddVBand="0" w:evenVBand="0" w:oddHBand="1" w:evenHBand="0" w:firstRowFirstColumn="0" w:firstRowLastColumn="0" w:lastRowFirstColumn="0" w:lastRowLastColumn="0"/>
            </w:pPr>
            <w:r w:rsidRPr="002A497C">
              <w:t>Residential treatment (ASAM Level 3.1), including average length of stay;</w:t>
            </w:r>
          </w:p>
          <w:p w14:paraId="7B080A7A" w14:textId="4C768A42" w:rsidR="00073850" w:rsidRPr="002A497C" w:rsidRDefault="00073850" w:rsidP="00A04539">
            <w:pPr>
              <w:pStyle w:val="TableNormal0"/>
              <w:cnfStyle w:val="000000100000" w:firstRow="0" w:lastRow="0" w:firstColumn="0" w:lastColumn="0" w:oddVBand="0" w:evenVBand="0" w:oddHBand="1" w:evenHBand="0" w:firstRowFirstColumn="0" w:firstRowLastColumn="0" w:lastRowFirstColumn="0" w:lastRowLastColumn="0"/>
            </w:pPr>
            <w:r w:rsidRPr="002A497C">
              <w:t>ASAM level 3.3</w:t>
            </w:r>
            <w:r w:rsidR="6F419C44" w:rsidRPr="002A497C">
              <w:t xml:space="preserve"> (once implemented)</w:t>
            </w:r>
            <w:r w:rsidRPr="002A497C">
              <w:t>;</w:t>
            </w:r>
          </w:p>
          <w:p w14:paraId="7E86E3EE" w14:textId="77777777" w:rsidR="00073850" w:rsidRPr="002A497C" w:rsidRDefault="00073850" w:rsidP="00A04539">
            <w:pPr>
              <w:pStyle w:val="TableNormal0"/>
              <w:cnfStyle w:val="000000100000" w:firstRow="0" w:lastRow="0" w:firstColumn="0" w:lastColumn="0" w:oddVBand="0" w:evenVBand="0" w:oddHBand="1" w:evenHBand="0" w:firstRowFirstColumn="0" w:firstRowLastColumn="0" w:lastRowFirstColumn="0" w:lastRowLastColumn="0"/>
            </w:pPr>
            <w:r w:rsidRPr="002A497C">
              <w:t>Clinical stabilization services (ASAM Level 3.5);</w:t>
            </w:r>
          </w:p>
          <w:p w14:paraId="17E30ABD" w14:textId="13D44A23" w:rsidR="00073850" w:rsidRPr="002A497C" w:rsidRDefault="00073850" w:rsidP="00A04539">
            <w:pPr>
              <w:pStyle w:val="TableNormal0"/>
              <w:cnfStyle w:val="000000100000" w:firstRow="0" w:lastRow="0" w:firstColumn="0" w:lastColumn="0" w:oddVBand="0" w:evenVBand="0" w:oddHBand="1" w:evenHBand="0" w:firstRowFirstColumn="0" w:firstRowLastColumn="0" w:lastRowFirstColumn="0" w:lastRowLastColumn="0"/>
            </w:pPr>
            <w:r w:rsidRPr="002A497C">
              <w:lastRenderedPageBreak/>
              <w:t xml:space="preserve">Acute </w:t>
            </w:r>
            <w:r w:rsidR="006917ED">
              <w:t>t</w:t>
            </w:r>
            <w:r w:rsidR="006917ED" w:rsidRPr="002A497C">
              <w:t xml:space="preserve">reatment </w:t>
            </w:r>
            <w:r w:rsidR="006917ED">
              <w:t>s</w:t>
            </w:r>
            <w:r w:rsidR="006917ED" w:rsidRPr="002A497C">
              <w:t xml:space="preserve">ervices </w:t>
            </w:r>
            <w:r w:rsidRPr="002A497C">
              <w:t>(ASAM Level 3.7);</w:t>
            </w:r>
          </w:p>
          <w:p w14:paraId="7C1FB013" w14:textId="2075A3B4" w:rsidR="00073850" w:rsidRPr="002A497C" w:rsidRDefault="00073850" w:rsidP="00A04539">
            <w:pPr>
              <w:pStyle w:val="TableNormal0"/>
              <w:cnfStyle w:val="000000100000" w:firstRow="0" w:lastRow="0" w:firstColumn="0" w:lastColumn="0" w:oddVBand="0" w:evenVBand="0" w:oddHBand="1" w:evenHBand="0" w:firstRowFirstColumn="0" w:firstRowLastColumn="0" w:lastRowFirstColumn="0" w:lastRowLastColumn="0"/>
            </w:pPr>
            <w:r w:rsidRPr="002A497C">
              <w:t xml:space="preserve">Inpatient </w:t>
            </w:r>
            <w:r w:rsidR="006917ED">
              <w:t>w</w:t>
            </w:r>
            <w:r w:rsidR="006917ED" w:rsidRPr="002A497C">
              <w:t xml:space="preserve">ithdrawal </w:t>
            </w:r>
            <w:r w:rsidR="006917ED">
              <w:t>m</w:t>
            </w:r>
            <w:r w:rsidR="006917ED" w:rsidRPr="002A497C">
              <w:t>anagement</w:t>
            </w:r>
            <w:r w:rsidRPr="002A497C">
              <w:t>;</w:t>
            </w:r>
          </w:p>
          <w:p w14:paraId="66B2CAAD" w14:textId="77777777" w:rsidR="00073850" w:rsidRPr="002A497C" w:rsidRDefault="00073850" w:rsidP="00A04539">
            <w:pPr>
              <w:pStyle w:val="TableNormal0"/>
              <w:cnfStyle w:val="000000100000" w:firstRow="0" w:lastRow="0" w:firstColumn="0" w:lastColumn="0" w:oddVBand="0" w:evenVBand="0" w:oddHBand="1" w:evenHBand="0" w:firstRowFirstColumn="0" w:firstRowLastColumn="0" w:lastRowFirstColumn="0" w:lastRowLastColumn="0"/>
            </w:pPr>
            <w:r w:rsidRPr="002A497C">
              <w:t>Outpatient detox;</w:t>
            </w:r>
          </w:p>
          <w:p w14:paraId="74163FC3" w14:textId="5C15EF07" w:rsidR="00073850" w:rsidRPr="002A497C" w:rsidRDefault="00073850" w:rsidP="00A04539">
            <w:pPr>
              <w:pStyle w:val="TableNormal0"/>
              <w:cnfStyle w:val="000000100000" w:firstRow="0" w:lastRow="0" w:firstColumn="0" w:lastColumn="0" w:oddVBand="0" w:evenVBand="0" w:oddHBand="1" w:evenHBand="0" w:firstRowFirstColumn="0" w:firstRowLastColumn="0" w:lastRowFirstColumn="0" w:lastRowLastColumn="0"/>
            </w:pPr>
            <w:r w:rsidRPr="002A497C">
              <w:t xml:space="preserve">Recovery </w:t>
            </w:r>
            <w:r w:rsidR="006917ED">
              <w:t>c</w:t>
            </w:r>
            <w:r w:rsidR="006917ED" w:rsidRPr="002A497C">
              <w:t>oach</w:t>
            </w:r>
            <w:r w:rsidRPr="002A497C">
              <w:t>;</w:t>
            </w:r>
          </w:p>
          <w:p w14:paraId="48987B20" w14:textId="53DCFDE3" w:rsidR="00073850" w:rsidRPr="002A497C" w:rsidRDefault="00073850" w:rsidP="00A04539">
            <w:pPr>
              <w:pStyle w:val="TableNormal0"/>
              <w:cnfStyle w:val="000000100000" w:firstRow="0" w:lastRow="0" w:firstColumn="0" w:lastColumn="0" w:oddVBand="0" w:evenVBand="0" w:oddHBand="1" w:evenHBand="0" w:firstRowFirstColumn="0" w:firstRowLastColumn="0" w:lastRowFirstColumn="0" w:lastRowLastColumn="0"/>
            </w:pPr>
            <w:r w:rsidRPr="002A497C">
              <w:t xml:space="preserve">Recovery </w:t>
            </w:r>
            <w:r w:rsidR="006917ED">
              <w:t>s</w:t>
            </w:r>
            <w:r w:rsidR="006917ED" w:rsidRPr="002A497C">
              <w:t xml:space="preserve">upport </w:t>
            </w:r>
            <w:r w:rsidR="006917ED">
              <w:t>n</w:t>
            </w:r>
            <w:r w:rsidR="006917ED" w:rsidRPr="002A497C">
              <w:t>avigator</w:t>
            </w:r>
          </w:p>
        </w:tc>
        <w:tc>
          <w:tcPr>
            <w:tcW w:w="0" w:type="dxa"/>
            <w:hideMark/>
          </w:tcPr>
          <w:p w14:paraId="6769F05B" w14:textId="7C48C505" w:rsidR="00073850" w:rsidRPr="002A497C" w:rsidRDefault="00073850" w:rsidP="00A04539">
            <w:pPr>
              <w:pStyle w:val="TableNormal0"/>
              <w:cnfStyle w:val="000000100000" w:firstRow="0" w:lastRow="0" w:firstColumn="0" w:lastColumn="0" w:oddVBand="0" w:evenVBand="0" w:oddHBand="1" w:evenHBand="0" w:firstRowFirstColumn="0" w:firstRowLastColumn="0" w:lastRowFirstColumn="0" w:lastRowLastColumn="0"/>
            </w:pPr>
            <w:r w:rsidRPr="002A497C">
              <w:lastRenderedPageBreak/>
              <w:t>Descriptive statistics</w:t>
            </w:r>
            <w:r w:rsidR="001E4EBA">
              <w:t xml:space="preserve"> (</w:t>
            </w:r>
            <w:r w:rsidR="001E4EBA" w:rsidRPr="00BD7536">
              <w:t>member</w:t>
            </w:r>
            <w:r w:rsidR="001E4EBA">
              <w:t>)</w:t>
            </w:r>
            <w:r w:rsidRPr="002A497C">
              <w:t xml:space="preserve">; </w:t>
            </w:r>
          </w:p>
          <w:p w14:paraId="6F58F034" w14:textId="6004CD26" w:rsidR="00073850" w:rsidRPr="002A497C" w:rsidRDefault="00073850" w:rsidP="00A04539">
            <w:pPr>
              <w:pStyle w:val="TableNormal0"/>
              <w:cnfStyle w:val="000000100000" w:firstRow="0" w:lastRow="0" w:firstColumn="0" w:lastColumn="0" w:oddVBand="0" w:evenVBand="0" w:oddHBand="1" w:evenHBand="0" w:firstRowFirstColumn="0" w:firstRowLastColumn="0" w:lastRowFirstColumn="0" w:lastRowLastColumn="0"/>
            </w:pPr>
            <w:r w:rsidRPr="002A497C">
              <w:t>ITS approa</w:t>
            </w:r>
            <w:r w:rsidR="00686390">
              <w:t>c</w:t>
            </w:r>
            <w:r w:rsidRPr="002A497C">
              <w:t>h - segmented regression</w:t>
            </w:r>
            <w:r w:rsidR="001E4EBA">
              <w:t xml:space="preserve"> (</w:t>
            </w:r>
            <w:r w:rsidR="001E4EBA" w:rsidRPr="00BD7536">
              <w:t>member</w:t>
            </w:r>
            <w:r w:rsidR="001E4EBA">
              <w:t>)</w:t>
            </w:r>
          </w:p>
          <w:p w14:paraId="1CB859B6" w14:textId="79A940AA" w:rsidR="00073850" w:rsidRPr="002A497C" w:rsidRDefault="00073850" w:rsidP="00A04539">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A497C">
              <w:t>Joint modeling of event counts and survival times analyses</w:t>
            </w:r>
            <w:r w:rsidR="001E4EBA">
              <w:t xml:space="preserve"> (</w:t>
            </w:r>
            <w:r w:rsidR="001E4EBA" w:rsidRPr="00BD7536">
              <w:t>member</w:t>
            </w:r>
            <w:r w:rsidR="001E4EBA">
              <w:t>)</w:t>
            </w:r>
          </w:p>
        </w:tc>
      </w:tr>
      <w:tr w:rsidR="0047158A" w:rsidRPr="002A497C" w14:paraId="230713F5" w14:textId="77777777" w:rsidTr="3383C28C">
        <w:trPr>
          <w:trHeight w:val="3311"/>
        </w:trPr>
        <w:tc>
          <w:tcPr>
            <w:cnfStyle w:val="001000000000" w:firstRow="0" w:lastRow="0" w:firstColumn="1" w:lastColumn="0" w:oddVBand="0" w:evenVBand="0" w:oddHBand="0" w:evenHBand="0" w:firstRowFirstColumn="0" w:firstRowLastColumn="0" w:lastRowFirstColumn="0" w:lastRowLastColumn="0"/>
            <w:tcW w:w="1790" w:type="dxa"/>
          </w:tcPr>
          <w:p w14:paraId="6498207C" w14:textId="3E6912E4" w:rsidR="00073850" w:rsidRPr="002A497C" w:rsidRDefault="00073850" w:rsidP="00A04539">
            <w:pPr>
              <w:pStyle w:val="TableNormal0"/>
            </w:pPr>
            <w:r w:rsidRPr="002A497C">
              <w:t>RQ3-6 To what extent did the Demonstration reduce utilization of emergency departments and inpatient hospital settings for treatment where the utilization is preventable or medically inappropriate through improved access to other continuum of care services?</w:t>
            </w:r>
          </w:p>
        </w:tc>
        <w:tc>
          <w:tcPr>
            <w:tcW w:w="1895" w:type="dxa"/>
          </w:tcPr>
          <w:p w14:paraId="3B232211" w14:textId="7C7E6C33" w:rsidR="00073850" w:rsidRPr="002A497C" w:rsidRDefault="00073850" w:rsidP="00A04539">
            <w:pPr>
              <w:pStyle w:val="TableNormal0"/>
              <w:cnfStyle w:val="000000000000" w:firstRow="0" w:lastRow="0" w:firstColumn="0" w:lastColumn="0" w:oddVBand="0" w:evenVBand="0" w:oddHBand="0" w:evenHBand="0" w:firstRowFirstColumn="0" w:firstRowLastColumn="0" w:lastRowFirstColumn="0" w:lastRowLastColumn="0"/>
            </w:pPr>
            <w:r w:rsidRPr="002A497C">
              <w:t>H3-6.1 The Demonstration’s continuous coverage of OUD/SUD treatment services reduced utilization of preventable or medically inappropriate care at ED and inpatient hospital settings among individuals with SUD and/or OUD-related diagnoses.</w:t>
            </w:r>
          </w:p>
        </w:tc>
        <w:tc>
          <w:tcPr>
            <w:tcW w:w="2070" w:type="dxa"/>
          </w:tcPr>
          <w:p w14:paraId="4DDECB07" w14:textId="60847FF0" w:rsidR="00073850" w:rsidRPr="002A497C" w:rsidRDefault="00073850" w:rsidP="00A04539">
            <w:pPr>
              <w:pStyle w:val="TableNormal0"/>
              <w:cnfStyle w:val="000000000000" w:firstRow="0" w:lastRow="0" w:firstColumn="0" w:lastColumn="0" w:oddVBand="0" w:evenVBand="0" w:oddHBand="0" w:evenHBand="0" w:firstRowFirstColumn="0" w:firstRowLastColumn="0" w:lastRowFirstColumn="0" w:lastRowLastColumn="0"/>
            </w:pPr>
            <w:r w:rsidRPr="002A497C">
              <w:t>MMIS claims/encounter data</w:t>
            </w:r>
            <w:r w:rsidR="00A46A40">
              <w:t xml:space="preserve"> </w:t>
            </w:r>
            <w:r w:rsidR="00A46A40" w:rsidRPr="00A46A40">
              <w:t>(</w:t>
            </w:r>
            <w:r w:rsidR="00A46A40" w:rsidRPr="00BD7536">
              <w:t xml:space="preserve">baseline 2015-2017, </w:t>
            </w:r>
            <w:r w:rsidR="006917ED" w:rsidRPr="00BD7536">
              <w:t>pre</w:t>
            </w:r>
            <w:r w:rsidR="006917ED">
              <w:t>-</w:t>
            </w:r>
            <w:r w:rsidR="00A46A40" w:rsidRPr="00BD7536">
              <w:t xml:space="preserve">2018-2022, </w:t>
            </w:r>
            <w:r w:rsidR="006917ED" w:rsidRPr="00BD7536">
              <w:t>post</w:t>
            </w:r>
            <w:r w:rsidR="006917ED">
              <w:t>-</w:t>
            </w:r>
            <w:r w:rsidR="00A46A40" w:rsidRPr="00BD7536">
              <w:t>2023-2027)</w:t>
            </w:r>
          </w:p>
        </w:tc>
        <w:tc>
          <w:tcPr>
            <w:tcW w:w="2974" w:type="dxa"/>
          </w:tcPr>
          <w:p w14:paraId="616086C4" w14:textId="562D0628" w:rsidR="00073850" w:rsidRPr="002A497C" w:rsidRDefault="00073850" w:rsidP="00A04539">
            <w:pPr>
              <w:pStyle w:val="TableNormal0"/>
              <w:cnfStyle w:val="000000000000" w:firstRow="0" w:lastRow="0" w:firstColumn="0" w:lastColumn="0" w:oddVBand="0" w:evenVBand="0" w:oddHBand="0" w:evenHBand="0" w:firstRowFirstColumn="0" w:firstRowLastColumn="0" w:lastRowFirstColumn="0" w:lastRowLastColumn="0"/>
            </w:pPr>
            <w:r w:rsidRPr="002A497C">
              <w:t xml:space="preserve">Members with </w:t>
            </w:r>
            <w:r w:rsidR="00DD4830" w:rsidRPr="002A497C">
              <w:t>SUD</w:t>
            </w:r>
            <w:r w:rsidR="00DD4830">
              <w:t>/</w:t>
            </w:r>
            <w:r w:rsidRPr="002A497C">
              <w:t>OUD diagnoses</w:t>
            </w:r>
          </w:p>
          <w:p w14:paraId="771FB81C" w14:textId="185222EC" w:rsidR="00073850" w:rsidRPr="00917DBF" w:rsidRDefault="1479C625" w:rsidP="7F638223">
            <w:pPr>
              <w:pStyle w:val="TableNormal0"/>
              <w:cnfStyle w:val="000000000000" w:firstRow="0" w:lastRow="0" w:firstColumn="0" w:lastColumn="0" w:oddVBand="0" w:evenVBand="0" w:oddHBand="0" w:evenHBand="0" w:firstRowFirstColumn="0" w:firstRowLastColumn="0" w:lastRowFirstColumn="0" w:lastRowLastColumn="0"/>
            </w:pPr>
            <w:r w:rsidRPr="00917DBF">
              <w:t>(</w:t>
            </w:r>
            <w:r w:rsidR="00516D5E">
              <w:t>N</w:t>
            </w:r>
            <w:r w:rsidRPr="00917DBF">
              <w:t>=</w:t>
            </w:r>
            <w:r w:rsidR="788F6154" w:rsidRPr="00917DBF">
              <w:t>~</w:t>
            </w:r>
            <w:r w:rsidR="46DA3F4C" w:rsidRPr="00917DBF">
              <w:t>2</w:t>
            </w:r>
            <w:r w:rsidR="14A5EDDE" w:rsidRPr="00917DBF">
              <w:t>60</w:t>
            </w:r>
            <w:r w:rsidR="04867996" w:rsidRPr="00917DBF">
              <w:t>,</w:t>
            </w:r>
            <w:r w:rsidR="7FF6CBC3" w:rsidRPr="00917DBF">
              <w:t>000</w:t>
            </w:r>
            <w:r w:rsidRPr="00917DBF">
              <w:t>)</w:t>
            </w:r>
          </w:p>
        </w:tc>
        <w:tc>
          <w:tcPr>
            <w:tcW w:w="2434" w:type="dxa"/>
          </w:tcPr>
          <w:p w14:paraId="42BB253F" w14:textId="01A1F0B7" w:rsidR="00073850" w:rsidRPr="002A497C" w:rsidRDefault="00073850" w:rsidP="00A04539">
            <w:pPr>
              <w:pStyle w:val="TableNormal0"/>
              <w:cnfStyle w:val="000000000000" w:firstRow="0" w:lastRow="0" w:firstColumn="0" w:lastColumn="0" w:oddVBand="0" w:evenVBand="0" w:oddHBand="0" w:evenHBand="0" w:firstRowFirstColumn="0" w:firstRowLastColumn="0" w:lastRowFirstColumn="0" w:lastRowLastColumn="0"/>
            </w:pPr>
            <w:r w:rsidRPr="002A497C">
              <w:t xml:space="preserve">ED </w:t>
            </w:r>
            <w:r w:rsidR="006917ED">
              <w:t>u</w:t>
            </w:r>
            <w:r w:rsidR="006917ED" w:rsidRPr="002A497C">
              <w:t xml:space="preserve">se </w:t>
            </w:r>
            <w:r w:rsidRPr="002A497C">
              <w:t xml:space="preserve">for any SUD-related </w:t>
            </w:r>
            <w:r w:rsidR="006917ED">
              <w:t>d</w:t>
            </w:r>
            <w:r w:rsidR="006917ED" w:rsidRPr="002A497C">
              <w:t xml:space="preserve">iagnosis </w:t>
            </w:r>
            <w:r w:rsidRPr="002A497C">
              <w:t xml:space="preserve">and OUD </w:t>
            </w:r>
            <w:r w:rsidR="006917ED">
              <w:t>d</w:t>
            </w:r>
            <w:r w:rsidR="006917ED" w:rsidRPr="002A497C">
              <w:t>iagnosis</w:t>
            </w:r>
          </w:p>
          <w:p w14:paraId="16E711F2" w14:textId="623FDDD5" w:rsidR="00073850" w:rsidRPr="002A497C" w:rsidRDefault="00073850" w:rsidP="00A04539">
            <w:pPr>
              <w:pStyle w:val="TableNormal0"/>
              <w:cnfStyle w:val="000000000000" w:firstRow="0" w:lastRow="0" w:firstColumn="0" w:lastColumn="0" w:oddVBand="0" w:evenVBand="0" w:oddHBand="0" w:evenHBand="0" w:firstRowFirstColumn="0" w:firstRowLastColumn="0" w:lastRowFirstColumn="0" w:lastRowLastColumn="0"/>
            </w:pPr>
            <w:r w:rsidRPr="002A497C">
              <w:t xml:space="preserve">Inpatient </w:t>
            </w:r>
            <w:r w:rsidR="006917ED">
              <w:t>a</w:t>
            </w:r>
            <w:r w:rsidR="006917ED" w:rsidRPr="002A497C">
              <w:t xml:space="preserve">dmissions </w:t>
            </w:r>
            <w:r w:rsidRPr="002A497C">
              <w:t xml:space="preserve">for any SUD-related </w:t>
            </w:r>
            <w:r w:rsidR="006917ED">
              <w:t>d</w:t>
            </w:r>
            <w:r w:rsidR="006917ED" w:rsidRPr="002A497C">
              <w:t xml:space="preserve">iagnosis </w:t>
            </w:r>
            <w:r w:rsidRPr="002A497C">
              <w:t xml:space="preserve">and OUD </w:t>
            </w:r>
            <w:r w:rsidR="006917ED">
              <w:t>d</w:t>
            </w:r>
            <w:r w:rsidRPr="002A497C">
              <w:t>iagnosis</w:t>
            </w:r>
          </w:p>
        </w:tc>
        <w:tc>
          <w:tcPr>
            <w:tcW w:w="2363" w:type="dxa"/>
          </w:tcPr>
          <w:p w14:paraId="347C2F9F" w14:textId="385E9F8B" w:rsidR="00073850" w:rsidRPr="002A497C" w:rsidRDefault="00073850" w:rsidP="00A04539">
            <w:pPr>
              <w:pStyle w:val="TableNormal0"/>
              <w:cnfStyle w:val="000000000000" w:firstRow="0" w:lastRow="0" w:firstColumn="0" w:lastColumn="0" w:oddVBand="0" w:evenVBand="0" w:oddHBand="0" w:evenHBand="0" w:firstRowFirstColumn="0" w:firstRowLastColumn="0" w:lastRowFirstColumn="0" w:lastRowLastColumn="0"/>
            </w:pPr>
            <w:r w:rsidRPr="002A497C">
              <w:t>Descriptive statistics</w:t>
            </w:r>
            <w:r w:rsidR="00A46A40">
              <w:t xml:space="preserve"> (</w:t>
            </w:r>
            <w:r w:rsidR="00A46A40" w:rsidRPr="00BD7536">
              <w:t>member</w:t>
            </w:r>
            <w:r w:rsidR="00A46A40">
              <w:t>)</w:t>
            </w:r>
            <w:r w:rsidRPr="002A497C">
              <w:t xml:space="preserve">; </w:t>
            </w:r>
          </w:p>
          <w:p w14:paraId="1B3BA362" w14:textId="472E2C1D" w:rsidR="00073850" w:rsidRPr="002A497C" w:rsidRDefault="00073850" w:rsidP="00A04539">
            <w:pPr>
              <w:pStyle w:val="TableNormal0"/>
              <w:cnfStyle w:val="000000000000" w:firstRow="0" w:lastRow="0" w:firstColumn="0" w:lastColumn="0" w:oddVBand="0" w:evenVBand="0" w:oddHBand="0" w:evenHBand="0" w:firstRowFirstColumn="0" w:firstRowLastColumn="0" w:lastRowFirstColumn="0" w:lastRowLastColumn="0"/>
            </w:pPr>
            <w:r w:rsidRPr="002A497C">
              <w:t>ITS approa</w:t>
            </w:r>
            <w:r w:rsidR="006917ED">
              <w:t>c</w:t>
            </w:r>
            <w:r w:rsidRPr="002A497C">
              <w:t>h - segmented regression</w:t>
            </w:r>
            <w:r w:rsidR="00A46A40">
              <w:t xml:space="preserve"> (</w:t>
            </w:r>
            <w:r w:rsidR="00A46A40" w:rsidRPr="00BD7536">
              <w:t>membe</w:t>
            </w:r>
            <w:r w:rsidR="00A46A40">
              <w:t>r)</w:t>
            </w:r>
            <w:r w:rsidRPr="002A497C">
              <w:t>;</w:t>
            </w:r>
          </w:p>
          <w:p w14:paraId="034C5936" w14:textId="36CCC832" w:rsidR="00073850" w:rsidRPr="002A497C" w:rsidRDefault="00073850" w:rsidP="00A04539">
            <w:pPr>
              <w:pStyle w:val="TableNormal0"/>
              <w:cnfStyle w:val="000000000000" w:firstRow="0" w:lastRow="0" w:firstColumn="0" w:lastColumn="0" w:oddVBand="0" w:evenVBand="0" w:oddHBand="0" w:evenHBand="0" w:firstRowFirstColumn="0" w:firstRowLastColumn="0" w:lastRowFirstColumn="0" w:lastRowLastColumn="0"/>
            </w:pPr>
            <w:r w:rsidRPr="002A497C">
              <w:t>Joint modeling of event counts and survival times analyses</w:t>
            </w:r>
            <w:r w:rsidR="00A46A40">
              <w:t xml:space="preserve"> (</w:t>
            </w:r>
            <w:r w:rsidR="00A46A40" w:rsidRPr="00BD7536">
              <w:t>member</w:t>
            </w:r>
            <w:r w:rsidR="00A46A40">
              <w:t>)</w:t>
            </w:r>
          </w:p>
        </w:tc>
      </w:tr>
      <w:tr w:rsidR="0047158A" w:rsidRPr="002A497C" w14:paraId="620B4DBC" w14:textId="77777777" w:rsidTr="3383C28C">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dxa"/>
          </w:tcPr>
          <w:p w14:paraId="24B08AFA" w14:textId="2B0ADBE5" w:rsidR="00BC742E" w:rsidRPr="002A497C" w:rsidRDefault="00BC742E" w:rsidP="00A04539">
            <w:pPr>
              <w:pStyle w:val="TableNormal0"/>
            </w:pPr>
            <w:r w:rsidRPr="002A497C">
              <w:t>RQ</w:t>
            </w:r>
            <w:r w:rsidR="008F0F51" w:rsidRPr="002A497C">
              <w:t>3-7</w:t>
            </w:r>
            <w:r w:rsidRPr="002A497C">
              <w:t xml:space="preserve"> To what extent did the Demonstration impact readmissions to the same or higher level of care where the readmission is preventable or </w:t>
            </w:r>
            <w:r w:rsidRPr="002A497C">
              <w:lastRenderedPageBreak/>
              <w:t>medically inappropriate?</w:t>
            </w:r>
          </w:p>
        </w:tc>
        <w:tc>
          <w:tcPr>
            <w:tcW w:w="0" w:type="dxa"/>
          </w:tcPr>
          <w:p w14:paraId="0A594248" w14:textId="624F9B40" w:rsidR="00BC742E" w:rsidRPr="002A497C"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A497C">
              <w:lastRenderedPageBreak/>
              <w:t>H</w:t>
            </w:r>
            <w:r w:rsidR="008F0F51" w:rsidRPr="002A497C">
              <w:t>3-7</w:t>
            </w:r>
            <w:r w:rsidRPr="002A497C">
              <w:t>.1 The Demonstration’s continuous coverage of OUD/SUD treatment services resulted in fewer readmissions to the same or higher level of care.</w:t>
            </w:r>
          </w:p>
        </w:tc>
        <w:tc>
          <w:tcPr>
            <w:tcW w:w="2070" w:type="dxa"/>
          </w:tcPr>
          <w:p w14:paraId="6F20CA70" w14:textId="515F386A" w:rsidR="00BC742E"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A497C">
              <w:t>MMIS claims/encounter</w:t>
            </w:r>
            <w:r w:rsidRPr="002A497C" w:rsidDel="00B721DB">
              <w:t xml:space="preserve"> data</w:t>
            </w:r>
          </w:p>
          <w:p w14:paraId="1D508BDD" w14:textId="31484399" w:rsidR="00BC742E" w:rsidRPr="002A497C" w:rsidRDefault="00430CED" w:rsidP="00A04539">
            <w:pPr>
              <w:pStyle w:val="TableNormal0"/>
              <w:cnfStyle w:val="000000100000" w:firstRow="0" w:lastRow="0" w:firstColumn="0" w:lastColumn="0" w:oddVBand="0" w:evenVBand="0" w:oddHBand="1" w:evenHBand="0" w:firstRowFirstColumn="0" w:firstRowLastColumn="0" w:lastRowFirstColumn="0" w:lastRowLastColumn="0"/>
            </w:pPr>
            <w:r w:rsidRPr="00430CED">
              <w:t>(</w:t>
            </w:r>
            <w:r w:rsidRPr="00BD7536">
              <w:t>baseline 2015-2017, pre</w:t>
            </w:r>
            <w:r w:rsidR="004C671D">
              <w:t>-</w:t>
            </w:r>
            <w:r w:rsidRPr="00BD7536">
              <w:t xml:space="preserve">2018-2022, </w:t>
            </w:r>
            <w:r w:rsidR="004C671D" w:rsidRPr="00BD7536">
              <w:t>post</w:t>
            </w:r>
            <w:r w:rsidR="004C671D">
              <w:t>-</w:t>
            </w:r>
            <w:r w:rsidRPr="00BD7536">
              <w:t>2023-2027</w:t>
            </w:r>
            <w:r w:rsidRPr="00430CED">
              <w:t>)</w:t>
            </w:r>
          </w:p>
        </w:tc>
        <w:tc>
          <w:tcPr>
            <w:tcW w:w="2974" w:type="dxa"/>
          </w:tcPr>
          <w:p w14:paraId="06AC06F3" w14:textId="3C561EA5" w:rsidR="00BC742E"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A497C">
              <w:t>Members with SUD</w:t>
            </w:r>
            <w:r w:rsidR="00DD4830">
              <w:t>/</w:t>
            </w:r>
            <w:r w:rsidR="00DD4830" w:rsidRPr="002A497C">
              <w:t>OUD</w:t>
            </w:r>
            <w:r w:rsidRPr="002A497C">
              <w:t xml:space="preserve"> diagnoses</w:t>
            </w:r>
          </w:p>
          <w:p w14:paraId="3612709B" w14:textId="4EE28685" w:rsidR="00BC742E" w:rsidRPr="006A1CF3" w:rsidRDefault="1479C625" w:rsidP="7F638223">
            <w:pPr>
              <w:pStyle w:val="TableNormal0"/>
              <w:cnfStyle w:val="000000100000" w:firstRow="0" w:lastRow="0" w:firstColumn="0" w:lastColumn="0" w:oddVBand="0" w:evenVBand="0" w:oddHBand="1" w:evenHBand="0" w:firstRowFirstColumn="0" w:firstRowLastColumn="0" w:lastRowFirstColumn="0" w:lastRowLastColumn="0"/>
            </w:pPr>
            <w:r>
              <w:t>(</w:t>
            </w:r>
            <w:r w:rsidR="00516D5E">
              <w:t>N</w:t>
            </w:r>
            <w:r w:rsidRPr="006A1CF3">
              <w:t>=</w:t>
            </w:r>
            <w:r w:rsidR="788F6154" w:rsidRPr="006A1CF3">
              <w:t>~</w:t>
            </w:r>
            <w:r w:rsidR="2365CEE5" w:rsidRPr="006A1CF3">
              <w:t>2</w:t>
            </w:r>
            <w:r w:rsidR="14A5EDDE" w:rsidRPr="006A1CF3">
              <w:t>60</w:t>
            </w:r>
            <w:r w:rsidR="7FF6CBC3" w:rsidRPr="006A1CF3">
              <w:t>,000</w:t>
            </w:r>
            <w:r w:rsidRPr="006A1CF3">
              <w:t>)</w:t>
            </w:r>
          </w:p>
        </w:tc>
        <w:tc>
          <w:tcPr>
            <w:tcW w:w="0" w:type="dxa"/>
          </w:tcPr>
          <w:p w14:paraId="7C76C38B" w14:textId="6A0837DB" w:rsidR="00BC742E" w:rsidRPr="002A497C"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A497C">
              <w:t xml:space="preserve">Plan </w:t>
            </w:r>
            <w:r w:rsidR="004C671D">
              <w:t>a</w:t>
            </w:r>
            <w:r w:rsidR="004C671D" w:rsidRPr="002A497C">
              <w:t>ll</w:t>
            </w:r>
            <w:r w:rsidRPr="002A497C">
              <w:t>-</w:t>
            </w:r>
            <w:r w:rsidR="004C671D">
              <w:t>c</w:t>
            </w:r>
            <w:r w:rsidR="004C671D" w:rsidRPr="002A497C">
              <w:t xml:space="preserve">ause </w:t>
            </w:r>
            <w:r w:rsidR="004C671D">
              <w:t>r</w:t>
            </w:r>
            <w:r w:rsidR="004C671D" w:rsidRPr="002A497C">
              <w:t xml:space="preserve">eadmissions </w:t>
            </w:r>
            <w:r w:rsidRPr="002A497C">
              <w:t xml:space="preserve">for </w:t>
            </w:r>
            <w:r w:rsidR="004C671D">
              <w:t>m</w:t>
            </w:r>
            <w:r w:rsidR="004C671D" w:rsidRPr="002A497C">
              <w:t xml:space="preserve">embers </w:t>
            </w:r>
            <w:r w:rsidRPr="002A497C">
              <w:t>with a SUD/SMI/SED</w:t>
            </w:r>
          </w:p>
        </w:tc>
        <w:tc>
          <w:tcPr>
            <w:tcW w:w="0" w:type="dxa"/>
          </w:tcPr>
          <w:p w14:paraId="7B5467F5" w14:textId="411624AD" w:rsidR="00CE3F7B" w:rsidRPr="002A497C"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A497C">
              <w:t>Descriptive statistics</w:t>
            </w:r>
            <w:r w:rsidR="00A46A40">
              <w:t xml:space="preserve"> (</w:t>
            </w:r>
            <w:r w:rsidR="00A46A40" w:rsidRPr="00BD7536">
              <w:t>member</w:t>
            </w:r>
            <w:r w:rsidR="00A46A40">
              <w:t>)</w:t>
            </w:r>
            <w:r w:rsidRPr="002A497C">
              <w:t xml:space="preserve">; </w:t>
            </w:r>
          </w:p>
          <w:p w14:paraId="7338B882" w14:textId="5853C0FF" w:rsidR="00BC742E" w:rsidRPr="002A497C"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A497C">
              <w:t>ITS approa</w:t>
            </w:r>
            <w:r w:rsidR="004C671D">
              <w:t>c</w:t>
            </w:r>
            <w:r w:rsidRPr="002A497C">
              <w:t>h - segmented regression</w:t>
            </w:r>
            <w:r w:rsidR="00A46A40">
              <w:t xml:space="preserve"> (</w:t>
            </w:r>
            <w:r w:rsidR="00A46A40" w:rsidRPr="00BD7536">
              <w:t>member</w:t>
            </w:r>
            <w:r w:rsidR="00A46A40">
              <w:t>)</w:t>
            </w:r>
          </w:p>
        </w:tc>
      </w:tr>
      <w:tr w:rsidR="0047158A" w:rsidRPr="002A497C" w14:paraId="6085930D" w14:textId="77777777" w:rsidTr="3383C28C">
        <w:trPr>
          <w:trHeight w:val="2411"/>
        </w:trPr>
        <w:tc>
          <w:tcPr>
            <w:cnfStyle w:val="001000000000" w:firstRow="0" w:lastRow="0" w:firstColumn="1" w:lastColumn="0" w:oddVBand="0" w:evenVBand="0" w:oddHBand="0" w:evenHBand="0" w:firstRowFirstColumn="0" w:firstRowLastColumn="0" w:lastRowFirstColumn="0" w:lastRowLastColumn="0"/>
            <w:tcW w:w="1790" w:type="dxa"/>
          </w:tcPr>
          <w:p w14:paraId="66B1FE89" w14:textId="631488CF" w:rsidR="00073850" w:rsidRPr="002A497C" w:rsidRDefault="00073850" w:rsidP="00A04539">
            <w:pPr>
              <w:pStyle w:val="TableNormal0"/>
            </w:pPr>
            <w:r w:rsidRPr="002A497C">
              <w:t>RQ3-8 To what extent did the Demonstration impact overdose deaths, particularly those due to opioids?</w:t>
            </w:r>
          </w:p>
        </w:tc>
        <w:tc>
          <w:tcPr>
            <w:tcW w:w="1895" w:type="dxa"/>
          </w:tcPr>
          <w:p w14:paraId="557EB46C" w14:textId="7821220B" w:rsidR="00073850" w:rsidRPr="002A497C" w:rsidRDefault="00073850" w:rsidP="00A04539">
            <w:pPr>
              <w:pStyle w:val="TableNormal0"/>
              <w:cnfStyle w:val="000000000000" w:firstRow="0" w:lastRow="0" w:firstColumn="0" w:lastColumn="0" w:oddVBand="0" w:evenVBand="0" w:oddHBand="0" w:evenHBand="0" w:firstRowFirstColumn="0" w:firstRowLastColumn="0" w:lastRowFirstColumn="0" w:lastRowLastColumn="0"/>
            </w:pPr>
            <w:r w:rsidRPr="002A497C">
              <w:t>H3-8.1 The Demonstration’s continuous coverage of OUD/SUD treatment services reduced non-fatal overdoses and overdose deaths, particularly those due to opioids.</w:t>
            </w:r>
          </w:p>
        </w:tc>
        <w:tc>
          <w:tcPr>
            <w:tcW w:w="2070" w:type="dxa"/>
          </w:tcPr>
          <w:p w14:paraId="74E3986D" w14:textId="6AB46392" w:rsidR="00354BFA" w:rsidRPr="002A497C" w:rsidRDefault="00073850" w:rsidP="00A04539">
            <w:pPr>
              <w:pStyle w:val="TableNormal0"/>
              <w:cnfStyle w:val="000000000000" w:firstRow="0" w:lastRow="0" w:firstColumn="0" w:lastColumn="0" w:oddVBand="0" w:evenVBand="0" w:oddHBand="0" w:evenHBand="0" w:firstRowFirstColumn="0" w:firstRowLastColumn="0" w:lastRowFirstColumn="0" w:lastRowLastColumn="0"/>
            </w:pPr>
            <w:r w:rsidRPr="002A497C">
              <w:t>MMIS claims/encounter data State overdose data</w:t>
            </w:r>
            <w:r w:rsidR="00430CED">
              <w:t xml:space="preserve"> </w:t>
            </w:r>
            <w:r w:rsidR="00430CED" w:rsidRPr="00430CED">
              <w:t>(</w:t>
            </w:r>
            <w:r w:rsidR="00430CED" w:rsidRPr="00BD7536">
              <w:t xml:space="preserve">baseline 2015-2017, </w:t>
            </w:r>
            <w:r w:rsidR="00C56DC7" w:rsidRPr="00BD7536">
              <w:t>pre</w:t>
            </w:r>
            <w:r w:rsidR="00C56DC7">
              <w:t>-</w:t>
            </w:r>
            <w:r w:rsidR="00430CED" w:rsidRPr="00BD7536">
              <w:t xml:space="preserve">2018-2022, </w:t>
            </w:r>
            <w:r w:rsidR="00C56DC7" w:rsidRPr="00BD7536">
              <w:t>post</w:t>
            </w:r>
            <w:r w:rsidR="00C56DC7">
              <w:t>-</w:t>
            </w:r>
            <w:r w:rsidR="00430CED" w:rsidRPr="00BD7536">
              <w:t>2023-2027</w:t>
            </w:r>
            <w:r w:rsidR="00430CED" w:rsidRPr="00430CED">
              <w:t>);</w:t>
            </w:r>
          </w:p>
          <w:p w14:paraId="1E25F453" w14:textId="7622BCAF" w:rsidR="00073850" w:rsidRPr="002A497C" w:rsidRDefault="00073850" w:rsidP="00A04539">
            <w:pPr>
              <w:pStyle w:val="TableNormal0"/>
              <w:cnfStyle w:val="000000000000" w:firstRow="0" w:lastRow="0" w:firstColumn="0" w:lastColumn="0" w:oddVBand="0" w:evenVBand="0" w:oddHBand="0" w:evenHBand="0" w:firstRowFirstColumn="0" w:firstRowLastColumn="0" w:lastRowFirstColumn="0" w:lastRowLastColumn="0"/>
            </w:pPr>
            <w:r w:rsidRPr="002A497C">
              <w:t>Massachusetts d</w:t>
            </w:r>
            <w:r w:rsidRPr="002A497C" w:rsidDel="00B721DB">
              <w:t xml:space="preserve">eath </w:t>
            </w:r>
            <w:r w:rsidRPr="002A497C">
              <w:t>records</w:t>
            </w:r>
            <w:r w:rsidR="004D4A4E">
              <w:t xml:space="preserve"> </w:t>
            </w:r>
            <w:r w:rsidR="004D4A4E" w:rsidRPr="004D4A4E">
              <w:t>(</w:t>
            </w:r>
            <w:r w:rsidR="004D4A4E" w:rsidRPr="00BD7536">
              <w:t xml:space="preserve">baseline 2015-2017, </w:t>
            </w:r>
            <w:r w:rsidR="00C56DC7" w:rsidRPr="00BD7536">
              <w:t>pre</w:t>
            </w:r>
            <w:r w:rsidR="00C56DC7">
              <w:t>-</w:t>
            </w:r>
            <w:r w:rsidR="004D4A4E" w:rsidRPr="00BD7536">
              <w:t xml:space="preserve">2018-2022, </w:t>
            </w:r>
            <w:r w:rsidR="00C56DC7" w:rsidRPr="00BD7536">
              <w:t>post</w:t>
            </w:r>
            <w:r w:rsidR="00C56DC7">
              <w:t>-</w:t>
            </w:r>
            <w:r w:rsidR="004D4A4E" w:rsidRPr="00BD7536">
              <w:t>2023-2027</w:t>
            </w:r>
            <w:r w:rsidR="004D4A4E" w:rsidRPr="004D4A4E">
              <w:t>)</w:t>
            </w:r>
          </w:p>
        </w:tc>
        <w:tc>
          <w:tcPr>
            <w:tcW w:w="2974" w:type="dxa"/>
          </w:tcPr>
          <w:p w14:paraId="68490F18" w14:textId="2DAD6B41" w:rsidR="00073850" w:rsidRPr="002A497C" w:rsidRDefault="00073850" w:rsidP="00A04539">
            <w:pPr>
              <w:pStyle w:val="TableNormal0"/>
              <w:cnfStyle w:val="000000000000" w:firstRow="0" w:lastRow="0" w:firstColumn="0" w:lastColumn="0" w:oddVBand="0" w:evenVBand="0" w:oddHBand="0" w:evenHBand="0" w:firstRowFirstColumn="0" w:firstRowLastColumn="0" w:lastRowFirstColumn="0" w:lastRowLastColumn="0"/>
            </w:pPr>
            <w:r w:rsidRPr="002A497C">
              <w:t xml:space="preserve">Members with </w:t>
            </w:r>
            <w:r w:rsidR="00DD4830" w:rsidRPr="002A497C">
              <w:t>SUD</w:t>
            </w:r>
            <w:r w:rsidR="00DD4830">
              <w:t>/</w:t>
            </w:r>
            <w:r w:rsidRPr="002A497C">
              <w:t>OUD diagnoses</w:t>
            </w:r>
          </w:p>
          <w:p w14:paraId="615361EC" w14:textId="70F862D2" w:rsidR="00073850" w:rsidRPr="006A1CF3" w:rsidRDefault="006A1CF3" w:rsidP="7F638223">
            <w:pPr>
              <w:pStyle w:val="TableNormal0"/>
              <w:cnfStyle w:val="000000000000" w:firstRow="0" w:lastRow="0" w:firstColumn="0" w:lastColumn="0" w:oddVBand="0" w:evenVBand="0" w:oddHBand="0" w:evenHBand="0" w:firstRowFirstColumn="0" w:firstRowLastColumn="0" w:lastRowFirstColumn="0" w:lastRowLastColumn="0"/>
            </w:pPr>
            <w:r>
              <w:t>(</w:t>
            </w:r>
            <w:r w:rsidR="53D5F2D6" w:rsidRPr="006A1CF3">
              <w:t>MMIS</w:t>
            </w:r>
            <w:r w:rsidR="75268212" w:rsidRPr="006A1CF3">
              <w:t>:</w:t>
            </w:r>
            <w:r w:rsidR="53D5F2D6" w:rsidRPr="006A1CF3">
              <w:t xml:space="preserve"> </w:t>
            </w:r>
            <w:r w:rsidR="00516D5E">
              <w:t>N</w:t>
            </w:r>
            <w:r w:rsidR="788F6154" w:rsidRPr="006A1CF3">
              <w:t>=</w:t>
            </w:r>
            <w:r w:rsidR="52868AFE" w:rsidRPr="006A1CF3">
              <w:t>~</w:t>
            </w:r>
            <w:r w:rsidR="2365CEE5" w:rsidRPr="006A1CF3">
              <w:t>2</w:t>
            </w:r>
            <w:r w:rsidR="14A5EDDE" w:rsidRPr="006A1CF3">
              <w:t>60</w:t>
            </w:r>
            <w:r w:rsidR="52868AFE" w:rsidRPr="006A1CF3">
              <w:t>,000</w:t>
            </w:r>
            <w:r>
              <w:t>)</w:t>
            </w:r>
          </w:p>
          <w:p w14:paraId="378690E0" w14:textId="77777777" w:rsidR="008E2717" w:rsidRDefault="008E2717" w:rsidP="00A04539">
            <w:pPr>
              <w:pStyle w:val="TableNormal0"/>
              <w:cnfStyle w:val="000000000000" w:firstRow="0" w:lastRow="0" w:firstColumn="0" w:lastColumn="0" w:oddVBand="0" w:evenVBand="0" w:oddHBand="0" w:evenHBand="0" w:firstRowFirstColumn="0" w:firstRowLastColumn="0" w:lastRowFirstColumn="0" w:lastRowLastColumn="0"/>
            </w:pPr>
          </w:p>
          <w:p w14:paraId="68036DED" w14:textId="77777777" w:rsidR="008E2717" w:rsidRDefault="008E2717" w:rsidP="00A04539">
            <w:pPr>
              <w:pStyle w:val="TableNormal0"/>
              <w:cnfStyle w:val="000000000000" w:firstRow="0" w:lastRow="0" w:firstColumn="0" w:lastColumn="0" w:oddVBand="0" w:evenVBand="0" w:oddHBand="0" w:evenHBand="0" w:firstRowFirstColumn="0" w:firstRowLastColumn="0" w:lastRowFirstColumn="0" w:lastRowLastColumn="0"/>
            </w:pPr>
          </w:p>
          <w:p w14:paraId="311AC528" w14:textId="03F3F3B3" w:rsidR="00073850" w:rsidRPr="002A497C" w:rsidRDefault="0072053A" w:rsidP="00A04539">
            <w:pPr>
              <w:pStyle w:val="TableNormal0"/>
              <w:cnfStyle w:val="000000000000" w:firstRow="0" w:lastRow="0" w:firstColumn="0" w:lastColumn="0" w:oddVBand="0" w:evenVBand="0" w:oddHBand="0" w:evenHBand="0" w:firstRowFirstColumn="0" w:firstRowLastColumn="0" w:lastRowFirstColumn="0" w:lastRowLastColumn="0"/>
            </w:pPr>
            <w:r>
              <w:t>Massachusetts</w:t>
            </w:r>
            <w:r w:rsidR="00C501F5">
              <w:t xml:space="preserve"> death records:</w:t>
            </w:r>
            <w:r>
              <w:t xml:space="preserve"> </w:t>
            </w:r>
            <w:r w:rsidR="006A1CF3">
              <w:t>(</w:t>
            </w:r>
            <w:r w:rsidR="00516D5E">
              <w:t>N</w:t>
            </w:r>
            <w:r w:rsidR="00D61F21">
              <w:t>=</w:t>
            </w:r>
            <w:r w:rsidR="00363CC0">
              <w:t>~</w:t>
            </w:r>
            <w:r w:rsidR="003B62A3">
              <w:t>58,000</w:t>
            </w:r>
            <w:r w:rsidR="00045BAC">
              <w:rPr>
                <w:rStyle w:val="FootnoteReference"/>
                <w:rFonts w:cstheme="minorHAnsi"/>
              </w:rPr>
              <w:footnoteReference w:id="84"/>
            </w:r>
            <w:r w:rsidR="006A1CF3">
              <w:t>)</w:t>
            </w:r>
          </w:p>
        </w:tc>
        <w:tc>
          <w:tcPr>
            <w:tcW w:w="2434" w:type="dxa"/>
          </w:tcPr>
          <w:p w14:paraId="6D2530D4" w14:textId="46D4B711" w:rsidR="00073850" w:rsidRPr="002A497C" w:rsidRDefault="00073850" w:rsidP="00A04539">
            <w:pPr>
              <w:pStyle w:val="TableNormal0"/>
              <w:cnfStyle w:val="000000000000" w:firstRow="0" w:lastRow="0" w:firstColumn="0" w:lastColumn="0" w:oddVBand="0" w:evenVBand="0" w:oddHBand="0" w:evenHBand="0" w:firstRowFirstColumn="0" w:firstRowLastColumn="0" w:lastRowFirstColumn="0" w:lastRowLastColumn="0"/>
            </w:pPr>
            <w:r w:rsidRPr="002A497C">
              <w:t xml:space="preserve">Use of </w:t>
            </w:r>
            <w:r w:rsidR="006963B0">
              <w:t>o</w:t>
            </w:r>
            <w:r w:rsidR="006963B0" w:rsidRPr="002A497C">
              <w:t xml:space="preserve">pioids </w:t>
            </w:r>
            <w:r w:rsidRPr="002A497C">
              <w:t xml:space="preserve">at </w:t>
            </w:r>
            <w:r w:rsidR="006963B0">
              <w:t>h</w:t>
            </w:r>
            <w:r w:rsidR="006963B0" w:rsidRPr="002A497C">
              <w:t xml:space="preserve">igh </w:t>
            </w:r>
            <w:r w:rsidR="006963B0">
              <w:t>d</w:t>
            </w:r>
            <w:r w:rsidR="006963B0" w:rsidRPr="002A497C">
              <w:t>osage</w:t>
            </w:r>
            <w:r w:rsidR="00287D5B">
              <w:t>s</w:t>
            </w:r>
            <w:r w:rsidR="006963B0" w:rsidRPr="002A497C">
              <w:t xml:space="preserve"> </w:t>
            </w:r>
            <w:r w:rsidRPr="002A497C">
              <w:t xml:space="preserve">in </w:t>
            </w:r>
            <w:r w:rsidR="006963B0">
              <w:t>p</w:t>
            </w:r>
            <w:r w:rsidR="006963B0" w:rsidRPr="002A497C">
              <w:t xml:space="preserve">ersons </w:t>
            </w:r>
            <w:r w:rsidR="006963B0">
              <w:t>w</w:t>
            </w:r>
            <w:r w:rsidR="006963B0" w:rsidRPr="002A497C">
              <w:t xml:space="preserve">ithout </w:t>
            </w:r>
            <w:r w:rsidR="006963B0">
              <w:t>c</w:t>
            </w:r>
            <w:r w:rsidR="006963B0" w:rsidRPr="002A497C">
              <w:t>ancer</w:t>
            </w:r>
          </w:p>
          <w:p w14:paraId="46CF2688" w14:textId="46AC9511" w:rsidR="00073850" w:rsidRPr="002A497C" w:rsidRDefault="00073850" w:rsidP="00A04539">
            <w:pPr>
              <w:pStyle w:val="TableNormal0"/>
              <w:cnfStyle w:val="000000000000" w:firstRow="0" w:lastRow="0" w:firstColumn="0" w:lastColumn="0" w:oddVBand="0" w:evenVBand="0" w:oddHBand="0" w:evenHBand="0" w:firstRowFirstColumn="0" w:firstRowLastColumn="0" w:lastRowFirstColumn="0" w:lastRowLastColumn="0"/>
            </w:pPr>
            <w:r w:rsidRPr="002A497C">
              <w:t xml:space="preserve">Nonfatal </w:t>
            </w:r>
            <w:r w:rsidR="006963B0">
              <w:t>o</w:t>
            </w:r>
            <w:r w:rsidR="006963B0" w:rsidRPr="002A497C">
              <w:t>verdoses</w:t>
            </w:r>
            <w:r w:rsidRPr="002A497C">
              <w:t xml:space="preserve">, </w:t>
            </w:r>
            <w:r w:rsidR="006963B0">
              <w:t>o</w:t>
            </w:r>
            <w:r w:rsidR="006963B0" w:rsidRPr="002A497C">
              <w:t xml:space="preserve">verall </w:t>
            </w:r>
            <w:r w:rsidRPr="002A497C">
              <w:t xml:space="preserve">And </w:t>
            </w:r>
            <w:r w:rsidR="006963B0">
              <w:t>o</w:t>
            </w:r>
            <w:r w:rsidR="006963B0" w:rsidRPr="002A497C">
              <w:t>pioid</w:t>
            </w:r>
            <w:r w:rsidRPr="002A497C">
              <w:t>-</w:t>
            </w:r>
            <w:r w:rsidR="006963B0">
              <w:t>r</w:t>
            </w:r>
            <w:r w:rsidR="006963B0" w:rsidRPr="002A497C">
              <w:t>elated</w:t>
            </w:r>
          </w:p>
          <w:p w14:paraId="6B0A616D" w14:textId="0FEE6671" w:rsidR="00073850" w:rsidRPr="002A497C" w:rsidRDefault="006963B0" w:rsidP="00A04539">
            <w:pPr>
              <w:pStyle w:val="TableNormal0"/>
              <w:cnfStyle w:val="000000000000" w:firstRow="0" w:lastRow="0" w:firstColumn="0" w:lastColumn="0" w:oddVBand="0" w:evenVBand="0" w:oddHBand="0" w:evenHBand="0" w:firstRowFirstColumn="0" w:firstRowLastColumn="0" w:lastRowFirstColumn="0" w:lastRowLastColumn="0"/>
            </w:pPr>
            <w:r>
              <w:t>O</w:t>
            </w:r>
            <w:r w:rsidRPr="002A497C">
              <w:t xml:space="preserve">verdose </w:t>
            </w:r>
            <w:r>
              <w:t>d</w:t>
            </w:r>
            <w:r w:rsidR="00073850" w:rsidRPr="002A497C">
              <w:t xml:space="preserve">eaths, </w:t>
            </w:r>
            <w:r w:rsidR="00914A60">
              <w:t>o</w:t>
            </w:r>
            <w:r w:rsidR="00914A60" w:rsidRPr="002A497C">
              <w:t xml:space="preserve">verall </w:t>
            </w:r>
            <w:r>
              <w:t>a</w:t>
            </w:r>
            <w:r w:rsidRPr="002A497C">
              <w:t xml:space="preserve">nd </w:t>
            </w:r>
            <w:r>
              <w:t>o</w:t>
            </w:r>
            <w:r w:rsidRPr="002A497C">
              <w:t>pioid</w:t>
            </w:r>
            <w:r w:rsidR="00073850" w:rsidRPr="002A497C">
              <w:t>-</w:t>
            </w:r>
            <w:r>
              <w:t>r</w:t>
            </w:r>
            <w:r w:rsidRPr="002A497C">
              <w:t>elated</w:t>
            </w:r>
          </w:p>
        </w:tc>
        <w:tc>
          <w:tcPr>
            <w:tcW w:w="2363" w:type="dxa"/>
          </w:tcPr>
          <w:p w14:paraId="3F913A04" w14:textId="187D4A53" w:rsidR="00073850" w:rsidRPr="002A497C" w:rsidRDefault="00073850" w:rsidP="00A04539">
            <w:pPr>
              <w:pStyle w:val="TableNormal0"/>
              <w:cnfStyle w:val="000000000000" w:firstRow="0" w:lastRow="0" w:firstColumn="0" w:lastColumn="0" w:oddVBand="0" w:evenVBand="0" w:oddHBand="0" w:evenHBand="0" w:firstRowFirstColumn="0" w:firstRowLastColumn="0" w:lastRowFirstColumn="0" w:lastRowLastColumn="0"/>
            </w:pPr>
            <w:r w:rsidRPr="002A497C">
              <w:t>Descriptive statistics</w:t>
            </w:r>
            <w:r w:rsidR="004D0674">
              <w:t xml:space="preserve"> (</w:t>
            </w:r>
            <w:r w:rsidR="004D0674" w:rsidRPr="00BD7536">
              <w:t>member</w:t>
            </w:r>
            <w:r w:rsidR="004D0674">
              <w:t>)</w:t>
            </w:r>
            <w:r w:rsidRPr="002A497C">
              <w:t xml:space="preserve">; </w:t>
            </w:r>
          </w:p>
          <w:p w14:paraId="123F31D2" w14:textId="47DCC1FC" w:rsidR="00073850" w:rsidRPr="002A497C" w:rsidRDefault="00073850" w:rsidP="00A04539">
            <w:pPr>
              <w:pStyle w:val="TableNormal0"/>
              <w:cnfStyle w:val="000000000000" w:firstRow="0" w:lastRow="0" w:firstColumn="0" w:lastColumn="0" w:oddVBand="0" w:evenVBand="0" w:oddHBand="0" w:evenHBand="0" w:firstRowFirstColumn="0" w:firstRowLastColumn="0" w:lastRowFirstColumn="0" w:lastRowLastColumn="0"/>
            </w:pPr>
            <w:r w:rsidRPr="002A497C">
              <w:t>ITS approa</w:t>
            </w:r>
            <w:r w:rsidR="006963B0">
              <w:t>c</w:t>
            </w:r>
            <w:r w:rsidRPr="002A497C">
              <w:t>h - segmented regression</w:t>
            </w:r>
            <w:r w:rsidR="004D0674">
              <w:t xml:space="preserve"> (</w:t>
            </w:r>
            <w:r w:rsidR="004D0674" w:rsidRPr="00BD7536">
              <w:t>member</w:t>
            </w:r>
            <w:r w:rsidR="004D0674">
              <w:t>)</w:t>
            </w:r>
          </w:p>
          <w:p w14:paraId="084880E5" w14:textId="6551A3B4" w:rsidR="00073850" w:rsidRPr="002A497C" w:rsidRDefault="00073850" w:rsidP="00A04539">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p>
        </w:tc>
      </w:tr>
      <w:tr w:rsidR="0047158A" w:rsidRPr="002A497C" w14:paraId="1F14EB31" w14:textId="77777777" w:rsidTr="3383C28C">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0" w:type="dxa"/>
          </w:tcPr>
          <w:p w14:paraId="72362EA9" w14:textId="3E7F38DE" w:rsidR="00BC742E" w:rsidRPr="002A497C" w:rsidRDefault="00BC742E" w:rsidP="00A04539">
            <w:pPr>
              <w:pStyle w:val="TableNormal0"/>
            </w:pPr>
            <w:r w:rsidRPr="002A497C">
              <w:t>RQ</w:t>
            </w:r>
            <w:r w:rsidR="006869A1" w:rsidRPr="002A497C">
              <w:t>3-9</w:t>
            </w:r>
            <w:r w:rsidRPr="002A497C">
              <w:t xml:space="preserve"> To what extent did utilization of physical healthcare services for members with SUD improve due to the Demonstration focus on care coordination between physical and BH for SUD members with comorbidity?</w:t>
            </w:r>
          </w:p>
        </w:tc>
        <w:tc>
          <w:tcPr>
            <w:tcW w:w="0" w:type="dxa"/>
          </w:tcPr>
          <w:p w14:paraId="23A90B9F" w14:textId="7B0ABE94" w:rsidR="00C13256" w:rsidRPr="002A497C"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A497C">
              <w:t>H</w:t>
            </w:r>
            <w:r w:rsidR="006869A1" w:rsidRPr="002A497C">
              <w:t>3-9</w:t>
            </w:r>
            <w:r w:rsidRPr="002A497C">
              <w:t xml:space="preserve">.1 The Demonstration effort to improve care coordination between physical and for members with SUD with comorbidity improved access to physical healthcare for comorbid physical and </w:t>
            </w:r>
            <w:r w:rsidR="00A643BF">
              <w:t>BH</w:t>
            </w:r>
            <w:r w:rsidRPr="002A497C">
              <w:t xml:space="preserve"> conditions among members with any SUD diagnosis, including OUD diagnoses.</w:t>
            </w:r>
          </w:p>
        </w:tc>
        <w:tc>
          <w:tcPr>
            <w:tcW w:w="2070" w:type="dxa"/>
          </w:tcPr>
          <w:p w14:paraId="272FA0EA" w14:textId="1B5082A2" w:rsidR="00BC742E" w:rsidRPr="002A497C"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A497C">
              <w:t>MMIS claims/encounter/ provider</w:t>
            </w:r>
            <w:r w:rsidRPr="002A497C" w:rsidDel="00B721DB">
              <w:t xml:space="preserve"> data</w:t>
            </w:r>
            <w:r w:rsidR="00FC17BF">
              <w:t xml:space="preserve"> </w:t>
            </w:r>
            <w:r w:rsidR="00FC17BF" w:rsidRPr="00FC17BF">
              <w:t>(</w:t>
            </w:r>
            <w:r w:rsidR="00FC17BF" w:rsidRPr="00BD7536">
              <w:t xml:space="preserve">baseline 2015-2017, </w:t>
            </w:r>
            <w:r w:rsidR="002E1985" w:rsidRPr="00BD7536">
              <w:t>pre</w:t>
            </w:r>
            <w:r w:rsidR="002E1985">
              <w:t>-</w:t>
            </w:r>
            <w:r w:rsidR="00FC17BF" w:rsidRPr="00BD7536">
              <w:t xml:space="preserve">2018-2022, </w:t>
            </w:r>
            <w:r w:rsidR="002E1985" w:rsidRPr="00BD7536">
              <w:t>post</w:t>
            </w:r>
            <w:r w:rsidR="002E1985">
              <w:t>-</w:t>
            </w:r>
            <w:r w:rsidR="00FC17BF" w:rsidRPr="00BD7536">
              <w:t>2023-2027)</w:t>
            </w:r>
          </w:p>
        </w:tc>
        <w:tc>
          <w:tcPr>
            <w:tcW w:w="2974" w:type="dxa"/>
          </w:tcPr>
          <w:p w14:paraId="68123E83" w14:textId="7AB03F1D" w:rsidR="00BC742E"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A497C">
              <w:t xml:space="preserve">Members with </w:t>
            </w:r>
            <w:r w:rsidR="00DD4830" w:rsidRPr="002A497C">
              <w:t>SUD</w:t>
            </w:r>
            <w:r w:rsidR="00DD4830">
              <w:t>/</w:t>
            </w:r>
            <w:r w:rsidRPr="002A497C">
              <w:t>OUD diagnoses</w:t>
            </w:r>
          </w:p>
          <w:p w14:paraId="693CF5CA" w14:textId="7717373B" w:rsidR="00BC742E" w:rsidRPr="006A1CF3" w:rsidRDefault="0F19F3D6" w:rsidP="7F638223">
            <w:pPr>
              <w:pStyle w:val="TableNormal0"/>
              <w:cnfStyle w:val="000000100000" w:firstRow="0" w:lastRow="0" w:firstColumn="0" w:lastColumn="0" w:oddVBand="0" w:evenVBand="0" w:oddHBand="1" w:evenHBand="0" w:firstRowFirstColumn="0" w:firstRowLastColumn="0" w:lastRowFirstColumn="0" w:lastRowLastColumn="0"/>
            </w:pPr>
            <w:r w:rsidRPr="006A1CF3">
              <w:t>(</w:t>
            </w:r>
            <w:r w:rsidR="00516D5E">
              <w:t>N</w:t>
            </w:r>
            <w:r w:rsidRPr="006A1CF3">
              <w:t>=</w:t>
            </w:r>
            <w:r w:rsidR="788F6154" w:rsidRPr="006A1CF3">
              <w:t>~</w:t>
            </w:r>
            <w:r w:rsidR="2365CEE5" w:rsidRPr="006A1CF3">
              <w:t>2</w:t>
            </w:r>
            <w:r w:rsidR="14A5EDDE" w:rsidRPr="006A1CF3">
              <w:t>60</w:t>
            </w:r>
            <w:r w:rsidR="52868AFE" w:rsidRPr="006A1CF3">
              <w:t>,000</w:t>
            </w:r>
            <w:r w:rsidRPr="006A1CF3">
              <w:t>)</w:t>
            </w:r>
          </w:p>
        </w:tc>
        <w:tc>
          <w:tcPr>
            <w:tcW w:w="0" w:type="dxa"/>
          </w:tcPr>
          <w:p w14:paraId="62AE3CD8" w14:textId="5AC2CC57" w:rsidR="00BC742E" w:rsidRPr="002A497C"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A497C">
              <w:t>M</w:t>
            </w:r>
            <w:r w:rsidR="00237E7F">
              <w:t>edication for addiction treatment</w:t>
            </w:r>
            <w:r w:rsidRPr="002A497C">
              <w:t xml:space="preserve"> </w:t>
            </w:r>
            <w:r w:rsidR="002E1985">
              <w:t>p</w:t>
            </w:r>
            <w:r w:rsidR="002E1985" w:rsidRPr="002A497C">
              <w:t>rescribers</w:t>
            </w:r>
            <w:r w:rsidRPr="002A497C">
              <w:t>;</w:t>
            </w:r>
          </w:p>
          <w:p w14:paraId="51610AFA" w14:textId="73181281" w:rsidR="00BC742E" w:rsidRPr="002A497C"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A497C">
              <w:t xml:space="preserve">See </w:t>
            </w:r>
            <w:r w:rsidR="00FB3C11" w:rsidRPr="002A497C">
              <w:t>RQ</w:t>
            </w:r>
            <w:r w:rsidR="00BD0B73" w:rsidRPr="002A497C">
              <w:t>3-5</w:t>
            </w:r>
          </w:p>
          <w:p w14:paraId="12EEF0DD" w14:textId="77777777" w:rsidR="00BC742E" w:rsidRPr="002A497C" w:rsidRDefault="00BC742E" w:rsidP="00A04539">
            <w:pPr>
              <w:pStyle w:val="TableNormal0"/>
              <w:cnfStyle w:val="000000100000" w:firstRow="0" w:lastRow="0" w:firstColumn="0" w:lastColumn="0" w:oddVBand="0" w:evenVBand="0" w:oddHBand="1" w:evenHBand="0" w:firstRowFirstColumn="0" w:firstRowLastColumn="0" w:lastRowFirstColumn="0" w:lastRowLastColumn="0"/>
              <w:rPr>
                <w:rFonts w:eastAsia="Arial"/>
              </w:rPr>
            </w:pPr>
          </w:p>
        </w:tc>
        <w:tc>
          <w:tcPr>
            <w:tcW w:w="0" w:type="dxa"/>
          </w:tcPr>
          <w:p w14:paraId="7FC9C6F8" w14:textId="5C9ABB2B" w:rsidR="00CE3F7B" w:rsidRPr="002A497C"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A497C">
              <w:t>Descriptive statistics</w:t>
            </w:r>
            <w:r w:rsidR="006D21B3">
              <w:t xml:space="preserve"> </w:t>
            </w:r>
            <w:r w:rsidR="006D21B3" w:rsidRPr="00BD7536">
              <w:t>(</w:t>
            </w:r>
            <w:r w:rsidR="00A42EFE" w:rsidRPr="00D33F43">
              <w:t>provider/</w:t>
            </w:r>
            <w:r w:rsidR="006D21BA" w:rsidRPr="00D33F43">
              <w:t>member</w:t>
            </w:r>
            <w:r w:rsidR="006D21B3" w:rsidRPr="00BD7536">
              <w:t>)</w:t>
            </w:r>
            <w:r w:rsidRPr="00BD7536">
              <w:t>;</w:t>
            </w:r>
            <w:r w:rsidRPr="002A497C">
              <w:t xml:space="preserve"> </w:t>
            </w:r>
          </w:p>
          <w:p w14:paraId="739B122B" w14:textId="7E261971" w:rsidR="00BC742E" w:rsidRPr="002A497C"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A497C">
              <w:t>ITS approa</w:t>
            </w:r>
            <w:r w:rsidR="006963B0">
              <w:t>c</w:t>
            </w:r>
            <w:r w:rsidRPr="002A497C">
              <w:t xml:space="preserve">h - segmented regression </w:t>
            </w:r>
            <w:r w:rsidR="006D21B3">
              <w:t>(</w:t>
            </w:r>
            <w:r w:rsidR="00542C8F" w:rsidRPr="00BD7536">
              <w:t>provider</w:t>
            </w:r>
            <w:r w:rsidR="00542C8F">
              <w:t>/</w:t>
            </w:r>
            <w:r w:rsidR="006D21B3" w:rsidRPr="00BD7536">
              <w:t>member)</w:t>
            </w:r>
          </w:p>
        </w:tc>
      </w:tr>
      <w:tr w:rsidR="0047158A" w:rsidRPr="002A497C" w14:paraId="2A5D8CF8" w14:textId="77777777" w:rsidTr="3383C28C">
        <w:trPr>
          <w:trHeight w:val="1099"/>
        </w:trPr>
        <w:tc>
          <w:tcPr>
            <w:cnfStyle w:val="001000000000" w:firstRow="0" w:lastRow="0" w:firstColumn="1" w:lastColumn="0" w:oddVBand="0" w:evenVBand="0" w:oddHBand="0" w:evenHBand="0" w:firstRowFirstColumn="0" w:firstRowLastColumn="0" w:lastRowFirstColumn="0" w:lastRowLastColumn="0"/>
            <w:tcW w:w="1790" w:type="dxa"/>
          </w:tcPr>
          <w:p w14:paraId="008F7C1D" w14:textId="58F2939A" w:rsidR="00BC742E" w:rsidRPr="002A497C" w:rsidRDefault="00BC742E" w:rsidP="00A04539">
            <w:pPr>
              <w:pStyle w:val="TableNormal0"/>
            </w:pPr>
            <w:r w:rsidRPr="002A497C">
              <w:t>RQ</w:t>
            </w:r>
            <w:r w:rsidR="006869A1" w:rsidRPr="002A497C">
              <w:t>3-10</w:t>
            </w:r>
            <w:r w:rsidRPr="002A497C">
              <w:t xml:space="preserve"> What is the impact of the Demonstration’s continuous coverage of </w:t>
            </w:r>
            <w:r w:rsidRPr="002A497C">
              <w:lastRenderedPageBreak/>
              <w:t>OUD/SUD treatment services on the TCOC per member with SUD?</w:t>
            </w:r>
          </w:p>
        </w:tc>
        <w:tc>
          <w:tcPr>
            <w:tcW w:w="1895" w:type="dxa"/>
          </w:tcPr>
          <w:p w14:paraId="1B9918B0" w14:textId="0EF20CEB" w:rsidR="00C13256" w:rsidRPr="002A497C"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A497C">
              <w:lastRenderedPageBreak/>
              <w:t>H</w:t>
            </w:r>
            <w:r w:rsidR="006869A1" w:rsidRPr="002A497C">
              <w:t>3-10</w:t>
            </w:r>
            <w:r w:rsidRPr="002A497C">
              <w:t xml:space="preserve">.1 The Demonstration’s continuous coverage of OUD/SUD treatment services across a </w:t>
            </w:r>
            <w:r w:rsidRPr="002A497C">
              <w:lastRenderedPageBreak/>
              <w:t>comprehensive continuum of care and focus on coordinating physical and mental health reduced the TCOC for members with SUD diagnosis.</w:t>
            </w:r>
          </w:p>
        </w:tc>
        <w:tc>
          <w:tcPr>
            <w:tcW w:w="2070" w:type="dxa"/>
          </w:tcPr>
          <w:p w14:paraId="5B54DB99" w14:textId="57E5DF0E" w:rsidR="00BC742E" w:rsidRPr="002A497C"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A497C">
              <w:lastRenderedPageBreak/>
              <w:t>MMIS claims/encounter data</w:t>
            </w:r>
            <w:r w:rsidR="00E2645F">
              <w:t xml:space="preserve"> </w:t>
            </w:r>
            <w:r w:rsidR="00A53030" w:rsidRPr="00A53030">
              <w:t>(</w:t>
            </w:r>
            <w:r w:rsidR="00A53030" w:rsidRPr="00BD7536">
              <w:t xml:space="preserve">baseline 2015-2017, </w:t>
            </w:r>
            <w:r w:rsidR="006963B0" w:rsidRPr="00BD7536">
              <w:t>pre</w:t>
            </w:r>
            <w:r w:rsidR="006963B0">
              <w:t>-</w:t>
            </w:r>
            <w:r w:rsidR="00A53030" w:rsidRPr="00BD7536">
              <w:t xml:space="preserve">2018-2022, </w:t>
            </w:r>
            <w:r w:rsidR="006963B0" w:rsidRPr="00BD7536">
              <w:t>post</w:t>
            </w:r>
            <w:r w:rsidR="006963B0">
              <w:t>-</w:t>
            </w:r>
            <w:r w:rsidR="00A53030" w:rsidRPr="00BD7536">
              <w:t>2023-2027</w:t>
            </w:r>
            <w:r w:rsidR="00A53030" w:rsidRPr="00A53030">
              <w:t>)</w:t>
            </w:r>
          </w:p>
        </w:tc>
        <w:tc>
          <w:tcPr>
            <w:tcW w:w="2974" w:type="dxa"/>
          </w:tcPr>
          <w:p w14:paraId="30B9336D" w14:textId="28AB0FB4" w:rsidR="00BC742E"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A497C">
              <w:t xml:space="preserve">Members with </w:t>
            </w:r>
            <w:r w:rsidR="00DD4830" w:rsidRPr="002A497C">
              <w:t>SUD</w:t>
            </w:r>
            <w:r w:rsidR="00DD4830">
              <w:t>/</w:t>
            </w:r>
            <w:r w:rsidRPr="002A497C">
              <w:t>OUD diagnoses</w:t>
            </w:r>
          </w:p>
          <w:p w14:paraId="617962BF" w14:textId="4710E758" w:rsidR="00BC742E" w:rsidRPr="006A1CF3" w:rsidRDefault="0F19F3D6" w:rsidP="7F638223">
            <w:pPr>
              <w:pStyle w:val="TableNormal0"/>
              <w:cnfStyle w:val="000000000000" w:firstRow="0" w:lastRow="0" w:firstColumn="0" w:lastColumn="0" w:oddVBand="0" w:evenVBand="0" w:oddHBand="0" w:evenHBand="0" w:firstRowFirstColumn="0" w:firstRowLastColumn="0" w:lastRowFirstColumn="0" w:lastRowLastColumn="0"/>
            </w:pPr>
            <w:r w:rsidRPr="006A1CF3">
              <w:t>(</w:t>
            </w:r>
            <w:r w:rsidR="00516D5E">
              <w:t>N</w:t>
            </w:r>
            <w:r w:rsidRPr="006A1CF3">
              <w:t>=</w:t>
            </w:r>
            <w:r w:rsidR="788F6154" w:rsidRPr="006A1CF3">
              <w:t>~</w:t>
            </w:r>
            <w:r w:rsidR="2365CEE5" w:rsidRPr="006A1CF3">
              <w:t>2</w:t>
            </w:r>
            <w:r w:rsidR="14A5EDDE" w:rsidRPr="006A1CF3">
              <w:t>60</w:t>
            </w:r>
            <w:r w:rsidR="52868AFE" w:rsidRPr="006A1CF3">
              <w:t>,000</w:t>
            </w:r>
            <w:r w:rsidRPr="006A1CF3">
              <w:t>)</w:t>
            </w:r>
          </w:p>
        </w:tc>
        <w:tc>
          <w:tcPr>
            <w:tcW w:w="2434" w:type="dxa"/>
          </w:tcPr>
          <w:p w14:paraId="08CE1999" w14:textId="77777777" w:rsidR="00BC742E" w:rsidRPr="002A497C"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A497C">
              <w:t>TCOC (All Covered Services)</w:t>
            </w:r>
          </w:p>
          <w:p w14:paraId="65B8BEBF" w14:textId="711AD71E" w:rsidR="00BC742E" w:rsidRPr="002A497C"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A497C">
              <w:t xml:space="preserve">Expenditures by </w:t>
            </w:r>
            <w:r w:rsidR="007442EB">
              <w:t>s</w:t>
            </w:r>
            <w:r w:rsidR="007442EB" w:rsidRPr="002A497C">
              <w:t xml:space="preserve">ervice </w:t>
            </w:r>
            <w:r w:rsidR="007442EB">
              <w:t>c</w:t>
            </w:r>
            <w:r w:rsidR="007442EB" w:rsidRPr="002A497C">
              <w:t xml:space="preserve">ategory </w:t>
            </w:r>
            <w:r w:rsidRPr="002A497C">
              <w:t xml:space="preserve">for individuals with any SUD-related diagnosis or OUD diagnosis </w:t>
            </w:r>
          </w:p>
        </w:tc>
        <w:tc>
          <w:tcPr>
            <w:tcW w:w="2363" w:type="dxa"/>
          </w:tcPr>
          <w:p w14:paraId="0E698E3B" w14:textId="2DBB954F" w:rsidR="00CE3F7B" w:rsidRPr="002A497C"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A497C">
              <w:t>Descriptive statistics</w:t>
            </w:r>
            <w:r w:rsidR="00A53030">
              <w:t xml:space="preserve"> (</w:t>
            </w:r>
            <w:r w:rsidR="00A53030" w:rsidRPr="00BD7536">
              <w:t>member</w:t>
            </w:r>
            <w:r w:rsidR="00A15855">
              <w:t>/</w:t>
            </w:r>
            <w:r w:rsidR="00E248A9" w:rsidRPr="00BD7536">
              <w:t>type of care</w:t>
            </w:r>
            <w:r w:rsidR="00A53030">
              <w:t>)</w:t>
            </w:r>
            <w:r w:rsidRPr="002A497C">
              <w:t xml:space="preserve">; </w:t>
            </w:r>
          </w:p>
          <w:p w14:paraId="7B7AA01E" w14:textId="105BB179" w:rsidR="00BC742E" w:rsidRPr="002A497C"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A497C">
              <w:t>ITS approa</w:t>
            </w:r>
            <w:r w:rsidR="007442EB">
              <w:t>c</w:t>
            </w:r>
            <w:r w:rsidRPr="002A497C">
              <w:t>h - segmented regression</w:t>
            </w:r>
            <w:r w:rsidR="00A53030">
              <w:t xml:space="preserve"> (</w:t>
            </w:r>
            <w:r w:rsidR="00A53030" w:rsidRPr="00BD7536">
              <w:t>member</w:t>
            </w:r>
            <w:r w:rsidR="00E248A9" w:rsidRPr="00BD7536">
              <w:t>/type of care</w:t>
            </w:r>
            <w:r w:rsidR="00DE3875">
              <w:t>)</w:t>
            </w:r>
          </w:p>
        </w:tc>
      </w:tr>
      <w:tr w:rsidR="0047158A" w:rsidRPr="002A497C" w14:paraId="61E62F82" w14:textId="77777777" w:rsidTr="3383C28C">
        <w:trPr>
          <w:cnfStyle w:val="000000100000" w:firstRow="0" w:lastRow="0" w:firstColumn="0" w:lastColumn="0" w:oddVBand="0" w:evenVBand="0" w:oddHBand="1" w:evenHBand="0"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0" w:type="dxa"/>
          </w:tcPr>
          <w:p w14:paraId="52C4122D" w14:textId="02C2BBDF" w:rsidR="00BC742E" w:rsidRPr="002A497C" w:rsidRDefault="00BC742E" w:rsidP="00A04539">
            <w:pPr>
              <w:pStyle w:val="TableNormal0"/>
            </w:pPr>
            <w:r w:rsidRPr="002A497C">
              <w:t>RQ</w:t>
            </w:r>
            <w:r w:rsidR="006869A1" w:rsidRPr="002A497C">
              <w:t>3-1</w:t>
            </w:r>
            <w:r w:rsidRPr="002A497C">
              <w:t>1 What is the impact of the SMI/SED Demonstration on access to the full range of community-based BH services, including adult and youth CCS?</w:t>
            </w:r>
          </w:p>
        </w:tc>
        <w:tc>
          <w:tcPr>
            <w:tcW w:w="0" w:type="dxa"/>
          </w:tcPr>
          <w:p w14:paraId="46FA3C09" w14:textId="7C998516" w:rsidR="00BC742E" w:rsidRPr="002A497C"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A497C">
              <w:t>H</w:t>
            </w:r>
            <w:r w:rsidR="006869A1" w:rsidRPr="002A497C">
              <w:t>3-1</w:t>
            </w:r>
            <w:r w:rsidRPr="002A497C">
              <w:t xml:space="preserve">1.1 An increase in utilization of community-based services by MassHealth members will be observed following SMI/SED Demonstration implementation. </w:t>
            </w:r>
          </w:p>
        </w:tc>
        <w:tc>
          <w:tcPr>
            <w:tcW w:w="2070" w:type="dxa"/>
          </w:tcPr>
          <w:p w14:paraId="08DE107F" w14:textId="0CD40C84" w:rsidR="00BC742E" w:rsidRPr="002A497C"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A497C">
              <w:t>MMIS claims/encounter data</w:t>
            </w:r>
            <w:r w:rsidR="003B5E3F">
              <w:t xml:space="preserve"> </w:t>
            </w:r>
            <w:r w:rsidR="003B5E3F" w:rsidRPr="003B5E3F">
              <w:t>(</w:t>
            </w:r>
            <w:r w:rsidR="006963B0" w:rsidRPr="00BD7536">
              <w:t>pre</w:t>
            </w:r>
            <w:r w:rsidR="006963B0">
              <w:t>-</w:t>
            </w:r>
            <w:r w:rsidR="003B5E3F" w:rsidRPr="00BD7536">
              <w:t>2018-2022, post</w:t>
            </w:r>
            <w:r w:rsidR="006963B0">
              <w:t>-</w:t>
            </w:r>
            <w:r w:rsidR="003B5E3F" w:rsidRPr="00BD7536">
              <w:t>2023-2027)</w:t>
            </w:r>
            <w:r w:rsidRPr="002A497C">
              <w:t xml:space="preserve">; </w:t>
            </w:r>
          </w:p>
          <w:p w14:paraId="4A2B88D7" w14:textId="475EFEA0" w:rsidR="00BC742E" w:rsidRPr="002A497C"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A497C">
              <w:t>Member interview</w:t>
            </w:r>
            <w:r w:rsidR="002F1CA3" w:rsidRPr="002A497C">
              <w:t>s</w:t>
            </w:r>
            <w:r w:rsidRPr="002A497C">
              <w:t>;</w:t>
            </w:r>
            <w:r w:rsidR="00713C09">
              <w:t xml:space="preserve"> </w:t>
            </w:r>
            <w:r w:rsidR="00713C09" w:rsidRPr="00D33F43">
              <w:t>(2024-2025; 2026-2027)</w:t>
            </w:r>
          </w:p>
          <w:p w14:paraId="032D7C7F" w14:textId="0664700D" w:rsidR="00BC742E" w:rsidRPr="002A497C" w:rsidRDefault="00BC742E" w:rsidP="00A04539">
            <w:pPr>
              <w:pStyle w:val="TableNormal0"/>
              <w:cnfStyle w:val="000000100000" w:firstRow="0" w:lastRow="0" w:firstColumn="0" w:lastColumn="0" w:oddVBand="0" w:evenVBand="0" w:oddHBand="1" w:evenHBand="0" w:firstRowFirstColumn="0" w:firstRowLastColumn="0" w:lastRowFirstColumn="0" w:lastRowLastColumn="0"/>
            </w:pPr>
          </w:p>
          <w:p w14:paraId="2D200451" w14:textId="595CB692" w:rsidR="00F92F0F" w:rsidRPr="00BD7536" w:rsidRDefault="00F92F0F" w:rsidP="00A04539">
            <w:pPr>
              <w:pStyle w:val="TableNormal0"/>
              <w:cnfStyle w:val="000000100000" w:firstRow="0" w:lastRow="0" w:firstColumn="0" w:lastColumn="0" w:oddVBand="0" w:evenVBand="0" w:oddHBand="1" w:evenHBand="0" w:firstRowFirstColumn="0" w:firstRowLastColumn="0" w:lastRowFirstColumn="0" w:lastRowLastColumn="0"/>
            </w:pPr>
            <w:r w:rsidRPr="00BD7536">
              <w:t>Member Survey (2024-2027)</w:t>
            </w:r>
          </w:p>
          <w:p w14:paraId="030DC631" w14:textId="77777777" w:rsidR="00BC742E" w:rsidRPr="002A497C" w:rsidRDefault="00BC742E" w:rsidP="00A04539">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p>
        </w:tc>
        <w:tc>
          <w:tcPr>
            <w:tcW w:w="2974" w:type="dxa"/>
          </w:tcPr>
          <w:p w14:paraId="306511E1" w14:textId="77777777" w:rsidR="00BC742E"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A497C">
              <w:t>Adult and child MassHealth members with SMI/SED diagnoses</w:t>
            </w:r>
          </w:p>
          <w:p w14:paraId="6377E3AB" w14:textId="043FCABF" w:rsidR="00BC742E" w:rsidRDefault="005B63D0" w:rsidP="00A04539">
            <w:pPr>
              <w:pStyle w:val="TableNormal0"/>
              <w:cnfStyle w:val="000000100000" w:firstRow="0" w:lastRow="0" w:firstColumn="0" w:lastColumn="0" w:oddVBand="0" w:evenVBand="0" w:oddHBand="1" w:evenHBand="0" w:firstRowFirstColumn="0" w:firstRowLastColumn="0" w:lastRowFirstColumn="0" w:lastRowLastColumn="0"/>
            </w:pPr>
            <w:r>
              <w:t>(</w:t>
            </w:r>
            <w:r w:rsidR="00A2702C">
              <w:t>n</w:t>
            </w:r>
            <w:r>
              <w:t>=</w:t>
            </w:r>
            <w:r w:rsidR="00D61F21">
              <w:t>~</w:t>
            </w:r>
            <w:r>
              <w:t xml:space="preserve"> </w:t>
            </w:r>
            <w:r w:rsidR="00F131FA">
              <w:t>9</w:t>
            </w:r>
            <w:r w:rsidR="003E29F2">
              <w:t>0</w:t>
            </w:r>
            <w:r w:rsidR="00464B61">
              <w:t>,000</w:t>
            </w:r>
            <w:r>
              <w:t>)</w:t>
            </w:r>
          </w:p>
          <w:p w14:paraId="75701871" w14:textId="77777777" w:rsidR="00F92F0F" w:rsidRPr="00BD7536" w:rsidRDefault="00F92F0F" w:rsidP="00A04539">
            <w:pPr>
              <w:pStyle w:val="TableNormal0"/>
              <w:cnfStyle w:val="000000100000" w:firstRow="0" w:lastRow="0" w:firstColumn="0" w:lastColumn="0" w:oddVBand="0" w:evenVBand="0" w:oddHBand="1" w:evenHBand="0" w:firstRowFirstColumn="0" w:firstRowLastColumn="0" w:lastRowFirstColumn="0" w:lastRowLastColumn="0"/>
            </w:pPr>
            <w:r w:rsidRPr="00BD7536">
              <w:t>Qualitative:</w:t>
            </w:r>
          </w:p>
          <w:p w14:paraId="6866998A" w14:textId="40496BCF" w:rsidR="00F92F0F" w:rsidRPr="00BD7536" w:rsidRDefault="00F92F0F" w:rsidP="00A04539">
            <w:pPr>
              <w:pStyle w:val="TableNormal0"/>
              <w:cnfStyle w:val="000000100000" w:firstRow="0" w:lastRow="0" w:firstColumn="0" w:lastColumn="0" w:oddVBand="0" w:evenVBand="0" w:oddHBand="1" w:evenHBand="0" w:firstRowFirstColumn="0" w:firstRowLastColumn="0" w:lastRowFirstColumn="0" w:lastRowLastColumn="0"/>
            </w:pPr>
            <w:r w:rsidRPr="00BD7536">
              <w:t>providers (n</w:t>
            </w:r>
            <w:r w:rsidR="00B442EB">
              <w:t xml:space="preserve"> ≤ </w:t>
            </w:r>
            <w:r w:rsidRPr="00BD7536">
              <w:t>60)</w:t>
            </w:r>
          </w:p>
          <w:p w14:paraId="431D31F4" w14:textId="010128B2" w:rsidR="00F92F0F" w:rsidRPr="00BD7536" w:rsidRDefault="00F92F0F" w:rsidP="00A04539">
            <w:pPr>
              <w:pStyle w:val="TableNormal0"/>
              <w:cnfStyle w:val="000000100000" w:firstRow="0" w:lastRow="0" w:firstColumn="0" w:lastColumn="0" w:oddVBand="0" w:evenVBand="0" w:oddHBand="1" w:evenHBand="0" w:firstRowFirstColumn="0" w:firstRowLastColumn="0" w:lastRowFirstColumn="0" w:lastRowLastColumn="0"/>
            </w:pPr>
            <w:r w:rsidRPr="00BD7536">
              <w:t>members (n</w:t>
            </w:r>
            <w:r w:rsidR="00B442EB">
              <w:t xml:space="preserve"> ≤ </w:t>
            </w:r>
            <w:r w:rsidRPr="00BD7536">
              <w:t>30)</w:t>
            </w:r>
          </w:p>
          <w:p w14:paraId="1BF019B0" w14:textId="77777777" w:rsidR="00F92F0F" w:rsidRDefault="00F92F0F" w:rsidP="00A04539">
            <w:pPr>
              <w:pStyle w:val="TableNormal0"/>
              <w:cnfStyle w:val="000000100000" w:firstRow="0" w:lastRow="0" w:firstColumn="0" w:lastColumn="0" w:oddVBand="0" w:evenVBand="0" w:oddHBand="1" w:evenHBand="0" w:firstRowFirstColumn="0" w:firstRowLastColumn="0" w:lastRowFirstColumn="0" w:lastRowLastColumn="0"/>
            </w:pPr>
          </w:p>
          <w:p w14:paraId="1EA44429" w14:textId="77777777" w:rsidR="00F92F0F" w:rsidRDefault="00F92F0F" w:rsidP="00A04539">
            <w:pPr>
              <w:pStyle w:val="TableNormal0"/>
              <w:cnfStyle w:val="000000100000" w:firstRow="0" w:lastRow="0" w:firstColumn="0" w:lastColumn="0" w:oddVBand="0" w:evenVBand="0" w:oddHBand="1" w:evenHBand="0" w:firstRowFirstColumn="0" w:firstRowLastColumn="0" w:lastRowFirstColumn="0" w:lastRowLastColumn="0"/>
            </w:pPr>
            <w:r>
              <w:t>Survey:</w:t>
            </w:r>
          </w:p>
          <w:p w14:paraId="1ED79C68" w14:textId="4C3328B5" w:rsidR="00F92F0F" w:rsidRDefault="005B63D0" w:rsidP="00A04539">
            <w:pPr>
              <w:pStyle w:val="TableNormal0"/>
              <w:cnfStyle w:val="000000100000" w:firstRow="0" w:lastRow="0" w:firstColumn="0" w:lastColumn="0" w:oddVBand="0" w:evenVBand="0" w:oddHBand="1" w:evenHBand="0" w:firstRowFirstColumn="0" w:firstRowLastColumn="0" w:lastRowFirstColumn="0" w:lastRowLastColumn="0"/>
            </w:pPr>
            <w:r>
              <w:t>(</w:t>
            </w:r>
            <w:r w:rsidR="00F92F0F">
              <w:t>n</w:t>
            </w:r>
            <w:r>
              <w:t>=</w:t>
            </w:r>
            <w:r w:rsidR="00D61F21">
              <w:t>~</w:t>
            </w:r>
            <w:r w:rsidR="00F92F0F">
              <w:t>9</w:t>
            </w:r>
            <w:r w:rsidR="00151D32">
              <w:t>,</w:t>
            </w:r>
            <w:r w:rsidR="00F92F0F">
              <w:t>800 child</w:t>
            </w:r>
            <w:r w:rsidR="009B35B3">
              <w:t>ren</w:t>
            </w:r>
            <w:r w:rsidR="006A6D69">
              <w:t>;</w:t>
            </w:r>
          </w:p>
          <w:p w14:paraId="4279062B" w14:textId="1C4B35FE" w:rsidR="00BC742E" w:rsidRPr="002A497C" w:rsidRDefault="005B2E1E" w:rsidP="00A04539">
            <w:pPr>
              <w:pStyle w:val="TableNormal0"/>
              <w:cnfStyle w:val="000000100000" w:firstRow="0" w:lastRow="0" w:firstColumn="0" w:lastColumn="0" w:oddVBand="0" w:evenVBand="0" w:oddHBand="1" w:evenHBand="0" w:firstRowFirstColumn="0" w:firstRowLastColumn="0" w:lastRowFirstColumn="0" w:lastRowLastColumn="0"/>
            </w:pPr>
            <w:r>
              <w:t>n</w:t>
            </w:r>
            <w:r w:rsidR="00D61F21">
              <w:t>=</w:t>
            </w:r>
            <w:r w:rsidR="00F92F0F">
              <w:t>~20,000 adult</w:t>
            </w:r>
            <w:r w:rsidR="009B35B3">
              <w:t>s</w:t>
            </w:r>
            <w:r w:rsidR="005B63D0">
              <w:t>)</w:t>
            </w:r>
          </w:p>
        </w:tc>
        <w:tc>
          <w:tcPr>
            <w:tcW w:w="0" w:type="dxa"/>
          </w:tcPr>
          <w:p w14:paraId="37EE6B38" w14:textId="5B8900CD" w:rsidR="00BC742E" w:rsidRPr="002A497C"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A497C">
              <w:t>Health</w:t>
            </w:r>
            <w:r w:rsidR="00BA097A">
              <w:t>c</w:t>
            </w:r>
            <w:r w:rsidRPr="002A497C">
              <w:t xml:space="preserve">are </w:t>
            </w:r>
            <w:r w:rsidR="00BA097A">
              <w:t>u</w:t>
            </w:r>
            <w:r w:rsidR="00BA097A" w:rsidRPr="002A497C">
              <w:t>tilization</w:t>
            </w:r>
            <w:r w:rsidRPr="002A497C">
              <w:t>;</w:t>
            </w:r>
          </w:p>
          <w:p w14:paraId="5094201B" w14:textId="75DC10B7" w:rsidR="00BC742E" w:rsidRPr="002A497C" w:rsidRDefault="513128A4" w:rsidP="00A04539">
            <w:pPr>
              <w:pStyle w:val="TableNormal0"/>
              <w:cnfStyle w:val="000000100000" w:firstRow="0" w:lastRow="0" w:firstColumn="0" w:lastColumn="0" w:oddVBand="0" w:evenVBand="0" w:oddHBand="1" w:evenHBand="0" w:firstRowFirstColumn="0" w:firstRowLastColumn="0" w:lastRowFirstColumn="0" w:lastRowLastColumn="0"/>
            </w:pPr>
            <w:r>
              <w:t xml:space="preserve">Total number of members with SMI/SED diagnoses who used </w:t>
            </w:r>
            <w:r w:rsidR="79B84B07">
              <w:t xml:space="preserve">BH </w:t>
            </w:r>
            <w:r>
              <w:t xml:space="preserve"> services</w:t>
            </w:r>
            <w:r w:rsidR="003A51A0">
              <w:t>;</w:t>
            </w:r>
          </w:p>
          <w:p w14:paraId="5DA080B3" w14:textId="167A22E9" w:rsidR="00BC742E" w:rsidRPr="009F1F6D" w:rsidRDefault="00BC742E" w:rsidP="00A04539">
            <w:pPr>
              <w:pStyle w:val="TableNormal0"/>
              <w:cnfStyle w:val="000000100000" w:firstRow="0" w:lastRow="0" w:firstColumn="0" w:lastColumn="0" w:oddVBand="0" w:evenVBand="0" w:oddHBand="1" w:evenHBand="0" w:firstRowFirstColumn="0" w:firstRowLastColumn="0" w:lastRowFirstColumn="0" w:lastRowLastColumn="0"/>
              <w:rPr>
                <w:lang w:val="fr-FR"/>
              </w:rPr>
            </w:pPr>
            <w:r w:rsidRPr="009F1F6D">
              <w:rPr>
                <w:lang w:val="fr-FR"/>
              </w:rPr>
              <w:t xml:space="preserve">Outpatient SUD </w:t>
            </w:r>
            <w:r w:rsidR="006963B0">
              <w:rPr>
                <w:lang w:val="fr-FR"/>
              </w:rPr>
              <w:t>p</w:t>
            </w:r>
            <w:r w:rsidRPr="009F1F6D">
              <w:rPr>
                <w:lang w:val="fr-FR"/>
              </w:rPr>
              <w:t>rofessional visits;</w:t>
            </w:r>
          </w:p>
          <w:p w14:paraId="71764B82" w14:textId="17986989" w:rsidR="00BC742E" w:rsidRPr="009F1F6D" w:rsidRDefault="00BC742E" w:rsidP="00A04539">
            <w:pPr>
              <w:pStyle w:val="TableNormal0"/>
              <w:cnfStyle w:val="000000100000" w:firstRow="0" w:lastRow="0" w:firstColumn="0" w:lastColumn="0" w:oddVBand="0" w:evenVBand="0" w:oddHBand="1" w:evenHBand="0" w:firstRowFirstColumn="0" w:firstRowLastColumn="0" w:lastRowFirstColumn="0" w:lastRowLastColumn="0"/>
              <w:rPr>
                <w:lang w:val="fr-FR"/>
              </w:rPr>
            </w:pPr>
            <w:r w:rsidRPr="00786BB0">
              <w:rPr>
                <w:lang w:val="fr-FR"/>
              </w:rPr>
              <w:t>Inpatient</w:t>
            </w:r>
            <w:r w:rsidRPr="009F1F6D">
              <w:rPr>
                <w:lang w:val="fr-FR"/>
              </w:rPr>
              <w:t xml:space="preserve"> </w:t>
            </w:r>
            <w:r w:rsidRPr="003672E4">
              <w:rPr>
                <w:lang w:val="fr-FR"/>
              </w:rPr>
              <w:t>visits</w:t>
            </w:r>
            <w:r w:rsidRPr="009F1F6D">
              <w:rPr>
                <w:lang w:val="fr-FR"/>
              </w:rPr>
              <w:t>;</w:t>
            </w:r>
          </w:p>
          <w:p w14:paraId="623BBD6D" w14:textId="669A03CF" w:rsidR="00BC742E" w:rsidRPr="002A497C" w:rsidRDefault="2D21B4C1" w:rsidP="00A04539">
            <w:pPr>
              <w:pStyle w:val="TableNormal0"/>
              <w:cnfStyle w:val="000000100000" w:firstRow="0" w:lastRow="0" w:firstColumn="0" w:lastColumn="0" w:oddVBand="0" w:evenVBand="0" w:oddHBand="1" w:evenHBand="0" w:firstRowFirstColumn="0" w:firstRowLastColumn="0" w:lastRowFirstColumn="0" w:lastRowLastColumn="0"/>
            </w:pPr>
            <w:r>
              <w:t xml:space="preserve">Outpatient BH </w:t>
            </w:r>
            <w:r w:rsidR="00BC742E">
              <w:t>visits;</w:t>
            </w:r>
          </w:p>
          <w:p w14:paraId="28DEDA89" w14:textId="66C9B92E" w:rsidR="00BC742E" w:rsidRPr="002A497C" w:rsidRDefault="002F1CA3" w:rsidP="00A04539">
            <w:pPr>
              <w:pStyle w:val="TableNormal0"/>
              <w:cnfStyle w:val="000000100000" w:firstRow="0" w:lastRow="0" w:firstColumn="0" w:lastColumn="0" w:oddVBand="0" w:evenVBand="0" w:oddHBand="1" w:evenHBand="0" w:firstRowFirstColumn="0" w:firstRowLastColumn="0" w:lastRowFirstColumn="0" w:lastRowLastColumn="0"/>
            </w:pPr>
            <w:r w:rsidRPr="002A497C">
              <w:t>Member experience of access to services</w:t>
            </w:r>
          </w:p>
        </w:tc>
        <w:tc>
          <w:tcPr>
            <w:tcW w:w="0" w:type="dxa"/>
          </w:tcPr>
          <w:p w14:paraId="08728EBE" w14:textId="01E9594E" w:rsidR="00BC742E" w:rsidRPr="002A497C"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A497C">
              <w:t>Descriptive</w:t>
            </w:r>
            <w:r w:rsidR="006943DB">
              <w:t xml:space="preserve"> (</w:t>
            </w:r>
            <w:r w:rsidR="006943DB" w:rsidRPr="00BD7536">
              <w:t>member</w:t>
            </w:r>
            <w:r w:rsidR="006943DB">
              <w:t>)</w:t>
            </w:r>
            <w:r w:rsidRPr="002A497C">
              <w:t>;</w:t>
            </w:r>
          </w:p>
          <w:p w14:paraId="2DDAC1C0" w14:textId="77777777" w:rsidR="00BC742E" w:rsidRPr="002A497C"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A497C">
              <w:t>Thematic analyses;</w:t>
            </w:r>
          </w:p>
          <w:p w14:paraId="3C47BB77" w14:textId="3D90FAC2" w:rsidR="00BC742E" w:rsidRPr="002A497C"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A497C">
              <w:t xml:space="preserve">Case </w:t>
            </w:r>
            <w:r w:rsidR="007442EB">
              <w:t>s</w:t>
            </w:r>
            <w:r w:rsidR="007442EB" w:rsidRPr="002A497C">
              <w:t>tudy</w:t>
            </w:r>
            <w:r w:rsidRPr="002A497C">
              <w:t>;</w:t>
            </w:r>
          </w:p>
          <w:p w14:paraId="26EFA078" w14:textId="5B2BF9D1" w:rsidR="00BC742E" w:rsidRPr="002A497C"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A497C">
              <w:t>ITS</w:t>
            </w:r>
            <w:r w:rsidR="006943DB">
              <w:t xml:space="preserve"> (</w:t>
            </w:r>
            <w:r w:rsidR="006943DB" w:rsidRPr="00BD7536">
              <w:t>member</w:t>
            </w:r>
            <w:r w:rsidR="006943DB">
              <w:t>)</w:t>
            </w:r>
          </w:p>
          <w:p w14:paraId="51EBE612" w14:textId="77777777" w:rsidR="00BC742E" w:rsidRPr="002A497C" w:rsidRDefault="00BC742E" w:rsidP="00A04539">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p>
        </w:tc>
      </w:tr>
      <w:tr w:rsidR="0047158A" w:rsidRPr="002A497C" w14:paraId="25CDE37A" w14:textId="77777777" w:rsidTr="3383C28C">
        <w:trPr>
          <w:trHeight w:val="1099"/>
        </w:trPr>
        <w:tc>
          <w:tcPr>
            <w:cnfStyle w:val="001000000000" w:firstRow="0" w:lastRow="0" w:firstColumn="1" w:lastColumn="0" w:oddVBand="0" w:evenVBand="0" w:oddHBand="0" w:evenHBand="0" w:firstRowFirstColumn="0" w:firstRowLastColumn="0" w:lastRowFirstColumn="0" w:lastRowLastColumn="0"/>
            <w:tcW w:w="1790" w:type="dxa"/>
          </w:tcPr>
          <w:p w14:paraId="56B96870" w14:textId="1E0E9083" w:rsidR="00BC742E" w:rsidRPr="002A497C" w:rsidRDefault="00BC742E" w:rsidP="00A04539">
            <w:pPr>
              <w:pStyle w:val="TableNormal0"/>
            </w:pPr>
            <w:r w:rsidRPr="002A497C">
              <w:t>RQ</w:t>
            </w:r>
            <w:r w:rsidR="006869A1" w:rsidRPr="002A497C">
              <w:t>3-12</w:t>
            </w:r>
            <w:r w:rsidRPr="002A497C">
              <w:t xml:space="preserve"> Does increased access to SMI/SED Demonstration services reduce ED LOS hours?</w:t>
            </w:r>
          </w:p>
        </w:tc>
        <w:tc>
          <w:tcPr>
            <w:tcW w:w="1895" w:type="dxa"/>
          </w:tcPr>
          <w:p w14:paraId="21E88534" w14:textId="6FF1A2C5" w:rsidR="00BC742E" w:rsidRPr="002A497C"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A497C">
              <w:t>H</w:t>
            </w:r>
            <w:r w:rsidR="006869A1" w:rsidRPr="002A497C">
              <w:t>3-1</w:t>
            </w:r>
            <w:r w:rsidRPr="002A497C">
              <w:t>2.1 ED length of stay will be observed to decrease over time after implementation of Demonstration services.</w:t>
            </w:r>
          </w:p>
        </w:tc>
        <w:tc>
          <w:tcPr>
            <w:tcW w:w="2070" w:type="dxa"/>
          </w:tcPr>
          <w:p w14:paraId="5CC136FC" w14:textId="5C3F9691" w:rsidR="00740C8F" w:rsidRPr="002A497C"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A497C">
              <w:t>MMIS claims/encounter data</w:t>
            </w:r>
            <w:r w:rsidR="00740C8F">
              <w:t xml:space="preserve"> </w:t>
            </w:r>
            <w:r w:rsidR="00740C8F" w:rsidRPr="00D33F43">
              <w:t>pre</w:t>
            </w:r>
            <w:r w:rsidR="00E6280D">
              <w:t>-</w:t>
            </w:r>
            <w:r w:rsidR="00740C8F" w:rsidRPr="00D33F43">
              <w:t>2018-2022, post</w:t>
            </w:r>
            <w:r w:rsidR="00E6280D">
              <w:t>-</w:t>
            </w:r>
            <w:r w:rsidR="00740C8F" w:rsidRPr="00D33F43">
              <w:t>2023-2027)</w:t>
            </w:r>
            <w:r w:rsidR="00740C8F" w:rsidRPr="002A497C">
              <w:t xml:space="preserve"> </w:t>
            </w:r>
          </w:p>
          <w:p w14:paraId="704AE0AC" w14:textId="7B67553C" w:rsidR="00BC742E" w:rsidRPr="002A497C" w:rsidRDefault="00BC742E" w:rsidP="00A04539">
            <w:pPr>
              <w:pStyle w:val="TableNormal0"/>
              <w:cnfStyle w:val="000000000000" w:firstRow="0" w:lastRow="0" w:firstColumn="0" w:lastColumn="0" w:oddVBand="0" w:evenVBand="0" w:oddHBand="0" w:evenHBand="0" w:firstRowFirstColumn="0" w:firstRowLastColumn="0" w:lastRowFirstColumn="0" w:lastRowLastColumn="0"/>
            </w:pPr>
          </w:p>
        </w:tc>
        <w:tc>
          <w:tcPr>
            <w:tcW w:w="2974" w:type="dxa"/>
          </w:tcPr>
          <w:p w14:paraId="0D435346" w14:textId="77777777" w:rsidR="00BC742E"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A497C">
              <w:t xml:space="preserve">Adult and child members with SMI/SED diagnoses </w:t>
            </w:r>
          </w:p>
          <w:p w14:paraId="039A1CF3" w14:textId="7701B982" w:rsidR="00BC742E" w:rsidRPr="002A497C" w:rsidRDefault="005B63D0" w:rsidP="00A04539">
            <w:pPr>
              <w:pStyle w:val="TableNormal0"/>
              <w:cnfStyle w:val="000000000000" w:firstRow="0" w:lastRow="0" w:firstColumn="0" w:lastColumn="0" w:oddVBand="0" w:evenVBand="0" w:oddHBand="0" w:evenHBand="0" w:firstRowFirstColumn="0" w:firstRowLastColumn="0" w:lastRowFirstColumn="0" w:lastRowLastColumn="0"/>
            </w:pPr>
            <w:r>
              <w:t>(</w:t>
            </w:r>
            <w:r w:rsidR="00A2702C">
              <w:t>n</w:t>
            </w:r>
            <w:r>
              <w:t>=</w:t>
            </w:r>
            <w:r w:rsidR="00D61F21">
              <w:t>~</w:t>
            </w:r>
            <w:r w:rsidR="00F131FA">
              <w:t>9</w:t>
            </w:r>
            <w:r w:rsidR="003E29F2">
              <w:t>0</w:t>
            </w:r>
            <w:r w:rsidR="00464B61">
              <w:t>,000</w:t>
            </w:r>
            <w:r>
              <w:t>)</w:t>
            </w:r>
          </w:p>
        </w:tc>
        <w:tc>
          <w:tcPr>
            <w:tcW w:w="2434" w:type="dxa"/>
          </w:tcPr>
          <w:p w14:paraId="4A55507F" w14:textId="55600186" w:rsidR="00BC742E" w:rsidRPr="002A497C"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A497C">
              <w:t xml:space="preserve">ED </w:t>
            </w:r>
            <w:r w:rsidR="00BA097A">
              <w:t>v</w:t>
            </w:r>
            <w:r w:rsidRPr="002A497C">
              <w:t xml:space="preserve">isits for </w:t>
            </w:r>
            <w:r w:rsidR="00BA097A">
              <w:t>i</w:t>
            </w:r>
            <w:r w:rsidRPr="002A497C">
              <w:t xml:space="preserve">ndividuals with </w:t>
            </w:r>
            <w:r w:rsidR="00BA097A">
              <w:t>m</w:t>
            </w:r>
            <w:r w:rsidRPr="002A497C">
              <w:t xml:space="preserve">ental </w:t>
            </w:r>
            <w:r w:rsidR="00BA097A">
              <w:t>i</w:t>
            </w:r>
            <w:r w:rsidRPr="002A497C">
              <w:t xml:space="preserve">llness, </w:t>
            </w:r>
            <w:r w:rsidR="006A4612">
              <w:t>a</w:t>
            </w:r>
            <w:r w:rsidR="006A4612" w:rsidRPr="002A497C">
              <w:t>ddiction</w:t>
            </w:r>
            <w:r w:rsidRPr="002A497C">
              <w:t xml:space="preserve">, or </w:t>
            </w:r>
            <w:r w:rsidR="006A4612">
              <w:t>c</w:t>
            </w:r>
            <w:r w:rsidR="006A4612" w:rsidRPr="002A497C">
              <w:t>o</w:t>
            </w:r>
            <w:r w:rsidRPr="002A497C">
              <w:t xml:space="preserve">-occurring </w:t>
            </w:r>
            <w:r w:rsidR="006A4612">
              <w:t>c</w:t>
            </w:r>
            <w:r w:rsidR="006A4612" w:rsidRPr="002A497C">
              <w:t xml:space="preserve">onditions </w:t>
            </w:r>
            <w:r w:rsidR="006A4612">
              <w:t>s</w:t>
            </w:r>
            <w:r w:rsidR="006A4612" w:rsidRPr="002A497C">
              <w:t xml:space="preserve">tratified </w:t>
            </w:r>
            <w:r w:rsidRPr="002A497C">
              <w:t xml:space="preserve">by </w:t>
            </w:r>
            <w:r w:rsidR="006A4612">
              <w:t>a</w:t>
            </w:r>
            <w:r w:rsidR="006A4612" w:rsidRPr="002A497C">
              <w:t xml:space="preserve">ge </w:t>
            </w:r>
            <w:r w:rsidRPr="002A497C">
              <w:t>(</w:t>
            </w:r>
            <w:r w:rsidR="00C64B8F" w:rsidRPr="002A497C">
              <w:t>6</w:t>
            </w:r>
            <w:r w:rsidRPr="002A497C">
              <w:t xml:space="preserve">-17, 18-64); </w:t>
            </w:r>
          </w:p>
          <w:p w14:paraId="673F40D2" w14:textId="26215443" w:rsidR="00BC742E" w:rsidRPr="002A497C"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A497C">
              <w:t xml:space="preserve">ED </w:t>
            </w:r>
            <w:r w:rsidR="006A4612">
              <w:t>b</w:t>
            </w:r>
            <w:r w:rsidR="006A4612" w:rsidRPr="002A497C">
              <w:t xml:space="preserve">oarding </w:t>
            </w:r>
            <w:r w:rsidRPr="002A497C">
              <w:t xml:space="preserve">of </w:t>
            </w:r>
            <w:r w:rsidR="006A4612">
              <w:t>m</w:t>
            </w:r>
            <w:r w:rsidRPr="002A497C">
              <w:t xml:space="preserve">embers with BH </w:t>
            </w:r>
            <w:r w:rsidR="00E6280D">
              <w:t>c</w:t>
            </w:r>
            <w:r w:rsidR="00E6280D" w:rsidRPr="002A497C">
              <w:t>onditions</w:t>
            </w:r>
          </w:p>
          <w:p w14:paraId="45FDF725" w14:textId="3BDEA3D0" w:rsidR="00C13256" w:rsidRPr="002A497C" w:rsidRDefault="00C13256" w:rsidP="00A04539">
            <w:pPr>
              <w:pStyle w:val="TableNormal0"/>
              <w:cnfStyle w:val="000000000000" w:firstRow="0" w:lastRow="0" w:firstColumn="0" w:lastColumn="0" w:oddVBand="0" w:evenVBand="0" w:oddHBand="0" w:evenHBand="0" w:firstRowFirstColumn="0" w:firstRowLastColumn="0" w:lastRowFirstColumn="0" w:lastRowLastColumn="0"/>
            </w:pPr>
          </w:p>
        </w:tc>
        <w:tc>
          <w:tcPr>
            <w:tcW w:w="2363" w:type="dxa"/>
          </w:tcPr>
          <w:p w14:paraId="3AFF2C92" w14:textId="0E156DC7" w:rsidR="00BC742E" w:rsidRPr="002A497C"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A497C">
              <w:t xml:space="preserve">Descriptive </w:t>
            </w:r>
            <w:r w:rsidR="006A4612">
              <w:t>s</w:t>
            </w:r>
            <w:r w:rsidR="006A4612" w:rsidRPr="002A497C">
              <w:t>tatistics</w:t>
            </w:r>
            <w:r w:rsidR="006A4612">
              <w:t xml:space="preserve"> </w:t>
            </w:r>
            <w:r w:rsidR="003848B2">
              <w:t>(</w:t>
            </w:r>
            <w:r w:rsidR="003848B2" w:rsidRPr="00BD7536">
              <w:t>member</w:t>
            </w:r>
            <w:r w:rsidR="003848B2">
              <w:t>)</w:t>
            </w:r>
            <w:r w:rsidRPr="002A497C">
              <w:t xml:space="preserve">;           </w:t>
            </w:r>
          </w:p>
          <w:p w14:paraId="6A5DA69E" w14:textId="00C349B7" w:rsidR="00BC742E" w:rsidRPr="002A497C"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A497C">
              <w:t>ITS</w:t>
            </w:r>
            <w:r w:rsidR="003848B2">
              <w:t xml:space="preserve"> (</w:t>
            </w:r>
            <w:r w:rsidR="003848B2" w:rsidRPr="00BD7536">
              <w:t>member</w:t>
            </w:r>
            <w:r w:rsidR="003848B2">
              <w:t>)</w:t>
            </w:r>
          </w:p>
        </w:tc>
      </w:tr>
      <w:tr w:rsidR="0047158A" w:rsidRPr="002A497C" w14:paraId="5BB8FEEF" w14:textId="77777777" w:rsidTr="3383C28C">
        <w:trPr>
          <w:cnfStyle w:val="000000100000" w:firstRow="0" w:lastRow="0" w:firstColumn="0" w:lastColumn="0" w:oddVBand="0" w:evenVBand="0" w:oddHBand="1" w:evenHBand="0" w:firstRowFirstColumn="0" w:firstRowLastColumn="0" w:lastRowFirstColumn="0" w:lastRowLastColumn="0"/>
          <w:trHeight w:val="1907"/>
        </w:trPr>
        <w:tc>
          <w:tcPr>
            <w:cnfStyle w:val="001000000000" w:firstRow="0" w:lastRow="0" w:firstColumn="1" w:lastColumn="0" w:oddVBand="0" w:evenVBand="0" w:oddHBand="0" w:evenHBand="0" w:firstRowFirstColumn="0" w:firstRowLastColumn="0" w:lastRowFirstColumn="0" w:lastRowLastColumn="0"/>
            <w:tcW w:w="0" w:type="dxa"/>
          </w:tcPr>
          <w:p w14:paraId="669C7E42" w14:textId="538413D3" w:rsidR="00BC742E" w:rsidRPr="002A497C" w:rsidRDefault="00BC742E" w:rsidP="00A04539">
            <w:pPr>
              <w:pStyle w:val="TableNormal0"/>
            </w:pPr>
            <w:r w:rsidRPr="002A497C">
              <w:lastRenderedPageBreak/>
              <w:t>RQ3</w:t>
            </w:r>
            <w:r w:rsidR="006869A1" w:rsidRPr="002A497C">
              <w:t>-13</w:t>
            </w:r>
            <w:r w:rsidRPr="002A497C">
              <w:t xml:space="preserve"> What is the impact of SMI/SED Demonstration services on preventable readmissions to acute psychiatric inpatient and residential facilities?</w:t>
            </w:r>
          </w:p>
        </w:tc>
        <w:tc>
          <w:tcPr>
            <w:tcW w:w="0" w:type="dxa"/>
          </w:tcPr>
          <w:p w14:paraId="71B49451" w14:textId="676E787D" w:rsidR="00BC742E" w:rsidRPr="002A497C"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A497C">
              <w:t>H3</w:t>
            </w:r>
            <w:r w:rsidR="006869A1" w:rsidRPr="002A497C">
              <w:t>-13</w:t>
            </w:r>
            <w:r w:rsidRPr="002A497C">
              <w:t>.1 A reduction in preventable readmissions to acute psychiatric services will be observed following the implementation of Demonstration services</w:t>
            </w:r>
            <w:r w:rsidR="00B940C6" w:rsidRPr="002A497C">
              <w:t>.</w:t>
            </w:r>
          </w:p>
        </w:tc>
        <w:tc>
          <w:tcPr>
            <w:tcW w:w="2070" w:type="dxa"/>
          </w:tcPr>
          <w:p w14:paraId="50035214" w14:textId="2A59C158" w:rsidR="00740C8F" w:rsidRPr="002A497C"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A497C">
              <w:t>MMIS claims/encounter data</w:t>
            </w:r>
            <w:r w:rsidR="00740C8F">
              <w:t xml:space="preserve"> </w:t>
            </w:r>
            <w:r w:rsidR="00E6280D" w:rsidRPr="00D33F43">
              <w:t>pre</w:t>
            </w:r>
            <w:r w:rsidR="00E6280D">
              <w:t>-</w:t>
            </w:r>
            <w:r w:rsidR="00740C8F" w:rsidRPr="00D33F43">
              <w:t>2018-2022, post</w:t>
            </w:r>
            <w:r w:rsidR="00E6280D">
              <w:t>-</w:t>
            </w:r>
            <w:r w:rsidR="00740C8F" w:rsidRPr="00D33F43">
              <w:t>2023-2027)</w:t>
            </w:r>
            <w:r w:rsidR="00740C8F" w:rsidRPr="002A497C">
              <w:t xml:space="preserve">; </w:t>
            </w:r>
          </w:p>
          <w:p w14:paraId="37AAC89C" w14:textId="2A70B34A" w:rsidR="00BC742E" w:rsidRPr="002A497C" w:rsidRDefault="00BC742E" w:rsidP="00A04539">
            <w:pPr>
              <w:pStyle w:val="TableNormal0"/>
              <w:cnfStyle w:val="000000100000" w:firstRow="0" w:lastRow="0" w:firstColumn="0" w:lastColumn="0" w:oddVBand="0" w:evenVBand="0" w:oddHBand="1" w:evenHBand="0" w:firstRowFirstColumn="0" w:firstRowLastColumn="0" w:lastRowFirstColumn="0" w:lastRowLastColumn="0"/>
            </w:pPr>
          </w:p>
        </w:tc>
        <w:tc>
          <w:tcPr>
            <w:tcW w:w="2974" w:type="dxa"/>
          </w:tcPr>
          <w:p w14:paraId="3A08CCFE" w14:textId="77777777" w:rsidR="00464B61"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A497C">
              <w:t>Adult and child members with SMI or SED diagnoses</w:t>
            </w:r>
          </w:p>
          <w:p w14:paraId="2DDED2C7" w14:textId="297C7691" w:rsidR="00BC742E" w:rsidRPr="002A497C" w:rsidRDefault="009B35B3" w:rsidP="00A04539">
            <w:pPr>
              <w:pStyle w:val="TableNormal0"/>
              <w:cnfStyle w:val="000000100000" w:firstRow="0" w:lastRow="0" w:firstColumn="0" w:lastColumn="0" w:oddVBand="0" w:evenVBand="0" w:oddHBand="1" w:evenHBand="0" w:firstRowFirstColumn="0" w:firstRowLastColumn="0" w:lastRowFirstColumn="0" w:lastRowLastColumn="0"/>
            </w:pPr>
            <w:r>
              <w:t>(</w:t>
            </w:r>
            <w:r w:rsidR="00F41485">
              <w:t>n</w:t>
            </w:r>
            <w:r>
              <w:t>=</w:t>
            </w:r>
            <w:r w:rsidR="00D61F21">
              <w:t>~</w:t>
            </w:r>
            <w:r w:rsidR="00F131FA">
              <w:t>9</w:t>
            </w:r>
            <w:r w:rsidR="00381E1C">
              <w:t>0</w:t>
            </w:r>
            <w:r w:rsidR="00464B61">
              <w:t>,000</w:t>
            </w:r>
            <w:r>
              <w:t>)</w:t>
            </w:r>
            <w:r w:rsidR="00BC742E" w:rsidRPr="002A497C">
              <w:t xml:space="preserve"> </w:t>
            </w:r>
          </w:p>
        </w:tc>
        <w:tc>
          <w:tcPr>
            <w:tcW w:w="0" w:type="dxa"/>
          </w:tcPr>
          <w:p w14:paraId="00093FB2" w14:textId="30DB58F4" w:rsidR="00BC742E" w:rsidRPr="002A497C"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A497C">
              <w:t xml:space="preserve">Plan </w:t>
            </w:r>
            <w:r w:rsidR="00E6280D">
              <w:t>a</w:t>
            </w:r>
            <w:r w:rsidR="00E6280D" w:rsidRPr="002A497C">
              <w:t>ll</w:t>
            </w:r>
            <w:r w:rsidRPr="002A497C">
              <w:t>-</w:t>
            </w:r>
            <w:r w:rsidR="00E6280D">
              <w:t>c</w:t>
            </w:r>
            <w:r w:rsidRPr="002A497C">
              <w:t xml:space="preserve">ause </w:t>
            </w:r>
            <w:r w:rsidR="00E6280D">
              <w:t>r</w:t>
            </w:r>
            <w:r w:rsidRPr="002A497C">
              <w:t xml:space="preserve">eadmissions for </w:t>
            </w:r>
            <w:r w:rsidR="00E6280D">
              <w:t>m</w:t>
            </w:r>
            <w:r w:rsidRPr="002A497C">
              <w:t>embers with a SUD/SMI/SED</w:t>
            </w:r>
          </w:p>
        </w:tc>
        <w:tc>
          <w:tcPr>
            <w:tcW w:w="0" w:type="dxa"/>
          </w:tcPr>
          <w:p w14:paraId="7DDD3593" w14:textId="69F059A3" w:rsidR="00BC742E" w:rsidRPr="002A497C"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A497C">
              <w:t xml:space="preserve">Descriptive </w:t>
            </w:r>
            <w:r w:rsidR="00E6280D">
              <w:t>s</w:t>
            </w:r>
            <w:r w:rsidR="00E6280D" w:rsidRPr="002A497C">
              <w:t>tatistics</w:t>
            </w:r>
            <w:r w:rsidRPr="002A497C">
              <w:t xml:space="preserve">;           </w:t>
            </w:r>
          </w:p>
          <w:p w14:paraId="573307A4" w14:textId="5BF0EC93" w:rsidR="00BC742E" w:rsidRPr="002A497C"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A497C">
              <w:t xml:space="preserve">Joint </w:t>
            </w:r>
            <w:r w:rsidR="00E6280D">
              <w:t>l</w:t>
            </w:r>
            <w:r w:rsidR="00E6280D" w:rsidRPr="002A497C">
              <w:t xml:space="preserve">ongitudinal </w:t>
            </w:r>
            <w:r w:rsidRPr="002A497C">
              <w:t xml:space="preserve">and </w:t>
            </w:r>
            <w:r w:rsidR="00E6280D">
              <w:t>s</w:t>
            </w:r>
            <w:r w:rsidRPr="002A497C">
              <w:t xml:space="preserve">urvival </w:t>
            </w:r>
            <w:r w:rsidR="00E6280D">
              <w:t>a</w:t>
            </w:r>
            <w:r w:rsidR="00E6280D" w:rsidRPr="002A497C">
              <w:t>nalysis</w:t>
            </w:r>
            <w:r w:rsidR="00E6280D">
              <w:t xml:space="preserve"> </w:t>
            </w:r>
            <w:r w:rsidRPr="002A497C">
              <w:t>-  ITS approa</w:t>
            </w:r>
            <w:r w:rsidR="00E6280D">
              <w:t>c</w:t>
            </w:r>
            <w:r w:rsidRPr="002A497C">
              <w:t>h - segmented regression</w:t>
            </w:r>
            <w:r w:rsidR="00B73208">
              <w:t xml:space="preserve"> </w:t>
            </w:r>
            <w:r w:rsidR="00B73208" w:rsidRPr="00BD7536">
              <w:t>(member)</w:t>
            </w:r>
          </w:p>
        </w:tc>
      </w:tr>
      <w:tr w:rsidR="0047158A" w:rsidRPr="002A497C" w14:paraId="300246FE" w14:textId="77777777" w:rsidTr="3383C28C">
        <w:trPr>
          <w:trHeight w:val="1099"/>
        </w:trPr>
        <w:tc>
          <w:tcPr>
            <w:cnfStyle w:val="001000000000" w:firstRow="0" w:lastRow="0" w:firstColumn="1" w:lastColumn="0" w:oddVBand="0" w:evenVBand="0" w:oddHBand="0" w:evenHBand="0" w:firstRowFirstColumn="0" w:firstRowLastColumn="0" w:lastRowFirstColumn="0" w:lastRowLastColumn="0"/>
            <w:tcW w:w="1790" w:type="dxa"/>
          </w:tcPr>
          <w:p w14:paraId="6319074A" w14:textId="0EC4156F" w:rsidR="00BC742E" w:rsidRPr="002A497C" w:rsidRDefault="00BC742E" w:rsidP="00A04539">
            <w:pPr>
              <w:pStyle w:val="TableNormal0"/>
              <w:rPr>
                <w:rFonts w:eastAsiaTheme="majorEastAsia"/>
              </w:rPr>
            </w:pPr>
            <w:r w:rsidRPr="002A497C">
              <w:rPr>
                <w:rFonts w:eastAsiaTheme="majorEastAsia"/>
              </w:rPr>
              <w:t>RQ</w:t>
            </w:r>
            <w:r w:rsidR="006869A1" w:rsidRPr="002A497C">
              <w:rPr>
                <w:rFonts w:eastAsiaTheme="majorEastAsia"/>
              </w:rPr>
              <w:t>3-1</w:t>
            </w:r>
            <w:r w:rsidRPr="002A497C">
              <w:rPr>
                <w:rFonts w:eastAsiaTheme="majorEastAsia"/>
              </w:rPr>
              <w:t>4</w:t>
            </w:r>
            <w:r w:rsidRPr="002A497C">
              <w:t xml:space="preserve"> What is the impact of SMI/SED Demonstration services on continuity of care post discharge from acute psychiatric inpatient and residential facilities?</w:t>
            </w:r>
          </w:p>
        </w:tc>
        <w:tc>
          <w:tcPr>
            <w:tcW w:w="1895" w:type="dxa"/>
          </w:tcPr>
          <w:p w14:paraId="5239945F" w14:textId="2C998C4F" w:rsidR="00BC742E" w:rsidRPr="002A497C"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A497C">
              <w:t>H</w:t>
            </w:r>
            <w:r w:rsidR="006709FF" w:rsidRPr="002A497C">
              <w:t>3-1</w:t>
            </w:r>
            <w:r w:rsidRPr="002A497C">
              <w:t>4.1 Timely transitions of care from acute psychiatric inpatient services to community-based services will be observed following the implementation of the Demonstration.</w:t>
            </w:r>
          </w:p>
          <w:p w14:paraId="05FDEF56" w14:textId="291BE0D3" w:rsidR="00BC742E" w:rsidRPr="002A497C"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A497C">
              <w:t>H</w:t>
            </w:r>
            <w:r w:rsidR="006709FF" w:rsidRPr="002A497C">
              <w:t>3-1</w:t>
            </w:r>
            <w:r w:rsidRPr="002A497C">
              <w:t>4.2 Improved information sharing post discharge will be observed following the Demonstration.</w:t>
            </w:r>
          </w:p>
        </w:tc>
        <w:tc>
          <w:tcPr>
            <w:tcW w:w="2070" w:type="dxa"/>
          </w:tcPr>
          <w:p w14:paraId="4F904358" w14:textId="10528193" w:rsidR="00740C8F" w:rsidRPr="002A497C"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A497C">
              <w:t>MMIS claims/encounter data</w:t>
            </w:r>
            <w:r w:rsidR="00740C8F">
              <w:t xml:space="preserve"> </w:t>
            </w:r>
            <w:r w:rsidR="0084211E" w:rsidRPr="00D33F43">
              <w:t>pre</w:t>
            </w:r>
            <w:r w:rsidR="0084211E">
              <w:t>-</w:t>
            </w:r>
            <w:r w:rsidR="00740C8F" w:rsidRPr="00D33F43">
              <w:t xml:space="preserve">2018-2022, </w:t>
            </w:r>
            <w:r w:rsidR="0084211E" w:rsidRPr="00D33F43">
              <w:t>post</w:t>
            </w:r>
            <w:r w:rsidR="0084211E">
              <w:t>-</w:t>
            </w:r>
            <w:r w:rsidR="00740C8F" w:rsidRPr="00D33F43">
              <w:t>2023-2027)</w:t>
            </w:r>
            <w:r w:rsidR="00740C8F" w:rsidRPr="002A497C">
              <w:t xml:space="preserve">; </w:t>
            </w:r>
          </w:p>
          <w:p w14:paraId="79D35C27" w14:textId="6C747988" w:rsidR="00BC742E" w:rsidRPr="002A497C" w:rsidRDefault="00BC742E" w:rsidP="00A04539">
            <w:pPr>
              <w:pStyle w:val="TableNormal0"/>
              <w:cnfStyle w:val="000000000000" w:firstRow="0" w:lastRow="0" w:firstColumn="0" w:lastColumn="0" w:oddVBand="0" w:evenVBand="0" w:oddHBand="0" w:evenHBand="0" w:firstRowFirstColumn="0" w:firstRowLastColumn="0" w:lastRowFirstColumn="0" w:lastRowLastColumn="0"/>
            </w:pPr>
          </w:p>
          <w:p w14:paraId="3C8340ED" w14:textId="3E5373F7" w:rsidR="00BC742E" w:rsidRPr="002A497C"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A497C">
              <w:t>Member interviews;</w:t>
            </w:r>
            <w:r w:rsidR="00713C09">
              <w:t xml:space="preserve"> </w:t>
            </w:r>
            <w:r w:rsidR="00713C09" w:rsidRPr="00D33F43">
              <w:t>(2024-2025; 2026-2027)</w:t>
            </w:r>
          </w:p>
          <w:p w14:paraId="125E8836" w14:textId="41AB47E0" w:rsidR="00BC742E" w:rsidRPr="002A497C"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A497C">
              <w:t>Member Survey</w:t>
            </w:r>
            <w:r w:rsidR="00BD4F5D">
              <w:t xml:space="preserve"> (</w:t>
            </w:r>
            <w:r w:rsidR="00BD4F5D" w:rsidRPr="00BD7536">
              <w:t>2024-2027)</w:t>
            </w:r>
          </w:p>
        </w:tc>
        <w:tc>
          <w:tcPr>
            <w:tcW w:w="2974" w:type="dxa"/>
          </w:tcPr>
          <w:p w14:paraId="301C80C2" w14:textId="7FEB2E8F" w:rsidR="00BC742E" w:rsidRDefault="00DA3289" w:rsidP="00A04539">
            <w:pPr>
              <w:pStyle w:val="TableNormal0"/>
              <w:cnfStyle w:val="000000000000" w:firstRow="0" w:lastRow="0" w:firstColumn="0" w:lastColumn="0" w:oddVBand="0" w:evenVBand="0" w:oddHBand="0" w:evenHBand="0" w:firstRowFirstColumn="0" w:firstRowLastColumn="0" w:lastRowFirstColumn="0" w:lastRowLastColumn="0"/>
            </w:pPr>
            <w:r>
              <w:t>Quantitative</w:t>
            </w:r>
            <w:r w:rsidR="005E43DB">
              <w:t xml:space="preserve">: </w:t>
            </w:r>
            <w:r w:rsidR="00BC742E" w:rsidRPr="002A497C">
              <w:t xml:space="preserve">Adult and child members with SMI or SED diagnoses </w:t>
            </w:r>
          </w:p>
          <w:p w14:paraId="7C4F2CFA" w14:textId="4DC584B1" w:rsidR="00A535A2" w:rsidRDefault="009B35B3" w:rsidP="00A04539">
            <w:pPr>
              <w:pStyle w:val="TableNormal0"/>
              <w:cnfStyle w:val="000000000000" w:firstRow="0" w:lastRow="0" w:firstColumn="0" w:lastColumn="0" w:oddVBand="0" w:evenVBand="0" w:oddHBand="0" w:evenHBand="0" w:firstRowFirstColumn="0" w:firstRowLastColumn="0" w:lastRowFirstColumn="0" w:lastRowLastColumn="0"/>
            </w:pPr>
            <w:r>
              <w:t>(</w:t>
            </w:r>
            <w:r w:rsidR="00F41485">
              <w:t>n</w:t>
            </w:r>
            <w:r>
              <w:t>=</w:t>
            </w:r>
            <w:r w:rsidR="00D61F21">
              <w:t>~</w:t>
            </w:r>
            <w:r w:rsidR="00F131FA">
              <w:t>9</w:t>
            </w:r>
            <w:r w:rsidR="00F92F0F">
              <w:t>0</w:t>
            </w:r>
            <w:r w:rsidR="00DA3289">
              <w:t>,000</w:t>
            </w:r>
            <w:r>
              <w:t>)</w:t>
            </w:r>
          </w:p>
          <w:p w14:paraId="2651F19B" w14:textId="2E60ACEC" w:rsidR="005E43DB" w:rsidRPr="005E43DB" w:rsidRDefault="005E43DB" w:rsidP="00A04539">
            <w:pPr>
              <w:pStyle w:val="TableNormal0"/>
              <w:cnfStyle w:val="000000000000" w:firstRow="0" w:lastRow="0" w:firstColumn="0" w:lastColumn="0" w:oddVBand="0" w:evenVBand="0" w:oddHBand="0" w:evenHBand="0" w:firstRowFirstColumn="0" w:firstRowLastColumn="0" w:lastRowFirstColumn="0" w:lastRowLastColumn="0"/>
            </w:pPr>
            <w:r w:rsidRPr="005E43DB">
              <w:t>Qualitative:</w:t>
            </w:r>
          </w:p>
          <w:p w14:paraId="30AE7D42" w14:textId="2D9C0C99" w:rsidR="005E43DB" w:rsidRPr="005E43DB" w:rsidRDefault="005E43DB" w:rsidP="00A04539">
            <w:pPr>
              <w:pStyle w:val="TableNormal0"/>
              <w:cnfStyle w:val="000000000000" w:firstRow="0" w:lastRow="0" w:firstColumn="0" w:lastColumn="0" w:oddVBand="0" w:evenVBand="0" w:oddHBand="0" w:evenHBand="0" w:firstRowFirstColumn="0" w:firstRowLastColumn="0" w:lastRowFirstColumn="0" w:lastRowLastColumn="0"/>
            </w:pPr>
            <w:r>
              <w:t>providers (n</w:t>
            </w:r>
            <w:r w:rsidR="00B442EB">
              <w:t xml:space="preserve"> ≤ </w:t>
            </w:r>
            <w:r>
              <w:t>60)</w:t>
            </w:r>
          </w:p>
          <w:p w14:paraId="26FC9E66" w14:textId="3DF3C452" w:rsidR="00464B61" w:rsidRDefault="005E43DB" w:rsidP="00A04539">
            <w:pPr>
              <w:pStyle w:val="TableNormal0"/>
              <w:cnfStyle w:val="000000000000" w:firstRow="0" w:lastRow="0" w:firstColumn="0" w:lastColumn="0" w:oddVBand="0" w:evenVBand="0" w:oddHBand="0" w:evenHBand="0" w:firstRowFirstColumn="0" w:firstRowLastColumn="0" w:lastRowFirstColumn="0" w:lastRowLastColumn="0"/>
            </w:pPr>
            <w:r>
              <w:t>members (n</w:t>
            </w:r>
            <w:r w:rsidR="00B442EB">
              <w:t xml:space="preserve"> ≤ </w:t>
            </w:r>
            <w:r>
              <w:t>30)</w:t>
            </w:r>
          </w:p>
          <w:p w14:paraId="3B3CBD6A" w14:textId="77777777" w:rsidR="00252CE3" w:rsidRDefault="00252CE3" w:rsidP="00A04539">
            <w:pPr>
              <w:pStyle w:val="TableNormal0"/>
              <w:cnfStyle w:val="000000000000" w:firstRow="0" w:lastRow="0" w:firstColumn="0" w:lastColumn="0" w:oddVBand="0" w:evenVBand="0" w:oddHBand="0" w:evenHBand="0" w:firstRowFirstColumn="0" w:firstRowLastColumn="0" w:lastRowFirstColumn="0" w:lastRowLastColumn="0"/>
            </w:pPr>
          </w:p>
          <w:p w14:paraId="119E3056" w14:textId="066C7883" w:rsidR="00252CE3" w:rsidRDefault="00252CE3" w:rsidP="00A04539">
            <w:pPr>
              <w:pStyle w:val="TableNormal0"/>
              <w:cnfStyle w:val="000000000000" w:firstRow="0" w:lastRow="0" w:firstColumn="0" w:lastColumn="0" w:oddVBand="0" w:evenVBand="0" w:oddHBand="0" w:evenHBand="0" w:firstRowFirstColumn="0" w:firstRowLastColumn="0" w:lastRowFirstColumn="0" w:lastRowLastColumn="0"/>
            </w:pPr>
            <w:r>
              <w:t>Survey:</w:t>
            </w:r>
          </w:p>
          <w:p w14:paraId="31F7F046" w14:textId="4BBF632B" w:rsidR="00BC742E" w:rsidRDefault="009B35B3" w:rsidP="00A04539">
            <w:pPr>
              <w:pStyle w:val="TableNormal0"/>
              <w:cnfStyle w:val="000000000000" w:firstRow="0" w:lastRow="0" w:firstColumn="0" w:lastColumn="0" w:oddVBand="0" w:evenVBand="0" w:oddHBand="0" w:evenHBand="0" w:firstRowFirstColumn="0" w:firstRowLastColumn="0" w:lastRowFirstColumn="0" w:lastRowLastColumn="0"/>
            </w:pPr>
            <w:r>
              <w:t>(</w:t>
            </w:r>
            <w:r w:rsidR="006F5AB1">
              <w:t>n</w:t>
            </w:r>
            <w:r>
              <w:t>=</w:t>
            </w:r>
            <w:r w:rsidR="00D61F21">
              <w:t>~</w:t>
            </w:r>
            <w:r w:rsidR="006F5AB1">
              <w:t>9</w:t>
            </w:r>
            <w:r w:rsidR="00F06118">
              <w:t>,</w:t>
            </w:r>
            <w:r w:rsidR="006F5AB1">
              <w:t>800 child</w:t>
            </w:r>
            <w:r>
              <w:t>ren</w:t>
            </w:r>
            <w:r w:rsidR="00D33F43">
              <w:t>)</w:t>
            </w:r>
          </w:p>
          <w:p w14:paraId="4F9C375D" w14:textId="0EFAF8F9" w:rsidR="00BC742E" w:rsidRPr="002A497C" w:rsidRDefault="009B35B3" w:rsidP="00A04539">
            <w:pPr>
              <w:pStyle w:val="TableNormal0"/>
              <w:cnfStyle w:val="000000000000" w:firstRow="0" w:lastRow="0" w:firstColumn="0" w:lastColumn="0" w:oddVBand="0" w:evenVBand="0" w:oddHBand="0" w:evenHBand="0" w:firstRowFirstColumn="0" w:firstRowLastColumn="0" w:lastRowFirstColumn="0" w:lastRowLastColumn="0"/>
            </w:pPr>
            <w:r>
              <w:t>(</w:t>
            </w:r>
            <w:r w:rsidR="006F5AB1">
              <w:t>n</w:t>
            </w:r>
            <w:r>
              <w:t>=</w:t>
            </w:r>
            <w:r w:rsidR="00D61F21">
              <w:t>~</w:t>
            </w:r>
            <w:r w:rsidR="006A6D69">
              <w:t>2</w:t>
            </w:r>
            <w:r w:rsidR="00F92F0F">
              <w:t>0,000 adult</w:t>
            </w:r>
            <w:r w:rsidR="006A6D69">
              <w:t>s</w:t>
            </w:r>
            <w:r>
              <w:t>)</w:t>
            </w:r>
          </w:p>
        </w:tc>
        <w:tc>
          <w:tcPr>
            <w:tcW w:w="2434" w:type="dxa"/>
          </w:tcPr>
          <w:p w14:paraId="3704CA05" w14:textId="2E708427" w:rsidR="00BC742E" w:rsidRPr="002A497C"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A497C">
              <w:t>Follow-</w:t>
            </w:r>
            <w:r w:rsidR="00033E4A" w:rsidRPr="002A497C">
              <w:t>up</w:t>
            </w:r>
            <w:r w:rsidRPr="002A497C">
              <w:t xml:space="preserve"> </w:t>
            </w:r>
            <w:r w:rsidR="0084211E">
              <w:t>a</w:t>
            </w:r>
            <w:r w:rsidR="0084211E" w:rsidRPr="002A497C">
              <w:t xml:space="preserve">fter </w:t>
            </w:r>
            <w:r w:rsidR="0084211E">
              <w:t>h</w:t>
            </w:r>
            <w:r w:rsidR="0084211E" w:rsidRPr="002A497C">
              <w:t xml:space="preserve">ospitalization </w:t>
            </w:r>
            <w:r w:rsidRPr="002A497C">
              <w:t xml:space="preserve">for </w:t>
            </w:r>
            <w:r w:rsidR="0084211E">
              <w:t>m</w:t>
            </w:r>
            <w:r w:rsidR="0084211E" w:rsidRPr="002A497C">
              <w:t xml:space="preserve">ental </w:t>
            </w:r>
            <w:r w:rsidR="0084211E">
              <w:t>i</w:t>
            </w:r>
            <w:r w:rsidRPr="002A497C">
              <w:t>llness</w:t>
            </w:r>
            <w:r w:rsidR="00033E4A" w:rsidRPr="002A497C">
              <w:t>:</w:t>
            </w:r>
            <w:r w:rsidRPr="002A497C">
              <w:t xml:space="preserve"> (6-17, 18-64); </w:t>
            </w:r>
          </w:p>
          <w:p w14:paraId="45DE5606" w14:textId="77777777" w:rsidR="00BC742E" w:rsidRPr="002A497C"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A497C">
              <w:t>Number of beneficiaries in the Demonstration population who used any services related to mental health during the measurement period</w:t>
            </w:r>
            <w:r w:rsidR="00241474" w:rsidRPr="002A497C">
              <w:t>;</w:t>
            </w:r>
          </w:p>
          <w:p w14:paraId="4DC6F67C" w14:textId="6A3D2F7F" w:rsidR="00BC742E" w:rsidRPr="002A497C" w:rsidRDefault="00241474" w:rsidP="00A04539">
            <w:pPr>
              <w:pStyle w:val="TableNormal0"/>
              <w:cnfStyle w:val="000000000000" w:firstRow="0" w:lastRow="0" w:firstColumn="0" w:lastColumn="0" w:oddVBand="0" w:evenVBand="0" w:oddHBand="0" w:evenHBand="0" w:firstRowFirstColumn="0" w:firstRowLastColumn="0" w:lastRowFirstColumn="0" w:lastRowLastColumn="0"/>
            </w:pPr>
            <w:r w:rsidRPr="002A497C">
              <w:t xml:space="preserve">Member </w:t>
            </w:r>
            <w:r w:rsidR="008C3D5E" w:rsidRPr="002A497C">
              <w:t>report of continuity of care post discharge</w:t>
            </w:r>
          </w:p>
        </w:tc>
        <w:tc>
          <w:tcPr>
            <w:tcW w:w="2363" w:type="dxa"/>
          </w:tcPr>
          <w:p w14:paraId="64EAD6A0" w14:textId="6BCBED5D" w:rsidR="00BC742E" w:rsidRPr="002A497C"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A497C">
              <w:t>Descriptive</w:t>
            </w:r>
            <w:r w:rsidR="00D722F7">
              <w:t xml:space="preserve"> (</w:t>
            </w:r>
            <w:r w:rsidR="00D722F7" w:rsidRPr="00BD7536">
              <w:t>member</w:t>
            </w:r>
            <w:r w:rsidR="00D722F7">
              <w:t>)</w:t>
            </w:r>
            <w:r w:rsidRPr="002A497C">
              <w:t>;</w:t>
            </w:r>
          </w:p>
          <w:p w14:paraId="2038A154" w14:textId="791DBD26" w:rsidR="00BC742E" w:rsidRPr="002A497C"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A497C">
              <w:t>ITS</w:t>
            </w:r>
            <w:r w:rsidR="00D722F7">
              <w:t xml:space="preserve"> (</w:t>
            </w:r>
            <w:r w:rsidR="00D722F7" w:rsidRPr="00BD7536">
              <w:t>member</w:t>
            </w:r>
            <w:r w:rsidR="00D722F7">
              <w:t>)</w:t>
            </w:r>
            <w:r w:rsidRPr="002A497C">
              <w:t>;</w:t>
            </w:r>
          </w:p>
          <w:p w14:paraId="3791C7E4" w14:textId="77777777" w:rsidR="00BC742E" w:rsidRPr="002A497C"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A497C">
              <w:t>Thematic analysis</w:t>
            </w:r>
          </w:p>
          <w:p w14:paraId="6EAE4E64" w14:textId="77777777" w:rsidR="00BC742E" w:rsidRPr="002A497C" w:rsidRDefault="00BC742E" w:rsidP="00A04539">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p>
        </w:tc>
      </w:tr>
      <w:tr w:rsidR="0047158A" w:rsidRPr="002A497C" w14:paraId="4D7EF467" w14:textId="77777777" w:rsidTr="3383C28C">
        <w:trPr>
          <w:cnfStyle w:val="000000100000" w:firstRow="0" w:lastRow="0" w:firstColumn="0" w:lastColumn="0" w:oddVBand="0" w:evenVBand="0" w:oddHBand="1" w:evenHBand="0"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0" w:type="dxa"/>
          </w:tcPr>
          <w:p w14:paraId="626A5111" w14:textId="5B8ACB63" w:rsidR="00BC742E" w:rsidRPr="002A497C" w:rsidRDefault="00BC742E" w:rsidP="00A04539">
            <w:pPr>
              <w:pStyle w:val="TableNormal0"/>
            </w:pPr>
            <w:r w:rsidRPr="002A497C">
              <w:t>RQ</w:t>
            </w:r>
            <w:r w:rsidR="006709FF" w:rsidRPr="002A497C">
              <w:t>3-1</w:t>
            </w:r>
            <w:r w:rsidRPr="002A497C">
              <w:t>5 What is the impact of SMI/SED Demonstration services on the overall cost of care for members with a BH diagnosis?</w:t>
            </w:r>
          </w:p>
        </w:tc>
        <w:tc>
          <w:tcPr>
            <w:tcW w:w="0" w:type="dxa"/>
          </w:tcPr>
          <w:p w14:paraId="23B4EE5E" w14:textId="1AD27986" w:rsidR="00BC742E" w:rsidRPr="002A497C" w:rsidRDefault="006709FF" w:rsidP="00A04539">
            <w:pPr>
              <w:pStyle w:val="TableNormal0"/>
              <w:cnfStyle w:val="000000100000" w:firstRow="0" w:lastRow="0" w:firstColumn="0" w:lastColumn="0" w:oddVBand="0" w:evenVBand="0" w:oddHBand="1" w:evenHBand="0" w:firstRowFirstColumn="0" w:firstRowLastColumn="0" w:lastRowFirstColumn="0" w:lastRowLastColumn="0"/>
            </w:pPr>
            <w:r w:rsidRPr="002A497C">
              <w:t>H3-1</w:t>
            </w:r>
            <w:r w:rsidR="00BC742E" w:rsidRPr="002A497C">
              <w:t>5.1 Costs for SMI/SED services will be observed to be stable following the Demonstration.</w:t>
            </w:r>
          </w:p>
        </w:tc>
        <w:tc>
          <w:tcPr>
            <w:tcW w:w="2070" w:type="dxa"/>
          </w:tcPr>
          <w:p w14:paraId="1EA93729" w14:textId="3E24FCB2" w:rsidR="00C321FD" w:rsidRPr="002A497C"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A497C">
              <w:t>MMIS claims/encounter data</w:t>
            </w:r>
            <w:r w:rsidR="00C321FD">
              <w:t xml:space="preserve"> </w:t>
            </w:r>
            <w:r w:rsidR="0068201F" w:rsidRPr="00D33F43">
              <w:t>pre</w:t>
            </w:r>
            <w:r w:rsidR="0068201F">
              <w:t>-</w:t>
            </w:r>
            <w:r w:rsidR="00C321FD" w:rsidRPr="00D33F43">
              <w:t>2018-2022, post</w:t>
            </w:r>
            <w:r w:rsidR="0068201F">
              <w:t>-</w:t>
            </w:r>
            <w:r w:rsidR="00C321FD" w:rsidRPr="00D33F43">
              <w:t>2023-2027)</w:t>
            </w:r>
            <w:r w:rsidR="00C321FD" w:rsidRPr="002A497C">
              <w:t xml:space="preserve">; </w:t>
            </w:r>
          </w:p>
          <w:p w14:paraId="6F2942EB" w14:textId="5CB5DE3C" w:rsidR="00BC742E" w:rsidRPr="002A497C" w:rsidRDefault="00BC742E" w:rsidP="00A04539">
            <w:pPr>
              <w:pStyle w:val="TableNormal0"/>
              <w:cnfStyle w:val="000000100000" w:firstRow="0" w:lastRow="0" w:firstColumn="0" w:lastColumn="0" w:oddVBand="0" w:evenVBand="0" w:oddHBand="1" w:evenHBand="0" w:firstRowFirstColumn="0" w:firstRowLastColumn="0" w:lastRowFirstColumn="0" w:lastRowLastColumn="0"/>
            </w:pPr>
          </w:p>
        </w:tc>
        <w:tc>
          <w:tcPr>
            <w:tcW w:w="2974" w:type="dxa"/>
          </w:tcPr>
          <w:p w14:paraId="1CF9291C" w14:textId="36614B5C" w:rsidR="00BC742E" w:rsidRPr="002A497C"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A497C">
              <w:t xml:space="preserve">Adult and child members with SMI or SED diagnoses </w:t>
            </w:r>
            <w:r w:rsidR="00D61F21">
              <w:t>(</w:t>
            </w:r>
            <w:r w:rsidR="00F41485">
              <w:t>n</w:t>
            </w:r>
            <w:r w:rsidR="00D61F21">
              <w:t>=</w:t>
            </w:r>
            <w:r w:rsidR="00DA3289">
              <w:t>~</w:t>
            </w:r>
            <w:r w:rsidR="00F131FA">
              <w:t>9</w:t>
            </w:r>
            <w:r w:rsidR="00F92F0F">
              <w:t>0</w:t>
            </w:r>
            <w:r w:rsidR="00DA3289">
              <w:t>,000</w:t>
            </w:r>
            <w:r w:rsidR="00D61F21">
              <w:t>)</w:t>
            </w:r>
          </w:p>
        </w:tc>
        <w:tc>
          <w:tcPr>
            <w:tcW w:w="0" w:type="dxa"/>
          </w:tcPr>
          <w:p w14:paraId="1DAAD4D7" w14:textId="655C0C3A" w:rsidR="00BC742E" w:rsidRPr="002A497C"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A497C">
              <w:t>TCOC (</w:t>
            </w:r>
            <w:r w:rsidR="0068201F">
              <w:t>a</w:t>
            </w:r>
            <w:r w:rsidR="0068201F" w:rsidRPr="002A497C">
              <w:t xml:space="preserve">ll </w:t>
            </w:r>
            <w:r w:rsidR="0068201F">
              <w:t>c</w:t>
            </w:r>
            <w:r w:rsidR="0068201F" w:rsidRPr="002A497C">
              <w:t xml:space="preserve">overed </w:t>
            </w:r>
            <w:r w:rsidR="0068201F">
              <w:t>s</w:t>
            </w:r>
            <w:r w:rsidR="0068201F" w:rsidRPr="002A497C">
              <w:t>ervices</w:t>
            </w:r>
            <w:r w:rsidRPr="002A497C">
              <w:t>);</w:t>
            </w:r>
          </w:p>
          <w:p w14:paraId="3DB40264" w14:textId="25BC867F" w:rsidR="00BC742E" w:rsidRPr="002A497C"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A497C">
              <w:t xml:space="preserve">Expenditures by </w:t>
            </w:r>
            <w:r w:rsidR="002A70F4">
              <w:t>s</w:t>
            </w:r>
            <w:r w:rsidRPr="002A497C">
              <w:t xml:space="preserve">ervice </w:t>
            </w:r>
            <w:r w:rsidR="002A70F4">
              <w:t>c</w:t>
            </w:r>
            <w:r w:rsidRPr="002A497C">
              <w:t>ategory for individuals with any SUD-related diagnosis or OUDSMI/SED diagnosis;</w:t>
            </w:r>
          </w:p>
          <w:p w14:paraId="3DCC7857" w14:textId="77777777" w:rsidR="00BC742E" w:rsidRPr="002A497C"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A497C">
              <w:t xml:space="preserve">Inpatient psychiatric IMD inpatient or IMD residential </w:t>
            </w:r>
          </w:p>
        </w:tc>
        <w:tc>
          <w:tcPr>
            <w:tcW w:w="0" w:type="dxa"/>
          </w:tcPr>
          <w:p w14:paraId="68317C6B" w14:textId="547E9B22" w:rsidR="00BC742E" w:rsidRPr="002A497C"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A497C">
              <w:t xml:space="preserve">ITS </w:t>
            </w:r>
            <w:r w:rsidR="0068201F">
              <w:t>c</w:t>
            </w:r>
            <w:r w:rsidR="0068201F" w:rsidRPr="002A497C">
              <w:t xml:space="preserve">ost </w:t>
            </w:r>
            <w:r w:rsidR="0068201F">
              <w:t>a</w:t>
            </w:r>
            <w:r w:rsidR="0068201F" w:rsidRPr="002A497C">
              <w:t>nalysis</w:t>
            </w:r>
            <w:r w:rsidR="0068201F">
              <w:t xml:space="preserve"> </w:t>
            </w:r>
            <w:r w:rsidR="007B1BD0">
              <w:t>(</w:t>
            </w:r>
            <w:r w:rsidR="00F25C08" w:rsidRPr="00D33F43">
              <w:t>member</w:t>
            </w:r>
            <w:r w:rsidR="004B7CF1" w:rsidRPr="00BD7536">
              <w:t>/type of care</w:t>
            </w:r>
            <w:r w:rsidR="007B1BD0">
              <w:t>)</w:t>
            </w:r>
          </w:p>
        </w:tc>
      </w:tr>
    </w:tbl>
    <w:p w14:paraId="1A7303F6" w14:textId="0B5D77E0" w:rsidR="00BC742E" w:rsidRPr="00B442EB" w:rsidRDefault="00BC742E" w:rsidP="00A04539">
      <w:pPr>
        <w:pStyle w:val="TableorFigurefootnote"/>
        <w:numPr>
          <w:ilvl w:val="0"/>
          <w:numId w:val="181"/>
        </w:numPr>
        <w:ind w:left="180" w:hanging="180"/>
      </w:pPr>
      <w:bookmarkStart w:id="127" w:name="_Hlk130201763"/>
      <w:r w:rsidRPr="00B442EB">
        <w:t>Research questions developed in response to STCs sections 5.1.1, 7.2.c.i.6, 7.2.c.ii, 17.6, 17.6b</w:t>
      </w:r>
      <w:r w:rsidR="004B3FAB" w:rsidRPr="004B3FAB">
        <w:t xml:space="preserve">; </w:t>
      </w:r>
      <w:hyperlink r:id="rId26" w:history="1">
        <w:r w:rsidR="004B3FAB" w:rsidRPr="004B3FAB">
          <w:rPr>
            <w:rStyle w:val="Hyperlink"/>
          </w:rPr>
          <w:t>1115 MassHealth Demonstration ("Waiver") | Mass.gov</w:t>
        </w:r>
      </w:hyperlink>
    </w:p>
    <w:p w14:paraId="496BC776" w14:textId="3BFF877C" w:rsidR="00BC742E" w:rsidRPr="00B442EB" w:rsidRDefault="00BC742E" w:rsidP="00A04539">
      <w:pPr>
        <w:pStyle w:val="TableorFigurefootnote"/>
        <w:numPr>
          <w:ilvl w:val="0"/>
          <w:numId w:val="181"/>
        </w:numPr>
        <w:ind w:left="180" w:hanging="180"/>
      </w:pPr>
      <w:r w:rsidRPr="00B442EB">
        <w:t>Data Sources are described in section 4.</w:t>
      </w:r>
      <w:r w:rsidR="00612DEA">
        <w:t>4.2</w:t>
      </w:r>
      <w:r w:rsidR="007A0A9F">
        <w:t xml:space="preserve"> </w:t>
      </w:r>
      <w:r w:rsidRPr="00B442EB">
        <w:t xml:space="preserve">“Data Sources and CollectionMethods,” and section 1.4.1, “Summary of Data Sources.” </w:t>
      </w:r>
    </w:p>
    <w:p w14:paraId="30805B54" w14:textId="54FD74F1" w:rsidR="00BC742E" w:rsidRPr="00B442EB" w:rsidRDefault="00BC742E" w:rsidP="00A04539">
      <w:pPr>
        <w:pStyle w:val="TableorFigurefootnote"/>
        <w:numPr>
          <w:ilvl w:val="0"/>
          <w:numId w:val="181"/>
        </w:numPr>
        <w:ind w:left="180" w:hanging="180"/>
      </w:pPr>
      <w:r w:rsidRPr="00B442EB">
        <w:t>Analysis methods are described in section 4.</w:t>
      </w:r>
      <w:r w:rsidR="007A0A9F">
        <w:t>4</w:t>
      </w:r>
      <w:r w:rsidRPr="00B442EB">
        <w:t>.4, “Analysis Methods.”</w:t>
      </w:r>
      <w:bookmarkEnd w:id="127"/>
    </w:p>
    <w:p w14:paraId="473C7863" w14:textId="77777777" w:rsidR="00BC742E" w:rsidRPr="0009132C" w:rsidRDefault="00BC742E" w:rsidP="00BC742E">
      <w:pPr>
        <w:rPr>
          <w:rFonts w:eastAsia="Arial"/>
        </w:rPr>
        <w:sectPr w:rsidR="00BC742E" w:rsidRPr="0009132C" w:rsidSect="00744E1B">
          <w:pgSz w:w="15840" w:h="12240" w:orient="landscape"/>
          <w:pgMar w:top="1152" w:right="1152" w:bottom="1152" w:left="1152" w:header="720" w:footer="720" w:gutter="0"/>
          <w:cols w:space="720"/>
          <w:docGrid w:linePitch="360"/>
        </w:sectPr>
      </w:pPr>
    </w:p>
    <w:p w14:paraId="75E343C1" w14:textId="54C615C2" w:rsidR="00BC742E" w:rsidRPr="0009132C" w:rsidRDefault="002B0A93" w:rsidP="008F12E9">
      <w:pPr>
        <w:pStyle w:val="Heading2"/>
      </w:pPr>
      <w:bookmarkStart w:id="128" w:name="_Data_and_Methods_3"/>
      <w:bookmarkStart w:id="129" w:name="_Toc130209715"/>
      <w:bookmarkEnd w:id="128"/>
      <w:r>
        <w:lastRenderedPageBreak/>
        <w:t xml:space="preserve"> </w:t>
      </w:r>
      <w:bookmarkStart w:id="130" w:name="_Toc151976426"/>
      <w:r w:rsidR="00BC742E" w:rsidRPr="0009132C">
        <w:t>Data and Methods</w:t>
      </w:r>
      <w:bookmarkEnd w:id="129"/>
      <w:bookmarkEnd w:id="130"/>
    </w:p>
    <w:p w14:paraId="2AAB427E" w14:textId="3DDB8736" w:rsidR="00BC742E" w:rsidRPr="0009132C" w:rsidRDefault="00BC742E" w:rsidP="008F12E9">
      <w:bookmarkStart w:id="131" w:name="_Hlk125619111"/>
      <w:r w:rsidRPr="0009132C">
        <w:t>The impact of the Demonstration can</w:t>
      </w:r>
      <w:r w:rsidR="00382A26" w:rsidRPr="0009132C">
        <w:t>not</w:t>
      </w:r>
      <w:r w:rsidRPr="0009132C">
        <w:t xml:space="preserve"> be fully separated from the Commonwealth’s other efforts addressing </w:t>
      </w:r>
      <w:r w:rsidR="00A643BF">
        <w:t>BH</w:t>
      </w:r>
      <w:r w:rsidRPr="0009132C">
        <w:t xml:space="preserve"> challenges, including the BH </w:t>
      </w:r>
      <w:r w:rsidR="003762AA">
        <w:t>R</w:t>
      </w:r>
      <w:r w:rsidRPr="0009132C">
        <w:t>oadmap initiatives, such as Community Behavioral Health Center</w:t>
      </w:r>
      <w:r w:rsidR="598024BF" w:rsidRPr="0009132C">
        <w:t>s</w:t>
      </w:r>
      <w:r w:rsidRPr="0009132C">
        <w:t xml:space="preserve"> (CBHC) and the BH Helpline</w:t>
      </w:r>
      <w:bookmarkEnd w:id="131"/>
      <w:r w:rsidRPr="0009132C">
        <w:t>,</w:t>
      </w:r>
      <w:r w:rsidR="00254CF7" w:rsidRPr="0009132C">
        <w:t xml:space="preserve"> a 24-</w:t>
      </w:r>
      <w:r w:rsidR="002C5E4D" w:rsidRPr="0009132C">
        <w:t>hour central access and resource service</w:t>
      </w:r>
      <w:r w:rsidR="001D029B" w:rsidRPr="0009132C">
        <w:t xml:space="preserve"> available via</w:t>
      </w:r>
      <w:r w:rsidR="00507186" w:rsidRPr="0009132C">
        <w:t xml:space="preserve"> phone or text</w:t>
      </w:r>
      <w:r w:rsidR="00947318" w:rsidRPr="0009132C">
        <w:t>,</w:t>
      </w:r>
      <w:r w:rsidRPr="0009132C">
        <w:t xml:space="preserve"> which opened in January 2023, amongst others. Our evaluation will assess the impact of BH Demonstration services on outcomes and costs within the context of other system changes implemented as part of the BH Roadmap. Secondary data from the BH Helpline and BH Roadmap evaluation can be used to provide further context for Demonstration findings. </w:t>
      </w:r>
    </w:p>
    <w:p w14:paraId="0722AD86" w14:textId="1D5CB87F" w:rsidR="00BC742E" w:rsidRPr="0009132C" w:rsidRDefault="00BC742E" w:rsidP="00EE4105">
      <w:pPr>
        <w:pStyle w:val="Heading3"/>
      </w:pPr>
      <w:r w:rsidRPr="0009132C">
        <w:t xml:space="preserve">Study Population </w:t>
      </w:r>
      <w:r w:rsidR="00253D33" w:rsidRPr="0009132C">
        <w:t xml:space="preserve"> </w:t>
      </w:r>
    </w:p>
    <w:p w14:paraId="5867A7AC" w14:textId="77777777" w:rsidR="00BC742E" w:rsidRPr="0009132C" w:rsidRDefault="00BC742E" w:rsidP="00301DAB">
      <w:pPr>
        <w:pStyle w:val="Heading4"/>
      </w:pPr>
      <w:r w:rsidRPr="0009132C">
        <w:t>Study Population</w:t>
      </w:r>
    </w:p>
    <w:p w14:paraId="1B9861F4" w14:textId="3C2EE567" w:rsidR="00BC742E" w:rsidRPr="0009132C" w:rsidRDefault="00BC742E" w:rsidP="008F12E9">
      <w:r w:rsidRPr="0009132C">
        <w:t xml:space="preserve">The study population will consist of MassHealth members (excluding MassHealth Limited members and dual-eligibles) with SMI/SED (See </w:t>
      </w:r>
      <w:hyperlink w:anchor="Appendix_C" w:history="1">
        <w:r w:rsidRPr="001647A4">
          <w:rPr>
            <w:rStyle w:val="Hyperlink"/>
          </w:rPr>
          <w:t xml:space="preserve">Appendix </w:t>
        </w:r>
        <w:r w:rsidR="00614FFB" w:rsidRPr="001647A4">
          <w:rPr>
            <w:rStyle w:val="Hyperlink"/>
          </w:rPr>
          <w:t>C</w:t>
        </w:r>
      </w:hyperlink>
      <w:r w:rsidRPr="0009132C">
        <w:t xml:space="preserve"> for diagnoses with the MassHealth algorithm for determining SMI/SEDs) and/or SUD diagnoses, including alcohol use disorders and other SUD diagnoses but excluding tobacco. Members will be identified as having a SMI/SED or SUD if they have an International Classification of Diseases (ICD)-9/10 diagnosis on two or more medical claims/encounters in any position, excluding lab services. </w:t>
      </w:r>
      <w:r w:rsidR="001D7D5B" w:rsidRPr="0009132C">
        <w:t>A</w:t>
      </w:r>
      <w:r w:rsidRPr="0009132C">
        <w:t xml:space="preserve"> member will be considered as having a SUD or SMI/SED starting with the first observed claim with a SUD or SMI/SED diagnosis through </w:t>
      </w:r>
      <w:r w:rsidR="000357F3">
        <w:t>11</w:t>
      </w:r>
      <w:r w:rsidR="000357F3" w:rsidRPr="0009132C">
        <w:t xml:space="preserve"> </w:t>
      </w:r>
      <w:r w:rsidRPr="0009132C">
        <w:t xml:space="preserve">additional months after the last observed SUD or SMI/SED claim or the end of Medicaid enrollment, whichever comes first. Given that people with SUDs or SMI/SEDs are often underdiagnosed, sensitivity analyses will be performed to identify members with SUD or SMI/SED based on the state’s treatment manuals. A sub-group analysis will be conducted for members with </w:t>
      </w:r>
      <w:r w:rsidR="00975AEF">
        <w:t xml:space="preserve">an </w:t>
      </w:r>
      <w:r w:rsidRPr="0009132C">
        <w:t xml:space="preserve">OUD.  </w:t>
      </w:r>
    </w:p>
    <w:p w14:paraId="3FF299C5" w14:textId="77777777" w:rsidR="00BC742E" w:rsidRPr="0009132C" w:rsidRDefault="00BC742E" w:rsidP="00301DAB">
      <w:pPr>
        <w:pStyle w:val="Heading4"/>
      </w:pPr>
      <w:r w:rsidRPr="0009132C">
        <w:t>Comparison Group</w:t>
      </w:r>
    </w:p>
    <w:p w14:paraId="4B848558" w14:textId="46039907" w:rsidR="00B940C6" w:rsidRPr="0009132C" w:rsidRDefault="00BC742E" w:rsidP="00BC742E">
      <w:pPr>
        <w:rPr>
          <w:rFonts w:eastAsiaTheme="majorEastAsia"/>
        </w:rPr>
      </w:pPr>
      <w:bookmarkStart w:id="132" w:name="_Hlk125620019"/>
      <w:r w:rsidRPr="0009132C">
        <w:t xml:space="preserve">Because the expansion of SMI/SED and/or SUD services </w:t>
      </w:r>
      <w:r w:rsidR="4483F589" w:rsidRPr="0009132C">
        <w:t xml:space="preserve">was </w:t>
      </w:r>
      <w:r w:rsidRPr="0009132C">
        <w:t>implemented statewide for all MassHealth members, a clear comparison group</w:t>
      </w:r>
      <w:r w:rsidR="00FD7B5D" w:rsidRPr="0009132C">
        <w:t xml:space="preserve"> </w:t>
      </w:r>
      <w:r w:rsidRPr="0009132C">
        <w:t>(i.e., a group that would allow us to estimate a counterfactual scenario of what would have happened in the absence of the Demonstration activities) does not exist. When appropriate and accessible, the All</w:t>
      </w:r>
      <w:r w:rsidR="000A10D6" w:rsidRPr="0009132C">
        <w:t>-</w:t>
      </w:r>
      <w:r w:rsidRPr="0009132C">
        <w:t>Payer Claims Database (APCD)</w:t>
      </w:r>
      <w:r w:rsidRPr="0009132C">
        <w:rPr>
          <w:rStyle w:val="FootnoteReference"/>
          <w:rFonts w:eastAsiaTheme="majorEastAsia"/>
        </w:rPr>
        <w:footnoteReference w:id="85"/>
      </w:r>
      <w:r w:rsidRPr="0009132C">
        <w:t xml:space="preserve"> will be utilized to compare key care quality and healthcare utilization measures and cost trends among matched individuals with MassHealth, Medicare, and commercial insurance. This comparison would control for external factors at the state level that might impact the use of SMI/SED and/or SUD services.</w:t>
      </w:r>
    </w:p>
    <w:bookmarkEnd w:id="132"/>
    <w:p w14:paraId="1B9643E6" w14:textId="77777777" w:rsidR="00BC742E" w:rsidRPr="0009132C" w:rsidRDefault="00BC742E" w:rsidP="00301DAB">
      <w:pPr>
        <w:pStyle w:val="Heading4"/>
      </w:pPr>
      <w:r w:rsidRPr="0009132C">
        <w:t xml:space="preserve">Study Design </w:t>
      </w:r>
    </w:p>
    <w:p w14:paraId="6EB79296" w14:textId="77777777" w:rsidR="00BC742E" w:rsidRPr="0009132C" w:rsidRDefault="00BC742E" w:rsidP="008F12E9">
      <w:r w:rsidRPr="0009132C">
        <w:t xml:space="preserve">Mixed methods will be used to evaluate the BH component of the Demonstration. To capture the experience of members and their guardians with BH services, interviews will be conducted with a representative group of MassHealth members to map their care and highlight their care-seeking behavior, challenges, and satisfaction with healthcare. </w:t>
      </w:r>
      <w:r w:rsidRPr="0009132C">
        <w:lastRenderedPageBreak/>
        <w:t>Interviews with providers will be conducted to understand processes of care and discharge planning, if and how peer support specialists and psychiatric consultants assisted with connections to outpatient follow-ups after ED admissions.</w:t>
      </w:r>
    </w:p>
    <w:p w14:paraId="137F8200" w14:textId="341537B8" w:rsidR="00BC742E" w:rsidRPr="0009132C" w:rsidRDefault="00BC742E" w:rsidP="008F12E9">
      <w:r w:rsidRPr="0009132C">
        <w:t>Several quantitative methods will be used to capture changes in members’ utilization, quality, and outcomes due to SMI/SED and SUD services. Interrupted Time Series (ITS), a quasi-experimental approach, will be used to compare trends in care quality measures, healthcare utilization, costs, and outcomes pre- to post-implementation of expanded SUD, SMI/SED, and diversionary services. This design is widely used and is considered one of the most robust quasi-experimental designs. If feasible and when appropriate, ITS models will be performed with controls (i.e., matched individuals with commercial or Medicare insurance) using the APCD. Joint modeling of event counts and survival time</w:t>
      </w:r>
      <w:r w:rsidRPr="0009132C">
        <w:rPr>
          <w:rStyle w:val="FootnoteReference"/>
          <w:rFonts w:eastAsiaTheme="majorEastAsia"/>
        </w:rPr>
        <w:footnoteReference w:id="86"/>
      </w:r>
      <w:r w:rsidRPr="0009132C">
        <w:t xml:space="preserve"> will be used to analyze the impact of the diversionary services on reducing ED boarding (defined as ED stay &gt;24 hours after disposition</w:t>
      </w:r>
      <w:r w:rsidR="00E8722F" w:rsidRPr="0009132C">
        <w:t>),</w:t>
      </w:r>
      <w:r w:rsidR="00452B98" w:rsidRPr="0009132C">
        <w:rPr>
          <w:rStyle w:val="FootnoteReference"/>
          <w:rFonts w:eastAsiaTheme="majorEastAsia"/>
        </w:rPr>
        <w:footnoteReference w:id="87"/>
      </w:r>
      <w:r w:rsidRPr="0009132C">
        <w:t xml:space="preserve"> SUD/OUD services, SMI/SED services on preventable and medically inappropriate ED visits,</w:t>
      </w:r>
      <w:r w:rsidR="00087AE0">
        <w:rPr>
          <w:vertAlign w:val="superscript"/>
        </w:rPr>
        <w:t>86</w:t>
      </w:r>
      <w:r w:rsidRPr="0009132C">
        <w:t xml:space="preserve"> and preventable </w:t>
      </w:r>
      <w:r w:rsidR="00A643BF">
        <w:t>BH</w:t>
      </w:r>
      <w:r w:rsidRPr="0009132C">
        <w:t xml:space="preserve"> readmissions to acute inpatient hospitals and residential programs defined as 30-day readmissions to the same or higher level of IMD care</w:t>
      </w:r>
      <w:r w:rsidR="0038661B">
        <w:t>.</w:t>
      </w:r>
      <w:r w:rsidR="00902DBD" w:rsidRPr="0009132C">
        <w:rPr>
          <w:rStyle w:val="FootnoteReference"/>
          <w:rFonts w:eastAsiaTheme="majorEastAsia"/>
        </w:rPr>
        <w:footnoteReference w:id="88"/>
      </w:r>
      <w:r w:rsidRPr="0009132C">
        <w:t xml:space="preserve"> In addition, a repeated cross-sectional design will be used to compare trends in opioid overdoses and opioid deaths in Massachusetts to the rest of the nation.</w:t>
      </w:r>
    </w:p>
    <w:p w14:paraId="1DAAF712" w14:textId="77777777" w:rsidR="00BC742E" w:rsidRPr="0009132C" w:rsidRDefault="00BC742E" w:rsidP="00301DAB">
      <w:pPr>
        <w:pStyle w:val="Heading4"/>
      </w:pPr>
      <w:r w:rsidRPr="0009132C">
        <w:t>Study Period</w:t>
      </w:r>
    </w:p>
    <w:p w14:paraId="42D52270" w14:textId="0D2A74F1" w:rsidR="00BC742E" w:rsidRPr="0009132C" w:rsidRDefault="00BC742E" w:rsidP="008F12E9">
      <w:r w:rsidRPr="0009132C">
        <w:t>The evaluation will cover the period of 2022-2027 for measures based on qualitative data, descriptive analysis, and measures evaluated using cross-sectional data. The evaluation period will extend from 2015 to 2027 for measures evaluated using ITS; data covering calendar years (CY) 2015 through 2017 will be used as a pre-implementation baseline, 2018 through 2022 as the first phase of implementation, and 2023 through 2027 as the Demonstration period of interest.</w:t>
      </w:r>
      <w:r w:rsidR="00C106F2" w:rsidRPr="0009132C">
        <w:t xml:space="preserve"> See </w:t>
      </w:r>
      <w:hyperlink w:anchor="_Executive_Summary" w:history="1">
        <w:r w:rsidR="00C106F2" w:rsidRPr="002A5B82">
          <w:rPr>
            <w:rStyle w:val="Hyperlink"/>
          </w:rPr>
          <w:t>Chapter 1</w:t>
        </w:r>
      </w:hyperlink>
      <w:r w:rsidR="005266F3">
        <w:t xml:space="preserve"> </w:t>
      </w:r>
      <w:r w:rsidR="00C46D1B">
        <w:t xml:space="preserve">(Executive </w:t>
      </w:r>
      <w:r w:rsidR="005266F3">
        <w:t>Summary)</w:t>
      </w:r>
      <w:r w:rsidR="00C106F2" w:rsidRPr="0009132C">
        <w:t xml:space="preserve"> </w:t>
      </w:r>
      <w:r w:rsidR="00702216" w:rsidRPr="00FF4ED5">
        <w:rPr>
          <w:color w:val="000F9F"/>
          <w:u w:val="single"/>
        </w:rPr>
        <w:fldChar w:fldCharType="begin"/>
      </w:r>
      <w:r w:rsidR="00702216" w:rsidRPr="00FF4ED5">
        <w:rPr>
          <w:color w:val="000F9F"/>
          <w:u w:val="single"/>
        </w:rPr>
        <w:instrText xml:space="preserve"> REF _Ref142924817 \h </w:instrText>
      </w:r>
      <w:r w:rsidR="00702216" w:rsidRPr="00FF4ED5">
        <w:rPr>
          <w:color w:val="000F9F"/>
          <w:u w:val="single"/>
        </w:rPr>
      </w:r>
      <w:r w:rsidR="00702216" w:rsidRPr="00FF4ED5">
        <w:rPr>
          <w:color w:val="000F9F"/>
          <w:u w:val="single"/>
        </w:rPr>
        <w:fldChar w:fldCharType="separate"/>
      </w:r>
      <w:r w:rsidR="00702216" w:rsidRPr="00FF4ED5">
        <w:rPr>
          <w:color w:val="000F9F"/>
          <w:u w:val="single"/>
        </w:rPr>
        <w:t xml:space="preserve">Table </w:t>
      </w:r>
      <w:r w:rsidR="00702216" w:rsidRPr="00FF4ED5">
        <w:rPr>
          <w:noProof/>
          <w:color w:val="000F9F"/>
          <w:u w:val="single"/>
        </w:rPr>
        <w:t>1</w:t>
      </w:r>
      <w:r w:rsidR="00702216" w:rsidRPr="00FF4ED5">
        <w:rPr>
          <w:color w:val="000F9F"/>
          <w:u w:val="single"/>
        </w:rPr>
        <w:noBreakHyphen/>
      </w:r>
      <w:r w:rsidR="00702216" w:rsidRPr="00FF4ED5">
        <w:rPr>
          <w:noProof/>
          <w:color w:val="000F9F"/>
          <w:u w:val="single"/>
        </w:rPr>
        <w:t>2</w:t>
      </w:r>
      <w:r w:rsidR="00702216" w:rsidRPr="00FF4ED5">
        <w:rPr>
          <w:color w:val="000F9F"/>
          <w:u w:val="single"/>
        </w:rPr>
        <w:fldChar w:fldCharType="end"/>
      </w:r>
      <w:r w:rsidR="00C106F2" w:rsidRPr="0009132C">
        <w:t xml:space="preserve"> and</w:t>
      </w:r>
      <w:r w:rsidR="00702216">
        <w:t xml:space="preserve"> </w:t>
      </w:r>
      <w:r w:rsidR="00702216" w:rsidRPr="001C0B48">
        <w:rPr>
          <w:color w:val="000F9F"/>
          <w:u w:val="single"/>
        </w:rPr>
        <w:fldChar w:fldCharType="begin"/>
      </w:r>
      <w:r w:rsidR="00702216" w:rsidRPr="001C0B48">
        <w:rPr>
          <w:color w:val="000F9F"/>
          <w:u w:val="single"/>
        </w:rPr>
        <w:instrText xml:space="preserve"> REF _Ref151460001 \h </w:instrText>
      </w:r>
      <w:r w:rsidR="00702216" w:rsidRPr="001C0B48">
        <w:rPr>
          <w:color w:val="000F9F"/>
          <w:u w:val="single"/>
        </w:rPr>
      </w:r>
      <w:r w:rsidR="00702216" w:rsidRPr="001C0B48">
        <w:rPr>
          <w:color w:val="000F9F"/>
          <w:u w:val="single"/>
        </w:rPr>
        <w:fldChar w:fldCharType="separate"/>
      </w:r>
      <w:r w:rsidR="00702216" w:rsidRPr="001C0B48">
        <w:rPr>
          <w:color w:val="000F9F"/>
          <w:u w:val="single"/>
        </w:rPr>
        <w:t xml:space="preserve">Table </w:t>
      </w:r>
      <w:r w:rsidR="00702216" w:rsidRPr="001C0B48">
        <w:rPr>
          <w:noProof/>
          <w:color w:val="000F9F"/>
          <w:u w:val="single"/>
        </w:rPr>
        <w:t>1</w:t>
      </w:r>
      <w:r w:rsidR="00702216" w:rsidRPr="001C0B48">
        <w:rPr>
          <w:color w:val="000F9F"/>
          <w:u w:val="single"/>
        </w:rPr>
        <w:noBreakHyphen/>
      </w:r>
      <w:r w:rsidR="00702216" w:rsidRPr="001C0B48">
        <w:rPr>
          <w:noProof/>
          <w:color w:val="000F9F"/>
          <w:u w:val="single"/>
        </w:rPr>
        <w:t>3</w:t>
      </w:r>
      <w:r w:rsidR="00702216" w:rsidRPr="001C0B48">
        <w:rPr>
          <w:color w:val="000F9F"/>
          <w:u w:val="single"/>
        </w:rPr>
        <w:fldChar w:fldCharType="end"/>
      </w:r>
      <w:r w:rsidR="00C106F2" w:rsidRPr="0009132C">
        <w:t xml:space="preserve"> for more details. </w:t>
      </w:r>
    </w:p>
    <w:p w14:paraId="059705AC" w14:textId="2098DE01" w:rsidR="00BC742E" w:rsidRPr="0009132C" w:rsidRDefault="00BC742E" w:rsidP="00EE4105">
      <w:pPr>
        <w:pStyle w:val="Heading3"/>
      </w:pPr>
      <w:r w:rsidRPr="0009132C">
        <w:t xml:space="preserve">Data Sources and Collection Methods </w:t>
      </w:r>
    </w:p>
    <w:p w14:paraId="0DC148F1" w14:textId="77777777" w:rsidR="00BC742E" w:rsidRPr="0009132C" w:rsidRDefault="00BC742E" w:rsidP="005A6824">
      <w:pPr>
        <w:pStyle w:val="Heading4"/>
        <w:spacing w:before="160"/>
      </w:pPr>
      <w:bookmarkStart w:id="134" w:name="_Data_Sources"/>
      <w:bookmarkEnd w:id="134"/>
      <w:r w:rsidRPr="0009132C">
        <w:t>Data Sources</w:t>
      </w:r>
    </w:p>
    <w:p w14:paraId="79E18B23" w14:textId="20F1225F" w:rsidR="008D7E1E" w:rsidRPr="0009132C" w:rsidRDefault="003B208F" w:rsidP="003C6C8F">
      <w:pPr>
        <w:pStyle w:val="Heading5"/>
      </w:pPr>
      <w:r w:rsidRPr="0009132C">
        <w:t>Mass</w:t>
      </w:r>
      <w:r w:rsidR="6A5FF011" w:rsidRPr="0009132C">
        <w:t>H</w:t>
      </w:r>
      <w:r w:rsidRPr="0009132C">
        <w:t xml:space="preserve">ealth Administrative Data </w:t>
      </w:r>
    </w:p>
    <w:p w14:paraId="4B17F488" w14:textId="571C5A98" w:rsidR="00BC742E" w:rsidRPr="0009132C" w:rsidRDefault="00BC742E" w:rsidP="008F12E9">
      <w:r w:rsidRPr="0009132C">
        <w:t xml:space="preserve">The primary data source that will be used to address hypotheses is the MassHealth Medicaid Management Information Systems (MMIS) enrollment, medical claims /encounter files, and pharmacy claims files. (See </w:t>
      </w:r>
      <w:hyperlink w:anchor="_Summary_of_Data_1" w:history="1">
        <w:r w:rsidRPr="00AC48D2">
          <w:rPr>
            <w:rStyle w:val="Hyperlink"/>
          </w:rPr>
          <w:t>Section 1.4.1</w:t>
        </w:r>
      </w:hyperlink>
      <w:r w:rsidRPr="0009132C">
        <w:t>).</w:t>
      </w:r>
    </w:p>
    <w:p w14:paraId="424AE832" w14:textId="57F20522" w:rsidR="008D7E1E" w:rsidRPr="0009132C" w:rsidRDefault="00BC742E" w:rsidP="003C6C8F">
      <w:pPr>
        <w:pStyle w:val="Heading5"/>
      </w:pPr>
      <w:r w:rsidRPr="0009132C">
        <w:t>All-Payer Claims Database (APCD)</w:t>
      </w:r>
      <w:r w:rsidR="00D20D62">
        <w:rPr>
          <w:vertAlign w:val="superscript"/>
        </w:rPr>
        <w:t>87</w:t>
      </w:r>
      <w:r w:rsidRPr="008A3252">
        <w:t xml:space="preserve"> </w:t>
      </w:r>
    </w:p>
    <w:p w14:paraId="710CDAF9" w14:textId="6DBCC9AB" w:rsidR="00BC742E" w:rsidRPr="0009132C" w:rsidRDefault="00BC742E" w:rsidP="005A6824">
      <w:pPr>
        <w:spacing w:after="220"/>
      </w:pPr>
      <w:r w:rsidRPr="0009132C">
        <w:t xml:space="preserve">To the extent possible, we will use MA-APCD to control for external factors that might impact SMI/SED and/or SUD services at the state level. MA-APCD is the most comprehensive source of health claims data from public and private payers providing </w:t>
      </w:r>
      <w:r w:rsidRPr="0009132C">
        <w:lastRenderedPageBreak/>
        <w:t>insurance to Massachusetts residents and employees</w:t>
      </w:r>
      <w:r w:rsidR="00E75933">
        <w:t>. It</w:t>
      </w:r>
      <w:r w:rsidRPr="0009132C">
        <w:t xml:space="preserve"> covers several services, including medical, pharmacy, dental, vision, </w:t>
      </w:r>
      <w:r w:rsidR="00CF0EAF">
        <w:t>BH</w:t>
      </w:r>
      <w:r w:rsidRPr="0009132C">
        <w:t xml:space="preserve">, and specialty services. The database is released annually, and each release covers five years. For example, the current MA-APCD CY2021 dataset covers claims, eligibility, provider, and other required file types submitted for CY2017-2021, plus claims related to services provided in those years that are processed between January and June 2022. </w:t>
      </w:r>
    </w:p>
    <w:p w14:paraId="1FEF0984" w14:textId="17556B13" w:rsidR="008D7E1E" w:rsidRPr="0009132C" w:rsidRDefault="00BC742E" w:rsidP="003C6C8F">
      <w:pPr>
        <w:pStyle w:val="Heading5"/>
      </w:pPr>
      <w:r w:rsidRPr="0009132C">
        <w:t xml:space="preserve">Massachusetts </w:t>
      </w:r>
      <w:r w:rsidR="003B208F" w:rsidRPr="0009132C">
        <w:t xml:space="preserve">Death Records </w:t>
      </w:r>
    </w:p>
    <w:p w14:paraId="15396CEF" w14:textId="7A55B3F6" w:rsidR="00BC742E" w:rsidRPr="0009132C" w:rsidRDefault="00BC742E" w:rsidP="008C4A1C">
      <w:pPr>
        <w:spacing w:after="220"/>
      </w:pPr>
      <w:r w:rsidRPr="0009132C">
        <w:t>To evaluate hypothesis H</w:t>
      </w:r>
      <w:r w:rsidR="00625421" w:rsidRPr="0009132C">
        <w:t>3-</w:t>
      </w:r>
      <w:r w:rsidR="00457F73" w:rsidRPr="0009132C">
        <w:t>8</w:t>
      </w:r>
      <w:r w:rsidRPr="0009132C">
        <w:t xml:space="preserve">.1 </w:t>
      </w:r>
      <w:r w:rsidR="58865397" w:rsidRPr="0009132C">
        <w:t>(“</w:t>
      </w:r>
      <w:r w:rsidR="2E997870" w:rsidRPr="0009132C">
        <w:t>T</w:t>
      </w:r>
      <w:r w:rsidRPr="0009132C">
        <w:t>he Demonstration will reduce overdose deaths</w:t>
      </w:r>
      <w:r w:rsidR="15426CB9" w:rsidRPr="0009132C">
        <w:t>”)</w:t>
      </w:r>
      <w:r w:rsidRPr="0009132C">
        <w:t xml:space="preserve">, claims data will be linked to Massachusetts Death records held by the Massachusetts Registry of Vital Records and Statistics. </w:t>
      </w:r>
    </w:p>
    <w:p w14:paraId="3537B011" w14:textId="3C7E8064" w:rsidR="008D7E1E" w:rsidRPr="0009132C" w:rsidRDefault="00BC742E" w:rsidP="008F12E9">
      <w:pPr>
        <w:pStyle w:val="Heading5"/>
      </w:pPr>
      <w:r w:rsidRPr="0009132C">
        <w:t xml:space="preserve">Program </w:t>
      </w:r>
      <w:r w:rsidR="00410FA2" w:rsidRPr="0009132C">
        <w:t>D</w:t>
      </w:r>
      <w:r w:rsidRPr="0009132C">
        <w:t>ata</w:t>
      </w:r>
    </w:p>
    <w:p w14:paraId="5714C4A5" w14:textId="7DDA608A" w:rsidR="00BC742E" w:rsidRPr="0009132C" w:rsidRDefault="00BC742E" w:rsidP="008C4A1C">
      <w:pPr>
        <w:spacing w:after="220"/>
      </w:pPr>
      <w:r w:rsidRPr="0009132C">
        <w:t>If available, BSAS will provide member-level data regarding the utilization of residential rehabilitation services and recovery coach services (i.e., services not covered by MassHealth in the pre-Demonstration period, 2015-2017), to be used in conjunction with MassHealth claims/encounter data to address H</w:t>
      </w:r>
      <w:r w:rsidR="00457F73" w:rsidRPr="0009132C">
        <w:t>3-5.1</w:t>
      </w:r>
      <w:r w:rsidRPr="0009132C">
        <w:t xml:space="preserve"> (adherence to SUD treatment). </w:t>
      </w:r>
    </w:p>
    <w:p w14:paraId="215501CE" w14:textId="46C1F8A0" w:rsidR="008D7E1E" w:rsidRPr="0009132C" w:rsidRDefault="00BC742E" w:rsidP="008F12E9">
      <w:pPr>
        <w:pStyle w:val="Heading5"/>
      </w:pPr>
      <w:r w:rsidRPr="0009132C">
        <w:t xml:space="preserve">The Public Health </w:t>
      </w:r>
      <w:r w:rsidR="00410FA2" w:rsidRPr="0009132C">
        <w:t>D</w:t>
      </w:r>
      <w:r w:rsidRPr="0009132C">
        <w:t>ataset</w:t>
      </w:r>
    </w:p>
    <w:p w14:paraId="52C8D425" w14:textId="1C483B41" w:rsidR="00BC742E" w:rsidRPr="0009132C" w:rsidRDefault="00BC742E" w:rsidP="008C4A1C">
      <w:pPr>
        <w:spacing w:after="220"/>
      </w:pPr>
      <w:r w:rsidRPr="0009132C">
        <w:t>To the extent possible, we will use the Public Health Data Warehouse (PHD) to evaluate SUD hypothesis H3</w:t>
      </w:r>
      <w:r w:rsidR="00457F73" w:rsidRPr="0009132C">
        <w:t>-8.1</w:t>
      </w:r>
      <w:r w:rsidRPr="0009132C">
        <w:t xml:space="preserve"> (</w:t>
      </w:r>
      <w:r w:rsidR="3B215AAC" w:rsidRPr="0009132C">
        <w:t>“T</w:t>
      </w:r>
      <w:r w:rsidRPr="0009132C">
        <w:t>he Demonstration will reduce non-fatal overdoses</w:t>
      </w:r>
      <w:r w:rsidR="6A0D7CF1" w:rsidRPr="0009132C">
        <w:t>”</w:t>
      </w:r>
      <w:r w:rsidRPr="0009132C">
        <w:t xml:space="preserve">). The PHD dataset, maintained by </w:t>
      </w:r>
      <w:r w:rsidR="001D2D82">
        <w:t xml:space="preserve">the </w:t>
      </w:r>
      <w:r w:rsidRPr="0009132C">
        <w:t xml:space="preserve">Massachusetts DPH, is a linked dataset created by state statute to facilitate data analysis to inform efforts to reduce opioid overdoses in the state. The dataset links individual-level data from various sources, including vital statistics, medical and pharmacy claims data, hospital discharge records, toxicology reports, ambulance transport records, DPH program enrollment, and BSAS service utilization. Non-fatal opioid overdoses are identified from various sources, such as ambulance transport data, which are unavailable in MassHealth claims data. If the </w:t>
      </w:r>
      <w:r w:rsidR="00810C9A">
        <w:t>PHD</w:t>
      </w:r>
      <w:r w:rsidR="00673CB4" w:rsidRPr="0009132C">
        <w:t xml:space="preserve"> </w:t>
      </w:r>
      <w:r w:rsidRPr="0009132C">
        <w:t xml:space="preserve">data set is unavailable during the analysis period, information on non-fatal overdoses will be obtained from MMIS data using ICD/Current Procedural Terminology (CPT) codes to identify overdoses, with the limitation that claims data will underestimate the number of opioid overdoses. </w:t>
      </w:r>
    </w:p>
    <w:p w14:paraId="2CD42489" w14:textId="12DD6948" w:rsidR="008D7E1E" w:rsidRPr="0009132C" w:rsidRDefault="00BC742E" w:rsidP="008F12E9">
      <w:pPr>
        <w:pStyle w:val="Heading5"/>
      </w:pPr>
      <w:r w:rsidRPr="0009132C">
        <w:t xml:space="preserve">The Centers for Disease Control and Prevention (CDC) Wide-ranging Online Data for Epidemiologic Research (WONDER) </w:t>
      </w:r>
      <w:r w:rsidR="00410FA2" w:rsidRPr="0009132C">
        <w:t>D</w:t>
      </w:r>
      <w:r w:rsidRPr="0009132C">
        <w:t>atabase</w:t>
      </w:r>
    </w:p>
    <w:p w14:paraId="7D7F5FFC" w14:textId="13BB7870" w:rsidR="00BC742E" w:rsidRPr="0009132C" w:rsidRDefault="00BC742E" w:rsidP="008F12E9">
      <w:r w:rsidRPr="0009132C">
        <w:t>WONDER is an internet-based publicly available data system intended to further public health research and program evaluation. Information about fatal overdoses is available in the mortality and multiple causes of death databases, which are populated using information from death certificates. Additionally, trends can be stratified at the state level, by year, and/or by several other demographic characteristics. For the Demonstration, we plan to use the WONDER database to compare trends in fatal overdoses in Massachusetts to the rest of the nation. Data on non-fatal and fatal overdo</w:t>
      </w:r>
      <w:r w:rsidR="7B991DDC" w:rsidRPr="0009132C">
        <w:t>se</w:t>
      </w:r>
      <w:r w:rsidR="00FA22FA">
        <w:t>s</w:t>
      </w:r>
      <w:r w:rsidRPr="0009132C">
        <w:t xml:space="preserve"> in Massachusetts will be analyzed from the DPH overdose statistics data.</w:t>
      </w:r>
      <w:r w:rsidRPr="0009132C">
        <w:rPr>
          <w:rStyle w:val="FootnoteReference"/>
        </w:rPr>
        <w:footnoteReference w:id="89"/>
      </w:r>
    </w:p>
    <w:p w14:paraId="5FB6327F" w14:textId="54A960B3" w:rsidR="008D7E1E" w:rsidRPr="0009132C" w:rsidRDefault="00BC742E" w:rsidP="008D7E1E">
      <w:pPr>
        <w:pStyle w:val="Heading5"/>
      </w:pPr>
      <w:r w:rsidRPr="0009132C">
        <w:lastRenderedPageBreak/>
        <w:t xml:space="preserve">Member </w:t>
      </w:r>
      <w:r w:rsidR="003B208F" w:rsidRPr="0009132C">
        <w:t>I</w:t>
      </w:r>
      <w:r w:rsidRPr="0009132C">
        <w:t>nterviews</w:t>
      </w:r>
      <w:r w:rsidRPr="009144C1">
        <w:rPr>
          <w:rStyle w:val="FootnoteReference"/>
        </w:rPr>
        <w:footnoteReference w:id="90"/>
      </w:r>
    </w:p>
    <w:p w14:paraId="1A9250DE" w14:textId="2B973043" w:rsidR="00BC742E" w:rsidRPr="0009132C" w:rsidRDefault="00BC742E" w:rsidP="008F12E9">
      <w:r w:rsidRPr="0009132C">
        <w:t xml:space="preserve">Interviews with members and their family members/guardians will provide an understanding of experiences with BH services, unmet service needs, including medical care and housing, barriers to care (including services that meet their linguistic, cultural, and </w:t>
      </w:r>
      <w:r w:rsidR="004515F4">
        <w:t>BH</w:t>
      </w:r>
      <w:r w:rsidRPr="0009132C">
        <w:t xml:space="preserve"> needs), service integration, inclusion in discharge and crisis planning, care coordination and experiences with transitions in care. The interview guide will also be informed by the Consumer Assessment of Healthcare Providers and Systems (CAHPS) Mental Health Care Survey. </w:t>
      </w:r>
    </w:p>
    <w:p w14:paraId="5C85CDE4" w14:textId="466301DC" w:rsidR="008D7E1E" w:rsidRPr="008D6BAD" w:rsidRDefault="00BC742E" w:rsidP="008D7E1E">
      <w:pPr>
        <w:pStyle w:val="Heading5"/>
      </w:pPr>
      <w:r w:rsidRPr="0009132C">
        <w:t xml:space="preserve">Provider </w:t>
      </w:r>
      <w:r w:rsidR="003B208F" w:rsidRPr="0009132C">
        <w:t>I</w:t>
      </w:r>
      <w:r w:rsidRPr="0009132C">
        <w:t>nterviews</w:t>
      </w:r>
      <w:r w:rsidRPr="008D6BAD">
        <w:rPr>
          <w:rStyle w:val="FootnoteReference"/>
        </w:rPr>
        <w:footnoteReference w:id="91"/>
      </w:r>
    </w:p>
    <w:p w14:paraId="7A35141C" w14:textId="7FEAA40E" w:rsidR="00BC742E" w:rsidRPr="0009132C" w:rsidRDefault="00BC742E" w:rsidP="008F12E9">
      <w:r w:rsidRPr="0009132C">
        <w:t xml:space="preserve">Interviews with providers will provide an understanding of the extent to which the Demonstration facilitates the utilization of peer support specialists and psychiatric consultants in EDs to assist with transitions to clinically appropriate levels of care. Providers will also be interviewed to provide insights on discharge planning to facilitate timely transitions to clinically appropriate BH, physical health, and support services post-discharge from acute psychiatric facilities, 24-hour SUD diversionary services, and </w:t>
      </w:r>
      <w:r w:rsidRPr="008C4A1C">
        <w:rPr>
          <w:rFonts w:cs="Times New Roman (Body CS)"/>
          <w:spacing w:val="-2"/>
        </w:rPr>
        <w:t>mental health diversionary services. Questions will seek to elicit information on processes</w:t>
      </w:r>
      <w:r w:rsidRPr="0009132C">
        <w:t xml:space="preserve"> </w:t>
      </w:r>
      <w:r w:rsidRPr="008C4A1C">
        <w:rPr>
          <w:rFonts w:cs="Times New Roman (Body CS)"/>
          <w:spacing w:val="-4"/>
        </w:rPr>
        <w:t>for assessment of medical needs and HRSNs to be addressed in treatment and discharge</w:t>
      </w:r>
      <w:r w:rsidRPr="0009132C">
        <w:t xml:space="preserve"> planning and suggestions for improved care coordination, amongst other topics.</w:t>
      </w:r>
    </w:p>
    <w:p w14:paraId="7B1B15D8" w14:textId="5417A3CD" w:rsidR="008D7E1E" w:rsidRPr="0009132C" w:rsidRDefault="00BC742E" w:rsidP="008F12E9">
      <w:pPr>
        <w:pStyle w:val="Heading5"/>
      </w:pPr>
      <w:r w:rsidRPr="0009132C">
        <w:t>National Surveys</w:t>
      </w:r>
    </w:p>
    <w:p w14:paraId="6151709A" w14:textId="72F32F75" w:rsidR="00BC742E" w:rsidRPr="0009132C" w:rsidRDefault="00BC742E" w:rsidP="008F12E9">
      <w:r w:rsidRPr="0009132C">
        <w:t>Utilization of national surveys, including the National Survey on Drug Use and Health, Behavioral Risk Factor Surveillance Systems</w:t>
      </w:r>
      <w:r w:rsidR="00DB5E38">
        <w:t xml:space="preserve"> (BRFSS)</w:t>
      </w:r>
      <w:r w:rsidRPr="0009132C">
        <w:t xml:space="preserve">, National Survey of Substance Abuse Treatment, and National Mental Health Services Survey, allows for a comparison </w:t>
      </w:r>
      <w:r w:rsidRPr="008C4A1C">
        <w:rPr>
          <w:rFonts w:cs="Times New Roman (Body CS)"/>
          <w:spacing w:val="-2"/>
        </w:rPr>
        <w:t>of BH access to care and member’s experience in Massac</w:t>
      </w:r>
      <w:r w:rsidR="39C6C794" w:rsidRPr="008C4A1C">
        <w:rPr>
          <w:rFonts w:cs="Times New Roman (Body CS)"/>
          <w:spacing w:val="-2"/>
        </w:rPr>
        <w:t>h</w:t>
      </w:r>
      <w:r w:rsidRPr="008C4A1C">
        <w:rPr>
          <w:rFonts w:cs="Times New Roman (Body CS)"/>
          <w:spacing w:val="-2"/>
        </w:rPr>
        <w:t>usetts compared other states.</w:t>
      </w:r>
    </w:p>
    <w:p w14:paraId="66007B18" w14:textId="2482F5E2" w:rsidR="00D219C7" w:rsidRPr="0009132C" w:rsidRDefault="00D219C7" w:rsidP="00EE4105">
      <w:pPr>
        <w:pStyle w:val="Heading3"/>
      </w:pPr>
      <w:r w:rsidRPr="0009132C">
        <w:t xml:space="preserve">Measures </w:t>
      </w:r>
    </w:p>
    <w:p w14:paraId="69A74468" w14:textId="4D721468" w:rsidR="00BC742E" w:rsidRPr="0009132C" w:rsidRDefault="00BC742E" w:rsidP="008C4A1C">
      <w:pPr>
        <w:spacing w:after="120"/>
      </w:pPr>
      <w:r w:rsidRPr="0009132C">
        <w:t>Outcome measures will be identified in the MassHealth claims/encounter data along with death files and the Public Health data set, using ICD</w:t>
      </w:r>
      <w:r w:rsidR="00B16418">
        <w:t>-</w:t>
      </w:r>
      <w:r w:rsidRPr="0009132C">
        <w:t>9/10, CPT, revenue, and NDC codes, as appropriate. Measures align with those listed in the November 2017 State Medicaid Director’s letter SMD#17-003 and include but are not limited to:</w:t>
      </w:r>
    </w:p>
    <w:p w14:paraId="50F83FA5" w14:textId="77777777" w:rsidR="00BC742E" w:rsidRPr="0009132C" w:rsidRDefault="0BFC8D86" w:rsidP="00AF0AB3">
      <w:pPr>
        <w:pStyle w:val="Bullet1"/>
      </w:pPr>
      <w:r>
        <w:t xml:space="preserve">Number and percentage of the study population meeting National Quality Forum (NQF) quality measures related to the initiation of treatment, pharmacotherapy use, and follow-up after ED discharge </w:t>
      </w:r>
    </w:p>
    <w:p w14:paraId="5EAE6C10" w14:textId="77777777" w:rsidR="00BC742E" w:rsidRPr="0009132C" w:rsidRDefault="0BFC8D86" w:rsidP="00AF0AB3">
      <w:pPr>
        <w:pStyle w:val="Bullet1"/>
      </w:pPr>
      <w:r>
        <w:t xml:space="preserve">Number and percentage of the population utilizing SUD treatment </w:t>
      </w:r>
    </w:p>
    <w:p w14:paraId="64749AD2" w14:textId="77777777" w:rsidR="00BC742E" w:rsidRPr="0009132C" w:rsidRDefault="0BFC8D86" w:rsidP="00AF0AB3">
      <w:pPr>
        <w:pStyle w:val="Bullet1"/>
      </w:pPr>
      <w:r>
        <w:t>Number and percentage of the population utilizing mental health treatment, both children and adults</w:t>
      </w:r>
    </w:p>
    <w:p w14:paraId="6864518A" w14:textId="77777777" w:rsidR="00BC742E" w:rsidRPr="0009132C" w:rsidRDefault="0BFC8D86" w:rsidP="00AF0AB3">
      <w:pPr>
        <w:pStyle w:val="Bullet1"/>
      </w:pPr>
      <w:r>
        <w:t xml:space="preserve">Number and percentage of the population utilizing other services (e.g., ED, hospital inpatient, ambulatory, pharmacy) </w:t>
      </w:r>
    </w:p>
    <w:p w14:paraId="6B990082" w14:textId="77777777" w:rsidR="00BC742E" w:rsidRPr="0009132C" w:rsidRDefault="0BFC8D86" w:rsidP="00AF0AB3">
      <w:pPr>
        <w:pStyle w:val="Bullet1"/>
      </w:pPr>
      <w:r>
        <w:t>Fatal and non-fatal overdoses, overall and opioid specific</w:t>
      </w:r>
    </w:p>
    <w:p w14:paraId="67B57236" w14:textId="54587279" w:rsidR="00BC742E" w:rsidRPr="0009132C" w:rsidRDefault="0BFC8D86" w:rsidP="00AF0AB3">
      <w:pPr>
        <w:pStyle w:val="Bullet1"/>
      </w:pPr>
      <w:r>
        <w:lastRenderedPageBreak/>
        <w:t>Number of medications for opioid use disorder (MOUD) for members with OUD and providers identified by MassHealth administrative data.</w:t>
      </w:r>
    </w:p>
    <w:p w14:paraId="36EB6C8A" w14:textId="77777777" w:rsidR="00BC742E" w:rsidRPr="0009132C" w:rsidRDefault="0BFC8D86" w:rsidP="00AF0AB3">
      <w:pPr>
        <w:pStyle w:val="Bullet1"/>
        <w:spacing w:after="80" w:afterAutospacing="0"/>
      </w:pPr>
      <w:r>
        <w:t>Total cost of care (TCOC) to MassHealth, including costs of inpatient, outpatient (including ED), pharmacy, long-term care, and residential care (including IMD costs</w:t>
      </w:r>
      <w:r w:rsidR="08832D4F">
        <w:t>)</w:t>
      </w:r>
      <w:r>
        <w:t xml:space="preserve">. All cost data will be obtained from claims/encounter data. Administrative costs will not be included because they would be constant across groups and years, and our focus is on the marginal change in costs due to BH services. Total costs will be categorized by: </w:t>
      </w:r>
    </w:p>
    <w:p w14:paraId="00AFCBB2" w14:textId="77777777" w:rsidR="00BC742E" w:rsidRPr="006A7D74" w:rsidRDefault="00BC742E" w:rsidP="003C6C8F">
      <w:pPr>
        <w:pStyle w:val="Bullet2"/>
      </w:pPr>
      <w:r w:rsidRPr="006A7D74">
        <w:t>Cost related to diagnosis and treatment of SMI/SED</w:t>
      </w:r>
    </w:p>
    <w:p w14:paraId="73260BCE" w14:textId="77777777" w:rsidR="00BC742E" w:rsidRPr="00520F3A" w:rsidRDefault="00BC742E" w:rsidP="00520F3A">
      <w:pPr>
        <w:pStyle w:val="Bullet3"/>
      </w:pPr>
      <w:r w:rsidRPr="00520F3A">
        <w:t>SMI/SED IMD costs</w:t>
      </w:r>
    </w:p>
    <w:p w14:paraId="159FDB1F" w14:textId="77777777" w:rsidR="00BC742E" w:rsidRPr="00520F3A" w:rsidRDefault="00BC742E" w:rsidP="00520F3A">
      <w:pPr>
        <w:pStyle w:val="Bullet3"/>
      </w:pPr>
      <w:r w:rsidRPr="00520F3A">
        <w:t>Other SMI/SED costs</w:t>
      </w:r>
    </w:p>
    <w:p w14:paraId="30A5E7E3" w14:textId="5B6A5D15" w:rsidR="00BC742E" w:rsidRPr="00520F3A" w:rsidRDefault="05B4F6B5" w:rsidP="00520F3A">
      <w:pPr>
        <w:pStyle w:val="Bullet3"/>
      </w:pPr>
      <w:r>
        <w:t xml:space="preserve">Non-SMI/SED </w:t>
      </w:r>
      <w:r w:rsidR="198D1AD2" w:rsidRPr="00010FEA">
        <w:t xml:space="preserve">medical services </w:t>
      </w:r>
      <w:r w:rsidRPr="00010FEA">
        <w:t>costs</w:t>
      </w:r>
    </w:p>
    <w:p w14:paraId="67BDCF12" w14:textId="77777777" w:rsidR="00BC742E" w:rsidRPr="006A7D74" w:rsidRDefault="00BC742E" w:rsidP="003C6C8F">
      <w:pPr>
        <w:pStyle w:val="Bullet2"/>
      </w:pPr>
      <w:r w:rsidRPr="006A7D74">
        <w:t>Cost related to diagnosis and treatment of SUD</w:t>
      </w:r>
    </w:p>
    <w:p w14:paraId="77BDDD0C" w14:textId="77777777" w:rsidR="00BC742E" w:rsidRPr="006A7D74" w:rsidRDefault="00BC742E" w:rsidP="00520F3A">
      <w:pPr>
        <w:pStyle w:val="Bullet3"/>
      </w:pPr>
      <w:r w:rsidRPr="006A7D74">
        <w:t>SUD IMD costs</w:t>
      </w:r>
    </w:p>
    <w:p w14:paraId="49D60AB2" w14:textId="77777777" w:rsidR="00BC742E" w:rsidRPr="006A7D74" w:rsidRDefault="00BC742E" w:rsidP="00520F3A">
      <w:pPr>
        <w:pStyle w:val="Bullet3"/>
      </w:pPr>
      <w:r w:rsidRPr="006A7D74">
        <w:t>Other SUD costs</w:t>
      </w:r>
    </w:p>
    <w:p w14:paraId="336539E3" w14:textId="4E7B22D0" w:rsidR="00BC742E" w:rsidRPr="006A7D74" w:rsidRDefault="00BC742E" w:rsidP="00520F3A">
      <w:pPr>
        <w:pStyle w:val="Bullet3"/>
      </w:pPr>
      <w:r w:rsidRPr="006A7D74">
        <w:t>Non-SUD costs</w:t>
      </w:r>
      <w:r w:rsidR="00A81B39">
        <w:t xml:space="preserve"> medical services costs</w:t>
      </w:r>
    </w:p>
    <w:p w14:paraId="4D6A9088" w14:textId="77777777" w:rsidR="00BC742E" w:rsidRPr="006A7D74" w:rsidRDefault="00BC742E" w:rsidP="003C6C8F">
      <w:pPr>
        <w:pStyle w:val="Bullet2"/>
      </w:pPr>
      <w:r w:rsidRPr="006A7D74">
        <w:t>Source of treatment cost drivers for beneficiaries in the target population</w:t>
      </w:r>
    </w:p>
    <w:p w14:paraId="0C378DCC" w14:textId="77777777" w:rsidR="00BC742E" w:rsidRPr="006A7D74" w:rsidRDefault="00BC742E" w:rsidP="00520F3A">
      <w:pPr>
        <w:pStyle w:val="Bullet3"/>
      </w:pPr>
      <w:r w:rsidRPr="006A7D74">
        <w:t>Outpatient costs, non-ED</w:t>
      </w:r>
    </w:p>
    <w:p w14:paraId="4A477D29" w14:textId="77777777" w:rsidR="00BC742E" w:rsidRPr="006A7D74" w:rsidRDefault="00BC742E" w:rsidP="00520F3A">
      <w:pPr>
        <w:pStyle w:val="Bullet3"/>
      </w:pPr>
      <w:r w:rsidRPr="006A7D74">
        <w:t>Outpatient costs, ED</w:t>
      </w:r>
    </w:p>
    <w:p w14:paraId="3399749F" w14:textId="77777777" w:rsidR="00BC742E" w:rsidRPr="006A7D74" w:rsidRDefault="00BC742E" w:rsidP="00520F3A">
      <w:pPr>
        <w:pStyle w:val="Bullet3"/>
      </w:pPr>
      <w:r w:rsidRPr="006A7D74">
        <w:t>Inpatient costs</w:t>
      </w:r>
    </w:p>
    <w:p w14:paraId="211BD2BA" w14:textId="77777777" w:rsidR="00BC742E" w:rsidRPr="006A7D74" w:rsidRDefault="00BC742E" w:rsidP="00520F3A">
      <w:pPr>
        <w:pStyle w:val="Bullet3"/>
      </w:pPr>
      <w:r w:rsidRPr="006A7D74">
        <w:t>Pharmacy costs</w:t>
      </w:r>
    </w:p>
    <w:p w14:paraId="436FF0AD" w14:textId="1E8934CC" w:rsidR="00BC742E" w:rsidRPr="006A7D74" w:rsidRDefault="00BC742E" w:rsidP="00520F3A">
      <w:pPr>
        <w:pStyle w:val="Bullet3"/>
      </w:pPr>
      <w:r w:rsidRPr="006A7D74">
        <w:t>Long-term care costs</w:t>
      </w:r>
    </w:p>
    <w:p w14:paraId="56D0E12F" w14:textId="04517E63" w:rsidR="00D219C7" w:rsidRPr="0009132C" w:rsidRDefault="00D219C7" w:rsidP="00EE4105">
      <w:pPr>
        <w:pStyle w:val="Heading3"/>
      </w:pPr>
      <w:r>
        <w:t xml:space="preserve">Analysis Methods </w:t>
      </w:r>
    </w:p>
    <w:p w14:paraId="62DF56A6" w14:textId="73D7B44E" w:rsidR="00BC742E" w:rsidRPr="0009132C" w:rsidRDefault="00BC742E" w:rsidP="00E15D88">
      <w:r w:rsidRPr="0009132C">
        <w:t>Descriptive statistics will be performed for members, including diagnoses and other clinical and demographic characteristics. This analysis will be performed on a quarterly basis and include counts, percentages, means, standard deviation, medians, and 25</w:t>
      </w:r>
      <w:r w:rsidRPr="0009132C">
        <w:rPr>
          <w:vertAlign w:val="superscript"/>
        </w:rPr>
        <w:t>th</w:t>
      </w:r>
      <w:r w:rsidRPr="0009132C">
        <w:t xml:space="preserve"> and 95</w:t>
      </w:r>
      <w:r w:rsidRPr="0009132C">
        <w:rPr>
          <w:vertAlign w:val="superscript"/>
        </w:rPr>
        <w:t>th</w:t>
      </w:r>
      <w:r w:rsidRPr="0009132C">
        <w:t xml:space="preserve"> percentiles, as appropriate.</w:t>
      </w:r>
    </w:p>
    <w:p w14:paraId="2D0C01F6" w14:textId="39327C41" w:rsidR="00BC742E" w:rsidRDefault="00BC742E" w:rsidP="00E15D88">
      <w:r w:rsidRPr="0009132C">
        <w:t xml:space="preserve">A time-series approach will be used to estimate the marginal changes in evaluation measures over time, starting </w:t>
      </w:r>
      <w:r w:rsidR="5DAE20F5" w:rsidRPr="0009132C">
        <w:t xml:space="preserve">with </w:t>
      </w:r>
      <w:r w:rsidRPr="0009132C">
        <w:t xml:space="preserve">the pre-intervention period of 2015-2017, the period covering the 2017-2022 Demonstration, and the period covering the 2022-2027 </w:t>
      </w:r>
      <w:r w:rsidR="1394E51A" w:rsidRPr="0009132C">
        <w:t>Demonstration</w:t>
      </w:r>
      <w:r w:rsidRPr="0009132C">
        <w:t>. Segmented regression analysis, using generalized estimating equations, will be used to evaluate trends prior to, between each phase of implementation, and after implementation (including lag periods if warranted, to allow for the full effect of the implementation to occur</w:t>
      </w:r>
      <w:r w:rsidR="000422CB" w:rsidRPr="0009132C">
        <w:t>)</w:t>
      </w:r>
      <w:r w:rsidRPr="0009132C">
        <w:t xml:space="preserve">. Analyses will be conducted with and without adjusting for differences in the risk profile of MassHealth members with SMI/SED and SUD over time. Subgroup analyses will also be performed by geographic region and member risk profiles. For preventable or </w:t>
      </w:r>
      <w:r w:rsidR="6CDFE15F">
        <w:t>low acuity non-emergent</w:t>
      </w:r>
      <w:r>
        <w:t xml:space="preserve"> </w:t>
      </w:r>
      <w:r w:rsidR="00EB4583">
        <w:t>ED</w:t>
      </w:r>
      <w:r w:rsidRPr="0009132C">
        <w:t xml:space="preserve"> visits and inpatient admissions where services are concentrated among a small number of members, as a primary analysis, a joint modeling of event counts and survival times analyses will be conducted to simultaneously analyze the impact of the SUD/OUD services on the counts and the time intervals between those services, using a Poisson </w:t>
      </w:r>
      <w:r w:rsidRPr="0009132C">
        <w:lastRenderedPageBreak/>
        <w:t>process framework which incorporates covariate effects and between-patient heterogeneity.</w:t>
      </w:r>
      <w:r w:rsidRPr="3383C28C">
        <w:rPr>
          <w:rStyle w:val="FootnoteReference"/>
          <w:rFonts w:eastAsiaTheme="majorEastAsia"/>
        </w:rPr>
        <w:footnoteReference w:id="92"/>
      </w:r>
      <w:r w:rsidRPr="0009132C">
        <w:rPr>
          <w:rStyle w:val="FootnoteReference"/>
        </w:rPr>
        <w:t>,</w:t>
      </w:r>
      <w:r w:rsidRPr="3383C28C">
        <w:rPr>
          <w:rStyle w:val="FootnoteReference"/>
          <w:rFonts w:eastAsiaTheme="majorEastAsia"/>
        </w:rPr>
        <w:footnoteReference w:id="93"/>
      </w:r>
      <w:r w:rsidRPr="0009132C">
        <w:rPr>
          <w:rStyle w:val="FootnoteReference"/>
        </w:rPr>
        <w:t>,</w:t>
      </w:r>
      <w:r w:rsidRPr="3383C28C">
        <w:rPr>
          <w:rStyle w:val="FootnoteReference"/>
          <w:rFonts w:eastAsiaTheme="majorEastAsia"/>
        </w:rPr>
        <w:footnoteReference w:id="94"/>
      </w:r>
      <w:r w:rsidRPr="0009132C">
        <w:t xml:space="preserve"> In addition, separate models will be considered to examine rates and survival time separately</w:t>
      </w:r>
      <w:r>
        <w:t>.</w:t>
      </w:r>
      <w:r w:rsidR="000C6B40">
        <w:t xml:space="preserve"> </w:t>
      </w:r>
      <w:r w:rsidR="00350370">
        <w:t xml:space="preserve">To address uncertainties associated with the number of MassHealth members diagnosed with BH conditions, the </w:t>
      </w:r>
      <w:r w:rsidR="00B17EEE">
        <w:t>IE</w:t>
      </w:r>
      <w:r w:rsidR="00350370">
        <w:t xml:space="preserve"> will conduct sensitivity analyses to capture the state and CMS definitions of members with SUD/OUD and SMI/SED.</w:t>
      </w:r>
    </w:p>
    <w:p w14:paraId="22C97063" w14:textId="21976706" w:rsidR="00795C86" w:rsidRPr="00EB50F2" w:rsidRDefault="6BD02927" w:rsidP="7F638223">
      <w:pPr>
        <w:rPr>
          <w:rStyle w:val="normaltextrun"/>
          <w:rFonts w:ascii="Arial" w:hAnsi="Arial"/>
          <w:color w:val="000000"/>
          <w:shd w:val="clear" w:color="auto" w:fill="FFFFFF"/>
        </w:rPr>
      </w:pPr>
      <w:r w:rsidRPr="005B47F7">
        <w:t>Member survey</w:t>
      </w:r>
      <w:r w:rsidR="00374305" w:rsidRPr="00EB50F2">
        <w:t>s</w:t>
      </w:r>
      <w:r w:rsidRPr="005B47F7">
        <w:t xml:space="preserve"> and qualitative data from interviews with members and providers will provide context for quantitative findings.</w:t>
      </w:r>
      <w:r w:rsidR="69BF8980" w:rsidRPr="005B47F7">
        <w:t xml:space="preserve"> </w:t>
      </w:r>
      <w:r w:rsidR="1A7441FF" w:rsidRPr="00EB50F2">
        <w:rPr>
          <w:rStyle w:val="normaltextrun"/>
          <w:rFonts w:ascii="Arial" w:hAnsi="Arial"/>
          <w:color w:val="000000"/>
          <w:shd w:val="clear" w:color="auto" w:fill="FFFFFF"/>
        </w:rPr>
        <w:t>Using an embedded mixed methods approach</w:t>
      </w:r>
      <w:r w:rsidR="009B5215" w:rsidRPr="00EB50F2">
        <w:rPr>
          <w:rStyle w:val="normaltextrun"/>
          <w:rFonts w:ascii="Arial" w:hAnsi="Arial"/>
          <w:color w:val="000000"/>
          <w:shd w:val="clear" w:color="auto" w:fill="FFFFFF"/>
        </w:rPr>
        <w:t>,</w:t>
      </w:r>
      <w:r w:rsidR="00D730C8" w:rsidRPr="00EB50F2">
        <w:rPr>
          <w:rStyle w:val="FootnoteReference"/>
          <w:rFonts w:ascii="Arial" w:hAnsi="Arial"/>
          <w:color w:val="000000"/>
          <w:shd w:val="clear" w:color="auto" w:fill="FFFFFF"/>
        </w:rPr>
        <w:footnoteReference w:id="95"/>
      </w:r>
      <w:r w:rsidR="1A7441FF" w:rsidRPr="00EB50F2">
        <w:rPr>
          <w:rStyle w:val="normaltextrun"/>
          <w:rFonts w:ascii="Arial" w:hAnsi="Arial"/>
          <w:color w:val="000000"/>
          <w:shd w:val="clear" w:color="auto" w:fill="FFFFFF"/>
        </w:rPr>
        <w:t xml:space="preserve"> we will synthesize the</w:t>
      </w:r>
      <w:r w:rsidR="008F119D" w:rsidRPr="00EB50F2">
        <w:rPr>
          <w:rStyle w:val="normaltextrun"/>
          <w:rFonts w:ascii="Arial" w:hAnsi="Arial"/>
          <w:color w:val="000000"/>
          <w:shd w:val="clear" w:color="auto" w:fill="FFFFFF"/>
        </w:rPr>
        <w:t>mes derived from the qualitative data with</w:t>
      </w:r>
      <w:r w:rsidR="1A7441FF" w:rsidRPr="00EB50F2">
        <w:rPr>
          <w:rStyle w:val="normaltextrun"/>
          <w:rFonts w:ascii="Arial" w:hAnsi="Arial"/>
          <w:color w:val="000000"/>
          <w:shd w:val="clear" w:color="auto" w:fill="FFFFFF"/>
        </w:rPr>
        <w:t xml:space="preserve"> the quantitative </w:t>
      </w:r>
      <w:r w:rsidR="008F119D" w:rsidRPr="00EB50F2">
        <w:rPr>
          <w:rStyle w:val="normaltextrun"/>
          <w:rFonts w:ascii="Arial" w:hAnsi="Arial"/>
          <w:color w:val="000000"/>
          <w:shd w:val="clear" w:color="auto" w:fill="FFFFFF"/>
        </w:rPr>
        <w:t>findings</w:t>
      </w:r>
      <w:r w:rsidR="1A7441FF" w:rsidRPr="00EB50F2">
        <w:rPr>
          <w:rStyle w:val="normaltextrun"/>
          <w:rFonts w:ascii="Arial" w:hAnsi="Arial"/>
          <w:color w:val="000000"/>
          <w:shd w:val="clear" w:color="auto" w:fill="FFFFFF"/>
        </w:rPr>
        <w:t xml:space="preserve">. We will </w:t>
      </w:r>
      <w:r w:rsidR="008F119D" w:rsidRPr="00EB50F2">
        <w:rPr>
          <w:rStyle w:val="normaltextrun"/>
          <w:rFonts w:ascii="Arial" w:hAnsi="Arial"/>
          <w:color w:val="000000"/>
          <w:shd w:val="clear" w:color="auto" w:fill="FFFFFF"/>
        </w:rPr>
        <w:t>delve into</w:t>
      </w:r>
      <w:r w:rsidR="1A7441FF" w:rsidRPr="00EB50F2">
        <w:rPr>
          <w:rStyle w:val="normaltextrun"/>
          <w:rFonts w:ascii="Arial" w:hAnsi="Arial"/>
          <w:color w:val="000000"/>
          <w:shd w:val="clear" w:color="auto" w:fill="FFFFFF"/>
        </w:rPr>
        <w:t xml:space="preserve"> members’ and providers’ experiences, </w:t>
      </w:r>
      <w:r w:rsidR="00374305" w:rsidRPr="00EB50F2">
        <w:rPr>
          <w:rStyle w:val="normaltextrun"/>
          <w:rFonts w:ascii="Arial" w:hAnsi="Arial"/>
          <w:color w:val="000000"/>
          <w:shd w:val="clear" w:color="auto" w:fill="FFFFFF"/>
        </w:rPr>
        <w:t xml:space="preserve">examining </w:t>
      </w:r>
      <w:r w:rsidR="1A7441FF" w:rsidRPr="00EB50F2">
        <w:rPr>
          <w:rStyle w:val="normaltextrun"/>
          <w:rFonts w:ascii="Arial" w:hAnsi="Arial"/>
          <w:color w:val="000000"/>
          <w:shd w:val="clear" w:color="auto" w:fill="FFFFFF"/>
        </w:rPr>
        <w:t xml:space="preserve">how those experiences may be related to </w:t>
      </w:r>
      <w:r w:rsidR="004515F4" w:rsidRPr="00EB50F2">
        <w:rPr>
          <w:rStyle w:val="normaltextrun"/>
          <w:rFonts w:ascii="Arial" w:hAnsi="Arial"/>
          <w:color w:val="000000"/>
          <w:shd w:val="clear" w:color="auto" w:fill="FFFFFF"/>
        </w:rPr>
        <w:t>BH</w:t>
      </w:r>
      <w:r w:rsidR="008F119D" w:rsidRPr="00EB50F2">
        <w:rPr>
          <w:rStyle w:val="normaltextrun"/>
          <w:rFonts w:ascii="Arial" w:hAnsi="Arial"/>
          <w:color w:val="000000"/>
          <w:shd w:val="clear" w:color="auto" w:fill="FFFFFF"/>
        </w:rPr>
        <w:t xml:space="preserve"> </w:t>
      </w:r>
      <w:r w:rsidR="1A7441FF" w:rsidRPr="00EB50F2">
        <w:rPr>
          <w:rStyle w:val="normaltextrun"/>
          <w:rFonts w:ascii="Arial" w:hAnsi="Arial"/>
          <w:color w:val="000000"/>
          <w:shd w:val="clear" w:color="auto" w:fill="FFFFFF"/>
        </w:rPr>
        <w:t>policy and practice innovation</w:t>
      </w:r>
      <w:r w:rsidR="4DE8BDD3" w:rsidRPr="00EB50F2">
        <w:rPr>
          <w:rStyle w:val="normaltextrun"/>
          <w:rFonts w:ascii="Arial" w:hAnsi="Arial"/>
          <w:color w:val="000000"/>
          <w:shd w:val="clear" w:color="auto" w:fill="FFFFFF"/>
        </w:rPr>
        <w:t>. Integration of qualitative and quantitative findings will help the evaluation team to</w:t>
      </w:r>
      <w:r w:rsidR="42FCEE1C" w:rsidRPr="00EB50F2">
        <w:rPr>
          <w:rStyle w:val="normaltextrun"/>
          <w:rFonts w:ascii="Arial" w:hAnsi="Arial"/>
          <w:color w:val="000000"/>
          <w:shd w:val="clear" w:color="auto" w:fill="FFFFFF"/>
        </w:rPr>
        <w:t xml:space="preserve"> provide the context behind</w:t>
      </w:r>
      <w:r w:rsidR="46C0DACC" w:rsidRPr="00EB50F2">
        <w:rPr>
          <w:rStyle w:val="normaltextrun"/>
          <w:rFonts w:ascii="Arial" w:hAnsi="Arial"/>
          <w:color w:val="000000"/>
          <w:shd w:val="clear" w:color="auto" w:fill="FFFFFF"/>
        </w:rPr>
        <w:t xml:space="preserve"> </w:t>
      </w:r>
      <w:r w:rsidR="7B960554" w:rsidRPr="00EB50F2">
        <w:rPr>
          <w:rStyle w:val="normaltextrun"/>
          <w:rFonts w:ascii="Arial" w:hAnsi="Arial"/>
          <w:color w:val="000000"/>
          <w:shd w:val="clear" w:color="auto" w:fill="FFFFFF"/>
        </w:rPr>
        <w:t xml:space="preserve">both cost and utilization </w:t>
      </w:r>
      <w:r w:rsidR="1A7441FF" w:rsidRPr="00EB50F2">
        <w:rPr>
          <w:rStyle w:val="normaltextrun"/>
          <w:rFonts w:ascii="Arial" w:hAnsi="Arial"/>
          <w:color w:val="000000"/>
          <w:shd w:val="clear" w:color="auto" w:fill="FFFFFF"/>
        </w:rPr>
        <w:t xml:space="preserve">trends and outcomes. </w:t>
      </w:r>
    </w:p>
    <w:p w14:paraId="40B4042C" w14:textId="7485BF87" w:rsidR="00BC742E" w:rsidRPr="00EB50F2" w:rsidRDefault="67AF65D0" w:rsidP="7F638223">
      <w:r w:rsidRPr="005B47F7">
        <w:t xml:space="preserve">Measures, data sources, and analytic approaches that will be used to address each evaluation hypothesis </w:t>
      </w:r>
      <w:r w:rsidR="5397CFFD" w:rsidRPr="005B47F7">
        <w:t>are</w:t>
      </w:r>
      <w:r w:rsidRPr="005B47F7">
        <w:t xml:space="preserve"> presented in </w:t>
      </w:r>
      <w:r w:rsidR="00702216" w:rsidRPr="00FF4ED5">
        <w:rPr>
          <w:color w:val="000F9F"/>
          <w:u w:val="single"/>
        </w:rPr>
        <w:fldChar w:fldCharType="begin"/>
      </w:r>
      <w:r w:rsidR="00702216" w:rsidRPr="00FF4ED5">
        <w:rPr>
          <w:color w:val="000F9F"/>
          <w:u w:val="single"/>
        </w:rPr>
        <w:instrText xml:space="preserve"> REF _Ref151466991 \h </w:instrText>
      </w:r>
      <w:r w:rsidR="00702216" w:rsidRPr="00FF4ED5">
        <w:rPr>
          <w:color w:val="000F9F"/>
          <w:u w:val="single"/>
        </w:rPr>
      </w:r>
      <w:r w:rsidR="00702216" w:rsidRPr="00FF4ED5">
        <w:rPr>
          <w:color w:val="000F9F"/>
          <w:u w:val="single"/>
        </w:rPr>
        <w:fldChar w:fldCharType="separate"/>
      </w:r>
      <w:r w:rsidR="00702216" w:rsidRPr="00FF4ED5">
        <w:rPr>
          <w:color w:val="000F9F"/>
          <w:u w:val="single"/>
        </w:rPr>
        <w:t xml:space="preserve">Table </w:t>
      </w:r>
      <w:r w:rsidR="00702216" w:rsidRPr="00FF4ED5">
        <w:rPr>
          <w:noProof/>
          <w:color w:val="000F9F"/>
          <w:u w:val="single"/>
        </w:rPr>
        <w:t>4</w:t>
      </w:r>
      <w:r w:rsidR="00702216" w:rsidRPr="00FF4ED5">
        <w:rPr>
          <w:color w:val="000F9F"/>
          <w:u w:val="single"/>
        </w:rPr>
        <w:noBreakHyphen/>
      </w:r>
      <w:r w:rsidR="00702216" w:rsidRPr="00FF4ED5">
        <w:rPr>
          <w:noProof/>
          <w:color w:val="000F9F"/>
          <w:u w:val="single"/>
        </w:rPr>
        <w:t>1</w:t>
      </w:r>
      <w:r w:rsidR="00702216" w:rsidRPr="00FF4ED5">
        <w:rPr>
          <w:color w:val="000F9F"/>
          <w:u w:val="single"/>
        </w:rPr>
        <w:fldChar w:fldCharType="end"/>
      </w:r>
      <w:r w:rsidRPr="005B47F7">
        <w:t xml:space="preserve">. Details on the specifications, numerator, and denominator for key measures are presented in </w:t>
      </w:r>
      <w:hyperlink w:anchor="Appendix_B">
        <w:r w:rsidRPr="005B47F7">
          <w:rPr>
            <w:rStyle w:val="Hyperlink"/>
          </w:rPr>
          <w:t>Appendix B</w:t>
        </w:r>
      </w:hyperlink>
      <w:r w:rsidRPr="00EB50F2">
        <w:rPr>
          <w:u w:val="single"/>
        </w:rPr>
        <w:t>.</w:t>
      </w:r>
    </w:p>
    <w:p w14:paraId="5510E29A" w14:textId="77777777" w:rsidR="00BC742E" w:rsidRPr="0009132C" w:rsidRDefault="00BC742E" w:rsidP="00EE4105">
      <w:pPr>
        <w:pStyle w:val="Heading3"/>
      </w:pPr>
      <w:r w:rsidRPr="0009132C">
        <w:t>Limitations</w:t>
      </w:r>
    </w:p>
    <w:p w14:paraId="03D206E4" w14:textId="11E7D5C9" w:rsidR="00BC742E" w:rsidRPr="0009132C" w:rsidRDefault="00BC742E" w:rsidP="00E15D88">
      <w:r w:rsidRPr="0009132C">
        <w:t xml:space="preserve">As mentioned above, due to other activities targeting improvements in BH services in the </w:t>
      </w:r>
      <w:r w:rsidR="15F4375A" w:rsidRPr="0009132C">
        <w:t>Commonwealth</w:t>
      </w:r>
      <w:r w:rsidRPr="0009132C">
        <w:t>, isolating the impact of the Demonstration from other activities, including the BH Roadmap</w:t>
      </w:r>
      <w:r w:rsidR="00715A8F" w:rsidRPr="0009132C">
        <w:t xml:space="preserve"> and ACO </w:t>
      </w:r>
      <w:r w:rsidR="1B65CCC8" w:rsidRPr="0009132C">
        <w:t>initiatives</w:t>
      </w:r>
      <w:r w:rsidRPr="0009132C">
        <w:t>, may be difficult. The evaluation team will use mixed methods to map members’ care-seeking behaviors, challenges, satisfaction, and outcome</w:t>
      </w:r>
      <w:r w:rsidR="00637EC6">
        <w:t>s</w:t>
      </w:r>
      <w:r w:rsidRPr="0009132C">
        <w:t xml:space="preserve"> and, when possible, attribute these changes to the Demonstration compared to other state initiatives.</w:t>
      </w:r>
    </w:p>
    <w:p w14:paraId="76261800" w14:textId="0BDD08C3" w:rsidR="00BC742E" w:rsidRPr="0009132C" w:rsidRDefault="00BC742E" w:rsidP="00E15D88">
      <w:r w:rsidRPr="0009132C">
        <w:t xml:space="preserve">The expansion of SMI/SED and/or SUD services at the statewide level for all MassHealth members limits the availability of a clear comparison group. When appropriate, and if access to data is feasible, the evaluation team will use </w:t>
      </w:r>
      <w:r w:rsidR="00A8503B">
        <w:t>the MA-</w:t>
      </w:r>
      <w:r w:rsidRPr="0009132C">
        <w:t>APCD to compare key care quality and healthcare utilization measures and cost trends among matched individuals with MassHealth, Medicare, and commercial insurance. This would allow us to control for external factors at the state level that might impact the use of SMI/SED and/or SUD services.</w:t>
      </w:r>
    </w:p>
    <w:p w14:paraId="54AFEA5B" w14:textId="77777777" w:rsidR="007A3EFD" w:rsidRPr="0009132C" w:rsidRDefault="007A3EFD" w:rsidP="00AB34A2">
      <w:pPr>
        <w:rPr>
          <w:bCs/>
        </w:rPr>
        <w:sectPr w:rsidR="007A3EFD" w:rsidRPr="0009132C" w:rsidSect="00744E1B">
          <w:pgSz w:w="12240" w:h="15840"/>
          <w:pgMar w:top="1440" w:right="1440" w:bottom="1440" w:left="1440" w:header="720" w:footer="576" w:gutter="0"/>
          <w:cols w:space="720"/>
          <w:docGrid w:linePitch="360"/>
        </w:sectPr>
      </w:pPr>
    </w:p>
    <w:p w14:paraId="3B5E053B" w14:textId="65A36A55" w:rsidR="009C1A39" w:rsidRPr="00277FA7" w:rsidRDefault="2193B03E" w:rsidP="00277FA7">
      <w:pPr>
        <w:pStyle w:val="Heading1"/>
      </w:pPr>
      <w:bookmarkStart w:id="135" w:name="_Safety_Net_Care"/>
      <w:bookmarkStart w:id="136" w:name="_Toc129619745"/>
      <w:bookmarkStart w:id="137" w:name="_Toc130209716"/>
      <w:bookmarkStart w:id="138" w:name="_Ref142920823"/>
      <w:bookmarkStart w:id="139" w:name="_Ref142921131"/>
      <w:bookmarkStart w:id="140" w:name="_Toc151976427"/>
      <w:bookmarkEnd w:id="135"/>
      <w:r>
        <w:lastRenderedPageBreak/>
        <w:t>Safety Net Care Pool</w:t>
      </w:r>
      <w:bookmarkEnd w:id="136"/>
      <w:bookmarkEnd w:id="137"/>
      <w:bookmarkEnd w:id="138"/>
      <w:bookmarkEnd w:id="139"/>
      <w:bookmarkEnd w:id="140"/>
    </w:p>
    <w:p w14:paraId="20FB8679" w14:textId="4D2080FB" w:rsidR="009C1A39" w:rsidRPr="00B442EB" w:rsidRDefault="009C1A39" w:rsidP="00B442EB">
      <w:pPr>
        <w:pStyle w:val="Heading2"/>
      </w:pPr>
      <w:bookmarkStart w:id="141" w:name="_Toc130209717"/>
      <w:bookmarkStart w:id="142" w:name="_Toc151976428"/>
      <w:r w:rsidRPr="00B442EB">
        <w:t>Overview of Safety Net Care Pool (SNCP) Policy Domain</w:t>
      </w:r>
      <w:bookmarkEnd w:id="141"/>
      <w:bookmarkEnd w:id="142"/>
    </w:p>
    <w:p w14:paraId="6C6281DB" w14:textId="372BEB03" w:rsidR="009C1A39" w:rsidRPr="0009132C" w:rsidRDefault="009C1A39" w:rsidP="00060A2A">
      <w:r w:rsidRPr="0009132C">
        <w:t xml:space="preserve">The </w:t>
      </w:r>
      <w:r w:rsidR="23A7739B" w:rsidRPr="0009132C">
        <w:t>Demonstration</w:t>
      </w:r>
      <w:r w:rsidRPr="0009132C">
        <w:t xml:space="preserve"> includes the continuation of many longstanding authorities and programs that the Commonwealth has implemented in previous Demonstrations. The SNCP policy domain of this Demonstration includes certain continuing programs that aim to provide uncompensated care payments to safety net providers that serve Medicaid members and low-income, uninsured individuals.</w:t>
      </w:r>
      <w:r w:rsidRPr="0009132C">
        <w:rPr>
          <w:rStyle w:val="FootnoteReference"/>
        </w:rPr>
        <w:footnoteReference w:id="96"/>
      </w:r>
      <w:r w:rsidRPr="0009132C">
        <w:rPr>
          <w:vertAlign w:val="superscript"/>
        </w:rPr>
        <w:t xml:space="preserve"> </w:t>
      </w:r>
    </w:p>
    <w:p w14:paraId="1A1CADB7" w14:textId="49143B8F" w:rsidR="009C1A39" w:rsidRPr="0009132C" w:rsidRDefault="65ED0E7D" w:rsidP="00060A2A">
      <w:r w:rsidRPr="0009132C">
        <w:t>I</w:t>
      </w:r>
      <w:r w:rsidR="009C1A39" w:rsidRPr="0009132C">
        <w:t>nitiatives for the SNCP in previous Demonstrations have included “providing residual provider funding for uncompensated care, and care for Medicaid Fee-For-Service (FFS), Medicaid managed care, Commonwealth Care and low-income uninsured individuals, as well as infrastructure expenditures and access to certain state health programs related to vulnerable individuals, including low-income populations,” all of which are described further in Attachment E of the STC.</w:t>
      </w:r>
      <w:r w:rsidR="009C1A39" w:rsidRPr="0009132C">
        <w:rPr>
          <w:rStyle w:val="FootnoteReference"/>
        </w:rPr>
        <w:footnoteReference w:id="97"/>
      </w:r>
    </w:p>
    <w:p w14:paraId="59410265" w14:textId="49BA91C1" w:rsidR="009C1A39" w:rsidRPr="0009132C" w:rsidRDefault="009C1A39" w:rsidP="00060A2A">
      <w:r w:rsidRPr="0009132C">
        <w:t>During the 2017-2022 Demonstration, the expenditure categories for the SNCP included the Disproportionate Share Hospital-like (DSH-like) Pool (which includes Safety Net Provider Payments (SNPP), the Uncompensated Care (UC) Pool for charity care for uninsured and underinsured, the Delivery System Reform Incentive Payment (DSRIP)</w:t>
      </w:r>
      <w:r w:rsidR="00480DE0" w:rsidRPr="0009132C">
        <w:t xml:space="preserve"> Program</w:t>
      </w:r>
      <w:r w:rsidRPr="0009132C">
        <w:t>, Public Hospital Transformation and Incentive Initiatives (PHTII)</w:t>
      </w:r>
      <w:r w:rsidR="00E8722F" w:rsidRPr="0009132C">
        <w:t>,</w:t>
      </w:r>
      <w:r w:rsidRPr="0009132C">
        <w:rPr>
          <w:rStyle w:val="FootnoteReference"/>
        </w:rPr>
        <w:footnoteReference w:id="98"/>
      </w:r>
      <w:r w:rsidRPr="0009132C">
        <w:t xml:space="preserve"> and DSHP-Health Connector Subsidies. </w:t>
      </w:r>
    </w:p>
    <w:p w14:paraId="2E05D062" w14:textId="1887AD8E" w:rsidR="009C1A39" w:rsidRPr="0009132C" w:rsidRDefault="009C1A39" w:rsidP="00060A2A">
      <w:r>
        <w:t>As described in more detail below, MassHealth will continue to have expenditure authority of the DSH-like Pool and the UC Pool funding in the 2022-2027 Demonstration</w:t>
      </w:r>
      <w:r w:rsidR="29E1E0A5">
        <w:t xml:space="preserve"> (as well as close-out expenditure authority for 2017-2022 Demonstration programs)</w:t>
      </w:r>
      <w:r>
        <w:t>.</w:t>
      </w:r>
      <w:r w:rsidR="000C28A0">
        <w:rPr>
          <w:rStyle w:val="FootnoteReference"/>
        </w:rPr>
        <w:footnoteReference w:id="99"/>
      </w:r>
      <w:r>
        <w:t xml:space="preserve"> </w:t>
      </w:r>
    </w:p>
    <w:p w14:paraId="30180476" w14:textId="77777777" w:rsidR="009C1A39" w:rsidRPr="0009132C" w:rsidRDefault="009C1A39" w:rsidP="00EE4105">
      <w:pPr>
        <w:pStyle w:val="Heading3"/>
      </w:pPr>
      <w:r w:rsidRPr="0009132C">
        <w:t>SNCP Policy Domain Goals</w:t>
      </w:r>
    </w:p>
    <w:p w14:paraId="246FF9F0" w14:textId="3FCF7ACC" w:rsidR="009C1A39" w:rsidRPr="0009132C" w:rsidRDefault="009C1A39" w:rsidP="001655D9">
      <w:r w:rsidRPr="0009132C">
        <w:t xml:space="preserve">A key goal of the 2022-2027 Demonstration includes supporting safety net providers in the Commonwealth with continuous funding through multiple mechanisms while furthering efforts to increase </w:t>
      </w:r>
      <w:r w:rsidR="75CDC181" w:rsidRPr="0009132C">
        <w:t xml:space="preserve">provider </w:t>
      </w:r>
      <w:r w:rsidRPr="0009132C">
        <w:t>accountability. In addition, a significant objective of the overall Demonstration is for the SNCP to align funding with MassHealth’s accountable care strategies and expectations and to create and promote a sustainable structure that allows ongoing funding to continue to support safety net providers.</w:t>
      </w:r>
      <w:r w:rsidRPr="0009132C">
        <w:rPr>
          <w:rStyle w:val="FootnoteReference"/>
        </w:rPr>
        <w:footnoteReference w:id="100"/>
      </w:r>
      <w:r w:rsidRPr="0009132C">
        <w:t xml:space="preserve"> The SNCP policy aims to increase access to care to serve vulnerable populations (particularly Medicaid-covered or uninsured populations) with quality healthcare within the Commonwealth by funding participating safety net providers. </w:t>
      </w:r>
    </w:p>
    <w:p w14:paraId="76D42235" w14:textId="3E35DF8D" w:rsidR="009C1A39" w:rsidRPr="0009132C" w:rsidRDefault="009C1A39" w:rsidP="00EE4105">
      <w:pPr>
        <w:pStyle w:val="Heading3"/>
      </w:pPr>
      <w:r w:rsidRPr="0009132C">
        <w:lastRenderedPageBreak/>
        <w:t xml:space="preserve">SNCP Policy Components and Desired </w:t>
      </w:r>
      <w:r w:rsidR="00637EC6">
        <w:t>O</w:t>
      </w:r>
      <w:r w:rsidR="00637EC6" w:rsidRPr="0009132C">
        <w:t>utcomes</w:t>
      </w:r>
    </w:p>
    <w:p w14:paraId="43314A08" w14:textId="052E155E" w:rsidR="009C1A39" w:rsidRPr="0009132C" w:rsidRDefault="009C1A39" w:rsidP="001655D9">
      <w:r w:rsidRPr="0009132C">
        <w:t>The desired primary outcomes of the SNCP are to ensure the sustainability of various safety net providers and to maintain or increase members’ ability to access accountable care. Better access to care may be evidenced by increased use of preventative, primary, and necessary specialist care. Ultimately, the SNCP will contribute to maintaining the Commonwealth’s overall health status and improving health equity while reducing per-member-per-month (PMPM) cost</w:t>
      </w:r>
      <w:r w:rsidR="00A740B5">
        <w:t>s</w:t>
      </w:r>
      <w:r w:rsidRPr="0009132C">
        <w:t xml:space="preserve"> and supporting the Medicaid program’s financial sustainability.</w:t>
      </w:r>
    </w:p>
    <w:p w14:paraId="54F1FBA2" w14:textId="77777777" w:rsidR="009C1A39" w:rsidRPr="0009132C" w:rsidRDefault="009C1A39" w:rsidP="00301DAB">
      <w:pPr>
        <w:pStyle w:val="Heading4"/>
      </w:pPr>
      <w:r w:rsidRPr="0009132C">
        <w:t>Payment Policy Initiatives</w:t>
      </w:r>
    </w:p>
    <w:p w14:paraId="624F50D0" w14:textId="6C55AE13" w:rsidR="009C1A39" w:rsidRPr="0009132C" w:rsidRDefault="009C1A39" w:rsidP="001655D9">
      <w:r w:rsidRPr="0009132C">
        <w:t xml:space="preserve">As the SNCP policy continues through the 2022-2027 Demonstration, the SNCP funding and data sources have been adapted to better fit the needs of the Commonwealth. The SNCP policy initiatives for the 2022-2027 Demonstration include updated payment initiatives to align with the current policy goals. The DSH-like Pool will offset Medicaid underpayment and uncompensated care. This includes SNPP tied to </w:t>
      </w:r>
      <w:r w:rsidR="002D0513" w:rsidRPr="0009132C">
        <w:t>Accountable Care Organization (</w:t>
      </w:r>
      <w:r w:rsidRPr="0009132C">
        <w:t>ACO</w:t>
      </w:r>
      <w:r w:rsidR="002D0513" w:rsidRPr="0009132C">
        <w:t>)</w:t>
      </w:r>
      <w:r w:rsidRPr="0009132C">
        <w:t xml:space="preserve"> quality and Total Cost of Care (TCOC) accountability. During this period, 20 percent of </w:t>
      </w:r>
      <w:r w:rsidR="00C313F0" w:rsidRPr="0009132C">
        <w:t>Safety Net Hospitals’ (</w:t>
      </w:r>
      <w:r w:rsidRPr="0009132C">
        <w:t>SNH</w:t>
      </w:r>
      <w:r w:rsidR="00C313F0" w:rsidRPr="0009132C">
        <w:t xml:space="preserve">) </w:t>
      </w:r>
      <w:r w:rsidRPr="0009132C">
        <w:t xml:space="preserve">SNPP payments will be risk-based. From October 2022 to December 2027, </w:t>
      </w:r>
      <w:r w:rsidR="00AF0AB3">
        <w:t xml:space="preserve">the </w:t>
      </w:r>
      <w:r w:rsidRPr="0009132C">
        <w:t>23 SNHs</w:t>
      </w:r>
      <w:r w:rsidRPr="0009132C">
        <w:rPr>
          <w:rStyle w:val="FootnoteReference"/>
        </w:rPr>
        <w:footnoteReference w:id="101"/>
      </w:r>
      <w:r w:rsidRPr="0009132C">
        <w:t xml:space="preserve"> listed below</w:t>
      </w:r>
      <w:r w:rsidR="31383EF4" w:rsidRPr="0009132C">
        <w:t xml:space="preserve"> will be eligible for SNPPs</w:t>
      </w:r>
      <w:r w:rsidRPr="0009132C">
        <w:t xml:space="preserve">. There will also be a continuation of access to the Uncompensated Care (UC) Pool from the previous Demonstration. </w:t>
      </w:r>
    </w:p>
    <w:p w14:paraId="17DC2909" w14:textId="22415E31" w:rsidR="009C1A39" w:rsidRPr="0009132C" w:rsidRDefault="009C1A39" w:rsidP="001C0B48">
      <w:pPr>
        <w:pStyle w:val="Heading5"/>
        <w:spacing w:after="120"/>
        <w:sectPr w:rsidR="009C1A39" w:rsidRPr="0009132C" w:rsidSect="00744E1B">
          <w:headerReference w:type="first" r:id="rId27"/>
          <w:pgSz w:w="12240" w:h="15840"/>
          <w:pgMar w:top="1440" w:right="1440" w:bottom="1440" w:left="1440" w:header="720" w:footer="720" w:gutter="0"/>
          <w:cols w:space="720"/>
          <w:docGrid w:linePitch="360"/>
        </w:sectPr>
      </w:pPr>
      <w:r w:rsidRPr="0009132C">
        <w:t>SNHs</w:t>
      </w:r>
    </w:p>
    <w:p w14:paraId="741F0034" w14:textId="77777777" w:rsidR="009C1A39" w:rsidRPr="00AF0AB3" w:rsidRDefault="009C1A39" w:rsidP="00702216">
      <w:pPr>
        <w:pStyle w:val="ListNumber"/>
        <w:numPr>
          <w:ilvl w:val="0"/>
          <w:numId w:val="145"/>
        </w:numPr>
        <w:ind w:left="450" w:hanging="450"/>
      </w:pPr>
      <w:r w:rsidRPr="00AF0AB3">
        <w:t>Baystate Franklin Medical Center</w:t>
      </w:r>
    </w:p>
    <w:p w14:paraId="6457C519" w14:textId="77777777" w:rsidR="009C1A39" w:rsidRPr="00AF0AB3" w:rsidRDefault="009C1A39" w:rsidP="00702216">
      <w:pPr>
        <w:pStyle w:val="ListNumber"/>
        <w:ind w:left="450" w:hanging="450"/>
      </w:pPr>
      <w:r w:rsidRPr="00AF0AB3">
        <w:t>Baystate Medical Center</w:t>
      </w:r>
    </w:p>
    <w:p w14:paraId="163133D1" w14:textId="77777777" w:rsidR="009C1A39" w:rsidRPr="00AF0AB3" w:rsidRDefault="009C1A39" w:rsidP="00702216">
      <w:pPr>
        <w:pStyle w:val="ListNumber"/>
        <w:ind w:left="450" w:hanging="450"/>
      </w:pPr>
      <w:r w:rsidRPr="00AF0AB3">
        <w:t>Baystate Noble Hospital</w:t>
      </w:r>
    </w:p>
    <w:p w14:paraId="789D8355" w14:textId="77777777" w:rsidR="009C1A39" w:rsidRPr="00AF0AB3" w:rsidRDefault="009C1A39" w:rsidP="00702216">
      <w:pPr>
        <w:pStyle w:val="ListNumber"/>
        <w:ind w:left="450" w:hanging="450"/>
      </w:pPr>
      <w:r w:rsidRPr="00AF0AB3">
        <w:t>Baystate Wing Hospital</w:t>
      </w:r>
    </w:p>
    <w:p w14:paraId="4DC44CBD" w14:textId="77777777" w:rsidR="009C1A39" w:rsidRPr="00AF0AB3" w:rsidRDefault="009C1A39" w:rsidP="00702216">
      <w:pPr>
        <w:pStyle w:val="ListNumber"/>
        <w:ind w:left="450" w:hanging="450"/>
      </w:pPr>
      <w:r w:rsidRPr="00AF0AB3">
        <w:t>Berkshire Medical Center</w:t>
      </w:r>
    </w:p>
    <w:p w14:paraId="7EC0C80C" w14:textId="77777777" w:rsidR="009C1A39" w:rsidRPr="00AF0AB3" w:rsidRDefault="009C1A39" w:rsidP="00702216">
      <w:pPr>
        <w:pStyle w:val="ListNumber"/>
        <w:ind w:left="450" w:hanging="450"/>
      </w:pPr>
      <w:r w:rsidRPr="00AF0AB3">
        <w:t>Boston Medical Center</w:t>
      </w:r>
    </w:p>
    <w:p w14:paraId="44C768F3" w14:textId="77777777" w:rsidR="009C1A39" w:rsidRPr="00AF0AB3" w:rsidRDefault="009C1A39" w:rsidP="00702216">
      <w:pPr>
        <w:pStyle w:val="ListNumber"/>
        <w:ind w:left="450" w:hanging="450"/>
      </w:pPr>
      <w:r w:rsidRPr="00AF0AB3">
        <w:t>Heywood Hospital</w:t>
      </w:r>
    </w:p>
    <w:p w14:paraId="3111FE08" w14:textId="77777777" w:rsidR="009C1A39" w:rsidRPr="00AF0AB3" w:rsidRDefault="009C1A39" w:rsidP="00702216">
      <w:pPr>
        <w:pStyle w:val="ListNumber"/>
        <w:ind w:left="450" w:hanging="450"/>
      </w:pPr>
      <w:r w:rsidRPr="00AF0AB3">
        <w:t>Holyoke Medical Center</w:t>
      </w:r>
    </w:p>
    <w:p w14:paraId="1A4B44E3" w14:textId="77777777" w:rsidR="009C1A39" w:rsidRPr="00AF0AB3" w:rsidRDefault="009C1A39" w:rsidP="00702216">
      <w:pPr>
        <w:pStyle w:val="ListNumber"/>
        <w:ind w:left="450" w:hanging="450"/>
      </w:pPr>
      <w:r w:rsidRPr="00AF0AB3">
        <w:t>Lawrence General Hospital</w:t>
      </w:r>
    </w:p>
    <w:p w14:paraId="549E72FC" w14:textId="77777777" w:rsidR="009C1A39" w:rsidRPr="00AF0AB3" w:rsidRDefault="009C1A39" w:rsidP="00702216">
      <w:pPr>
        <w:pStyle w:val="ListNumber"/>
        <w:ind w:left="450" w:hanging="450"/>
      </w:pPr>
      <w:r w:rsidRPr="00AF0AB3">
        <w:t>Lowell General Hospital</w:t>
      </w:r>
    </w:p>
    <w:p w14:paraId="5DAE0211" w14:textId="77777777" w:rsidR="009C1A39" w:rsidRPr="00AF0AB3" w:rsidRDefault="009C1A39" w:rsidP="00702216">
      <w:pPr>
        <w:pStyle w:val="ListNumber"/>
        <w:ind w:left="450" w:hanging="450"/>
      </w:pPr>
      <w:r w:rsidRPr="00AF0AB3">
        <w:t>Martha’s Vineyard Hospital</w:t>
      </w:r>
    </w:p>
    <w:p w14:paraId="77921BD1" w14:textId="77777777" w:rsidR="009C1A39" w:rsidRPr="00AF0AB3" w:rsidRDefault="009C1A39" w:rsidP="00702216">
      <w:pPr>
        <w:pStyle w:val="ListNumber"/>
        <w:ind w:left="450" w:hanging="450"/>
      </w:pPr>
      <w:r w:rsidRPr="00AF0AB3">
        <w:t>Mercy Medical Center</w:t>
      </w:r>
    </w:p>
    <w:p w14:paraId="3B42125E" w14:textId="77777777" w:rsidR="009C1A39" w:rsidRPr="00AF0AB3" w:rsidRDefault="009C1A39" w:rsidP="00702216">
      <w:pPr>
        <w:pStyle w:val="ListNumber"/>
        <w:ind w:left="450" w:hanging="450"/>
      </w:pPr>
      <w:r w:rsidRPr="00AF0AB3">
        <w:t>MetroWest Medical Center</w:t>
      </w:r>
    </w:p>
    <w:p w14:paraId="70C77A49" w14:textId="77777777" w:rsidR="009C1A39" w:rsidRPr="00AF0AB3" w:rsidRDefault="009C1A39" w:rsidP="00702216">
      <w:pPr>
        <w:pStyle w:val="ListNumber"/>
        <w:ind w:left="450" w:hanging="450"/>
      </w:pPr>
      <w:r w:rsidRPr="00AF0AB3">
        <w:t>North Shore Medical Center</w:t>
      </w:r>
    </w:p>
    <w:p w14:paraId="2FAB3011" w14:textId="77777777" w:rsidR="009C1A39" w:rsidRPr="00AF0AB3" w:rsidRDefault="009C1A39" w:rsidP="00702216">
      <w:pPr>
        <w:pStyle w:val="ListNumber"/>
        <w:ind w:left="450" w:hanging="450"/>
      </w:pPr>
      <w:r w:rsidRPr="00AF0AB3">
        <w:t>Signature Healthcare Brockton Hospital</w:t>
      </w:r>
    </w:p>
    <w:p w14:paraId="555FC53B" w14:textId="7D3DD859" w:rsidR="009C1A39" w:rsidRPr="00AF0AB3" w:rsidRDefault="009C1A39" w:rsidP="00702216">
      <w:pPr>
        <w:pStyle w:val="ListNumber"/>
        <w:ind w:left="450" w:hanging="450"/>
      </w:pPr>
      <w:r w:rsidRPr="00AF0AB3">
        <w:t xml:space="preserve">Shriners Hospitals for Children </w:t>
      </w:r>
      <w:r w:rsidR="00702216">
        <w:t>–</w:t>
      </w:r>
      <w:r w:rsidR="00702216" w:rsidRPr="00AF0AB3">
        <w:t xml:space="preserve"> </w:t>
      </w:r>
      <w:r w:rsidRPr="00AF0AB3">
        <w:t>Boston</w:t>
      </w:r>
    </w:p>
    <w:p w14:paraId="561E4618" w14:textId="45728533" w:rsidR="009C1A39" w:rsidRPr="00AF0AB3" w:rsidRDefault="009C1A39" w:rsidP="00702216">
      <w:pPr>
        <w:pStyle w:val="ListNumber"/>
        <w:ind w:left="450" w:hanging="450"/>
      </w:pPr>
      <w:r w:rsidRPr="00AF0AB3">
        <w:t xml:space="preserve">Shriners Hospitals for Children </w:t>
      </w:r>
      <w:r w:rsidR="00702216">
        <w:t>–</w:t>
      </w:r>
      <w:r w:rsidRPr="00AF0AB3">
        <w:t>Springfield</w:t>
      </w:r>
    </w:p>
    <w:p w14:paraId="6273E281" w14:textId="77777777" w:rsidR="009C1A39" w:rsidRPr="00AF0AB3" w:rsidRDefault="009C1A39" w:rsidP="00702216">
      <w:pPr>
        <w:pStyle w:val="ListNumber"/>
        <w:ind w:left="450" w:hanging="450"/>
      </w:pPr>
      <w:r w:rsidRPr="00AF0AB3">
        <w:t>Southcoast Hospitals Group</w:t>
      </w:r>
    </w:p>
    <w:p w14:paraId="12C55C43" w14:textId="77777777" w:rsidR="009C1A39" w:rsidRPr="00AF0AB3" w:rsidRDefault="009C1A39" w:rsidP="00702216">
      <w:pPr>
        <w:pStyle w:val="ListNumber"/>
        <w:ind w:left="450" w:hanging="450"/>
      </w:pPr>
      <w:r w:rsidRPr="00AF0AB3">
        <w:t>Steward Carney Hospital Inc.</w:t>
      </w:r>
    </w:p>
    <w:p w14:paraId="3871314F" w14:textId="77777777" w:rsidR="009C1A39" w:rsidRPr="00AF0AB3" w:rsidRDefault="009C1A39" w:rsidP="00702216">
      <w:pPr>
        <w:pStyle w:val="ListNumber"/>
        <w:ind w:left="450" w:hanging="450"/>
      </w:pPr>
      <w:r w:rsidRPr="00AF0AB3">
        <w:t>Steward Good Samaritan Medical Center</w:t>
      </w:r>
    </w:p>
    <w:p w14:paraId="697D7BAA" w14:textId="77777777" w:rsidR="009C1A39" w:rsidRPr="00AF0AB3" w:rsidRDefault="009C1A39" w:rsidP="00702216">
      <w:pPr>
        <w:pStyle w:val="ListNumber"/>
        <w:ind w:left="450" w:hanging="450"/>
      </w:pPr>
      <w:r w:rsidRPr="00AF0AB3">
        <w:t>Steward Holy Family Hospital Inc.</w:t>
      </w:r>
    </w:p>
    <w:p w14:paraId="0DFE0C0B" w14:textId="77777777" w:rsidR="009C1A39" w:rsidRPr="00AF0AB3" w:rsidRDefault="009C1A39" w:rsidP="00702216">
      <w:pPr>
        <w:pStyle w:val="ListNumber"/>
        <w:ind w:left="450" w:hanging="450"/>
      </w:pPr>
      <w:r w:rsidRPr="00AF0AB3">
        <w:t>Steward Morton Hospital</w:t>
      </w:r>
    </w:p>
    <w:p w14:paraId="6620A8F5" w14:textId="77777777" w:rsidR="009C1A39" w:rsidRPr="0009132C" w:rsidRDefault="009C1A39" w:rsidP="00702216">
      <w:pPr>
        <w:pStyle w:val="ListNumber"/>
        <w:ind w:left="450" w:hanging="450"/>
        <w:sectPr w:rsidR="009C1A39" w:rsidRPr="0009132C" w:rsidSect="00744E1B">
          <w:type w:val="continuous"/>
          <w:pgSz w:w="12240" w:h="15840"/>
          <w:pgMar w:top="1440" w:right="1440" w:bottom="1440" w:left="1440" w:header="720" w:footer="720" w:gutter="0"/>
          <w:cols w:num="2" w:space="360"/>
          <w:docGrid w:linePitch="360"/>
        </w:sectPr>
      </w:pPr>
      <w:r w:rsidRPr="00AF0AB3">
        <w:t xml:space="preserve">Tufts Medical Center </w:t>
      </w:r>
    </w:p>
    <w:p w14:paraId="0DFEAA3B" w14:textId="77777777" w:rsidR="009C1A39" w:rsidRPr="0009132C" w:rsidRDefault="009C1A39" w:rsidP="00301DAB">
      <w:pPr>
        <w:pStyle w:val="Heading4"/>
      </w:pPr>
      <w:r w:rsidRPr="0009132C">
        <w:lastRenderedPageBreak/>
        <w:t>DSH-like Pool</w:t>
      </w:r>
    </w:p>
    <w:p w14:paraId="7DD54A22" w14:textId="69F73F2E" w:rsidR="009C1A39" w:rsidRPr="0009132C" w:rsidRDefault="009C1A39" w:rsidP="001655D9">
      <w:r w:rsidRPr="0009132C">
        <w:t xml:space="preserve">The expenditures from the DSH-like Pool support acute hospitals and health systems, non-acute hospitals, and other providers that support uncompensated care for Medicaid </w:t>
      </w:r>
      <w:r w:rsidR="0877DBFC" w:rsidRPr="0009132C">
        <w:t>FFS</w:t>
      </w:r>
      <w:r w:rsidRPr="0009132C">
        <w:t>, low-income uninsured individuals, and expenditures for individuals who are inpatient in an Institution for Mental Disease (IMD).</w:t>
      </w:r>
      <w:r w:rsidRPr="0009132C">
        <w:rPr>
          <w:rStyle w:val="FootnoteReference"/>
        </w:rPr>
        <w:footnoteReference w:id="102"/>
      </w:r>
      <w:r w:rsidRPr="0009132C">
        <w:t xml:space="preserve"> Specifically, the DSH-like Pool may include expenses for Public Service Hospital Safety Net Care payments; Health Safety Net Trust Fund payments to hospitals and community health center</w:t>
      </w:r>
      <w:r w:rsidR="005828FF">
        <w:t>s (</w:t>
      </w:r>
      <w:r w:rsidR="00E52B91">
        <w:t>CHC</w:t>
      </w:r>
      <w:r w:rsidR="005828FF">
        <w:t>)</w:t>
      </w:r>
      <w:r w:rsidRPr="0009132C">
        <w:t>s</w:t>
      </w:r>
      <w:r w:rsidR="4ED4B791" w:rsidRPr="0009132C">
        <w:t>; payments to</w:t>
      </w:r>
      <w:r w:rsidRPr="0009132C">
        <w:t xml:space="preserve"> IMDs, </w:t>
      </w:r>
      <w:r w:rsidR="3C10C3EB">
        <w:t>DPH</w:t>
      </w:r>
      <w:r w:rsidR="00E260A5">
        <w:t xml:space="preserve"> </w:t>
      </w:r>
      <w:r w:rsidRPr="0009132C">
        <w:t xml:space="preserve">hospitals, </w:t>
      </w:r>
      <w:r w:rsidR="1F865D72" w:rsidRPr="0009132C">
        <w:t xml:space="preserve">and </w:t>
      </w:r>
      <w:r w:rsidRPr="0009132C">
        <w:t>DMH hospitals</w:t>
      </w:r>
      <w:r w:rsidR="01CECB7A" w:rsidRPr="0009132C">
        <w:t xml:space="preserve"> for uncompensated care</w:t>
      </w:r>
      <w:r w:rsidRPr="0009132C">
        <w:t>; SNPPs to qualifying hospitals; and close-out SNPP</w:t>
      </w:r>
      <w:r w:rsidR="3F053190" w:rsidRPr="0009132C">
        <w:t xml:space="preserve"> expenditures</w:t>
      </w:r>
      <w:r w:rsidRPr="0009132C">
        <w:t>.</w:t>
      </w:r>
      <w:r w:rsidRPr="0009132C">
        <w:rPr>
          <w:rStyle w:val="FootnoteReference"/>
        </w:rPr>
        <w:footnoteReference w:id="103"/>
      </w:r>
      <w:r w:rsidRPr="0009132C">
        <w:t xml:space="preserve"> SNPPs support hospitals serving many Medicaid and uninsured individuals; such payments are specifically intended to support the operational needs of these organizations.</w:t>
      </w:r>
      <w:r w:rsidRPr="0009132C">
        <w:rPr>
          <w:rStyle w:val="FootnoteReference"/>
        </w:rPr>
        <w:footnoteReference w:id="104"/>
      </w:r>
      <w:r w:rsidRPr="0009132C">
        <w:rPr>
          <w:rStyle w:val="FootnoteReference"/>
        </w:rPr>
        <w:t xml:space="preserve"> </w:t>
      </w:r>
    </w:p>
    <w:p w14:paraId="7A89FD19" w14:textId="77777777" w:rsidR="009C1A39" w:rsidRPr="0009132C" w:rsidRDefault="009C1A39" w:rsidP="00301DAB">
      <w:pPr>
        <w:pStyle w:val="Heading4"/>
      </w:pPr>
      <w:r w:rsidRPr="0009132C">
        <w:t xml:space="preserve">Uncompensated Care Pool </w:t>
      </w:r>
    </w:p>
    <w:p w14:paraId="1ABFA6F0" w14:textId="5CADE20A" w:rsidR="009C1A39" w:rsidRPr="0009132C" w:rsidRDefault="009C1A39" w:rsidP="001655D9">
      <w:r w:rsidRPr="0009132C">
        <w:t xml:space="preserve">If the DSH-like funding is exhausted, participating SNHs and safety net providers will have access to the UC Pool to cover charity care costs, which can be utilized for specific low-income and uninsured members. This also includes the DPH and DMH hospital expenditures for uninsured members. Ultimately, the UC Pool payments </w:t>
      </w:r>
      <w:r w:rsidR="5570D7FD" w:rsidRPr="0009132C">
        <w:t xml:space="preserve">are available to </w:t>
      </w:r>
      <w:r w:rsidRPr="0009132C">
        <w:t>cover the cost of care provided free</w:t>
      </w:r>
      <w:r w:rsidR="00A740B5">
        <w:t xml:space="preserve"> of </w:t>
      </w:r>
      <w:r w:rsidRPr="0009132C">
        <w:t>charge to qualif</w:t>
      </w:r>
      <w:r w:rsidR="4A0A8B22" w:rsidRPr="0009132C">
        <w:t>y</w:t>
      </w:r>
      <w:r w:rsidRPr="0009132C">
        <w:t>i</w:t>
      </w:r>
      <w:r w:rsidR="4A0A8B22" w:rsidRPr="0009132C">
        <w:t>ng</w:t>
      </w:r>
      <w:r w:rsidRPr="0009132C">
        <w:t xml:space="preserve"> individuals who adhere to the provider’s charity care policy.</w:t>
      </w:r>
      <w:r w:rsidRPr="0009132C">
        <w:rPr>
          <w:rStyle w:val="FootnoteReference"/>
        </w:rPr>
        <w:footnoteReference w:id="105"/>
      </w:r>
      <w:r w:rsidRPr="0009132C">
        <w:t xml:space="preserve"> </w:t>
      </w:r>
    </w:p>
    <w:p w14:paraId="45740C98" w14:textId="77777777" w:rsidR="009C1A39" w:rsidRPr="0009132C" w:rsidRDefault="009C1A39" w:rsidP="00EE4105">
      <w:pPr>
        <w:pStyle w:val="Heading3"/>
      </w:pPr>
      <w:r w:rsidRPr="0009132C">
        <w:t xml:space="preserve">SNCP Policy Domain Implementation Plans and Timeline </w:t>
      </w:r>
    </w:p>
    <w:p w14:paraId="10140108" w14:textId="0FA2DE1D" w:rsidR="009C1A39" w:rsidRPr="0009132C" w:rsidRDefault="009C1A39" w:rsidP="001655D9">
      <w:pPr>
        <w:sectPr w:rsidR="009C1A39" w:rsidRPr="0009132C" w:rsidSect="00744E1B">
          <w:type w:val="continuous"/>
          <w:pgSz w:w="12240" w:h="15840"/>
          <w:pgMar w:top="1440" w:right="1440" w:bottom="1440" w:left="1440" w:header="720" w:footer="720" w:gutter="0"/>
          <w:cols w:space="720"/>
          <w:docGrid w:linePitch="360"/>
        </w:sectPr>
      </w:pPr>
      <w:r>
        <w:t xml:space="preserve">The 2022-2027 Demonstration and its inclusion of the long-standing SNCP policy aim to support the Commonwealth’s safety net sustainably. The hospital assessment covers programs linked to SNCP as well as other programs that are not listed in this domain; </w:t>
      </w:r>
      <w:r w:rsidR="00904B23">
        <w:t xml:space="preserve">the </w:t>
      </w:r>
      <w:r w:rsidR="00CC264D">
        <w:t>Demonstration</w:t>
      </w:r>
      <w:r w:rsidR="00904B23">
        <w:t xml:space="preserve"> </w:t>
      </w:r>
      <w:r>
        <w:t xml:space="preserve">has been updated to support the outlined programs and initiatives related explicitly to SNCP from October 2022 to December 2027. This period overlaps with closeout payments for some </w:t>
      </w:r>
      <w:r w:rsidR="631A2909">
        <w:t xml:space="preserve">SNCP </w:t>
      </w:r>
      <w:r>
        <w:t xml:space="preserve">expenditure authorities from </w:t>
      </w:r>
      <w:r w:rsidR="00C02FB5">
        <w:t xml:space="preserve">the </w:t>
      </w:r>
      <w:r>
        <w:t>prior Demonstra</w:t>
      </w:r>
      <w:r w:rsidR="5E4F8D3D">
        <w:t>t</w:t>
      </w:r>
      <w:r>
        <w:t xml:space="preserve">ion: (1) </w:t>
      </w:r>
      <w:r w:rsidR="3910428F">
        <w:t>t</w:t>
      </w:r>
      <w:r>
        <w:t>he DSRIP payment</w:t>
      </w:r>
      <w:r w:rsidR="00426FF7">
        <w:t>s</w:t>
      </w:r>
      <w:r>
        <w:t xml:space="preserve"> will end on March 31, 2023, with close-out payments for SNPP tied to DSRIP accountability to end on December 31, 2024; and (2) the </w:t>
      </w:r>
      <w:r w:rsidR="00C313F0">
        <w:t>PHTII</w:t>
      </w:r>
      <w:r>
        <w:t xml:space="preserve"> for Cambridge Health Alliance</w:t>
      </w:r>
      <w:r w:rsidR="00C313F0">
        <w:t xml:space="preserve"> (CHA)</w:t>
      </w:r>
      <w:r>
        <w:t xml:space="preserve"> </w:t>
      </w:r>
      <w:r w:rsidR="291FB0A8">
        <w:t xml:space="preserve">will </w:t>
      </w:r>
      <w:r>
        <w:t xml:space="preserve">close out payment by December 31, 2023. </w:t>
      </w:r>
    </w:p>
    <w:p w14:paraId="6A785344" w14:textId="1D4DEC73" w:rsidR="009C1A39" w:rsidRPr="0009132C" w:rsidRDefault="00566F7D" w:rsidP="001655D9">
      <w:pPr>
        <w:pStyle w:val="Heading2"/>
      </w:pPr>
      <w:bookmarkStart w:id="143" w:name="_Toc130209718"/>
      <w:r>
        <w:lastRenderedPageBreak/>
        <w:t xml:space="preserve"> </w:t>
      </w:r>
      <w:bookmarkStart w:id="144" w:name="_Toc151976429"/>
      <w:r w:rsidR="009C1A39" w:rsidRPr="0009132C">
        <w:t>Logic Model</w:t>
      </w:r>
      <w:bookmarkEnd w:id="143"/>
      <w:bookmarkEnd w:id="144"/>
    </w:p>
    <w:p w14:paraId="251F3CDC" w14:textId="3E8CEB19" w:rsidR="009C1A39" w:rsidRPr="0009132C" w:rsidRDefault="009C1A39" w:rsidP="001655D9">
      <w:r w:rsidRPr="0009132C">
        <w:t xml:space="preserve">The logic model </w:t>
      </w:r>
      <w:r w:rsidR="00702216">
        <w:t xml:space="preserve">in </w:t>
      </w:r>
      <w:r w:rsidR="00702216" w:rsidRPr="001C0B48">
        <w:rPr>
          <w:color w:val="000F9F"/>
          <w:u w:val="single"/>
        </w:rPr>
        <w:fldChar w:fldCharType="begin"/>
      </w:r>
      <w:r w:rsidR="00702216" w:rsidRPr="001C0B48">
        <w:rPr>
          <w:color w:val="000F9F"/>
          <w:u w:val="single"/>
        </w:rPr>
        <w:instrText xml:space="preserve"> REF _Ref151467248 \h </w:instrText>
      </w:r>
      <w:r w:rsidR="00702216" w:rsidRPr="001C0B48">
        <w:rPr>
          <w:color w:val="000F9F"/>
          <w:u w:val="single"/>
        </w:rPr>
      </w:r>
      <w:r w:rsidR="00702216" w:rsidRPr="001C0B48">
        <w:rPr>
          <w:color w:val="000F9F"/>
          <w:u w:val="single"/>
        </w:rPr>
        <w:fldChar w:fldCharType="separate"/>
      </w:r>
      <w:r w:rsidR="00702216" w:rsidRPr="001C0B48">
        <w:rPr>
          <w:color w:val="000F9F"/>
          <w:u w:val="single"/>
        </w:rPr>
        <w:t xml:space="preserve">Figure </w:t>
      </w:r>
      <w:r w:rsidR="00702216" w:rsidRPr="001C0B48">
        <w:rPr>
          <w:noProof/>
          <w:color w:val="000F9F"/>
          <w:u w:val="single"/>
        </w:rPr>
        <w:t>5</w:t>
      </w:r>
      <w:r w:rsidR="00702216" w:rsidRPr="001C0B48">
        <w:rPr>
          <w:color w:val="000F9F"/>
          <w:u w:val="single"/>
        </w:rPr>
        <w:noBreakHyphen/>
      </w:r>
      <w:r w:rsidR="00702216" w:rsidRPr="001C0B48">
        <w:rPr>
          <w:noProof/>
          <w:color w:val="000F9F"/>
          <w:u w:val="single"/>
        </w:rPr>
        <w:t>1</w:t>
      </w:r>
      <w:r w:rsidR="00702216" w:rsidRPr="001C0B48">
        <w:rPr>
          <w:color w:val="000F9F"/>
          <w:u w:val="single"/>
        </w:rPr>
        <w:fldChar w:fldCharType="end"/>
      </w:r>
      <w:r w:rsidR="00702216">
        <w:t xml:space="preserve"> </w:t>
      </w:r>
      <w:r w:rsidRPr="0009132C">
        <w:t>links the SNCP Demonstration Goals to the Demonstration Inputs, Implementation Activities (e.g., funding pool), Outputs, and Outcomes (e.g., member access, quality of care, amount of uncompensated care use, and financial sustainability). This logic guides the RQs and hypotheses that follow.</w:t>
      </w:r>
    </w:p>
    <w:p w14:paraId="29515CF9" w14:textId="52FCC57D" w:rsidR="0081087D" w:rsidRDefault="751D5168" w:rsidP="009B7159">
      <w:pPr>
        <w:pStyle w:val="FigureorTableTitle"/>
      </w:pPr>
      <w:bookmarkStart w:id="145" w:name="_Ref151467248"/>
      <w:bookmarkStart w:id="146" w:name="_Toc151976470"/>
      <w:r>
        <w:t xml:space="preserve">Figure </w:t>
      </w:r>
      <w:r>
        <w:fldChar w:fldCharType="begin"/>
      </w:r>
      <w:r>
        <w:instrText>STYLEREF 1 \s</w:instrText>
      </w:r>
      <w:r>
        <w:fldChar w:fldCharType="separate"/>
      </w:r>
      <w:r w:rsidR="2E67FFBE">
        <w:rPr>
          <w:noProof/>
        </w:rPr>
        <w:t>5</w:t>
      </w:r>
      <w:r>
        <w:fldChar w:fldCharType="end"/>
      </w:r>
      <w:r w:rsidR="00743B23">
        <w:noBreakHyphen/>
      </w:r>
      <w:r>
        <w:fldChar w:fldCharType="begin"/>
      </w:r>
      <w:r>
        <w:instrText>SEQ Figure \* ARABIC \s 1</w:instrText>
      </w:r>
      <w:r>
        <w:fldChar w:fldCharType="separate"/>
      </w:r>
      <w:r w:rsidR="2E67FFBE">
        <w:rPr>
          <w:noProof/>
        </w:rPr>
        <w:t>1</w:t>
      </w:r>
      <w:r>
        <w:fldChar w:fldCharType="end"/>
      </w:r>
      <w:bookmarkEnd w:id="145"/>
      <w:r>
        <w:t xml:space="preserve">: </w:t>
      </w:r>
      <w:r w:rsidRPr="004A7DBB">
        <w:t>Logic Model for the SNCP Component of the Demonstration</w:t>
      </w:r>
      <w:bookmarkEnd w:id="146"/>
    </w:p>
    <w:p w14:paraId="4341FF91" w14:textId="73221202" w:rsidR="00D5604F" w:rsidRDefault="00FC5D8F" w:rsidP="009C1A39">
      <w:r w:rsidRPr="00FC5D8F">
        <w:rPr>
          <w:noProof/>
        </w:rPr>
        <w:drawing>
          <wp:inline distT="0" distB="0" distL="0" distR="0" wp14:anchorId="53ABC48E" wp14:editId="376995A2">
            <wp:extent cx="7274560" cy="4661591"/>
            <wp:effectExtent l="0" t="0" r="2540" b="0"/>
            <wp:docPr id="38" name="Picture 37" descr="At the top of this model diagram is the following text: Goals: (1) Increase access to effective, quality health care; and (2) Improve health care delivery systems.&#10;&#10;Underneath the GOALS is a long horizontal gray box with the title, Contextual Factors. Under this title is the following text: Macro Economy, Current Federal Rules and Regulations, Public Health Emergency, Underlying Health Status of Medicaid Beneficiaries and Uninsured, Other Hospital Quality Programs. &#10;&#10;At the bottom edge of the gray box are three arrows pointing down and center-aligned to three tall boxes arranged horizontally from left to right. &#10;&#10;In the empty space between each box is an arrow pointing to the right suggesting that each box leads into the next from left to right. &#10;&#10;The first box is light blue and titled: Inputs: Payment Policy Initiatives. Beneath this title are three items and their related bullets.&#10;&#10;Item 1 is: Disproportionate Share Hospital-like (DSH-like) Pool to Offset Medicaid Underpayment and Uncompensated Care. Under this are the following bullets: • Safety Net Provider Payments (SNPP) tied to ACO quality ; • Total Cost of Care accountability*. The asterisk refers to the following note: The SNPP will continue for the 23 safety net hospitals from April 2023 to December 2027.&#10;&#10;Item 2 is: Uncompensated Care (UC) Pool: Charity Care.&#10;&#10;Item 3 is: Connector Subsidies. &#10;&#10;The second box is blue and titled, Outputs. Under this are the following bullets: • Provider reporting requirements fulfilled; • Access to care maintained; • Quality of care improved.&#10;&#10;The third box is green and titled, Outcome. Under this are the following bullets: • Safety net provider capacity maintained/increased; • The number of Medicaid members served maintained; • Amount of uncompensated care costs stabilized; • The sustainability of Medicaid program resources maintained. &#10;&#10;Beneath these three boxes is a horizontal line with two arrow lines branching off of it, pointing upward, and almost touching the bottom of the first and third boxes, Inputs and Outcome respectively, above it. On the horizontal line is the following text: Inform policy improvement. This indicates that the contents in the boxes the arrows are pointing to will inform policy improvement. This indicates that the contents in the boxes the arrows are pointing to will inform policy improvement.">
              <a:extLst xmlns:a="http://schemas.openxmlformats.org/drawingml/2006/main">
                <a:ext uri="{FF2B5EF4-FFF2-40B4-BE49-F238E27FC236}">
                  <a16:creationId xmlns:a16="http://schemas.microsoft.com/office/drawing/2014/main" id="{3A15B0B4-8310-70A4-203A-96561F029D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descr="At the top of this model diagram is the following text: Goals: (1) Increase access to effective, quality health care; and (2) Improve health care delivery systems.&#10;&#10;Underneath the GOALS is a long horizontal gray box with the title, Contextual Factors. Under this title is the following text: Macro Economy, Current Federal Rules and Regulations, Public Health Emergency, Underlying Health Status of Medicaid Beneficiaries and Uninsured, Other Hospital Quality Programs. &#10;&#10;At the bottom edge of the gray box are three arrows pointing down and center-aligned to three tall boxes arranged horizontally from left to right. &#10;&#10;In the empty space between each box is an arrow pointing to the right suggesting that each box leads into the next from left to right. &#10;&#10;The first box is light blue and titled: Inputs: Payment Policy Initiatives. Beneath this title are three items and their related bullets.&#10;&#10;Item 1 is: Disproportionate Share Hospital-like (DSH-like) Pool to Offset Medicaid Underpayment and Uncompensated Care. Under this are the following bullets: • Safety Net Provider Payments (SNPP) tied to ACO quality ; • Total Cost of Care accountability*. The asterisk refers to the following note: The SNPP will continue for the 23 safety net hospitals from April 2023 to December 2027.&#10;&#10;Item 2 is: Uncompensated Care (UC) Pool: Charity Care.&#10;&#10;Item 3 is: Connector Subsidies. &#10;&#10;The second box is blue and titled, Outputs. Under this are the following bullets: • Provider reporting requirements fulfilled; • Access to care maintained; • Quality of care improved.&#10;&#10;The third box is green and titled, Outcome. Under this are the following bullets: • Safety net provider capacity maintained/increased; • The number of Medicaid members served maintained; • Amount of uncompensated care costs stabilized; • The sustainability of Medicaid program resources maintained. &#10;&#10;Beneath these three boxes is a horizontal line with two arrow lines branching off of it, pointing upward, and almost touching the bottom of the first and third boxes, Inputs and Outcome respectively, above it. On the horizontal line is the following text: Inform policy improvement. This indicates that the contents in the boxes the arrows are pointing to will inform policy improvement. This indicates that the contents in the boxes the arrows are pointing to will inform policy improvement.">
                      <a:extLst>
                        <a:ext uri="{FF2B5EF4-FFF2-40B4-BE49-F238E27FC236}">
                          <a16:creationId xmlns:a16="http://schemas.microsoft.com/office/drawing/2014/main" id="{3A15B0B4-8310-70A4-203A-96561F029DE0}"/>
                        </a:ext>
                      </a:extLst>
                    </pic:cNvPr>
                    <pic:cNvPicPr>
                      <a:picLocks noChangeAspect="1"/>
                    </pic:cNvPicPr>
                  </pic:nvPicPr>
                  <pic:blipFill rotWithShape="1">
                    <a:blip r:embed="rId28" cstate="hqprint">
                      <a:extLst>
                        <a:ext uri="{28A0092B-C50C-407E-A947-70E740481C1C}">
                          <a14:useLocalDpi xmlns:a14="http://schemas.microsoft.com/office/drawing/2010/main" val="0"/>
                        </a:ext>
                      </a:extLst>
                    </a:blip>
                    <a:srcRect t="1995" b="3796"/>
                    <a:stretch/>
                  </pic:blipFill>
                  <pic:spPr bwMode="auto">
                    <a:xfrm>
                      <a:off x="0" y="0"/>
                      <a:ext cx="7290353" cy="4671711"/>
                    </a:xfrm>
                    <a:prstGeom prst="rect">
                      <a:avLst/>
                    </a:prstGeom>
                    <a:noFill/>
                    <a:ln>
                      <a:noFill/>
                    </a:ln>
                    <a:extLst>
                      <a:ext uri="{53640926-AAD7-44D8-BBD7-CCE9431645EC}">
                        <a14:shadowObscured xmlns:a14="http://schemas.microsoft.com/office/drawing/2010/main"/>
                      </a:ext>
                    </a:extLst>
                  </pic:spPr>
                </pic:pic>
              </a:graphicData>
            </a:graphic>
          </wp:inline>
        </w:drawing>
      </w:r>
    </w:p>
    <w:p w14:paraId="6379B6E5" w14:textId="5C52595A" w:rsidR="00D5604F" w:rsidRPr="0009132C" w:rsidRDefault="00D5604F" w:rsidP="009C1A39">
      <w:pPr>
        <w:sectPr w:rsidR="00D5604F" w:rsidRPr="0009132C" w:rsidSect="00744E1B">
          <w:pgSz w:w="15840" w:h="12240" w:orient="landscape"/>
          <w:pgMar w:top="1440" w:right="1440" w:bottom="1440" w:left="1440" w:header="720" w:footer="720" w:gutter="0"/>
          <w:cols w:space="720"/>
          <w:docGrid w:linePitch="360"/>
        </w:sectPr>
      </w:pPr>
    </w:p>
    <w:p w14:paraId="4F6A5D8F" w14:textId="77777777" w:rsidR="009C1A39" w:rsidRPr="0009132C" w:rsidRDefault="63179F8F" w:rsidP="006B1C83">
      <w:pPr>
        <w:pStyle w:val="Heading2"/>
        <w:spacing w:after="120"/>
      </w:pPr>
      <w:r>
        <w:lastRenderedPageBreak/>
        <w:t xml:space="preserve"> </w:t>
      </w:r>
      <w:bookmarkStart w:id="147" w:name="_Toc130209719"/>
      <w:bookmarkStart w:id="148" w:name="_Toc151976430"/>
      <w:r>
        <w:t>Research Questions and Hypotheses</w:t>
      </w:r>
      <w:bookmarkEnd w:id="147"/>
      <w:bookmarkEnd w:id="148"/>
    </w:p>
    <w:p w14:paraId="3E942625" w14:textId="692ABD5A" w:rsidR="009C1A39" w:rsidRPr="0009132C" w:rsidRDefault="00702216" w:rsidP="006B1C83">
      <w:pPr>
        <w:spacing w:after="160"/>
      </w:pPr>
      <w:r w:rsidRPr="00FF4ED5">
        <w:rPr>
          <w:color w:val="000F9F"/>
          <w:u w:val="single"/>
        </w:rPr>
        <w:fldChar w:fldCharType="begin"/>
      </w:r>
      <w:r w:rsidRPr="00FF4ED5">
        <w:rPr>
          <w:color w:val="000F9F"/>
          <w:u w:val="single"/>
        </w:rPr>
        <w:instrText xml:space="preserve"> REF _Ref151467325 \h </w:instrText>
      </w:r>
      <w:r w:rsidRPr="00FF4ED5">
        <w:rPr>
          <w:color w:val="000F9F"/>
          <w:u w:val="single"/>
        </w:rPr>
      </w:r>
      <w:r w:rsidRPr="00FF4ED5">
        <w:rPr>
          <w:color w:val="000F9F"/>
          <w:u w:val="single"/>
        </w:rPr>
        <w:fldChar w:fldCharType="separate"/>
      </w:r>
      <w:r w:rsidRPr="00FF4ED5">
        <w:rPr>
          <w:color w:val="000F9F"/>
          <w:u w:val="single"/>
        </w:rPr>
        <w:t xml:space="preserve">Table </w:t>
      </w:r>
      <w:r w:rsidRPr="00FF4ED5">
        <w:rPr>
          <w:noProof/>
          <w:color w:val="000F9F"/>
          <w:u w:val="single"/>
        </w:rPr>
        <w:t>5</w:t>
      </w:r>
      <w:r w:rsidRPr="00FF4ED5">
        <w:rPr>
          <w:color w:val="000F9F"/>
          <w:u w:val="single"/>
        </w:rPr>
        <w:noBreakHyphen/>
      </w:r>
      <w:r w:rsidRPr="00FF4ED5">
        <w:rPr>
          <w:noProof/>
          <w:color w:val="000F9F"/>
          <w:u w:val="single"/>
        </w:rPr>
        <w:t>1</w:t>
      </w:r>
      <w:r w:rsidRPr="00FF4ED5">
        <w:rPr>
          <w:color w:val="000F9F"/>
          <w:u w:val="single"/>
        </w:rPr>
        <w:fldChar w:fldCharType="end"/>
      </w:r>
      <w:r w:rsidR="009C1A39">
        <w:t xml:space="preserve"> summarizes the SNCP evaluation RQs and associated hypotheses. It also includes the study populations, data sources, measures, and analytic methods, which are detailed in the following sections. As guided by the logic model, the research questions focus on how safety net providers’ capacity is maintained and increased to allow access by Medicaid populations. Because some SNCP payment is tied to ACO quality measure and cost, the evaluation will identify if the SNCP payment supports better quality of care and member experiences </w:t>
      </w:r>
      <w:r w:rsidR="454532B8">
        <w:t>at</w:t>
      </w:r>
      <w:r w:rsidR="009C1A39">
        <w:t xml:space="preserve"> SNHs. </w:t>
      </w:r>
    </w:p>
    <w:p w14:paraId="6C20B5CA" w14:textId="2B2DC5C2" w:rsidR="0001412A" w:rsidRDefault="0001412A" w:rsidP="00EB3782">
      <w:pPr>
        <w:pStyle w:val="Caption"/>
        <w:keepNext/>
      </w:pPr>
      <w:bookmarkStart w:id="149" w:name="_Ref151467325"/>
      <w:bookmarkStart w:id="150" w:name="_Toc151976459"/>
      <w:r>
        <w:t xml:space="preserve">Table </w:t>
      </w:r>
      <w:r>
        <w:fldChar w:fldCharType="begin"/>
      </w:r>
      <w:r>
        <w:instrText>STYLEREF 1 \s</w:instrText>
      </w:r>
      <w:r>
        <w:fldChar w:fldCharType="separate"/>
      </w:r>
      <w:r w:rsidR="00EB7B05">
        <w:rPr>
          <w:noProof/>
        </w:rPr>
        <w:t>5</w:t>
      </w:r>
      <w:r>
        <w:fldChar w:fldCharType="end"/>
      </w:r>
      <w:r w:rsidR="00433675">
        <w:noBreakHyphen/>
      </w:r>
      <w:r>
        <w:fldChar w:fldCharType="begin"/>
      </w:r>
      <w:r>
        <w:instrText>SEQ Table \* ARABIC \s 1</w:instrText>
      </w:r>
      <w:r>
        <w:fldChar w:fldCharType="separate"/>
      </w:r>
      <w:r w:rsidR="00EB7B05">
        <w:rPr>
          <w:noProof/>
        </w:rPr>
        <w:t>1</w:t>
      </w:r>
      <w:r>
        <w:fldChar w:fldCharType="end"/>
      </w:r>
      <w:bookmarkEnd w:id="149"/>
      <w:r>
        <w:t xml:space="preserve">: </w:t>
      </w:r>
      <w:r w:rsidRPr="009747D8">
        <w:t>Research Questions and Hypotheses for SNCP</w:t>
      </w:r>
      <w:bookmarkEnd w:id="150"/>
    </w:p>
    <w:tbl>
      <w:tblPr>
        <w:tblStyle w:val="FHCTablestyle9"/>
        <w:tblW w:w="12877" w:type="dxa"/>
        <w:tblLook w:val="04A0" w:firstRow="1" w:lastRow="0" w:firstColumn="1" w:lastColumn="0" w:noHBand="0" w:noVBand="1"/>
      </w:tblPr>
      <w:tblGrid>
        <w:gridCol w:w="1781"/>
        <w:gridCol w:w="1573"/>
        <w:gridCol w:w="1831"/>
        <w:gridCol w:w="3198"/>
        <w:gridCol w:w="2981"/>
        <w:gridCol w:w="1513"/>
      </w:tblGrid>
      <w:tr w:rsidR="000E70E5" w:rsidRPr="00B442EB" w14:paraId="22F997D9" w14:textId="77777777" w:rsidTr="006B1C83">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0" w:type="dxa"/>
            <w:hideMark/>
          </w:tcPr>
          <w:p w14:paraId="0594C051" w14:textId="00E3A715" w:rsidR="009C1A39" w:rsidRPr="006B1C83" w:rsidRDefault="009C1A39" w:rsidP="006B1C83">
            <w:pPr>
              <w:spacing w:after="0" w:line="216" w:lineRule="auto"/>
              <w:rPr>
                <w:sz w:val="21"/>
                <w:szCs w:val="21"/>
              </w:rPr>
            </w:pPr>
            <w:r w:rsidRPr="006B1C83">
              <w:rPr>
                <w:sz w:val="21"/>
                <w:szCs w:val="21"/>
              </w:rPr>
              <w:t>Research Questions</w:t>
            </w:r>
            <w:r w:rsidR="00BD4F78" w:rsidRPr="006B1C83">
              <w:rPr>
                <w:sz w:val="21"/>
                <w:szCs w:val="21"/>
                <w:vertAlign w:val="superscript"/>
              </w:rPr>
              <w:t>a</w:t>
            </w:r>
          </w:p>
        </w:tc>
        <w:tc>
          <w:tcPr>
            <w:tcW w:w="0" w:type="dxa"/>
            <w:hideMark/>
          </w:tcPr>
          <w:p w14:paraId="36A2A956" w14:textId="77777777" w:rsidR="009C1A39" w:rsidRPr="006B1C83" w:rsidRDefault="009C1A39" w:rsidP="006B1C83">
            <w:pPr>
              <w:spacing w:after="0" w:line="216" w:lineRule="auto"/>
              <w:cnfStyle w:val="100000000000" w:firstRow="1" w:lastRow="0" w:firstColumn="0" w:lastColumn="0" w:oddVBand="0" w:evenVBand="0" w:oddHBand="0" w:evenHBand="0" w:firstRowFirstColumn="0" w:firstRowLastColumn="0" w:lastRowFirstColumn="0" w:lastRowLastColumn="0"/>
              <w:rPr>
                <w:sz w:val="21"/>
                <w:szCs w:val="21"/>
              </w:rPr>
            </w:pPr>
            <w:r w:rsidRPr="006B1C83">
              <w:rPr>
                <w:sz w:val="21"/>
                <w:szCs w:val="21"/>
              </w:rPr>
              <w:t>Hypotheses</w:t>
            </w:r>
          </w:p>
        </w:tc>
        <w:tc>
          <w:tcPr>
            <w:tcW w:w="0" w:type="dxa"/>
          </w:tcPr>
          <w:p w14:paraId="19470DC7" w14:textId="03B5B9D5" w:rsidR="009C1A39" w:rsidRPr="006B1C83" w:rsidRDefault="009C1A39" w:rsidP="006B1C83">
            <w:pPr>
              <w:spacing w:after="0" w:line="216" w:lineRule="auto"/>
              <w:cnfStyle w:val="100000000000" w:firstRow="1" w:lastRow="0" w:firstColumn="0" w:lastColumn="0" w:oddVBand="0" w:evenVBand="0" w:oddHBand="0" w:evenHBand="0" w:firstRowFirstColumn="0" w:firstRowLastColumn="0" w:lastRowFirstColumn="0" w:lastRowLastColumn="0"/>
              <w:rPr>
                <w:sz w:val="21"/>
                <w:szCs w:val="21"/>
              </w:rPr>
            </w:pPr>
            <w:r w:rsidRPr="006B1C83">
              <w:rPr>
                <w:sz w:val="21"/>
                <w:szCs w:val="21"/>
              </w:rPr>
              <w:t>Data Sources</w:t>
            </w:r>
            <w:r w:rsidR="0037372E" w:rsidRPr="006B1C83">
              <w:rPr>
                <w:sz w:val="21"/>
                <w:szCs w:val="21"/>
              </w:rPr>
              <w:t xml:space="preserve"> (Evaluation Period)</w:t>
            </w:r>
            <w:r w:rsidR="00B6630C" w:rsidRPr="006B1C83">
              <w:rPr>
                <w:sz w:val="21"/>
                <w:szCs w:val="21"/>
                <w:vertAlign w:val="superscript"/>
              </w:rPr>
              <w:t>b</w:t>
            </w:r>
          </w:p>
        </w:tc>
        <w:tc>
          <w:tcPr>
            <w:tcW w:w="2388" w:type="dxa"/>
          </w:tcPr>
          <w:p w14:paraId="55E85459" w14:textId="35FEFA15" w:rsidR="009C1A39" w:rsidRPr="006B1C83" w:rsidRDefault="009C1A39" w:rsidP="006B1C83">
            <w:pPr>
              <w:spacing w:after="0" w:line="216" w:lineRule="auto"/>
              <w:cnfStyle w:val="100000000000" w:firstRow="1" w:lastRow="0" w:firstColumn="0" w:lastColumn="0" w:oddVBand="0" w:evenVBand="0" w:oddHBand="0" w:evenHBand="0" w:firstRowFirstColumn="0" w:firstRowLastColumn="0" w:lastRowFirstColumn="0" w:lastRowLastColumn="0"/>
              <w:rPr>
                <w:sz w:val="21"/>
                <w:szCs w:val="21"/>
              </w:rPr>
            </w:pPr>
            <w:r w:rsidRPr="006B1C83">
              <w:rPr>
                <w:sz w:val="21"/>
                <w:szCs w:val="21"/>
              </w:rPr>
              <w:t>Study Populations</w:t>
            </w:r>
            <w:r w:rsidR="0037372E" w:rsidRPr="006B1C83">
              <w:rPr>
                <w:sz w:val="21"/>
                <w:szCs w:val="21"/>
              </w:rPr>
              <w:t xml:space="preserve"> </w:t>
            </w:r>
            <w:r w:rsidR="00E13BC2" w:rsidRPr="006B1C83">
              <w:rPr>
                <w:sz w:val="21"/>
                <w:szCs w:val="21"/>
              </w:rPr>
              <w:t>(Estimated Sample or Population Size- per Wave for Primary Data and per Year for Secondary Data)</w:t>
            </w:r>
          </w:p>
        </w:tc>
        <w:tc>
          <w:tcPr>
            <w:tcW w:w="2226" w:type="dxa"/>
          </w:tcPr>
          <w:p w14:paraId="4CF8B7FE" w14:textId="77777777" w:rsidR="009C1A39" w:rsidRPr="006B1C83" w:rsidRDefault="009C1A39" w:rsidP="006B1C83">
            <w:pPr>
              <w:spacing w:after="0" w:line="216" w:lineRule="auto"/>
              <w:cnfStyle w:val="100000000000" w:firstRow="1" w:lastRow="0" w:firstColumn="0" w:lastColumn="0" w:oddVBand="0" w:evenVBand="0" w:oddHBand="0" w:evenHBand="0" w:firstRowFirstColumn="0" w:firstRowLastColumn="0" w:lastRowFirstColumn="0" w:lastRowLastColumn="0"/>
              <w:rPr>
                <w:sz w:val="21"/>
                <w:szCs w:val="21"/>
              </w:rPr>
            </w:pPr>
            <w:r w:rsidRPr="006B1C83">
              <w:rPr>
                <w:sz w:val="21"/>
                <w:szCs w:val="21"/>
              </w:rPr>
              <w:t xml:space="preserve">Measures </w:t>
            </w:r>
          </w:p>
        </w:tc>
        <w:tc>
          <w:tcPr>
            <w:tcW w:w="0" w:type="dxa"/>
          </w:tcPr>
          <w:p w14:paraId="7CB7670F" w14:textId="1DEEC3C5" w:rsidR="009C1A39" w:rsidRPr="006B1C83" w:rsidRDefault="009C1A39" w:rsidP="006B1C83">
            <w:pPr>
              <w:spacing w:after="0" w:line="216" w:lineRule="auto"/>
              <w:cnfStyle w:val="100000000000" w:firstRow="1" w:lastRow="0" w:firstColumn="0" w:lastColumn="0" w:oddVBand="0" w:evenVBand="0" w:oddHBand="0" w:evenHBand="0" w:firstRowFirstColumn="0" w:firstRowLastColumn="0" w:lastRowFirstColumn="0" w:lastRowLastColumn="0"/>
              <w:rPr>
                <w:sz w:val="21"/>
                <w:szCs w:val="21"/>
              </w:rPr>
            </w:pPr>
            <w:r w:rsidRPr="006B1C83">
              <w:rPr>
                <w:sz w:val="21"/>
                <w:szCs w:val="21"/>
              </w:rPr>
              <w:t>Analytic Methods</w:t>
            </w:r>
            <w:r w:rsidR="0037372E" w:rsidRPr="006B1C83">
              <w:rPr>
                <w:sz w:val="21"/>
                <w:szCs w:val="21"/>
              </w:rPr>
              <w:t xml:space="preserve"> (Unit of Analysis)</w:t>
            </w:r>
            <w:r w:rsidR="00B6630C" w:rsidRPr="006B1C83">
              <w:rPr>
                <w:sz w:val="21"/>
                <w:szCs w:val="21"/>
                <w:vertAlign w:val="superscript"/>
              </w:rPr>
              <w:t>c</w:t>
            </w:r>
          </w:p>
        </w:tc>
      </w:tr>
      <w:tr w:rsidR="00EB3782" w:rsidRPr="0001412A" w:rsidDel="006C61ED" w14:paraId="7EAA50AD" w14:textId="77777777" w:rsidTr="001C0B48">
        <w:trPr>
          <w:cnfStyle w:val="000000100000" w:firstRow="0" w:lastRow="0" w:firstColumn="0" w:lastColumn="0" w:oddVBand="0" w:evenVBand="0" w:oddHBand="1" w:evenHBand="0" w:firstRowFirstColumn="0" w:firstRowLastColumn="0" w:lastRowFirstColumn="0" w:lastRowLastColumn="0"/>
          <w:trHeight w:val="1291"/>
        </w:trPr>
        <w:tc>
          <w:tcPr>
            <w:cnfStyle w:val="001000000000" w:firstRow="0" w:lastRow="0" w:firstColumn="1" w:lastColumn="0" w:oddVBand="0" w:evenVBand="0" w:oddHBand="0" w:evenHBand="0" w:firstRowFirstColumn="0" w:firstRowLastColumn="0" w:lastRowFirstColumn="0" w:lastRowLastColumn="0"/>
            <w:tcW w:w="0" w:type="dxa"/>
          </w:tcPr>
          <w:p w14:paraId="5C431ACD" w14:textId="4050A9A5" w:rsidR="009C1A39" w:rsidRPr="0001412A" w:rsidDel="00C243EC" w:rsidRDefault="009C1A39" w:rsidP="006B1C83">
            <w:pPr>
              <w:pStyle w:val="TableNormal0"/>
              <w:spacing w:after="0" w:line="216" w:lineRule="auto"/>
            </w:pPr>
            <w:r w:rsidRPr="0001412A">
              <w:t>RQ</w:t>
            </w:r>
            <w:r w:rsidR="00350D8E" w:rsidRPr="0001412A">
              <w:t>4-</w:t>
            </w:r>
            <w:r w:rsidRPr="0001412A">
              <w:t>1</w:t>
            </w:r>
            <w:r w:rsidRPr="00EB3782">
              <w:t xml:space="preserve"> What is the impact of safety net funding investments on SNHs’ quality of services?</w:t>
            </w:r>
          </w:p>
        </w:tc>
        <w:tc>
          <w:tcPr>
            <w:tcW w:w="0" w:type="dxa"/>
          </w:tcPr>
          <w:p w14:paraId="15680271" w14:textId="57240ED2" w:rsidR="009C1A39" w:rsidRPr="00EB3782" w:rsidRDefault="009C1A39" w:rsidP="006B1C83">
            <w:pPr>
              <w:pStyle w:val="TableNormal0"/>
              <w:spacing w:after="0" w:line="216" w:lineRule="auto"/>
              <w:cnfStyle w:val="000000100000" w:firstRow="0" w:lastRow="0" w:firstColumn="0" w:lastColumn="0" w:oddVBand="0" w:evenVBand="0" w:oddHBand="1" w:evenHBand="0" w:firstRowFirstColumn="0" w:firstRowLastColumn="0" w:lastRowFirstColumn="0" w:lastRowLastColumn="0"/>
            </w:pPr>
            <w:r w:rsidRPr="0001412A">
              <w:t>H</w:t>
            </w:r>
            <w:r w:rsidR="00350D8E" w:rsidRPr="0001412A">
              <w:t>4-</w:t>
            </w:r>
            <w:r w:rsidRPr="0001412A">
              <w:t xml:space="preserve">1.1 </w:t>
            </w:r>
            <w:r w:rsidRPr="00EB3782">
              <w:t xml:space="preserve">The SNCP payment will result in improved care quality at </w:t>
            </w:r>
            <w:r w:rsidR="002D0513" w:rsidRPr="00EB3782">
              <w:t>SNHs</w:t>
            </w:r>
            <w:r w:rsidRPr="00EB3782">
              <w:t>.</w:t>
            </w:r>
          </w:p>
          <w:p w14:paraId="523265F7" w14:textId="77777777" w:rsidR="009C1A39" w:rsidRPr="0001412A" w:rsidRDefault="009C1A39" w:rsidP="006B1C83">
            <w:pPr>
              <w:pStyle w:val="TableNormal0"/>
              <w:spacing w:after="0" w:line="216" w:lineRule="auto"/>
              <w:cnfStyle w:val="000000100000" w:firstRow="0" w:lastRow="0" w:firstColumn="0" w:lastColumn="0" w:oddVBand="0" w:evenVBand="0" w:oddHBand="1" w:evenHBand="0" w:firstRowFirstColumn="0" w:firstRowLastColumn="0" w:lastRowFirstColumn="0" w:lastRowLastColumn="0"/>
            </w:pPr>
          </w:p>
        </w:tc>
        <w:tc>
          <w:tcPr>
            <w:tcW w:w="0" w:type="dxa"/>
          </w:tcPr>
          <w:p w14:paraId="727EA86B" w14:textId="7DF1C074" w:rsidR="009C1A39" w:rsidRPr="00EB3782" w:rsidRDefault="009C1A39" w:rsidP="006B1C83">
            <w:pPr>
              <w:pStyle w:val="TableNormal0"/>
              <w:spacing w:after="0" w:line="216" w:lineRule="auto"/>
              <w:cnfStyle w:val="000000100000" w:firstRow="0" w:lastRow="0" w:firstColumn="0" w:lastColumn="0" w:oddVBand="0" w:evenVBand="0" w:oddHBand="1" w:evenHBand="0" w:firstRowFirstColumn="0" w:firstRowLastColumn="0" w:lastRowFirstColumn="0" w:lastRowLastColumn="0"/>
            </w:pPr>
            <w:r w:rsidRPr="0001412A">
              <w:t xml:space="preserve">Medicaid administrative data </w:t>
            </w:r>
            <w:r w:rsidR="00A2385B">
              <w:t>(</w:t>
            </w:r>
            <w:r w:rsidR="00284DE2">
              <w:t>20</w:t>
            </w:r>
            <w:r w:rsidR="00A2385B">
              <w:t>18-</w:t>
            </w:r>
            <w:r w:rsidR="00284DE2">
              <w:t>20</w:t>
            </w:r>
            <w:r w:rsidR="00A2385B">
              <w:t xml:space="preserve">27) </w:t>
            </w:r>
            <w:r w:rsidRPr="0001412A">
              <w:t xml:space="preserve"> </w:t>
            </w:r>
          </w:p>
        </w:tc>
        <w:tc>
          <w:tcPr>
            <w:tcW w:w="0" w:type="dxa"/>
          </w:tcPr>
          <w:p w14:paraId="000FFC19" w14:textId="6F80BB7C" w:rsidR="009C1A39" w:rsidRPr="0001412A" w:rsidRDefault="009C1A39" w:rsidP="006B1C83">
            <w:pPr>
              <w:pStyle w:val="TableNormal0"/>
              <w:spacing w:after="0" w:line="216" w:lineRule="auto"/>
              <w:cnfStyle w:val="000000100000" w:firstRow="0" w:lastRow="0" w:firstColumn="0" w:lastColumn="0" w:oddVBand="0" w:evenVBand="0" w:oddHBand="1" w:evenHBand="0" w:firstRowFirstColumn="0" w:firstRowLastColumn="0" w:lastRowFirstColumn="0" w:lastRowLastColumn="0"/>
            </w:pPr>
            <w:r w:rsidRPr="0001412A">
              <w:t>SNHs</w:t>
            </w:r>
          </w:p>
        </w:tc>
        <w:tc>
          <w:tcPr>
            <w:tcW w:w="0" w:type="dxa"/>
          </w:tcPr>
          <w:p w14:paraId="0046FBDD" w14:textId="2CA0467E" w:rsidR="009C1A39" w:rsidRPr="00EB3782" w:rsidRDefault="009C1A39" w:rsidP="006B1C83">
            <w:pPr>
              <w:pStyle w:val="TableNormal0"/>
              <w:spacing w:after="0" w:line="216" w:lineRule="auto"/>
              <w:cnfStyle w:val="000000100000" w:firstRow="0" w:lastRow="0" w:firstColumn="0" w:lastColumn="0" w:oddVBand="0" w:evenVBand="0" w:oddHBand="1" w:evenHBand="0" w:firstRowFirstColumn="0" w:firstRowLastColumn="0" w:lastRowFirstColumn="0" w:lastRowLastColumn="0"/>
            </w:pPr>
            <w:r w:rsidRPr="0001412A">
              <w:t xml:space="preserve">ACO quality measures </w:t>
            </w:r>
          </w:p>
        </w:tc>
        <w:tc>
          <w:tcPr>
            <w:tcW w:w="0" w:type="dxa"/>
          </w:tcPr>
          <w:p w14:paraId="3E390A47" w14:textId="77777777" w:rsidR="009C1A39" w:rsidRPr="0001412A" w:rsidRDefault="009C1A39" w:rsidP="006B1C83">
            <w:pPr>
              <w:pStyle w:val="TableNormal0"/>
              <w:spacing w:after="0" w:line="216" w:lineRule="auto"/>
              <w:cnfStyle w:val="000000100000" w:firstRow="0" w:lastRow="0" w:firstColumn="0" w:lastColumn="0" w:oddVBand="0" w:evenVBand="0" w:oddHBand="1" w:evenHBand="0" w:firstRowFirstColumn="0" w:firstRowLastColumn="0" w:lastRowFirstColumn="0" w:lastRowLastColumn="0"/>
            </w:pPr>
            <w:r w:rsidRPr="0001412A">
              <w:t>Descriptive analysis;</w:t>
            </w:r>
          </w:p>
          <w:p w14:paraId="2D4C27BF" w14:textId="77777777" w:rsidR="009C1A39" w:rsidRPr="0001412A" w:rsidRDefault="009C1A39" w:rsidP="006B1C83">
            <w:pPr>
              <w:pStyle w:val="TableNormal0"/>
              <w:spacing w:after="0" w:line="216" w:lineRule="auto"/>
              <w:cnfStyle w:val="000000100000" w:firstRow="0" w:lastRow="0" w:firstColumn="0" w:lastColumn="0" w:oddVBand="0" w:evenVBand="0" w:oddHBand="1" w:evenHBand="0" w:firstRowFirstColumn="0" w:firstRowLastColumn="0" w:lastRowFirstColumn="0" w:lastRowLastColumn="0"/>
            </w:pPr>
            <w:r w:rsidRPr="0001412A">
              <w:t>Observed-to-expected ratio (O-E ratio);</w:t>
            </w:r>
          </w:p>
          <w:p w14:paraId="5D9D82A8" w14:textId="77777777" w:rsidR="009C1A39" w:rsidRPr="00EB3782" w:rsidDel="006C61ED" w:rsidRDefault="009C1A39" w:rsidP="006B1C83">
            <w:pPr>
              <w:pStyle w:val="TableNormal0"/>
              <w:spacing w:after="0" w:line="216" w:lineRule="auto"/>
              <w:cnfStyle w:val="000000100000" w:firstRow="0" w:lastRow="0" w:firstColumn="0" w:lastColumn="0" w:oddVBand="0" w:evenVBand="0" w:oddHBand="1" w:evenHBand="0" w:firstRowFirstColumn="0" w:firstRowLastColumn="0" w:lastRowFirstColumn="0" w:lastRowLastColumn="0"/>
            </w:pPr>
            <w:r w:rsidRPr="0001412A">
              <w:t>Quasi-Experimental Design (QED)</w:t>
            </w:r>
          </w:p>
        </w:tc>
      </w:tr>
      <w:tr w:rsidR="009C1A39" w:rsidRPr="0001412A" w:rsidDel="006C61ED" w14:paraId="09892F4F" w14:textId="77777777" w:rsidTr="001C0B48">
        <w:trPr>
          <w:trHeight w:val="1417"/>
        </w:trPr>
        <w:tc>
          <w:tcPr>
            <w:cnfStyle w:val="001000000000" w:firstRow="0" w:lastRow="0" w:firstColumn="1" w:lastColumn="0" w:oddVBand="0" w:evenVBand="0" w:oddHBand="0" w:evenHBand="0" w:firstRowFirstColumn="0" w:firstRowLastColumn="0" w:lastRowFirstColumn="0" w:lastRowLastColumn="0"/>
            <w:tcW w:w="0" w:type="dxa"/>
          </w:tcPr>
          <w:p w14:paraId="66E60165" w14:textId="76423C62" w:rsidR="009C1A39" w:rsidRPr="0001412A" w:rsidRDefault="009C1A39" w:rsidP="006B1C83">
            <w:pPr>
              <w:pStyle w:val="TableNormal0"/>
              <w:spacing w:after="0" w:line="216" w:lineRule="auto"/>
            </w:pPr>
            <w:r w:rsidRPr="0001412A">
              <w:t>RQ</w:t>
            </w:r>
            <w:r w:rsidR="00350D8E" w:rsidRPr="0001412A">
              <w:t>4-</w:t>
            </w:r>
            <w:r w:rsidRPr="0001412A">
              <w:t xml:space="preserve">2 </w:t>
            </w:r>
            <w:r w:rsidRPr="00EB3782">
              <w:t>What were the overall experiences of members in receiving services from SNHs?</w:t>
            </w:r>
          </w:p>
        </w:tc>
        <w:tc>
          <w:tcPr>
            <w:tcW w:w="0" w:type="dxa"/>
          </w:tcPr>
          <w:p w14:paraId="20D065F9" w14:textId="3A5B89AD" w:rsidR="009C1A39" w:rsidRPr="0001412A" w:rsidRDefault="009C1A39" w:rsidP="006B1C83">
            <w:pPr>
              <w:pStyle w:val="TableNormal0"/>
              <w:spacing w:after="0" w:line="216" w:lineRule="auto"/>
              <w:cnfStyle w:val="000000000000" w:firstRow="0" w:lastRow="0" w:firstColumn="0" w:lastColumn="0" w:oddVBand="0" w:evenVBand="0" w:oddHBand="0" w:evenHBand="0" w:firstRowFirstColumn="0" w:firstRowLastColumn="0" w:lastRowFirstColumn="0" w:lastRowLastColumn="0"/>
            </w:pPr>
            <w:r w:rsidRPr="0001412A">
              <w:t>H</w:t>
            </w:r>
            <w:r w:rsidR="006A2880" w:rsidRPr="0001412A">
              <w:t>4-</w:t>
            </w:r>
            <w:r w:rsidRPr="0001412A">
              <w:t xml:space="preserve">2.1 </w:t>
            </w:r>
            <w:r w:rsidRPr="00EB3782">
              <w:t>Medicaid members will report better care experiences.</w:t>
            </w:r>
          </w:p>
        </w:tc>
        <w:tc>
          <w:tcPr>
            <w:tcW w:w="0" w:type="dxa"/>
            <w:shd w:val="clear" w:color="auto" w:fill="auto"/>
          </w:tcPr>
          <w:p w14:paraId="7141771F" w14:textId="03C15A8B" w:rsidR="002B214C" w:rsidRPr="0001412A" w:rsidRDefault="009C1A39" w:rsidP="006B1C83">
            <w:pPr>
              <w:pStyle w:val="TableNormal0"/>
              <w:spacing w:after="0" w:line="216" w:lineRule="auto"/>
              <w:cnfStyle w:val="000000000000" w:firstRow="0" w:lastRow="0" w:firstColumn="0" w:lastColumn="0" w:oddVBand="0" w:evenVBand="0" w:oddHBand="0" w:evenHBand="0" w:firstRowFirstColumn="0" w:firstRowLastColumn="0" w:lastRowFirstColumn="0" w:lastRowLastColumn="0"/>
            </w:pPr>
            <w:r w:rsidRPr="0001412A">
              <w:t>Member survey</w:t>
            </w:r>
            <w:r w:rsidR="00F53D22">
              <w:t xml:space="preserve"> (if feasible,</w:t>
            </w:r>
            <w:r w:rsidR="000011B8">
              <w:t xml:space="preserve"> </w:t>
            </w:r>
            <w:r w:rsidR="00284DE2">
              <w:t>20</w:t>
            </w:r>
            <w:r w:rsidR="000011B8">
              <w:t xml:space="preserve">25, </w:t>
            </w:r>
            <w:r w:rsidR="00284DE2">
              <w:t>20</w:t>
            </w:r>
            <w:r w:rsidR="000011B8">
              <w:t>27)</w:t>
            </w:r>
            <w:r w:rsidR="002B214C" w:rsidRPr="0001412A">
              <w:t>;</w:t>
            </w:r>
          </w:p>
          <w:p w14:paraId="75E4B29B" w14:textId="0E850998" w:rsidR="009C1A39" w:rsidRPr="0001412A" w:rsidRDefault="009C1A39" w:rsidP="006B1C83">
            <w:pPr>
              <w:pStyle w:val="TableNormal0"/>
              <w:spacing w:after="0" w:line="216" w:lineRule="auto"/>
              <w:cnfStyle w:val="000000000000" w:firstRow="0" w:lastRow="0" w:firstColumn="0" w:lastColumn="0" w:oddVBand="0" w:evenVBand="0" w:oddHBand="0" w:evenHBand="0" w:firstRowFirstColumn="0" w:firstRowLastColumn="0" w:lastRowFirstColumn="0" w:lastRowLastColumn="0"/>
            </w:pPr>
            <w:r w:rsidRPr="0001412A">
              <w:t xml:space="preserve">Member interviews </w:t>
            </w:r>
            <w:r w:rsidR="005B6C3F" w:rsidRPr="006A7D74">
              <w:t>(2024</w:t>
            </w:r>
            <w:r w:rsidR="005B6C3F" w:rsidRPr="00830F69">
              <w:t>-2025; 2026-2027)</w:t>
            </w:r>
          </w:p>
        </w:tc>
        <w:tc>
          <w:tcPr>
            <w:tcW w:w="0" w:type="dxa"/>
            <w:shd w:val="clear" w:color="auto" w:fill="auto"/>
          </w:tcPr>
          <w:p w14:paraId="61A4EA81" w14:textId="5E18D63E" w:rsidR="009C1A39" w:rsidRPr="0001412A" w:rsidRDefault="009C1A39" w:rsidP="006B1C83">
            <w:pPr>
              <w:pStyle w:val="TableNormal0"/>
              <w:spacing w:after="0" w:line="216" w:lineRule="auto"/>
              <w:cnfStyle w:val="000000000000" w:firstRow="0" w:lastRow="0" w:firstColumn="0" w:lastColumn="0" w:oddVBand="0" w:evenVBand="0" w:oddHBand="0" w:evenHBand="0" w:firstRowFirstColumn="0" w:firstRowLastColumn="0" w:lastRowFirstColumn="0" w:lastRowLastColumn="0"/>
            </w:pPr>
            <w:r w:rsidRPr="0001412A">
              <w:t>Medicaid members receiving care from SNHs</w:t>
            </w:r>
            <w:r w:rsidR="000011B8">
              <w:t xml:space="preserve"> (for interviews, n=</w:t>
            </w:r>
            <w:r w:rsidR="00C1572B">
              <w:t>~</w:t>
            </w:r>
            <w:r w:rsidR="000011B8">
              <w:t>30</w:t>
            </w:r>
            <w:r w:rsidR="004D1A58" w:rsidRPr="00B442EB">
              <w:rPr>
                <w:color w:val="auto"/>
              </w:rPr>
              <w:t xml:space="preserve">; </w:t>
            </w:r>
            <w:r w:rsidR="004D1A58" w:rsidRPr="006B1C83">
              <w:rPr>
                <w:color w:val="auto"/>
              </w:rPr>
              <w:t>for surveys</w:t>
            </w:r>
            <w:r w:rsidR="00E4098A" w:rsidRPr="006B1C83">
              <w:rPr>
                <w:color w:val="auto"/>
              </w:rPr>
              <w:t xml:space="preserve"> – if feasible</w:t>
            </w:r>
            <w:r w:rsidR="004D1A58" w:rsidRPr="006B1C83">
              <w:rPr>
                <w:color w:val="auto"/>
              </w:rPr>
              <w:t>, n=</w:t>
            </w:r>
            <w:r w:rsidR="00C1572B" w:rsidRPr="006B1C83">
              <w:rPr>
                <w:color w:val="auto"/>
              </w:rPr>
              <w:t>~</w:t>
            </w:r>
            <w:r w:rsidR="009722D9" w:rsidRPr="006B1C83">
              <w:rPr>
                <w:color w:val="auto"/>
              </w:rPr>
              <w:t>1,200</w:t>
            </w:r>
            <w:r w:rsidR="000011B8" w:rsidRPr="006B1C83">
              <w:rPr>
                <w:color w:val="auto"/>
              </w:rPr>
              <w:t>)</w:t>
            </w:r>
          </w:p>
        </w:tc>
        <w:tc>
          <w:tcPr>
            <w:tcW w:w="0" w:type="dxa"/>
          </w:tcPr>
          <w:p w14:paraId="0EC53CFE" w14:textId="498E6FB6" w:rsidR="009C1A39" w:rsidRPr="0001412A" w:rsidRDefault="009C1A39" w:rsidP="006B1C83">
            <w:pPr>
              <w:pStyle w:val="TableNormal0"/>
              <w:spacing w:after="0" w:line="216" w:lineRule="auto"/>
              <w:cnfStyle w:val="000000000000" w:firstRow="0" w:lastRow="0" w:firstColumn="0" w:lastColumn="0" w:oddVBand="0" w:evenVBand="0" w:oddHBand="0" w:evenHBand="0" w:firstRowFirstColumn="0" w:firstRowLastColumn="0" w:lastRowFirstColumn="0" w:lastRowLastColumn="0"/>
            </w:pPr>
            <w:r w:rsidRPr="0001412A">
              <w:t>Topical areas:</w:t>
            </w:r>
          </w:p>
          <w:p w14:paraId="11115C99" w14:textId="77777777" w:rsidR="005B1DF6" w:rsidRPr="0001412A" w:rsidRDefault="005B1DF6" w:rsidP="006B1C83">
            <w:pPr>
              <w:pStyle w:val="TableNormal0"/>
              <w:spacing w:after="0" w:line="216" w:lineRule="auto"/>
              <w:cnfStyle w:val="000000000000" w:firstRow="0" w:lastRow="0" w:firstColumn="0" w:lastColumn="0" w:oddVBand="0" w:evenVBand="0" w:oddHBand="0" w:evenHBand="0" w:firstRowFirstColumn="0" w:firstRowLastColumn="0" w:lastRowFirstColumn="0" w:lastRowLastColumn="0"/>
            </w:pPr>
            <w:r w:rsidRPr="0001412A">
              <w:t xml:space="preserve">Overall and equitable access to services, </w:t>
            </w:r>
          </w:p>
          <w:p w14:paraId="621A0590" w14:textId="358D6E94" w:rsidR="005B1DF6" w:rsidRPr="0001412A" w:rsidRDefault="0001412A" w:rsidP="006B1C83">
            <w:pPr>
              <w:pStyle w:val="TableNormal0"/>
              <w:spacing w:after="0" w:line="216" w:lineRule="auto"/>
              <w:cnfStyle w:val="000000000000" w:firstRow="0" w:lastRow="0" w:firstColumn="0" w:lastColumn="0" w:oddVBand="0" w:evenVBand="0" w:oddHBand="0" w:evenHBand="0" w:firstRowFirstColumn="0" w:firstRowLastColumn="0" w:lastRowFirstColumn="0" w:lastRowLastColumn="0"/>
            </w:pPr>
            <w:r>
              <w:t>Q</w:t>
            </w:r>
            <w:r w:rsidR="005B1DF6" w:rsidRPr="0001412A">
              <w:t xml:space="preserve">uality of care, </w:t>
            </w:r>
          </w:p>
          <w:p w14:paraId="3FC1A5DA" w14:textId="18AF9FD8" w:rsidR="009C1A39" w:rsidRPr="0001412A" w:rsidRDefault="0001412A" w:rsidP="006B1C83">
            <w:pPr>
              <w:pStyle w:val="TableNormal0"/>
              <w:spacing w:after="0" w:line="216" w:lineRule="auto"/>
              <w:cnfStyle w:val="000000000000" w:firstRow="0" w:lastRow="0" w:firstColumn="0" w:lastColumn="0" w:oddVBand="0" w:evenVBand="0" w:oddHBand="0" w:evenHBand="0" w:firstRowFirstColumn="0" w:firstRowLastColumn="0" w:lastRowFirstColumn="0" w:lastRowLastColumn="0"/>
            </w:pPr>
            <w:r>
              <w:t>O</w:t>
            </w:r>
            <w:r w:rsidR="005B1DF6" w:rsidRPr="0001412A">
              <w:t>verall satisfaction</w:t>
            </w:r>
          </w:p>
        </w:tc>
        <w:tc>
          <w:tcPr>
            <w:tcW w:w="0" w:type="dxa"/>
          </w:tcPr>
          <w:p w14:paraId="03048446" w14:textId="77777777" w:rsidR="009C1A39" w:rsidRPr="0001412A" w:rsidRDefault="009C1A39" w:rsidP="006B1C83">
            <w:pPr>
              <w:pStyle w:val="TableNormal0"/>
              <w:spacing w:after="0" w:line="216" w:lineRule="auto"/>
              <w:cnfStyle w:val="000000000000" w:firstRow="0" w:lastRow="0" w:firstColumn="0" w:lastColumn="0" w:oddVBand="0" w:evenVBand="0" w:oddHBand="0" w:evenHBand="0" w:firstRowFirstColumn="0" w:firstRowLastColumn="0" w:lastRowFirstColumn="0" w:lastRowLastColumn="0"/>
            </w:pPr>
            <w:r w:rsidRPr="0001412A">
              <w:t>Descriptive analysis;</w:t>
            </w:r>
          </w:p>
          <w:p w14:paraId="5F53305E" w14:textId="77777777" w:rsidR="009C1A39" w:rsidRPr="0001412A" w:rsidRDefault="009C1A39" w:rsidP="006B1C83">
            <w:pPr>
              <w:pStyle w:val="TableNormal0"/>
              <w:spacing w:after="0" w:line="216" w:lineRule="auto"/>
              <w:cnfStyle w:val="000000000000" w:firstRow="0" w:lastRow="0" w:firstColumn="0" w:lastColumn="0" w:oddVBand="0" w:evenVBand="0" w:oddHBand="0" w:evenHBand="0" w:firstRowFirstColumn="0" w:firstRowLastColumn="0" w:lastRowFirstColumn="0" w:lastRowLastColumn="0"/>
            </w:pPr>
            <w:r w:rsidRPr="0001412A">
              <w:t>QED;</w:t>
            </w:r>
          </w:p>
          <w:p w14:paraId="1573762C" w14:textId="77777777" w:rsidR="009C1A39" w:rsidRPr="0001412A" w:rsidRDefault="009C1A39" w:rsidP="006B1C83">
            <w:pPr>
              <w:pStyle w:val="TableNormal0"/>
              <w:spacing w:after="0" w:line="216" w:lineRule="auto"/>
              <w:cnfStyle w:val="000000000000" w:firstRow="0" w:lastRow="0" w:firstColumn="0" w:lastColumn="0" w:oddVBand="0" w:evenVBand="0" w:oddHBand="0" w:evenHBand="0" w:firstRowFirstColumn="0" w:firstRowLastColumn="0" w:lastRowFirstColumn="0" w:lastRowLastColumn="0"/>
            </w:pPr>
            <w:r w:rsidRPr="0001412A">
              <w:t xml:space="preserve">Thematic analysis </w:t>
            </w:r>
          </w:p>
        </w:tc>
      </w:tr>
      <w:tr w:rsidR="00EB3782" w:rsidRPr="0001412A" w:rsidDel="006C61ED" w14:paraId="710B76C3" w14:textId="77777777" w:rsidTr="001C0B48">
        <w:trPr>
          <w:cnfStyle w:val="000000100000" w:firstRow="0" w:lastRow="0" w:firstColumn="0" w:lastColumn="0" w:oddVBand="0" w:evenVBand="0" w:oddHBand="1" w:evenHBand="0" w:firstRowFirstColumn="0" w:firstRowLastColumn="0" w:lastRowFirstColumn="0" w:lastRowLastColumn="0"/>
          <w:trHeight w:val="1903"/>
        </w:trPr>
        <w:tc>
          <w:tcPr>
            <w:cnfStyle w:val="001000000000" w:firstRow="0" w:lastRow="0" w:firstColumn="1" w:lastColumn="0" w:oddVBand="0" w:evenVBand="0" w:oddHBand="0" w:evenHBand="0" w:firstRowFirstColumn="0" w:firstRowLastColumn="0" w:lastRowFirstColumn="0" w:lastRowLastColumn="0"/>
            <w:tcW w:w="0" w:type="dxa"/>
          </w:tcPr>
          <w:p w14:paraId="6EE89B73" w14:textId="1CFEFEFD" w:rsidR="009C1A39" w:rsidRPr="0001412A" w:rsidRDefault="009C1A39" w:rsidP="006B1C83">
            <w:pPr>
              <w:pStyle w:val="TableNormal0"/>
              <w:spacing w:after="0" w:line="216" w:lineRule="auto"/>
            </w:pPr>
            <w:r w:rsidRPr="0001412A">
              <w:t>RQ</w:t>
            </w:r>
            <w:r w:rsidR="006A2880" w:rsidRPr="0001412A">
              <w:t>4-</w:t>
            </w:r>
            <w:r w:rsidRPr="0001412A">
              <w:t>3</w:t>
            </w:r>
            <w:r w:rsidRPr="00EB3782">
              <w:t xml:space="preserve"> How effective were </w:t>
            </w:r>
            <w:r w:rsidR="00004F99" w:rsidRPr="00EB3782">
              <w:t>supplemental payments</w:t>
            </w:r>
            <w:r w:rsidRPr="00EB3782">
              <w:t xml:space="preserve"> authorized through the Demonstration in supporting safety net providers?</w:t>
            </w:r>
          </w:p>
        </w:tc>
        <w:tc>
          <w:tcPr>
            <w:tcW w:w="0" w:type="dxa"/>
          </w:tcPr>
          <w:p w14:paraId="670D8E72" w14:textId="7442C2E5" w:rsidR="0049689D" w:rsidRPr="00EB3782" w:rsidRDefault="009C1A39" w:rsidP="006B1C83">
            <w:pPr>
              <w:pStyle w:val="TableNormal0"/>
              <w:spacing w:after="0" w:line="216" w:lineRule="auto"/>
              <w:cnfStyle w:val="000000100000" w:firstRow="0" w:lastRow="0" w:firstColumn="0" w:lastColumn="0" w:oddVBand="0" w:evenVBand="0" w:oddHBand="1" w:evenHBand="0" w:firstRowFirstColumn="0" w:firstRowLastColumn="0" w:lastRowFirstColumn="0" w:lastRowLastColumn="0"/>
            </w:pPr>
            <w:r w:rsidRPr="0001412A">
              <w:t>H</w:t>
            </w:r>
            <w:r w:rsidR="006A2880" w:rsidRPr="0001412A">
              <w:t>4-</w:t>
            </w:r>
            <w:r w:rsidRPr="0001412A">
              <w:t>3.1</w:t>
            </w:r>
            <w:r w:rsidRPr="00EB3782">
              <w:t xml:space="preserve"> The SNCP funding continued to maintain or improve safety net providers’ capabilities to serve vulnerable individuals.  </w:t>
            </w:r>
          </w:p>
          <w:p w14:paraId="63C1AACB" w14:textId="1E7F6CC7" w:rsidR="009C1A39" w:rsidRPr="0001412A" w:rsidRDefault="009C1A39" w:rsidP="006B1C83">
            <w:pPr>
              <w:pStyle w:val="TableNormal0"/>
              <w:spacing w:after="0" w:line="216" w:lineRule="auto"/>
              <w:cnfStyle w:val="000000100000" w:firstRow="0" w:lastRow="0" w:firstColumn="0" w:lastColumn="0" w:oddVBand="0" w:evenVBand="0" w:oddHBand="1" w:evenHBand="0" w:firstRowFirstColumn="0" w:firstRowLastColumn="0" w:lastRowFirstColumn="0" w:lastRowLastColumn="0"/>
            </w:pPr>
            <w:r w:rsidRPr="0001412A">
              <w:t>H</w:t>
            </w:r>
            <w:r w:rsidR="006A2880" w:rsidRPr="0001412A">
              <w:t>4-</w:t>
            </w:r>
            <w:r w:rsidRPr="0001412A">
              <w:t>3.2</w:t>
            </w:r>
            <w:r w:rsidRPr="00EB3782">
              <w:t xml:space="preserve"> Supplemental payments to SNHs through the DSH </w:t>
            </w:r>
            <w:r w:rsidRPr="00EB3782">
              <w:lastRenderedPageBreak/>
              <w:t xml:space="preserve">pool reduced the total amount of </w:t>
            </w:r>
            <w:r w:rsidR="002D0513" w:rsidRPr="00EB3782">
              <w:t>UC</w:t>
            </w:r>
            <w:r w:rsidRPr="00EB3782">
              <w:t xml:space="preserve">. </w:t>
            </w:r>
          </w:p>
        </w:tc>
        <w:tc>
          <w:tcPr>
            <w:tcW w:w="0" w:type="dxa"/>
          </w:tcPr>
          <w:p w14:paraId="679AB44C" w14:textId="1AA80EE8" w:rsidR="00F84C77" w:rsidRPr="0001412A" w:rsidRDefault="009C1A39" w:rsidP="006B1C83">
            <w:pPr>
              <w:pStyle w:val="TableNormal0"/>
              <w:spacing w:after="0" w:line="216" w:lineRule="auto"/>
              <w:cnfStyle w:val="000000100000" w:firstRow="0" w:lastRow="0" w:firstColumn="0" w:lastColumn="0" w:oddVBand="0" w:evenVBand="0" w:oddHBand="1" w:evenHBand="0" w:firstRowFirstColumn="0" w:firstRowLastColumn="0" w:lastRowFirstColumn="0" w:lastRowLastColumn="0"/>
            </w:pPr>
            <w:r w:rsidRPr="0001412A">
              <w:lastRenderedPageBreak/>
              <w:t>Provider interviews</w:t>
            </w:r>
            <w:r w:rsidR="00516AFA">
              <w:t xml:space="preserve"> (</w:t>
            </w:r>
            <w:r w:rsidR="00284DE2">
              <w:t>20</w:t>
            </w:r>
            <w:r w:rsidR="00516AFA">
              <w:t xml:space="preserve">24, </w:t>
            </w:r>
            <w:r w:rsidR="00284DE2">
              <w:t>20</w:t>
            </w:r>
            <w:r w:rsidR="00516AFA">
              <w:t>26)</w:t>
            </w:r>
            <w:r w:rsidRPr="0001412A">
              <w:t>;</w:t>
            </w:r>
          </w:p>
          <w:p w14:paraId="0D6FABB7" w14:textId="074C61B0" w:rsidR="009C1A39" w:rsidRPr="0001412A" w:rsidRDefault="009C1A39" w:rsidP="006B1C83">
            <w:pPr>
              <w:pStyle w:val="TableNormal0"/>
              <w:spacing w:after="0" w:line="216" w:lineRule="auto"/>
              <w:cnfStyle w:val="000000100000" w:firstRow="0" w:lastRow="0" w:firstColumn="0" w:lastColumn="0" w:oddVBand="0" w:evenVBand="0" w:oddHBand="1" w:evenHBand="0" w:firstRowFirstColumn="0" w:firstRowLastColumn="0" w:lastRowFirstColumn="0" w:lastRowLastColumn="0"/>
            </w:pPr>
            <w:r w:rsidRPr="0001412A">
              <w:t>Uniform Medicaid &amp; Uncompensated Care Cost &amp; Charge Report (UCCR)*</w:t>
            </w:r>
            <w:r w:rsidR="00516AFA">
              <w:t xml:space="preserve"> (</w:t>
            </w:r>
            <w:r w:rsidR="00284DE2">
              <w:t>20</w:t>
            </w:r>
            <w:r w:rsidR="00516AFA">
              <w:t>18-</w:t>
            </w:r>
            <w:r w:rsidR="00284DE2">
              <w:t>20</w:t>
            </w:r>
            <w:r w:rsidR="00516AFA">
              <w:t xml:space="preserve">27) </w:t>
            </w:r>
            <w:r w:rsidR="00516AFA" w:rsidRPr="0001412A">
              <w:t xml:space="preserve"> </w:t>
            </w:r>
          </w:p>
        </w:tc>
        <w:tc>
          <w:tcPr>
            <w:tcW w:w="0" w:type="dxa"/>
          </w:tcPr>
          <w:p w14:paraId="101B3AEA" w14:textId="2765D086" w:rsidR="009C1A39" w:rsidRPr="0001412A" w:rsidRDefault="009C1A39" w:rsidP="006B1C83">
            <w:pPr>
              <w:pStyle w:val="TableNormal0"/>
              <w:spacing w:after="0" w:line="216" w:lineRule="auto"/>
              <w:cnfStyle w:val="000000100000" w:firstRow="0" w:lastRow="0" w:firstColumn="0" w:lastColumn="0" w:oddVBand="0" w:evenVBand="0" w:oddHBand="1" w:evenHBand="0" w:firstRowFirstColumn="0" w:firstRowLastColumn="0" w:lastRowFirstColumn="0" w:lastRowLastColumn="0"/>
            </w:pPr>
            <w:r w:rsidRPr="0001412A">
              <w:t xml:space="preserve">SNHs and other safety net providers </w:t>
            </w:r>
            <w:r w:rsidR="004D1A58">
              <w:t>(n</w:t>
            </w:r>
            <w:r w:rsidR="00B442EB">
              <w:t xml:space="preserve"> ≤ </w:t>
            </w:r>
            <w:r w:rsidR="004D1A58">
              <w:t xml:space="preserve">15) </w:t>
            </w:r>
          </w:p>
        </w:tc>
        <w:tc>
          <w:tcPr>
            <w:tcW w:w="0" w:type="dxa"/>
          </w:tcPr>
          <w:p w14:paraId="7FAFD5A8" w14:textId="6613858B" w:rsidR="009C1A39" w:rsidRPr="0001412A" w:rsidRDefault="009C1A39" w:rsidP="006B1C83">
            <w:pPr>
              <w:pStyle w:val="TableNormal0"/>
              <w:spacing w:after="0" w:line="216" w:lineRule="auto"/>
              <w:cnfStyle w:val="000000100000" w:firstRow="0" w:lastRow="0" w:firstColumn="0" w:lastColumn="0" w:oddVBand="0" w:evenVBand="0" w:oddHBand="1" w:evenHBand="0" w:firstRowFirstColumn="0" w:firstRowLastColumn="0" w:lastRowFirstColumn="0" w:lastRowLastColumn="0"/>
            </w:pPr>
            <w:r w:rsidRPr="0001412A">
              <w:t xml:space="preserve">Qualitative information about provider experiences (e.g., quality of care reporting requirements, quality improvement, adequacy of providers, </w:t>
            </w:r>
            <w:r w:rsidR="002D0513" w:rsidRPr="0001412A">
              <w:t>UC</w:t>
            </w:r>
            <w:r w:rsidRPr="0001412A">
              <w:t>)</w:t>
            </w:r>
            <w:r w:rsidR="002B214C" w:rsidRPr="0001412A">
              <w:t>;</w:t>
            </w:r>
          </w:p>
          <w:p w14:paraId="17A48625" w14:textId="15CA9157" w:rsidR="009C1A39" w:rsidRPr="0001412A" w:rsidRDefault="002D0513" w:rsidP="006B1C83">
            <w:pPr>
              <w:pStyle w:val="TableNormal0"/>
              <w:spacing w:after="0" w:line="216" w:lineRule="auto"/>
              <w:cnfStyle w:val="000000100000" w:firstRow="0" w:lastRow="0" w:firstColumn="0" w:lastColumn="0" w:oddVBand="0" w:evenVBand="0" w:oddHBand="1" w:evenHBand="0" w:firstRowFirstColumn="0" w:firstRowLastColumn="0" w:lastRowFirstColumn="0" w:lastRowLastColumn="0"/>
            </w:pPr>
            <w:r w:rsidRPr="0001412A">
              <w:t>UC</w:t>
            </w:r>
            <w:r w:rsidR="009C1A39" w:rsidRPr="0001412A">
              <w:t xml:space="preserve"> costs before and during the Demonstration</w:t>
            </w:r>
          </w:p>
        </w:tc>
        <w:tc>
          <w:tcPr>
            <w:tcW w:w="0" w:type="dxa"/>
          </w:tcPr>
          <w:p w14:paraId="1DBAF383" w14:textId="77777777" w:rsidR="009C1A39" w:rsidRPr="0001412A" w:rsidRDefault="009C1A39" w:rsidP="006B1C83">
            <w:pPr>
              <w:pStyle w:val="TableNormal0"/>
              <w:spacing w:after="0" w:line="216" w:lineRule="auto"/>
              <w:cnfStyle w:val="000000100000" w:firstRow="0" w:lastRow="0" w:firstColumn="0" w:lastColumn="0" w:oddVBand="0" w:evenVBand="0" w:oddHBand="1" w:evenHBand="0" w:firstRowFirstColumn="0" w:firstRowLastColumn="0" w:lastRowFirstColumn="0" w:lastRowLastColumn="0"/>
            </w:pPr>
            <w:r w:rsidRPr="0001412A">
              <w:t xml:space="preserve">Thematic analysis; </w:t>
            </w:r>
          </w:p>
          <w:p w14:paraId="281CB9AA" w14:textId="77777777" w:rsidR="009C1A39" w:rsidRPr="0001412A" w:rsidRDefault="009C1A39" w:rsidP="006B1C83">
            <w:pPr>
              <w:pStyle w:val="TableNormal0"/>
              <w:spacing w:after="0" w:line="216" w:lineRule="auto"/>
              <w:cnfStyle w:val="000000100000" w:firstRow="0" w:lastRow="0" w:firstColumn="0" w:lastColumn="0" w:oddVBand="0" w:evenVBand="0" w:oddHBand="1" w:evenHBand="0" w:firstRowFirstColumn="0" w:firstRowLastColumn="0" w:lastRowFirstColumn="0" w:lastRowLastColumn="0"/>
            </w:pPr>
            <w:r w:rsidRPr="0001412A">
              <w:t xml:space="preserve">Program cost analysis </w:t>
            </w:r>
          </w:p>
        </w:tc>
      </w:tr>
    </w:tbl>
    <w:p w14:paraId="29017B3C" w14:textId="7938304D" w:rsidR="00BD4F78" w:rsidRPr="00B442EB" w:rsidRDefault="009C1A39" w:rsidP="006B1C83">
      <w:pPr>
        <w:pStyle w:val="TableorFigurefootnote"/>
        <w:widowControl w:val="0"/>
      </w:pPr>
      <w:r w:rsidRPr="00B442EB">
        <w:t xml:space="preserve">*If MassHealth does not need to use UC pool funding, the analysis using UCCR will not be conducted. </w:t>
      </w:r>
    </w:p>
    <w:p w14:paraId="7500FBDA" w14:textId="265FD8F4" w:rsidR="00BD4F78" w:rsidRPr="00B442EB" w:rsidRDefault="00BD4F78" w:rsidP="006B1C83">
      <w:pPr>
        <w:pStyle w:val="TableorFigurefootnote"/>
        <w:widowControl w:val="0"/>
        <w:numPr>
          <w:ilvl w:val="0"/>
          <w:numId w:val="180"/>
        </w:numPr>
        <w:ind w:left="180" w:hanging="180"/>
      </w:pPr>
      <w:bookmarkStart w:id="151" w:name="_Hlk130202115"/>
      <w:r w:rsidRPr="00B442EB">
        <w:t xml:space="preserve">Research questions developed in response to STCs sections </w:t>
      </w:r>
      <w:r w:rsidR="00817524" w:rsidRPr="00B442EB">
        <w:t>11.1-11.6</w:t>
      </w:r>
      <w:r w:rsidR="00236FA9" w:rsidRPr="004B3FAB">
        <w:t xml:space="preserve">; </w:t>
      </w:r>
      <w:hyperlink r:id="rId29" w:history="1">
        <w:r w:rsidR="00236FA9" w:rsidRPr="004B3FAB">
          <w:rPr>
            <w:rStyle w:val="Hyperlink"/>
          </w:rPr>
          <w:t>1115 MassHealth Demonstration ("Waiver") | Mass.gov</w:t>
        </w:r>
      </w:hyperlink>
    </w:p>
    <w:p w14:paraId="41CAD454" w14:textId="31A700B6" w:rsidR="00BD4F78" w:rsidRPr="00B442EB" w:rsidRDefault="00BD4F78" w:rsidP="006B1C83">
      <w:pPr>
        <w:pStyle w:val="TableorFigurefootnote"/>
        <w:numPr>
          <w:ilvl w:val="0"/>
          <w:numId w:val="180"/>
        </w:numPr>
        <w:ind w:left="180" w:hanging="180"/>
      </w:pPr>
      <w:r>
        <w:t>Data Sources are described in section 5.</w:t>
      </w:r>
      <w:r w:rsidR="00683C82">
        <w:t>4</w:t>
      </w:r>
      <w:r>
        <w:t>.</w:t>
      </w:r>
      <w:r w:rsidR="00683C82">
        <w:t>2</w:t>
      </w:r>
      <w:r>
        <w:t xml:space="preserve">, “Data Sources and Collection Methods,” and section 1.4.1, “Summary of Data Sources.” </w:t>
      </w:r>
    </w:p>
    <w:p w14:paraId="5FD80608" w14:textId="51DC698F" w:rsidR="00BD4F78" w:rsidRPr="00B442EB" w:rsidRDefault="00BD4F78" w:rsidP="006B1C83">
      <w:pPr>
        <w:pStyle w:val="TableorFigurefootnote"/>
        <w:numPr>
          <w:ilvl w:val="0"/>
          <w:numId w:val="180"/>
        </w:numPr>
        <w:ind w:left="180" w:hanging="180"/>
        <w:sectPr w:rsidR="00BD4F78" w:rsidRPr="00B442EB" w:rsidSect="00744E1B">
          <w:pgSz w:w="15840" w:h="12240" w:orient="landscape"/>
          <w:pgMar w:top="1440" w:right="1440" w:bottom="1440" w:left="1440" w:header="720" w:footer="720" w:gutter="0"/>
          <w:cols w:space="720"/>
          <w:docGrid w:linePitch="360"/>
        </w:sectPr>
      </w:pPr>
      <w:r>
        <w:t xml:space="preserve">Analysis methods are described in section </w:t>
      </w:r>
      <w:r w:rsidR="00B6630C">
        <w:t>5</w:t>
      </w:r>
      <w:r>
        <w:t>.</w:t>
      </w:r>
      <w:r w:rsidR="00B6630C">
        <w:t>4</w:t>
      </w:r>
      <w:r>
        <w:t>.</w:t>
      </w:r>
      <w:r w:rsidR="00CC264D">
        <w:t>4</w:t>
      </w:r>
      <w:r>
        <w:t>, “</w:t>
      </w:r>
      <w:r w:rsidR="00CC264D">
        <w:t>Analysis</w:t>
      </w:r>
      <w:r w:rsidR="5D52F5E2">
        <w:t xml:space="preserve"> </w:t>
      </w:r>
      <w:r>
        <w:t>Methods.”</w:t>
      </w:r>
    </w:p>
    <w:p w14:paraId="7D6C5005" w14:textId="5BEDB10F" w:rsidR="009C1A39" w:rsidRPr="0009132C" w:rsidRDefault="002B0A93" w:rsidP="003C6C8F">
      <w:pPr>
        <w:pStyle w:val="Heading2"/>
      </w:pPr>
      <w:bookmarkStart w:id="152" w:name="_Toc130209720"/>
      <w:bookmarkEnd w:id="151"/>
      <w:r>
        <w:lastRenderedPageBreak/>
        <w:t xml:space="preserve"> </w:t>
      </w:r>
      <w:bookmarkStart w:id="153" w:name="_Toc151976431"/>
      <w:r w:rsidR="009C1A39">
        <w:t>Data and Methods</w:t>
      </w:r>
      <w:bookmarkEnd w:id="152"/>
      <w:bookmarkEnd w:id="153"/>
    </w:p>
    <w:p w14:paraId="3F46DE55" w14:textId="0CBB5C23" w:rsidR="009C1A39" w:rsidRPr="0009132C" w:rsidRDefault="009C1A39" w:rsidP="00EE4105">
      <w:pPr>
        <w:pStyle w:val="Heading3"/>
      </w:pPr>
      <w:r w:rsidRPr="0009132C">
        <w:t>Study Populations</w:t>
      </w:r>
    </w:p>
    <w:p w14:paraId="1CCC28F0" w14:textId="18E4AE0B" w:rsidR="009C1A39" w:rsidRPr="0001412A" w:rsidRDefault="009C1A39" w:rsidP="0001412A">
      <w:r w:rsidRPr="0009132C">
        <w:t>The study population will be at two levels.</w:t>
      </w:r>
      <w:r w:rsidR="00CC1210">
        <w:t xml:space="preserve">   </w:t>
      </w:r>
    </w:p>
    <w:p w14:paraId="363C17FD" w14:textId="164B2844" w:rsidR="00451F75" w:rsidRPr="00DE2D4F" w:rsidRDefault="49C8C599" w:rsidP="00404B33">
      <w:pPr>
        <w:pStyle w:val="Bullet1"/>
      </w:pPr>
      <w:r w:rsidRPr="29E43697">
        <w:rPr>
          <w:u w:val="single"/>
        </w:rPr>
        <w:t xml:space="preserve">Organization </w:t>
      </w:r>
      <w:r w:rsidR="2E89C60E" w:rsidRPr="29E43697">
        <w:rPr>
          <w:u w:val="single"/>
        </w:rPr>
        <w:t>L</w:t>
      </w:r>
      <w:r w:rsidRPr="29E43697">
        <w:rPr>
          <w:u w:val="single"/>
        </w:rPr>
        <w:t>evel</w:t>
      </w:r>
      <w:r w:rsidR="4A36A351" w:rsidRPr="29E43697">
        <w:rPr>
          <w:u w:val="single"/>
        </w:rPr>
        <w:t>:</w:t>
      </w:r>
      <w:r>
        <w:t xml:space="preserve"> The study population includes all SNHs and other safety net providers receiving SNCP funding.</w:t>
      </w:r>
      <w:r w:rsidR="00CC1210">
        <w:t xml:space="preserve"> The focus will be on SNHs. </w:t>
      </w:r>
      <w:r>
        <w:t xml:space="preserve"> </w:t>
      </w:r>
    </w:p>
    <w:p w14:paraId="0C700CF8" w14:textId="6A9B5880" w:rsidR="019D182C" w:rsidRDefault="009C1A39" w:rsidP="00404B33">
      <w:pPr>
        <w:pStyle w:val="Bullet1"/>
      </w:pPr>
      <w:r w:rsidRPr="019D182C">
        <w:rPr>
          <w:u w:val="single"/>
        </w:rPr>
        <w:t xml:space="preserve">Member </w:t>
      </w:r>
      <w:r w:rsidR="007160C7" w:rsidRPr="019D182C">
        <w:rPr>
          <w:u w:val="single"/>
        </w:rPr>
        <w:t>L</w:t>
      </w:r>
      <w:r w:rsidRPr="019D182C">
        <w:rPr>
          <w:u w:val="single"/>
        </w:rPr>
        <w:t>evel</w:t>
      </w:r>
      <w:r w:rsidR="0075555C" w:rsidRPr="019D182C">
        <w:rPr>
          <w:u w:val="single"/>
        </w:rPr>
        <w:t>:</w:t>
      </w:r>
      <w:r>
        <w:t xml:space="preserve"> The population is MassHealth members who receive healthcare from SNHs during the Demonstration. Note that this evaluation focuses on the Medicaid population even if SNHs also treat uninsured members. Member-level analyses will be tied to the SNHs that are accountable for ACO quality of care and cost expectations</w:t>
      </w:r>
      <w:r w:rsidR="00262DC9">
        <w:t>.</w:t>
      </w:r>
    </w:p>
    <w:p w14:paraId="3A8F75AA" w14:textId="308CC481" w:rsidR="009C1A39" w:rsidRPr="0001412A" w:rsidRDefault="009C1A39" w:rsidP="0001412A">
      <w:r w:rsidRPr="0001412A">
        <w:t xml:space="preserve">No comparison group will be used since all Massachusetts SNHs </w:t>
      </w:r>
      <w:r w:rsidR="003723B7" w:rsidRPr="0001412A">
        <w:t xml:space="preserve">and safety net providers </w:t>
      </w:r>
      <w:r w:rsidRPr="0001412A">
        <w:t xml:space="preserve">are </w:t>
      </w:r>
      <w:r w:rsidR="003723B7" w:rsidRPr="0001412A">
        <w:t>included</w:t>
      </w:r>
      <w:r w:rsidRPr="0001412A">
        <w:t xml:space="preserve"> in the Demonstration and will be evaluated.</w:t>
      </w:r>
    </w:p>
    <w:p w14:paraId="2CA1CF81" w14:textId="6F0B892C" w:rsidR="009C1A39" w:rsidRPr="0009132C" w:rsidRDefault="00D219C7" w:rsidP="00EE4105">
      <w:pPr>
        <w:pStyle w:val="Heading3"/>
      </w:pPr>
      <w:r w:rsidRPr="0009132C">
        <w:t xml:space="preserve">Data Sources and Collection Methods </w:t>
      </w:r>
    </w:p>
    <w:p w14:paraId="17BC884C" w14:textId="59079FFF" w:rsidR="00B940C6" w:rsidRPr="0009132C" w:rsidRDefault="009C1A39" w:rsidP="003C6C8F">
      <w:r>
        <w:t xml:space="preserve">The evaluation design for SNCP will use mixed methods to understand how vulnerable populations’ access to care and </w:t>
      </w:r>
      <w:r w:rsidR="00BF63DA">
        <w:t xml:space="preserve">safety net providers’ </w:t>
      </w:r>
      <w:r>
        <w:t xml:space="preserve">quality of healthcare change over time. The evaluation will also explore the impact of the SNCP in supporting the financial sustainability of the SNHs. </w:t>
      </w:r>
    </w:p>
    <w:p w14:paraId="644FB287" w14:textId="77777777" w:rsidR="00BC6B60" w:rsidRPr="0009132C" w:rsidRDefault="00BC6B60" w:rsidP="00301DAB">
      <w:pPr>
        <w:pStyle w:val="Heading4"/>
      </w:pPr>
      <w:bookmarkStart w:id="154" w:name="_Data_Sources_1"/>
      <w:bookmarkEnd w:id="154"/>
      <w:r w:rsidRPr="0009132C">
        <w:t>Data Sources</w:t>
      </w:r>
    </w:p>
    <w:p w14:paraId="6080C9F8" w14:textId="77777777" w:rsidR="00BC6B60" w:rsidRPr="0009132C" w:rsidRDefault="00BC6B60" w:rsidP="006B73DA">
      <w:r w:rsidRPr="0009132C">
        <w:t>Five data sources will be used for the SNCP evaluation:</w:t>
      </w:r>
    </w:p>
    <w:p w14:paraId="47D122A2" w14:textId="64AAB20D" w:rsidR="00BC6B60" w:rsidRPr="0009132C" w:rsidRDefault="00BC6B60" w:rsidP="003C6C8F">
      <w:pPr>
        <w:pStyle w:val="Heading5"/>
      </w:pPr>
      <w:r w:rsidRPr="0009132C">
        <w:t>Medicaid Administrative Da</w:t>
      </w:r>
      <w:r w:rsidR="0001412A">
        <w:t>ta</w:t>
      </w:r>
    </w:p>
    <w:p w14:paraId="3D2A7E23" w14:textId="77777777" w:rsidR="00BC6B60" w:rsidRPr="0009132C" w:rsidRDefault="00BC6B60" w:rsidP="006B73DA">
      <w:r w:rsidRPr="0009132C">
        <w:t>As discussed in earlier chapters, Medicaid administrative data (e.g., enrollment, encounter) will be used to evaluate the quality of care.</w:t>
      </w:r>
    </w:p>
    <w:p w14:paraId="2235E407" w14:textId="34B870CA" w:rsidR="00BC6B60" w:rsidRPr="0009132C" w:rsidRDefault="00BC6B60" w:rsidP="003C6C8F">
      <w:pPr>
        <w:pStyle w:val="Heading5"/>
      </w:pPr>
      <w:r w:rsidRPr="0009132C">
        <w:t>Member Interviews</w:t>
      </w:r>
    </w:p>
    <w:p w14:paraId="087995D2" w14:textId="6992B4D1" w:rsidR="00BC6B60" w:rsidRPr="0009132C" w:rsidRDefault="00BC6B60" w:rsidP="006B73DA">
      <w:r>
        <w:t xml:space="preserve">The current ACO member survey does not explicitly target members receiving care from </w:t>
      </w:r>
      <w:r w:rsidR="000E3E40">
        <w:t>SNHs and other safety net providers</w:t>
      </w:r>
      <w:r>
        <w:t xml:space="preserve">. </w:t>
      </w:r>
      <w:r w:rsidR="000E3E40">
        <w:t>A</w:t>
      </w:r>
      <w:r>
        <w:t>bout 30 randomly selected MassHealth members from SNHs and other safety net providers will be interviewed to understand their experiences with providers, focusing on service access and quality of care. More or fewer members will be interviewed, depending on the data saturation</w:t>
      </w:r>
      <w:r w:rsidR="00533CC7">
        <w:t xml:space="preserve"> when no new themes </w:t>
      </w:r>
      <w:r w:rsidR="009F33A0">
        <w:t>are identified by the data</w:t>
      </w:r>
      <w:r>
        <w:t>.</w:t>
      </w:r>
    </w:p>
    <w:p w14:paraId="3B755263" w14:textId="5EC5F20C" w:rsidR="00BC6B60" w:rsidRPr="0009132C" w:rsidRDefault="00BC6B60" w:rsidP="003C6C8F">
      <w:pPr>
        <w:pStyle w:val="Heading5"/>
      </w:pPr>
      <w:r w:rsidRPr="0009132C">
        <w:t xml:space="preserve">Member Experience Survey </w:t>
      </w:r>
      <w:r w:rsidR="00EB3782">
        <w:t>(I</w:t>
      </w:r>
      <w:r w:rsidRPr="0009132C">
        <w:t>f feasible</w:t>
      </w:r>
      <w:r w:rsidR="00EB3782">
        <w:t>)</w:t>
      </w:r>
    </w:p>
    <w:p w14:paraId="1EE6632E" w14:textId="4B874E9C" w:rsidR="00BC6B60" w:rsidRPr="0009132C" w:rsidRDefault="00BC6B60" w:rsidP="003C6C8F">
      <w:r w:rsidRPr="0009132C">
        <w:t xml:space="preserve">Member survey data provides more population-based member experiences. The evaluation may utilize MassHealth member-level data from the existing ACO survey, based on the Clinician Group Consumer Assessment of Health Plan and Provider Systems (CG-CAHPS), administered through MassHealth. MassHealth also obtains hospital survey data (H-CAHPS) through CMS (an acute hospital requirement), which includes SNHs. The data, however, are all-payer, aggregated, and de-identified. It is </w:t>
      </w:r>
      <w:r w:rsidRPr="0009132C">
        <w:lastRenderedPageBreak/>
        <w:t xml:space="preserve">currently not possible to identify and obtain MassHealth member-level results. We are exploring options to obtain data or to survey MassHealth members in the hospital setting. At this stage, interview data will be the primary source for member experiences. </w:t>
      </w:r>
    </w:p>
    <w:p w14:paraId="07778C91" w14:textId="564CFA58" w:rsidR="00BC6B60" w:rsidRPr="0009132C" w:rsidRDefault="00BC6B60" w:rsidP="003C6C8F">
      <w:pPr>
        <w:pStyle w:val="Heading5"/>
      </w:pPr>
      <w:r w:rsidRPr="0009132C">
        <w:t>Safety Net Provider Organization Interviews</w:t>
      </w:r>
    </w:p>
    <w:p w14:paraId="10585AA4" w14:textId="1896780D" w:rsidR="00BC6B60" w:rsidRPr="0009132C" w:rsidRDefault="00BC6B60" w:rsidP="006B73DA">
      <w:r w:rsidRPr="0009132C">
        <w:t xml:space="preserve">The evaluation will conduct interviews with the 23 SNHs and other safety net providers, involving key administrators (e.g., financial officers), staff, and others about their hospitals’ services for Medicaid members and uninsured individuals. It will explore organizational experiences with fulfilling CMS and MassHealth reporting requirements, meeting quality standards (if applicable), serving vulnerable populations, and maintaining financial sustainability. </w:t>
      </w:r>
    </w:p>
    <w:p w14:paraId="2899EF64" w14:textId="586D5789" w:rsidR="00BC6B60" w:rsidRPr="0009132C" w:rsidRDefault="00BC6B60" w:rsidP="003C6C8F">
      <w:pPr>
        <w:pStyle w:val="Heading5"/>
      </w:pPr>
      <w:r w:rsidRPr="0009132C">
        <w:t>Uniform Medicaid and Uncompensated Care Cost and Charge Reports (UCCR)</w:t>
      </w:r>
      <w:r w:rsidRPr="008D6BAD">
        <w:rPr>
          <w:rStyle w:val="FootnoteReference"/>
        </w:rPr>
        <w:footnoteReference w:id="106"/>
      </w:r>
      <w:r w:rsidRPr="0009132C">
        <w:t xml:space="preserve"> </w:t>
      </w:r>
    </w:p>
    <w:p w14:paraId="34819071" w14:textId="1E64012C" w:rsidR="00BC6B60" w:rsidRPr="0009132C" w:rsidRDefault="00BC6B60" w:rsidP="006B73DA">
      <w:r w:rsidRPr="0009132C">
        <w:t>MassHealth requires hospitals to submit cost, charge, and member day data via UCCR. This data is used to ensure compliance with the Uncompensated Care Cost Limit Protocol approved by CMS on December 11, 2013. In addition, MassHealth uses the data to calculate the preliminary payment amounts for certain supplemental payments. These reports contain cost data from Medicare cost reports, in addition to data provided by MassHealth, on supplemental payments to SNHs.</w:t>
      </w:r>
    </w:p>
    <w:p w14:paraId="1177210F" w14:textId="3BAD9B32" w:rsidR="00D219C7" w:rsidRPr="0009132C" w:rsidRDefault="00D219C7" w:rsidP="00EE4105">
      <w:pPr>
        <w:pStyle w:val="Heading3"/>
      </w:pPr>
      <w:r w:rsidRPr="0009132C">
        <w:t xml:space="preserve">Measures   </w:t>
      </w:r>
    </w:p>
    <w:p w14:paraId="2B4C4D70" w14:textId="58E3116F" w:rsidR="009C1A39" w:rsidRPr="0009132C" w:rsidRDefault="009C1A39" w:rsidP="003C6C8F">
      <w:r>
        <w:t>Quantitative measures will be used to assess the quality of care among SNHs for Medicaid members. Qualitative measures will capture the perceptions of access and quality of care among Medicaid members receiving services</w:t>
      </w:r>
      <w:r w:rsidR="00DA6E0D">
        <w:t xml:space="preserve"> from safety net providers</w:t>
      </w:r>
      <w:r w:rsidR="00262DC9">
        <w:t>,</w:t>
      </w:r>
      <w:r w:rsidR="00DA6E0D">
        <w:t xml:space="preserve"> including SNHs</w:t>
      </w:r>
      <w:r>
        <w:t>. Qualitative measures will also be used to examine SNH</w:t>
      </w:r>
      <w:r w:rsidR="00DA6E0D">
        <w:t>s’</w:t>
      </w:r>
      <w:r>
        <w:t xml:space="preserve"> organizational domains, such as fulfilling reporting requirements, adequacy of clinicians, and UC. </w:t>
      </w:r>
    </w:p>
    <w:p w14:paraId="18734AF8" w14:textId="67D8EF17" w:rsidR="00BC6B60" w:rsidRPr="0009132C" w:rsidRDefault="1388E63E" w:rsidP="00EE4105">
      <w:pPr>
        <w:pStyle w:val="Heading3"/>
      </w:pPr>
      <w:r>
        <w:t xml:space="preserve">Analysis Methods </w:t>
      </w:r>
    </w:p>
    <w:p w14:paraId="2F4EAB0E" w14:textId="55982B69" w:rsidR="009C1A39" w:rsidRPr="00C61DD0" w:rsidRDefault="009C1A39" w:rsidP="3383C28C">
      <w:pPr>
        <w:rPr>
          <w:u w:val="single"/>
        </w:rPr>
      </w:pPr>
      <w:r>
        <w:t xml:space="preserve">Quasi-Experimental Design (QED) will be used to analyze quantitative data for this evaluation. When Medicaid administrative data are used, the analysis will use the </w:t>
      </w:r>
      <w:r w:rsidR="002D0513">
        <w:t>Observed-to-Expected ratio (</w:t>
      </w:r>
      <w:r>
        <w:t>O-E ratio</w:t>
      </w:r>
      <w:r w:rsidR="001A7F80">
        <w:t>)</w:t>
      </w:r>
      <w:r>
        <w:t xml:space="preserve"> as described in </w:t>
      </w:r>
      <w:hyperlink w:anchor="_Delivery_System_Reform">
        <w:r w:rsidRPr="3383C28C">
          <w:rPr>
            <w:rStyle w:val="Hyperlink"/>
          </w:rPr>
          <w:t>Chapter 3</w:t>
        </w:r>
      </w:hyperlink>
      <w:r w:rsidR="00EF5FBB" w:rsidRPr="00B83C27">
        <w:rPr>
          <w:rStyle w:val="Hyperlink"/>
          <w:color w:val="auto"/>
          <w:u w:val="none"/>
        </w:rPr>
        <w:t xml:space="preserve"> </w:t>
      </w:r>
      <w:r w:rsidR="00EF5FBB">
        <w:t>(Delivery System Reform</w:t>
      </w:r>
      <w:r w:rsidR="00B577DC">
        <w:t>)</w:t>
      </w:r>
      <w:r w:rsidR="001A7F80">
        <w:t>.</w:t>
      </w:r>
      <w:r>
        <w:t xml:space="preserve"> The O-E ratio can help determine whether there is a change in quality related to policy changes. Interrupted time series (ITS) analysis without a comparison group will also be conducted. Subgroup analyses will be conducted for adult and child members, respectively.</w:t>
      </w:r>
      <w:r w:rsidR="00E21EF5">
        <w:t xml:space="preserve"> T</w:t>
      </w:r>
      <w:r w:rsidR="00E21EF5" w:rsidRPr="006F3857">
        <w:t xml:space="preserve">he analyses will draw on covariates at </w:t>
      </w:r>
      <w:r w:rsidR="00EF7EF8" w:rsidRPr="006F3857">
        <w:t>member, organization/provider, and regional</w:t>
      </w:r>
      <w:r w:rsidR="00E21EF5" w:rsidRPr="006F3857">
        <w:t xml:space="preserve"> levels</w:t>
      </w:r>
      <w:r w:rsidR="00EF7EF8" w:rsidRPr="006F3857">
        <w:t>. T</w:t>
      </w:r>
      <w:r w:rsidR="00E21EF5" w:rsidRPr="006F3857">
        <w:t>he examples</w:t>
      </w:r>
      <w:r w:rsidR="004D1A58" w:rsidRPr="006F3857">
        <w:t xml:space="preserve"> of covariates</w:t>
      </w:r>
      <w:r w:rsidR="00E21EF5" w:rsidRPr="006F3857">
        <w:t xml:space="preserve"> are member demographic and clinical characteristics (e.g., age, sex, disability status, rating categories, federal poverty level), </w:t>
      </w:r>
      <w:r w:rsidR="00EF7EF8" w:rsidRPr="006F3857">
        <w:t xml:space="preserve">provider characteristics (e.g., </w:t>
      </w:r>
      <w:r w:rsidR="00260052" w:rsidRPr="006F3857">
        <w:t xml:space="preserve">teaching status, </w:t>
      </w:r>
      <w:r w:rsidR="004B7169" w:rsidRPr="006F3857">
        <w:t xml:space="preserve">ownership, size of beds), </w:t>
      </w:r>
      <w:r w:rsidR="00E21EF5" w:rsidRPr="006F3857">
        <w:t>regional characteristics (e.g., region, healthcare resources), and indicators of time.</w:t>
      </w:r>
      <w:r w:rsidR="008B5A41" w:rsidRPr="006F3857">
        <w:t xml:space="preserve"> The IE will explore the use of imputation method or sensitiv</w:t>
      </w:r>
      <w:r w:rsidR="00607631" w:rsidRPr="006F3857">
        <w:t>ity</w:t>
      </w:r>
      <w:r w:rsidR="008B5A41" w:rsidRPr="006F3857">
        <w:t xml:space="preserve"> analysis related to race/ethnicity data and include demographic characteristics in our analysis, as appropriate.</w:t>
      </w:r>
    </w:p>
    <w:p w14:paraId="7805142C" w14:textId="5DDF4D76" w:rsidR="009C1A39" w:rsidRDefault="009C1A39" w:rsidP="006B73DA">
      <w:r>
        <w:lastRenderedPageBreak/>
        <w:t>The thematic analyses of the qualitative data will supplement these findings. The methods for the thematic analyses are described in</w:t>
      </w:r>
      <w:r w:rsidR="0001412A">
        <w:t xml:space="preserve"> </w:t>
      </w:r>
      <w:hyperlink w:anchor="_Delivery_System_Reform" w:history="1">
        <w:r w:rsidR="0045015E" w:rsidRPr="00277FA7">
          <w:rPr>
            <w:rStyle w:val="Hyperlink"/>
          </w:rPr>
          <w:t>Chapter 3</w:t>
        </w:r>
      </w:hyperlink>
      <w:r w:rsidR="0001412A">
        <w:t xml:space="preserve"> </w:t>
      </w:r>
      <w:r w:rsidR="00B577DC">
        <w:t xml:space="preserve">(Delivery System Reform) </w:t>
      </w:r>
      <w:hyperlink w:anchor="_Data_Sources_and" w:history="1">
        <w:r w:rsidR="008A66D0" w:rsidRPr="00CB140A">
          <w:rPr>
            <w:rStyle w:val="Hyperlink"/>
          </w:rPr>
          <w:t xml:space="preserve">Section </w:t>
        </w:r>
        <w:r w:rsidR="00CB140A" w:rsidRPr="00CB140A">
          <w:rPr>
            <w:rStyle w:val="Hyperlink"/>
          </w:rPr>
          <w:t>3.4.</w:t>
        </w:r>
        <w:r w:rsidR="00CB140A" w:rsidRPr="001C0B48">
          <w:rPr>
            <w:rStyle w:val="Hyperlink"/>
            <w:color w:val="000F9F"/>
          </w:rPr>
          <w:t xml:space="preserve">2 </w:t>
        </w:r>
        <w:r w:rsidRPr="001C0B48">
          <w:rPr>
            <w:rStyle w:val="Hyperlink"/>
            <w:color w:val="000F9F"/>
          </w:rPr>
          <w:fldChar w:fldCharType="begin"/>
        </w:r>
        <w:r w:rsidRPr="001C0B48">
          <w:rPr>
            <w:rStyle w:val="Hyperlink"/>
            <w:color w:val="000F9F"/>
          </w:rPr>
          <w:instrText xml:space="preserve"> REF _Ref142869308 \h </w:instrText>
        </w:r>
        <w:r w:rsidRPr="001C0B48">
          <w:rPr>
            <w:rStyle w:val="Hyperlink"/>
            <w:color w:val="000F9F"/>
          </w:rPr>
        </w:r>
        <w:r w:rsidRPr="001C0B48">
          <w:rPr>
            <w:rStyle w:val="Hyperlink"/>
            <w:color w:val="000F9F"/>
          </w:rPr>
          <w:fldChar w:fldCharType="separate"/>
        </w:r>
        <w:r w:rsidR="00CB140A" w:rsidRPr="008726E8">
          <w:rPr>
            <w:color w:val="000F9F"/>
            <w:u w:val="single"/>
          </w:rPr>
          <w:t>Data Sources and Collection Methods</w:t>
        </w:r>
        <w:r w:rsidRPr="001C0B48">
          <w:rPr>
            <w:rStyle w:val="Hyperlink"/>
            <w:color w:val="000F9F"/>
          </w:rPr>
          <w:fldChar w:fldCharType="end"/>
        </w:r>
      </w:hyperlink>
      <w:r>
        <w:t xml:space="preserve">. If feasible, member survey data from the existing ACO survey may be analyzed for members who have received care from SNHs. Descriptive statistics </w:t>
      </w:r>
      <w:r w:rsidR="000E3E40">
        <w:t xml:space="preserve">analysis </w:t>
      </w:r>
      <w:r>
        <w:t xml:space="preserve">will be </w:t>
      </w:r>
      <w:r w:rsidR="000E3E40">
        <w:t xml:space="preserve">conducted </w:t>
      </w:r>
      <w:r>
        <w:t xml:space="preserve">to profile member experiences. </w:t>
      </w:r>
    </w:p>
    <w:p w14:paraId="09D7977B" w14:textId="2B4584DC" w:rsidR="006F3857" w:rsidRPr="006F3857" w:rsidRDefault="00C32378" w:rsidP="006F3857">
      <w:r w:rsidRPr="0045015E">
        <w:rPr>
          <w:bCs/>
        </w:rPr>
        <w:t>Using an embedded mixed methods approach, we will synthesize the quantitative and qualita</w:t>
      </w:r>
      <w:r w:rsidRPr="00ED4F65">
        <w:rPr>
          <w:rStyle w:val="normaltextrun"/>
          <w:rFonts w:ascii="Arial" w:hAnsi="Arial"/>
        </w:rPr>
        <w:t>tive data.</w:t>
      </w:r>
      <w:r w:rsidRPr="3383C28C">
        <w:rPr>
          <w:rStyle w:val="normaltextrun"/>
          <w:rFonts w:ascii="Arial" w:hAnsi="Arial"/>
        </w:rPr>
        <w:t xml:space="preserve"> We will solicit an in-depth nuanced understanding of members</w:t>
      </w:r>
      <w:r w:rsidR="65AB38DF" w:rsidRPr="3383C28C">
        <w:rPr>
          <w:rStyle w:val="normaltextrun"/>
          <w:rFonts w:ascii="Arial" w:hAnsi="Arial"/>
        </w:rPr>
        <w:t>’</w:t>
      </w:r>
      <w:r w:rsidRPr="3383C28C">
        <w:rPr>
          <w:rStyle w:val="normaltextrun"/>
          <w:rFonts w:ascii="Arial" w:hAnsi="Arial"/>
        </w:rPr>
        <w:t xml:space="preserve"> and providers’ experiences, examine how those experiences may be related to </w:t>
      </w:r>
      <w:r w:rsidR="009919C4" w:rsidRPr="3383C28C">
        <w:rPr>
          <w:rStyle w:val="normaltextrun"/>
          <w:rFonts w:ascii="Arial" w:hAnsi="Arial"/>
        </w:rPr>
        <w:t>SNCP</w:t>
      </w:r>
      <w:r w:rsidRPr="3383C28C">
        <w:rPr>
          <w:rStyle w:val="normaltextrun"/>
          <w:rFonts w:ascii="Arial" w:hAnsi="Arial"/>
        </w:rPr>
        <w:t xml:space="preserve">, and use these findings to explain pertinent trends and outcomes. </w:t>
      </w:r>
      <w:r w:rsidR="006C3058">
        <w:t xml:space="preserve">For example, we expect better health outcomes </w:t>
      </w:r>
      <w:r w:rsidR="55089299">
        <w:t xml:space="preserve">identified through </w:t>
      </w:r>
      <w:r w:rsidR="006C3058">
        <w:t xml:space="preserve">quantitative analysis will be associated with better access to care as a result of the </w:t>
      </w:r>
      <w:r w:rsidR="004F4209">
        <w:t xml:space="preserve">SNCP payment. </w:t>
      </w:r>
      <w:r w:rsidR="008455A9" w:rsidRPr="3383C28C">
        <w:rPr>
          <w:rStyle w:val="normaltextrun"/>
          <w:rFonts w:ascii="Arial" w:hAnsi="Arial"/>
        </w:rPr>
        <w:t xml:space="preserve">Conversely, preliminary quantitative findings from </w:t>
      </w:r>
      <w:r w:rsidR="0010087F">
        <w:rPr>
          <w:rStyle w:val="normaltextrun"/>
          <w:rFonts w:ascii="Arial" w:hAnsi="Arial"/>
        </w:rPr>
        <w:t xml:space="preserve">the </w:t>
      </w:r>
      <w:r w:rsidR="008455A9" w:rsidRPr="3383C28C">
        <w:rPr>
          <w:rStyle w:val="normaltextrun"/>
          <w:rFonts w:ascii="Arial" w:hAnsi="Arial"/>
        </w:rPr>
        <w:t>analysis of data from early in the Demonstration period can generate questions regarding underlying mechanisms that can then be explored in subsequent qualitative data collection and analysis.</w:t>
      </w:r>
      <w:r w:rsidR="006C3058">
        <w:t xml:space="preserve">  </w:t>
      </w:r>
    </w:p>
    <w:p w14:paraId="75E3D5E4" w14:textId="71264319" w:rsidR="009C1A39" w:rsidRPr="0009132C" w:rsidRDefault="009C1A39" w:rsidP="00EE4105">
      <w:pPr>
        <w:pStyle w:val="Heading3"/>
      </w:pPr>
      <w:r w:rsidRPr="0009132C">
        <w:t xml:space="preserve">Limitations </w:t>
      </w:r>
    </w:p>
    <w:p w14:paraId="56678B9B" w14:textId="74EC0305" w:rsidR="007A3EFD" w:rsidRPr="0009132C" w:rsidRDefault="009C1A39" w:rsidP="006B73DA">
      <w:r w:rsidRPr="0009132C">
        <w:t>The most significant limitation of the evaluation is that the pre-demonstration period (the baseline performance) is still within the Public Health Emergency (PHE). Access and quality of care performance of SNHs</w:t>
      </w:r>
      <w:r w:rsidR="00D51990" w:rsidRPr="0009132C">
        <w:t xml:space="preserve"> may</w:t>
      </w:r>
      <w:r w:rsidRPr="0009132C">
        <w:t xml:space="preserve"> have been impacted during the PHE, resulting from financial, workforce, and technology issues. This may lead to less optimal performance compared to normal circumstances, which sets up a skewed baseline performance and may bias the SNCP policy impact. </w:t>
      </w:r>
      <w:r w:rsidR="008D1047" w:rsidRPr="0009132C">
        <w:t>Similar</w:t>
      </w:r>
      <w:r w:rsidR="008466DC" w:rsidRPr="0009132C">
        <w:t xml:space="preserve"> to other domains, pre-PHE analysis periods will be included to establish the baseline performance. </w:t>
      </w:r>
      <w:r w:rsidRPr="0009132C">
        <w:t xml:space="preserve">A second limitation is that the current design does not fully </w:t>
      </w:r>
      <w:r w:rsidR="00FF06A4">
        <w:t>account</w:t>
      </w:r>
      <w:r w:rsidR="00FF06A4" w:rsidRPr="0009132C">
        <w:t xml:space="preserve"> </w:t>
      </w:r>
      <w:r w:rsidRPr="0009132C">
        <w:t xml:space="preserve">for competing and </w:t>
      </w:r>
      <w:r w:rsidRPr="0009132C">
        <w:rPr>
          <w:rFonts w:eastAsia="Arial"/>
        </w:rPr>
        <w:t>reinforcing initiatives (e.g., BH Roadmap Initiatives, Hospital Quality and Equity Initiatives</w:t>
      </w:r>
      <w:r w:rsidR="002D0513" w:rsidRPr="0009132C">
        <w:rPr>
          <w:rFonts w:eastAsia="Arial"/>
        </w:rPr>
        <w:t xml:space="preserve"> </w:t>
      </w:r>
      <w:r w:rsidR="3250143E" w:rsidRPr="0009132C">
        <w:rPr>
          <w:rFonts w:eastAsia="Arial"/>
        </w:rPr>
        <w:t>(</w:t>
      </w:r>
      <w:r w:rsidR="002D0513" w:rsidRPr="0009132C">
        <w:rPr>
          <w:rFonts w:eastAsia="Arial"/>
        </w:rPr>
        <w:t>HQEI</w:t>
      </w:r>
      <w:r w:rsidR="68183C14" w:rsidRPr="0009132C">
        <w:rPr>
          <w:rFonts w:eastAsia="Arial"/>
        </w:rPr>
        <w:t>)</w:t>
      </w:r>
      <w:r w:rsidRPr="0009132C">
        <w:rPr>
          <w:rFonts w:eastAsia="Arial"/>
        </w:rPr>
        <w:t xml:space="preserve">) that may impact provider performance during the evaluation period. The results of the evaluation will need to be explained in the context of other initiatives administered by the Commonwealth. </w:t>
      </w:r>
      <w:r w:rsidR="008466DC" w:rsidRPr="0009132C">
        <w:rPr>
          <w:rFonts w:eastAsia="Arial"/>
        </w:rPr>
        <w:t xml:space="preserve">Qualitative information from members and providers </w:t>
      </w:r>
      <w:r w:rsidR="008D1047" w:rsidRPr="0009132C">
        <w:rPr>
          <w:rFonts w:eastAsia="Arial"/>
        </w:rPr>
        <w:t>is</w:t>
      </w:r>
      <w:r w:rsidR="008466DC" w:rsidRPr="0009132C">
        <w:rPr>
          <w:rFonts w:eastAsia="Arial"/>
        </w:rPr>
        <w:t xml:space="preserve"> expected to reveal more details of the payment impact. </w:t>
      </w:r>
    </w:p>
    <w:p w14:paraId="5D63928C" w14:textId="77777777" w:rsidR="007A3EFD" w:rsidRPr="0009132C" w:rsidRDefault="007A3EFD" w:rsidP="00C56579">
      <w:pPr>
        <w:pStyle w:val="Heading2"/>
        <w:sectPr w:rsidR="007A3EFD" w:rsidRPr="0009132C" w:rsidSect="00744E1B">
          <w:pgSz w:w="12240" w:h="15840"/>
          <w:pgMar w:top="1440" w:right="1440" w:bottom="1440" w:left="1440" w:header="720" w:footer="576" w:gutter="0"/>
          <w:cols w:space="720"/>
          <w:docGrid w:linePitch="360"/>
        </w:sectPr>
      </w:pPr>
    </w:p>
    <w:p w14:paraId="0ECC6F3B" w14:textId="6464B35D" w:rsidR="00DC5A34" w:rsidRPr="0009132C" w:rsidRDefault="727F504B" w:rsidP="00A4180B">
      <w:pPr>
        <w:pStyle w:val="Heading1"/>
      </w:pPr>
      <w:bookmarkStart w:id="155" w:name="_Workforce_Initiatives"/>
      <w:bookmarkStart w:id="156" w:name="_Toc129619746"/>
      <w:bookmarkStart w:id="157" w:name="_Toc130209721"/>
      <w:bookmarkStart w:id="158" w:name="_Ref142920853"/>
      <w:bookmarkStart w:id="159" w:name="_Ref142921143"/>
      <w:bookmarkStart w:id="160" w:name="_Toc151976432"/>
      <w:bookmarkEnd w:id="155"/>
      <w:r>
        <w:lastRenderedPageBreak/>
        <w:t>Workforce Initiatives</w:t>
      </w:r>
      <w:bookmarkEnd w:id="156"/>
      <w:bookmarkEnd w:id="157"/>
      <w:bookmarkEnd w:id="158"/>
      <w:bookmarkEnd w:id="159"/>
      <w:bookmarkEnd w:id="160"/>
    </w:p>
    <w:p w14:paraId="53D3D3DE" w14:textId="3273C644" w:rsidR="00DC5A34" w:rsidRPr="0009132C" w:rsidRDefault="005B47F7" w:rsidP="003C6C8F">
      <w:pPr>
        <w:pStyle w:val="Heading2"/>
      </w:pPr>
      <w:bookmarkStart w:id="161" w:name="_Toc130209722"/>
      <w:r>
        <w:t xml:space="preserve"> </w:t>
      </w:r>
      <w:bookmarkStart w:id="162" w:name="_Toc151976433"/>
      <w:r w:rsidR="00DC5A34" w:rsidRPr="0009132C">
        <w:t>Overview of Workforce Initiatives (WI) Policy Domain</w:t>
      </w:r>
      <w:r w:rsidR="00DC5A34" w:rsidRPr="008D6BAD">
        <w:rPr>
          <w:rStyle w:val="FootnoteReference"/>
        </w:rPr>
        <w:footnoteReference w:id="107"/>
      </w:r>
      <w:bookmarkEnd w:id="161"/>
      <w:bookmarkEnd w:id="162"/>
      <w:r w:rsidR="00DC5A34" w:rsidRPr="008D6BAD">
        <w:rPr>
          <w:rStyle w:val="FootnoteReference"/>
        </w:rPr>
        <w:t xml:space="preserve"> </w:t>
      </w:r>
      <w:r w:rsidR="00DC5A34" w:rsidRPr="0009132C">
        <w:t xml:space="preserve"> </w:t>
      </w:r>
    </w:p>
    <w:p w14:paraId="0073D6A6" w14:textId="17BE2ECA" w:rsidR="00DC5A34" w:rsidRPr="0009132C" w:rsidRDefault="00DC5A34" w:rsidP="006B73DA">
      <w:r w:rsidRPr="0009132C">
        <w:t>Similar to national trends, Massachusetts is experiencing a shortage of primary care providers (PCPs) that, without intervention, will continue to grow.</w:t>
      </w:r>
      <w:r w:rsidRPr="0009132C">
        <w:rPr>
          <w:vertAlign w:val="superscript"/>
        </w:rPr>
        <w:footnoteReference w:id="108"/>
      </w:r>
      <w:r w:rsidRPr="0009132C">
        <w:t xml:space="preserve"> </w:t>
      </w:r>
      <w:r w:rsidR="16D15F11" w:rsidRPr="0009132C">
        <w:t>Additionally, m</w:t>
      </w:r>
      <w:r w:rsidR="001022E6" w:rsidRPr="0009132C">
        <w:t>ore t</w:t>
      </w:r>
      <w:r w:rsidR="00DB0F59" w:rsidRPr="0009132C">
        <w:t xml:space="preserve">han half </w:t>
      </w:r>
      <w:r w:rsidR="00035AFF" w:rsidRPr="0009132C">
        <w:t>(56.8</w:t>
      </w:r>
      <w:r w:rsidR="0054293E">
        <w:t xml:space="preserve"> percent</w:t>
      </w:r>
      <w:r w:rsidR="0054293E" w:rsidRPr="0009132C">
        <w:t xml:space="preserve">) </w:t>
      </w:r>
      <w:r w:rsidR="005B47F7" w:rsidRPr="0009132C">
        <w:t xml:space="preserve">of </w:t>
      </w:r>
      <w:r w:rsidR="00DB0F59" w:rsidRPr="0009132C">
        <w:t xml:space="preserve">adults who sought </w:t>
      </w:r>
      <w:r w:rsidR="00DF588E" w:rsidRPr="0009132C">
        <w:t xml:space="preserve">treatment </w:t>
      </w:r>
      <w:r w:rsidR="00DB0F59" w:rsidRPr="0009132C">
        <w:t xml:space="preserve">for behavioral health </w:t>
      </w:r>
      <w:r w:rsidR="00301275" w:rsidRPr="0009132C">
        <w:t>(BH)</w:t>
      </w:r>
      <w:r w:rsidR="00DB0F59" w:rsidRPr="0009132C">
        <w:t xml:space="preserve"> reported challenges in finding a </w:t>
      </w:r>
      <w:r w:rsidR="00301275" w:rsidRPr="0009132C">
        <w:t>BH</w:t>
      </w:r>
      <w:r w:rsidR="00DB0F59" w:rsidRPr="0009132C">
        <w:t xml:space="preserve"> provider</w:t>
      </w:r>
      <w:r w:rsidR="00035AFF" w:rsidRPr="0009132C">
        <w:t>.</w:t>
      </w:r>
      <w:r w:rsidR="00035AFF" w:rsidRPr="0009132C">
        <w:rPr>
          <w:rStyle w:val="FootnoteReference"/>
        </w:rPr>
        <w:footnoteReference w:id="109"/>
      </w:r>
      <w:r w:rsidR="00035AFF" w:rsidRPr="0009132C">
        <w:t xml:space="preserve"> </w:t>
      </w:r>
      <w:r w:rsidRPr="0009132C">
        <w:t>Through the 2022-2027 Demonstration, the Commonwealth is committed to making significant investments to extend and improve primary care and</w:t>
      </w:r>
      <w:r w:rsidR="003F796E" w:rsidRPr="0009132C">
        <w:t xml:space="preserve"> BH </w:t>
      </w:r>
      <w:r w:rsidRPr="0009132C">
        <w:t xml:space="preserve">services </w:t>
      </w:r>
      <w:r w:rsidR="540213B0" w:rsidRPr="0009132C">
        <w:t xml:space="preserve">and access </w:t>
      </w:r>
      <w:r w:rsidRPr="0009132C">
        <w:t>to care.</w:t>
      </w:r>
      <w:r w:rsidRPr="0009132C">
        <w:rPr>
          <w:vertAlign w:val="superscript"/>
        </w:rPr>
        <w:footnoteReference w:id="110"/>
      </w:r>
      <w:r w:rsidRPr="0009132C">
        <w:t xml:space="preserve"> In addition to the </w:t>
      </w:r>
      <w:bookmarkStart w:id="163" w:name="_Hlk126156781"/>
      <w:r w:rsidRPr="0009132C">
        <w:t>transition of primary care payment in the Accountable Care Organization (ACO) program to a new sub-capitation payment model and the Commonwealth’s implementation of the BH Roadmap</w:t>
      </w:r>
      <w:bookmarkEnd w:id="163"/>
      <w:r w:rsidRPr="0009132C">
        <w:t xml:space="preserve">, the Commonwealth is investing in three Workforce Initiatives (WI) programs </w:t>
      </w:r>
      <w:r w:rsidR="0080610F" w:rsidRPr="0009132C">
        <w:t xml:space="preserve">authorized by the Demonstration </w:t>
      </w:r>
      <w:r w:rsidRPr="0009132C">
        <w:t xml:space="preserve">to address shortages </w:t>
      </w:r>
      <w:r w:rsidR="00FA29E4" w:rsidRPr="0009132C">
        <w:t>of</w:t>
      </w:r>
      <w:r w:rsidRPr="0009132C">
        <w:t xml:space="preserve"> qualified providers serving MassHealth members. The WIs are categorized into student loan repayment programs and the family nurse practitioner (FNP) residency grant program. </w:t>
      </w:r>
    </w:p>
    <w:p w14:paraId="76FE6077" w14:textId="4DE583C4" w:rsidR="00DC5A34" w:rsidRPr="0009132C" w:rsidRDefault="00DC5A34" w:rsidP="00301DAB">
      <w:pPr>
        <w:pStyle w:val="Heading4"/>
      </w:pPr>
      <w:r w:rsidRPr="0009132C">
        <w:t xml:space="preserve">Primary Care Student Loan Repayment Program </w:t>
      </w:r>
    </w:p>
    <w:p w14:paraId="17C79DFC" w14:textId="77777777" w:rsidR="00DC5A34" w:rsidRPr="0009132C" w:rsidRDefault="00DC5A34" w:rsidP="006B73DA">
      <w:r w:rsidRPr="0009132C">
        <w:t>This program will offer the following:</w:t>
      </w:r>
    </w:p>
    <w:p w14:paraId="5E413278" w14:textId="5B9FF675" w:rsidR="00410E39" w:rsidRPr="0009132C" w:rsidRDefault="00DC5A34" w:rsidP="00DF591B">
      <w:pPr>
        <w:pStyle w:val="ListNumber"/>
        <w:numPr>
          <w:ilvl w:val="0"/>
          <w:numId w:val="146"/>
        </w:numPr>
      </w:pPr>
      <w:r w:rsidRPr="0009132C">
        <w:t xml:space="preserve">Up to $100,000 for PCPs who commit to a four-year full-time service </w:t>
      </w:r>
      <w:r w:rsidR="00200A8F" w:rsidRPr="0009132C">
        <w:t>obligation</w:t>
      </w:r>
      <w:r w:rsidRPr="0009132C">
        <w:t xml:space="preserve"> in a community-based setting, serving at least 40 percent MassHealth and/or uninsured members.</w:t>
      </w:r>
    </w:p>
    <w:p w14:paraId="29092856" w14:textId="77777777" w:rsidR="00DC5A34" w:rsidRPr="0009132C" w:rsidRDefault="00DC5A34" w:rsidP="003417FC">
      <w:pPr>
        <w:pStyle w:val="ListNumber"/>
      </w:pPr>
      <w:r w:rsidRPr="0009132C">
        <w:t xml:space="preserve">Up to $50,000 for advanced practice registered nurses, pediatric clinical nurse specialists, nurse practitioners (NP), and physician assistants (PA), per practitioner, who commit to a four-year full-time service </w:t>
      </w:r>
      <w:r w:rsidR="00200A8F" w:rsidRPr="0009132C">
        <w:t>obligation</w:t>
      </w:r>
      <w:r w:rsidRPr="0009132C">
        <w:t xml:space="preserve"> in a community-based setting serving at least 40 percent MassHealth and/or uninsured members.</w:t>
      </w:r>
    </w:p>
    <w:p w14:paraId="5F5D2276" w14:textId="0B2FAD5C" w:rsidR="00DC5A34" w:rsidRPr="0009132C" w:rsidRDefault="00DC5A34" w:rsidP="00301DAB">
      <w:pPr>
        <w:pStyle w:val="Heading4"/>
      </w:pPr>
      <w:r w:rsidRPr="0009132C">
        <w:t xml:space="preserve">Behavioral Health (BH) Student Loan Repayment Program </w:t>
      </w:r>
    </w:p>
    <w:p w14:paraId="1300040D" w14:textId="77777777" w:rsidR="00DC5A34" w:rsidRPr="0009132C" w:rsidRDefault="00DC5A34" w:rsidP="006B73DA">
      <w:r w:rsidRPr="0009132C">
        <w:t>This program will offer the following:</w:t>
      </w:r>
    </w:p>
    <w:p w14:paraId="2DFE826F" w14:textId="1213A370" w:rsidR="00410E39" w:rsidRPr="0009132C" w:rsidRDefault="00DC5A34" w:rsidP="00DF591B">
      <w:pPr>
        <w:pStyle w:val="ListNumber"/>
        <w:numPr>
          <w:ilvl w:val="0"/>
          <w:numId w:val="147"/>
        </w:numPr>
      </w:pPr>
      <w:r w:rsidRPr="0009132C">
        <w:t>For psychiatrists and NPs with prescribing privileges, up to $300,000 per practitioner who makes a four-year full-time commitment to maintaining a personal practice panel or working at an organization with a panel that includes at least 40 percent MassHealth and/or uninsured members.</w:t>
      </w:r>
    </w:p>
    <w:p w14:paraId="098E3F56" w14:textId="2CDC6EB7" w:rsidR="00DC5A34" w:rsidRPr="0009132C" w:rsidRDefault="00DC5A34" w:rsidP="003417FC">
      <w:pPr>
        <w:pStyle w:val="ListNumber"/>
      </w:pPr>
      <w:r w:rsidRPr="0009132C">
        <w:lastRenderedPageBreak/>
        <w:t>Up to $50,000 per practitioner for licensed BH clinicians or masters-prepared clinicians (clinicians who have completed masters-level training but do not yet have the necessary licensure to practice independently) intending to obtain BH practitioner licensure within one year of the award</w:t>
      </w:r>
      <w:r w:rsidR="000D4B45">
        <w:t xml:space="preserve"> and</w:t>
      </w:r>
      <w:r w:rsidRPr="0009132C">
        <w:t xml:space="preserve"> who make a four-year commitment to practice full-time in a community-based setting serving at least 40 percent of MassHealth and/or uninsured members. </w:t>
      </w:r>
    </w:p>
    <w:p w14:paraId="31207B5F" w14:textId="66EC5B68" w:rsidR="00DC5A34" w:rsidRPr="0009132C" w:rsidRDefault="00DC5A34" w:rsidP="00301DAB">
      <w:pPr>
        <w:pStyle w:val="Heading4"/>
      </w:pPr>
      <w:r w:rsidRPr="0009132C">
        <w:t xml:space="preserve">Family Nurse Practitioner Residency Grant Program </w:t>
      </w:r>
    </w:p>
    <w:p w14:paraId="47F82C42" w14:textId="51D0F60F" w:rsidR="00DC5A34" w:rsidRPr="00DF591B" w:rsidRDefault="00DC5A34" w:rsidP="00DF591B">
      <w:r w:rsidRPr="0009132C">
        <w:t xml:space="preserve">The Commonwealth will provide up to $105,000 per residency slot to allow Community Health Centers (CHCs), whose </w:t>
      </w:r>
      <w:r w:rsidR="31E1141F" w:rsidRPr="0009132C">
        <w:t xml:space="preserve">patient </w:t>
      </w:r>
      <w:r w:rsidRPr="0009132C">
        <w:t xml:space="preserve">populations are </w:t>
      </w:r>
      <w:r w:rsidR="290AD4D2" w:rsidRPr="0009132C">
        <w:t xml:space="preserve">made up of </w:t>
      </w:r>
      <w:r w:rsidRPr="0009132C">
        <w:t>at least 40 percent MassHealth members, to support up to 10 FNP residency slots annually for four years.</w:t>
      </w:r>
    </w:p>
    <w:p w14:paraId="76D26E7C" w14:textId="7EFA1A01" w:rsidR="00DF591B" w:rsidRDefault="00DF591B" w:rsidP="002256E5">
      <w:pPr>
        <w:pStyle w:val="FigureorTableTitle"/>
      </w:pPr>
      <w:bookmarkStart w:id="164" w:name="_Toc151976460"/>
      <w:r>
        <w:t xml:space="preserve">Table </w:t>
      </w:r>
      <w:r>
        <w:fldChar w:fldCharType="begin"/>
      </w:r>
      <w:r>
        <w:instrText>STYLEREF 1 \s</w:instrText>
      </w:r>
      <w:r>
        <w:fldChar w:fldCharType="separate"/>
      </w:r>
      <w:r w:rsidR="00EB7B05">
        <w:rPr>
          <w:noProof/>
        </w:rPr>
        <w:t>6</w:t>
      </w:r>
      <w:r>
        <w:fldChar w:fldCharType="end"/>
      </w:r>
      <w:r w:rsidR="00433675">
        <w:noBreakHyphen/>
      </w:r>
      <w:r>
        <w:fldChar w:fldCharType="begin"/>
      </w:r>
      <w:r>
        <w:instrText>SEQ Table \* ARABIC \s 1</w:instrText>
      </w:r>
      <w:r>
        <w:fldChar w:fldCharType="separate"/>
      </w:r>
      <w:r w:rsidR="00EB7B05">
        <w:rPr>
          <w:noProof/>
        </w:rPr>
        <w:t>1</w:t>
      </w:r>
      <w:r>
        <w:fldChar w:fldCharType="end"/>
      </w:r>
      <w:r>
        <w:t xml:space="preserve">: </w:t>
      </w:r>
      <w:r w:rsidRPr="00851027">
        <w:t>Workforce Funding by Initiative (In Millions)</w:t>
      </w:r>
      <w:bookmarkEnd w:id="164"/>
    </w:p>
    <w:tbl>
      <w:tblPr>
        <w:tblStyle w:val="FHCtableclean10pt"/>
        <w:tblW w:w="4932" w:type="pct"/>
        <w:tblLook w:val="04A0" w:firstRow="1" w:lastRow="0" w:firstColumn="1" w:lastColumn="0" w:noHBand="0" w:noVBand="1"/>
      </w:tblPr>
      <w:tblGrid>
        <w:gridCol w:w="1873"/>
        <w:gridCol w:w="2619"/>
        <w:gridCol w:w="945"/>
        <w:gridCol w:w="945"/>
        <w:gridCol w:w="945"/>
        <w:gridCol w:w="945"/>
        <w:gridCol w:w="945"/>
      </w:tblGrid>
      <w:tr w:rsidR="00FB3AEB" w:rsidRPr="002E6E1B" w14:paraId="7ED5F3BB" w14:textId="77777777" w:rsidTr="00EE41A9">
        <w:trPr>
          <w:cnfStyle w:val="100000000000" w:firstRow="1" w:lastRow="0" w:firstColumn="0" w:lastColumn="0" w:oddVBand="0" w:evenVBand="0" w:oddHBand="0" w:evenHBand="0" w:firstRowFirstColumn="0" w:firstRowLastColumn="0" w:lastRowFirstColumn="0" w:lastRowLastColumn="0"/>
          <w:trHeight w:val="487"/>
          <w:tblHeader/>
        </w:trPr>
        <w:tc>
          <w:tcPr>
            <w:cnfStyle w:val="001000000000" w:firstRow="0" w:lastRow="0" w:firstColumn="1" w:lastColumn="0" w:oddVBand="0" w:evenVBand="0" w:oddHBand="0" w:evenHBand="0" w:firstRowFirstColumn="0" w:firstRowLastColumn="0" w:lastRowFirstColumn="0" w:lastRowLastColumn="0"/>
            <w:tcW w:w="0" w:type="dxa"/>
            <w:hideMark/>
          </w:tcPr>
          <w:p w14:paraId="7A7A0B18" w14:textId="1A11E753" w:rsidR="004B588E" w:rsidRPr="00A241FA" w:rsidRDefault="00225AEC" w:rsidP="002256E5">
            <w:pPr>
              <w:pStyle w:val="TableHeading"/>
            </w:pPr>
            <w:r w:rsidRPr="002256E5">
              <w:rPr>
                <w:b/>
              </w:rPr>
              <w:t xml:space="preserve">Initiative </w:t>
            </w:r>
          </w:p>
        </w:tc>
        <w:tc>
          <w:tcPr>
            <w:tcW w:w="0" w:type="dxa"/>
            <w:hideMark/>
          </w:tcPr>
          <w:p w14:paraId="3708A0EA" w14:textId="7CCC3750" w:rsidR="00651EB6" w:rsidRPr="00A241FA" w:rsidRDefault="00651EB6" w:rsidP="002256E5">
            <w:pPr>
              <w:pStyle w:val="TableHeading"/>
              <w:cnfStyle w:val="100000000000" w:firstRow="1" w:lastRow="0" w:firstColumn="0" w:lastColumn="0" w:oddVBand="0" w:evenVBand="0" w:oddHBand="0" w:evenHBand="0" w:firstRowFirstColumn="0" w:firstRowLastColumn="0" w:lastRowFirstColumn="0" w:lastRowLastColumn="0"/>
            </w:pPr>
            <w:r w:rsidRPr="002256E5">
              <w:rPr>
                <w:b/>
              </w:rPr>
              <w:t>Demonstration Year (DY) 28 / Performance Year (PY) 1</w:t>
            </w:r>
          </w:p>
        </w:tc>
        <w:tc>
          <w:tcPr>
            <w:tcW w:w="0" w:type="dxa"/>
            <w:hideMark/>
          </w:tcPr>
          <w:p w14:paraId="6111FAF6" w14:textId="45C7EF97" w:rsidR="00651EB6" w:rsidRPr="00A241FA" w:rsidRDefault="00651EB6" w:rsidP="002256E5">
            <w:pPr>
              <w:pStyle w:val="TableHeading"/>
              <w:cnfStyle w:val="100000000000" w:firstRow="1" w:lastRow="0" w:firstColumn="0" w:lastColumn="0" w:oddVBand="0" w:evenVBand="0" w:oddHBand="0" w:evenHBand="0" w:firstRowFirstColumn="0" w:firstRowLastColumn="0" w:lastRowFirstColumn="0" w:lastRowLastColumn="0"/>
            </w:pPr>
            <w:r w:rsidRPr="002256E5">
              <w:rPr>
                <w:b/>
              </w:rPr>
              <w:t xml:space="preserve">DY 29 / </w:t>
            </w:r>
            <w:r w:rsidR="00EF3F3B" w:rsidRPr="002256E5">
              <w:rPr>
                <w:b/>
              </w:rPr>
              <w:br/>
            </w:r>
            <w:r w:rsidRPr="002256E5">
              <w:rPr>
                <w:b/>
              </w:rPr>
              <w:t>PY 2</w:t>
            </w:r>
          </w:p>
        </w:tc>
        <w:tc>
          <w:tcPr>
            <w:tcW w:w="0" w:type="dxa"/>
            <w:hideMark/>
          </w:tcPr>
          <w:p w14:paraId="09D593ED" w14:textId="2E4F9A51" w:rsidR="00651EB6" w:rsidRPr="00A241FA" w:rsidRDefault="00651EB6" w:rsidP="002256E5">
            <w:pPr>
              <w:pStyle w:val="TableHeading"/>
              <w:cnfStyle w:val="100000000000" w:firstRow="1" w:lastRow="0" w:firstColumn="0" w:lastColumn="0" w:oddVBand="0" w:evenVBand="0" w:oddHBand="0" w:evenHBand="0" w:firstRowFirstColumn="0" w:firstRowLastColumn="0" w:lastRowFirstColumn="0" w:lastRowLastColumn="0"/>
            </w:pPr>
            <w:r w:rsidRPr="002256E5">
              <w:rPr>
                <w:b/>
              </w:rPr>
              <w:t xml:space="preserve">DY 30 / </w:t>
            </w:r>
            <w:r w:rsidR="00EF3F3B" w:rsidRPr="002256E5">
              <w:rPr>
                <w:b/>
              </w:rPr>
              <w:br/>
            </w:r>
            <w:r w:rsidRPr="002256E5">
              <w:rPr>
                <w:b/>
              </w:rPr>
              <w:t>PY 3</w:t>
            </w:r>
          </w:p>
        </w:tc>
        <w:tc>
          <w:tcPr>
            <w:tcW w:w="0" w:type="dxa"/>
            <w:hideMark/>
          </w:tcPr>
          <w:p w14:paraId="6198956E" w14:textId="4CC48578" w:rsidR="00651EB6" w:rsidRPr="00A241FA" w:rsidRDefault="00651EB6" w:rsidP="002256E5">
            <w:pPr>
              <w:pStyle w:val="TableHeading"/>
              <w:cnfStyle w:val="100000000000" w:firstRow="1" w:lastRow="0" w:firstColumn="0" w:lastColumn="0" w:oddVBand="0" w:evenVBand="0" w:oddHBand="0" w:evenHBand="0" w:firstRowFirstColumn="0" w:firstRowLastColumn="0" w:lastRowFirstColumn="0" w:lastRowLastColumn="0"/>
            </w:pPr>
            <w:r w:rsidRPr="002256E5">
              <w:rPr>
                <w:b/>
              </w:rPr>
              <w:t xml:space="preserve">DY 31 / </w:t>
            </w:r>
            <w:r w:rsidR="00EF3F3B" w:rsidRPr="002256E5">
              <w:rPr>
                <w:b/>
              </w:rPr>
              <w:br/>
            </w:r>
            <w:r w:rsidRPr="002256E5">
              <w:rPr>
                <w:b/>
              </w:rPr>
              <w:t>PY 4</w:t>
            </w:r>
          </w:p>
        </w:tc>
        <w:tc>
          <w:tcPr>
            <w:tcW w:w="0" w:type="dxa"/>
            <w:hideMark/>
          </w:tcPr>
          <w:p w14:paraId="35A98EDA" w14:textId="00096B1A" w:rsidR="00651EB6" w:rsidRPr="00A241FA" w:rsidRDefault="00651EB6" w:rsidP="002256E5">
            <w:pPr>
              <w:pStyle w:val="TableHeading"/>
              <w:cnfStyle w:val="100000000000" w:firstRow="1" w:lastRow="0" w:firstColumn="0" w:lastColumn="0" w:oddVBand="0" w:evenVBand="0" w:oddHBand="0" w:evenHBand="0" w:firstRowFirstColumn="0" w:firstRowLastColumn="0" w:lastRowFirstColumn="0" w:lastRowLastColumn="0"/>
            </w:pPr>
            <w:r w:rsidRPr="002256E5">
              <w:rPr>
                <w:b/>
              </w:rPr>
              <w:t xml:space="preserve">DY32 / </w:t>
            </w:r>
            <w:r w:rsidR="00EF3F3B" w:rsidRPr="002256E5">
              <w:rPr>
                <w:b/>
              </w:rPr>
              <w:br/>
            </w:r>
            <w:r w:rsidRPr="002256E5">
              <w:rPr>
                <w:b/>
              </w:rPr>
              <w:t>PY 5</w:t>
            </w:r>
          </w:p>
        </w:tc>
        <w:tc>
          <w:tcPr>
            <w:tcW w:w="0" w:type="dxa"/>
            <w:hideMark/>
          </w:tcPr>
          <w:p w14:paraId="44DA1EA2" w14:textId="77777777" w:rsidR="00651EB6" w:rsidRPr="00A241FA" w:rsidRDefault="00651EB6" w:rsidP="002256E5">
            <w:pPr>
              <w:pStyle w:val="TableHeading"/>
              <w:cnfStyle w:val="100000000000" w:firstRow="1" w:lastRow="0" w:firstColumn="0" w:lastColumn="0" w:oddVBand="0" w:evenVBand="0" w:oddHBand="0" w:evenHBand="0" w:firstRowFirstColumn="0" w:firstRowLastColumn="0" w:lastRowFirstColumn="0" w:lastRowLastColumn="0"/>
            </w:pPr>
            <w:r w:rsidRPr="002256E5">
              <w:rPr>
                <w:b/>
              </w:rPr>
              <w:t>Total</w:t>
            </w:r>
          </w:p>
        </w:tc>
      </w:tr>
      <w:tr w:rsidR="00FB3AEB" w:rsidRPr="00EF3F3B" w14:paraId="28C5A3D8" w14:textId="77777777" w:rsidTr="00041986">
        <w:trPr>
          <w:trHeight w:val="496"/>
        </w:trPr>
        <w:tc>
          <w:tcPr>
            <w:cnfStyle w:val="001000000000" w:firstRow="0" w:lastRow="0" w:firstColumn="1" w:lastColumn="0" w:oddVBand="0" w:evenVBand="0" w:oddHBand="0" w:evenHBand="0" w:firstRowFirstColumn="0" w:firstRowLastColumn="0" w:lastRowFirstColumn="0" w:lastRowLastColumn="0"/>
            <w:tcW w:w="1873" w:type="dxa"/>
            <w:hideMark/>
          </w:tcPr>
          <w:p w14:paraId="70F446B0" w14:textId="77777777" w:rsidR="00651EB6" w:rsidRPr="00EF3F3B" w:rsidRDefault="00651EB6" w:rsidP="002256E5">
            <w:pPr>
              <w:pStyle w:val="TableNormal0"/>
            </w:pPr>
            <w:r w:rsidRPr="00EF3F3B">
              <w:t>BH Student Loan Repayment</w:t>
            </w:r>
          </w:p>
        </w:tc>
        <w:tc>
          <w:tcPr>
            <w:tcW w:w="2619" w:type="dxa"/>
            <w:hideMark/>
          </w:tcPr>
          <w:p w14:paraId="6648D495" w14:textId="77777777" w:rsidR="00651EB6" w:rsidRPr="00EF3F3B" w:rsidRDefault="00651EB6" w:rsidP="002256E5">
            <w:pPr>
              <w:pStyle w:val="TableNormal0"/>
              <w:cnfStyle w:val="000000000000" w:firstRow="0" w:lastRow="0" w:firstColumn="0" w:lastColumn="0" w:oddVBand="0" w:evenVBand="0" w:oddHBand="0" w:evenHBand="0" w:firstRowFirstColumn="0" w:firstRowLastColumn="0" w:lastRowFirstColumn="0" w:lastRowLastColumn="0"/>
            </w:pPr>
            <w:r w:rsidRPr="00EF3F3B">
              <w:t>$2.50M</w:t>
            </w:r>
          </w:p>
        </w:tc>
        <w:tc>
          <w:tcPr>
            <w:tcW w:w="945" w:type="dxa"/>
            <w:hideMark/>
          </w:tcPr>
          <w:p w14:paraId="131041B5" w14:textId="77777777" w:rsidR="00651EB6" w:rsidRPr="00EF3F3B" w:rsidRDefault="00651EB6" w:rsidP="002256E5">
            <w:pPr>
              <w:pStyle w:val="TableNormal0"/>
              <w:cnfStyle w:val="000000000000" w:firstRow="0" w:lastRow="0" w:firstColumn="0" w:lastColumn="0" w:oddVBand="0" w:evenVBand="0" w:oddHBand="0" w:evenHBand="0" w:firstRowFirstColumn="0" w:firstRowLastColumn="0" w:lastRowFirstColumn="0" w:lastRowLastColumn="0"/>
            </w:pPr>
            <w:r w:rsidRPr="00EF3F3B">
              <w:t>$5.00M</w:t>
            </w:r>
          </w:p>
        </w:tc>
        <w:tc>
          <w:tcPr>
            <w:tcW w:w="945" w:type="dxa"/>
            <w:hideMark/>
          </w:tcPr>
          <w:p w14:paraId="71B56D9B" w14:textId="77777777" w:rsidR="00651EB6" w:rsidRPr="00EF3F3B" w:rsidRDefault="00651EB6" w:rsidP="002256E5">
            <w:pPr>
              <w:pStyle w:val="TableNormal0"/>
              <w:cnfStyle w:val="000000000000" w:firstRow="0" w:lastRow="0" w:firstColumn="0" w:lastColumn="0" w:oddVBand="0" w:evenVBand="0" w:oddHBand="0" w:evenHBand="0" w:firstRowFirstColumn="0" w:firstRowLastColumn="0" w:lastRowFirstColumn="0" w:lastRowLastColumn="0"/>
            </w:pPr>
            <w:r w:rsidRPr="00EF3F3B">
              <w:t>$5.00M</w:t>
            </w:r>
          </w:p>
        </w:tc>
        <w:tc>
          <w:tcPr>
            <w:tcW w:w="945" w:type="dxa"/>
            <w:hideMark/>
          </w:tcPr>
          <w:p w14:paraId="583ABDA1" w14:textId="77777777" w:rsidR="00651EB6" w:rsidRPr="00EF3F3B" w:rsidRDefault="00651EB6" w:rsidP="002256E5">
            <w:pPr>
              <w:pStyle w:val="TableNormal0"/>
              <w:cnfStyle w:val="000000000000" w:firstRow="0" w:lastRow="0" w:firstColumn="0" w:lastColumn="0" w:oddVBand="0" w:evenVBand="0" w:oddHBand="0" w:evenHBand="0" w:firstRowFirstColumn="0" w:firstRowLastColumn="0" w:lastRowFirstColumn="0" w:lastRowLastColumn="0"/>
            </w:pPr>
            <w:r w:rsidRPr="00EF3F3B">
              <w:t>$5.00M</w:t>
            </w:r>
          </w:p>
        </w:tc>
        <w:tc>
          <w:tcPr>
            <w:tcW w:w="945" w:type="dxa"/>
            <w:hideMark/>
          </w:tcPr>
          <w:p w14:paraId="6089C019" w14:textId="77777777" w:rsidR="00651EB6" w:rsidRPr="00EF3F3B" w:rsidRDefault="00651EB6" w:rsidP="002256E5">
            <w:pPr>
              <w:pStyle w:val="TableNormal0"/>
              <w:cnfStyle w:val="000000000000" w:firstRow="0" w:lastRow="0" w:firstColumn="0" w:lastColumn="0" w:oddVBand="0" w:evenVBand="0" w:oddHBand="0" w:evenHBand="0" w:firstRowFirstColumn="0" w:firstRowLastColumn="0" w:lastRowFirstColumn="0" w:lastRowLastColumn="0"/>
            </w:pPr>
            <w:r w:rsidRPr="00EF3F3B">
              <w:t>$2.50M</w:t>
            </w:r>
          </w:p>
        </w:tc>
        <w:tc>
          <w:tcPr>
            <w:tcW w:w="945" w:type="dxa"/>
            <w:hideMark/>
          </w:tcPr>
          <w:p w14:paraId="1F9B6D87" w14:textId="77777777" w:rsidR="00651EB6" w:rsidRPr="00EF3F3B" w:rsidRDefault="00651EB6" w:rsidP="002256E5">
            <w:pPr>
              <w:pStyle w:val="TableNormal0"/>
              <w:cnfStyle w:val="000000000000" w:firstRow="0" w:lastRow="0" w:firstColumn="0" w:lastColumn="0" w:oddVBand="0" w:evenVBand="0" w:oddHBand="0" w:evenHBand="0" w:firstRowFirstColumn="0" w:firstRowLastColumn="0" w:lastRowFirstColumn="0" w:lastRowLastColumn="0"/>
            </w:pPr>
            <w:r w:rsidRPr="00EF3F3B">
              <w:t>$20.00M</w:t>
            </w:r>
          </w:p>
        </w:tc>
      </w:tr>
      <w:tr w:rsidR="00FB3AEB" w:rsidRPr="00EF3F3B" w14:paraId="6E086684" w14:textId="77777777" w:rsidTr="00041986">
        <w:trPr>
          <w:trHeight w:val="559"/>
        </w:trPr>
        <w:tc>
          <w:tcPr>
            <w:cnfStyle w:val="001000000000" w:firstRow="0" w:lastRow="0" w:firstColumn="1" w:lastColumn="0" w:oddVBand="0" w:evenVBand="0" w:oddHBand="0" w:evenHBand="0" w:firstRowFirstColumn="0" w:firstRowLastColumn="0" w:lastRowFirstColumn="0" w:lastRowLastColumn="0"/>
            <w:tcW w:w="1873" w:type="dxa"/>
            <w:hideMark/>
          </w:tcPr>
          <w:p w14:paraId="412B5A1A" w14:textId="77777777" w:rsidR="00651EB6" w:rsidRPr="00EF3F3B" w:rsidRDefault="00651EB6" w:rsidP="002256E5">
            <w:pPr>
              <w:pStyle w:val="TableNormal0"/>
            </w:pPr>
            <w:r w:rsidRPr="00EF3F3B">
              <w:t>Primary Care Student Loan Repayment</w:t>
            </w:r>
          </w:p>
        </w:tc>
        <w:tc>
          <w:tcPr>
            <w:tcW w:w="2619" w:type="dxa"/>
            <w:hideMark/>
          </w:tcPr>
          <w:p w14:paraId="372C7FF9" w14:textId="77777777" w:rsidR="00651EB6" w:rsidRPr="00EF3F3B" w:rsidRDefault="00651EB6" w:rsidP="002256E5">
            <w:pPr>
              <w:pStyle w:val="TableNormal0"/>
              <w:cnfStyle w:val="000000000000" w:firstRow="0" w:lastRow="0" w:firstColumn="0" w:lastColumn="0" w:oddVBand="0" w:evenVBand="0" w:oddHBand="0" w:evenHBand="0" w:firstRowFirstColumn="0" w:firstRowLastColumn="0" w:lastRowFirstColumn="0" w:lastRowLastColumn="0"/>
            </w:pPr>
            <w:r w:rsidRPr="00EF3F3B">
              <w:t>$2.30M</w:t>
            </w:r>
          </w:p>
        </w:tc>
        <w:tc>
          <w:tcPr>
            <w:tcW w:w="945" w:type="dxa"/>
            <w:hideMark/>
          </w:tcPr>
          <w:p w14:paraId="413635D8" w14:textId="77777777" w:rsidR="00651EB6" w:rsidRPr="00EF3F3B" w:rsidRDefault="00651EB6" w:rsidP="002256E5">
            <w:pPr>
              <w:pStyle w:val="TableNormal0"/>
              <w:cnfStyle w:val="000000000000" w:firstRow="0" w:lastRow="0" w:firstColumn="0" w:lastColumn="0" w:oddVBand="0" w:evenVBand="0" w:oddHBand="0" w:evenHBand="0" w:firstRowFirstColumn="0" w:firstRowLastColumn="0" w:lastRowFirstColumn="0" w:lastRowLastColumn="0"/>
            </w:pPr>
            <w:r w:rsidRPr="00EF3F3B">
              <w:t>$4.60M</w:t>
            </w:r>
          </w:p>
        </w:tc>
        <w:tc>
          <w:tcPr>
            <w:tcW w:w="945" w:type="dxa"/>
            <w:hideMark/>
          </w:tcPr>
          <w:p w14:paraId="57BC76C2" w14:textId="77777777" w:rsidR="00651EB6" w:rsidRPr="00EF3F3B" w:rsidRDefault="00651EB6" w:rsidP="002256E5">
            <w:pPr>
              <w:pStyle w:val="TableNormal0"/>
              <w:cnfStyle w:val="000000000000" w:firstRow="0" w:lastRow="0" w:firstColumn="0" w:lastColumn="0" w:oddVBand="0" w:evenVBand="0" w:oddHBand="0" w:evenHBand="0" w:firstRowFirstColumn="0" w:firstRowLastColumn="0" w:lastRowFirstColumn="0" w:lastRowLastColumn="0"/>
            </w:pPr>
            <w:r w:rsidRPr="00EF3F3B">
              <w:t>$4.60M</w:t>
            </w:r>
          </w:p>
        </w:tc>
        <w:tc>
          <w:tcPr>
            <w:tcW w:w="945" w:type="dxa"/>
            <w:hideMark/>
          </w:tcPr>
          <w:p w14:paraId="7424E1C4" w14:textId="77777777" w:rsidR="00651EB6" w:rsidRPr="00EF3F3B" w:rsidRDefault="00651EB6" w:rsidP="002256E5">
            <w:pPr>
              <w:pStyle w:val="TableNormal0"/>
              <w:cnfStyle w:val="000000000000" w:firstRow="0" w:lastRow="0" w:firstColumn="0" w:lastColumn="0" w:oddVBand="0" w:evenVBand="0" w:oddHBand="0" w:evenHBand="0" w:firstRowFirstColumn="0" w:firstRowLastColumn="0" w:lastRowFirstColumn="0" w:lastRowLastColumn="0"/>
            </w:pPr>
            <w:r w:rsidRPr="00EF3F3B">
              <w:t>$4.60M</w:t>
            </w:r>
          </w:p>
        </w:tc>
        <w:tc>
          <w:tcPr>
            <w:tcW w:w="945" w:type="dxa"/>
            <w:hideMark/>
          </w:tcPr>
          <w:p w14:paraId="45F60E9E" w14:textId="77777777" w:rsidR="00651EB6" w:rsidRPr="00EF3F3B" w:rsidRDefault="00651EB6" w:rsidP="002256E5">
            <w:pPr>
              <w:pStyle w:val="TableNormal0"/>
              <w:cnfStyle w:val="000000000000" w:firstRow="0" w:lastRow="0" w:firstColumn="0" w:lastColumn="0" w:oddVBand="0" w:evenVBand="0" w:oddHBand="0" w:evenHBand="0" w:firstRowFirstColumn="0" w:firstRowLastColumn="0" w:lastRowFirstColumn="0" w:lastRowLastColumn="0"/>
            </w:pPr>
            <w:r w:rsidRPr="00EF3F3B">
              <w:t>$2.30M</w:t>
            </w:r>
          </w:p>
        </w:tc>
        <w:tc>
          <w:tcPr>
            <w:tcW w:w="945" w:type="dxa"/>
            <w:hideMark/>
          </w:tcPr>
          <w:p w14:paraId="0B9BAB54" w14:textId="77777777" w:rsidR="00651EB6" w:rsidRPr="00EF3F3B" w:rsidRDefault="00651EB6" w:rsidP="002256E5">
            <w:pPr>
              <w:pStyle w:val="TableNormal0"/>
              <w:cnfStyle w:val="000000000000" w:firstRow="0" w:lastRow="0" w:firstColumn="0" w:lastColumn="0" w:oddVBand="0" w:evenVBand="0" w:oddHBand="0" w:evenHBand="0" w:firstRowFirstColumn="0" w:firstRowLastColumn="0" w:lastRowFirstColumn="0" w:lastRowLastColumn="0"/>
            </w:pPr>
            <w:r w:rsidRPr="00EF3F3B">
              <w:t>$18.40M</w:t>
            </w:r>
          </w:p>
        </w:tc>
      </w:tr>
      <w:tr w:rsidR="00FB3AEB" w:rsidRPr="00EF3F3B" w14:paraId="53571CDD" w14:textId="77777777" w:rsidTr="00041986">
        <w:trPr>
          <w:trHeight w:val="331"/>
        </w:trPr>
        <w:tc>
          <w:tcPr>
            <w:cnfStyle w:val="001000000000" w:firstRow="0" w:lastRow="0" w:firstColumn="1" w:lastColumn="0" w:oddVBand="0" w:evenVBand="0" w:oddHBand="0" w:evenHBand="0" w:firstRowFirstColumn="0" w:firstRowLastColumn="0" w:lastRowFirstColumn="0" w:lastRowLastColumn="0"/>
            <w:tcW w:w="1873" w:type="dxa"/>
            <w:hideMark/>
          </w:tcPr>
          <w:p w14:paraId="5351CE36" w14:textId="77777777" w:rsidR="00651EB6" w:rsidRPr="00EF3F3B" w:rsidRDefault="00651EB6" w:rsidP="002256E5">
            <w:pPr>
              <w:pStyle w:val="TableNormal0"/>
            </w:pPr>
            <w:r w:rsidRPr="00EF3F3B">
              <w:t>FNP</w:t>
            </w:r>
            <w:r w:rsidRPr="00EF3F3B" w:rsidDel="00446AFE">
              <w:t xml:space="preserve"> </w:t>
            </w:r>
            <w:r w:rsidRPr="00EF3F3B">
              <w:t xml:space="preserve">Residency Grant </w:t>
            </w:r>
          </w:p>
        </w:tc>
        <w:tc>
          <w:tcPr>
            <w:tcW w:w="2619" w:type="dxa"/>
            <w:hideMark/>
          </w:tcPr>
          <w:p w14:paraId="0460DBFE" w14:textId="77777777" w:rsidR="00651EB6" w:rsidRPr="00EF3F3B" w:rsidRDefault="00651EB6" w:rsidP="002256E5">
            <w:pPr>
              <w:pStyle w:val="TableNormal0"/>
              <w:cnfStyle w:val="000000000000" w:firstRow="0" w:lastRow="0" w:firstColumn="0" w:lastColumn="0" w:oddVBand="0" w:evenVBand="0" w:oddHBand="0" w:evenHBand="0" w:firstRowFirstColumn="0" w:firstRowLastColumn="0" w:lastRowFirstColumn="0" w:lastRowLastColumn="0"/>
            </w:pPr>
            <w:r w:rsidRPr="00EF3F3B">
              <w:t>$1.21M</w:t>
            </w:r>
          </w:p>
        </w:tc>
        <w:tc>
          <w:tcPr>
            <w:tcW w:w="945" w:type="dxa"/>
            <w:hideMark/>
          </w:tcPr>
          <w:p w14:paraId="12E441BE" w14:textId="77777777" w:rsidR="00651EB6" w:rsidRPr="00EF3F3B" w:rsidRDefault="00651EB6" w:rsidP="002256E5">
            <w:pPr>
              <w:pStyle w:val="TableNormal0"/>
              <w:cnfStyle w:val="000000000000" w:firstRow="0" w:lastRow="0" w:firstColumn="0" w:lastColumn="0" w:oddVBand="0" w:evenVBand="0" w:oddHBand="0" w:evenHBand="0" w:firstRowFirstColumn="0" w:firstRowLastColumn="0" w:lastRowFirstColumn="0" w:lastRowLastColumn="0"/>
            </w:pPr>
            <w:r w:rsidRPr="00EF3F3B">
              <w:t>$1.21M</w:t>
            </w:r>
          </w:p>
        </w:tc>
        <w:tc>
          <w:tcPr>
            <w:tcW w:w="945" w:type="dxa"/>
            <w:hideMark/>
          </w:tcPr>
          <w:p w14:paraId="59BADEC7" w14:textId="77777777" w:rsidR="00651EB6" w:rsidRPr="00EF3F3B" w:rsidRDefault="00651EB6" w:rsidP="002256E5">
            <w:pPr>
              <w:pStyle w:val="TableNormal0"/>
              <w:cnfStyle w:val="000000000000" w:firstRow="0" w:lastRow="0" w:firstColumn="0" w:lastColumn="0" w:oddVBand="0" w:evenVBand="0" w:oddHBand="0" w:evenHBand="0" w:firstRowFirstColumn="0" w:firstRowLastColumn="0" w:lastRowFirstColumn="0" w:lastRowLastColumn="0"/>
            </w:pPr>
            <w:r w:rsidRPr="00EF3F3B">
              <w:t>$1.21M</w:t>
            </w:r>
          </w:p>
        </w:tc>
        <w:tc>
          <w:tcPr>
            <w:tcW w:w="945" w:type="dxa"/>
            <w:hideMark/>
          </w:tcPr>
          <w:p w14:paraId="71016071" w14:textId="77777777" w:rsidR="00651EB6" w:rsidRPr="00EF3F3B" w:rsidRDefault="00651EB6" w:rsidP="002256E5">
            <w:pPr>
              <w:pStyle w:val="TableNormal0"/>
              <w:cnfStyle w:val="000000000000" w:firstRow="0" w:lastRow="0" w:firstColumn="0" w:lastColumn="0" w:oddVBand="0" w:evenVBand="0" w:oddHBand="0" w:evenHBand="0" w:firstRowFirstColumn="0" w:firstRowLastColumn="0" w:lastRowFirstColumn="0" w:lastRowLastColumn="0"/>
            </w:pPr>
            <w:r w:rsidRPr="00EF3F3B">
              <w:t>$1.21M</w:t>
            </w:r>
          </w:p>
        </w:tc>
        <w:tc>
          <w:tcPr>
            <w:tcW w:w="945" w:type="dxa"/>
            <w:hideMark/>
          </w:tcPr>
          <w:p w14:paraId="5CDDBB52" w14:textId="77777777" w:rsidR="00651EB6" w:rsidRPr="00EF3F3B" w:rsidRDefault="00651EB6" w:rsidP="002256E5">
            <w:pPr>
              <w:pStyle w:val="TableNormal0"/>
              <w:cnfStyle w:val="000000000000" w:firstRow="0" w:lastRow="0" w:firstColumn="0" w:lastColumn="0" w:oddVBand="0" w:evenVBand="0" w:oddHBand="0" w:evenHBand="0" w:firstRowFirstColumn="0" w:firstRowLastColumn="0" w:lastRowFirstColumn="0" w:lastRowLastColumn="0"/>
            </w:pPr>
            <w:r w:rsidRPr="00EF3F3B">
              <w:t>$0M</w:t>
            </w:r>
          </w:p>
        </w:tc>
        <w:tc>
          <w:tcPr>
            <w:tcW w:w="945" w:type="dxa"/>
            <w:hideMark/>
          </w:tcPr>
          <w:p w14:paraId="416824C3" w14:textId="77777777" w:rsidR="00651EB6" w:rsidRPr="00EF3F3B" w:rsidRDefault="00651EB6" w:rsidP="002256E5">
            <w:pPr>
              <w:pStyle w:val="TableNormal0"/>
              <w:cnfStyle w:val="000000000000" w:firstRow="0" w:lastRow="0" w:firstColumn="0" w:lastColumn="0" w:oddVBand="0" w:evenVBand="0" w:oddHBand="0" w:evenHBand="0" w:firstRowFirstColumn="0" w:firstRowLastColumn="0" w:lastRowFirstColumn="0" w:lastRowLastColumn="0"/>
            </w:pPr>
            <w:r w:rsidRPr="00EF3F3B">
              <w:t>$4.84M</w:t>
            </w:r>
          </w:p>
        </w:tc>
      </w:tr>
      <w:tr w:rsidR="00FB3AEB" w:rsidRPr="00EF3F3B" w14:paraId="74150793" w14:textId="77777777" w:rsidTr="00041986">
        <w:trPr>
          <w:trHeight w:val="331"/>
        </w:trPr>
        <w:tc>
          <w:tcPr>
            <w:cnfStyle w:val="001000000000" w:firstRow="0" w:lastRow="0" w:firstColumn="1" w:lastColumn="0" w:oddVBand="0" w:evenVBand="0" w:oddHBand="0" w:evenHBand="0" w:firstRowFirstColumn="0" w:firstRowLastColumn="0" w:lastRowFirstColumn="0" w:lastRowLastColumn="0"/>
            <w:tcW w:w="1873" w:type="dxa"/>
            <w:hideMark/>
          </w:tcPr>
          <w:p w14:paraId="4FFB23D3" w14:textId="77777777" w:rsidR="00651EB6" w:rsidRPr="00EF3F3B" w:rsidRDefault="00651EB6" w:rsidP="002256E5">
            <w:pPr>
              <w:pStyle w:val="TableNormal0"/>
            </w:pPr>
            <w:r w:rsidRPr="00EF3F3B">
              <w:t>Total</w:t>
            </w:r>
          </w:p>
        </w:tc>
        <w:tc>
          <w:tcPr>
            <w:tcW w:w="2619" w:type="dxa"/>
            <w:hideMark/>
          </w:tcPr>
          <w:p w14:paraId="709A31D0" w14:textId="77777777" w:rsidR="00651EB6" w:rsidRPr="00EF3F3B" w:rsidRDefault="00651EB6" w:rsidP="002256E5">
            <w:pPr>
              <w:pStyle w:val="TableNormal0"/>
              <w:cnfStyle w:val="000000000000" w:firstRow="0" w:lastRow="0" w:firstColumn="0" w:lastColumn="0" w:oddVBand="0" w:evenVBand="0" w:oddHBand="0" w:evenHBand="0" w:firstRowFirstColumn="0" w:firstRowLastColumn="0" w:lastRowFirstColumn="0" w:lastRowLastColumn="0"/>
            </w:pPr>
            <w:r w:rsidRPr="00EF3F3B">
              <w:t>$6.01M</w:t>
            </w:r>
          </w:p>
        </w:tc>
        <w:tc>
          <w:tcPr>
            <w:tcW w:w="945" w:type="dxa"/>
            <w:hideMark/>
          </w:tcPr>
          <w:p w14:paraId="6675E26F" w14:textId="77777777" w:rsidR="00651EB6" w:rsidRPr="00EF3F3B" w:rsidRDefault="00651EB6" w:rsidP="002256E5">
            <w:pPr>
              <w:pStyle w:val="TableNormal0"/>
              <w:cnfStyle w:val="000000000000" w:firstRow="0" w:lastRow="0" w:firstColumn="0" w:lastColumn="0" w:oddVBand="0" w:evenVBand="0" w:oddHBand="0" w:evenHBand="0" w:firstRowFirstColumn="0" w:firstRowLastColumn="0" w:lastRowFirstColumn="0" w:lastRowLastColumn="0"/>
            </w:pPr>
            <w:r w:rsidRPr="00EF3F3B">
              <w:t>$10.81M</w:t>
            </w:r>
          </w:p>
        </w:tc>
        <w:tc>
          <w:tcPr>
            <w:tcW w:w="945" w:type="dxa"/>
            <w:hideMark/>
          </w:tcPr>
          <w:p w14:paraId="537CAF7D" w14:textId="77777777" w:rsidR="00651EB6" w:rsidRPr="00EF3F3B" w:rsidRDefault="00651EB6" w:rsidP="002256E5">
            <w:pPr>
              <w:pStyle w:val="TableNormal0"/>
              <w:cnfStyle w:val="000000000000" w:firstRow="0" w:lastRow="0" w:firstColumn="0" w:lastColumn="0" w:oddVBand="0" w:evenVBand="0" w:oddHBand="0" w:evenHBand="0" w:firstRowFirstColumn="0" w:firstRowLastColumn="0" w:lastRowFirstColumn="0" w:lastRowLastColumn="0"/>
            </w:pPr>
            <w:r w:rsidRPr="00EF3F3B">
              <w:t>$10.81M</w:t>
            </w:r>
          </w:p>
        </w:tc>
        <w:tc>
          <w:tcPr>
            <w:tcW w:w="945" w:type="dxa"/>
            <w:hideMark/>
          </w:tcPr>
          <w:p w14:paraId="71652F37" w14:textId="77777777" w:rsidR="00651EB6" w:rsidRPr="00EF3F3B" w:rsidRDefault="00651EB6" w:rsidP="002256E5">
            <w:pPr>
              <w:pStyle w:val="TableNormal0"/>
              <w:cnfStyle w:val="000000000000" w:firstRow="0" w:lastRow="0" w:firstColumn="0" w:lastColumn="0" w:oddVBand="0" w:evenVBand="0" w:oddHBand="0" w:evenHBand="0" w:firstRowFirstColumn="0" w:firstRowLastColumn="0" w:lastRowFirstColumn="0" w:lastRowLastColumn="0"/>
            </w:pPr>
            <w:r w:rsidRPr="00EF3F3B">
              <w:t>$10.81M</w:t>
            </w:r>
          </w:p>
        </w:tc>
        <w:tc>
          <w:tcPr>
            <w:tcW w:w="945" w:type="dxa"/>
            <w:hideMark/>
          </w:tcPr>
          <w:p w14:paraId="51D144E5" w14:textId="77777777" w:rsidR="00651EB6" w:rsidRPr="00EF3F3B" w:rsidRDefault="00651EB6" w:rsidP="002256E5">
            <w:pPr>
              <w:pStyle w:val="TableNormal0"/>
              <w:cnfStyle w:val="000000000000" w:firstRow="0" w:lastRow="0" w:firstColumn="0" w:lastColumn="0" w:oddVBand="0" w:evenVBand="0" w:oddHBand="0" w:evenHBand="0" w:firstRowFirstColumn="0" w:firstRowLastColumn="0" w:lastRowFirstColumn="0" w:lastRowLastColumn="0"/>
            </w:pPr>
            <w:r w:rsidRPr="00EF3F3B">
              <w:t>$4.80M</w:t>
            </w:r>
          </w:p>
        </w:tc>
        <w:tc>
          <w:tcPr>
            <w:tcW w:w="945" w:type="dxa"/>
            <w:hideMark/>
          </w:tcPr>
          <w:p w14:paraId="644CDF07" w14:textId="77777777" w:rsidR="00651EB6" w:rsidRPr="00EF3F3B" w:rsidRDefault="00651EB6" w:rsidP="002256E5">
            <w:pPr>
              <w:pStyle w:val="TableNormal0"/>
              <w:cnfStyle w:val="000000000000" w:firstRow="0" w:lastRow="0" w:firstColumn="0" w:lastColumn="0" w:oddVBand="0" w:evenVBand="0" w:oddHBand="0" w:evenHBand="0" w:firstRowFirstColumn="0" w:firstRowLastColumn="0" w:lastRowFirstColumn="0" w:lastRowLastColumn="0"/>
            </w:pPr>
            <w:r w:rsidRPr="00EF3F3B">
              <w:t>$43.24M</w:t>
            </w:r>
          </w:p>
        </w:tc>
      </w:tr>
    </w:tbl>
    <w:p w14:paraId="7DC6BD91" w14:textId="7E9DDF0E" w:rsidR="00DC5A34" w:rsidRPr="005A683A" w:rsidRDefault="00DC5A34" w:rsidP="00041986">
      <w:pPr>
        <w:pStyle w:val="TableorFigurefootnote"/>
        <w:spacing w:before="60" w:after="240"/>
        <w:contextualSpacing/>
        <w:rPr>
          <w:lang w:val="fr-FR"/>
        </w:rPr>
      </w:pPr>
      <w:r w:rsidRPr="005A683A">
        <w:rPr>
          <w:lang w:val="fr-FR"/>
        </w:rPr>
        <w:t xml:space="preserve">Source: STC Table 12 page 102. </w:t>
      </w:r>
      <w:hyperlink r:id="rId30" w:history="1">
        <w:r w:rsidRPr="001417FE">
          <w:rPr>
            <w:rStyle w:val="Hyperlink"/>
          </w:rPr>
          <w:t>https://www.mass.gov/doc/stcs-masshealth-1115-waiver-extension-1/download</w:t>
        </w:r>
      </w:hyperlink>
      <w:r w:rsidRPr="005A683A">
        <w:rPr>
          <w:lang w:val="fr-FR"/>
        </w:rPr>
        <w:t xml:space="preserve">, </w:t>
      </w:r>
      <w:hyperlink r:id="rId31" w:history="1">
        <w:r w:rsidRPr="001417FE">
          <w:rPr>
            <w:rStyle w:val="Hyperlink"/>
          </w:rPr>
          <w:t>https://www.mass.gov/service-details/1115-masshealth-demonstration-waiver</w:t>
        </w:r>
      </w:hyperlink>
      <w:r w:rsidRPr="005A683A">
        <w:rPr>
          <w:lang w:val="fr-FR"/>
        </w:rPr>
        <w:t xml:space="preserve">. </w:t>
      </w:r>
    </w:p>
    <w:p w14:paraId="216A1B47" w14:textId="49BE7BFA" w:rsidR="005B47F7" w:rsidRDefault="00300F07" w:rsidP="00041986">
      <w:pPr>
        <w:pStyle w:val="TableorFigurefootnote"/>
        <w:spacing w:after="240"/>
      </w:pPr>
      <w:r w:rsidRPr="002256E5">
        <w:t>*</w:t>
      </w:r>
      <w:r w:rsidR="00DC5A34" w:rsidRPr="002256E5">
        <w:t>Note: If the investment amount changes in the future, th</w:t>
      </w:r>
      <w:r w:rsidR="003768E1" w:rsidRPr="002256E5">
        <w:t>is</w:t>
      </w:r>
      <w:r w:rsidR="00DC5A34" w:rsidRPr="002256E5">
        <w:t xml:space="preserve"> table will be updated accordingly. </w:t>
      </w:r>
    </w:p>
    <w:p w14:paraId="1C409450" w14:textId="3EAC73D1" w:rsidR="00DC5A34" w:rsidRPr="0009132C" w:rsidRDefault="00DC5A34" w:rsidP="003C6C8F">
      <w:r w:rsidRPr="0009132C">
        <w:t xml:space="preserve">The WI programs were informed by lessons learned from the 2017-2022 Demonstration, where the Commonwealth </w:t>
      </w:r>
      <w:r w:rsidR="008B2D08" w:rsidRPr="0009132C">
        <w:t>was able to leverage</w:t>
      </w:r>
      <w:r w:rsidR="008234BB" w:rsidRPr="0009132C">
        <w:t xml:space="preserve"> the availability of</w:t>
      </w:r>
      <w:r w:rsidR="00EE3AB8" w:rsidRPr="0009132C">
        <w:t xml:space="preserve"> </w:t>
      </w:r>
      <w:r w:rsidRPr="0009132C">
        <w:t xml:space="preserve">$115 million of the $1.8 billion in </w:t>
      </w:r>
      <w:r w:rsidR="000D57ED" w:rsidRPr="0009132C">
        <w:t xml:space="preserve">expenditure authority for </w:t>
      </w:r>
      <w:r w:rsidRPr="0009132C">
        <w:t xml:space="preserve">the Massachusetts Delivery System Reform Incentive Payment (DSRIP) program to fund eight Statewide Investments (SWI) intended to build and strengthen healthcare infrastructure and workforce capacity across Massachusetts to support the success of ACOs, </w:t>
      </w:r>
      <w:r w:rsidR="00E50C41" w:rsidRPr="0009132C">
        <w:t xml:space="preserve">and </w:t>
      </w:r>
      <w:r w:rsidRPr="0009132C">
        <w:t>Community Partners (CPs</w:t>
      </w:r>
      <w:r w:rsidR="00E50C41" w:rsidRPr="0009132C">
        <w:t>)</w:t>
      </w:r>
      <w:r w:rsidRPr="0009132C">
        <w:t>. The SWIs from the Demonstration fell into three categories and included:</w:t>
      </w:r>
    </w:p>
    <w:p w14:paraId="74867B34" w14:textId="781E9B52" w:rsidR="00DC5A34" w:rsidRPr="0009132C" w:rsidRDefault="00DC5A34" w:rsidP="002256E5">
      <w:pPr>
        <w:pStyle w:val="ListNumber"/>
        <w:numPr>
          <w:ilvl w:val="0"/>
          <w:numId w:val="183"/>
        </w:numPr>
        <w:ind w:left="540"/>
      </w:pPr>
      <w:r w:rsidRPr="002743AE">
        <w:rPr>
          <w:u w:val="single"/>
        </w:rPr>
        <w:t xml:space="preserve">Building and Training the </w:t>
      </w:r>
      <w:r w:rsidR="53BFCB3F" w:rsidRPr="002743AE">
        <w:rPr>
          <w:u w:val="single"/>
        </w:rPr>
        <w:t>P</w:t>
      </w:r>
      <w:r w:rsidRPr="002743AE">
        <w:rPr>
          <w:u w:val="single"/>
        </w:rPr>
        <w:t xml:space="preserve">rimary </w:t>
      </w:r>
      <w:r w:rsidR="236394DB" w:rsidRPr="002743AE">
        <w:rPr>
          <w:u w:val="single"/>
        </w:rPr>
        <w:t>C</w:t>
      </w:r>
      <w:r w:rsidRPr="002743AE">
        <w:rPr>
          <w:u w:val="single"/>
        </w:rPr>
        <w:t>are and BH Workforce:</w:t>
      </w:r>
      <w:r>
        <w:t xml:space="preserve"> This set of investments supported the recruitment, retention, and training of PCPs, BH providers, and the frontline healthcare workforce in community-based settings. </w:t>
      </w:r>
    </w:p>
    <w:p w14:paraId="6631784B" w14:textId="77777777" w:rsidR="00DC5A34" w:rsidRPr="0009132C" w:rsidRDefault="00DC5A34" w:rsidP="00E528F3">
      <w:pPr>
        <w:pStyle w:val="List1"/>
      </w:pPr>
      <w:r w:rsidRPr="008A3252">
        <w:rPr>
          <w:u w:val="single"/>
        </w:rPr>
        <w:t>Capacity Building for ACOs, CPs, and Providers:</w:t>
      </w:r>
      <w:r w:rsidRPr="0009132C">
        <w:t xml:space="preserve"> This set of investments provided direct technical assistance and shared learning opportunities for ACOs and CPs, as well as support for providers who were not yet participating in alternative payment methods (APM) to prepare for APM adoption in the future. </w:t>
      </w:r>
    </w:p>
    <w:p w14:paraId="12E0BF93" w14:textId="77777777" w:rsidR="00DC5A34" w:rsidRPr="0009132C" w:rsidRDefault="00DC5A34" w:rsidP="00E528F3">
      <w:pPr>
        <w:pStyle w:val="List1"/>
      </w:pPr>
      <w:r w:rsidRPr="7E7451EE">
        <w:rPr>
          <w:u w:val="single"/>
        </w:rPr>
        <w:t xml:space="preserve">Initiatives to Address Statewide Gaps in Care Delivery: </w:t>
      </w:r>
      <w:r>
        <w:t>This set of investments improved the care provided to members with specific BH and accessibility needs through technology solutions and grant funding opportunities.</w:t>
      </w:r>
    </w:p>
    <w:p w14:paraId="53221436" w14:textId="08E03C6E" w:rsidR="00DC5A34" w:rsidRPr="0009132C" w:rsidRDefault="00DC5A34" w:rsidP="003C6C8F">
      <w:r w:rsidRPr="0009132C">
        <w:lastRenderedPageBreak/>
        <w:t xml:space="preserve">Under the 2017-2022 Demonstration, DSRIP-funded student loan repayment programs awarded </w:t>
      </w:r>
      <w:r w:rsidR="00BA5125" w:rsidRPr="0009132C">
        <w:t>PCPs</w:t>
      </w:r>
      <w:r w:rsidRPr="0009132C">
        <w:t xml:space="preserve"> and BH providers in these </w:t>
      </w:r>
      <w:r w:rsidR="00F34B56" w:rsidRPr="0009132C">
        <w:t xml:space="preserve">community-based primary care and BH </w:t>
      </w:r>
      <w:r w:rsidRPr="0009132C">
        <w:t xml:space="preserve">settings </w:t>
      </w:r>
      <w:r w:rsidR="005B47F7">
        <w:t xml:space="preserve">with </w:t>
      </w:r>
      <w:r w:rsidRPr="0009132C">
        <w:t>student loan repayments of up to $30,000 or $50,000, depending on the provider type, in exchange for a four-year service commitment. The SWIs promoted new opportunities for primary care and BH providers to practice within communities, stimulated novel initiatives to coordinate and integrate care across settings, and pioneered provider strategies to manage performance and population health. These investments addressed gaps in the statewide delivery system and strengthened its capacity to deliver integrated, high-quality care for all members.</w:t>
      </w:r>
      <w:r w:rsidRPr="0009132C">
        <w:rPr>
          <w:vertAlign w:val="superscript"/>
        </w:rPr>
        <w:footnoteReference w:id="111"/>
      </w:r>
    </w:p>
    <w:p w14:paraId="5D6E4317" w14:textId="2F333717" w:rsidR="00DC5A34" w:rsidRPr="0009132C" w:rsidRDefault="2E4DCF8D" w:rsidP="001C0650">
      <w:pPr>
        <w:rPr>
          <w:vertAlign w:val="superscript"/>
        </w:rPr>
      </w:pPr>
      <w:r w:rsidRPr="0009132C">
        <w:t>Student loan repayment is a promising tool in addressing healthcare workforce challenges, which are particularly acute for diverse and culturally competent clinicians.</w:t>
      </w:r>
      <w:r w:rsidR="00DC5A34" w:rsidRPr="0009132C">
        <w:rPr>
          <w:vertAlign w:val="superscript"/>
        </w:rPr>
        <w:footnoteReference w:id="112"/>
      </w:r>
      <w:r w:rsidRPr="0009132C">
        <w:rPr>
          <w:vertAlign w:val="superscript"/>
        </w:rPr>
        <w:t xml:space="preserve"> </w:t>
      </w:r>
      <w:r w:rsidRPr="0009132C">
        <w:t>DSRIP-funded student loan repayment programs have shown efficacy in achieving retention in high-Medicaid community-based settings. Preliminary results show that 94 percent of primary care and BH providers who received these awards in 2018 and 2019, and 98 percent of masters-prepared BH providers who received those awards in 2018, remained employed in community-based settings</w:t>
      </w:r>
      <w:r w:rsidR="00877CDA" w:rsidRPr="0009132C">
        <w:t>.</w:t>
      </w:r>
      <w:r w:rsidR="00B25E46" w:rsidRPr="0009132C">
        <w:rPr>
          <w:rStyle w:val="FootnoteReference"/>
        </w:rPr>
        <w:footnoteReference w:id="113"/>
      </w:r>
      <w:r w:rsidR="00877CDA" w:rsidRPr="0009132C">
        <w:t xml:space="preserve"> I</w:t>
      </w:r>
      <w:r w:rsidRPr="0009132C">
        <w:t>n addition, DSRIP funding supported a grant program for CHCs to create or expand FNP residency programs. CHCs that implement FNP residency programs can better recruit and retain FNPs who complete the residencies.</w:t>
      </w:r>
      <w:r w:rsidR="00DC5A34" w:rsidRPr="0009132C">
        <w:rPr>
          <w:vertAlign w:val="superscript"/>
        </w:rPr>
        <w:footnoteReference w:id="114"/>
      </w:r>
      <w:r w:rsidRPr="0009132C">
        <w:t xml:space="preserve"> Over the first three cycles of funding, nine different CHCs utilized the DSRIP funding to support 30 FNP residency slots, and 91 percent of FNP residents who completed their residencies accepted full-time positions in CHCs.</w:t>
      </w:r>
      <w:r w:rsidR="00DC5A34" w:rsidRPr="0009132C">
        <w:rPr>
          <w:vertAlign w:val="superscript"/>
        </w:rPr>
        <w:footnoteReference w:id="115"/>
      </w:r>
      <w:r w:rsidRPr="0009132C">
        <w:rPr>
          <w:vertAlign w:val="superscript"/>
        </w:rPr>
        <w:t xml:space="preserve"> </w:t>
      </w:r>
    </w:p>
    <w:p w14:paraId="6A10C3A3" w14:textId="77777777" w:rsidR="00DC5A34" w:rsidRPr="0009132C" w:rsidRDefault="00DC5A34" w:rsidP="00EE4105">
      <w:pPr>
        <w:pStyle w:val="Heading3"/>
      </w:pPr>
      <w:r w:rsidRPr="0009132C">
        <w:t xml:space="preserve">WI Policy Domain Goals </w:t>
      </w:r>
    </w:p>
    <w:p w14:paraId="202E2ED7" w14:textId="411FCBB1" w:rsidR="00DC5A34" w:rsidRPr="0009132C" w:rsidRDefault="00DC5A34" w:rsidP="001C0650">
      <w:r w:rsidRPr="0009132C">
        <w:t xml:space="preserve">WI programs aim to support workforce recruitment and retention and promote the increased availability of certain healthcare practitioners to address shortages </w:t>
      </w:r>
      <w:r w:rsidR="513AE8B5" w:rsidRPr="0009132C">
        <w:t xml:space="preserve">of </w:t>
      </w:r>
      <w:r w:rsidRPr="0009132C">
        <w:t>qualified providers (both primary care and BH workforce) serving Medicaid beneficiaries. The mounting shortage of PCPs is evident, as mentioned in a report to the Association of American Medical Colleges</w:t>
      </w:r>
      <w:r w:rsidR="00D15ECA">
        <w:t>,</w:t>
      </w:r>
      <w:r w:rsidR="00D15ECA" w:rsidRPr="0009132C">
        <w:t xml:space="preserve"> </w:t>
      </w:r>
      <w:r w:rsidRPr="0009132C">
        <w:t>where nationally, a shortage of between 17,900 and 48,000 PCPs was projected for 2034.</w:t>
      </w:r>
      <w:r w:rsidRPr="0009132C">
        <w:rPr>
          <w:rStyle w:val="FootnoteReference"/>
        </w:rPr>
        <w:footnoteReference w:id="116"/>
      </w:r>
      <w:r w:rsidRPr="0009132C">
        <w:t xml:space="preserve"> Additionally, as is the case across the country, the Commonwealth is experiencing a dire shortage of BH clinicians, including prescribers, who accept public or private insurance. The need is especially </w:t>
      </w:r>
      <w:r w:rsidRPr="0009132C">
        <w:lastRenderedPageBreak/>
        <w:t>great in the Medicaid space. A robust and diverse workforce is essential for the success of the Commonwealth’s BH Roadmap</w:t>
      </w:r>
      <w:r w:rsidR="2F016F0F" w:rsidRPr="0009132C">
        <w:t>,</w:t>
      </w:r>
      <w:r w:rsidRPr="0009132C">
        <w:rPr>
          <w:rStyle w:val="FootnoteReference"/>
        </w:rPr>
        <w:footnoteReference w:id="117"/>
      </w:r>
      <w:r w:rsidRPr="0009132C">
        <w:t xml:space="preserve"> as addressing BH needs requires skilled, compassionate providers and staff who can provide culturally responsive, evidence-based treatment. </w:t>
      </w:r>
    </w:p>
    <w:p w14:paraId="26C7B3CA" w14:textId="4F697CBA" w:rsidR="00DC5A34" w:rsidRPr="0009132C" w:rsidRDefault="00DC5A34" w:rsidP="001C0650">
      <w:r w:rsidRPr="0009132C">
        <w:t>Three programs under the 2022-2027 Demonstration continue from the eight SWI programs under the 2017-2022 Demonstration with either similar or higher financial incentives. Through the WI programs, the Commonwealth will support workforce recruitment and retention and promote the increased availability of certain healthcare practitioners to serve Medicaid members.</w:t>
      </w:r>
    </w:p>
    <w:p w14:paraId="56492360" w14:textId="3AD35CFC" w:rsidR="00DC5A34" w:rsidRPr="0009132C" w:rsidRDefault="00DC5A34" w:rsidP="00EE4105">
      <w:pPr>
        <w:pStyle w:val="Heading3"/>
      </w:pPr>
      <w:r w:rsidRPr="0009132C" w:rsidDel="00D469B7">
        <w:t xml:space="preserve"> W</w:t>
      </w:r>
      <w:r w:rsidRPr="0009132C">
        <w:t>I Policy Components and Desired Outcomes</w:t>
      </w:r>
    </w:p>
    <w:p w14:paraId="4EDEEF4B" w14:textId="5D1EC7F1" w:rsidR="00DC5A34" w:rsidRPr="0009132C" w:rsidRDefault="00DC5A34" w:rsidP="001C0650">
      <w:r w:rsidRPr="0009132C">
        <w:t xml:space="preserve">The 2022-2027 WI consists of three programs described above. The desired outcomes are to increase the primary care and BH workforce, particularly those in community-based clinical settings. </w:t>
      </w:r>
      <w:r w:rsidR="004000A1" w:rsidRPr="0009132C">
        <w:t xml:space="preserve">Efforts to </w:t>
      </w:r>
      <w:r w:rsidR="00456D6A" w:rsidRPr="0009132C">
        <w:t xml:space="preserve">increase </w:t>
      </w:r>
      <w:r w:rsidR="00747952" w:rsidRPr="0009132C">
        <w:t xml:space="preserve">investment in </w:t>
      </w:r>
      <w:r w:rsidR="00456D6A" w:rsidRPr="0009132C">
        <w:t xml:space="preserve">primary care </w:t>
      </w:r>
      <w:r w:rsidR="00033777" w:rsidRPr="0009132C">
        <w:t xml:space="preserve">and </w:t>
      </w:r>
      <w:r w:rsidR="00EB084D" w:rsidRPr="0009132C">
        <w:t xml:space="preserve">incentivize enhanced care delivery expectations (e.g., </w:t>
      </w:r>
      <w:r w:rsidR="004515F4">
        <w:t>BH</w:t>
      </w:r>
      <w:r w:rsidR="00EB084D" w:rsidRPr="0009132C">
        <w:t xml:space="preserve"> integration) </w:t>
      </w:r>
      <w:r w:rsidR="00033777" w:rsidRPr="0009132C">
        <w:t xml:space="preserve">while offering providers </w:t>
      </w:r>
      <w:r w:rsidR="00AD7C2C" w:rsidRPr="0009132C">
        <w:t xml:space="preserve">greater flexibility </w:t>
      </w:r>
      <w:r w:rsidR="000A0DEF" w:rsidRPr="0009132C">
        <w:t>through the ACO primary care sub</w:t>
      </w:r>
      <w:r w:rsidR="00AE2DBD" w:rsidRPr="0009132C">
        <w:t>-</w:t>
      </w:r>
      <w:r w:rsidR="000A0DEF" w:rsidRPr="0009132C">
        <w:t xml:space="preserve">capitation program </w:t>
      </w:r>
      <w:r w:rsidR="00747952" w:rsidRPr="0009132C">
        <w:t xml:space="preserve">(see </w:t>
      </w:r>
      <w:hyperlink w:anchor="_Delivery_System_Reform" w:history="1">
        <w:r w:rsidR="00747952" w:rsidRPr="00D57C59">
          <w:rPr>
            <w:rStyle w:val="Hyperlink"/>
          </w:rPr>
          <w:t>Chapter 3</w:t>
        </w:r>
      </w:hyperlink>
      <w:r w:rsidR="00756058" w:rsidRPr="00D55F9D">
        <w:rPr>
          <w:rStyle w:val="Hyperlink"/>
          <w:color w:val="auto"/>
          <w:u w:val="none"/>
        </w:rPr>
        <w:t xml:space="preserve"> </w:t>
      </w:r>
      <w:r w:rsidR="00756058">
        <w:t>(Delivery System Reform))</w:t>
      </w:r>
      <w:r w:rsidR="00747952" w:rsidRPr="0009132C">
        <w:t xml:space="preserve"> are also expected to advance th</w:t>
      </w:r>
      <w:r w:rsidR="00770ABC" w:rsidRPr="0009132C">
        <w:t>e desired outcomes of the WI Policy Domain.</w:t>
      </w:r>
      <w:r w:rsidRPr="0009132C">
        <w:t xml:space="preserve"> Ultimately, it is hoped that members’ access to care </w:t>
      </w:r>
      <w:r w:rsidR="005B47F7">
        <w:t xml:space="preserve">and their outcomes </w:t>
      </w:r>
      <w:r w:rsidRPr="0009132C">
        <w:t xml:space="preserve">will improve, and utilization of unplanned institutionalized care will drop. In addition, </w:t>
      </w:r>
      <w:r w:rsidR="24BCAF93" w:rsidRPr="0009132C">
        <w:t xml:space="preserve">a goal of these initiatives is to </w:t>
      </w:r>
      <w:r w:rsidR="007C48A3" w:rsidRPr="0009132C">
        <w:t>further diversify</w:t>
      </w:r>
      <w:r w:rsidRPr="0009132C">
        <w:t xml:space="preserve"> the workforce </w:t>
      </w:r>
      <w:r w:rsidR="004F2964" w:rsidRPr="0009132C">
        <w:t xml:space="preserve">by prioritizing applicants with cultural and linguistic competence to better reflect and serve the needs of the MassHealth </w:t>
      </w:r>
      <w:r w:rsidR="005C0A49" w:rsidRPr="0009132C">
        <w:t>population</w:t>
      </w:r>
      <w:r w:rsidRPr="0009132C">
        <w:t>.</w:t>
      </w:r>
    </w:p>
    <w:p w14:paraId="598EECC8" w14:textId="77777777" w:rsidR="00DC5A34" w:rsidRPr="00CF2A74" w:rsidRDefault="00DC5A34" w:rsidP="00EE4105">
      <w:pPr>
        <w:pStyle w:val="Heading3"/>
      </w:pPr>
      <w:r w:rsidRPr="00CF2A74">
        <w:t xml:space="preserve">WI Policy Domain Implementation Plans and Timeline </w:t>
      </w:r>
    </w:p>
    <w:p w14:paraId="00E34383" w14:textId="61F88FD7" w:rsidR="00EF3F3B" w:rsidRPr="0009132C" w:rsidRDefault="76A1229C" w:rsidP="001C0650">
      <w:r w:rsidRPr="0009132C">
        <w:t>T</w:t>
      </w:r>
      <w:r w:rsidR="00DC5A34" w:rsidRPr="0009132C">
        <w:t xml:space="preserve">he three programs will continue from the last Demonstration with the same or increased financial incentives. The Commonwealth anticipates launching the FNP residency grant program in CY2023 and the student loan repayment programs in CY2024. </w:t>
      </w:r>
    </w:p>
    <w:p w14:paraId="7CFDD701" w14:textId="25B667D1" w:rsidR="00B64043" w:rsidRPr="005B0F50" w:rsidRDefault="005B47F7" w:rsidP="00D55F9D">
      <w:pPr>
        <w:pStyle w:val="Heading2"/>
        <w:spacing w:after="160"/>
      </w:pPr>
      <w:r>
        <w:t xml:space="preserve"> </w:t>
      </w:r>
      <w:bookmarkStart w:id="166" w:name="_Toc151976434"/>
      <w:r w:rsidR="00B64043" w:rsidRPr="005B0F50">
        <w:t>Logic Model</w:t>
      </w:r>
      <w:bookmarkEnd w:id="166"/>
    </w:p>
    <w:p w14:paraId="312E29E4" w14:textId="23360127" w:rsidR="00B64043" w:rsidRPr="0009132C" w:rsidRDefault="00B64043" w:rsidP="00D55F9D">
      <w:pPr>
        <w:widowControl w:val="0"/>
        <w:spacing w:after="0"/>
      </w:pPr>
      <w:r w:rsidRPr="0009132C">
        <w:t xml:space="preserve">The WI logic model </w:t>
      </w:r>
      <w:r w:rsidR="007A77D8">
        <w:t xml:space="preserve">in </w:t>
      </w:r>
      <w:r w:rsidR="007A77D8" w:rsidRPr="008726E8">
        <w:rPr>
          <w:color w:val="000F9F"/>
          <w:u w:val="single"/>
        </w:rPr>
        <w:fldChar w:fldCharType="begin"/>
      </w:r>
      <w:r w:rsidR="007A77D8" w:rsidRPr="008726E8">
        <w:rPr>
          <w:color w:val="000F9F"/>
          <w:u w:val="single"/>
        </w:rPr>
        <w:instrText xml:space="preserve"> REF _Ref151542234 \h </w:instrText>
      </w:r>
      <w:r w:rsidR="007A77D8" w:rsidRPr="008726E8">
        <w:rPr>
          <w:color w:val="000F9F"/>
          <w:u w:val="single"/>
        </w:rPr>
      </w:r>
      <w:r w:rsidR="007A77D8" w:rsidRPr="008726E8">
        <w:rPr>
          <w:color w:val="000F9F"/>
          <w:u w:val="single"/>
        </w:rPr>
        <w:fldChar w:fldCharType="separate"/>
      </w:r>
      <w:r w:rsidR="007A77D8" w:rsidRPr="008726E8">
        <w:rPr>
          <w:color w:val="000F9F"/>
          <w:u w:val="single"/>
        </w:rPr>
        <w:t xml:space="preserve">Figure </w:t>
      </w:r>
      <w:r w:rsidR="007A77D8" w:rsidRPr="008726E8">
        <w:rPr>
          <w:noProof/>
          <w:color w:val="000F9F"/>
          <w:u w:val="single"/>
        </w:rPr>
        <w:t>6</w:t>
      </w:r>
      <w:r w:rsidR="007A77D8" w:rsidRPr="008726E8">
        <w:rPr>
          <w:color w:val="000F9F"/>
          <w:u w:val="single"/>
        </w:rPr>
        <w:noBreakHyphen/>
      </w:r>
      <w:r w:rsidR="007A77D8" w:rsidRPr="008726E8">
        <w:rPr>
          <w:noProof/>
          <w:color w:val="000F9F"/>
          <w:u w:val="single"/>
        </w:rPr>
        <w:t>1</w:t>
      </w:r>
      <w:r w:rsidR="007A77D8" w:rsidRPr="008726E8">
        <w:rPr>
          <w:color w:val="000F9F"/>
          <w:u w:val="single"/>
        </w:rPr>
        <w:fldChar w:fldCharType="end"/>
      </w:r>
      <w:r w:rsidR="007A77D8">
        <w:t xml:space="preserve"> </w:t>
      </w:r>
      <w:r w:rsidRPr="0009132C">
        <w:t>links the Demonstration Goals to inputs, implementation activities, outputs, and outcome</w:t>
      </w:r>
      <w:r w:rsidR="00F77964">
        <w:t>(s)</w:t>
      </w:r>
      <w:r w:rsidRPr="0009132C">
        <w:t xml:space="preserve">/impact. The WI programs are designed to increase the number of primary care and </w:t>
      </w:r>
      <w:r w:rsidR="004515F4">
        <w:t>BH</w:t>
      </w:r>
      <w:r w:rsidRPr="0009132C">
        <w:t xml:space="preserve"> providers and improve workforce diversity, which may improve</w:t>
      </w:r>
      <w:r w:rsidRPr="0009132C" w:rsidDel="0041771D">
        <w:t xml:space="preserve"> </w:t>
      </w:r>
      <w:r w:rsidRPr="0009132C">
        <w:t>clinician recruitment and reduce provider burdens and turnover. Subsequently, Medicaid members will have a better experience of care (e.g., more choices of providers and more timely access to services). Given existing evidence,</w:t>
      </w:r>
      <w:r w:rsidRPr="0009132C">
        <w:rPr>
          <w:vertAlign w:val="superscript"/>
        </w:rPr>
        <w:footnoteReference w:id="118"/>
      </w:r>
      <w:r w:rsidRPr="0009132C">
        <w:rPr>
          <w:vertAlign w:val="superscript"/>
        </w:rPr>
        <w:t>,</w:t>
      </w:r>
      <w:r w:rsidRPr="0009132C">
        <w:rPr>
          <w:vertAlign w:val="superscript"/>
        </w:rPr>
        <w:footnoteReference w:id="119"/>
      </w:r>
      <w:r w:rsidRPr="0009132C">
        <w:t xml:space="preserve"> better access will lead to more preventive care and less inpatient or ED use. </w:t>
      </w:r>
    </w:p>
    <w:p w14:paraId="402D7A36" w14:textId="77777777" w:rsidR="00B64043" w:rsidRPr="008534BB" w:rsidRDefault="00B64043" w:rsidP="00DC5A34">
      <w:pPr>
        <w:sectPr w:rsidR="00B64043" w:rsidRPr="008534BB" w:rsidSect="00744E1B">
          <w:headerReference w:type="first" r:id="rId32"/>
          <w:pgSz w:w="12240" w:h="15840"/>
          <w:pgMar w:top="1440" w:right="1440" w:bottom="1440" w:left="1440" w:header="720" w:footer="720" w:gutter="0"/>
          <w:cols w:space="720"/>
          <w:docGrid w:linePitch="360"/>
        </w:sectPr>
      </w:pPr>
    </w:p>
    <w:p w14:paraId="2E8D41FE" w14:textId="29545A34" w:rsidR="00DC6DFC" w:rsidRPr="00DC6DFC" w:rsidRDefault="00EF3F3B" w:rsidP="006C7402">
      <w:pPr>
        <w:pStyle w:val="FigureorTableTitle"/>
      </w:pPr>
      <w:bookmarkStart w:id="167" w:name="_Ref151542234"/>
      <w:bookmarkStart w:id="168" w:name="_Toc151976471"/>
      <w:r>
        <w:lastRenderedPageBreak/>
        <w:t xml:space="preserve">Figure </w:t>
      </w:r>
      <w:r w:rsidR="00842174">
        <w:rPr>
          <w:b w:val="0"/>
          <w:i w:val="0"/>
        </w:rPr>
        <w:fldChar w:fldCharType="begin"/>
      </w:r>
      <w:r w:rsidR="00842174">
        <w:rPr>
          <w:b w:val="0"/>
          <w:i w:val="0"/>
          <w:iCs w:val="0"/>
        </w:rPr>
        <w:instrText xml:space="preserve"> STYLEREF 1 \s </w:instrText>
      </w:r>
      <w:r w:rsidR="00842174">
        <w:rPr>
          <w:b w:val="0"/>
          <w:i w:val="0"/>
        </w:rPr>
        <w:fldChar w:fldCharType="separate"/>
      </w:r>
      <w:r w:rsidR="00EB7B05">
        <w:rPr>
          <w:noProof/>
        </w:rPr>
        <w:t>6</w:t>
      </w:r>
      <w:r w:rsidR="00842174">
        <w:rPr>
          <w:b w:val="0"/>
          <w:i w:val="0"/>
        </w:rPr>
        <w:fldChar w:fldCharType="end"/>
      </w:r>
      <w:r w:rsidR="00743B23">
        <w:noBreakHyphen/>
      </w:r>
      <w:r w:rsidR="00842174">
        <w:rPr>
          <w:b w:val="0"/>
          <w:i w:val="0"/>
        </w:rPr>
        <w:fldChar w:fldCharType="begin"/>
      </w:r>
      <w:r w:rsidR="00842174">
        <w:rPr>
          <w:b w:val="0"/>
          <w:i w:val="0"/>
          <w:iCs w:val="0"/>
        </w:rPr>
        <w:instrText xml:space="preserve"> SEQ Figure \* ARABIC \s 1 </w:instrText>
      </w:r>
      <w:r w:rsidR="00842174">
        <w:rPr>
          <w:b w:val="0"/>
          <w:i w:val="0"/>
        </w:rPr>
        <w:fldChar w:fldCharType="separate"/>
      </w:r>
      <w:r w:rsidR="00EB7B05">
        <w:rPr>
          <w:noProof/>
        </w:rPr>
        <w:t>1</w:t>
      </w:r>
      <w:r w:rsidR="00842174">
        <w:rPr>
          <w:b w:val="0"/>
          <w:i w:val="0"/>
        </w:rPr>
        <w:fldChar w:fldCharType="end"/>
      </w:r>
      <w:bookmarkEnd w:id="167"/>
      <w:r>
        <w:t xml:space="preserve">: </w:t>
      </w:r>
      <w:r w:rsidRPr="00A52750">
        <w:t>Logic Model for the WI Component of the Demonstration</w:t>
      </w:r>
      <w:bookmarkEnd w:id="168"/>
    </w:p>
    <w:p w14:paraId="6C1A7C71" w14:textId="72607EBE" w:rsidR="002E2318" w:rsidRPr="0009132C" w:rsidRDefault="002F3A43" w:rsidP="006E55FD">
      <w:pPr>
        <w:sectPr w:rsidR="002E2318" w:rsidRPr="0009132C" w:rsidSect="00744E1B">
          <w:pgSz w:w="15840" w:h="12240" w:orient="landscape"/>
          <w:pgMar w:top="1152" w:right="1152" w:bottom="1152" w:left="1152" w:header="720" w:footer="720" w:gutter="0"/>
          <w:cols w:space="720"/>
          <w:docGrid w:linePitch="360"/>
        </w:sectPr>
      </w:pPr>
      <w:r w:rsidRPr="002F3A43">
        <w:rPr>
          <w:noProof/>
        </w:rPr>
        <w:drawing>
          <wp:inline distT="0" distB="0" distL="0" distR="0" wp14:anchorId="7AEB39FA" wp14:editId="6FEF3ABF">
            <wp:extent cx="8752032" cy="4897120"/>
            <wp:effectExtent l="0" t="0" r="0" b="0"/>
            <wp:docPr id="3" name="Picture 2" descr="At the top of this model diagram is the following text: Goals: (1) Expand primary care, behavioral health, and family nurse practitioner workforce; and (2) increase access to providers among MassHealth members and the uninsured population. &#10;&#10;Underneath the GOALS is a long horizontal gray box with the title, Contextual Factors. Under this title is the following text: Other Workforce development programs (e.g., Behavioral Health Expansion Grant, Home and Community Based Services Student loan repayment and psych nurse practitioner residency programs through APRA incentives), evolving rate setting for health care workforce, change in health delivery models, economic and social environmental factors (e.g., competition from other non-healthcare fields), other oversight and regulations, increased funding and care delivery expectations for primary care through the ACO sub-capitation program. &#10;&#10;At the bottom edge of the gray box are four arrows pointing down and center-aligned to four tall boxes arranged horizontally from left to right. &#10;&#10;In the empty space between each box is an arrow pointing to the right suggesting that each box leads into the next from left to right. &#10;&#10;The first box is light blue and titled: Input (Revising). Under this are the following bullets: • Behavioral health student loan repayment; • Primary care student loan repayment; • Family nurse practitioner residency program.  &#10;&#10;The second box is medium blue and titled, Implementation. Under this are the following bullets: • Marketing of the program to student and community health centers; • Recruitment support, if applicable; • Training, coaching, and certification. &#10;&#10;The third box is blue and titled, Outputs. Beneath this title are three items and their related bullets.&#10;&#10;Item 1 is: Program Implementation. Under this are the following bullets: • Successes/challenges and facilitators/barriers; • Number of awardees; • Program take-up rate • Areas of improvement. &#10;&#10;Item 2: Provider Volume. Under this are the following bullets: • Outreach and engagement; • Increased number of providers; • Improved provider/MassHealth member ratio; • Retention and sustainability of workforce.&#10;&#10;Item 3: Provider Diversity. Under this is the following bullet: • Increased provider diversity (e.g., demographic, linguistic).&#10;&#10;The fourth box is green and titled, Outcome and Impact. Beneath this title are three items and their related bullets.&#10;&#10;Item 1 is: Organization and Individual Provider Experience. Under this are the following bullets: • Improved provider retention; • Easier recruitment; • Provider burnout.&#10;&#10;Item 2 is: Member Experience – Access (Focus). Under this are the following bullets: • Choice of providers; • Continuity of care; • Timely access to services; • Adequacy of geographic access; • Increased access to culturally competent services; • Overall satisfaction of provider services; • Perceived health status. &#10; &#10;Item 3 is: Member Outcomes. Under this are the following bullets: • Same or increased preventive care; • Same or increased community-based BH service utilization; • Same or reduced inpatient and emergency room services. &#10;&#10;Beneath these four boxes is a horizontal line with four arrow lines branching off of it, pointing upward, and almost touching the bottom of the four boxes above it. On the horizontal line is the following text: Inform programmatic improvement. This indicates that the contents in the boxes the arrows are pointing to will inform programmatic improvement.">
              <a:extLst xmlns:a="http://schemas.openxmlformats.org/drawingml/2006/main">
                <a:ext uri="{FF2B5EF4-FFF2-40B4-BE49-F238E27FC236}">
                  <a16:creationId xmlns:a16="http://schemas.microsoft.com/office/drawing/2014/main" id="{2B89E863-D035-3E0F-76C9-F73C0AFC8D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t the top of this model diagram is the following text: Goals: (1) Expand primary care, behavioral health, and family nurse practitioner workforce; and (2) increase access to providers among MassHealth members and the uninsured population. &#10;&#10;Underneath the GOALS is a long horizontal gray box with the title, Contextual Factors. Under this title is the following text: Other Workforce development programs (e.g., Behavioral Health Expansion Grant, Home and Community Based Services Student loan repayment and psych nurse practitioner residency programs through APRA incentives), evolving rate setting for health care workforce, change in health delivery models, economic and social environmental factors (e.g., competition from other non-healthcare fields), other oversight and regulations, increased funding and care delivery expectations for primary care through the ACO sub-capitation program. &#10;&#10;At the bottom edge of the gray box are four arrows pointing down and center-aligned to four tall boxes arranged horizontally from left to right. &#10;&#10;In the empty space between each box is an arrow pointing to the right suggesting that each box leads into the next from left to right. &#10;&#10;The first box is light blue and titled: Input (Revising). Under this are the following bullets: • Behavioral health student loan repayment; • Primary care student loan repayment; • Family nurse practitioner residency program.  &#10;&#10;The second box is medium blue and titled, Implementation. Under this are the following bullets: • Marketing of the program to student and community health centers; • Recruitment support, if applicable; • Training, coaching, and certification. &#10;&#10;The third box is blue and titled, Outputs. Beneath this title are three items and their related bullets.&#10;&#10;Item 1 is: Program Implementation. Under this are the following bullets: • Successes/challenges and facilitators/barriers; • Number of awardees; • Program take-up rate • Areas of improvement. &#10;&#10;Item 2: Provider Volume. Under this are the following bullets: • Outreach and engagement; • Increased number of providers; • Improved provider/MassHealth member ratio; • Retention and sustainability of workforce.&#10;&#10;Item 3: Provider Diversity. Under this is the following bullet: • Increased provider diversity (e.g., demographic, linguistic).&#10;&#10;The fourth box is green and titled, Outcome and Impact. Beneath this title are three items and their related bullets.&#10;&#10;Item 1 is: Organization and Individual Provider Experience. Under this are the following bullets: • Improved provider retention; • Easier recruitment; • Provider burnout.&#10;&#10;Item 2 is: Member Experience – Access (Focus). Under this are the following bullets: • Choice of providers; • Continuity of care; • Timely access to services; • Adequacy of geographic access; • Increased access to culturally competent services; • Overall satisfaction of provider services; • Perceived health status. &#10; &#10;Item 3 is: Member Outcomes. Under this are the following bullets: • Same or increased preventive care; • Same or increased community-based BH service utilization; • Same or reduced inpatient and emergency room services. &#10;&#10;Beneath these four boxes is a horizontal line with four arrow lines branching off of it, pointing upward, and almost touching the bottom of the four boxes above it. On the horizontal line is the following text: Inform programmatic improvement. This indicates that the contents in the boxes the arrows are pointing to will inform programmatic improvement.">
                      <a:extLst>
                        <a:ext uri="{FF2B5EF4-FFF2-40B4-BE49-F238E27FC236}">
                          <a16:creationId xmlns:a16="http://schemas.microsoft.com/office/drawing/2014/main" id="{2B89E863-D035-3E0F-76C9-F73C0AFC8D90}"/>
                        </a:ext>
                      </a:extLst>
                    </pic:cNvPr>
                    <pic:cNvPicPr>
                      <a:picLocks noChangeAspect="1"/>
                    </pic:cNvPicPr>
                  </pic:nvPicPr>
                  <pic:blipFill>
                    <a:blip r:embed="rId33" cstate="hqprint">
                      <a:extLst>
                        <a:ext uri="{28A0092B-C50C-407E-A947-70E740481C1C}">
                          <a14:useLocalDpi xmlns:a14="http://schemas.microsoft.com/office/drawing/2010/main" val="0"/>
                        </a:ext>
                      </a:extLst>
                    </a:blip>
                    <a:srcRect/>
                    <a:stretch>
                      <a:fillRect/>
                    </a:stretch>
                  </pic:blipFill>
                  <pic:spPr bwMode="auto">
                    <a:xfrm>
                      <a:off x="0" y="0"/>
                      <a:ext cx="8765584" cy="4904703"/>
                    </a:xfrm>
                    <a:prstGeom prst="rect">
                      <a:avLst/>
                    </a:prstGeom>
                    <a:noFill/>
                    <a:ln>
                      <a:noFill/>
                    </a:ln>
                  </pic:spPr>
                </pic:pic>
              </a:graphicData>
            </a:graphic>
          </wp:inline>
        </w:drawing>
      </w:r>
    </w:p>
    <w:p w14:paraId="4F24DCFB" w14:textId="2B43D6D7" w:rsidR="00DC5A34" w:rsidRPr="0009132C" w:rsidRDefault="005B47F7" w:rsidP="00FB3AEB">
      <w:pPr>
        <w:pStyle w:val="Heading2"/>
      </w:pPr>
      <w:bookmarkStart w:id="169" w:name="_Toc130209724"/>
      <w:r>
        <w:lastRenderedPageBreak/>
        <w:t xml:space="preserve"> </w:t>
      </w:r>
      <w:bookmarkStart w:id="170" w:name="_Toc151976435"/>
      <w:r w:rsidR="00DC5A34" w:rsidRPr="0009132C">
        <w:t>Research Questions and Hypotheses</w:t>
      </w:r>
      <w:bookmarkEnd w:id="169"/>
      <w:bookmarkEnd w:id="170"/>
    </w:p>
    <w:p w14:paraId="543E729B" w14:textId="31C1FF73" w:rsidR="00DC5A34" w:rsidRPr="0009132C" w:rsidRDefault="009D6F31" w:rsidP="001C0650">
      <w:r w:rsidRPr="008726E8">
        <w:rPr>
          <w:color w:val="000F9F"/>
          <w:u w:val="single"/>
        </w:rPr>
        <w:fldChar w:fldCharType="begin"/>
      </w:r>
      <w:r w:rsidRPr="008726E8">
        <w:rPr>
          <w:color w:val="000F9F"/>
          <w:u w:val="single"/>
        </w:rPr>
        <w:instrText xml:space="preserve"> REF _Ref151467867 \h </w:instrText>
      </w:r>
      <w:r w:rsidRPr="008726E8">
        <w:rPr>
          <w:color w:val="000F9F"/>
          <w:u w:val="single"/>
        </w:rPr>
      </w:r>
      <w:r w:rsidRPr="008726E8">
        <w:rPr>
          <w:color w:val="000F9F"/>
          <w:u w:val="single"/>
        </w:rPr>
        <w:fldChar w:fldCharType="separate"/>
      </w:r>
      <w:r w:rsidRPr="008726E8">
        <w:rPr>
          <w:color w:val="000F9F"/>
          <w:u w:val="single"/>
        </w:rPr>
        <w:t xml:space="preserve">Table </w:t>
      </w:r>
      <w:r w:rsidRPr="008726E8">
        <w:rPr>
          <w:noProof/>
          <w:color w:val="000F9F"/>
          <w:u w:val="single"/>
        </w:rPr>
        <w:t>6</w:t>
      </w:r>
      <w:r w:rsidRPr="008726E8">
        <w:rPr>
          <w:color w:val="000F9F"/>
          <w:u w:val="single"/>
        </w:rPr>
        <w:noBreakHyphen/>
      </w:r>
      <w:r w:rsidRPr="008726E8">
        <w:rPr>
          <w:noProof/>
          <w:color w:val="000F9F"/>
          <w:u w:val="single"/>
        </w:rPr>
        <w:t>2</w:t>
      </w:r>
      <w:r w:rsidRPr="008726E8">
        <w:rPr>
          <w:color w:val="000F9F"/>
          <w:u w:val="single"/>
        </w:rPr>
        <w:fldChar w:fldCharType="end"/>
      </w:r>
      <w:r>
        <w:t xml:space="preserve"> </w:t>
      </w:r>
      <w:r w:rsidR="00DC5A34">
        <w:t>summarizes the WI evaluation RQs and associated hypotheses, study populations, data sources, measures, and analytic methods. Further detail</w:t>
      </w:r>
      <w:r w:rsidR="00901C41">
        <w:t>s</w:t>
      </w:r>
      <w:r w:rsidR="00DC5A34">
        <w:t xml:space="preserve"> on the data sources, measures</w:t>
      </w:r>
      <w:r w:rsidR="00252CF6">
        <w:t>,</w:t>
      </w:r>
      <w:r w:rsidR="00DC5A34">
        <w:t xml:space="preserve"> and proposed analytic methods are provided in the following sections. The RQs are related to implementation effectiveness, provider experiences, member access and outcomes, and financial sustainability. </w:t>
      </w:r>
    </w:p>
    <w:p w14:paraId="4EF51E8D" w14:textId="7701C1EB" w:rsidR="00C66B80" w:rsidRDefault="00C66B80" w:rsidP="00C66B80">
      <w:pPr>
        <w:pStyle w:val="Caption"/>
        <w:keepNext/>
      </w:pPr>
      <w:bookmarkStart w:id="171" w:name="_Ref151467867"/>
      <w:bookmarkStart w:id="172" w:name="_Toc151976461"/>
      <w:r>
        <w:t xml:space="preserve">Table </w:t>
      </w:r>
      <w:r>
        <w:fldChar w:fldCharType="begin"/>
      </w:r>
      <w:r>
        <w:instrText>STYLEREF 1 \s</w:instrText>
      </w:r>
      <w:r>
        <w:fldChar w:fldCharType="separate"/>
      </w:r>
      <w:r w:rsidR="00EB7B05">
        <w:rPr>
          <w:noProof/>
        </w:rPr>
        <w:t>6</w:t>
      </w:r>
      <w:r>
        <w:fldChar w:fldCharType="end"/>
      </w:r>
      <w:r w:rsidR="00433675">
        <w:noBreakHyphen/>
      </w:r>
      <w:r>
        <w:fldChar w:fldCharType="begin"/>
      </w:r>
      <w:r>
        <w:instrText>SEQ Table \* ARABIC \s 1</w:instrText>
      </w:r>
      <w:r>
        <w:fldChar w:fldCharType="separate"/>
      </w:r>
      <w:r w:rsidR="00EB7B05">
        <w:rPr>
          <w:noProof/>
        </w:rPr>
        <w:t>2</w:t>
      </w:r>
      <w:r>
        <w:fldChar w:fldCharType="end"/>
      </w:r>
      <w:bookmarkEnd w:id="171"/>
      <w:r>
        <w:t xml:space="preserve">: </w:t>
      </w:r>
      <w:r w:rsidRPr="00996881">
        <w:t>Research Questions and Hypotheses for WI</w:t>
      </w:r>
      <w:bookmarkEnd w:id="172"/>
    </w:p>
    <w:tbl>
      <w:tblPr>
        <w:tblStyle w:val="FHCTablestyle9"/>
        <w:tblW w:w="13526" w:type="dxa"/>
        <w:tblLayout w:type="fixed"/>
        <w:tblLook w:val="04A0" w:firstRow="1" w:lastRow="0" w:firstColumn="1" w:lastColumn="0" w:noHBand="0" w:noVBand="1"/>
      </w:tblPr>
      <w:tblGrid>
        <w:gridCol w:w="1411"/>
        <w:gridCol w:w="2004"/>
        <w:gridCol w:w="2880"/>
        <w:gridCol w:w="2790"/>
        <w:gridCol w:w="2626"/>
        <w:gridCol w:w="1815"/>
      </w:tblGrid>
      <w:tr w:rsidR="00895E18" w:rsidRPr="00895E18" w14:paraId="59142C1C" w14:textId="77777777" w:rsidTr="00196C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1" w:type="dxa"/>
          </w:tcPr>
          <w:p w14:paraId="43A022F6" w14:textId="6D518258" w:rsidR="00143200" w:rsidRPr="004D7CA3" w:rsidRDefault="00143200" w:rsidP="004D7CA3">
            <w:pPr>
              <w:pStyle w:val="TableHeading105ptBold"/>
              <w:rPr>
                <w:b/>
                <w:bCs/>
                <w:szCs w:val="21"/>
              </w:rPr>
            </w:pPr>
            <w:r w:rsidRPr="004D7CA3">
              <w:rPr>
                <w:b/>
                <w:bCs/>
                <w:szCs w:val="21"/>
              </w:rPr>
              <w:t>Research Questions</w:t>
            </w:r>
            <w:r w:rsidRPr="004D7CA3">
              <w:rPr>
                <w:b/>
                <w:bCs/>
                <w:szCs w:val="21"/>
                <w:vertAlign w:val="superscript"/>
              </w:rPr>
              <w:t>a</w:t>
            </w:r>
          </w:p>
        </w:tc>
        <w:tc>
          <w:tcPr>
            <w:tcW w:w="2004" w:type="dxa"/>
          </w:tcPr>
          <w:p w14:paraId="716A0B5C" w14:textId="6B024A8D" w:rsidR="00143200" w:rsidRPr="004D7CA3" w:rsidRDefault="00143200" w:rsidP="004D7CA3">
            <w:pPr>
              <w:pStyle w:val="TableHeading105ptBold"/>
              <w:cnfStyle w:val="100000000000" w:firstRow="1" w:lastRow="0" w:firstColumn="0" w:lastColumn="0" w:oddVBand="0" w:evenVBand="0" w:oddHBand="0" w:evenHBand="0" w:firstRowFirstColumn="0" w:firstRowLastColumn="0" w:lastRowFirstColumn="0" w:lastRowLastColumn="0"/>
              <w:rPr>
                <w:b/>
                <w:bCs/>
                <w:szCs w:val="21"/>
              </w:rPr>
            </w:pPr>
            <w:r w:rsidRPr="004D7CA3">
              <w:rPr>
                <w:b/>
                <w:bCs/>
                <w:szCs w:val="21"/>
              </w:rPr>
              <w:t>Hypotheses</w:t>
            </w:r>
          </w:p>
        </w:tc>
        <w:tc>
          <w:tcPr>
            <w:tcW w:w="2880" w:type="dxa"/>
          </w:tcPr>
          <w:p w14:paraId="0C42BA04" w14:textId="1B08AE12" w:rsidR="00143200" w:rsidRPr="004D7CA3" w:rsidRDefault="00143200" w:rsidP="004D7CA3">
            <w:pPr>
              <w:pStyle w:val="TableHeading105ptBold"/>
              <w:cnfStyle w:val="100000000000" w:firstRow="1" w:lastRow="0" w:firstColumn="0" w:lastColumn="0" w:oddVBand="0" w:evenVBand="0" w:oddHBand="0" w:evenHBand="0" w:firstRowFirstColumn="0" w:firstRowLastColumn="0" w:lastRowFirstColumn="0" w:lastRowLastColumn="0"/>
              <w:rPr>
                <w:b/>
                <w:bCs/>
                <w:szCs w:val="21"/>
              </w:rPr>
            </w:pPr>
            <w:r w:rsidRPr="004D7CA3">
              <w:rPr>
                <w:b/>
                <w:bCs/>
                <w:szCs w:val="21"/>
              </w:rPr>
              <w:t xml:space="preserve">Data </w:t>
            </w:r>
            <w:r w:rsidR="00C66B80" w:rsidRPr="004D7CA3">
              <w:rPr>
                <w:b/>
                <w:bCs/>
                <w:szCs w:val="21"/>
              </w:rPr>
              <w:br/>
            </w:r>
            <w:r w:rsidRPr="004D7CA3">
              <w:rPr>
                <w:b/>
                <w:bCs/>
                <w:szCs w:val="21"/>
              </w:rPr>
              <w:t>Sources</w:t>
            </w:r>
            <w:r w:rsidR="00A23FEB" w:rsidRPr="004D7CA3">
              <w:rPr>
                <w:b/>
                <w:bCs/>
                <w:szCs w:val="21"/>
              </w:rPr>
              <w:t xml:space="preserve"> (Evaluation Period)</w:t>
            </w:r>
            <w:r w:rsidRPr="004D7CA3">
              <w:rPr>
                <w:b/>
                <w:bCs/>
                <w:szCs w:val="21"/>
                <w:vertAlign w:val="superscript"/>
              </w:rPr>
              <w:t>b</w:t>
            </w:r>
          </w:p>
        </w:tc>
        <w:tc>
          <w:tcPr>
            <w:tcW w:w="2790" w:type="dxa"/>
          </w:tcPr>
          <w:p w14:paraId="0B71B619" w14:textId="03B0C085" w:rsidR="00143200" w:rsidRPr="00895E18" w:rsidRDefault="041F926E" w:rsidP="7F638223">
            <w:pPr>
              <w:pStyle w:val="TableHeading105ptBold"/>
              <w:cnfStyle w:val="100000000000" w:firstRow="1" w:lastRow="0" w:firstColumn="0" w:lastColumn="0" w:oddVBand="0" w:evenVBand="0" w:oddHBand="0" w:evenHBand="0" w:firstRowFirstColumn="0" w:firstRowLastColumn="0" w:lastRowFirstColumn="0" w:lastRowLastColumn="0"/>
              <w:rPr>
                <w:b/>
                <w:bCs/>
              </w:rPr>
            </w:pPr>
            <w:r w:rsidRPr="3383C28C">
              <w:rPr>
                <w:b/>
                <w:bCs/>
              </w:rPr>
              <w:t>Study Populations</w:t>
            </w:r>
          </w:p>
          <w:p w14:paraId="76E6ED03" w14:textId="370AA276" w:rsidR="00143200" w:rsidRPr="00895E18" w:rsidRDefault="009C30E8" w:rsidP="00351FA4">
            <w:pPr>
              <w:pStyle w:val="TableNormal0"/>
              <w:cnfStyle w:val="100000000000" w:firstRow="1" w:lastRow="0" w:firstColumn="0" w:lastColumn="0" w:oddVBand="0" w:evenVBand="0" w:oddHBand="0" w:evenHBand="0" w:firstRowFirstColumn="0" w:firstRowLastColumn="0" w:lastRowFirstColumn="0" w:lastRowLastColumn="0"/>
              <w:rPr>
                <w:sz w:val="21"/>
                <w:szCs w:val="21"/>
              </w:rPr>
            </w:pPr>
            <w:r w:rsidRPr="004D7CA3">
              <w:rPr>
                <w:sz w:val="21"/>
                <w:szCs w:val="21"/>
              </w:rPr>
              <w:t>(Estimated Sample or Population Size- per Wave for Primary Data and per Year for Secondary Data)</w:t>
            </w:r>
          </w:p>
        </w:tc>
        <w:tc>
          <w:tcPr>
            <w:tcW w:w="2626" w:type="dxa"/>
          </w:tcPr>
          <w:p w14:paraId="141F89D3" w14:textId="60ECC2A7" w:rsidR="00143200" w:rsidRPr="004D7CA3" w:rsidRDefault="00143200" w:rsidP="004D7CA3">
            <w:pPr>
              <w:pStyle w:val="TableHeading105ptBold"/>
              <w:cnfStyle w:val="100000000000" w:firstRow="1" w:lastRow="0" w:firstColumn="0" w:lastColumn="0" w:oddVBand="0" w:evenVBand="0" w:oddHBand="0" w:evenHBand="0" w:firstRowFirstColumn="0" w:firstRowLastColumn="0" w:lastRowFirstColumn="0" w:lastRowLastColumn="0"/>
              <w:rPr>
                <w:b/>
                <w:bCs/>
                <w:szCs w:val="21"/>
              </w:rPr>
            </w:pPr>
            <w:r w:rsidRPr="004D7CA3">
              <w:rPr>
                <w:b/>
                <w:bCs/>
                <w:szCs w:val="21"/>
              </w:rPr>
              <w:t xml:space="preserve">Measures </w:t>
            </w:r>
          </w:p>
        </w:tc>
        <w:tc>
          <w:tcPr>
            <w:tcW w:w="1815" w:type="dxa"/>
          </w:tcPr>
          <w:p w14:paraId="18F70F57" w14:textId="4E9F9D61" w:rsidR="00143200" w:rsidRPr="004D7CA3" w:rsidRDefault="00143200" w:rsidP="004D7CA3">
            <w:pPr>
              <w:pStyle w:val="TableHeading105ptBold"/>
              <w:cnfStyle w:val="100000000000" w:firstRow="1" w:lastRow="0" w:firstColumn="0" w:lastColumn="0" w:oddVBand="0" w:evenVBand="0" w:oddHBand="0" w:evenHBand="0" w:firstRowFirstColumn="0" w:firstRowLastColumn="0" w:lastRowFirstColumn="0" w:lastRowLastColumn="0"/>
              <w:rPr>
                <w:b/>
                <w:bCs/>
                <w:szCs w:val="21"/>
              </w:rPr>
            </w:pPr>
            <w:r w:rsidRPr="004D7CA3">
              <w:rPr>
                <w:b/>
                <w:bCs/>
                <w:szCs w:val="21"/>
              </w:rPr>
              <w:t>Analytic Methods</w:t>
            </w:r>
            <w:r w:rsidR="009A4968" w:rsidRPr="004D7CA3">
              <w:rPr>
                <w:b/>
                <w:bCs/>
                <w:szCs w:val="21"/>
              </w:rPr>
              <w:t xml:space="preserve"> (Unit of Analysis)</w:t>
            </w:r>
            <w:r w:rsidRPr="004D7CA3">
              <w:rPr>
                <w:b/>
                <w:bCs/>
                <w:szCs w:val="21"/>
                <w:vertAlign w:val="superscript"/>
              </w:rPr>
              <w:t>c</w:t>
            </w:r>
          </w:p>
        </w:tc>
      </w:tr>
      <w:tr w:rsidR="00895E18" w14:paraId="3C167ACE" w14:textId="77777777" w:rsidTr="00196C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1" w:type="dxa"/>
          </w:tcPr>
          <w:p w14:paraId="0D15FD65" w14:textId="788F409F" w:rsidR="00C66B80" w:rsidRPr="00143200" w:rsidRDefault="00C66B80" w:rsidP="00351FA4">
            <w:pPr>
              <w:pStyle w:val="TableNormal0"/>
            </w:pPr>
            <w:r w:rsidRPr="00143200">
              <w:t>RQ5-1 What actions were taken to implement the three WIs, and what lessons were learned from the implementation?</w:t>
            </w:r>
          </w:p>
        </w:tc>
        <w:tc>
          <w:tcPr>
            <w:tcW w:w="2004" w:type="dxa"/>
          </w:tcPr>
          <w:p w14:paraId="4EA67EEB" w14:textId="77777777" w:rsidR="00C66B80" w:rsidRPr="00E12089" w:rsidRDefault="00C66B80" w:rsidP="00351FA4">
            <w:pPr>
              <w:pStyle w:val="TableNormal0"/>
              <w:cnfStyle w:val="000000100000" w:firstRow="0" w:lastRow="0" w:firstColumn="0" w:lastColumn="0" w:oddVBand="0" w:evenVBand="0" w:oddHBand="1" w:evenHBand="0" w:firstRowFirstColumn="0" w:firstRowLastColumn="0" w:lastRowFirstColumn="0" w:lastRowLastColumn="0"/>
            </w:pPr>
            <w:r w:rsidRPr="00E12089">
              <w:rPr>
                <w:rFonts w:eastAsia="Times New Roman" w:cstheme="minorHAnsi"/>
                <w:szCs w:val="18"/>
              </w:rPr>
              <w:t>H5-1.1</w:t>
            </w:r>
            <w:r w:rsidRPr="00E12089">
              <w:t xml:space="preserve"> The Commonwealth worked with vendors to implement the program as intended (e.g., market the programs, release clear roles and expectations, develop policies and procedures, make payments promptly, provide operational oversight, and process applications). </w:t>
            </w:r>
          </w:p>
          <w:p w14:paraId="1FA6C730" w14:textId="645FDE1A" w:rsidR="00C66B80" w:rsidRPr="00C66B80" w:rsidRDefault="00C66B80" w:rsidP="00351FA4">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C66B80">
              <w:rPr>
                <w:rFonts w:cstheme="minorHAnsi"/>
                <w:szCs w:val="18"/>
              </w:rPr>
              <w:t xml:space="preserve">H5-1.2 Several lessons were learned from implementing these WI programs. </w:t>
            </w:r>
          </w:p>
        </w:tc>
        <w:tc>
          <w:tcPr>
            <w:tcW w:w="2880" w:type="dxa"/>
          </w:tcPr>
          <w:p w14:paraId="16CF5D1C" w14:textId="46B3BC45" w:rsidR="00E91973" w:rsidRPr="00C66B80" w:rsidRDefault="00C66B80" w:rsidP="00351FA4">
            <w:pPr>
              <w:pStyle w:val="TableNormal0"/>
              <w:cnfStyle w:val="000000100000" w:firstRow="0" w:lastRow="0" w:firstColumn="0" w:lastColumn="0" w:oddVBand="0" w:evenVBand="0" w:oddHBand="1" w:evenHBand="0" w:firstRowFirstColumn="0" w:firstRowLastColumn="0" w:lastRowFirstColumn="0" w:lastRowLastColumn="0"/>
            </w:pPr>
            <w:r w:rsidRPr="00C66B80">
              <w:t>Program documents</w:t>
            </w:r>
            <w:r w:rsidR="00B04B5C">
              <w:t xml:space="preserve"> (</w:t>
            </w:r>
            <w:r w:rsidR="005F1A34">
              <w:t>o</w:t>
            </w:r>
            <w:r w:rsidR="00E91973">
              <w:t>ngoing)</w:t>
            </w:r>
            <w:r w:rsidR="0045405A">
              <w:t>;</w:t>
            </w:r>
          </w:p>
          <w:p w14:paraId="278F7237" w14:textId="1B276168" w:rsidR="00C66B80" w:rsidRPr="00C66B80" w:rsidRDefault="00E91973" w:rsidP="00351FA4">
            <w:pPr>
              <w:pStyle w:val="TableNormal0"/>
              <w:cnfStyle w:val="000000100000" w:firstRow="0" w:lastRow="0" w:firstColumn="0" w:lastColumn="0" w:oddVBand="0" w:evenVBand="0" w:oddHBand="1" w:evenHBand="0" w:firstRowFirstColumn="0" w:firstRowLastColumn="0" w:lastRowFirstColumn="0" w:lastRowLastColumn="0"/>
            </w:pPr>
            <w:r w:rsidRPr="00E91973">
              <w:t>Q</w:t>
            </w:r>
            <w:r w:rsidR="00C66B80" w:rsidRPr="00C66B80">
              <w:t>ualitative interviews with providers</w:t>
            </w:r>
            <w:r w:rsidR="009E1618">
              <w:t xml:space="preserve"> </w:t>
            </w:r>
            <w:r w:rsidR="009E1618" w:rsidRPr="009E1618">
              <w:t>(</w:t>
            </w:r>
            <w:r w:rsidR="008F5E2D" w:rsidRPr="00351FA4">
              <w:t>2024-2025; 2026-2027</w:t>
            </w:r>
            <w:r w:rsidR="009E1618" w:rsidRPr="009E1618">
              <w:t>);</w:t>
            </w:r>
          </w:p>
          <w:p w14:paraId="5C343874" w14:textId="498EDE06" w:rsidR="00C66B80" w:rsidRPr="00C66B80" w:rsidRDefault="00C66B80" w:rsidP="00351FA4">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C66B80">
              <w:rPr>
                <w:rFonts w:eastAsia="Times New Roman" w:cstheme="minorHAnsi"/>
                <w:szCs w:val="18"/>
              </w:rPr>
              <w:t xml:space="preserve">WI program administrator interviews and/or open-ended </w:t>
            </w:r>
            <w:r w:rsidR="00064AB9">
              <w:t>surveys</w:t>
            </w:r>
            <w:r w:rsidR="00B04B5C">
              <w:rPr>
                <w:rFonts w:eastAsia="Times New Roman" w:cstheme="minorHAnsi"/>
                <w:szCs w:val="18"/>
              </w:rPr>
              <w:t xml:space="preserve"> (</w:t>
            </w:r>
            <w:r w:rsidR="00285434" w:rsidRPr="00351FA4">
              <w:t>2024-2025; 2026-2027)</w:t>
            </w:r>
          </w:p>
        </w:tc>
        <w:tc>
          <w:tcPr>
            <w:tcW w:w="2790" w:type="dxa"/>
          </w:tcPr>
          <w:p w14:paraId="15B721BC" w14:textId="3B7D6C5D" w:rsidR="00C66B80" w:rsidRPr="00C66B80" w:rsidRDefault="7DB8FC09" w:rsidP="00351FA4">
            <w:pPr>
              <w:pStyle w:val="TableNormal0"/>
              <w:cnfStyle w:val="000000100000" w:firstRow="0" w:lastRow="0" w:firstColumn="0" w:lastColumn="0" w:oddVBand="0" w:evenVBand="0" w:oddHBand="1" w:evenHBand="0" w:firstRowFirstColumn="0" w:firstRowLastColumn="0" w:lastRowFirstColumn="0" w:lastRowLastColumn="0"/>
            </w:pPr>
            <w:r>
              <w:t>Applicants</w:t>
            </w:r>
            <w:r w:rsidR="00C66B80">
              <w:t xml:space="preserve"> (both awarded and non-awarded eligible) for WI programs</w:t>
            </w:r>
            <w:r w:rsidR="7FD19FC4">
              <w:t xml:space="preserve"> (</w:t>
            </w:r>
            <w:r>
              <w:t>n</w:t>
            </w:r>
            <w:r w:rsidR="00B442EB">
              <w:t xml:space="preserve"> ≤ </w:t>
            </w:r>
            <w:r w:rsidR="0F79D37B">
              <w:t>3</w:t>
            </w:r>
            <w:r w:rsidR="5E4C19E4">
              <w:t>0</w:t>
            </w:r>
            <w:r w:rsidR="557C416C">
              <w:t>)</w:t>
            </w:r>
            <w:r w:rsidR="00C66B80">
              <w:t xml:space="preserve">; </w:t>
            </w:r>
          </w:p>
          <w:p w14:paraId="2D95E564" w14:textId="45534442" w:rsidR="00C66B80" w:rsidRPr="00C66B80" w:rsidRDefault="00C66B80" w:rsidP="00351FA4">
            <w:pPr>
              <w:pStyle w:val="TableNormal0"/>
              <w:cnfStyle w:val="000000100000" w:firstRow="0" w:lastRow="0" w:firstColumn="0" w:lastColumn="0" w:oddVBand="0" w:evenVBand="0" w:oddHBand="1" w:evenHBand="0" w:firstRowFirstColumn="0" w:firstRowLastColumn="0" w:lastRowFirstColumn="0" w:lastRowLastColumn="0"/>
            </w:pPr>
            <w:r w:rsidRPr="00C66B80">
              <w:t>MassHealth WI staff and WI vendors</w:t>
            </w:r>
            <w:r w:rsidR="0057710C">
              <w:t xml:space="preserve"> (</w:t>
            </w:r>
            <w:r w:rsidR="00305101">
              <w:t>n</w:t>
            </w:r>
            <w:r w:rsidR="0057710C" w:rsidRPr="00DC7BBB">
              <w:t>=</w:t>
            </w:r>
            <w:r w:rsidR="005A09D4" w:rsidRPr="00351FA4">
              <w:t>5</w:t>
            </w:r>
            <w:r w:rsidR="0057710C" w:rsidRPr="00DC7BBB">
              <w:t>)</w:t>
            </w:r>
            <w:r w:rsidRPr="00DC7BBB">
              <w:t>;</w:t>
            </w:r>
          </w:p>
          <w:p w14:paraId="6F454F73" w14:textId="122D0155" w:rsidR="00F90F1E" w:rsidRDefault="5DB1A9CF" w:rsidP="00F90F1E">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3383C28C">
              <w:rPr>
                <w:rFonts w:eastAsia="Times New Roman"/>
              </w:rPr>
              <w:t>Community-based clinical setting administrators (n ≤ 30)</w:t>
            </w:r>
            <w:r w:rsidR="0045405A" w:rsidRPr="3383C28C">
              <w:rPr>
                <w:rFonts w:eastAsia="Times New Roman"/>
              </w:rPr>
              <w:t>;</w:t>
            </w:r>
          </w:p>
          <w:p w14:paraId="56B94050" w14:textId="49CCD40E" w:rsidR="00F90F1E" w:rsidRPr="00C66B80" w:rsidRDefault="00F90F1E" w:rsidP="00F90F1E">
            <w:pPr>
              <w:pStyle w:val="TableNormal0"/>
              <w:cnfStyle w:val="000000100000" w:firstRow="0" w:lastRow="0" w:firstColumn="0" w:lastColumn="0" w:oddVBand="0" w:evenVBand="0" w:oddHBand="1" w:evenHBand="0" w:firstRowFirstColumn="0" w:firstRowLastColumn="0" w:lastRowFirstColumn="0" w:lastRowLastColumn="0"/>
            </w:pPr>
            <w:r>
              <w:rPr>
                <w:rFonts w:eastAsia="Times New Roman"/>
                <w:color w:val="000000"/>
              </w:rPr>
              <w:t>Individual PC</w:t>
            </w:r>
            <w:r w:rsidRPr="00E547F3">
              <w:rPr>
                <w:rFonts w:eastAsia="Times New Roman"/>
                <w:color w:val="000000"/>
              </w:rPr>
              <w:t xml:space="preserve"> providers, BH providers, and FNPs</w:t>
            </w:r>
            <w:r>
              <w:rPr>
                <w:rFonts w:eastAsia="Times New Roman"/>
                <w:color w:val="000000"/>
              </w:rPr>
              <w:t xml:space="preserve"> (n ≤ </w:t>
            </w:r>
            <w:r w:rsidRPr="000048F4">
              <w:rPr>
                <w:rFonts w:eastAsia="Times New Roman"/>
                <w:color w:val="000000"/>
              </w:rPr>
              <w:t>30</w:t>
            </w:r>
            <w:r w:rsidR="00832676">
              <w:rPr>
                <w:rFonts w:eastAsia="Times New Roman"/>
                <w:color w:val="000000"/>
              </w:rPr>
              <w:t xml:space="preserve"> combined across different provider types</w:t>
            </w:r>
            <w:r>
              <w:rPr>
                <w:rFonts w:eastAsia="Times New Roman"/>
                <w:color w:val="000000"/>
              </w:rPr>
              <w:t>)</w:t>
            </w:r>
          </w:p>
          <w:p w14:paraId="30712F4C" w14:textId="77777777" w:rsidR="00901C41" w:rsidRDefault="00901C41" w:rsidP="00351FA4">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p>
          <w:p w14:paraId="5A66A6EF" w14:textId="3A34BC25" w:rsidR="00CE1D83" w:rsidRPr="00C66B80" w:rsidRDefault="00BC00D8" w:rsidP="00351FA4">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Pr>
                <w:rFonts w:cstheme="minorHAnsi"/>
                <w:szCs w:val="18"/>
              </w:rPr>
              <w:t xml:space="preserve">(Please note that awarded applicants may </w:t>
            </w:r>
            <w:r w:rsidR="0081299C">
              <w:rPr>
                <w:rFonts w:cstheme="minorHAnsi"/>
                <w:szCs w:val="18"/>
              </w:rPr>
              <w:t>be</w:t>
            </w:r>
            <w:r>
              <w:rPr>
                <w:rFonts w:cstheme="minorHAnsi"/>
                <w:szCs w:val="18"/>
              </w:rPr>
              <w:t xml:space="preserve"> individual providers</w:t>
            </w:r>
            <w:r w:rsidR="0081299C">
              <w:rPr>
                <w:rFonts w:cstheme="minorHAnsi"/>
                <w:szCs w:val="18"/>
              </w:rPr>
              <w:t xml:space="preserve"> during interviews</w:t>
            </w:r>
            <w:r>
              <w:rPr>
                <w:rFonts w:cstheme="minorHAnsi"/>
                <w:szCs w:val="18"/>
              </w:rPr>
              <w:t>, so the total number of interview</w:t>
            </w:r>
            <w:r w:rsidR="0081299C">
              <w:rPr>
                <w:rFonts w:cstheme="minorHAnsi"/>
                <w:szCs w:val="18"/>
              </w:rPr>
              <w:t>ee</w:t>
            </w:r>
            <w:r>
              <w:rPr>
                <w:rFonts w:cstheme="minorHAnsi"/>
                <w:szCs w:val="18"/>
              </w:rPr>
              <w:t>s</w:t>
            </w:r>
            <w:r w:rsidR="00781F8C">
              <w:rPr>
                <w:rFonts w:cstheme="minorHAnsi"/>
                <w:szCs w:val="18"/>
              </w:rPr>
              <w:t xml:space="preserve"> is</w:t>
            </w:r>
            <w:r>
              <w:rPr>
                <w:rFonts w:cstheme="minorHAnsi"/>
                <w:szCs w:val="18"/>
              </w:rPr>
              <w:t xml:space="preserve"> not a direct addition </w:t>
            </w:r>
            <w:r w:rsidR="0058307B">
              <w:rPr>
                <w:rFonts w:cstheme="minorHAnsi"/>
                <w:szCs w:val="18"/>
              </w:rPr>
              <w:t>to</w:t>
            </w:r>
            <w:r>
              <w:rPr>
                <w:rFonts w:cstheme="minorHAnsi"/>
                <w:szCs w:val="18"/>
              </w:rPr>
              <w:t xml:space="preserve"> the number of interview</w:t>
            </w:r>
            <w:r w:rsidR="0081299C">
              <w:rPr>
                <w:rFonts w:cstheme="minorHAnsi"/>
                <w:szCs w:val="18"/>
              </w:rPr>
              <w:t>ee</w:t>
            </w:r>
            <w:r>
              <w:rPr>
                <w:rFonts w:cstheme="minorHAnsi"/>
                <w:szCs w:val="18"/>
              </w:rPr>
              <w:t xml:space="preserve">s for each type of interviewees.) </w:t>
            </w:r>
          </w:p>
        </w:tc>
        <w:tc>
          <w:tcPr>
            <w:tcW w:w="2626" w:type="dxa"/>
          </w:tcPr>
          <w:p w14:paraId="6AB84438" w14:textId="680DA056" w:rsidR="00795293" w:rsidRPr="00351FA4" w:rsidRDefault="00795293">
            <w:pPr>
              <w:pStyle w:val="TableNormal0"/>
              <w:cnfStyle w:val="000000100000" w:firstRow="0" w:lastRow="0" w:firstColumn="0" w:lastColumn="0" w:oddVBand="0" w:evenVBand="0" w:oddHBand="1" w:evenHBand="0" w:firstRowFirstColumn="0" w:firstRowLastColumn="0" w:lastRowFirstColumn="0" w:lastRowLastColumn="0"/>
              <w:rPr>
                <w:b/>
              </w:rPr>
            </w:pPr>
            <w:r w:rsidRPr="00351FA4">
              <w:rPr>
                <w:b/>
              </w:rPr>
              <w:t>H5-1.1</w:t>
            </w:r>
          </w:p>
          <w:p w14:paraId="63D8A3C2" w14:textId="2D09C431" w:rsidR="00C66B80" w:rsidRPr="00C66B80" w:rsidRDefault="00C66B80" w:rsidP="00351FA4">
            <w:pPr>
              <w:pStyle w:val="TableNormal0"/>
              <w:cnfStyle w:val="000000100000" w:firstRow="0" w:lastRow="0" w:firstColumn="0" w:lastColumn="0" w:oddVBand="0" w:evenVBand="0" w:oddHBand="1" w:evenHBand="0" w:firstRowFirstColumn="0" w:firstRowLastColumn="0" w:lastRowFirstColumn="0" w:lastRowLastColumn="0"/>
            </w:pPr>
            <w:r w:rsidRPr="00C66B80">
              <w:t>Number of applicants by WI program;</w:t>
            </w:r>
          </w:p>
          <w:p w14:paraId="090F42CA" w14:textId="77777777" w:rsidR="00C66B80" w:rsidRPr="00C66B80" w:rsidRDefault="00C66B80" w:rsidP="00351FA4">
            <w:pPr>
              <w:pStyle w:val="TableNormal0"/>
              <w:cnfStyle w:val="000000100000" w:firstRow="0" w:lastRow="0" w:firstColumn="0" w:lastColumn="0" w:oddVBand="0" w:evenVBand="0" w:oddHBand="1" w:evenHBand="0" w:firstRowFirstColumn="0" w:firstRowLastColumn="0" w:lastRowFirstColumn="0" w:lastRowLastColumn="0"/>
            </w:pPr>
            <w:r w:rsidRPr="00C66B80">
              <w:t>Number of accepted applicants;</w:t>
            </w:r>
          </w:p>
          <w:p w14:paraId="2981F5C8" w14:textId="7C5A5D14" w:rsidR="00C66B80" w:rsidRPr="00C66B80" w:rsidRDefault="00C66B80" w:rsidP="00351FA4">
            <w:pPr>
              <w:pStyle w:val="TableNormal0"/>
              <w:cnfStyle w:val="000000100000" w:firstRow="0" w:lastRow="0" w:firstColumn="0" w:lastColumn="0" w:oddVBand="0" w:evenVBand="0" w:oddHBand="1" w:evenHBand="0" w:firstRowFirstColumn="0" w:firstRowLastColumn="0" w:lastRowFirstColumn="0" w:lastRowLastColumn="0"/>
            </w:pPr>
            <w:r w:rsidRPr="00C66B80">
              <w:t xml:space="preserve">Number (and percentage) of applicants </w:t>
            </w:r>
            <w:r w:rsidR="00152C90">
              <w:t xml:space="preserve">who </w:t>
            </w:r>
            <w:r w:rsidRPr="00C66B80">
              <w:t>were accepted and signed a contract;</w:t>
            </w:r>
          </w:p>
          <w:p w14:paraId="79BECE8C" w14:textId="77777777" w:rsidR="00C66B80" w:rsidRPr="00C66B80" w:rsidRDefault="00C66B80" w:rsidP="00351FA4">
            <w:pPr>
              <w:pStyle w:val="TableNormal0"/>
              <w:cnfStyle w:val="000000100000" w:firstRow="0" w:lastRow="0" w:firstColumn="0" w:lastColumn="0" w:oddVBand="0" w:evenVBand="0" w:oddHBand="1" w:evenHBand="0" w:firstRowFirstColumn="0" w:firstRowLastColumn="0" w:lastRowFirstColumn="0" w:lastRowLastColumn="0"/>
            </w:pPr>
            <w:r w:rsidRPr="00C66B80">
              <w:t>Number (and percentage) of applicants who were accepted and received either a partial or full payment to their loan servicer as outlined in the contract;</w:t>
            </w:r>
          </w:p>
          <w:p w14:paraId="2806C959" w14:textId="77777777" w:rsidR="00C66B80" w:rsidRPr="00C66B80" w:rsidRDefault="00C66B80" w:rsidP="00351FA4">
            <w:pPr>
              <w:pStyle w:val="TableNormal0"/>
              <w:cnfStyle w:val="000000100000" w:firstRow="0" w:lastRow="0" w:firstColumn="0" w:lastColumn="0" w:oddVBand="0" w:evenVBand="0" w:oddHBand="1" w:evenHBand="0" w:firstRowFirstColumn="0" w:firstRowLastColumn="0" w:lastRowFirstColumn="0" w:lastRowLastColumn="0"/>
            </w:pPr>
            <w:r w:rsidRPr="00C66B80">
              <w:t xml:space="preserve">Number (and percentage) of applicants accepted in the program and completed the 4-year service obligation; </w:t>
            </w:r>
          </w:p>
          <w:p w14:paraId="276711CF" w14:textId="1D824649" w:rsidR="00C66B80" w:rsidRDefault="00FD051C" w:rsidP="00351FA4">
            <w:pPr>
              <w:pStyle w:val="TableNormal0"/>
              <w:cnfStyle w:val="000000100000" w:firstRow="0" w:lastRow="0" w:firstColumn="0" w:lastColumn="0" w:oddVBand="0" w:evenVBand="0" w:oddHBand="1" w:evenHBand="0" w:firstRowFirstColumn="0" w:firstRowLastColumn="0" w:lastRowFirstColumn="0" w:lastRowLastColumn="0"/>
            </w:pPr>
            <w:r>
              <w:t>I</w:t>
            </w:r>
            <w:r w:rsidR="00C66B80" w:rsidRPr="00C66B80">
              <w:t>nformation on whether MassHealth released policy and procedures, made payments, provided operational oversight, and processed applications on time and as</w:t>
            </w:r>
            <w:r w:rsidR="008B40E4">
              <w:t xml:space="preserve"> </w:t>
            </w:r>
            <w:r w:rsidRPr="00C66B80">
              <w:t>planned</w:t>
            </w:r>
            <w:r w:rsidR="00C66B80" w:rsidRPr="00C66B80">
              <w:t xml:space="preserve"> </w:t>
            </w:r>
          </w:p>
          <w:p w14:paraId="3E5B93D7" w14:textId="77777777" w:rsidR="0045405A" w:rsidRPr="00C66B80" w:rsidRDefault="0045405A" w:rsidP="00351FA4">
            <w:pPr>
              <w:pStyle w:val="TableNormal0"/>
              <w:cnfStyle w:val="000000100000" w:firstRow="0" w:lastRow="0" w:firstColumn="0" w:lastColumn="0" w:oddVBand="0" w:evenVBand="0" w:oddHBand="1" w:evenHBand="0" w:firstRowFirstColumn="0" w:firstRowLastColumn="0" w:lastRowFirstColumn="0" w:lastRowLastColumn="0"/>
            </w:pPr>
          </w:p>
          <w:p w14:paraId="57209110" w14:textId="45FF884E" w:rsidR="00D55885" w:rsidRPr="00351FA4" w:rsidRDefault="00D55885" w:rsidP="00351FA4">
            <w:pPr>
              <w:pStyle w:val="TableNormal0"/>
              <w:cnfStyle w:val="000000100000" w:firstRow="0" w:lastRow="0" w:firstColumn="0" w:lastColumn="0" w:oddVBand="0" w:evenVBand="0" w:oddHBand="1" w:evenHBand="0" w:firstRowFirstColumn="0" w:firstRowLastColumn="0" w:lastRowFirstColumn="0" w:lastRowLastColumn="0"/>
              <w:rPr>
                <w:b/>
                <w:bCs/>
              </w:rPr>
            </w:pPr>
            <w:r w:rsidRPr="00351FA4">
              <w:rPr>
                <w:b/>
                <w:bCs/>
              </w:rPr>
              <w:lastRenderedPageBreak/>
              <w:t>H5-1.2</w:t>
            </w:r>
          </w:p>
          <w:p w14:paraId="2E1F8C07" w14:textId="29CF2362" w:rsidR="00C66B80" w:rsidRPr="00C66B80" w:rsidRDefault="0045405A" w:rsidP="00351FA4">
            <w:pPr>
              <w:pStyle w:val="TableNormal0"/>
              <w:cnfStyle w:val="000000100000" w:firstRow="0" w:lastRow="0" w:firstColumn="0" w:lastColumn="0" w:oddVBand="0" w:evenVBand="0" w:oddHBand="1" w:evenHBand="0" w:firstRowFirstColumn="0" w:firstRowLastColumn="0" w:lastRowFirstColumn="0" w:lastRowLastColumn="0"/>
            </w:pPr>
            <w:r>
              <w:t>I</w:t>
            </w:r>
            <w:r w:rsidR="00C66B80" w:rsidRPr="00C66B80">
              <w:t>nformation to document the impact of these initiatives on employer organizations’ experience and the impact of these initiatives on recruitment, retention, or attrition;</w:t>
            </w:r>
          </w:p>
          <w:p w14:paraId="2F1F1523" w14:textId="0CD2DD8C" w:rsidR="00C66B80" w:rsidRPr="00C66B80" w:rsidRDefault="00C66B80" w:rsidP="00351FA4">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C66B80">
              <w:t>Barriers and facilitators/Lessons learned about implementation (e.g., recruitment, education/training catering to serve Medicaid and uninsured population in community clinical settings, transparency of payment such as loan repayment, adequacy of incentives, adequacy of FNP resident grant program slots, the influence of other student loan payments)</w:t>
            </w:r>
          </w:p>
        </w:tc>
        <w:tc>
          <w:tcPr>
            <w:tcW w:w="1815" w:type="dxa"/>
          </w:tcPr>
          <w:p w14:paraId="4133E594" w14:textId="5CE5AF39" w:rsidR="00C66B80" w:rsidRPr="00C66B80" w:rsidRDefault="00C66B80" w:rsidP="00351FA4">
            <w:pPr>
              <w:pStyle w:val="TableNormal0"/>
              <w:cnfStyle w:val="000000100000" w:firstRow="0" w:lastRow="0" w:firstColumn="0" w:lastColumn="0" w:oddVBand="0" w:evenVBand="0" w:oddHBand="1" w:evenHBand="0" w:firstRowFirstColumn="0" w:firstRowLastColumn="0" w:lastRowFirstColumn="0" w:lastRowLastColumn="0"/>
            </w:pPr>
            <w:r w:rsidRPr="00C66B80">
              <w:lastRenderedPageBreak/>
              <w:t>Descriptive statistics</w:t>
            </w:r>
            <w:r w:rsidR="001012DA">
              <w:t xml:space="preserve"> (</w:t>
            </w:r>
            <w:r w:rsidR="00EE3E4F">
              <w:t>provider</w:t>
            </w:r>
            <w:r w:rsidR="0045405A">
              <w:t>, administrators, staff</w:t>
            </w:r>
            <w:r w:rsidR="001012DA">
              <w:t>)</w:t>
            </w:r>
            <w:r w:rsidRPr="00C66B80">
              <w:t xml:space="preserve">; </w:t>
            </w:r>
          </w:p>
          <w:p w14:paraId="567AB249" w14:textId="1089F816" w:rsidR="00C66B80" w:rsidRPr="00C66B80" w:rsidRDefault="00C66B80" w:rsidP="00351FA4">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C66B80">
              <w:rPr>
                <w:rFonts w:eastAsia="Times New Roman" w:cstheme="minorHAnsi"/>
                <w:szCs w:val="18"/>
              </w:rPr>
              <w:t>Thematic analysis</w:t>
            </w:r>
            <w:r w:rsidR="001D5B8A">
              <w:rPr>
                <w:rFonts w:eastAsia="Times New Roman" w:cstheme="minorHAnsi"/>
                <w:szCs w:val="18"/>
              </w:rPr>
              <w:t xml:space="preserve"> (</w:t>
            </w:r>
            <w:r w:rsidR="00E06DB1">
              <w:rPr>
                <w:rFonts w:eastAsia="Times New Roman" w:cstheme="minorHAnsi"/>
                <w:szCs w:val="18"/>
              </w:rPr>
              <w:t>applicants,</w:t>
            </w:r>
            <w:r w:rsidR="001D5B8A">
              <w:rPr>
                <w:rFonts w:eastAsia="Times New Roman" w:cstheme="minorHAnsi"/>
                <w:szCs w:val="18"/>
              </w:rPr>
              <w:t xml:space="preserve"> provider, MassHealth</w:t>
            </w:r>
            <w:r w:rsidR="0045405A">
              <w:rPr>
                <w:rFonts w:eastAsia="Times New Roman" w:cstheme="minorHAnsi"/>
                <w:szCs w:val="18"/>
              </w:rPr>
              <w:t xml:space="preserve"> program staff</w:t>
            </w:r>
            <w:r w:rsidR="001D5B8A">
              <w:rPr>
                <w:rFonts w:eastAsia="Times New Roman" w:cstheme="minorHAnsi"/>
                <w:szCs w:val="18"/>
              </w:rPr>
              <w:t>, or vendor representative)</w:t>
            </w:r>
            <w:r w:rsidRPr="00C66B80">
              <w:rPr>
                <w:rFonts w:eastAsia="Times New Roman" w:cstheme="minorHAnsi"/>
                <w:szCs w:val="18"/>
              </w:rPr>
              <w:t xml:space="preserve"> </w:t>
            </w:r>
          </w:p>
        </w:tc>
      </w:tr>
      <w:tr w:rsidR="00895E18" w14:paraId="56F43457" w14:textId="77777777" w:rsidTr="00196CEF">
        <w:tc>
          <w:tcPr>
            <w:cnfStyle w:val="001000000000" w:firstRow="0" w:lastRow="0" w:firstColumn="1" w:lastColumn="0" w:oddVBand="0" w:evenVBand="0" w:oddHBand="0" w:evenHBand="0" w:firstRowFirstColumn="0" w:firstRowLastColumn="0" w:lastRowFirstColumn="0" w:lastRowLastColumn="0"/>
            <w:tcW w:w="1411" w:type="dxa"/>
          </w:tcPr>
          <w:p w14:paraId="4571F3F9" w14:textId="4C115219" w:rsidR="00C66B80" w:rsidRPr="00143200" w:rsidRDefault="00C66B80" w:rsidP="000048F4">
            <w:pPr>
              <w:pStyle w:val="TableNormal0"/>
            </w:pPr>
            <w:r w:rsidRPr="00143200">
              <w:t>RQ5-2 Did the WI programs increase the volume and diversity of the provider workforce in community-based settings? </w:t>
            </w:r>
          </w:p>
        </w:tc>
        <w:tc>
          <w:tcPr>
            <w:tcW w:w="2004" w:type="dxa"/>
          </w:tcPr>
          <w:p w14:paraId="03B226C6" w14:textId="77777777" w:rsidR="00C66B80" w:rsidRPr="00E12089" w:rsidRDefault="00C66B80" w:rsidP="000048F4">
            <w:pPr>
              <w:pStyle w:val="TableNormal0"/>
              <w:cnfStyle w:val="000000000000" w:firstRow="0" w:lastRow="0" w:firstColumn="0" w:lastColumn="0" w:oddVBand="0" w:evenVBand="0" w:oddHBand="0" w:evenHBand="0" w:firstRowFirstColumn="0" w:firstRowLastColumn="0" w:lastRowFirstColumn="0" w:lastRowLastColumn="0"/>
            </w:pPr>
            <w:r w:rsidRPr="00E12089">
              <w:rPr>
                <w:rFonts w:eastAsia="Times New Roman" w:cstheme="minorHAnsi"/>
                <w:szCs w:val="18"/>
              </w:rPr>
              <w:t>H5-2.1</w:t>
            </w:r>
            <w:r w:rsidRPr="00E12089">
              <w:t xml:space="preserve"> Implementing the WI programs improved providers’ willingness to practice in community-based settings.</w:t>
            </w:r>
          </w:p>
          <w:p w14:paraId="6486290F" w14:textId="77777777" w:rsidR="00C66B80" w:rsidRPr="00E12089" w:rsidRDefault="00C66B80" w:rsidP="000048F4">
            <w:pPr>
              <w:pStyle w:val="TableNormal0"/>
              <w:cnfStyle w:val="000000000000" w:firstRow="0" w:lastRow="0" w:firstColumn="0" w:lastColumn="0" w:oddVBand="0" w:evenVBand="0" w:oddHBand="0" w:evenHBand="0" w:firstRowFirstColumn="0" w:firstRowLastColumn="0" w:lastRowFirstColumn="0" w:lastRowLastColumn="0"/>
            </w:pPr>
            <w:r w:rsidRPr="00E12089">
              <w:rPr>
                <w:rFonts w:eastAsia="Times New Roman" w:cstheme="minorHAnsi"/>
                <w:szCs w:val="18"/>
              </w:rPr>
              <w:t>H5-2.2</w:t>
            </w:r>
            <w:r w:rsidRPr="00E12089">
              <w:t xml:space="preserve"> Offering BH student loan repayment increased the volume and diversity of psychiatrists and NPs with prescribing privileges and licensed BH clinicians or masters-prepared clinicians </w:t>
            </w:r>
            <w:r w:rsidRPr="00E12089">
              <w:lastRenderedPageBreak/>
              <w:t>practicing in community-based clinical settings.</w:t>
            </w:r>
          </w:p>
          <w:p w14:paraId="09E207F5" w14:textId="77777777" w:rsidR="00C66B80" w:rsidRPr="00E12089" w:rsidRDefault="00C66B80" w:rsidP="000048F4">
            <w:pPr>
              <w:pStyle w:val="TableNormal0"/>
              <w:cnfStyle w:val="000000000000" w:firstRow="0" w:lastRow="0" w:firstColumn="0" w:lastColumn="0" w:oddVBand="0" w:evenVBand="0" w:oddHBand="0" w:evenHBand="0" w:firstRowFirstColumn="0" w:firstRowLastColumn="0" w:lastRowFirstColumn="0" w:lastRowLastColumn="0"/>
            </w:pPr>
            <w:r w:rsidRPr="00E12089">
              <w:rPr>
                <w:rFonts w:eastAsia="Times New Roman" w:cstheme="minorHAnsi"/>
                <w:szCs w:val="18"/>
              </w:rPr>
              <w:t>H5-2.3</w:t>
            </w:r>
            <w:r w:rsidRPr="00E12089">
              <w:t xml:space="preserve"> Offering primary care student loan repayment increased the volume and diversity of PCPs, advanced practice registered nurses, pediatric clinical nurse specialists, NPs, and PAs practicing in a community-based clinical setting. </w:t>
            </w:r>
          </w:p>
          <w:p w14:paraId="3F57FDDF" w14:textId="77777777" w:rsidR="00C66B80" w:rsidRPr="00E12089" w:rsidRDefault="00C66B80" w:rsidP="000048F4">
            <w:pPr>
              <w:pStyle w:val="TableNormal0"/>
              <w:cnfStyle w:val="000000000000" w:firstRow="0" w:lastRow="0" w:firstColumn="0" w:lastColumn="0" w:oddVBand="0" w:evenVBand="0" w:oddHBand="0" w:evenHBand="0" w:firstRowFirstColumn="0" w:firstRowLastColumn="0" w:lastRowFirstColumn="0" w:lastRowLastColumn="0"/>
            </w:pPr>
            <w:r w:rsidRPr="00E12089">
              <w:rPr>
                <w:rFonts w:eastAsia="Times New Roman" w:cstheme="minorHAnsi"/>
                <w:szCs w:val="18"/>
              </w:rPr>
              <w:t>H5-2.4</w:t>
            </w:r>
            <w:r w:rsidRPr="00E12089">
              <w:t xml:space="preserve"> Offering an FNP residency grant program increased the volume of FNPs in CHCs serving at least 40 percent MassHealth members.</w:t>
            </w:r>
          </w:p>
          <w:p w14:paraId="3FA967B5" w14:textId="11FF9A7D" w:rsidR="00C66B80" w:rsidRPr="00C66B80" w:rsidRDefault="00C66B80" w:rsidP="000048F4">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C66B80">
              <w:rPr>
                <w:rFonts w:eastAsia="Times New Roman" w:cstheme="minorHAnsi"/>
                <w:szCs w:val="18"/>
              </w:rPr>
              <w:t>H5-2.5 The WI programs improved providers’ willingness to practice in community-based settings, as compared to direct intervention</w:t>
            </w:r>
            <w:r w:rsidR="000202BA">
              <w:rPr>
                <w:rFonts w:eastAsia="Times New Roman" w:cstheme="minorHAnsi"/>
                <w:szCs w:val="18"/>
              </w:rPr>
              <w:t>,</w:t>
            </w:r>
            <w:r w:rsidRPr="00C66B80">
              <w:rPr>
                <w:rFonts w:eastAsia="Times New Roman" w:cstheme="minorHAnsi"/>
                <w:szCs w:val="18"/>
              </w:rPr>
              <w:t xml:space="preserve"> such as direct rate increase.</w:t>
            </w:r>
          </w:p>
        </w:tc>
        <w:tc>
          <w:tcPr>
            <w:tcW w:w="2880" w:type="dxa"/>
          </w:tcPr>
          <w:p w14:paraId="7A3EA95A" w14:textId="662EFB4B" w:rsidR="00E91973" w:rsidRPr="00C66B80" w:rsidRDefault="00C66B80" w:rsidP="00E91973">
            <w:pPr>
              <w:pStyle w:val="TableNormal0"/>
              <w:cnfStyle w:val="000000000000" w:firstRow="0" w:lastRow="0" w:firstColumn="0" w:lastColumn="0" w:oddVBand="0" w:evenVBand="0" w:oddHBand="0" w:evenHBand="0" w:firstRowFirstColumn="0" w:firstRowLastColumn="0" w:lastRowFirstColumn="0" w:lastRowLastColumn="0"/>
            </w:pPr>
            <w:r w:rsidRPr="00C66B80">
              <w:lastRenderedPageBreak/>
              <w:t>Program documents</w:t>
            </w:r>
            <w:r w:rsidR="00CB6F0B">
              <w:t xml:space="preserve"> (</w:t>
            </w:r>
            <w:r w:rsidR="005F1A34">
              <w:t>o</w:t>
            </w:r>
            <w:r w:rsidR="00E91973">
              <w:t>ngoing);</w:t>
            </w:r>
          </w:p>
          <w:p w14:paraId="5B67D165" w14:textId="7F159873" w:rsidR="00C66B80" w:rsidRPr="00C66B80" w:rsidRDefault="00C66B80" w:rsidP="000048F4">
            <w:pPr>
              <w:pStyle w:val="TableNormal0"/>
              <w:cnfStyle w:val="000000000000" w:firstRow="0" w:lastRow="0" w:firstColumn="0" w:lastColumn="0" w:oddVBand="0" w:evenVBand="0" w:oddHBand="0" w:evenHBand="0" w:firstRowFirstColumn="0" w:firstRowLastColumn="0" w:lastRowFirstColumn="0" w:lastRowLastColumn="0"/>
            </w:pPr>
            <w:r w:rsidRPr="00C66B80">
              <w:t xml:space="preserve">WI program administrator </w:t>
            </w:r>
            <w:r w:rsidR="0083611A">
              <w:t xml:space="preserve">and vendor </w:t>
            </w:r>
            <w:r w:rsidRPr="00C66B80">
              <w:t xml:space="preserve">interviews and/or open-ended </w:t>
            </w:r>
            <w:r w:rsidR="00064AB9">
              <w:t>surveys</w:t>
            </w:r>
            <w:r w:rsidR="004C1687">
              <w:t xml:space="preserve"> </w:t>
            </w:r>
            <w:r w:rsidR="00285434" w:rsidRPr="006A7D74">
              <w:t>(</w:t>
            </w:r>
            <w:r w:rsidR="00285434" w:rsidRPr="000048F4">
              <w:t>2024-2025; 2026-2027)</w:t>
            </w:r>
            <w:r w:rsidR="00147F81">
              <w:t>;</w:t>
            </w:r>
            <w:r w:rsidR="5F4679EA">
              <w:t xml:space="preserve">  </w:t>
            </w:r>
          </w:p>
          <w:p w14:paraId="38D9028F" w14:textId="7BF538B5" w:rsidR="00C66B80" w:rsidRPr="00C66B80" w:rsidRDefault="00C66B80" w:rsidP="000048F4">
            <w:pPr>
              <w:pStyle w:val="TableNormal0"/>
              <w:cnfStyle w:val="000000000000" w:firstRow="0" w:lastRow="0" w:firstColumn="0" w:lastColumn="0" w:oddVBand="0" w:evenVBand="0" w:oddHBand="0" w:evenHBand="0" w:firstRowFirstColumn="0" w:firstRowLastColumn="0" w:lastRowFirstColumn="0" w:lastRowLastColumn="0"/>
            </w:pPr>
            <w:r w:rsidRPr="00C66B80">
              <w:t xml:space="preserve">Provider </w:t>
            </w:r>
            <w:r w:rsidR="00677695">
              <w:t>(</w:t>
            </w:r>
            <w:r w:rsidRPr="00C66B80">
              <w:t>Workforce</w:t>
            </w:r>
            <w:r w:rsidR="00677695">
              <w:t>)</w:t>
            </w:r>
            <w:r w:rsidRPr="00C66B80">
              <w:t xml:space="preserve"> survey</w:t>
            </w:r>
            <w:r w:rsidR="00E23794">
              <w:t xml:space="preserve"> (</w:t>
            </w:r>
            <w:r w:rsidR="00BA3D22" w:rsidRPr="00BA3D22">
              <w:t>20</w:t>
            </w:r>
            <w:r w:rsidR="007711BE" w:rsidRPr="00DC7BBB">
              <w:t xml:space="preserve">25 and </w:t>
            </w:r>
            <w:r w:rsidR="00BA3D22" w:rsidRPr="000048F4">
              <w:t>20</w:t>
            </w:r>
            <w:r w:rsidR="007711BE" w:rsidRPr="000048F4">
              <w:t>27</w:t>
            </w:r>
            <w:r w:rsidR="007711BE">
              <w:t>)</w:t>
            </w:r>
            <w:r w:rsidRPr="00C66B80">
              <w:t xml:space="preserve">; </w:t>
            </w:r>
          </w:p>
          <w:p w14:paraId="60FC52D5" w14:textId="218ADD0F" w:rsidR="00C66B80" w:rsidRPr="00C66B80" w:rsidRDefault="0083611A" w:rsidP="000048F4">
            <w:pPr>
              <w:pStyle w:val="TableNormal0"/>
              <w:cnfStyle w:val="000000000000" w:firstRow="0" w:lastRow="0" w:firstColumn="0" w:lastColumn="0" w:oddVBand="0" w:evenVBand="0" w:oddHBand="0" w:evenHBand="0" w:firstRowFirstColumn="0" w:firstRowLastColumn="0" w:lastRowFirstColumn="0" w:lastRowLastColumn="0"/>
            </w:pPr>
            <w:r>
              <w:t>Administrator and p</w:t>
            </w:r>
            <w:r w:rsidR="002259CA">
              <w:t>rovider i</w:t>
            </w:r>
            <w:r w:rsidR="00C66B80" w:rsidRPr="00C66B80">
              <w:t xml:space="preserve">nterviews </w:t>
            </w:r>
            <w:r w:rsidR="00134D33" w:rsidRPr="000048F4">
              <w:t>(2024-2025; 2026-2027)</w:t>
            </w:r>
          </w:p>
        </w:tc>
        <w:tc>
          <w:tcPr>
            <w:tcW w:w="2790" w:type="dxa"/>
          </w:tcPr>
          <w:p w14:paraId="61A9D4BC" w14:textId="12759BB7" w:rsidR="002F29F5" w:rsidRPr="00C66B80" w:rsidRDefault="002F29F5" w:rsidP="000048F4">
            <w:pPr>
              <w:pStyle w:val="TableNormal0"/>
              <w:cnfStyle w:val="000000000000" w:firstRow="0" w:lastRow="0" w:firstColumn="0" w:lastColumn="0" w:oddVBand="0" w:evenVBand="0" w:oddHBand="0" w:evenHBand="0" w:firstRowFirstColumn="0" w:firstRowLastColumn="0" w:lastRowFirstColumn="0" w:lastRowLastColumn="0"/>
            </w:pPr>
            <w:r w:rsidRPr="002F29F5">
              <w:t>Applicants (both awarded and non-awarded eligible) for WI programs (n</w:t>
            </w:r>
            <w:r w:rsidR="00B442EB">
              <w:t xml:space="preserve"> ≤ </w:t>
            </w:r>
            <w:r w:rsidRPr="002F29F5">
              <w:t xml:space="preserve">30); </w:t>
            </w:r>
          </w:p>
          <w:p w14:paraId="1184AF0F" w14:textId="541EA5A5" w:rsidR="00C66B80" w:rsidRPr="00C66B80" w:rsidRDefault="00C66B80" w:rsidP="000048F4">
            <w:pPr>
              <w:pStyle w:val="TableNormal0"/>
              <w:cnfStyle w:val="000000000000" w:firstRow="0" w:lastRow="0" w:firstColumn="0" w:lastColumn="0" w:oddVBand="0" w:evenVBand="0" w:oddHBand="0" w:evenHBand="0" w:firstRowFirstColumn="0" w:firstRowLastColumn="0" w:lastRowFirstColumn="0" w:lastRowLastColumn="0"/>
            </w:pPr>
            <w:r w:rsidRPr="00C66B80">
              <w:t>MassHealth WI staff and WI vendors</w:t>
            </w:r>
            <w:r w:rsidR="006C60FA">
              <w:t xml:space="preserve"> </w:t>
            </w:r>
            <w:r w:rsidR="006C60FA" w:rsidRPr="006C60FA">
              <w:t>(</w:t>
            </w:r>
            <w:r w:rsidR="006C60FA" w:rsidRPr="00DC7BBB">
              <w:t>n</w:t>
            </w:r>
            <w:r w:rsidR="00B442EB">
              <w:t xml:space="preserve"> ≤ </w:t>
            </w:r>
            <w:r w:rsidR="0071095D" w:rsidRPr="000048F4">
              <w:t>5</w:t>
            </w:r>
            <w:r w:rsidR="006C60FA" w:rsidRPr="00DC7BBB">
              <w:t>);</w:t>
            </w:r>
          </w:p>
          <w:p w14:paraId="446635AA" w14:textId="0FEC664B" w:rsidR="00E2423A" w:rsidRDefault="7AAA9838" w:rsidP="00E2423A">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3383C28C">
              <w:rPr>
                <w:rFonts w:eastAsia="Times New Roman"/>
              </w:rPr>
              <w:t>Community-based clinical setting administrators (n ≤ 30)</w:t>
            </w:r>
            <w:r w:rsidR="00832676">
              <w:rPr>
                <w:rFonts w:eastAsia="Times New Roman"/>
              </w:rPr>
              <w:t>;</w:t>
            </w:r>
          </w:p>
          <w:p w14:paraId="6DA17FCC" w14:textId="08EAC755" w:rsidR="00E2423A" w:rsidRDefault="00E2423A" w:rsidP="1D9CA854">
            <w:pPr>
              <w:pStyle w:val="TableNormal0"/>
              <w:cnfStyle w:val="000000000000" w:firstRow="0" w:lastRow="0" w:firstColumn="0" w:lastColumn="0" w:oddVBand="0" w:evenVBand="0" w:oddHBand="0" w:evenHBand="0" w:firstRowFirstColumn="0" w:firstRowLastColumn="0" w:lastRowFirstColumn="0" w:lastRowLastColumn="0"/>
              <w:rPr>
                <w:rFonts w:eastAsia="Times New Roman" w:cstheme="minorHAnsi"/>
                <w:szCs w:val="18"/>
              </w:rPr>
            </w:pPr>
            <w:r>
              <w:rPr>
                <w:rFonts w:eastAsia="Times New Roman"/>
                <w:color w:val="000000"/>
              </w:rPr>
              <w:t>Individual PC</w:t>
            </w:r>
            <w:r w:rsidRPr="00E547F3">
              <w:rPr>
                <w:rFonts w:eastAsia="Times New Roman"/>
                <w:color w:val="000000"/>
              </w:rPr>
              <w:t xml:space="preserve"> providers, BH </w:t>
            </w:r>
            <w:r w:rsidRPr="008726E8">
              <w:t>providers, and FNPs (n ≤ 30</w:t>
            </w:r>
            <w:r w:rsidR="00832676" w:rsidRPr="008726E8">
              <w:t xml:space="preserve"> combined across different provider types);</w:t>
            </w:r>
          </w:p>
          <w:p w14:paraId="4B02AB8A" w14:textId="308C5993" w:rsidR="00C66B80" w:rsidRPr="000048F4" w:rsidRDefault="6045D661" w:rsidP="3383C28C">
            <w:pPr>
              <w:pStyle w:val="TableNormal0"/>
              <w:cnfStyle w:val="000000000000" w:firstRow="0" w:lastRow="0" w:firstColumn="0" w:lastColumn="0" w:oddVBand="0" w:evenVBand="0" w:oddHBand="0" w:evenHBand="0" w:firstRowFirstColumn="0" w:firstRowLastColumn="0" w:lastRowFirstColumn="0" w:lastRowLastColumn="0"/>
              <w:rPr>
                <w:rFonts w:eastAsia="Times New Roman" w:cstheme="minorBidi"/>
              </w:rPr>
            </w:pPr>
            <w:r w:rsidRPr="3383C28C">
              <w:rPr>
                <w:rFonts w:eastAsia="Times New Roman" w:cstheme="minorBidi"/>
              </w:rPr>
              <w:t xml:space="preserve">Providers targeted by the WI programs and providers that would </w:t>
            </w:r>
            <w:r w:rsidRPr="3383C28C">
              <w:rPr>
                <w:rFonts w:eastAsia="Times New Roman" w:cstheme="minorBidi"/>
              </w:rPr>
              <w:lastRenderedPageBreak/>
              <w:t>be eligible for WI program (e.g., medical students) in the future</w:t>
            </w:r>
            <w:r w:rsidR="38AB1F26" w:rsidRPr="3383C28C">
              <w:rPr>
                <w:rFonts w:eastAsia="Times New Roman" w:cstheme="minorBidi"/>
              </w:rPr>
              <w:t xml:space="preserve"> </w:t>
            </w:r>
            <w:r w:rsidR="007A77D8">
              <w:rPr>
                <w:rFonts w:eastAsia="Times New Roman" w:cstheme="minorBidi"/>
              </w:rPr>
              <w:br/>
            </w:r>
            <w:r w:rsidR="38AB1F26" w:rsidRPr="3383C28C">
              <w:rPr>
                <w:rFonts w:eastAsia="Times New Roman" w:cstheme="minorBidi"/>
              </w:rPr>
              <w:t>(</w:t>
            </w:r>
            <w:r w:rsidR="2E7A92D8" w:rsidRPr="3383C28C">
              <w:rPr>
                <w:rFonts w:eastAsia="Times New Roman" w:cstheme="minorBidi"/>
              </w:rPr>
              <w:t>n</w:t>
            </w:r>
            <w:r w:rsidR="7D1C6E1F" w:rsidRPr="3383C28C">
              <w:rPr>
                <w:rFonts w:eastAsia="Times New Roman" w:cstheme="minorBidi"/>
              </w:rPr>
              <w:t xml:space="preserve"> ≤ </w:t>
            </w:r>
            <w:r w:rsidR="2E7A92D8" w:rsidRPr="3383C28C">
              <w:rPr>
                <w:rFonts w:eastAsia="Times New Roman" w:cstheme="minorBidi"/>
              </w:rPr>
              <w:t>1,</w:t>
            </w:r>
            <w:r w:rsidR="0EAB3367" w:rsidRPr="3383C28C">
              <w:rPr>
                <w:rFonts w:eastAsia="Times New Roman" w:cstheme="minorBidi"/>
              </w:rPr>
              <w:t>5</w:t>
            </w:r>
            <w:r w:rsidR="2E7A92D8" w:rsidRPr="3383C28C">
              <w:rPr>
                <w:rFonts w:eastAsia="Times New Roman" w:cstheme="minorBidi"/>
              </w:rPr>
              <w:t>00</w:t>
            </w:r>
            <w:r w:rsidR="1EE05C45" w:rsidRPr="3383C28C">
              <w:rPr>
                <w:rFonts w:eastAsia="Times New Roman" w:cstheme="minorBidi"/>
              </w:rPr>
              <w:t>)</w:t>
            </w:r>
          </w:p>
        </w:tc>
        <w:tc>
          <w:tcPr>
            <w:tcW w:w="2626" w:type="dxa"/>
          </w:tcPr>
          <w:p w14:paraId="252B6ECA" w14:textId="24B5B691" w:rsidR="00BD737E" w:rsidRPr="000048F4" w:rsidRDefault="00BD737E" w:rsidP="003D6C3D">
            <w:pPr>
              <w:pStyle w:val="TableNormal0"/>
              <w:cnfStyle w:val="000000000000" w:firstRow="0" w:lastRow="0" w:firstColumn="0" w:lastColumn="0" w:oddVBand="0" w:evenVBand="0" w:oddHBand="0" w:evenHBand="0" w:firstRowFirstColumn="0" w:firstRowLastColumn="0" w:lastRowFirstColumn="0" w:lastRowLastColumn="0"/>
              <w:rPr>
                <w:b/>
                <w:bCs/>
              </w:rPr>
            </w:pPr>
            <w:r w:rsidRPr="000048F4">
              <w:rPr>
                <w:b/>
                <w:bCs/>
              </w:rPr>
              <w:lastRenderedPageBreak/>
              <w:t>H5-2.1</w:t>
            </w:r>
          </w:p>
          <w:p w14:paraId="65AB1781" w14:textId="1D0A09EC" w:rsidR="003D6C3D" w:rsidRDefault="003D6C3D" w:rsidP="003D6C3D">
            <w:pPr>
              <w:pStyle w:val="TableNormal0"/>
              <w:cnfStyle w:val="000000000000" w:firstRow="0" w:lastRow="0" w:firstColumn="0" w:lastColumn="0" w:oddVBand="0" w:evenVBand="0" w:oddHBand="0" w:evenHBand="0" w:firstRowFirstColumn="0" w:firstRowLastColumn="0" w:lastRowFirstColumn="0" w:lastRowLastColumn="0"/>
            </w:pPr>
            <w:r>
              <w:t>Number (and percentage) of accepted applicants who dropped out before completing the four-year commitment (Supplemented by qualitative information on why);</w:t>
            </w:r>
          </w:p>
          <w:p w14:paraId="6FB18DE5" w14:textId="77777777" w:rsidR="003D6C3D" w:rsidRDefault="003D6C3D" w:rsidP="003D6C3D">
            <w:pPr>
              <w:pStyle w:val="TableNormal0"/>
              <w:cnfStyle w:val="000000000000" w:firstRow="0" w:lastRow="0" w:firstColumn="0" w:lastColumn="0" w:oddVBand="0" w:evenVBand="0" w:oddHBand="0" w:evenHBand="0" w:firstRowFirstColumn="0" w:firstRowLastColumn="0" w:lastRowFirstColumn="0" w:lastRowLastColumn="0"/>
            </w:pPr>
            <w:r>
              <w:t>Number (and percentage) of accepted applicants who changed organizations during their service commitment period (Supplemented by qualitative information on why);</w:t>
            </w:r>
          </w:p>
          <w:p w14:paraId="099D88D3" w14:textId="77777777" w:rsidR="003D6C3D" w:rsidRDefault="003D6C3D" w:rsidP="003D6C3D">
            <w:pPr>
              <w:pStyle w:val="TableNormal0"/>
              <w:cnfStyle w:val="000000000000" w:firstRow="0" w:lastRow="0" w:firstColumn="0" w:lastColumn="0" w:oddVBand="0" w:evenVBand="0" w:oddHBand="0" w:evenHBand="0" w:firstRowFirstColumn="0" w:firstRowLastColumn="0" w:lastRowFirstColumn="0" w:lastRowLastColumn="0"/>
            </w:pPr>
            <w:r>
              <w:lastRenderedPageBreak/>
              <w:t>Percentage of accepted applicants who stayed employed at their organization (at one year, two years, three years, and four years, and post-completion of the service obligation, subject to data availability and quality) – Supplemented by qualitative information on why;</w:t>
            </w:r>
          </w:p>
          <w:p w14:paraId="7B96B93A" w14:textId="098114FE" w:rsidR="003D6C3D" w:rsidRDefault="003D6C3D" w:rsidP="003D6C3D">
            <w:pPr>
              <w:pStyle w:val="TableNormal0"/>
              <w:cnfStyle w:val="000000000000" w:firstRow="0" w:lastRow="0" w:firstColumn="0" w:lastColumn="0" w:oddVBand="0" w:evenVBand="0" w:oddHBand="0" w:evenHBand="0" w:firstRowFirstColumn="0" w:firstRowLastColumn="0" w:lastRowFirstColumn="0" w:lastRowLastColumn="0"/>
            </w:pPr>
            <w:r>
              <w:t>Qualitative information from students regarding how loan forgiveness could affect their decision to practice in community-based clinical settings</w:t>
            </w:r>
            <w:r w:rsidR="006950DC">
              <w:t>;</w:t>
            </w:r>
          </w:p>
          <w:p w14:paraId="1E8DDE8A" w14:textId="7C4316E9" w:rsidR="00096D32" w:rsidRPr="000048F4" w:rsidRDefault="00096D32" w:rsidP="003D6C3D">
            <w:pPr>
              <w:pStyle w:val="TableNormal0"/>
              <w:cnfStyle w:val="000000000000" w:firstRow="0" w:lastRow="0" w:firstColumn="0" w:lastColumn="0" w:oddVBand="0" w:evenVBand="0" w:oddHBand="0" w:evenHBand="0" w:firstRowFirstColumn="0" w:firstRowLastColumn="0" w:lastRowFirstColumn="0" w:lastRowLastColumn="0"/>
              <w:rPr>
                <w:b/>
                <w:bCs/>
              </w:rPr>
            </w:pPr>
            <w:r w:rsidRPr="000048F4">
              <w:rPr>
                <w:b/>
                <w:bCs/>
              </w:rPr>
              <w:t>H5-2.2</w:t>
            </w:r>
          </w:p>
          <w:p w14:paraId="604CD736" w14:textId="77777777" w:rsidR="003D6C3D" w:rsidRDefault="003D6C3D" w:rsidP="003D6C3D">
            <w:pPr>
              <w:pStyle w:val="TableNormal0"/>
              <w:cnfStyle w:val="000000000000" w:firstRow="0" w:lastRow="0" w:firstColumn="0" w:lastColumn="0" w:oddVBand="0" w:evenVBand="0" w:oddHBand="0" w:evenHBand="0" w:firstRowFirstColumn="0" w:firstRowLastColumn="0" w:lastRowFirstColumn="0" w:lastRowLastColumn="0"/>
            </w:pPr>
            <w:r>
              <w:t>Number of psychiatrists and NPs with prescribing privileges in community-based settings serving at least 40 percent of Medicaid members or uninsured individuals, supported by the WI programs by provider demographics, language, region, degree);</w:t>
            </w:r>
          </w:p>
          <w:p w14:paraId="7EE9173E" w14:textId="77777777" w:rsidR="003D6C3D" w:rsidRDefault="003D6C3D" w:rsidP="003D6C3D">
            <w:pPr>
              <w:pStyle w:val="TableNormal0"/>
              <w:cnfStyle w:val="000000000000" w:firstRow="0" w:lastRow="0" w:firstColumn="0" w:lastColumn="0" w:oddVBand="0" w:evenVBand="0" w:oddHBand="0" w:evenHBand="0" w:firstRowFirstColumn="0" w:firstRowLastColumn="0" w:lastRowFirstColumn="0" w:lastRowLastColumn="0"/>
            </w:pPr>
            <w:r>
              <w:t>Number of BH practitioners licensed in a community-based setting serving at least 40 percent of MassHealth and/or uninsured members, supported by the WI programs (and by demographics, language, region, degree, year);</w:t>
            </w:r>
          </w:p>
          <w:p w14:paraId="4F2DA38D" w14:textId="380EFDDC" w:rsidR="003D6C3D" w:rsidRDefault="003D6C3D" w:rsidP="003D6C3D">
            <w:pPr>
              <w:pStyle w:val="TableNormal0"/>
              <w:cnfStyle w:val="000000000000" w:firstRow="0" w:lastRow="0" w:firstColumn="0" w:lastColumn="0" w:oddVBand="0" w:evenVBand="0" w:oddHBand="0" w:evenHBand="0" w:firstRowFirstColumn="0" w:firstRowLastColumn="0" w:lastRowFirstColumn="0" w:lastRowLastColumn="0"/>
            </w:pPr>
            <w:r>
              <w:t xml:space="preserve">The ratio of BH providers (i.e., psychiatrists and NPs with </w:t>
            </w:r>
            <w:r>
              <w:lastRenderedPageBreak/>
              <w:t>prescribing privileges, licensed BH clinicians, and master-level clinicians) in community-based settings to MassHealth members with BH needs (and by demographics, language, race/ethnicity, region, provider type, and incentive type by year)</w:t>
            </w:r>
            <w:r w:rsidR="006950DC">
              <w:t>;</w:t>
            </w:r>
          </w:p>
          <w:p w14:paraId="7A249506" w14:textId="534D362F" w:rsidR="00835562" w:rsidRPr="000048F4" w:rsidRDefault="00835562" w:rsidP="003D6C3D">
            <w:pPr>
              <w:pStyle w:val="TableNormal0"/>
              <w:cnfStyle w:val="000000000000" w:firstRow="0" w:lastRow="0" w:firstColumn="0" w:lastColumn="0" w:oddVBand="0" w:evenVBand="0" w:oddHBand="0" w:evenHBand="0" w:firstRowFirstColumn="0" w:firstRowLastColumn="0" w:lastRowFirstColumn="0" w:lastRowLastColumn="0"/>
              <w:rPr>
                <w:b/>
              </w:rPr>
            </w:pPr>
            <w:r w:rsidRPr="000048F4">
              <w:rPr>
                <w:b/>
              </w:rPr>
              <w:t>H5-2.3</w:t>
            </w:r>
          </w:p>
          <w:p w14:paraId="24E84625" w14:textId="77777777" w:rsidR="003D6C3D" w:rsidRDefault="003D6C3D" w:rsidP="003D6C3D">
            <w:pPr>
              <w:pStyle w:val="TableNormal0"/>
              <w:cnfStyle w:val="000000000000" w:firstRow="0" w:lastRow="0" w:firstColumn="0" w:lastColumn="0" w:oddVBand="0" w:evenVBand="0" w:oddHBand="0" w:evenHBand="0" w:firstRowFirstColumn="0" w:firstRowLastColumn="0" w:lastRowFirstColumn="0" w:lastRowLastColumn="0"/>
            </w:pPr>
            <w:r>
              <w:t>Number of PCPs, advanced practice registered nurses, pediatric clinical nurse specialists, NPs, and PAs in a community-based setting serving at least 40 percent MassHealth and/or uninsured members, supported by the WI programs (and by demographics, language, region, year);</w:t>
            </w:r>
          </w:p>
          <w:p w14:paraId="7DD7BED2" w14:textId="322DB37E" w:rsidR="003D6C3D" w:rsidRDefault="003D6C3D" w:rsidP="003D6C3D">
            <w:pPr>
              <w:pStyle w:val="TableNormal0"/>
              <w:cnfStyle w:val="000000000000" w:firstRow="0" w:lastRow="0" w:firstColumn="0" w:lastColumn="0" w:oddVBand="0" w:evenVBand="0" w:oddHBand="0" w:evenHBand="0" w:firstRowFirstColumn="0" w:firstRowLastColumn="0" w:lastRowFirstColumn="0" w:lastRowLastColumn="0"/>
            </w:pPr>
            <w:r>
              <w:t>The ratio of PCPs (e.g., PCPs, advanced practice registered nurses, etc.) in community-based clinical settings to MassHealth members (and by demographics, language, region, degree, provider type, and incentive type) by year</w:t>
            </w:r>
            <w:r w:rsidR="006950DC">
              <w:t>;</w:t>
            </w:r>
            <w:r>
              <w:t xml:space="preserve"> </w:t>
            </w:r>
          </w:p>
          <w:p w14:paraId="22FFE455" w14:textId="63098618" w:rsidR="00835562" w:rsidRPr="000048F4" w:rsidRDefault="00835562" w:rsidP="003D6C3D">
            <w:pPr>
              <w:pStyle w:val="TableNormal0"/>
              <w:cnfStyle w:val="000000000000" w:firstRow="0" w:lastRow="0" w:firstColumn="0" w:lastColumn="0" w:oddVBand="0" w:evenVBand="0" w:oddHBand="0" w:evenHBand="0" w:firstRowFirstColumn="0" w:firstRowLastColumn="0" w:lastRowFirstColumn="0" w:lastRowLastColumn="0"/>
              <w:rPr>
                <w:b/>
                <w:bCs/>
              </w:rPr>
            </w:pPr>
            <w:r w:rsidRPr="000048F4">
              <w:rPr>
                <w:b/>
                <w:bCs/>
              </w:rPr>
              <w:t>H5-2.4</w:t>
            </w:r>
          </w:p>
          <w:p w14:paraId="58C08622" w14:textId="77777777" w:rsidR="003D6C3D" w:rsidRDefault="003D6C3D" w:rsidP="003D6C3D">
            <w:pPr>
              <w:pStyle w:val="TableNormal0"/>
              <w:cnfStyle w:val="000000000000" w:firstRow="0" w:lastRow="0" w:firstColumn="0" w:lastColumn="0" w:oddVBand="0" w:evenVBand="0" w:oddHBand="0" w:evenHBand="0" w:firstRowFirstColumn="0" w:firstRowLastColumn="0" w:lastRowFirstColumn="0" w:lastRowLastColumn="0"/>
            </w:pPr>
            <w:r>
              <w:t xml:space="preserve">Number of FNPs in CHCs with at least 40 percent of member populations being MassHealth members, supported by the WI programs (and by demographics, linguistic, region) by year; </w:t>
            </w:r>
          </w:p>
          <w:p w14:paraId="6CE6AC54" w14:textId="77777777" w:rsidR="003D6C3D" w:rsidRDefault="003D6C3D" w:rsidP="003D6C3D">
            <w:pPr>
              <w:pStyle w:val="TableNormal0"/>
              <w:cnfStyle w:val="000000000000" w:firstRow="0" w:lastRow="0" w:firstColumn="0" w:lastColumn="0" w:oddVBand="0" w:evenVBand="0" w:oddHBand="0" w:evenHBand="0" w:firstRowFirstColumn="0" w:firstRowLastColumn="0" w:lastRowFirstColumn="0" w:lastRowLastColumn="0"/>
            </w:pPr>
            <w:r>
              <w:lastRenderedPageBreak/>
              <w:t>The ratio of FNPs in CHCs to MassHealth members (and by demographics, language, region, incentive type) by year;</w:t>
            </w:r>
          </w:p>
          <w:p w14:paraId="35508A88" w14:textId="07574F73" w:rsidR="00807E29" w:rsidRPr="000048F4" w:rsidRDefault="00807E29" w:rsidP="003D6C3D">
            <w:pPr>
              <w:pStyle w:val="TableNormal0"/>
              <w:cnfStyle w:val="000000000000" w:firstRow="0" w:lastRow="0" w:firstColumn="0" w:lastColumn="0" w:oddVBand="0" w:evenVBand="0" w:oddHBand="0" w:evenHBand="0" w:firstRowFirstColumn="0" w:firstRowLastColumn="0" w:lastRowFirstColumn="0" w:lastRowLastColumn="0"/>
              <w:rPr>
                <w:b/>
              </w:rPr>
            </w:pPr>
            <w:r w:rsidRPr="000048F4">
              <w:rPr>
                <w:b/>
              </w:rPr>
              <w:t>H5-</w:t>
            </w:r>
            <w:r w:rsidR="00835562" w:rsidRPr="000048F4">
              <w:rPr>
                <w:b/>
                <w:bCs/>
              </w:rPr>
              <w:t>2.5</w:t>
            </w:r>
          </w:p>
          <w:p w14:paraId="686DF485" w14:textId="074D2351" w:rsidR="003D6C3D" w:rsidRDefault="003D6C3D" w:rsidP="003D6C3D">
            <w:pPr>
              <w:pStyle w:val="TableNormal0"/>
              <w:cnfStyle w:val="000000000000" w:firstRow="0" w:lastRow="0" w:firstColumn="0" w:lastColumn="0" w:oddVBand="0" w:evenVBand="0" w:oddHBand="0" w:evenHBand="0" w:firstRowFirstColumn="0" w:firstRowLastColumn="0" w:lastRowFirstColumn="0" w:lastRowLastColumn="0"/>
            </w:pPr>
            <w:r>
              <w:t xml:space="preserve">Topical areas about interviews with providers; </w:t>
            </w:r>
          </w:p>
          <w:p w14:paraId="5D4A82A2" w14:textId="77777777" w:rsidR="003D6C3D" w:rsidRDefault="003D6C3D" w:rsidP="003D6C3D">
            <w:pPr>
              <w:pStyle w:val="TableNormal0"/>
              <w:cnfStyle w:val="000000000000" w:firstRow="0" w:lastRow="0" w:firstColumn="0" w:lastColumn="0" w:oddVBand="0" w:evenVBand="0" w:oddHBand="0" w:evenHBand="0" w:firstRowFirstColumn="0" w:firstRowLastColumn="0" w:lastRowFirstColumn="0" w:lastRowLastColumn="0"/>
            </w:pPr>
            <w:r>
              <w:t xml:space="preserve">The relative importance/preference of potential incentives to improve providers’ participation and engagement in community-based clinical settings; </w:t>
            </w:r>
          </w:p>
          <w:p w14:paraId="0E826569" w14:textId="77777777" w:rsidR="003D6C3D" w:rsidRDefault="003D6C3D" w:rsidP="003D6C3D">
            <w:pPr>
              <w:pStyle w:val="TableNormal0"/>
              <w:cnfStyle w:val="000000000000" w:firstRow="0" w:lastRow="0" w:firstColumn="0" w:lastColumn="0" w:oddVBand="0" w:evenVBand="0" w:oddHBand="0" w:evenHBand="0" w:firstRowFirstColumn="0" w:firstRowLastColumn="0" w:lastRowFirstColumn="0" w:lastRowLastColumn="0"/>
            </w:pPr>
            <w:r>
              <w:t>Overall utilities of each scenario;</w:t>
            </w:r>
          </w:p>
          <w:p w14:paraId="407BB821" w14:textId="6967E280" w:rsidR="00C66B80" w:rsidRPr="00C66B80" w:rsidRDefault="003D6C3D" w:rsidP="000048F4">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t>Provider experiences</w:t>
            </w:r>
          </w:p>
        </w:tc>
        <w:tc>
          <w:tcPr>
            <w:tcW w:w="1815" w:type="dxa"/>
          </w:tcPr>
          <w:p w14:paraId="46F2E1CF" w14:textId="5169349F" w:rsidR="00C66B80" w:rsidRPr="00C66B80" w:rsidRDefault="00C66B80" w:rsidP="000048F4">
            <w:pPr>
              <w:pStyle w:val="TableNormal0"/>
              <w:cnfStyle w:val="000000000000" w:firstRow="0" w:lastRow="0" w:firstColumn="0" w:lastColumn="0" w:oddVBand="0" w:evenVBand="0" w:oddHBand="0" w:evenHBand="0" w:firstRowFirstColumn="0" w:firstRowLastColumn="0" w:lastRowFirstColumn="0" w:lastRowLastColumn="0"/>
            </w:pPr>
            <w:r w:rsidRPr="00C66B80">
              <w:lastRenderedPageBreak/>
              <w:t>Descriptive analyses</w:t>
            </w:r>
            <w:r w:rsidR="00FD5CC4">
              <w:t xml:space="preserve"> </w:t>
            </w:r>
            <w:r w:rsidR="00FD5CC4" w:rsidRPr="004274F2">
              <w:t>(</w:t>
            </w:r>
            <w:r w:rsidR="00E75ADC" w:rsidRPr="004274F2">
              <w:t>Provider</w:t>
            </w:r>
            <w:r w:rsidR="00FD5CC4">
              <w:t>)</w:t>
            </w:r>
            <w:r w:rsidRPr="00C66B80">
              <w:t>;</w:t>
            </w:r>
          </w:p>
          <w:p w14:paraId="5FCE49FA" w14:textId="2253A529" w:rsidR="00C66B80" w:rsidRPr="00C66B80" w:rsidRDefault="00C66B80" w:rsidP="000048F4">
            <w:pPr>
              <w:pStyle w:val="TableNormal0"/>
              <w:cnfStyle w:val="000000000000" w:firstRow="0" w:lastRow="0" w:firstColumn="0" w:lastColumn="0" w:oddVBand="0" w:evenVBand="0" w:oddHBand="0" w:evenHBand="0" w:firstRowFirstColumn="0" w:firstRowLastColumn="0" w:lastRowFirstColumn="0" w:lastRowLastColumn="0"/>
            </w:pPr>
            <w:r w:rsidRPr="00C66B80">
              <w:t>Thematic analysis</w:t>
            </w:r>
            <w:r w:rsidR="00E75ADC">
              <w:t xml:space="preserve"> (Individual provider</w:t>
            </w:r>
            <w:r w:rsidR="00AF1606">
              <w:t xml:space="preserve"> (applicants</w:t>
            </w:r>
            <w:r w:rsidR="00E75ADC">
              <w:t>/staff)</w:t>
            </w:r>
            <w:r w:rsidR="00664965">
              <w:t>;</w:t>
            </w:r>
          </w:p>
          <w:p w14:paraId="07F8E972" w14:textId="5E9459C2" w:rsidR="00C66B80" w:rsidRPr="00C66B80" w:rsidRDefault="00C66B80" w:rsidP="000048F4">
            <w:pPr>
              <w:pStyle w:val="TableNormal0"/>
              <w:cnfStyle w:val="000000000000" w:firstRow="0" w:lastRow="0" w:firstColumn="0" w:lastColumn="0" w:oddVBand="0" w:evenVBand="0" w:oddHBand="0" w:evenHBand="0" w:firstRowFirstColumn="0" w:firstRowLastColumn="0" w:lastRowFirstColumn="0" w:lastRowLastColumn="0"/>
            </w:pPr>
            <w:r w:rsidRPr="00C66B80">
              <w:t>Conjoint analysis</w:t>
            </w:r>
            <w:r w:rsidR="00776E7A">
              <w:t xml:space="preserve"> (</w:t>
            </w:r>
            <w:r w:rsidR="00093C00" w:rsidRPr="00591299">
              <w:t>I</w:t>
            </w:r>
            <w:r w:rsidR="007905E0" w:rsidRPr="00591299">
              <w:t>ncentive level)</w:t>
            </w:r>
            <w:r w:rsidR="0044182D">
              <w:t>;</w:t>
            </w:r>
            <w:r w:rsidR="007905E0" w:rsidRPr="00591299">
              <w:t xml:space="preserve"> </w:t>
            </w:r>
            <w:r w:rsidR="006B1B51" w:rsidRPr="00591299">
              <w:t xml:space="preserve"> </w:t>
            </w:r>
          </w:p>
          <w:p w14:paraId="6553B283" w14:textId="7DDEE4C2" w:rsidR="00C66B80" w:rsidRPr="00C66B80" w:rsidRDefault="00C66B80" w:rsidP="000048F4">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C66B80">
              <w:rPr>
                <w:rFonts w:eastAsia="Times New Roman" w:cstheme="minorHAnsi"/>
                <w:szCs w:val="18"/>
              </w:rPr>
              <w:t xml:space="preserve">Market simulation to explore </w:t>
            </w:r>
            <w:r w:rsidRPr="00C66B80" w:rsidDel="001B1EB7">
              <w:rPr>
                <w:rFonts w:eastAsia="Times New Roman" w:cstheme="minorHAnsi"/>
                <w:szCs w:val="18"/>
              </w:rPr>
              <w:t xml:space="preserve">the best approach to engage more providers to meet the WI objectives </w:t>
            </w:r>
            <w:r w:rsidR="00591299" w:rsidRPr="00591299">
              <w:rPr>
                <w:rFonts w:eastAsia="Times New Roman" w:cstheme="minorHAnsi"/>
                <w:szCs w:val="18"/>
              </w:rPr>
              <w:t>(</w:t>
            </w:r>
            <w:r w:rsidR="007B1C9E">
              <w:rPr>
                <w:rFonts w:eastAsia="Times New Roman" w:cstheme="minorHAnsi"/>
                <w:szCs w:val="18"/>
              </w:rPr>
              <w:t>providers)</w:t>
            </w:r>
          </w:p>
        </w:tc>
      </w:tr>
      <w:tr w:rsidR="00895E18" w14:paraId="01B39D22" w14:textId="77777777" w:rsidTr="00196C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1" w:type="dxa"/>
          </w:tcPr>
          <w:p w14:paraId="7188C4E5" w14:textId="2A59208F" w:rsidR="00C66B80" w:rsidRPr="00143200" w:rsidRDefault="00C66B80" w:rsidP="000048F4">
            <w:pPr>
              <w:pStyle w:val="TableNormal0"/>
            </w:pPr>
            <w:r w:rsidRPr="00143200">
              <w:lastRenderedPageBreak/>
              <w:t xml:space="preserve">RQ5-3 Did WI programs improve MassHealth members’ access to and experiences with healthcare? </w:t>
            </w:r>
          </w:p>
        </w:tc>
        <w:tc>
          <w:tcPr>
            <w:tcW w:w="2004" w:type="dxa"/>
          </w:tcPr>
          <w:p w14:paraId="26F6767C" w14:textId="327F14BA" w:rsidR="00C66B80" w:rsidRPr="00E12089" w:rsidRDefault="00C66B80" w:rsidP="000048F4">
            <w:pPr>
              <w:pStyle w:val="TableNormal0"/>
              <w:cnfStyle w:val="000000100000" w:firstRow="0" w:lastRow="0" w:firstColumn="0" w:lastColumn="0" w:oddVBand="0" w:evenVBand="0" w:oddHBand="1" w:evenHBand="0" w:firstRowFirstColumn="0" w:firstRowLastColumn="0" w:lastRowFirstColumn="0" w:lastRowLastColumn="0"/>
            </w:pPr>
            <w:r w:rsidRPr="00E12089">
              <w:rPr>
                <w:rFonts w:eastAsia="Times New Roman" w:cstheme="minorHAnsi"/>
                <w:szCs w:val="18"/>
              </w:rPr>
              <w:t>H5-3.1</w:t>
            </w:r>
            <w:r w:rsidRPr="00E12089">
              <w:t xml:space="preserve"> WI programs improved MassHealth members’ access to covered services.</w:t>
            </w:r>
          </w:p>
        </w:tc>
        <w:tc>
          <w:tcPr>
            <w:tcW w:w="2880" w:type="dxa"/>
          </w:tcPr>
          <w:p w14:paraId="51F32581" w14:textId="6AFAF1EA" w:rsidR="00C66B80" w:rsidRPr="00C66B80" w:rsidRDefault="00C66B80" w:rsidP="000048F4">
            <w:pPr>
              <w:pStyle w:val="TableNormal0"/>
              <w:cnfStyle w:val="000000100000" w:firstRow="0" w:lastRow="0" w:firstColumn="0" w:lastColumn="0" w:oddVBand="0" w:evenVBand="0" w:oddHBand="1" w:evenHBand="0" w:firstRowFirstColumn="0" w:firstRowLastColumn="0" w:lastRowFirstColumn="0" w:lastRowLastColumn="0"/>
            </w:pPr>
            <w:r w:rsidRPr="00C66B80">
              <w:t>Member Interviews/focus groups</w:t>
            </w:r>
            <w:r w:rsidR="00507962">
              <w:t xml:space="preserve"> </w:t>
            </w:r>
            <w:r w:rsidR="00134D33" w:rsidRPr="006A7D74">
              <w:t>(</w:t>
            </w:r>
            <w:r w:rsidR="00134D33" w:rsidRPr="000048F4">
              <w:t>2024-2025; 2026-2027)</w:t>
            </w:r>
          </w:p>
          <w:p w14:paraId="77F2B5F4" w14:textId="17B5F52D" w:rsidR="00C66B80" w:rsidRPr="00DA0BBF" w:rsidRDefault="00C66B80" w:rsidP="000048F4">
            <w:pPr>
              <w:pStyle w:val="TableNormal0"/>
              <w:cnfStyle w:val="000000100000" w:firstRow="0" w:lastRow="0" w:firstColumn="0" w:lastColumn="0" w:oddVBand="0" w:evenVBand="0" w:oddHBand="1" w:evenHBand="0" w:firstRowFirstColumn="0" w:firstRowLastColumn="0" w:lastRowFirstColumn="0" w:lastRowLastColumn="0"/>
            </w:pPr>
            <w:r w:rsidRPr="00DA0BBF">
              <w:t>MassHealth administrative data</w:t>
            </w:r>
            <w:r w:rsidR="00507962" w:rsidRPr="00DA0BBF">
              <w:t xml:space="preserve"> (baseline 2015-2017, pre</w:t>
            </w:r>
            <w:r w:rsidR="00F1459A">
              <w:t>-</w:t>
            </w:r>
            <w:r w:rsidR="00507962" w:rsidRPr="00DA0BBF">
              <w:t>2018-2022, post</w:t>
            </w:r>
            <w:r w:rsidR="00F1459A">
              <w:t>-</w:t>
            </w:r>
            <w:r w:rsidR="00507962" w:rsidRPr="00DA0BBF">
              <w:t>2023-2027);</w:t>
            </w:r>
          </w:p>
          <w:p w14:paraId="582C3F19" w14:textId="56084BEF" w:rsidR="00C66B80" w:rsidRPr="00C66B80" w:rsidRDefault="00C66B80" w:rsidP="000048F4">
            <w:pPr>
              <w:pStyle w:val="TableNormal0"/>
              <w:cnfStyle w:val="000000100000" w:firstRow="0" w:lastRow="0" w:firstColumn="0" w:lastColumn="0" w:oddVBand="0" w:evenVBand="0" w:oddHBand="1" w:evenHBand="0" w:firstRowFirstColumn="0" w:firstRowLastColumn="0" w:lastRowFirstColumn="0" w:lastRowLastColumn="0"/>
            </w:pPr>
          </w:p>
        </w:tc>
        <w:tc>
          <w:tcPr>
            <w:tcW w:w="2790" w:type="dxa"/>
          </w:tcPr>
          <w:p w14:paraId="08474899" w14:textId="31BBB88A" w:rsidR="00DA0BBF" w:rsidRDefault="00C66B80" w:rsidP="000048F4">
            <w:pPr>
              <w:pStyle w:val="TableNormal0"/>
              <w:cnfStyle w:val="000000100000" w:firstRow="0" w:lastRow="0" w:firstColumn="0" w:lastColumn="0" w:oddVBand="0" w:evenVBand="0" w:oddHBand="1" w:evenHBand="0" w:firstRowFirstColumn="0" w:firstRowLastColumn="0" w:lastRowFirstColumn="0" w:lastRowLastColumn="0"/>
            </w:pPr>
            <w:r w:rsidRPr="00C66B80">
              <w:t>MassHealth members receiving primary care and BH from community-based clinical settings with providers awarded by the WI programs</w:t>
            </w:r>
            <w:r w:rsidR="000F4E68">
              <w:t xml:space="preserve"> (n</w:t>
            </w:r>
            <w:r w:rsidR="00B442EB">
              <w:t xml:space="preserve"> ≤ </w:t>
            </w:r>
            <w:r w:rsidR="00293ACE">
              <w:t>30</w:t>
            </w:r>
            <w:r w:rsidR="000F4E68">
              <w:t>)</w:t>
            </w:r>
            <w:r w:rsidR="00832676">
              <w:t>;</w:t>
            </w:r>
          </w:p>
          <w:p w14:paraId="1F96E636" w14:textId="09A364D9" w:rsidR="00C66B80" w:rsidRPr="00C66B80" w:rsidRDefault="00DA0BBF" w:rsidP="000048F4">
            <w:pPr>
              <w:pStyle w:val="TableNormal0"/>
              <w:cnfStyle w:val="000000100000" w:firstRow="0" w:lastRow="0" w:firstColumn="0" w:lastColumn="0" w:oddVBand="0" w:evenVBand="0" w:oddHBand="1" w:evenHBand="0" w:firstRowFirstColumn="0" w:firstRowLastColumn="0" w:lastRowFirstColumn="0" w:lastRowLastColumn="0"/>
            </w:pPr>
            <w:r>
              <w:t xml:space="preserve">Providers of </w:t>
            </w:r>
            <w:r w:rsidR="00E85578" w:rsidRPr="00D76D14">
              <w:t>community</w:t>
            </w:r>
            <w:r>
              <w:t xml:space="preserve">-based clinical settings </w:t>
            </w:r>
          </w:p>
          <w:p w14:paraId="347D89EF" w14:textId="118C6841" w:rsidR="00C66B80" w:rsidRPr="00C66B80" w:rsidRDefault="00C66B80" w:rsidP="29E43697">
            <w:pPr>
              <w:pStyle w:val="TableNormal0"/>
              <w:cnfStyle w:val="000000100000" w:firstRow="0" w:lastRow="0" w:firstColumn="0" w:lastColumn="0" w:oddVBand="0" w:evenVBand="0" w:oddHBand="1" w:evenHBand="0" w:firstRowFirstColumn="0" w:firstRowLastColumn="0" w:lastRowFirstColumn="0" w:lastRowLastColumn="0"/>
              <w:rPr>
                <w:rFonts w:cstheme="minorBidi"/>
              </w:rPr>
            </w:pPr>
          </w:p>
        </w:tc>
        <w:tc>
          <w:tcPr>
            <w:tcW w:w="2626" w:type="dxa"/>
          </w:tcPr>
          <w:p w14:paraId="73998591" w14:textId="77777777" w:rsidR="00EA7268" w:rsidRDefault="00EA7268" w:rsidP="000048F4">
            <w:pPr>
              <w:pStyle w:val="TableNormal0"/>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6C4400">
              <w:rPr>
                <w:rFonts w:eastAsia="Times New Roman"/>
                <w:color w:val="000000"/>
              </w:rPr>
              <w:t>Access to healthcare providers</w:t>
            </w:r>
            <w:r>
              <w:rPr>
                <w:rFonts w:eastAsia="Times New Roman"/>
                <w:color w:val="000000"/>
              </w:rPr>
              <w:t>;</w:t>
            </w:r>
          </w:p>
          <w:p w14:paraId="63A5F087" w14:textId="77777777" w:rsidR="00EA7268" w:rsidRDefault="00EA7268" w:rsidP="000048F4">
            <w:pPr>
              <w:pStyle w:val="TableNormal0"/>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6C4400">
              <w:rPr>
                <w:rFonts w:eastAsia="Times New Roman"/>
                <w:color w:val="000000"/>
              </w:rPr>
              <w:t>Timely access to services (e.g., average</w:t>
            </w:r>
            <w:r w:rsidRPr="0054661E">
              <w:rPr>
                <w:rFonts w:eastAsia="Times New Roman"/>
                <w:color w:val="000000"/>
              </w:rPr>
              <w:t xml:space="preserve"> wait time for an appointment)</w:t>
            </w:r>
            <w:r>
              <w:rPr>
                <w:rFonts w:eastAsia="Times New Roman"/>
                <w:color w:val="000000"/>
              </w:rPr>
              <w:t>;</w:t>
            </w:r>
          </w:p>
          <w:p w14:paraId="700957C3" w14:textId="77777777" w:rsidR="00EA7268" w:rsidRDefault="00EA7268" w:rsidP="000048F4">
            <w:pPr>
              <w:pStyle w:val="TableNormal0"/>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4661E">
              <w:rPr>
                <w:rFonts w:eastAsia="Times New Roman"/>
                <w:color w:val="000000"/>
              </w:rPr>
              <w:t xml:space="preserve">Adequacy of geographic access; </w:t>
            </w:r>
          </w:p>
          <w:p w14:paraId="3178C32F" w14:textId="77777777" w:rsidR="00EA7268" w:rsidRDefault="00EA7268" w:rsidP="000048F4">
            <w:pPr>
              <w:pStyle w:val="TableNormal0"/>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4661E">
              <w:rPr>
                <w:rFonts w:eastAsia="Times New Roman"/>
                <w:color w:val="000000"/>
              </w:rPr>
              <w:t>Increased access to culturally competent service</w:t>
            </w:r>
            <w:r>
              <w:rPr>
                <w:rFonts w:eastAsia="Times New Roman"/>
                <w:color w:val="000000"/>
              </w:rPr>
              <w:t>;</w:t>
            </w:r>
          </w:p>
          <w:p w14:paraId="00E4B8EC" w14:textId="77777777" w:rsidR="00EA7268" w:rsidRDefault="00EA7268" w:rsidP="000048F4">
            <w:pPr>
              <w:pStyle w:val="TableNormal0"/>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 xml:space="preserve">Adequate length of office visits; </w:t>
            </w:r>
          </w:p>
          <w:p w14:paraId="6196D6DA" w14:textId="77777777" w:rsidR="00EA7268" w:rsidRDefault="00EA7268" w:rsidP="000048F4">
            <w:pPr>
              <w:pStyle w:val="TableNormal0"/>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6C4400">
              <w:rPr>
                <w:rFonts w:eastAsia="Times New Roman"/>
                <w:color w:val="000000"/>
              </w:rPr>
              <w:t>Continuity of care</w:t>
            </w:r>
            <w:r>
              <w:rPr>
                <w:rFonts w:eastAsia="Times New Roman"/>
                <w:color w:val="000000"/>
              </w:rPr>
              <w:t>;</w:t>
            </w:r>
          </w:p>
          <w:p w14:paraId="72BD4DF9" w14:textId="77777777" w:rsidR="00EA7268" w:rsidRDefault="00EA7268" w:rsidP="000048F4">
            <w:pPr>
              <w:pStyle w:val="TableNormal0"/>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 xml:space="preserve">Perceived health status; </w:t>
            </w:r>
          </w:p>
          <w:p w14:paraId="63653A86" w14:textId="77777777" w:rsidR="00EA7268" w:rsidRDefault="00EA7268" w:rsidP="000048F4">
            <w:pPr>
              <w:pStyle w:val="TableNormal0"/>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Members’ overall satisfaction with PC, BH, or FNP services;</w:t>
            </w:r>
          </w:p>
          <w:p w14:paraId="4F216639" w14:textId="2BA52BC7" w:rsidR="00C66B80" w:rsidRPr="00C66B80" w:rsidRDefault="00EA7268" w:rsidP="000048F4">
            <w:pPr>
              <w:pStyle w:val="TableNormal0"/>
              <w:cnfStyle w:val="000000100000" w:firstRow="0" w:lastRow="0" w:firstColumn="0" w:lastColumn="0" w:oddVBand="0" w:evenVBand="0" w:oddHBand="1" w:evenHBand="0" w:firstRowFirstColumn="0" w:firstRowLastColumn="0" w:lastRowFirstColumn="0" w:lastRowLastColumn="0"/>
            </w:pPr>
            <w:r w:rsidRPr="00D76D14">
              <w:rPr>
                <w:rFonts w:eastAsia="Times New Roman"/>
                <w:color w:val="000000"/>
              </w:rPr>
              <w:t>Providers’ average number of members per year</w:t>
            </w:r>
            <w:r>
              <w:rPr>
                <w:rFonts w:eastAsia="Times New Roman"/>
                <w:color w:val="000000"/>
              </w:rPr>
              <w:t xml:space="preserve">  </w:t>
            </w:r>
          </w:p>
        </w:tc>
        <w:tc>
          <w:tcPr>
            <w:tcW w:w="1815" w:type="dxa"/>
          </w:tcPr>
          <w:p w14:paraId="6B3515AF" w14:textId="027707E5" w:rsidR="00C66B80" w:rsidRPr="00C66B80" w:rsidRDefault="00C66B80" w:rsidP="000048F4">
            <w:pPr>
              <w:pStyle w:val="TableNormal0"/>
              <w:cnfStyle w:val="000000100000" w:firstRow="0" w:lastRow="0" w:firstColumn="0" w:lastColumn="0" w:oddVBand="0" w:evenVBand="0" w:oddHBand="1" w:evenHBand="0" w:firstRowFirstColumn="0" w:firstRowLastColumn="0" w:lastRowFirstColumn="0" w:lastRowLastColumn="0"/>
            </w:pPr>
            <w:r w:rsidRPr="00C66B80">
              <w:t>Descriptive analyses</w:t>
            </w:r>
            <w:r w:rsidR="00434325">
              <w:t xml:space="preserve"> (</w:t>
            </w:r>
            <w:r w:rsidR="003F567F" w:rsidRPr="00B51710">
              <w:t>member</w:t>
            </w:r>
            <w:r w:rsidR="00776E94" w:rsidRPr="00093C00">
              <w:t xml:space="preserve"> </w:t>
            </w:r>
            <w:r w:rsidR="00776E94" w:rsidRPr="00D76D14">
              <w:t>and provider</w:t>
            </w:r>
            <w:r w:rsidR="003F567F" w:rsidRPr="00D76D14">
              <w:t>)</w:t>
            </w:r>
            <w:r w:rsidRPr="00D76D14">
              <w:t>;</w:t>
            </w:r>
          </w:p>
          <w:p w14:paraId="6E8DD049" w14:textId="17983811" w:rsidR="00C66B80" w:rsidRPr="00C66B80" w:rsidRDefault="00C66B80" w:rsidP="000048F4">
            <w:pPr>
              <w:pStyle w:val="TableNormal0"/>
              <w:cnfStyle w:val="000000100000" w:firstRow="0" w:lastRow="0" w:firstColumn="0" w:lastColumn="0" w:oddVBand="0" w:evenVBand="0" w:oddHBand="1" w:evenHBand="0" w:firstRowFirstColumn="0" w:firstRowLastColumn="0" w:lastRowFirstColumn="0" w:lastRowLastColumn="0"/>
            </w:pPr>
            <w:r w:rsidRPr="00C66B80">
              <w:t>Thematic analysis</w:t>
            </w:r>
            <w:r w:rsidR="008D2DF7">
              <w:t xml:space="preserve"> (member </w:t>
            </w:r>
            <w:r w:rsidR="008D2DF7" w:rsidRPr="00D76D14">
              <w:t>and provider</w:t>
            </w:r>
            <w:r w:rsidR="008D2DF7">
              <w:t xml:space="preserve">) </w:t>
            </w:r>
          </w:p>
          <w:p w14:paraId="4F5B6EB9" w14:textId="77777777" w:rsidR="00C66B80" w:rsidRPr="00C66B80" w:rsidRDefault="00C66B80" w:rsidP="000048F4">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p>
        </w:tc>
      </w:tr>
      <w:tr w:rsidR="00895E18" w14:paraId="5E434CEF" w14:textId="77777777" w:rsidTr="00196CEF">
        <w:tc>
          <w:tcPr>
            <w:cnfStyle w:val="001000000000" w:firstRow="0" w:lastRow="0" w:firstColumn="1" w:lastColumn="0" w:oddVBand="0" w:evenVBand="0" w:oddHBand="0" w:evenHBand="0" w:firstRowFirstColumn="0" w:firstRowLastColumn="0" w:lastRowFirstColumn="0" w:lastRowLastColumn="0"/>
            <w:tcW w:w="1411" w:type="dxa"/>
          </w:tcPr>
          <w:p w14:paraId="629FC05F" w14:textId="19019CDD" w:rsidR="00DF6401" w:rsidRPr="00143200" w:rsidRDefault="00DF6401" w:rsidP="000048F4">
            <w:pPr>
              <w:pStyle w:val="TableNormal0"/>
            </w:pPr>
            <w:r w:rsidRPr="00143200">
              <w:lastRenderedPageBreak/>
              <w:t xml:space="preserve">RQ5-4 Did the WI programs improve provider experiences? </w:t>
            </w:r>
          </w:p>
        </w:tc>
        <w:tc>
          <w:tcPr>
            <w:tcW w:w="2004" w:type="dxa"/>
          </w:tcPr>
          <w:p w14:paraId="25A3DDFF" w14:textId="665AC779" w:rsidR="00DF6401" w:rsidRPr="00C66B80" w:rsidRDefault="00DF6401" w:rsidP="000048F4">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C66B80">
              <w:rPr>
                <w:rFonts w:eastAsia="Times New Roman" w:cstheme="minorHAnsi"/>
                <w:szCs w:val="18"/>
              </w:rPr>
              <w:t>H5-4.1 The WI programs eased the recruitment of providers</w:t>
            </w:r>
            <w:r w:rsidR="00A7179A">
              <w:rPr>
                <w:rFonts w:eastAsia="Times New Roman" w:cstheme="minorHAnsi"/>
                <w:szCs w:val="18"/>
              </w:rPr>
              <w:t xml:space="preserve"> and</w:t>
            </w:r>
            <w:r w:rsidRPr="00C66B80">
              <w:rPr>
                <w:rFonts w:eastAsia="Times New Roman" w:cstheme="minorHAnsi"/>
                <w:szCs w:val="18"/>
              </w:rPr>
              <w:t xml:space="preserve"> improved provider experience </w:t>
            </w:r>
            <w:r w:rsidR="00A7179A">
              <w:rPr>
                <w:rFonts w:eastAsia="Times New Roman" w:cstheme="minorHAnsi"/>
                <w:szCs w:val="18"/>
              </w:rPr>
              <w:t>and</w:t>
            </w:r>
            <w:r w:rsidRPr="00C66B80">
              <w:rPr>
                <w:rFonts w:eastAsia="Times New Roman" w:cstheme="minorHAnsi"/>
                <w:szCs w:val="18"/>
              </w:rPr>
              <w:t xml:space="preserve"> retention in community-based clinical settings.</w:t>
            </w:r>
          </w:p>
        </w:tc>
        <w:tc>
          <w:tcPr>
            <w:tcW w:w="2880" w:type="dxa"/>
          </w:tcPr>
          <w:p w14:paraId="440CEF00" w14:textId="43A3654B" w:rsidR="00DF6401" w:rsidRPr="00F01432" w:rsidRDefault="00DF6401" w:rsidP="000048F4">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D61F9B">
              <w:rPr>
                <w:rFonts w:eastAsia="Times New Roman"/>
              </w:rPr>
              <w:t xml:space="preserve">Program </w:t>
            </w:r>
            <w:r>
              <w:rPr>
                <w:rFonts w:eastAsia="Times New Roman"/>
              </w:rPr>
              <w:t>d</w:t>
            </w:r>
            <w:r w:rsidRPr="00D61F9B">
              <w:rPr>
                <w:rFonts w:eastAsia="Times New Roman"/>
              </w:rPr>
              <w:t>ocuments</w:t>
            </w:r>
            <w:r w:rsidR="00A5168F">
              <w:rPr>
                <w:rFonts w:eastAsia="Times New Roman"/>
              </w:rPr>
              <w:t xml:space="preserve"> (</w:t>
            </w:r>
            <w:r w:rsidR="00011446" w:rsidRPr="00DC7BBB">
              <w:rPr>
                <w:rFonts w:eastAsia="Times New Roman"/>
              </w:rPr>
              <w:t>o</w:t>
            </w:r>
            <w:r w:rsidR="00A5168F" w:rsidRPr="00DC7BBB">
              <w:rPr>
                <w:rFonts w:eastAsia="Times New Roman"/>
              </w:rPr>
              <w:t>ngoing</w:t>
            </w:r>
            <w:r w:rsidR="00A5168F">
              <w:rPr>
                <w:rFonts w:eastAsia="Times New Roman"/>
              </w:rPr>
              <w:t>)</w:t>
            </w:r>
            <w:r w:rsidRPr="00D61F9B">
              <w:rPr>
                <w:rFonts w:eastAsia="Times New Roman"/>
              </w:rPr>
              <w:t>;</w:t>
            </w:r>
          </w:p>
          <w:p w14:paraId="3F39ABA4" w14:textId="4F9E9CFC" w:rsidR="00DF6401" w:rsidRPr="00F01432" w:rsidRDefault="00DF6401" w:rsidP="000048F4">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F01432">
              <w:rPr>
                <w:rFonts w:eastAsia="Times New Roman"/>
              </w:rPr>
              <w:t>WI program administrator interview</w:t>
            </w:r>
            <w:r w:rsidR="00D66D01">
              <w:rPr>
                <w:rFonts w:eastAsia="Times New Roman"/>
              </w:rPr>
              <w:t xml:space="preserve"> </w:t>
            </w:r>
            <w:r w:rsidR="00134D33" w:rsidRPr="000048F4">
              <w:t>(2024-2025; 2026-2027)</w:t>
            </w:r>
          </w:p>
          <w:p w14:paraId="51BA5E6E" w14:textId="68BEAEC9" w:rsidR="00DF6401" w:rsidRDefault="002D593C" w:rsidP="000048F4">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 xml:space="preserve">Provider </w:t>
            </w:r>
            <w:r w:rsidR="00DF6401">
              <w:rPr>
                <w:rFonts w:eastAsia="Times New Roman"/>
              </w:rPr>
              <w:t>interview</w:t>
            </w:r>
            <w:r>
              <w:rPr>
                <w:rFonts w:eastAsia="Times New Roman"/>
              </w:rPr>
              <w:t xml:space="preserve"> </w:t>
            </w:r>
            <w:r w:rsidR="00134D33" w:rsidRPr="000048F4">
              <w:t>(2024-2025; 2026-2027)</w:t>
            </w:r>
          </w:p>
          <w:p w14:paraId="1A88562E" w14:textId="7644311A" w:rsidR="00DF6401" w:rsidRPr="00C66B80" w:rsidRDefault="00DF6401" w:rsidP="000048F4">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22243554">
              <w:rPr>
                <w:rFonts w:eastAsia="Times New Roman"/>
              </w:rPr>
              <w:t>Provider exit interviews by practice (if feasible)</w:t>
            </w:r>
            <w:r w:rsidR="00C767FC">
              <w:rPr>
                <w:rFonts w:eastAsia="Times New Roman"/>
              </w:rPr>
              <w:t xml:space="preserve"> (</w:t>
            </w:r>
            <w:r w:rsidR="00C767FC" w:rsidRPr="00DC7BBB">
              <w:rPr>
                <w:rFonts w:eastAsia="Times New Roman"/>
              </w:rPr>
              <w:t>ongoing</w:t>
            </w:r>
            <w:r w:rsidR="00C767FC">
              <w:rPr>
                <w:rFonts w:eastAsia="Times New Roman"/>
              </w:rPr>
              <w:t>)</w:t>
            </w:r>
          </w:p>
        </w:tc>
        <w:tc>
          <w:tcPr>
            <w:tcW w:w="2790" w:type="dxa"/>
          </w:tcPr>
          <w:p w14:paraId="37477552" w14:textId="4D325160" w:rsidR="00DF6401" w:rsidRDefault="11C01D43" w:rsidP="000048F4">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3383C28C">
              <w:rPr>
                <w:rFonts w:eastAsia="Times New Roman"/>
              </w:rPr>
              <w:t>Community-based clinical setting</w:t>
            </w:r>
            <w:r w:rsidR="1252BC1C" w:rsidRPr="3383C28C">
              <w:rPr>
                <w:rFonts w:eastAsia="Times New Roman"/>
              </w:rPr>
              <w:t xml:space="preserve"> administrators</w:t>
            </w:r>
            <w:r w:rsidR="3241B01D" w:rsidRPr="3383C28C">
              <w:rPr>
                <w:rFonts w:eastAsia="Times New Roman"/>
              </w:rPr>
              <w:t xml:space="preserve"> (n</w:t>
            </w:r>
            <w:r w:rsidR="00B442EB" w:rsidRPr="3383C28C">
              <w:rPr>
                <w:rFonts w:eastAsia="Times New Roman"/>
              </w:rPr>
              <w:t xml:space="preserve"> ≤ </w:t>
            </w:r>
            <w:r w:rsidR="28B86C5C" w:rsidRPr="3383C28C">
              <w:rPr>
                <w:rFonts w:eastAsia="Times New Roman"/>
              </w:rPr>
              <w:t>30</w:t>
            </w:r>
            <w:r w:rsidR="3241B01D" w:rsidRPr="3383C28C">
              <w:rPr>
                <w:rFonts w:eastAsia="Times New Roman"/>
              </w:rPr>
              <w:t>)</w:t>
            </w:r>
            <w:r w:rsidR="00832676">
              <w:rPr>
                <w:rFonts w:eastAsia="Times New Roman"/>
              </w:rPr>
              <w:t>;</w:t>
            </w:r>
          </w:p>
          <w:p w14:paraId="7B5EF4AE" w14:textId="0DD42D26" w:rsidR="00DF6401" w:rsidRPr="00C66B80" w:rsidRDefault="3D60A575" w:rsidP="7E7451EE">
            <w:pPr>
              <w:pStyle w:val="TableNormal0"/>
              <w:cnfStyle w:val="000000000000" w:firstRow="0" w:lastRow="0" w:firstColumn="0" w:lastColumn="0" w:oddVBand="0" w:evenVBand="0" w:oddHBand="0" w:evenHBand="0" w:firstRowFirstColumn="0" w:firstRowLastColumn="0" w:lastRowFirstColumn="0" w:lastRowLastColumn="0"/>
              <w:rPr>
                <w:rFonts w:cstheme="minorBidi"/>
              </w:rPr>
            </w:pPr>
            <w:r w:rsidRPr="7E7451EE">
              <w:rPr>
                <w:rFonts w:eastAsia="Times New Roman"/>
              </w:rPr>
              <w:t xml:space="preserve">Individual </w:t>
            </w:r>
            <w:r w:rsidR="15912DD2" w:rsidRPr="7E7451EE">
              <w:rPr>
                <w:rFonts w:eastAsia="Times New Roman"/>
              </w:rPr>
              <w:t>PC providers, BH providers, and FNPs</w:t>
            </w:r>
            <w:r w:rsidR="5C4B791A" w:rsidRPr="7E7451EE">
              <w:rPr>
                <w:rFonts w:eastAsia="Times New Roman"/>
              </w:rPr>
              <w:t xml:space="preserve"> (n</w:t>
            </w:r>
            <w:r w:rsidR="601EC736" w:rsidRPr="7E7451EE">
              <w:rPr>
                <w:rFonts w:eastAsia="Times New Roman"/>
              </w:rPr>
              <w:t xml:space="preserve"> ≤ </w:t>
            </w:r>
            <w:r w:rsidR="3A574E4A" w:rsidRPr="7E7451EE">
              <w:rPr>
                <w:rFonts w:eastAsia="Times New Roman"/>
              </w:rPr>
              <w:t>30</w:t>
            </w:r>
            <w:r w:rsidR="00617687">
              <w:rPr>
                <w:rFonts w:eastAsia="Times New Roman"/>
              </w:rPr>
              <w:t xml:space="preserve"> combined across the three provider types</w:t>
            </w:r>
            <w:r w:rsidR="5C4B791A" w:rsidRPr="7E7451EE">
              <w:rPr>
                <w:rFonts w:eastAsia="Times New Roman"/>
              </w:rPr>
              <w:t>)</w:t>
            </w:r>
          </w:p>
        </w:tc>
        <w:tc>
          <w:tcPr>
            <w:tcW w:w="2626" w:type="dxa"/>
          </w:tcPr>
          <w:p w14:paraId="234D76A5" w14:textId="77777777" w:rsidR="00DF6401" w:rsidRDefault="00DF6401" w:rsidP="000048F4">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7F7C38">
              <w:rPr>
                <w:rFonts w:eastAsia="Times New Roman"/>
                <w:color w:val="000000"/>
              </w:rPr>
              <w:t>Ease of recruiting providers (e.g., time to fill vacancies, quality of applicant po</w:t>
            </w:r>
            <w:r>
              <w:rPr>
                <w:rFonts w:eastAsia="Times New Roman"/>
                <w:color w:val="000000"/>
              </w:rPr>
              <w:t>ol);</w:t>
            </w:r>
          </w:p>
          <w:p w14:paraId="6DCD4F29" w14:textId="4171CC5C" w:rsidR="00DF6401" w:rsidRDefault="00DF6401" w:rsidP="000048F4">
            <w:pPr>
              <w:pStyle w:val="TableNormal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547F3">
              <w:rPr>
                <w:rFonts w:eastAsia="Times New Roman"/>
                <w:color w:val="000000"/>
              </w:rPr>
              <w:t>Number (</w:t>
            </w:r>
            <w:r w:rsidR="00C414E3" w:rsidRPr="00E547F3">
              <w:rPr>
                <w:rFonts w:eastAsia="Times New Roman"/>
                <w:color w:val="000000"/>
              </w:rPr>
              <w:t xml:space="preserve">and </w:t>
            </w:r>
            <w:r w:rsidR="00C414E3">
              <w:rPr>
                <w:rFonts w:eastAsia="Times New Roman"/>
                <w:color w:val="000000"/>
              </w:rPr>
              <w:t>percent</w:t>
            </w:r>
            <w:r w:rsidRPr="00E547F3">
              <w:rPr>
                <w:rFonts w:eastAsia="Times New Roman"/>
                <w:color w:val="000000"/>
              </w:rPr>
              <w:t>) of providers in the WI programs who completed the 4-year service obligation (and by provider type and by program)</w:t>
            </w:r>
            <w:r>
              <w:rPr>
                <w:rFonts w:eastAsia="Times New Roman"/>
                <w:color w:val="000000"/>
              </w:rPr>
              <w:t>;</w:t>
            </w:r>
          </w:p>
          <w:p w14:paraId="7862D313" w14:textId="45B9C541" w:rsidR="00DF6401" w:rsidRPr="00E547F3" w:rsidRDefault="00DF6401" w:rsidP="000048F4">
            <w:pPr>
              <w:pStyle w:val="TableNormal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547F3">
              <w:rPr>
                <w:rFonts w:eastAsia="Times New Roman"/>
                <w:color w:val="000000"/>
              </w:rPr>
              <w:t>The average number of years providers serv</w:t>
            </w:r>
            <w:r w:rsidR="00637092">
              <w:rPr>
                <w:rFonts w:eastAsia="Times New Roman"/>
                <w:color w:val="000000"/>
              </w:rPr>
              <w:t>e</w:t>
            </w:r>
            <w:r w:rsidRPr="00E547F3">
              <w:rPr>
                <w:rFonts w:eastAsia="Times New Roman"/>
                <w:color w:val="000000"/>
              </w:rPr>
              <w:t xml:space="preserve"> </w:t>
            </w:r>
            <w:r>
              <w:rPr>
                <w:rFonts w:eastAsia="Times New Roman"/>
                <w:color w:val="000000"/>
              </w:rPr>
              <w:t xml:space="preserve">in </w:t>
            </w:r>
            <w:r w:rsidRPr="00E547F3">
              <w:rPr>
                <w:rFonts w:eastAsia="Times New Roman"/>
                <w:color w:val="000000"/>
              </w:rPr>
              <w:t>community-based clinical settings (by provider type and by program)</w:t>
            </w:r>
            <w:r>
              <w:rPr>
                <w:rFonts w:eastAsia="Times New Roman"/>
                <w:color w:val="000000"/>
              </w:rPr>
              <w:t>;</w:t>
            </w:r>
          </w:p>
          <w:p w14:paraId="04DDAC7A" w14:textId="0248716C" w:rsidR="00DF6401" w:rsidRPr="00C66B80" w:rsidRDefault="00DF6401" w:rsidP="000048F4">
            <w:pPr>
              <w:pStyle w:val="TableNormal0"/>
              <w:cnfStyle w:val="000000000000" w:firstRow="0" w:lastRow="0" w:firstColumn="0" w:lastColumn="0" w:oddVBand="0" w:evenVBand="0" w:oddHBand="0" w:evenHBand="0" w:firstRowFirstColumn="0" w:firstRowLastColumn="0" w:lastRowFirstColumn="0" w:lastRowLastColumn="0"/>
              <w:rPr>
                <w:rFonts w:cstheme="minorBidi"/>
              </w:rPr>
            </w:pPr>
            <w:r w:rsidRPr="1D3AF258">
              <w:rPr>
                <w:rFonts w:eastAsia="Times New Roman"/>
              </w:rPr>
              <w:t xml:space="preserve">Qualitative information about provider </w:t>
            </w:r>
            <w:r w:rsidR="46F6FD6D" w:rsidRPr="1D3AF258">
              <w:rPr>
                <w:rFonts w:eastAsia="Times New Roman"/>
              </w:rPr>
              <w:t>burnout</w:t>
            </w:r>
            <w:r>
              <w:tab/>
            </w:r>
          </w:p>
        </w:tc>
        <w:tc>
          <w:tcPr>
            <w:tcW w:w="1815" w:type="dxa"/>
          </w:tcPr>
          <w:p w14:paraId="3033F6E8" w14:textId="204C6022" w:rsidR="00DF6401" w:rsidRDefault="00DF6401" w:rsidP="000048F4">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Descriptive analyses</w:t>
            </w:r>
            <w:r w:rsidR="00080040">
              <w:rPr>
                <w:rFonts w:eastAsia="Times New Roman"/>
              </w:rPr>
              <w:t xml:space="preserve"> (</w:t>
            </w:r>
            <w:r w:rsidR="000F3F39">
              <w:rPr>
                <w:rFonts w:eastAsia="Times New Roman"/>
              </w:rPr>
              <w:t>administrator/</w:t>
            </w:r>
            <w:r w:rsidR="005B47F7">
              <w:rPr>
                <w:rFonts w:eastAsia="Times New Roman"/>
              </w:rPr>
              <w:br/>
            </w:r>
            <w:r w:rsidR="00080040" w:rsidRPr="00B51710">
              <w:rPr>
                <w:rFonts w:eastAsia="Times New Roman"/>
              </w:rPr>
              <w:t>provider</w:t>
            </w:r>
            <w:r w:rsidR="00080040">
              <w:rPr>
                <w:rFonts w:eastAsia="Times New Roman"/>
              </w:rPr>
              <w:t>)</w:t>
            </w:r>
            <w:r>
              <w:rPr>
                <w:rFonts w:eastAsia="Times New Roman"/>
              </w:rPr>
              <w:t>;</w:t>
            </w:r>
          </w:p>
          <w:p w14:paraId="472E8223" w14:textId="2A1CC300" w:rsidR="00DF6401" w:rsidRPr="00C66B80" w:rsidRDefault="00DF6401" w:rsidP="005B47F7">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Pr>
                <w:rFonts w:eastAsia="Times New Roman"/>
              </w:rPr>
              <w:t>Thematic analysis</w:t>
            </w:r>
            <w:r w:rsidR="009330AC">
              <w:rPr>
                <w:rFonts w:eastAsia="Times New Roman"/>
              </w:rPr>
              <w:t xml:space="preserve"> (</w:t>
            </w:r>
            <w:r w:rsidR="005B47F7">
              <w:rPr>
                <w:rFonts w:eastAsia="Times New Roman"/>
              </w:rPr>
              <w:t>a</w:t>
            </w:r>
            <w:r w:rsidR="000F3F39">
              <w:rPr>
                <w:rFonts w:eastAsia="Times New Roman"/>
              </w:rPr>
              <w:t>dministrator/</w:t>
            </w:r>
            <w:r w:rsidR="005B47F7">
              <w:rPr>
                <w:rFonts w:eastAsia="Times New Roman"/>
              </w:rPr>
              <w:br/>
            </w:r>
            <w:r w:rsidR="009330AC">
              <w:rPr>
                <w:rFonts w:eastAsia="Times New Roman"/>
              </w:rPr>
              <w:t xml:space="preserve">provider) </w:t>
            </w:r>
          </w:p>
        </w:tc>
      </w:tr>
      <w:tr w:rsidR="00895E18" w14:paraId="66CA941E" w14:textId="77777777" w:rsidTr="00196C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1" w:type="dxa"/>
          </w:tcPr>
          <w:p w14:paraId="56EB4CF5" w14:textId="0EBB86B9" w:rsidR="00C66B80" w:rsidRPr="00143200" w:rsidRDefault="00C66B80" w:rsidP="000048F4">
            <w:pPr>
              <w:pStyle w:val="TableNormal0"/>
            </w:pPr>
            <w:r w:rsidRPr="00143200">
              <w:t>RQ5-5 Did the WI programs affect MassHealth member healthcare utilization?</w:t>
            </w:r>
          </w:p>
        </w:tc>
        <w:tc>
          <w:tcPr>
            <w:tcW w:w="2004" w:type="dxa"/>
          </w:tcPr>
          <w:p w14:paraId="31E82236" w14:textId="298F5B27" w:rsidR="00C66B80" w:rsidRPr="00C66B80" w:rsidRDefault="00C66B80" w:rsidP="000048F4">
            <w:pPr>
              <w:pStyle w:val="TableNormal0"/>
              <w:cnfStyle w:val="000000100000" w:firstRow="0" w:lastRow="0" w:firstColumn="0" w:lastColumn="0" w:oddVBand="0" w:evenVBand="0" w:oddHBand="1" w:evenHBand="0" w:firstRowFirstColumn="0" w:firstRowLastColumn="0" w:lastRowFirstColumn="0" w:lastRowLastColumn="0"/>
            </w:pPr>
            <w:r w:rsidRPr="00C66B80">
              <w:rPr>
                <w:rFonts w:eastAsia="Times New Roman" w:cstheme="minorHAnsi"/>
                <w:szCs w:val="18"/>
              </w:rPr>
              <w:t>H5-5.1</w:t>
            </w:r>
            <w:r w:rsidRPr="00C66B80">
              <w:t xml:space="preserve"> The WI programs increased preventive care and community-based outpatient services (including BH services) for MassHealth members served in setting</w:t>
            </w:r>
            <w:r w:rsidR="003D34E6">
              <w:t>s</w:t>
            </w:r>
            <w:r w:rsidRPr="00C66B80">
              <w:t xml:space="preserve"> where providers were enrolled in WI programs compared to setting</w:t>
            </w:r>
            <w:r w:rsidR="003D34E6">
              <w:t>s</w:t>
            </w:r>
            <w:r w:rsidRPr="00C66B80">
              <w:t xml:space="preserve"> where providers were not enrolled in WI programs. </w:t>
            </w:r>
          </w:p>
          <w:p w14:paraId="1BF42E92" w14:textId="3B7E7288" w:rsidR="00C66B80" w:rsidRPr="00C66B80" w:rsidRDefault="00C66B80" w:rsidP="000048F4">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C66B80">
              <w:rPr>
                <w:rFonts w:eastAsia="Times New Roman" w:cstheme="minorHAnsi"/>
                <w:szCs w:val="18"/>
              </w:rPr>
              <w:t>H5-5.2 The WI programs reduced MassHealth members’ ED visits and hospitalizations for primary care-sensitive services in setting</w:t>
            </w:r>
            <w:r w:rsidR="003D34E6">
              <w:rPr>
                <w:rFonts w:eastAsia="Times New Roman" w:cstheme="minorHAnsi"/>
                <w:szCs w:val="18"/>
              </w:rPr>
              <w:t>s</w:t>
            </w:r>
            <w:r w:rsidRPr="00C66B80">
              <w:rPr>
                <w:rFonts w:eastAsia="Times New Roman" w:cstheme="minorHAnsi"/>
                <w:szCs w:val="18"/>
              </w:rPr>
              <w:t xml:space="preserve"> </w:t>
            </w:r>
            <w:r w:rsidRPr="00C66B80">
              <w:rPr>
                <w:rFonts w:eastAsia="Times New Roman" w:cstheme="minorHAnsi"/>
                <w:szCs w:val="18"/>
              </w:rPr>
              <w:lastRenderedPageBreak/>
              <w:t>where providers were enrolled in WI programs compared to setting</w:t>
            </w:r>
            <w:r w:rsidR="002140C7">
              <w:rPr>
                <w:rFonts w:eastAsia="Times New Roman" w:cstheme="minorHAnsi"/>
                <w:szCs w:val="18"/>
              </w:rPr>
              <w:t>s</w:t>
            </w:r>
            <w:r w:rsidRPr="00C66B80">
              <w:rPr>
                <w:rFonts w:eastAsia="Times New Roman" w:cstheme="minorHAnsi"/>
                <w:szCs w:val="18"/>
              </w:rPr>
              <w:t xml:space="preserve"> where providers were not enrolled in WI programs.</w:t>
            </w:r>
          </w:p>
        </w:tc>
        <w:tc>
          <w:tcPr>
            <w:tcW w:w="2880" w:type="dxa"/>
          </w:tcPr>
          <w:p w14:paraId="01AB492C" w14:textId="1FD3A2B4" w:rsidR="00C66B80" w:rsidRPr="00C66B80" w:rsidRDefault="00C66B80" w:rsidP="000048F4">
            <w:pPr>
              <w:pStyle w:val="TableNormal0"/>
              <w:cnfStyle w:val="000000100000" w:firstRow="0" w:lastRow="0" w:firstColumn="0" w:lastColumn="0" w:oddVBand="0" w:evenVBand="0" w:oddHBand="1" w:evenHBand="0" w:firstRowFirstColumn="0" w:firstRowLastColumn="0" w:lastRowFirstColumn="0" w:lastRowLastColumn="0"/>
            </w:pPr>
            <w:r w:rsidRPr="00C66B80">
              <w:lastRenderedPageBreak/>
              <w:t>Medicaid administrative data</w:t>
            </w:r>
            <w:r w:rsidR="002D593C">
              <w:t xml:space="preserve"> </w:t>
            </w:r>
            <w:r w:rsidR="002D593C" w:rsidRPr="002D593C">
              <w:t>(</w:t>
            </w:r>
            <w:r w:rsidR="002D593C" w:rsidRPr="000048F4">
              <w:t>baseline 2015-2017, pre</w:t>
            </w:r>
            <w:r w:rsidR="003D34E6">
              <w:t>-</w:t>
            </w:r>
            <w:r w:rsidR="002D593C" w:rsidRPr="000048F4">
              <w:t>2018-2022, post</w:t>
            </w:r>
            <w:r w:rsidR="003D34E6">
              <w:t>-</w:t>
            </w:r>
            <w:r w:rsidR="002D593C" w:rsidRPr="000048F4">
              <w:t>2023-2027</w:t>
            </w:r>
            <w:r w:rsidR="002D593C" w:rsidRPr="002D593C">
              <w:t>)</w:t>
            </w:r>
          </w:p>
        </w:tc>
        <w:tc>
          <w:tcPr>
            <w:tcW w:w="2790" w:type="dxa"/>
          </w:tcPr>
          <w:p w14:paraId="2322BDF4" w14:textId="69BCF253" w:rsidR="00C66B80" w:rsidRPr="00C66B80" w:rsidRDefault="00C66B80" w:rsidP="000048F4">
            <w:pPr>
              <w:pStyle w:val="TableNormal0"/>
              <w:cnfStyle w:val="000000100000" w:firstRow="0" w:lastRow="0" w:firstColumn="0" w:lastColumn="0" w:oddVBand="0" w:evenVBand="0" w:oddHBand="1" w:evenHBand="0" w:firstRowFirstColumn="0" w:firstRowLastColumn="0" w:lastRowFirstColumn="0" w:lastRowLastColumn="0"/>
            </w:pPr>
            <w:r w:rsidRPr="00C66B80">
              <w:t xml:space="preserve">MassHealth members receiving </w:t>
            </w:r>
            <w:r w:rsidR="00DF6401">
              <w:t>PC</w:t>
            </w:r>
            <w:r w:rsidRPr="00C66B80">
              <w:t>, BH, or FNP services from community-based clinical settings in and outside the WI programs</w:t>
            </w:r>
            <w:r w:rsidR="000F4E68">
              <w:t xml:space="preserve"> </w:t>
            </w:r>
            <w:r w:rsidR="000F4E68" w:rsidRPr="00B51710">
              <w:t>(</w:t>
            </w:r>
            <w:r w:rsidR="00C6684C" w:rsidRPr="000048F4">
              <w:t xml:space="preserve">population estimated as </w:t>
            </w:r>
            <w:r w:rsidR="005F1A34">
              <w:t>N</w:t>
            </w:r>
            <w:r w:rsidR="0067391B">
              <w:t>=~</w:t>
            </w:r>
            <w:r w:rsidR="005902C2" w:rsidRPr="006A7D74">
              <w:t>400,0</w:t>
            </w:r>
            <w:r w:rsidR="0067391B">
              <w:t>00</w:t>
            </w:r>
            <w:r w:rsidR="000F4E68" w:rsidRPr="006A7D74">
              <w:t>)</w:t>
            </w:r>
            <w:r w:rsidRPr="00C66B80">
              <w:t xml:space="preserve"> </w:t>
            </w:r>
          </w:p>
        </w:tc>
        <w:tc>
          <w:tcPr>
            <w:tcW w:w="2626" w:type="dxa"/>
          </w:tcPr>
          <w:p w14:paraId="39814DD3" w14:textId="77777777" w:rsidR="00A005DE" w:rsidRPr="000048F4" w:rsidRDefault="006C4E4F" w:rsidP="000048F4">
            <w:pPr>
              <w:pStyle w:val="TableNormal0"/>
              <w:spacing w:after="0"/>
              <w:cnfStyle w:val="000000100000" w:firstRow="0" w:lastRow="0" w:firstColumn="0" w:lastColumn="0" w:oddVBand="0" w:evenVBand="0" w:oddHBand="1" w:evenHBand="0" w:firstRowFirstColumn="0" w:firstRowLastColumn="0" w:lastRowFirstColumn="0" w:lastRowLastColumn="0"/>
              <w:rPr>
                <w:b/>
              </w:rPr>
            </w:pPr>
            <w:r w:rsidRPr="000048F4">
              <w:rPr>
                <w:b/>
              </w:rPr>
              <w:t>H</w:t>
            </w:r>
            <w:r w:rsidR="00A005DE" w:rsidRPr="000048F4">
              <w:rPr>
                <w:b/>
              </w:rPr>
              <w:t>5-5.1</w:t>
            </w:r>
          </w:p>
          <w:p w14:paraId="495A6781" w14:textId="24DC7BAC" w:rsidR="00C66B80" w:rsidRPr="00C66B80" w:rsidRDefault="00C66B80" w:rsidP="000048F4">
            <w:pPr>
              <w:pStyle w:val="TableNormal0"/>
              <w:cnfStyle w:val="000000100000" w:firstRow="0" w:lastRow="0" w:firstColumn="0" w:lastColumn="0" w:oddVBand="0" w:evenVBand="0" w:oddHBand="1" w:evenHBand="0" w:firstRowFirstColumn="0" w:firstRowLastColumn="0" w:lastRowFirstColumn="0" w:lastRowLastColumn="0"/>
            </w:pPr>
            <w:r w:rsidRPr="00C66B80">
              <w:t>Use of community-based BH care;</w:t>
            </w:r>
          </w:p>
          <w:p w14:paraId="61C709B2" w14:textId="15FC31D6" w:rsidR="006C4E4F" w:rsidRDefault="00C66B80" w:rsidP="000048F4">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C66B80">
              <w:rPr>
                <w:rFonts w:cstheme="minorHAnsi"/>
                <w:szCs w:val="18"/>
              </w:rPr>
              <w:t>Adult access to preventive/ambulatory health services</w:t>
            </w:r>
            <w:r w:rsidRPr="00C66B80" w:rsidDel="008A72CA">
              <w:rPr>
                <w:rFonts w:cstheme="minorHAnsi"/>
                <w:szCs w:val="18"/>
              </w:rPr>
              <w:t xml:space="preserve"> </w:t>
            </w:r>
          </w:p>
          <w:p w14:paraId="032AFEB6" w14:textId="77777777" w:rsidR="006C4E4F" w:rsidRPr="000048F4" w:rsidRDefault="006C4E4F" w:rsidP="006B65B7">
            <w:pPr>
              <w:pStyle w:val="TableNormal0"/>
              <w:cnfStyle w:val="000000100000" w:firstRow="0" w:lastRow="0" w:firstColumn="0" w:lastColumn="0" w:oddVBand="0" w:evenVBand="0" w:oddHBand="1" w:evenHBand="0" w:firstRowFirstColumn="0" w:firstRowLastColumn="0" w:lastRowFirstColumn="0" w:lastRowLastColumn="0"/>
              <w:rPr>
                <w:b/>
              </w:rPr>
            </w:pPr>
            <w:r w:rsidRPr="000048F4">
              <w:rPr>
                <w:b/>
              </w:rPr>
              <w:t>H5-5.2</w:t>
            </w:r>
          </w:p>
          <w:p w14:paraId="59880BAF" w14:textId="41949A6F" w:rsidR="001F467C" w:rsidRDefault="006C4E4F" w:rsidP="000048F4">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7F7C38">
              <w:rPr>
                <w:rFonts w:eastAsia="Times New Roman"/>
              </w:rPr>
              <w:t xml:space="preserve">For </w:t>
            </w:r>
            <w:r w:rsidRPr="00703AD7">
              <w:rPr>
                <w:rFonts w:eastAsia="Times New Roman"/>
              </w:rPr>
              <w:t>MassHealth</w:t>
            </w:r>
            <w:r>
              <w:rPr>
                <w:rFonts w:eastAsia="Times New Roman"/>
              </w:rPr>
              <w:t xml:space="preserve"> members</w:t>
            </w:r>
            <w:r w:rsidRPr="007F7C38">
              <w:rPr>
                <w:rFonts w:eastAsia="Times New Roman"/>
              </w:rPr>
              <w:t xml:space="preserve"> receiving </w:t>
            </w:r>
            <w:r>
              <w:rPr>
                <w:rFonts w:eastAsia="Times New Roman"/>
              </w:rPr>
              <w:t>PC</w:t>
            </w:r>
            <w:r w:rsidRPr="007F7C38">
              <w:rPr>
                <w:rFonts w:eastAsia="Times New Roman"/>
              </w:rPr>
              <w:t>, BH care, or FNP care:</w:t>
            </w:r>
          </w:p>
          <w:p w14:paraId="237A3ACD" w14:textId="7CF55EE0" w:rsidR="006C4E4F" w:rsidRDefault="006C4E4F" w:rsidP="0042298D">
            <w:pPr>
              <w:pStyle w:val="TableBullet"/>
              <w:cnfStyle w:val="000000100000" w:firstRow="0" w:lastRow="0" w:firstColumn="0" w:lastColumn="0" w:oddVBand="0" w:evenVBand="0" w:oddHBand="1" w:evenHBand="0" w:firstRowFirstColumn="0" w:firstRowLastColumn="0" w:lastRowFirstColumn="0" w:lastRowLastColumn="0"/>
            </w:pPr>
            <w:r w:rsidRPr="007F7C38">
              <w:t xml:space="preserve">Rate of inpatient admissions for </w:t>
            </w:r>
            <w:r>
              <w:t>PC</w:t>
            </w:r>
            <w:r w:rsidR="003D34E6">
              <w:t>-</w:t>
            </w:r>
            <w:r w:rsidRPr="007F7C38">
              <w:t>sensitive services</w:t>
            </w:r>
          </w:p>
          <w:p w14:paraId="2A391117" w14:textId="6C45AD4F" w:rsidR="001F467C" w:rsidRDefault="006C4E4F" w:rsidP="001F467C">
            <w:pPr>
              <w:pStyle w:val="TableBullet"/>
              <w:cnfStyle w:val="000000100000" w:firstRow="0" w:lastRow="0" w:firstColumn="0" w:lastColumn="0" w:oddVBand="0" w:evenVBand="0" w:oddHBand="1" w:evenHBand="0" w:firstRowFirstColumn="0" w:firstRowLastColumn="0" w:lastRowFirstColumn="0" w:lastRowLastColumn="0"/>
            </w:pPr>
            <w:r>
              <w:t xml:space="preserve">Rate of all-cause inpatient admission </w:t>
            </w:r>
          </w:p>
          <w:p w14:paraId="232E842C" w14:textId="28DD08E0" w:rsidR="006C4E4F" w:rsidRPr="007F7C38" w:rsidRDefault="006C4E4F" w:rsidP="0042298D">
            <w:pPr>
              <w:pStyle w:val="TableBullet"/>
              <w:cnfStyle w:val="000000100000" w:firstRow="0" w:lastRow="0" w:firstColumn="0" w:lastColumn="0" w:oddVBand="0" w:evenVBand="0" w:oddHBand="1" w:evenHBand="0" w:firstRowFirstColumn="0" w:firstRowLastColumn="0" w:lastRowFirstColumn="0" w:lastRowLastColumn="0"/>
            </w:pPr>
            <w:r w:rsidRPr="007F7C38">
              <w:t xml:space="preserve">Rate of ED visits </w:t>
            </w:r>
          </w:p>
          <w:p w14:paraId="4A915138" w14:textId="1EBC1826" w:rsidR="006C4E4F" w:rsidRPr="001B2050" w:rsidRDefault="006C4E4F" w:rsidP="0042298D">
            <w:pPr>
              <w:pStyle w:val="TableBullet"/>
              <w:cnfStyle w:val="000000100000" w:firstRow="0" w:lastRow="0" w:firstColumn="0" w:lastColumn="0" w:oddVBand="0" w:evenVBand="0" w:oddHBand="1" w:evenHBand="0" w:firstRowFirstColumn="0" w:firstRowLastColumn="0" w:lastRowFirstColumn="0" w:lastRowLastColumn="0"/>
            </w:pPr>
            <w:r w:rsidRPr="001B2050">
              <w:lastRenderedPageBreak/>
              <w:t>Rate of inpatient psych services use</w:t>
            </w:r>
          </w:p>
          <w:p w14:paraId="06DE107D" w14:textId="2C419B47" w:rsidR="006C4E4F" w:rsidRPr="00C66B80" w:rsidRDefault="006C4E4F" w:rsidP="000048F4">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p>
        </w:tc>
        <w:tc>
          <w:tcPr>
            <w:tcW w:w="1815" w:type="dxa"/>
          </w:tcPr>
          <w:p w14:paraId="6BEEBD58" w14:textId="15A564F5" w:rsidR="00C66B80" w:rsidRPr="00C66B80" w:rsidRDefault="00C66B80" w:rsidP="000048F4">
            <w:pPr>
              <w:pStyle w:val="TableNormal0"/>
              <w:cnfStyle w:val="000000100000" w:firstRow="0" w:lastRow="0" w:firstColumn="0" w:lastColumn="0" w:oddVBand="0" w:evenVBand="0" w:oddHBand="1" w:evenHBand="0" w:firstRowFirstColumn="0" w:firstRowLastColumn="0" w:lastRowFirstColumn="0" w:lastRowLastColumn="0"/>
            </w:pPr>
            <w:r w:rsidRPr="00C66B80">
              <w:lastRenderedPageBreak/>
              <w:t>Quasi-experimental design (QED)</w:t>
            </w:r>
            <w:r w:rsidR="00080040">
              <w:t xml:space="preserve"> (</w:t>
            </w:r>
            <w:r w:rsidR="00080040" w:rsidRPr="00DC7BBB">
              <w:t>member</w:t>
            </w:r>
            <w:r w:rsidRPr="00C66B80">
              <w:t>);</w:t>
            </w:r>
          </w:p>
          <w:p w14:paraId="40E2CEE8" w14:textId="372BACAD" w:rsidR="00C66B80" w:rsidRPr="00C66B80" w:rsidRDefault="00C66B80" w:rsidP="000048F4">
            <w:pPr>
              <w:pStyle w:val="TableNormal0"/>
              <w:cnfStyle w:val="000000100000" w:firstRow="0" w:lastRow="0" w:firstColumn="0" w:lastColumn="0" w:oddVBand="0" w:evenVBand="0" w:oddHBand="1" w:evenHBand="0" w:firstRowFirstColumn="0" w:firstRowLastColumn="0" w:lastRowFirstColumn="0" w:lastRowLastColumn="0"/>
            </w:pPr>
            <w:r w:rsidRPr="00C66B80">
              <w:t>Propensity score methods</w:t>
            </w:r>
            <w:r w:rsidR="00080040">
              <w:t xml:space="preserve"> (</w:t>
            </w:r>
            <w:r w:rsidR="00080040" w:rsidRPr="00DC7BBB">
              <w:t>member</w:t>
            </w:r>
            <w:r w:rsidR="002B0D6D">
              <w:t>)</w:t>
            </w:r>
            <w:r w:rsidRPr="00C66B80">
              <w:t>;</w:t>
            </w:r>
          </w:p>
          <w:p w14:paraId="58287086" w14:textId="488EABFD" w:rsidR="00C66B80" w:rsidRPr="00C66B80" w:rsidRDefault="00C66B80" w:rsidP="000048F4">
            <w:pPr>
              <w:pStyle w:val="TableNormal0"/>
              <w:cnfStyle w:val="000000100000" w:firstRow="0" w:lastRow="0" w:firstColumn="0" w:lastColumn="0" w:oddVBand="0" w:evenVBand="0" w:oddHBand="1" w:evenHBand="0" w:firstRowFirstColumn="0" w:firstRowLastColumn="0" w:lastRowFirstColumn="0" w:lastRowLastColumn="0"/>
            </w:pPr>
            <w:r w:rsidRPr="00C66B80">
              <w:t>Interrupted time series (ITS)</w:t>
            </w:r>
            <w:r w:rsidR="00080040">
              <w:t xml:space="preserve"> (</w:t>
            </w:r>
            <w:r w:rsidR="00080040" w:rsidRPr="00DC7BBB">
              <w:t>member</w:t>
            </w:r>
            <w:r w:rsidRPr="00C66B80">
              <w:t>);</w:t>
            </w:r>
          </w:p>
          <w:p w14:paraId="102B4389" w14:textId="480E13FF" w:rsidR="00C66B80" w:rsidRPr="00C66B80" w:rsidRDefault="00C66B80" w:rsidP="000048F4">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C66B80">
              <w:rPr>
                <w:rFonts w:eastAsia="Times New Roman" w:cstheme="minorHAnsi"/>
                <w:szCs w:val="18"/>
              </w:rPr>
              <w:t xml:space="preserve">Subgroup analyses </w:t>
            </w:r>
            <w:r w:rsidR="00B17761">
              <w:rPr>
                <w:rFonts w:eastAsia="Times New Roman" w:cstheme="minorHAnsi"/>
                <w:szCs w:val="18"/>
              </w:rPr>
              <w:t>(</w:t>
            </w:r>
            <w:r w:rsidR="00B94407">
              <w:rPr>
                <w:rFonts w:eastAsia="Times New Roman" w:cstheme="minorHAnsi"/>
                <w:szCs w:val="18"/>
              </w:rPr>
              <w:t>m</w:t>
            </w:r>
            <w:r w:rsidR="003723F2" w:rsidRPr="000048F4">
              <w:rPr>
                <w:rFonts w:eastAsia="Times New Roman" w:cstheme="minorHAnsi"/>
                <w:szCs w:val="18"/>
              </w:rPr>
              <w:t>ember</w:t>
            </w:r>
            <w:r w:rsidR="00B17761" w:rsidRPr="00A65005">
              <w:rPr>
                <w:rFonts w:eastAsia="Times New Roman" w:cstheme="minorHAnsi"/>
                <w:szCs w:val="18"/>
              </w:rPr>
              <w:t>)</w:t>
            </w:r>
            <w:r w:rsidRPr="00C66B80">
              <w:rPr>
                <w:rFonts w:eastAsia="Times New Roman" w:cstheme="minorHAnsi"/>
                <w:szCs w:val="18"/>
              </w:rPr>
              <w:t xml:space="preserve"> </w:t>
            </w:r>
          </w:p>
        </w:tc>
      </w:tr>
      <w:tr w:rsidR="00895E18" w14:paraId="1EB0648F" w14:textId="77777777" w:rsidTr="00196CEF">
        <w:tc>
          <w:tcPr>
            <w:cnfStyle w:val="001000000000" w:firstRow="0" w:lastRow="0" w:firstColumn="1" w:lastColumn="0" w:oddVBand="0" w:evenVBand="0" w:oddHBand="0" w:evenHBand="0" w:firstRowFirstColumn="0" w:firstRowLastColumn="0" w:lastRowFirstColumn="0" w:lastRowLastColumn="0"/>
            <w:tcW w:w="1411" w:type="dxa"/>
          </w:tcPr>
          <w:p w14:paraId="2FB09AC9" w14:textId="4B61A184" w:rsidR="006B65B7" w:rsidRPr="00C04DB6" w:rsidRDefault="006B65B7" w:rsidP="000048F4">
            <w:pPr>
              <w:pStyle w:val="TableNormal0"/>
              <w:rPr>
                <w:rFonts w:eastAsia="Times New Roman"/>
              </w:rPr>
            </w:pPr>
            <w:r w:rsidRPr="004E1BDB">
              <w:rPr>
                <w:rFonts w:eastAsia="Times New Roman"/>
              </w:rPr>
              <w:t>RQ</w:t>
            </w:r>
            <w:r w:rsidR="00EA3944">
              <w:rPr>
                <w:rFonts w:eastAsia="Times New Roman"/>
              </w:rPr>
              <w:t>5-6</w:t>
            </w:r>
            <w:r w:rsidRPr="00C04DB6">
              <w:rPr>
                <w:rFonts w:eastAsia="Times New Roman"/>
              </w:rPr>
              <w:t xml:space="preserve"> </w:t>
            </w:r>
            <w:r>
              <w:rPr>
                <w:rFonts w:eastAsia="Times New Roman"/>
              </w:rPr>
              <w:t>D</w:t>
            </w:r>
            <w:r w:rsidRPr="00C04DB6">
              <w:rPr>
                <w:rFonts w:eastAsia="Times New Roman"/>
              </w:rPr>
              <w:t xml:space="preserve">id the WI programs impact the financial sustainability of Medicaid? </w:t>
            </w:r>
          </w:p>
          <w:p w14:paraId="3C26E27B" w14:textId="77777777" w:rsidR="006B65B7" w:rsidRPr="00143200" w:rsidRDefault="006B65B7" w:rsidP="000048F4">
            <w:pPr>
              <w:pStyle w:val="TableNormal0"/>
            </w:pPr>
          </w:p>
        </w:tc>
        <w:tc>
          <w:tcPr>
            <w:tcW w:w="2004" w:type="dxa"/>
          </w:tcPr>
          <w:p w14:paraId="141195CE" w14:textId="662AECDD" w:rsidR="006B65B7" w:rsidRDefault="006B65B7" w:rsidP="000048F4">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6D7E3A64">
              <w:rPr>
                <w:rFonts w:eastAsia="Times New Roman"/>
              </w:rPr>
              <w:t>H</w:t>
            </w:r>
            <w:r w:rsidR="00EA3944">
              <w:rPr>
                <w:rFonts w:eastAsia="Times New Roman"/>
              </w:rPr>
              <w:t>5-6</w:t>
            </w:r>
            <w:r w:rsidRPr="6D7E3A64">
              <w:rPr>
                <w:rFonts w:eastAsia="Times New Roman"/>
              </w:rPr>
              <w:t>.1 The cost of the WI programs and increased outpatient care costs were offset by decreased inpatient and ED costs for members attributed to community-based settings with providers participating in WI programs.</w:t>
            </w:r>
          </w:p>
          <w:p w14:paraId="3ACB6153" w14:textId="13526DC5" w:rsidR="006B65B7" w:rsidRPr="00C66B80" w:rsidRDefault="006B65B7" w:rsidP="000048F4">
            <w:pPr>
              <w:pStyle w:val="TableNormal0"/>
              <w:cnfStyle w:val="000000000000" w:firstRow="0" w:lastRow="0" w:firstColumn="0" w:lastColumn="0" w:oddVBand="0" w:evenVBand="0" w:oddHBand="0" w:evenHBand="0" w:firstRowFirstColumn="0" w:firstRowLastColumn="0" w:lastRowFirstColumn="0" w:lastRowLastColumn="0"/>
              <w:rPr>
                <w:rFonts w:eastAsia="Times New Roman" w:cstheme="minorHAnsi"/>
                <w:szCs w:val="18"/>
              </w:rPr>
            </w:pPr>
            <w:r w:rsidRPr="6D7E3A64">
              <w:rPr>
                <w:rFonts w:eastAsia="Times New Roman"/>
              </w:rPr>
              <w:t>H</w:t>
            </w:r>
            <w:r w:rsidR="00EA3944">
              <w:rPr>
                <w:rFonts w:eastAsia="Times New Roman"/>
              </w:rPr>
              <w:t>5-6</w:t>
            </w:r>
            <w:r w:rsidRPr="6D7E3A64">
              <w:rPr>
                <w:rFonts w:eastAsia="Times New Roman"/>
              </w:rPr>
              <w:t>.2 WI programs reduced the per member per month (PMPM healthcare cost of MassHealth members receiving care at community-based clinical services benefiting from WI programs.</w:t>
            </w:r>
          </w:p>
        </w:tc>
        <w:tc>
          <w:tcPr>
            <w:tcW w:w="2880" w:type="dxa"/>
          </w:tcPr>
          <w:p w14:paraId="093CC9DA" w14:textId="32BE7069" w:rsidR="006B65B7" w:rsidRPr="00C04DB6" w:rsidRDefault="006B65B7" w:rsidP="000048F4">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C04DB6">
              <w:rPr>
                <w:rFonts w:eastAsia="Times New Roman"/>
                <w:color w:val="000000"/>
              </w:rPr>
              <w:t>Medicaid administrative data</w:t>
            </w:r>
            <w:r w:rsidR="00FA18D4">
              <w:rPr>
                <w:rFonts w:eastAsia="Times New Roman"/>
                <w:color w:val="000000"/>
              </w:rPr>
              <w:t xml:space="preserve"> </w:t>
            </w:r>
            <w:r w:rsidR="00FA18D4" w:rsidRPr="00FA18D4">
              <w:rPr>
                <w:rFonts w:eastAsia="Times New Roman"/>
                <w:color w:val="000000"/>
              </w:rPr>
              <w:t>(</w:t>
            </w:r>
            <w:r w:rsidR="00FA18D4" w:rsidRPr="000048F4">
              <w:rPr>
                <w:rFonts w:eastAsia="Times New Roman"/>
                <w:color w:val="000000"/>
              </w:rPr>
              <w:t>baseline 2015-2017, pre</w:t>
            </w:r>
            <w:r w:rsidR="002140C7">
              <w:rPr>
                <w:rFonts w:eastAsia="Times New Roman"/>
                <w:color w:val="000000"/>
              </w:rPr>
              <w:t>-</w:t>
            </w:r>
            <w:r w:rsidR="00FA18D4" w:rsidRPr="000048F4">
              <w:rPr>
                <w:rFonts w:eastAsia="Times New Roman"/>
                <w:color w:val="000000"/>
              </w:rPr>
              <w:t>2018-2022, post</w:t>
            </w:r>
            <w:r w:rsidR="002140C7">
              <w:rPr>
                <w:rFonts w:eastAsia="Times New Roman"/>
                <w:color w:val="000000"/>
              </w:rPr>
              <w:t>-</w:t>
            </w:r>
            <w:r w:rsidR="00FA18D4" w:rsidRPr="000048F4">
              <w:rPr>
                <w:rFonts w:eastAsia="Times New Roman"/>
                <w:color w:val="000000"/>
              </w:rPr>
              <w:t>2023-2027</w:t>
            </w:r>
            <w:r w:rsidR="00FA18D4" w:rsidRPr="00FA18D4">
              <w:rPr>
                <w:rFonts w:eastAsia="Times New Roman"/>
                <w:color w:val="000000"/>
              </w:rPr>
              <w:t>)</w:t>
            </w:r>
            <w:r w:rsidRPr="00C04DB6">
              <w:rPr>
                <w:rFonts w:eastAsia="Times New Roman"/>
                <w:color w:val="000000"/>
              </w:rPr>
              <w:t>;</w:t>
            </w:r>
          </w:p>
          <w:p w14:paraId="2761826C" w14:textId="3189F5FF" w:rsidR="006B65B7" w:rsidRPr="00C66B80" w:rsidRDefault="006B65B7" w:rsidP="000048F4">
            <w:pPr>
              <w:pStyle w:val="TableNormal0"/>
              <w:cnfStyle w:val="000000000000" w:firstRow="0" w:lastRow="0" w:firstColumn="0" w:lastColumn="0" w:oddVBand="0" w:evenVBand="0" w:oddHBand="0" w:evenHBand="0" w:firstRowFirstColumn="0" w:firstRowLastColumn="0" w:lastRowFirstColumn="0" w:lastRowLastColumn="0"/>
            </w:pPr>
            <w:r w:rsidRPr="00C04DB6">
              <w:rPr>
                <w:rFonts w:eastAsia="Times New Roman"/>
              </w:rPr>
              <w:t>Program documents (e.g., Program financial report)</w:t>
            </w:r>
            <w:r w:rsidRPr="00C04DB6">
              <w:rPr>
                <w:rFonts w:eastAsia="Times New Roman"/>
                <w:color w:val="000000"/>
              </w:rPr>
              <w:t xml:space="preserve"> </w:t>
            </w:r>
            <w:r w:rsidR="00FA18D4">
              <w:rPr>
                <w:rFonts w:eastAsia="Times New Roman"/>
                <w:color w:val="000000"/>
              </w:rPr>
              <w:t>(</w:t>
            </w:r>
            <w:r w:rsidR="00FA18D4" w:rsidRPr="00DC7BBB">
              <w:rPr>
                <w:rFonts w:eastAsia="Times New Roman"/>
                <w:color w:val="000000"/>
              </w:rPr>
              <w:t>ongoing</w:t>
            </w:r>
            <w:r w:rsidR="00FA18D4">
              <w:rPr>
                <w:rFonts w:eastAsia="Times New Roman"/>
                <w:color w:val="000000"/>
              </w:rPr>
              <w:t>)</w:t>
            </w:r>
          </w:p>
        </w:tc>
        <w:tc>
          <w:tcPr>
            <w:tcW w:w="2790" w:type="dxa"/>
          </w:tcPr>
          <w:p w14:paraId="62D537D5" w14:textId="1BC840C9" w:rsidR="006B65B7" w:rsidRPr="00C66B80" w:rsidRDefault="006B65B7" w:rsidP="000048F4">
            <w:pPr>
              <w:pStyle w:val="TableNormal0"/>
              <w:cnfStyle w:val="000000000000" w:firstRow="0" w:lastRow="0" w:firstColumn="0" w:lastColumn="0" w:oddVBand="0" w:evenVBand="0" w:oddHBand="0" w:evenHBand="0" w:firstRowFirstColumn="0" w:firstRowLastColumn="0" w:lastRowFirstColumn="0" w:lastRowLastColumn="0"/>
            </w:pPr>
            <w:r w:rsidRPr="00C124A1">
              <w:rPr>
                <w:rFonts w:eastAsia="Times New Roman"/>
                <w:color w:val="000000"/>
              </w:rPr>
              <w:t>MassHealth</w:t>
            </w:r>
            <w:r w:rsidRPr="00C04DB6">
              <w:rPr>
                <w:rFonts w:eastAsia="Times New Roman"/>
                <w:color w:val="000000"/>
              </w:rPr>
              <w:t xml:space="preserve"> members receiving </w:t>
            </w:r>
            <w:r>
              <w:rPr>
                <w:rFonts w:eastAsia="Times New Roman"/>
                <w:color w:val="000000"/>
              </w:rPr>
              <w:t>PC</w:t>
            </w:r>
            <w:r w:rsidRPr="00C04DB6">
              <w:rPr>
                <w:rFonts w:eastAsia="Times New Roman"/>
                <w:color w:val="000000"/>
              </w:rPr>
              <w:t xml:space="preserve">, BH, or FNP services from community-based clinical settings with providers in the WI programs </w:t>
            </w:r>
            <w:r w:rsidR="00865127" w:rsidRPr="00865127">
              <w:rPr>
                <w:rFonts w:eastAsia="Times New Roman"/>
                <w:color w:val="000000"/>
              </w:rPr>
              <w:t>(</w:t>
            </w:r>
            <w:r w:rsidR="0067391B" w:rsidRPr="000E1818">
              <w:t>population estimated as</w:t>
            </w:r>
            <w:r w:rsidR="005F1A34">
              <w:t xml:space="preserve"> N</w:t>
            </w:r>
            <w:r w:rsidR="0067391B">
              <w:t>=~</w:t>
            </w:r>
            <w:r w:rsidR="0067391B" w:rsidRPr="006A7D74">
              <w:t>400,0</w:t>
            </w:r>
            <w:r w:rsidR="0067391B">
              <w:t>00</w:t>
            </w:r>
            <w:r w:rsidR="00865127" w:rsidRPr="000048F4">
              <w:rPr>
                <w:rFonts w:eastAsia="Times New Roman"/>
                <w:color w:val="000000"/>
              </w:rPr>
              <w:t>)</w:t>
            </w:r>
          </w:p>
        </w:tc>
        <w:tc>
          <w:tcPr>
            <w:tcW w:w="2626" w:type="dxa"/>
          </w:tcPr>
          <w:p w14:paraId="3FF77389" w14:textId="04A98564" w:rsidR="00916AC4" w:rsidRPr="000048F4" w:rsidRDefault="00916AC4">
            <w:pPr>
              <w:pStyle w:val="TableNormal0"/>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sidRPr="000048F4">
              <w:rPr>
                <w:rFonts w:eastAsia="Times New Roman"/>
                <w:b/>
                <w:bCs/>
                <w:color w:val="000000"/>
              </w:rPr>
              <w:t>H5-6.1</w:t>
            </w:r>
          </w:p>
          <w:p w14:paraId="199748C2" w14:textId="79E6691E" w:rsidR="006B65B7" w:rsidRPr="00C04DB6" w:rsidRDefault="006B65B7" w:rsidP="000048F4">
            <w:pPr>
              <w:pStyle w:val="TableNormal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04DB6">
              <w:rPr>
                <w:rFonts w:eastAsia="Times New Roman"/>
                <w:color w:val="000000"/>
              </w:rPr>
              <w:t xml:space="preserve">Total </w:t>
            </w:r>
            <w:r w:rsidR="000F0A17">
              <w:rPr>
                <w:rFonts w:eastAsia="Times New Roman"/>
                <w:color w:val="000000"/>
              </w:rPr>
              <w:t xml:space="preserve">WI </w:t>
            </w:r>
            <w:r w:rsidRPr="00C04DB6">
              <w:rPr>
                <w:rFonts w:eastAsia="Times New Roman"/>
                <w:color w:val="000000"/>
              </w:rPr>
              <w:t>program</w:t>
            </w:r>
            <w:r w:rsidR="000F0A17">
              <w:rPr>
                <w:rFonts w:eastAsia="Times New Roman"/>
                <w:color w:val="000000"/>
              </w:rPr>
              <w:t>s</w:t>
            </w:r>
            <w:r w:rsidRPr="00C04DB6">
              <w:rPr>
                <w:rFonts w:eastAsia="Times New Roman"/>
                <w:color w:val="000000"/>
              </w:rPr>
              <w:t xml:space="preserve"> cost;</w:t>
            </w:r>
          </w:p>
          <w:p w14:paraId="5BCF0328" w14:textId="77777777" w:rsidR="006B65B7" w:rsidRDefault="006B65B7" w:rsidP="000048F4">
            <w:pPr>
              <w:pStyle w:val="TableNormal0"/>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Cost of outpatient services;</w:t>
            </w:r>
          </w:p>
          <w:p w14:paraId="2FB8F6B7" w14:textId="77777777" w:rsidR="006B65B7" w:rsidRDefault="006B65B7" w:rsidP="000048F4">
            <w:pPr>
              <w:pStyle w:val="TableNormal0"/>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Cost of inpatient and ED services;</w:t>
            </w:r>
          </w:p>
          <w:p w14:paraId="1B18ADB0" w14:textId="0DB20B04" w:rsidR="003B443E" w:rsidRPr="000048F4" w:rsidRDefault="000F0A17" w:rsidP="000048F4">
            <w:pPr>
              <w:pStyle w:val="TableNormal0"/>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sidRPr="000048F4">
              <w:rPr>
                <w:rFonts w:eastAsia="Times New Roman"/>
                <w:b/>
                <w:bCs/>
                <w:color w:val="000000"/>
              </w:rPr>
              <w:t>H5-6.2</w:t>
            </w:r>
          </w:p>
          <w:p w14:paraId="65DD9482" w14:textId="77777777" w:rsidR="006B65B7" w:rsidRPr="00C04DB6" w:rsidRDefault="006B65B7" w:rsidP="000048F4">
            <w:pPr>
              <w:pStyle w:val="TableNormal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04DB6">
              <w:rPr>
                <w:rFonts w:eastAsia="Times New Roman"/>
                <w:color w:val="000000"/>
              </w:rPr>
              <w:t xml:space="preserve">Average </w:t>
            </w:r>
            <w:r>
              <w:rPr>
                <w:rFonts w:eastAsia="Times New Roman"/>
                <w:color w:val="000000"/>
              </w:rPr>
              <w:t>PMPM</w:t>
            </w:r>
            <w:r w:rsidRPr="00C04DB6">
              <w:rPr>
                <w:rFonts w:eastAsia="Times New Roman"/>
                <w:color w:val="000000"/>
              </w:rPr>
              <w:t xml:space="preserve"> cost for </w:t>
            </w:r>
            <w:r w:rsidRPr="00703AD7">
              <w:rPr>
                <w:rFonts w:eastAsia="Times New Roman"/>
                <w:color w:val="000000"/>
              </w:rPr>
              <w:t>MassHealth</w:t>
            </w:r>
            <w:r>
              <w:rPr>
                <w:rFonts w:eastAsia="Times New Roman"/>
                <w:color w:val="000000"/>
              </w:rPr>
              <w:t xml:space="preserve"> </w:t>
            </w:r>
            <w:r w:rsidRPr="00C04DB6">
              <w:rPr>
                <w:rFonts w:eastAsia="Times New Roman"/>
                <w:color w:val="000000"/>
              </w:rPr>
              <w:t>members</w:t>
            </w:r>
            <w:r>
              <w:rPr>
                <w:rFonts w:eastAsia="Times New Roman"/>
                <w:color w:val="000000"/>
              </w:rPr>
              <w:t xml:space="preserve"> </w:t>
            </w:r>
            <w:r w:rsidRPr="00C04DB6">
              <w:rPr>
                <w:rFonts w:eastAsia="Times New Roman"/>
                <w:color w:val="000000"/>
              </w:rPr>
              <w:t xml:space="preserve">receiving </w:t>
            </w:r>
            <w:r>
              <w:rPr>
                <w:rFonts w:eastAsia="Times New Roman"/>
                <w:color w:val="000000"/>
              </w:rPr>
              <w:t>PC</w:t>
            </w:r>
            <w:r w:rsidRPr="00C04DB6">
              <w:rPr>
                <w:rFonts w:eastAsia="Times New Roman"/>
                <w:color w:val="000000"/>
              </w:rPr>
              <w:t>, BH care, or FNP care in clinical settings</w:t>
            </w:r>
            <w:r>
              <w:rPr>
                <w:rFonts w:eastAsia="Times New Roman"/>
                <w:color w:val="000000"/>
              </w:rPr>
              <w:t>.</w:t>
            </w:r>
            <w:r w:rsidRPr="00C04DB6">
              <w:rPr>
                <w:rFonts w:eastAsia="Times New Roman"/>
                <w:color w:val="000000"/>
              </w:rPr>
              <w:t xml:space="preserve"> </w:t>
            </w:r>
            <w:r>
              <w:rPr>
                <w:rFonts w:eastAsia="Times New Roman"/>
                <w:color w:val="000000"/>
              </w:rPr>
              <w:t xml:space="preserve"> </w:t>
            </w:r>
          </w:p>
          <w:p w14:paraId="28CBD4FA" w14:textId="77777777" w:rsidR="006B65B7" w:rsidRPr="00C66B80" w:rsidRDefault="006B65B7" w:rsidP="000048F4">
            <w:pPr>
              <w:pStyle w:val="TableNormal0"/>
              <w:cnfStyle w:val="000000000000" w:firstRow="0" w:lastRow="0" w:firstColumn="0" w:lastColumn="0" w:oddVBand="0" w:evenVBand="0" w:oddHBand="0" w:evenHBand="0" w:firstRowFirstColumn="0" w:firstRowLastColumn="0" w:lastRowFirstColumn="0" w:lastRowLastColumn="0"/>
            </w:pPr>
          </w:p>
        </w:tc>
        <w:tc>
          <w:tcPr>
            <w:tcW w:w="1815" w:type="dxa"/>
          </w:tcPr>
          <w:p w14:paraId="00972AC1" w14:textId="7DB8D510" w:rsidR="006B65B7" w:rsidRPr="00A65005" w:rsidRDefault="006B65B7" w:rsidP="000048F4">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E555A1">
              <w:rPr>
                <w:rFonts w:eastAsia="Times New Roman"/>
              </w:rPr>
              <w:t>Quasi-</w:t>
            </w:r>
            <w:r w:rsidRPr="00A65005">
              <w:rPr>
                <w:rFonts w:eastAsia="Times New Roman"/>
              </w:rPr>
              <w:t>experimental design (QED)</w:t>
            </w:r>
            <w:r w:rsidR="00C13C14" w:rsidRPr="00A65005">
              <w:rPr>
                <w:rFonts w:eastAsia="Times New Roman"/>
              </w:rPr>
              <w:t xml:space="preserve"> (</w:t>
            </w:r>
            <w:r w:rsidR="00C13C14" w:rsidRPr="00DC7BBB">
              <w:rPr>
                <w:rFonts w:eastAsia="Times New Roman"/>
              </w:rPr>
              <w:t>member</w:t>
            </w:r>
            <w:r w:rsidRPr="00A65005">
              <w:rPr>
                <w:rFonts w:eastAsia="Times New Roman"/>
              </w:rPr>
              <w:t>);</w:t>
            </w:r>
          </w:p>
          <w:p w14:paraId="424FD454" w14:textId="1F61B3A4" w:rsidR="006B65B7" w:rsidRPr="00A65005" w:rsidRDefault="006B65B7" w:rsidP="000048F4">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A65005">
              <w:rPr>
                <w:rFonts w:eastAsia="Times New Roman"/>
              </w:rPr>
              <w:t>Propensity score methods</w:t>
            </w:r>
            <w:r w:rsidR="00A41888" w:rsidRPr="00A65005">
              <w:rPr>
                <w:rFonts w:eastAsia="Times New Roman"/>
              </w:rPr>
              <w:t xml:space="preserve"> (</w:t>
            </w:r>
            <w:r w:rsidR="00A41888" w:rsidRPr="00DC7BBB">
              <w:rPr>
                <w:rFonts w:eastAsia="Times New Roman"/>
              </w:rPr>
              <w:t>member</w:t>
            </w:r>
            <w:r w:rsidR="00A41888" w:rsidRPr="00A65005">
              <w:rPr>
                <w:rFonts w:eastAsia="Times New Roman"/>
              </w:rPr>
              <w:t>)</w:t>
            </w:r>
            <w:r w:rsidRPr="00A65005">
              <w:rPr>
                <w:rFonts w:eastAsia="Times New Roman"/>
              </w:rPr>
              <w:t>;</w:t>
            </w:r>
          </w:p>
          <w:p w14:paraId="2EB63232" w14:textId="05E9CE7D" w:rsidR="006B65B7" w:rsidRPr="00C66B80" w:rsidRDefault="006B65B7" w:rsidP="000048F4">
            <w:pPr>
              <w:pStyle w:val="TableNormal0"/>
              <w:cnfStyle w:val="000000000000" w:firstRow="0" w:lastRow="0" w:firstColumn="0" w:lastColumn="0" w:oddVBand="0" w:evenVBand="0" w:oddHBand="0" w:evenHBand="0" w:firstRowFirstColumn="0" w:firstRowLastColumn="0" w:lastRowFirstColumn="0" w:lastRowLastColumn="0"/>
            </w:pPr>
            <w:r w:rsidRPr="00A65005">
              <w:rPr>
                <w:rFonts w:eastAsia="Times New Roman"/>
              </w:rPr>
              <w:t>Interrupted time series</w:t>
            </w:r>
            <w:r w:rsidR="00A41888" w:rsidRPr="00A65005">
              <w:rPr>
                <w:rFonts w:eastAsia="Times New Roman"/>
              </w:rPr>
              <w:t xml:space="preserve"> (</w:t>
            </w:r>
            <w:r w:rsidR="00A41888" w:rsidRPr="00DC7BBB">
              <w:rPr>
                <w:rFonts w:eastAsia="Times New Roman"/>
              </w:rPr>
              <w:t>member)</w:t>
            </w:r>
          </w:p>
        </w:tc>
      </w:tr>
    </w:tbl>
    <w:p w14:paraId="35E8EA06" w14:textId="511A1C8C" w:rsidR="00817524" w:rsidRPr="00920CF1" w:rsidRDefault="00817524" w:rsidP="00920CF1">
      <w:pPr>
        <w:pStyle w:val="TableorFigurefootnote"/>
      </w:pPr>
      <w:r w:rsidRPr="00920CF1">
        <w:t xml:space="preserve">a. Research questions developed in response to STCs sections </w:t>
      </w:r>
      <w:r w:rsidR="00283DF8" w:rsidRPr="00920CF1">
        <w:t>13.1-13.8</w:t>
      </w:r>
      <w:r w:rsidR="005B6BEA" w:rsidRPr="005B6BEA">
        <w:t xml:space="preserve">; </w:t>
      </w:r>
      <w:hyperlink r:id="rId34" w:history="1">
        <w:r w:rsidR="005B6BEA" w:rsidRPr="005B6BEA">
          <w:rPr>
            <w:rStyle w:val="Hyperlink"/>
          </w:rPr>
          <w:t>1115 MassHealth Demonstration ("Waiver") | Mass.gov</w:t>
        </w:r>
      </w:hyperlink>
    </w:p>
    <w:p w14:paraId="4366C671" w14:textId="58E13805" w:rsidR="00817524" w:rsidRPr="00920CF1" w:rsidRDefault="00817524" w:rsidP="00920CF1">
      <w:pPr>
        <w:pStyle w:val="TableorFigurefootnote"/>
      </w:pPr>
      <w:r w:rsidRPr="00920CF1">
        <w:t xml:space="preserve">b. Data Sources are described in section 6.4.2, “Data Sources and CollectionMethods,” and section 1.4.1, “Summary of Data Sources.” </w:t>
      </w:r>
    </w:p>
    <w:p w14:paraId="7D805B51" w14:textId="532F07D5" w:rsidR="00DC5A34" w:rsidRPr="00920CF1" w:rsidRDefault="00817524" w:rsidP="00920CF1">
      <w:pPr>
        <w:pStyle w:val="TableorFigurefootnote"/>
        <w:sectPr w:rsidR="00DC5A34" w:rsidRPr="00920CF1" w:rsidSect="00744E1B">
          <w:pgSz w:w="15840" w:h="12240" w:orient="landscape"/>
          <w:pgMar w:top="1152" w:right="1152" w:bottom="1152" w:left="1152" w:header="720" w:footer="576" w:gutter="0"/>
          <w:cols w:space="720"/>
          <w:docGrid w:linePitch="360"/>
        </w:sectPr>
      </w:pPr>
      <w:r w:rsidRPr="00920CF1">
        <w:t>c. Analysis methods are described in section 6.4.</w:t>
      </w:r>
      <w:r w:rsidR="00D04893">
        <w:t>4</w:t>
      </w:r>
      <w:r w:rsidRPr="00920CF1">
        <w:t>, “</w:t>
      </w:r>
      <w:r w:rsidR="00D04893">
        <w:t xml:space="preserve">Analysis </w:t>
      </w:r>
      <w:r w:rsidRPr="00920CF1">
        <w:t>Methods.”</w:t>
      </w:r>
    </w:p>
    <w:p w14:paraId="403C3207" w14:textId="757E54E7" w:rsidR="00DC5A34" w:rsidRPr="003E3CCA" w:rsidRDefault="005B47F7" w:rsidP="00C66B80">
      <w:pPr>
        <w:pStyle w:val="Heading2"/>
      </w:pPr>
      <w:bookmarkStart w:id="173" w:name="_Toc130209725"/>
      <w:r>
        <w:lastRenderedPageBreak/>
        <w:t xml:space="preserve"> </w:t>
      </w:r>
      <w:bookmarkStart w:id="174" w:name="_Toc151976436"/>
      <w:r w:rsidR="00DC5A34" w:rsidRPr="003E3CCA">
        <w:t>Data and Methods</w:t>
      </w:r>
      <w:bookmarkEnd w:id="173"/>
      <w:bookmarkEnd w:id="174"/>
    </w:p>
    <w:p w14:paraId="60581D45" w14:textId="77777777" w:rsidR="00DC5A34" w:rsidRPr="0009132C" w:rsidRDefault="00DC5A34" w:rsidP="00EE4105">
      <w:pPr>
        <w:pStyle w:val="Heading3"/>
      </w:pPr>
      <w:r w:rsidRPr="0009132C">
        <w:t>Study Populations (Including Potential Comparison Groups)</w:t>
      </w:r>
    </w:p>
    <w:p w14:paraId="2F67BB08" w14:textId="77777777" w:rsidR="00DC5A34" w:rsidRPr="0009132C" w:rsidRDefault="00DC5A34" w:rsidP="00301DAB">
      <w:pPr>
        <w:pStyle w:val="Heading4"/>
      </w:pPr>
      <w:r w:rsidRPr="0009132C">
        <w:t xml:space="preserve">Study population: </w:t>
      </w:r>
    </w:p>
    <w:p w14:paraId="397EE904" w14:textId="77777777" w:rsidR="00DC5A34" w:rsidRPr="0009132C" w:rsidRDefault="00DC5A34" w:rsidP="00E12F9A">
      <w:r w:rsidRPr="0009132C">
        <w:t>The study population for the WI program will include individual providers, practice sites, or individual MassHealth members, depending on the RQ:</w:t>
      </w:r>
    </w:p>
    <w:p w14:paraId="54BE0064" w14:textId="77777777" w:rsidR="00DC5A34" w:rsidRPr="0009132C" w:rsidRDefault="00DC5A34" w:rsidP="00C66B80">
      <w:pPr>
        <w:pStyle w:val="ListNumber"/>
        <w:numPr>
          <w:ilvl w:val="0"/>
          <w:numId w:val="122"/>
        </w:numPr>
      </w:pPr>
      <w:r w:rsidRPr="0009132C">
        <w:t xml:space="preserve">Providers who were eligible to apply for the three WI programs;  </w:t>
      </w:r>
    </w:p>
    <w:p w14:paraId="1821D02D" w14:textId="77777777" w:rsidR="00DC5A34" w:rsidRPr="0009132C" w:rsidRDefault="00DC5A34" w:rsidP="003417FC">
      <w:pPr>
        <w:pStyle w:val="ListNumber"/>
      </w:pPr>
      <w:r w:rsidRPr="0009132C">
        <w:t xml:space="preserve">Prospective providers potentially eligible for the WI program (e.g., graduating medical students); </w:t>
      </w:r>
    </w:p>
    <w:p w14:paraId="643C0BA3" w14:textId="77777777" w:rsidR="00DC5A34" w:rsidRPr="0009132C" w:rsidRDefault="00DC5A34" w:rsidP="003417FC">
      <w:pPr>
        <w:pStyle w:val="ListNumber"/>
      </w:pPr>
      <w:r w:rsidRPr="0009132C">
        <w:t>Community-based practice sites with providers in the WI programs, providing primary care and BH services to MassHealth members; and</w:t>
      </w:r>
    </w:p>
    <w:p w14:paraId="6E975C61" w14:textId="77777777" w:rsidR="00DC5A34" w:rsidRPr="0009132C" w:rsidRDefault="00DC5A34" w:rsidP="003417FC">
      <w:pPr>
        <w:pStyle w:val="ListNumber"/>
      </w:pPr>
      <w:r w:rsidRPr="0009132C">
        <w:t xml:space="preserve">MassHealth members who received primary care and BH services from community-based practice sites.  </w:t>
      </w:r>
    </w:p>
    <w:p w14:paraId="3FBFF238" w14:textId="77777777" w:rsidR="00DC5A34" w:rsidRPr="0009132C" w:rsidRDefault="00DC5A34" w:rsidP="00301DAB">
      <w:pPr>
        <w:pStyle w:val="Heading4"/>
      </w:pPr>
      <w:r w:rsidRPr="0009132C">
        <w:t xml:space="preserve">Comparison Group: </w:t>
      </w:r>
    </w:p>
    <w:p w14:paraId="41BC2749" w14:textId="099DCCCD" w:rsidR="00DC5A34" w:rsidRPr="0009132C" w:rsidRDefault="00DC5A34" w:rsidP="00E12F9A">
      <w:r w:rsidRPr="0009132C">
        <w:t xml:space="preserve">We encourage MassHealth to randomly select providers among applicants in the WI programs under the 2022-2027 Demonstration; this would allow us to include a random sample of providers and MassHealth members as a comparison group in the evaluation. If that is not possible, the evaluation team will use propensity scores to generate similar comparison groups (described further in </w:t>
      </w:r>
      <w:r w:rsidR="00863884" w:rsidRPr="008726E8">
        <w:rPr>
          <w:color w:val="000F9F"/>
        </w:rPr>
        <w:t xml:space="preserve">Section </w:t>
      </w:r>
      <w:r w:rsidR="00863884" w:rsidRPr="008726E8">
        <w:rPr>
          <w:color w:val="000F9F"/>
          <w:u w:val="single"/>
        </w:rPr>
        <w:fldChar w:fldCharType="begin"/>
      </w:r>
      <w:r w:rsidR="00863884" w:rsidRPr="008726E8">
        <w:rPr>
          <w:color w:val="000F9F"/>
          <w:u w:val="single"/>
        </w:rPr>
        <w:instrText xml:space="preserve"> REF _Ref151543659 \r \h </w:instrText>
      </w:r>
      <w:r w:rsidR="00863884" w:rsidRPr="008726E8">
        <w:rPr>
          <w:color w:val="000F9F"/>
          <w:u w:val="single"/>
        </w:rPr>
      </w:r>
      <w:r w:rsidR="00863884" w:rsidRPr="008726E8">
        <w:rPr>
          <w:color w:val="000F9F"/>
          <w:u w:val="single"/>
        </w:rPr>
        <w:fldChar w:fldCharType="separate"/>
      </w:r>
      <w:r w:rsidR="00863884" w:rsidRPr="008726E8">
        <w:rPr>
          <w:color w:val="000F9F"/>
          <w:u w:val="single"/>
        </w:rPr>
        <w:t>6.4.2</w:t>
      </w:r>
      <w:r w:rsidR="00863884" w:rsidRPr="008726E8">
        <w:rPr>
          <w:color w:val="000F9F"/>
          <w:u w:val="single"/>
        </w:rPr>
        <w:fldChar w:fldCharType="end"/>
      </w:r>
      <w:r w:rsidRPr="0009132C">
        <w:t xml:space="preserve">) of: </w:t>
      </w:r>
    </w:p>
    <w:p w14:paraId="6A3BE64C" w14:textId="5F4C17B7" w:rsidR="00DC5A34" w:rsidRPr="0009132C" w:rsidRDefault="00DC5A34" w:rsidP="00C66B80">
      <w:pPr>
        <w:pStyle w:val="ListNumber"/>
        <w:numPr>
          <w:ilvl w:val="0"/>
          <w:numId w:val="123"/>
        </w:numPr>
      </w:pPr>
      <w:r w:rsidRPr="0009132C">
        <w:t>Eligible providers (practice sites and individual providers) who applied for but were not accepted by these programs or were enrolled but left the program before completion. If such comparison groups are unavailable for a given WI, we will identify comparison group members from other community-based practices and providers eligible for participation in the program.</w:t>
      </w:r>
    </w:p>
    <w:p w14:paraId="16FED617" w14:textId="6AA598BD" w:rsidR="00DC5A34" w:rsidRPr="0009132C" w:rsidRDefault="00DC5A34" w:rsidP="003417FC">
      <w:pPr>
        <w:pStyle w:val="ListNumber"/>
      </w:pPr>
      <w:r w:rsidRPr="0009132C">
        <w:t>MassHealth members who received primary care and BH services from community-based practice settings.</w:t>
      </w:r>
    </w:p>
    <w:p w14:paraId="34F1EDA4" w14:textId="6FBA3D6A" w:rsidR="00DC5A34" w:rsidRPr="0009132C" w:rsidRDefault="7A8051C7" w:rsidP="00E12F9A">
      <w:r w:rsidRPr="0009132C">
        <w:t>T</w:t>
      </w:r>
      <w:r w:rsidR="00DC5A34" w:rsidRPr="0009132C">
        <w:t xml:space="preserve">he IE will use mixed methods to: (1) understand how the WI programs were implemented through qualitative interviews, (2) capture facilitators and barriers to the successful implementation of these programs through qualitative interviews, (3) identify factors that influenced, or would influence, the targeted providers’ decision to serve MassHealth members, as stated by the goal of the programs through collection and analyses of survey data, program reports, and qualitative interviews, and (4) determine how the WI programs improved MassHealth members’ outcomes and affected MassHealth costs through Medicaid administrative data analyses. The measures, data sources, and analytic approaches that will be used to address each evaluation hypothesis are presented in </w:t>
      </w:r>
      <w:r w:rsidR="001F467C" w:rsidRPr="008726E8">
        <w:rPr>
          <w:color w:val="000F9F"/>
          <w:u w:val="single"/>
        </w:rPr>
        <w:fldChar w:fldCharType="begin"/>
      </w:r>
      <w:r w:rsidR="001F467C" w:rsidRPr="008726E8">
        <w:rPr>
          <w:color w:val="000F9F"/>
          <w:u w:val="single"/>
        </w:rPr>
        <w:instrText xml:space="preserve"> REF _Ref151467867 \h </w:instrText>
      </w:r>
      <w:r w:rsidR="001F467C" w:rsidRPr="008726E8">
        <w:rPr>
          <w:color w:val="000F9F"/>
          <w:u w:val="single"/>
        </w:rPr>
      </w:r>
      <w:r w:rsidR="001F467C" w:rsidRPr="008726E8">
        <w:rPr>
          <w:color w:val="000F9F"/>
          <w:u w:val="single"/>
        </w:rPr>
        <w:fldChar w:fldCharType="separate"/>
      </w:r>
      <w:r w:rsidR="001F467C" w:rsidRPr="008726E8">
        <w:rPr>
          <w:color w:val="000F9F"/>
          <w:u w:val="single"/>
        </w:rPr>
        <w:t xml:space="preserve">Table </w:t>
      </w:r>
      <w:r w:rsidR="001F467C" w:rsidRPr="008726E8">
        <w:rPr>
          <w:noProof/>
          <w:color w:val="000F9F"/>
          <w:u w:val="single"/>
        </w:rPr>
        <w:t>6</w:t>
      </w:r>
      <w:r w:rsidR="001F467C" w:rsidRPr="008726E8">
        <w:rPr>
          <w:color w:val="000F9F"/>
          <w:u w:val="single"/>
        </w:rPr>
        <w:noBreakHyphen/>
      </w:r>
      <w:r w:rsidR="001F467C" w:rsidRPr="008726E8">
        <w:rPr>
          <w:noProof/>
          <w:color w:val="000F9F"/>
          <w:u w:val="single"/>
        </w:rPr>
        <w:t>2</w:t>
      </w:r>
      <w:r w:rsidR="001F467C" w:rsidRPr="008726E8">
        <w:rPr>
          <w:color w:val="000F9F"/>
          <w:u w:val="single"/>
        </w:rPr>
        <w:fldChar w:fldCharType="end"/>
      </w:r>
      <w:r w:rsidR="00AF7277" w:rsidRPr="0009132C">
        <w:t>.</w:t>
      </w:r>
      <w:r w:rsidR="00DC5A34" w:rsidRPr="0009132C" w:rsidDel="00AF7277">
        <w:t xml:space="preserve"> </w:t>
      </w:r>
    </w:p>
    <w:p w14:paraId="0D9AB4FA" w14:textId="571F96EE" w:rsidR="00D308D5" w:rsidRPr="0009132C" w:rsidRDefault="00D308D5" w:rsidP="00EE4105">
      <w:pPr>
        <w:pStyle w:val="Heading3"/>
      </w:pPr>
      <w:bookmarkStart w:id="175" w:name="_Data_Sources_and_2"/>
      <w:bookmarkStart w:id="176" w:name="_Ref151543659"/>
      <w:bookmarkEnd w:id="175"/>
      <w:r w:rsidRPr="0009132C">
        <w:lastRenderedPageBreak/>
        <w:t>Data Sources and Collection Methods</w:t>
      </w:r>
      <w:bookmarkEnd w:id="176"/>
      <w:r w:rsidRPr="0009132C">
        <w:t xml:space="preserve">  </w:t>
      </w:r>
    </w:p>
    <w:p w14:paraId="286AB1C7" w14:textId="212155F4" w:rsidR="00D308D5" w:rsidRPr="0009132C" w:rsidRDefault="00D308D5" w:rsidP="003C6C8F">
      <w:r w:rsidRPr="0009132C">
        <w:t xml:space="preserve">The key data sources for the WI evaluations are provider (and prospective provider) surveys, provider and stakeholder interviews, member interviews, Medicaid administrative data (enrollment, eligibility, claims, encounters), and program reports (as indicated in </w:t>
      </w:r>
      <w:r w:rsidR="001F467C" w:rsidRPr="008726E8">
        <w:rPr>
          <w:color w:val="000F9F"/>
          <w:u w:val="single"/>
        </w:rPr>
        <w:fldChar w:fldCharType="begin"/>
      </w:r>
      <w:r w:rsidR="001F467C" w:rsidRPr="008726E8">
        <w:rPr>
          <w:color w:val="000F9F"/>
          <w:u w:val="single"/>
        </w:rPr>
        <w:instrText xml:space="preserve"> REF _Ref151467867 \h </w:instrText>
      </w:r>
      <w:r w:rsidR="001F467C" w:rsidRPr="008726E8">
        <w:rPr>
          <w:color w:val="000F9F"/>
          <w:u w:val="single"/>
        </w:rPr>
      </w:r>
      <w:r w:rsidR="001F467C" w:rsidRPr="008726E8">
        <w:rPr>
          <w:color w:val="000F9F"/>
          <w:u w:val="single"/>
        </w:rPr>
        <w:fldChar w:fldCharType="separate"/>
      </w:r>
      <w:r w:rsidR="001F467C" w:rsidRPr="008726E8">
        <w:rPr>
          <w:color w:val="000F9F"/>
          <w:u w:val="single"/>
        </w:rPr>
        <w:t xml:space="preserve">Table </w:t>
      </w:r>
      <w:r w:rsidR="001F467C" w:rsidRPr="008726E8">
        <w:rPr>
          <w:noProof/>
          <w:color w:val="000F9F"/>
          <w:u w:val="single"/>
        </w:rPr>
        <w:t>6</w:t>
      </w:r>
      <w:r w:rsidR="001F467C" w:rsidRPr="008726E8">
        <w:rPr>
          <w:color w:val="000F9F"/>
          <w:u w:val="single"/>
        </w:rPr>
        <w:noBreakHyphen/>
      </w:r>
      <w:r w:rsidR="001F467C" w:rsidRPr="008726E8">
        <w:rPr>
          <w:noProof/>
          <w:color w:val="000F9F"/>
          <w:u w:val="single"/>
        </w:rPr>
        <w:t>2</w:t>
      </w:r>
      <w:r w:rsidR="001F467C" w:rsidRPr="008726E8">
        <w:rPr>
          <w:color w:val="000F9F"/>
          <w:u w:val="single"/>
        </w:rPr>
        <w:fldChar w:fldCharType="end"/>
      </w:r>
      <w:r w:rsidRPr="0009132C">
        <w:t xml:space="preserve">). </w:t>
      </w:r>
    </w:p>
    <w:p w14:paraId="2032F4DD" w14:textId="000784A5" w:rsidR="00D308D5" w:rsidRPr="0009132C" w:rsidRDefault="00D308D5" w:rsidP="00301DAB">
      <w:pPr>
        <w:pStyle w:val="Heading4"/>
      </w:pPr>
      <w:r w:rsidRPr="0009132C">
        <w:t>Qualitative Data</w:t>
      </w:r>
    </w:p>
    <w:p w14:paraId="5DE88665" w14:textId="77777777" w:rsidR="00D308D5" w:rsidRPr="0009132C" w:rsidRDefault="00D308D5" w:rsidP="00E12F9A">
      <w:r w:rsidRPr="0009132C">
        <w:t>The qualitative data will include the following:</w:t>
      </w:r>
    </w:p>
    <w:p w14:paraId="3C78AECD" w14:textId="0CF4D051" w:rsidR="00D308D5" w:rsidRPr="0009132C" w:rsidRDefault="00D308D5" w:rsidP="003C6C8F">
      <w:pPr>
        <w:pStyle w:val="Heading5"/>
      </w:pPr>
      <w:bookmarkStart w:id="177" w:name="_Programs_Documents"/>
      <w:bookmarkEnd w:id="177"/>
      <w:r w:rsidRPr="0009132C">
        <w:t>Programs Documents</w:t>
      </w:r>
    </w:p>
    <w:p w14:paraId="7CD6CDB4" w14:textId="77777777" w:rsidR="00D308D5" w:rsidRPr="0009132C" w:rsidRDefault="00D308D5" w:rsidP="00E12F9A">
      <w:r w:rsidRPr="0009132C">
        <w:t>The documents include Request for Proposals (RFPs), program monitoring, and enrollment reports. Literature will also be reviewed to gather evidence of the effectiveness of similar programs. These data will</w:t>
      </w:r>
      <w:r w:rsidRPr="0009132C" w:rsidDel="008F33F8">
        <w:t xml:space="preserve"> inform</w:t>
      </w:r>
      <w:r w:rsidRPr="0009132C">
        <w:t xml:space="preserve"> the development of interview guides for program administrators, providers, and members. The collection and review of these documents will be throughout the evaluation period. </w:t>
      </w:r>
    </w:p>
    <w:p w14:paraId="579E6D6C" w14:textId="26E86302" w:rsidR="00D308D5" w:rsidRPr="0009132C" w:rsidRDefault="00D308D5" w:rsidP="00E12F9A">
      <w:pPr>
        <w:pStyle w:val="Heading5"/>
      </w:pPr>
      <w:r w:rsidRPr="0009132C">
        <w:t xml:space="preserve">WI Program Administrator </w:t>
      </w:r>
      <w:r w:rsidR="005F1A34">
        <w:t xml:space="preserve">and Vendor </w:t>
      </w:r>
      <w:r w:rsidRPr="0009132C">
        <w:t xml:space="preserve">Interviews </w:t>
      </w:r>
    </w:p>
    <w:p w14:paraId="73D8ABF6" w14:textId="6B817765" w:rsidR="00D308D5" w:rsidRPr="0009132C" w:rsidRDefault="00D308D5" w:rsidP="00E12F9A">
      <w:r>
        <w:t>These interviews will be conducted with MassHealth staff and MassHealth vendors and will explore the process used in identifying and recruiting providers and the challenges faced, if any, during the program’s implementation. The interviews will be conducted in State Fiscal Year (SFY)</w:t>
      </w:r>
      <w:r w:rsidR="005B47F7">
        <w:t xml:space="preserve"> </w:t>
      </w:r>
      <w:r>
        <w:t xml:space="preserve">24, SFY25, and SFY27. </w:t>
      </w:r>
      <w:r w:rsidR="00660D40">
        <w:t xml:space="preserve">We anticipate </w:t>
      </w:r>
      <w:r w:rsidR="008B465D">
        <w:t xml:space="preserve">using an open-ended questionnaire </w:t>
      </w:r>
      <w:r w:rsidR="00905EE5">
        <w:t xml:space="preserve">distributed to </w:t>
      </w:r>
      <w:r w:rsidR="00832676">
        <w:t>MassHealth staff and MassHealth vendors</w:t>
      </w:r>
      <w:r w:rsidR="00905EE5">
        <w:t xml:space="preserve"> </w:t>
      </w:r>
      <w:r w:rsidR="000732C0">
        <w:t>for efficiency when</w:t>
      </w:r>
      <w:r w:rsidR="00C00A9B">
        <w:t xml:space="preserve"> each modality is expected to yield similar information</w:t>
      </w:r>
      <w:r w:rsidR="006E4120">
        <w:t xml:space="preserve"> based on the type of respondent and </w:t>
      </w:r>
      <w:r w:rsidR="00E072D1">
        <w:t xml:space="preserve">the </w:t>
      </w:r>
      <w:r w:rsidR="006E4120">
        <w:t>information being collected</w:t>
      </w:r>
      <w:r w:rsidR="00C00A9B">
        <w:t>.</w:t>
      </w:r>
      <w:r w:rsidR="005F1A34">
        <w:t xml:space="preserve">   </w:t>
      </w:r>
    </w:p>
    <w:p w14:paraId="5A49F380" w14:textId="3C2B0451" w:rsidR="00D308D5" w:rsidRPr="0009132C" w:rsidRDefault="00D308D5" w:rsidP="00E12F9A">
      <w:pPr>
        <w:pStyle w:val="Heading5"/>
      </w:pPr>
      <w:r w:rsidRPr="0009132C">
        <w:t xml:space="preserve">Provider Interviews </w:t>
      </w:r>
    </w:p>
    <w:p w14:paraId="620F6E82" w14:textId="7FD5D105" w:rsidR="00D308D5" w:rsidRPr="0009132C" w:rsidRDefault="00D308D5" w:rsidP="00E12F9A">
      <w:r w:rsidRPr="0009132C">
        <w:t>These interviews will include a convenient but diversified sample of practice sites and individual clinicians who applied for the program. Both awardees and non-awardees’ perspectives will be explored. The goals are to explore how they learned about the programs, their motivation, and</w:t>
      </w:r>
      <w:r w:rsidRPr="0009132C" w:rsidDel="00887E87">
        <w:t xml:space="preserve"> </w:t>
      </w:r>
      <w:r w:rsidRPr="0009132C">
        <w:t xml:space="preserve">their plans for and </w:t>
      </w:r>
      <w:r w:rsidR="00905EE5" w:rsidRPr="0009132C">
        <w:t>experiences</w:t>
      </w:r>
      <w:r w:rsidRPr="0009132C">
        <w:t xml:space="preserve"> complying with the programs</w:t>
      </w:r>
      <w:r w:rsidRPr="0009132C" w:rsidDel="00887E87">
        <w:t>’</w:t>
      </w:r>
      <w:r w:rsidRPr="0009132C">
        <w:t xml:space="preserve"> requirements. The interviews will be conducted in SFY24, SFY25, and SFY27.</w:t>
      </w:r>
    </w:p>
    <w:p w14:paraId="050F587B" w14:textId="595160EE" w:rsidR="00D308D5" w:rsidRPr="0009132C" w:rsidRDefault="00D308D5" w:rsidP="003C6C8F">
      <w:pPr>
        <w:pStyle w:val="Heading5"/>
      </w:pPr>
      <w:r w:rsidRPr="0009132C">
        <w:t xml:space="preserve">Providers’ Exit Interviews (If </w:t>
      </w:r>
      <w:r w:rsidR="00C66B80">
        <w:t>F</w:t>
      </w:r>
      <w:r w:rsidRPr="0009132C">
        <w:t>easible)</w:t>
      </w:r>
    </w:p>
    <w:p w14:paraId="38C225B3" w14:textId="2069E7B6" w:rsidR="00D308D5" w:rsidRPr="0009132C" w:rsidRDefault="00D308D5" w:rsidP="00E12F9A">
      <w:r w:rsidRPr="0009132C">
        <w:t xml:space="preserve">These interviews will include a sample of providers who left their work at CHCs for other opportunities. The interviews will inform MassHealth </w:t>
      </w:r>
      <w:r w:rsidR="00C844B9">
        <w:t>-about</w:t>
      </w:r>
      <w:r w:rsidR="00C844B9" w:rsidRPr="0009132C">
        <w:t xml:space="preserve"> </w:t>
      </w:r>
      <w:r w:rsidRPr="0009132C">
        <w:t xml:space="preserve">reasons for leaving the job, the overall workplace culture, and any processes and systems that contributed to the decision to leave. These interview data will be subject to whether practices can share the exit interview data with the IE. Even if so, this is supplemental data to provider interviews and surveys. </w:t>
      </w:r>
    </w:p>
    <w:p w14:paraId="0B2D14A7" w14:textId="22006B92" w:rsidR="00D308D5" w:rsidRPr="0009132C" w:rsidRDefault="00D308D5" w:rsidP="00E12F9A">
      <w:pPr>
        <w:pStyle w:val="Heading5"/>
      </w:pPr>
      <w:r w:rsidRPr="0009132C">
        <w:t xml:space="preserve">Member Interviews/Focus Groups </w:t>
      </w:r>
    </w:p>
    <w:p w14:paraId="5B7E0F3A" w14:textId="77777777" w:rsidR="00D308D5" w:rsidRPr="0009132C" w:rsidRDefault="00D308D5" w:rsidP="00E12F9A">
      <w:r w:rsidRPr="0009132C">
        <w:t xml:space="preserve">These interviews will be with Medicaid members who receive services from CHCs or any other community-based outpatient settings who receive funding or have clinicians who receive funding from the three WI programs. Members’ observed changes in </w:t>
      </w:r>
      <w:r w:rsidRPr="0009132C">
        <w:lastRenderedPageBreak/>
        <w:t>access and experience with receiving primary and BH care will be explored. Up to 50 primary and BH care members will be contacted; the final number of interviews is subject to data saturation. Two waves of interviews will be conducted in SFY25 and SFY27, respectively.</w:t>
      </w:r>
      <w:r w:rsidRPr="0009132C">
        <w:rPr>
          <w:rStyle w:val="FootnoteReference"/>
        </w:rPr>
        <w:footnoteReference w:id="120"/>
      </w:r>
      <w:r w:rsidRPr="0009132C">
        <w:t xml:space="preserve"> A diversified convenience sample of members in terms of age, gender, race, and region will be selected. Focus groups will be arranged if members’ schedules match. The interviewing schedule will be coordinated with other policy domains’ data collection efforts. To identify and recruit members, we would consider placing flyers in the providers’ offices and have them alert members to contact the evaluator to schedule an interview, with a stipend provided to interviewees; or use program encounter data (e.g., mobile crisis intervention encounter of CBHCs; or on-site recruitment of members on a randomly selected day). The selection of interviewees and conduct of interviews will be coordinated with other policy domains, primarily the Delivery System Reform (DSR) policy domain. </w:t>
      </w:r>
    </w:p>
    <w:p w14:paraId="0E1B05A1" w14:textId="77777777" w:rsidR="00D308D5" w:rsidRPr="0009132C" w:rsidRDefault="00D308D5" w:rsidP="00301DAB">
      <w:pPr>
        <w:pStyle w:val="Heading4"/>
      </w:pPr>
      <w:r w:rsidRPr="0009132C">
        <w:t xml:space="preserve">Quantitative Data </w:t>
      </w:r>
    </w:p>
    <w:p w14:paraId="3DB3B7FF" w14:textId="77777777" w:rsidR="00D308D5" w:rsidRPr="0009132C" w:rsidRDefault="00D308D5" w:rsidP="00E12F9A">
      <w:r w:rsidRPr="0009132C">
        <w:t>The quantitative data will include the following:</w:t>
      </w:r>
    </w:p>
    <w:p w14:paraId="32A6888E" w14:textId="7FEB63FF" w:rsidR="00D308D5" w:rsidRPr="0009132C" w:rsidRDefault="00D308D5" w:rsidP="00E12F9A">
      <w:pPr>
        <w:pStyle w:val="Heading5"/>
      </w:pPr>
      <w:r w:rsidRPr="0009132C">
        <w:t xml:space="preserve">Medicaid Administrative Data </w:t>
      </w:r>
    </w:p>
    <w:p w14:paraId="39D17E09" w14:textId="24C66B27" w:rsidR="00D308D5" w:rsidRPr="0009132C" w:rsidRDefault="00D308D5" w:rsidP="00E12F9A">
      <w:r w:rsidRPr="0009132C">
        <w:t xml:space="preserve">This data will be used for determining member healthcare utilization and cost, as summarized in </w:t>
      </w:r>
      <w:hyperlink w:anchor="_Summary_of_Data_1" w:history="1">
        <w:r w:rsidR="00D57C59" w:rsidRPr="00D57C59">
          <w:rPr>
            <w:rStyle w:val="Hyperlink"/>
          </w:rPr>
          <w:t>S</w:t>
        </w:r>
        <w:r w:rsidRPr="00D57C59">
          <w:rPr>
            <w:rStyle w:val="Hyperlink"/>
          </w:rPr>
          <w:t>ection 1.4.1 Summary of Data Sources</w:t>
        </w:r>
      </w:hyperlink>
      <w:r w:rsidRPr="0009132C">
        <w:t>. MassHealth members will be attributed to providers of these WI programs in the analyses. </w:t>
      </w:r>
    </w:p>
    <w:p w14:paraId="34DCFFEE" w14:textId="34AF16D1" w:rsidR="00D308D5" w:rsidRPr="0009132C" w:rsidRDefault="00D308D5" w:rsidP="00E12F9A">
      <w:pPr>
        <w:pStyle w:val="Heading5"/>
      </w:pPr>
      <w:r w:rsidRPr="0009132C">
        <w:t>Cross-Sectional Surveys of the Targeted Clinician (or Prospective Clinician) Types (e.g., Residents, Students)</w:t>
      </w:r>
    </w:p>
    <w:p w14:paraId="1D530D14" w14:textId="112AC9A3" w:rsidR="00D308D5" w:rsidRPr="0009132C" w:rsidRDefault="00D308D5" w:rsidP="00E12F9A">
      <w:r w:rsidRPr="0009132C">
        <w:t>Using a conjoint design</w:t>
      </w:r>
      <w:r w:rsidR="00153C74" w:rsidRPr="0009132C">
        <w:t>,</w:t>
      </w:r>
      <w:r w:rsidRPr="0009132C">
        <w:rPr>
          <w:rStyle w:val="FootnoteReference"/>
        </w:rPr>
        <w:footnoteReference w:id="121"/>
      </w:r>
      <w:r w:rsidRPr="0009132C">
        <w:t xml:space="preserve"> the </w:t>
      </w:r>
      <w:r w:rsidR="003F5B59" w:rsidRPr="0009132C">
        <w:t xml:space="preserve">provider (workforce) </w:t>
      </w:r>
      <w:r w:rsidRPr="0009132C">
        <w:t xml:space="preserve">survey will construct scenarios of incentives, including financial incentives, that MassHealth might consider </w:t>
      </w:r>
      <w:r w:rsidR="00B86D46" w:rsidRPr="0009132C">
        <w:t>increasing</w:t>
      </w:r>
      <w:r w:rsidRPr="0009132C">
        <w:t xml:space="preserve"> providers’ motivation to serve MassHealth members in different settings, including community-based clinical settings with a high percentage of Medicaid members. This conjoint survey was chosen because there is no direct rate increase program for the targeted provider population that MassHealth is running, which limits the evaluator’s capability to use observational data to assess the relative impact of loan repayment/residency grant programs vs. direct rate increases. Survey respondents’ preferences will be solicited using conjoint methods where providers evaluate the complete program, not one part, to allow respondents to incorporate the same trade-off processes they use in the actual decision-making process by reacting to a set of incentive scenarios identified by different levels of attributes. The IE will reference the literature and collaborate with MassHealth and key stakeholders to define each attribute and attribute’s levels, such as a range of student loan repayment amounts or percentage increases in direct payment rates. The survey will capture the provider’s likelihood of choosing each scenario to meet the WI programs’ goal (e.g., residents’ </w:t>
      </w:r>
      <w:r w:rsidRPr="0009132C">
        <w:lastRenderedPageBreak/>
        <w:t>multi-year services in community-based settings). Additional incentive scenarios (e.g., non-financial attributes) may be explored through open-ended response questions.</w:t>
      </w:r>
    </w:p>
    <w:p w14:paraId="162973E9" w14:textId="70279468" w:rsidR="00D308D5" w:rsidRPr="0009132C" w:rsidRDefault="00D308D5" w:rsidP="003C6C8F">
      <w:r w:rsidRPr="0009132C">
        <w:t xml:space="preserve">Students (who are close to graduation), primary care clinicians (including residents), and BH clinicians (new cohorts) will be asked to participate in an online survey. The survey population will include all providers eligible or who would soon be eligible for the WI programs (e.g., those </w:t>
      </w:r>
      <w:r w:rsidR="00AA320B">
        <w:t xml:space="preserve">who </w:t>
      </w:r>
      <w:r w:rsidRPr="0009132C">
        <w:t xml:space="preserve">applied and </w:t>
      </w:r>
      <w:r w:rsidR="00AA320B">
        <w:t xml:space="preserve">were </w:t>
      </w:r>
      <w:r w:rsidRPr="0009132C">
        <w:t xml:space="preserve">awarded, those </w:t>
      </w:r>
      <w:r w:rsidR="00AA320B">
        <w:t xml:space="preserve">who </w:t>
      </w:r>
      <w:r w:rsidRPr="0009132C">
        <w:t xml:space="preserve">applied but </w:t>
      </w:r>
      <w:r w:rsidR="00AA320B">
        <w:t xml:space="preserve">were </w:t>
      </w:r>
      <w:r w:rsidRPr="0009132C">
        <w:t xml:space="preserve">not awarded, </w:t>
      </w:r>
      <w:r w:rsidR="00AA320B">
        <w:t xml:space="preserve">and </w:t>
      </w:r>
      <w:r w:rsidRPr="0009132C">
        <w:t xml:space="preserve">those </w:t>
      </w:r>
      <w:r w:rsidR="007E6EEE">
        <w:t xml:space="preserve">who were </w:t>
      </w:r>
      <w:r w:rsidRPr="0009132C">
        <w:t xml:space="preserve">eligible but did not apply). It will also include providers outside of community-based settings who would be eligible for the WI program if they took a job in a community setting, provided that their contact information is available. MassHealth’s WI program managing partner will supply provider contact information. The survey will also include a sample of prospective candidates (those who currently work outside of eligible community-based settings but might be willing to switch to a job in a community setting). </w:t>
      </w:r>
    </w:p>
    <w:p w14:paraId="4F507B99" w14:textId="77777777" w:rsidR="00D308D5" w:rsidRPr="0009132C" w:rsidRDefault="00D308D5" w:rsidP="00E12F9A">
      <w:r w:rsidRPr="0009132C">
        <w:t xml:space="preserve">The first wave of the survey will be implemented about a year after each program is implemented (currently estimated to be SFY25), and the second in SFY27. The timeline will be adjusted according to the actual program start date, as needed. </w:t>
      </w:r>
    </w:p>
    <w:p w14:paraId="5DA28122" w14:textId="77777777" w:rsidR="00D308D5" w:rsidRPr="0009132C" w:rsidRDefault="00D308D5" w:rsidP="00E12F9A">
      <w:r w:rsidRPr="0009132C">
        <w:t>The second wave will include a new cohort of students and clinicians. For those willing to participate in a follow-up in the second wave, the IE will conduct a follow-up survey with them. For the follow-up survey, among a subset of providers benefiting from the WI programs, the IE will include additional questions about their direct experiences with the program and whether their choices would have changed. </w:t>
      </w:r>
    </w:p>
    <w:p w14:paraId="0BAC7D98" w14:textId="42459418" w:rsidR="00D308D5" w:rsidRPr="0009132C" w:rsidRDefault="00D308D5" w:rsidP="00EE4105">
      <w:pPr>
        <w:pStyle w:val="Heading3"/>
      </w:pPr>
      <w:r w:rsidRPr="0009132C">
        <w:t xml:space="preserve">Measures </w:t>
      </w:r>
    </w:p>
    <w:p w14:paraId="074B22FC" w14:textId="027763AE" w:rsidR="00DC5A34" w:rsidRPr="0009132C" w:rsidRDefault="00DC5A34" w:rsidP="00E12F9A">
      <w:r w:rsidRPr="0009132C">
        <w:t xml:space="preserve">As described in the logic model and </w:t>
      </w:r>
      <w:r w:rsidR="001F467C" w:rsidRPr="008726E8">
        <w:rPr>
          <w:color w:val="000F9F"/>
          <w:u w:val="single"/>
        </w:rPr>
        <w:fldChar w:fldCharType="begin"/>
      </w:r>
      <w:r w:rsidR="001F467C" w:rsidRPr="008726E8">
        <w:rPr>
          <w:color w:val="000F9F"/>
          <w:u w:val="single"/>
        </w:rPr>
        <w:instrText xml:space="preserve"> REF _Ref151467867 \h </w:instrText>
      </w:r>
      <w:r w:rsidR="001F467C" w:rsidRPr="008726E8">
        <w:rPr>
          <w:color w:val="000F9F"/>
          <w:u w:val="single"/>
        </w:rPr>
      </w:r>
      <w:r w:rsidR="001F467C" w:rsidRPr="008726E8">
        <w:rPr>
          <w:color w:val="000F9F"/>
          <w:u w:val="single"/>
        </w:rPr>
        <w:fldChar w:fldCharType="separate"/>
      </w:r>
      <w:r w:rsidR="001F467C" w:rsidRPr="008726E8">
        <w:rPr>
          <w:color w:val="000F9F"/>
          <w:u w:val="single"/>
        </w:rPr>
        <w:t xml:space="preserve">Table </w:t>
      </w:r>
      <w:r w:rsidR="001F467C" w:rsidRPr="008726E8">
        <w:rPr>
          <w:noProof/>
          <w:color w:val="000F9F"/>
          <w:u w:val="single"/>
        </w:rPr>
        <w:t>6</w:t>
      </w:r>
      <w:r w:rsidR="001F467C" w:rsidRPr="008726E8">
        <w:rPr>
          <w:color w:val="000F9F"/>
          <w:u w:val="single"/>
        </w:rPr>
        <w:noBreakHyphen/>
      </w:r>
      <w:r w:rsidR="001F467C" w:rsidRPr="008726E8">
        <w:rPr>
          <w:noProof/>
          <w:color w:val="000F9F"/>
          <w:u w:val="single"/>
        </w:rPr>
        <w:t>2</w:t>
      </w:r>
      <w:r w:rsidR="001F467C" w:rsidRPr="008726E8">
        <w:rPr>
          <w:color w:val="000F9F"/>
          <w:u w:val="single"/>
        </w:rPr>
        <w:fldChar w:fldCharType="end"/>
      </w:r>
      <w:r w:rsidR="00B07DAA" w:rsidRPr="0009132C">
        <w:t xml:space="preserve">, </w:t>
      </w:r>
      <w:r w:rsidRPr="0009132C">
        <w:t xml:space="preserve">both quantitative and qualitative evaluation measures will be used for different RQs; they cover four categories: organization-level measures (e.g., number of awards, provider </w:t>
      </w:r>
      <w:r w:rsidR="67F30781" w:rsidRPr="0009132C">
        <w:t>demographics</w:t>
      </w:r>
      <w:r w:rsidRPr="0009132C">
        <w:t>), member-reported measures (e.g., access, provider choices), member healthcare utilization (e.g., use of preventive care, acute and emergency service utilization), and cost (e.g., program cost, healthcare cost). Details on the specifications, numerator</w:t>
      </w:r>
      <w:r w:rsidR="006A7745">
        <w:t>,</w:t>
      </w:r>
      <w:r w:rsidRPr="0009132C">
        <w:t xml:space="preserve"> and denominator for key measures are given in </w:t>
      </w:r>
      <w:hyperlink w:anchor="Appendix_B" w:history="1">
        <w:r w:rsidRPr="001647A4">
          <w:rPr>
            <w:rStyle w:val="Hyperlink"/>
          </w:rPr>
          <w:t>Appendix B</w:t>
        </w:r>
      </w:hyperlink>
      <w:r w:rsidRPr="0009132C">
        <w:t>.</w:t>
      </w:r>
    </w:p>
    <w:p w14:paraId="680E8618" w14:textId="6004ECDB" w:rsidR="00D308D5" w:rsidRPr="00F67067" w:rsidRDefault="00D308D5" w:rsidP="00EE4105">
      <w:pPr>
        <w:pStyle w:val="Heading3"/>
      </w:pPr>
      <w:r>
        <w:t xml:space="preserve">Analysis Methods </w:t>
      </w:r>
    </w:p>
    <w:p w14:paraId="3391A620" w14:textId="3D534E08" w:rsidR="00DC5A34" w:rsidRPr="0009132C" w:rsidRDefault="00DC5A34" w:rsidP="00E12F9A">
      <w:r w:rsidRPr="0009132C">
        <w:t>For qualitative data (interviews/focus groups) and documents, thematic analyses will be conducted</w:t>
      </w:r>
      <w:bookmarkStart w:id="178" w:name="_Hlk126583215"/>
      <w:r w:rsidRPr="0009132C">
        <w:t>. Please refer to</w:t>
      </w:r>
      <w:r w:rsidR="00045357">
        <w:t xml:space="preserve"> </w:t>
      </w:r>
      <w:hyperlink w:anchor="_Delivery_System_Reform" w:history="1">
        <w:r w:rsidR="00205EA2" w:rsidRPr="00277FA7">
          <w:rPr>
            <w:rStyle w:val="Hyperlink"/>
          </w:rPr>
          <w:t>Chapter 3</w:t>
        </w:r>
      </w:hyperlink>
      <w:r w:rsidR="00205EA2" w:rsidDel="00205EA2">
        <w:t xml:space="preserve"> </w:t>
      </w:r>
      <w:r w:rsidR="00045357">
        <w:t>(D</w:t>
      </w:r>
      <w:r w:rsidR="00A71D76">
        <w:t>elivery</w:t>
      </w:r>
      <w:r w:rsidR="00045357">
        <w:t xml:space="preserve"> System Reform</w:t>
      </w:r>
      <w:r w:rsidR="00083E95">
        <w:t>),</w:t>
      </w:r>
      <w:r w:rsidRPr="0009132C">
        <w:t xml:space="preserve"> </w:t>
      </w:r>
      <w:hyperlink w:anchor="_Analysis_Methods" w:history="1">
        <w:r w:rsidR="00DA2239" w:rsidRPr="00205EA2">
          <w:rPr>
            <w:rStyle w:val="Hyperlink"/>
          </w:rPr>
          <w:t>Section 3.4.5</w:t>
        </w:r>
        <w:r w:rsidR="00DA2239" w:rsidRPr="00AC31F2">
          <w:rPr>
            <w:rStyle w:val="Hyperlink"/>
          </w:rPr>
          <w:t xml:space="preserve"> Analysis Methods</w:t>
        </w:r>
      </w:hyperlink>
      <w:r w:rsidR="00DA2239" w:rsidRPr="00205EA2">
        <w:rPr>
          <w:rStyle w:val="Hyperlink"/>
          <w:color w:val="auto"/>
          <w:u w:val="none"/>
        </w:rPr>
        <w:t xml:space="preserve"> </w:t>
      </w:r>
      <w:r w:rsidRPr="0009132C">
        <w:t>for the data analysis approach which would apply here.</w:t>
      </w:r>
      <w:bookmarkEnd w:id="178"/>
    </w:p>
    <w:p w14:paraId="0F73DA06" w14:textId="3B7BEC0E" w:rsidR="008B3F71" w:rsidRPr="00770A61" w:rsidRDefault="727F504B" w:rsidP="7F638223">
      <w:pPr>
        <w:rPr>
          <w:u w:val="single"/>
        </w:rPr>
      </w:pPr>
      <w:r w:rsidRPr="0009132C">
        <w:t xml:space="preserve">For the </w:t>
      </w:r>
      <w:r w:rsidR="6B0537D0" w:rsidRPr="0009132C">
        <w:t xml:space="preserve">conjoint </w:t>
      </w:r>
      <w:r w:rsidRPr="0009132C">
        <w:t>cross-sectional survey, the attribute levels will be coded as dummies, and regression models will be performed to estimate the utilities (i.e., level of satisfaction) for each attribute level, i.e., the numerical expression of the value that a respondent would place on each level of each attribute.</w:t>
      </w:r>
      <w:r w:rsidR="00DC5A34" w:rsidRPr="0009132C">
        <w:rPr>
          <w:rStyle w:val="FootnoteReference"/>
        </w:rPr>
        <w:footnoteReference w:id="122"/>
      </w:r>
      <w:r>
        <w:t xml:space="preserve"> </w:t>
      </w:r>
      <w:r w:rsidRPr="00153778">
        <w:t xml:space="preserve">The </w:t>
      </w:r>
      <w:r w:rsidR="67EC2239" w:rsidRPr="00153778">
        <w:t xml:space="preserve">unit of analysis is the </w:t>
      </w:r>
      <w:r w:rsidR="67EC2239" w:rsidRPr="00153778">
        <w:lastRenderedPageBreak/>
        <w:t xml:space="preserve">probability of remaining or becoming a MassHealth provider. The analysis will yield utility scores on an interval scale. </w:t>
      </w:r>
      <w:r w:rsidRPr="00153778">
        <w:t>The utilities associated with each attribute level will be used to compute the relative importance of each attribute</w:t>
      </w:r>
      <w:r w:rsidR="54715351" w:rsidRPr="00153778">
        <w:t xml:space="preserve">. </w:t>
      </w:r>
      <w:r w:rsidR="04323426" w:rsidRPr="00153778">
        <w:t xml:space="preserve">The attributes and their levels will be used to develop a market simulation of potential incentive scenarios the state might consider </w:t>
      </w:r>
      <w:r w:rsidR="3EFB2107" w:rsidRPr="00153778">
        <w:t>to encourage</w:t>
      </w:r>
      <w:r w:rsidR="04323426" w:rsidRPr="00153778">
        <w:t xml:space="preserve"> more providers to participate in the MassHealth program. A hypothetical example of these scenarios is an option where MassHealth would offer a $2,000 student loan forgiveness program, a 2</w:t>
      </w:r>
      <w:r w:rsidR="008903D4">
        <w:t xml:space="preserve"> percent</w:t>
      </w:r>
      <w:r w:rsidR="008903D4" w:rsidRPr="00153778">
        <w:t xml:space="preserve"> </w:t>
      </w:r>
      <w:r w:rsidR="04323426" w:rsidRPr="00153778">
        <w:t>increase in reimbursement rate, and ask the providers to have a panel of 10</w:t>
      </w:r>
      <w:r w:rsidR="008903D4">
        <w:t xml:space="preserve"> percent</w:t>
      </w:r>
      <w:r w:rsidR="008903D4" w:rsidRPr="00153778">
        <w:t xml:space="preserve"> </w:t>
      </w:r>
      <w:r w:rsidR="04323426" w:rsidRPr="00153778">
        <w:t>MassHealth and/or uninsured members. Using the choice simulation function, the utilities associated with each scenario will be converted into a choice probability to predict which scenario would best meet the objectives of the WI programs. The results will be presented as an aggregate for all respondents and a segmented analysis by respondent eligibility for WI status. A sensitivity analysis will be conducted to convert the predicted utilities into choice probability to allow an estimate of the proportion of providers willing to participate in the program under each market scenario.</w:t>
      </w:r>
      <w:r w:rsidR="00663FC2" w:rsidRPr="00153778">
        <w:rPr>
          <w:rStyle w:val="FootnoteReference"/>
        </w:rPr>
        <w:footnoteReference w:id="123"/>
      </w:r>
      <w:r w:rsidR="04323426" w:rsidRPr="00153778">
        <w:t xml:space="preserve"> Individual and segmented analyses will be conducted to show variation in choice probability by gender and provider’s years of experience.</w:t>
      </w:r>
      <w:r w:rsidR="00663FC2" w:rsidRPr="00153778">
        <w:rPr>
          <w:rStyle w:val="FootnoteReference"/>
        </w:rPr>
        <w:footnoteReference w:id="124"/>
      </w:r>
      <w:r w:rsidR="635BC3FE" w:rsidRPr="00153778">
        <w:rPr>
          <w:rStyle w:val="FootnoteReference"/>
        </w:rPr>
        <w:t>,</w:t>
      </w:r>
      <w:r w:rsidR="00083895" w:rsidRPr="00153778">
        <w:rPr>
          <w:rStyle w:val="FootnoteReference"/>
        </w:rPr>
        <w:footnoteReference w:id="125"/>
      </w:r>
      <w:r w:rsidR="0ABB3C42" w:rsidRPr="00153778">
        <w:t xml:space="preserve"> </w:t>
      </w:r>
      <w:r w:rsidR="04323426" w:rsidRPr="00153778">
        <w:t xml:space="preserve">Inverse probability weights will be used to account for non-response bias and examine the various assumptions of missingness. </w:t>
      </w:r>
      <w:r w:rsidR="17ABC92C" w:rsidRPr="00153778">
        <w:t xml:space="preserve">The </w:t>
      </w:r>
      <w:r w:rsidR="04323426" w:rsidRPr="00153778">
        <w:t xml:space="preserve">non-response weights </w:t>
      </w:r>
      <w:r w:rsidR="17ABC92C" w:rsidRPr="00153778">
        <w:t>will be computed using</w:t>
      </w:r>
      <w:r w:rsidR="04323426" w:rsidRPr="00153778">
        <w:t xml:space="preserve"> </w:t>
      </w:r>
      <w:r w:rsidR="5D1C6BB7" w:rsidRPr="00153778">
        <w:t>covariates</w:t>
      </w:r>
      <w:r w:rsidR="04323426" w:rsidRPr="00153778">
        <w:t xml:space="preserve"> included in the sample framework, such as age, gender, and population type.</w:t>
      </w:r>
    </w:p>
    <w:p w14:paraId="6D5694C1" w14:textId="1E918E43" w:rsidR="00DC5A34" w:rsidRPr="007A339F" w:rsidRDefault="727F504B" w:rsidP="7F638223">
      <w:r w:rsidRPr="0009132C">
        <w:t xml:space="preserve">The IE will use interrupted time series (ITS) with a comparison group for member healthcare utilization analyses using Medicaid administrative data. </w:t>
      </w:r>
      <w:bookmarkStart w:id="179" w:name="_Hlk151284640"/>
      <w:r w:rsidRPr="0009132C">
        <w:t xml:space="preserve">Please refer to </w:t>
      </w:r>
      <w:hyperlink w:anchor="_Analysis_Methods" w:history="1">
        <w:r w:rsidRPr="00EF1767">
          <w:rPr>
            <w:rStyle w:val="Hyperlink"/>
          </w:rPr>
          <w:t>Section 3.4.</w:t>
        </w:r>
        <w:r w:rsidR="0062144F" w:rsidRPr="00EF1767">
          <w:rPr>
            <w:rStyle w:val="Hyperlink"/>
          </w:rPr>
          <w:t>5</w:t>
        </w:r>
        <w:r w:rsidR="00EF1767" w:rsidRPr="00AC31F2">
          <w:rPr>
            <w:rStyle w:val="Hyperlink"/>
          </w:rPr>
          <w:t xml:space="preserve"> Analysis Methods</w:t>
        </w:r>
      </w:hyperlink>
      <w:r w:rsidRPr="0009132C">
        <w:t xml:space="preserve"> for the data analysis approach, which would apply here.</w:t>
      </w:r>
      <w:r w:rsidR="00DC5A34" w:rsidRPr="0009132C">
        <w:rPr>
          <w:rStyle w:val="FootnoteReference"/>
        </w:rPr>
        <w:footnoteReference w:id="126"/>
      </w:r>
      <w:r w:rsidRPr="0009132C">
        <w:rPr>
          <w:vertAlign w:val="superscript"/>
        </w:rPr>
        <w:t>,</w:t>
      </w:r>
      <w:r w:rsidR="00DC5A34" w:rsidRPr="0009132C">
        <w:rPr>
          <w:rStyle w:val="FootnoteReference"/>
        </w:rPr>
        <w:footnoteReference w:id="127"/>
      </w:r>
      <w:r w:rsidRPr="0009132C">
        <w:rPr>
          <w:vertAlign w:val="superscript"/>
        </w:rPr>
        <w:t xml:space="preserve"> </w:t>
      </w:r>
      <w:bookmarkEnd w:id="179"/>
      <w:r w:rsidRPr="0009132C">
        <w:t xml:space="preserve">Specifically, the IE plans to compare the outcomes of Medicaid members who receive services from community-based clinical practices (e.g., CHCs, CBHCs) in the WI programs (or intervention group members) with members who receive services from community-based clinical practices that were not part of the WI program over multiple timepoints before and during the Demonstration. A comparative set of providers who have not used the WI programs will be chosen, and the members of these providers will be selected and propensity balanced to reflect the characteristics of those participating in WI programs. The analyses will </w:t>
      </w:r>
      <w:r w:rsidR="00153778" w:rsidRPr="0009132C">
        <w:t>control</w:t>
      </w:r>
      <w:r w:rsidRPr="0009132C">
        <w:t xml:space="preserve"> the characteristics of </w:t>
      </w:r>
      <w:r w:rsidR="01D85091">
        <w:t>provider</w:t>
      </w:r>
      <w:r w:rsidR="005409D3">
        <w:t>s</w:t>
      </w:r>
      <w:r w:rsidRPr="0009132C">
        <w:t xml:space="preserve"> (e.g., size, region, and proportion of clinicians receiving financial incentives from the WI programs) and members (e.g., demographic and clinical characteristics).</w:t>
      </w:r>
      <w:r w:rsidR="13B08402">
        <w:t xml:space="preserve"> </w:t>
      </w:r>
      <w:r w:rsidR="13B08402" w:rsidRPr="00153778">
        <w:t>The IE will explore the use of imputation method</w:t>
      </w:r>
      <w:r w:rsidR="51372E5F" w:rsidRPr="00153778">
        <w:t>s</w:t>
      </w:r>
      <w:r w:rsidR="13B08402" w:rsidRPr="00153778">
        <w:t xml:space="preserve"> or sensitiv</w:t>
      </w:r>
      <w:r w:rsidR="51372E5F" w:rsidRPr="00153778">
        <w:t>ity</w:t>
      </w:r>
      <w:r w:rsidR="13B08402" w:rsidRPr="00153778">
        <w:t xml:space="preserve"> analysis related to race/ethnicity data and include demographic characteristics in our analysis, as appropriate.</w:t>
      </w:r>
    </w:p>
    <w:p w14:paraId="2D95A42E" w14:textId="7688D14B" w:rsidR="00DC5A34" w:rsidRDefault="00DC5A34" w:rsidP="00E12F9A">
      <w:r w:rsidRPr="0009132C">
        <w:lastRenderedPageBreak/>
        <w:t>The analysis timeframe for the quantitative data will be from 2018 to one year after the end date of the Demonstration. The choice of the timeframe beginning in 2018 is to capture outcomes before the Public Health Emergency (PHE). The analysis periods will include the following phases of policies: (1) SWI only (2018-2020), (2) SWI+ PHE (2020-2022), (3) PHE only (2022-2023)</w:t>
      </w:r>
      <w:r w:rsidR="00C56488" w:rsidRPr="0009132C">
        <w:t>,</w:t>
      </w:r>
      <w:r w:rsidRPr="0009132C">
        <w:rPr>
          <w:rStyle w:val="FootnoteReference"/>
        </w:rPr>
        <w:footnoteReference w:id="128"/>
      </w:r>
      <w:r w:rsidRPr="0009132C">
        <w:t xml:space="preserve"> and (4) WI programs (2023</w:t>
      </w:r>
      <w:r w:rsidR="001F467C">
        <w:t>-</w:t>
      </w:r>
      <w:r w:rsidRPr="0009132C">
        <w:t xml:space="preserve">2027). </w:t>
      </w:r>
    </w:p>
    <w:p w14:paraId="64963468" w14:textId="340F115A" w:rsidR="00BA7AAE" w:rsidRPr="007A339F" w:rsidRDefault="68BCA408" w:rsidP="7F638223">
      <w:pPr>
        <w:rPr>
          <w:rStyle w:val="normaltextrun"/>
          <w:rFonts w:ascii="Arial" w:hAnsi="Arial"/>
          <w:color w:val="000000"/>
          <w:shd w:val="clear" w:color="auto" w:fill="FFFFFF"/>
        </w:rPr>
      </w:pPr>
      <w:r w:rsidRPr="007A339F">
        <w:rPr>
          <w:rStyle w:val="normaltextrun"/>
          <w:rFonts w:ascii="Arial" w:hAnsi="Arial"/>
          <w:color w:val="000000"/>
          <w:shd w:val="clear" w:color="auto" w:fill="FFFFFF"/>
        </w:rPr>
        <w:t>Using an embedded mixed methods approach, we will synthesize the quantitative and qualitative data. We will solicit an in-depth nuanced understanding of providers’ experiences, examine how those experiences may be related to policy and practice innovation, and use these findings to explain pertinent trends and outcomes. For example, understanding providers’ perspectives on workforce initiatives can help contextualize trends seen in outcomes.</w:t>
      </w:r>
      <w:r w:rsidR="000F2B53" w:rsidRPr="007A339F">
        <w:rPr>
          <w:rStyle w:val="FootnoteReference"/>
          <w:rFonts w:ascii="Arial" w:hAnsi="Arial"/>
          <w:color w:val="000000"/>
          <w:shd w:val="clear" w:color="auto" w:fill="FFFFFF"/>
        </w:rPr>
        <w:footnoteReference w:id="129"/>
      </w:r>
      <w:r w:rsidR="0C4F602D" w:rsidRPr="007A339F">
        <w:rPr>
          <w:rStyle w:val="normaltextrun"/>
          <w:rFonts w:ascii="Arial" w:hAnsi="Arial"/>
          <w:color w:val="000000"/>
          <w:shd w:val="clear" w:color="auto" w:fill="FFFFFF"/>
        </w:rPr>
        <w:t xml:space="preserve"> Conversely, preliminary quantitative findings from </w:t>
      </w:r>
      <w:r w:rsidR="001069BD">
        <w:rPr>
          <w:rStyle w:val="normaltextrun"/>
          <w:rFonts w:ascii="Arial" w:hAnsi="Arial"/>
          <w:color w:val="000000"/>
          <w:shd w:val="clear" w:color="auto" w:fill="FFFFFF"/>
        </w:rPr>
        <w:t xml:space="preserve">the </w:t>
      </w:r>
      <w:r w:rsidR="0C4F602D" w:rsidRPr="007A339F">
        <w:rPr>
          <w:rStyle w:val="normaltextrun"/>
          <w:rFonts w:ascii="Arial" w:hAnsi="Arial"/>
          <w:color w:val="000000"/>
          <w:shd w:val="clear" w:color="auto" w:fill="FFFFFF"/>
        </w:rPr>
        <w:t>analysis of data from early in the Demonstration period can generate questions regarding underlying mechanisms that can then be explored in subsequent qualitative data collection and analysis.</w:t>
      </w:r>
    </w:p>
    <w:p w14:paraId="60C83A1F" w14:textId="77777777" w:rsidR="00DC5A34" w:rsidRPr="0009132C" w:rsidRDefault="00DC5A34" w:rsidP="00EE4105">
      <w:pPr>
        <w:pStyle w:val="Heading3"/>
      </w:pPr>
      <w:r w:rsidRPr="0009132C">
        <w:t>Limitations</w:t>
      </w:r>
    </w:p>
    <w:p w14:paraId="22979E3A" w14:textId="3BDEBF50" w:rsidR="00DC5A34" w:rsidRPr="0009132C" w:rsidRDefault="00635595" w:rsidP="003C6C8F">
      <w:r w:rsidRPr="0009132C">
        <w:t>The</w:t>
      </w:r>
      <w:r w:rsidR="00DC5A34" w:rsidRPr="0009132C">
        <w:t xml:space="preserve"> evaluation design for the WI domain</w:t>
      </w:r>
      <w:r w:rsidRPr="0009132C">
        <w:t xml:space="preserve"> has a few limitations. </w:t>
      </w:r>
      <w:r w:rsidR="00DC5A34" w:rsidRPr="0009132C">
        <w:t xml:space="preserve">First, the WI programs will be implemented when the Commonwealth </w:t>
      </w:r>
      <w:r w:rsidR="001F467C">
        <w:t>—</w:t>
      </w:r>
      <w:r w:rsidR="001F467C" w:rsidRPr="0009132C">
        <w:t xml:space="preserve"> </w:t>
      </w:r>
      <w:r w:rsidR="00DC5A34" w:rsidRPr="0009132C">
        <w:t xml:space="preserve">and the nation </w:t>
      </w:r>
      <w:r w:rsidR="001F467C">
        <w:t>—</w:t>
      </w:r>
      <w:r w:rsidR="001F467C" w:rsidRPr="0009132C">
        <w:t xml:space="preserve"> </w:t>
      </w:r>
      <w:r w:rsidR="00DC5A34" w:rsidRPr="0009132C">
        <w:t>is facing a severe shortage of healthcare providers. In addition to the three WI programs under the Demonstration, there are other state and federal initiatives related to the workforce and other state policies/programs (e.g., primary care sub-cap</w:t>
      </w:r>
      <w:r w:rsidR="7CF66357" w:rsidRPr="0009132C">
        <w:t>itation</w:t>
      </w:r>
      <w:r w:rsidR="00DC5A34" w:rsidRPr="0009132C">
        <w:t xml:space="preserve">, expansion of community service program, expansion of coverage, etc.) that would impact </w:t>
      </w:r>
      <w:r w:rsidR="005B47F7">
        <w:t xml:space="preserve">a </w:t>
      </w:r>
      <w:r w:rsidR="00DC5A34" w:rsidRPr="0009132C">
        <w:t>member’s healthcare access and utilization. All of these programs have the potential to have a confounding effect on the WI initiatives. Using a comparison group will mitigate the problem as much as possible. However, it is possible that our evaluation will not be able to detect significant/measurable changes in utilization and cost due to the relatively large impact of provider shortages relative to smaller effect sizes and benefits distributed over a long-term time horizon expected from the WI programs. Larger investments (e.g., loan amount) may be needed to sufficiently fund a larger percentage of the target provider population. In addition, more pipeline/recruitment programs may be required to incentivize students and workers from other fields to enter the primary care/BH workforce in community settings. For similar reasons, the member interviews may identify no differences of experiences or those hard to be attributable to the WI programs. Therefore, the interpretation of findings from this evaluation will need to be considered in the larger context (e.g., improved access may be a result of multiple policies).</w:t>
      </w:r>
    </w:p>
    <w:p w14:paraId="249619E8" w14:textId="4E8D0ADC" w:rsidR="00F7212B" w:rsidRDefault="00DC5A34" w:rsidP="00E12F9A">
      <w:r w:rsidRPr="0009132C">
        <w:t xml:space="preserve">Second, due to a lack of an actual direct rate increase program by MassHealth and the opportunity to experiment with such a program, the </w:t>
      </w:r>
      <w:r w:rsidR="00F425E7" w:rsidRPr="0009132C">
        <w:t>conjoint</w:t>
      </w:r>
      <w:r w:rsidRPr="0009132C">
        <w:t xml:space="preserve"> models will be used to fill this gap in data. The </w:t>
      </w:r>
      <w:r w:rsidR="00F425E7" w:rsidRPr="0009132C">
        <w:t>conjoint</w:t>
      </w:r>
      <w:r w:rsidRPr="0009132C">
        <w:t xml:space="preserve"> model uses a decomposition model, where a respondent reacts to a set of complete scenarios identified by different levels of attributes. These </w:t>
      </w:r>
      <w:r w:rsidRPr="0009132C">
        <w:lastRenderedPageBreak/>
        <w:t>preferences are decomposed to determine how much utility is associated with each level of each attribute. However, this approach has several limitations</w:t>
      </w:r>
      <w:r w:rsidR="00F7212B">
        <w:t xml:space="preserve"> to be addressed:</w:t>
      </w:r>
      <w:r w:rsidRPr="0009132C">
        <w:t xml:space="preserve"> </w:t>
      </w:r>
    </w:p>
    <w:p w14:paraId="0F0145A1" w14:textId="13E66753" w:rsidR="00F7212B" w:rsidRDefault="00DC5A34" w:rsidP="008A3252">
      <w:pPr>
        <w:pStyle w:val="FHClistnumber"/>
      </w:pPr>
      <w:r w:rsidRPr="0009132C">
        <w:t xml:space="preserve">The identified scenarios might not capture all attributes that might affect providers’ decision to participate in the program. Therefore, we will involve both MassHealth and key stakeholders in developing these scenarios. </w:t>
      </w:r>
    </w:p>
    <w:p w14:paraId="2D9DDE54" w14:textId="0916A6FC" w:rsidR="00DC5A34" w:rsidRPr="0009132C" w:rsidRDefault="00DC5A34" w:rsidP="008A3252">
      <w:pPr>
        <w:pStyle w:val="FHClistnumber"/>
      </w:pPr>
      <w:r w:rsidRPr="0009132C">
        <w:t xml:space="preserve">Averages can mask important market forces caused by patterns of preferences at the segment or individual level, especially where the utility associated with an attribute level is dominant. To address these limitations, the segmented market simulation will be performed to estimate the impact of different attributes. Moreover, self-reported and perceived preference does not always translate into real choices, which impacts the reliability of the findings. </w:t>
      </w:r>
      <w:r w:rsidR="68A73176" w:rsidRPr="0009132C">
        <w:t>L</w:t>
      </w:r>
      <w:r w:rsidRPr="0009132C">
        <w:t xml:space="preserve">iterature about the impact of the direct rate increase on provider incentives to serve in clinical settings with a high density of Medicaid populations will be reviewed to contextualize our findings. Real choice vs. hypothetical choices could be compared among those benefiting from the WI programs. </w:t>
      </w:r>
    </w:p>
    <w:p w14:paraId="1C670C64" w14:textId="10AA48D4" w:rsidR="00DC5A34" w:rsidRPr="0009132C" w:rsidRDefault="00F7212B" w:rsidP="008A3252">
      <w:pPr>
        <w:pStyle w:val="FHClistnumber"/>
      </w:pPr>
      <w:r>
        <w:t>B</w:t>
      </w:r>
      <w:r w:rsidR="00DC5A34" w:rsidRPr="0009132C">
        <w:t>ecause members</w:t>
      </w:r>
      <w:r w:rsidR="005B47F7">
        <w:t>,</w:t>
      </w:r>
      <w:r w:rsidR="00DC5A34" w:rsidRPr="0009132C">
        <w:t xml:space="preserve"> </w:t>
      </w:r>
      <w:r w:rsidR="005B47F7" w:rsidRPr="0009132C">
        <w:t xml:space="preserve">especially those in need of BH services (e.g., mobile crisis intervention), </w:t>
      </w:r>
      <w:r w:rsidR="00DC5A34" w:rsidRPr="0009132C">
        <w:t>can switch to different community-based clinical settings, there is the challenge of attributing members to a specific clinical setting, adding the possibility of misclassifying the source of impact. However, all members must have a MassHealth-attributed PCP, and MassHealth regularly updates primary care practice attributions.</w:t>
      </w:r>
    </w:p>
    <w:p w14:paraId="385323EE" w14:textId="45F2F210" w:rsidR="00DC5A34" w:rsidRPr="0009132C" w:rsidRDefault="00F7212B" w:rsidP="008A3252">
      <w:pPr>
        <w:pStyle w:val="FHClistnumber"/>
      </w:pPr>
      <w:r>
        <w:t>I</w:t>
      </w:r>
      <w:r w:rsidR="00DC5A34" w:rsidRPr="0009132C" w:rsidDel="00A40C1F">
        <w:t>t</w:t>
      </w:r>
      <w:r w:rsidR="00A40C1F" w:rsidRPr="0009132C">
        <w:t xml:space="preserve"> is expected to take at least</w:t>
      </w:r>
      <w:r w:rsidR="00DC5A34" w:rsidRPr="0009132C">
        <w:t xml:space="preserve"> four years for providers</w:t>
      </w:r>
      <w:r w:rsidR="000732C0">
        <w:t>’</w:t>
      </w:r>
      <w:r w:rsidR="00DC5A34" w:rsidRPr="0009132C">
        <w:t xml:space="preserve"> final commitment to community-based settings to be realized. If some providers join the WI programs </w:t>
      </w:r>
      <w:r w:rsidR="002F424A" w:rsidRPr="0009132C">
        <w:t xml:space="preserve">towards </w:t>
      </w:r>
      <w:r w:rsidR="00DC5A34" w:rsidRPr="0009132C">
        <w:t>the end of the Demonstration period, the evaluation timeframe (about two years after the Demonstration is over) cannot fully capture these providers</w:t>
      </w:r>
      <w:r w:rsidR="000732C0">
        <w:t>’</w:t>
      </w:r>
      <w:r w:rsidR="00DC5A34" w:rsidRPr="0009132C">
        <w:t xml:space="preserve"> final choices to stay. Therefore, the IE may miss the final decision data on late adopters of the WI benefits.</w:t>
      </w:r>
    </w:p>
    <w:p w14:paraId="6A0449B8" w14:textId="77777777" w:rsidR="007A3EFD" w:rsidRPr="0009132C" w:rsidRDefault="007A3EFD" w:rsidP="00C56579">
      <w:pPr>
        <w:pStyle w:val="Heading2"/>
        <w:sectPr w:rsidR="007A3EFD" w:rsidRPr="0009132C" w:rsidSect="00744E1B">
          <w:pgSz w:w="12240" w:h="15840"/>
          <w:pgMar w:top="1440" w:right="1440" w:bottom="1440" w:left="1440" w:header="720" w:footer="576" w:gutter="0"/>
          <w:cols w:space="720"/>
          <w:docGrid w:linePitch="360"/>
        </w:sectPr>
      </w:pPr>
    </w:p>
    <w:p w14:paraId="62AC4B95" w14:textId="092694B6" w:rsidR="00807A3B" w:rsidRPr="0009132C" w:rsidRDefault="4DCE79F3" w:rsidP="00A4180B">
      <w:pPr>
        <w:pStyle w:val="Heading1"/>
      </w:pPr>
      <w:bookmarkStart w:id="180" w:name="_Hospital_Quality_and"/>
      <w:bookmarkStart w:id="181" w:name="_Toc129619747"/>
      <w:bookmarkStart w:id="182" w:name="_Toc130209726"/>
      <w:bookmarkStart w:id="183" w:name="_Ref142920879"/>
      <w:bookmarkStart w:id="184" w:name="_Ref142921170"/>
      <w:bookmarkStart w:id="185" w:name="_Toc151976437"/>
      <w:bookmarkEnd w:id="180"/>
      <w:r>
        <w:lastRenderedPageBreak/>
        <w:t>Hospital Quality and Equity Initiative</w:t>
      </w:r>
      <w:bookmarkEnd w:id="181"/>
      <w:bookmarkEnd w:id="182"/>
      <w:bookmarkEnd w:id="183"/>
      <w:bookmarkEnd w:id="184"/>
      <w:bookmarkEnd w:id="185"/>
    </w:p>
    <w:p w14:paraId="06DC7E95" w14:textId="70D825D6" w:rsidR="00807A3B" w:rsidRPr="0009132C" w:rsidRDefault="005B47F7" w:rsidP="003C6C8F">
      <w:pPr>
        <w:pStyle w:val="Heading2"/>
      </w:pPr>
      <w:bookmarkStart w:id="186" w:name="_Toc130209727"/>
      <w:r>
        <w:t xml:space="preserve"> </w:t>
      </w:r>
      <w:bookmarkStart w:id="187" w:name="_Toc151976438"/>
      <w:r w:rsidR="00807A3B" w:rsidRPr="0009132C">
        <w:t>Overview of Hospital Quality and Equity Initiative (HQEI) Policy Domain</w:t>
      </w:r>
      <w:bookmarkEnd w:id="186"/>
      <w:bookmarkEnd w:id="187"/>
    </w:p>
    <w:p w14:paraId="53F0D060" w14:textId="5F8F63E3" w:rsidR="00807A3B" w:rsidRPr="0009132C" w:rsidRDefault="00807A3B" w:rsidP="3383C28C">
      <w:pPr>
        <w:rPr>
          <w:b/>
          <w:bCs/>
        </w:rPr>
      </w:pPr>
      <w:r w:rsidRPr="0009132C">
        <w:t xml:space="preserve">In this Demonstration, MassHealth proposes an innovative HQEI to incentivize hospitals to improve healthcare quality and equity. CMS has authorized the expenditure of up to $400 million annually for private acute care hospitals to improve healthcare quality and equity within the Commonwealth and up to $90 million annually for Cambridge Health Alliance (CHA) (the Commonwealth’s only non-state-owned public hospital) to improve healthcare quality and equity and to develop interventions for both its Medicaid population and the uninsured individuals it serves. Participating hospitals will demonstrate progress towards improving quality and equity by (1) attaining complete, beneficiary-reported demographic and health-related social needs (HRSN) data; (2) identifying </w:t>
      </w:r>
      <w:r w:rsidR="4B5D117E" w:rsidRPr="0009132C">
        <w:t>and addressing</w:t>
      </w:r>
      <w:r w:rsidRPr="0009132C">
        <w:t xml:space="preserve"> disparities in access and quality outcomes; and (3) strengthening organizational capacity for health equity including through collaboration with</w:t>
      </w:r>
      <w:r w:rsidR="00FF565A">
        <w:t xml:space="preserve"> the</w:t>
      </w:r>
      <w:r w:rsidRPr="0009132C">
        <w:t xml:space="preserve"> health system and community partner</w:t>
      </w:r>
      <w:r w:rsidR="001F5908">
        <w:t>s</w:t>
      </w:r>
      <w:r w:rsidR="00FF565A">
        <w:t xml:space="preserve"> (</w:t>
      </w:r>
      <w:r w:rsidR="00DD5588">
        <w:t>CP</w:t>
      </w:r>
      <w:r w:rsidRPr="0009132C">
        <w:t>s</w:t>
      </w:r>
      <w:r w:rsidR="001F5908">
        <w:t>)</w:t>
      </w:r>
      <w:r w:rsidRPr="0009132C">
        <w:t>. Direct funding is not being provided for implementation or to reimburse provider costs incurred for implementing the HQEI. Participating</w:t>
      </w:r>
      <w:r w:rsidRPr="0009132C" w:rsidDel="00540E05">
        <w:t xml:space="preserve"> </w:t>
      </w:r>
      <w:r w:rsidRPr="0009132C">
        <w:t>hospitals will also build organizational and workforce competence to improve quality and health outcomes, reduce disparities, and enhance their ability to provide accessible and culturally appropriate services.</w:t>
      </w:r>
      <w:r w:rsidRPr="0009132C">
        <w:rPr>
          <w:rStyle w:val="FootnoteReference"/>
        </w:rPr>
        <w:footnoteReference w:id="130"/>
      </w:r>
      <w:r w:rsidRPr="0009132C">
        <w:t xml:space="preserve"> </w:t>
      </w:r>
    </w:p>
    <w:p w14:paraId="5876E032" w14:textId="1560BD7E" w:rsidR="00807A3B" w:rsidRPr="0009132C" w:rsidRDefault="00807A3B" w:rsidP="007823A8">
      <w:r>
        <w:t>Funding for the HQEI will be at</w:t>
      </w:r>
      <w:r w:rsidR="004942DC">
        <w:t xml:space="preserve"> </w:t>
      </w:r>
      <w:r>
        <w:t xml:space="preserve">risk for each </w:t>
      </w:r>
      <w:r w:rsidRPr="00DE23A0">
        <w:t>performance year</w:t>
      </w:r>
      <w:r w:rsidR="002D0513" w:rsidRPr="00DE23A0">
        <w:t xml:space="preserve"> (</w:t>
      </w:r>
      <w:r w:rsidR="002D0513">
        <w:t>PY)</w:t>
      </w:r>
      <w:r>
        <w:t xml:space="preserve">, with state and hospital accountability. Reductions from statewide accountability will apply to the global amount of funding from which hospital payments may be made for the initiative. The accountability framework is described in the </w:t>
      </w:r>
      <w:r w:rsidR="0BDD7B5A">
        <w:t>STCs</w:t>
      </w:r>
      <w:r>
        <w:t xml:space="preserve"> and </w:t>
      </w:r>
      <w:r w:rsidR="1557F68A">
        <w:t>is</w:t>
      </w:r>
      <w:r>
        <w:t xml:space="preserve"> further specified in </w:t>
      </w:r>
      <w:r w:rsidR="0BF00E71">
        <w:t xml:space="preserve">MassHealth’s </w:t>
      </w:r>
      <w:r>
        <w:t>HQEI Implementation Plan</w:t>
      </w:r>
      <w:r w:rsidR="00491CDB">
        <w:t xml:space="preserve"> (pending CMS approval)</w:t>
      </w:r>
      <w:r>
        <w:t xml:space="preserve">. </w:t>
      </w:r>
    </w:p>
    <w:p w14:paraId="6383B887" w14:textId="77777777" w:rsidR="00807A3B" w:rsidRPr="0009132C" w:rsidRDefault="00807A3B" w:rsidP="00EE4105">
      <w:pPr>
        <w:pStyle w:val="Heading3"/>
      </w:pPr>
      <w:r w:rsidRPr="0009132C">
        <w:t>Goals of the Hospital Quality and Equity Initiative (HQEI)</w:t>
      </w:r>
    </w:p>
    <w:p w14:paraId="4F4AEF21" w14:textId="6D549606" w:rsidR="00807A3B" w:rsidRPr="004C0CB2" w:rsidRDefault="00807A3B" w:rsidP="007823A8">
      <w:r w:rsidRPr="0009132C">
        <w:t xml:space="preserve">The HQEI component of MassHealth’s 2022-2027 Demonstration aims to improve </w:t>
      </w:r>
      <w:r w:rsidR="004942DC">
        <w:t xml:space="preserve">the </w:t>
      </w:r>
      <w:r w:rsidRPr="0009132C">
        <w:t>quality of care and advance health equity, focusing on initiatives addressing HRSN</w:t>
      </w:r>
      <w:r w:rsidR="6F7C7B8D" w:rsidRPr="0009132C">
        <w:t>s</w:t>
      </w:r>
      <w:r w:rsidRPr="0009132C">
        <w:t xml:space="preserve"> and health disparities demonstrated by variation in quality performance.</w:t>
      </w:r>
      <w:r w:rsidRPr="0009132C">
        <w:rPr>
          <w:rStyle w:val="FootnoteReference"/>
        </w:rPr>
        <w:footnoteReference w:id="131"/>
      </w:r>
      <w:r w:rsidRPr="0009132C">
        <w:t xml:space="preserve"> </w:t>
      </w:r>
    </w:p>
    <w:p w14:paraId="08C4A7E6" w14:textId="7E2877ED" w:rsidR="00807A3B" w:rsidRPr="0009132C" w:rsidRDefault="00807A3B" w:rsidP="00EE4105">
      <w:pPr>
        <w:pStyle w:val="Heading3"/>
      </w:pPr>
      <w:r w:rsidRPr="0009132C">
        <w:t xml:space="preserve">HQEI Policy </w:t>
      </w:r>
      <w:r w:rsidR="00BB2B2D" w:rsidRPr="0009132C">
        <w:t>Sub-</w:t>
      </w:r>
      <w:r w:rsidRPr="0009132C">
        <w:t xml:space="preserve">Domains and </w:t>
      </w:r>
      <w:r w:rsidR="007823A8" w:rsidRPr="0009132C">
        <w:t>D</w:t>
      </w:r>
      <w:r w:rsidRPr="0009132C">
        <w:t xml:space="preserve">esired </w:t>
      </w:r>
      <w:r w:rsidR="007823A8" w:rsidRPr="0009132C">
        <w:t>O</w:t>
      </w:r>
      <w:r w:rsidRPr="0009132C">
        <w:t>utcomes</w:t>
      </w:r>
    </w:p>
    <w:p w14:paraId="7B69CD09" w14:textId="06BFC7C4" w:rsidR="00807A3B" w:rsidRPr="0009132C" w:rsidRDefault="00807A3B" w:rsidP="007823A8">
      <w:r w:rsidRPr="0009132C">
        <w:t xml:space="preserve">The Commonwealth and participating hospitals will pursue performance improvements in three HQEI </w:t>
      </w:r>
      <w:r w:rsidR="00BB2B2D" w:rsidRPr="0009132C">
        <w:t>sub-</w:t>
      </w:r>
      <w:r w:rsidRPr="0009132C">
        <w:t xml:space="preserve">domains described further below. Expenditure authority for performance-based payments </w:t>
      </w:r>
      <w:r w:rsidR="00F208AB" w:rsidRPr="0009132C">
        <w:t xml:space="preserve">for private acute care hospitals </w:t>
      </w:r>
      <w:r w:rsidRPr="0009132C">
        <w:t xml:space="preserve">associated with achievement in each </w:t>
      </w:r>
      <w:r w:rsidR="00BB2B2D" w:rsidRPr="0009132C">
        <w:t>sub-</w:t>
      </w:r>
      <w:r w:rsidRPr="0009132C">
        <w:t xml:space="preserve">domain is presented in </w:t>
      </w:r>
      <w:r w:rsidR="00DE23A0" w:rsidRPr="001B27A3">
        <w:rPr>
          <w:color w:val="000F9F"/>
          <w:u w:val="single"/>
        </w:rPr>
        <w:fldChar w:fldCharType="begin"/>
      </w:r>
      <w:r w:rsidR="00DE23A0" w:rsidRPr="001B27A3">
        <w:rPr>
          <w:color w:val="000F9F"/>
          <w:u w:val="single"/>
        </w:rPr>
        <w:instrText xml:space="preserve"> REF _Ref151468795 \h </w:instrText>
      </w:r>
      <w:r w:rsidR="00DE23A0" w:rsidRPr="001B27A3">
        <w:rPr>
          <w:color w:val="000F9F"/>
          <w:u w:val="single"/>
        </w:rPr>
      </w:r>
      <w:r w:rsidR="00DE23A0" w:rsidRPr="001B27A3">
        <w:rPr>
          <w:color w:val="000F9F"/>
          <w:u w:val="single"/>
        </w:rPr>
        <w:fldChar w:fldCharType="separate"/>
      </w:r>
      <w:r w:rsidR="00DE23A0" w:rsidRPr="001B27A3">
        <w:rPr>
          <w:color w:val="000F9F"/>
          <w:u w:val="single"/>
        </w:rPr>
        <w:t xml:space="preserve">Table </w:t>
      </w:r>
      <w:r w:rsidR="00DE23A0" w:rsidRPr="001B27A3">
        <w:rPr>
          <w:noProof/>
          <w:color w:val="000F9F"/>
          <w:u w:val="single"/>
        </w:rPr>
        <w:t>7</w:t>
      </w:r>
      <w:r w:rsidR="00DE23A0" w:rsidRPr="001B27A3">
        <w:rPr>
          <w:color w:val="000F9F"/>
          <w:u w:val="single"/>
        </w:rPr>
        <w:noBreakHyphen/>
      </w:r>
      <w:r w:rsidR="00DE23A0" w:rsidRPr="001B27A3">
        <w:rPr>
          <w:noProof/>
          <w:color w:val="000F9F"/>
          <w:u w:val="single"/>
        </w:rPr>
        <w:t>1</w:t>
      </w:r>
      <w:r w:rsidR="00DE23A0" w:rsidRPr="001B27A3">
        <w:rPr>
          <w:color w:val="000F9F"/>
          <w:u w:val="single"/>
        </w:rPr>
        <w:fldChar w:fldCharType="end"/>
      </w:r>
      <w:r w:rsidRPr="0009132C">
        <w:t xml:space="preserve"> (i.e</w:t>
      </w:r>
      <w:r w:rsidRPr="00DE23A0">
        <w:t>., Table 14 of the STCs).</w:t>
      </w:r>
      <w:r w:rsidRPr="00DE23A0">
        <w:rPr>
          <w:rStyle w:val="FootnoteReference"/>
        </w:rPr>
        <w:footnoteReference w:id="132"/>
      </w:r>
      <w:r w:rsidRPr="0009132C">
        <w:t xml:space="preserve"> </w:t>
      </w:r>
    </w:p>
    <w:p w14:paraId="46B6D3F0" w14:textId="77777777" w:rsidR="005B47F7" w:rsidRDefault="005B47F7">
      <w:pPr>
        <w:rPr>
          <w:b/>
          <w:i/>
          <w:iCs/>
          <w:color w:val="000000" w:themeColor="text1"/>
          <w:sz w:val="22"/>
          <w:szCs w:val="18"/>
        </w:rPr>
      </w:pPr>
      <w:r>
        <w:br w:type="page"/>
      </w:r>
    </w:p>
    <w:p w14:paraId="09D05C9E" w14:textId="7D4121B3" w:rsidR="009144C1" w:rsidRDefault="009144C1" w:rsidP="004C0CB2">
      <w:pPr>
        <w:pStyle w:val="Caption"/>
        <w:keepNext/>
      </w:pPr>
      <w:bookmarkStart w:id="188" w:name="_Ref151468795"/>
      <w:bookmarkStart w:id="189" w:name="_Toc151976462"/>
      <w:r>
        <w:lastRenderedPageBreak/>
        <w:t xml:space="preserve">Table </w:t>
      </w:r>
      <w:r>
        <w:fldChar w:fldCharType="begin"/>
      </w:r>
      <w:r>
        <w:instrText>STYLEREF 1 \s</w:instrText>
      </w:r>
      <w:r>
        <w:fldChar w:fldCharType="separate"/>
      </w:r>
      <w:r w:rsidR="00EB7B05">
        <w:rPr>
          <w:noProof/>
        </w:rPr>
        <w:t>7</w:t>
      </w:r>
      <w:r>
        <w:fldChar w:fldCharType="end"/>
      </w:r>
      <w:r w:rsidR="00433675">
        <w:noBreakHyphen/>
      </w:r>
      <w:r>
        <w:fldChar w:fldCharType="begin"/>
      </w:r>
      <w:r>
        <w:instrText>SEQ Table \* ARABIC \s 1</w:instrText>
      </w:r>
      <w:r>
        <w:fldChar w:fldCharType="separate"/>
      </w:r>
      <w:r w:rsidR="00EB7B05">
        <w:rPr>
          <w:noProof/>
        </w:rPr>
        <w:t>1</w:t>
      </w:r>
      <w:r>
        <w:fldChar w:fldCharType="end"/>
      </w:r>
      <w:bookmarkEnd w:id="188"/>
      <w:r>
        <w:t xml:space="preserve">: </w:t>
      </w:r>
      <w:r w:rsidRPr="007A4AED">
        <w:t>Expenditure Authority Annual Allocation by Policy Sub-Domains</w:t>
      </w:r>
      <w:bookmarkEnd w:id="189"/>
    </w:p>
    <w:tbl>
      <w:tblPr>
        <w:tblStyle w:val="FHCclean10pt"/>
        <w:tblW w:w="0" w:type="auto"/>
        <w:tblLook w:val="04A0" w:firstRow="1" w:lastRow="0" w:firstColumn="1" w:lastColumn="0" w:noHBand="0" w:noVBand="1"/>
      </w:tblPr>
      <w:tblGrid>
        <w:gridCol w:w="2064"/>
        <w:gridCol w:w="2698"/>
        <w:gridCol w:w="2338"/>
        <w:gridCol w:w="2244"/>
      </w:tblGrid>
      <w:tr w:rsidR="00807A3B" w:rsidRPr="00E12B96" w14:paraId="24BF0B3B" w14:textId="77777777" w:rsidTr="004C0C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5E7DE6E" w14:textId="17A9E68E" w:rsidR="00807A3B" w:rsidRPr="00E12B96" w:rsidRDefault="00427854" w:rsidP="00E12B96">
            <w:pPr>
              <w:pStyle w:val="TableHeading"/>
              <w:rPr>
                <w:b/>
                <w:bCs w:val="0"/>
              </w:rPr>
            </w:pPr>
            <w:r w:rsidRPr="00E12B96">
              <w:rPr>
                <w:b/>
                <w:bCs w:val="0"/>
              </w:rPr>
              <w:t xml:space="preserve">Row </w:t>
            </w:r>
            <w:r w:rsidR="000365EB" w:rsidRPr="00E12B96">
              <w:rPr>
                <w:b/>
                <w:bCs w:val="0"/>
              </w:rPr>
              <w:t>Description</w:t>
            </w:r>
          </w:p>
        </w:tc>
        <w:tc>
          <w:tcPr>
            <w:tcW w:w="2700" w:type="dxa"/>
          </w:tcPr>
          <w:p w14:paraId="2B4CD12B" w14:textId="756F2120" w:rsidR="00807A3B" w:rsidRPr="00E12B96" w:rsidRDefault="00375636" w:rsidP="00E12B96">
            <w:pPr>
              <w:pStyle w:val="TableHeading"/>
              <w:cnfStyle w:val="100000000000" w:firstRow="1" w:lastRow="0" w:firstColumn="0" w:lastColumn="0" w:oddVBand="0" w:evenVBand="0" w:oddHBand="0" w:evenHBand="0" w:firstRowFirstColumn="0" w:firstRowLastColumn="0" w:lastRowFirstColumn="0" w:lastRowLastColumn="0"/>
              <w:rPr>
                <w:b/>
                <w:bCs w:val="0"/>
              </w:rPr>
            </w:pPr>
            <w:r w:rsidRPr="00E12B96">
              <w:rPr>
                <w:b/>
                <w:bCs w:val="0"/>
              </w:rPr>
              <w:t>Sub-</w:t>
            </w:r>
            <w:r w:rsidR="00807A3B" w:rsidRPr="00E12B96">
              <w:rPr>
                <w:b/>
                <w:bCs w:val="0"/>
              </w:rPr>
              <w:t>Domain 1: Demographic and HRSN Data Collection</w:t>
            </w:r>
          </w:p>
        </w:tc>
        <w:tc>
          <w:tcPr>
            <w:tcW w:w="2340" w:type="dxa"/>
          </w:tcPr>
          <w:p w14:paraId="3D0122BB" w14:textId="4729C0E5" w:rsidR="00807A3B" w:rsidRPr="00E12B96" w:rsidRDefault="00375636" w:rsidP="00E12B96">
            <w:pPr>
              <w:pStyle w:val="TableHeading"/>
              <w:cnfStyle w:val="100000000000" w:firstRow="1" w:lastRow="0" w:firstColumn="0" w:lastColumn="0" w:oddVBand="0" w:evenVBand="0" w:oddHBand="0" w:evenHBand="0" w:firstRowFirstColumn="0" w:firstRowLastColumn="0" w:lastRowFirstColumn="0" w:lastRowLastColumn="0"/>
              <w:rPr>
                <w:b/>
                <w:bCs w:val="0"/>
              </w:rPr>
            </w:pPr>
            <w:r w:rsidRPr="00E12B96">
              <w:rPr>
                <w:b/>
                <w:bCs w:val="0"/>
              </w:rPr>
              <w:t>Sub-</w:t>
            </w:r>
            <w:r w:rsidR="00807A3B" w:rsidRPr="00E12B96">
              <w:rPr>
                <w:b/>
                <w:bCs w:val="0"/>
              </w:rPr>
              <w:t>Domain 2: Equitable Access and Quality</w:t>
            </w:r>
          </w:p>
        </w:tc>
        <w:tc>
          <w:tcPr>
            <w:tcW w:w="2245" w:type="dxa"/>
          </w:tcPr>
          <w:p w14:paraId="6F9E3E0A" w14:textId="626E0003" w:rsidR="00807A3B" w:rsidRPr="00E12B96" w:rsidRDefault="00375636" w:rsidP="00E12B96">
            <w:pPr>
              <w:pStyle w:val="TableHeading"/>
              <w:cnfStyle w:val="100000000000" w:firstRow="1" w:lastRow="0" w:firstColumn="0" w:lastColumn="0" w:oddVBand="0" w:evenVBand="0" w:oddHBand="0" w:evenHBand="0" w:firstRowFirstColumn="0" w:firstRowLastColumn="0" w:lastRowFirstColumn="0" w:lastRowLastColumn="0"/>
              <w:rPr>
                <w:b/>
                <w:bCs w:val="0"/>
              </w:rPr>
            </w:pPr>
            <w:r w:rsidRPr="00E12B96">
              <w:rPr>
                <w:b/>
                <w:bCs w:val="0"/>
              </w:rPr>
              <w:t>Sub-</w:t>
            </w:r>
            <w:r w:rsidR="00807A3B" w:rsidRPr="00E12B96">
              <w:rPr>
                <w:b/>
                <w:bCs w:val="0"/>
              </w:rPr>
              <w:t>Domain 3: Capacity and Collaboration</w:t>
            </w:r>
          </w:p>
        </w:tc>
      </w:tr>
      <w:tr w:rsidR="00807A3B" w:rsidRPr="0009132C" w14:paraId="5B552CC1" w14:textId="77777777" w:rsidTr="004C0CB2">
        <w:tc>
          <w:tcPr>
            <w:cnfStyle w:val="001000000000" w:firstRow="0" w:lastRow="0" w:firstColumn="1" w:lastColumn="0" w:oddVBand="0" w:evenVBand="0" w:oddHBand="0" w:evenHBand="0" w:firstRowFirstColumn="0" w:firstRowLastColumn="0" w:lastRowFirstColumn="0" w:lastRowLastColumn="0"/>
            <w:tcW w:w="2065" w:type="dxa"/>
          </w:tcPr>
          <w:p w14:paraId="501EAB2D" w14:textId="77777777" w:rsidR="00807A3B" w:rsidRPr="0009132C" w:rsidRDefault="00807A3B" w:rsidP="00E12B96">
            <w:pPr>
              <w:pStyle w:val="TableNormal0"/>
            </w:pPr>
            <w:r w:rsidRPr="0009132C">
              <w:t>% of Annual Limit</w:t>
            </w:r>
          </w:p>
        </w:tc>
        <w:tc>
          <w:tcPr>
            <w:tcW w:w="2700" w:type="dxa"/>
          </w:tcPr>
          <w:p w14:paraId="4399C7E5" w14:textId="77777777" w:rsidR="00807A3B" w:rsidRPr="0009132C" w:rsidRDefault="00807A3B" w:rsidP="00E12B96">
            <w:pPr>
              <w:pStyle w:val="TableNormal0"/>
              <w:cnfStyle w:val="000000000000" w:firstRow="0" w:lastRow="0" w:firstColumn="0" w:lastColumn="0" w:oddVBand="0" w:evenVBand="0" w:oddHBand="0" w:evenHBand="0" w:firstRowFirstColumn="0" w:firstRowLastColumn="0" w:lastRowFirstColumn="0" w:lastRowLastColumn="0"/>
            </w:pPr>
            <w:r w:rsidRPr="0009132C">
              <w:t>25 percent</w:t>
            </w:r>
          </w:p>
        </w:tc>
        <w:tc>
          <w:tcPr>
            <w:tcW w:w="2340" w:type="dxa"/>
          </w:tcPr>
          <w:p w14:paraId="7D968144" w14:textId="77777777" w:rsidR="00807A3B" w:rsidRPr="0009132C" w:rsidRDefault="00807A3B" w:rsidP="00E12B96">
            <w:pPr>
              <w:pStyle w:val="TableNormal0"/>
              <w:cnfStyle w:val="000000000000" w:firstRow="0" w:lastRow="0" w:firstColumn="0" w:lastColumn="0" w:oddVBand="0" w:evenVBand="0" w:oddHBand="0" w:evenHBand="0" w:firstRowFirstColumn="0" w:firstRowLastColumn="0" w:lastRowFirstColumn="0" w:lastRowLastColumn="0"/>
            </w:pPr>
            <w:r w:rsidRPr="0009132C">
              <w:t>50 percent</w:t>
            </w:r>
          </w:p>
        </w:tc>
        <w:tc>
          <w:tcPr>
            <w:tcW w:w="2245" w:type="dxa"/>
          </w:tcPr>
          <w:p w14:paraId="11EA0F2F" w14:textId="77777777" w:rsidR="00807A3B" w:rsidRPr="0009132C" w:rsidRDefault="00807A3B" w:rsidP="00E12B96">
            <w:pPr>
              <w:pStyle w:val="TableNormal0"/>
              <w:cnfStyle w:val="000000000000" w:firstRow="0" w:lastRow="0" w:firstColumn="0" w:lastColumn="0" w:oddVBand="0" w:evenVBand="0" w:oddHBand="0" w:evenHBand="0" w:firstRowFirstColumn="0" w:firstRowLastColumn="0" w:lastRowFirstColumn="0" w:lastRowLastColumn="0"/>
            </w:pPr>
            <w:r w:rsidRPr="0009132C">
              <w:t>25 percent</w:t>
            </w:r>
          </w:p>
        </w:tc>
      </w:tr>
      <w:tr w:rsidR="00807A3B" w:rsidRPr="0009132C" w14:paraId="4B2A106B" w14:textId="77777777" w:rsidTr="004C0CB2">
        <w:tc>
          <w:tcPr>
            <w:cnfStyle w:val="001000000000" w:firstRow="0" w:lastRow="0" w:firstColumn="1" w:lastColumn="0" w:oddVBand="0" w:evenVBand="0" w:oddHBand="0" w:evenHBand="0" w:firstRowFirstColumn="0" w:firstRowLastColumn="0" w:lastRowFirstColumn="0" w:lastRowLastColumn="0"/>
            <w:tcW w:w="2065" w:type="dxa"/>
          </w:tcPr>
          <w:p w14:paraId="6DA2C82B" w14:textId="77777777" w:rsidR="00807A3B" w:rsidRPr="0009132C" w:rsidRDefault="00807A3B" w:rsidP="00E12B96">
            <w:pPr>
              <w:pStyle w:val="TableNormal0"/>
            </w:pPr>
            <w:r w:rsidRPr="0009132C">
              <w:t>Annual Amount ($)</w:t>
            </w:r>
          </w:p>
        </w:tc>
        <w:tc>
          <w:tcPr>
            <w:tcW w:w="2700" w:type="dxa"/>
          </w:tcPr>
          <w:p w14:paraId="18E61495" w14:textId="77777777" w:rsidR="00807A3B" w:rsidRPr="0009132C" w:rsidRDefault="00807A3B" w:rsidP="00E12B96">
            <w:pPr>
              <w:pStyle w:val="TableNormal0"/>
              <w:cnfStyle w:val="000000000000" w:firstRow="0" w:lastRow="0" w:firstColumn="0" w:lastColumn="0" w:oddVBand="0" w:evenVBand="0" w:oddHBand="0" w:evenHBand="0" w:firstRowFirstColumn="0" w:firstRowLastColumn="0" w:lastRowFirstColumn="0" w:lastRowLastColumn="0"/>
            </w:pPr>
            <w:r w:rsidRPr="0009132C">
              <w:t>$100M</w:t>
            </w:r>
          </w:p>
        </w:tc>
        <w:tc>
          <w:tcPr>
            <w:tcW w:w="2340" w:type="dxa"/>
          </w:tcPr>
          <w:p w14:paraId="4DB04E74" w14:textId="77777777" w:rsidR="00807A3B" w:rsidRPr="0009132C" w:rsidRDefault="00807A3B" w:rsidP="00E12B96">
            <w:pPr>
              <w:pStyle w:val="TableNormal0"/>
              <w:cnfStyle w:val="000000000000" w:firstRow="0" w:lastRow="0" w:firstColumn="0" w:lastColumn="0" w:oddVBand="0" w:evenVBand="0" w:oddHBand="0" w:evenHBand="0" w:firstRowFirstColumn="0" w:firstRowLastColumn="0" w:lastRowFirstColumn="0" w:lastRowLastColumn="0"/>
            </w:pPr>
            <w:r w:rsidRPr="0009132C">
              <w:t>$200M</w:t>
            </w:r>
          </w:p>
        </w:tc>
        <w:tc>
          <w:tcPr>
            <w:tcW w:w="2245" w:type="dxa"/>
          </w:tcPr>
          <w:p w14:paraId="7FBE8610" w14:textId="77777777" w:rsidR="00807A3B" w:rsidRPr="0009132C" w:rsidRDefault="00807A3B" w:rsidP="00E12B96">
            <w:pPr>
              <w:pStyle w:val="TableNormal0"/>
              <w:cnfStyle w:val="000000000000" w:firstRow="0" w:lastRow="0" w:firstColumn="0" w:lastColumn="0" w:oddVBand="0" w:evenVBand="0" w:oddHBand="0" w:evenHBand="0" w:firstRowFirstColumn="0" w:firstRowLastColumn="0" w:lastRowFirstColumn="0" w:lastRowLastColumn="0"/>
            </w:pPr>
            <w:r w:rsidRPr="0009132C">
              <w:t>$100M</w:t>
            </w:r>
          </w:p>
        </w:tc>
      </w:tr>
    </w:tbl>
    <w:p w14:paraId="6667DECB" w14:textId="77777777" w:rsidR="00F7212B" w:rsidRPr="00F7212B" w:rsidRDefault="00F7212B" w:rsidP="00F7212B"/>
    <w:p w14:paraId="40703D22" w14:textId="50263FBC" w:rsidR="00807A3B" w:rsidRPr="0009132C" w:rsidRDefault="00BB2B2D" w:rsidP="00301DAB">
      <w:pPr>
        <w:pStyle w:val="Heading4"/>
      </w:pPr>
      <w:r w:rsidRPr="0009132C">
        <w:t>Sub-</w:t>
      </w:r>
      <w:r w:rsidR="00807A3B" w:rsidRPr="0009132C">
        <w:t>Domain 1- Demographic and Health-Related Social Needs (HRSN) Data</w:t>
      </w:r>
    </w:p>
    <w:p w14:paraId="2CE61FD6" w14:textId="4737C1F0" w:rsidR="00807A3B" w:rsidRPr="0009132C" w:rsidRDefault="00807A3B" w:rsidP="007823A8">
      <w:r w:rsidRPr="0009132C">
        <w:t>MassHealth and its participating hospitals will be assessed on the completeness of beneficiary-reported demographic and HRSN data submitted in accordance with CMS-approved HQEI Implementation Plan</w:t>
      </w:r>
      <w:r w:rsidR="00B0392C" w:rsidRPr="0009132C">
        <w:t xml:space="preserve"> (pending CMS approval)</w:t>
      </w:r>
      <w:r w:rsidRPr="0009132C">
        <w:t>.</w:t>
      </w:r>
      <w:r w:rsidRPr="0009132C" w:rsidDel="00BE57BE">
        <w:t xml:space="preserve"> </w:t>
      </w:r>
      <w:r w:rsidRPr="0009132C">
        <w:t>Demographic and HRSN data will include at least the following categories: race, ethnicity, primary language, disability status, sexual orientation, gender identity, and HRSN, and must be submitted in a consistent format across participating entities. Data completeness will be assessed separately for each data element.</w:t>
      </w:r>
      <w:r w:rsidRPr="0009132C">
        <w:rPr>
          <w:rStyle w:val="FootnoteReference"/>
        </w:rPr>
        <w:footnoteReference w:id="133"/>
      </w:r>
    </w:p>
    <w:p w14:paraId="13603075" w14:textId="15908475" w:rsidR="00807A3B" w:rsidRPr="0009132C" w:rsidRDefault="00807A3B" w:rsidP="007823A8">
      <w:r w:rsidRPr="0009132C">
        <w:t xml:space="preserve">Through annual milestones, MassHealth and participating hospitals will be incentivized to meet an interim goal of 80 percent completeness for self-reported race and ethnicity data by the end of PY3. Participating entities will be incentivized through annual milestones to achieve at least </w:t>
      </w:r>
      <w:r w:rsidR="27835572" w:rsidRPr="0009132C">
        <w:t xml:space="preserve">60 percent data completeness for beneficiary-reported disability data (pending approval by CMS), and at least </w:t>
      </w:r>
      <w:r w:rsidRPr="0009132C">
        <w:t>80 percent data completeness for beneficiary-reported other demographic data (including at least primary language,  sexual orientation, and gender identity) by the end of PY5. Participating entities will also be incentivized to meaningfully improve rates of HRSN screenings, as well as the ability to track and report on them, from the baseline period by the end of PY5.</w:t>
      </w:r>
      <w:r w:rsidRPr="0009132C">
        <w:rPr>
          <w:rStyle w:val="FootnoteReference"/>
        </w:rPr>
        <w:footnoteReference w:id="134"/>
      </w:r>
    </w:p>
    <w:p w14:paraId="6C2FB891" w14:textId="75990C95" w:rsidR="00807A3B" w:rsidRPr="0009132C" w:rsidRDefault="00807A3B" w:rsidP="007823A8">
      <w:r w:rsidRPr="0009132C">
        <w:t>The collection of these demographic and HRSN data is intended to support MassHealth’s goals of identifying and monitoring health disparities, increasing screening for HRSNs, and increasing the percentage of members with an identified HRSN referred to appropriate services.</w:t>
      </w:r>
      <w:r w:rsidRPr="0009132C">
        <w:rPr>
          <w:rStyle w:val="FootnoteReference"/>
        </w:rPr>
        <w:footnoteReference w:id="135"/>
      </w:r>
    </w:p>
    <w:p w14:paraId="7DC87820" w14:textId="7878972E" w:rsidR="00807A3B" w:rsidRPr="0009132C" w:rsidRDefault="00BB2B2D" w:rsidP="00301DAB">
      <w:pPr>
        <w:pStyle w:val="Heading4"/>
      </w:pPr>
      <w:r w:rsidRPr="0009132C">
        <w:t>Sub-</w:t>
      </w:r>
      <w:r w:rsidR="00807A3B" w:rsidRPr="0009132C">
        <w:t>Domain 2- Equitable Access and Quality</w:t>
      </w:r>
    </w:p>
    <w:p w14:paraId="0EB561BC" w14:textId="5F3FA989" w:rsidR="00807A3B" w:rsidRPr="0009132C" w:rsidRDefault="00807A3B" w:rsidP="007823A8">
      <w:r w:rsidRPr="0009132C">
        <w:t>Participating hospitals will be incentivized for performance on metrics related to access to care (including for individuals with limited English proficiency and/or disability); preventive, perinatal, and pediatric care</w:t>
      </w:r>
      <w:r w:rsidR="00644CAD">
        <w:t>;</w:t>
      </w:r>
      <w:r w:rsidR="00644CAD" w:rsidRPr="0009132C">
        <w:t xml:space="preserve"> </w:t>
      </w:r>
      <w:r w:rsidRPr="0009132C">
        <w:t xml:space="preserve">care for chronic diseases; behavioral health (BH); care coordination; and/or patient experience. Subject to CMS approval and informed by needs assessments, the Commonwealth will select a subset of measures, including at least three from CMS’s Health Equity Measure Slate for hospital performance and at least seven measures for statewide performance. Measures will be </w:t>
      </w:r>
      <w:r w:rsidRPr="0009132C">
        <w:lastRenderedPageBreak/>
        <w:t>selected from the following priority areas: maternal health, care coordination, care for acute and/or chronic conditions, and patient experience of and/or access to care.</w:t>
      </w:r>
      <w:r w:rsidRPr="0009132C">
        <w:rPr>
          <w:rStyle w:val="FootnoteReference"/>
        </w:rPr>
        <w:footnoteReference w:id="136"/>
      </w:r>
    </w:p>
    <w:p w14:paraId="7614D53F" w14:textId="0F82CA50" w:rsidR="00F7212B" w:rsidRDefault="00807A3B" w:rsidP="007823A8">
      <w:r>
        <w:t xml:space="preserve">Performance expectations </w:t>
      </w:r>
      <w:r w:rsidR="62FC0BFE">
        <w:t>are</w:t>
      </w:r>
      <w:r>
        <w:t xml:space="preserve"> specified further in the HQEI Implementation Plan </w:t>
      </w:r>
      <w:r w:rsidR="00B0392C">
        <w:t>(pending CMS approval)</w:t>
      </w:r>
      <w:r>
        <w:t xml:space="preserve"> and include</w:t>
      </w:r>
      <w:r w:rsidR="2E9F9B48">
        <w:t>,</w:t>
      </w:r>
      <w:r>
        <w:t xml:space="preserve"> at a minimum</w:t>
      </w:r>
      <w:r w:rsidR="00F7212B">
        <w:t>:</w:t>
      </w:r>
      <w:r>
        <w:t xml:space="preserve"> </w:t>
      </w:r>
    </w:p>
    <w:p w14:paraId="67E0C24B" w14:textId="09E6B82C" w:rsidR="00F7212B" w:rsidRDefault="00F7212B" w:rsidP="008A3252">
      <w:pPr>
        <w:pStyle w:val="FHClistnumber"/>
        <w:numPr>
          <w:ilvl w:val="0"/>
          <w:numId w:val="149"/>
        </w:numPr>
      </w:pPr>
      <w:r>
        <w:t>R</w:t>
      </w:r>
      <w:r w:rsidR="00807A3B" w:rsidRPr="0009132C">
        <w:t xml:space="preserve">eporting on access and quality measure performance, including stratifications by demographic factors (such as race, ethnicity, language, disability, sexual orientation, and gender identity), HRSNs, and/or defined by other individual- or community-level markers or indices of social risk; </w:t>
      </w:r>
    </w:p>
    <w:p w14:paraId="779D7583" w14:textId="31BB65C9" w:rsidR="00F7212B" w:rsidRDefault="00F7212B" w:rsidP="008A3252">
      <w:pPr>
        <w:pStyle w:val="FHClistnumber"/>
      </w:pPr>
      <w:r>
        <w:t>D</w:t>
      </w:r>
      <w:r w:rsidR="00807A3B" w:rsidRPr="0009132C">
        <w:t xml:space="preserve">eveloping and implementing interventions aimed at improving quality and reducing observed disparities </w:t>
      </w:r>
      <w:r w:rsidR="00B81C84">
        <w:t>i</w:t>
      </w:r>
      <w:r w:rsidR="00B81C84" w:rsidRPr="0009132C">
        <w:t xml:space="preserve">n </w:t>
      </w:r>
      <w:r w:rsidR="00807A3B" w:rsidRPr="0009132C">
        <w:t>performance metrics to ensure that all members</w:t>
      </w:r>
      <w:r w:rsidR="00932D26">
        <w:t>,</w:t>
      </w:r>
      <w:r w:rsidR="00807A3B" w:rsidRPr="0009132C">
        <w:t xml:space="preserve"> regardless of their demographic characteristics</w:t>
      </w:r>
      <w:r w:rsidR="00932D26">
        <w:t>,</w:t>
      </w:r>
      <w:r w:rsidR="00807A3B" w:rsidRPr="0009132C">
        <w:t xml:space="preserve"> have access to covered services that are delivered in a manner that meets their unique needs; and </w:t>
      </w:r>
    </w:p>
    <w:p w14:paraId="4C343B55" w14:textId="307B0BF9" w:rsidR="00F7212B" w:rsidRDefault="00F7212B" w:rsidP="001B27A3">
      <w:pPr>
        <w:pStyle w:val="FHClistnumber"/>
        <w:spacing w:after="240"/>
      </w:pPr>
      <w:r>
        <w:t>I</w:t>
      </w:r>
      <w:r w:rsidR="00807A3B" w:rsidRPr="0009132C">
        <w:t xml:space="preserve">mproving quality and/or closing disparities as measured through performance on a subset of performance metrics. </w:t>
      </w:r>
    </w:p>
    <w:p w14:paraId="5F731162" w14:textId="280CDFAE" w:rsidR="00807A3B" w:rsidRPr="0009132C" w:rsidRDefault="00807A3B" w:rsidP="007823A8">
      <w:r w:rsidRPr="0009132C">
        <w:t>For up to the first three years of the Demonstration, performance will be assessed based on reporting on access and quality measure performance and developing and implementing interventions to improve quality and reduce disparities. For</w:t>
      </w:r>
      <w:r w:rsidRPr="0009132C" w:rsidDel="00CA6448">
        <w:t xml:space="preserve"> </w:t>
      </w:r>
      <w:r w:rsidRPr="0009132C">
        <w:t>at least the last two years of the Demonstration, performance</w:t>
      </w:r>
      <w:r w:rsidRPr="0009132C" w:rsidDel="00CA6448">
        <w:t xml:space="preserve"> </w:t>
      </w:r>
      <w:r w:rsidRPr="0009132C">
        <w:t>will be assessed based on improving quality and closing “observed disparities on metrics that account for clinical and social risk factors found through analysis to be associated with lower performance on such metrics and/or other appropriate individual- or community-level markers or indices of social vulnerability</w:t>
      </w:r>
      <w:r w:rsidR="00DA26ED">
        <w:t>.”</w:t>
      </w:r>
      <w:r w:rsidR="00DA26ED" w:rsidRPr="0009132C">
        <w:rPr>
          <w:rStyle w:val="FootnoteReference"/>
        </w:rPr>
        <w:footnoteReference w:id="137"/>
      </w:r>
    </w:p>
    <w:p w14:paraId="5C6EBD42" w14:textId="3E1BAAA0" w:rsidR="00807A3B" w:rsidRPr="0009132C" w:rsidRDefault="00807A3B" w:rsidP="007823A8">
      <w:r w:rsidRPr="0009132C">
        <w:t xml:space="preserve">MassHealth’s goals for this policy </w:t>
      </w:r>
      <w:r w:rsidR="00F5404C" w:rsidRPr="0009132C">
        <w:t>sub-</w:t>
      </w:r>
      <w:r w:rsidRPr="0009132C">
        <w:t xml:space="preserve">domain include identifying and monitoring statewide disparities in clinical quality measures, closing gaps in targeted quality measures by PY5, identifying best practices for targeted equity improvement interventions, increasing hospital and accountable care organization (ACO) collaboration on disparities-reduction projects, </w:t>
      </w:r>
      <w:r w:rsidR="3B791F89" w:rsidRPr="0009132C">
        <w:t xml:space="preserve">improving </w:t>
      </w:r>
      <w:r w:rsidRPr="0009132C">
        <w:t>member receipt of linguistically appropriate care, high levels of provider and staff demonstrating disability competency, and closing gaps in the percentage of members reporting their accommodation needs were met.</w:t>
      </w:r>
      <w:r w:rsidRPr="0009132C">
        <w:rPr>
          <w:rStyle w:val="FootnoteReference"/>
        </w:rPr>
        <w:footnoteReference w:id="138"/>
      </w:r>
    </w:p>
    <w:p w14:paraId="1F5F72F5" w14:textId="05A08E86" w:rsidR="00807A3B" w:rsidRPr="0009132C" w:rsidRDefault="00BB2B2D" w:rsidP="00301DAB">
      <w:pPr>
        <w:pStyle w:val="Heading4"/>
      </w:pPr>
      <w:r w:rsidRPr="0009132C">
        <w:t>Sub-</w:t>
      </w:r>
      <w:r w:rsidR="00807A3B" w:rsidRPr="0009132C">
        <w:t>Domain 3- Capacity and Collaboration</w:t>
      </w:r>
    </w:p>
    <w:p w14:paraId="2BC9DCA6" w14:textId="3A0E13F1" w:rsidR="00807A3B" w:rsidRPr="0009132C" w:rsidRDefault="00807A3B" w:rsidP="00362126">
      <w:r w:rsidRPr="0009132C">
        <w:t>MassHealth and participating hospitals will be incentivized to improve provider and workforce capacity and collaboration between health system partners to improve quality and reduce healthcare disparities.</w:t>
      </w:r>
      <w:r w:rsidRPr="0009132C">
        <w:rPr>
          <w:rStyle w:val="FootnoteReference"/>
        </w:rPr>
        <w:footnoteReference w:id="139"/>
      </w:r>
      <w:r w:rsidRPr="0009132C">
        <w:t xml:space="preserve"> Participating entities may be assessed on improvements in metrics such as</w:t>
      </w:r>
      <w:r w:rsidRPr="0009132C" w:rsidDel="002B692A">
        <w:t xml:space="preserve"> provider </w:t>
      </w:r>
      <w:r w:rsidRPr="0009132C">
        <w:t>cultural competence,</w:t>
      </w:r>
      <w:r w:rsidRPr="0009132C" w:rsidDel="00C74185">
        <w:t xml:space="preserve"> </w:t>
      </w:r>
      <w:r w:rsidRPr="0009132C">
        <w:t xml:space="preserve">achievement of externally validated equity standards, and joint accountability for ACO performance. </w:t>
      </w:r>
      <w:r w:rsidRPr="0009132C">
        <w:lastRenderedPageBreak/>
        <w:t xml:space="preserve">Some assessments, detailed below, will rely on surveys and standards developed by The Joint Commission (TJC). This independent not-for-profit organization offers accreditation, certification, and standard setting for the healthcare industry. For PY1 of the HQEI, participating hospitals will have their performance assessed for the Capacity and Collaboration </w:t>
      </w:r>
      <w:r w:rsidR="00F5404C" w:rsidRPr="0009132C">
        <w:t>sub-</w:t>
      </w:r>
      <w:r w:rsidRPr="0009132C">
        <w:t>domain based on timely submission to MassHealth of member survey results pertaining to cultural competency, an attestation that the hospital has completed TJC surveys for health equity accreditation standards, and the health equity performance scores of ACOs with which the hospital is partnered.</w:t>
      </w:r>
      <w:r w:rsidRPr="0009132C">
        <w:rPr>
          <w:rStyle w:val="FootnoteReference"/>
        </w:rPr>
        <w:footnoteReference w:id="140"/>
      </w:r>
      <w:r w:rsidRPr="0009132C">
        <w:t xml:space="preserve"> Achievement of at least 80 percent of hospitals </w:t>
      </w:r>
      <w:r w:rsidR="20B5AE98" w:rsidRPr="0009132C">
        <w:t>meeting</w:t>
      </w:r>
      <w:r w:rsidRPr="0009132C">
        <w:t xml:space="preserve"> rigorous standards, as established by a national quality or accreditation organization, regarding service capacity, access, and delivery of culturally and linguistically appropriate care is expected by the end of PY3.</w:t>
      </w:r>
      <w:r w:rsidRPr="0009132C">
        <w:rPr>
          <w:rStyle w:val="FootnoteReference"/>
        </w:rPr>
        <w:footnoteReference w:id="141"/>
      </w:r>
    </w:p>
    <w:p w14:paraId="7A229641" w14:textId="3F77F6E5" w:rsidR="00807A3B" w:rsidRPr="0009132C" w:rsidRDefault="00807A3B" w:rsidP="007823A8">
      <w:r w:rsidRPr="0009132C">
        <w:t xml:space="preserve">MassHealth goals for this policy </w:t>
      </w:r>
      <w:r w:rsidR="00F5404C" w:rsidRPr="0009132C">
        <w:t>sub-</w:t>
      </w:r>
      <w:r w:rsidRPr="0009132C">
        <w:t>domain include increasing organizational capacity, structure, and workforce for meaningful health equity work, improving culturally competent care for MassHealth members, and increasing collaboration between health system partners to improve care quality and reduce disparities.</w:t>
      </w:r>
      <w:r w:rsidRPr="0009132C">
        <w:rPr>
          <w:rStyle w:val="FootnoteReference"/>
        </w:rPr>
        <w:footnoteReference w:id="142"/>
      </w:r>
    </w:p>
    <w:p w14:paraId="1BEB4688" w14:textId="27FED199" w:rsidR="00807A3B" w:rsidRPr="0009132C" w:rsidRDefault="00807A3B" w:rsidP="00EE4105">
      <w:pPr>
        <w:pStyle w:val="Heading3"/>
      </w:pPr>
      <w:r w:rsidRPr="0009132C">
        <w:t>HQEI Policy Domain Implementation Plan and Timeline</w:t>
      </w:r>
    </w:p>
    <w:p w14:paraId="2BFDA041" w14:textId="7EDF14D6" w:rsidR="00807A3B" w:rsidRPr="0009132C" w:rsidRDefault="00807A3B" w:rsidP="007823A8">
      <w:r w:rsidRPr="0009132C">
        <w:t xml:space="preserve">The HQEI spans the five-year Demonstration period. Detailed schedules of activities will be included in MassHealth’s </w:t>
      </w:r>
      <w:r w:rsidR="237E2C71" w:rsidRPr="0009132C">
        <w:t xml:space="preserve">HQEI </w:t>
      </w:r>
      <w:r w:rsidRPr="0009132C">
        <w:t>Implementation Plan</w:t>
      </w:r>
      <w:r w:rsidR="00B0392C" w:rsidRPr="0009132C">
        <w:t xml:space="preserve"> (pending CMS approval)</w:t>
      </w:r>
      <w:r w:rsidRPr="0009132C">
        <w:t>. A summary of expenditure authority by performance, Demonstration, and calendar year</w:t>
      </w:r>
      <w:r w:rsidR="00313A40" w:rsidRPr="0009132C">
        <w:t xml:space="preserve"> (CY)</w:t>
      </w:r>
      <w:r w:rsidRPr="0009132C">
        <w:t xml:space="preserve"> is included </w:t>
      </w:r>
      <w:r w:rsidR="009C2AA0">
        <w:t>in</w:t>
      </w:r>
      <w:r w:rsidR="009C2AA0" w:rsidRPr="0009132C">
        <w:t xml:space="preserve"> </w:t>
      </w:r>
      <w:r w:rsidR="00DE23A0" w:rsidRPr="004B1623">
        <w:rPr>
          <w:color w:val="000F9F"/>
          <w:u w:val="single"/>
        </w:rPr>
        <w:fldChar w:fldCharType="begin"/>
      </w:r>
      <w:r w:rsidR="00DE23A0" w:rsidRPr="004B1623">
        <w:rPr>
          <w:color w:val="000F9F"/>
          <w:u w:val="single"/>
        </w:rPr>
        <w:instrText xml:space="preserve"> REF _Ref151469383 \h </w:instrText>
      </w:r>
      <w:r w:rsidR="00DE23A0" w:rsidRPr="004B1623">
        <w:rPr>
          <w:color w:val="000F9F"/>
          <w:u w:val="single"/>
        </w:rPr>
      </w:r>
      <w:r w:rsidR="00DE23A0" w:rsidRPr="004B1623">
        <w:rPr>
          <w:color w:val="000F9F"/>
          <w:u w:val="single"/>
        </w:rPr>
        <w:fldChar w:fldCharType="separate"/>
      </w:r>
      <w:r w:rsidR="00DE23A0" w:rsidRPr="004B1623">
        <w:rPr>
          <w:color w:val="000F9F"/>
          <w:u w:val="single"/>
        </w:rPr>
        <w:t xml:space="preserve">Table </w:t>
      </w:r>
      <w:r w:rsidR="00DE23A0" w:rsidRPr="004B1623">
        <w:rPr>
          <w:noProof/>
          <w:color w:val="000F9F"/>
          <w:u w:val="single"/>
        </w:rPr>
        <w:t>7</w:t>
      </w:r>
      <w:r w:rsidR="00DE23A0" w:rsidRPr="004B1623">
        <w:rPr>
          <w:color w:val="000F9F"/>
          <w:u w:val="single"/>
        </w:rPr>
        <w:noBreakHyphen/>
      </w:r>
      <w:r w:rsidR="00DE23A0" w:rsidRPr="004B1623">
        <w:rPr>
          <w:noProof/>
          <w:color w:val="000F9F"/>
          <w:u w:val="single"/>
        </w:rPr>
        <w:t>2</w:t>
      </w:r>
      <w:r w:rsidR="00DE23A0" w:rsidRPr="004B1623">
        <w:rPr>
          <w:color w:val="000F9F"/>
          <w:u w:val="single"/>
        </w:rPr>
        <w:fldChar w:fldCharType="end"/>
      </w:r>
      <w:r w:rsidRPr="0009132C">
        <w:t xml:space="preserve"> (adapted from Table 13 of the STCs).</w:t>
      </w:r>
      <w:r w:rsidRPr="0009132C">
        <w:rPr>
          <w:vertAlign w:val="superscript"/>
        </w:rPr>
        <w:footnoteReference w:id="143"/>
      </w:r>
    </w:p>
    <w:p w14:paraId="58860DB7" w14:textId="08ADCAF1" w:rsidR="008F7476" w:rsidRDefault="008F7476" w:rsidP="008F7476">
      <w:pPr>
        <w:pStyle w:val="Caption"/>
        <w:keepNext/>
      </w:pPr>
      <w:bookmarkStart w:id="190" w:name="_Ref151469383"/>
      <w:bookmarkStart w:id="191" w:name="_Toc151976463"/>
      <w:r>
        <w:t xml:space="preserve">Table </w:t>
      </w:r>
      <w:r>
        <w:fldChar w:fldCharType="begin"/>
      </w:r>
      <w:r>
        <w:instrText>STYLEREF 1 \s</w:instrText>
      </w:r>
      <w:r>
        <w:fldChar w:fldCharType="separate"/>
      </w:r>
      <w:r w:rsidR="00EB7B05">
        <w:rPr>
          <w:noProof/>
        </w:rPr>
        <w:t>7</w:t>
      </w:r>
      <w:r>
        <w:fldChar w:fldCharType="end"/>
      </w:r>
      <w:r w:rsidR="00433675">
        <w:noBreakHyphen/>
      </w:r>
      <w:r>
        <w:fldChar w:fldCharType="begin"/>
      </w:r>
      <w:r>
        <w:instrText>SEQ Table \* ARABIC \s 1</w:instrText>
      </w:r>
      <w:r>
        <w:fldChar w:fldCharType="separate"/>
      </w:r>
      <w:r w:rsidR="00EB7B05">
        <w:rPr>
          <w:noProof/>
        </w:rPr>
        <w:t>2</w:t>
      </w:r>
      <w:r>
        <w:fldChar w:fldCharType="end"/>
      </w:r>
      <w:bookmarkEnd w:id="190"/>
      <w:r>
        <w:t xml:space="preserve">: </w:t>
      </w:r>
      <w:r w:rsidRPr="007605EC">
        <w:t>Annual Expenditure Limits (In Millions, Total Computable)</w:t>
      </w:r>
      <w:bookmarkEnd w:id="191"/>
    </w:p>
    <w:tbl>
      <w:tblPr>
        <w:tblStyle w:val="FHCclean10pt"/>
        <w:tblW w:w="9072" w:type="dxa"/>
        <w:tblLayout w:type="fixed"/>
        <w:tblLook w:val="04A0" w:firstRow="1" w:lastRow="0" w:firstColumn="1" w:lastColumn="0" w:noHBand="0" w:noVBand="1"/>
      </w:tblPr>
      <w:tblGrid>
        <w:gridCol w:w="1584"/>
        <w:gridCol w:w="1728"/>
        <w:gridCol w:w="1152"/>
        <w:gridCol w:w="1152"/>
        <w:gridCol w:w="1152"/>
        <w:gridCol w:w="1152"/>
        <w:gridCol w:w="1152"/>
      </w:tblGrid>
      <w:tr w:rsidR="00825D74" w:rsidRPr="00E12B96" w14:paraId="20AAFCBF" w14:textId="77777777" w:rsidTr="00825D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Pr>
          <w:p w14:paraId="75F14F75" w14:textId="00A13DEA" w:rsidR="00807A3B" w:rsidRPr="00E12B96" w:rsidRDefault="00A468C2" w:rsidP="00E12B96">
            <w:pPr>
              <w:pStyle w:val="TableHeading"/>
              <w:rPr>
                <w:b/>
                <w:bCs w:val="0"/>
              </w:rPr>
            </w:pPr>
            <w:r w:rsidRPr="00E12B96">
              <w:rPr>
                <w:b/>
                <w:bCs w:val="0"/>
              </w:rPr>
              <w:t xml:space="preserve">Row </w:t>
            </w:r>
            <w:r w:rsidR="008B502D" w:rsidRPr="00E12B96">
              <w:rPr>
                <w:b/>
                <w:bCs w:val="0"/>
              </w:rPr>
              <w:t>Description</w:t>
            </w:r>
          </w:p>
        </w:tc>
        <w:tc>
          <w:tcPr>
            <w:tcW w:w="1728" w:type="dxa"/>
          </w:tcPr>
          <w:p w14:paraId="45822980" w14:textId="77777777" w:rsidR="00807A3B" w:rsidRPr="00E12B96" w:rsidRDefault="00807A3B" w:rsidP="00E12B96">
            <w:pPr>
              <w:pStyle w:val="TableHeading"/>
              <w:cnfStyle w:val="100000000000" w:firstRow="1" w:lastRow="0" w:firstColumn="0" w:lastColumn="0" w:oddVBand="0" w:evenVBand="0" w:oddHBand="0" w:evenHBand="0" w:firstRowFirstColumn="0" w:firstRowLastColumn="0" w:lastRowFirstColumn="0" w:lastRowLastColumn="0"/>
              <w:rPr>
                <w:b/>
                <w:bCs w:val="0"/>
              </w:rPr>
            </w:pPr>
            <w:r w:rsidRPr="00E12B96">
              <w:rPr>
                <w:b/>
                <w:bCs w:val="0"/>
              </w:rPr>
              <w:t>Demonstration Year (DY) 27</w:t>
            </w:r>
          </w:p>
        </w:tc>
        <w:tc>
          <w:tcPr>
            <w:tcW w:w="1152" w:type="dxa"/>
          </w:tcPr>
          <w:p w14:paraId="2D7EDFDA" w14:textId="77777777" w:rsidR="00807A3B" w:rsidRPr="00E12B96" w:rsidRDefault="00807A3B" w:rsidP="00E12B96">
            <w:pPr>
              <w:pStyle w:val="TableHeading"/>
              <w:cnfStyle w:val="100000000000" w:firstRow="1" w:lastRow="0" w:firstColumn="0" w:lastColumn="0" w:oddVBand="0" w:evenVBand="0" w:oddHBand="0" w:evenHBand="0" w:firstRowFirstColumn="0" w:firstRowLastColumn="0" w:lastRowFirstColumn="0" w:lastRowLastColumn="0"/>
              <w:rPr>
                <w:b/>
                <w:bCs w:val="0"/>
              </w:rPr>
            </w:pPr>
            <w:r w:rsidRPr="00E12B96">
              <w:rPr>
                <w:b/>
                <w:bCs w:val="0"/>
              </w:rPr>
              <w:t>DY 28</w:t>
            </w:r>
          </w:p>
        </w:tc>
        <w:tc>
          <w:tcPr>
            <w:tcW w:w="1152" w:type="dxa"/>
          </w:tcPr>
          <w:p w14:paraId="775E8B8E" w14:textId="77777777" w:rsidR="00807A3B" w:rsidRPr="00E12B96" w:rsidRDefault="00807A3B" w:rsidP="00E12B96">
            <w:pPr>
              <w:pStyle w:val="TableHeading"/>
              <w:cnfStyle w:val="100000000000" w:firstRow="1" w:lastRow="0" w:firstColumn="0" w:lastColumn="0" w:oddVBand="0" w:evenVBand="0" w:oddHBand="0" w:evenHBand="0" w:firstRowFirstColumn="0" w:firstRowLastColumn="0" w:lastRowFirstColumn="0" w:lastRowLastColumn="0"/>
              <w:rPr>
                <w:b/>
                <w:bCs w:val="0"/>
              </w:rPr>
            </w:pPr>
            <w:r w:rsidRPr="00E12B96">
              <w:rPr>
                <w:b/>
                <w:bCs w:val="0"/>
              </w:rPr>
              <w:t>DY 29</w:t>
            </w:r>
          </w:p>
        </w:tc>
        <w:tc>
          <w:tcPr>
            <w:tcW w:w="1152" w:type="dxa"/>
          </w:tcPr>
          <w:p w14:paraId="011CACDE" w14:textId="77777777" w:rsidR="00807A3B" w:rsidRPr="00E12B96" w:rsidRDefault="00807A3B" w:rsidP="00E12B96">
            <w:pPr>
              <w:pStyle w:val="TableHeading"/>
              <w:cnfStyle w:val="100000000000" w:firstRow="1" w:lastRow="0" w:firstColumn="0" w:lastColumn="0" w:oddVBand="0" w:evenVBand="0" w:oddHBand="0" w:evenHBand="0" w:firstRowFirstColumn="0" w:firstRowLastColumn="0" w:lastRowFirstColumn="0" w:lastRowLastColumn="0"/>
              <w:rPr>
                <w:b/>
                <w:bCs w:val="0"/>
              </w:rPr>
            </w:pPr>
            <w:r w:rsidRPr="00E12B96">
              <w:rPr>
                <w:b/>
                <w:bCs w:val="0"/>
              </w:rPr>
              <w:t>DY 30</w:t>
            </w:r>
          </w:p>
        </w:tc>
        <w:tc>
          <w:tcPr>
            <w:tcW w:w="1152" w:type="dxa"/>
          </w:tcPr>
          <w:p w14:paraId="442071E0" w14:textId="77777777" w:rsidR="00807A3B" w:rsidRPr="00E12B96" w:rsidRDefault="00807A3B" w:rsidP="00E12B96">
            <w:pPr>
              <w:pStyle w:val="TableHeading"/>
              <w:cnfStyle w:val="100000000000" w:firstRow="1" w:lastRow="0" w:firstColumn="0" w:lastColumn="0" w:oddVBand="0" w:evenVBand="0" w:oddHBand="0" w:evenHBand="0" w:firstRowFirstColumn="0" w:firstRowLastColumn="0" w:lastRowFirstColumn="0" w:lastRowLastColumn="0"/>
              <w:rPr>
                <w:b/>
                <w:bCs w:val="0"/>
              </w:rPr>
            </w:pPr>
            <w:r w:rsidRPr="00E12B96">
              <w:rPr>
                <w:b/>
                <w:bCs w:val="0"/>
              </w:rPr>
              <w:t>DY 31</w:t>
            </w:r>
          </w:p>
        </w:tc>
        <w:tc>
          <w:tcPr>
            <w:tcW w:w="1152" w:type="dxa"/>
          </w:tcPr>
          <w:p w14:paraId="2BBD852E" w14:textId="77777777" w:rsidR="00807A3B" w:rsidRPr="00E12B96" w:rsidRDefault="00807A3B" w:rsidP="00E12B96">
            <w:pPr>
              <w:pStyle w:val="TableHeading"/>
              <w:cnfStyle w:val="100000000000" w:firstRow="1" w:lastRow="0" w:firstColumn="0" w:lastColumn="0" w:oddVBand="0" w:evenVBand="0" w:oddHBand="0" w:evenHBand="0" w:firstRowFirstColumn="0" w:firstRowLastColumn="0" w:lastRowFirstColumn="0" w:lastRowLastColumn="0"/>
              <w:rPr>
                <w:b/>
                <w:bCs w:val="0"/>
              </w:rPr>
            </w:pPr>
            <w:r w:rsidRPr="00E12B96">
              <w:rPr>
                <w:b/>
                <w:bCs w:val="0"/>
              </w:rPr>
              <w:t>DY 32</w:t>
            </w:r>
          </w:p>
        </w:tc>
      </w:tr>
      <w:tr w:rsidR="00354498" w:rsidRPr="00C047E6" w14:paraId="5B326318" w14:textId="77777777" w:rsidTr="00825D74">
        <w:tc>
          <w:tcPr>
            <w:cnfStyle w:val="001000000000" w:firstRow="0" w:lastRow="0" w:firstColumn="1" w:lastColumn="0" w:oddVBand="0" w:evenVBand="0" w:oddHBand="0" w:evenHBand="0" w:firstRowFirstColumn="0" w:firstRowLastColumn="0" w:lastRowFirstColumn="0" w:lastRowLastColumn="0"/>
            <w:tcW w:w="1584" w:type="dxa"/>
          </w:tcPr>
          <w:p w14:paraId="5AAEE65B" w14:textId="77777777" w:rsidR="00807A3B" w:rsidRPr="00C047E6" w:rsidRDefault="00807A3B" w:rsidP="00E12B96">
            <w:pPr>
              <w:pStyle w:val="TableNormal0"/>
            </w:pPr>
            <w:r w:rsidRPr="00C047E6">
              <w:t>Private Acute Hospitals</w:t>
            </w:r>
          </w:p>
        </w:tc>
        <w:tc>
          <w:tcPr>
            <w:tcW w:w="1728" w:type="dxa"/>
          </w:tcPr>
          <w:p w14:paraId="02C80907" w14:textId="77777777" w:rsidR="00807A3B" w:rsidRPr="00C047E6" w:rsidRDefault="00807A3B" w:rsidP="00E12B96">
            <w:pPr>
              <w:pStyle w:val="TableNormal0"/>
              <w:cnfStyle w:val="000000000000" w:firstRow="0" w:lastRow="0" w:firstColumn="0" w:lastColumn="0" w:oddVBand="0" w:evenVBand="0" w:oddHBand="0" w:evenHBand="0" w:firstRowFirstColumn="0" w:firstRowLastColumn="0" w:lastRowFirstColumn="0" w:lastRowLastColumn="0"/>
            </w:pPr>
            <w:r w:rsidRPr="00C047E6">
              <w:t>$80M</w:t>
            </w:r>
          </w:p>
        </w:tc>
        <w:tc>
          <w:tcPr>
            <w:tcW w:w="1152" w:type="dxa"/>
          </w:tcPr>
          <w:p w14:paraId="4F0F0E76" w14:textId="77777777" w:rsidR="00807A3B" w:rsidRPr="00C047E6" w:rsidRDefault="00807A3B" w:rsidP="00E12B96">
            <w:pPr>
              <w:pStyle w:val="TableNormal0"/>
              <w:cnfStyle w:val="000000000000" w:firstRow="0" w:lastRow="0" w:firstColumn="0" w:lastColumn="0" w:oddVBand="0" w:evenVBand="0" w:oddHBand="0" w:evenHBand="0" w:firstRowFirstColumn="0" w:firstRowLastColumn="0" w:lastRowFirstColumn="0" w:lastRowLastColumn="0"/>
            </w:pPr>
            <w:r w:rsidRPr="00C047E6">
              <w:t>$320M</w:t>
            </w:r>
          </w:p>
        </w:tc>
        <w:tc>
          <w:tcPr>
            <w:tcW w:w="1152" w:type="dxa"/>
          </w:tcPr>
          <w:p w14:paraId="0FAA9233" w14:textId="77777777" w:rsidR="00807A3B" w:rsidRPr="00C047E6" w:rsidRDefault="00807A3B" w:rsidP="00E12B96">
            <w:pPr>
              <w:pStyle w:val="TableNormal0"/>
              <w:cnfStyle w:val="000000000000" w:firstRow="0" w:lastRow="0" w:firstColumn="0" w:lastColumn="0" w:oddVBand="0" w:evenVBand="0" w:oddHBand="0" w:evenHBand="0" w:firstRowFirstColumn="0" w:firstRowLastColumn="0" w:lastRowFirstColumn="0" w:lastRowLastColumn="0"/>
            </w:pPr>
            <w:r w:rsidRPr="00C047E6">
              <w:t>$400M</w:t>
            </w:r>
          </w:p>
        </w:tc>
        <w:tc>
          <w:tcPr>
            <w:tcW w:w="1152" w:type="dxa"/>
          </w:tcPr>
          <w:p w14:paraId="1DB76407" w14:textId="77777777" w:rsidR="00807A3B" w:rsidRPr="00C047E6" w:rsidRDefault="00807A3B" w:rsidP="00E12B96">
            <w:pPr>
              <w:pStyle w:val="TableNormal0"/>
              <w:cnfStyle w:val="000000000000" w:firstRow="0" w:lastRow="0" w:firstColumn="0" w:lastColumn="0" w:oddVBand="0" w:evenVBand="0" w:oddHBand="0" w:evenHBand="0" w:firstRowFirstColumn="0" w:firstRowLastColumn="0" w:lastRowFirstColumn="0" w:lastRowLastColumn="0"/>
            </w:pPr>
            <w:r w:rsidRPr="00C047E6">
              <w:t>$400M</w:t>
            </w:r>
          </w:p>
        </w:tc>
        <w:tc>
          <w:tcPr>
            <w:tcW w:w="1152" w:type="dxa"/>
          </w:tcPr>
          <w:p w14:paraId="1F852E8C" w14:textId="77777777" w:rsidR="00807A3B" w:rsidRPr="00C047E6" w:rsidRDefault="00807A3B" w:rsidP="00E12B96">
            <w:pPr>
              <w:pStyle w:val="TableNormal0"/>
              <w:cnfStyle w:val="000000000000" w:firstRow="0" w:lastRow="0" w:firstColumn="0" w:lastColumn="0" w:oddVBand="0" w:evenVBand="0" w:oddHBand="0" w:evenHBand="0" w:firstRowFirstColumn="0" w:firstRowLastColumn="0" w:lastRowFirstColumn="0" w:lastRowLastColumn="0"/>
            </w:pPr>
            <w:r w:rsidRPr="00C047E6">
              <w:t>$400M</w:t>
            </w:r>
          </w:p>
        </w:tc>
        <w:tc>
          <w:tcPr>
            <w:tcW w:w="1152" w:type="dxa"/>
          </w:tcPr>
          <w:p w14:paraId="535767B5" w14:textId="77777777" w:rsidR="00807A3B" w:rsidRPr="00C047E6" w:rsidRDefault="00807A3B" w:rsidP="00E12B96">
            <w:pPr>
              <w:pStyle w:val="TableNormal0"/>
              <w:cnfStyle w:val="000000000000" w:firstRow="0" w:lastRow="0" w:firstColumn="0" w:lastColumn="0" w:oddVBand="0" w:evenVBand="0" w:oddHBand="0" w:evenHBand="0" w:firstRowFirstColumn="0" w:firstRowLastColumn="0" w:lastRowFirstColumn="0" w:lastRowLastColumn="0"/>
            </w:pPr>
            <w:r w:rsidRPr="00C047E6">
              <w:t>$400M</w:t>
            </w:r>
          </w:p>
        </w:tc>
      </w:tr>
      <w:tr w:rsidR="00354498" w:rsidRPr="00C047E6" w14:paraId="23BF27D8" w14:textId="77777777" w:rsidTr="00825D74">
        <w:tc>
          <w:tcPr>
            <w:cnfStyle w:val="001000000000" w:firstRow="0" w:lastRow="0" w:firstColumn="1" w:lastColumn="0" w:oddVBand="0" w:evenVBand="0" w:oddHBand="0" w:evenHBand="0" w:firstRowFirstColumn="0" w:firstRowLastColumn="0" w:lastRowFirstColumn="0" w:lastRowLastColumn="0"/>
            <w:tcW w:w="1584" w:type="dxa"/>
          </w:tcPr>
          <w:p w14:paraId="37106F7A" w14:textId="77777777" w:rsidR="00807A3B" w:rsidRPr="00C047E6" w:rsidRDefault="00807A3B" w:rsidP="00E12B96">
            <w:pPr>
              <w:pStyle w:val="TableNormal0"/>
            </w:pPr>
            <w:r w:rsidRPr="00C047E6">
              <w:t>CHA</w:t>
            </w:r>
          </w:p>
        </w:tc>
        <w:tc>
          <w:tcPr>
            <w:tcW w:w="1728" w:type="dxa"/>
          </w:tcPr>
          <w:p w14:paraId="0C917A68" w14:textId="77777777" w:rsidR="00807A3B" w:rsidRPr="00C047E6" w:rsidRDefault="00807A3B" w:rsidP="00E12B96">
            <w:pPr>
              <w:pStyle w:val="TableNormal0"/>
              <w:cnfStyle w:val="000000000000" w:firstRow="0" w:lastRow="0" w:firstColumn="0" w:lastColumn="0" w:oddVBand="0" w:evenVBand="0" w:oddHBand="0" w:evenHBand="0" w:firstRowFirstColumn="0" w:firstRowLastColumn="0" w:lastRowFirstColumn="0" w:lastRowLastColumn="0"/>
            </w:pPr>
            <w:r w:rsidRPr="00C047E6">
              <w:t>$22.5M</w:t>
            </w:r>
          </w:p>
        </w:tc>
        <w:tc>
          <w:tcPr>
            <w:tcW w:w="1152" w:type="dxa"/>
          </w:tcPr>
          <w:p w14:paraId="4411AE83" w14:textId="77777777" w:rsidR="00807A3B" w:rsidRPr="00C047E6" w:rsidRDefault="00807A3B" w:rsidP="00E12B96">
            <w:pPr>
              <w:pStyle w:val="TableNormal0"/>
              <w:cnfStyle w:val="000000000000" w:firstRow="0" w:lastRow="0" w:firstColumn="0" w:lastColumn="0" w:oddVBand="0" w:evenVBand="0" w:oddHBand="0" w:evenHBand="0" w:firstRowFirstColumn="0" w:firstRowLastColumn="0" w:lastRowFirstColumn="0" w:lastRowLastColumn="0"/>
            </w:pPr>
            <w:r w:rsidRPr="00C047E6">
              <w:t>$90M</w:t>
            </w:r>
          </w:p>
        </w:tc>
        <w:tc>
          <w:tcPr>
            <w:tcW w:w="1152" w:type="dxa"/>
          </w:tcPr>
          <w:p w14:paraId="7560C369" w14:textId="77777777" w:rsidR="00807A3B" w:rsidRPr="00C047E6" w:rsidRDefault="00807A3B" w:rsidP="00E12B96">
            <w:pPr>
              <w:pStyle w:val="TableNormal0"/>
              <w:cnfStyle w:val="000000000000" w:firstRow="0" w:lastRow="0" w:firstColumn="0" w:lastColumn="0" w:oddVBand="0" w:evenVBand="0" w:oddHBand="0" w:evenHBand="0" w:firstRowFirstColumn="0" w:firstRowLastColumn="0" w:lastRowFirstColumn="0" w:lastRowLastColumn="0"/>
            </w:pPr>
            <w:r w:rsidRPr="00C047E6">
              <w:t>$90M</w:t>
            </w:r>
          </w:p>
        </w:tc>
        <w:tc>
          <w:tcPr>
            <w:tcW w:w="1152" w:type="dxa"/>
          </w:tcPr>
          <w:p w14:paraId="1C357B99" w14:textId="77777777" w:rsidR="00807A3B" w:rsidRPr="00C047E6" w:rsidRDefault="00807A3B" w:rsidP="00E12B96">
            <w:pPr>
              <w:pStyle w:val="TableNormal0"/>
              <w:cnfStyle w:val="000000000000" w:firstRow="0" w:lastRow="0" w:firstColumn="0" w:lastColumn="0" w:oddVBand="0" w:evenVBand="0" w:oddHBand="0" w:evenHBand="0" w:firstRowFirstColumn="0" w:firstRowLastColumn="0" w:lastRowFirstColumn="0" w:lastRowLastColumn="0"/>
            </w:pPr>
            <w:r w:rsidRPr="00C047E6">
              <w:t>$90M</w:t>
            </w:r>
          </w:p>
        </w:tc>
        <w:tc>
          <w:tcPr>
            <w:tcW w:w="1152" w:type="dxa"/>
          </w:tcPr>
          <w:p w14:paraId="4AD35826" w14:textId="77777777" w:rsidR="00807A3B" w:rsidRPr="00C047E6" w:rsidRDefault="00807A3B" w:rsidP="00E12B96">
            <w:pPr>
              <w:pStyle w:val="TableNormal0"/>
              <w:cnfStyle w:val="000000000000" w:firstRow="0" w:lastRow="0" w:firstColumn="0" w:lastColumn="0" w:oddVBand="0" w:evenVBand="0" w:oddHBand="0" w:evenHBand="0" w:firstRowFirstColumn="0" w:firstRowLastColumn="0" w:lastRowFirstColumn="0" w:lastRowLastColumn="0"/>
            </w:pPr>
            <w:r w:rsidRPr="00C047E6">
              <w:t>$90M</w:t>
            </w:r>
          </w:p>
        </w:tc>
        <w:tc>
          <w:tcPr>
            <w:tcW w:w="1152" w:type="dxa"/>
          </w:tcPr>
          <w:p w14:paraId="28E99328" w14:textId="77777777" w:rsidR="00807A3B" w:rsidRPr="00C047E6" w:rsidRDefault="00807A3B" w:rsidP="00E12B96">
            <w:pPr>
              <w:pStyle w:val="TableNormal0"/>
              <w:cnfStyle w:val="000000000000" w:firstRow="0" w:lastRow="0" w:firstColumn="0" w:lastColumn="0" w:oddVBand="0" w:evenVBand="0" w:oddHBand="0" w:evenHBand="0" w:firstRowFirstColumn="0" w:firstRowLastColumn="0" w:lastRowFirstColumn="0" w:lastRowLastColumn="0"/>
            </w:pPr>
            <w:r w:rsidRPr="00C047E6">
              <w:t>$90M</w:t>
            </w:r>
          </w:p>
        </w:tc>
      </w:tr>
      <w:tr w:rsidR="00C047E6" w:rsidRPr="00C047E6" w14:paraId="251B717F" w14:textId="77777777" w:rsidTr="00825D74">
        <w:tc>
          <w:tcPr>
            <w:cnfStyle w:val="001000000000" w:firstRow="0" w:lastRow="0" w:firstColumn="1" w:lastColumn="0" w:oddVBand="0" w:evenVBand="0" w:oddHBand="0" w:evenHBand="0" w:firstRowFirstColumn="0" w:firstRowLastColumn="0" w:lastRowFirstColumn="0" w:lastRowLastColumn="0"/>
            <w:tcW w:w="1584" w:type="dxa"/>
          </w:tcPr>
          <w:p w14:paraId="10CD6231" w14:textId="7253BA4C" w:rsidR="00C047E6" w:rsidRPr="00C047E6" w:rsidRDefault="00C047E6" w:rsidP="00E12B96">
            <w:pPr>
              <w:pStyle w:val="TableNormal0"/>
            </w:pPr>
            <w:r w:rsidRPr="00C047E6">
              <w:t>Performance Years (PY)</w:t>
            </w:r>
          </w:p>
        </w:tc>
        <w:tc>
          <w:tcPr>
            <w:tcW w:w="1728" w:type="dxa"/>
          </w:tcPr>
          <w:p w14:paraId="323CAF9E" w14:textId="111EDBF7" w:rsidR="00C047E6" w:rsidRPr="00C047E6" w:rsidRDefault="00C047E6" w:rsidP="00E12B96">
            <w:pPr>
              <w:pStyle w:val="TableNormal0"/>
              <w:cnfStyle w:val="000000000000" w:firstRow="0" w:lastRow="0" w:firstColumn="0" w:lastColumn="0" w:oddVBand="0" w:evenVBand="0" w:oddHBand="0" w:evenHBand="0" w:firstRowFirstColumn="0" w:firstRowLastColumn="0" w:lastRowFirstColumn="0" w:lastRowLastColumn="0"/>
            </w:pPr>
            <w:r w:rsidRPr="00C047E6">
              <w:t>PY 1</w:t>
            </w:r>
          </w:p>
        </w:tc>
        <w:tc>
          <w:tcPr>
            <w:tcW w:w="1152" w:type="dxa"/>
          </w:tcPr>
          <w:p w14:paraId="5D2A149E" w14:textId="3BB187E9" w:rsidR="00C047E6" w:rsidRPr="00C047E6" w:rsidRDefault="00C047E6" w:rsidP="00E12B96">
            <w:pPr>
              <w:pStyle w:val="TableNormal0"/>
              <w:cnfStyle w:val="000000000000" w:firstRow="0" w:lastRow="0" w:firstColumn="0" w:lastColumn="0" w:oddVBand="0" w:evenVBand="0" w:oddHBand="0" w:evenHBand="0" w:firstRowFirstColumn="0" w:firstRowLastColumn="0" w:lastRowFirstColumn="0" w:lastRowLastColumn="0"/>
            </w:pPr>
            <w:r w:rsidRPr="00C047E6">
              <w:t>PY1</w:t>
            </w:r>
          </w:p>
        </w:tc>
        <w:tc>
          <w:tcPr>
            <w:tcW w:w="1152" w:type="dxa"/>
          </w:tcPr>
          <w:p w14:paraId="3265D188" w14:textId="7BEF28A5" w:rsidR="00C047E6" w:rsidRPr="00C047E6" w:rsidRDefault="00C047E6" w:rsidP="00E12B96">
            <w:pPr>
              <w:pStyle w:val="TableNormal0"/>
              <w:cnfStyle w:val="000000000000" w:firstRow="0" w:lastRow="0" w:firstColumn="0" w:lastColumn="0" w:oddVBand="0" w:evenVBand="0" w:oddHBand="0" w:evenHBand="0" w:firstRowFirstColumn="0" w:firstRowLastColumn="0" w:lastRowFirstColumn="0" w:lastRowLastColumn="0"/>
            </w:pPr>
            <w:r w:rsidRPr="00C047E6">
              <w:t>PY2</w:t>
            </w:r>
          </w:p>
        </w:tc>
        <w:tc>
          <w:tcPr>
            <w:tcW w:w="1152" w:type="dxa"/>
          </w:tcPr>
          <w:p w14:paraId="072429F9" w14:textId="20F7467E" w:rsidR="00C047E6" w:rsidRPr="00C047E6" w:rsidRDefault="00C047E6" w:rsidP="00E12B96">
            <w:pPr>
              <w:pStyle w:val="TableNormal0"/>
              <w:cnfStyle w:val="000000000000" w:firstRow="0" w:lastRow="0" w:firstColumn="0" w:lastColumn="0" w:oddVBand="0" w:evenVBand="0" w:oddHBand="0" w:evenHBand="0" w:firstRowFirstColumn="0" w:firstRowLastColumn="0" w:lastRowFirstColumn="0" w:lastRowLastColumn="0"/>
            </w:pPr>
            <w:r w:rsidRPr="00C047E6">
              <w:t>PY3</w:t>
            </w:r>
          </w:p>
        </w:tc>
        <w:tc>
          <w:tcPr>
            <w:tcW w:w="1152" w:type="dxa"/>
          </w:tcPr>
          <w:p w14:paraId="116AE796" w14:textId="49580FB0" w:rsidR="00C047E6" w:rsidRPr="00C047E6" w:rsidRDefault="00C047E6" w:rsidP="00E12B96">
            <w:pPr>
              <w:pStyle w:val="TableNormal0"/>
              <w:cnfStyle w:val="000000000000" w:firstRow="0" w:lastRow="0" w:firstColumn="0" w:lastColumn="0" w:oddVBand="0" w:evenVBand="0" w:oddHBand="0" w:evenHBand="0" w:firstRowFirstColumn="0" w:firstRowLastColumn="0" w:lastRowFirstColumn="0" w:lastRowLastColumn="0"/>
            </w:pPr>
            <w:r w:rsidRPr="00C047E6">
              <w:t>PY4</w:t>
            </w:r>
          </w:p>
        </w:tc>
        <w:tc>
          <w:tcPr>
            <w:tcW w:w="1152" w:type="dxa"/>
          </w:tcPr>
          <w:p w14:paraId="4D432CD3" w14:textId="525EAA74" w:rsidR="00C047E6" w:rsidRPr="00C047E6" w:rsidRDefault="00C047E6" w:rsidP="00E12B96">
            <w:pPr>
              <w:pStyle w:val="TableNormal0"/>
              <w:cnfStyle w:val="000000000000" w:firstRow="0" w:lastRow="0" w:firstColumn="0" w:lastColumn="0" w:oddVBand="0" w:evenVBand="0" w:oddHBand="0" w:evenHBand="0" w:firstRowFirstColumn="0" w:firstRowLastColumn="0" w:lastRowFirstColumn="0" w:lastRowLastColumn="0"/>
            </w:pPr>
            <w:r w:rsidRPr="00C047E6">
              <w:t>PY5</w:t>
            </w:r>
          </w:p>
        </w:tc>
      </w:tr>
      <w:tr w:rsidR="00C047E6" w:rsidRPr="00C047E6" w14:paraId="606E08D3" w14:textId="77777777" w:rsidTr="00825D74">
        <w:tc>
          <w:tcPr>
            <w:cnfStyle w:val="001000000000" w:firstRow="0" w:lastRow="0" w:firstColumn="1" w:lastColumn="0" w:oddVBand="0" w:evenVBand="0" w:oddHBand="0" w:evenHBand="0" w:firstRowFirstColumn="0" w:firstRowLastColumn="0" w:lastRowFirstColumn="0" w:lastRowLastColumn="0"/>
            <w:tcW w:w="1584" w:type="dxa"/>
          </w:tcPr>
          <w:p w14:paraId="1EE115C5" w14:textId="14BE03FA" w:rsidR="00C047E6" w:rsidRPr="00C047E6" w:rsidRDefault="00C047E6" w:rsidP="00E12B96">
            <w:pPr>
              <w:pStyle w:val="TableNormal0"/>
            </w:pPr>
            <w:r w:rsidRPr="00C047E6">
              <w:t>Calendar Years (CY)</w:t>
            </w:r>
          </w:p>
        </w:tc>
        <w:tc>
          <w:tcPr>
            <w:tcW w:w="1728" w:type="dxa"/>
          </w:tcPr>
          <w:p w14:paraId="3C0CFBC3" w14:textId="6F390983" w:rsidR="00C047E6" w:rsidRPr="00C047E6" w:rsidRDefault="00C047E6" w:rsidP="00E12B96">
            <w:pPr>
              <w:pStyle w:val="TableNormal0"/>
              <w:cnfStyle w:val="000000000000" w:firstRow="0" w:lastRow="0" w:firstColumn="0" w:lastColumn="0" w:oddVBand="0" w:evenVBand="0" w:oddHBand="0" w:evenHBand="0" w:firstRowFirstColumn="0" w:firstRowLastColumn="0" w:lastRowFirstColumn="0" w:lastRowLastColumn="0"/>
            </w:pPr>
            <w:r w:rsidRPr="00C047E6">
              <w:t>10/1/2022 – 12/31/2023</w:t>
            </w:r>
          </w:p>
        </w:tc>
        <w:tc>
          <w:tcPr>
            <w:tcW w:w="1152" w:type="dxa"/>
          </w:tcPr>
          <w:p w14:paraId="59232F78" w14:textId="2CDF4FBE" w:rsidR="00C047E6" w:rsidRPr="00C047E6" w:rsidRDefault="00825D74" w:rsidP="00E12B96">
            <w:pPr>
              <w:pStyle w:val="TableNormal0"/>
              <w:cnfStyle w:val="000000000000" w:firstRow="0" w:lastRow="0" w:firstColumn="0" w:lastColumn="0" w:oddVBand="0" w:evenVBand="0" w:oddHBand="0" w:evenHBand="0" w:firstRowFirstColumn="0" w:firstRowLastColumn="0" w:lastRowFirstColumn="0" w:lastRowLastColumn="0"/>
            </w:pPr>
            <w:r>
              <w:t>(Through 2023)</w:t>
            </w:r>
          </w:p>
        </w:tc>
        <w:tc>
          <w:tcPr>
            <w:tcW w:w="1152" w:type="dxa"/>
          </w:tcPr>
          <w:p w14:paraId="35E1014F" w14:textId="4E0959B9" w:rsidR="00C047E6" w:rsidRPr="00C047E6" w:rsidRDefault="00C047E6" w:rsidP="00E12B96">
            <w:pPr>
              <w:pStyle w:val="TableNormal0"/>
              <w:cnfStyle w:val="000000000000" w:firstRow="0" w:lastRow="0" w:firstColumn="0" w:lastColumn="0" w:oddVBand="0" w:evenVBand="0" w:oddHBand="0" w:evenHBand="0" w:firstRowFirstColumn="0" w:firstRowLastColumn="0" w:lastRowFirstColumn="0" w:lastRowLastColumn="0"/>
            </w:pPr>
            <w:r w:rsidRPr="00C047E6">
              <w:t>2024</w:t>
            </w:r>
          </w:p>
        </w:tc>
        <w:tc>
          <w:tcPr>
            <w:tcW w:w="1152" w:type="dxa"/>
          </w:tcPr>
          <w:p w14:paraId="13FC1110" w14:textId="57C3F322" w:rsidR="00C047E6" w:rsidRPr="00C047E6" w:rsidRDefault="00C047E6" w:rsidP="00E12B96">
            <w:pPr>
              <w:pStyle w:val="TableNormal0"/>
              <w:cnfStyle w:val="000000000000" w:firstRow="0" w:lastRow="0" w:firstColumn="0" w:lastColumn="0" w:oddVBand="0" w:evenVBand="0" w:oddHBand="0" w:evenHBand="0" w:firstRowFirstColumn="0" w:firstRowLastColumn="0" w:lastRowFirstColumn="0" w:lastRowLastColumn="0"/>
            </w:pPr>
            <w:r w:rsidRPr="00C047E6">
              <w:t>2025</w:t>
            </w:r>
          </w:p>
        </w:tc>
        <w:tc>
          <w:tcPr>
            <w:tcW w:w="1152" w:type="dxa"/>
          </w:tcPr>
          <w:p w14:paraId="482752BA" w14:textId="135352E5" w:rsidR="00C047E6" w:rsidRPr="00C047E6" w:rsidRDefault="00C047E6" w:rsidP="00E12B96">
            <w:pPr>
              <w:pStyle w:val="TableNormal0"/>
              <w:cnfStyle w:val="000000000000" w:firstRow="0" w:lastRow="0" w:firstColumn="0" w:lastColumn="0" w:oddVBand="0" w:evenVBand="0" w:oddHBand="0" w:evenHBand="0" w:firstRowFirstColumn="0" w:firstRowLastColumn="0" w:lastRowFirstColumn="0" w:lastRowLastColumn="0"/>
            </w:pPr>
            <w:r w:rsidRPr="00C047E6">
              <w:t>2026</w:t>
            </w:r>
          </w:p>
        </w:tc>
        <w:tc>
          <w:tcPr>
            <w:tcW w:w="1152" w:type="dxa"/>
          </w:tcPr>
          <w:p w14:paraId="279D8117" w14:textId="7E9FD21C" w:rsidR="00C047E6" w:rsidRPr="00C047E6" w:rsidRDefault="00C047E6" w:rsidP="00E12B96">
            <w:pPr>
              <w:pStyle w:val="TableNormal0"/>
              <w:cnfStyle w:val="000000000000" w:firstRow="0" w:lastRow="0" w:firstColumn="0" w:lastColumn="0" w:oddVBand="0" w:evenVBand="0" w:oddHBand="0" w:evenHBand="0" w:firstRowFirstColumn="0" w:firstRowLastColumn="0" w:lastRowFirstColumn="0" w:lastRowLastColumn="0"/>
            </w:pPr>
            <w:r w:rsidRPr="00C047E6">
              <w:t>2027</w:t>
            </w:r>
          </w:p>
        </w:tc>
      </w:tr>
    </w:tbl>
    <w:p w14:paraId="1008ED9A" w14:textId="77777777" w:rsidR="00807A3B" w:rsidRPr="0009132C" w:rsidRDefault="00807A3B" w:rsidP="00C047E6">
      <w:pPr>
        <w:sectPr w:rsidR="00807A3B" w:rsidRPr="0009132C" w:rsidSect="00744E1B">
          <w:pgSz w:w="12240" w:h="15840"/>
          <w:pgMar w:top="1440" w:right="1440" w:bottom="1440" w:left="1440" w:header="720" w:footer="432" w:gutter="0"/>
          <w:cols w:space="720"/>
          <w:docGrid w:linePitch="360"/>
        </w:sectPr>
      </w:pPr>
    </w:p>
    <w:p w14:paraId="418FE6B7" w14:textId="5F28970C" w:rsidR="00807A3B" w:rsidRPr="0009132C" w:rsidRDefault="005B47F7" w:rsidP="007823A8">
      <w:pPr>
        <w:pStyle w:val="Heading2"/>
      </w:pPr>
      <w:bookmarkStart w:id="192" w:name="_Toc130209728"/>
      <w:r>
        <w:lastRenderedPageBreak/>
        <w:t xml:space="preserve"> </w:t>
      </w:r>
      <w:bookmarkStart w:id="193" w:name="_Toc151976439"/>
      <w:r w:rsidR="00807A3B">
        <w:t>Logic Model</w:t>
      </w:r>
      <w:bookmarkEnd w:id="192"/>
      <w:bookmarkEnd w:id="193"/>
    </w:p>
    <w:p w14:paraId="4892D60B" w14:textId="5929CAE1" w:rsidR="00807A3B" w:rsidRPr="0009132C" w:rsidRDefault="00807A3B" w:rsidP="007823A8">
      <w:r>
        <w:t xml:space="preserve">The HQEI logic model </w:t>
      </w:r>
      <w:r w:rsidR="00DE23A0">
        <w:t xml:space="preserve">in </w:t>
      </w:r>
      <w:r w:rsidR="00DE23A0" w:rsidRPr="004B1623">
        <w:rPr>
          <w:color w:val="000F9F"/>
          <w:u w:val="single"/>
        </w:rPr>
        <w:fldChar w:fldCharType="begin"/>
      </w:r>
      <w:r w:rsidR="00DE23A0" w:rsidRPr="004B1623">
        <w:rPr>
          <w:color w:val="000F9F"/>
          <w:u w:val="single"/>
        </w:rPr>
        <w:instrText xml:space="preserve"> REF _Ref151469194 \h </w:instrText>
      </w:r>
      <w:r w:rsidR="00DE23A0" w:rsidRPr="004B1623">
        <w:rPr>
          <w:color w:val="000F9F"/>
          <w:u w:val="single"/>
        </w:rPr>
      </w:r>
      <w:r w:rsidR="00DE23A0" w:rsidRPr="004B1623">
        <w:rPr>
          <w:color w:val="000F9F"/>
          <w:u w:val="single"/>
        </w:rPr>
        <w:fldChar w:fldCharType="separate"/>
      </w:r>
      <w:r w:rsidR="00DE23A0" w:rsidRPr="004B1623">
        <w:rPr>
          <w:color w:val="000F9F"/>
          <w:u w:val="single"/>
        </w:rPr>
        <w:t xml:space="preserve">Figure </w:t>
      </w:r>
      <w:r w:rsidR="00DE23A0" w:rsidRPr="004B1623">
        <w:rPr>
          <w:noProof/>
          <w:color w:val="000F9F"/>
          <w:u w:val="single"/>
        </w:rPr>
        <w:t>7</w:t>
      </w:r>
      <w:r w:rsidR="00DE23A0" w:rsidRPr="004B1623">
        <w:rPr>
          <w:color w:val="000F9F"/>
          <w:u w:val="single"/>
        </w:rPr>
        <w:noBreakHyphen/>
      </w:r>
      <w:r w:rsidR="00DE23A0" w:rsidRPr="004B1623">
        <w:rPr>
          <w:noProof/>
          <w:color w:val="000F9F"/>
          <w:u w:val="single"/>
        </w:rPr>
        <w:t>1</w:t>
      </w:r>
      <w:r w:rsidR="00DE23A0" w:rsidRPr="004B1623">
        <w:rPr>
          <w:color w:val="000F9F"/>
          <w:u w:val="single"/>
        </w:rPr>
        <w:fldChar w:fldCharType="end"/>
      </w:r>
      <w:r w:rsidR="00DE23A0">
        <w:t xml:space="preserve"> </w:t>
      </w:r>
      <w:r>
        <w:t>links the Demonstration Goals to the Demonstration Inputs, Implementation Activities, Outputs, and Outcomes and Impact of the Demonstration. The RQs and hypotheses that follow are guided by this logic.</w:t>
      </w:r>
      <w:r w:rsidR="00727888">
        <w:t xml:space="preserve"> The HQEI component of the demonstration is new</w:t>
      </w:r>
      <w:r w:rsidR="5BB29297">
        <w:t>,</w:t>
      </w:r>
      <w:r w:rsidR="00727888">
        <w:t xml:space="preserve"> as are all its associated programs and policies.</w:t>
      </w:r>
    </w:p>
    <w:p w14:paraId="3960B4F4" w14:textId="77777777" w:rsidR="008D677A" w:rsidRDefault="009144C1" w:rsidP="00C501F9">
      <w:pPr>
        <w:pStyle w:val="FigureorTableTitle"/>
      </w:pPr>
      <w:bookmarkStart w:id="194" w:name="_Ref151469194"/>
      <w:bookmarkStart w:id="195" w:name="_Toc151976472"/>
      <w:r>
        <w:t xml:space="preserve">Figure </w:t>
      </w:r>
      <w:r>
        <w:fldChar w:fldCharType="begin"/>
      </w:r>
      <w:r>
        <w:instrText>STYLEREF 1 \s</w:instrText>
      </w:r>
      <w:r>
        <w:fldChar w:fldCharType="separate"/>
      </w:r>
      <w:r w:rsidR="00EB7B05">
        <w:rPr>
          <w:noProof/>
        </w:rPr>
        <w:t>7</w:t>
      </w:r>
      <w:r>
        <w:fldChar w:fldCharType="end"/>
      </w:r>
      <w:r w:rsidR="00743B23">
        <w:noBreakHyphen/>
      </w:r>
      <w:r>
        <w:fldChar w:fldCharType="begin"/>
      </w:r>
      <w:r>
        <w:instrText>SEQ Figure \* ARABIC \s 1</w:instrText>
      </w:r>
      <w:r>
        <w:fldChar w:fldCharType="separate"/>
      </w:r>
      <w:r w:rsidR="00EB7B05">
        <w:rPr>
          <w:noProof/>
        </w:rPr>
        <w:t>1</w:t>
      </w:r>
      <w:r>
        <w:fldChar w:fldCharType="end"/>
      </w:r>
      <w:bookmarkEnd w:id="194"/>
      <w:r>
        <w:t xml:space="preserve">: </w:t>
      </w:r>
      <w:r w:rsidRPr="009144C1">
        <w:t>Logic Model for the HQEI Component of the Demonstration</w:t>
      </w:r>
      <w:bookmarkEnd w:id="195"/>
    </w:p>
    <w:p w14:paraId="654ECD41" w14:textId="1354FCDE" w:rsidR="001204CF" w:rsidRPr="001204CF" w:rsidRDefault="0039201C" w:rsidP="00372ADE">
      <w:pPr>
        <w:pStyle w:val="FigureorTableTitle"/>
      </w:pPr>
      <w:r w:rsidRPr="0039201C">
        <w:rPr>
          <w:noProof/>
        </w:rPr>
        <w:drawing>
          <wp:inline distT="0" distB="0" distL="0" distR="0" wp14:anchorId="3E75931C" wp14:editId="006804C8">
            <wp:extent cx="8419465" cy="4898390"/>
            <wp:effectExtent l="0" t="0" r="635" b="0"/>
            <wp:docPr id="2" name="Picture 1" descr="At the top of this model diagram is the following text: Goals: (1) Advance health equity, with a focus on health-related social needs and specific disparities; and (2) Improve healthcare quality. &#10;&#10;Underneath the GOALS is a long horizontal gray box with the title, Contextual Factors. Under this title is the following text: Other ACO and Safety Net Provider Payments and Incentives, Organizational Governance Structures, Hospital Case-mix And Community-level Characteristics, Medicare and Commercial Payer Initiatives to Promote Quality and Health Equity Improvement, External Shocks (e.g., Infectious Disease Outbreaks), Secular Trends and Economic Environment. &#10;&#10;At the bottom edge of the gray box are four arrows pointing down and center-aligned to four tall boxes arranged horizontally from left to right. &#10;&#10;In the empty space between each box is an arrow pointing to the right suggesting that each box leads into the next from left to right. &#10;&#10;The first box is light blue and titled: Inputs. Beneath this title are two items and their related bullets. &#10;&#10;Item 1 is: Financial Incentives to Promote Health Equity (New). Under this are the following bullets: • For private acute care hospitals; • &#10;For Cambridge Health Alliance. &#10;&#10;Item 2: Planning and Implementation (New). Under this are the following bullets: • Technical assistance from MassHealth and its contractors; • Performance monitoring by MassHealth and its contractors; • Resourcing for program management and implementation (internal staff, vendors).&#10;&#10;The second box is medium blue and titled, Implementation Activities. Under this are the following bullets: • Area health needs assessments; • Self-assessments of disability competencies, HRSN and demographic data adequacy and completeness, and provision of high-quality language services; • Hospital investments in staff (recruitment, training) and infrastructure (HIT, accessibility); • Implementation of protocols and procedures for systematic demographic &amp; health-related social needs data collection and reporting; • Health equity program implementation; • Programs to promote access to services delivered in a culturally, linguistically, &amp; disability competent manner; • Quality improvement and equity in care quality promoting initiatives; • Formation of inter-organizational partnerships and increased collaboration to serve shared communities; • Implementation benchmarks met and incentive payments made; • Enhanced member and community engagement through PFACs. &#10;&#10;The third box is blue and titled, Outputs. Under this are the following bullets: • Improved identification of individual member needs and population-level inequities; • Reduction of disparities and improved care access and quality; • Improved care coordination and integration; • Increased social services referrals for HRSNs; • Improved workforce capacity and competency. &#10;&#10;The fourth box is green and titled, Outcome and Impact. Beneath this title are three items and their related bullets.&#10;&#10;Item 1 is: Member Experience. Under this are the following bullets: • Increased access to services delivered in a manner that meets a member’s unique needs (e.g., culturally and linguistically competent services, services for members with disabilities); • Improved satisfaction with provider services; • Reduced disparities in member experience.&#10;&#10;Item 2 is: Member Outcomes. Under this are the following bullets: • Improved health outcomes, including maternal and birth outcomes; • Reduction in potentially avoidable acute and emergency care; • Reduction in impact of social risk factors on health • Reduction of disparities in targeted access and quality measures. &#10; &#10;Item 3 is: Program Sustainability. Under this are the following bullets: • Costs and benefits; • Projected future costs, benefits, and budget impact; • Sustainable organizational capacity for health equity work. &#10;&#10;Beneath these four boxes is a horizontal line with four arrow lines branching off of it, pointing upward, and almost touching the bottom of the four boxes above it. On the horizontal line is the following text: Inform programmatic improvement. This indicates that the contents in the boxes the arrows are pointing to will inform programmatic improvement.">
              <a:extLst xmlns:a="http://schemas.openxmlformats.org/drawingml/2006/main">
                <a:ext uri="{FF2B5EF4-FFF2-40B4-BE49-F238E27FC236}">
                  <a16:creationId xmlns:a16="http://schemas.microsoft.com/office/drawing/2014/main" id="{8D854FE0-479F-82BE-CE6F-748831A378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t the top of this model diagram is the following text: Goals: (1) Advance health equity, with a focus on health-related social needs and specific disparities; and (2) Improve healthcare quality. &#10;&#10;Underneath the GOALS is a long horizontal gray box with the title, Contextual Factors. Under this title is the following text: Other ACO and Safety Net Provider Payments and Incentives, Organizational Governance Structures, Hospital Case-mix And Community-level Characteristics, Medicare and Commercial Payer Initiatives to Promote Quality and Health Equity Improvement, External Shocks (e.g., Infectious Disease Outbreaks), Secular Trends and Economic Environment. &#10;&#10;At the bottom edge of the gray box are four arrows pointing down and center-aligned to four tall boxes arranged horizontally from left to right. &#10;&#10;In the empty space between each box is an arrow pointing to the right suggesting that each box leads into the next from left to right. &#10;&#10;The first box is light blue and titled: Inputs. Beneath this title are two items and their related bullets. &#10;&#10;Item 1 is: Financial Incentives to Promote Health Equity (New). Under this are the following bullets: • For private acute care hospitals; • &#10;For Cambridge Health Alliance. &#10;&#10;Item 2: Planning and Implementation (New). Under this are the following bullets: • Technical assistance from MassHealth and its contractors; • Performance monitoring by MassHealth and its contractors; • Resourcing for program management and implementation (internal staff, vendors).&#10;&#10;The second box is medium blue and titled, Implementation Activities. Under this are the following bullets: • Area health needs assessments; • Self-assessments of disability competencies, HRSN and demographic data adequacy and completeness, and provision of high-quality language services; • Hospital investments in staff (recruitment, training) and infrastructure (HIT, accessibility); • Implementation of protocols and procedures for systematic demographic &amp; health-related social needs data collection and reporting; • Health equity program implementation; • Programs to promote access to services delivered in a culturally, linguistically, &amp; disability competent manner; • Quality improvement and equity in care quality promoting initiatives; • Formation of inter-organizational partnerships and increased collaboration to serve shared communities; • Implementation benchmarks met and incentive payments made; • Enhanced member and community engagement through PFACs. &#10;&#10;The third box is blue and titled, Outputs. Under this are the following bullets: • Improved identification of individual member needs and population-level inequities; • Reduction of disparities and improved care access and quality; • Improved care coordination and integration; • Increased social services referrals for HRSNs; • Improved workforce capacity and competency. &#10;&#10;The fourth box is green and titled, Outcome and Impact. Beneath this title are three items and their related bullets.&#10;&#10;Item 1 is: Member Experience. Under this are the following bullets: • Increased access to services delivered in a manner that meets a member’s unique needs (e.g., culturally and linguistically competent services, services for members with disabilities); • Improved satisfaction with provider services; • Reduced disparities in member experience.&#10;&#10;Item 2 is: Member Outcomes. Under this are the following bullets: • Improved health outcomes, including maternal and birth outcomes; • Reduction in potentially avoidable acute and emergency care; • Reduction in impact of social risk factors on health • Reduction of disparities in targeted access and quality measures. &#10; &#10;Item 3 is: Program Sustainability. Under this are the following bullets: • Costs and benefits; • Projected future costs, benefits, and budget impact; • Sustainable organizational capacity for health equity work. &#10;&#10;Beneath these four boxes is a horizontal line with four arrow lines branching off of it, pointing upward, and almost touching the bottom of the four boxes above it. On the horizontal line is the following text: Inform programmatic improvement. This indicates that the contents in the boxes the arrows are pointing to will inform programmatic improvement.">
                      <a:extLst>
                        <a:ext uri="{FF2B5EF4-FFF2-40B4-BE49-F238E27FC236}">
                          <a16:creationId xmlns:a16="http://schemas.microsoft.com/office/drawing/2014/main" id="{8D854FE0-479F-82BE-CE6F-748831A37855}"/>
                        </a:ext>
                      </a:extLst>
                    </pic:cNvPr>
                    <pic:cNvPicPr>
                      <a:picLocks noChangeAspect="1"/>
                    </pic:cNvPicPr>
                  </pic:nvPicPr>
                  <pic:blipFill>
                    <a:blip r:embed="rId35" cstate="hqprint">
                      <a:extLst>
                        <a:ext uri="{28A0092B-C50C-407E-A947-70E740481C1C}">
                          <a14:useLocalDpi xmlns:a14="http://schemas.microsoft.com/office/drawing/2010/main" val="0"/>
                        </a:ext>
                      </a:extLst>
                    </a:blip>
                    <a:srcRect/>
                    <a:stretch>
                      <a:fillRect/>
                    </a:stretch>
                  </pic:blipFill>
                  <pic:spPr bwMode="auto">
                    <a:xfrm>
                      <a:off x="0" y="0"/>
                      <a:ext cx="8419465" cy="4898390"/>
                    </a:xfrm>
                    <a:prstGeom prst="rect">
                      <a:avLst/>
                    </a:prstGeom>
                    <a:noFill/>
                    <a:ln>
                      <a:noFill/>
                    </a:ln>
                  </pic:spPr>
                </pic:pic>
              </a:graphicData>
            </a:graphic>
          </wp:inline>
        </w:drawing>
      </w:r>
    </w:p>
    <w:p w14:paraId="235F4EBE" w14:textId="2DD59315" w:rsidR="00DA44AD" w:rsidRPr="0009132C" w:rsidRDefault="00DA44AD" w:rsidP="00972DA9">
      <w:pPr>
        <w:sectPr w:rsidR="00DA44AD" w:rsidRPr="0009132C" w:rsidSect="00744E1B">
          <w:pgSz w:w="15840" w:h="12240" w:orient="landscape"/>
          <w:pgMar w:top="1152" w:right="1152" w:bottom="1152" w:left="1152" w:header="720" w:footer="720" w:gutter="0"/>
          <w:cols w:space="720"/>
          <w:docGrid w:linePitch="360"/>
        </w:sectPr>
      </w:pPr>
    </w:p>
    <w:p w14:paraId="1A5CA5DE" w14:textId="70E9F637" w:rsidR="00807A3B" w:rsidRPr="0009132C" w:rsidRDefault="005B47F7" w:rsidP="00D95773">
      <w:pPr>
        <w:pStyle w:val="Heading2"/>
      </w:pPr>
      <w:bookmarkStart w:id="196" w:name="_Toc130209729"/>
      <w:r>
        <w:lastRenderedPageBreak/>
        <w:t xml:space="preserve"> </w:t>
      </w:r>
      <w:bookmarkStart w:id="197" w:name="_Toc151976440"/>
      <w:r w:rsidR="00807A3B" w:rsidRPr="0009132C">
        <w:t>Research Questions</w:t>
      </w:r>
      <w:r w:rsidR="00D47835" w:rsidRPr="0009132C">
        <w:t xml:space="preserve"> </w:t>
      </w:r>
      <w:r w:rsidR="00807A3B" w:rsidRPr="0009132C">
        <w:t>and Hypotheses</w:t>
      </w:r>
      <w:bookmarkEnd w:id="196"/>
      <w:bookmarkEnd w:id="197"/>
    </w:p>
    <w:p w14:paraId="6F53FD21" w14:textId="16D2CCFB" w:rsidR="00807A3B" w:rsidRPr="0009132C" w:rsidRDefault="00DE23A0" w:rsidP="008A6CE1">
      <w:r w:rsidRPr="004B1623">
        <w:rPr>
          <w:color w:val="000F9F"/>
          <w:u w:val="single"/>
        </w:rPr>
        <w:fldChar w:fldCharType="begin"/>
      </w:r>
      <w:r w:rsidRPr="004B1623">
        <w:rPr>
          <w:color w:val="000F9F"/>
          <w:u w:val="single"/>
        </w:rPr>
        <w:instrText xml:space="preserve"> REF _Ref151469304 \h </w:instrText>
      </w:r>
      <w:r w:rsidRPr="004B1623">
        <w:rPr>
          <w:color w:val="000F9F"/>
          <w:u w:val="single"/>
        </w:rPr>
      </w:r>
      <w:r w:rsidRPr="004B1623">
        <w:rPr>
          <w:color w:val="000F9F"/>
          <w:u w:val="single"/>
        </w:rPr>
        <w:fldChar w:fldCharType="separate"/>
      </w:r>
      <w:r w:rsidRPr="004B1623">
        <w:rPr>
          <w:color w:val="000F9F"/>
          <w:u w:val="single"/>
        </w:rPr>
        <w:t xml:space="preserve">Table </w:t>
      </w:r>
      <w:r w:rsidRPr="004B1623">
        <w:rPr>
          <w:noProof/>
          <w:color w:val="000F9F"/>
          <w:u w:val="single"/>
        </w:rPr>
        <w:t>7</w:t>
      </w:r>
      <w:r w:rsidRPr="004B1623">
        <w:rPr>
          <w:color w:val="000F9F"/>
          <w:u w:val="single"/>
        </w:rPr>
        <w:noBreakHyphen/>
      </w:r>
      <w:r w:rsidRPr="004B1623">
        <w:rPr>
          <w:noProof/>
          <w:color w:val="000F9F"/>
          <w:u w:val="single"/>
        </w:rPr>
        <w:t>3</w:t>
      </w:r>
      <w:r w:rsidRPr="004B1623">
        <w:rPr>
          <w:color w:val="000F9F"/>
          <w:u w:val="single"/>
        </w:rPr>
        <w:fldChar w:fldCharType="end"/>
      </w:r>
      <w:r>
        <w:t xml:space="preserve"> </w:t>
      </w:r>
      <w:r w:rsidR="00807A3B" w:rsidRPr="0009132C">
        <w:t xml:space="preserve">provides an overview of the RQs, hypotheses, data sources, study populations, measures, and analytic methods used to evaluate the HQEI. The elements are described in detail below in </w:t>
      </w:r>
      <w:hyperlink w:anchor="_Data_and_Methods_2" w:history="1">
        <w:r w:rsidR="009C2AA0" w:rsidRPr="009C2AA0">
          <w:rPr>
            <w:rStyle w:val="Hyperlink"/>
          </w:rPr>
          <w:t xml:space="preserve">Section </w:t>
        </w:r>
        <w:r w:rsidR="00807A3B" w:rsidRPr="009C2AA0">
          <w:rPr>
            <w:rStyle w:val="Hyperlink"/>
          </w:rPr>
          <w:t>7.4</w:t>
        </w:r>
        <w:r w:rsidR="00807A3B" w:rsidRPr="00AC31F2">
          <w:rPr>
            <w:rStyle w:val="Hyperlink"/>
          </w:rPr>
          <w:t xml:space="preserve"> Data and Methods</w:t>
        </w:r>
      </w:hyperlink>
      <w:r w:rsidR="00807A3B" w:rsidRPr="0009132C">
        <w:t>.</w:t>
      </w:r>
    </w:p>
    <w:p w14:paraId="626DFFC8" w14:textId="41179119" w:rsidR="009144C1" w:rsidRDefault="4E3D423B" w:rsidP="00972DA9">
      <w:pPr>
        <w:pStyle w:val="Caption"/>
        <w:keepNext/>
      </w:pPr>
      <w:bookmarkStart w:id="198" w:name="_Ref151469304"/>
      <w:bookmarkStart w:id="199" w:name="_Toc151976464"/>
      <w:r>
        <w:t xml:space="preserve">Table </w:t>
      </w:r>
      <w:r>
        <w:fldChar w:fldCharType="begin"/>
      </w:r>
      <w:r>
        <w:instrText>STYLEREF 1 \s</w:instrText>
      </w:r>
      <w:r>
        <w:fldChar w:fldCharType="separate"/>
      </w:r>
      <w:r w:rsidR="00EB7B05">
        <w:rPr>
          <w:noProof/>
        </w:rPr>
        <w:t>7</w:t>
      </w:r>
      <w:r>
        <w:fldChar w:fldCharType="end"/>
      </w:r>
      <w:r w:rsidR="00433675">
        <w:noBreakHyphen/>
      </w:r>
      <w:r>
        <w:fldChar w:fldCharType="begin"/>
      </w:r>
      <w:r>
        <w:instrText>SEQ Table \* ARABIC \s 1</w:instrText>
      </w:r>
      <w:r>
        <w:fldChar w:fldCharType="separate"/>
      </w:r>
      <w:r w:rsidR="00EB7B05">
        <w:rPr>
          <w:noProof/>
        </w:rPr>
        <w:t>3</w:t>
      </w:r>
      <w:r>
        <w:fldChar w:fldCharType="end"/>
      </w:r>
      <w:bookmarkEnd w:id="198"/>
      <w:r>
        <w:t xml:space="preserve">: </w:t>
      </w:r>
      <w:r w:rsidRPr="006F5CB8">
        <w:t>Research Questions and Hypotheses for HQEI</w:t>
      </w:r>
      <w:bookmarkEnd w:id="199"/>
    </w:p>
    <w:tbl>
      <w:tblPr>
        <w:tblStyle w:val="FHCTablestyle9"/>
        <w:tblW w:w="13536" w:type="dxa"/>
        <w:tblLayout w:type="fixed"/>
        <w:tblLook w:val="04A0" w:firstRow="1" w:lastRow="0" w:firstColumn="1" w:lastColumn="0" w:noHBand="0" w:noVBand="1"/>
      </w:tblPr>
      <w:tblGrid>
        <w:gridCol w:w="1584"/>
        <w:gridCol w:w="2191"/>
        <w:gridCol w:w="3240"/>
        <w:gridCol w:w="1800"/>
        <w:gridCol w:w="3281"/>
        <w:gridCol w:w="1440"/>
      </w:tblGrid>
      <w:tr w:rsidR="0097493D" w:rsidRPr="0097493D" w14:paraId="467E4758" w14:textId="77777777" w:rsidTr="3383C28C">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584" w:type="dxa"/>
            <w:hideMark/>
          </w:tcPr>
          <w:p w14:paraId="3AAC300B" w14:textId="77777777" w:rsidR="00ED1025" w:rsidRPr="00EE1EAF" w:rsidRDefault="00ED1025">
            <w:pPr>
              <w:rPr>
                <w:sz w:val="21"/>
                <w:szCs w:val="21"/>
              </w:rPr>
            </w:pPr>
            <w:r w:rsidRPr="00EE1EAF">
              <w:rPr>
                <w:sz w:val="21"/>
                <w:szCs w:val="21"/>
              </w:rPr>
              <w:t>Research Questions</w:t>
            </w:r>
            <w:r w:rsidRPr="00EE1EAF">
              <w:rPr>
                <w:sz w:val="21"/>
                <w:szCs w:val="21"/>
                <w:vertAlign w:val="superscript"/>
              </w:rPr>
              <w:t>a</w:t>
            </w:r>
          </w:p>
        </w:tc>
        <w:tc>
          <w:tcPr>
            <w:tcW w:w="2191" w:type="dxa"/>
            <w:hideMark/>
          </w:tcPr>
          <w:p w14:paraId="7ABBD8C1" w14:textId="77777777" w:rsidR="00ED1025" w:rsidRPr="00EE1EAF" w:rsidRDefault="00ED1025">
            <w:pPr>
              <w:cnfStyle w:val="100000000000" w:firstRow="1" w:lastRow="0" w:firstColumn="0" w:lastColumn="0" w:oddVBand="0" w:evenVBand="0" w:oddHBand="0" w:evenHBand="0" w:firstRowFirstColumn="0" w:firstRowLastColumn="0" w:lastRowFirstColumn="0" w:lastRowLastColumn="0"/>
              <w:rPr>
                <w:sz w:val="21"/>
                <w:szCs w:val="21"/>
              </w:rPr>
            </w:pPr>
            <w:r w:rsidRPr="00EE1EAF">
              <w:rPr>
                <w:sz w:val="21"/>
                <w:szCs w:val="21"/>
              </w:rPr>
              <w:t>Hypotheses</w:t>
            </w:r>
          </w:p>
        </w:tc>
        <w:tc>
          <w:tcPr>
            <w:tcW w:w="3240" w:type="dxa"/>
          </w:tcPr>
          <w:p w14:paraId="13775E40" w14:textId="285147F8" w:rsidR="00ED1025" w:rsidRPr="00EE1EAF" w:rsidRDefault="00ED1025">
            <w:pPr>
              <w:cnfStyle w:val="100000000000" w:firstRow="1" w:lastRow="0" w:firstColumn="0" w:lastColumn="0" w:oddVBand="0" w:evenVBand="0" w:oddHBand="0" w:evenHBand="0" w:firstRowFirstColumn="0" w:firstRowLastColumn="0" w:lastRowFirstColumn="0" w:lastRowLastColumn="0"/>
              <w:rPr>
                <w:sz w:val="21"/>
                <w:szCs w:val="21"/>
              </w:rPr>
            </w:pPr>
            <w:r w:rsidRPr="00EE1EAF">
              <w:rPr>
                <w:sz w:val="21"/>
                <w:szCs w:val="21"/>
              </w:rPr>
              <w:t xml:space="preserve">Data Sources </w:t>
            </w:r>
            <w:r w:rsidR="004E5871" w:rsidRPr="00EE1EAF">
              <w:rPr>
                <w:sz w:val="21"/>
                <w:szCs w:val="21"/>
              </w:rPr>
              <w:t>(Evaluation Periods)</w:t>
            </w:r>
            <w:r w:rsidRPr="00EE1EAF">
              <w:rPr>
                <w:sz w:val="21"/>
                <w:szCs w:val="21"/>
                <w:vertAlign w:val="superscript"/>
              </w:rPr>
              <w:t>b</w:t>
            </w:r>
          </w:p>
        </w:tc>
        <w:tc>
          <w:tcPr>
            <w:tcW w:w="1800" w:type="dxa"/>
          </w:tcPr>
          <w:p w14:paraId="656773B9" w14:textId="3535E6FC" w:rsidR="00ED1025" w:rsidRPr="00EE1EAF" w:rsidRDefault="7D1F514D">
            <w:pPr>
              <w:cnfStyle w:val="100000000000" w:firstRow="1" w:lastRow="0" w:firstColumn="0" w:lastColumn="0" w:oddVBand="0" w:evenVBand="0" w:oddHBand="0" w:evenHBand="0" w:firstRowFirstColumn="0" w:firstRowLastColumn="0" w:lastRowFirstColumn="0" w:lastRowLastColumn="0"/>
              <w:rPr>
                <w:sz w:val="21"/>
                <w:szCs w:val="21"/>
              </w:rPr>
            </w:pPr>
            <w:r w:rsidRPr="00EE1EAF">
              <w:rPr>
                <w:sz w:val="21"/>
                <w:szCs w:val="21"/>
              </w:rPr>
              <w:t>Study Populations</w:t>
            </w:r>
            <w:r w:rsidR="7E7887DA" w:rsidRPr="00EE1EAF">
              <w:rPr>
                <w:sz w:val="21"/>
                <w:szCs w:val="21"/>
              </w:rPr>
              <w:t xml:space="preserve"> </w:t>
            </w:r>
            <w:r w:rsidR="76BE81F2" w:rsidRPr="005B47F7">
              <w:rPr>
                <w:rFonts w:eastAsiaTheme="minorEastAsia"/>
                <w:sz w:val="21"/>
                <w:szCs w:val="21"/>
              </w:rPr>
              <w:t>(Estimated Sample or Population Size- per Wave for Primary Data and per Year for Secondary Data)</w:t>
            </w:r>
            <w:r w:rsidR="76BE81F2" w:rsidRPr="00EE1EAF">
              <w:rPr>
                <w:sz w:val="21"/>
                <w:szCs w:val="21"/>
              </w:rPr>
              <w:t xml:space="preserve"> </w:t>
            </w:r>
          </w:p>
        </w:tc>
        <w:tc>
          <w:tcPr>
            <w:tcW w:w="3281" w:type="dxa"/>
          </w:tcPr>
          <w:p w14:paraId="4CCF5C12" w14:textId="0B9453CC" w:rsidR="00ED1025" w:rsidRPr="00EE1EAF" w:rsidRDefault="004A54F5">
            <w:pPr>
              <w:cnfStyle w:val="100000000000" w:firstRow="1" w:lastRow="0" w:firstColumn="0" w:lastColumn="0" w:oddVBand="0" w:evenVBand="0" w:oddHBand="0" w:evenHBand="0" w:firstRowFirstColumn="0" w:firstRowLastColumn="0" w:lastRowFirstColumn="0" w:lastRowLastColumn="0"/>
              <w:rPr>
                <w:sz w:val="21"/>
                <w:szCs w:val="21"/>
              </w:rPr>
            </w:pPr>
            <w:r w:rsidRPr="005B47F7">
              <w:rPr>
                <w:sz w:val="21"/>
                <w:szCs w:val="21"/>
              </w:rPr>
              <w:t>Measures</w:t>
            </w:r>
          </w:p>
        </w:tc>
        <w:tc>
          <w:tcPr>
            <w:tcW w:w="1440" w:type="dxa"/>
          </w:tcPr>
          <w:p w14:paraId="4A0BEC8A" w14:textId="6E53A8F3" w:rsidR="00ED1025" w:rsidRPr="00EE1EAF" w:rsidRDefault="00ED1025">
            <w:pPr>
              <w:cnfStyle w:val="100000000000" w:firstRow="1" w:lastRow="0" w:firstColumn="0" w:lastColumn="0" w:oddVBand="0" w:evenVBand="0" w:oddHBand="0" w:evenHBand="0" w:firstRowFirstColumn="0" w:firstRowLastColumn="0" w:lastRowFirstColumn="0" w:lastRowLastColumn="0"/>
              <w:rPr>
                <w:sz w:val="21"/>
                <w:szCs w:val="21"/>
              </w:rPr>
            </w:pPr>
            <w:r w:rsidRPr="00EE1EAF">
              <w:rPr>
                <w:sz w:val="21"/>
                <w:szCs w:val="21"/>
              </w:rPr>
              <w:t>Analytic Methods</w:t>
            </w:r>
            <w:r w:rsidR="00112599" w:rsidRPr="00EE1EAF">
              <w:rPr>
                <w:sz w:val="21"/>
                <w:szCs w:val="21"/>
              </w:rPr>
              <w:t xml:space="preserve"> (Unit of Analysis)</w:t>
            </w:r>
            <w:r w:rsidRPr="00EE1EAF">
              <w:rPr>
                <w:sz w:val="21"/>
                <w:szCs w:val="21"/>
                <w:vertAlign w:val="superscript"/>
              </w:rPr>
              <w:t>c</w:t>
            </w:r>
          </w:p>
        </w:tc>
      </w:tr>
      <w:tr w:rsidR="0097493D" w:rsidRPr="0097493D" w14:paraId="0A5E7639" w14:textId="77777777" w:rsidTr="3383C28C">
        <w:trPr>
          <w:cnfStyle w:val="000000100000" w:firstRow="0" w:lastRow="0" w:firstColumn="0" w:lastColumn="0" w:oddVBand="0" w:evenVBand="0" w:oddHBand="1" w:evenHBand="0" w:firstRowFirstColumn="0" w:firstRowLastColumn="0" w:lastRowFirstColumn="0" w:lastRowLastColumn="0"/>
          <w:trHeight w:val="2139"/>
        </w:trPr>
        <w:tc>
          <w:tcPr>
            <w:cnfStyle w:val="001000000000" w:firstRow="0" w:lastRow="0" w:firstColumn="1" w:lastColumn="0" w:oddVBand="0" w:evenVBand="0" w:oddHBand="0" w:evenHBand="0" w:firstRowFirstColumn="0" w:firstRowLastColumn="0" w:lastRowFirstColumn="0" w:lastRowLastColumn="0"/>
            <w:tcW w:w="1584" w:type="dxa"/>
          </w:tcPr>
          <w:p w14:paraId="7583D34E" w14:textId="77777777" w:rsidR="00ED1025" w:rsidRPr="00721244" w:rsidDel="00C243EC" w:rsidRDefault="00ED1025" w:rsidP="00721244">
            <w:pPr>
              <w:pStyle w:val="TableNormal0"/>
              <w:rPr>
                <w:color w:val="auto"/>
              </w:rPr>
            </w:pPr>
            <w:r w:rsidRPr="00721244">
              <w:rPr>
                <w:color w:val="auto"/>
              </w:rPr>
              <w:t>RQ6-1 What actions were taken by the state to support HQEI?</w:t>
            </w:r>
          </w:p>
        </w:tc>
        <w:tc>
          <w:tcPr>
            <w:tcW w:w="2191" w:type="dxa"/>
          </w:tcPr>
          <w:p w14:paraId="5D4E5D75" w14:textId="77777777" w:rsidR="00ED1025" w:rsidRPr="00721244" w:rsidRDefault="00ED1025" w:rsidP="00721244">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721244">
              <w:rPr>
                <w:color w:val="auto"/>
              </w:rPr>
              <w:t>H6-1.1 MassHealth will distribute funding based on reporting and performance for participating hospitals to support HQEI.</w:t>
            </w:r>
          </w:p>
          <w:p w14:paraId="226430BD" w14:textId="77777777" w:rsidR="00ED1025" w:rsidRPr="00721244" w:rsidRDefault="00ED1025" w:rsidP="00721244">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721244">
              <w:rPr>
                <w:color w:val="auto"/>
              </w:rPr>
              <w:t>H6-1.2 MassHealth will develop policies and procedures and provide operational oversight to support implementation.</w:t>
            </w:r>
          </w:p>
          <w:p w14:paraId="78AE9753" w14:textId="77777777" w:rsidR="00ED1025" w:rsidRPr="00721244" w:rsidRDefault="00ED1025" w:rsidP="00721244">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721244">
              <w:rPr>
                <w:color w:val="auto"/>
              </w:rPr>
              <w:t>H6-1.3 MassHealth and its contractors will deliver technical assistance (TA) to support HQEI.</w:t>
            </w:r>
          </w:p>
          <w:p w14:paraId="5CF05518" w14:textId="77777777" w:rsidR="00ED1025" w:rsidRPr="00721244" w:rsidRDefault="00ED1025" w:rsidP="00721244">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721244">
              <w:rPr>
                <w:color w:val="auto"/>
              </w:rPr>
              <w:t>H6-1.4 MassHealth and its contractors will provide performance monitoring to support HQEI.</w:t>
            </w:r>
          </w:p>
        </w:tc>
        <w:tc>
          <w:tcPr>
            <w:tcW w:w="3240" w:type="dxa"/>
          </w:tcPr>
          <w:p w14:paraId="0AFD62FF" w14:textId="6FEB2038" w:rsidR="00ED1025" w:rsidRPr="00721244" w:rsidRDefault="00ED1025" w:rsidP="00721244">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721244">
              <w:rPr>
                <w:color w:val="auto"/>
              </w:rPr>
              <w:t xml:space="preserve">Key Informant Interviews (KIIs), focus groups, and/or open-ended </w:t>
            </w:r>
            <w:r w:rsidR="00064AB9" w:rsidRPr="00721244">
              <w:rPr>
                <w:color w:val="auto"/>
              </w:rPr>
              <w:t>surveys</w:t>
            </w:r>
            <w:r w:rsidR="00522DD4" w:rsidRPr="00721244">
              <w:rPr>
                <w:color w:val="auto"/>
              </w:rPr>
              <w:t xml:space="preserve"> </w:t>
            </w:r>
            <w:r w:rsidR="007D1359" w:rsidRPr="00721244">
              <w:rPr>
                <w:color w:val="auto"/>
              </w:rPr>
              <w:t>(2024-2025; 2026-2027)</w:t>
            </w:r>
          </w:p>
          <w:p w14:paraId="35CB8BFB" w14:textId="77777777" w:rsidR="00ED1025" w:rsidRPr="0097493D" w:rsidRDefault="241D4081" w:rsidP="00DD58DA">
            <w:pPr>
              <w:pStyle w:val="TableBullet"/>
              <w:cnfStyle w:val="000000100000" w:firstRow="0" w:lastRow="0" w:firstColumn="0" w:lastColumn="0" w:oddVBand="0" w:evenVBand="0" w:oddHBand="1" w:evenHBand="0" w:firstRowFirstColumn="0" w:firstRowLastColumn="0" w:lastRowFirstColumn="0" w:lastRowLastColumn="0"/>
            </w:pPr>
            <w:r>
              <w:t>MassHealth leadership and staff</w:t>
            </w:r>
          </w:p>
          <w:p w14:paraId="5CC5F0A0" w14:textId="72987646" w:rsidR="00ED1025" w:rsidRPr="0097493D" w:rsidRDefault="241D4081" w:rsidP="00DD58DA">
            <w:pPr>
              <w:pStyle w:val="TableBullet"/>
              <w:cnfStyle w:val="000000100000" w:firstRow="0" w:lastRow="0" w:firstColumn="0" w:lastColumn="0" w:oddVBand="0" w:evenVBand="0" w:oddHBand="1" w:evenHBand="0" w:firstRowFirstColumn="0" w:firstRowLastColumn="0" w:lastRowFirstColumn="0" w:lastRowLastColumn="0"/>
            </w:pPr>
            <w:r>
              <w:t>Hospital leadership and staff</w:t>
            </w:r>
            <w:r w:rsidR="69EF50FB">
              <w:t xml:space="preserve"> </w:t>
            </w:r>
          </w:p>
          <w:p w14:paraId="30AD1F2A" w14:textId="2A3FF9E8" w:rsidR="00ED1025" w:rsidRPr="00721244" w:rsidRDefault="00ED1025" w:rsidP="00721244">
            <w:pPr>
              <w:pStyle w:val="TableNormal0"/>
              <w:cnfStyle w:val="000000100000" w:firstRow="0" w:lastRow="0" w:firstColumn="0" w:lastColumn="0" w:oddVBand="0" w:evenVBand="0" w:oddHBand="1" w:evenHBand="0" w:firstRowFirstColumn="0" w:firstRowLastColumn="0" w:lastRowFirstColumn="0" w:lastRowLastColumn="0"/>
              <w:rPr>
                <w:color w:val="auto"/>
              </w:rPr>
            </w:pPr>
            <w:r w:rsidRPr="3383C28C">
              <w:rPr>
                <w:color w:val="auto"/>
              </w:rPr>
              <w:t>Data and documentation prepared by MassHealth and its contractors</w:t>
            </w:r>
            <w:r w:rsidR="009545A4" w:rsidRPr="3383C28C">
              <w:rPr>
                <w:color w:val="auto"/>
              </w:rPr>
              <w:t xml:space="preserve"> (</w:t>
            </w:r>
            <w:r w:rsidR="00DA3AD0" w:rsidRPr="3383C28C">
              <w:rPr>
                <w:color w:val="auto"/>
              </w:rPr>
              <w:t>ongoing</w:t>
            </w:r>
            <w:r w:rsidR="009545A4" w:rsidRPr="3383C28C">
              <w:rPr>
                <w:color w:val="auto"/>
              </w:rPr>
              <w:t xml:space="preserve"> basis)</w:t>
            </w:r>
          </w:p>
        </w:tc>
        <w:tc>
          <w:tcPr>
            <w:tcW w:w="1800" w:type="dxa"/>
          </w:tcPr>
          <w:p w14:paraId="7C915D74" w14:textId="16509F6F" w:rsidR="00ED1025" w:rsidRPr="00721244" w:rsidRDefault="00ED1025" w:rsidP="00721244">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721244">
              <w:rPr>
                <w:color w:val="auto"/>
              </w:rPr>
              <w:t>MassHealth leadership and staff</w:t>
            </w:r>
            <w:r w:rsidR="00EF5A24" w:rsidRPr="00721244">
              <w:rPr>
                <w:color w:val="auto"/>
              </w:rPr>
              <w:t xml:space="preserve"> (</w:t>
            </w:r>
            <w:r w:rsidR="48229B91" w:rsidRPr="00721244">
              <w:rPr>
                <w:color w:val="auto"/>
              </w:rPr>
              <w:t xml:space="preserve">Interviewees: </w:t>
            </w:r>
            <w:r w:rsidR="00EF5A24" w:rsidRPr="00721244">
              <w:rPr>
                <w:color w:val="auto"/>
              </w:rPr>
              <w:t>n</w:t>
            </w:r>
            <w:r w:rsidR="00B442EB" w:rsidRPr="00721244">
              <w:rPr>
                <w:color w:val="auto"/>
              </w:rPr>
              <w:t xml:space="preserve"> ≤ </w:t>
            </w:r>
            <w:r w:rsidR="00EF5A24" w:rsidRPr="00721244">
              <w:rPr>
                <w:color w:val="auto"/>
              </w:rPr>
              <w:t>5)</w:t>
            </w:r>
          </w:p>
          <w:p w14:paraId="6FBB2B1E" w14:textId="1CFA95F7" w:rsidR="00ED1025" w:rsidRPr="00721244" w:rsidDel="006C61ED" w:rsidRDefault="00ED1025" w:rsidP="00721244">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721244">
              <w:rPr>
                <w:color w:val="auto"/>
              </w:rPr>
              <w:t>Hospital leadership and staff</w:t>
            </w:r>
            <w:r w:rsidR="00EF5A24" w:rsidRPr="00721244">
              <w:rPr>
                <w:color w:val="auto"/>
              </w:rPr>
              <w:t xml:space="preserve"> (</w:t>
            </w:r>
            <w:r w:rsidR="2577E15D" w:rsidRPr="00721244">
              <w:rPr>
                <w:color w:val="auto"/>
              </w:rPr>
              <w:t xml:space="preserve">Interviewees: </w:t>
            </w:r>
            <w:r w:rsidR="00EF5A24" w:rsidRPr="00721244">
              <w:rPr>
                <w:color w:val="auto"/>
              </w:rPr>
              <w:t>n</w:t>
            </w:r>
            <w:r w:rsidR="00B442EB" w:rsidRPr="00721244">
              <w:rPr>
                <w:color w:val="auto"/>
              </w:rPr>
              <w:t xml:space="preserve"> ≤ </w:t>
            </w:r>
            <w:r w:rsidR="0D570117" w:rsidRPr="00721244">
              <w:rPr>
                <w:color w:val="auto"/>
              </w:rPr>
              <w:t>50-</w:t>
            </w:r>
            <w:r w:rsidR="009545A4" w:rsidRPr="00721244">
              <w:rPr>
                <w:color w:val="auto"/>
              </w:rPr>
              <w:t>70</w:t>
            </w:r>
            <w:r w:rsidR="00EF5A24" w:rsidRPr="00721244">
              <w:rPr>
                <w:color w:val="auto"/>
              </w:rPr>
              <w:t>)</w:t>
            </w:r>
          </w:p>
        </w:tc>
        <w:tc>
          <w:tcPr>
            <w:tcW w:w="3281" w:type="dxa"/>
          </w:tcPr>
          <w:p w14:paraId="029E4F60" w14:textId="3D698A82" w:rsidR="00ED1025" w:rsidRPr="0097493D" w:rsidRDefault="241D4081" w:rsidP="00070672">
            <w:pPr>
              <w:pStyle w:val="TableNormal0"/>
              <w:cnfStyle w:val="000000100000" w:firstRow="0" w:lastRow="0" w:firstColumn="0" w:lastColumn="0" w:oddVBand="0" w:evenVBand="0" w:oddHBand="1" w:evenHBand="0" w:firstRowFirstColumn="0" w:firstRowLastColumn="0" w:lastRowFirstColumn="0" w:lastRowLastColumn="0"/>
            </w:pPr>
            <w:r>
              <w:t>Funding distributed</w:t>
            </w:r>
            <w:r w:rsidR="00DE06DD">
              <w:t>;</w:t>
            </w:r>
          </w:p>
          <w:p w14:paraId="0E57C3A9" w14:textId="215765BE" w:rsidR="00ED1025" w:rsidRPr="0097493D" w:rsidRDefault="241D4081" w:rsidP="00070672">
            <w:pPr>
              <w:pStyle w:val="TableNormal0"/>
              <w:cnfStyle w:val="000000100000" w:firstRow="0" w:lastRow="0" w:firstColumn="0" w:lastColumn="0" w:oddVBand="0" w:evenVBand="0" w:oddHBand="1" w:evenHBand="0" w:firstRowFirstColumn="0" w:firstRowLastColumn="0" w:lastRowFirstColumn="0" w:lastRowLastColumn="0"/>
            </w:pPr>
            <w:r>
              <w:t>Policies and procedures developed</w:t>
            </w:r>
            <w:r w:rsidR="00DE06DD">
              <w:t>;</w:t>
            </w:r>
          </w:p>
          <w:p w14:paraId="57F9DD32" w14:textId="07B96F0B" w:rsidR="00ED1025" w:rsidRPr="0097493D" w:rsidRDefault="241D4081" w:rsidP="00070672">
            <w:pPr>
              <w:pStyle w:val="TableNormal0"/>
              <w:cnfStyle w:val="000000100000" w:firstRow="0" w:lastRow="0" w:firstColumn="0" w:lastColumn="0" w:oddVBand="0" w:evenVBand="0" w:oddHBand="1" w:evenHBand="0" w:firstRowFirstColumn="0" w:firstRowLastColumn="0" w:lastRowFirstColumn="0" w:lastRowLastColumn="0"/>
            </w:pPr>
            <w:r>
              <w:t>Types of technical assistance and performance monitoring provided</w:t>
            </w:r>
            <w:r w:rsidR="00DE06DD">
              <w:t>;</w:t>
            </w:r>
          </w:p>
          <w:p w14:paraId="692B233E" w14:textId="533E7738" w:rsidR="00ED1025" w:rsidRPr="0097493D" w:rsidRDefault="241D4081" w:rsidP="00070672">
            <w:pPr>
              <w:pStyle w:val="TableNormal0"/>
              <w:cnfStyle w:val="000000100000" w:firstRow="0" w:lastRow="0" w:firstColumn="0" w:lastColumn="0" w:oddVBand="0" w:evenVBand="0" w:oddHBand="1" w:evenHBand="0" w:firstRowFirstColumn="0" w:firstRowLastColumn="0" w:lastRowFirstColumn="0" w:lastRowLastColumn="0"/>
            </w:pPr>
            <w:r>
              <w:t>Perceived effectiveness of procedures and policies to support implementation</w:t>
            </w:r>
            <w:r w:rsidR="00DE06DD">
              <w:t>;</w:t>
            </w:r>
          </w:p>
          <w:p w14:paraId="36F3F391" w14:textId="562F5FCE" w:rsidR="00ED1025" w:rsidRPr="0097493D" w:rsidRDefault="241D4081" w:rsidP="00070672">
            <w:pPr>
              <w:pStyle w:val="TableNormal0"/>
              <w:cnfStyle w:val="000000100000" w:firstRow="0" w:lastRow="0" w:firstColumn="0" w:lastColumn="0" w:oddVBand="0" w:evenVBand="0" w:oddHBand="1" w:evenHBand="0" w:firstRowFirstColumn="0" w:firstRowLastColumn="0" w:lastRowFirstColumn="0" w:lastRowLastColumn="0"/>
            </w:pPr>
            <w:r>
              <w:t>Perceived effectiveness of TA</w:t>
            </w:r>
            <w:r w:rsidR="00DE06DD">
              <w:t>;</w:t>
            </w:r>
          </w:p>
          <w:p w14:paraId="47D3C6AF" w14:textId="7AE3F597" w:rsidR="00ED1025" w:rsidRPr="0097493D" w:rsidRDefault="241D4081" w:rsidP="00070672">
            <w:pPr>
              <w:pStyle w:val="TableNormal0"/>
              <w:cnfStyle w:val="000000100000" w:firstRow="0" w:lastRow="0" w:firstColumn="0" w:lastColumn="0" w:oddVBand="0" w:evenVBand="0" w:oddHBand="1" w:evenHBand="0" w:firstRowFirstColumn="0" w:firstRowLastColumn="0" w:lastRowFirstColumn="0" w:lastRowLastColumn="0"/>
            </w:pPr>
            <w:r>
              <w:t>Hospital utilization of TA services</w:t>
            </w:r>
            <w:r w:rsidR="00DE06DD">
              <w:t>;</w:t>
            </w:r>
          </w:p>
          <w:p w14:paraId="227A0C94" w14:textId="77777777" w:rsidR="00ED1025" w:rsidRPr="0097493D" w:rsidRDefault="241D4081" w:rsidP="00070672">
            <w:pPr>
              <w:pStyle w:val="TableNormal0"/>
              <w:cnfStyle w:val="000000100000" w:firstRow="0" w:lastRow="0" w:firstColumn="0" w:lastColumn="0" w:oddVBand="0" w:evenVBand="0" w:oddHBand="1" w:evenHBand="0" w:firstRowFirstColumn="0" w:firstRowLastColumn="0" w:lastRowFirstColumn="0" w:lastRowLastColumn="0"/>
            </w:pPr>
            <w:r>
              <w:t>Perceived effectiveness of performance monitoring</w:t>
            </w:r>
          </w:p>
        </w:tc>
        <w:tc>
          <w:tcPr>
            <w:tcW w:w="1440" w:type="dxa"/>
          </w:tcPr>
          <w:p w14:paraId="3F415DE9" w14:textId="15CEF830" w:rsidR="00ED1025" w:rsidRPr="00721244" w:rsidRDefault="00ED1025" w:rsidP="00721244">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721244">
              <w:rPr>
                <w:color w:val="auto"/>
              </w:rPr>
              <w:t>Qualitative analysis of data collected through KIIs</w:t>
            </w:r>
            <w:r w:rsidR="0063506B" w:rsidRPr="00721244">
              <w:rPr>
                <w:color w:val="auto"/>
              </w:rPr>
              <w:t xml:space="preserve"> (MH</w:t>
            </w:r>
            <w:r w:rsidR="00FA518B" w:rsidRPr="00721244">
              <w:rPr>
                <w:color w:val="auto"/>
              </w:rPr>
              <w:t>, hos</w:t>
            </w:r>
            <w:r w:rsidR="00426484" w:rsidRPr="00721244">
              <w:rPr>
                <w:color w:val="auto"/>
              </w:rPr>
              <w:t>pital)</w:t>
            </w:r>
            <w:r w:rsidRPr="00721244">
              <w:rPr>
                <w:color w:val="auto"/>
              </w:rPr>
              <w:t>;</w:t>
            </w:r>
          </w:p>
          <w:p w14:paraId="49BC8CCF" w14:textId="2CF872CB" w:rsidR="00ED1025" w:rsidRPr="00721244" w:rsidRDefault="00ED1025" w:rsidP="00721244">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721244">
              <w:rPr>
                <w:color w:val="auto"/>
              </w:rPr>
              <w:t>Qualitative analysis of documents;</w:t>
            </w:r>
          </w:p>
          <w:p w14:paraId="6172C0E2" w14:textId="77777777" w:rsidR="00ED1025" w:rsidRPr="00721244" w:rsidDel="006C61ED" w:rsidRDefault="00ED1025" w:rsidP="00721244">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721244">
              <w:rPr>
                <w:color w:val="auto"/>
              </w:rPr>
              <w:t>Descriptive analysis</w:t>
            </w:r>
          </w:p>
        </w:tc>
      </w:tr>
      <w:tr w:rsidR="0097493D" w:rsidRPr="0097493D" w14:paraId="587C250E" w14:textId="77777777" w:rsidTr="3383C28C">
        <w:trPr>
          <w:trHeight w:val="906"/>
        </w:trPr>
        <w:tc>
          <w:tcPr>
            <w:cnfStyle w:val="001000000000" w:firstRow="0" w:lastRow="0" w:firstColumn="1" w:lastColumn="0" w:oddVBand="0" w:evenVBand="0" w:oddHBand="0" w:evenHBand="0" w:firstRowFirstColumn="0" w:firstRowLastColumn="0" w:lastRowFirstColumn="0" w:lastRowLastColumn="0"/>
            <w:tcW w:w="1584" w:type="dxa"/>
          </w:tcPr>
          <w:p w14:paraId="64EA0D32" w14:textId="77777777" w:rsidR="00ED1025" w:rsidRPr="002C5F50" w:rsidRDefault="00ED1025" w:rsidP="002C5F50">
            <w:pPr>
              <w:pStyle w:val="TableNormal0"/>
              <w:rPr>
                <w:color w:val="auto"/>
              </w:rPr>
            </w:pPr>
            <w:r w:rsidRPr="002C5F50">
              <w:rPr>
                <w:color w:val="auto"/>
              </w:rPr>
              <w:t xml:space="preserve">RQ6-2 What actions did participating hospitals take to implement quality </w:t>
            </w:r>
            <w:r w:rsidRPr="002C5F50">
              <w:rPr>
                <w:color w:val="auto"/>
              </w:rPr>
              <w:lastRenderedPageBreak/>
              <w:t>and equity initiatives?</w:t>
            </w:r>
          </w:p>
        </w:tc>
        <w:tc>
          <w:tcPr>
            <w:tcW w:w="2191" w:type="dxa"/>
          </w:tcPr>
          <w:p w14:paraId="0209229E" w14:textId="77777777" w:rsidR="00ED1025" w:rsidRPr="002C5F50" w:rsidRDefault="00ED1025" w:rsidP="002C5F50">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2C5F50">
              <w:rPr>
                <w:color w:val="auto"/>
              </w:rPr>
              <w:lastRenderedPageBreak/>
              <w:t>H6-2.1 Participating hospitals will perform competency and needs assessments to target quality and equity initiatives.</w:t>
            </w:r>
          </w:p>
          <w:p w14:paraId="3381A6A5" w14:textId="77777777" w:rsidR="00ED1025" w:rsidRPr="002C5F50" w:rsidRDefault="00ED1025" w:rsidP="002C5F50">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2C5F50">
              <w:rPr>
                <w:color w:val="auto"/>
              </w:rPr>
              <w:lastRenderedPageBreak/>
              <w:t>H6-2.2 Participating hospitals will recruit, train, and retain providers and staff responsible for implementing quality and equity initiatives.</w:t>
            </w:r>
          </w:p>
          <w:p w14:paraId="0FE2D7F8" w14:textId="77777777" w:rsidR="00ED1025" w:rsidRPr="002C5F50" w:rsidRDefault="00ED1025" w:rsidP="002C5F50">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2C5F50">
              <w:rPr>
                <w:color w:val="auto"/>
              </w:rPr>
              <w:t>H6-2.3 Participating hospitals will modify health information systems to ingest and use self-reported demographic and HRSN screening data.</w:t>
            </w:r>
          </w:p>
          <w:p w14:paraId="0C840F47" w14:textId="77777777" w:rsidR="00ED1025" w:rsidRPr="002C5F50" w:rsidRDefault="00ED1025" w:rsidP="002C5F50">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2C5F50">
              <w:rPr>
                <w:color w:val="auto"/>
              </w:rPr>
              <w:t>H6-2.4 Participating hospitals will train staff to systematically collect self-reported demographic and HRSN data in a culturally competent manner.</w:t>
            </w:r>
          </w:p>
          <w:p w14:paraId="414AC387" w14:textId="77777777" w:rsidR="00ED1025" w:rsidRPr="002C5F50" w:rsidRDefault="00ED1025" w:rsidP="002C5F50">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2C5F50">
              <w:rPr>
                <w:color w:val="auto"/>
              </w:rPr>
              <w:t>H6-2.5 Participating hospitals will establish processes to submit self-reported demographic and HRSN data to the state.</w:t>
            </w:r>
          </w:p>
          <w:p w14:paraId="6C3BD660" w14:textId="77777777" w:rsidR="00ED1025" w:rsidRPr="002C5F50" w:rsidRDefault="00ED1025" w:rsidP="002C5F50">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2C5F50">
              <w:rPr>
                <w:color w:val="auto"/>
              </w:rPr>
              <w:t>H6-2.6. Participating hospitals will implement programs to promote access to services delivered in a culturally, linguistically, and disability-competent manner.</w:t>
            </w:r>
          </w:p>
          <w:p w14:paraId="4E9C13E4" w14:textId="77777777" w:rsidR="00ED1025" w:rsidRPr="002C5F50" w:rsidRDefault="00ED1025" w:rsidP="002C5F50">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2C5F50">
              <w:rPr>
                <w:color w:val="auto"/>
              </w:rPr>
              <w:t xml:space="preserve">H6-2.7 Participating hospitals will implement </w:t>
            </w:r>
            <w:r w:rsidRPr="002C5F50">
              <w:rPr>
                <w:color w:val="auto"/>
              </w:rPr>
              <w:lastRenderedPageBreak/>
              <w:t xml:space="preserve">quality improvement initiatives to promote better and more equitable care quality. </w:t>
            </w:r>
          </w:p>
          <w:p w14:paraId="54B3E4C6" w14:textId="77777777" w:rsidR="00ED1025" w:rsidRPr="002C5F50" w:rsidRDefault="00ED1025" w:rsidP="002C5F50">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2C5F50">
              <w:rPr>
                <w:color w:val="auto"/>
              </w:rPr>
              <w:t>H6-2.8 Participating hospitals will improve and strengthen relationships with partner organizations.</w:t>
            </w:r>
          </w:p>
          <w:p w14:paraId="145C5CB2" w14:textId="77777777" w:rsidR="00ED1025" w:rsidRPr="002C5F50" w:rsidRDefault="00ED1025" w:rsidP="002C5F50">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2C5F50">
              <w:rPr>
                <w:color w:val="auto"/>
              </w:rPr>
              <w:t>H6-2.9 Participating hospitals will engage MassHealth members and the community in the design and implementation of quality and equity initiatives.</w:t>
            </w:r>
          </w:p>
        </w:tc>
        <w:tc>
          <w:tcPr>
            <w:tcW w:w="3240" w:type="dxa"/>
          </w:tcPr>
          <w:p w14:paraId="365CC732" w14:textId="592F4F27" w:rsidR="00ED1025" w:rsidRPr="002C5F50" w:rsidRDefault="00ED1025" w:rsidP="002C5F50">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2C5F50">
              <w:rPr>
                <w:color w:val="auto"/>
              </w:rPr>
              <w:lastRenderedPageBreak/>
              <w:t>KIIs and/or focus groups</w:t>
            </w:r>
            <w:r w:rsidR="00D46239" w:rsidRPr="002C5F50">
              <w:rPr>
                <w:color w:val="auto"/>
              </w:rPr>
              <w:t xml:space="preserve"> </w:t>
            </w:r>
            <w:r w:rsidR="007D1359" w:rsidRPr="002C5F50">
              <w:rPr>
                <w:color w:val="auto"/>
              </w:rPr>
              <w:t>(2024-2025; 2026-2027)</w:t>
            </w:r>
          </w:p>
          <w:p w14:paraId="20529B4A" w14:textId="77777777" w:rsidR="00ED1025" w:rsidRPr="0097493D" w:rsidRDefault="241D4081" w:rsidP="00DD58DA">
            <w:pPr>
              <w:pStyle w:val="TableBullet"/>
              <w:cnfStyle w:val="000000000000" w:firstRow="0" w:lastRow="0" w:firstColumn="0" w:lastColumn="0" w:oddVBand="0" w:evenVBand="0" w:oddHBand="0" w:evenHBand="0" w:firstRowFirstColumn="0" w:firstRowLastColumn="0" w:lastRowFirstColumn="0" w:lastRowLastColumn="0"/>
            </w:pPr>
            <w:r>
              <w:t>Hospital leadership and staff</w:t>
            </w:r>
          </w:p>
          <w:p w14:paraId="1C1C1C5C" w14:textId="77777777" w:rsidR="00ED1025" w:rsidRPr="0097493D" w:rsidRDefault="241D4081" w:rsidP="00DD58DA">
            <w:pPr>
              <w:pStyle w:val="TableBullet"/>
              <w:cnfStyle w:val="000000000000" w:firstRow="0" w:lastRow="0" w:firstColumn="0" w:lastColumn="0" w:oddVBand="0" w:evenVBand="0" w:oddHBand="0" w:evenHBand="0" w:firstRowFirstColumn="0" w:firstRowLastColumn="0" w:lastRowFirstColumn="0" w:lastRowLastColumn="0"/>
            </w:pPr>
            <w:r>
              <w:t>Staff from partnering organizations</w:t>
            </w:r>
          </w:p>
          <w:p w14:paraId="7D78AAEB" w14:textId="444A60F6" w:rsidR="00ED1025" w:rsidRPr="00DF133F" w:rsidRDefault="00ED1025"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DF133F">
              <w:rPr>
                <w:color w:val="auto"/>
              </w:rPr>
              <w:lastRenderedPageBreak/>
              <w:t>Data submitted to MassHealth</w:t>
            </w:r>
            <w:r w:rsidR="003D2702" w:rsidRPr="00DF133F">
              <w:rPr>
                <w:color w:val="auto"/>
              </w:rPr>
              <w:t xml:space="preserve"> </w:t>
            </w:r>
            <w:r w:rsidR="003D2702" w:rsidRPr="00DF133F">
              <w:rPr>
                <w:rFonts w:eastAsia="Times New Roman"/>
                <w:color w:val="auto"/>
              </w:rPr>
              <w:t>(2022-2027)</w:t>
            </w:r>
            <w:r w:rsidRPr="00DF133F">
              <w:rPr>
                <w:color w:val="auto"/>
              </w:rPr>
              <w:t>:</w:t>
            </w:r>
          </w:p>
          <w:p w14:paraId="1941EDBD" w14:textId="77777777" w:rsidR="00ED1025" w:rsidRPr="0097493D" w:rsidRDefault="241D4081" w:rsidP="00DD58DA">
            <w:pPr>
              <w:pStyle w:val="TableBullet"/>
              <w:cnfStyle w:val="000000000000" w:firstRow="0" w:lastRow="0" w:firstColumn="0" w:lastColumn="0" w:oddVBand="0" w:evenVBand="0" w:oddHBand="0" w:evenHBand="0" w:firstRowFirstColumn="0" w:firstRowLastColumn="0" w:lastRowFirstColumn="0" w:lastRowLastColumn="0"/>
            </w:pPr>
            <w:r>
              <w:t>Race, ethnicity, language, disability, social orientation, and gender identity (RELDSOGI) files provided by MassHealth;</w:t>
            </w:r>
          </w:p>
          <w:p w14:paraId="114A2296" w14:textId="77777777" w:rsidR="00ED1025" w:rsidRPr="0097493D" w:rsidRDefault="241D4081" w:rsidP="00DD58DA">
            <w:pPr>
              <w:pStyle w:val="TableBullet"/>
              <w:cnfStyle w:val="000000000000" w:firstRow="0" w:lastRow="0" w:firstColumn="0" w:lastColumn="0" w:oddVBand="0" w:evenVBand="0" w:oddHBand="0" w:evenHBand="0" w:firstRowFirstColumn="0" w:firstRowLastColumn="0" w:lastRowFirstColumn="0" w:lastRowLastColumn="0"/>
            </w:pPr>
            <w:r>
              <w:t>Stratified quality data (i.e., performance data including member-level race and ethnicity for clinical measures);</w:t>
            </w:r>
          </w:p>
          <w:p w14:paraId="641D8D70" w14:textId="0D325726" w:rsidR="00ED1025" w:rsidRPr="0097493D" w:rsidRDefault="241D4081" w:rsidP="00DD58DA">
            <w:pPr>
              <w:pStyle w:val="TableBullet"/>
              <w:cnfStyle w:val="000000000000" w:firstRow="0" w:lastRow="0" w:firstColumn="0" w:lastColumn="0" w:oddVBand="0" w:evenVBand="0" w:oddHBand="0" w:evenHBand="0" w:firstRowFirstColumn="0" w:firstRowLastColumn="0" w:lastRowFirstColumn="0" w:lastRowLastColumn="0"/>
            </w:pPr>
            <w:r>
              <w:t xml:space="preserve">Hospital Consumer Assessment of Healthcare Providers and Systems (HCAHPS) survey </w:t>
            </w:r>
            <w:r w:rsidR="1C3D89A6">
              <w:t xml:space="preserve">of members </w:t>
            </w:r>
            <w:r>
              <w:t>results regarding culturally competent care</w:t>
            </w:r>
            <w:r w:rsidR="7C8C7E73">
              <w:t xml:space="preserve"> (2023-2027)</w:t>
            </w:r>
            <w:r>
              <w:t>;</w:t>
            </w:r>
          </w:p>
          <w:p w14:paraId="5CC7DD53" w14:textId="52589CDA" w:rsidR="00ED1025" w:rsidRPr="0097493D" w:rsidRDefault="241D4081" w:rsidP="00DD58DA">
            <w:pPr>
              <w:pStyle w:val="TableBullet"/>
              <w:cnfStyle w:val="000000000000" w:firstRow="0" w:lastRow="0" w:firstColumn="0" w:lastColumn="0" w:oddVBand="0" w:evenVBand="0" w:oddHBand="0" w:evenHBand="0" w:firstRowFirstColumn="0" w:firstRowLastColumn="0" w:lastRowFirstColumn="0" w:lastRowLastColumn="0"/>
            </w:pPr>
            <w:r>
              <w:t>Meaningful Access to Health Care Services for Persons with Limited English Proficiency performance data</w:t>
            </w:r>
          </w:p>
          <w:p w14:paraId="7A82989C" w14:textId="3BFFAAB9" w:rsidR="00ED1025" w:rsidRPr="00DF133F" w:rsidRDefault="00ED1025"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DF133F">
              <w:rPr>
                <w:color w:val="auto"/>
              </w:rPr>
              <w:t>Documentation submitted to MassHealth</w:t>
            </w:r>
            <w:r w:rsidR="003D2702" w:rsidRPr="00DF133F">
              <w:rPr>
                <w:color w:val="auto"/>
              </w:rPr>
              <w:t xml:space="preserve"> </w:t>
            </w:r>
            <w:r w:rsidR="003D2702" w:rsidRPr="00DF133F">
              <w:rPr>
                <w:rFonts w:eastAsia="Times New Roman"/>
                <w:color w:val="auto"/>
              </w:rPr>
              <w:t>(2022</w:t>
            </w:r>
            <w:r w:rsidR="00121184" w:rsidRPr="00DF133F">
              <w:rPr>
                <w:rFonts w:eastAsia="Times New Roman"/>
                <w:color w:val="auto"/>
              </w:rPr>
              <w:t>-</w:t>
            </w:r>
            <w:r w:rsidR="003D2702" w:rsidRPr="00DF133F">
              <w:rPr>
                <w:rFonts w:eastAsia="Times New Roman"/>
                <w:color w:val="auto"/>
              </w:rPr>
              <w:t>2027)</w:t>
            </w:r>
            <w:r w:rsidRPr="00DF133F">
              <w:rPr>
                <w:color w:val="auto"/>
              </w:rPr>
              <w:t>:</w:t>
            </w:r>
          </w:p>
          <w:p w14:paraId="7F25823E" w14:textId="77777777" w:rsidR="00ED1025" w:rsidRPr="0097493D" w:rsidRDefault="241D4081" w:rsidP="00DD58DA">
            <w:pPr>
              <w:pStyle w:val="TableBullet"/>
              <w:cnfStyle w:val="000000000000" w:firstRow="0" w:lastRow="0" w:firstColumn="0" w:lastColumn="0" w:oddVBand="0" w:evenVBand="0" w:oddHBand="0" w:evenHBand="0" w:firstRowFirstColumn="0" w:firstRowLastColumn="0" w:lastRowFirstColumn="0" w:lastRowLastColumn="0"/>
            </w:pPr>
            <w:r>
              <w:t>Attestation of completing TJC surveys for health equity accreditation standards and/or documentation showing accreditation;</w:t>
            </w:r>
          </w:p>
          <w:p w14:paraId="5D02822D" w14:textId="64E020EA" w:rsidR="00ED1025" w:rsidRPr="0097493D" w:rsidRDefault="241D4081" w:rsidP="00DD58DA">
            <w:pPr>
              <w:pStyle w:val="TableBullet"/>
              <w:cnfStyle w:val="000000000000" w:firstRow="0" w:lastRow="0" w:firstColumn="0" w:lastColumn="0" w:oddVBand="0" w:evenVBand="0" w:oddHBand="0" w:evenHBand="0" w:firstRowFirstColumn="0" w:firstRowLastColumn="0" w:lastRowFirstColumn="0" w:lastRowLastColumn="0"/>
            </w:pPr>
            <w:r>
              <w:t>Attestation of hospital-ACO partnership</w:t>
            </w:r>
          </w:p>
          <w:p w14:paraId="4448E9B7" w14:textId="353EBEFC" w:rsidR="00ED1025" w:rsidRPr="0097493D" w:rsidRDefault="00AF0241" w:rsidP="00DD58DA">
            <w:pPr>
              <w:pStyle w:val="TableBullet"/>
              <w:cnfStyle w:val="000000000000" w:firstRow="0" w:lastRow="0" w:firstColumn="0" w:lastColumn="0" w:oddVBand="0" w:evenVBand="0" w:oddHBand="0" w:evenHBand="0" w:firstRowFirstColumn="0" w:firstRowLastColumn="0" w:lastRowFirstColumn="0" w:lastRowLastColumn="0"/>
            </w:pPr>
            <w:r>
              <w:t>Hospital-</w:t>
            </w:r>
            <w:r w:rsidR="241D4081">
              <w:t xml:space="preserve">submitted quarterly Performance Improvement Plan-related documents (e.g., key </w:t>
            </w:r>
            <w:r w:rsidR="241D4081">
              <w:lastRenderedPageBreak/>
              <w:t>personnel/institutional resources document, mid-year planning report)</w:t>
            </w:r>
          </w:p>
          <w:p w14:paraId="3C3AE480" w14:textId="77777777" w:rsidR="00ED1025" w:rsidRPr="0097493D" w:rsidRDefault="241D4081" w:rsidP="00DD58DA">
            <w:pPr>
              <w:pStyle w:val="TableBullet"/>
              <w:cnfStyle w:val="000000000000" w:firstRow="0" w:lastRow="0" w:firstColumn="0" w:lastColumn="0" w:oddVBand="0" w:evenVBand="0" w:oddHBand="0" w:evenHBand="0" w:firstRowFirstColumn="0" w:firstRowLastColumn="0" w:lastRowFirstColumn="0" w:lastRowLastColumn="0"/>
            </w:pPr>
            <w:r>
              <w:t>Hospitals’ completion of competency and needs assessments to target quality and equity initiatives;</w:t>
            </w:r>
          </w:p>
          <w:p w14:paraId="3A5CE63B" w14:textId="77777777" w:rsidR="00ED1025" w:rsidRPr="0097493D" w:rsidRDefault="241D4081" w:rsidP="00DD58DA">
            <w:pPr>
              <w:pStyle w:val="TableBullet"/>
              <w:cnfStyle w:val="000000000000" w:firstRow="0" w:lastRow="0" w:firstColumn="0" w:lastColumn="0" w:oddVBand="0" w:evenVBand="0" w:oddHBand="0" w:evenHBand="0" w:firstRowFirstColumn="0" w:firstRowLastColumn="0" w:lastRowFirstColumn="0" w:lastRowLastColumn="0"/>
            </w:pPr>
            <w:r>
              <w:t xml:space="preserve">Hospital Health Equity Strategic Plan; </w:t>
            </w:r>
          </w:p>
          <w:p w14:paraId="18F93636" w14:textId="77777777" w:rsidR="00ED1025" w:rsidRPr="0097493D" w:rsidRDefault="241D4081" w:rsidP="00DD58DA">
            <w:pPr>
              <w:pStyle w:val="TableBullet"/>
              <w:cnfStyle w:val="000000000000" w:firstRow="0" w:lastRow="0" w:firstColumn="0" w:lastColumn="0" w:oddVBand="0" w:evenVBand="0" w:oddHBand="0" w:evenHBand="0" w:firstRowFirstColumn="0" w:firstRowLastColumn="0" w:lastRowFirstColumn="0" w:lastRowLastColumn="0"/>
            </w:pPr>
            <w:r>
              <w:t>Hospital Plan for Screening for Social Drivers of Health;</w:t>
            </w:r>
          </w:p>
          <w:p w14:paraId="2BA161C0" w14:textId="77777777" w:rsidR="00ED1025" w:rsidRPr="0097493D" w:rsidRDefault="241D4081" w:rsidP="00DD58DA">
            <w:pPr>
              <w:pStyle w:val="TableBullet"/>
              <w:cnfStyle w:val="000000000000" w:firstRow="0" w:lastRow="0" w:firstColumn="0" w:lastColumn="0" w:oddVBand="0" w:evenVBand="0" w:oddHBand="0" w:evenHBand="0" w:firstRowFirstColumn="0" w:firstRowLastColumn="0" w:lastRowFirstColumn="0" w:lastRowLastColumn="0"/>
            </w:pPr>
            <w:r>
              <w:t>Hospital-selected HRSN screening tool;</w:t>
            </w:r>
          </w:p>
          <w:p w14:paraId="692FDC10" w14:textId="77777777" w:rsidR="00ED1025" w:rsidRPr="0097493D" w:rsidRDefault="241D4081" w:rsidP="00DD58DA">
            <w:pPr>
              <w:pStyle w:val="TableBullet"/>
              <w:cnfStyle w:val="000000000000" w:firstRow="0" w:lastRow="0" w:firstColumn="0" w:lastColumn="0" w:oddVBand="0" w:evenVBand="0" w:oddHBand="0" w:evenHBand="0" w:firstRowFirstColumn="0" w:firstRowLastColumn="0" w:lastRowFirstColumn="0" w:lastRowLastColumn="0"/>
            </w:pPr>
            <w:r>
              <w:t>RELDSOGI assessment;</w:t>
            </w:r>
          </w:p>
          <w:p w14:paraId="6C1A3F6E" w14:textId="433186D7" w:rsidR="00ED1025" w:rsidRPr="0097493D" w:rsidRDefault="241D4081" w:rsidP="00DD58DA">
            <w:pPr>
              <w:pStyle w:val="TableBullet"/>
              <w:cnfStyle w:val="000000000000" w:firstRow="0" w:lastRow="0" w:firstColumn="0" w:lastColumn="0" w:oddVBand="0" w:evenVBand="0" w:oddHBand="0" w:evenHBand="0" w:firstRowFirstColumn="0" w:firstRowLastColumn="0" w:lastRowFirstColumn="0" w:lastRowLastColumn="0"/>
            </w:pPr>
            <w:r>
              <w:t>Hospital</w:t>
            </w:r>
            <w:r w:rsidR="00AB7E23">
              <w:t>-</w:t>
            </w:r>
            <w:r>
              <w:t>submitted interpreter attestation;</w:t>
            </w:r>
          </w:p>
          <w:p w14:paraId="46005533" w14:textId="747F5442" w:rsidR="00ED1025" w:rsidRPr="0097493D" w:rsidRDefault="00AB7E23" w:rsidP="00DD58DA">
            <w:pPr>
              <w:pStyle w:val="TableBullet"/>
              <w:cnfStyle w:val="000000000000" w:firstRow="0" w:lastRow="0" w:firstColumn="0" w:lastColumn="0" w:oddVBand="0" w:evenVBand="0" w:oddHBand="0" w:evenHBand="0" w:firstRowFirstColumn="0" w:firstRowLastColumn="0" w:lastRowFirstColumn="0" w:lastRowLastColumn="0"/>
            </w:pPr>
            <w:r>
              <w:t>Hospital-</w:t>
            </w:r>
            <w:r w:rsidR="241D4081">
              <w:t xml:space="preserve">submitted disability competency self-assessment </w:t>
            </w:r>
            <w:r w:rsidR="005B47F7">
              <w:t xml:space="preserve">and </w:t>
            </w:r>
            <w:r w:rsidR="241D4081">
              <w:t>plan for improving competency in targeted competency areas;</w:t>
            </w:r>
          </w:p>
          <w:p w14:paraId="15D15148" w14:textId="77777777" w:rsidR="00ED1025" w:rsidRPr="0097493D" w:rsidRDefault="241D4081" w:rsidP="00DD58DA">
            <w:pPr>
              <w:pStyle w:val="TableBullet"/>
              <w:cnfStyle w:val="000000000000" w:firstRow="0" w:lastRow="0" w:firstColumn="0" w:lastColumn="0" w:oddVBand="0" w:evenVBand="0" w:oddHBand="0" w:evenHBand="0" w:firstRowFirstColumn="0" w:firstRowLastColumn="0" w:lastRowFirstColumn="0" w:lastRowLastColumn="0"/>
            </w:pPr>
            <w:r>
              <w:t>Accommodation needs report and plan for improvement;</w:t>
            </w:r>
          </w:p>
          <w:p w14:paraId="1A280323" w14:textId="77777777" w:rsidR="00ED1025" w:rsidRPr="0097493D" w:rsidRDefault="241D4081" w:rsidP="00DD58DA">
            <w:pPr>
              <w:pStyle w:val="TableBullet"/>
              <w:cnfStyle w:val="000000000000" w:firstRow="0" w:lastRow="0" w:firstColumn="0" w:lastColumn="0" w:oddVBand="0" w:evenVBand="0" w:oddHBand="0" w:evenHBand="0" w:firstRowFirstColumn="0" w:firstRowLastColumn="0" w:lastRowFirstColumn="0" w:lastRowLastColumn="0"/>
            </w:pPr>
            <w:r>
              <w:t>HRSN assessment</w:t>
            </w:r>
          </w:p>
        </w:tc>
        <w:tc>
          <w:tcPr>
            <w:tcW w:w="1800" w:type="dxa"/>
          </w:tcPr>
          <w:p w14:paraId="0C0D103D" w14:textId="07EBD5D9" w:rsidR="00ED1025" w:rsidRPr="00721244" w:rsidDel="003F1256" w:rsidRDefault="00ED1025" w:rsidP="00721244">
            <w:pPr>
              <w:pStyle w:val="TableNormal0"/>
              <w:cnfStyle w:val="000000000000" w:firstRow="0" w:lastRow="0" w:firstColumn="0" w:lastColumn="0" w:oddVBand="0" w:evenVBand="0" w:oddHBand="0" w:evenHBand="0" w:firstRowFirstColumn="0" w:firstRowLastColumn="0" w:lastRowFirstColumn="0" w:lastRowLastColumn="0"/>
              <w:rPr>
                <w:color w:val="auto"/>
              </w:rPr>
            </w:pPr>
            <w:r w:rsidRPr="3383C28C">
              <w:rPr>
                <w:color w:val="auto"/>
              </w:rPr>
              <w:lastRenderedPageBreak/>
              <w:t>Hospital leadership and staff</w:t>
            </w:r>
            <w:r w:rsidR="00EF5A24" w:rsidRPr="3383C28C">
              <w:rPr>
                <w:color w:val="auto"/>
              </w:rPr>
              <w:t xml:space="preserve"> (</w:t>
            </w:r>
            <w:r w:rsidR="151DB26B" w:rsidRPr="3383C28C">
              <w:rPr>
                <w:color w:val="auto"/>
              </w:rPr>
              <w:t xml:space="preserve">Interviewees: </w:t>
            </w:r>
            <w:r w:rsidR="00EF5A24" w:rsidRPr="3383C28C">
              <w:rPr>
                <w:color w:val="auto"/>
              </w:rPr>
              <w:t>n</w:t>
            </w:r>
            <w:r w:rsidR="00B442EB" w:rsidRPr="3383C28C">
              <w:rPr>
                <w:color w:val="auto"/>
              </w:rPr>
              <w:t xml:space="preserve"> ≤ </w:t>
            </w:r>
            <w:r w:rsidR="00BD4D74" w:rsidRPr="3383C28C">
              <w:rPr>
                <w:color w:val="auto"/>
              </w:rPr>
              <w:t>50-70</w:t>
            </w:r>
            <w:r w:rsidR="00EF5A24" w:rsidRPr="3383C28C">
              <w:rPr>
                <w:color w:val="auto"/>
              </w:rPr>
              <w:t>)</w:t>
            </w:r>
            <w:r w:rsidRPr="3383C28C">
              <w:rPr>
                <w:color w:val="auto"/>
              </w:rPr>
              <w:t>, staff from partnering organizations</w:t>
            </w:r>
            <w:r w:rsidR="00EF5A24" w:rsidRPr="3383C28C">
              <w:rPr>
                <w:color w:val="auto"/>
              </w:rPr>
              <w:t xml:space="preserve"> (n</w:t>
            </w:r>
            <w:r w:rsidR="000A0E4D" w:rsidRPr="3383C28C">
              <w:rPr>
                <w:color w:val="auto"/>
              </w:rPr>
              <w:t>≤5</w:t>
            </w:r>
            <w:r w:rsidR="00BE2BC9" w:rsidRPr="3383C28C">
              <w:rPr>
                <w:color w:val="auto"/>
              </w:rPr>
              <w:t>0</w:t>
            </w:r>
            <w:r w:rsidR="00EF5A24" w:rsidRPr="3383C28C">
              <w:rPr>
                <w:color w:val="auto"/>
              </w:rPr>
              <w:t>)</w:t>
            </w:r>
          </w:p>
        </w:tc>
        <w:tc>
          <w:tcPr>
            <w:tcW w:w="3281" w:type="dxa"/>
          </w:tcPr>
          <w:p w14:paraId="3A43D312" w14:textId="77777777" w:rsidR="00ED1025" w:rsidRPr="0097493D" w:rsidRDefault="241D4081" w:rsidP="00070672">
            <w:pPr>
              <w:pStyle w:val="TableNormal0"/>
              <w:cnfStyle w:val="000000000000" w:firstRow="0" w:lastRow="0" w:firstColumn="0" w:lastColumn="0" w:oddVBand="0" w:evenVBand="0" w:oddHBand="0" w:evenHBand="0" w:firstRowFirstColumn="0" w:firstRowLastColumn="0" w:lastRowFirstColumn="0" w:lastRowLastColumn="0"/>
            </w:pPr>
            <w:r>
              <w:t>Implementation and reporting of competency and needs assessments;</w:t>
            </w:r>
          </w:p>
          <w:p w14:paraId="570524B1" w14:textId="77777777" w:rsidR="00ED1025" w:rsidRPr="0097493D" w:rsidRDefault="241D4081" w:rsidP="00070672">
            <w:pPr>
              <w:pStyle w:val="TableNormal0"/>
              <w:cnfStyle w:val="000000000000" w:firstRow="0" w:lastRow="0" w:firstColumn="0" w:lastColumn="0" w:oddVBand="0" w:evenVBand="0" w:oddHBand="0" w:evenHBand="0" w:firstRowFirstColumn="0" w:firstRowLastColumn="0" w:lastRowFirstColumn="0" w:lastRowLastColumn="0"/>
            </w:pPr>
            <w:r>
              <w:t>Perceived ability and strategies to recruit, train, and retain providers and staff to implement quality and equity initiatives;</w:t>
            </w:r>
          </w:p>
          <w:p w14:paraId="7B5D7B41" w14:textId="77777777" w:rsidR="00ED1025" w:rsidRPr="0097493D" w:rsidRDefault="241D4081" w:rsidP="00070672">
            <w:pPr>
              <w:pStyle w:val="TableNormal0"/>
              <w:cnfStyle w:val="000000000000" w:firstRow="0" w:lastRow="0" w:firstColumn="0" w:lastColumn="0" w:oddVBand="0" w:evenVBand="0" w:oddHBand="0" w:evenHBand="0" w:firstRowFirstColumn="0" w:firstRowLastColumn="0" w:lastRowFirstColumn="0" w:lastRowLastColumn="0"/>
            </w:pPr>
            <w:r>
              <w:lastRenderedPageBreak/>
              <w:t>Use of health information systems to ingest and use self-reported demographic and HRSN data;</w:t>
            </w:r>
          </w:p>
          <w:p w14:paraId="4C4E6E77" w14:textId="77777777" w:rsidR="00ED1025" w:rsidRPr="0097493D" w:rsidRDefault="241D4081" w:rsidP="00070672">
            <w:pPr>
              <w:pStyle w:val="TableNormal0"/>
              <w:cnfStyle w:val="000000000000" w:firstRow="0" w:lastRow="0" w:firstColumn="0" w:lastColumn="0" w:oddVBand="0" w:evenVBand="0" w:oddHBand="0" w:evenHBand="0" w:firstRowFirstColumn="0" w:firstRowLastColumn="0" w:lastRowFirstColumn="0" w:lastRowLastColumn="0"/>
            </w:pPr>
            <w:r>
              <w:t>Implementation of training for staff to systematically collect self-reported demographic and HRSN data in a culturally competent manner;</w:t>
            </w:r>
          </w:p>
          <w:p w14:paraId="77F09CD3" w14:textId="77777777" w:rsidR="00ED1025" w:rsidRPr="0097493D" w:rsidRDefault="241D4081" w:rsidP="00070672">
            <w:pPr>
              <w:pStyle w:val="TableNormal0"/>
              <w:cnfStyle w:val="000000000000" w:firstRow="0" w:lastRow="0" w:firstColumn="0" w:lastColumn="0" w:oddVBand="0" w:evenVBand="0" w:oddHBand="0" w:evenHBand="0" w:firstRowFirstColumn="0" w:firstRowLastColumn="0" w:lastRowFirstColumn="0" w:lastRowLastColumn="0"/>
            </w:pPr>
            <w:r>
              <w:t>Established processes to collect and submit self-reported demographic and HRSN data to the state;</w:t>
            </w:r>
          </w:p>
          <w:p w14:paraId="64BD436F" w14:textId="43E21039" w:rsidR="00ED1025" w:rsidRPr="0097493D" w:rsidRDefault="241D4081" w:rsidP="00070672">
            <w:pPr>
              <w:pStyle w:val="TableNormal0"/>
              <w:cnfStyle w:val="000000000000" w:firstRow="0" w:lastRow="0" w:firstColumn="0" w:lastColumn="0" w:oddVBand="0" w:evenVBand="0" w:oddHBand="0" w:evenHBand="0" w:firstRowFirstColumn="0" w:firstRowLastColumn="0" w:lastRowFirstColumn="0" w:lastRowLastColumn="0"/>
            </w:pPr>
            <w:r>
              <w:t>Number and types of programs implemented</w:t>
            </w:r>
            <w:r w:rsidR="00DE06DD">
              <w:t>;</w:t>
            </w:r>
          </w:p>
          <w:p w14:paraId="4BD0F209" w14:textId="77777777" w:rsidR="00ED1025" w:rsidRPr="0097493D" w:rsidRDefault="241D4081" w:rsidP="00070672">
            <w:pPr>
              <w:pStyle w:val="TableNormal0"/>
              <w:cnfStyle w:val="000000000000" w:firstRow="0" w:lastRow="0" w:firstColumn="0" w:lastColumn="0" w:oddVBand="0" w:evenVBand="0" w:oddHBand="0" w:evenHBand="0" w:firstRowFirstColumn="0" w:firstRowLastColumn="0" w:lastRowFirstColumn="0" w:lastRowLastColumn="0"/>
            </w:pPr>
            <w:r>
              <w:t>Facilitators and barriers to program implementation;</w:t>
            </w:r>
          </w:p>
          <w:p w14:paraId="29E20EA6" w14:textId="77777777" w:rsidR="00ED1025" w:rsidRPr="0097493D" w:rsidRDefault="241D4081" w:rsidP="00070672">
            <w:pPr>
              <w:pStyle w:val="TableNormal0"/>
              <w:cnfStyle w:val="000000000000" w:firstRow="0" w:lastRow="0" w:firstColumn="0" w:lastColumn="0" w:oddVBand="0" w:evenVBand="0" w:oddHBand="0" w:evenHBand="0" w:firstRowFirstColumn="0" w:firstRowLastColumn="0" w:lastRowFirstColumn="0" w:lastRowLastColumn="0"/>
            </w:pPr>
            <w:r>
              <w:t>Provider and staff perceptions of HQEI programming;</w:t>
            </w:r>
          </w:p>
          <w:p w14:paraId="6058C5CD" w14:textId="77777777" w:rsidR="00ED1025" w:rsidRPr="0097493D" w:rsidRDefault="241D4081" w:rsidP="00070672">
            <w:pPr>
              <w:pStyle w:val="TableNormal0"/>
              <w:cnfStyle w:val="000000000000" w:firstRow="0" w:lastRow="0" w:firstColumn="0" w:lastColumn="0" w:oddVBand="0" w:evenVBand="0" w:oddHBand="0" w:evenHBand="0" w:firstRowFirstColumn="0" w:firstRowLastColumn="0" w:lastRowFirstColumn="0" w:lastRowLastColumn="0"/>
            </w:pPr>
            <w:r>
              <w:t>Number and types of new, reciprocal relationships between hospitals and partner organizations formed for the HQEI;</w:t>
            </w:r>
          </w:p>
          <w:p w14:paraId="48A93EF6" w14:textId="0B0E9CDF" w:rsidR="00ED1025" w:rsidRPr="0097493D" w:rsidRDefault="241D4081" w:rsidP="00070672">
            <w:pPr>
              <w:pStyle w:val="TableNormal0"/>
              <w:cnfStyle w:val="000000000000" w:firstRow="0" w:lastRow="0" w:firstColumn="0" w:lastColumn="0" w:oddVBand="0" w:evenVBand="0" w:oddHBand="0" w:evenHBand="0" w:firstRowFirstColumn="0" w:firstRowLastColumn="0" w:lastRowFirstColumn="0" w:lastRowLastColumn="0"/>
            </w:pPr>
            <w:r>
              <w:t>Development of organizational policies supporting cooperation between ho</w:t>
            </w:r>
            <w:r w:rsidR="65669F59">
              <w:t>s</w:t>
            </w:r>
            <w:r>
              <w:t>pitals and partner organizations;</w:t>
            </w:r>
          </w:p>
          <w:p w14:paraId="1FE13604" w14:textId="77777777" w:rsidR="00ED1025" w:rsidRPr="0097493D" w:rsidRDefault="241D4081" w:rsidP="00070672">
            <w:pPr>
              <w:pStyle w:val="TableNormal0"/>
              <w:cnfStyle w:val="000000000000" w:firstRow="0" w:lastRow="0" w:firstColumn="0" w:lastColumn="0" w:oddVBand="0" w:evenVBand="0" w:oddHBand="0" w:evenHBand="0" w:firstRowFirstColumn="0" w:firstRowLastColumn="0" w:lastRowFirstColumn="0" w:lastRowLastColumn="0"/>
            </w:pPr>
            <w:r>
              <w:t>Provider and staff perceptions of relationships with partner organizations;</w:t>
            </w:r>
          </w:p>
          <w:p w14:paraId="1DE1F858" w14:textId="77777777" w:rsidR="00ED1025" w:rsidRPr="0097493D" w:rsidRDefault="241D4081" w:rsidP="00070672">
            <w:pPr>
              <w:pStyle w:val="TableNormal0"/>
              <w:cnfStyle w:val="000000000000" w:firstRow="0" w:lastRow="0" w:firstColumn="0" w:lastColumn="0" w:oddVBand="0" w:evenVBand="0" w:oddHBand="0" w:evenHBand="0" w:firstRowFirstColumn="0" w:firstRowLastColumn="0" w:lastRowFirstColumn="0" w:lastRowLastColumn="0"/>
            </w:pPr>
            <w:r>
              <w:t>Engagement with MassHealth members during the design and implementation of quality and equity initiatives;</w:t>
            </w:r>
          </w:p>
          <w:p w14:paraId="1F75C22C" w14:textId="77777777" w:rsidR="00ED1025" w:rsidRPr="0097493D" w:rsidRDefault="241D4081" w:rsidP="00070672">
            <w:pPr>
              <w:pStyle w:val="TableNormal0"/>
              <w:cnfStyle w:val="000000000000" w:firstRow="0" w:lastRow="0" w:firstColumn="0" w:lastColumn="0" w:oddVBand="0" w:evenVBand="0" w:oddHBand="0" w:evenHBand="0" w:firstRowFirstColumn="0" w:firstRowLastColumn="0" w:lastRowFirstColumn="0" w:lastRowLastColumn="0"/>
            </w:pPr>
            <w:r>
              <w:t>Timely submission of required documentation;</w:t>
            </w:r>
          </w:p>
          <w:p w14:paraId="03A6D68D" w14:textId="77777777" w:rsidR="00ED1025" w:rsidRPr="0097493D" w:rsidRDefault="241D4081" w:rsidP="00070672">
            <w:pPr>
              <w:pStyle w:val="TableNormal0"/>
              <w:cnfStyle w:val="000000000000" w:firstRow="0" w:lastRow="0" w:firstColumn="0" w:lastColumn="0" w:oddVBand="0" w:evenVBand="0" w:oddHBand="0" w:evenHBand="0" w:firstRowFirstColumn="0" w:firstRowLastColumn="0" w:lastRowFirstColumn="0" w:lastRowLastColumn="0"/>
            </w:pPr>
            <w:r>
              <w:t>Common themes;</w:t>
            </w:r>
          </w:p>
          <w:p w14:paraId="32817F8E" w14:textId="77777777" w:rsidR="00ED1025" w:rsidRPr="0097493D" w:rsidRDefault="241D4081" w:rsidP="00070672">
            <w:pPr>
              <w:pStyle w:val="TableNormal0"/>
              <w:cnfStyle w:val="000000000000" w:firstRow="0" w:lastRow="0" w:firstColumn="0" w:lastColumn="0" w:oddVBand="0" w:evenVBand="0" w:oddHBand="0" w:evenHBand="0" w:firstRowFirstColumn="0" w:firstRowLastColumn="0" w:lastRowFirstColumn="0" w:lastRowLastColumn="0"/>
            </w:pPr>
            <w:r>
              <w:lastRenderedPageBreak/>
              <w:t>Indication of progress toward policy goals</w:t>
            </w:r>
          </w:p>
        </w:tc>
        <w:tc>
          <w:tcPr>
            <w:tcW w:w="1440" w:type="dxa"/>
          </w:tcPr>
          <w:p w14:paraId="2D073FBE" w14:textId="67BB0B5E" w:rsidR="00ED1025" w:rsidRPr="002C5F50" w:rsidRDefault="00ED1025" w:rsidP="002C5F50">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2C5F50">
              <w:rPr>
                <w:color w:val="auto"/>
              </w:rPr>
              <w:lastRenderedPageBreak/>
              <w:t>Qualitative analysis of data collected through KIIs</w:t>
            </w:r>
            <w:r w:rsidR="00A32690" w:rsidRPr="002C5F50">
              <w:rPr>
                <w:color w:val="auto"/>
              </w:rPr>
              <w:t xml:space="preserve"> (hospital, partner organization)</w:t>
            </w:r>
            <w:r w:rsidRPr="002C5F50">
              <w:rPr>
                <w:color w:val="auto"/>
              </w:rPr>
              <w:t>;</w:t>
            </w:r>
          </w:p>
          <w:p w14:paraId="0A25335B" w14:textId="77777777" w:rsidR="00ED1025" w:rsidRPr="002C5F50" w:rsidRDefault="00ED1025" w:rsidP="002C5F50">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2C5F50">
              <w:rPr>
                <w:color w:val="auto"/>
              </w:rPr>
              <w:lastRenderedPageBreak/>
              <w:t>Qualitative analysis of documents;</w:t>
            </w:r>
          </w:p>
          <w:p w14:paraId="502FE54A" w14:textId="637BDFAC" w:rsidR="00ED1025" w:rsidRPr="002C5F50" w:rsidDel="003F1256" w:rsidRDefault="00ED1025" w:rsidP="002C5F50">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2C5F50">
              <w:rPr>
                <w:color w:val="auto"/>
              </w:rPr>
              <w:t>Descriptive analysis</w:t>
            </w:r>
            <w:r w:rsidR="00906128" w:rsidRPr="002C5F50">
              <w:rPr>
                <w:color w:val="auto"/>
              </w:rPr>
              <w:t xml:space="preserve"> (member, hospital)</w:t>
            </w:r>
          </w:p>
        </w:tc>
      </w:tr>
      <w:tr w:rsidR="0097493D" w:rsidRPr="0097493D" w14:paraId="25A4FF72" w14:textId="77777777" w:rsidTr="3383C28C">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584" w:type="dxa"/>
          </w:tcPr>
          <w:p w14:paraId="2DA67216" w14:textId="77777777" w:rsidR="00ED1025" w:rsidRPr="00DF133F" w:rsidRDefault="00ED1025" w:rsidP="00DF133F">
            <w:pPr>
              <w:pStyle w:val="TableNormal0"/>
              <w:rPr>
                <w:color w:val="auto"/>
              </w:rPr>
            </w:pPr>
            <w:r w:rsidRPr="00DF133F">
              <w:rPr>
                <w:color w:val="auto"/>
              </w:rPr>
              <w:lastRenderedPageBreak/>
              <w:t>RQ6-3 Did participating hospitals improve the completeness of member self-reported demographic and HRSN data?</w:t>
            </w:r>
          </w:p>
        </w:tc>
        <w:tc>
          <w:tcPr>
            <w:tcW w:w="2191" w:type="dxa"/>
          </w:tcPr>
          <w:p w14:paraId="65739453" w14:textId="04263DD6" w:rsidR="00ED1025" w:rsidRPr="00DF133F" w:rsidRDefault="00ED1025" w:rsidP="00DF133F">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DF133F">
              <w:rPr>
                <w:color w:val="auto"/>
              </w:rPr>
              <w:t>H6-3.1 Participating hospitals will increase the percentage of members screened for HRSN.</w:t>
            </w:r>
          </w:p>
          <w:p w14:paraId="1E0E284B" w14:textId="77777777" w:rsidR="00ED1025" w:rsidRPr="00DF133F" w:rsidRDefault="00ED1025" w:rsidP="00DF133F">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DF133F">
              <w:rPr>
                <w:color w:val="auto"/>
              </w:rPr>
              <w:t xml:space="preserve">H6-3.2 Participating hospitals will increase the percentage of members with complete data for </w:t>
            </w:r>
            <w:r w:rsidRPr="00DF133F">
              <w:rPr>
                <w:color w:val="auto"/>
              </w:rPr>
              <w:lastRenderedPageBreak/>
              <w:t>enhanced demographic data elements.</w:t>
            </w:r>
          </w:p>
          <w:p w14:paraId="202C8D8E" w14:textId="77777777" w:rsidR="00ED1025" w:rsidRPr="00DF133F" w:rsidRDefault="00ED1025" w:rsidP="00DF133F">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DF133F">
              <w:rPr>
                <w:color w:val="auto"/>
              </w:rPr>
              <w:t>H6-3.3 Participating hospitals will increase the percentage of members with unmet needs who are linked with services and supports.</w:t>
            </w:r>
          </w:p>
          <w:p w14:paraId="683F3EED" w14:textId="77777777" w:rsidR="00ED1025" w:rsidRPr="00DF133F" w:rsidRDefault="00ED1025" w:rsidP="00DF133F">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DF133F">
              <w:rPr>
                <w:color w:val="auto"/>
              </w:rPr>
              <w:t xml:space="preserve">H6-3.4 Participating hospitals will report performance data stratified by demographics and HRSN. </w:t>
            </w:r>
          </w:p>
        </w:tc>
        <w:tc>
          <w:tcPr>
            <w:tcW w:w="3240" w:type="dxa"/>
          </w:tcPr>
          <w:p w14:paraId="5D5DE8BB" w14:textId="1D8C2434" w:rsidR="00ED1025" w:rsidRPr="00DF133F" w:rsidRDefault="00ED1025" w:rsidP="00DF133F">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DF133F">
              <w:rPr>
                <w:color w:val="auto"/>
              </w:rPr>
              <w:lastRenderedPageBreak/>
              <w:t>Center for Health Information Analysis (CHIA) Enhanced Demographics Data File sent to MassHealth</w:t>
            </w:r>
            <w:r w:rsidR="003D2702" w:rsidRPr="00DF133F">
              <w:rPr>
                <w:color w:val="auto"/>
              </w:rPr>
              <w:t xml:space="preserve"> </w:t>
            </w:r>
            <w:r w:rsidR="003D2702" w:rsidRPr="00DF133F">
              <w:rPr>
                <w:rFonts w:eastAsia="Times New Roman"/>
                <w:color w:val="auto"/>
              </w:rPr>
              <w:t>(20</w:t>
            </w:r>
            <w:r w:rsidR="00930932" w:rsidRPr="00DF133F">
              <w:rPr>
                <w:rFonts w:eastAsia="Times New Roman"/>
                <w:color w:val="auto"/>
              </w:rPr>
              <w:t>2</w:t>
            </w:r>
            <w:r w:rsidR="00C7631F" w:rsidRPr="00DF133F">
              <w:rPr>
                <w:rFonts w:eastAsia="Times New Roman"/>
                <w:color w:val="auto"/>
              </w:rPr>
              <w:t>3</w:t>
            </w:r>
            <w:r w:rsidR="003D2702" w:rsidRPr="00DF133F">
              <w:rPr>
                <w:rFonts w:eastAsia="Times New Roman"/>
                <w:color w:val="auto"/>
              </w:rPr>
              <w:t>-2027)</w:t>
            </w:r>
            <w:r w:rsidRPr="00DF133F">
              <w:rPr>
                <w:color w:val="auto"/>
              </w:rPr>
              <w:t>;</w:t>
            </w:r>
          </w:p>
          <w:p w14:paraId="76B63794" w14:textId="024D0CC8" w:rsidR="00ED1025" w:rsidRPr="00DF133F" w:rsidRDefault="00ED1025" w:rsidP="00DF133F">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DF133F">
              <w:rPr>
                <w:color w:val="auto"/>
              </w:rPr>
              <w:t>MassHealth administrative data</w:t>
            </w:r>
            <w:r w:rsidR="003D2702" w:rsidRPr="00DF133F">
              <w:rPr>
                <w:color w:val="auto"/>
              </w:rPr>
              <w:t xml:space="preserve"> </w:t>
            </w:r>
            <w:r w:rsidR="003D2702" w:rsidRPr="00DF133F">
              <w:rPr>
                <w:rFonts w:eastAsia="Times New Roman"/>
                <w:color w:val="auto"/>
              </w:rPr>
              <w:t>(20</w:t>
            </w:r>
            <w:r w:rsidR="00B86C7F" w:rsidRPr="00DF133F">
              <w:rPr>
                <w:rFonts w:eastAsia="Times New Roman"/>
                <w:color w:val="auto"/>
              </w:rPr>
              <w:t>18</w:t>
            </w:r>
            <w:r w:rsidR="003D2702" w:rsidRPr="00DF133F">
              <w:rPr>
                <w:rFonts w:eastAsia="Times New Roman"/>
                <w:color w:val="auto"/>
              </w:rPr>
              <w:t>-2027)</w:t>
            </w:r>
            <w:r w:rsidRPr="00DF133F">
              <w:rPr>
                <w:color w:val="auto"/>
              </w:rPr>
              <w:t>;</w:t>
            </w:r>
          </w:p>
          <w:p w14:paraId="38BE7526" w14:textId="724CBF58" w:rsidR="00ED1025" w:rsidRPr="00DF133F" w:rsidRDefault="00ED1025" w:rsidP="00DF133F">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DF133F">
              <w:rPr>
                <w:color w:val="auto"/>
              </w:rPr>
              <w:t>Data submitted to MassHealth</w:t>
            </w:r>
            <w:r w:rsidR="003D2702" w:rsidRPr="00DF133F">
              <w:rPr>
                <w:color w:val="auto"/>
              </w:rPr>
              <w:t xml:space="preserve"> </w:t>
            </w:r>
            <w:r w:rsidR="003D2702" w:rsidRPr="00DF133F">
              <w:rPr>
                <w:rFonts w:eastAsia="Times New Roman"/>
                <w:color w:val="auto"/>
              </w:rPr>
              <w:t>(202</w:t>
            </w:r>
            <w:r w:rsidR="00C7631F" w:rsidRPr="00DF133F">
              <w:rPr>
                <w:rFonts w:eastAsia="Times New Roman"/>
                <w:color w:val="auto"/>
              </w:rPr>
              <w:t>3</w:t>
            </w:r>
            <w:r w:rsidR="003D2702" w:rsidRPr="00DF133F">
              <w:rPr>
                <w:rFonts w:eastAsia="Times New Roman"/>
                <w:color w:val="auto"/>
              </w:rPr>
              <w:t>-2027)</w:t>
            </w:r>
          </w:p>
          <w:p w14:paraId="477F2D50" w14:textId="77777777" w:rsidR="00ED1025" w:rsidRPr="00DF133F" w:rsidRDefault="00ED1025" w:rsidP="00DF133F">
            <w:pPr>
              <w:pStyle w:val="TableNormal0"/>
              <w:cnfStyle w:val="000000100000" w:firstRow="0" w:lastRow="0" w:firstColumn="0" w:lastColumn="0" w:oddVBand="0" w:evenVBand="0" w:oddHBand="1" w:evenHBand="0" w:firstRowFirstColumn="0" w:firstRowLastColumn="0" w:lastRowFirstColumn="0" w:lastRowLastColumn="0"/>
              <w:rPr>
                <w:color w:val="auto"/>
              </w:rPr>
            </w:pPr>
          </w:p>
        </w:tc>
        <w:tc>
          <w:tcPr>
            <w:tcW w:w="1800" w:type="dxa"/>
          </w:tcPr>
          <w:p w14:paraId="74FA3C56" w14:textId="055585D6" w:rsidR="00ED1025" w:rsidRPr="00DF133F" w:rsidRDefault="00ED1025" w:rsidP="00DF133F">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DF133F">
              <w:rPr>
                <w:color w:val="auto"/>
              </w:rPr>
              <w:lastRenderedPageBreak/>
              <w:t xml:space="preserve">Participating hospitals </w:t>
            </w:r>
            <w:r w:rsidR="00D45D14" w:rsidRPr="00DF133F">
              <w:rPr>
                <w:color w:val="auto"/>
              </w:rPr>
              <w:t>(n=61)</w:t>
            </w:r>
            <w:r w:rsidRPr="00DF133F">
              <w:rPr>
                <w:color w:val="auto"/>
              </w:rPr>
              <w:t xml:space="preserve"> and members receiving services from participating hospitals</w:t>
            </w:r>
            <w:r w:rsidR="00A421C8" w:rsidRPr="00DF133F">
              <w:rPr>
                <w:color w:val="auto"/>
              </w:rPr>
              <w:t xml:space="preserve"> (</w:t>
            </w:r>
            <w:r w:rsidR="007B0CBC">
              <w:rPr>
                <w:color w:val="auto"/>
              </w:rPr>
              <w:t>e</w:t>
            </w:r>
            <w:r w:rsidR="00A421C8" w:rsidRPr="00DF133F">
              <w:rPr>
                <w:color w:val="auto"/>
              </w:rPr>
              <w:t>ncounter data</w:t>
            </w:r>
            <w:r w:rsidR="00932481" w:rsidRPr="00DF133F">
              <w:rPr>
                <w:color w:val="auto"/>
              </w:rPr>
              <w:t>: members</w:t>
            </w:r>
            <w:r w:rsidR="004463D6" w:rsidRPr="00DF133F">
              <w:rPr>
                <w:color w:val="auto"/>
              </w:rPr>
              <w:t xml:space="preserve"> receiving services at CHA</w:t>
            </w:r>
            <w:r w:rsidR="00A421C8" w:rsidRPr="00DF133F">
              <w:rPr>
                <w:color w:val="auto"/>
              </w:rPr>
              <w:t xml:space="preserve"> n=</w:t>
            </w:r>
            <w:r w:rsidR="00A10E9F" w:rsidRPr="00DF133F">
              <w:rPr>
                <w:color w:val="auto"/>
              </w:rPr>
              <w:t>~</w:t>
            </w:r>
            <w:r w:rsidR="004463D6" w:rsidRPr="00DF133F">
              <w:rPr>
                <w:color w:val="auto"/>
              </w:rPr>
              <w:t xml:space="preserve">6,000; </w:t>
            </w:r>
            <w:r w:rsidR="004463D6" w:rsidRPr="00DF133F">
              <w:rPr>
                <w:color w:val="auto"/>
              </w:rPr>
              <w:lastRenderedPageBreak/>
              <w:t xml:space="preserve">members receiving services at </w:t>
            </w:r>
            <w:r w:rsidR="00A10E9F" w:rsidRPr="00DF133F">
              <w:rPr>
                <w:color w:val="auto"/>
              </w:rPr>
              <w:t xml:space="preserve">acute </w:t>
            </w:r>
            <w:r w:rsidR="004463D6" w:rsidRPr="00DF133F">
              <w:rPr>
                <w:color w:val="auto"/>
              </w:rPr>
              <w:t>private hospitals n=</w:t>
            </w:r>
            <w:r w:rsidR="00A10E9F" w:rsidRPr="00DF133F">
              <w:rPr>
                <w:color w:val="auto"/>
              </w:rPr>
              <w:t>~</w:t>
            </w:r>
            <w:r w:rsidR="004463D6" w:rsidRPr="00DF133F">
              <w:rPr>
                <w:color w:val="auto"/>
              </w:rPr>
              <w:t>470,000</w:t>
            </w:r>
            <w:r w:rsidR="00A421C8" w:rsidRPr="00DF133F">
              <w:rPr>
                <w:color w:val="auto"/>
              </w:rPr>
              <w:t>)</w:t>
            </w:r>
          </w:p>
        </w:tc>
        <w:tc>
          <w:tcPr>
            <w:tcW w:w="3281" w:type="dxa"/>
          </w:tcPr>
          <w:p w14:paraId="5670E842" w14:textId="3CFC27C0" w:rsidR="009F684A" w:rsidRPr="00070672" w:rsidRDefault="009F684A" w:rsidP="00070672">
            <w:pPr>
              <w:pStyle w:val="TableNormal0"/>
              <w:cnfStyle w:val="000000100000" w:firstRow="0" w:lastRow="0" w:firstColumn="0" w:lastColumn="0" w:oddVBand="0" w:evenVBand="0" w:oddHBand="1" w:evenHBand="0" w:firstRowFirstColumn="0" w:firstRowLastColumn="0" w:lastRowFirstColumn="0" w:lastRowLastColumn="0"/>
            </w:pPr>
            <w:r w:rsidRPr="3383C28C">
              <w:lastRenderedPageBreak/>
              <w:t>H6</w:t>
            </w:r>
            <w:r w:rsidRPr="00070672">
              <w:t>-3.1: % of members screened for H</w:t>
            </w:r>
            <w:r w:rsidR="33D8C742" w:rsidRPr="00070672">
              <w:t>RSN</w:t>
            </w:r>
            <w:r w:rsidR="00D60C0E" w:rsidRPr="00070672">
              <w:t>;</w:t>
            </w:r>
          </w:p>
          <w:p w14:paraId="448B1EB1" w14:textId="514A08C1" w:rsidR="009F684A" w:rsidRPr="00070672" w:rsidRDefault="009F684A" w:rsidP="00070672">
            <w:pPr>
              <w:pStyle w:val="TableNormal0"/>
              <w:cnfStyle w:val="000000100000" w:firstRow="0" w:lastRow="0" w:firstColumn="0" w:lastColumn="0" w:oddVBand="0" w:evenVBand="0" w:oddHBand="1" w:evenHBand="0" w:firstRowFirstColumn="0" w:firstRowLastColumn="0" w:lastRowFirstColumn="0" w:lastRowLastColumn="0"/>
            </w:pPr>
            <w:r w:rsidRPr="00070672">
              <w:t>H6-3.2: % of members with complete data for enhanced demographic data elements</w:t>
            </w:r>
            <w:r w:rsidR="00D60C0E" w:rsidRPr="00070672">
              <w:t>;</w:t>
            </w:r>
          </w:p>
          <w:p w14:paraId="282549AA" w14:textId="7E5AD24A" w:rsidR="009F684A" w:rsidRPr="00DF133F" w:rsidRDefault="009F684A" w:rsidP="00070672">
            <w:pPr>
              <w:pStyle w:val="TableNormal0"/>
              <w:cnfStyle w:val="000000100000" w:firstRow="0" w:lastRow="0" w:firstColumn="0" w:lastColumn="0" w:oddVBand="0" w:evenVBand="0" w:oddHBand="1" w:evenHBand="0" w:firstRowFirstColumn="0" w:firstRowLastColumn="0" w:lastRowFirstColumn="0" w:lastRowLastColumn="0"/>
            </w:pPr>
            <w:r w:rsidRPr="00070672">
              <w:t>H6-3.3: % of members with unmet needs who are linked with services</w:t>
            </w:r>
            <w:r w:rsidRPr="00DF133F">
              <w:t xml:space="preserve"> and supports</w:t>
            </w:r>
            <w:r w:rsidR="00D60C0E">
              <w:t>;</w:t>
            </w:r>
          </w:p>
          <w:p w14:paraId="1C8A4C68" w14:textId="308DD5C1" w:rsidR="00DB06BA" w:rsidRPr="00070672" w:rsidRDefault="681E59C2" w:rsidP="00070672">
            <w:pPr>
              <w:pStyle w:val="TableNormal0"/>
              <w:cnfStyle w:val="000000100000" w:firstRow="0" w:lastRow="0" w:firstColumn="0" w:lastColumn="0" w:oddVBand="0" w:evenVBand="0" w:oddHBand="1" w:evenHBand="0" w:firstRowFirstColumn="0" w:firstRowLastColumn="0" w:lastRowFirstColumn="0" w:lastRowLastColumn="0"/>
            </w:pPr>
            <w:r w:rsidRPr="00070672">
              <w:lastRenderedPageBreak/>
              <w:t xml:space="preserve">H6-3.3: % of </w:t>
            </w:r>
            <w:r w:rsidR="748697E3" w:rsidRPr="00070672">
              <w:t xml:space="preserve">members (overall and among those with HRSNs) </w:t>
            </w:r>
            <w:r w:rsidRPr="00070672">
              <w:t xml:space="preserve">enrolled in social services and programs to address HRSNs (e.g., SNAP if data are available from MassHealth, Flexible Services, </w:t>
            </w:r>
            <w:r w:rsidR="00C06485" w:rsidRPr="00070672">
              <w:t>s</w:t>
            </w:r>
            <w:r w:rsidR="0CA71B19" w:rsidRPr="00070672">
              <w:t xml:space="preserve">pecialized </w:t>
            </w:r>
            <w:r w:rsidRPr="00070672">
              <w:t>CSP programs)</w:t>
            </w:r>
            <w:r w:rsidR="00D60C0E" w:rsidRPr="00070672">
              <w:t>;</w:t>
            </w:r>
          </w:p>
          <w:p w14:paraId="115A323B" w14:textId="3F0777C3" w:rsidR="00ED1025" w:rsidRPr="00070672" w:rsidRDefault="009F684A" w:rsidP="00070672">
            <w:pPr>
              <w:pStyle w:val="TableNormal0"/>
              <w:cnfStyle w:val="000000100000" w:firstRow="0" w:lastRow="0" w:firstColumn="0" w:lastColumn="0" w:oddVBand="0" w:evenVBand="0" w:oddHBand="1" w:evenHBand="0" w:firstRowFirstColumn="0" w:firstRowLastColumn="0" w:lastRowFirstColumn="0" w:lastRowLastColumn="0"/>
            </w:pPr>
            <w:r w:rsidRPr="00070672">
              <w:t xml:space="preserve">H6-3.4: % of hospitals reporting stratified performance data by demographics and HRSN </w:t>
            </w:r>
          </w:p>
          <w:p w14:paraId="2E87028B" w14:textId="7D7F4159" w:rsidR="00ED1025" w:rsidRPr="00DF133F" w:rsidRDefault="00ED1025" w:rsidP="00DF133F">
            <w:pPr>
              <w:pStyle w:val="TableNormal0"/>
              <w:cnfStyle w:val="000000100000" w:firstRow="0" w:lastRow="0" w:firstColumn="0" w:lastColumn="0" w:oddVBand="0" w:evenVBand="0" w:oddHBand="1" w:evenHBand="0" w:firstRowFirstColumn="0" w:firstRowLastColumn="0" w:lastRowFirstColumn="0" w:lastRowLastColumn="0"/>
              <w:rPr>
                <w:color w:val="auto"/>
              </w:rPr>
            </w:pPr>
          </w:p>
        </w:tc>
        <w:tc>
          <w:tcPr>
            <w:tcW w:w="1440" w:type="dxa"/>
          </w:tcPr>
          <w:p w14:paraId="0C795455" w14:textId="54054C00" w:rsidR="00ED1025" w:rsidRPr="00DF133F" w:rsidRDefault="00ED1025" w:rsidP="00DF133F">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DF133F">
              <w:rPr>
                <w:color w:val="auto"/>
              </w:rPr>
              <w:lastRenderedPageBreak/>
              <w:t>Descriptive analysis</w:t>
            </w:r>
            <w:r w:rsidR="00E27243" w:rsidRPr="00DF133F">
              <w:rPr>
                <w:color w:val="auto"/>
              </w:rPr>
              <w:t xml:space="preserve"> (member, hospital)</w:t>
            </w:r>
          </w:p>
        </w:tc>
      </w:tr>
      <w:tr w:rsidR="0097493D" w:rsidRPr="0097493D" w14:paraId="4D660A82" w14:textId="77777777" w:rsidTr="3383C28C">
        <w:trPr>
          <w:trHeight w:val="2236"/>
        </w:trPr>
        <w:tc>
          <w:tcPr>
            <w:cnfStyle w:val="001000000000" w:firstRow="0" w:lastRow="0" w:firstColumn="1" w:lastColumn="0" w:oddVBand="0" w:evenVBand="0" w:oddHBand="0" w:evenHBand="0" w:firstRowFirstColumn="0" w:firstRowLastColumn="0" w:lastRowFirstColumn="0" w:lastRowLastColumn="0"/>
            <w:tcW w:w="1584" w:type="dxa"/>
          </w:tcPr>
          <w:p w14:paraId="45E88597" w14:textId="77777777" w:rsidR="00ED1025" w:rsidRPr="00DF133F" w:rsidRDefault="00ED1025" w:rsidP="00DF133F">
            <w:pPr>
              <w:pStyle w:val="TableNormal0"/>
              <w:rPr>
                <w:color w:val="auto"/>
              </w:rPr>
            </w:pPr>
            <w:r w:rsidRPr="00DF133F">
              <w:rPr>
                <w:color w:val="auto"/>
              </w:rPr>
              <w:t>RQ6-4 Did participating hospitals reduce disparities and improve care access and quality?</w:t>
            </w:r>
          </w:p>
        </w:tc>
        <w:tc>
          <w:tcPr>
            <w:tcW w:w="2191" w:type="dxa"/>
          </w:tcPr>
          <w:p w14:paraId="0459CF25" w14:textId="77777777" w:rsidR="00ED1025" w:rsidRPr="00DF133F" w:rsidRDefault="00ED1025"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DF133F">
              <w:rPr>
                <w:color w:val="auto"/>
              </w:rPr>
              <w:t>H6-4.1 Healthcare quality will improve.</w:t>
            </w:r>
          </w:p>
          <w:p w14:paraId="046C7764" w14:textId="77777777" w:rsidR="00ED1025" w:rsidRPr="00DF133F" w:rsidRDefault="00ED1025"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DF133F">
              <w:rPr>
                <w:color w:val="auto"/>
              </w:rPr>
              <w:t>H6-4.2 Disparities in healthcare quality will decrease.</w:t>
            </w:r>
          </w:p>
          <w:p w14:paraId="502CEC9A" w14:textId="77777777" w:rsidR="00ED1025" w:rsidRPr="00DF133F" w:rsidRDefault="00ED1025"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DF133F">
              <w:rPr>
                <w:color w:val="auto"/>
              </w:rPr>
              <w:t>H6-4.3 Members will report increased access to services delivered in a manner that meets their needs.</w:t>
            </w:r>
          </w:p>
        </w:tc>
        <w:tc>
          <w:tcPr>
            <w:tcW w:w="3240" w:type="dxa"/>
          </w:tcPr>
          <w:p w14:paraId="667DAF67" w14:textId="4C4E2142" w:rsidR="00ED1025" w:rsidRPr="005A683A" w:rsidRDefault="00ED1025"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5A683A">
              <w:rPr>
                <w:color w:val="auto"/>
              </w:rPr>
              <w:t>CHIA Enhanced Demographics Data File sent to MassHealth</w:t>
            </w:r>
            <w:r w:rsidR="003D2702" w:rsidRPr="005A683A">
              <w:rPr>
                <w:color w:val="auto"/>
              </w:rPr>
              <w:t xml:space="preserve"> </w:t>
            </w:r>
            <w:r w:rsidR="003D2702" w:rsidRPr="005A683A">
              <w:rPr>
                <w:rFonts w:eastAsia="Times New Roman"/>
                <w:color w:val="auto"/>
              </w:rPr>
              <w:t>(20</w:t>
            </w:r>
            <w:r w:rsidR="00930932" w:rsidRPr="005A683A">
              <w:rPr>
                <w:rFonts w:eastAsia="Times New Roman"/>
                <w:color w:val="auto"/>
              </w:rPr>
              <w:t>22</w:t>
            </w:r>
            <w:r w:rsidR="003D2702" w:rsidRPr="005A683A">
              <w:rPr>
                <w:rFonts w:eastAsia="Times New Roman"/>
                <w:color w:val="auto"/>
              </w:rPr>
              <w:t>-2027)</w:t>
            </w:r>
            <w:r w:rsidRPr="005A683A">
              <w:rPr>
                <w:color w:val="auto"/>
              </w:rPr>
              <w:t>;</w:t>
            </w:r>
          </w:p>
          <w:p w14:paraId="7EBEEBFD" w14:textId="06431B50" w:rsidR="00ED1025" w:rsidRPr="005A683A" w:rsidRDefault="00ED1025"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5A683A">
              <w:rPr>
                <w:color w:val="auto"/>
              </w:rPr>
              <w:t>MassHealth administrative data</w:t>
            </w:r>
            <w:r w:rsidR="003D2702" w:rsidRPr="005A683A">
              <w:rPr>
                <w:color w:val="auto"/>
              </w:rPr>
              <w:t xml:space="preserve">  </w:t>
            </w:r>
            <w:r w:rsidR="003D2702" w:rsidRPr="005A683A">
              <w:rPr>
                <w:rFonts w:eastAsia="Times New Roman"/>
                <w:color w:val="auto"/>
              </w:rPr>
              <w:t>(20</w:t>
            </w:r>
            <w:r w:rsidR="00793648" w:rsidRPr="005A683A">
              <w:rPr>
                <w:rFonts w:eastAsia="Times New Roman"/>
                <w:color w:val="auto"/>
              </w:rPr>
              <w:t>18</w:t>
            </w:r>
            <w:r w:rsidR="003D2702" w:rsidRPr="005A683A">
              <w:rPr>
                <w:rFonts w:eastAsia="Times New Roman"/>
                <w:color w:val="auto"/>
              </w:rPr>
              <w:t>-2027)</w:t>
            </w:r>
            <w:r w:rsidRPr="005A683A">
              <w:rPr>
                <w:color w:val="auto"/>
              </w:rPr>
              <w:t>;</w:t>
            </w:r>
          </w:p>
          <w:p w14:paraId="7D70467D" w14:textId="7296CF07" w:rsidR="00ED1025" w:rsidRPr="005A683A" w:rsidRDefault="75308BB1"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3383C28C">
              <w:rPr>
                <w:color w:val="auto"/>
              </w:rPr>
              <w:t>Member Experience Surveys (HCAHPS)</w:t>
            </w:r>
            <w:r w:rsidR="56AB1382" w:rsidRPr="3383C28C">
              <w:rPr>
                <w:color w:val="auto"/>
              </w:rPr>
              <w:t xml:space="preserve"> </w:t>
            </w:r>
            <w:r w:rsidR="56AB1382" w:rsidRPr="3383C28C">
              <w:rPr>
                <w:rFonts w:eastAsia="Times New Roman"/>
                <w:color w:val="auto"/>
              </w:rPr>
              <w:t>(20</w:t>
            </w:r>
            <w:r w:rsidR="00F772A9" w:rsidRPr="3383C28C">
              <w:rPr>
                <w:rFonts w:eastAsia="Times New Roman"/>
                <w:color w:val="auto"/>
              </w:rPr>
              <w:t>23</w:t>
            </w:r>
            <w:r w:rsidR="56AB1382" w:rsidRPr="3383C28C">
              <w:rPr>
                <w:rFonts w:eastAsia="Times New Roman"/>
                <w:color w:val="auto"/>
              </w:rPr>
              <w:t>-2027</w:t>
            </w:r>
            <w:r w:rsidRPr="3383C28C">
              <w:rPr>
                <w:rFonts w:eastAsia="Times New Roman"/>
                <w:color w:val="auto"/>
              </w:rPr>
              <w:t>)</w:t>
            </w:r>
            <w:r w:rsidRPr="3383C28C">
              <w:rPr>
                <w:color w:val="auto"/>
              </w:rPr>
              <w:t>;</w:t>
            </w:r>
          </w:p>
          <w:p w14:paraId="42FAE38C" w14:textId="45025A8A" w:rsidR="00ED1025" w:rsidRPr="005A683A" w:rsidRDefault="00ED1025"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5A683A">
              <w:rPr>
                <w:color w:val="auto"/>
              </w:rPr>
              <w:t>KIIs and/or focus groups</w:t>
            </w:r>
            <w:r w:rsidR="00D46239" w:rsidRPr="005A683A">
              <w:rPr>
                <w:color w:val="auto"/>
              </w:rPr>
              <w:t xml:space="preserve"> </w:t>
            </w:r>
            <w:r w:rsidR="001742A9" w:rsidRPr="005A683A">
              <w:rPr>
                <w:color w:val="auto"/>
              </w:rPr>
              <w:t>(2024-2025; 2026-2027)</w:t>
            </w:r>
            <w:r w:rsidR="005A683A" w:rsidRPr="00070672">
              <w:rPr>
                <w:color w:val="auto"/>
              </w:rPr>
              <w:t xml:space="preserve"> with </w:t>
            </w:r>
            <w:r w:rsidRPr="00070672">
              <w:rPr>
                <w:color w:val="auto"/>
              </w:rPr>
              <w:t>MassHealth members</w:t>
            </w:r>
            <w:r w:rsidR="00582C7B" w:rsidRPr="005A683A">
              <w:rPr>
                <w:color w:val="auto"/>
              </w:rPr>
              <w:t xml:space="preserve"> </w:t>
            </w:r>
          </w:p>
        </w:tc>
        <w:tc>
          <w:tcPr>
            <w:tcW w:w="1800" w:type="dxa"/>
          </w:tcPr>
          <w:p w14:paraId="2DF839F1" w14:textId="0C5C2173" w:rsidR="00ED1025" w:rsidRPr="00DF133F" w:rsidRDefault="00ED1025"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DF133F">
              <w:rPr>
                <w:color w:val="auto"/>
              </w:rPr>
              <w:t>Members receiving services from participating hospitals</w:t>
            </w:r>
            <w:r w:rsidR="00582C7B" w:rsidRPr="00DF133F">
              <w:rPr>
                <w:color w:val="auto"/>
              </w:rPr>
              <w:t xml:space="preserve"> </w:t>
            </w:r>
            <w:r w:rsidR="00A421C8" w:rsidRPr="00DF133F">
              <w:rPr>
                <w:color w:val="auto"/>
              </w:rPr>
              <w:t>(</w:t>
            </w:r>
            <w:r w:rsidR="4FF2AA55" w:rsidRPr="00DF133F">
              <w:rPr>
                <w:color w:val="auto"/>
              </w:rPr>
              <w:t>Interviewees</w:t>
            </w:r>
            <w:r w:rsidR="00932481" w:rsidRPr="00DF133F">
              <w:rPr>
                <w:color w:val="auto"/>
              </w:rPr>
              <w:t>:</w:t>
            </w:r>
            <w:r w:rsidR="00A421C8" w:rsidRPr="00DF133F">
              <w:rPr>
                <w:color w:val="auto"/>
              </w:rPr>
              <w:t xml:space="preserve">  n</w:t>
            </w:r>
            <w:r w:rsidR="00B442EB" w:rsidRPr="00DF133F">
              <w:rPr>
                <w:color w:val="auto"/>
              </w:rPr>
              <w:t xml:space="preserve"> ≤ </w:t>
            </w:r>
            <w:r w:rsidR="00A421C8" w:rsidRPr="00DF133F">
              <w:rPr>
                <w:color w:val="auto"/>
              </w:rPr>
              <w:t>30; Encounter data</w:t>
            </w:r>
            <w:r w:rsidR="00932481" w:rsidRPr="00DF133F">
              <w:rPr>
                <w:color w:val="auto"/>
              </w:rPr>
              <w:t>: members receiving services at CHA</w:t>
            </w:r>
            <w:r w:rsidR="00A421C8" w:rsidRPr="00DF133F">
              <w:rPr>
                <w:color w:val="auto"/>
              </w:rPr>
              <w:t xml:space="preserve"> n=</w:t>
            </w:r>
            <w:r w:rsidR="006A5153" w:rsidRPr="00DF133F">
              <w:rPr>
                <w:color w:val="auto"/>
              </w:rPr>
              <w:t>~</w:t>
            </w:r>
            <w:r w:rsidR="00932481" w:rsidRPr="00DF133F">
              <w:rPr>
                <w:color w:val="auto"/>
              </w:rPr>
              <w:t>6,000; members receiving services at private hospitals n=</w:t>
            </w:r>
            <w:r w:rsidR="006A5153" w:rsidRPr="00DF133F">
              <w:rPr>
                <w:color w:val="auto"/>
              </w:rPr>
              <w:t>~</w:t>
            </w:r>
            <w:r w:rsidR="00932481" w:rsidRPr="00DF133F">
              <w:rPr>
                <w:color w:val="auto"/>
              </w:rPr>
              <w:t>470,000)</w:t>
            </w:r>
          </w:p>
        </w:tc>
        <w:tc>
          <w:tcPr>
            <w:tcW w:w="3281" w:type="dxa"/>
          </w:tcPr>
          <w:p w14:paraId="20081B55" w14:textId="77777777" w:rsidR="00ED1025" w:rsidRPr="0097493D" w:rsidRDefault="241D4081" w:rsidP="00070672">
            <w:pPr>
              <w:pStyle w:val="TableNormal0"/>
              <w:cnfStyle w:val="000000000000" w:firstRow="0" w:lastRow="0" w:firstColumn="0" w:lastColumn="0" w:oddVBand="0" w:evenVBand="0" w:oddHBand="0" w:evenHBand="0" w:firstRowFirstColumn="0" w:firstRowLastColumn="0" w:lastRowFirstColumn="0" w:lastRowLastColumn="0"/>
            </w:pPr>
            <w:r>
              <w:t>Perceived access to services delivered in a manner that meets their needs;</w:t>
            </w:r>
          </w:p>
          <w:p w14:paraId="720D4E0A" w14:textId="77777777" w:rsidR="00ED1025" w:rsidRPr="00DF133F" w:rsidRDefault="00ED1025" w:rsidP="00070672">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DF133F">
              <w:rPr>
                <w:color w:val="auto"/>
              </w:rPr>
              <w:t>HCAHPS items related to access and cultural competency;</w:t>
            </w:r>
          </w:p>
          <w:p w14:paraId="0377BE63" w14:textId="620912C1" w:rsidR="00ED1025" w:rsidRPr="00DF133F" w:rsidRDefault="00ED1025" w:rsidP="00070672">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DF133F">
              <w:rPr>
                <w:color w:val="auto"/>
              </w:rPr>
              <w:t>Quality measures from the CMS Health Equity slate</w:t>
            </w:r>
            <w:r w:rsidR="00624B3E">
              <w:rPr>
                <w:color w:val="auto"/>
              </w:rPr>
              <w:t>,</w:t>
            </w:r>
            <w:r w:rsidRPr="00DF133F">
              <w:rPr>
                <w:color w:val="auto"/>
              </w:rPr>
              <w:t xml:space="preserve"> including: </w:t>
            </w:r>
          </w:p>
          <w:p w14:paraId="23CF8D0C" w14:textId="77777777" w:rsidR="00ED1025" w:rsidRPr="0097493D" w:rsidRDefault="241D4081" w:rsidP="00DD58DA">
            <w:pPr>
              <w:pStyle w:val="TableBullet"/>
              <w:cnfStyle w:val="000000000000" w:firstRow="0" w:lastRow="0" w:firstColumn="0" w:lastColumn="0" w:oddVBand="0" w:evenVBand="0" w:oddHBand="0" w:evenHBand="0" w:firstRowFirstColumn="0" w:firstRowLastColumn="0" w:lastRowFirstColumn="0" w:lastRowLastColumn="0"/>
            </w:pPr>
            <w:r>
              <w:t xml:space="preserve">Childhood Immunization Status (CIS-CH); </w:t>
            </w:r>
          </w:p>
          <w:p w14:paraId="6C62B7DC" w14:textId="77777777" w:rsidR="00ED1025" w:rsidRPr="0097493D" w:rsidRDefault="241D4081" w:rsidP="00DD58DA">
            <w:pPr>
              <w:pStyle w:val="TableBullet"/>
              <w:cnfStyle w:val="000000000000" w:firstRow="0" w:lastRow="0" w:firstColumn="0" w:lastColumn="0" w:oddVBand="0" w:evenVBand="0" w:oddHBand="0" w:evenHBand="0" w:firstRowFirstColumn="0" w:firstRowLastColumn="0" w:lastRowFirstColumn="0" w:lastRowLastColumn="0"/>
            </w:pPr>
            <w:r>
              <w:t xml:space="preserve">Timeliness of Prenatal Care (PPC-CH); </w:t>
            </w:r>
          </w:p>
          <w:p w14:paraId="22345D19" w14:textId="071743C6" w:rsidR="00ED1025" w:rsidRPr="0097493D" w:rsidRDefault="241D4081" w:rsidP="00DD58DA">
            <w:pPr>
              <w:pStyle w:val="TableBullet"/>
              <w:cnfStyle w:val="000000000000" w:firstRow="0" w:lastRow="0" w:firstColumn="0" w:lastColumn="0" w:oddVBand="0" w:evenVBand="0" w:oddHBand="0" w:evenHBand="0" w:firstRowFirstColumn="0" w:firstRowLastColumn="0" w:lastRowFirstColumn="0" w:lastRowLastColumn="0"/>
            </w:pPr>
            <w:r>
              <w:t xml:space="preserve">Follow-Up After Emergency Department </w:t>
            </w:r>
            <w:r w:rsidR="00EC56D3">
              <w:t xml:space="preserve">(ED) </w:t>
            </w:r>
            <w:r>
              <w:t xml:space="preserve">Visit for Alcohol and Other Drug Abuse or Dependence (FUA-AD and FUA-CH); </w:t>
            </w:r>
          </w:p>
          <w:p w14:paraId="4DE44A65" w14:textId="4C4B60E3" w:rsidR="00ED1025" w:rsidRPr="0097493D" w:rsidRDefault="241D4081" w:rsidP="00DD58DA">
            <w:pPr>
              <w:pStyle w:val="TableBullet"/>
              <w:cnfStyle w:val="000000000000" w:firstRow="0" w:lastRow="0" w:firstColumn="0" w:lastColumn="0" w:oddVBand="0" w:evenVBand="0" w:oddHBand="0" w:evenHBand="0" w:firstRowFirstColumn="0" w:firstRowLastColumn="0" w:lastRowFirstColumn="0" w:lastRowLastColumn="0"/>
            </w:pPr>
            <w:r>
              <w:t>Follow-up after Hospitalization for Mental Illness (FUH-AD)</w:t>
            </w:r>
          </w:p>
        </w:tc>
        <w:tc>
          <w:tcPr>
            <w:tcW w:w="1440" w:type="dxa"/>
          </w:tcPr>
          <w:p w14:paraId="4A06D504" w14:textId="5699C9F5" w:rsidR="00ED1025" w:rsidRPr="00DF133F" w:rsidRDefault="00ED1025"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DF133F">
              <w:rPr>
                <w:color w:val="auto"/>
              </w:rPr>
              <w:t>Descriptive analysis</w:t>
            </w:r>
            <w:r w:rsidR="00E27243" w:rsidRPr="00DF133F">
              <w:rPr>
                <w:color w:val="auto"/>
              </w:rPr>
              <w:t xml:space="preserve"> (member, hospital)</w:t>
            </w:r>
            <w:r w:rsidRPr="00DF133F">
              <w:rPr>
                <w:color w:val="auto"/>
              </w:rPr>
              <w:t>;</w:t>
            </w:r>
          </w:p>
          <w:p w14:paraId="0326C982" w14:textId="2FD9A9DE" w:rsidR="00ED1025" w:rsidRPr="00DF133F" w:rsidRDefault="00ED1025"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DF133F">
              <w:rPr>
                <w:color w:val="auto"/>
              </w:rPr>
              <w:t>Observed vs. expected</w:t>
            </w:r>
            <w:r w:rsidR="00D25F94" w:rsidRPr="00DF133F">
              <w:rPr>
                <w:color w:val="auto"/>
              </w:rPr>
              <w:t xml:space="preserve"> (member)</w:t>
            </w:r>
            <w:r w:rsidRPr="00DF133F">
              <w:rPr>
                <w:color w:val="auto"/>
              </w:rPr>
              <w:t>;</w:t>
            </w:r>
          </w:p>
          <w:p w14:paraId="020D258C" w14:textId="094B8304" w:rsidR="00ED1025" w:rsidRPr="00DF133F" w:rsidRDefault="00ED1025"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DF133F">
              <w:rPr>
                <w:color w:val="auto"/>
              </w:rPr>
              <w:t>Quasi-experimental methods</w:t>
            </w:r>
            <w:r w:rsidR="00D25F94" w:rsidRPr="00DF133F">
              <w:rPr>
                <w:color w:val="auto"/>
              </w:rPr>
              <w:t xml:space="preserve"> (member)</w:t>
            </w:r>
          </w:p>
        </w:tc>
      </w:tr>
      <w:tr w:rsidR="0097493D" w:rsidRPr="0097493D" w14:paraId="4BC83040" w14:textId="77777777" w:rsidTr="3383C28C">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1584" w:type="dxa"/>
          </w:tcPr>
          <w:p w14:paraId="5EADF2DD" w14:textId="77777777" w:rsidR="00ED1025" w:rsidRPr="00DF133F" w:rsidRDefault="00ED1025" w:rsidP="00DF133F">
            <w:pPr>
              <w:pStyle w:val="TableNormal0"/>
              <w:rPr>
                <w:color w:val="auto"/>
              </w:rPr>
            </w:pPr>
            <w:r w:rsidRPr="00DF133F">
              <w:rPr>
                <w:color w:val="auto"/>
              </w:rPr>
              <w:lastRenderedPageBreak/>
              <w:t>RQ6-5 Did participating hospitals improve member experience and outcomes?</w:t>
            </w:r>
          </w:p>
        </w:tc>
        <w:tc>
          <w:tcPr>
            <w:tcW w:w="2191" w:type="dxa"/>
          </w:tcPr>
          <w:p w14:paraId="524AF215" w14:textId="77777777" w:rsidR="00ED1025" w:rsidRPr="00DF133F" w:rsidRDefault="00ED1025" w:rsidP="00DF133F">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DF133F">
              <w:rPr>
                <w:color w:val="auto"/>
              </w:rPr>
              <w:t>H6-5.1 Member experience will improve.</w:t>
            </w:r>
          </w:p>
          <w:p w14:paraId="2035FBC1" w14:textId="77777777" w:rsidR="00ED1025" w:rsidRPr="00DF133F" w:rsidRDefault="00ED1025" w:rsidP="00DF133F">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DF133F">
              <w:rPr>
                <w:color w:val="auto"/>
              </w:rPr>
              <w:t>H6-5.2 Disparities in member experience will decrease.</w:t>
            </w:r>
          </w:p>
          <w:p w14:paraId="5207D2B6" w14:textId="77777777" w:rsidR="00ED1025" w:rsidRPr="00DF133F" w:rsidRDefault="00ED1025" w:rsidP="00DF133F">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DF133F">
              <w:rPr>
                <w:color w:val="auto"/>
              </w:rPr>
              <w:t>H6-5.3 Member health outcomes (e.g., maternal and birth outcomes) will improve.</w:t>
            </w:r>
          </w:p>
          <w:p w14:paraId="112B616B" w14:textId="77777777" w:rsidR="00ED1025" w:rsidRPr="00DF133F" w:rsidRDefault="00ED1025" w:rsidP="00DF133F">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DF133F">
              <w:rPr>
                <w:color w:val="auto"/>
              </w:rPr>
              <w:t>H6-5.4 Members will experience a reduction in the impact of social risk factors on their health.</w:t>
            </w:r>
          </w:p>
          <w:p w14:paraId="4844FC6B" w14:textId="77777777" w:rsidR="00ED1025" w:rsidRPr="00DF133F" w:rsidRDefault="00ED1025" w:rsidP="00DF133F">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DF133F">
              <w:rPr>
                <w:color w:val="auto"/>
              </w:rPr>
              <w:t>H6-5.5 Disparities in member outcomes will decrease.</w:t>
            </w:r>
          </w:p>
          <w:p w14:paraId="199477B4" w14:textId="77777777" w:rsidR="00ED1025" w:rsidRPr="00DF133F" w:rsidRDefault="00ED1025" w:rsidP="00DF133F">
            <w:pPr>
              <w:pStyle w:val="TableNormal0"/>
              <w:cnfStyle w:val="000000100000" w:firstRow="0" w:lastRow="0" w:firstColumn="0" w:lastColumn="0" w:oddVBand="0" w:evenVBand="0" w:oddHBand="1" w:evenHBand="0" w:firstRowFirstColumn="0" w:firstRowLastColumn="0" w:lastRowFirstColumn="0" w:lastRowLastColumn="0"/>
              <w:rPr>
                <w:color w:val="auto"/>
              </w:rPr>
            </w:pPr>
          </w:p>
        </w:tc>
        <w:tc>
          <w:tcPr>
            <w:tcW w:w="3240" w:type="dxa"/>
          </w:tcPr>
          <w:p w14:paraId="6FC0FE44" w14:textId="1EC3CEB0" w:rsidR="00ED1025" w:rsidRPr="00DF133F" w:rsidRDefault="00ED1025" w:rsidP="00DF133F">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DF133F">
              <w:rPr>
                <w:color w:val="auto"/>
              </w:rPr>
              <w:t>CHIA Enhanced Demographics Data File</w:t>
            </w:r>
            <w:r w:rsidR="003D2702" w:rsidRPr="00DF133F">
              <w:rPr>
                <w:color w:val="auto"/>
              </w:rPr>
              <w:t xml:space="preserve"> </w:t>
            </w:r>
            <w:r w:rsidR="003D2702" w:rsidRPr="00DF133F">
              <w:rPr>
                <w:rFonts w:eastAsia="Times New Roman"/>
                <w:color w:val="auto"/>
              </w:rPr>
              <w:t>(20</w:t>
            </w:r>
            <w:r w:rsidR="00793648" w:rsidRPr="00DF133F">
              <w:rPr>
                <w:rFonts w:eastAsia="Times New Roman"/>
                <w:color w:val="auto"/>
              </w:rPr>
              <w:t>23</w:t>
            </w:r>
            <w:r w:rsidR="003D2702" w:rsidRPr="00DF133F">
              <w:rPr>
                <w:rFonts w:eastAsia="Times New Roman"/>
                <w:color w:val="auto"/>
              </w:rPr>
              <w:t>-2027)</w:t>
            </w:r>
            <w:r w:rsidRPr="00DF133F">
              <w:rPr>
                <w:color w:val="auto"/>
              </w:rPr>
              <w:t>;</w:t>
            </w:r>
          </w:p>
          <w:p w14:paraId="59E77AA7" w14:textId="3D748546" w:rsidR="00ED1025" w:rsidRPr="00DF133F" w:rsidRDefault="00ED1025" w:rsidP="00DF133F">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DF133F">
              <w:rPr>
                <w:color w:val="auto"/>
              </w:rPr>
              <w:t>MassHealth administrative data</w:t>
            </w:r>
            <w:r w:rsidR="003D2702" w:rsidRPr="00DF133F">
              <w:rPr>
                <w:color w:val="auto"/>
              </w:rPr>
              <w:t xml:space="preserve"> </w:t>
            </w:r>
            <w:r w:rsidR="003D2702" w:rsidRPr="00DF133F">
              <w:rPr>
                <w:rFonts w:eastAsia="Times New Roman"/>
                <w:color w:val="auto"/>
              </w:rPr>
              <w:t>(2018-2027)</w:t>
            </w:r>
            <w:r w:rsidRPr="00DF133F">
              <w:rPr>
                <w:color w:val="auto"/>
              </w:rPr>
              <w:t>;</w:t>
            </w:r>
          </w:p>
          <w:p w14:paraId="20592D90" w14:textId="02D0CCFE" w:rsidR="00ED1025" w:rsidRPr="00DF133F" w:rsidRDefault="75308BB1" w:rsidP="00DF133F">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DF133F">
              <w:rPr>
                <w:color w:val="auto"/>
              </w:rPr>
              <w:t>Member Experience Surveys  (HCAHPS)</w:t>
            </w:r>
            <w:r w:rsidR="56AB1382" w:rsidRPr="00DF133F">
              <w:rPr>
                <w:color w:val="auto"/>
              </w:rPr>
              <w:t xml:space="preserve"> </w:t>
            </w:r>
            <w:r w:rsidR="56AB1382" w:rsidRPr="00DF133F">
              <w:rPr>
                <w:rFonts w:eastAsia="Times New Roman"/>
                <w:color w:val="auto"/>
              </w:rPr>
              <w:t>(20</w:t>
            </w:r>
            <w:r w:rsidR="00B21926" w:rsidRPr="00DF133F">
              <w:rPr>
                <w:rFonts w:eastAsia="Times New Roman"/>
                <w:color w:val="auto"/>
              </w:rPr>
              <w:t>23</w:t>
            </w:r>
            <w:r w:rsidR="56AB1382" w:rsidRPr="00DF133F">
              <w:rPr>
                <w:rFonts w:eastAsia="Times New Roman"/>
                <w:color w:val="auto"/>
              </w:rPr>
              <w:t>-2027</w:t>
            </w:r>
            <w:r w:rsidRPr="00DF133F">
              <w:rPr>
                <w:rFonts w:eastAsia="Times New Roman"/>
                <w:color w:val="auto"/>
              </w:rPr>
              <w:t>)</w:t>
            </w:r>
            <w:r w:rsidR="00C844B9" w:rsidRPr="00DF133F">
              <w:rPr>
                <w:color w:val="auto"/>
              </w:rPr>
              <w:t>;</w:t>
            </w:r>
          </w:p>
          <w:p w14:paraId="1835BF70" w14:textId="7F2E683D" w:rsidR="00ED1025" w:rsidRPr="00DF133F" w:rsidRDefault="00ED1025" w:rsidP="00DF133F">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DF133F">
              <w:rPr>
                <w:color w:val="auto"/>
              </w:rPr>
              <w:t>KIIs and/or focus groups</w:t>
            </w:r>
            <w:r w:rsidR="00D46239" w:rsidRPr="00DF133F">
              <w:rPr>
                <w:color w:val="auto"/>
              </w:rPr>
              <w:t xml:space="preserve"> </w:t>
            </w:r>
            <w:r w:rsidR="001742A9" w:rsidRPr="00DF133F">
              <w:rPr>
                <w:color w:val="auto"/>
              </w:rPr>
              <w:t>(2024-2025; 2026-2027)</w:t>
            </w:r>
          </w:p>
          <w:p w14:paraId="60FDE229" w14:textId="77777777" w:rsidR="00ED1025" w:rsidRPr="00DF133F" w:rsidRDefault="241D4081" w:rsidP="00DF133F">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070672">
              <w:rPr>
                <w:color w:val="auto"/>
              </w:rPr>
              <w:t>MassHealth members</w:t>
            </w:r>
          </w:p>
        </w:tc>
        <w:tc>
          <w:tcPr>
            <w:tcW w:w="1800" w:type="dxa"/>
          </w:tcPr>
          <w:p w14:paraId="06DA1AC3" w14:textId="181DA151" w:rsidR="00ED1025" w:rsidRPr="00DF133F" w:rsidRDefault="00ED1025" w:rsidP="00DF133F">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DF133F">
              <w:rPr>
                <w:color w:val="auto"/>
              </w:rPr>
              <w:t>Members receiving services from participating hospitals</w:t>
            </w:r>
            <w:r w:rsidR="00D46239" w:rsidRPr="00DF133F">
              <w:rPr>
                <w:color w:val="auto"/>
              </w:rPr>
              <w:t xml:space="preserve"> </w:t>
            </w:r>
            <w:r w:rsidR="00163470" w:rsidRPr="00DF133F">
              <w:rPr>
                <w:color w:val="auto"/>
              </w:rPr>
              <w:t>(</w:t>
            </w:r>
            <w:r w:rsidR="347F9202" w:rsidRPr="00DF133F">
              <w:rPr>
                <w:color w:val="auto"/>
              </w:rPr>
              <w:t>Interviewees:</w:t>
            </w:r>
            <w:r w:rsidR="00163470" w:rsidRPr="00DF133F">
              <w:rPr>
                <w:color w:val="auto"/>
              </w:rPr>
              <w:t xml:space="preserve"> n</w:t>
            </w:r>
            <w:r w:rsidR="00B442EB" w:rsidRPr="00DF133F">
              <w:rPr>
                <w:color w:val="auto"/>
              </w:rPr>
              <w:t xml:space="preserve"> ≤ </w:t>
            </w:r>
            <w:r w:rsidR="00163470" w:rsidRPr="00DF133F">
              <w:rPr>
                <w:color w:val="auto"/>
              </w:rPr>
              <w:t xml:space="preserve">30; </w:t>
            </w:r>
            <w:r w:rsidR="00A421C8" w:rsidRPr="00DF133F">
              <w:rPr>
                <w:color w:val="auto"/>
              </w:rPr>
              <w:t>E</w:t>
            </w:r>
            <w:r w:rsidR="00163470" w:rsidRPr="00DF133F">
              <w:rPr>
                <w:color w:val="auto"/>
              </w:rPr>
              <w:t>ncounter data</w:t>
            </w:r>
            <w:r w:rsidR="00932481" w:rsidRPr="00DF133F">
              <w:rPr>
                <w:color w:val="auto"/>
              </w:rPr>
              <w:t>: members receiving services at CHA</w:t>
            </w:r>
            <w:r w:rsidR="00163470" w:rsidRPr="00DF133F">
              <w:rPr>
                <w:color w:val="auto"/>
              </w:rPr>
              <w:t xml:space="preserve"> n=</w:t>
            </w:r>
            <w:r w:rsidR="006A5153" w:rsidRPr="00DF133F">
              <w:rPr>
                <w:color w:val="auto"/>
              </w:rPr>
              <w:t>~</w:t>
            </w:r>
            <w:r w:rsidR="00932481" w:rsidRPr="00DF133F">
              <w:rPr>
                <w:color w:val="auto"/>
              </w:rPr>
              <w:t>6,000; members receiving services at private hospitals n=</w:t>
            </w:r>
            <w:r w:rsidR="006A5153" w:rsidRPr="00DF133F">
              <w:rPr>
                <w:color w:val="auto"/>
              </w:rPr>
              <w:t>~</w:t>
            </w:r>
            <w:r w:rsidR="00932481" w:rsidRPr="00DF133F">
              <w:rPr>
                <w:color w:val="auto"/>
              </w:rPr>
              <w:t>470,000</w:t>
            </w:r>
            <w:r w:rsidR="00163470" w:rsidRPr="00DF133F">
              <w:rPr>
                <w:color w:val="auto"/>
              </w:rPr>
              <w:t>)</w:t>
            </w:r>
          </w:p>
        </w:tc>
        <w:tc>
          <w:tcPr>
            <w:tcW w:w="3281" w:type="dxa"/>
          </w:tcPr>
          <w:p w14:paraId="78415279" w14:textId="77777777" w:rsidR="00ED1025" w:rsidRPr="00DF133F" w:rsidRDefault="00ED1025" w:rsidP="00070672">
            <w:pPr>
              <w:pStyle w:val="TableNormal0"/>
              <w:cnfStyle w:val="000000100000" w:firstRow="0" w:lastRow="0" w:firstColumn="0" w:lastColumn="0" w:oddVBand="0" w:evenVBand="0" w:oddHBand="1" w:evenHBand="0" w:firstRowFirstColumn="0" w:firstRowLastColumn="0" w:lastRowFirstColumn="0" w:lastRowLastColumn="0"/>
            </w:pPr>
            <w:r w:rsidRPr="00DF133F">
              <w:t>HCAHPS measures;</w:t>
            </w:r>
          </w:p>
          <w:p w14:paraId="67C30CBF" w14:textId="77777777" w:rsidR="00ED1025" w:rsidRPr="0097493D" w:rsidRDefault="241D4081" w:rsidP="00070672">
            <w:pPr>
              <w:pStyle w:val="TableNormal0"/>
              <w:cnfStyle w:val="000000100000" w:firstRow="0" w:lastRow="0" w:firstColumn="0" w:lastColumn="0" w:oddVBand="0" w:evenVBand="0" w:oddHBand="1" w:evenHBand="0" w:firstRowFirstColumn="0" w:firstRowLastColumn="0" w:lastRowFirstColumn="0" w:lastRowLastColumn="0"/>
            </w:pPr>
            <w:r>
              <w:t>Perception of quality and equity initiatives;</w:t>
            </w:r>
          </w:p>
          <w:p w14:paraId="40CCDB38" w14:textId="77777777" w:rsidR="00ED1025" w:rsidRPr="0097493D" w:rsidRDefault="241D4081" w:rsidP="00070672">
            <w:pPr>
              <w:pStyle w:val="TableNormal0"/>
              <w:cnfStyle w:val="000000100000" w:firstRow="0" w:lastRow="0" w:firstColumn="0" w:lastColumn="0" w:oddVBand="0" w:evenVBand="0" w:oddHBand="1" w:evenHBand="0" w:firstRowFirstColumn="0" w:firstRowLastColumn="0" w:lastRowFirstColumn="0" w:lastRowLastColumn="0"/>
            </w:pPr>
            <w:r>
              <w:t>Experience of care;</w:t>
            </w:r>
          </w:p>
          <w:p w14:paraId="0E02D966" w14:textId="77777777" w:rsidR="00ED1025" w:rsidRPr="0097493D" w:rsidRDefault="241D4081" w:rsidP="00070672">
            <w:pPr>
              <w:pStyle w:val="TableNormal0"/>
              <w:cnfStyle w:val="000000100000" w:firstRow="0" w:lastRow="0" w:firstColumn="0" w:lastColumn="0" w:oddVBand="0" w:evenVBand="0" w:oddHBand="1" w:evenHBand="0" w:firstRowFirstColumn="0" w:firstRowLastColumn="0" w:lastRowFirstColumn="0" w:lastRowLastColumn="0"/>
            </w:pPr>
            <w:r>
              <w:t>Access to care;</w:t>
            </w:r>
          </w:p>
          <w:p w14:paraId="1E5AE0AB" w14:textId="77777777" w:rsidR="00ED1025" w:rsidRPr="0097493D" w:rsidRDefault="241D4081" w:rsidP="00070672">
            <w:pPr>
              <w:pStyle w:val="TableNormal0"/>
              <w:cnfStyle w:val="000000100000" w:firstRow="0" w:lastRow="0" w:firstColumn="0" w:lastColumn="0" w:oddVBand="0" w:evenVBand="0" w:oddHBand="1" w:evenHBand="0" w:firstRowFirstColumn="0" w:firstRowLastColumn="0" w:lastRowFirstColumn="0" w:lastRowLastColumn="0"/>
            </w:pPr>
            <w:r>
              <w:t>Service delivery met needs;</w:t>
            </w:r>
          </w:p>
          <w:p w14:paraId="1F69C5F5" w14:textId="3D890782" w:rsidR="00ED1025" w:rsidRPr="0097493D" w:rsidRDefault="241D4081" w:rsidP="00070672">
            <w:pPr>
              <w:pStyle w:val="TableNormal0"/>
              <w:cnfStyle w:val="000000100000" w:firstRow="0" w:lastRow="0" w:firstColumn="0" w:lastColumn="0" w:oddVBand="0" w:evenVBand="0" w:oddHBand="1" w:evenHBand="0" w:firstRowFirstColumn="0" w:firstRowLastColumn="0" w:lastRowFirstColumn="0" w:lastRowLastColumn="0"/>
            </w:pPr>
            <w:r>
              <w:t>Perceived impact of social risk factors on health</w:t>
            </w:r>
            <w:r w:rsidR="00D60C0E">
              <w:t>;</w:t>
            </w:r>
          </w:p>
          <w:p w14:paraId="0EF4DC38" w14:textId="77777777" w:rsidR="00ED1025" w:rsidRPr="0097493D" w:rsidRDefault="241D4081" w:rsidP="00070672">
            <w:pPr>
              <w:pStyle w:val="TableNormal0"/>
              <w:cnfStyle w:val="000000100000" w:firstRow="0" w:lastRow="0" w:firstColumn="0" w:lastColumn="0" w:oddVBand="0" w:evenVBand="0" w:oddHBand="1" w:evenHBand="0" w:firstRowFirstColumn="0" w:firstRowLastColumn="0" w:lastRowFirstColumn="0" w:lastRowLastColumn="0"/>
            </w:pPr>
            <w:r>
              <w:t xml:space="preserve">Comprehensive Diabetes Care: Hemoglobin A1c (HbA1c) Poor Control (&gt;9.0%) (HPC-AD); </w:t>
            </w:r>
          </w:p>
          <w:p w14:paraId="62B10744" w14:textId="77777777" w:rsidR="00ED1025" w:rsidRPr="0097493D" w:rsidRDefault="241D4081" w:rsidP="00070672">
            <w:pPr>
              <w:pStyle w:val="TableNormal0"/>
              <w:cnfStyle w:val="000000100000" w:firstRow="0" w:lastRow="0" w:firstColumn="0" w:lastColumn="0" w:oddVBand="0" w:evenVBand="0" w:oddHBand="1" w:evenHBand="0" w:firstRowFirstColumn="0" w:firstRowLastColumn="0" w:lastRowFirstColumn="0" w:lastRowLastColumn="0"/>
            </w:pPr>
            <w:r>
              <w:t xml:space="preserve">Controlling High Blood Pressure (CBP-AD); </w:t>
            </w:r>
          </w:p>
          <w:p w14:paraId="3C709B03" w14:textId="77777777" w:rsidR="00ED1025" w:rsidRPr="0097493D" w:rsidRDefault="241D4081" w:rsidP="00070672">
            <w:pPr>
              <w:pStyle w:val="TableNormal0"/>
              <w:cnfStyle w:val="000000100000" w:firstRow="0" w:lastRow="0" w:firstColumn="0" w:lastColumn="0" w:oddVBand="0" w:evenVBand="0" w:oddHBand="1" w:evenHBand="0" w:firstRowFirstColumn="0" w:firstRowLastColumn="0" w:lastRowFirstColumn="0" w:lastRowLastColumn="0"/>
            </w:pPr>
            <w:r>
              <w:t>Unnecessary C-Section (TJC PC02);</w:t>
            </w:r>
          </w:p>
          <w:p w14:paraId="46F79DBA" w14:textId="77777777" w:rsidR="00ED1025" w:rsidRPr="0097493D" w:rsidRDefault="241D4081" w:rsidP="00070672">
            <w:pPr>
              <w:pStyle w:val="TableNormal0"/>
              <w:cnfStyle w:val="000000100000" w:firstRow="0" w:lastRow="0" w:firstColumn="0" w:lastColumn="0" w:oddVBand="0" w:evenVBand="0" w:oddHBand="1" w:evenHBand="0" w:firstRowFirstColumn="0" w:firstRowLastColumn="0" w:lastRowFirstColumn="0" w:lastRowLastColumn="0"/>
            </w:pPr>
            <w:r>
              <w:t>Emergency Department (ED) Visits for Individuals with Mental Illness, Addiction, or Co-occurring Conditions;</w:t>
            </w:r>
          </w:p>
          <w:p w14:paraId="246AC808" w14:textId="77777777" w:rsidR="00ED1025" w:rsidRPr="0097493D" w:rsidRDefault="241D4081" w:rsidP="00070672">
            <w:pPr>
              <w:pStyle w:val="TableNormal0"/>
              <w:cnfStyle w:val="000000100000" w:firstRow="0" w:lastRow="0" w:firstColumn="0" w:lastColumn="0" w:oddVBand="0" w:evenVBand="0" w:oddHBand="1" w:evenHBand="0" w:firstRowFirstColumn="0" w:firstRowLastColumn="0" w:lastRowFirstColumn="0" w:lastRowLastColumn="0"/>
            </w:pPr>
            <w:r>
              <w:t>ED Visits (adult, pediatric);</w:t>
            </w:r>
          </w:p>
          <w:p w14:paraId="2F889E1E" w14:textId="77777777" w:rsidR="00ED1025" w:rsidRPr="0097493D" w:rsidRDefault="241D4081" w:rsidP="00070672">
            <w:pPr>
              <w:pStyle w:val="TableNormal0"/>
              <w:cnfStyle w:val="000000100000" w:firstRow="0" w:lastRow="0" w:firstColumn="0" w:lastColumn="0" w:oddVBand="0" w:evenVBand="0" w:oddHBand="1" w:evenHBand="0" w:firstRowFirstColumn="0" w:firstRowLastColumn="0" w:lastRowFirstColumn="0" w:lastRowLastColumn="0"/>
            </w:pPr>
            <w:r>
              <w:t xml:space="preserve">30-day readmission; </w:t>
            </w:r>
          </w:p>
          <w:p w14:paraId="2726BC1E" w14:textId="77777777" w:rsidR="00ED1025" w:rsidRPr="0097493D" w:rsidRDefault="241D4081" w:rsidP="00070672">
            <w:pPr>
              <w:pStyle w:val="TableNormal0"/>
              <w:cnfStyle w:val="000000100000" w:firstRow="0" w:lastRow="0" w:firstColumn="0" w:lastColumn="0" w:oddVBand="0" w:evenVBand="0" w:oddHBand="1" w:evenHBand="0" w:firstRowFirstColumn="0" w:firstRowLastColumn="0" w:lastRowFirstColumn="0" w:lastRowLastColumn="0"/>
            </w:pPr>
            <w:r>
              <w:t>Maternal morbidity</w:t>
            </w:r>
          </w:p>
        </w:tc>
        <w:tc>
          <w:tcPr>
            <w:tcW w:w="1440" w:type="dxa"/>
          </w:tcPr>
          <w:p w14:paraId="140B8EDD" w14:textId="49E8614C" w:rsidR="00ED1025" w:rsidRPr="00DF133F" w:rsidRDefault="00ED1025" w:rsidP="00DF133F">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DF133F">
              <w:rPr>
                <w:color w:val="auto"/>
              </w:rPr>
              <w:t>Qualitative analysis of data collected through KIIs</w:t>
            </w:r>
            <w:r w:rsidR="00EF68BB" w:rsidRPr="00DF133F">
              <w:rPr>
                <w:color w:val="auto"/>
              </w:rPr>
              <w:t xml:space="preserve"> (member)</w:t>
            </w:r>
            <w:r w:rsidRPr="00DF133F">
              <w:rPr>
                <w:color w:val="auto"/>
              </w:rPr>
              <w:t>;</w:t>
            </w:r>
          </w:p>
          <w:p w14:paraId="1A745E19" w14:textId="38A7EAD0" w:rsidR="00ED1025" w:rsidRPr="00DF133F" w:rsidRDefault="00ED1025" w:rsidP="00DF133F">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DF133F">
              <w:rPr>
                <w:color w:val="auto"/>
              </w:rPr>
              <w:t>Descriptive analysis</w:t>
            </w:r>
            <w:r w:rsidR="00EF68BB" w:rsidRPr="00DF133F">
              <w:rPr>
                <w:color w:val="auto"/>
              </w:rPr>
              <w:t xml:space="preserve"> (member)</w:t>
            </w:r>
            <w:r w:rsidRPr="00DF133F">
              <w:rPr>
                <w:color w:val="auto"/>
              </w:rPr>
              <w:t>;</w:t>
            </w:r>
          </w:p>
          <w:p w14:paraId="7D4AA631" w14:textId="11FACB63" w:rsidR="00ED1025" w:rsidRPr="00DF133F" w:rsidRDefault="00ED1025" w:rsidP="00DF133F">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DF133F">
              <w:rPr>
                <w:color w:val="auto"/>
              </w:rPr>
              <w:t>Observed vs. expected</w:t>
            </w:r>
            <w:r w:rsidR="00EF68BB" w:rsidRPr="00DF133F">
              <w:rPr>
                <w:color w:val="auto"/>
              </w:rPr>
              <w:t xml:space="preserve"> (member)</w:t>
            </w:r>
            <w:r w:rsidRPr="00DF133F">
              <w:rPr>
                <w:color w:val="auto"/>
              </w:rPr>
              <w:t>;</w:t>
            </w:r>
          </w:p>
          <w:p w14:paraId="33D6A016" w14:textId="59176DD2" w:rsidR="00ED1025" w:rsidRPr="00DF133F" w:rsidRDefault="00ED1025" w:rsidP="00DF133F">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DF133F">
              <w:rPr>
                <w:color w:val="auto"/>
              </w:rPr>
              <w:t>Quasi-experimental methods</w:t>
            </w:r>
            <w:r w:rsidR="005B47F7">
              <w:rPr>
                <w:color w:val="auto"/>
              </w:rPr>
              <w:t xml:space="preserve"> </w:t>
            </w:r>
            <w:r w:rsidR="00EF68BB" w:rsidRPr="00DF133F">
              <w:rPr>
                <w:color w:val="auto"/>
              </w:rPr>
              <w:t>(member)</w:t>
            </w:r>
            <w:r w:rsidRPr="00DF133F">
              <w:rPr>
                <w:color w:val="auto"/>
              </w:rPr>
              <w:t>;</w:t>
            </w:r>
          </w:p>
        </w:tc>
      </w:tr>
      <w:tr w:rsidR="0097493D" w:rsidRPr="0097493D" w14:paraId="1DA257E0" w14:textId="77777777" w:rsidTr="3383C28C">
        <w:trPr>
          <w:trHeight w:val="2139"/>
        </w:trPr>
        <w:tc>
          <w:tcPr>
            <w:cnfStyle w:val="001000000000" w:firstRow="0" w:lastRow="0" w:firstColumn="1" w:lastColumn="0" w:oddVBand="0" w:evenVBand="0" w:oddHBand="0" w:evenHBand="0" w:firstRowFirstColumn="0" w:firstRowLastColumn="0" w:lastRowFirstColumn="0" w:lastRowLastColumn="0"/>
            <w:tcW w:w="1584" w:type="dxa"/>
          </w:tcPr>
          <w:p w14:paraId="59EFF34C" w14:textId="77777777" w:rsidR="00ED1025" w:rsidRPr="00DF133F" w:rsidRDefault="00ED1025" w:rsidP="00DF133F">
            <w:pPr>
              <w:pStyle w:val="TableNormal0"/>
              <w:rPr>
                <w:color w:val="auto"/>
              </w:rPr>
            </w:pPr>
            <w:r w:rsidRPr="00DF133F">
              <w:rPr>
                <w:color w:val="auto"/>
              </w:rPr>
              <w:t>RQ6-6 How did costs and benefits of HQEI affect plans for sustainability?</w:t>
            </w:r>
          </w:p>
        </w:tc>
        <w:tc>
          <w:tcPr>
            <w:tcW w:w="2191" w:type="dxa"/>
          </w:tcPr>
          <w:p w14:paraId="65558199" w14:textId="77777777" w:rsidR="00ED1025" w:rsidRPr="00DF133F" w:rsidRDefault="00ED1025"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DF133F">
              <w:rPr>
                <w:color w:val="auto"/>
              </w:rPr>
              <w:t xml:space="preserve">H6-6.1 The costs and benefits of hospital quality and equity initiatives will vary by hospital and program type. </w:t>
            </w:r>
          </w:p>
          <w:p w14:paraId="1C59C65E" w14:textId="77777777" w:rsidR="00ED1025" w:rsidRPr="00DF133F" w:rsidRDefault="00ED1025"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DF133F">
              <w:rPr>
                <w:color w:val="auto"/>
              </w:rPr>
              <w:t xml:space="preserve">H6-6.2 Participating hospitals and the state will identify health equity initiatives where projected </w:t>
            </w:r>
            <w:r w:rsidRPr="00DF133F">
              <w:rPr>
                <w:color w:val="auto"/>
              </w:rPr>
              <w:lastRenderedPageBreak/>
              <w:t>benefits from continuing the program merit projected costs.</w:t>
            </w:r>
          </w:p>
          <w:p w14:paraId="3B1BBA52" w14:textId="77777777" w:rsidR="00ED1025" w:rsidRPr="00DF133F" w:rsidRDefault="00ED1025"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DF133F">
              <w:rPr>
                <w:color w:val="auto"/>
              </w:rPr>
              <w:t>H6-6.3 Participating hospitals will make investments in staff recruitment, training, and retention to sustain the organizational capacity needed to continue health equity work.</w:t>
            </w:r>
          </w:p>
        </w:tc>
        <w:tc>
          <w:tcPr>
            <w:tcW w:w="3240" w:type="dxa"/>
          </w:tcPr>
          <w:p w14:paraId="31C7C224" w14:textId="72DCE85A" w:rsidR="00ED1025" w:rsidRPr="00DF133F" w:rsidRDefault="00ED1025"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DF133F">
              <w:rPr>
                <w:color w:val="auto"/>
              </w:rPr>
              <w:lastRenderedPageBreak/>
              <w:t xml:space="preserve">KIIs, focus groups, and/or open-ended </w:t>
            </w:r>
            <w:r w:rsidR="00064AB9" w:rsidRPr="00DF133F">
              <w:rPr>
                <w:color w:val="auto"/>
              </w:rPr>
              <w:t>surveys</w:t>
            </w:r>
            <w:r w:rsidR="009C76D2" w:rsidRPr="00DF133F">
              <w:rPr>
                <w:color w:val="auto"/>
              </w:rPr>
              <w:t xml:space="preserve"> </w:t>
            </w:r>
            <w:r w:rsidR="001742A9" w:rsidRPr="00DF133F">
              <w:rPr>
                <w:color w:val="auto"/>
              </w:rPr>
              <w:t>(2024-2025; 2026-2027)</w:t>
            </w:r>
          </w:p>
          <w:p w14:paraId="576FBD90" w14:textId="77777777" w:rsidR="00ED1025" w:rsidRPr="0097493D" w:rsidRDefault="241D4081" w:rsidP="00DD58DA">
            <w:pPr>
              <w:pStyle w:val="TableBullet"/>
              <w:cnfStyle w:val="000000000000" w:firstRow="0" w:lastRow="0" w:firstColumn="0" w:lastColumn="0" w:oddVBand="0" w:evenVBand="0" w:oddHBand="0" w:evenHBand="0" w:firstRowFirstColumn="0" w:firstRowLastColumn="0" w:lastRowFirstColumn="0" w:lastRowLastColumn="0"/>
            </w:pPr>
            <w:r>
              <w:t>Hospital leadership and staff, staff from partnering organizations</w:t>
            </w:r>
          </w:p>
          <w:p w14:paraId="74C81906" w14:textId="77777777" w:rsidR="00ED1025" w:rsidRPr="0097493D" w:rsidRDefault="241D4081" w:rsidP="00DD58DA">
            <w:pPr>
              <w:pStyle w:val="TableBullet"/>
              <w:cnfStyle w:val="000000000000" w:firstRow="0" w:lastRow="0" w:firstColumn="0" w:lastColumn="0" w:oddVBand="0" w:evenVBand="0" w:oddHBand="0" w:evenHBand="0" w:firstRowFirstColumn="0" w:firstRowLastColumn="0" w:lastRowFirstColumn="0" w:lastRowLastColumn="0"/>
            </w:pPr>
            <w:r>
              <w:t>MassHealth staff</w:t>
            </w:r>
          </w:p>
          <w:p w14:paraId="3B74E19B" w14:textId="1FCAC773" w:rsidR="00ED1025" w:rsidRPr="00DF133F" w:rsidRDefault="00ED1025"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DF133F">
              <w:rPr>
                <w:color w:val="auto"/>
              </w:rPr>
              <w:t>CHIA Enhanced Demographics Data File</w:t>
            </w:r>
            <w:r w:rsidR="003D2702" w:rsidRPr="00DF133F">
              <w:rPr>
                <w:color w:val="auto"/>
              </w:rPr>
              <w:t xml:space="preserve"> </w:t>
            </w:r>
            <w:r w:rsidR="003D2702" w:rsidRPr="00DF133F">
              <w:rPr>
                <w:rFonts w:eastAsia="Times New Roman"/>
                <w:color w:val="auto"/>
              </w:rPr>
              <w:t>(20</w:t>
            </w:r>
            <w:r w:rsidR="00793648" w:rsidRPr="00DF133F">
              <w:rPr>
                <w:rFonts w:eastAsia="Times New Roman"/>
                <w:color w:val="auto"/>
              </w:rPr>
              <w:t>23</w:t>
            </w:r>
            <w:r w:rsidR="003D2702" w:rsidRPr="00DF133F">
              <w:rPr>
                <w:rFonts w:eastAsia="Times New Roman"/>
                <w:color w:val="auto"/>
              </w:rPr>
              <w:t>-2027)</w:t>
            </w:r>
            <w:r w:rsidRPr="00DF133F">
              <w:rPr>
                <w:color w:val="auto"/>
              </w:rPr>
              <w:t>;</w:t>
            </w:r>
          </w:p>
          <w:p w14:paraId="0DFFDCD7" w14:textId="415238E8" w:rsidR="00ED1025" w:rsidRPr="00DF133F" w:rsidRDefault="00ED1025"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DF133F">
              <w:rPr>
                <w:color w:val="auto"/>
              </w:rPr>
              <w:lastRenderedPageBreak/>
              <w:t>MassHealth encounter and MassHealth Medicaid Management Information System (MMIS) claims data</w:t>
            </w:r>
            <w:r w:rsidR="003D2702" w:rsidRPr="00DF133F">
              <w:rPr>
                <w:color w:val="auto"/>
              </w:rPr>
              <w:t xml:space="preserve"> </w:t>
            </w:r>
            <w:r w:rsidR="003D2702" w:rsidRPr="00DF133F">
              <w:rPr>
                <w:rFonts w:eastAsia="Times New Roman"/>
                <w:color w:val="auto"/>
              </w:rPr>
              <w:t>(</w:t>
            </w:r>
            <w:r w:rsidR="00B41B97" w:rsidRPr="00DF133F">
              <w:rPr>
                <w:rFonts w:eastAsia="Times New Roman"/>
                <w:color w:val="auto"/>
              </w:rPr>
              <w:t>2018</w:t>
            </w:r>
            <w:r w:rsidR="003D2702" w:rsidRPr="00DF133F">
              <w:rPr>
                <w:rFonts w:eastAsia="Times New Roman"/>
                <w:color w:val="auto"/>
              </w:rPr>
              <w:t>-2027)</w:t>
            </w:r>
            <w:r w:rsidR="003D2702" w:rsidRPr="00DF133F">
              <w:rPr>
                <w:color w:val="auto"/>
              </w:rPr>
              <w:t>;</w:t>
            </w:r>
          </w:p>
          <w:p w14:paraId="2BC7DC4E" w14:textId="0A5DE39E" w:rsidR="00ED1025" w:rsidRPr="00DF133F" w:rsidRDefault="00ED1025"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DF133F">
              <w:rPr>
                <w:color w:val="auto"/>
              </w:rPr>
              <w:t>Data submitted to MassHealth</w:t>
            </w:r>
            <w:r w:rsidR="003D2702" w:rsidRPr="00DF133F">
              <w:rPr>
                <w:color w:val="auto"/>
              </w:rPr>
              <w:t xml:space="preserve"> </w:t>
            </w:r>
            <w:r w:rsidR="003D2702" w:rsidRPr="00DF133F">
              <w:rPr>
                <w:rFonts w:eastAsia="Times New Roman"/>
                <w:color w:val="auto"/>
              </w:rPr>
              <w:t>(202</w:t>
            </w:r>
            <w:r w:rsidR="00B41B97" w:rsidRPr="00DF133F">
              <w:rPr>
                <w:rFonts w:eastAsia="Times New Roman"/>
                <w:color w:val="auto"/>
              </w:rPr>
              <w:t>3</w:t>
            </w:r>
            <w:r w:rsidR="003D2702" w:rsidRPr="00DF133F">
              <w:rPr>
                <w:rFonts w:eastAsia="Times New Roman"/>
                <w:color w:val="auto"/>
              </w:rPr>
              <w:t>-2027)</w:t>
            </w:r>
            <w:r w:rsidR="003D2702" w:rsidRPr="00DF133F">
              <w:rPr>
                <w:color w:val="auto"/>
              </w:rPr>
              <w:t>;</w:t>
            </w:r>
          </w:p>
          <w:p w14:paraId="2D5B58A8" w14:textId="2E808339" w:rsidR="00ED1025" w:rsidRPr="00DF133F" w:rsidRDefault="00ED1025"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DF133F">
              <w:rPr>
                <w:color w:val="auto"/>
              </w:rPr>
              <w:t xml:space="preserve">Documentation submitted to MassHealth </w:t>
            </w:r>
            <w:r w:rsidR="003D2702" w:rsidRPr="00DF133F">
              <w:rPr>
                <w:rFonts w:eastAsia="Times New Roman"/>
                <w:color w:val="auto"/>
              </w:rPr>
              <w:t>(202</w:t>
            </w:r>
            <w:r w:rsidR="00B41B97" w:rsidRPr="00DF133F">
              <w:rPr>
                <w:rFonts w:eastAsia="Times New Roman"/>
                <w:color w:val="auto"/>
              </w:rPr>
              <w:t>3</w:t>
            </w:r>
            <w:r w:rsidR="003D2702" w:rsidRPr="00DF133F">
              <w:rPr>
                <w:rFonts w:eastAsia="Times New Roman"/>
                <w:color w:val="auto"/>
              </w:rPr>
              <w:t>-2027)</w:t>
            </w:r>
          </w:p>
        </w:tc>
        <w:tc>
          <w:tcPr>
            <w:tcW w:w="1800" w:type="dxa"/>
          </w:tcPr>
          <w:p w14:paraId="2464E0FA" w14:textId="3B40EADD" w:rsidR="00ED1025" w:rsidRPr="00DF133F" w:rsidRDefault="00ED1025"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DF133F">
              <w:rPr>
                <w:color w:val="auto"/>
              </w:rPr>
              <w:lastRenderedPageBreak/>
              <w:t>MassHealth leadership and staff</w:t>
            </w:r>
            <w:r w:rsidR="009C76D2" w:rsidRPr="00DF133F">
              <w:rPr>
                <w:color w:val="auto"/>
              </w:rPr>
              <w:t xml:space="preserve"> (</w:t>
            </w:r>
            <w:r w:rsidR="3962E138" w:rsidRPr="00DF133F">
              <w:rPr>
                <w:color w:val="auto"/>
              </w:rPr>
              <w:t xml:space="preserve">Interviewees: </w:t>
            </w:r>
            <w:r w:rsidR="009C76D2" w:rsidRPr="00DF133F">
              <w:rPr>
                <w:color w:val="auto"/>
              </w:rPr>
              <w:t>n</w:t>
            </w:r>
            <w:r w:rsidR="00B442EB" w:rsidRPr="00DF133F">
              <w:rPr>
                <w:color w:val="auto"/>
              </w:rPr>
              <w:t xml:space="preserve"> ≤ </w:t>
            </w:r>
            <w:r w:rsidR="009C76D2" w:rsidRPr="00DF133F">
              <w:rPr>
                <w:color w:val="auto"/>
              </w:rPr>
              <w:t>5)</w:t>
            </w:r>
            <w:r w:rsidRPr="00DF133F">
              <w:rPr>
                <w:color w:val="auto"/>
              </w:rPr>
              <w:t>;</w:t>
            </w:r>
          </w:p>
          <w:p w14:paraId="4D179649" w14:textId="46A9CA09" w:rsidR="00ED1025" w:rsidRPr="00DF133F" w:rsidRDefault="00ED1025"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DF133F">
              <w:rPr>
                <w:color w:val="auto"/>
              </w:rPr>
              <w:t>Hospital leadership and staff</w:t>
            </w:r>
            <w:r w:rsidR="009C76D2" w:rsidRPr="00DF133F">
              <w:rPr>
                <w:color w:val="auto"/>
              </w:rPr>
              <w:t xml:space="preserve"> </w:t>
            </w:r>
            <w:r w:rsidR="102D8F9F" w:rsidRPr="00DF133F">
              <w:rPr>
                <w:color w:val="auto"/>
              </w:rPr>
              <w:t xml:space="preserve"> (Interviewees: </w:t>
            </w:r>
            <w:r w:rsidR="009C76D2" w:rsidRPr="00DF133F">
              <w:rPr>
                <w:color w:val="auto"/>
              </w:rPr>
              <w:t>n</w:t>
            </w:r>
            <w:r w:rsidR="00B442EB" w:rsidRPr="00DF133F">
              <w:rPr>
                <w:color w:val="auto"/>
              </w:rPr>
              <w:t xml:space="preserve"> ≤ </w:t>
            </w:r>
            <w:r w:rsidR="009C76D2" w:rsidRPr="00DF133F">
              <w:rPr>
                <w:color w:val="auto"/>
              </w:rPr>
              <w:t>50-70)</w:t>
            </w:r>
            <w:r w:rsidRPr="00DF133F">
              <w:rPr>
                <w:color w:val="auto"/>
              </w:rPr>
              <w:t>;</w:t>
            </w:r>
          </w:p>
          <w:p w14:paraId="1CED4297" w14:textId="3E0A399B" w:rsidR="00ED1025" w:rsidRPr="00DF133F" w:rsidRDefault="00ED1025"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DF133F">
              <w:rPr>
                <w:color w:val="auto"/>
              </w:rPr>
              <w:t xml:space="preserve">Members receiving services from </w:t>
            </w:r>
            <w:r w:rsidRPr="00DF133F">
              <w:rPr>
                <w:color w:val="auto"/>
              </w:rPr>
              <w:lastRenderedPageBreak/>
              <w:t>participating hospitals</w:t>
            </w:r>
            <w:r w:rsidR="009C76D2" w:rsidRPr="00DF133F">
              <w:rPr>
                <w:color w:val="auto"/>
              </w:rPr>
              <w:t xml:space="preserve"> (</w:t>
            </w:r>
            <w:r w:rsidR="4B06ECDF" w:rsidRPr="00DF133F">
              <w:rPr>
                <w:color w:val="auto"/>
              </w:rPr>
              <w:t>Interviewees</w:t>
            </w:r>
            <w:r w:rsidR="521E0853" w:rsidRPr="00DF133F">
              <w:rPr>
                <w:color w:val="auto"/>
              </w:rPr>
              <w:t>:</w:t>
            </w:r>
            <w:r w:rsidR="009C76D2" w:rsidRPr="00DF133F">
              <w:rPr>
                <w:color w:val="auto"/>
              </w:rPr>
              <w:t xml:space="preserve"> n</w:t>
            </w:r>
            <w:r w:rsidR="00B442EB" w:rsidRPr="00DF133F">
              <w:rPr>
                <w:color w:val="auto"/>
              </w:rPr>
              <w:t xml:space="preserve"> ≤ </w:t>
            </w:r>
            <w:r w:rsidR="009C76D2" w:rsidRPr="00DF133F">
              <w:rPr>
                <w:color w:val="auto"/>
              </w:rPr>
              <w:t>30</w:t>
            </w:r>
            <w:r w:rsidR="00163470" w:rsidRPr="00DF133F">
              <w:rPr>
                <w:color w:val="auto"/>
              </w:rPr>
              <w:t xml:space="preserve">; </w:t>
            </w:r>
            <w:r w:rsidR="00A421C8" w:rsidRPr="00DF133F">
              <w:rPr>
                <w:color w:val="auto"/>
              </w:rPr>
              <w:t>E</w:t>
            </w:r>
            <w:r w:rsidR="00163470" w:rsidRPr="00DF133F">
              <w:rPr>
                <w:color w:val="auto"/>
              </w:rPr>
              <w:t>ncounter data</w:t>
            </w:r>
            <w:r w:rsidR="00932481" w:rsidRPr="00DF133F">
              <w:rPr>
                <w:color w:val="auto"/>
              </w:rPr>
              <w:t>: members receiving services at CHA</w:t>
            </w:r>
            <w:r w:rsidR="00163470" w:rsidRPr="00DF133F">
              <w:rPr>
                <w:color w:val="auto"/>
              </w:rPr>
              <w:t xml:space="preserve"> n=</w:t>
            </w:r>
            <w:r w:rsidR="00F62D81" w:rsidRPr="00DF133F">
              <w:rPr>
                <w:color w:val="auto"/>
              </w:rPr>
              <w:t>~</w:t>
            </w:r>
            <w:r w:rsidR="00932481" w:rsidRPr="00DF133F">
              <w:rPr>
                <w:color w:val="auto"/>
              </w:rPr>
              <w:t>6,000; members receiving services at private hospitals n=</w:t>
            </w:r>
            <w:r w:rsidR="00F62D81" w:rsidRPr="00DF133F">
              <w:rPr>
                <w:color w:val="auto"/>
              </w:rPr>
              <w:t>~</w:t>
            </w:r>
            <w:r w:rsidR="00932481" w:rsidRPr="00DF133F">
              <w:rPr>
                <w:color w:val="auto"/>
              </w:rPr>
              <w:t>470,000</w:t>
            </w:r>
            <w:r w:rsidR="009C76D2" w:rsidRPr="00DF133F">
              <w:rPr>
                <w:color w:val="auto"/>
              </w:rPr>
              <w:t>)</w:t>
            </w:r>
          </w:p>
        </w:tc>
        <w:tc>
          <w:tcPr>
            <w:tcW w:w="3281" w:type="dxa"/>
          </w:tcPr>
          <w:p w14:paraId="55206D0D" w14:textId="77777777" w:rsidR="00ED1025" w:rsidRPr="00DF133F" w:rsidRDefault="00ED1025" w:rsidP="00070672">
            <w:pPr>
              <w:pStyle w:val="TableNormal0"/>
              <w:cnfStyle w:val="000000000000" w:firstRow="0" w:lastRow="0" w:firstColumn="0" w:lastColumn="0" w:oddVBand="0" w:evenVBand="0" w:oddHBand="0" w:evenHBand="0" w:firstRowFirstColumn="0" w:firstRowLastColumn="0" w:lastRowFirstColumn="0" w:lastRowLastColumn="0"/>
            </w:pPr>
            <w:r w:rsidRPr="00DF133F">
              <w:lastRenderedPageBreak/>
              <w:t>HQEI costs overall and by hospital and program type;</w:t>
            </w:r>
          </w:p>
          <w:p w14:paraId="58046F87" w14:textId="37DD22E2" w:rsidR="00ED1025" w:rsidRPr="00DF133F" w:rsidRDefault="00ED1025" w:rsidP="00070672">
            <w:pPr>
              <w:pStyle w:val="TableNormal0"/>
              <w:cnfStyle w:val="000000000000" w:firstRow="0" w:lastRow="0" w:firstColumn="0" w:lastColumn="0" w:oddVBand="0" w:evenVBand="0" w:oddHBand="0" w:evenHBand="0" w:firstRowFirstColumn="0" w:firstRowLastColumn="0" w:lastRowFirstColumn="0" w:lastRowLastColumn="0"/>
            </w:pPr>
            <w:r w:rsidRPr="00DF133F">
              <w:t>Stratified analyses of quality, experience, and outcomes by hospital and program type</w:t>
            </w:r>
            <w:r w:rsidR="00536CEE">
              <w:t>;</w:t>
            </w:r>
          </w:p>
          <w:p w14:paraId="11489E66" w14:textId="48652AB9" w:rsidR="00ED1025" w:rsidRPr="0097493D" w:rsidRDefault="241D4081" w:rsidP="00070672">
            <w:pPr>
              <w:pStyle w:val="TableNormal0"/>
              <w:cnfStyle w:val="000000000000" w:firstRow="0" w:lastRow="0" w:firstColumn="0" w:lastColumn="0" w:oddVBand="0" w:evenVBand="0" w:oddHBand="0" w:evenHBand="0" w:firstRowFirstColumn="0" w:firstRowLastColumn="0" w:lastRowFirstColumn="0" w:lastRowLastColumn="0"/>
            </w:pPr>
            <w:r>
              <w:t>Perceptions of costs and benefits</w:t>
            </w:r>
            <w:r w:rsidR="00536CEE">
              <w:t>;</w:t>
            </w:r>
          </w:p>
          <w:p w14:paraId="29F16262" w14:textId="032134B6" w:rsidR="00ED1025" w:rsidRPr="0097493D" w:rsidRDefault="241D4081" w:rsidP="00070672">
            <w:pPr>
              <w:pStyle w:val="TableNormal0"/>
              <w:cnfStyle w:val="000000000000" w:firstRow="0" w:lastRow="0" w:firstColumn="0" w:lastColumn="0" w:oddVBand="0" w:evenVBand="0" w:oddHBand="0" w:evenHBand="0" w:firstRowFirstColumn="0" w:firstRowLastColumn="0" w:lastRowFirstColumn="0" w:lastRowLastColumn="0"/>
            </w:pPr>
            <w:r>
              <w:t>Barriers/facilitators to continuing HQEI programs</w:t>
            </w:r>
            <w:r w:rsidR="00536CEE">
              <w:t>;</w:t>
            </w:r>
          </w:p>
          <w:p w14:paraId="2C580D57" w14:textId="7F82696E" w:rsidR="00ED1025" w:rsidRPr="0097493D" w:rsidRDefault="241D4081" w:rsidP="00070672">
            <w:pPr>
              <w:pStyle w:val="TableNormal0"/>
              <w:cnfStyle w:val="000000000000" w:firstRow="0" w:lastRow="0" w:firstColumn="0" w:lastColumn="0" w:oddVBand="0" w:evenVBand="0" w:oddHBand="0" w:evenHBand="0" w:firstRowFirstColumn="0" w:firstRowLastColumn="0" w:lastRowFirstColumn="0" w:lastRowLastColumn="0"/>
            </w:pPr>
            <w:r>
              <w:lastRenderedPageBreak/>
              <w:t>Plans to recruit/train/retain staff and providers to continue HQEI work</w:t>
            </w:r>
            <w:r w:rsidR="00536CEE">
              <w:t>;</w:t>
            </w:r>
          </w:p>
          <w:p w14:paraId="49047DE0" w14:textId="77777777" w:rsidR="00ED1025" w:rsidRPr="0097493D" w:rsidRDefault="241D4081" w:rsidP="00070672">
            <w:pPr>
              <w:pStyle w:val="TableNormal0"/>
              <w:cnfStyle w:val="000000000000" w:firstRow="0" w:lastRow="0" w:firstColumn="0" w:lastColumn="0" w:oddVBand="0" w:evenVBand="0" w:oddHBand="0" w:evenHBand="0" w:firstRowFirstColumn="0" w:firstRowLastColumn="0" w:lastRowFirstColumn="0" w:lastRowLastColumn="0"/>
            </w:pPr>
            <w:r>
              <w:t>Identification of successful initiatives</w:t>
            </w:r>
          </w:p>
          <w:p w14:paraId="44C8C8FE" w14:textId="3B29B4FC" w:rsidR="00ED1025" w:rsidRPr="0097493D" w:rsidRDefault="241D4081" w:rsidP="00070672">
            <w:pPr>
              <w:pStyle w:val="TableNormal0"/>
              <w:cnfStyle w:val="000000000000" w:firstRow="0" w:lastRow="0" w:firstColumn="0" w:lastColumn="0" w:oddVBand="0" w:evenVBand="0" w:oddHBand="0" w:evenHBand="0" w:firstRowFirstColumn="0" w:firstRowLastColumn="0" w:lastRowFirstColumn="0" w:lastRowLastColumn="0"/>
            </w:pPr>
            <w:r>
              <w:t>Barriers/facilitators to continuing HQEI</w:t>
            </w:r>
            <w:r w:rsidR="00536CEE">
              <w:t>;</w:t>
            </w:r>
          </w:p>
          <w:p w14:paraId="65D38719" w14:textId="5CC6AB3B" w:rsidR="00ED1025" w:rsidRPr="0097493D" w:rsidRDefault="241D4081" w:rsidP="00070672">
            <w:pPr>
              <w:pStyle w:val="TableNormal0"/>
              <w:cnfStyle w:val="000000000000" w:firstRow="0" w:lastRow="0" w:firstColumn="0" w:lastColumn="0" w:oddVBand="0" w:evenVBand="0" w:oddHBand="0" w:evenHBand="0" w:firstRowFirstColumn="0" w:firstRowLastColumn="0" w:lastRowFirstColumn="0" w:lastRowLastColumn="0"/>
            </w:pPr>
            <w:r>
              <w:t>Perceptions of costs and benefits of HQEI programs</w:t>
            </w:r>
          </w:p>
        </w:tc>
        <w:tc>
          <w:tcPr>
            <w:tcW w:w="1440" w:type="dxa"/>
          </w:tcPr>
          <w:p w14:paraId="7EF2A737" w14:textId="633AABAD" w:rsidR="00ED1025" w:rsidRPr="00DF133F" w:rsidRDefault="00ED1025"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DF133F">
              <w:rPr>
                <w:color w:val="auto"/>
              </w:rPr>
              <w:lastRenderedPageBreak/>
              <w:t>Qualitative analysis of data collected through key informant interviews</w:t>
            </w:r>
            <w:r w:rsidR="0066466A" w:rsidRPr="00DF133F">
              <w:rPr>
                <w:color w:val="auto"/>
              </w:rPr>
              <w:t xml:space="preserve"> (MH, hospitals, members)</w:t>
            </w:r>
            <w:r w:rsidRPr="00DF133F">
              <w:rPr>
                <w:color w:val="auto"/>
              </w:rPr>
              <w:t>;</w:t>
            </w:r>
          </w:p>
          <w:p w14:paraId="3E05E0B7" w14:textId="62DB8E70" w:rsidR="00ED1025" w:rsidRPr="00DF133F" w:rsidRDefault="00ED1025"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DF133F">
              <w:rPr>
                <w:color w:val="auto"/>
              </w:rPr>
              <w:t>Descriptive analysis</w:t>
            </w:r>
            <w:r w:rsidR="008574E0" w:rsidRPr="00DF133F">
              <w:rPr>
                <w:color w:val="auto"/>
              </w:rPr>
              <w:t xml:space="preserve"> (MH, </w:t>
            </w:r>
            <w:r w:rsidR="008574E0" w:rsidRPr="00DF133F">
              <w:rPr>
                <w:color w:val="auto"/>
              </w:rPr>
              <w:lastRenderedPageBreak/>
              <w:t>hospitals, members</w:t>
            </w:r>
            <w:r w:rsidRPr="00DF133F">
              <w:rPr>
                <w:color w:val="auto"/>
              </w:rPr>
              <w:t>;</w:t>
            </w:r>
          </w:p>
          <w:p w14:paraId="028AB084" w14:textId="239C0068" w:rsidR="00ED1025" w:rsidRPr="00DF133F" w:rsidRDefault="00ED1025"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DF133F">
              <w:rPr>
                <w:color w:val="auto"/>
              </w:rPr>
              <w:t>Expected vs. observed</w:t>
            </w:r>
            <w:r w:rsidR="008574E0" w:rsidRPr="00DF133F">
              <w:rPr>
                <w:color w:val="auto"/>
              </w:rPr>
              <w:t xml:space="preserve"> (member)</w:t>
            </w:r>
          </w:p>
        </w:tc>
      </w:tr>
    </w:tbl>
    <w:p w14:paraId="19217E87" w14:textId="77777777" w:rsidR="003A3B7D" w:rsidRPr="003A3B7D" w:rsidRDefault="003A3B7D" w:rsidP="003A3B7D">
      <w:pPr>
        <w:pStyle w:val="TableorFigurefootnote"/>
      </w:pPr>
      <w:bookmarkStart w:id="200" w:name="_Toc127367487"/>
      <w:r w:rsidRPr="003A3B7D">
        <w:lastRenderedPageBreak/>
        <w:t xml:space="preserve">a. Research Questions developed based on the following STC sections 14.1, 14.3, 14.4, 14.5, 14.6, 14.7, 14.9, 14.10, 14.16, and 14.17; </w:t>
      </w:r>
      <w:hyperlink r:id="rId36" w:history="1">
        <w:r w:rsidRPr="003A3B7D">
          <w:rPr>
            <w:rStyle w:val="Hyperlink"/>
          </w:rPr>
          <w:t>1115 MassHealth Demonstration ("Waiver") | Mass.gov</w:t>
        </w:r>
      </w:hyperlink>
    </w:p>
    <w:p w14:paraId="34FFC54E" w14:textId="77777777" w:rsidR="003A3B7D" w:rsidRPr="003A3B7D" w:rsidRDefault="003A3B7D" w:rsidP="003A3B7D">
      <w:pPr>
        <w:pStyle w:val="TableorFigurefootnote"/>
      </w:pPr>
      <w:r w:rsidRPr="003A3B7D">
        <w:t>b. Data sources are described in section 7.4.2 “Data Sources and Collection Methods” and in section 1.4.1 “Summary of Data Sources”</w:t>
      </w:r>
    </w:p>
    <w:p w14:paraId="0F2A6E47" w14:textId="4F9B2B88" w:rsidR="00807A3B" w:rsidRPr="0009132C" w:rsidRDefault="003A3B7D" w:rsidP="003A3B7D">
      <w:pPr>
        <w:pStyle w:val="TableorFigurefootnote"/>
        <w:sectPr w:rsidR="00807A3B" w:rsidRPr="0009132C" w:rsidSect="00744E1B">
          <w:pgSz w:w="15840" w:h="12240" w:orient="landscape"/>
          <w:pgMar w:top="1152" w:right="1152" w:bottom="1152" w:left="1152" w:header="720" w:footer="720" w:gutter="0"/>
          <w:cols w:space="720"/>
          <w:docGrid w:linePitch="360"/>
        </w:sectPr>
      </w:pPr>
      <w:r w:rsidRPr="003A3B7D">
        <w:t>c. Analytic methods are described below in section 7.4.5 “Analysis Methods”</w:t>
      </w:r>
    </w:p>
    <w:p w14:paraId="69D5494C" w14:textId="05BCC51F" w:rsidR="00807A3B" w:rsidRPr="0009132C" w:rsidRDefault="005B47F7" w:rsidP="008C4A1C">
      <w:pPr>
        <w:pStyle w:val="Heading2"/>
        <w:spacing w:before="0" w:beforeAutospacing="0"/>
      </w:pPr>
      <w:bookmarkStart w:id="201" w:name="_Data_and_Methods_2"/>
      <w:bookmarkStart w:id="202" w:name="_Toc130209730"/>
      <w:bookmarkEnd w:id="201"/>
      <w:r>
        <w:lastRenderedPageBreak/>
        <w:t xml:space="preserve"> </w:t>
      </w:r>
      <w:bookmarkStart w:id="203" w:name="_Toc151976441"/>
      <w:r w:rsidR="00807A3B" w:rsidRPr="0009132C">
        <w:t>Data and Methods</w:t>
      </w:r>
      <w:bookmarkEnd w:id="202"/>
      <w:bookmarkEnd w:id="203"/>
    </w:p>
    <w:p w14:paraId="3669C898" w14:textId="77777777" w:rsidR="00807A3B" w:rsidRPr="0009132C" w:rsidRDefault="00807A3B" w:rsidP="00EE4105">
      <w:pPr>
        <w:pStyle w:val="Heading3"/>
      </w:pPr>
      <w:r w:rsidRPr="0009132C">
        <w:t>Study Populations </w:t>
      </w:r>
    </w:p>
    <w:p w14:paraId="13413CD9" w14:textId="1333F1CA" w:rsidR="00807A3B" w:rsidRPr="0009132C" w:rsidRDefault="00807A3B" w:rsidP="008A3252">
      <w:pPr>
        <w:pStyle w:val="Heading4"/>
      </w:pPr>
      <w:r w:rsidRPr="0009132C">
        <w:t>MassHealth Staff and Contractors</w:t>
      </w:r>
    </w:p>
    <w:p w14:paraId="48C80B33" w14:textId="0809322D" w:rsidR="00807A3B" w:rsidRPr="0009132C" w:rsidRDefault="00807A3B" w:rsidP="008A6CE1">
      <w:r w:rsidRPr="0009132C">
        <w:t>The IE team will rely on MassHealth staff and contractors at both the programmatic and leadership levels to inform the evaluation of this initiative. We will collect data from individuals involved in the planning, implementation, and support of the HQEI via key informant interviews</w:t>
      </w:r>
      <w:r w:rsidR="00E03605" w:rsidRPr="0009132C">
        <w:t xml:space="preserve"> (KIIs)</w:t>
      </w:r>
      <w:r w:rsidRPr="0009132C">
        <w:t>.</w:t>
      </w:r>
    </w:p>
    <w:p w14:paraId="3D629079" w14:textId="1DD48F2B" w:rsidR="00807A3B" w:rsidRPr="009144C1" w:rsidRDefault="00807A3B" w:rsidP="008A3252">
      <w:pPr>
        <w:pStyle w:val="Heading4"/>
      </w:pPr>
      <w:r w:rsidRPr="0009132C">
        <w:t>Participating Hospital Staff</w:t>
      </w:r>
    </w:p>
    <w:p w14:paraId="094D4FD9" w14:textId="5F9878DE" w:rsidR="00807A3B" w:rsidRPr="0009132C" w:rsidRDefault="00807A3B" w:rsidP="008A6CE1">
      <w:r w:rsidRPr="0009132C">
        <w:t xml:space="preserve">The IE team will study participating hospitals' providers, leadership, and staff. The target providers will be any individuals delivering healthcare services to members and those who are involved in designing or implementing HQEI programming. Leaders </w:t>
      </w:r>
      <w:r w:rsidR="005E5037">
        <w:t>include</w:t>
      </w:r>
      <w:r w:rsidR="009B50FA">
        <w:t xml:space="preserve"> </w:t>
      </w:r>
      <w:r w:rsidRPr="0009132C">
        <w:t>executives and program leadership engaged in the design and implementation of the HQEI at their particular institution. Staff includes individuals responsible for the ingestion, transformation, and transmission of HRSN and demographic data from hospital systems to MassHealth and those who support the initiatives in an administrative role. The IE team will collect information from hospital personnel via key informant interviews. Interviewees may also include staff from partnering organizations (e.g., community-based organizations) when such organizations are working with hospitals to implement HQEI programming.</w:t>
      </w:r>
    </w:p>
    <w:p w14:paraId="75FCDBCB" w14:textId="14B0A4F0" w:rsidR="00807A3B" w:rsidRPr="0009132C" w:rsidRDefault="00807A3B" w:rsidP="008A3252">
      <w:pPr>
        <w:pStyle w:val="Heading4"/>
      </w:pPr>
      <w:r w:rsidRPr="0009132C">
        <w:t>MassHealth Members</w:t>
      </w:r>
    </w:p>
    <w:p w14:paraId="00890225" w14:textId="54251EEA" w:rsidR="00807A3B" w:rsidRPr="0009132C" w:rsidRDefault="2F9E67B9" w:rsidP="008A6CE1">
      <w:r>
        <w:t>T</w:t>
      </w:r>
      <w:r w:rsidR="00807A3B">
        <w:t xml:space="preserve">he HQEI has the potential to benefit Massachusetts residents in the communities served by participating hospitals, regardless of whether or not they have been hospitalized or their insurance status. The plausibility of measurable spillover effects of the HQEI for populations receiving hospital services, other than the specified targets of MassHealth members (applicable to all participating hospitals, including CHA) and </w:t>
      </w:r>
      <w:r w:rsidR="33FF55AB">
        <w:t xml:space="preserve">served </w:t>
      </w:r>
      <w:r w:rsidR="00807A3B">
        <w:t xml:space="preserve">uninsured residents of the Commonwealth (applicable to CHA), will be considered as additional information on MassHealth and participating hospital implementation and strategic plans become available. However, our primary population of interest will be the MassHealth members and uninsured residents of the Commonwealth who are the direct targets of the HQEI programming </w:t>
      </w:r>
      <w:r w:rsidR="001450AB">
        <w:t xml:space="preserve">— </w:t>
      </w:r>
      <w:r w:rsidR="2327795E">
        <w:t>i.e.,</w:t>
      </w:r>
      <w:r w:rsidR="00807A3B">
        <w:t xml:space="preserve"> those who receive inpatient or emergency department </w:t>
      </w:r>
      <w:r w:rsidR="008128A4">
        <w:t xml:space="preserve">(ED) </w:t>
      </w:r>
      <w:r w:rsidR="00807A3B">
        <w:t xml:space="preserve">services from a participating hospital. While we will study all individuals in this primary study population where appropriate (e.g., for measures of data reporting), we anticipate defining multiple study subpopulations corresponding to the target populations of HQEI programs (e.g., members whose primary language is not English), the denominators of quality and access measures (e.g., those with diabetes), and based on other characteristics of members (e.g., </w:t>
      </w:r>
      <w:r w:rsidR="003B0F49">
        <w:t>HRSN</w:t>
      </w:r>
      <w:r w:rsidR="00807A3B">
        <w:t xml:space="preserve">), their communities (e.g., area-level socioeconomic stress), or of participating hospitals (e.g., ACO affiliation). Attribution to a study population will be time-varying and determined consistent with measure technical specifications (e.g., an individual may be hospitalized and in the study population in 2023 but not in 2024). Furthermore, although participating hospitals are not expected to be targeting HQEI programming differentially based on the category of MassHealth enrollment, differences </w:t>
      </w:r>
      <w:r w:rsidR="00807A3B">
        <w:lastRenderedPageBreak/>
        <w:t xml:space="preserve">in data availability and quality between MassHealth managed care eligible members (for whom MassHealth is the primary payer) and other MassHealth members will likely necessitate stratified analyses and reporting by enrollment category for specific measures. </w:t>
      </w:r>
    </w:p>
    <w:p w14:paraId="2324019C" w14:textId="33A5C48E" w:rsidR="00807A3B" w:rsidRPr="0009132C" w:rsidRDefault="4DCE79F3" w:rsidP="3383C28C">
      <w:pPr>
        <w:pStyle w:val="Heading4"/>
        <w:rPr>
          <w:iCs w:val="0"/>
        </w:rPr>
      </w:pPr>
      <w:r w:rsidRPr="3383C28C">
        <w:rPr>
          <w:iCs w:val="0"/>
        </w:rPr>
        <w:t>Comparison Groups</w:t>
      </w:r>
    </w:p>
    <w:p w14:paraId="194268C5" w14:textId="5CB81C95" w:rsidR="0010281E" w:rsidRDefault="5C776985" w:rsidP="3383C28C">
      <w:r w:rsidRPr="3383C28C">
        <w:t xml:space="preserve">We will use several comparison groups, following the general principle of selecting comparator populations that most closely resemble the populations exposed to specific Demonstration policies and programs. Due to systematic differences between Medicaid members and commercial enrollees and between interstate policy environments, we plan to primarily draw comparison groups from within the MassHealth program while also exploring opportunities to obtain and leverage data from </w:t>
      </w:r>
      <w:r w:rsidR="1B368652" w:rsidRPr="3383C28C">
        <w:t xml:space="preserve">other </w:t>
      </w:r>
      <w:r w:rsidRPr="3383C28C">
        <w:t xml:space="preserve">Medicaid programs. </w:t>
      </w:r>
      <w:r w:rsidR="5D242398" w:rsidRPr="3383C28C">
        <w:t xml:space="preserve">Accessing </w:t>
      </w:r>
      <w:r w:rsidR="3A72938F" w:rsidRPr="3383C28C">
        <w:t xml:space="preserve">individual-level member </w:t>
      </w:r>
      <w:r w:rsidR="5D242398" w:rsidRPr="3383C28C">
        <w:t>data</w:t>
      </w:r>
      <w:r w:rsidR="622CCEC9" w:rsidRPr="3383C28C">
        <w:t xml:space="preserve"> from other states</w:t>
      </w:r>
      <w:r w:rsidR="5D242398" w:rsidRPr="3383C28C">
        <w:t xml:space="preserve"> is challenging</w:t>
      </w:r>
      <w:r w:rsidR="622CCEC9" w:rsidRPr="3383C28C">
        <w:t xml:space="preserve"> </w:t>
      </w:r>
      <w:r w:rsidR="5D242398" w:rsidRPr="3383C28C">
        <w:t xml:space="preserve">due to privacy </w:t>
      </w:r>
      <w:r w:rsidR="622CCEC9" w:rsidRPr="3383C28C">
        <w:t xml:space="preserve">and security </w:t>
      </w:r>
      <w:r w:rsidR="5D242398" w:rsidRPr="3383C28C">
        <w:t>rules</w:t>
      </w:r>
      <w:r w:rsidR="622CCEC9" w:rsidRPr="3383C28C">
        <w:t xml:space="preserve">, </w:t>
      </w:r>
      <w:r w:rsidR="235F94FE" w:rsidRPr="3383C28C">
        <w:t>capacity constraints, and requirements that sharing such data produce</w:t>
      </w:r>
      <w:r w:rsidR="004937A9">
        <w:t>s</w:t>
      </w:r>
      <w:r w:rsidR="235F94FE" w:rsidRPr="3383C28C">
        <w:t xml:space="preserve"> </w:t>
      </w:r>
      <w:r w:rsidR="5779E613" w:rsidRPr="3383C28C">
        <w:t>information that is deemed of value to the other state sharing data.</w:t>
      </w:r>
      <w:r w:rsidR="5D242398" w:rsidRPr="3383C28C">
        <w:t xml:space="preserve"> </w:t>
      </w:r>
      <w:r w:rsidR="3A72938F" w:rsidRPr="3383C28C">
        <w:t xml:space="preserve">We </w:t>
      </w:r>
      <w:r w:rsidR="6C873559" w:rsidRPr="3383C28C">
        <w:t xml:space="preserve">expect to use publicly available data from the Hospital Cost and Utilization Project (HCUP) to make comparisons to other state Medicaid program members for measures that can be calculated </w:t>
      </w:r>
      <w:r w:rsidR="18B426F2" w:rsidRPr="3383C28C">
        <w:t xml:space="preserve">and compared using </w:t>
      </w:r>
      <w:r w:rsidR="004937A9" w:rsidRPr="3383C28C">
        <w:t>individual</w:t>
      </w:r>
      <w:r w:rsidR="004937A9">
        <w:t>-</w:t>
      </w:r>
      <w:r w:rsidR="18B426F2" w:rsidRPr="3383C28C">
        <w:t xml:space="preserve">level data </w:t>
      </w:r>
      <w:r w:rsidR="6C873559" w:rsidRPr="3383C28C">
        <w:t>from HCUP data</w:t>
      </w:r>
      <w:r w:rsidR="18B426F2" w:rsidRPr="3383C28C">
        <w:t xml:space="preserve"> </w:t>
      </w:r>
      <w:r w:rsidR="2FD1F320" w:rsidRPr="3383C28C">
        <w:t>(</w:t>
      </w:r>
      <w:r w:rsidR="18B426F2" w:rsidRPr="3383C28C">
        <w:t>namely the hospital readmissions measure</w:t>
      </w:r>
      <w:r w:rsidR="5CC87B2D" w:rsidRPr="3383C28C">
        <w:t>)</w:t>
      </w:r>
      <w:r w:rsidR="55EBC9AC" w:rsidRPr="3383C28C">
        <w:t xml:space="preserve"> and for measures that can</w:t>
      </w:r>
      <w:r w:rsidR="79391E12" w:rsidRPr="3383C28C">
        <w:t xml:space="preserve"> only</w:t>
      </w:r>
      <w:r w:rsidR="55EBC9AC" w:rsidRPr="3383C28C">
        <w:t xml:space="preserve"> be compared using aggregate</w:t>
      </w:r>
      <w:r w:rsidR="6D51D5CC" w:rsidRPr="3383C28C">
        <w:t>d</w:t>
      </w:r>
      <w:r w:rsidR="55EBC9AC" w:rsidRPr="3383C28C">
        <w:t xml:space="preserve"> data</w:t>
      </w:r>
      <w:r w:rsidR="79391E12" w:rsidRPr="3383C28C">
        <w:t xml:space="preserve"> because individual level denominator data is not available</w:t>
      </w:r>
      <w:r w:rsidR="55EBC9AC" w:rsidRPr="3383C28C">
        <w:t xml:space="preserve"> (</w:t>
      </w:r>
      <w:r w:rsidR="00346AB4" w:rsidRPr="3383C28C">
        <w:t>e.g.</w:t>
      </w:r>
      <w:r w:rsidR="004937A9">
        <w:t>,</w:t>
      </w:r>
      <w:r w:rsidR="00346AB4" w:rsidRPr="3383C28C">
        <w:t xml:space="preserve"> ED</w:t>
      </w:r>
      <w:r w:rsidR="55EBC9AC" w:rsidRPr="3383C28C">
        <w:t xml:space="preserve"> visits, maternal mortality, </w:t>
      </w:r>
      <w:r w:rsidR="0000524A">
        <w:t>C</w:t>
      </w:r>
      <w:r w:rsidR="79391E12" w:rsidRPr="3383C28C">
        <w:t xml:space="preserve">-sections). </w:t>
      </w:r>
      <w:r w:rsidR="53660F47" w:rsidRPr="3383C28C">
        <w:t xml:space="preserve">We will explore </w:t>
      </w:r>
      <w:r w:rsidR="2EB4BEB6" w:rsidRPr="3383C28C">
        <w:t xml:space="preserve">the </w:t>
      </w:r>
      <w:r w:rsidR="162073F1" w:rsidRPr="3383C28C">
        <w:t>feasibility</w:t>
      </w:r>
      <w:r w:rsidR="53660F47" w:rsidRPr="3383C28C">
        <w:t xml:space="preserve"> of creating synthetic controls from other states with </w:t>
      </w:r>
      <w:r w:rsidR="1EA7130A" w:rsidRPr="3383C28C">
        <w:t xml:space="preserve">the most </w:t>
      </w:r>
      <w:r w:rsidR="53660F47" w:rsidRPr="3383C28C">
        <w:t xml:space="preserve">similar policy environments </w:t>
      </w:r>
      <w:r w:rsidR="2EB4BEB6" w:rsidRPr="3383C28C">
        <w:t>for these measures</w:t>
      </w:r>
      <w:r w:rsidR="6D51D5CC" w:rsidRPr="3383C28C">
        <w:t xml:space="preserve"> that will be calculated using aggregated data</w:t>
      </w:r>
      <w:r w:rsidR="2EB4BEB6" w:rsidRPr="3383C28C">
        <w:t>.</w:t>
      </w:r>
      <w:r w:rsidR="1EA7130A" w:rsidRPr="3383C28C">
        <w:t xml:space="preserve"> However,</w:t>
      </w:r>
      <w:r w:rsidR="162073F1" w:rsidRPr="3383C28C">
        <w:t xml:space="preserve"> the appropriateness of this approach is uncertain because</w:t>
      </w:r>
      <w:r w:rsidR="1EA7130A" w:rsidRPr="3383C28C">
        <w:t xml:space="preserve"> Massachusetts has a unique policy environment </w:t>
      </w:r>
      <w:r w:rsidR="0D65855D" w:rsidRPr="3383C28C">
        <w:t xml:space="preserve">and a </w:t>
      </w:r>
      <w:r w:rsidR="009C2AA0">
        <w:t>healthcare</w:t>
      </w:r>
      <w:r w:rsidR="0D65855D" w:rsidRPr="3383C28C">
        <w:t xml:space="preserve"> system that falls in the tails of the distribution for </w:t>
      </w:r>
      <w:r w:rsidR="140705BC" w:rsidRPr="3383C28C">
        <w:t xml:space="preserve">coverage, </w:t>
      </w:r>
      <w:r w:rsidR="2EACA630" w:rsidRPr="3383C28C">
        <w:t xml:space="preserve">delivery system reform efforts, </w:t>
      </w:r>
      <w:r w:rsidR="0D65855D" w:rsidRPr="3383C28C">
        <w:t>cost</w:t>
      </w:r>
      <w:r w:rsidR="140705BC" w:rsidRPr="3383C28C">
        <w:t>,</w:t>
      </w:r>
      <w:r w:rsidR="0D65855D" w:rsidRPr="3383C28C">
        <w:t xml:space="preserve"> and quality</w:t>
      </w:r>
      <w:r w:rsidR="2EACA630" w:rsidRPr="3383C28C">
        <w:t>,</w:t>
      </w:r>
      <w:r w:rsidR="2FB7DE6F" w:rsidRPr="3383C28C">
        <w:t xml:space="preserve"> which </w:t>
      </w:r>
      <w:r w:rsidR="2EACA630" w:rsidRPr="3383C28C">
        <w:t>raises concerns</w:t>
      </w:r>
      <w:r w:rsidR="7E1EE27B" w:rsidRPr="3383C28C">
        <w:t xml:space="preserve"> that a pool of other states cannot satisfy assumptions of the method needed to represent a true counterfactual and may introduce</w:t>
      </w:r>
      <w:r w:rsidR="0B4886EA" w:rsidRPr="3383C28C">
        <w:t xml:space="preserve"> interpolation bias</w:t>
      </w:r>
      <w:r w:rsidR="46714082" w:rsidRPr="3383C28C">
        <w:t>.</w:t>
      </w:r>
      <w:r w:rsidR="0095727C" w:rsidRPr="00EC56D3">
        <w:rPr>
          <w:rStyle w:val="FootnoteReference"/>
        </w:rPr>
        <w:footnoteReference w:id="144"/>
      </w:r>
    </w:p>
    <w:p w14:paraId="3BAAD04F" w14:textId="5177BC68" w:rsidR="00E9768D" w:rsidRPr="0009132C" w:rsidRDefault="5C776985" w:rsidP="00EC56D3">
      <w:r w:rsidRPr="3383C28C">
        <w:t>If available, we will draw comparison groups from private acute care hospitals in Massachusetts that are not participating in the HQEI</w:t>
      </w:r>
      <w:r w:rsidR="733B5CC5" w:rsidRPr="3383C28C">
        <w:t xml:space="preserve"> or that are delayed in implementation</w:t>
      </w:r>
      <w:r w:rsidRPr="3383C28C">
        <w:t>.</w:t>
      </w:r>
      <w:r w:rsidR="150461F0" w:rsidRPr="3383C28C">
        <w:t xml:space="preserve"> We will seek to leverage situations conducive to quasi-experimental methods that support stronger levels of inference, such as phased implementation, when possible.</w:t>
      </w:r>
      <w:r w:rsidRPr="3383C28C">
        <w:t xml:space="preserve"> However,</w:t>
      </w:r>
      <w:r w:rsidR="150461F0" w:rsidRPr="3383C28C">
        <w:t xml:space="preserve"> to our knowledge</w:t>
      </w:r>
      <w:r w:rsidR="0000524A">
        <w:t>,</w:t>
      </w:r>
      <w:r w:rsidR="150461F0" w:rsidRPr="3383C28C">
        <w:t xml:space="preserve"> implementation has not been delayed </w:t>
      </w:r>
      <w:r w:rsidR="42099ABD" w:rsidRPr="3383C28C">
        <w:t>for any existing hospital</w:t>
      </w:r>
      <w:r w:rsidR="0000524A">
        <w:t>,</w:t>
      </w:r>
      <w:r w:rsidR="42099ABD" w:rsidRPr="3383C28C">
        <w:t xml:space="preserve"> </w:t>
      </w:r>
      <w:r w:rsidR="150461F0" w:rsidRPr="3383C28C">
        <w:t>and</w:t>
      </w:r>
      <w:r w:rsidRPr="3383C28C">
        <w:t xml:space="preserve"> participation in the HQEI</w:t>
      </w:r>
      <w:r w:rsidR="28F8AFDC" w:rsidRPr="3383C28C">
        <w:t xml:space="preserve"> is</w:t>
      </w:r>
      <w:r w:rsidR="733B5CC5" w:rsidRPr="3383C28C">
        <w:t xml:space="preserve"> </w:t>
      </w:r>
      <w:r w:rsidR="00B85D3B">
        <w:t>ubiquitous</w:t>
      </w:r>
      <w:r w:rsidR="150461F0" w:rsidRPr="3383C28C">
        <w:t>. W</w:t>
      </w:r>
      <w:r w:rsidR="4132FD87" w:rsidRPr="3383C28C">
        <w:t>hen data are available</w:t>
      </w:r>
      <w:r w:rsidR="0000524A">
        <w:t>,</w:t>
      </w:r>
      <w:r w:rsidR="4132FD87" w:rsidRPr="3383C28C">
        <w:t xml:space="preserve"> </w:t>
      </w:r>
      <w:r w:rsidRPr="3383C28C">
        <w:t>we will use historical comparison groups</w:t>
      </w:r>
      <w:r w:rsidR="4132FD87" w:rsidRPr="3383C28C">
        <w:t>, but we recognize that HRSN and sociodemographic data elements will often not be availabl</w:t>
      </w:r>
      <w:r w:rsidR="64205469" w:rsidRPr="3383C28C">
        <w:t>e</w:t>
      </w:r>
      <w:r w:rsidR="4132FD87" w:rsidRPr="3383C28C">
        <w:t xml:space="preserve"> or </w:t>
      </w:r>
      <w:r w:rsidR="07921817" w:rsidRPr="3383C28C">
        <w:t xml:space="preserve">will be </w:t>
      </w:r>
      <w:r w:rsidR="64205469" w:rsidRPr="3383C28C">
        <w:t>incomplete</w:t>
      </w:r>
      <w:r w:rsidR="150461F0" w:rsidRPr="3383C28C">
        <w:t xml:space="preserve"> </w:t>
      </w:r>
      <w:r w:rsidR="209C46EC" w:rsidRPr="3383C28C">
        <w:t xml:space="preserve">for periods </w:t>
      </w:r>
      <w:r w:rsidR="150461F0" w:rsidRPr="3383C28C">
        <w:t>before the HQEI</w:t>
      </w:r>
      <w:r w:rsidR="3BFB3736" w:rsidRPr="3383C28C">
        <w:t xml:space="preserve"> implementation</w:t>
      </w:r>
      <w:r w:rsidR="64205469" w:rsidRPr="3383C28C">
        <w:t>.</w:t>
      </w:r>
      <w:r w:rsidRPr="3383C28C">
        <w:t xml:space="preserve"> </w:t>
      </w:r>
      <w:r w:rsidR="3EBE462B" w:rsidRPr="3383C28C">
        <w:t xml:space="preserve">Since the HQEI grants hospitals autonomy to design their own programs tailored </w:t>
      </w:r>
      <w:r w:rsidR="41E0D37E" w:rsidRPr="3383C28C">
        <w:t xml:space="preserve">to </w:t>
      </w:r>
      <w:r w:rsidR="3EBE462B" w:rsidRPr="3383C28C">
        <w:t>the needs and priorities of their patient populations, local communities, and organization</w:t>
      </w:r>
      <w:r w:rsidR="283FA57E" w:rsidRPr="3383C28C">
        <w:t>s</w:t>
      </w:r>
      <w:r w:rsidR="3EBE462B" w:rsidRPr="3383C28C">
        <w:t xml:space="preserve">, we anticipate </w:t>
      </w:r>
      <w:r w:rsidR="3161855E" w:rsidRPr="3383C28C">
        <w:t xml:space="preserve">that variation in the types of programs and targeted populations implemented will facilitate </w:t>
      </w:r>
      <w:r w:rsidR="00E938BC">
        <w:t xml:space="preserve">the </w:t>
      </w:r>
      <w:r w:rsidR="3161855E" w:rsidRPr="3383C28C">
        <w:t>use of</w:t>
      </w:r>
      <w:r w:rsidRPr="3383C28C">
        <w:t xml:space="preserve"> contemporary comparison groups of members who closely resemble those exposed to </w:t>
      </w:r>
      <w:r w:rsidR="3161855E" w:rsidRPr="3383C28C">
        <w:t xml:space="preserve">specific </w:t>
      </w:r>
      <w:r w:rsidRPr="3383C28C">
        <w:t>HQEI programs but who were not exposed</w:t>
      </w:r>
      <w:r w:rsidR="3161855E" w:rsidRPr="3383C28C">
        <w:t xml:space="preserve"> because they visited a hospital with </w:t>
      </w:r>
      <w:r w:rsidR="3161855E" w:rsidRPr="3383C28C">
        <w:lastRenderedPageBreak/>
        <w:t>a sufficiently distinct set of HQEI programs</w:t>
      </w:r>
      <w:r w:rsidRPr="3383C28C">
        <w:t>.</w:t>
      </w:r>
      <w:r w:rsidR="3161855E" w:rsidRPr="3383C28C">
        <w:t xml:space="preserve"> </w:t>
      </w:r>
      <w:r w:rsidR="25D2A52B" w:rsidRPr="3383C28C">
        <w:t xml:space="preserve">Such comparisons will be conservative, as all hospitals will implement some overlapping HQEI </w:t>
      </w:r>
      <w:r w:rsidR="546E82AE" w:rsidRPr="3383C28C">
        <w:t>elements (e.g., data collection and reporting, strategic planning).</w:t>
      </w:r>
      <w:r w:rsidRPr="3383C28C">
        <w:t xml:space="preserve"> </w:t>
      </w:r>
      <w:r w:rsidR="733B5CC5" w:rsidRPr="3383C28C">
        <w:t xml:space="preserve">Another potential </w:t>
      </w:r>
      <w:r w:rsidR="150461F0" w:rsidRPr="3383C28C">
        <w:t xml:space="preserve">secondary </w:t>
      </w:r>
      <w:r w:rsidR="733B5CC5" w:rsidRPr="3383C28C">
        <w:t>comparison group</w:t>
      </w:r>
      <w:r w:rsidRPr="3383C28C">
        <w:t xml:space="preserve"> may include individuals who were not hospitalized but who had a similar probability of being hospitalized to members who were hospitalized.</w:t>
      </w:r>
    </w:p>
    <w:p w14:paraId="42158334" w14:textId="3475FB6B" w:rsidR="00807A3B" w:rsidRPr="0009132C" w:rsidRDefault="00807A3B" w:rsidP="00EE4105">
      <w:pPr>
        <w:pStyle w:val="Heading3"/>
      </w:pPr>
      <w:bookmarkStart w:id="204" w:name="_Data_Sources_and_3"/>
      <w:bookmarkEnd w:id="204"/>
      <w:r w:rsidRPr="0009132C">
        <w:t>Data Sources and Collection Methods</w:t>
      </w:r>
    </w:p>
    <w:p w14:paraId="04D49883" w14:textId="62164F69" w:rsidR="00807A3B" w:rsidRDefault="00807A3B" w:rsidP="008A6CE1">
      <w:r w:rsidRPr="0009132C">
        <w:t xml:space="preserve">The IE team will rely on several types of data sources described in </w:t>
      </w:r>
      <w:hyperlink w:anchor="_Summary_of_Data" w:history="1">
        <w:r w:rsidR="005B47F7">
          <w:rPr>
            <w:rStyle w:val="Hyperlink"/>
            <w:rFonts w:eastAsia="Arial"/>
          </w:rPr>
          <w:t>Section 1.4.1 Summary of Data Sources</w:t>
        </w:r>
      </w:hyperlink>
      <w:r w:rsidRPr="0009132C">
        <w:t xml:space="preserve"> to evaluate the effectiveness and implementation of the HQEI program. The specific utility of each source and its relation to the HQEI </w:t>
      </w:r>
      <w:r w:rsidR="00E03605" w:rsidRPr="0009132C">
        <w:t>RQs</w:t>
      </w:r>
      <w:r w:rsidRPr="0009132C">
        <w:t xml:space="preserve"> and evaluation plan is detailed below.</w:t>
      </w:r>
    </w:p>
    <w:p w14:paraId="6AEB97C7" w14:textId="2B731D0F" w:rsidR="00807A3B" w:rsidRPr="0009132C" w:rsidRDefault="00807A3B" w:rsidP="008A3252">
      <w:pPr>
        <w:pStyle w:val="Heading4"/>
      </w:pPr>
      <w:r w:rsidRPr="0009132C">
        <w:t>K</w:t>
      </w:r>
      <w:r w:rsidR="008128A4" w:rsidRPr="0009132C">
        <w:t>IIs</w:t>
      </w:r>
    </w:p>
    <w:p w14:paraId="6B2AA45A" w14:textId="0B9A677E" w:rsidR="00807A3B" w:rsidRPr="0009132C" w:rsidRDefault="00807A3B" w:rsidP="008A6CE1">
      <w:r w:rsidRPr="0009132C">
        <w:t>KIIs will be conducted with MassHealth staff and contractors, as well as hospital leadership and staff and MassHealth members. They may be in an individual or group format and will be conducted virtually via Zoom or a similar platform in two waves, as described below.</w:t>
      </w:r>
      <w:r w:rsidR="0042371D">
        <w:t xml:space="preserve"> Open-ended </w:t>
      </w:r>
      <w:r w:rsidR="00064AB9">
        <w:t>surveys</w:t>
      </w:r>
      <w:r w:rsidR="0042371D">
        <w:t xml:space="preserve"> will also be used for </w:t>
      </w:r>
      <w:r w:rsidR="00283DEB">
        <w:t xml:space="preserve">some </w:t>
      </w:r>
      <w:r w:rsidR="0042371D">
        <w:t>participants</w:t>
      </w:r>
      <w:r w:rsidR="00C844B9">
        <w:t xml:space="preserve"> </w:t>
      </w:r>
      <w:r w:rsidR="0042371D">
        <w:t xml:space="preserve">where </w:t>
      </w:r>
      <w:r w:rsidR="00283DEB">
        <w:t>the information content is expected to be similar between modalities</w:t>
      </w:r>
      <w:r w:rsidR="00E97E74">
        <w:t xml:space="preserve"> based on the type of respondent and information being collected</w:t>
      </w:r>
      <w:r w:rsidR="00283DEB">
        <w:t>.</w:t>
      </w:r>
      <w:r w:rsidRPr="0009132C">
        <w:t xml:space="preserve"> </w:t>
      </w:r>
      <w:r w:rsidRPr="0009132C">
        <w:rPr>
          <w:rFonts w:eastAsia="Arial"/>
        </w:rPr>
        <w:t>The decision regarding individual versus group interview procedures will be made based on the focus or topic of the interview, the number and types of relevant HQEI programs to be covered in the interview, and to minimize the burden to organizations and members. Consideration will be given to individuals’ communication preferences, particularly members receiving Long</w:t>
      </w:r>
      <w:r w:rsidR="005B47F7">
        <w:rPr>
          <w:rFonts w:eastAsia="Arial"/>
        </w:rPr>
        <w:t>-</w:t>
      </w:r>
      <w:r w:rsidRPr="0009132C">
        <w:rPr>
          <w:rFonts w:eastAsia="Arial"/>
        </w:rPr>
        <w:t xml:space="preserve">Term Services and Supports (LTSS), who may prefer to be interviewed individually or use the video chat function rather than communicate verbally. </w:t>
      </w:r>
      <w:r w:rsidRPr="0009132C">
        <w:t xml:space="preserve">Participants will submit a background survey to provide demographic data and additional information about their roles, responsibilities, and training as applicable and appropriate. KIIs will provide insight into how MassHealth supports </w:t>
      </w:r>
      <w:r w:rsidR="00781071">
        <w:t>HQEI</w:t>
      </w:r>
      <w:r w:rsidRPr="0009132C">
        <w:t>s (</w:t>
      </w:r>
      <w:r w:rsidRPr="008534BB">
        <w:t>RQ</w:t>
      </w:r>
      <w:r w:rsidR="002758F9">
        <w:t>6-</w:t>
      </w:r>
      <w:r w:rsidRPr="008534BB">
        <w:t>1</w:t>
      </w:r>
      <w:r w:rsidRPr="0009132C">
        <w:t>), how participating hospitals implement them (</w:t>
      </w:r>
      <w:r w:rsidRPr="008534BB">
        <w:t>RQ</w:t>
      </w:r>
      <w:r w:rsidR="002758F9">
        <w:t>6-</w:t>
      </w:r>
      <w:r w:rsidRPr="008534BB">
        <w:t>2</w:t>
      </w:r>
      <w:r w:rsidRPr="0009132C">
        <w:t>), and the implications for member experience (</w:t>
      </w:r>
      <w:r w:rsidRPr="008534BB">
        <w:t>RQ</w:t>
      </w:r>
      <w:r w:rsidR="002758F9">
        <w:t>6-</w:t>
      </w:r>
      <w:r w:rsidRPr="008534BB">
        <w:t>4, RQ</w:t>
      </w:r>
      <w:r w:rsidR="002758F9">
        <w:t>6-</w:t>
      </w:r>
      <w:r w:rsidRPr="008534BB">
        <w:t>5</w:t>
      </w:r>
      <w:r w:rsidRPr="0009132C">
        <w:t xml:space="preserve">). They will also allow the IE team to explore MassHealth and hospital leadership perspectives on the costs and benefits of implementing HQEI programs, </w:t>
      </w:r>
      <w:r w:rsidR="00AE0349">
        <w:t xml:space="preserve">the </w:t>
      </w:r>
      <w:r w:rsidRPr="0009132C">
        <w:t>facilitators and barriers to continuing them, and to identify sustainable programs (</w:t>
      </w:r>
      <w:r w:rsidRPr="008534BB">
        <w:t>RQ</w:t>
      </w:r>
      <w:r w:rsidR="002758F9">
        <w:t>6-</w:t>
      </w:r>
      <w:r w:rsidRPr="008534BB">
        <w:t>6</w:t>
      </w:r>
      <w:r w:rsidRPr="0009132C">
        <w:t xml:space="preserve">). </w:t>
      </w:r>
    </w:p>
    <w:p w14:paraId="5DF002A9" w14:textId="2952D067" w:rsidR="00807A3B" w:rsidRPr="0009132C" w:rsidRDefault="00807A3B" w:rsidP="008A6CE1">
      <w:r w:rsidRPr="0009132C">
        <w:t>In the second year of the evaluation (2024), we will conduct interviews with individuals in staff and leadership positions involved in the HQEI implementation at participating hospitals. We anticipate all 61 acute care hospitals will participate but presently lack information on their governance structures</w:t>
      </w:r>
      <w:r w:rsidR="00C07E23">
        <w:t>,</w:t>
      </w:r>
      <w:r w:rsidRPr="0009132C">
        <w:t xml:space="preserve"> HQEI staffing plans, and their Health Equity Strategic Plans. However, we are estimating 50-70 interviews (</w:t>
      </w:r>
      <w:r w:rsidR="00E03605" w:rsidRPr="0009132C">
        <w:t>one to two</w:t>
      </w:r>
      <w:r w:rsidRPr="0009132C">
        <w:t xml:space="preserve"> per hospital or group of affiliated hospitals) per wave, which may be adjusted as more information becomes available. The focus of the first wave of interviews will be experiences with and perspectives on developing their strategic plans, conducting needs assessments, engaging MassHealth and community members, and infrastructure development necessary to provide more equitable and culturally appropriate care, including the implementation of HRSN and demographic data collection systems and staff and provider training. The second wave, to be conducted between 2026-2027, will examine how these new programs have enabled participating hospitals to provide accessible, </w:t>
      </w:r>
      <w:r w:rsidRPr="0009132C">
        <w:lastRenderedPageBreak/>
        <w:t xml:space="preserve">culturally appropriate care and to reduce disparities. The interviews will address HQEI program implementation progress, barriers and facilitators, perceived costs and benefits of implementing HQEI programs, and perspectives on sustainability. </w:t>
      </w:r>
    </w:p>
    <w:p w14:paraId="5BA2F1DF" w14:textId="77777777" w:rsidR="00807A3B" w:rsidRPr="0009132C" w:rsidRDefault="00807A3B" w:rsidP="008A6CE1">
      <w:r w:rsidRPr="0009132C">
        <w:t xml:space="preserve">Thirty interviews will be held with MassHealth members between 2024-2025 and again in 2026-2027. We will purposefully sample a diverse set of participants across hospitals and program types to better understand the breadth of perceptions of care and access. These interviews will complement and help with the interpretation of findings from administrative and clinical data and allow for a more nuanced understanding of how members perceive the initiative, their hospital care, and the impacts it has on their health and social risk factors. </w:t>
      </w:r>
    </w:p>
    <w:p w14:paraId="1525E81B" w14:textId="77777777" w:rsidR="00807A3B" w:rsidRPr="0009132C" w:rsidRDefault="00807A3B" w:rsidP="008A6CE1">
      <w:r w:rsidRPr="0009132C">
        <w:t xml:space="preserve">The IE team will also schedule two waves of about five interviews each with MassHealth staff and leadership, which are expected to be completed in 2025 and 2027. These interviews will provide an opportunity for key personnel involved in the design and implementation of the HQEI policies to share their experiences, assess barriers and facilitators, and reflect on the program's sustainability and potential future directions. </w:t>
      </w:r>
    </w:p>
    <w:p w14:paraId="6A462375" w14:textId="09CD3C66" w:rsidR="00807A3B" w:rsidRPr="0009132C" w:rsidRDefault="00807A3B" w:rsidP="008A6CE1">
      <w:r w:rsidRPr="0009132C">
        <w:t xml:space="preserve">Interview protocols for all three key informant categories will be developed with input from MassHealth and representatives from each group. Interview and focus group guides will be informed by the Consolidated Framework for Implementation Research (CFIR) and by </w:t>
      </w:r>
      <w:r w:rsidRPr="0009132C">
        <w:rPr>
          <w:rFonts w:eastAsia="Arial"/>
        </w:rPr>
        <w:t>the Comprehensive Theory of Integration (CTI) conceptual model.</w:t>
      </w:r>
      <w:r w:rsidRPr="0009132C">
        <w:rPr>
          <w:rStyle w:val="FootnoteReference"/>
          <w:rFonts w:eastAsia="Arial"/>
        </w:rPr>
        <w:footnoteReference w:id="145"/>
      </w:r>
      <w:r w:rsidR="00E03605" w:rsidRPr="0009132C">
        <w:rPr>
          <w:rStyle w:val="FootnoteReference"/>
        </w:rPr>
        <w:t>,</w:t>
      </w:r>
      <w:r w:rsidRPr="0009132C">
        <w:rPr>
          <w:rStyle w:val="FootnoteReference"/>
        </w:rPr>
        <w:footnoteReference w:id="146"/>
      </w:r>
      <w:r w:rsidRPr="0009132C">
        <w:t xml:space="preserve"> </w:t>
      </w:r>
      <w:r w:rsidRPr="0009132C">
        <w:rPr>
          <w:rFonts w:eastAsia="Arial"/>
        </w:rPr>
        <w:t>The CTI defines integration as “a set of organizational and social features and course of action or activities requiring unification that may exist both within and between organizations</w:t>
      </w:r>
      <w:r w:rsidR="00E4647F">
        <w:rPr>
          <w:rFonts w:eastAsia="Arial"/>
        </w:rPr>
        <w:t>,</w:t>
      </w:r>
      <w:r w:rsidRPr="0009132C">
        <w:rPr>
          <w:rFonts w:eastAsia="Arial"/>
        </w:rPr>
        <w:t xml:space="preserve">” and it is described further in </w:t>
      </w:r>
      <w:hyperlink w:anchor="_Delivery_System_Reform" w:history="1">
        <w:r w:rsidRPr="00F33472">
          <w:rPr>
            <w:rStyle w:val="Hyperlink"/>
            <w:rFonts w:eastAsia="Arial"/>
          </w:rPr>
          <w:t>Chapter 3</w:t>
        </w:r>
      </w:hyperlink>
      <w:r w:rsidR="004D5813" w:rsidRPr="0009132C">
        <w:rPr>
          <w:rFonts w:eastAsia="Arial"/>
        </w:rPr>
        <w:t xml:space="preserve"> </w:t>
      </w:r>
      <w:r w:rsidR="00F33472">
        <w:rPr>
          <w:rFonts w:eastAsia="Arial"/>
        </w:rPr>
        <w:t>(</w:t>
      </w:r>
      <w:r w:rsidR="00434F19" w:rsidRPr="0009132C">
        <w:rPr>
          <w:rFonts w:eastAsia="Arial"/>
        </w:rPr>
        <w:t>Delivery System Reform</w:t>
      </w:r>
      <w:r w:rsidR="00F33472">
        <w:rPr>
          <w:rFonts w:eastAsia="Arial"/>
        </w:rPr>
        <w:t>)</w:t>
      </w:r>
      <w:r w:rsidRPr="0009132C">
        <w:rPr>
          <w:rFonts w:eastAsia="Arial"/>
        </w:rPr>
        <w:t xml:space="preserve">. </w:t>
      </w:r>
      <w:r w:rsidRPr="0009132C">
        <w:t>CFIR integrates dissemination and integration theories into five implementation domains (Innovation</w:t>
      </w:r>
      <w:r w:rsidR="006D1195">
        <w:t>,</w:t>
      </w:r>
      <w:r w:rsidR="006D1195" w:rsidRPr="0009132C">
        <w:t xml:space="preserve"> </w:t>
      </w:r>
      <w:r w:rsidRPr="0009132C">
        <w:t>Outer Setting</w:t>
      </w:r>
      <w:r w:rsidR="006D1195">
        <w:t>,</w:t>
      </w:r>
      <w:r w:rsidR="006D1195" w:rsidRPr="0009132C">
        <w:t xml:space="preserve"> </w:t>
      </w:r>
      <w:r w:rsidRPr="0009132C">
        <w:t>Inner Setting</w:t>
      </w:r>
      <w:r w:rsidR="006D1195">
        <w:t>,</w:t>
      </w:r>
      <w:r w:rsidR="006D1195" w:rsidRPr="0009132C">
        <w:t xml:space="preserve"> </w:t>
      </w:r>
      <w:r w:rsidRPr="0009132C">
        <w:t>Individuals</w:t>
      </w:r>
      <w:r w:rsidR="006D1195">
        <w:t>,</w:t>
      </w:r>
      <w:r w:rsidR="006D1195" w:rsidRPr="0009132C">
        <w:t xml:space="preserve"> </w:t>
      </w:r>
      <w:r w:rsidRPr="0009132C">
        <w:t>and Implementation Process). Both frameworks are relevant for the HQEI, which will be newly implemented and seeks to promote inter and intra-organizational coordination. We will work with MassHealth and participating hospitals to identify, recruit, and schedule participants for the interviews, with an eye towards diversity and a representation of differing viewpoints in the sample selection.</w:t>
      </w:r>
    </w:p>
    <w:p w14:paraId="1FCB1C91" w14:textId="1685497A" w:rsidR="00807A3B" w:rsidRDefault="00807A3B" w:rsidP="008A6CE1">
      <w:r w:rsidRPr="0009132C">
        <w:t>KII interview transcripts will be analyzed using a qualitative data analysis software program for analyzing qualitative and mixed</w:t>
      </w:r>
      <w:r w:rsidR="00376420">
        <w:t xml:space="preserve"> </w:t>
      </w:r>
      <w:r w:rsidRPr="0009132C">
        <w:t xml:space="preserve">methods data. The IE team will code the interviews to identify common themes that answer the research questions and provide insight into the various domains of the initiative. Analysts will work together in pairs to establish coding methodology, and once an agreement is reached and </w:t>
      </w:r>
      <w:r w:rsidR="0072327D">
        <w:t xml:space="preserve">is </w:t>
      </w:r>
      <w:r w:rsidRPr="0009132C">
        <w:t xml:space="preserve">reliability maintained, they will be able to work independently. </w:t>
      </w:r>
    </w:p>
    <w:p w14:paraId="4ED9EE81" w14:textId="77777777" w:rsidR="00E44194" w:rsidRPr="00E44194" w:rsidRDefault="00E44194" w:rsidP="00E44194"/>
    <w:p w14:paraId="4E13B114" w14:textId="13DBA735" w:rsidR="00807A3B" w:rsidRPr="0009132C" w:rsidRDefault="00807A3B" w:rsidP="008A3252">
      <w:pPr>
        <w:pStyle w:val="Heading4"/>
      </w:pPr>
      <w:r w:rsidRPr="0009132C">
        <w:lastRenderedPageBreak/>
        <w:t>Document Review</w:t>
      </w:r>
    </w:p>
    <w:p w14:paraId="647D3444" w14:textId="0358F5BB" w:rsidR="00807A3B" w:rsidRPr="0009132C" w:rsidRDefault="00807A3B" w:rsidP="008A6CE1">
      <w:r w:rsidRPr="0009132C">
        <w:t xml:space="preserve">The evaluation team expects to review various existing documents </w:t>
      </w:r>
      <w:r w:rsidR="002168A3">
        <w:t>throughout</w:t>
      </w:r>
      <w:r w:rsidRPr="0009132C">
        <w:t xml:space="preserve"> the Demonstration to obtain data on participating entities’ plans and progress in implementing HQEI programs and the state’s progress in implementing supports for the HQEI.</w:t>
      </w:r>
    </w:p>
    <w:p w14:paraId="324AF30A" w14:textId="4E939ABE" w:rsidR="00807A3B" w:rsidRPr="0009132C" w:rsidRDefault="00807A3B" w:rsidP="008A6CE1">
      <w:r w:rsidRPr="0009132C">
        <w:t xml:space="preserve">Participating hospitals must submit several documents to MassHealth. </w:t>
      </w:r>
      <w:r w:rsidR="5266ECD5" w:rsidRPr="0009132C">
        <w:t>A s</w:t>
      </w:r>
      <w:r w:rsidRPr="0009132C">
        <w:t xml:space="preserve">ummary of HQEI Performance Expectations for Performance Year 1 </w:t>
      </w:r>
      <w:r w:rsidR="71C4C0D6" w:rsidRPr="0009132C">
        <w:t xml:space="preserve">is </w:t>
      </w:r>
      <w:r w:rsidRPr="0009132C">
        <w:t>detailed in the PY1 HQEI Implementation Plan</w:t>
      </w:r>
      <w:r w:rsidR="00E858B7" w:rsidRPr="0009132C">
        <w:t xml:space="preserve"> (pending CMS </w:t>
      </w:r>
      <w:r w:rsidR="00491CDB" w:rsidRPr="0009132C">
        <w:t>approval)</w:t>
      </w:r>
      <w:r w:rsidRPr="0009132C">
        <w:t>.</w:t>
      </w:r>
      <w:r w:rsidRPr="0009132C">
        <w:rPr>
          <w:rStyle w:val="FootnoteReference"/>
        </w:rPr>
        <w:footnoteReference w:id="147"/>
      </w:r>
      <w:r w:rsidRPr="0009132C">
        <w:t xml:space="preserve"> Relevant documents for HQEI evaluation include:</w:t>
      </w:r>
    </w:p>
    <w:p w14:paraId="005A946A" w14:textId="77777777" w:rsidR="00807A3B" w:rsidRPr="00D95773" w:rsidRDefault="487272C7" w:rsidP="00D95773">
      <w:pPr>
        <w:pStyle w:val="Bullet1"/>
      </w:pPr>
      <w:r>
        <w:t>Participation and Collaboration Attestations</w:t>
      </w:r>
    </w:p>
    <w:p w14:paraId="2DFC4874" w14:textId="77777777" w:rsidR="00807A3B" w:rsidRPr="00D95773" w:rsidRDefault="487272C7" w:rsidP="00D95773">
      <w:pPr>
        <w:pStyle w:val="Bullet1"/>
      </w:pPr>
      <w:r>
        <w:t>Qualified Interpreters Attestation</w:t>
      </w:r>
    </w:p>
    <w:p w14:paraId="4274487C" w14:textId="3CD6BDBE" w:rsidR="00807A3B" w:rsidRPr="00D95773" w:rsidRDefault="05A96B0C" w:rsidP="00D95773">
      <w:pPr>
        <w:pStyle w:val="Bullet1"/>
      </w:pPr>
      <w:r>
        <w:t xml:space="preserve">Race, ethnicity, language, disability, </w:t>
      </w:r>
      <w:r w:rsidR="6656B983">
        <w:t xml:space="preserve">sexual </w:t>
      </w:r>
      <w:r>
        <w:t>orientation, and gender identity (</w:t>
      </w:r>
      <w:r w:rsidR="487272C7">
        <w:t>RELDSOGI</w:t>
      </w:r>
      <w:r>
        <w:t>)</w:t>
      </w:r>
      <w:r w:rsidR="487272C7">
        <w:t xml:space="preserve"> Assessment</w:t>
      </w:r>
    </w:p>
    <w:p w14:paraId="020D83B5" w14:textId="3FD0EA2F" w:rsidR="00807A3B" w:rsidRPr="00D95773" w:rsidRDefault="487272C7" w:rsidP="00D95773">
      <w:pPr>
        <w:pStyle w:val="Bullet1"/>
      </w:pPr>
      <w:r>
        <w:t>H</w:t>
      </w:r>
      <w:r w:rsidR="455A6987">
        <w:t>RSN</w:t>
      </w:r>
      <w:r>
        <w:t xml:space="preserve"> Assessment</w:t>
      </w:r>
    </w:p>
    <w:p w14:paraId="5B82753E" w14:textId="511A9216" w:rsidR="00807A3B" w:rsidRPr="00D95773" w:rsidRDefault="487272C7" w:rsidP="00D95773">
      <w:pPr>
        <w:pStyle w:val="Bullet1"/>
      </w:pPr>
      <w:r>
        <w:t>Disability Competency</w:t>
      </w:r>
      <w:r w:rsidR="548654A9">
        <w:t xml:space="preserve"> Deliverables</w:t>
      </w:r>
      <w:r>
        <w:t xml:space="preserve"> </w:t>
      </w:r>
    </w:p>
    <w:p w14:paraId="36D8B819" w14:textId="77777777" w:rsidR="00807A3B" w:rsidRPr="00D95773" w:rsidRDefault="487272C7" w:rsidP="00D95773">
      <w:pPr>
        <w:pStyle w:val="Bullet1"/>
      </w:pPr>
      <w:r>
        <w:t>Health Equity Strategic Plan</w:t>
      </w:r>
    </w:p>
    <w:p w14:paraId="331B6921" w14:textId="77777777" w:rsidR="00807A3B" w:rsidRPr="00D95773" w:rsidRDefault="487272C7" w:rsidP="00D95773">
      <w:pPr>
        <w:pStyle w:val="Bullet1"/>
      </w:pPr>
      <w:r>
        <w:t>Plan for Screening for Social Drivers of Health and Selection of a screening tool</w:t>
      </w:r>
    </w:p>
    <w:p w14:paraId="3D9CECDB" w14:textId="77777777" w:rsidR="00807A3B" w:rsidRPr="00D95773" w:rsidRDefault="487272C7" w:rsidP="00D95773">
      <w:pPr>
        <w:pStyle w:val="Bullet1"/>
      </w:pPr>
      <w:r>
        <w:t>Quarterly reports on the ACO-partnered performance improvement plan</w:t>
      </w:r>
    </w:p>
    <w:p w14:paraId="11723B20" w14:textId="77777777" w:rsidR="00807A3B" w:rsidRPr="00D95773" w:rsidRDefault="487272C7" w:rsidP="00D95773">
      <w:pPr>
        <w:pStyle w:val="Bullet1"/>
      </w:pPr>
      <w:r>
        <w:t>Accommodation needs report and plan for improvement</w:t>
      </w:r>
    </w:p>
    <w:p w14:paraId="178DA139" w14:textId="252BCEF6" w:rsidR="00807A3B" w:rsidRPr="00D95773" w:rsidRDefault="487272C7" w:rsidP="00D95773">
      <w:pPr>
        <w:pStyle w:val="Bullet1"/>
      </w:pPr>
      <w:r>
        <w:t>Attestation of TJC surveys for health equity accreditation standards</w:t>
      </w:r>
    </w:p>
    <w:p w14:paraId="2F6EBF3B" w14:textId="0503E16F" w:rsidR="00807A3B" w:rsidRPr="0009132C" w:rsidRDefault="00807A3B" w:rsidP="008A6CE1">
      <w:r>
        <w:t>The IE team will evaluate documents on a</w:t>
      </w:r>
      <w:r w:rsidR="002232D5">
        <w:t xml:space="preserve">n ongoing </w:t>
      </w:r>
      <w:r>
        <w:t xml:space="preserve">basis as they are made known and available from MassHealth. It is anticipated that similar documents will be required in future performance years, and the evaluation team will review them in the manner described below in </w:t>
      </w:r>
      <w:r w:rsidR="00693CE4" w:rsidRPr="00693CE4">
        <w:rPr>
          <w:color w:val="000F9F"/>
          <w:u w:val="single"/>
        </w:rPr>
        <w:t>S</w:t>
      </w:r>
      <w:r w:rsidR="00693CE4" w:rsidRPr="004B1623">
        <w:rPr>
          <w:color w:val="000F9F"/>
          <w:u w:val="single"/>
        </w:rPr>
        <w:t xml:space="preserve">ection </w:t>
      </w:r>
      <w:r w:rsidR="00693CE4" w:rsidRPr="004B1623">
        <w:rPr>
          <w:color w:val="000F9F"/>
          <w:u w:val="single"/>
        </w:rPr>
        <w:fldChar w:fldCharType="begin"/>
      </w:r>
      <w:r w:rsidR="00693CE4" w:rsidRPr="004B1623">
        <w:rPr>
          <w:color w:val="000F9F"/>
          <w:u w:val="single"/>
        </w:rPr>
        <w:instrText xml:space="preserve"> REF _Ref151470803 \w \h </w:instrText>
      </w:r>
      <w:r w:rsidR="00693CE4" w:rsidRPr="004B1623">
        <w:rPr>
          <w:color w:val="000F9F"/>
          <w:u w:val="single"/>
        </w:rPr>
      </w:r>
      <w:r w:rsidR="00693CE4" w:rsidRPr="004B1623">
        <w:rPr>
          <w:color w:val="000F9F"/>
          <w:u w:val="single"/>
        </w:rPr>
        <w:fldChar w:fldCharType="separate"/>
      </w:r>
      <w:r w:rsidR="00693CE4" w:rsidRPr="004B1623">
        <w:rPr>
          <w:color w:val="000F9F"/>
          <w:u w:val="single"/>
        </w:rPr>
        <w:t>7.4.5</w:t>
      </w:r>
      <w:r w:rsidR="00693CE4" w:rsidRPr="004B1623">
        <w:rPr>
          <w:color w:val="000F9F"/>
          <w:u w:val="single"/>
        </w:rPr>
        <w:fldChar w:fldCharType="end"/>
      </w:r>
      <w:r w:rsidR="00693CE4" w:rsidRPr="004B1623">
        <w:rPr>
          <w:color w:val="000F9F"/>
          <w:u w:val="single"/>
        </w:rPr>
        <w:t xml:space="preserve"> </w:t>
      </w:r>
      <w:r w:rsidR="00693CE4" w:rsidRPr="00693CE4">
        <w:rPr>
          <w:color w:val="000F9F"/>
          <w:u w:val="single"/>
        </w:rPr>
        <w:fldChar w:fldCharType="begin"/>
      </w:r>
      <w:r w:rsidR="00693CE4" w:rsidRPr="00693CE4">
        <w:rPr>
          <w:color w:val="000F9F"/>
          <w:u w:val="single"/>
        </w:rPr>
        <w:instrText xml:space="preserve"> REF _Ref151470803 \h </w:instrText>
      </w:r>
      <w:r w:rsidR="00693CE4" w:rsidRPr="00693CE4">
        <w:rPr>
          <w:color w:val="000F9F"/>
          <w:u w:val="single"/>
        </w:rPr>
      </w:r>
      <w:r w:rsidR="00693CE4" w:rsidRPr="00693CE4">
        <w:rPr>
          <w:color w:val="000F9F"/>
          <w:u w:val="single"/>
        </w:rPr>
        <w:fldChar w:fldCharType="separate"/>
      </w:r>
      <w:r w:rsidR="00693CE4" w:rsidRPr="004B1623">
        <w:rPr>
          <w:color w:val="000F9F"/>
          <w:u w:val="single"/>
        </w:rPr>
        <w:t>Analysis Methods</w:t>
      </w:r>
      <w:r w:rsidR="00693CE4" w:rsidRPr="00693CE4">
        <w:rPr>
          <w:color w:val="000F9F"/>
          <w:u w:val="single"/>
        </w:rPr>
        <w:fldChar w:fldCharType="end"/>
      </w:r>
      <w:r>
        <w:t>.</w:t>
      </w:r>
    </w:p>
    <w:p w14:paraId="46AB04C3" w14:textId="04E8A235" w:rsidR="00807A3B" w:rsidRPr="0009132C" w:rsidRDefault="00807A3B" w:rsidP="008A3252">
      <w:pPr>
        <w:pStyle w:val="Heading4"/>
      </w:pPr>
      <w:r w:rsidRPr="0009132C">
        <w:t xml:space="preserve">Administrative </w:t>
      </w:r>
      <w:r w:rsidR="00DB52B1" w:rsidRPr="0009132C">
        <w:t xml:space="preserve">and Other </w:t>
      </w:r>
      <w:r w:rsidRPr="0009132C">
        <w:t>Data Files</w:t>
      </w:r>
    </w:p>
    <w:p w14:paraId="29E28DE0" w14:textId="30ED8878" w:rsidR="00807A3B" w:rsidRPr="0009132C" w:rsidRDefault="4DCE79F3" w:rsidP="008A6CE1">
      <w:r>
        <w:t>Administrative data files include eligibility, enrollment, and claims and encounter data, along with clinical or other data submitted by hospitals to support the calculation of quality metrics. CHIA-enhanced demographic data files will indicate if hospitals meet targets in capturing self-reported demographics and screening members for HRSNs (RQ</w:t>
      </w:r>
      <w:r w:rsidR="646C408D">
        <w:t>6-</w:t>
      </w:r>
      <w:r>
        <w:t>3). MassHealth encounter and MassHealth Medicaid Management Information System (MMIS) claims data will support analyses of patterns in quality and access to care (RQ</w:t>
      </w:r>
      <w:r w:rsidR="646C408D">
        <w:t>6-</w:t>
      </w:r>
      <w:r>
        <w:t>4), including the identification of gaps or disparities and their eventual improvement or closure through the implementation of this program (RQ</w:t>
      </w:r>
      <w:r w:rsidR="646C408D">
        <w:t>6-</w:t>
      </w:r>
      <w:r>
        <w:t>2, RQ</w:t>
      </w:r>
      <w:r w:rsidR="646C408D">
        <w:t>6-</w:t>
      </w:r>
      <w:r>
        <w:t>4).</w:t>
      </w:r>
      <w:r w:rsidR="2C1725B8">
        <w:t xml:space="preserve"> </w:t>
      </w:r>
      <w:r w:rsidR="4E82D5B6">
        <w:t xml:space="preserve">When </w:t>
      </w:r>
      <w:r w:rsidR="006E05E9">
        <w:t>individual-</w:t>
      </w:r>
      <w:r w:rsidR="4E82D5B6">
        <w:t>level</w:t>
      </w:r>
      <w:r w:rsidR="0B8773EA">
        <w:t xml:space="preserve"> </w:t>
      </w:r>
      <w:r w:rsidR="4E82D5B6">
        <w:t xml:space="preserve">data </w:t>
      </w:r>
      <w:r w:rsidR="005B47F7">
        <w:t xml:space="preserve">are </w:t>
      </w:r>
      <w:r w:rsidR="62B51554">
        <w:t xml:space="preserve">substantially incomplete for </w:t>
      </w:r>
      <w:r w:rsidR="550BE490">
        <w:t xml:space="preserve">certain </w:t>
      </w:r>
      <w:r w:rsidR="58F77E99">
        <w:t>socio</w:t>
      </w:r>
      <w:r w:rsidR="550BE490">
        <w:t xml:space="preserve">demographic data elements (e.g., race/ethnicity), </w:t>
      </w:r>
      <w:r w:rsidR="16E378A8">
        <w:t>imputed data</w:t>
      </w:r>
      <w:r w:rsidR="6A308981">
        <w:t xml:space="preserve"> (e.g., from area-level data sources such as the Census)</w:t>
      </w:r>
      <w:r w:rsidR="16E378A8">
        <w:t xml:space="preserve"> </w:t>
      </w:r>
      <w:r w:rsidR="58F77E99">
        <w:t xml:space="preserve">will </w:t>
      </w:r>
      <w:r w:rsidR="658F1202">
        <w:t>also</w:t>
      </w:r>
      <w:r w:rsidR="16E378A8">
        <w:t xml:space="preserve"> be used</w:t>
      </w:r>
      <w:r w:rsidR="58F77E99">
        <w:t xml:space="preserve"> when such missingness is extensive</w:t>
      </w:r>
      <w:r w:rsidR="00E308D7">
        <w:t>. S</w:t>
      </w:r>
      <w:r w:rsidR="54ADC6A4">
        <w:t xml:space="preserve">ensitivity </w:t>
      </w:r>
      <w:r w:rsidR="54ADC6A4">
        <w:lastRenderedPageBreak/>
        <w:t>analyses will be performed to examine the robustness of findings to alternative assumptions regarding missingness mechanisms and analytic approaches to accounting for missingness</w:t>
      </w:r>
      <w:r w:rsidR="658F1202">
        <w:t>.</w:t>
      </w:r>
    </w:p>
    <w:p w14:paraId="73698677" w14:textId="000AD83D" w:rsidR="00807A3B" w:rsidRPr="0009132C" w:rsidRDefault="00807A3B" w:rsidP="008A3252">
      <w:pPr>
        <w:pStyle w:val="Heading4"/>
      </w:pPr>
      <w:r w:rsidRPr="0009132C">
        <w:t>Survey Data</w:t>
      </w:r>
    </w:p>
    <w:p w14:paraId="325876FF" w14:textId="02041AC3" w:rsidR="00807A3B" w:rsidRPr="0009132C" w:rsidRDefault="00807A3B" w:rsidP="003C6C8F">
      <w:r w:rsidRPr="0009132C">
        <w:t>Aggregate results of required Hospital Consumer Assessment of Healthcare Providers and Systems (HCAHPS) surveys of MassHealth members receiving services from participating hospitals will be used to better understand their hospital care experience during HQEI implementation. These surveys cover domains including communication with nurses and doctors, the experience of care, care transition, hospital rating, and recommendation</w:t>
      </w:r>
      <w:r w:rsidR="002A38C8">
        <w:t>s</w:t>
      </w:r>
      <w:r w:rsidRPr="0009132C">
        <w:t>. MassHealth may also add questions to these surveys related to health equity.</w:t>
      </w:r>
    </w:p>
    <w:p w14:paraId="06D9E08B" w14:textId="77777777" w:rsidR="00807A3B" w:rsidRPr="0009132C" w:rsidRDefault="00807A3B" w:rsidP="00EE4105">
      <w:pPr>
        <w:pStyle w:val="Heading3"/>
      </w:pPr>
      <w:r w:rsidRPr="0009132C">
        <w:t xml:space="preserve">Measures </w:t>
      </w:r>
    </w:p>
    <w:p w14:paraId="6F87E80B" w14:textId="0DCDB65C" w:rsidR="00807A3B" w:rsidRPr="0009132C" w:rsidRDefault="00807A3B" w:rsidP="008A6CE1">
      <w:r>
        <w:t xml:space="preserve">The measures used to evaluate the HQEI policy domain are listed in </w:t>
      </w:r>
      <w:r w:rsidR="001450AB" w:rsidRPr="004B1623">
        <w:rPr>
          <w:color w:val="000F9F"/>
          <w:u w:val="single"/>
        </w:rPr>
        <w:fldChar w:fldCharType="begin"/>
      </w:r>
      <w:r w:rsidR="001450AB" w:rsidRPr="004B1623">
        <w:rPr>
          <w:color w:val="000F9F"/>
          <w:u w:val="single"/>
        </w:rPr>
        <w:instrText xml:space="preserve"> REF _Ref151469304 \h </w:instrText>
      </w:r>
      <w:r w:rsidR="001450AB" w:rsidRPr="004B1623">
        <w:rPr>
          <w:color w:val="000F9F"/>
          <w:u w:val="single"/>
        </w:rPr>
      </w:r>
      <w:r w:rsidR="001450AB" w:rsidRPr="004B1623">
        <w:rPr>
          <w:color w:val="000F9F"/>
          <w:u w:val="single"/>
        </w:rPr>
        <w:fldChar w:fldCharType="separate"/>
      </w:r>
      <w:r w:rsidR="001450AB" w:rsidRPr="004B1623">
        <w:rPr>
          <w:color w:val="000F9F"/>
          <w:u w:val="single"/>
        </w:rPr>
        <w:t xml:space="preserve">Table </w:t>
      </w:r>
      <w:r w:rsidR="001450AB" w:rsidRPr="004B1623">
        <w:rPr>
          <w:noProof/>
          <w:color w:val="000F9F"/>
          <w:u w:val="single"/>
        </w:rPr>
        <w:t>7</w:t>
      </w:r>
      <w:r w:rsidR="001450AB" w:rsidRPr="004B1623">
        <w:rPr>
          <w:color w:val="000F9F"/>
          <w:u w:val="single"/>
        </w:rPr>
        <w:noBreakHyphen/>
      </w:r>
      <w:r w:rsidR="001450AB" w:rsidRPr="004B1623">
        <w:rPr>
          <w:noProof/>
          <w:color w:val="000F9F"/>
          <w:u w:val="single"/>
        </w:rPr>
        <w:t>3</w:t>
      </w:r>
      <w:r w:rsidR="001450AB" w:rsidRPr="004B1623">
        <w:rPr>
          <w:color w:val="000F9F"/>
          <w:u w:val="single"/>
        </w:rPr>
        <w:fldChar w:fldCharType="end"/>
      </w:r>
      <w:r>
        <w:t xml:space="preserve"> according to the research question. Additional measures may be specified</w:t>
      </w:r>
      <w:r w:rsidR="005B47F7">
        <w:t xml:space="preserve"> </w:t>
      </w:r>
      <w:r w:rsidR="00070F1F">
        <w:t xml:space="preserve">— </w:t>
      </w:r>
      <w:r>
        <w:t>informed by details of MassHealth</w:t>
      </w:r>
      <w:r w:rsidR="37F94C1F">
        <w:t>’s</w:t>
      </w:r>
      <w:r>
        <w:t xml:space="preserve"> </w:t>
      </w:r>
      <w:r w:rsidR="5B675B28">
        <w:t>HQEI</w:t>
      </w:r>
      <w:r>
        <w:t xml:space="preserve"> </w:t>
      </w:r>
      <w:r w:rsidR="05EF4469">
        <w:t xml:space="preserve">PY1-5 </w:t>
      </w:r>
      <w:r>
        <w:t xml:space="preserve">Implementation Plan </w:t>
      </w:r>
      <w:r w:rsidR="00B0392C">
        <w:t>(pending CMS approval)</w:t>
      </w:r>
      <w:r>
        <w:t xml:space="preserve"> and hospital strategic plans as they become available. </w:t>
      </w:r>
    </w:p>
    <w:p w14:paraId="4BDDED00" w14:textId="77777777" w:rsidR="00807A3B" w:rsidRPr="0009132C" w:rsidRDefault="00807A3B" w:rsidP="008A6CE1">
      <w:r w:rsidRPr="0009132C">
        <w:t>Qualitative measures will capture information on actions taken by participating hospitals to implement HQEI policies and procedures provided by MassHealth to improve the quality of care and advance health equity. Participating entities are expected to take actions to upgrade or create health information systems to ingest self-reported demographic and HRSN data, to establish culturally competent processes for members to report demographic and HRSN data, for providers and staff to access and use recorded data, to update staff workflows, to recruit and retain staff and providers to implement HQEI initiatives, and to develop and implement staff training and other HQEI programming. Qualitative analyses will also produce information on changes in the approach to delivering services and support and improving health equity from the perspective of members, providers, staff, and organizational leaders. For participating entities, we will examine the facilitators and barriers to designing, implementing, and sustaining HQEI programs and perspectives regarding modifications needed to successfully deliver equitable, person-centered care. </w:t>
      </w:r>
    </w:p>
    <w:p w14:paraId="1BD9EE59" w14:textId="77777777" w:rsidR="00807A3B" w:rsidRPr="0009132C" w:rsidRDefault="00807A3B" w:rsidP="008A6CE1">
      <w:r w:rsidRPr="0009132C">
        <w:t>Quantitative measures hypothesized to be affected by the HQEI policy domain initiatives that can be operationalized using data collected from primary sources (e.g., HCAHPS surveys) or made available for the evaluation will be studied. Quality measures will be drawn from the following sources:</w:t>
      </w:r>
    </w:p>
    <w:p w14:paraId="12997B8A" w14:textId="77777777" w:rsidR="00807A3B" w:rsidRPr="0009132C" w:rsidRDefault="487272C7" w:rsidP="008A6CE1">
      <w:pPr>
        <w:pStyle w:val="Bullet1"/>
      </w:pPr>
      <w:r>
        <w:t>MassHealth HQEI Slate</w:t>
      </w:r>
    </w:p>
    <w:p w14:paraId="2525213F" w14:textId="77777777" w:rsidR="00807A3B" w:rsidRPr="0009132C" w:rsidRDefault="487272C7" w:rsidP="008A6CE1">
      <w:pPr>
        <w:pStyle w:val="Bullet1"/>
      </w:pPr>
      <w:r>
        <w:t>CMS Health Equity Slate (once available)</w:t>
      </w:r>
    </w:p>
    <w:p w14:paraId="6EA59715" w14:textId="469D1F87" w:rsidR="00807A3B" w:rsidRPr="005C24BA" w:rsidRDefault="487272C7" w:rsidP="00363FC3">
      <w:pPr>
        <w:pStyle w:val="Bullet1"/>
        <w:spacing w:after="360"/>
      </w:pPr>
      <w:r>
        <w:t xml:space="preserve">National quality measure stewards </w:t>
      </w:r>
      <w:r w:rsidR="2142E5B0">
        <w:t>(e.g., AHRQ, NCQA)</w:t>
      </w:r>
    </w:p>
    <w:p w14:paraId="61A1FBA9" w14:textId="77777777" w:rsidR="00807A3B" w:rsidRDefault="00807A3B" w:rsidP="003C6C8F">
      <w:r w:rsidRPr="0009132C">
        <w:t xml:space="preserve">Quantitative data will also be examined to better understand changes in data collection rates, disparity reductions, healthcare utilization rates, and costs. </w:t>
      </w:r>
    </w:p>
    <w:p w14:paraId="6E19A62E" w14:textId="77777777" w:rsidR="001E1D39" w:rsidRPr="003A3E29" w:rsidRDefault="52CAFF0E" w:rsidP="3383C28C">
      <w:pPr>
        <w:pStyle w:val="Heading3"/>
        <w:numPr>
          <w:ilvl w:val="2"/>
          <w:numId w:val="8"/>
        </w:numPr>
        <w:ind w:left="1987"/>
      </w:pPr>
      <w:r>
        <w:lastRenderedPageBreak/>
        <w:t>Covariates</w:t>
      </w:r>
    </w:p>
    <w:p w14:paraId="690911DE" w14:textId="16DAA68B" w:rsidR="001E1D39" w:rsidRPr="003A3E29" w:rsidRDefault="001E1D39" w:rsidP="3383C28C">
      <w:r>
        <w:t>For analyses conducted at the individual (member) level using administrative data</w:t>
      </w:r>
      <w:r w:rsidR="00A95036">
        <w:t>,</w:t>
      </w:r>
      <w:r>
        <w:t xml:space="preserve"> we will draw from a consistent set of characteristics</w:t>
      </w:r>
      <w:r w:rsidR="005A3857">
        <w:t xml:space="preserve"> </w:t>
      </w:r>
      <w:r w:rsidR="003433B3">
        <w:t xml:space="preserve">including </w:t>
      </w:r>
      <w:r w:rsidR="00070F1F">
        <w:t xml:space="preserve">— </w:t>
      </w:r>
      <w:r>
        <w:t xml:space="preserve">age, </w:t>
      </w:r>
      <w:r w:rsidR="00A149DA">
        <w:t>race, ethnicity, languag</w:t>
      </w:r>
      <w:r w:rsidR="00E57985">
        <w:t xml:space="preserve">e, </w:t>
      </w:r>
      <w:r w:rsidR="00770C15">
        <w:t>sex,</w:t>
      </w:r>
      <w:r w:rsidR="00E57985">
        <w:t xml:space="preserve"> </w:t>
      </w:r>
      <w:r>
        <w:t>sex</w:t>
      </w:r>
      <w:r w:rsidR="00671E3E">
        <w:t>ual</w:t>
      </w:r>
      <w:r>
        <w:t xml:space="preserve"> </w:t>
      </w:r>
      <w:r w:rsidR="00E57985">
        <w:t>orientation</w:t>
      </w:r>
      <w:r w:rsidR="00E94BAC">
        <w:t>, gender identity,</w:t>
      </w:r>
      <w:r w:rsidR="00D77AB3">
        <w:t xml:space="preserve"> </w:t>
      </w:r>
      <w:r>
        <w:t xml:space="preserve">disability status (either client of the Massachusetts </w:t>
      </w:r>
      <w:r w:rsidR="00014872">
        <w:t>DMH</w:t>
      </w:r>
      <w:r>
        <w:t xml:space="preserve"> </w:t>
      </w:r>
      <w:r w:rsidR="00205F74">
        <w:t>or</w:t>
      </w:r>
      <w:r>
        <w:t xml:space="preserve"> the </w:t>
      </w:r>
      <w:r w:rsidR="00205F74">
        <w:t>DDS</w:t>
      </w:r>
      <w:r>
        <w:t xml:space="preserve">, or eligible for Medicaid due to disability), housing problems (either </w:t>
      </w:r>
      <w:r w:rsidR="005B47F7">
        <w:t>more than three</w:t>
      </w:r>
      <w:r>
        <w:t xml:space="preserve"> addresses in the year or homelessness by ICD-10 code), the Neighborhood Stress Score, the DxCG medical morbidity summary score, and the RxCG drug-based medical morbidity summary score. A narrower set of characteristics may be used for specific analyses as applicable (e.g., subgroup analyses among women would not use sex as a covariate). </w:t>
      </w:r>
    </w:p>
    <w:p w14:paraId="1BFF65DD" w14:textId="4B10CD85" w:rsidR="001E1D39" w:rsidRPr="003A3E29" w:rsidRDefault="001E1D39" w:rsidP="3383C28C">
      <w:r>
        <w:t>Analyses conducted at the ACO level (or that incorporate clustering at the ACO level) will include covariates such as ACO type (academic hospital-anchored, community hospital anchored, physician-anchored), ACO size (</w:t>
      </w:r>
      <w:r w:rsidR="005B47F7">
        <w:t>number</w:t>
      </w:r>
      <w:r>
        <w:t xml:space="preserve"> of MassHealth members, number of total enrollees across all payers), region, and experience with risk-based contracts with Medicare and commercial payers.</w:t>
      </w:r>
      <w:r w:rsidR="00E64A55">
        <w:t xml:space="preserve"> Analysis conducted at the hospital level will include covariates such as type (</w:t>
      </w:r>
      <w:r w:rsidR="00312FEC">
        <w:t xml:space="preserve">academic medical center, teaching hospital, community hospital,  and </w:t>
      </w:r>
      <w:r w:rsidR="00051C00">
        <w:t>specialty</w:t>
      </w:r>
      <w:r w:rsidR="00312FEC">
        <w:t xml:space="preserve"> hospital</w:t>
      </w:r>
      <w:r w:rsidR="00E64A55">
        <w:t>)</w:t>
      </w:r>
      <w:r w:rsidR="00312FEC">
        <w:t xml:space="preserve">, </w:t>
      </w:r>
      <w:r w:rsidR="009B3E20">
        <w:t>payer mix,</w:t>
      </w:r>
      <w:r w:rsidR="00312FEC">
        <w:t xml:space="preserve"> </w:t>
      </w:r>
      <w:r w:rsidR="00ED746E">
        <w:t xml:space="preserve">level of </w:t>
      </w:r>
      <w:r w:rsidR="00051C00">
        <w:t>acuity (acute, acute critical access, acute sole</w:t>
      </w:r>
      <w:r w:rsidR="0089152F">
        <w:t xml:space="preserve"> community, non-acute), </w:t>
      </w:r>
      <w:r w:rsidR="0064626B">
        <w:t>trauma center designation (</w:t>
      </w:r>
      <w:r w:rsidR="001774ED">
        <w:t xml:space="preserve">Level 1, 2, 3), </w:t>
      </w:r>
      <w:r w:rsidR="009B3E20">
        <w:t>profit or non-profit status</w:t>
      </w:r>
      <w:r w:rsidR="001774ED">
        <w:t xml:space="preserve">, </w:t>
      </w:r>
      <w:r w:rsidR="0089152F">
        <w:t>hospital size (</w:t>
      </w:r>
      <w:r w:rsidR="005B47F7">
        <w:t>number</w:t>
      </w:r>
      <w:r w:rsidR="0089152F">
        <w:t xml:space="preserve"> of MassHealth members, number of total enrollees across all payers), </w:t>
      </w:r>
      <w:r w:rsidR="00ED746E">
        <w:t>acuity of patients (</w:t>
      </w:r>
      <w:r w:rsidR="00F550E8">
        <w:t xml:space="preserve">case mix), </w:t>
      </w:r>
      <w:r w:rsidR="004C72A4">
        <w:t>region,</w:t>
      </w:r>
      <w:r w:rsidR="00D97428">
        <w:t xml:space="preserve"> </w:t>
      </w:r>
      <w:r w:rsidR="001774ED">
        <w:t xml:space="preserve">and </w:t>
      </w:r>
      <w:r w:rsidR="009B3E20">
        <w:t>profit margin</w:t>
      </w:r>
      <w:r w:rsidR="001774ED">
        <w:t>.</w:t>
      </w:r>
    </w:p>
    <w:p w14:paraId="1E406620" w14:textId="77777777" w:rsidR="00807A3B" w:rsidRPr="0009132C" w:rsidRDefault="487272C7" w:rsidP="00EE4105">
      <w:pPr>
        <w:pStyle w:val="Heading3"/>
      </w:pPr>
      <w:bookmarkStart w:id="205" w:name="_Ref151470803"/>
      <w:r>
        <w:t>Analysis Methods</w:t>
      </w:r>
      <w:bookmarkEnd w:id="205"/>
    </w:p>
    <w:p w14:paraId="279AAA66" w14:textId="7D504C8B" w:rsidR="00807A3B" w:rsidRPr="0009132C" w:rsidRDefault="00807A3B" w:rsidP="008A6CE1">
      <w:r w:rsidRPr="0009132C">
        <w:t xml:space="preserve">Mixed qualitative and quantitative methods will be used to answer the </w:t>
      </w:r>
      <w:r w:rsidR="00E03605" w:rsidRPr="0009132C">
        <w:t xml:space="preserve">RQs </w:t>
      </w:r>
      <w:r w:rsidRPr="0009132C">
        <w:t xml:space="preserve">in the HQEI policy domain. </w:t>
      </w:r>
      <w:r w:rsidR="001B6A82" w:rsidRPr="0009132C">
        <w:t xml:space="preserve">Quantitative analyses will examine the impact of HQEI program implementation on changes in quality and outcomes. </w:t>
      </w:r>
      <w:r w:rsidRPr="0009132C">
        <w:t xml:space="preserve">Qualitative approaches, including semi-structured interviews and/or focus groups with key stakeholders, will support an understanding of stakeholder perspectives related to policy implementation activities, context, and outcomes. Interviews will also provide a contextual understanding of factors that help explain quantitative metrics changes. </w:t>
      </w:r>
    </w:p>
    <w:p w14:paraId="0337725A" w14:textId="77777777" w:rsidR="001B6A82" w:rsidRPr="0009132C" w:rsidRDefault="001B6A82" w:rsidP="001B6A82">
      <w:pPr>
        <w:pStyle w:val="Heading4"/>
      </w:pPr>
      <w:r w:rsidRPr="0009132C">
        <w:t>Quantitative Analyses</w:t>
      </w:r>
    </w:p>
    <w:p w14:paraId="012A880B" w14:textId="77777777" w:rsidR="001B6A82" w:rsidRPr="0009132C" w:rsidRDefault="001B6A82" w:rsidP="001B6A82">
      <w:pPr>
        <w:pStyle w:val="Heading5"/>
      </w:pPr>
      <w:r w:rsidRPr="0009132C">
        <w:t xml:space="preserve">Descriptive </w:t>
      </w:r>
    </w:p>
    <w:p w14:paraId="57B1BAF4" w14:textId="77777777" w:rsidR="001B6A82" w:rsidRPr="0009132C" w:rsidRDefault="001B6A82" w:rsidP="001B6A82">
      <w:r w:rsidRPr="0009132C">
        <w:t xml:space="preserve">Demographic, clinical, and social characteristics will first be described by data source and calendar year for each study population and subpopulation of interest, including measure-specific populations (e.g., A1c and members with diabetes). Where feasible, process and outcome measures will then be calculated for each population in each CY during the baseline and Demonstration period. Certain survey and clinical quality measures will only have data available for the 2023-2027 periods. </w:t>
      </w:r>
    </w:p>
    <w:p w14:paraId="585E12E0" w14:textId="77777777" w:rsidR="001B6A82" w:rsidRPr="0009132C" w:rsidRDefault="001B6A82" w:rsidP="001B6A82">
      <w:pPr>
        <w:pStyle w:val="Heading5"/>
      </w:pPr>
      <w:r w:rsidRPr="0009132C">
        <w:t xml:space="preserve">Observed versus </w:t>
      </w:r>
      <w:r>
        <w:t>E</w:t>
      </w:r>
      <w:r w:rsidRPr="0009132C">
        <w:t>xpected</w:t>
      </w:r>
    </w:p>
    <w:p w14:paraId="2C070C38" w14:textId="77777777" w:rsidR="001B6A82" w:rsidRPr="0009132C" w:rsidRDefault="001B6A82" w:rsidP="001B6A82">
      <w:r>
        <w:t xml:space="preserve">The first comparison will be between observed and multivariable-adjusted estimates of the expected values of each measure for each calendar year of the Demonstration period. Expected values will be estimated from multivariable models developed using </w:t>
      </w:r>
      <w:r>
        <w:lastRenderedPageBreak/>
        <w:t>pre-period data and applied to Demonstration period data to predict an individual’s value for each measure based on a member’s demographic and clinical characteristics (e.g., members with SMI are expected to have a higher probability of ED utilization). These expected values will serve as a historical benchmark against which performance during the Demonstration will be compared. For dichotomous (i.e., yes or no) measures, the probability of success on a given measure will be predicted using logistic models. Rates (e.g., hospitalizations per 100 person-years) will be predicted using Poisson, negative binomial, or zero-inflated models, as appropriate. Continuous outcomes (e.g., expenditures) will be predicted using linear models. For each measure and year of the Demonstration period, the observed value for a measure will be divided by the expected value predicted by the model. When higher values of a measure are desired (e.g., a higher proportion of the population screened), a ratio of observed to predicted greater than one will suggest improved quality. When lower values of a measure are desired (e.g., readmission rates), a ratio of observed to predicted of less than one will suggest improved quality.</w:t>
      </w:r>
    </w:p>
    <w:p w14:paraId="256C88F4" w14:textId="77777777" w:rsidR="001B6A82" w:rsidRPr="0009132C" w:rsidRDefault="001B6A82" w:rsidP="001B6A82">
      <w:pPr>
        <w:pStyle w:val="Heading5"/>
      </w:pPr>
      <w:r w:rsidRPr="0009132C">
        <w:t xml:space="preserve">Quasi-experimental </w:t>
      </w:r>
      <w:r>
        <w:t>M</w:t>
      </w:r>
      <w:r w:rsidRPr="0009132C">
        <w:t>ethods</w:t>
      </w:r>
    </w:p>
    <w:p w14:paraId="4FCEAC7E" w14:textId="77777777" w:rsidR="001B6A82" w:rsidRPr="0009132C" w:rsidRDefault="001B6A82" w:rsidP="001B6A82">
      <w:r w:rsidRPr="0009132C">
        <w:t>To estimate the counterfactual outcomes that would have occurred absent the Demonstration and which can support stronger inferences regarding program effects, analyses must address potential sources of bias, including: 1) population and hospital characteristics that differ between exposed and unexposed groups and 2) unrelated secular trends occurring between the baseline (20</w:t>
      </w:r>
      <w:r>
        <w:t>18</w:t>
      </w:r>
      <w:r w:rsidRPr="0009132C">
        <w:t>-2022), and the Demonstration (2022-2027) periods. Modern epidemiologic and quasi-experimental design and analysis methods will be applied for this purpose, including propensity score methods to balance population characteristics,</w:t>
      </w:r>
      <w:r w:rsidRPr="0009132C">
        <w:rPr>
          <w:vertAlign w:val="superscript"/>
        </w:rPr>
        <w:footnoteReference w:id="148"/>
      </w:r>
      <w:r w:rsidRPr="0009132C">
        <w:rPr>
          <w:vertAlign w:val="superscript"/>
        </w:rPr>
        <w:t>,</w:t>
      </w:r>
      <w:r w:rsidRPr="0009132C">
        <w:rPr>
          <w:vertAlign w:val="superscript"/>
        </w:rPr>
        <w:footnoteReference w:id="149"/>
      </w:r>
      <w:r w:rsidRPr="0009132C">
        <w:t xml:space="preserve"> including overlap weighting, which addresses the limitations of traditional inverse probability weighting.</w:t>
      </w:r>
      <w:r w:rsidRPr="0009132C">
        <w:rPr>
          <w:vertAlign w:val="superscript"/>
        </w:rPr>
        <w:footnoteReference w:id="150"/>
      </w:r>
      <w:r w:rsidRPr="0009132C">
        <w:t xml:space="preserve"> Difference-in-difference comparisons will address secular trends,</w:t>
      </w:r>
      <w:r w:rsidRPr="0009132C">
        <w:rPr>
          <w:vertAlign w:val="superscript"/>
        </w:rPr>
        <w:footnoteReference w:id="151"/>
      </w:r>
      <w:r w:rsidRPr="0009132C">
        <w:rPr>
          <w:vertAlign w:val="superscript"/>
        </w:rPr>
        <w:t>,</w:t>
      </w:r>
      <w:r w:rsidRPr="0009132C">
        <w:rPr>
          <w:vertAlign w:val="superscript"/>
        </w:rPr>
        <w:footnoteReference w:id="152"/>
      </w:r>
      <w:r w:rsidRPr="0009132C">
        <w:t xml:space="preserve"> and weighting will address any violations of parallel trends assumptions. Generalized mixed effects linear models will be used for modeling each type of outcome (e.g., dichotomous, continuous, rate) as appropriate and based on observed distributions, with random effects to account for clustering within healthcare organizations, geographic units, and repeated measurements within individuals over time.</w:t>
      </w:r>
      <w:r w:rsidRPr="0009132C">
        <w:rPr>
          <w:vertAlign w:val="superscript"/>
        </w:rPr>
        <w:footnoteReference w:id="153"/>
      </w:r>
      <w:r w:rsidRPr="0009132C">
        <w:t xml:space="preserve"> Bootstrap methods that reflect clustering adjustments will be used to calculate confidence intervals. </w:t>
      </w:r>
    </w:p>
    <w:p w14:paraId="46BC2BEC" w14:textId="77777777" w:rsidR="001B6A82" w:rsidRPr="0009132C" w:rsidRDefault="001B6A82" w:rsidP="001B6A82">
      <w:pPr>
        <w:pStyle w:val="Heading5"/>
      </w:pPr>
      <w:r w:rsidRPr="0009132C">
        <w:lastRenderedPageBreak/>
        <w:t xml:space="preserve">Continuous </w:t>
      </w:r>
      <w:r>
        <w:t>E</w:t>
      </w:r>
      <w:r w:rsidRPr="0009132C">
        <w:t xml:space="preserve">nrollee </w:t>
      </w:r>
      <w:r>
        <w:t>A</w:t>
      </w:r>
      <w:r w:rsidRPr="0009132C">
        <w:t>nalysis</w:t>
      </w:r>
    </w:p>
    <w:p w14:paraId="3BEDE7E2" w14:textId="77777777" w:rsidR="001B6A82" w:rsidRDefault="001B6A82" w:rsidP="001B6A82">
      <w:r w:rsidRPr="0009132C">
        <w:t>The stable population of continuous MassHealth members</w:t>
      </w:r>
      <w:r>
        <w:t>,</w:t>
      </w:r>
      <w:r w:rsidRPr="0009132C">
        <w:t xml:space="preserve"> who may have disabilities or other criteria for eligibility for MassHealth that are likely to be permanent or semi-permanent</w:t>
      </w:r>
      <w:r>
        <w:t>,</w:t>
      </w:r>
      <w:r w:rsidRPr="0009132C">
        <w:t xml:space="preserve"> has been identified as a subpopulation of interest. The stability of this population also affords the opportunity to perform a self-controlled comparison, which contrasts member outcomes during the Demonstration period with their own outcomes during the pre-Demonstration period. A strength of this self-controlled design is that by comparing within individuals, it accounts for time-invariant member characteristics (i.e., those that do not change over time). We will again use difference-in-difference analyses to remove secular effects and mixed effects generalized linear models to account for clustering and repeated measurements while adjusting for demographic (e.g., aging) and disease trends. For each year of the Demonstration, we will conduct a continuous enrollee subgroup analysis where members present in the population of interest during the Demonstration year will be evaluated if they were continuously enrolled in the MassHealth managed care eligible population beginning in 2021 or 2022. </w:t>
      </w:r>
    </w:p>
    <w:p w14:paraId="30E59933" w14:textId="77777777" w:rsidR="001B6A82" w:rsidRDefault="001B6A82" w:rsidP="001B6A82">
      <w:pPr>
        <w:rPr>
          <w:rStyle w:val="normaltextrun"/>
          <w:rFonts w:ascii="Arial" w:hAnsi="Arial"/>
          <w:color w:val="000000"/>
          <w:shd w:val="clear" w:color="auto" w:fill="FFFFFF"/>
        </w:rPr>
      </w:pPr>
      <w:r w:rsidRPr="1D3AF258">
        <w:rPr>
          <w:rStyle w:val="normaltextrun"/>
          <w:rFonts w:ascii="Arial" w:hAnsi="Arial"/>
          <w:color w:val="000000" w:themeColor="text1"/>
        </w:rPr>
        <w:t>Using an embedded mixed methods approach, we will integrate the quantitative and qualitative data. We will solicit an in-depth and nuanced understanding of various stakeholder experiences, examine how those experiences may be related to hospital policy and clinical innovation, and use these findings to explain pertinent trends and outcomes. For example, understanding stakeholder perspectives on program implementation can help contextualize trends seen in targeted access and quality measures.</w:t>
      </w:r>
      <w:r>
        <w:rPr>
          <w:rStyle w:val="FootnoteReference"/>
          <w:rFonts w:ascii="Arial" w:hAnsi="Arial"/>
          <w:color w:val="000000"/>
          <w:shd w:val="clear" w:color="auto" w:fill="FFFFFF"/>
        </w:rPr>
        <w:footnoteReference w:id="154"/>
      </w:r>
      <w:r w:rsidRPr="1D3AF258">
        <w:rPr>
          <w:rStyle w:val="normaltextrun"/>
          <w:rFonts w:ascii="Arial" w:hAnsi="Arial"/>
          <w:color w:val="000000" w:themeColor="text1"/>
        </w:rPr>
        <w:t xml:space="preserve"> Conversely, preliminary quantitative findings from </w:t>
      </w:r>
      <w:r>
        <w:rPr>
          <w:rStyle w:val="normaltextrun"/>
          <w:rFonts w:ascii="Arial" w:hAnsi="Arial"/>
          <w:color w:val="000000" w:themeColor="text1"/>
        </w:rPr>
        <w:t xml:space="preserve">the </w:t>
      </w:r>
      <w:r w:rsidRPr="1D3AF258">
        <w:rPr>
          <w:rStyle w:val="normaltextrun"/>
          <w:rFonts w:ascii="Arial" w:hAnsi="Arial"/>
          <w:color w:val="000000" w:themeColor="text1"/>
        </w:rPr>
        <w:t>analysis of data from early in the Demonstration period can generate questions regarding underlying mechanisms that can then be explored in subsequent qualitative data collection and analysis.</w:t>
      </w:r>
    </w:p>
    <w:p w14:paraId="7387DD8C" w14:textId="088A2C0C" w:rsidR="00807A3B" w:rsidRPr="0009132C" w:rsidRDefault="00807A3B" w:rsidP="00301DAB">
      <w:pPr>
        <w:pStyle w:val="Heading4"/>
      </w:pPr>
      <w:r w:rsidRPr="0009132C">
        <w:t>Qualitative Analyses</w:t>
      </w:r>
    </w:p>
    <w:p w14:paraId="3E4B438A" w14:textId="58EC051B" w:rsidR="00807A3B" w:rsidRPr="0009132C" w:rsidRDefault="00807A3B" w:rsidP="008A6CE1">
      <w:r w:rsidRPr="0009132C">
        <w:t xml:space="preserve">Our use of document and KII data, qualitatively analyzed </w:t>
      </w:r>
      <w:r w:rsidR="00076CD3">
        <w:t xml:space="preserve">and </w:t>
      </w:r>
      <w:r w:rsidRPr="0009132C">
        <w:t>informed by the CFIR and CTI models, reflects our commitment to an embedded design, integrating quantitative and qualitative data reflecting diverse perspectives to explore the implementation process and to contribute to the explanation of outcomes.</w:t>
      </w:r>
      <w:r w:rsidRPr="0009132C">
        <w:rPr>
          <w:rStyle w:val="FootnoteReference"/>
        </w:rPr>
        <w:footnoteReference w:id="155"/>
      </w:r>
      <w:r w:rsidRPr="0009132C">
        <w:t xml:space="preserve"> KII transcripts and document review data will be analyzed using qualitative data analysis methods described in </w:t>
      </w:r>
      <w:hyperlink w:anchor="_Delivery_System_Reform" w:history="1">
        <w:r w:rsidR="000139B4" w:rsidRPr="00277FA7">
          <w:rPr>
            <w:rStyle w:val="Hyperlink"/>
          </w:rPr>
          <w:t>Chapter 3</w:t>
        </w:r>
      </w:hyperlink>
      <w:r w:rsidR="00434F19" w:rsidRPr="0009132C">
        <w:t xml:space="preserve"> </w:t>
      </w:r>
      <w:r w:rsidR="00F33472">
        <w:t>(</w:t>
      </w:r>
      <w:r w:rsidR="00434F19" w:rsidRPr="0009132C">
        <w:t>D</w:t>
      </w:r>
      <w:r w:rsidR="00F33472">
        <w:t>elivery System Reform)</w:t>
      </w:r>
      <w:r w:rsidR="00434F19" w:rsidRPr="0009132C">
        <w:t xml:space="preserve">, </w:t>
      </w:r>
      <w:hyperlink w:anchor="_Analysis_Methods" w:history="1">
        <w:r w:rsidR="00434F19" w:rsidRPr="005B47F7">
          <w:rPr>
            <w:rStyle w:val="Hyperlink"/>
          </w:rPr>
          <w:t>S</w:t>
        </w:r>
        <w:r w:rsidRPr="005B47F7">
          <w:rPr>
            <w:rStyle w:val="Hyperlink"/>
          </w:rPr>
          <w:t>ection 3.4.</w:t>
        </w:r>
        <w:r w:rsidR="005B47F7" w:rsidRPr="005B47F7">
          <w:rPr>
            <w:rStyle w:val="Hyperlink"/>
          </w:rPr>
          <w:t>5</w:t>
        </w:r>
        <w:r w:rsidRPr="005B47F7">
          <w:rPr>
            <w:rStyle w:val="Hyperlink"/>
          </w:rPr>
          <w:t xml:space="preserve"> Analysis Methods</w:t>
        </w:r>
      </w:hyperlink>
      <w:r w:rsidRPr="0009132C">
        <w:t xml:space="preserve">. The following is a summary of these methods: </w:t>
      </w:r>
    </w:p>
    <w:p w14:paraId="3F378208" w14:textId="28EBB220" w:rsidR="00E65D9E" w:rsidRPr="0009132C" w:rsidRDefault="00807A3B" w:rsidP="003C6C8F">
      <w:pPr>
        <w:pStyle w:val="Heading5"/>
      </w:pPr>
      <w:r w:rsidRPr="0009132C">
        <w:t>K</w:t>
      </w:r>
      <w:r w:rsidR="008128A4" w:rsidRPr="0009132C">
        <w:t>II</w:t>
      </w:r>
      <w:r w:rsidRPr="0009132C">
        <w:t>s</w:t>
      </w:r>
    </w:p>
    <w:p w14:paraId="686ACC63" w14:textId="4BCCAA0F" w:rsidR="00807A3B" w:rsidRPr="0009132C" w:rsidRDefault="00807A3B" w:rsidP="008A6CE1">
      <w:pPr>
        <w:rPr>
          <w:b/>
          <w:bCs/>
        </w:rPr>
      </w:pPr>
      <w:r w:rsidRPr="0009132C">
        <w:t xml:space="preserve">The IE team will code the interviews to identify common themes that </w:t>
      </w:r>
      <w:r w:rsidR="15F7EC76">
        <w:t>address</w:t>
      </w:r>
      <w:r w:rsidRPr="0009132C">
        <w:t xml:space="preserve"> the research questions and provide insight into the various domains of the initiative. Analysts will work together in pairs to establish coding methodology, and once an agreement is reached and </w:t>
      </w:r>
      <w:r w:rsidR="00F660FE">
        <w:t xml:space="preserve">is </w:t>
      </w:r>
      <w:r w:rsidRPr="0009132C">
        <w:t xml:space="preserve">reliability maintained, they will be able to work </w:t>
      </w:r>
      <w:r w:rsidRPr="0009132C">
        <w:lastRenderedPageBreak/>
        <w:t>independently. Interrater reliability will be monitored at regular intervals during the coding processes. The Dedoose platform will be used to calculate kappa coefficients.</w:t>
      </w:r>
    </w:p>
    <w:p w14:paraId="642FE833" w14:textId="77777777" w:rsidR="00807A3B" w:rsidRPr="0009132C" w:rsidRDefault="00807A3B" w:rsidP="008A6CE1">
      <w:pPr>
        <w:rPr>
          <w:rFonts w:eastAsia="Arial"/>
        </w:rPr>
      </w:pPr>
      <w:r w:rsidRPr="0009132C">
        <w:t>Once the coding process is complete, researchers will extract reports of coded text from Dedoose, review the reports for patterns among themes, and summarize findings in memos drafted for review by the entire team. Finally, the team will discuss the summary memos to ensure that themes are accurately conveyed and to add additional information as relevant. Where applicable, the team will compile analytic matrices with coded data to facilitate further analysis.</w:t>
      </w:r>
    </w:p>
    <w:p w14:paraId="6B025E05" w14:textId="66056967" w:rsidR="00E65D9E" w:rsidRPr="0009132C" w:rsidRDefault="00807A3B" w:rsidP="008A6CE1">
      <w:pPr>
        <w:pStyle w:val="Heading5"/>
      </w:pPr>
      <w:r w:rsidRPr="0009132C">
        <w:t>Document Review</w:t>
      </w:r>
    </w:p>
    <w:p w14:paraId="1CEBDE7F" w14:textId="40507E19" w:rsidR="00807A3B" w:rsidRPr="0009132C" w:rsidRDefault="00807A3B" w:rsidP="008A6CE1">
      <w:pPr>
        <w:rPr>
          <w:b/>
          <w:bCs/>
        </w:rPr>
      </w:pPr>
      <w:r w:rsidRPr="0009132C">
        <w:t xml:space="preserve">Data systematically extracted from documents and recorded in standardized templates will be stored in secure files for qualitative analyses. </w:t>
      </w:r>
    </w:p>
    <w:p w14:paraId="1FC36C2E" w14:textId="299689FA" w:rsidR="00807A3B" w:rsidRPr="0009132C" w:rsidRDefault="00807A3B" w:rsidP="008A6CE1">
      <w:r w:rsidRPr="0009132C">
        <w:t>Documents will be analyzed for thoroughness and timely submission. They will be used to evaluate corresponding hypotheses for all research questions to ascertain hospitals’ progress toward improving data collection, improving access to culturally appropriate care, decreasing disparities, providing staff training, and increasing inter- and intra-organizational collaborations. A template will be developed and used for each set of documents</w:t>
      </w:r>
      <w:r w:rsidR="0005740E">
        <w:t>,</w:t>
      </w:r>
      <w:r w:rsidRPr="0009132C">
        <w:t xml:space="preserve"> allowing the team to evaluate them as individual documents as they relate to documents submitted by other hospitals and as they change and develop </w:t>
      </w:r>
      <w:r w:rsidR="0005740E">
        <w:t>over</w:t>
      </w:r>
      <w:r w:rsidR="0005740E" w:rsidRPr="0009132C">
        <w:t xml:space="preserve"> </w:t>
      </w:r>
      <w:r w:rsidRPr="0009132C">
        <w:t>time (if applicable). The document review process will be ongoing. Analysts will work together as partner teams to review documents and develop a shared understanding of the template frameworks and the data in question. The team will review document data templates as they are relevant to specific RQs and hypotheses being addressed. As inter-rater reliability is established, analysts will work individually, coming together periodically to review their progress, share common themes, and discuss unexpected results or findings.</w:t>
      </w:r>
    </w:p>
    <w:p w14:paraId="2719E379" w14:textId="77777777" w:rsidR="00807A3B" w:rsidRPr="0009132C" w:rsidRDefault="00807A3B" w:rsidP="008A6CE1">
      <w:r w:rsidRPr="0009132C">
        <w:t xml:space="preserve">Team members will draft memos summarizing template data for routine review by the larger team. Document review data will be integrated with findings from other sources to address RQs and hypotheses. </w:t>
      </w:r>
    </w:p>
    <w:p w14:paraId="657F0B64" w14:textId="34186FDF" w:rsidR="00B014EC" w:rsidRPr="0009132C" w:rsidRDefault="37A12D73" w:rsidP="00EE4105">
      <w:pPr>
        <w:pStyle w:val="Heading3"/>
      </w:pPr>
      <w:r>
        <w:t>Limitations</w:t>
      </w:r>
    </w:p>
    <w:p w14:paraId="200731A9" w14:textId="77777777" w:rsidR="00807A3B" w:rsidRPr="0009132C" w:rsidRDefault="00807A3B" w:rsidP="00301DAB">
      <w:pPr>
        <w:pStyle w:val="Heading4"/>
      </w:pPr>
      <w:r w:rsidRPr="0009132C">
        <w:t>Quantitative Analyses</w:t>
      </w:r>
    </w:p>
    <w:p w14:paraId="4F08D55E" w14:textId="784A6E92" w:rsidR="00807A3B" w:rsidRPr="0009132C" w:rsidRDefault="00807A3B" w:rsidP="00863942">
      <w:r w:rsidRPr="0009132C">
        <w:t xml:space="preserve">Our quantitative data sources and analytic approaches utilizing these data have several limitations. </w:t>
      </w:r>
      <w:r w:rsidR="00BE20B2" w:rsidRPr="0009132C">
        <w:t xml:space="preserve">We will </w:t>
      </w:r>
      <w:r w:rsidR="009A00D3" w:rsidRPr="0009132C">
        <w:t>cautiously</w:t>
      </w:r>
      <w:r w:rsidR="00BE20B2" w:rsidRPr="0009132C">
        <w:t xml:space="preserve"> </w:t>
      </w:r>
      <w:r w:rsidR="00473BCC" w:rsidRPr="0009132C">
        <w:t xml:space="preserve">interpret </w:t>
      </w:r>
      <w:r w:rsidR="008C1F86" w:rsidRPr="0009132C">
        <w:t>results from</w:t>
      </w:r>
      <w:r w:rsidR="00BE20B2" w:rsidRPr="0009132C">
        <w:t xml:space="preserve"> multiple analytic methods together with qualitative findings to </w:t>
      </w:r>
      <w:r w:rsidR="009A00D3" w:rsidRPr="0009132C">
        <w:t>arrive at</w:t>
      </w:r>
      <w:r w:rsidR="00BE20B2" w:rsidRPr="0009132C">
        <w:t xml:space="preserve"> robust conclusions.</w:t>
      </w:r>
    </w:p>
    <w:p w14:paraId="34D82AED" w14:textId="28A5C96C" w:rsidR="006B7D1B" w:rsidRPr="0009132C" w:rsidRDefault="00807A3B" w:rsidP="003C6C8F">
      <w:pPr>
        <w:pStyle w:val="Heading5"/>
      </w:pPr>
      <w:r w:rsidRPr="0009132C">
        <w:t>Surveys</w:t>
      </w:r>
    </w:p>
    <w:p w14:paraId="20EE6119" w14:textId="107F192A" w:rsidR="00807A3B" w:rsidRPr="0009132C" w:rsidRDefault="00807A3B" w:rsidP="00863942">
      <w:r>
        <w:t>The member experience surveys have several limitations, including the potential for recall bias, low response rates, and, most notably</w:t>
      </w:r>
      <w:r w:rsidR="008B2F3A">
        <w:t>,</w:t>
      </w:r>
      <w:r>
        <w:t xml:space="preserve"> we only anticipate receiving aggregate results, limiting our ability to perform weighting adjustments for non-response bias and repeated measurements. Some new items may require further refinement and validation. Finally, the member surveys are conducted by a third party for a purpose </w:t>
      </w:r>
      <w:r>
        <w:lastRenderedPageBreak/>
        <w:t>distinct from evaluation, and the evaluation team is unlikely to have input into survey design and implementation.</w:t>
      </w:r>
    </w:p>
    <w:p w14:paraId="001F29E3" w14:textId="1623D701" w:rsidR="006B7D1B" w:rsidRPr="0009132C" w:rsidRDefault="00807A3B" w:rsidP="00863942">
      <w:pPr>
        <w:pStyle w:val="Heading5"/>
      </w:pPr>
      <w:bookmarkStart w:id="206" w:name="_Hlk151287885"/>
      <w:r w:rsidRPr="0009132C">
        <w:t>Administrative Data Analyses</w:t>
      </w:r>
    </w:p>
    <w:bookmarkEnd w:id="206"/>
    <w:p w14:paraId="740FCFC6" w14:textId="420E6AC9" w:rsidR="00807A3B" w:rsidRPr="0009132C" w:rsidRDefault="00807A3B" w:rsidP="00863942">
      <w:r w:rsidRPr="0009132C">
        <w:t xml:space="preserve">Analyses of administrative data are subject to limitations associated with the nature of such data being created for billing purposes, which may not reflect the actual presence of clinical conditions (e.g., if a member doesn’t seek care or obtain a diagnosis) or use of a medication (e.g., if a drug is filled and not taken). Administrative data lack important clinical details such as laboratory values and non-billable services (e.g., certain forms of care coordination and management). For select quality measures and associated measurements, clinical data will be available. However, such data are expected only to be available for subsets of the populations and comparison groups of interest. Although rigorous quasi-experimental designs and statistical methods are planned, comparative analyses remain subject to unmeasured confounding. Another potential limitation will be missing data. In situations with substantial </w:t>
      </w:r>
      <w:r w:rsidR="00C63070">
        <w:t>sociodemographic</w:t>
      </w:r>
      <w:r w:rsidR="00272F5C">
        <w:t xml:space="preserve"> </w:t>
      </w:r>
      <w:r w:rsidR="00614685">
        <w:t>data</w:t>
      </w:r>
      <w:r w:rsidRPr="0009132C">
        <w:t xml:space="preserve"> missingness (e.g., of self-reported race and ethnicity)</w:t>
      </w:r>
      <w:r w:rsidR="008B2F3A">
        <w:t>,</w:t>
      </w:r>
      <w:r w:rsidRPr="0009132C">
        <w:t xml:space="preserve"> we will explore options for conducting analyses using imputed data. Furthermore, we will perform extensive sensitivity analyses to examine the plausibility of alternative explanations for our findings.</w:t>
      </w:r>
    </w:p>
    <w:p w14:paraId="1DA2DB03" w14:textId="6C099679" w:rsidR="00807A3B" w:rsidRPr="0009132C" w:rsidRDefault="00807A3B" w:rsidP="00301DAB">
      <w:pPr>
        <w:pStyle w:val="Heading4"/>
      </w:pPr>
      <w:r w:rsidRPr="0009132C">
        <w:t>Qualitative Analyses</w:t>
      </w:r>
    </w:p>
    <w:p w14:paraId="0BB8D424" w14:textId="77777777" w:rsidR="00807A3B" w:rsidRPr="0009132C" w:rsidRDefault="00807A3B" w:rsidP="00863942">
      <w:r w:rsidRPr="0009132C">
        <w:t xml:space="preserve">Our qualitative data sources and analytic approaches utilizing these data have several limitations. </w:t>
      </w:r>
    </w:p>
    <w:p w14:paraId="2DC30940" w14:textId="401BFB54" w:rsidR="00DC49BD" w:rsidRPr="0009132C" w:rsidRDefault="00807A3B" w:rsidP="003C6C8F">
      <w:pPr>
        <w:pStyle w:val="Heading5"/>
      </w:pPr>
      <w:r w:rsidRPr="0009132C">
        <w:t xml:space="preserve">Document Review </w:t>
      </w:r>
    </w:p>
    <w:p w14:paraId="4CAF1895" w14:textId="1B2D23CC" w:rsidR="00807A3B" w:rsidRPr="0009132C" w:rsidRDefault="00807A3B" w:rsidP="00863942">
      <w:r w:rsidRPr="0009132C">
        <w:t>Relevant documents for review will be provided by MassHealth as they become available and from other sources (e.g., relevant state-wide groups) as they are identified. The volume of available documents poses a potential limitation. We will work with MassHealth to prioritize documents for the review process to ensure we review the most relevant and potentially significant documents. Another limitation is that the scope and content of the documents have been developed to support program implementation and determine eligibility for performance-based payments. The evaluation team has not provided input into the content of such documents.</w:t>
      </w:r>
    </w:p>
    <w:p w14:paraId="1808DAC7" w14:textId="1C1779B7" w:rsidR="00DC49BD" w:rsidRPr="0009132C" w:rsidRDefault="00807A3B" w:rsidP="00863942">
      <w:pPr>
        <w:pStyle w:val="Heading5"/>
      </w:pPr>
      <w:r w:rsidRPr="0009132C">
        <w:t>K</w:t>
      </w:r>
      <w:r w:rsidR="008128A4" w:rsidRPr="0009132C">
        <w:t>II</w:t>
      </w:r>
      <w:r w:rsidRPr="0009132C">
        <w:t>s</w:t>
      </w:r>
    </w:p>
    <w:p w14:paraId="27D46A6A" w14:textId="090749E1" w:rsidR="008831E5" w:rsidRPr="0009132C" w:rsidRDefault="008831E5" w:rsidP="3383C28C">
      <w:r>
        <w:t>We may confront several limitations during the primary data collection process. As with any self-reported data, information collected in KIIs may be subject to recall bias. KIIs may be conducted by video conference, which represents a strength in terms of consistency of interview format and data collected across sites. Another strength is increased efficiency</w:t>
      </w:r>
      <w:r w:rsidR="00915D29">
        <w:t>,</w:t>
      </w:r>
      <w:r>
        <w:t xml:space="preserve"> </w:t>
      </w:r>
      <w:r w:rsidR="00915D29">
        <w:t xml:space="preserve">which </w:t>
      </w:r>
      <w:r>
        <w:t>we anticipate will enable us to successfully schedule and collect information from a larger pool of respondents</w:t>
      </w:r>
      <w:r w:rsidR="00C844B9">
        <w:t xml:space="preserve">. </w:t>
      </w:r>
      <w:r>
        <w:t>However, video conference limit</w:t>
      </w:r>
      <w:r w:rsidR="02F83A31">
        <w:t>s</w:t>
      </w:r>
      <w:r>
        <w:t xml:space="preserve"> our ability to view organizational contexts firsthand. We will solicit responses from a range of staff and probe for specifics about processes and workflows to achieve a nuanced understanding of each organization's activities. For member interviews, videoconferencing may pose difficulties related to technology availability. Furthermore, some members may initially express interest when first recruited but may no longer be interested or </w:t>
      </w:r>
      <w:r w:rsidR="6EA8D3C0">
        <w:t>may</w:t>
      </w:r>
      <w:r>
        <w:t xml:space="preserve"> not participate in an interview due to various clinical or social factors. </w:t>
      </w:r>
      <w:r>
        <w:lastRenderedPageBreak/>
        <w:t>Our interview procedures have been reviewed by a consultant with experience receiving and expertise in studying LTSS, who provided recommendations regarding the use of plain language and the presentation of materials. Historically, we have had a sufficiently representative pool of potential interviewees to draw from for interviews; therefore, we anticipate we will be able to complete the planned number of interviews</w:t>
      </w:r>
      <w:r w:rsidR="00915D29">
        <w:t>,</w:t>
      </w:r>
      <w:r w:rsidR="6F895554">
        <w:t xml:space="preserve"> notwithstanding the limitations described here</w:t>
      </w:r>
      <w:r>
        <w:t>.</w:t>
      </w:r>
    </w:p>
    <w:bookmarkEnd w:id="200"/>
    <w:p w14:paraId="143345B9" w14:textId="77777777" w:rsidR="002F0E49" w:rsidRPr="002F0E49" w:rsidRDefault="002F0E49" w:rsidP="00950745">
      <w:pPr>
        <w:pStyle w:val="Heading2"/>
        <w:numPr>
          <w:ilvl w:val="0"/>
          <w:numId w:val="0"/>
        </w:numPr>
        <w:ind w:left="792"/>
        <w:sectPr w:rsidR="002F0E49" w:rsidRPr="002F0E49" w:rsidSect="00744E1B">
          <w:pgSz w:w="12240" w:h="15840"/>
          <w:pgMar w:top="1440" w:right="1440" w:bottom="1440" w:left="1440" w:header="720" w:footer="576" w:gutter="0"/>
          <w:cols w:space="720"/>
          <w:docGrid w:linePitch="360"/>
        </w:sectPr>
      </w:pPr>
    </w:p>
    <w:p w14:paraId="518560D7" w14:textId="6049BD40" w:rsidR="008925CE" w:rsidRPr="0009132C" w:rsidRDefault="5F368DB9" w:rsidP="00A4180B">
      <w:pPr>
        <w:pStyle w:val="Heading1"/>
      </w:pPr>
      <w:bookmarkStart w:id="207" w:name="_Health-Related_Social_Needs"/>
      <w:bookmarkStart w:id="208" w:name="_Toc129619748"/>
      <w:bookmarkStart w:id="209" w:name="_Toc130209732"/>
      <w:bookmarkStart w:id="210" w:name="_Ref142920903"/>
      <w:bookmarkStart w:id="211" w:name="_Ref142921188"/>
      <w:bookmarkStart w:id="212" w:name="_Toc151976442"/>
      <w:bookmarkEnd w:id="207"/>
      <w:r>
        <w:lastRenderedPageBreak/>
        <w:t>Health-Related Social Needs</w:t>
      </w:r>
      <w:bookmarkEnd w:id="208"/>
      <w:bookmarkEnd w:id="209"/>
      <w:bookmarkEnd w:id="210"/>
      <w:bookmarkEnd w:id="211"/>
      <w:bookmarkEnd w:id="212"/>
    </w:p>
    <w:p w14:paraId="04E0F266" w14:textId="2DFB581C" w:rsidR="008925CE" w:rsidRPr="0009132C" w:rsidRDefault="008925CE" w:rsidP="003C6C8F">
      <w:pPr>
        <w:pStyle w:val="Heading2"/>
      </w:pPr>
      <w:r w:rsidRPr="0009132C">
        <w:t xml:space="preserve"> </w:t>
      </w:r>
      <w:bookmarkStart w:id="213" w:name="_Toc130209733"/>
      <w:bookmarkStart w:id="214" w:name="_Toc151976443"/>
      <w:r w:rsidRPr="0009132C">
        <w:t>Overview of Health-Related Social Needs (HRSN)</w:t>
      </w:r>
      <w:r w:rsidR="007775F7" w:rsidRPr="0009132C">
        <w:t xml:space="preserve"> </w:t>
      </w:r>
      <w:r w:rsidR="00D33F77" w:rsidRPr="0009132C">
        <w:t>Policy</w:t>
      </w:r>
      <w:r w:rsidRPr="0009132C">
        <w:t xml:space="preserve"> Domain</w:t>
      </w:r>
      <w:bookmarkEnd w:id="213"/>
      <w:bookmarkEnd w:id="214"/>
    </w:p>
    <w:p w14:paraId="44BFE1CF" w14:textId="77777777" w:rsidR="008925CE" w:rsidRPr="0009132C" w:rsidRDefault="008925CE" w:rsidP="00EE4105">
      <w:pPr>
        <w:pStyle w:val="Heading3"/>
      </w:pPr>
      <w:r w:rsidRPr="0009132C">
        <w:t>HRSN Policy Domain Goals</w:t>
      </w:r>
    </w:p>
    <w:p w14:paraId="1046A93B" w14:textId="3FA2DF96" w:rsidR="008925CE" w:rsidRPr="0009132C" w:rsidRDefault="0089741B" w:rsidP="00850816">
      <w:r w:rsidRPr="0009132C">
        <w:t>Under prior</w:t>
      </w:r>
      <w:r w:rsidR="008925CE" w:rsidRPr="0009132C">
        <w:t xml:space="preserve"> </w:t>
      </w:r>
      <w:r w:rsidR="6168E0DC" w:rsidRPr="0009132C">
        <w:t>D</w:t>
      </w:r>
      <w:r w:rsidR="008925CE" w:rsidRPr="0009132C">
        <w:t>emonstration</w:t>
      </w:r>
      <w:r w:rsidR="00C264B9" w:rsidRPr="0009132C">
        <w:t xml:space="preserve"> periods</w:t>
      </w:r>
      <w:r w:rsidR="008925CE" w:rsidRPr="0009132C">
        <w:t>, the Commonwealth has taken steps to offer programs and services (e.g., the Flexible Services Program (FSP) and the specialized Community Support Programs (CSP)</w:t>
      </w:r>
      <w:r w:rsidR="6832311E" w:rsidRPr="0009132C">
        <w:t>)</w:t>
      </w:r>
      <w:r w:rsidR="008925CE" w:rsidRPr="0009132C">
        <w:t xml:space="preserve"> that address Health-Related Social Needs (HRSNs).</w:t>
      </w:r>
      <w:r w:rsidR="008925CE" w:rsidRPr="00433675">
        <w:rPr>
          <w:rStyle w:val="FootnoteReference"/>
        </w:rPr>
        <w:footnoteReference w:id="156"/>
      </w:r>
      <w:r w:rsidR="008925CE" w:rsidRPr="0009132C">
        <w:t xml:space="preserve"> With this </w:t>
      </w:r>
      <w:r w:rsidR="00A3093F" w:rsidRPr="0009132C">
        <w:t>Demonstration</w:t>
      </w:r>
      <w:r w:rsidR="008925CE" w:rsidRPr="0009132C">
        <w:t xml:space="preserve">, the pre-existing </w:t>
      </w:r>
      <w:r w:rsidR="00787728" w:rsidRPr="0009132C">
        <w:t xml:space="preserve">FSP and </w:t>
      </w:r>
      <w:r w:rsidR="001C53A7" w:rsidRPr="0009132C">
        <w:t>certain specialized CSP</w:t>
      </w:r>
      <w:r w:rsidR="00787728" w:rsidRPr="0009132C">
        <w:t xml:space="preserve"> </w:t>
      </w:r>
      <w:r w:rsidR="008925CE" w:rsidRPr="0009132C">
        <w:t xml:space="preserve">services are continued, modified, and expanded with the goals of continuing to improve access to and </w:t>
      </w:r>
      <w:r w:rsidR="005D50D6">
        <w:t xml:space="preserve">the </w:t>
      </w:r>
      <w:r w:rsidR="008925CE" w:rsidRPr="0009132C">
        <w:t>quality and equity of care, and to continue the path of restructuring and reaffirming accountable, value-based care.</w:t>
      </w:r>
      <w:r w:rsidR="008925CE" w:rsidRPr="00433675">
        <w:rPr>
          <w:rStyle w:val="FootnoteReference"/>
        </w:rPr>
        <w:footnoteReference w:id="157"/>
      </w:r>
    </w:p>
    <w:p w14:paraId="01D6E68C" w14:textId="1A95D208" w:rsidR="008925CE" w:rsidRPr="0009132C" w:rsidRDefault="008925CE" w:rsidP="00EE4105">
      <w:pPr>
        <w:pStyle w:val="Heading3"/>
      </w:pPr>
      <w:bookmarkStart w:id="215" w:name="_Hlk151288680"/>
      <w:r w:rsidRPr="0009132C">
        <w:t xml:space="preserve">HRSN Policy Domain </w:t>
      </w:r>
      <w:r w:rsidR="00B940C6" w:rsidRPr="0009132C">
        <w:t>C</w:t>
      </w:r>
      <w:r w:rsidRPr="0009132C">
        <w:t xml:space="preserve">omponents and </w:t>
      </w:r>
      <w:r w:rsidR="00B940C6" w:rsidRPr="0009132C">
        <w:t>D</w:t>
      </w:r>
      <w:r w:rsidRPr="0009132C">
        <w:t xml:space="preserve">esired </w:t>
      </w:r>
      <w:r w:rsidR="00B940C6" w:rsidRPr="0009132C">
        <w:t>O</w:t>
      </w:r>
      <w:r w:rsidRPr="0009132C">
        <w:t>utcomes</w:t>
      </w:r>
    </w:p>
    <w:bookmarkEnd w:id="215"/>
    <w:p w14:paraId="2C573F7C" w14:textId="45FCC1CA" w:rsidR="008925CE" w:rsidRPr="0009132C" w:rsidRDefault="008925CE" w:rsidP="00850816">
      <w:r w:rsidRPr="0009132C">
        <w:t xml:space="preserve">The programs to address HRSNs include the FSP and three </w:t>
      </w:r>
      <w:r w:rsidR="00453DC4">
        <w:t>s</w:t>
      </w:r>
      <w:r w:rsidRPr="0009132C">
        <w:t>pecialized CSPs. To be eligible for the respective programs, members must have a documented medical need for the services as defined by the specific program, and the services must be medically appropriate.</w:t>
      </w:r>
      <w:r w:rsidRPr="00433675">
        <w:rPr>
          <w:rStyle w:val="FootnoteReference"/>
        </w:rPr>
        <w:footnoteReference w:id="158"/>
      </w:r>
      <w:r w:rsidRPr="0009132C">
        <w:t xml:space="preserve"> </w:t>
      </w:r>
      <w:r w:rsidR="544688A6" w:rsidRPr="0009132C">
        <w:t>Specialized CSP is available in all delivery systems, while FSP is availab</w:t>
      </w:r>
      <w:r w:rsidR="0031369C" w:rsidRPr="0009132C">
        <w:t>l</w:t>
      </w:r>
      <w:r w:rsidR="544688A6" w:rsidRPr="0009132C">
        <w:t xml:space="preserve">e only to ACO members. </w:t>
      </w:r>
      <w:r w:rsidRPr="0009132C">
        <w:t>The programs are as follows:</w:t>
      </w:r>
    </w:p>
    <w:p w14:paraId="63AF6BC5" w14:textId="2B152CE9" w:rsidR="006E3159" w:rsidRPr="0009132C" w:rsidRDefault="008925CE" w:rsidP="00301DAB">
      <w:pPr>
        <w:pStyle w:val="Heading4"/>
      </w:pPr>
      <w:r w:rsidRPr="0009132C">
        <w:t>Flexible Services Program</w:t>
      </w:r>
    </w:p>
    <w:p w14:paraId="5795E0CF" w14:textId="4DE62567" w:rsidR="008925CE" w:rsidRPr="0009132C" w:rsidRDefault="008925CE" w:rsidP="00850816">
      <w:pPr>
        <w:rPr>
          <w:rFonts w:eastAsia="Times New Roman"/>
        </w:rPr>
      </w:pPr>
      <w:r w:rsidRPr="0009132C">
        <w:t>FSP targets MassHealth ACO-enrolled members 0 to 64</w:t>
      </w:r>
      <w:r w:rsidR="005B47F7">
        <w:t xml:space="preserve"> years of age</w:t>
      </w:r>
      <w:r w:rsidRPr="0009132C">
        <w:t xml:space="preserve"> who meet at least one of the health needs-based criteria (i.e., a behavioral health</w:t>
      </w:r>
      <w:r w:rsidR="00BC75C4">
        <w:t xml:space="preserve"> (</w:t>
      </w:r>
      <w:r w:rsidR="004515F4">
        <w:t>BH</w:t>
      </w:r>
      <w:r w:rsidR="00BC75C4">
        <w:t>)</w:t>
      </w:r>
      <w:r w:rsidRPr="0009132C">
        <w:t xml:space="preserve"> need, complex physical</w:t>
      </w:r>
      <w:r w:rsidRPr="0009132C">
        <w:rPr>
          <w:rFonts w:eastAsia="Times New Roman"/>
        </w:rPr>
        <w:t xml:space="preserve"> health need, activities of daily living or instrumental activities of daily living need, repeated emergency department</w:t>
      </w:r>
      <w:r w:rsidR="00BC75C4">
        <w:rPr>
          <w:rFonts w:eastAsia="Times New Roman"/>
        </w:rPr>
        <w:t xml:space="preserve"> (</w:t>
      </w:r>
      <w:r w:rsidR="00781071">
        <w:rPr>
          <w:rFonts w:eastAsia="Times New Roman"/>
        </w:rPr>
        <w:t>ED</w:t>
      </w:r>
      <w:r w:rsidR="00BC75C4">
        <w:rPr>
          <w:rFonts w:eastAsia="Times New Roman"/>
        </w:rPr>
        <w:t>)</w:t>
      </w:r>
      <w:r w:rsidRPr="0009132C">
        <w:rPr>
          <w:rFonts w:eastAsia="Times New Roman"/>
        </w:rPr>
        <w:t xml:space="preserve"> utilization, high-risk pregnancy) and at least one risk factor (either experiencing homelessness/at risk of homelessness or at risk for a nutritional deficiency/nutritional imbalance due to food insecurity) defined by the Commonwealth. The FSP addresses the health-related social needs</w:t>
      </w:r>
      <w:r w:rsidR="00BC75C4">
        <w:rPr>
          <w:rFonts w:eastAsia="Times New Roman"/>
        </w:rPr>
        <w:t xml:space="preserve"> (</w:t>
      </w:r>
      <w:r w:rsidR="003B0F49">
        <w:rPr>
          <w:rFonts w:eastAsia="Times New Roman"/>
        </w:rPr>
        <w:t>HRSN</w:t>
      </w:r>
      <w:r w:rsidR="00BC75C4">
        <w:rPr>
          <w:rFonts w:eastAsia="Times New Roman"/>
        </w:rPr>
        <w:t>)</w:t>
      </w:r>
      <w:r w:rsidRPr="0009132C">
        <w:rPr>
          <w:rFonts w:eastAsia="Times New Roman"/>
        </w:rPr>
        <w:t xml:space="preserve"> of eligible individuals in the areas of housing and nutrition by providing access to the following tenancy preservation and </w:t>
      </w:r>
      <w:r w:rsidR="00F118A1" w:rsidRPr="0009132C">
        <w:rPr>
          <w:rFonts w:eastAsia="Times New Roman"/>
        </w:rPr>
        <w:t>nutrition</w:t>
      </w:r>
      <w:r w:rsidR="00F118A1">
        <w:rPr>
          <w:rFonts w:eastAsia="Times New Roman"/>
        </w:rPr>
        <w:t>-</w:t>
      </w:r>
      <w:r w:rsidRPr="0009132C">
        <w:rPr>
          <w:rFonts w:eastAsia="Times New Roman"/>
        </w:rPr>
        <w:t>sustaining supports:</w:t>
      </w:r>
      <w:r w:rsidRPr="00433675">
        <w:rPr>
          <w:rStyle w:val="FootnoteReference"/>
        </w:rPr>
        <w:footnoteReference w:id="159"/>
      </w:r>
    </w:p>
    <w:p w14:paraId="3E725375" w14:textId="77777777" w:rsidR="006E3159" w:rsidRPr="0009132C" w:rsidRDefault="008925CE" w:rsidP="003C6C8F">
      <w:pPr>
        <w:pStyle w:val="Heading5"/>
      </w:pPr>
      <w:r w:rsidRPr="0009132C">
        <w:t>Tenancy Preservation Supports</w:t>
      </w:r>
    </w:p>
    <w:p w14:paraId="07677CD8" w14:textId="3839BFCF" w:rsidR="008925CE" w:rsidRPr="0009132C" w:rsidRDefault="008925CE" w:rsidP="00850816">
      <w:r w:rsidRPr="0009132C">
        <w:t>Allowable housing supports consist of pre-tenancy and tenancy sustaining services, including tenant rights education and eviction prevention; housing transition navigation services; one-time transition and moving costs; housing deposits to secure housing, including application and inspection fees and fees to secure needed identification; medically necessary air conditioners, humidifiers, air filtration devices</w:t>
      </w:r>
      <w:r w:rsidR="00F118A1">
        <w:t>,</w:t>
      </w:r>
      <w:r w:rsidRPr="0009132C">
        <w:t xml:space="preserve"> and asthma remediation, and refrigeration units as needed for medical treatment; medically necessary home modifications and remediation services such as accessibility ramps, handrails, grab bars, repairing or improving ventilation systems, and mold/pest </w:t>
      </w:r>
      <w:r w:rsidRPr="0009132C">
        <w:lastRenderedPageBreak/>
        <w:t>remediation; case management, outreach, and education including linkages to other state and federal benefit programs, benefit program application assistance and application fees; and transportation to HRSN services for tenancy supports as described above.</w:t>
      </w:r>
      <w:r w:rsidRPr="00433675">
        <w:rPr>
          <w:rStyle w:val="FootnoteReference"/>
        </w:rPr>
        <w:footnoteReference w:id="160"/>
      </w:r>
      <w:r w:rsidRPr="0009132C">
        <w:t xml:space="preserve"> </w:t>
      </w:r>
    </w:p>
    <w:p w14:paraId="1E1F1C99" w14:textId="421514FD" w:rsidR="006E3159" w:rsidRPr="0009132C" w:rsidRDefault="008925CE" w:rsidP="003C6C8F">
      <w:pPr>
        <w:pStyle w:val="Heading5"/>
      </w:pPr>
      <w:r w:rsidRPr="0009132C">
        <w:t>Nutrition Supports</w:t>
      </w:r>
    </w:p>
    <w:p w14:paraId="32BBB41D" w14:textId="77777777" w:rsidR="00AA6331" w:rsidRDefault="00AA6331" w:rsidP="00AA6331">
      <w:r>
        <w:t xml:space="preserve">Allowable nutrition supports include: </w:t>
      </w:r>
    </w:p>
    <w:p w14:paraId="65F99985" w14:textId="77777777" w:rsidR="00AA6331" w:rsidRDefault="00AA6331" w:rsidP="00D23A89">
      <w:pPr>
        <w:pStyle w:val="Bullet1"/>
      </w:pPr>
      <w:r>
        <w:t xml:space="preserve">nutrition counseling and education, including on healthy meal preparation; </w:t>
      </w:r>
    </w:p>
    <w:p w14:paraId="33836D1E" w14:textId="77777777" w:rsidR="00AA6331" w:rsidRDefault="00AA6331" w:rsidP="00D23A89">
      <w:pPr>
        <w:pStyle w:val="Bullet1"/>
      </w:pPr>
      <w:r>
        <w:t xml:space="preserve">up to three meals a day delivered in the home, or private residence, for up to six months; </w:t>
      </w:r>
    </w:p>
    <w:p w14:paraId="53FDDDA8" w14:textId="77777777" w:rsidR="00AA6331" w:rsidRDefault="00AA6331" w:rsidP="00D23A89">
      <w:pPr>
        <w:pStyle w:val="Bullet1"/>
      </w:pPr>
      <w:r>
        <w:t>additional nutrition support provided to the household of a child or pregnant individual identified as high</w:t>
      </w:r>
      <w:r w:rsidRPr="00D23A89">
        <w:t xml:space="preserve"> risk, </w:t>
      </w:r>
      <w:r>
        <w:t xml:space="preserve">as defined in the risk and needs-based criteria and in accordance with program requirements; </w:t>
      </w:r>
    </w:p>
    <w:p w14:paraId="4D2D53FE" w14:textId="77777777" w:rsidR="00AA6331" w:rsidRDefault="00AA6331" w:rsidP="00D23A89">
      <w:pPr>
        <w:pStyle w:val="Bullet1"/>
      </w:pPr>
      <w:r>
        <w:t xml:space="preserve">medically-tailored or nutritionally-appropriate food prescriptions delivered in various forms such as nutrition vouchers and food boxes, for up to six months cooking supplies that are necessary for meal preparation and nutritional welfare of a beneficiary when not available through other programs; </w:t>
      </w:r>
    </w:p>
    <w:p w14:paraId="5EFC0892" w14:textId="77777777" w:rsidR="00AA6331" w:rsidRDefault="00AA6331" w:rsidP="00D23A89">
      <w:pPr>
        <w:pStyle w:val="Bullet1"/>
      </w:pPr>
      <w:r>
        <w:t xml:space="preserve">case management, outreach, and education including linkages to other state and federal benefit programs, benefit program application assistance and application fees; and </w:t>
      </w:r>
    </w:p>
    <w:p w14:paraId="66559969" w14:textId="055750B3" w:rsidR="008925CE" w:rsidRPr="0009132C" w:rsidRDefault="00AA6331" w:rsidP="00D23A89">
      <w:pPr>
        <w:pStyle w:val="Bullet1"/>
      </w:pPr>
      <w:r w:rsidRPr="004924FB">
        <w:t>transportation to HRSN services for nutrition supports</w:t>
      </w:r>
      <w:r w:rsidR="008925CE" w:rsidRPr="0009132C">
        <w:t>.</w:t>
      </w:r>
      <w:r w:rsidR="008925CE" w:rsidRPr="00433675">
        <w:rPr>
          <w:rStyle w:val="FootnoteReference"/>
        </w:rPr>
        <w:footnoteReference w:id="161"/>
      </w:r>
      <w:r w:rsidR="008925CE" w:rsidRPr="0009132C">
        <w:t xml:space="preserve"> </w:t>
      </w:r>
    </w:p>
    <w:p w14:paraId="6A639B13" w14:textId="77777777" w:rsidR="006E3159" w:rsidRPr="0009132C" w:rsidRDefault="008925CE" w:rsidP="00301DAB">
      <w:pPr>
        <w:pStyle w:val="Heading4"/>
      </w:pPr>
      <w:bookmarkStart w:id="216" w:name="_Hlk151288712"/>
      <w:r w:rsidRPr="0009132C">
        <w:t>Specialized Community Support Programs (Specialized CSPs)</w:t>
      </w:r>
    </w:p>
    <w:bookmarkEnd w:id="216"/>
    <w:p w14:paraId="7CEB4581" w14:textId="133D28BA" w:rsidR="008925CE" w:rsidRPr="0009132C" w:rsidRDefault="008925CE" w:rsidP="00850816">
      <w:r w:rsidRPr="0009132C">
        <w:t xml:space="preserve">MassHealth members, except MassHealth Limited members, who meet certain criteria related to </w:t>
      </w:r>
      <w:r w:rsidR="004515F4">
        <w:t>BH</w:t>
      </w:r>
      <w:r w:rsidRPr="0009132C">
        <w:t xml:space="preserve"> needs are eligible to receive specialized CSP services. Specialized CSP services are outreach and support services </w:t>
      </w:r>
      <w:r w:rsidR="39FF91A3" w:rsidRPr="0009132C">
        <w:t xml:space="preserve">that </w:t>
      </w:r>
      <w:r w:rsidRPr="0009132C">
        <w:t xml:space="preserve">enable beneficiaries to use clinical treatment services and other supports, as described below. The CSP provider does not provide clinical treatment services. Specialized CSPs may also provide support for </w:t>
      </w:r>
      <w:r w:rsidR="0CB50C80" w:rsidRPr="0009132C">
        <w:t>members’</w:t>
      </w:r>
      <w:r w:rsidRPr="0009132C">
        <w:t xml:space="preserve"> transition between service settings, including connecting with the member just prior to discharge from an inpatient or 24-hour diversionary setting and supporting them through the transition to accessing outpatient and community-based services and supports. Services vary with respect to hours, type, and intensity of services depending on the changing needs of the beneficiary. The following </w:t>
      </w:r>
      <w:r w:rsidR="004B257C">
        <w:t>s</w:t>
      </w:r>
      <w:r w:rsidRPr="0009132C">
        <w:t>pecialized CSPs target populations in need of specialized supports.</w:t>
      </w:r>
      <w:r w:rsidRPr="00433675">
        <w:rPr>
          <w:rStyle w:val="FootnoteReference"/>
        </w:rPr>
        <w:footnoteReference w:id="162"/>
      </w:r>
    </w:p>
    <w:p w14:paraId="1186F631" w14:textId="77777777" w:rsidR="006E3159" w:rsidRPr="0009132C" w:rsidRDefault="008925CE" w:rsidP="003C6C8F">
      <w:pPr>
        <w:pStyle w:val="Heading5"/>
      </w:pPr>
      <w:r w:rsidRPr="0009132C">
        <w:t>Community Support Program for Homeless Individuals (CSP-HI)</w:t>
      </w:r>
    </w:p>
    <w:p w14:paraId="0497C608" w14:textId="6D3998B4" w:rsidR="008925CE" w:rsidRPr="0009132C" w:rsidRDefault="008925CE" w:rsidP="00850816">
      <w:r w:rsidRPr="0009132C">
        <w:t xml:space="preserve">CSP-HI is a specialized CSP service to address the HRSNs of members who are experiencing homelessness and are frequent users of acute health MassHealth </w:t>
      </w:r>
      <w:r w:rsidRPr="0009132C">
        <w:lastRenderedPageBreak/>
        <w:t>services, as defined by EOHHS</w:t>
      </w:r>
      <w:r w:rsidR="00615BCB">
        <w:t>,</w:t>
      </w:r>
      <w:r w:rsidR="00615BCB" w:rsidRPr="0009132C">
        <w:t xml:space="preserve"> </w:t>
      </w:r>
      <w:r w:rsidRPr="0009132C">
        <w:t>or are experiencing chronic homelessness, as defined by the US Department of Housing and Urban Development.</w:t>
      </w:r>
      <w:r w:rsidRPr="00433675">
        <w:rPr>
          <w:rStyle w:val="FootnoteReference"/>
        </w:rPr>
        <w:footnoteReference w:id="163"/>
      </w:r>
    </w:p>
    <w:p w14:paraId="40740D4D" w14:textId="7587F9DE" w:rsidR="00433675" w:rsidRDefault="008925CE" w:rsidP="00850816">
      <w:r w:rsidRPr="0009132C">
        <w:t xml:space="preserve">CSP-HI includes assistance from specialized professionals who </w:t>
      </w:r>
      <w:r w:rsidR="00BD1980">
        <w:t>can</w:t>
      </w:r>
      <w:r w:rsidRPr="0009132C">
        <w:t xml:space="preserve"> engage and support individuals experiencing homelessness in searching for permanent supportive housing</w:t>
      </w:r>
      <w:r w:rsidR="00615BCB">
        <w:t>,</w:t>
      </w:r>
      <w:r w:rsidR="00615BCB" w:rsidRPr="0009132C">
        <w:t xml:space="preserve"> </w:t>
      </w:r>
      <w:r w:rsidRPr="0009132C">
        <w:t>preparing for and transitioning to an available housing unit</w:t>
      </w:r>
      <w:r w:rsidR="00615BCB">
        <w:t>,</w:t>
      </w:r>
      <w:r w:rsidR="00615BCB" w:rsidRPr="0009132C">
        <w:t xml:space="preserve"> </w:t>
      </w:r>
      <w:r w:rsidRPr="0009132C">
        <w:t>and, once housed, coordinating access to physical health, BH, and other needed services geared towards helping them sustain tenancy and meet their health needs. In addition to the core CSP services</w:t>
      </w:r>
      <w:r w:rsidR="2E64B1E2" w:rsidRPr="0009132C">
        <w:t>,</w:t>
      </w:r>
      <w:r w:rsidRPr="00433675">
        <w:rPr>
          <w:rStyle w:val="FootnoteReference"/>
        </w:rPr>
        <w:footnoteReference w:id="164"/>
      </w:r>
      <w:r w:rsidRPr="0009132C">
        <w:t xml:space="preserve"> CSP-HI services also include</w:t>
      </w:r>
      <w:r w:rsidR="00615BCB">
        <w:t xml:space="preserve"> the following</w:t>
      </w:r>
      <w:r w:rsidRPr="0009132C">
        <w:t xml:space="preserve">: </w:t>
      </w:r>
    </w:p>
    <w:p w14:paraId="7B865BC7" w14:textId="194E9B7D" w:rsidR="00433675" w:rsidRDefault="00433675" w:rsidP="00B533CB">
      <w:pPr>
        <w:pStyle w:val="Bullet1"/>
      </w:pPr>
      <w:r>
        <w:t>P</w:t>
      </w:r>
      <w:r w:rsidR="008925CE" w:rsidRPr="0009132C">
        <w:t>re-tenancy supports, including engaging the member and assisting in the search for an appropriate and affordable housing unit</w:t>
      </w:r>
    </w:p>
    <w:p w14:paraId="4F06FDAD" w14:textId="2B84C59B" w:rsidR="00433675" w:rsidRDefault="00433675" w:rsidP="00B533CB">
      <w:pPr>
        <w:pStyle w:val="Bullet1"/>
      </w:pPr>
      <w:r>
        <w:t>S</w:t>
      </w:r>
      <w:r w:rsidR="008925CE" w:rsidRPr="0009132C">
        <w:t>upport in transition into housing, including assistance arranging for and helping the member move into housing</w:t>
      </w:r>
    </w:p>
    <w:p w14:paraId="62879B0E" w14:textId="7A269EE4" w:rsidR="008925CE" w:rsidRPr="0009132C" w:rsidRDefault="00433675" w:rsidP="00B533CB">
      <w:pPr>
        <w:pStyle w:val="Bullet1"/>
      </w:pPr>
      <w:r>
        <w:t>T</w:t>
      </w:r>
      <w:r w:rsidR="008925CE" w:rsidRPr="0009132C">
        <w:t>enancy sustaining supports, including assistance focused on helping the member remain in housing and connect with other community benefits and resources</w:t>
      </w:r>
      <w:r w:rsidR="008925CE" w:rsidRPr="00433675">
        <w:rPr>
          <w:rStyle w:val="FootnoteReference"/>
        </w:rPr>
        <w:footnoteReference w:id="165"/>
      </w:r>
    </w:p>
    <w:p w14:paraId="584A749B" w14:textId="77777777" w:rsidR="006E3159" w:rsidRPr="0009132C" w:rsidRDefault="008925CE" w:rsidP="00850816">
      <w:pPr>
        <w:pStyle w:val="Heading5"/>
      </w:pPr>
      <w:r w:rsidRPr="0009132C">
        <w:t>CSP for Individuals with Justice Involvement (CSP-JI)</w:t>
      </w:r>
    </w:p>
    <w:p w14:paraId="4954B188" w14:textId="16FD03D2" w:rsidR="008925CE" w:rsidRPr="0009132C" w:rsidRDefault="008925CE" w:rsidP="00850816">
      <w:r w:rsidRPr="00433675">
        <w:t xml:space="preserve">CSP-JI is a specialized CSP service to address the HRSNs of members with justice involvement and </w:t>
      </w:r>
      <w:r w:rsidR="52BF35F8" w:rsidRPr="00433675">
        <w:t xml:space="preserve">who </w:t>
      </w:r>
      <w:r w:rsidRPr="00433675">
        <w:t>have a barrier to accessing or consistently utilizing medical and BH services, as defined by EOHHS. CSP-JI includes BH and community tenure sustainment supports</w:t>
      </w:r>
      <w:r w:rsidRPr="0009132C">
        <w:t>.</w:t>
      </w:r>
    </w:p>
    <w:p w14:paraId="10473158" w14:textId="608BAE8C" w:rsidR="008925CE" w:rsidRPr="0009132C" w:rsidRDefault="008925CE" w:rsidP="00850816">
      <w:pPr>
        <w:rPr>
          <w:rFonts w:eastAsia="Times New Roman"/>
        </w:rPr>
      </w:pPr>
      <w:r w:rsidRPr="0009132C">
        <w:rPr>
          <w:rFonts w:eastAsia="Times New Roman"/>
        </w:rPr>
        <w:t xml:space="preserve">CSP-JI targets </w:t>
      </w:r>
      <w:r w:rsidR="5287FECB" w:rsidRPr="0009132C">
        <w:rPr>
          <w:rFonts w:eastAsia="Times New Roman"/>
        </w:rPr>
        <w:t>members</w:t>
      </w:r>
      <w:r w:rsidRPr="0009132C">
        <w:rPr>
          <w:rFonts w:eastAsia="Times New Roman"/>
        </w:rPr>
        <w:t xml:space="preserve"> with justice involvement living in the community in need of specialized services to improve and maintain health while transitioning back to the community and to promote successful community tenure. Individuals with justice involvement living in the community are defined as </w:t>
      </w:r>
      <w:r w:rsidR="0002314F" w:rsidRPr="0009132C">
        <w:rPr>
          <w:rFonts w:eastAsia="Times New Roman"/>
        </w:rPr>
        <w:t>MassHealth</w:t>
      </w:r>
      <w:r w:rsidR="0002314F">
        <w:rPr>
          <w:rFonts w:eastAsia="Times New Roman"/>
        </w:rPr>
        <w:t>-</w:t>
      </w:r>
      <w:r w:rsidRPr="0009132C">
        <w:rPr>
          <w:rFonts w:eastAsia="Times New Roman"/>
        </w:rPr>
        <w:t>covered individuals released from a correctional institution within one year or who are under the supervision of the Massachusetts Probation Service or the Massachusetts Parole Board.</w:t>
      </w:r>
      <w:r w:rsidRPr="00433675">
        <w:rPr>
          <w:rStyle w:val="FootnoteReference"/>
        </w:rPr>
        <w:footnoteReference w:id="166"/>
      </w:r>
    </w:p>
    <w:p w14:paraId="3C96CE60" w14:textId="77777777" w:rsidR="005B47F7" w:rsidRDefault="008925CE" w:rsidP="00A141DE">
      <w:pPr>
        <w:rPr>
          <w:rFonts w:eastAsia="Times New Roman"/>
        </w:rPr>
      </w:pPr>
      <w:r w:rsidRPr="0009132C">
        <w:rPr>
          <w:rFonts w:eastAsia="Times New Roman"/>
        </w:rPr>
        <w:t>In addition to the core CSP Services</w:t>
      </w:r>
      <w:r w:rsidR="02E956FA" w:rsidRPr="0009132C">
        <w:rPr>
          <w:rFonts w:eastAsia="Times New Roman"/>
        </w:rPr>
        <w:t>,</w:t>
      </w:r>
      <w:r w:rsidRPr="00433675">
        <w:rPr>
          <w:rStyle w:val="FootnoteReference"/>
        </w:rPr>
        <w:footnoteReference w:id="167"/>
      </w:r>
      <w:r w:rsidR="008A2805" w:rsidRPr="0009132C">
        <w:rPr>
          <w:rFonts w:eastAsia="Times New Roman"/>
        </w:rPr>
        <w:t xml:space="preserve"> </w:t>
      </w:r>
      <w:r w:rsidRPr="0009132C">
        <w:rPr>
          <w:rFonts w:eastAsia="Times New Roman"/>
        </w:rPr>
        <w:t xml:space="preserve">CSP-JI includes the following: </w:t>
      </w:r>
    </w:p>
    <w:p w14:paraId="5952D354" w14:textId="05E4F9EC" w:rsidR="005B47F7" w:rsidRDefault="005B47F7" w:rsidP="00D619F2">
      <w:pPr>
        <w:pStyle w:val="Bullet1"/>
      </w:pPr>
      <w:r>
        <w:t>I</w:t>
      </w:r>
      <w:r w:rsidR="008925CE" w:rsidRPr="0009132C">
        <w:t xml:space="preserve">f the referral source is a correctional institution, coordinating with the Behavioral Health for Justice-Involved Individuals (BH-JI) provider conducting in-reach services </w:t>
      </w:r>
    </w:p>
    <w:p w14:paraId="72698F0B" w14:textId="0E6D38EB" w:rsidR="005B47F7" w:rsidRDefault="005B47F7" w:rsidP="00D619F2">
      <w:pPr>
        <w:pStyle w:val="Bullet1"/>
      </w:pPr>
      <w:r>
        <w:t>E</w:t>
      </w:r>
      <w:r w:rsidR="008925CE" w:rsidRPr="0009132C">
        <w:t>nsuring that the CSP-JI service plan does not conflict with the member’s probation and parole supervision plan, as applicable</w:t>
      </w:r>
    </w:p>
    <w:p w14:paraId="70C8A816" w14:textId="0266A8B6" w:rsidR="00B940C6" w:rsidRPr="0009132C" w:rsidRDefault="005B47F7" w:rsidP="00D619F2">
      <w:pPr>
        <w:pStyle w:val="Bullet1"/>
      </w:pPr>
      <w:r>
        <w:t>A</w:t>
      </w:r>
      <w:r w:rsidR="008925CE" w:rsidRPr="0009132C">
        <w:t>ddressing the member’s criminogenic needs in the service plan goals, including interventions and strategies for developing alternative behaviors.</w:t>
      </w:r>
      <w:r w:rsidR="008925CE" w:rsidRPr="00433675">
        <w:rPr>
          <w:rStyle w:val="FootnoteReference"/>
        </w:rPr>
        <w:footnoteReference w:id="168"/>
      </w:r>
    </w:p>
    <w:p w14:paraId="7ED688BD" w14:textId="77777777" w:rsidR="006E3159" w:rsidRPr="0009132C" w:rsidRDefault="008925CE" w:rsidP="00850816">
      <w:pPr>
        <w:pStyle w:val="Heading5"/>
      </w:pPr>
      <w:r w:rsidRPr="0009132C">
        <w:lastRenderedPageBreak/>
        <w:t>CSP Tenancy Preservation Program (CSP-TPP)</w:t>
      </w:r>
    </w:p>
    <w:p w14:paraId="0493F017" w14:textId="5BC06459" w:rsidR="008925CE" w:rsidRPr="0009132C" w:rsidRDefault="008925CE" w:rsidP="00850816">
      <w:pPr>
        <w:rPr>
          <w:rFonts w:eastAsia="Times New Roman"/>
        </w:rPr>
      </w:pPr>
      <w:r w:rsidRPr="0009132C">
        <w:t>CSP-TPP is a specialized CSP service to address the HRSNs of members who are at risk of homelessness and facing eviction as a result of behavior related to a disability. CSP-TPP works with the member, the Housing Court, and the member’s landlord to preserve tenancies by connecting the member to community-based services in order to address the underlying issues causing the lease violation.</w:t>
      </w:r>
      <w:r w:rsidRPr="0009132C">
        <w:rPr>
          <w:rStyle w:val="FootnoteReference"/>
        </w:rPr>
        <w:footnoteReference w:id="169"/>
      </w:r>
    </w:p>
    <w:p w14:paraId="039D017A" w14:textId="5211EA0D" w:rsidR="005B47F7" w:rsidRDefault="008925CE" w:rsidP="00850816">
      <w:r w:rsidRPr="0009132C">
        <w:t xml:space="preserve">CSP-TPP provides </w:t>
      </w:r>
      <w:r w:rsidR="0002314F" w:rsidRPr="0009132C">
        <w:t>tenancy</w:t>
      </w:r>
      <w:r w:rsidR="0002314F">
        <w:t>-</w:t>
      </w:r>
      <w:r w:rsidRPr="0009132C">
        <w:t>sustaining services, including tenant rights education and eviction prevention. In addition to the core CSP services</w:t>
      </w:r>
      <w:r w:rsidR="60666B01" w:rsidRPr="0009132C">
        <w:t>,</w:t>
      </w:r>
      <w:r w:rsidRPr="00433675">
        <w:rPr>
          <w:rStyle w:val="FootnoteReference"/>
        </w:rPr>
        <w:footnoteReference w:id="170"/>
      </w:r>
      <w:r w:rsidRPr="0009132C">
        <w:t xml:space="preserve"> CSP-TPP services also include:</w:t>
      </w:r>
    </w:p>
    <w:p w14:paraId="34ABFB10" w14:textId="0F30811F" w:rsidR="005B47F7" w:rsidRDefault="005B47F7" w:rsidP="00D619F2">
      <w:pPr>
        <w:pStyle w:val="Bullet1"/>
      </w:pPr>
      <w:r>
        <w:t>A</w:t>
      </w:r>
      <w:r w:rsidR="008925CE" w:rsidRPr="0009132C">
        <w:t xml:space="preserve">ssessing the underlying causes of the member’s </w:t>
      </w:r>
      <w:r w:rsidR="0002314F">
        <w:t>e</w:t>
      </w:r>
      <w:r w:rsidR="0002314F" w:rsidRPr="0009132C">
        <w:t>viction</w:t>
      </w:r>
      <w:r w:rsidR="008925CE" w:rsidRPr="0009132C">
        <w:t xml:space="preserve"> and identifying services to address both the lease violation and the underlying causes</w:t>
      </w:r>
    </w:p>
    <w:p w14:paraId="02E3DF8C" w14:textId="671F522E" w:rsidR="005B47F7" w:rsidRDefault="005B47F7" w:rsidP="00D619F2">
      <w:pPr>
        <w:pStyle w:val="Bullet1"/>
      </w:pPr>
      <w:r>
        <w:t>D</w:t>
      </w:r>
      <w:r w:rsidR="008925CE" w:rsidRPr="0009132C">
        <w:t>eveloping a service plan to maintain the tenancy</w:t>
      </w:r>
    </w:p>
    <w:p w14:paraId="7D842BED" w14:textId="2BD9D82E" w:rsidR="005B47F7" w:rsidRDefault="005B47F7" w:rsidP="00D619F2">
      <w:pPr>
        <w:pStyle w:val="Bullet1"/>
      </w:pPr>
      <w:r>
        <w:t>P</w:t>
      </w:r>
      <w:r w:rsidR="008925CE" w:rsidRPr="0009132C">
        <w:t>roviding clinical consultation services as well as short term, intensive case management and stabilization services to members</w:t>
      </w:r>
    </w:p>
    <w:p w14:paraId="3A6E5216" w14:textId="6FEC9D45" w:rsidR="008925CE" w:rsidRPr="0009132C" w:rsidRDefault="005B47F7" w:rsidP="00D619F2">
      <w:pPr>
        <w:pStyle w:val="Bullet1"/>
      </w:pPr>
      <w:r>
        <w:t>M</w:t>
      </w:r>
      <w:r w:rsidR="008925CE" w:rsidRPr="0009132C">
        <w:t xml:space="preserve">aking regular reports to all parties involved in the </w:t>
      </w:r>
      <w:r w:rsidR="00D0203D">
        <w:t>e</w:t>
      </w:r>
      <w:r w:rsidR="00D0203D" w:rsidRPr="0009132C">
        <w:t xml:space="preserve">viction </w:t>
      </w:r>
      <w:r w:rsidR="008925CE" w:rsidRPr="0009132C">
        <w:t>until the member’s housing situation is stabilized</w:t>
      </w:r>
      <w:r w:rsidR="008925CE" w:rsidRPr="0009132C">
        <w:rPr>
          <w:rStyle w:val="FootnoteReference"/>
        </w:rPr>
        <w:footnoteReference w:id="171"/>
      </w:r>
    </w:p>
    <w:p w14:paraId="354FE485" w14:textId="1EEC2254" w:rsidR="008925CE" w:rsidRPr="0009132C" w:rsidRDefault="008925CE" w:rsidP="00EE4105">
      <w:pPr>
        <w:pStyle w:val="Heading3"/>
      </w:pPr>
      <w:bookmarkStart w:id="217" w:name="_Hlk124235292"/>
      <w:r w:rsidRPr="0009132C">
        <w:t xml:space="preserve">HRSN Policy Domain </w:t>
      </w:r>
      <w:r w:rsidR="003C3E89">
        <w:t>I</w:t>
      </w:r>
      <w:r w:rsidRPr="0009132C">
        <w:t xml:space="preserve">mplementation </w:t>
      </w:r>
      <w:r w:rsidR="003C3E89">
        <w:t>P</w:t>
      </w:r>
      <w:r w:rsidRPr="0009132C">
        <w:t xml:space="preserve">lans and </w:t>
      </w:r>
      <w:r w:rsidR="003C3E89">
        <w:t>T</w:t>
      </w:r>
      <w:r w:rsidRPr="0009132C">
        <w:t>imeline</w:t>
      </w:r>
      <w:r w:rsidRPr="0009132C">
        <w:rPr>
          <w:rStyle w:val="FootnoteReference"/>
        </w:rPr>
        <w:footnoteReference w:id="172"/>
      </w:r>
    </w:p>
    <w:bookmarkEnd w:id="217"/>
    <w:p w14:paraId="54FE8394" w14:textId="77777777" w:rsidR="008925CE" w:rsidRPr="0009132C" w:rsidRDefault="008925CE" w:rsidP="00301DAB">
      <w:pPr>
        <w:pStyle w:val="Heading4"/>
      </w:pPr>
      <w:r w:rsidRPr="0009132C">
        <w:t>Flexible Services</w:t>
      </w:r>
    </w:p>
    <w:p w14:paraId="430AA69F" w14:textId="31AC866F" w:rsidR="008925CE" w:rsidRPr="0009132C" w:rsidRDefault="008925CE" w:rsidP="00782C1D">
      <w:r>
        <w:t xml:space="preserve">During the period of the glide path for Flexible Services (i.e., until January 1, 2025), MassHealth will continue to administer the FSP as it did under the prior Demonstration, providing HRSN goods and services allowable in the Special Terms and Conditions (STCs) and in accordance with the HRSN Protocol. During this time, MassHealth will undertake activities to move Flexible Services into the ACO managed care structure. Information regarding that implementation </w:t>
      </w:r>
      <w:r w:rsidR="0031128D">
        <w:t>has been</w:t>
      </w:r>
      <w:r>
        <w:t xml:space="preserve"> incorporated into th</w:t>
      </w:r>
      <w:r w:rsidR="103C8217">
        <w:t>e</w:t>
      </w:r>
      <w:r>
        <w:t xml:space="preserve"> HRSN Implementation Plan</w:t>
      </w:r>
      <w:r w:rsidR="10F9934A">
        <w:t>, the draft of which was submitted to CMS on June 30, 2023</w:t>
      </w:r>
      <w:r>
        <w:t>.</w:t>
      </w:r>
    </w:p>
    <w:p w14:paraId="0AA70425" w14:textId="77777777" w:rsidR="008925CE" w:rsidRPr="0009132C" w:rsidRDefault="008925CE" w:rsidP="00301DAB">
      <w:pPr>
        <w:pStyle w:val="Heading4"/>
      </w:pPr>
      <w:r w:rsidRPr="0009132C">
        <w:t>Specialized CSP</w:t>
      </w:r>
    </w:p>
    <w:p w14:paraId="0D1BA002" w14:textId="7CB54D9E" w:rsidR="00207BAD" w:rsidRPr="0009132C" w:rsidRDefault="008925CE" w:rsidP="00782C1D">
      <w:pPr>
        <w:pStyle w:val="Heading5"/>
      </w:pPr>
      <w:r w:rsidRPr="0009132C">
        <w:t>Fee-for-</w:t>
      </w:r>
      <w:r w:rsidR="002F5CA3">
        <w:t>S</w:t>
      </w:r>
      <w:r w:rsidRPr="0009132C">
        <w:t xml:space="preserve">ervice (FFS) </w:t>
      </w:r>
      <w:r w:rsidR="002F5CA3">
        <w:t>I</w:t>
      </w:r>
      <w:r w:rsidRPr="0009132C">
        <w:t xml:space="preserve">mplementation </w:t>
      </w:r>
    </w:p>
    <w:p w14:paraId="4456C5E0" w14:textId="3B12F923" w:rsidR="008925CE" w:rsidRPr="0009132C" w:rsidRDefault="008925CE" w:rsidP="00782C1D">
      <w:r>
        <w:t xml:space="preserve">The </w:t>
      </w:r>
      <w:r w:rsidR="005B47F7">
        <w:t>state</w:t>
      </w:r>
      <w:r>
        <w:t xml:space="preserve"> has developed programmatic and rate regulations that govern the implementation of </w:t>
      </w:r>
      <w:r w:rsidR="00C546E5">
        <w:t>s</w:t>
      </w:r>
      <w:r>
        <w:t xml:space="preserve">pecialized CSP services through its FFS delivery system. The </w:t>
      </w:r>
      <w:r w:rsidR="005B47F7">
        <w:t>state</w:t>
      </w:r>
      <w:r>
        <w:t xml:space="preserve"> published the proposed regulations (programmatic and rates) for public comment in January 2023</w:t>
      </w:r>
      <w:r w:rsidR="0071008C">
        <w:t>,</w:t>
      </w:r>
      <w:r>
        <w:t xml:space="preserve"> and a public hearing was held on January 31, 2023</w:t>
      </w:r>
      <w:r w:rsidR="00A96B7D">
        <w:t>.</w:t>
      </w:r>
      <w:r w:rsidR="0D96BD1D">
        <w:t xml:space="preserve"> </w:t>
      </w:r>
      <w:r w:rsidR="00A96B7D">
        <w:t>F</w:t>
      </w:r>
      <w:r w:rsidR="0D96BD1D">
        <w:t xml:space="preserve">inal regulations </w:t>
      </w:r>
      <w:r w:rsidR="00A96B7D">
        <w:t>went into</w:t>
      </w:r>
      <w:r w:rsidR="0D96BD1D">
        <w:t xml:space="preserve"> effect </w:t>
      </w:r>
      <w:r w:rsidR="00362D4E">
        <w:t>in</w:t>
      </w:r>
      <w:r w:rsidR="0D96BD1D">
        <w:t xml:space="preserve"> April 2023</w:t>
      </w:r>
      <w:r>
        <w:t xml:space="preserve">.  </w:t>
      </w:r>
    </w:p>
    <w:p w14:paraId="4FF1F253" w14:textId="2D464193" w:rsidR="008925CE" w:rsidRPr="0009132C" w:rsidRDefault="5E670136" w:rsidP="00766991">
      <w:r>
        <w:lastRenderedPageBreak/>
        <w:t>The</w:t>
      </w:r>
      <w:r w:rsidR="008925CE">
        <w:t xml:space="preserve"> </w:t>
      </w:r>
      <w:r w:rsidR="005B47F7">
        <w:t>state</w:t>
      </w:r>
      <w:r w:rsidR="008925CE">
        <w:t xml:space="preserve"> also finalize</w:t>
      </w:r>
      <w:r w:rsidR="4E7D1FEF">
        <w:t>d</w:t>
      </w:r>
      <w:r w:rsidR="008925CE">
        <w:t xml:space="preserve"> its clinical criteria guidelines for </w:t>
      </w:r>
      <w:r w:rsidR="00DF5DFC">
        <w:t>s</w:t>
      </w:r>
      <w:r w:rsidR="008925CE">
        <w:t>pecialized CSP services and develop</w:t>
      </w:r>
      <w:r w:rsidR="1387950C">
        <w:t>ed</w:t>
      </w:r>
      <w:r w:rsidR="008925CE">
        <w:t xml:space="preserve"> and finalize</w:t>
      </w:r>
      <w:r w:rsidR="2A42081A">
        <w:t>d</w:t>
      </w:r>
      <w:r w:rsidR="008925CE">
        <w:t xml:space="preserve"> </w:t>
      </w:r>
      <w:r w:rsidR="00DF5DFC">
        <w:t>s</w:t>
      </w:r>
      <w:r w:rsidR="008925CE">
        <w:t xml:space="preserve">pecialized CSP provider applications and related materials to enroll FFS providers of </w:t>
      </w:r>
      <w:r w:rsidR="00DF5DFC">
        <w:t>s</w:t>
      </w:r>
      <w:r w:rsidR="008925CE">
        <w:t>pecialized CSP services.</w:t>
      </w:r>
    </w:p>
    <w:p w14:paraId="1AD6C1A0" w14:textId="22231F01" w:rsidR="00207BAD" w:rsidRPr="0009132C" w:rsidRDefault="008925CE" w:rsidP="00782C1D">
      <w:pPr>
        <w:pStyle w:val="Heading5"/>
      </w:pPr>
      <w:r w:rsidRPr="0009132C">
        <w:t xml:space="preserve">Managed </w:t>
      </w:r>
      <w:r w:rsidR="002F5CA3">
        <w:t>C</w:t>
      </w:r>
      <w:r w:rsidRPr="0009132C">
        <w:t xml:space="preserve">are </w:t>
      </w:r>
      <w:r w:rsidR="002F5CA3">
        <w:t>I</w:t>
      </w:r>
      <w:r w:rsidRPr="0009132C">
        <w:t>mplementation</w:t>
      </w:r>
    </w:p>
    <w:p w14:paraId="71E0FFB7" w14:textId="52695B4F" w:rsidR="005B47F7" w:rsidRDefault="7BAC71FC" w:rsidP="00782C1D">
      <w:r>
        <w:t>T</w:t>
      </w:r>
      <w:r w:rsidR="008925CE">
        <w:t xml:space="preserve">he </w:t>
      </w:r>
      <w:r w:rsidR="005B47F7">
        <w:t>state</w:t>
      </w:r>
      <w:r w:rsidR="008925CE">
        <w:t xml:space="preserve"> </w:t>
      </w:r>
      <w:r w:rsidR="3DB973CF">
        <w:t>developed</w:t>
      </w:r>
      <w:r w:rsidR="00526542">
        <w:t xml:space="preserve"> </w:t>
      </w:r>
      <w:r w:rsidR="008925CE">
        <w:t xml:space="preserve">guidance for managed care plans related to contracting, service delivery, and payment for </w:t>
      </w:r>
      <w:r w:rsidR="00DF5DFC">
        <w:t>s</w:t>
      </w:r>
      <w:r w:rsidR="008925CE">
        <w:t>pecialized CSP services. The Commonwealth work</w:t>
      </w:r>
      <w:r w:rsidR="110000E7">
        <w:t>ed</w:t>
      </w:r>
      <w:r w:rsidR="008925CE">
        <w:t xml:space="preserve"> with the managed care plans to develop performance specifications based on this guidance, which align</w:t>
      </w:r>
      <w:r w:rsidR="6F558F25">
        <w:t>ed</w:t>
      </w:r>
      <w:r w:rsidR="008925CE">
        <w:t xml:space="preserve"> to FFS regulations, for implementation in April 2023. The </w:t>
      </w:r>
      <w:r w:rsidR="005B47F7">
        <w:t>state</w:t>
      </w:r>
      <w:r w:rsidR="008925CE">
        <w:t xml:space="preserve"> direct</w:t>
      </w:r>
      <w:r w:rsidR="613EDB65">
        <w:t>ed</w:t>
      </w:r>
      <w:r w:rsidR="008925CE">
        <w:t xml:space="preserve"> plans to pay at least the rate established for </w:t>
      </w:r>
      <w:r w:rsidR="00C9629E">
        <w:t>s</w:t>
      </w:r>
      <w:r w:rsidR="008925CE">
        <w:t xml:space="preserve">pecialized CSP services delivered through FFS. Specialized CSP services </w:t>
      </w:r>
      <w:r w:rsidR="70719EC8">
        <w:t>were</w:t>
      </w:r>
      <w:r w:rsidR="008925CE">
        <w:t xml:space="preserve"> incorporated in managed care contracts and rates, effective in </w:t>
      </w:r>
      <w:r w:rsidR="18690ED8">
        <w:t>April</w:t>
      </w:r>
      <w:r w:rsidR="008925CE">
        <w:t xml:space="preserve"> 2023.</w:t>
      </w:r>
    </w:p>
    <w:p w14:paraId="59636976" w14:textId="77777777" w:rsidR="005B47F7" w:rsidRPr="005B47F7" w:rsidRDefault="005B47F7" w:rsidP="00342FFF">
      <w:pPr>
        <w:pStyle w:val="Heading2"/>
      </w:pPr>
      <w:bookmarkStart w:id="218" w:name="_Toc151976444"/>
      <w:r w:rsidRPr="005B47F7">
        <w:t>Logic Model</w:t>
      </w:r>
      <w:bookmarkEnd w:id="218"/>
    </w:p>
    <w:p w14:paraId="55D1B7D2" w14:textId="316624FB" w:rsidR="005B47F7" w:rsidRDefault="005B47F7" w:rsidP="005B47F7">
      <w:r w:rsidRPr="0009132C">
        <w:t xml:space="preserve">The HRSN logic model </w:t>
      </w:r>
      <w:r w:rsidR="00DE20FE">
        <w:t xml:space="preserve">in </w:t>
      </w:r>
      <w:r w:rsidR="009E0A84" w:rsidRPr="00A505D3">
        <w:rPr>
          <w:color w:val="000F9F"/>
          <w:u w:val="single"/>
        </w:rPr>
        <w:fldChar w:fldCharType="begin"/>
      </w:r>
      <w:r w:rsidR="009E0A84" w:rsidRPr="00A505D3">
        <w:rPr>
          <w:color w:val="000F9F"/>
          <w:u w:val="single"/>
        </w:rPr>
        <w:instrText xml:space="preserve"> REF _Ref151472068 \h </w:instrText>
      </w:r>
      <w:r w:rsidR="009E0A84" w:rsidRPr="00A505D3">
        <w:rPr>
          <w:color w:val="000F9F"/>
          <w:u w:val="single"/>
        </w:rPr>
      </w:r>
      <w:r w:rsidR="009E0A84" w:rsidRPr="00A505D3">
        <w:rPr>
          <w:color w:val="000F9F"/>
          <w:u w:val="single"/>
        </w:rPr>
        <w:fldChar w:fldCharType="separate"/>
      </w:r>
      <w:r w:rsidR="009E0A84" w:rsidRPr="00A505D3">
        <w:rPr>
          <w:color w:val="000F9F"/>
          <w:u w:val="single"/>
        </w:rPr>
        <w:t xml:space="preserve">Figure </w:t>
      </w:r>
      <w:r w:rsidR="009E0A84" w:rsidRPr="00A505D3">
        <w:rPr>
          <w:noProof/>
          <w:color w:val="000F9F"/>
          <w:u w:val="single"/>
        </w:rPr>
        <w:t>8</w:t>
      </w:r>
      <w:r w:rsidR="009E0A84" w:rsidRPr="00A505D3">
        <w:rPr>
          <w:color w:val="000F9F"/>
          <w:u w:val="single"/>
        </w:rPr>
        <w:noBreakHyphen/>
      </w:r>
      <w:r w:rsidR="009E0A84" w:rsidRPr="00A505D3">
        <w:rPr>
          <w:noProof/>
          <w:color w:val="000F9F"/>
          <w:u w:val="single"/>
        </w:rPr>
        <w:t>1</w:t>
      </w:r>
      <w:r w:rsidR="009E0A84" w:rsidRPr="00A505D3">
        <w:rPr>
          <w:color w:val="000F9F"/>
          <w:u w:val="single"/>
        </w:rPr>
        <w:fldChar w:fldCharType="end"/>
      </w:r>
      <w:r w:rsidR="00DE20FE" w:rsidRPr="0009132C">
        <w:t xml:space="preserve"> </w:t>
      </w:r>
      <w:r w:rsidRPr="0009132C">
        <w:t>links the Demonstration Goals to the Demonstration Inputs, Implementation Activities, Outputs, and Outcomes and Impact of the Demonstration. The draft RQs and hypotheses that follow are guided by this logic.</w:t>
      </w:r>
    </w:p>
    <w:p w14:paraId="626214A1" w14:textId="77777777" w:rsidR="005B47F7" w:rsidRPr="0009132C" w:rsidRDefault="005B47F7" w:rsidP="00782C1D"/>
    <w:p w14:paraId="34EDC5E9" w14:textId="77777777" w:rsidR="008925CE" w:rsidRPr="00020632" w:rsidRDefault="008925CE" w:rsidP="00020632">
      <w:pPr>
        <w:sectPr w:rsidR="008925CE" w:rsidRPr="00020632" w:rsidSect="00744E1B">
          <w:pgSz w:w="12240" w:h="15840"/>
          <w:pgMar w:top="1440" w:right="1440" w:bottom="1440" w:left="1440" w:header="720" w:footer="720" w:gutter="0"/>
          <w:cols w:space="720"/>
          <w:docGrid w:linePitch="360"/>
        </w:sectPr>
      </w:pPr>
    </w:p>
    <w:p w14:paraId="45F03E5C" w14:textId="31DB1F77" w:rsidR="00743B23" w:rsidRDefault="00743B23" w:rsidP="00743B23">
      <w:pPr>
        <w:pStyle w:val="Caption"/>
        <w:keepNext/>
      </w:pPr>
      <w:bookmarkStart w:id="219" w:name="_Ref151472068"/>
      <w:bookmarkStart w:id="220" w:name="_Toc151976473"/>
      <w:r>
        <w:lastRenderedPageBreak/>
        <w:t xml:space="preserve">Figure </w:t>
      </w:r>
      <w:r>
        <w:fldChar w:fldCharType="begin"/>
      </w:r>
      <w:r>
        <w:instrText>STYLEREF 1 \s</w:instrText>
      </w:r>
      <w:r>
        <w:fldChar w:fldCharType="separate"/>
      </w:r>
      <w:r w:rsidR="00EB7B05">
        <w:rPr>
          <w:noProof/>
        </w:rPr>
        <w:t>8</w:t>
      </w:r>
      <w:r>
        <w:fldChar w:fldCharType="end"/>
      </w:r>
      <w:r>
        <w:noBreakHyphen/>
      </w:r>
      <w:r>
        <w:fldChar w:fldCharType="begin"/>
      </w:r>
      <w:r>
        <w:instrText>SEQ Figure \* ARABIC \s 1</w:instrText>
      </w:r>
      <w:r>
        <w:fldChar w:fldCharType="separate"/>
      </w:r>
      <w:r w:rsidR="00EB7B05">
        <w:rPr>
          <w:noProof/>
        </w:rPr>
        <w:t>1</w:t>
      </w:r>
      <w:r>
        <w:fldChar w:fldCharType="end"/>
      </w:r>
      <w:bookmarkEnd w:id="219"/>
      <w:r>
        <w:t xml:space="preserve">: </w:t>
      </w:r>
      <w:r w:rsidRPr="00553043">
        <w:t xml:space="preserve">Logic Model for the HRSN Component of the </w:t>
      </w:r>
      <w:r w:rsidR="001F2079">
        <w:t>Demon</w:t>
      </w:r>
      <w:r w:rsidR="001F2079" w:rsidRPr="0009132C">
        <w:t>stration</w:t>
      </w:r>
      <w:bookmarkEnd w:id="220"/>
    </w:p>
    <w:p w14:paraId="264EB4C7" w14:textId="3B3E3613" w:rsidR="008925CE" w:rsidRPr="00020632" w:rsidRDefault="00A724AA" w:rsidP="00020632">
      <w:r w:rsidRPr="00A724AA">
        <w:rPr>
          <w:noProof/>
        </w:rPr>
        <w:drawing>
          <wp:inline distT="0" distB="0" distL="0" distR="0" wp14:anchorId="5CAD46C6" wp14:editId="2EE82857">
            <wp:extent cx="8595360" cy="5229860"/>
            <wp:effectExtent l="0" t="0" r="5715" b="0"/>
            <wp:docPr id="902035072" name="Picture 902035072" descr="At the top of this model diagram is the following text: Goals: (1) Advance health equity, with a focus on health-related social needs and specific disparities; and (2) Continue the path of restructuring and reaffirming accountable, value-based care. &#10;&#10;Underneath the GOALS is a long horizontal gray box with the title, Contextual Factors. Under this title is the following text: Other federal, state, and local programs (e.g., to address HRSNs, increase healthcare quality, SNAP), areal-level resources (e.g., lack of affordable housing, shortage of housing), external shocks (e.g., infectious disease outbreaks), secular trends and economic environment (e.g., housing and food inflation, low unemployment). &#10;&#10;At the bottom edge of the gray box are four arrows pointing down and center-aligned to four tall boxes arranged horizontally from left to right. &#10;&#10;In the empty space between each box is an arrow pointing to the right suggesting that each box leads into the next from left to right. &#10;&#10;The first box is light blue and titled: Inputs. Beneath this title are three items and their related bullets. &#10;&#10;Item 1 is: Continuation and expansion of MassHealth coverage and payment for services to address HRSNs among members. Under this are the following bullets: • Flexible Services Program (Revised); • Housing supports; • Nutrition supports; • Specialized community support programs (CSP) which include case management, outreach, and education (Revised and New)); • CSP for homeless individuals (Revised); • CSP for individuals with justice involvement (Revised); • CSP tenancy preservation for individuals facing eviction (New). &#10;&#10;Item 2: Planning and Technical Assistance (Revised). Under this are the following bullets: • HRSN implementation plan; • Protocol for assessment of beneficiary eligibility and needs, infrastructure planning and provider qualifications; • Protocol to monitor quality of care, health outcomes, and population stratifications.&#10;&#10;Item 3: Social Service Organization (SSO) Infrastructure Fund (Revised).&#10;&#10;The second box is medium blue and titled, Implementation Activities. Under this are the following bullets: • Flexible Service Program service, reporting, and target population updates; • CSP newly created and expanded; • Expanded partnerships between healthcare, SSOs, and criminal justice entities; • Investments made in technology, business and operational practices, workforce, outreach and education to support integration with SSOs; • Policies and processes of the HRSN Implementation Plan deployed; • ACOs and acute care hospital with health equity incentive programs will screen for HRSNs and submit results as ICD-10 z –codes; • Protocols implemented to monitor quality of care, health outcome, and population stratifications including data collection procedures and timelines. &#10;. &#10;&#10;The third box is blue and titled, Outputs. Under this are the following bullets: • Increase in available services and providers to address HRSNs; • Improved identification and ongoing assessment of HRSNs; • Improved program monitoring based on demographic data, health outcome data, quality of care data, and non-Medicaid administrative data; • Improved infrastructure that supports integration with SSOs; • Improved provider and SSO staff experiences. &#10;&#10;The fourth box is green and titled, Outcome and Impact. Beneath this title are three items and their related bullets.&#10;&#10;Item 1 is: Member Experience. Under this are the following bullets: • Increased use of services and supports to meet their health-related social needs; • Increased access to housing and nutrition supports; • Increased access to re-entry services among justice involved individuals; • Increased help to prevent eviction among members facing eviction.&#10;&#10;Item 2 is: Member Outcomes. Under this are the following bullets: • Improved health outcomes (physical and mental health status, HbA1c, blood pressure); • Efficient, effective healthcare utilization including increased utilization of preventive and community-based services and decreased utilization of emergency department and inpatient hospital services; • Decrease in prevalence of member HRSNs including housing and food needs; • Reduced evictions; • Improved health equity. &#10; &#10;Item 3 is: Cost and Financial Sustainability. Under this are the following bullets: • The benefits of the program will exceed the cost;&#10;• Reduction of Total Cost of Care. &#10;&#10;Beneath three of the boxes (Implementation Activities, Outputs, and Outcome and Impact) is a horizontal line with three arrow lines branching off of it, pointing upward, and almost touching the bottom of the three boxes above it. On the horizontal line is the following text: Inform programmatic improvement. This indicates that the contents in the boxes the arrows are pointing to will inform programmatic improvement.">
              <a:extLst xmlns:a="http://schemas.openxmlformats.org/drawingml/2006/main">
                <a:ext uri="{FF2B5EF4-FFF2-40B4-BE49-F238E27FC236}">
                  <a16:creationId xmlns:a16="http://schemas.microsoft.com/office/drawing/2014/main" id="{CB5AE119-389D-D62B-7F17-F4CE793B03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035072" name="Picture 902035072" descr="At the top of this model diagram is the following text: Goals: (1) Advance health equity, with a focus on health-related social needs and specific disparities; and (2) Continue the path of restructuring and reaffirming accountable, value-based care. &#10;&#10;Underneath the GOALS is a long horizontal gray box with the title, Contextual Factors. Under this title is the following text: Other federal, state, and local programs (e.g., to address HRSNs, increase healthcare quality, SNAP), areal-level resources (e.g., lack of affordable housing, shortage of housing), external shocks (e.g., infectious disease outbreaks), secular trends and economic environment (e.g., housing and food inflation, low unemployment). &#10;&#10;At the bottom edge of the gray box are four arrows pointing down and center-aligned to four tall boxes arranged horizontally from left to right. &#10;&#10;In the empty space between each box is an arrow pointing to the right suggesting that each box leads into the next from left to right. &#10;&#10;The first box is light blue and titled: Inputs. Beneath this title are three items and their related bullets. &#10;&#10;Item 1 is: Continuation and expansion of MassHealth coverage and payment for services to address HRSNs among members. Under this are the following bullets: • Flexible Services Program (Revised); • Housing supports; • Nutrition supports; • Specialized community support programs (CSP) which include case management, outreach, and education (Revised and New)); • CSP for homeless individuals (Revised); • CSP for individuals with justice involvement (Revised); • CSP tenancy preservation for individuals facing eviction (New). &#10;&#10;Item 2: Planning and Technical Assistance (Revised). Under this are the following bullets: • HRSN implementation plan; • Protocol for assessment of beneficiary eligibility and needs, infrastructure planning and provider qualifications; • Protocol to monitor quality of care, health outcomes, and population stratifications.&#10;&#10;Item 3: Social Service Organization (SSO) Infrastructure Fund (Revised).&#10;&#10;The second box is medium blue and titled, Implementation Activities. Under this are the following bullets: • Flexible Service Program service, reporting, and target population updates; • CSP newly created and expanded; • Expanded partnerships between healthcare, SSOs, and criminal justice entities; • Investments made in technology, business and operational practices, workforce, outreach and education to support integration with SSOs; • Policies and processes of the HRSN Implementation Plan deployed; • ACOs and acute care hospital with health equity incentive programs will screen for HRSNs and submit results as ICD-10 z –codes; • Protocols implemented to monitor quality of care, health outcome, and population stratifications including data collection procedures and timelines. &#10;. &#10;&#10;The third box is blue and titled, Outputs. Under this are the following bullets: • Increase in available services and providers to address HRSNs; • Improved identification and ongoing assessment of HRSNs; • Improved program monitoring based on demographic data, health outcome data, quality of care data, and non-Medicaid administrative data; • Improved infrastructure that supports integration with SSOs; • Improved provider and SSO staff experiences. &#10;&#10;The fourth box is green and titled, Outcome and Impact. Beneath this title are three items and their related bullets.&#10;&#10;Item 1 is: Member Experience. Under this are the following bullets: • Increased use of services and supports to meet their health-related social needs; • Increased access to housing and nutrition supports; • Increased access to re-entry services among justice involved individuals; • Increased help to prevent eviction among members facing eviction.&#10;&#10;Item 2 is: Member Outcomes. Under this are the following bullets: • Improved health outcomes (physical and mental health status, HbA1c, blood pressure); • Efficient, effective healthcare utilization including increased utilization of preventive and community-based services and decreased utilization of emergency department and inpatient hospital services; • Decrease in prevalence of member HRSNs including housing and food needs; • Reduced evictions; • Improved health equity. &#10; &#10;Item 3 is: Cost and Financial Sustainability. Under this are the following bullets: • The benefits of the program will exceed the cost;&#10;• Reduction of Total Cost of Care. &#10;&#10;Beneath three of the boxes (Implementation Activities, Outputs, and Outcome and Impact) is a horizontal line with three arrow lines branching off of it, pointing upward, and almost touching the bottom of the three boxes above it. On the horizontal line is the following text: Inform programmatic improvement. This indicates that the contents in the boxes the arrows are pointing to will inform programmatic improvement.">
                      <a:extLst>
                        <a:ext uri="{FF2B5EF4-FFF2-40B4-BE49-F238E27FC236}">
                          <a16:creationId xmlns:a16="http://schemas.microsoft.com/office/drawing/2014/main" id="{CB5AE119-389D-D62B-7F17-F4CE793B034E}"/>
                        </a:ext>
                      </a:extLst>
                    </pic:cNvPr>
                    <pic:cNvPicPr>
                      <a:picLocks noChangeAspect="1"/>
                    </pic:cNvPicPr>
                  </pic:nvPicPr>
                  <pic:blipFill>
                    <a:blip r:embed="rId37" cstate="hqprint">
                      <a:extLst>
                        <a:ext uri="{28A0092B-C50C-407E-A947-70E740481C1C}">
                          <a14:useLocalDpi xmlns:a14="http://schemas.microsoft.com/office/drawing/2010/main" val="0"/>
                        </a:ext>
                      </a:extLst>
                    </a:blip>
                    <a:srcRect/>
                    <a:stretch>
                      <a:fillRect/>
                    </a:stretch>
                  </pic:blipFill>
                  <pic:spPr bwMode="auto">
                    <a:xfrm>
                      <a:off x="0" y="0"/>
                      <a:ext cx="8595360" cy="5229860"/>
                    </a:xfrm>
                    <a:prstGeom prst="rect">
                      <a:avLst/>
                    </a:prstGeom>
                    <a:noFill/>
                    <a:ln>
                      <a:noFill/>
                    </a:ln>
                  </pic:spPr>
                </pic:pic>
              </a:graphicData>
            </a:graphic>
          </wp:inline>
        </w:drawing>
      </w:r>
    </w:p>
    <w:p w14:paraId="347A0D96" w14:textId="77777777" w:rsidR="008925CE" w:rsidRPr="00020632" w:rsidRDefault="008925CE" w:rsidP="00020632">
      <w:pPr>
        <w:sectPr w:rsidR="008925CE" w:rsidRPr="00020632" w:rsidSect="00744E1B">
          <w:pgSz w:w="15840" w:h="12240" w:orient="landscape"/>
          <w:pgMar w:top="1152" w:right="1152" w:bottom="1152" w:left="1152" w:header="720" w:footer="720" w:gutter="0"/>
          <w:cols w:space="720"/>
          <w:docGrid w:linePitch="360"/>
        </w:sectPr>
      </w:pPr>
    </w:p>
    <w:p w14:paraId="4967FE6C" w14:textId="145D2E4C" w:rsidR="008925CE" w:rsidRPr="0009132C" w:rsidRDefault="005B47F7" w:rsidP="006D78BE">
      <w:pPr>
        <w:pStyle w:val="Heading2"/>
      </w:pPr>
      <w:bookmarkStart w:id="221" w:name="_Research_Questions_and"/>
      <w:bookmarkStart w:id="222" w:name="_Toc130209735"/>
      <w:bookmarkEnd w:id="221"/>
      <w:r>
        <w:lastRenderedPageBreak/>
        <w:t xml:space="preserve"> </w:t>
      </w:r>
      <w:bookmarkStart w:id="223" w:name="_Toc151976445"/>
      <w:r w:rsidR="008925CE" w:rsidRPr="0009132C">
        <w:t>Research Questions and Hypothes</w:t>
      </w:r>
      <w:r w:rsidR="000728BD" w:rsidRPr="0009132C">
        <w:t>e</w:t>
      </w:r>
      <w:r w:rsidR="008925CE" w:rsidRPr="0009132C">
        <w:t>s</w:t>
      </w:r>
      <w:bookmarkEnd w:id="222"/>
      <w:bookmarkEnd w:id="223"/>
    </w:p>
    <w:p w14:paraId="3598414A" w14:textId="1C64F9A7" w:rsidR="008925CE" w:rsidRPr="0009132C" w:rsidRDefault="008925CE" w:rsidP="00782C1D">
      <w:bookmarkStart w:id="224" w:name="_Hlk125921719"/>
      <w:r w:rsidRPr="0009132C">
        <w:t xml:space="preserve">The RQs and hypotheses focus on assessing the effectiveness of the HRSN services in mitigating </w:t>
      </w:r>
      <w:r w:rsidR="00563A67">
        <w:t xml:space="preserve">the </w:t>
      </w:r>
      <w:r w:rsidRPr="0009132C">
        <w:t>identified needs of MassHealth members.</w:t>
      </w:r>
      <w:r w:rsidRPr="0009132C">
        <w:rPr>
          <w:rStyle w:val="FootnoteReference"/>
        </w:rPr>
        <w:footnoteReference w:id="173"/>
      </w:r>
      <w:r w:rsidRPr="0009132C">
        <w:t xml:space="preserve"> The evaluation will use data on the prevalence of members’ HRSNs (RQ</w:t>
      </w:r>
      <w:r w:rsidR="00675C53" w:rsidRPr="0009132C">
        <w:t>7-</w:t>
      </w:r>
      <w:r w:rsidRPr="0009132C">
        <w:t xml:space="preserve">2, </w:t>
      </w:r>
      <w:r w:rsidR="00EC6579" w:rsidRPr="0009132C">
        <w:t>7-</w:t>
      </w:r>
      <w:r w:rsidRPr="0009132C">
        <w:t xml:space="preserve">9, </w:t>
      </w:r>
      <w:r w:rsidR="00EC6579" w:rsidRPr="0009132C">
        <w:t>7-</w:t>
      </w:r>
      <w:r w:rsidRPr="0009132C">
        <w:t xml:space="preserve">12) and the provision of and member utilization of FSP and </w:t>
      </w:r>
      <w:r w:rsidR="005F588D">
        <w:t>s</w:t>
      </w:r>
      <w:r w:rsidRPr="0009132C">
        <w:t>pecialized CSP services (RQ</w:t>
      </w:r>
      <w:r w:rsidR="00EC6579" w:rsidRPr="0009132C">
        <w:t>7-</w:t>
      </w:r>
      <w:r w:rsidRPr="0009132C">
        <w:t>7, RQ</w:t>
      </w:r>
      <w:r w:rsidR="00EC6579" w:rsidRPr="0009132C">
        <w:t>7-</w:t>
      </w:r>
      <w:r w:rsidRPr="0009132C">
        <w:t>9</w:t>
      </w:r>
      <w:r w:rsidR="00EC6579" w:rsidRPr="0009132C">
        <w:t xml:space="preserve"> </w:t>
      </w:r>
      <w:r w:rsidRPr="0009132C">
        <w:t>-</w:t>
      </w:r>
      <w:r w:rsidR="00EC6579" w:rsidRPr="0009132C">
        <w:t xml:space="preserve"> RQ7-</w:t>
      </w:r>
      <w:r w:rsidRPr="0009132C">
        <w:t xml:space="preserve">12). The RQs assess how the initiatives affect the utilization of preventive and routine care, utilization of and costs associated with potentially avoidable, high-acuity </w:t>
      </w:r>
      <w:r w:rsidR="009C2AA0">
        <w:t>healthcare</w:t>
      </w:r>
      <w:r w:rsidRPr="0009132C">
        <w:t>, and member physical and mental health outcomes (RQ</w:t>
      </w:r>
      <w:r w:rsidR="00EC6579" w:rsidRPr="0009132C">
        <w:t>7-</w:t>
      </w:r>
      <w:r w:rsidRPr="0009132C">
        <w:t>9</w:t>
      </w:r>
      <w:r w:rsidR="00EC6579" w:rsidRPr="0009132C">
        <w:t xml:space="preserve"> </w:t>
      </w:r>
      <w:r w:rsidRPr="0009132C">
        <w:t>-</w:t>
      </w:r>
      <w:r w:rsidR="00EC6579" w:rsidRPr="0009132C">
        <w:t xml:space="preserve"> </w:t>
      </w:r>
      <w:r w:rsidR="00645072" w:rsidRPr="0009132C">
        <w:t>RQ7-</w:t>
      </w:r>
      <w:r w:rsidRPr="0009132C">
        <w:t xml:space="preserve">12). The evaluation will also assess the effects of the FSP and Specialized CSP in reducing disparities in </w:t>
      </w:r>
      <w:r w:rsidR="009C2AA0">
        <w:t>healthcare</w:t>
      </w:r>
      <w:r w:rsidRPr="0009132C">
        <w:t xml:space="preserve"> (RQ</w:t>
      </w:r>
      <w:r w:rsidR="00645072" w:rsidRPr="0009132C">
        <w:t>7-</w:t>
      </w:r>
      <w:r w:rsidRPr="0009132C">
        <w:t>16).</w:t>
      </w:r>
    </w:p>
    <w:p w14:paraId="4AD772B6" w14:textId="741FDE28" w:rsidR="002A37B2" w:rsidRPr="0009132C" w:rsidRDefault="008925CE" w:rsidP="008925CE">
      <w:r w:rsidRPr="0009132C">
        <w:t>The evaluation also assesses the effectiveness of the Social Service Organization (SSO) infrastructure investments to support the development and implementation of FSP (RQ</w:t>
      </w:r>
      <w:r w:rsidR="00645072" w:rsidRPr="0009132C">
        <w:t>7-</w:t>
      </w:r>
      <w:r w:rsidRPr="0009132C">
        <w:t xml:space="preserve">13). In addition, the evaluation assesses whether and how </w:t>
      </w:r>
      <w:r w:rsidR="53BBB191" w:rsidRPr="0009132C">
        <w:t xml:space="preserve">FSP and Specialized CSP spending </w:t>
      </w:r>
      <w:r w:rsidR="7B33D5BC" w:rsidRPr="0009132C">
        <w:t>facilitate</w:t>
      </w:r>
      <w:r w:rsidR="01D7702C" w:rsidRPr="0009132C">
        <w:t>s</w:t>
      </w:r>
      <w:r w:rsidR="704B157C" w:rsidRPr="0009132C">
        <w:t xml:space="preserve"> the </w:t>
      </w:r>
      <w:r w:rsidR="7B33D5BC" w:rsidRPr="0009132C">
        <w:t xml:space="preserve">development of additional clinical/community linkages </w:t>
      </w:r>
      <w:r w:rsidR="41A76740" w:rsidRPr="0009132C">
        <w:t>for</w:t>
      </w:r>
      <w:r w:rsidR="1B8292D3" w:rsidRPr="0009132C">
        <w:t xml:space="preserve"> housing and nutrition</w:t>
      </w:r>
      <w:r w:rsidR="06E04531" w:rsidRPr="0009132C">
        <w:t xml:space="preserve"> SSOs</w:t>
      </w:r>
      <w:r w:rsidRPr="0009132C">
        <w:t xml:space="preserve"> (RQ</w:t>
      </w:r>
      <w:r w:rsidR="00645072" w:rsidRPr="0009132C">
        <w:t>7-</w:t>
      </w:r>
      <w:r w:rsidRPr="0009132C">
        <w:t>14). A cost analysis will provide cost estimates of providing FSP and Specialized CSP services (RQ</w:t>
      </w:r>
      <w:r w:rsidR="00645072" w:rsidRPr="0009132C">
        <w:t>7-</w:t>
      </w:r>
      <w:r w:rsidRPr="0009132C">
        <w:t>15). The evaluation also includes an assessment of potential improvements in the quality and effectiveness of downstream services that can be provided under the state plan authority, and associated cost implications (RQ</w:t>
      </w:r>
      <w:r w:rsidR="00645072" w:rsidRPr="0009132C">
        <w:t>7-</w:t>
      </w:r>
      <w:r w:rsidRPr="0009132C">
        <w:t xml:space="preserve">10, </w:t>
      </w:r>
      <w:r w:rsidR="00645072" w:rsidRPr="0009132C">
        <w:t>7-</w:t>
      </w:r>
      <w:r w:rsidRPr="0009132C">
        <w:t>11).</w:t>
      </w:r>
    </w:p>
    <w:p w14:paraId="11BCF9AA" w14:textId="0E574E56" w:rsidR="008925CE" w:rsidRPr="0009132C" w:rsidRDefault="009E0A84" w:rsidP="008925CE">
      <w:r w:rsidRPr="009E0A84">
        <w:rPr>
          <w:color w:val="000F9F"/>
          <w:u w:val="single"/>
        </w:rPr>
        <w:fldChar w:fldCharType="begin"/>
      </w:r>
      <w:r w:rsidRPr="00A505D3">
        <w:rPr>
          <w:color w:val="000F9F"/>
          <w:u w:val="single"/>
        </w:rPr>
        <w:instrText xml:space="preserve"> REF _Ref143171163 \h </w:instrText>
      </w:r>
      <w:r w:rsidRPr="009E0A84">
        <w:rPr>
          <w:color w:val="000F9F"/>
          <w:u w:val="single"/>
        </w:rPr>
      </w:r>
      <w:r w:rsidRPr="009E0A84">
        <w:rPr>
          <w:color w:val="000F9F"/>
          <w:u w:val="single"/>
        </w:rPr>
        <w:fldChar w:fldCharType="separate"/>
      </w:r>
      <w:r w:rsidRPr="00A505D3">
        <w:rPr>
          <w:color w:val="000F9F"/>
          <w:u w:val="single"/>
        </w:rPr>
        <w:t xml:space="preserve">Table </w:t>
      </w:r>
      <w:r w:rsidRPr="00A505D3">
        <w:rPr>
          <w:noProof/>
          <w:color w:val="000F9F"/>
          <w:u w:val="single"/>
        </w:rPr>
        <w:t>8</w:t>
      </w:r>
      <w:r w:rsidRPr="00A505D3">
        <w:rPr>
          <w:color w:val="000F9F"/>
          <w:u w:val="single"/>
        </w:rPr>
        <w:noBreakHyphen/>
      </w:r>
      <w:r w:rsidRPr="00A505D3">
        <w:rPr>
          <w:noProof/>
          <w:color w:val="000F9F"/>
          <w:u w:val="single"/>
        </w:rPr>
        <w:t>1</w:t>
      </w:r>
      <w:r w:rsidRPr="009E0A84">
        <w:rPr>
          <w:color w:val="000F9F"/>
          <w:u w:val="single"/>
        </w:rPr>
        <w:fldChar w:fldCharType="end"/>
      </w:r>
      <w:r w:rsidR="008925CE" w:rsidRPr="0009132C">
        <w:t xml:space="preserve"> provides an overview of the RQs, hypotheses, data sources, study populations, measures, and analytic methods that will be used to evaluate HRSN policies. The elements are described in detail in </w:t>
      </w:r>
      <w:hyperlink w:anchor="_Data_and_Methods_1" w:history="1">
        <w:r>
          <w:rPr>
            <w:rStyle w:val="Hyperlink"/>
          </w:rPr>
          <w:t>Section 8.3 Data and Methods</w:t>
        </w:r>
      </w:hyperlink>
      <w:r w:rsidR="008925CE" w:rsidRPr="0009132C">
        <w:t>.</w:t>
      </w:r>
    </w:p>
    <w:p w14:paraId="59BEE2AB" w14:textId="450AE444" w:rsidR="00433675" w:rsidRPr="003A3B7D" w:rsidRDefault="11E39D9F" w:rsidP="003A3B7D">
      <w:pPr>
        <w:pStyle w:val="FigureorTableTitle"/>
      </w:pPr>
      <w:bookmarkStart w:id="225" w:name="_Ref143171163"/>
      <w:bookmarkStart w:id="226" w:name="_Toc151976465"/>
      <w:r w:rsidRPr="003A3B7D">
        <w:t xml:space="preserve">Table </w:t>
      </w:r>
      <w:r w:rsidRPr="003A3B7D">
        <w:fldChar w:fldCharType="begin"/>
      </w:r>
      <w:r w:rsidRPr="003A3B7D">
        <w:instrText>STYLEREF 1 \s</w:instrText>
      </w:r>
      <w:r w:rsidRPr="003A3B7D">
        <w:fldChar w:fldCharType="separate"/>
      </w:r>
      <w:r w:rsidR="00EB7B05" w:rsidRPr="003A3B7D">
        <w:t>8</w:t>
      </w:r>
      <w:r w:rsidRPr="003A3B7D">
        <w:fldChar w:fldCharType="end"/>
      </w:r>
      <w:r w:rsidR="00433675" w:rsidRPr="003A3B7D">
        <w:noBreakHyphen/>
      </w:r>
      <w:r w:rsidRPr="003A3B7D">
        <w:fldChar w:fldCharType="begin"/>
      </w:r>
      <w:r w:rsidRPr="003A3B7D">
        <w:instrText>SEQ Table \* ARABIC \s 1</w:instrText>
      </w:r>
      <w:r w:rsidRPr="003A3B7D">
        <w:fldChar w:fldCharType="separate"/>
      </w:r>
      <w:r w:rsidR="00EB7B05" w:rsidRPr="003A3B7D">
        <w:t>1</w:t>
      </w:r>
      <w:r w:rsidRPr="003A3B7D">
        <w:fldChar w:fldCharType="end"/>
      </w:r>
      <w:bookmarkEnd w:id="225"/>
      <w:r w:rsidRPr="003A3B7D">
        <w:t>: Research Questions and Hypotheses for HRSN</w:t>
      </w:r>
      <w:bookmarkEnd w:id="226"/>
    </w:p>
    <w:tbl>
      <w:tblPr>
        <w:tblStyle w:val="FHCTablestyle9"/>
        <w:tblW w:w="13514" w:type="dxa"/>
        <w:tblLayout w:type="fixed"/>
        <w:tblLook w:val="04A0" w:firstRow="1" w:lastRow="0" w:firstColumn="1" w:lastColumn="0" w:noHBand="0" w:noVBand="1"/>
      </w:tblPr>
      <w:tblGrid>
        <w:gridCol w:w="2155"/>
        <w:gridCol w:w="1710"/>
        <w:gridCol w:w="2430"/>
        <w:gridCol w:w="2340"/>
        <w:gridCol w:w="1800"/>
        <w:gridCol w:w="3079"/>
      </w:tblGrid>
      <w:tr w:rsidR="008F7102" w:rsidRPr="006B0700" w14:paraId="03A1AD47" w14:textId="77777777" w:rsidTr="6E0A98E0">
        <w:trPr>
          <w:cnfStyle w:val="100000000000" w:firstRow="1" w:lastRow="0" w:firstColumn="0" w:lastColumn="0" w:oddVBand="0" w:evenVBand="0" w:oddHBand="0" w:evenHBand="0"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2155" w:type="dxa"/>
          </w:tcPr>
          <w:p w14:paraId="436A5DDC" w14:textId="77777777" w:rsidR="00596ECB" w:rsidRPr="009E0A84" w:rsidRDefault="00596ECB" w:rsidP="00222D9E">
            <w:pPr>
              <w:pStyle w:val="TableHeading105ptBold"/>
              <w:rPr>
                <w:rFonts w:eastAsia="Times New Roman"/>
                <w:b/>
                <w:bCs/>
                <w:color w:val="000000"/>
                <w:vertAlign w:val="superscript"/>
              </w:rPr>
            </w:pPr>
            <w:r w:rsidRPr="009E0A84">
              <w:t>Research Questions</w:t>
            </w:r>
            <w:r w:rsidRPr="009E0A84">
              <w:rPr>
                <w:vertAlign w:val="superscript"/>
              </w:rPr>
              <w:t>a</w:t>
            </w:r>
          </w:p>
        </w:tc>
        <w:tc>
          <w:tcPr>
            <w:tcW w:w="1710" w:type="dxa"/>
          </w:tcPr>
          <w:p w14:paraId="629F9597" w14:textId="77777777" w:rsidR="00596ECB" w:rsidRPr="009E0A84" w:rsidRDefault="00596ECB" w:rsidP="00222D9E">
            <w:pPr>
              <w:pStyle w:val="TableHeading105ptBold"/>
              <w:cnfStyle w:val="100000000000" w:firstRow="1" w:lastRow="0" w:firstColumn="0" w:lastColumn="0" w:oddVBand="0" w:evenVBand="0" w:oddHBand="0" w:evenHBand="0" w:firstRowFirstColumn="0" w:firstRowLastColumn="0" w:lastRowFirstColumn="0" w:lastRowLastColumn="0"/>
              <w:rPr>
                <w:rFonts w:eastAsia="Times New Roman"/>
                <w:b/>
                <w:bCs/>
                <w:color w:val="000000"/>
              </w:rPr>
            </w:pPr>
            <w:r w:rsidRPr="009E0A84">
              <w:t>Hypotheses</w:t>
            </w:r>
          </w:p>
        </w:tc>
        <w:tc>
          <w:tcPr>
            <w:tcW w:w="2430" w:type="dxa"/>
          </w:tcPr>
          <w:p w14:paraId="1F3ABC71" w14:textId="702B236D" w:rsidR="00596ECB" w:rsidRPr="009E0A84" w:rsidRDefault="00596ECB" w:rsidP="00222D9E">
            <w:pPr>
              <w:pStyle w:val="TableHeading105ptBold"/>
              <w:cnfStyle w:val="100000000000" w:firstRow="1" w:lastRow="0" w:firstColumn="0" w:lastColumn="0" w:oddVBand="0" w:evenVBand="0" w:oddHBand="0" w:evenHBand="0" w:firstRowFirstColumn="0" w:firstRowLastColumn="0" w:lastRowFirstColumn="0" w:lastRowLastColumn="0"/>
              <w:rPr>
                <w:rFonts w:eastAsia="Times New Roman"/>
                <w:b/>
                <w:bCs/>
                <w:color w:val="000000"/>
                <w:vertAlign w:val="superscript"/>
              </w:rPr>
            </w:pPr>
            <w:r w:rsidRPr="009E0A84">
              <w:t>Data Sources</w:t>
            </w:r>
            <w:r w:rsidR="00617918" w:rsidRPr="009E0A84">
              <w:t xml:space="preserve"> (Evaluation Periods)</w:t>
            </w:r>
            <w:r w:rsidRPr="009E0A84">
              <w:rPr>
                <w:vertAlign w:val="superscript"/>
              </w:rPr>
              <w:t>b</w:t>
            </w:r>
          </w:p>
        </w:tc>
        <w:tc>
          <w:tcPr>
            <w:tcW w:w="2340" w:type="dxa"/>
          </w:tcPr>
          <w:p w14:paraId="2B5BF4D2" w14:textId="4D2C039E" w:rsidR="00596ECB" w:rsidRPr="009E0A84" w:rsidRDefault="2F72A5F7" w:rsidP="00222D9E">
            <w:pPr>
              <w:pStyle w:val="TableHeading105ptBold"/>
              <w:cnfStyle w:val="100000000000" w:firstRow="1" w:lastRow="0" w:firstColumn="0" w:lastColumn="0" w:oddVBand="0" w:evenVBand="0" w:oddHBand="0" w:evenHBand="0" w:firstRowFirstColumn="0" w:firstRowLastColumn="0" w:lastRowFirstColumn="0" w:lastRowLastColumn="0"/>
              <w:rPr>
                <w:rFonts w:eastAsia="Arial"/>
                <w:b/>
                <w:bCs/>
              </w:rPr>
            </w:pPr>
            <w:r w:rsidRPr="009E0A84">
              <w:t>Study Populations</w:t>
            </w:r>
            <w:r w:rsidR="629DB43F" w:rsidRPr="009E0A84">
              <w:t xml:space="preserve"> </w:t>
            </w:r>
            <w:r w:rsidR="14B2318E" w:rsidRPr="009E0A84">
              <w:rPr>
                <w:rFonts w:cstheme="minorBidi"/>
              </w:rPr>
              <w:t xml:space="preserve"> (Estimated Sample or Population Size- per Wave for Primary Data and per Year for Secondary Data)</w:t>
            </w:r>
          </w:p>
        </w:tc>
        <w:tc>
          <w:tcPr>
            <w:tcW w:w="1800" w:type="dxa"/>
          </w:tcPr>
          <w:p w14:paraId="01CBF7DB" w14:textId="77777777" w:rsidR="00596ECB" w:rsidRPr="009E0A84" w:rsidRDefault="00596ECB" w:rsidP="00222D9E">
            <w:pPr>
              <w:pStyle w:val="TableHeading105ptBold"/>
              <w:cnfStyle w:val="100000000000" w:firstRow="1" w:lastRow="0" w:firstColumn="0" w:lastColumn="0" w:oddVBand="0" w:evenVBand="0" w:oddHBand="0" w:evenHBand="0" w:firstRowFirstColumn="0" w:firstRowLastColumn="0" w:lastRowFirstColumn="0" w:lastRowLastColumn="0"/>
              <w:rPr>
                <w:rFonts w:eastAsia="Times New Roman"/>
                <w:b/>
                <w:bCs/>
                <w:color w:val="000000"/>
              </w:rPr>
            </w:pPr>
            <w:r w:rsidRPr="009E0A84">
              <w:t>Measures</w:t>
            </w:r>
          </w:p>
        </w:tc>
        <w:tc>
          <w:tcPr>
            <w:tcW w:w="3079" w:type="dxa"/>
          </w:tcPr>
          <w:p w14:paraId="08F03EB0" w14:textId="78DF4AEE" w:rsidR="00596ECB" w:rsidRPr="009E0A84" w:rsidRDefault="00596ECB" w:rsidP="00222D9E">
            <w:pPr>
              <w:pStyle w:val="TableHeading105ptBold"/>
              <w:cnfStyle w:val="100000000000" w:firstRow="1" w:lastRow="0" w:firstColumn="0" w:lastColumn="0" w:oddVBand="0" w:evenVBand="0" w:oddHBand="0" w:evenHBand="0" w:firstRowFirstColumn="0" w:firstRowLastColumn="0" w:lastRowFirstColumn="0" w:lastRowLastColumn="0"/>
              <w:rPr>
                <w:rFonts w:eastAsia="Times New Roman"/>
                <w:b/>
                <w:bCs/>
                <w:color w:val="000000"/>
                <w:vertAlign w:val="superscript"/>
              </w:rPr>
            </w:pPr>
            <w:r w:rsidRPr="009E0A84">
              <w:t>Analytic Methods</w:t>
            </w:r>
            <w:r w:rsidR="00617918" w:rsidRPr="009E0A84">
              <w:t xml:space="preserve"> (Unit of Analysis)</w:t>
            </w:r>
            <w:r w:rsidRPr="009E0A84">
              <w:rPr>
                <w:vertAlign w:val="superscript"/>
              </w:rPr>
              <w:t>c</w:t>
            </w:r>
          </w:p>
        </w:tc>
      </w:tr>
      <w:tr w:rsidR="00845EEC" w:rsidRPr="006664C8" w14:paraId="339A1125" w14:textId="77777777" w:rsidTr="3383C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6C811DE6" w14:textId="361D4415" w:rsidR="00596ECB" w:rsidRPr="006664C8" w:rsidRDefault="00596ECB" w:rsidP="00C64A0B">
            <w:pPr>
              <w:pStyle w:val="TableNormal0"/>
            </w:pPr>
            <w:r w:rsidRPr="006664C8">
              <w:t xml:space="preserve">RQ7-1 </w:t>
            </w:r>
            <w:r w:rsidRPr="00F5435E">
              <w:t>What was the prevalence of HRSN screening among ACO/</w:t>
            </w:r>
            <w:r w:rsidR="00501DE2" w:rsidRPr="00F5435E">
              <w:t xml:space="preserve"> </w:t>
            </w:r>
            <w:r w:rsidRPr="00F5435E">
              <w:t>Managed Care Organizations (MCO) enrolled members and members seen in a hospital over the course of the Demonstration?</w:t>
            </w:r>
          </w:p>
        </w:tc>
        <w:tc>
          <w:tcPr>
            <w:tcW w:w="1710" w:type="dxa"/>
          </w:tcPr>
          <w:p w14:paraId="3064FC71" w14:textId="77777777" w:rsidR="00596ECB" w:rsidRPr="006664C8" w:rsidRDefault="00596ECB" w:rsidP="00C64A0B">
            <w:pPr>
              <w:pStyle w:val="TableNormal0"/>
              <w:cnfStyle w:val="000000100000" w:firstRow="0" w:lastRow="0" w:firstColumn="0" w:lastColumn="0" w:oddVBand="0" w:evenVBand="0" w:oddHBand="1" w:evenHBand="0" w:firstRowFirstColumn="0" w:firstRowLastColumn="0" w:lastRowFirstColumn="0" w:lastRowLastColumn="0"/>
            </w:pPr>
            <w:r w:rsidRPr="00C64A0B">
              <w:rPr>
                <w:rFonts w:eastAsia="Times New Roman"/>
                <w:b/>
                <w:bCs/>
              </w:rPr>
              <w:t>H</w:t>
            </w:r>
            <w:r w:rsidRPr="00C64A0B">
              <w:rPr>
                <w:b/>
                <w:bCs/>
              </w:rPr>
              <w:t>7-</w:t>
            </w:r>
            <w:r w:rsidRPr="00C64A0B">
              <w:rPr>
                <w:rFonts w:eastAsia="Times New Roman"/>
                <w:b/>
                <w:bCs/>
              </w:rPr>
              <w:t>1.1</w:t>
            </w:r>
            <w:r w:rsidRPr="006664C8">
              <w:rPr>
                <w:rFonts w:eastAsia="Times New Roman"/>
              </w:rPr>
              <w:t xml:space="preserve"> There was variation in the prevalence of HRSN screening associated with observable member characteristics (e.g., race, ethnicity, language, disability, </w:t>
            </w:r>
            <w:r w:rsidRPr="006664C8">
              <w:rPr>
                <w:rFonts w:eastAsia="Times New Roman"/>
              </w:rPr>
              <w:lastRenderedPageBreak/>
              <w:t>social orientation, and gender identity; RELDSOGI), ACO/MCO, and hospital.</w:t>
            </w:r>
          </w:p>
          <w:p w14:paraId="2D353F9D" w14:textId="77777777" w:rsidR="00596ECB" w:rsidRPr="006664C8" w:rsidRDefault="00596ECB" w:rsidP="00C64A0B">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C64A0B">
              <w:rPr>
                <w:rFonts w:eastAsia="Times New Roman"/>
                <w:b/>
                <w:bCs/>
              </w:rPr>
              <w:t>H</w:t>
            </w:r>
            <w:r w:rsidRPr="00C64A0B">
              <w:rPr>
                <w:b/>
                <w:bCs/>
              </w:rPr>
              <w:t>7-</w:t>
            </w:r>
            <w:r w:rsidRPr="00C64A0B">
              <w:rPr>
                <w:rFonts w:eastAsia="Times New Roman"/>
                <w:b/>
                <w:bCs/>
              </w:rPr>
              <w:t>1.2</w:t>
            </w:r>
            <w:r w:rsidRPr="006664C8">
              <w:rPr>
                <w:rFonts w:eastAsia="Times New Roman"/>
              </w:rPr>
              <w:t xml:space="preserve"> The prevalence of HRSN screening among ACO/MCO members and members seen in a hospital increased over time.</w:t>
            </w:r>
          </w:p>
        </w:tc>
        <w:tc>
          <w:tcPr>
            <w:tcW w:w="2430" w:type="dxa"/>
          </w:tcPr>
          <w:p w14:paraId="6ED6253A" w14:textId="175757FC" w:rsidR="00596ECB" w:rsidRPr="006664C8" w:rsidRDefault="00596ECB" w:rsidP="00C64A0B">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6664C8">
              <w:rPr>
                <w:rFonts w:eastAsia="Times New Roman"/>
              </w:rPr>
              <w:lastRenderedPageBreak/>
              <w:t>Administrative</w:t>
            </w:r>
            <w:r w:rsidR="00971688">
              <w:rPr>
                <w:rFonts w:eastAsia="Times New Roman"/>
              </w:rPr>
              <w:t xml:space="preserve"> data</w:t>
            </w:r>
            <w:r w:rsidRPr="006664C8">
              <w:rPr>
                <w:rFonts w:eastAsia="Times New Roman"/>
              </w:rPr>
              <w:t>:</w:t>
            </w:r>
          </w:p>
          <w:p w14:paraId="285F0EF1" w14:textId="5E2D6E12" w:rsidR="00596ECB" w:rsidRPr="006664C8" w:rsidRDefault="00596ECB" w:rsidP="00C64A0B">
            <w:pPr>
              <w:pStyle w:val="TableNormal0"/>
              <w:cnfStyle w:val="000000100000" w:firstRow="0" w:lastRow="0" w:firstColumn="0" w:lastColumn="0" w:oddVBand="0" w:evenVBand="0" w:oddHBand="1" w:evenHBand="0" w:firstRowFirstColumn="0" w:firstRowLastColumn="0" w:lastRowFirstColumn="0" w:lastRowLastColumn="0"/>
            </w:pPr>
            <w:r w:rsidRPr="006664C8">
              <w:t>Demographics</w:t>
            </w:r>
            <w:r w:rsidR="00EA2AD3">
              <w:t xml:space="preserve"> </w:t>
            </w:r>
            <w:r w:rsidR="00EA2AD3">
              <w:rPr>
                <w:rFonts w:eastAsia="Times New Roman"/>
              </w:rPr>
              <w:t>(20</w:t>
            </w:r>
            <w:r w:rsidR="00AD5EE6" w:rsidRPr="00C61430">
              <w:rPr>
                <w:rFonts w:eastAsia="Times New Roman"/>
              </w:rPr>
              <w:t>18</w:t>
            </w:r>
            <w:r w:rsidR="00EA2AD3">
              <w:rPr>
                <w:rFonts w:eastAsia="Times New Roman"/>
              </w:rPr>
              <w:t>-2027)</w:t>
            </w:r>
            <w:r w:rsidRPr="006664C8">
              <w:t>;</w:t>
            </w:r>
          </w:p>
          <w:p w14:paraId="61CD0A8A" w14:textId="2C939253" w:rsidR="00596ECB" w:rsidRPr="006664C8" w:rsidRDefault="00596ECB" w:rsidP="00C64A0B">
            <w:pPr>
              <w:pStyle w:val="TableNormal0"/>
              <w:cnfStyle w:val="000000100000" w:firstRow="0" w:lastRow="0" w:firstColumn="0" w:lastColumn="0" w:oddVBand="0" w:evenVBand="0" w:oddHBand="1" w:evenHBand="0" w:firstRowFirstColumn="0" w:firstRowLastColumn="0" w:lastRowFirstColumn="0" w:lastRowLastColumn="0"/>
            </w:pPr>
            <w:r w:rsidRPr="006664C8">
              <w:t>Eligibility/Enrollment</w:t>
            </w:r>
            <w:r w:rsidR="00DC7BBB">
              <w:t xml:space="preserve"> </w:t>
            </w:r>
            <w:r w:rsidR="00DC7BBB">
              <w:rPr>
                <w:rFonts w:eastAsia="Times New Roman"/>
              </w:rPr>
              <w:t>(2018-2027)</w:t>
            </w:r>
            <w:r w:rsidRPr="006664C8">
              <w:t>;</w:t>
            </w:r>
          </w:p>
          <w:p w14:paraId="121A4BEB" w14:textId="34615065" w:rsidR="00596ECB" w:rsidRPr="006664C8" w:rsidRDefault="009B3787" w:rsidP="00C64A0B">
            <w:pPr>
              <w:pStyle w:val="TableNormal0"/>
              <w:cnfStyle w:val="000000100000" w:firstRow="0" w:lastRow="0" w:firstColumn="0" w:lastColumn="0" w:oddVBand="0" w:evenVBand="0" w:oddHBand="1" w:evenHBand="0" w:firstRowFirstColumn="0" w:firstRowLastColumn="0" w:lastRowFirstColumn="0" w:lastRowLastColumn="0"/>
            </w:pPr>
            <w:r>
              <w:t xml:space="preserve">Screened </w:t>
            </w:r>
            <w:r w:rsidR="3A43C9D7">
              <w:t>HRSNs</w:t>
            </w:r>
            <w:r w:rsidR="0901B0F2">
              <w:t xml:space="preserve"> </w:t>
            </w:r>
            <w:r w:rsidR="0901B0F2" w:rsidRPr="29E43697">
              <w:rPr>
                <w:rFonts w:eastAsia="Times New Roman"/>
              </w:rPr>
              <w:t>(20</w:t>
            </w:r>
            <w:r w:rsidR="5B6F4D23" w:rsidRPr="29E43697">
              <w:rPr>
                <w:rFonts w:eastAsia="Times New Roman"/>
              </w:rPr>
              <w:t>18</w:t>
            </w:r>
            <w:r w:rsidR="0901B0F2" w:rsidRPr="29E43697">
              <w:rPr>
                <w:rFonts w:eastAsia="Times New Roman"/>
              </w:rPr>
              <w:t>-2027)</w:t>
            </w:r>
          </w:p>
        </w:tc>
        <w:tc>
          <w:tcPr>
            <w:tcW w:w="2340" w:type="dxa"/>
          </w:tcPr>
          <w:p w14:paraId="15DF2C8C" w14:textId="14560F28" w:rsidR="00596ECB" w:rsidRPr="006664C8" w:rsidRDefault="00596ECB" w:rsidP="00C64A0B">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6664C8">
              <w:rPr>
                <w:rFonts w:eastAsia="Times New Roman"/>
              </w:rPr>
              <w:t xml:space="preserve">ACO/MCO enrolled members </w:t>
            </w:r>
            <w:r w:rsidR="00CA02EA">
              <w:rPr>
                <w:rFonts w:eastAsia="Times New Roman"/>
              </w:rPr>
              <w:t>(ACO n</w:t>
            </w:r>
            <w:r w:rsidR="00CA02EA" w:rsidRPr="00C61430">
              <w:rPr>
                <w:rFonts w:eastAsia="Times New Roman"/>
              </w:rPr>
              <w:t>=</w:t>
            </w:r>
            <w:r w:rsidR="000354EA" w:rsidRPr="00C61430">
              <w:rPr>
                <w:rFonts w:eastAsia="Times New Roman"/>
              </w:rPr>
              <w:t>~</w:t>
            </w:r>
            <w:r w:rsidR="004552CB">
              <w:rPr>
                <w:rFonts w:eastAsia="Times New Roman"/>
              </w:rPr>
              <w:t>1.3 million</w:t>
            </w:r>
            <w:r w:rsidR="00CA02EA">
              <w:rPr>
                <w:rFonts w:eastAsia="Times New Roman"/>
              </w:rPr>
              <w:t>; MCO n</w:t>
            </w:r>
            <w:r w:rsidR="00CA02EA" w:rsidRPr="00C61430">
              <w:rPr>
                <w:rFonts w:eastAsia="Times New Roman"/>
              </w:rPr>
              <w:t>=</w:t>
            </w:r>
            <w:r w:rsidR="000354EA" w:rsidRPr="00C61430">
              <w:rPr>
                <w:rFonts w:eastAsia="Times New Roman"/>
              </w:rPr>
              <w:t>~</w:t>
            </w:r>
            <w:r w:rsidR="004552CB">
              <w:rPr>
                <w:rFonts w:eastAsia="Times New Roman"/>
              </w:rPr>
              <w:t>73,000</w:t>
            </w:r>
            <w:r w:rsidR="00CA02EA" w:rsidRPr="00C61430">
              <w:rPr>
                <w:rFonts w:eastAsia="Times New Roman"/>
              </w:rPr>
              <w:t>);</w:t>
            </w:r>
            <w:r w:rsidR="00CA02EA">
              <w:rPr>
                <w:rFonts w:eastAsia="Times New Roman"/>
              </w:rPr>
              <w:t xml:space="preserve"> </w:t>
            </w:r>
            <w:r w:rsidRPr="006664C8">
              <w:rPr>
                <w:rFonts w:eastAsia="Times New Roman"/>
              </w:rPr>
              <w:t>and members seen in a hospital</w:t>
            </w:r>
            <w:r w:rsidR="00567B9F">
              <w:rPr>
                <w:rFonts w:eastAsia="Times New Roman"/>
              </w:rPr>
              <w:t xml:space="preserve"> </w:t>
            </w:r>
            <w:r w:rsidR="00CA02EA">
              <w:rPr>
                <w:rFonts w:eastAsia="Times New Roman"/>
              </w:rPr>
              <w:t>(</w:t>
            </w:r>
            <w:r w:rsidR="00932481">
              <w:t>Encounter data: members receiving services at CHA n</w:t>
            </w:r>
            <w:r w:rsidR="00932481" w:rsidRPr="00C61430">
              <w:t>=</w:t>
            </w:r>
            <w:r w:rsidR="000354EA" w:rsidRPr="00C61430">
              <w:t>~</w:t>
            </w:r>
            <w:r w:rsidR="00932481">
              <w:t xml:space="preserve">6,000; members receiving services at </w:t>
            </w:r>
            <w:r w:rsidR="000354EA" w:rsidRPr="00C61430">
              <w:t xml:space="preserve">acute </w:t>
            </w:r>
            <w:r w:rsidR="00932481">
              <w:t>private hospitals n</w:t>
            </w:r>
            <w:r w:rsidR="00932481" w:rsidRPr="00C61430">
              <w:t>=</w:t>
            </w:r>
            <w:r w:rsidR="000354EA" w:rsidRPr="00C61430">
              <w:t>~</w:t>
            </w:r>
            <w:r w:rsidR="00932481">
              <w:t>470,000</w:t>
            </w:r>
            <w:r w:rsidR="00E36269">
              <w:rPr>
                <w:rFonts w:eastAsia="Times New Roman"/>
              </w:rPr>
              <w:t>)</w:t>
            </w:r>
          </w:p>
        </w:tc>
        <w:tc>
          <w:tcPr>
            <w:tcW w:w="1800" w:type="dxa"/>
          </w:tcPr>
          <w:p w14:paraId="2DBCB6D9" w14:textId="719B23F4" w:rsidR="00596ECB" w:rsidRPr="006664C8" w:rsidRDefault="00596ECB" w:rsidP="00C64A0B">
            <w:pPr>
              <w:pStyle w:val="TableNormal0"/>
              <w:cnfStyle w:val="000000100000" w:firstRow="0" w:lastRow="0" w:firstColumn="0" w:lastColumn="0" w:oddVBand="0" w:evenVBand="0" w:oddHBand="1" w:evenHBand="0" w:firstRowFirstColumn="0" w:firstRowLastColumn="0" w:lastRowFirstColumn="0" w:lastRowLastColumn="0"/>
            </w:pPr>
            <w:r w:rsidRPr="006664C8">
              <w:rPr>
                <w:rFonts w:eastAsia="Times New Roman"/>
              </w:rPr>
              <w:t>HRSN screening rates (crude and adjusted prevalence ratios) by HRSN type, year, member demographics, ACO/MCO</w:t>
            </w:r>
            <w:r w:rsidR="00527A67">
              <w:rPr>
                <w:rFonts w:eastAsia="Times New Roman"/>
              </w:rPr>
              <w:t>,</w:t>
            </w:r>
            <w:r w:rsidRPr="006664C8">
              <w:rPr>
                <w:rFonts w:eastAsia="Times New Roman"/>
              </w:rPr>
              <w:t xml:space="preserve"> and hospital</w:t>
            </w:r>
          </w:p>
        </w:tc>
        <w:tc>
          <w:tcPr>
            <w:tcW w:w="3079" w:type="dxa"/>
          </w:tcPr>
          <w:p w14:paraId="3BBF8151" w14:textId="363A0789" w:rsidR="00596ECB" w:rsidRPr="006664C8" w:rsidRDefault="00596ECB" w:rsidP="00C64A0B">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6664C8">
              <w:rPr>
                <w:rFonts w:eastAsia="Times New Roman"/>
              </w:rPr>
              <w:t>Descriptive Statistics</w:t>
            </w:r>
            <w:r w:rsidR="00A63B91">
              <w:rPr>
                <w:rFonts w:eastAsia="Times New Roman"/>
              </w:rPr>
              <w:t xml:space="preserve"> (member)</w:t>
            </w:r>
            <w:r w:rsidRPr="006664C8">
              <w:rPr>
                <w:rFonts w:eastAsia="Times New Roman"/>
              </w:rPr>
              <w:t>;</w:t>
            </w:r>
          </w:p>
          <w:p w14:paraId="3CD0DC23" w14:textId="4BD40C88" w:rsidR="00596ECB" w:rsidRPr="006664C8" w:rsidRDefault="00596ECB" w:rsidP="00C64A0B">
            <w:pPr>
              <w:pStyle w:val="TableNormal0"/>
              <w:cnfStyle w:val="000000100000" w:firstRow="0" w:lastRow="0" w:firstColumn="0" w:lastColumn="0" w:oddVBand="0" w:evenVBand="0" w:oddHBand="1" w:evenHBand="0" w:firstRowFirstColumn="0" w:firstRowLastColumn="0" w:lastRowFirstColumn="0" w:lastRowLastColumn="0"/>
            </w:pPr>
            <w:r w:rsidRPr="006664C8">
              <w:rPr>
                <w:rFonts w:eastAsia="Times New Roman"/>
              </w:rPr>
              <w:t>Generalized linear modeling to test for trend</w:t>
            </w:r>
            <w:r w:rsidR="00527A67">
              <w:rPr>
                <w:rFonts w:eastAsia="Times New Roman"/>
              </w:rPr>
              <w:t>s</w:t>
            </w:r>
            <w:r w:rsidRPr="006664C8">
              <w:rPr>
                <w:rFonts w:eastAsia="Times New Roman"/>
              </w:rPr>
              <w:t xml:space="preserve"> and identify factors associated with receiving HRSN screening</w:t>
            </w:r>
            <w:r w:rsidR="00A63B91">
              <w:rPr>
                <w:rFonts w:eastAsia="Times New Roman"/>
              </w:rPr>
              <w:t xml:space="preserve"> (member)</w:t>
            </w:r>
          </w:p>
        </w:tc>
      </w:tr>
      <w:tr w:rsidR="00845EEC" w:rsidRPr="006664C8" w14:paraId="432B297E" w14:textId="77777777" w:rsidTr="3383C28C">
        <w:trPr>
          <w:trHeight w:val="589"/>
        </w:trPr>
        <w:tc>
          <w:tcPr>
            <w:cnfStyle w:val="001000000000" w:firstRow="0" w:lastRow="0" w:firstColumn="1" w:lastColumn="0" w:oddVBand="0" w:evenVBand="0" w:oddHBand="0" w:evenHBand="0" w:firstRowFirstColumn="0" w:firstRowLastColumn="0" w:lastRowFirstColumn="0" w:lastRowLastColumn="0"/>
            <w:tcW w:w="2155" w:type="dxa"/>
          </w:tcPr>
          <w:p w14:paraId="38907788" w14:textId="77777777" w:rsidR="00596ECB" w:rsidRPr="006664C8" w:rsidRDefault="00596ECB" w:rsidP="00CA02EA">
            <w:pPr>
              <w:pStyle w:val="TableNormal0"/>
            </w:pPr>
            <w:r w:rsidRPr="006664C8">
              <w:t xml:space="preserve">RQ7-2 </w:t>
            </w:r>
            <w:r w:rsidRPr="00F5435E">
              <w:t>What was the prevalence of HRSN needs among MassHealth members over the course of the Demonstration?</w:t>
            </w:r>
          </w:p>
        </w:tc>
        <w:tc>
          <w:tcPr>
            <w:tcW w:w="1710" w:type="dxa"/>
          </w:tcPr>
          <w:p w14:paraId="19467400" w14:textId="77777777" w:rsidR="00596ECB" w:rsidRPr="006664C8" w:rsidRDefault="00596ECB" w:rsidP="00CA02EA">
            <w:pPr>
              <w:pStyle w:val="TableNormal0"/>
              <w:cnfStyle w:val="000000000000" w:firstRow="0" w:lastRow="0" w:firstColumn="0" w:lastColumn="0" w:oddVBand="0" w:evenVBand="0" w:oddHBand="0" w:evenHBand="0" w:firstRowFirstColumn="0" w:firstRowLastColumn="0" w:lastRowFirstColumn="0" w:lastRowLastColumn="0"/>
            </w:pPr>
            <w:r w:rsidRPr="00C64A0B">
              <w:rPr>
                <w:rFonts w:eastAsia="Times New Roman"/>
                <w:b/>
                <w:bCs/>
              </w:rPr>
              <w:t>H</w:t>
            </w:r>
            <w:r w:rsidRPr="00C64A0B">
              <w:rPr>
                <w:b/>
                <w:bCs/>
              </w:rPr>
              <w:t>7-</w:t>
            </w:r>
            <w:r w:rsidRPr="00C64A0B">
              <w:rPr>
                <w:rFonts w:eastAsia="Times New Roman"/>
                <w:b/>
                <w:bCs/>
              </w:rPr>
              <w:t>2.1</w:t>
            </w:r>
            <w:r w:rsidRPr="006664C8">
              <w:rPr>
                <w:rFonts w:eastAsia="Times New Roman"/>
              </w:rPr>
              <w:t xml:space="preserve"> MassHealth members had varying levels of HRSN needs by type (housing insecurity, food insecurity, issues with transportation, and issues obtaining utilities) and RELDSOGI demographic group.</w:t>
            </w:r>
          </w:p>
          <w:p w14:paraId="3EDCE470" w14:textId="5A390C3F" w:rsidR="00596ECB" w:rsidRPr="006664C8" w:rsidRDefault="3C97EF8A" w:rsidP="00CA02EA">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3383C28C">
              <w:rPr>
                <w:rFonts w:eastAsia="Times New Roman"/>
                <w:b/>
                <w:bCs/>
              </w:rPr>
              <w:t>H7-2.2</w:t>
            </w:r>
            <w:r w:rsidRPr="3383C28C">
              <w:rPr>
                <w:rFonts w:eastAsia="Times New Roman"/>
              </w:rPr>
              <w:t xml:space="preserve"> </w:t>
            </w:r>
            <w:r w:rsidR="43B5B03A" w:rsidRPr="3383C28C">
              <w:rPr>
                <w:rFonts w:eastAsia="Times New Roman"/>
              </w:rPr>
              <w:t xml:space="preserve">The prevalence of </w:t>
            </w:r>
            <w:r w:rsidRPr="3383C28C">
              <w:rPr>
                <w:rFonts w:eastAsia="Times New Roman"/>
              </w:rPr>
              <w:t>HRSN</w:t>
            </w:r>
            <w:r w:rsidR="0325A047" w:rsidRPr="3383C28C">
              <w:rPr>
                <w:rFonts w:eastAsia="Times New Roman"/>
              </w:rPr>
              <w:t xml:space="preserve"> </w:t>
            </w:r>
            <w:r w:rsidRPr="3383C28C">
              <w:rPr>
                <w:rFonts w:eastAsia="Times New Roman"/>
              </w:rPr>
              <w:t xml:space="preserve">needs </w:t>
            </w:r>
            <w:r w:rsidR="43B5B03A" w:rsidRPr="3383C28C">
              <w:rPr>
                <w:rFonts w:eastAsia="Times New Roman"/>
              </w:rPr>
              <w:t>decreased over time.</w:t>
            </w:r>
          </w:p>
        </w:tc>
        <w:tc>
          <w:tcPr>
            <w:tcW w:w="2430" w:type="dxa"/>
          </w:tcPr>
          <w:p w14:paraId="3B347E9F" w14:textId="44902A8D" w:rsidR="00596ECB" w:rsidRPr="006664C8" w:rsidRDefault="00596ECB" w:rsidP="00CA02EA">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6664C8">
              <w:rPr>
                <w:rFonts w:eastAsia="Times New Roman"/>
              </w:rPr>
              <w:t>Administrative</w:t>
            </w:r>
            <w:r w:rsidR="00DC7BBB">
              <w:rPr>
                <w:rFonts w:eastAsia="Times New Roman"/>
              </w:rPr>
              <w:t xml:space="preserve"> </w:t>
            </w:r>
            <w:r w:rsidR="009F108B" w:rsidRPr="00C61430">
              <w:rPr>
                <w:rFonts w:eastAsia="Times New Roman"/>
              </w:rPr>
              <w:t>data</w:t>
            </w:r>
            <w:r w:rsidR="00DC7BBB" w:rsidRPr="00C61430">
              <w:rPr>
                <w:rFonts w:eastAsia="Times New Roman"/>
              </w:rPr>
              <w:t xml:space="preserve"> </w:t>
            </w:r>
          </w:p>
          <w:p w14:paraId="67EA5CBF" w14:textId="1D2CB15B" w:rsidR="00596ECB" w:rsidRPr="006664C8" w:rsidRDefault="00596ECB" w:rsidP="00CA02EA">
            <w:pPr>
              <w:pStyle w:val="TableNormal0"/>
              <w:cnfStyle w:val="000000000000" w:firstRow="0" w:lastRow="0" w:firstColumn="0" w:lastColumn="0" w:oddVBand="0" w:evenVBand="0" w:oddHBand="0" w:evenHBand="0" w:firstRowFirstColumn="0" w:firstRowLastColumn="0" w:lastRowFirstColumn="0" w:lastRowLastColumn="0"/>
            </w:pPr>
            <w:r w:rsidRPr="006664C8">
              <w:t>Demographics</w:t>
            </w:r>
            <w:r w:rsidR="00EA2AD3">
              <w:t xml:space="preserve"> </w:t>
            </w:r>
            <w:r w:rsidR="00EA2AD3">
              <w:rPr>
                <w:rFonts w:eastAsia="Times New Roman"/>
              </w:rPr>
              <w:t>(20</w:t>
            </w:r>
            <w:r w:rsidR="00A62C47" w:rsidRPr="00C61430">
              <w:rPr>
                <w:rFonts w:eastAsia="Times New Roman"/>
              </w:rPr>
              <w:t>18</w:t>
            </w:r>
            <w:r w:rsidR="00EA2AD3">
              <w:rPr>
                <w:rFonts w:eastAsia="Times New Roman"/>
              </w:rPr>
              <w:t>-2027)</w:t>
            </w:r>
            <w:r w:rsidR="00EA2AD3" w:rsidRPr="006664C8">
              <w:t>;</w:t>
            </w:r>
          </w:p>
          <w:p w14:paraId="24F4F410" w14:textId="569CB3A5" w:rsidR="00596ECB" w:rsidRPr="006664C8" w:rsidRDefault="00596ECB" w:rsidP="00CA02EA">
            <w:pPr>
              <w:pStyle w:val="TableNormal0"/>
              <w:cnfStyle w:val="000000000000" w:firstRow="0" w:lastRow="0" w:firstColumn="0" w:lastColumn="0" w:oddVBand="0" w:evenVBand="0" w:oddHBand="0" w:evenHBand="0" w:firstRowFirstColumn="0" w:firstRowLastColumn="0" w:lastRowFirstColumn="0" w:lastRowLastColumn="0"/>
            </w:pPr>
            <w:r w:rsidRPr="006664C8">
              <w:t>Eligibility/Enrollment</w:t>
            </w:r>
            <w:r w:rsidR="00DC7BBB">
              <w:t xml:space="preserve"> </w:t>
            </w:r>
            <w:r w:rsidR="00DC7BBB">
              <w:rPr>
                <w:rFonts w:eastAsia="Times New Roman"/>
              </w:rPr>
              <w:t>(2018-2027)</w:t>
            </w:r>
            <w:r w:rsidRPr="006664C8">
              <w:t>;</w:t>
            </w:r>
          </w:p>
          <w:p w14:paraId="6443DA22" w14:textId="48E706EF" w:rsidR="00596ECB" w:rsidRPr="006664C8" w:rsidRDefault="005E44AA" w:rsidP="00CA02EA">
            <w:pPr>
              <w:pStyle w:val="TableNormal0"/>
              <w:cnfStyle w:val="000000000000" w:firstRow="0" w:lastRow="0" w:firstColumn="0" w:lastColumn="0" w:oddVBand="0" w:evenVBand="0" w:oddHBand="0" w:evenHBand="0" w:firstRowFirstColumn="0" w:firstRowLastColumn="0" w:lastRowFirstColumn="0" w:lastRowLastColumn="0"/>
            </w:pPr>
            <w:r>
              <w:t xml:space="preserve">Screened </w:t>
            </w:r>
            <w:r w:rsidR="43B5B03A">
              <w:t>HRSNs</w:t>
            </w:r>
            <w:r w:rsidR="17C2DE04">
              <w:t xml:space="preserve"> </w:t>
            </w:r>
            <w:r w:rsidR="17C2DE04" w:rsidRPr="3383C28C">
              <w:rPr>
                <w:rFonts w:eastAsia="Times New Roman"/>
              </w:rPr>
              <w:t>(201</w:t>
            </w:r>
            <w:r w:rsidR="25979723" w:rsidRPr="3383C28C">
              <w:rPr>
                <w:rFonts w:eastAsia="Times New Roman"/>
              </w:rPr>
              <w:t>8</w:t>
            </w:r>
            <w:r w:rsidR="17C2DE04" w:rsidRPr="3383C28C">
              <w:rPr>
                <w:rFonts w:eastAsia="Times New Roman"/>
              </w:rPr>
              <w:t>-2027)</w:t>
            </w:r>
          </w:p>
        </w:tc>
        <w:tc>
          <w:tcPr>
            <w:tcW w:w="2340" w:type="dxa"/>
          </w:tcPr>
          <w:p w14:paraId="1A143FC4" w14:textId="6201D0DE" w:rsidR="00596ECB" w:rsidRPr="006664C8" w:rsidRDefault="00596ECB" w:rsidP="00CA02EA">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6664C8">
              <w:rPr>
                <w:rFonts w:eastAsia="Times New Roman"/>
              </w:rPr>
              <w:t xml:space="preserve">ACO/MCO enrolled members </w:t>
            </w:r>
            <w:r w:rsidR="00CA02EA">
              <w:rPr>
                <w:rFonts w:eastAsia="Times New Roman"/>
              </w:rPr>
              <w:t>(ACO n</w:t>
            </w:r>
            <w:r w:rsidR="00CA02EA" w:rsidRPr="00C61430">
              <w:rPr>
                <w:rFonts w:eastAsia="Times New Roman"/>
              </w:rPr>
              <w:t>=</w:t>
            </w:r>
            <w:r w:rsidR="00A62C47" w:rsidRPr="00C61430">
              <w:rPr>
                <w:rFonts w:eastAsia="Times New Roman"/>
              </w:rPr>
              <w:t>~</w:t>
            </w:r>
            <w:r w:rsidR="004552CB">
              <w:rPr>
                <w:rFonts w:eastAsia="Times New Roman"/>
              </w:rPr>
              <w:t>1.3 million</w:t>
            </w:r>
            <w:r w:rsidR="00CA02EA">
              <w:rPr>
                <w:rFonts w:eastAsia="Times New Roman"/>
              </w:rPr>
              <w:t>; MCO n</w:t>
            </w:r>
            <w:r w:rsidR="00CA02EA" w:rsidRPr="00C61430">
              <w:rPr>
                <w:rFonts w:eastAsia="Times New Roman"/>
              </w:rPr>
              <w:t>=</w:t>
            </w:r>
            <w:r w:rsidR="00A62C47" w:rsidRPr="00C61430">
              <w:rPr>
                <w:rFonts w:eastAsia="Times New Roman"/>
              </w:rPr>
              <w:t>~</w:t>
            </w:r>
            <w:r w:rsidR="004552CB">
              <w:rPr>
                <w:rFonts w:eastAsia="Times New Roman"/>
              </w:rPr>
              <w:t>73,000</w:t>
            </w:r>
            <w:r w:rsidR="004552CB" w:rsidRPr="00C61430">
              <w:rPr>
                <w:rFonts w:eastAsia="Times New Roman"/>
              </w:rPr>
              <w:t>)</w:t>
            </w:r>
            <w:r w:rsidR="00CA02EA" w:rsidRPr="00C61430">
              <w:rPr>
                <w:rFonts w:eastAsia="Times New Roman"/>
              </w:rPr>
              <w:t>;</w:t>
            </w:r>
            <w:r w:rsidR="00CA02EA">
              <w:rPr>
                <w:rFonts w:eastAsia="Times New Roman"/>
              </w:rPr>
              <w:t xml:space="preserve"> </w:t>
            </w:r>
            <w:r w:rsidRPr="006664C8">
              <w:rPr>
                <w:rFonts w:eastAsia="Times New Roman"/>
              </w:rPr>
              <w:t>and members seen in a hospital</w:t>
            </w:r>
            <w:r w:rsidR="00CA02EA">
              <w:rPr>
                <w:rFonts w:eastAsia="Times New Roman"/>
              </w:rPr>
              <w:t xml:space="preserve"> (</w:t>
            </w:r>
            <w:r w:rsidR="00932481">
              <w:t>Encounter data: members receiving services at CHA n</w:t>
            </w:r>
            <w:r w:rsidR="00932481" w:rsidRPr="00C61430">
              <w:t>=</w:t>
            </w:r>
            <w:r w:rsidR="00A62C47" w:rsidRPr="00C61430">
              <w:t>~</w:t>
            </w:r>
            <w:r w:rsidR="00932481">
              <w:t>6,000; members receiving services at private hospitals n</w:t>
            </w:r>
            <w:r w:rsidR="00932481" w:rsidRPr="00C61430">
              <w:t>=</w:t>
            </w:r>
            <w:r w:rsidR="00A62C47" w:rsidRPr="00C61430">
              <w:t>~</w:t>
            </w:r>
            <w:r w:rsidR="00932481">
              <w:t>470,000</w:t>
            </w:r>
            <w:r w:rsidR="00CA02EA">
              <w:rPr>
                <w:rFonts w:eastAsia="Times New Roman"/>
              </w:rPr>
              <w:t>)</w:t>
            </w:r>
          </w:p>
        </w:tc>
        <w:tc>
          <w:tcPr>
            <w:tcW w:w="1800" w:type="dxa"/>
          </w:tcPr>
          <w:p w14:paraId="15DF0DE2" w14:textId="7B3939CC" w:rsidR="00596ECB" w:rsidRPr="006664C8" w:rsidRDefault="00596ECB" w:rsidP="00CA02EA">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6664C8">
              <w:rPr>
                <w:rFonts w:eastAsia="Times New Roman"/>
              </w:rPr>
              <w:t>Prevalence of HRSN by type, year, and member demographics, ACO/MCO</w:t>
            </w:r>
            <w:r w:rsidR="00E60BDC">
              <w:rPr>
                <w:rFonts w:eastAsia="Times New Roman"/>
              </w:rPr>
              <w:t>,</w:t>
            </w:r>
            <w:r w:rsidRPr="006664C8">
              <w:rPr>
                <w:rFonts w:eastAsia="Times New Roman"/>
              </w:rPr>
              <w:t xml:space="preserve"> and hospital</w:t>
            </w:r>
          </w:p>
        </w:tc>
        <w:tc>
          <w:tcPr>
            <w:tcW w:w="3079" w:type="dxa"/>
          </w:tcPr>
          <w:p w14:paraId="29245C1D" w14:textId="21BEA7AC" w:rsidR="00596ECB" w:rsidRPr="006664C8" w:rsidRDefault="00596ECB" w:rsidP="00CA02EA">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6664C8">
              <w:rPr>
                <w:rFonts w:eastAsia="Times New Roman"/>
              </w:rPr>
              <w:t>Descriptive Statistics</w:t>
            </w:r>
            <w:r w:rsidR="00CA02EA">
              <w:rPr>
                <w:rFonts w:eastAsia="Times New Roman"/>
              </w:rPr>
              <w:t xml:space="preserve"> (member)</w:t>
            </w:r>
            <w:r w:rsidRPr="006664C8">
              <w:rPr>
                <w:rFonts w:eastAsia="Times New Roman"/>
              </w:rPr>
              <w:t>;</w:t>
            </w:r>
          </w:p>
          <w:p w14:paraId="72EE832C" w14:textId="4AD4752D" w:rsidR="00596ECB" w:rsidRPr="006664C8" w:rsidRDefault="00596ECB" w:rsidP="00CA02EA">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6664C8">
              <w:rPr>
                <w:rFonts w:eastAsia="Times New Roman"/>
              </w:rPr>
              <w:t>Generalized linear modeling to test for trend</w:t>
            </w:r>
            <w:r w:rsidR="00E60BDC">
              <w:rPr>
                <w:rFonts w:eastAsia="Times New Roman"/>
              </w:rPr>
              <w:t>s</w:t>
            </w:r>
            <w:r w:rsidRPr="006664C8">
              <w:rPr>
                <w:rFonts w:eastAsia="Times New Roman"/>
              </w:rPr>
              <w:t xml:space="preserve"> and identify RELDSOGI factors associated with HRSN needs </w:t>
            </w:r>
            <w:r w:rsidR="00CA02EA">
              <w:rPr>
                <w:rFonts w:eastAsia="Times New Roman"/>
              </w:rPr>
              <w:t>(member)</w:t>
            </w:r>
          </w:p>
        </w:tc>
      </w:tr>
      <w:tr w:rsidR="00845EEC" w:rsidRPr="006664C8" w14:paraId="553DFBAB" w14:textId="77777777" w:rsidTr="3383C28C">
        <w:trPr>
          <w:cnfStyle w:val="000000100000" w:firstRow="0" w:lastRow="0" w:firstColumn="0" w:lastColumn="0" w:oddVBand="0" w:evenVBand="0" w:oddHBand="1"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2155" w:type="dxa"/>
          </w:tcPr>
          <w:p w14:paraId="69E3A003" w14:textId="6698B1E8" w:rsidR="00596ECB" w:rsidRPr="006664C8" w:rsidRDefault="005526F6" w:rsidP="00C64A0B">
            <w:pPr>
              <w:pStyle w:val="TableNormal0"/>
            </w:pPr>
            <w:r w:rsidRPr="006664C8">
              <w:t xml:space="preserve">RQ7-3 </w:t>
            </w:r>
            <w:r w:rsidRPr="00F5435E">
              <w:t>What were the experiences of members receiving FSP/</w:t>
            </w:r>
            <w:r w:rsidR="00BA5AC6">
              <w:t>s</w:t>
            </w:r>
            <w:r w:rsidRPr="00F5435E">
              <w:t>pecialized CSP services</w:t>
            </w:r>
            <w:r w:rsidR="00CE2F32">
              <w:t>,</w:t>
            </w:r>
            <w:r w:rsidRPr="00F5435E">
              <w:t xml:space="preserve"> and what was </w:t>
            </w:r>
            <w:r w:rsidRPr="00F5435E">
              <w:lastRenderedPageBreak/>
              <w:t>their understanding of the programs?</w:t>
            </w:r>
          </w:p>
        </w:tc>
        <w:tc>
          <w:tcPr>
            <w:tcW w:w="1710" w:type="dxa"/>
          </w:tcPr>
          <w:p w14:paraId="5C7E79BD" w14:textId="0AEDF8FC" w:rsidR="00596ECB" w:rsidRPr="006664C8" w:rsidRDefault="00596ECB" w:rsidP="00C64A0B">
            <w:pPr>
              <w:pStyle w:val="TableNormal0"/>
              <w:cnfStyle w:val="000000100000" w:firstRow="0" w:lastRow="0" w:firstColumn="0" w:lastColumn="0" w:oddVBand="0" w:evenVBand="0" w:oddHBand="1" w:evenHBand="0" w:firstRowFirstColumn="0" w:firstRowLastColumn="0" w:lastRowFirstColumn="0" w:lastRowLastColumn="0"/>
            </w:pPr>
            <w:r w:rsidRPr="00C64A0B">
              <w:rPr>
                <w:rFonts w:eastAsia="Times New Roman"/>
                <w:b/>
                <w:bCs/>
              </w:rPr>
              <w:lastRenderedPageBreak/>
              <w:t>H</w:t>
            </w:r>
            <w:r w:rsidRPr="00C64A0B">
              <w:rPr>
                <w:b/>
                <w:bCs/>
              </w:rPr>
              <w:t>7-</w:t>
            </w:r>
            <w:r w:rsidRPr="00C64A0B">
              <w:rPr>
                <w:rFonts w:eastAsia="Times New Roman"/>
                <w:b/>
                <w:bCs/>
              </w:rPr>
              <w:t>3.1</w:t>
            </w:r>
            <w:r w:rsidRPr="006664C8">
              <w:rPr>
                <w:rFonts w:eastAsia="Times New Roman"/>
              </w:rPr>
              <w:t xml:space="preserve"> Recipients of FSP/</w:t>
            </w:r>
            <w:r w:rsidR="00BA5AC6">
              <w:rPr>
                <w:rFonts w:eastAsia="Times New Roman"/>
              </w:rPr>
              <w:t>s</w:t>
            </w:r>
            <w:r w:rsidRPr="006664C8">
              <w:rPr>
                <w:rFonts w:eastAsia="Times New Roman"/>
              </w:rPr>
              <w:t xml:space="preserve">pecialized CSP services perceived their HRSN needs as </w:t>
            </w:r>
            <w:r w:rsidRPr="006664C8">
              <w:rPr>
                <w:rFonts w:eastAsia="Times New Roman"/>
              </w:rPr>
              <w:lastRenderedPageBreak/>
              <w:t>having been effectively identified.</w:t>
            </w:r>
          </w:p>
          <w:p w14:paraId="7B114204" w14:textId="66759E02" w:rsidR="00596ECB" w:rsidRPr="006664C8" w:rsidRDefault="00596ECB" w:rsidP="00C64A0B">
            <w:pPr>
              <w:pStyle w:val="TableNormal0"/>
              <w:cnfStyle w:val="000000100000" w:firstRow="0" w:lastRow="0" w:firstColumn="0" w:lastColumn="0" w:oddVBand="0" w:evenVBand="0" w:oddHBand="1" w:evenHBand="0" w:firstRowFirstColumn="0" w:firstRowLastColumn="0" w:lastRowFirstColumn="0" w:lastRowLastColumn="0"/>
            </w:pPr>
            <w:r w:rsidRPr="00C64A0B">
              <w:rPr>
                <w:rFonts w:eastAsia="Times New Roman"/>
                <w:b/>
                <w:bCs/>
              </w:rPr>
              <w:t>H7-3.2</w:t>
            </w:r>
            <w:r w:rsidRPr="006664C8">
              <w:rPr>
                <w:rFonts w:eastAsia="Times New Roman"/>
              </w:rPr>
              <w:t xml:space="preserve"> Members receiving FSP/</w:t>
            </w:r>
            <w:r w:rsidR="00BA5AC6">
              <w:rPr>
                <w:rFonts w:eastAsia="Times New Roman"/>
              </w:rPr>
              <w:t>s</w:t>
            </w:r>
            <w:r w:rsidRPr="006664C8">
              <w:rPr>
                <w:rFonts w:eastAsia="Times New Roman"/>
              </w:rPr>
              <w:t>pecialized CSP services were satisfied with their service plans.</w:t>
            </w:r>
          </w:p>
          <w:p w14:paraId="601E850B" w14:textId="493B90FC" w:rsidR="00596ECB" w:rsidRPr="006664C8" w:rsidRDefault="00596ECB" w:rsidP="00C64A0B">
            <w:pPr>
              <w:pStyle w:val="TableNormal0"/>
              <w:cnfStyle w:val="000000100000" w:firstRow="0" w:lastRow="0" w:firstColumn="0" w:lastColumn="0" w:oddVBand="0" w:evenVBand="0" w:oddHBand="1" w:evenHBand="0" w:firstRowFirstColumn="0" w:firstRowLastColumn="0" w:lastRowFirstColumn="0" w:lastRowLastColumn="0"/>
            </w:pPr>
            <w:r w:rsidRPr="00C64A0B">
              <w:rPr>
                <w:rFonts w:eastAsia="Times New Roman"/>
                <w:b/>
                <w:bCs/>
              </w:rPr>
              <w:t>H7-3.3</w:t>
            </w:r>
            <w:r w:rsidRPr="006664C8">
              <w:rPr>
                <w:rFonts w:eastAsia="Times New Roman"/>
              </w:rPr>
              <w:t xml:space="preserve"> Members receiving FSP/</w:t>
            </w:r>
            <w:r w:rsidR="00BA5AC6">
              <w:rPr>
                <w:rFonts w:eastAsia="Times New Roman"/>
              </w:rPr>
              <w:t>s</w:t>
            </w:r>
            <w:r w:rsidRPr="006664C8">
              <w:rPr>
                <w:rFonts w:eastAsia="Times New Roman"/>
              </w:rPr>
              <w:t>pecialized CSP services understood the programs.</w:t>
            </w:r>
          </w:p>
          <w:p w14:paraId="0DE2DEED" w14:textId="0D3600B9" w:rsidR="00596ECB" w:rsidRPr="006664C8" w:rsidRDefault="00596ECB" w:rsidP="00C64A0B">
            <w:pPr>
              <w:pStyle w:val="TableNormal0"/>
              <w:cnfStyle w:val="000000100000" w:firstRow="0" w:lastRow="0" w:firstColumn="0" w:lastColumn="0" w:oddVBand="0" w:evenVBand="0" w:oddHBand="1" w:evenHBand="0" w:firstRowFirstColumn="0" w:firstRowLastColumn="0" w:lastRowFirstColumn="0" w:lastRowLastColumn="0"/>
            </w:pPr>
            <w:r w:rsidRPr="00C64A0B">
              <w:rPr>
                <w:rFonts w:eastAsia="Times New Roman"/>
                <w:b/>
                <w:bCs/>
              </w:rPr>
              <w:t>H7-3.4</w:t>
            </w:r>
            <w:r w:rsidRPr="006664C8">
              <w:rPr>
                <w:rFonts w:eastAsia="Times New Roman"/>
              </w:rPr>
              <w:t xml:space="preserve"> Members receiving FSP/</w:t>
            </w:r>
            <w:r w:rsidR="00BA5AC6">
              <w:rPr>
                <w:rFonts w:eastAsia="Times New Roman"/>
              </w:rPr>
              <w:t>s</w:t>
            </w:r>
            <w:r w:rsidRPr="006664C8">
              <w:rPr>
                <w:rFonts w:eastAsia="Times New Roman"/>
              </w:rPr>
              <w:t xml:space="preserve">pecialized CSP services described how </w:t>
            </w:r>
            <w:r w:rsidR="00CE2F32">
              <w:rPr>
                <w:rFonts w:eastAsia="Times New Roman"/>
              </w:rPr>
              <w:t xml:space="preserve">the </w:t>
            </w:r>
            <w:r w:rsidRPr="006664C8">
              <w:rPr>
                <w:rFonts w:eastAsia="Times New Roman"/>
              </w:rPr>
              <w:t>services they received decreased their HRSN needs.</w:t>
            </w:r>
          </w:p>
          <w:p w14:paraId="538EDB1A" w14:textId="6BC65F45" w:rsidR="00596ECB" w:rsidRPr="006664C8" w:rsidRDefault="00596ECB" w:rsidP="00C64A0B">
            <w:pPr>
              <w:pStyle w:val="TableNormal0"/>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64A0B">
              <w:rPr>
                <w:rFonts w:eastAsia="Times New Roman"/>
                <w:b/>
                <w:bCs/>
              </w:rPr>
              <w:t>H7-3.5</w:t>
            </w:r>
            <w:r w:rsidRPr="006664C8">
              <w:rPr>
                <w:rFonts w:eastAsia="Times New Roman"/>
              </w:rPr>
              <w:t xml:space="preserve"> Members receiving FSP/</w:t>
            </w:r>
            <w:r w:rsidR="00B12E9C">
              <w:rPr>
                <w:rFonts w:eastAsia="Times New Roman"/>
              </w:rPr>
              <w:t>s</w:t>
            </w:r>
            <w:r w:rsidRPr="006664C8">
              <w:rPr>
                <w:rFonts w:eastAsia="Times New Roman"/>
              </w:rPr>
              <w:t>pecialized CSP services described how services they received improved their physical and/or mental health.</w:t>
            </w:r>
          </w:p>
        </w:tc>
        <w:tc>
          <w:tcPr>
            <w:tcW w:w="2430" w:type="dxa"/>
          </w:tcPr>
          <w:p w14:paraId="632F65E6" w14:textId="42568701" w:rsidR="00596ECB" w:rsidRPr="006664C8" w:rsidRDefault="00596ECB" w:rsidP="00C64A0B">
            <w:pPr>
              <w:pStyle w:val="TableNormal0"/>
              <w:cnfStyle w:val="000000100000" w:firstRow="0" w:lastRow="0" w:firstColumn="0" w:lastColumn="0" w:oddVBand="0" w:evenVBand="0" w:oddHBand="1" w:evenHBand="0" w:firstRowFirstColumn="0" w:firstRowLastColumn="0" w:lastRowFirstColumn="0" w:lastRowLastColumn="0"/>
              <w:rPr>
                <w:color w:val="000000"/>
              </w:rPr>
            </w:pPr>
            <w:r w:rsidRPr="006664C8">
              <w:lastRenderedPageBreak/>
              <w:t>Interviews or Focus Groups</w:t>
            </w:r>
            <w:r w:rsidR="007E24F4">
              <w:t xml:space="preserve"> </w:t>
            </w:r>
            <w:r w:rsidR="00112F0A" w:rsidRPr="006A7D74">
              <w:t>(</w:t>
            </w:r>
            <w:r w:rsidR="00112F0A" w:rsidRPr="00C64A0B">
              <w:t>2024-2025; 2026-2027)</w:t>
            </w:r>
          </w:p>
        </w:tc>
        <w:tc>
          <w:tcPr>
            <w:tcW w:w="2340" w:type="dxa"/>
          </w:tcPr>
          <w:p w14:paraId="2C6510C8" w14:textId="5CF72E3C" w:rsidR="00596ECB" w:rsidRPr="006664C8" w:rsidRDefault="00596ECB" w:rsidP="00C64A0B">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6664C8">
              <w:rPr>
                <w:rFonts w:eastAsia="Times New Roman"/>
              </w:rPr>
              <w:t xml:space="preserve">Recipients of FSP and </w:t>
            </w:r>
            <w:r w:rsidR="00BA5AC6">
              <w:rPr>
                <w:rFonts w:eastAsia="Times New Roman"/>
              </w:rPr>
              <w:t>s</w:t>
            </w:r>
            <w:r w:rsidRPr="006664C8">
              <w:rPr>
                <w:rFonts w:eastAsia="Times New Roman"/>
              </w:rPr>
              <w:t>pecialized CSP services</w:t>
            </w:r>
            <w:r w:rsidR="00394994" w:rsidRPr="00C61430">
              <w:rPr>
                <w:rFonts w:eastAsia="Times New Roman"/>
              </w:rPr>
              <w:t xml:space="preserve">, member interviewees </w:t>
            </w:r>
            <w:r w:rsidR="009E0A84">
              <w:rPr>
                <w:rFonts w:eastAsia="Times New Roman"/>
              </w:rPr>
              <w:br/>
            </w:r>
            <w:r w:rsidR="007E24F4">
              <w:rPr>
                <w:rFonts w:eastAsia="Times New Roman"/>
              </w:rPr>
              <w:t>(</w:t>
            </w:r>
            <w:r w:rsidR="00357B77" w:rsidRPr="00C61430">
              <w:rPr>
                <w:rFonts w:eastAsia="Times New Roman"/>
              </w:rPr>
              <w:t>n</w:t>
            </w:r>
            <w:r w:rsidR="00B442EB">
              <w:rPr>
                <w:rFonts w:eastAsia="Times New Roman"/>
              </w:rPr>
              <w:t xml:space="preserve"> ≤ </w:t>
            </w:r>
            <w:r w:rsidR="00357B77" w:rsidRPr="00C61430">
              <w:rPr>
                <w:rFonts w:eastAsia="Times New Roman"/>
              </w:rPr>
              <w:t>30</w:t>
            </w:r>
            <w:r w:rsidR="007E24F4" w:rsidRPr="00C61430">
              <w:rPr>
                <w:rFonts w:eastAsia="Times New Roman"/>
              </w:rPr>
              <w:t>)</w:t>
            </w:r>
          </w:p>
        </w:tc>
        <w:tc>
          <w:tcPr>
            <w:tcW w:w="1800" w:type="dxa"/>
          </w:tcPr>
          <w:p w14:paraId="3C419589" w14:textId="77777777" w:rsidR="00596ECB" w:rsidRPr="006664C8" w:rsidRDefault="00596ECB" w:rsidP="00C64A0B">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6664C8">
              <w:rPr>
                <w:rFonts w:eastAsia="Times New Roman"/>
              </w:rPr>
              <w:t>Qualitative Interview/Focus Groups  (QI)/(FG):</w:t>
            </w:r>
          </w:p>
          <w:p w14:paraId="3B126A2F" w14:textId="77777777" w:rsidR="00596ECB" w:rsidRPr="006664C8" w:rsidRDefault="00596ECB" w:rsidP="00C64A0B">
            <w:pPr>
              <w:pStyle w:val="TableNormal0"/>
              <w:cnfStyle w:val="000000100000" w:firstRow="0" w:lastRow="0" w:firstColumn="0" w:lastColumn="0" w:oddVBand="0" w:evenVBand="0" w:oddHBand="1" w:evenHBand="0" w:firstRowFirstColumn="0" w:firstRowLastColumn="0" w:lastRowFirstColumn="0" w:lastRowLastColumn="0"/>
            </w:pPr>
            <w:r w:rsidRPr="006664C8">
              <w:t xml:space="preserve">Member experience of HRSN screening, </w:t>
            </w:r>
            <w:r w:rsidRPr="006664C8">
              <w:lastRenderedPageBreak/>
              <w:t xml:space="preserve">needs assessment, and service plan development </w:t>
            </w:r>
          </w:p>
          <w:p w14:paraId="4C805681" w14:textId="77777777" w:rsidR="00596ECB" w:rsidRPr="006664C8" w:rsidRDefault="00596ECB" w:rsidP="00C64A0B">
            <w:pPr>
              <w:pStyle w:val="TableNormal0"/>
              <w:cnfStyle w:val="000000100000" w:firstRow="0" w:lastRow="0" w:firstColumn="0" w:lastColumn="0" w:oddVBand="0" w:evenVBand="0" w:oddHBand="1" w:evenHBand="0" w:firstRowFirstColumn="0" w:firstRowLastColumn="0" w:lastRowFirstColumn="0" w:lastRowLastColumn="0"/>
            </w:pPr>
            <w:r w:rsidRPr="006664C8">
              <w:t>Perceived changes in HRSNs and health by members and relationship to FSP/CSP programming;</w:t>
            </w:r>
          </w:p>
          <w:p w14:paraId="72836D00" w14:textId="77777777" w:rsidR="00596ECB" w:rsidRPr="006664C8" w:rsidRDefault="00596ECB" w:rsidP="00C64A0B">
            <w:pPr>
              <w:pStyle w:val="TableNormal0"/>
              <w:cnfStyle w:val="000000100000" w:firstRow="0" w:lastRow="0" w:firstColumn="0" w:lastColumn="0" w:oddVBand="0" w:evenVBand="0" w:oddHBand="1" w:evenHBand="0" w:firstRowFirstColumn="0" w:firstRowLastColumn="0" w:lastRowFirstColumn="0" w:lastRowLastColumn="0"/>
            </w:pPr>
            <w:r w:rsidRPr="006664C8">
              <w:t>Member experiences of facilitators and barriers to program engagement;</w:t>
            </w:r>
          </w:p>
          <w:p w14:paraId="5EE63628" w14:textId="77777777" w:rsidR="00596ECB" w:rsidRDefault="3A43C9D7">
            <w:pPr>
              <w:pStyle w:val="TableNormal0"/>
              <w:cnfStyle w:val="000000100000" w:firstRow="0" w:lastRow="0" w:firstColumn="0" w:lastColumn="0" w:oddVBand="0" w:evenVBand="0" w:oddHBand="1" w:evenHBand="0" w:firstRowFirstColumn="0" w:firstRowLastColumn="0" w:lastRowFirstColumn="0" w:lastRowLastColumn="0"/>
            </w:pPr>
            <w:r>
              <w:t>Perspective of program utility for members</w:t>
            </w:r>
          </w:p>
          <w:p w14:paraId="36F9868C" w14:textId="30B5C5FA" w:rsidR="00596ECB" w:rsidRPr="006664C8" w:rsidRDefault="0222567E" w:rsidP="00C64A0B">
            <w:pPr>
              <w:pStyle w:val="TableNormal0"/>
              <w:cnfStyle w:val="000000100000" w:firstRow="0" w:lastRow="0" w:firstColumn="0" w:lastColumn="0" w:oddVBand="0" w:evenVBand="0" w:oddHBand="1" w:evenHBand="0" w:firstRowFirstColumn="0" w:firstRowLastColumn="0" w:lastRowFirstColumn="0" w:lastRowLastColumn="0"/>
            </w:pPr>
            <w:r>
              <w:t xml:space="preserve">Variation in member experience </w:t>
            </w:r>
            <w:r w:rsidR="4B09BA8C">
              <w:t>between</w:t>
            </w:r>
            <w:r>
              <w:t xml:space="preserve"> sociodemographic groups</w:t>
            </w:r>
          </w:p>
        </w:tc>
        <w:tc>
          <w:tcPr>
            <w:tcW w:w="3079" w:type="dxa"/>
          </w:tcPr>
          <w:p w14:paraId="1DAB71EB" w14:textId="00DD9DE8" w:rsidR="00596ECB" w:rsidRPr="006664C8" w:rsidRDefault="00596ECB" w:rsidP="00C64A0B">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6664C8">
              <w:rPr>
                <w:rFonts w:eastAsia="Times New Roman"/>
              </w:rPr>
              <w:lastRenderedPageBreak/>
              <w:t>Qualitative</w:t>
            </w:r>
            <w:r w:rsidR="007E24F4">
              <w:rPr>
                <w:rFonts w:eastAsia="Times New Roman"/>
              </w:rPr>
              <w:t xml:space="preserve"> (member)</w:t>
            </w:r>
          </w:p>
        </w:tc>
      </w:tr>
      <w:tr w:rsidR="00845EEC" w:rsidRPr="006664C8" w14:paraId="661F31DA" w14:textId="77777777" w:rsidTr="3383C28C">
        <w:trPr>
          <w:trHeight w:val="1880"/>
        </w:trPr>
        <w:tc>
          <w:tcPr>
            <w:cnfStyle w:val="001000000000" w:firstRow="0" w:lastRow="0" w:firstColumn="1" w:lastColumn="0" w:oddVBand="0" w:evenVBand="0" w:oddHBand="0" w:evenHBand="0" w:firstRowFirstColumn="0" w:firstRowLastColumn="0" w:lastRowFirstColumn="0" w:lastRowLastColumn="0"/>
            <w:tcW w:w="2155" w:type="dxa"/>
          </w:tcPr>
          <w:p w14:paraId="45ECAAE9" w14:textId="77777777" w:rsidR="00596ECB" w:rsidRPr="006664C8" w:rsidRDefault="00596ECB" w:rsidP="00C64A0B">
            <w:pPr>
              <w:pStyle w:val="TableNormal0"/>
            </w:pPr>
            <w:r w:rsidRPr="006664C8">
              <w:lastRenderedPageBreak/>
              <w:t xml:space="preserve">RQ7-4 </w:t>
            </w:r>
            <w:r w:rsidRPr="00F5435E">
              <w:t>What actions did MassHealth and Key Stakeholders take to implement, operate, integrate, and coordinate HRSN initiatives?</w:t>
            </w:r>
          </w:p>
        </w:tc>
        <w:tc>
          <w:tcPr>
            <w:tcW w:w="1710" w:type="dxa"/>
          </w:tcPr>
          <w:p w14:paraId="236573AE" w14:textId="77777777" w:rsidR="00596ECB" w:rsidRPr="006664C8" w:rsidRDefault="00596ECB" w:rsidP="00C64A0B">
            <w:pPr>
              <w:pStyle w:val="TableNormal0"/>
              <w:cnfStyle w:val="000000000000" w:firstRow="0" w:lastRow="0" w:firstColumn="0" w:lastColumn="0" w:oddVBand="0" w:evenVBand="0" w:oddHBand="0" w:evenHBand="0" w:firstRowFirstColumn="0" w:firstRowLastColumn="0" w:lastRowFirstColumn="0" w:lastRowLastColumn="0"/>
            </w:pPr>
            <w:r w:rsidRPr="00C64A0B">
              <w:rPr>
                <w:rFonts w:eastAsia="Times New Roman"/>
                <w:b/>
                <w:bCs/>
              </w:rPr>
              <w:t>H</w:t>
            </w:r>
            <w:r w:rsidRPr="00C64A0B">
              <w:rPr>
                <w:b/>
                <w:bCs/>
              </w:rPr>
              <w:t>7-</w:t>
            </w:r>
            <w:r w:rsidRPr="00C64A0B">
              <w:rPr>
                <w:rFonts w:eastAsia="Times New Roman"/>
                <w:b/>
                <w:bCs/>
              </w:rPr>
              <w:t>4.1</w:t>
            </w:r>
            <w:r w:rsidRPr="006664C8">
              <w:rPr>
                <w:rFonts w:eastAsia="Times New Roman"/>
              </w:rPr>
              <w:t xml:space="preserve"> MassHealth implemented HRSN services; released policy and procedures and provided operational oversight (monitoring protocols).</w:t>
            </w:r>
          </w:p>
          <w:p w14:paraId="0613952F" w14:textId="05F7DC54" w:rsidR="00596ECB" w:rsidRPr="006664C8" w:rsidRDefault="00596ECB" w:rsidP="00C64A0B">
            <w:pPr>
              <w:pStyle w:val="TableNormal0"/>
              <w:cnfStyle w:val="000000000000" w:firstRow="0" w:lastRow="0" w:firstColumn="0" w:lastColumn="0" w:oddVBand="0" w:evenVBand="0" w:oddHBand="0" w:evenHBand="0" w:firstRowFirstColumn="0" w:firstRowLastColumn="0" w:lastRowFirstColumn="0" w:lastRowLastColumn="0"/>
            </w:pPr>
            <w:r w:rsidRPr="00C64A0B">
              <w:rPr>
                <w:rFonts w:eastAsia="Times New Roman"/>
                <w:b/>
                <w:bCs/>
              </w:rPr>
              <w:t>H</w:t>
            </w:r>
            <w:r w:rsidRPr="00C64A0B">
              <w:rPr>
                <w:b/>
                <w:bCs/>
              </w:rPr>
              <w:t>7-</w:t>
            </w:r>
            <w:r w:rsidRPr="00C64A0B">
              <w:rPr>
                <w:rFonts w:eastAsia="Times New Roman"/>
                <w:b/>
                <w:bCs/>
              </w:rPr>
              <w:t>4.2</w:t>
            </w:r>
            <w:r w:rsidRPr="006664C8">
              <w:rPr>
                <w:rFonts w:eastAsia="Times New Roman"/>
              </w:rPr>
              <w:t xml:space="preserve"> FSP and </w:t>
            </w:r>
            <w:r w:rsidR="00206986">
              <w:rPr>
                <w:rFonts w:eastAsia="Times New Roman"/>
              </w:rPr>
              <w:t>s</w:t>
            </w:r>
            <w:r w:rsidRPr="006664C8">
              <w:rPr>
                <w:rFonts w:eastAsia="Times New Roman"/>
              </w:rPr>
              <w:t>pecialized CSP providers provided services, and in some cases, identified eligible members.</w:t>
            </w:r>
          </w:p>
          <w:p w14:paraId="384EDDAD" w14:textId="10CC2908" w:rsidR="00596ECB" w:rsidRPr="006664C8" w:rsidRDefault="00596ECB" w:rsidP="00C64A0B">
            <w:pPr>
              <w:pStyle w:val="TableNormal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64A0B">
              <w:rPr>
                <w:b/>
                <w:bCs/>
                <w:color w:val="000000"/>
              </w:rPr>
              <w:t>H</w:t>
            </w:r>
            <w:r w:rsidRPr="00C64A0B">
              <w:rPr>
                <w:b/>
                <w:bCs/>
              </w:rPr>
              <w:t>7-</w:t>
            </w:r>
            <w:r w:rsidRPr="00C64A0B">
              <w:rPr>
                <w:b/>
                <w:bCs/>
                <w:color w:val="000000"/>
              </w:rPr>
              <w:t>4.3</w:t>
            </w:r>
            <w:r w:rsidRPr="006664C8">
              <w:t xml:space="preserve"> ACOs/MCOs coordinated (identified, referred, provided care coordination) member services with FSP and </w:t>
            </w:r>
            <w:r w:rsidR="00206986">
              <w:t>s</w:t>
            </w:r>
            <w:r w:rsidRPr="006664C8">
              <w:t>pecialized CSP providers.</w:t>
            </w:r>
          </w:p>
        </w:tc>
        <w:tc>
          <w:tcPr>
            <w:tcW w:w="2430" w:type="dxa"/>
          </w:tcPr>
          <w:p w14:paraId="0D1FD451" w14:textId="14D4213B" w:rsidR="00596ECB" w:rsidRPr="00641995" w:rsidRDefault="00064AB9" w:rsidP="00C64A0B">
            <w:pPr>
              <w:pStyle w:val="TableNormal0"/>
              <w:cnfStyle w:val="000000000000" w:firstRow="0" w:lastRow="0" w:firstColumn="0" w:lastColumn="0" w:oddVBand="0" w:evenVBand="0" w:oddHBand="0" w:evenHBand="0" w:firstRowFirstColumn="0" w:firstRowLastColumn="0" w:lastRowFirstColumn="0" w:lastRowLastColumn="0"/>
            </w:pPr>
            <w:r>
              <w:t>Survey</w:t>
            </w:r>
            <w:r w:rsidR="00596ECB" w:rsidRPr="00641995">
              <w:t xml:space="preserve"> (open-ended questions)</w:t>
            </w:r>
            <w:r w:rsidR="00BF1C91" w:rsidRPr="00641995">
              <w:t xml:space="preserve"> </w:t>
            </w:r>
            <w:r w:rsidR="00BF1C91" w:rsidRPr="00641995">
              <w:rPr>
                <w:rFonts w:eastAsia="Times New Roman"/>
              </w:rPr>
              <w:t>(2024, 2026</w:t>
            </w:r>
            <w:r w:rsidR="00596ECB" w:rsidRPr="00641995">
              <w:rPr>
                <w:rFonts w:eastAsia="Times New Roman"/>
              </w:rPr>
              <w:t>)</w:t>
            </w:r>
            <w:r w:rsidR="00596ECB" w:rsidRPr="00641995">
              <w:t>;</w:t>
            </w:r>
          </w:p>
          <w:p w14:paraId="1920EC4A" w14:textId="16CA4D4D" w:rsidR="00596ECB" w:rsidRPr="006664C8" w:rsidRDefault="00596ECB" w:rsidP="00C64A0B">
            <w:pPr>
              <w:pStyle w:val="TableNormal0"/>
              <w:cnfStyle w:val="000000000000" w:firstRow="0" w:lastRow="0" w:firstColumn="0" w:lastColumn="0" w:oddVBand="0" w:evenVBand="0" w:oddHBand="0" w:evenHBand="0" w:firstRowFirstColumn="0" w:firstRowLastColumn="0" w:lastRowFirstColumn="0" w:lastRowLastColumn="0"/>
            </w:pPr>
            <w:r w:rsidRPr="006664C8">
              <w:t>Interviews or Focus Groups</w:t>
            </w:r>
            <w:r w:rsidR="00BF1C91">
              <w:t xml:space="preserve"> </w:t>
            </w:r>
            <w:r w:rsidR="00112F0A" w:rsidRPr="00C64A0B">
              <w:t>(2024-2025; 2026-2027)</w:t>
            </w:r>
          </w:p>
          <w:p w14:paraId="1F158397" w14:textId="0BB04BA5" w:rsidR="00596ECB" w:rsidRPr="006664C8" w:rsidRDefault="00596ECB" w:rsidP="00C64A0B">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6664C8">
              <w:rPr>
                <w:rFonts w:eastAsia="Times New Roman"/>
              </w:rPr>
              <w:t>Document Review</w:t>
            </w:r>
            <w:r w:rsidR="00DC7BBB">
              <w:rPr>
                <w:rFonts w:eastAsia="Times New Roman"/>
              </w:rPr>
              <w:t xml:space="preserve"> </w:t>
            </w:r>
            <w:r w:rsidR="00112F0A" w:rsidRPr="00FD7A7D">
              <w:rPr>
                <w:rFonts w:eastAsia="Times New Roman"/>
              </w:rPr>
              <w:t>(Ongoing)</w:t>
            </w:r>
          </w:p>
        </w:tc>
        <w:tc>
          <w:tcPr>
            <w:tcW w:w="2340" w:type="dxa"/>
          </w:tcPr>
          <w:p w14:paraId="1765EDE2" w14:textId="2A6456EE" w:rsidR="00596ECB" w:rsidRPr="006664C8" w:rsidRDefault="00596ECB" w:rsidP="00C64A0B">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6664C8">
              <w:rPr>
                <w:rFonts w:eastAsia="Times New Roman"/>
              </w:rPr>
              <w:t xml:space="preserve">MassHealth </w:t>
            </w:r>
            <w:r w:rsidR="00831F6F">
              <w:rPr>
                <w:rFonts w:eastAsia="Times New Roman"/>
              </w:rPr>
              <w:t>s</w:t>
            </w:r>
            <w:r w:rsidR="00831F6F" w:rsidRPr="006664C8">
              <w:rPr>
                <w:rFonts w:eastAsia="Times New Roman"/>
              </w:rPr>
              <w:t xml:space="preserve">taff </w:t>
            </w:r>
            <w:r w:rsidR="006E73CD" w:rsidRPr="00C61430">
              <w:rPr>
                <w:rFonts w:eastAsia="Times New Roman"/>
              </w:rPr>
              <w:t>intervie</w:t>
            </w:r>
            <w:r w:rsidR="008F06BE" w:rsidRPr="00C61430">
              <w:rPr>
                <w:rFonts w:eastAsia="Times New Roman"/>
              </w:rPr>
              <w:t>wee</w:t>
            </w:r>
            <w:r w:rsidR="006E73CD" w:rsidRPr="00C61430">
              <w:rPr>
                <w:rFonts w:eastAsia="Times New Roman"/>
              </w:rPr>
              <w:t xml:space="preserve">s </w:t>
            </w:r>
            <w:r w:rsidRPr="006664C8">
              <w:rPr>
                <w:rFonts w:eastAsia="Times New Roman"/>
              </w:rPr>
              <w:t>(H7-4.1)</w:t>
            </w:r>
            <w:r w:rsidR="004610CC">
              <w:rPr>
                <w:rFonts w:eastAsia="Times New Roman"/>
              </w:rPr>
              <w:t xml:space="preserve"> (n</w:t>
            </w:r>
            <w:r w:rsidR="00B442EB">
              <w:rPr>
                <w:rFonts w:eastAsia="Times New Roman"/>
              </w:rPr>
              <w:t xml:space="preserve"> ≤ </w:t>
            </w:r>
            <w:r w:rsidR="006E73CD" w:rsidRPr="00C61430">
              <w:rPr>
                <w:rFonts w:eastAsia="Times New Roman"/>
              </w:rPr>
              <w:t>5-10</w:t>
            </w:r>
            <w:r w:rsidRPr="006664C8">
              <w:rPr>
                <w:rFonts w:eastAsia="Times New Roman"/>
              </w:rPr>
              <w:t>);</w:t>
            </w:r>
          </w:p>
          <w:p w14:paraId="3C63A927" w14:textId="600B0175" w:rsidR="00596ECB" w:rsidRPr="006664C8" w:rsidRDefault="00596ECB" w:rsidP="00C64A0B">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6664C8">
              <w:rPr>
                <w:rFonts w:eastAsia="Times New Roman"/>
              </w:rPr>
              <w:t xml:space="preserve">FSP and </w:t>
            </w:r>
            <w:r w:rsidR="00206986">
              <w:rPr>
                <w:rFonts w:eastAsia="Times New Roman"/>
              </w:rPr>
              <w:t>s</w:t>
            </w:r>
            <w:r w:rsidRPr="006664C8">
              <w:rPr>
                <w:rFonts w:eastAsia="Times New Roman"/>
              </w:rPr>
              <w:t xml:space="preserve">pecialized CSP </w:t>
            </w:r>
            <w:r w:rsidR="00831F6F">
              <w:rPr>
                <w:rFonts w:eastAsia="Times New Roman"/>
              </w:rPr>
              <w:t>s</w:t>
            </w:r>
            <w:r w:rsidR="00831F6F" w:rsidRPr="006664C8">
              <w:rPr>
                <w:rFonts w:eastAsia="Times New Roman"/>
              </w:rPr>
              <w:t xml:space="preserve">taff </w:t>
            </w:r>
            <w:r w:rsidR="00831F6F">
              <w:rPr>
                <w:rFonts w:eastAsia="Times New Roman"/>
              </w:rPr>
              <w:t>i</w:t>
            </w:r>
            <w:r w:rsidR="008F06BE" w:rsidRPr="00C61430">
              <w:rPr>
                <w:rFonts w:eastAsia="Times New Roman"/>
              </w:rPr>
              <w:t>nterviewees</w:t>
            </w:r>
            <w:r w:rsidRPr="00C61430">
              <w:rPr>
                <w:rFonts w:eastAsia="Times New Roman"/>
              </w:rPr>
              <w:t xml:space="preserve"> </w:t>
            </w:r>
            <w:r w:rsidRPr="006664C8">
              <w:rPr>
                <w:rFonts w:eastAsia="Times New Roman"/>
              </w:rPr>
              <w:t>(H7-4.2)</w:t>
            </w:r>
            <w:r w:rsidR="004610CC">
              <w:rPr>
                <w:rFonts w:eastAsia="Times New Roman"/>
              </w:rPr>
              <w:t xml:space="preserve"> (n</w:t>
            </w:r>
            <w:r w:rsidR="00B442EB">
              <w:rPr>
                <w:rFonts w:eastAsia="Times New Roman"/>
              </w:rPr>
              <w:t xml:space="preserve"> ≤ </w:t>
            </w:r>
            <w:r w:rsidR="00065BA8" w:rsidRPr="00C61430">
              <w:rPr>
                <w:rFonts w:eastAsia="Times New Roman"/>
              </w:rPr>
              <w:t>15-20</w:t>
            </w:r>
            <w:r w:rsidR="004610CC" w:rsidRPr="00C61430">
              <w:rPr>
                <w:rFonts w:eastAsia="Times New Roman"/>
              </w:rPr>
              <w:t>)</w:t>
            </w:r>
            <w:r w:rsidR="00065BA8" w:rsidRPr="00C61430">
              <w:rPr>
                <w:rFonts w:eastAsia="Times New Roman"/>
              </w:rPr>
              <w:t>;</w:t>
            </w:r>
          </w:p>
          <w:p w14:paraId="565D23E5" w14:textId="3E759577" w:rsidR="00596ECB" w:rsidRPr="006664C8" w:rsidRDefault="00596ECB" w:rsidP="00C64A0B">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6664C8">
              <w:rPr>
                <w:rFonts w:eastAsia="Times New Roman"/>
              </w:rPr>
              <w:t xml:space="preserve">ACO (FSP+CSP) and MCO (CSP) </w:t>
            </w:r>
            <w:r w:rsidR="00831F6F">
              <w:rPr>
                <w:rFonts w:eastAsia="Times New Roman"/>
              </w:rPr>
              <w:t>p</w:t>
            </w:r>
            <w:r w:rsidRPr="006664C8">
              <w:rPr>
                <w:rFonts w:eastAsia="Times New Roman"/>
              </w:rPr>
              <w:t xml:space="preserve">roviders </w:t>
            </w:r>
            <w:r w:rsidR="00831F6F">
              <w:rPr>
                <w:rFonts w:eastAsia="Times New Roman"/>
              </w:rPr>
              <w:t>s</w:t>
            </w:r>
            <w:r w:rsidRPr="006664C8">
              <w:rPr>
                <w:rFonts w:eastAsia="Times New Roman"/>
              </w:rPr>
              <w:t xml:space="preserve">taff and other </w:t>
            </w:r>
            <w:r w:rsidR="00831F6F">
              <w:rPr>
                <w:rFonts w:eastAsia="Times New Roman"/>
              </w:rPr>
              <w:t>s</w:t>
            </w:r>
            <w:r w:rsidRPr="006664C8">
              <w:rPr>
                <w:rFonts w:eastAsia="Times New Roman"/>
              </w:rPr>
              <w:t>takeholder</w:t>
            </w:r>
            <w:r w:rsidR="003433B3">
              <w:rPr>
                <w:rFonts w:eastAsia="Times New Roman"/>
              </w:rPr>
              <w:t xml:space="preserve"> interviewees</w:t>
            </w:r>
            <w:r w:rsidRPr="006664C8">
              <w:rPr>
                <w:rFonts w:eastAsia="Times New Roman"/>
              </w:rPr>
              <w:t xml:space="preserve"> (staff of housing, justice, and other agencies) (H7-4.3)</w:t>
            </w:r>
            <w:r w:rsidR="004610CC">
              <w:rPr>
                <w:rFonts w:eastAsia="Times New Roman"/>
              </w:rPr>
              <w:t xml:space="preserve"> (</w:t>
            </w:r>
            <w:r w:rsidR="004610CC" w:rsidRPr="003433B3">
              <w:rPr>
                <w:rFonts w:eastAsia="Times New Roman"/>
              </w:rPr>
              <w:t>n</w:t>
            </w:r>
            <w:r w:rsidR="003433B3" w:rsidRPr="00641995">
              <w:rPr>
                <w:rFonts w:eastAsia="Times New Roman"/>
                <w:u w:val="single"/>
              </w:rPr>
              <w:t>&lt;</w:t>
            </w:r>
            <w:r w:rsidR="000E3D16" w:rsidRPr="00C61430">
              <w:rPr>
                <w:rFonts w:eastAsia="Times New Roman"/>
              </w:rPr>
              <w:t>60</w:t>
            </w:r>
            <w:r w:rsidR="004610CC">
              <w:rPr>
                <w:rFonts w:eastAsia="Times New Roman"/>
              </w:rPr>
              <w:t>)</w:t>
            </w:r>
            <w:r w:rsidR="004610CC" w:rsidRPr="006664C8">
              <w:rPr>
                <w:rFonts w:eastAsia="Times New Roman"/>
              </w:rPr>
              <w:t>;</w:t>
            </w:r>
          </w:p>
        </w:tc>
        <w:tc>
          <w:tcPr>
            <w:tcW w:w="1800" w:type="dxa"/>
          </w:tcPr>
          <w:p w14:paraId="4CFF5492" w14:textId="77777777" w:rsidR="00047A45" w:rsidRPr="0009132C" w:rsidRDefault="00047A45" w:rsidP="00047A45">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09132C">
              <w:rPr>
                <w:rFonts w:eastAsia="Times New Roman"/>
              </w:rPr>
              <w:t>QI/FG:</w:t>
            </w:r>
          </w:p>
          <w:p w14:paraId="2AB53CA4" w14:textId="77777777" w:rsidR="00596ECB" w:rsidRPr="006664C8" w:rsidRDefault="00596ECB" w:rsidP="00C64A0B">
            <w:pPr>
              <w:pStyle w:val="TableNormal0"/>
              <w:cnfStyle w:val="000000000000" w:firstRow="0" w:lastRow="0" w:firstColumn="0" w:lastColumn="0" w:oddVBand="0" w:evenVBand="0" w:oddHBand="0" w:evenHBand="0" w:firstRowFirstColumn="0" w:firstRowLastColumn="0" w:lastRowFirstColumn="0" w:lastRowLastColumn="0"/>
            </w:pPr>
            <w:r w:rsidRPr="006664C8">
              <w:t>Types and perceptions of policies, procedures, and operational oversight provided by MassHealth;</w:t>
            </w:r>
          </w:p>
          <w:p w14:paraId="6806BF2A" w14:textId="345E2549" w:rsidR="00CF16F2" w:rsidRDefault="128CF793">
            <w:pPr>
              <w:pStyle w:val="TableNormal0"/>
              <w:cnfStyle w:val="000000000000" w:firstRow="0" w:lastRow="0" w:firstColumn="0" w:lastColumn="0" w:oddVBand="0" w:evenVBand="0" w:oddHBand="0" w:evenHBand="0" w:firstRowFirstColumn="0" w:firstRowLastColumn="0" w:lastRowFirstColumn="0" w:lastRowLastColumn="0"/>
            </w:pPr>
            <w:r>
              <w:t>Staff r</w:t>
            </w:r>
            <w:r w:rsidR="133BA7D9">
              <w:t xml:space="preserve">eported </w:t>
            </w:r>
            <w:r w:rsidR="00A075B4">
              <w:t xml:space="preserve">the </w:t>
            </w:r>
            <w:r w:rsidR="133BA7D9">
              <w:t>t</w:t>
            </w:r>
            <w:r w:rsidR="3070375D">
              <w:t xml:space="preserve">ype and frequency of information sharing between SSOs and </w:t>
            </w:r>
            <w:r w:rsidR="322EBDA2">
              <w:t>healthcare organizations</w:t>
            </w:r>
          </w:p>
          <w:p w14:paraId="19D78B89" w14:textId="146B87A4" w:rsidR="00B00286" w:rsidRDefault="128CF793">
            <w:pPr>
              <w:pStyle w:val="TableNormal0"/>
              <w:cnfStyle w:val="000000000000" w:firstRow="0" w:lastRow="0" w:firstColumn="0" w:lastColumn="0" w:oddVBand="0" w:evenVBand="0" w:oddHBand="0" w:evenHBand="0" w:firstRowFirstColumn="0" w:firstRowLastColumn="0" w:lastRowFirstColumn="0" w:lastRowLastColumn="0"/>
            </w:pPr>
            <w:r>
              <w:t>Staff reported c</w:t>
            </w:r>
            <w:r w:rsidR="51640022">
              <w:t xml:space="preserve">hanges to </w:t>
            </w:r>
            <w:r w:rsidR="504167CB">
              <w:t xml:space="preserve">clinical practice </w:t>
            </w:r>
            <w:r w:rsidR="290073A9">
              <w:t>associated with HRSN initiatives</w:t>
            </w:r>
          </w:p>
          <w:p w14:paraId="05E42185" w14:textId="6AE622F2" w:rsidR="00596ECB" w:rsidRPr="006664C8" w:rsidRDefault="00596ECB" w:rsidP="00C64A0B">
            <w:pPr>
              <w:pStyle w:val="TableNormal0"/>
              <w:cnfStyle w:val="000000000000" w:firstRow="0" w:lastRow="0" w:firstColumn="0" w:lastColumn="0" w:oddVBand="0" w:evenVBand="0" w:oddHBand="0" w:evenHBand="0" w:firstRowFirstColumn="0" w:firstRowLastColumn="0" w:lastRowFirstColumn="0" w:lastRowLastColumn="0"/>
            </w:pPr>
            <w:r w:rsidRPr="006664C8">
              <w:t>Variation in implementation workflows and processes for HRSN service delivery;</w:t>
            </w:r>
          </w:p>
          <w:p w14:paraId="1BE698CD" w14:textId="77777777" w:rsidR="00596ECB" w:rsidRPr="006664C8" w:rsidRDefault="00596ECB" w:rsidP="00C64A0B">
            <w:pPr>
              <w:pStyle w:val="TableNormal0"/>
              <w:cnfStyle w:val="000000000000" w:firstRow="0" w:lastRow="0" w:firstColumn="0" w:lastColumn="0" w:oddVBand="0" w:evenVBand="0" w:oddHBand="0" w:evenHBand="0" w:firstRowFirstColumn="0" w:firstRowLastColumn="0" w:lastRowFirstColumn="0" w:lastRowLastColumn="0"/>
            </w:pPr>
            <w:r w:rsidRPr="006664C8">
              <w:t>Facilitators and barriers to service delivery;</w:t>
            </w:r>
          </w:p>
          <w:p w14:paraId="7880ADC3" w14:textId="77777777" w:rsidR="00596ECB" w:rsidRPr="006664C8" w:rsidRDefault="00596ECB" w:rsidP="00C64A0B">
            <w:pPr>
              <w:pStyle w:val="TableNormal0"/>
              <w:cnfStyle w:val="000000000000" w:firstRow="0" w:lastRow="0" w:firstColumn="0" w:lastColumn="0" w:oddVBand="0" w:evenVBand="0" w:oddHBand="0" w:evenHBand="0" w:firstRowFirstColumn="0" w:firstRowLastColumn="0" w:lastRowFirstColumn="0" w:lastRowLastColumn="0"/>
            </w:pPr>
            <w:r w:rsidRPr="006664C8">
              <w:t>Number of new and continuing reciprocal relationships between SSOs and partner organizations for FSP;</w:t>
            </w:r>
          </w:p>
          <w:p w14:paraId="7B970201" w14:textId="77777777" w:rsidR="00596ECB" w:rsidRPr="006664C8" w:rsidRDefault="00596ECB" w:rsidP="00C64A0B">
            <w:pPr>
              <w:pStyle w:val="TableNormal0"/>
              <w:cnfStyle w:val="000000000000" w:firstRow="0" w:lastRow="0" w:firstColumn="0" w:lastColumn="0" w:oddVBand="0" w:evenVBand="0" w:oddHBand="0" w:evenHBand="0" w:firstRowFirstColumn="0" w:firstRowLastColumn="0" w:lastRowFirstColumn="0" w:lastRowLastColumn="0"/>
            </w:pPr>
            <w:r w:rsidRPr="006664C8">
              <w:t xml:space="preserve">Perceptions of partnership formation and coordination </w:t>
            </w:r>
            <w:r w:rsidRPr="006664C8">
              <w:lastRenderedPageBreak/>
              <w:t>between key stakeholders to deliver programming to members</w:t>
            </w:r>
          </w:p>
        </w:tc>
        <w:tc>
          <w:tcPr>
            <w:tcW w:w="3079" w:type="dxa"/>
          </w:tcPr>
          <w:p w14:paraId="6B34DD6B" w14:textId="54864697" w:rsidR="00596ECB" w:rsidRPr="006664C8" w:rsidRDefault="00596ECB" w:rsidP="00C64A0B">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6664C8">
              <w:rPr>
                <w:rFonts w:eastAsia="Times New Roman"/>
              </w:rPr>
              <w:lastRenderedPageBreak/>
              <w:t>Qualitative</w:t>
            </w:r>
            <w:r w:rsidR="006D4F52">
              <w:rPr>
                <w:rFonts w:eastAsia="Times New Roman"/>
              </w:rPr>
              <w:t xml:space="preserve"> (MH member, FSP/CSP staff, ACO staff, MCO staff, provider staff, stakeholders)</w:t>
            </w:r>
          </w:p>
        </w:tc>
      </w:tr>
      <w:tr w:rsidR="00845EEC" w:rsidRPr="006664C8" w14:paraId="5C344E10" w14:textId="77777777" w:rsidTr="3383C28C">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2155" w:type="dxa"/>
          </w:tcPr>
          <w:p w14:paraId="55C86C42" w14:textId="7C3F5E31" w:rsidR="00596ECB" w:rsidRPr="006664C8" w:rsidRDefault="00596ECB" w:rsidP="0032459B">
            <w:pPr>
              <w:pStyle w:val="TableNormal0"/>
            </w:pPr>
            <w:r w:rsidRPr="006664C8">
              <w:t xml:space="preserve">RQ7-5 </w:t>
            </w:r>
            <w:r w:rsidRPr="00F5435E">
              <w:t xml:space="preserve">How were members identified for referral to FSP and </w:t>
            </w:r>
            <w:r w:rsidR="00D65DDB">
              <w:t>s</w:t>
            </w:r>
            <w:r w:rsidRPr="00F5435E">
              <w:t>pecialized CSP Providers?</w:t>
            </w:r>
          </w:p>
        </w:tc>
        <w:tc>
          <w:tcPr>
            <w:tcW w:w="1710" w:type="dxa"/>
          </w:tcPr>
          <w:p w14:paraId="04EE07AE" w14:textId="77777777" w:rsidR="00596ECB" w:rsidRPr="006664C8" w:rsidRDefault="00596ECB" w:rsidP="0032459B">
            <w:pPr>
              <w:pStyle w:val="TableNormal0"/>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2459B">
              <w:rPr>
                <w:b/>
                <w:bCs/>
                <w:color w:val="000000"/>
              </w:rPr>
              <w:t>H</w:t>
            </w:r>
            <w:r w:rsidRPr="0032459B">
              <w:rPr>
                <w:b/>
                <w:bCs/>
              </w:rPr>
              <w:t>7-</w:t>
            </w:r>
            <w:r w:rsidRPr="0032459B">
              <w:rPr>
                <w:b/>
                <w:bCs/>
                <w:color w:val="000000"/>
              </w:rPr>
              <w:t>5.1</w:t>
            </w:r>
            <w:r w:rsidRPr="006664C8">
              <w:rPr>
                <w:color w:val="000000"/>
              </w:rPr>
              <w:t xml:space="preserve"> </w:t>
            </w:r>
            <w:r w:rsidRPr="006664C8">
              <w:t>Standardized processes and objective criteria were used by ACOs, MCOs, and partnering organizations (e.g., justice entities and housing agencies) for identifying needs, assessing eligibility, and providing referrals for each respective service</w:t>
            </w:r>
            <w:r w:rsidRPr="006664C8">
              <w:rPr>
                <w:rFonts w:eastAsia="Times New Roman"/>
              </w:rPr>
              <w:t>.</w:t>
            </w:r>
          </w:p>
        </w:tc>
        <w:tc>
          <w:tcPr>
            <w:tcW w:w="2430" w:type="dxa"/>
          </w:tcPr>
          <w:p w14:paraId="0EEE84BF" w14:textId="3643623D" w:rsidR="00596ECB" w:rsidRPr="00641995" w:rsidRDefault="00064AB9" w:rsidP="0032459B">
            <w:pPr>
              <w:pStyle w:val="TableNormal0"/>
              <w:cnfStyle w:val="000000100000" w:firstRow="0" w:lastRow="0" w:firstColumn="0" w:lastColumn="0" w:oddVBand="0" w:evenVBand="0" w:oddHBand="1" w:evenHBand="0" w:firstRowFirstColumn="0" w:firstRowLastColumn="0" w:lastRowFirstColumn="0" w:lastRowLastColumn="0"/>
            </w:pPr>
            <w:r>
              <w:t>Survey</w:t>
            </w:r>
            <w:r w:rsidR="00596ECB" w:rsidRPr="00641995">
              <w:t xml:space="preserve"> (open-ended questions)</w:t>
            </w:r>
            <w:r w:rsidR="00BF1C91" w:rsidRPr="00641995">
              <w:t xml:space="preserve"> </w:t>
            </w:r>
            <w:r w:rsidR="00BF1C91" w:rsidRPr="00641995">
              <w:rPr>
                <w:rFonts w:eastAsia="Times New Roman"/>
              </w:rPr>
              <w:t>(2024, 2026</w:t>
            </w:r>
            <w:r w:rsidR="00596ECB" w:rsidRPr="00641995">
              <w:rPr>
                <w:rFonts w:eastAsia="Times New Roman"/>
              </w:rPr>
              <w:t>)</w:t>
            </w:r>
            <w:r w:rsidR="00596ECB" w:rsidRPr="00641995">
              <w:t>;</w:t>
            </w:r>
          </w:p>
          <w:p w14:paraId="6F675A31" w14:textId="264305B8" w:rsidR="00596ECB" w:rsidRPr="006664C8" w:rsidRDefault="00596ECB" w:rsidP="0032459B">
            <w:pPr>
              <w:pStyle w:val="TableNormal0"/>
              <w:cnfStyle w:val="000000100000" w:firstRow="0" w:lastRow="0" w:firstColumn="0" w:lastColumn="0" w:oddVBand="0" w:evenVBand="0" w:oddHBand="1" w:evenHBand="0" w:firstRowFirstColumn="0" w:firstRowLastColumn="0" w:lastRowFirstColumn="0" w:lastRowLastColumn="0"/>
            </w:pPr>
            <w:r w:rsidRPr="006664C8">
              <w:t>Interviews or Focus Groups</w:t>
            </w:r>
            <w:r w:rsidR="00BF1C91">
              <w:t xml:space="preserve"> </w:t>
            </w:r>
            <w:r w:rsidR="00112F0A" w:rsidRPr="0032459B">
              <w:t>(2024-2025; 2026-2027)</w:t>
            </w:r>
            <w:r w:rsidR="005B47F7">
              <w:t>;</w:t>
            </w:r>
          </w:p>
          <w:p w14:paraId="6AFBFC97" w14:textId="0C80A2E4" w:rsidR="00596ECB" w:rsidRPr="006664C8" w:rsidRDefault="00596ECB" w:rsidP="0032459B">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6664C8">
              <w:rPr>
                <w:rFonts w:eastAsia="Times New Roman"/>
              </w:rPr>
              <w:t>Document Review</w:t>
            </w:r>
            <w:r w:rsidR="00863520">
              <w:rPr>
                <w:rFonts w:eastAsia="Times New Roman"/>
              </w:rPr>
              <w:t xml:space="preserve"> </w:t>
            </w:r>
            <w:r w:rsidR="00863520" w:rsidRPr="00FD7A7D">
              <w:rPr>
                <w:rFonts w:eastAsia="Times New Roman"/>
              </w:rPr>
              <w:t>(</w:t>
            </w:r>
            <w:r w:rsidR="00112F0A" w:rsidRPr="00FD7A7D">
              <w:rPr>
                <w:rFonts w:eastAsia="Times New Roman"/>
              </w:rPr>
              <w:t>Ongoing)</w:t>
            </w:r>
          </w:p>
        </w:tc>
        <w:tc>
          <w:tcPr>
            <w:tcW w:w="2340" w:type="dxa"/>
          </w:tcPr>
          <w:p w14:paraId="6016112F" w14:textId="38F09DC2" w:rsidR="00596ECB" w:rsidRPr="006664C8" w:rsidRDefault="00596ECB" w:rsidP="0032459B">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6664C8">
              <w:rPr>
                <w:rFonts w:eastAsia="Times New Roman"/>
              </w:rPr>
              <w:t xml:space="preserve">ACO/MCO and </w:t>
            </w:r>
            <w:r w:rsidR="00D65DDB">
              <w:rPr>
                <w:rFonts w:eastAsia="Times New Roman"/>
              </w:rPr>
              <w:t>s</w:t>
            </w:r>
            <w:r w:rsidRPr="006664C8">
              <w:rPr>
                <w:rFonts w:eastAsia="Times New Roman"/>
              </w:rPr>
              <w:t>pecialized CSP providers and staff and/or staff of partnering organization</w:t>
            </w:r>
            <w:r w:rsidR="003433B3">
              <w:rPr>
                <w:rFonts w:eastAsia="Times New Roman"/>
              </w:rPr>
              <w:t xml:space="preserve"> interviewees</w:t>
            </w:r>
            <w:r w:rsidRPr="006664C8">
              <w:rPr>
                <w:rFonts w:eastAsia="Times New Roman"/>
              </w:rPr>
              <w:t xml:space="preserve"> (e.g.</w:t>
            </w:r>
            <w:r w:rsidR="00112591">
              <w:rPr>
                <w:rFonts w:eastAsia="Times New Roman"/>
              </w:rPr>
              <w:t>,</w:t>
            </w:r>
            <w:r w:rsidRPr="006664C8">
              <w:rPr>
                <w:rFonts w:eastAsia="Times New Roman"/>
              </w:rPr>
              <w:t xml:space="preserve"> justice entities and housing agencies</w:t>
            </w:r>
            <w:r w:rsidRPr="003433B3">
              <w:rPr>
                <w:rFonts w:eastAsia="Times New Roman"/>
              </w:rPr>
              <w:t>)</w:t>
            </w:r>
            <w:r w:rsidR="00D43283" w:rsidRPr="003433B3">
              <w:rPr>
                <w:rFonts w:eastAsia="Times New Roman"/>
              </w:rPr>
              <w:t xml:space="preserve"> (n</w:t>
            </w:r>
            <w:r w:rsidR="003433B3" w:rsidRPr="00641995">
              <w:rPr>
                <w:rFonts w:eastAsia="Times New Roman"/>
                <w:u w:val="single"/>
              </w:rPr>
              <w:t>&lt;</w:t>
            </w:r>
            <w:r w:rsidR="009F108B" w:rsidRPr="003433B3">
              <w:rPr>
                <w:rFonts w:eastAsia="Times New Roman"/>
              </w:rPr>
              <w:t>60</w:t>
            </w:r>
            <w:r w:rsidR="00D43283" w:rsidRPr="003433B3">
              <w:rPr>
                <w:rFonts w:eastAsia="Times New Roman"/>
              </w:rPr>
              <w:t>)</w:t>
            </w:r>
          </w:p>
        </w:tc>
        <w:tc>
          <w:tcPr>
            <w:tcW w:w="1800" w:type="dxa"/>
          </w:tcPr>
          <w:p w14:paraId="499E1A4E" w14:textId="77777777" w:rsidR="00596ECB" w:rsidRPr="006664C8" w:rsidRDefault="00596ECB" w:rsidP="0032459B">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6664C8">
              <w:rPr>
                <w:rFonts w:eastAsia="Times New Roman"/>
              </w:rPr>
              <w:t>QI/FG:</w:t>
            </w:r>
          </w:p>
          <w:p w14:paraId="51640132" w14:textId="77777777" w:rsidR="00596ECB" w:rsidRPr="006664C8" w:rsidRDefault="00596ECB" w:rsidP="0032459B">
            <w:pPr>
              <w:pStyle w:val="TableNormal0"/>
              <w:cnfStyle w:val="000000100000" w:firstRow="0" w:lastRow="0" w:firstColumn="0" w:lastColumn="0" w:oddVBand="0" w:evenVBand="0" w:oddHBand="1" w:evenHBand="0" w:firstRowFirstColumn="0" w:firstRowLastColumn="0" w:lastRowFirstColumn="0" w:lastRowLastColumn="0"/>
            </w:pPr>
            <w:r w:rsidRPr="006664C8">
              <w:t>Barriers and facilitators to member needs identification, eligibility determination, and referral;</w:t>
            </w:r>
          </w:p>
          <w:p w14:paraId="048EB35C" w14:textId="01E0ED4D" w:rsidR="00596ECB" w:rsidRPr="006664C8" w:rsidRDefault="00596ECB" w:rsidP="0032459B">
            <w:pPr>
              <w:pStyle w:val="TableNormal0"/>
              <w:cnfStyle w:val="000000100000" w:firstRow="0" w:lastRow="0" w:firstColumn="0" w:lastColumn="0" w:oddVBand="0" w:evenVBand="0" w:oddHBand="1" w:evenHBand="0" w:firstRowFirstColumn="0" w:firstRowLastColumn="0" w:lastRowFirstColumn="0" w:lastRowLastColumn="0"/>
            </w:pPr>
            <w:r w:rsidRPr="006664C8">
              <w:t>Variability in needs identification, eligibility determination, and referral processes</w:t>
            </w:r>
          </w:p>
        </w:tc>
        <w:tc>
          <w:tcPr>
            <w:tcW w:w="3079" w:type="dxa"/>
          </w:tcPr>
          <w:p w14:paraId="71837BE1" w14:textId="118743AA" w:rsidR="00596ECB" w:rsidRPr="006664C8" w:rsidRDefault="00596ECB" w:rsidP="0032459B">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6664C8">
              <w:rPr>
                <w:rFonts w:eastAsia="Times New Roman"/>
              </w:rPr>
              <w:t>Qualitative</w:t>
            </w:r>
            <w:r w:rsidR="00D43283">
              <w:rPr>
                <w:rFonts w:eastAsia="Times New Roman"/>
              </w:rPr>
              <w:t xml:space="preserve"> (staff)</w:t>
            </w:r>
          </w:p>
        </w:tc>
      </w:tr>
      <w:tr w:rsidR="00845EEC" w:rsidRPr="006664C8" w14:paraId="2F63ABBA" w14:textId="77777777" w:rsidTr="3383C28C">
        <w:trPr>
          <w:trHeight w:val="337"/>
        </w:trPr>
        <w:tc>
          <w:tcPr>
            <w:cnfStyle w:val="001000000000" w:firstRow="0" w:lastRow="0" w:firstColumn="1" w:lastColumn="0" w:oddVBand="0" w:evenVBand="0" w:oddHBand="0" w:evenHBand="0" w:firstRowFirstColumn="0" w:firstRowLastColumn="0" w:lastRowFirstColumn="0" w:lastRowLastColumn="0"/>
            <w:tcW w:w="2155" w:type="dxa"/>
          </w:tcPr>
          <w:p w14:paraId="5DA3A83B" w14:textId="6992B42C" w:rsidR="00596ECB" w:rsidRPr="006664C8" w:rsidRDefault="00596ECB" w:rsidP="0032459B">
            <w:pPr>
              <w:pStyle w:val="TableNormal0"/>
            </w:pPr>
            <w:r w:rsidRPr="006664C8">
              <w:t xml:space="preserve">RQ7-6 </w:t>
            </w:r>
            <w:r w:rsidRPr="00F5435E">
              <w:t>What were the FSP/</w:t>
            </w:r>
            <w:r w:rsidR="00D65DDB">
              <w:t>s</w:t>
            </w:r>
            <w:r w:rsidRPr="00F5435E">
              <w:t>pecialized CSP service utilization and cost trends?</w:t>
            </w:r>
          </w:p>
        </w:tc>
        <w:tc>
          <w:tcPr>
            <w:tcW w:w="1710" w:type="dxa"/>
          </w:tcPr>
          <w:p w14:paraId="6A79D944" w14:textId="77777777" w:rsidR="00596ECB" w:rsidRPr="006664C8" w:rsidRDefault="00596ECB" w:rsidP="0032459B">
            <w:pPr>
              <w:pStyle w:val="TableNormal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2459B">
              <w:rPr>
                <w:b/>
                <w:bCs/>
              </w:rPr>
              <w:t>H7-6.1</w:t>
            </w:r>
            <w:r w:rsidRPr="006664C8">
              <w:t xml:space="preserve"> The service utilization and cost trends vary by HRSN program type and member demographics, comorbidity, and past utilization/cost.</w:t>
            </w:r>
          </w:p>
        </w:tc>
        <w:tc>
          <w:tcPr>
            <w:tcW w:w="2430" w:type="dxa"/>
          </w:tcPr>
          <w:p w14:paraId="5F90ECE1" w14:textId="6BC35A99" w:rsidR="00596ECB" w:rsidRPr="006664C8" w:rsidRDefault="00596ECB" w:rsidP="0032459B">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6664C8">
              <w:rPr>
                <w:rFonts w:eastAsia="Times New Roman"/>
              </w:rPr>
              <w:t>Administrative</w:t>
            </w:r>
            <w:r w:rsidR="009F108B" w:rsidRPr="00C61430">
              <w:rPr>
                <w:rFonts w:eastAsia="Times New Roman"/>
              </w:rPr>
              <w:t xml:space="preserve"> data</w:t>
            </w:r>
            <w:r w:rsidRPr="006664C8">
              <w:rPr>
                <w:rFonts w:eastAsia="Times New Roman"/>
              </w:rPr>
              <w:t>:</w:t>
            </w:r>
          </w:p>
          <w:p w14:paraId="55DC5226" w14:textId="5488A0A4" w:rsidR="00596ECB" w:rsidRPr="006664C8" w:rsidRDefault="23F5828A" w:rsidP="0032459B">
            <w:pPr>
              <w:pStyle w:val="TableNormal0"/>
              <w:cnfStyle w:val="000000000000" w:firstRow="0" w:lastRow="0" w:firstColumn="0" w:lastColumn="0" w:oddVBand="0" w:evenVBand="0" w:oddHBand="0" w:evenHBand="0" w:firstRowFirstColumn="0" w:firstRowLastColumn="0" w:lastRowFirstColumn="0" w:lastRowLastColumn="0"/>
            </w:pPr>
            <w:r>
              <w:t>Demographics</w:t>
            </w:r>
            <w:r w:rsidR="3CAF49E5">
              <w:t xml:space="preserve"> </w:t>
            </w:r>
            <w:r w:rsidR="3CAF49E5" w:rsidRPr="3383C28C">
              <w:rPr>
                <w:rFonts w:eastAsia="Times New Roman"/>
              </w:rPr>
              <w:t>(20</w:t>
            </w:r>
            <w:r w:rsidR="7E618452" w:rsidRPr="3383C28C">
              <w:rPr>
                <w:rFonts w:eastAsia="Times New Roman"/>
              </w:rPr>
              <w:t>20</w:t>
            </w:r>
            <w:r w:rsidR="3CAF49E5" w:rsidRPr="3383C28C">
              <w:rPr>
                <w:rFonts w:eastAsia="Times New Roman"/>
              </w:rPr>
              <w:t>-2027</w:t>
            </w:r>
            <w:r w:rsidR="08EB4B0E" w:rsidRPr="3383C28C">
              <w:rPr>
                <w:rFonts w:eastAsia="Times New Roman"/>
              </w:rPr>
              <w:t xml:space="preserve"> for FSP</w:t>
            </w:r>
            <w:r w:rsidR="0578A822" w:rsidRPr="3383C28C">
              <w:rPr>
                <w:rFonts w:eastAsia="Times New Roman"/>
              </w:rPr>
              <w:t xml:space="preserve"> and CSP-HI</w:t>
            </w:r>
            <w:r w:rsidR="08EB4B0E" w:rsidRPr="3383C28C">
              <w:rPr>
                <w:rFonts w:eastAsia="Times New Roman"/>
              </w:rPr>
              <w:t>, 202</w:t>
            </w:r>
            <w:r w:rsidR="54B51561" w:rsidRPr="3383C28C">
              <w:rPr>
                <w:rFonts w:eastAsia="Times New Roman"/>
              </w:rPr>
              <w:t>3</w:t>
            </w:r>
            <w:r w:rsidR="3DFD6D82" w:rsidRPr="3383C28C">
              <w:rPr>
                <w:rFonts w:eastAsia="Times New Roman"/>
              </w:rPr>
              <w:t>-2027 for</w:t>
            </w:r>
            <w:r w:rsidR="0578A822" w:rsidRPr="3383C28C">
              <w:rPr>
                <w:rFonts w:eastAsia="Times New Roman"/>
              </w:rPr>
              <w:t xml:space="preserve"> other</w:t>
            </w:r>
            <w:r w:rsidR="2028963C" w:rsidRPr="3383C28C">
              <w:rPr>
                <w:rFonts w:eastAsia="Times New Roman"/>
              </w:rPr>
              <w:t xml:space="preserve"> </w:t>
            </w:r>
            <w:r w:rsidR="14B359CB" w:rsidRPr="3383C28C">
              <w:rPr>
                <w:rFonts w:eastAsia="Times New Roman"/>
              </w:rPr>
              <w:t>s</w:t>
            </w:r>
            <w:r w:rsidR="2028963C" w:rsidRPr="3383C28C">
              <w:rPr>
                <w:rFonts w:eastAsia="Times New Roman"/>
              </w:rPr>
              <w:t>pecialized</w:t>
            </w:r>
            <w:r w:rsidR="3DFD6D82" w:rsidRPr="3383C28C">
              <w:rPr>
                <w:rFonts w:eastAsia="Times New Roman"/>
              </w:rPr>
              <w:t xml:space="preserve"> CSP</w:t>
            </w:r>
            <w:r w:rsidR="3CAF49E5" w:rsidRPr="3383C28C">
              <w:rPr>
                <w:rFonts w:eastAsia="Times New Roman"/>
              </w:rPr>
              <w:t>)</w:t>
            </w:r>
            <w:r>
              <w:t>;</w:t>
            </w:r>
          </w:p>
          <w:p w14:paraId="0048508E" w14:textId="21ED4B90" w:rsidR="00596ECB" w:rsidRPr="006664C8" w:rsidRDefault="3A43C9D7" w:rsidP="0032459B">
            <w:pPr>
              <w:pStyle w:val="TableNormal0"/>
              <w:cnfStyle w:val="000000000000" w:firstRow="0" w:lastRow="0" w:firstColumn="0" w:lastColumn="0" w:oddVBand="0" w:evenVBand="0" w:oddHBand="0" w:evenHBand="0" w:firstRowFirstColumn="0" w:firstRowLastColumn="0" w:lastRowFirstColumn="0" w:lastRowLastColumn="0"/>
            </w:pPr>
            <w:r>
              <w:t>Eligibility/Enrollment</w:t>
            </w:r>
            <w:r w:rsidR="151FD9E9">
              <w:t xml:space="preserve"> </w:t>
            </w:r>
            <w:r w:rsidR="151FD9E9" w:rsidRPr="29E43697">
              <w:rPr>
                <w:rFonts w:eastAsia="Times New Roman"/>
              </w:rPr>
              <w:t>(20</w:t>
            </w:r>
            <w:r w:rsidR="3B61F4E8" w:rsidRPr="29E43697">
              <w:rPr>
                <w:rFonts w:eastAsia="Times New Roman"/>
              </w:rPr>
              <w:t>20</w:t>
            </w:r>
            <w:r w:rsidR="151FD9E9" w:rsidRPr="29E43697">
              <w:rPr>
                <w:rFonts w:eastAsia="Times New Roman"/>
              </w:rPr>
              <w:t>-2027</w:t>
            </w:r>
            <w:r w:rsidR="30CF08EF" w:rsidRPr="29E43697">
              <w:rPr>
                <w:rFonts w:eastAsia="Times New Roman"/>
              </w:rPr>
              <w:t xml:space="preserve"> for FSP</w:t>
            </w:r>
            <w:r w:rsidR="0036331B">
              <w:rPr>
                <w:rFonts w:eastAsia="Times New Roman"/>
              </w:rPr>
              <w:t xml:space="preserve"> and CSP-HI</w:t>
            </w:r>
            <w:r w:rsidR="30CF08EF" w:rsidRPr="29E43697">
              <w:rPr>
                <w:rFonts w:eastAsia="Times New Roman"/>
              </w:rPr>
              <w:t>, 202</w:t>
            </w:r>
            <w:r w:rsidR="00561DDD">
              <w:rPr>
                <w:rFonts w:eastAsia="Times New Roman"/>
              </w:rPr>
              <w:t>3</w:t>
            </w:r>
            <w:r w:rsidR="30CF08EF" w:rsidRPr="29E43697">
              <w:rPr>
                <w:rFonts w:eastAsia="Times New Roman"/>
              </w:rPr>
              <w:t>-2027 for</w:t>
            </w:r>
            <w:r w:rsidR="0036331B">
              <w:rPr>
                <w:rFonts w:eastAsia="Times New Roman"/>
              </w:rPr>
              <w:t xml:space="preserve"> other</w:t>
            </w:r>
            <w:r w:rsidR="44BF4057" w:rsidRPr="29E43697">
              <w:rPr>
                <w:rFonts w:eastAsia="Times New Roman"/>
              </w:rPr>
              <w:t xml:space="preserve"> </w:t>
            </w:r>
            <w:r w:rsidR="00D65DDB">
              <w:rPr>
                <w:rFonts w:eastAsia="Times New Roman"/>
              </w:rPr>
              <w:t>s</w:t>
            </w:r>
            <w:r w:rsidR="44BF4057" w:rsidRPr="29E43697">
              <w:rPr>
                <w:rFonts w:eastAsia="Times New Roman"/>
              </w:rPr>
              <w:t>pecialized</w:t>
            </w:r>
            <w:r w:rsidR="30CF08EF" w:rsidRPr="29E43697">
              <w:rPr>
                <w:rFonts w:eastAsia="Times New Roman"/>
              </w:rPr>
              <w:t xml:space="preserve"> CSP</w:t>
            </w:r>
            <w:r w:rsidR="151FD9E9" w:rsidRPr="29E43697">
              <w:rPr>
                <w:rFonts w:eastAsia="Times New Roman"/>
              </w:rPr>
              <w:t>)</w:t>
            </w:r>
            <w:r>
              <w:t>;</w:t>
            </w:r>
          </w:p>
          <w:p w14:paraId="7146F568" w14:textId="27789447" w:rsidR="00596ECB" w:rsidRPr="006664C8" w:rsidRDefault="00596ECB" w:rsidP="0032459B">
            <w:pPr>
              <w:pStyle w:val="TableNormal0"/>
              <w:cnfStyle w:val="000000000000" w:firstRow="0" w:lastRow="0" w:firstColumn="0" w:lastColumn="0" w:oddVBand="0" w:evenVBand="0" w:oddHBand="0" w:evenHBand="0" w:firstRowFirstColumn="0" w:firstRowLastColumn="0" w:lastRowFirstColumn="0" w:lastRowLastColumn="0"/>
            </w:pPr>
            <w:r w:rsidRPr="006664C8">
              <w:t>Claims/Encounters</w:t>
            </w:r>
            <w:r w:rsidR="00BF1C91">
              <w:t xml:space="preserve"> </w:t>
            </w:r>
            <w:r w:rsidR="00BF1C91">
              <w:rPr>
                <w:rFonts w:eastAsia="Times New Roman"/>
              </w:rPr>
              <w:t>(20</w:t>
            </w:r>
            <w:r w:rsidR="00BB50DB" w:rsidRPr="00C61430">
              <w:rPr>
                <w:rFonts w:eastAsia="Times New Roman"/>
              </w:rPr>
              <w:t>20</w:t>
            </w:r>
            <w:r w:rsidR="00BF1C91">
              <w:rPr>
                <w:rFonts w:eastAsia="Times New Roman"/>
              </w:rPr>
              <w:t>-2027)</w:t>
            </w:r>
            <w:r w:rsidRPr="006664C8">
              <w:t>;</w:t>
            </w:r>
          </w:p>
          <w:p w14:paraId="4A417BDC" w14:textId="26FC120C" w:rsidR="00596ECB" w:rsidRPr="006664C8" w:rsidRDefault="3A43C9D7" w:rsidP="0032459B">
            <w:pPr>
              <w:pStyle w:val="TableNormal0"/>
              <w:cnfStyle w:val="000000000000" w:firstRow="0" w:lastRow="0" w:firstColumn="0" w:lastColumn="0" w:oddVBand="0" w:evenVBand="0" w:oddHBand="0" w:evenHBand="0" w:firstRowFirstColumn="0" w:firstRowLastColumn="0" w:lastRowFirstColumn="0" w:lastRowLastColumn="0"/>
            </w:pPr>
            <w:r>
              <w:lastRenderedPageBreak/>
              <w:t>FSP/</w:t>
            </w:r>
            <w:r w:rsidR="00D65DDB">
              <w:t>s</w:t>
            </w:r>
            <w:r>
              <w:t>pecialized CSP</w:t>
            </w:r>
            <w:r w:rsidR="151FD9E9">
              <w:t xml:space="preserve"> </w:t>
            </w:r>
            <w:r w:rsidR="151FD9E9" w:rsidRPr="29E43697">
              <w:rPr>
                <w:rFonts w:eastAsia="Times New Roman"/>
              </w:rPr>
              <w:t>(20</w:t>
            </w:r>
            <w:r w:rsidR="2F048D8C" w:rsidRPr="29E43697">
              <w:rPr>
                <w:rFonts w:eastAsia="Times New Roman"/>
              </w:rPr>
              <w:t>20</w:t>
            </w:r>
            <w:r w:rsidR="151FD9E9" w:rsidRPr="29E43697">
              <w:rPr>
                <w:rFonts w:eastAsia="Times New Roman"/>
              </w:rPr>
              <w:t>-2027</w:t>
            </w:r>
            <w:r w:rsidR="2F048D8C" w:rsidRPr="29E43697">
              <w:rPr>
                <w:rFonts w:eastAsia="Times New Roman"/>
              </w:rPr>
              <w:t xml:space="preserve"> for FSP</w:t>
            </w:r>
            <w:r w:rsidR="0036331B">
              <w:rPr>
                <w:rFonts w:eastAsia="Times New Roman"/>
              </w:rPr>
              <w:t xml:space="preserve"> and CPS-HI</w:t>
            </w:r>
            <w:r w:rsidR="2F048D8C" w:rsidRPr="29E43697">
              <w:rPr>
                <w:rFonts w:eastAsia="Times New Roman"/>
              </w:rPr>
              <w:t>, 202</w:t>
            </w:r>
            <w:r w:rsidR="00432A77">
              <w:rPr>
                <w:rFonts w:eastAsia="Times New Roman"/>
              </w:rPr>
              <w:t>3</w:t>
            </w:r>
            <w:r w:rsidR="2F048D8C" w:rsidRPr="29E43697">
              <w:rPr>
                <w:rFonts w:eastAsia="Times New Roman"/>
              </w:rPr>
              <w:t>-2027 for</w:t>
            </w:r>
            <w:r w:rsidR="4F216624" w:rsidRPr="29E43697">
              <w:rPr>
                <w:rFonts w:eastAsia="Times New Roman"/>
              </w:rPr>
              <w:t xml:space="preserve"> </w:t>
            </w:r>
            <w:r w:rsidR="0036331B">
              <w:rPr>
                <w:rFonts w:eastAsia="Times New Roman"/>
              </w:rPr>
              <w:t xml:space="preserve">other </w:t>
            </w:r>
            <w:r w:rsidR="00D65DDB">
              <w:rPr>
                <w:rFonts w:eastAsia="Times New Roman"/>
              </w:rPr>
              <w:t>s</w:t>
            </w:r>
            <w:r w:rsidR="4F216624" w:rsidRPr="29E43697">
              <w:rPr>
                <w:rFonts w:eastAsia="Times New Roman"/>
              </w:rPr>
              <w:t>pecialized</w:t>
            </w:r>
            <w:r w:rsidR="2F048D8C" w:rsidRPr="29E43697">
              <w:rPr>
                <w:rFonts w:eastAsia="Times New Roman"/>
              </w:rPr>
              <w:t xml:space="preserve"> CSP</w:t>
            </w:r>
            <w:r w:rsidR="151FD9E9" w:rsidRPr="29E43697">
              <w:rPr>
                <w:rFonts w:eastAsia="Times New Roman"/>
              </w:rPr>
              <w:t>)</w:t>
            </w:r>
          </w:p>
        </w:tc>
        <w:tc>
          <w:tcPr>
            <w:tcW w:w="2340" w:type="dxa"/>
          </w:tcPr>
          <w:p w14:paraId="4D39907F" w14:textId="3A20212C" w:rsidR="00596ECB" w:rsidRPr="006664C8" w:rsidRDefault="3A43C9D7" w:rsidP="0032459B">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29E43697">
              <w:rPr>
                <w:rFonts w:eastAsia="Times New Roman"/>
              </w:rPr>
              <w:lastRenderedPageBreak/>
              <w:t>Recipients of FSP</w:t>
            </w:r>
            <w:r w:rsidR="1F3F0F9E" w:rsidRPr="29E43697">
              <w:rPr>
                <w:rFonts w:eastAsia="Times New Roman"/>
              </w:rPr>
              <w:t xml:space="preserve"> </w:t>
            </w:r>
            <w:r w:rsidRPr="29E43697">
              <w:rPr>
                <w:rFonts w:eastAsia="Times New Roman"/>
              </w:rPr>
              <w:t xml:space="preserve">and </w:t>
            </w:r>
            <w:r w:rsidR="00D65DDB">
              <w:rPr>
                <w:rFonts w:eastAsia="Times New Roman"/>
              </w:rPr>
              <w:t>s</w:t>
            </w:r>
            <w:r w:rsidRPr="29E43697">
              <w:rPr>
                <w:rFonts w:eastAsia="Times New Roman"/>
              </w:rPr>
              <w:t>p</w:t>
            </w:r>
            <w:r w:rsidR="00C844B9" w:rsidRPr="29E43697">
              <w:rPr>
                <w:rFonts w:eastAsia="Times New Roman"/>
              </w:rPr>
              <w:t>e</w:t>
            </w:r>
            <w:r w:rsidRPr="29E43697">
              <w:rPr>
                <w:rFonts w:eastAsia="Times New Roman"/>
              </w:rPr>
              <w:t>cialized CSP services</w:t>
            </w:r>
            <w:r w:rsidR="1F3F0F9E" w:rsidRPr="29E43697">
              <w:rPr>
                <w:rFonts w:eastAsia="Times New Roman"/>
              </w:rPr>
              <w:t xml:space="preserve"> (Housing </w:t>
            </w:r>
            <w:r w:rsidR="4E612A69" w:rsidRPr="29E43697">
              <w:rPr>
                <w:rFonts w:eastAsia="Times New Roman"/>
              </w:rPr>
              <w:t>support n=</w:t>
            </w:r>
            <w:r w:rsidR="00C32419">
              <w:rPr>
                <w:rFonts w:eastAsia="Times New Roman"/>
              </w:rPr>
              <w:t>~</w:t>
            </w:r>
            <w:r w:rsidR="00516750">
              <w:rPr>
                <w:rFonts w:eastAsia="Times New Roman"/>
              </w:rPr>
              <w:t>3,00</w:t>
            </w:r>
            <w:r w:rsidR="000B55BB">
              <w:rPr>
                <w:rFonts w:eastAsia="Times New Roman"/>
              </w:rPr>
              <w:t>0</w:t>
            </w:r>
            <w:r w:rsidR="4E612A69" w:rsidRPr="29E43697">
              <w:rPr>
                <w:rFonts w:eastAsia="Times New Roman"/>
              </w:rPr>
              <w:t xml:space="preserve"> nutrition support</w:t>
            </w:r>
            <w:r w:rsidR="1F3F0F9E" w:rsidRPr="29E43697">
              <w:rPr>
                <w:rFonts w:eastAsia="Times New Roman"/>
              </w:rPr>
              <w:t xml:space="preserve"> n=</w:t>
            </w:r>
            <w:r w:rsidR="00C32419">
              <w:rPr>
                <w:rFonts w:eastAsia="Times New Roman"/>
              </w:rPr>
              <w:t>~</w:t>
            </w:r>
            <w:r w:rsidR="00516750">
              <w:rPr>
                <w:rFonts w:eastAsia="Times New Roman"/>
              </w:rPr>
              <w:t>11</w:t>
            </w:r>
            <w:r w:rsidR="4E612A69" w:rsidRPr="29E43697">
              <w:rPr>
                <w:rFonts w:eastAsia="Times New Roman"/>
              </w:rPr>
              <w:t>,000;</w:t>
            </w:r>
            <w:r w:rsidR="1F3F0F9E" w:rsidRPr="29E43697">
              <w:rPr>
                <w:rFonts w:eastAsia="Times New Roman"/>
              </w:rPr>
              <w:t xml:space="preserve"> CSP-HI n=</w:t>
            </w:r>
            <w:r w:rsidR="00C32419">
              <w:rPr>
                <w:rFonts w:eastAsia="Times New Roman"/>
              </w:rPr>
              <w:t>~</w:t>
            </w:r>
            <w:r w:rsidR="32975C44" w:rsidRPr="29E43697">
              <w:rPr>
                <w:rFonts w:eastAsia="Times New Roman"/>
              </w:rPr>
              <w:t>2,000</w:t>
            </w:r>
            <w:r w:rsidR="1F3F0F9E" w:rsidRPr="29E43697">
              <w:rPr>
                <w:rFonts w:eastAsia="Times New Roman"/>
              </w:rPr>
              <w:t>, CSP-JI n=</w:t>
            </w:r>
            <w:r w:rsidR="00C32419">
              <w:rPr>
                <w:rFonts w:eastAsia="Times New Roman"/>
              </w:rPr>
              <w:t>~</w:t>
            </w:r>
            <w:r w:rsidR="32975C44" w:rsidRPr="29E43697">
              <w:rPr>
                <w:rFonts w:eastAsia="Times New Roman"/>
              </w:rPr>
              <w:t>2,000</w:t>
            </w:r>
            <w:r w:rsidR="1F3F0F9E" w:rsidRPr="29E43697">
              <w:rPr>
                <w:rFonts w:eastAsia="Times New Roman"/>
              </w:rPr>
              <w:t>, CSP-TPP n=</w:t>
            </w:r>
            <w:r w:rsidR="00AB34CA">
              <w:rPr>
                <w:rFonts w:eastAsia="Times New Roman"/>
              </w:rPr>
              <w:t>500</w:t>
            </w:r>
            <w:r w:rsidR="1F3F0F9E" w:rsidRPr="29E43697">
              <w:rPr>
                <w:rFonts w:eastAsia="Times New Roman"/>
              </w:rPr>
              <w:t>)</w:t>
            </w:r>
          </w:p>
        </w:tc>
        <w:tc>
          <w:tcPr>
            <w:tcW w:w="1800" w:type="dxa"/>
          </w:tcPr>
          <w:p w14:paraId="34692F5B" w14:textId="7DA56DC5" w:rsidR="00596ECB" w:rsidRPr="006664C8" w:rsidRDefault="00596ECB" w:rsidP="0032459B">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6664C8">
              <w:rPr>
                <w:rFonts w:eastAsia="Times New Roman"/>
              </w:rPr>
              <w:t xml:space="preserve">FSP and </w:t>
            </w:r>
            <w:r w:rsidR="00D65DDB">
              <w:rPr>
                <w:rFonts w:eastAsia="Times New Roman"/>
              </w:rPr>
              <w:t>s</w:t>
            </w:r>
            <w:r w:rsidRPr="006664C8">
              <w:rPr>
                <w:rFonts w:eastAsia="Times New Roman"/>
              </w:rPr>
              <w:t>pecialized CSP service utilization;</w:t>
            </w:r>
          </w:p>
          <w:p w14:paraId="424A7A05" w14:textId="4E712822" w:rsidR="00596ECB" w:rsidRPr="006664C8" w:rsidRDefault="00596ECB" w:rsidP="0032459B">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6664C8">
              <w:rPr>
                <w:rFonts w:eastAsia="Times New Roman"/>
              </w:rPr>
              <w:t xml:space="preserve">FSP and </w:t>
            </w:r>
            <w:r w:rsidR="00D65DDB">
              <w:rPr>
                <w:rFonts w:eastAsia="Times New Roman"/>
              </w:rPr>
              <w:t>s</w:t>
            </w:r>
            <w:r w:rsidRPr="006664C8">
              <w:rPr>
                <w:rFonts w:eastAsia="Times New Roman"/>
              </w:rPr>
              <w:t>pecialized CSP service costs;</w:t>
            </w:r>
          </w:p>
          <w:p w14:paraId="3E37E1FD" w14:textId="77777777" w:rsidR="00596ECB" w:rsidRPr="006664C8" w:rsidRDefault="00596ECB" w:rsidP="0032459B">
            <w:pPr>
              <w:pStyle w:val="TableNormal0"/>
              <w:cnfStyle w:val="000000000000" w:firstRow="0" w:lastRow="0" w:firstColumn="0" w:lastColumn="0" w:oddVBand="0" w:evenVBand="0" w:oddHBand="0" w:evenHBand="0" w:firstRowFirstColumn="0" w:firstRowLastColumn="0" w:lastRowFirstColumn="0" w:lastRowLastColumn="0"/>
              <w:rPr>
                <w:rFonts w:eastAsia="Times New Roman"/>
                <w:i/>
              </w:rPr>
            </w:pPr>
            <w:r w:rsidRPr="006664C8">
              <w:rPr>
                <w:rFonts w:eastAsia="Times New Roman"/>
                <w:i/>
              </w:rPr>
              <w:t>*Note: All statistics by program type and year</w:t>
            </w:r>
          </w:p>
        </w:tc>
        <w:tc>
          <w:tcPr>
            <w:tcW w:w="3079" w:type="dxa"/>
          </w:tcPr>
          <w:p w14:paraId="00E58E64" w14:textId="7748D845" w:rsidR="00596ECB" w:rsidRPr="006664C8" w:rsidRDefault="00596ECB" w:rsidP="0032459B">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6664C8">
              <w:rPr>
                <w:rFonts w:eastAsia="Times New Roman"/>
              </w:rPr>
              <w:t>Descriptive Statistics</w:t>
            </w:r>
            <w:r w:rsidR="00EF21B1">
              <w:rPr>
                <w:rFonts w:eastAsia="Times New Roman"/>
              </w:rPr>
              <w:t xml:space="preserve"> (member)</w:t>
            </w:r>
            <w:r w:rsidRPr="006664C8">
              <w:rPr>
                <w:rFonts w:eastAsia="Times New Roman"/>
              </w:rPr>
              <w:t>;</w:t>
            </w:r>
          </w:p>
          <w:p w14:paraId="01943FE3" w14:textId="532AAC8B" w:rsidR="00596ECB" w:rsidRPr="006664C8" w:rsidRDefault="00596ECB" w:rsidP="0032459B">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6664C8">
              <w:rPr>
                <w:rFonts w:eastAsia="Times New Roman"/>
              </w:rPr>
              <w:t>Generalized linear modeling to identify factors associated with identification/</w:t>
            </w:r>
            <w:r w:rsidR="00020632" w:rsidRPr="006664C8">
              <w:rPr>
                <w:rFonts w:eastAsia="Times New Roman"/>
              </w:rPr>
              <w:t xml:space="preserve"> </w:t>
            </w:r>
            <w:r w:rsidRPr="006664C8">
              <w:rPr>
                <w:rFonts w:eastAsia="Times New Roman"/>
              </w:rPr>
              <w:t>screening, service utilization</w:t>
            </w:r>
            <w:r w:rsidR="00112591">
              <w:rPr>
                <w:rFonts w:eastAsia="Times New Roman"/>
              </w:rPr>
              <w:t>,</w:t>
            </w:r>
            <w:r w:rsidRPr="006664C8">
              <w:rPr>
                <w:rFonts w:eastAsia="Times New Roman"/>
              </w:rPr>
              <w:t xml:space="preserve"> and cost trends</w:t>
            </w:r>
            <w:r w:rsidR="00EF21B1">
              <w:rPr>
                <w:rFonts w:eastAsia="Times New Roman"/>
              </w:rPr>
              <w:t xml:space="preserve"> (member)</w:t>
            </w:r>
          </w:p>
        </w:tc>
      </w:tr>
      <w:tr w:rsidR="00845EEC" w:rsidRPr="006664C8" w14:paraId="7321D9D3" w14:textId="77777777" w:rsidTr="3383C28C">
        <w:trPr>
          <w:cnfStyle w:val="000000100000" w:firstRow="0" w:lastRow="0" w:firstColumn="0" w:lastColumn="0" w:oddVBand="0" w:evenVBand="0" w:oddHBand="1" w:evenHBand="0" w:firstRowFirstColumn="0" w:firstRowLastColumn="0" w:lastRowFirstColumn="0" w:lastRowLastColumn="0"/>
          <w:trHeight w:val="1016"/>
        </w:trPr>
        <w:tc>
          <w:tcPr>
            <w:cnfStyle w:val="001000000000" w:firstRow="0" w:lastRow="0" w:firstColumn="1" w:lastColumn="0" w:oddVBand="0" w:evenVBand="0" w:oddHBand="0" w:evenHBand="0" w:firstRowFirstColumn="0" w:firstRowLastColumn="0" w:lastRowFirstColumn="0" w:lastRowLastColumn="0"/>
            <w:tcW w:w="2155" w:type="dxa"/>
          </w:tcPr>
          <w:p w14:paraId="1DBFCFC1" w14:textId="661D8D12" w:rsidR="00596ECB" w:rsidRPr="006664C8" w:rsidRDefault="00596ECB" w:rsidP="00626543">
            <w:pPr>
              <w:pStyle w:val="TableNormal0"/>
            </w:pPr>
            <w:r w:rsidRPr="006664C8">
              <w:t xml:space="preserve">RQ7-7 </w:t>
            </w:r>
            <w:r w:rsidRPr="00F5435E">
              <w:t xml:space="preserve">What was the effect of the FSP and </w:t>
            </w:r>
            <w:r w:rsidR="00D65DDB">
              <w:t>s</w:t>
            </w:r>
            <w:r w:rsidRPr="00F5435E">
              <w:t>pecialized CSP services on HRSNs?</w:t>
            </w:r>
          </w:p>
        </w:tc>
        <w:tc>
          <w:tcPr>
            <w:tcW w:w="1710" w:type="dxa"/>
          </w:tcPr>
          <w:p w14:paraId="6291EDC0" w14:textId="1DB8D9A8" w:rsidR="00596ECB" w:rsidRPr="006664C8" w:rsidRDefault="00596ECB" w:rsidP="00626543">
            <w:pPr>
              <w:pStyle w:val="TableNormal0"/>
              <w:cnfStyle w:val="000000100000" w:firstRow="0" w:lastRow="0" w:firstColumn="0" w:lastColumn="0" w:oddVBand="0" w:evenVBand="0" w:oddHBand="1" w:evenHBand="0" w:firstRowFirstColumn="0" w:firstRowLastColumn="0" w:lastRowFirstColumn="0" w:lastRowLastColumn="0"/>
            </w:pPr>
            <w:r w:rsidRPr="00626543">
              <w:rPr>
                <w:rFonts w:eastAsia="Times New Roman"/>
                <w:b/>
                <w:bCs/>
              </w:rPr>
              <w:t>H</w:t>
            </w:r>
            <w:r w:rsidRPr="00626543">
              <w:rPr>
                <w:b/>
                <w:bCs/>
              </w:rPr>
              <w:t>7-</w:t>
            </w:r>
            <w:r w:rsidRPr="00626543">
              <w:rPr>
                <w:rFonts w:eastAsia="Times New Roman"/>
                <w:b/>
                <w:bCs/>
              </w:rPr>
              <w:t>7.1</w:t>
            </w:r>
            <w:r w:rsidRPr="006664C8">
              <w:rPr>
                <w:rFonts w:eastAsia="Times New Roman"/>
              </w:rPr>
              <w:t xml:space="preserve"> FSP </w:t>
            </w:r>
            <w:r w:rsidR="00F81F37">
              <w:rPr>
                <w:rFonts w:eastAsia="Times New Roman"/>
              </w:rPr>
              <w:t>nutrition support</w:t>
            </w:r>
            <w:r w:rsidR="00CA414B">
              <w:rPr>
                <w:rFonts w:eastAsia="Times New Roman"/>
              </w:rPr>
              <w:t>s</w:t>
            </w:r>
            <w:r w:rsidR="00F81F37" w:rsidRPr="006664C8">
              <w:rPr>
                <w:rFonts w:eastAsia="Times New Roman"/>
              </w:rPr>
              <w:t xml:space="preserve"> </w:t>
            </w:r>
            <w:r w:rsidRPr="006664C8">
              <w:rPr>
                <w:rFonts w:eastAsia="Times New Roman"/>
              </w:rPr>
              <w:t>increase</w:t>
            </w:r>
            <w:r w:rsidR="00CA414B">
              <w:rPr>
                <w:rFonts w:eastAsia="Times New Roman"/>
              </w:rPr>
              <w:t xml:space="preserve"> </w:t>
            </w:r>
            <w:r w:rsidRPr="006664C8">
              <w:rPr>
                <w:rFonts w:eastAsia="Times New Roman"/>
              </w:rPr>
              <w:t xml:space="preserve">food security. </w:t>
            </w:r>
          </w:p>
          <w:p w14:paraId="135ABDA6" w14:textId="77777777" w:rsidR="00596ECB" w:rsidRPr="006664C8" w:rsidRDefault="00596ECB" w:rsidP="00626543">
            <w:pPr>
              <w:pStyle w:val="TableNormal0"/>
              <w:cnfStyle w:val="000000100000" w:firstRow="0" w:lastRow="0" w:firstColumn="0" w:lastColumn="0" w:oddVBand="0" w:evenVBand="0" w:oddHBand="1" w:evenHBand="0" w:firstRowFirstColumn="0" w:firstRowLastColumn="0" w:lastRowFirstColumn="0" w:lastRowLastColumn="0"/>
            </w:pPr>
            <w:r w:rsidRPr="00626543">
              <w:rPr>
                <w:rFonts w:eastAsia="Times New Roman"/>
                <w:b/>
                <w:bCs/>
              </w:rPr>
              <w:t>H</w:t>
            </w:r>
            <w:r w:rsidRPr="00626543">
              <w:rPr>
                <w:b/>
                <w:bCs/>
              </w:rPr>
              <w:t>7-</w:t>
            </w:r>
            <w:r w:rsidRPr="00626543">
              <w:rPr>
                <w:rFonts w:eastAsia="Times New Roman"/>
                <w:b/>
                <w:bCs/>
              </w:rPr>
              <w:t>7.2</w:t>
            </w:r>
            <w:r w:rsidRPr="006664C8">
              <w:rPr>
                <w:rFonts w:eastAsia="Times New Roman"/>
              </w:rPr>
              <w:t xml:space="preserve"> FSP TPS increases housing security.</w:t>
            </w:r>
          </w:p>
          <w:p w14:paraId="1B2A51D6" w14:textId="77777777" w:rsidR="00596ECB" w:rsidRPr="006664C8" w:rsidRDefault="00596ECB" w:rsidP="00626543">
            <w:pPr>
              <w:pStyle w:val="TableNormal0"/>
              <w:cnfStyle w:val="000000100000" w:firstRow="0" w:lastRow="0" w:firstColumn="0" w:lastColumn="0" w:oddVBand="0" w:evenVBand="0" w:oddHBand="1" w:evenHBand="0" w:firstRowFirstColumn="0" w:firstRowLastColumn="0" w:lastRowFirstColumn="0" w:lastRowLastColumn="0"/>
            </w:pPr>
            <w:r w:rsidRPr="00626543">
              <w:rPr>
                <w:rFonts w:eastAsia="Times New Roman"/>
                <w:b/>
                <w:bCs/>
              </w:rPr>
              <w:t>H</w:t>
            </w:r>
            <w:r w:rsidRPr="00626543">
              <w:rPr>
                <w:b/>
                <w:bCs/>
              </w:rPr>
              <w:t>7-</w:t>
            </w:r>
            <w:r w:rsidRPr="00626543">
              <w:rPr>
                <w:rFonts w:eastAsia="Times New Roman"/>
                <w:b/>
                <w:bCs/>
              </w:rPr>
              <w:t>7.3</w:t>
            </w:r>
            <w:r w:rsidRPr="006664C8">
              <w:rPr>
                <w:rFonts w:eastAsia="Times New Roman"/>
              </w:rPr>
              <w:t xml:space="preserve"> CSP-HI and CSP-TPP increases housing security.</w:t>
            </w:r>
          </w:p>
          <w:p w14:paraId="419251FD" w14:textId="77777777" w:rsidR="00596ECB" w:rsidRPr="006664C8" w:rsidRDefault="00596ECB" w:rsidP="00626543">
            <w:pPr>
              <w:pStyle w:val="TableNormal0"/>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626543">
              <w:rPr>
                <w:rFonts w:eastAsia="Times New Roman"/>
                <w:b/>
                <w:bCs/>
              </w:rPr>
              <w:t>H</w:t>
            </w:r>
            <w:r w:rsidRPr="00626543">
              <w:rPr>
                <w:b/>
                <w:bCs/>
              </w:rPr>
              <w:t>7-</w:t>
            </w:r>
            <w:r w:rsidRPr="00626543">
              <w:rPr>
                <w:rFonts w:eastAsia="Times New Roman"/>
                <w:b/>
                <w:bCs/>
              </w:rPr>
              <w:t>7.4</w:t>
            </w:r>
            <w:r w:rsidRPr="006664C8">
              <w:rPr>
                <w:rFonts w:eastAsia="Times New Roman"/>
              </w:rPr>
              <w:t xml:space="preserve"> CSP-JI increases housing security.</w:t>
            </w:r>
          </w:p>
        </w:tc>
        <w:tc>
          <w:tcPr>
            <w:tcW w:w="2430" w:type="dxa"/>
          </w:tcPr>
          <w:p w14:paraId="2560292F" w14:textId="06AD8656" w:rsidR="00596ECB" w:rsidRPr="006664C8" w:rsidRDefault="00596ECB" w:rsidP="00626543">
            <w:pPr>
              <w:pStyle w:val="TableNormal0"/>
              <w:cnfStyle w:val="000000100000" w:firstRow="0" w:lastRow="0" w:firstColumn="0" w:lastColumn="0" w:oddVBand="0" w:evenVBand="0" w:oddHBand="1" w:evenHBand="0" w:firstRowFirstColumn="0" w:firstRowLastColumn="0" w:lastRowFirstColumn="0" w:lastRowLastColumn="0"/>
            </w:pPr>
            <w:r w:rsidRPr="006664C8">
              <w:t>Administrative</w:t>
            </w:r>
            <w:r w:rsidR="12E1DC2A">
              <w:t xml:space="preserve"> data</w:t>
            </w:r>
            <w:r w:rsidRPr="006664C8">
              <w:t>:</w:t>
            </w:r>
          </w:p>
          <w:p w14:paraId="7518B47B" w14:textId="02FF7B46" w:rsidR="00596ECB" w:rsidRPr="006664C8" w:rsidRDefault="00596ECB" w:rsidP="00626543">
            <w:pPr>
              <w:pStyle w:val="TableNormal0"/>
              <w:cnfStyle w:val="000000100000" w:firstRow="0" w:lastRow="0" w:firstColumn="0" w:lastColumn="0" w:oddVBand="0" w:evenVBand="0" w:oddHBand="1" w:evenHBand="0" w:firstRowFirstColumn="0" w:firstRowLastColumn="0" w:lastRowFirstColumn="0" w:lastRowLastColumn="0"/>
            </w:pPr>
            <w:r w:rsidRPr="006664C8">
              <w:t>Demographics</w:t>
            </w:r>
            <w:r w:rsidR="00BF1C91">
              <w:t xml:space="preserve"> </w:t>
            </w:r>
            <w:r w:rsidR="00BF1C91">
              <w:rPr>
                <w:rFonts w:eastAsia="Times New Roman"/>
              </w:rPr>
              <w:t>(20</w:t>
            </w:r>
            <w:r w:rsidR="00A47BC7" w:rsidRPr="00C61430">
              <w:rPr>
                <w:rFonts w:eastAsia="Times New Roman"/>
              </w:rPr>
              <w:t>23</w:t>
            </w:r>
            <w:r w:rsidR="00BF1C91">
              <w:rPr>
                <w:rFonts w:eastAsia="Times New Roman"/>
              </w:rPr>
              <w:t>-2027)</w:t>
            </w:r>
            <w:r w:rsidRPr="006664C8">
              <w:t>;</w:t>
            </w:r>
          </w:p>
          <w:p w14:paraId="4FD0CCAB" w14:textId="5782C8B0" w:rsidR="00596ECB" w:rsidRPr="006664C8" w:rsidRDefault="00596ECB" w:rsidP="00626543">
            <w:pPr>
              <w:pStyle w:val="TableNormal0"/>
              <w:cnfStyle w:val="000000100000" w:firstRow="0" w:lastRow="0" w:firstColumn="0" w:lastColumn="0" w:oddVBand="0" w:evenVBand="0" w:oddHBand="1" w:evenHBand="0" w:firstRowFirstColumn="0" w:firstRowLastColumn="0" w:lastRowFirstColumn="0" w:lastRowLastColumn="0"/>
            </w:pPr>
            <w:r w:rsidRPr="006664C8">
              <w:t>Eligibility/Enrollment</w:t>
            </w:r>
            <w:r w:rsidR="00863520">
              <w:t xml:space="preserve"> </w:t>
            </w:r>
            <w:r w:rsidR="00863520">
              <w:rPr>
                <w:rFonts w:eastAsia="Times New Roman"/>
              </w:rPr>
              <w:t>(20</w:t>
            </w:r>
            <w:r w:rsidR="00A47BC7" w:rsidRPr="00C61430">
              <w:rPr>
                <w:rFonts w:eastAsia="Times New Roman"/>
              </w:rPr>
              <w:t>23</w:t>
            </w:r>
            <w:r w:rsidR="00863520">
              <w:rPr>
                <w:rFonts w:eastAsia="Times New Roman"/>
              </w:rPr>
              <w:t>-2027)</w:t>
            </w:r>
            <w:r w:rsidRPr="006664C8">
              <w:t>;</w:t>
            </w:r>
          </w:p>
          <w:p w14:paraId="18488AE0" w14:textId="50A5DD97" w:rsidR="00596ECB" w:rsidRPr="006664C8" w:rsidRDefault="3A43C9D7" w:rsidP="00626543">
            <w:pPr>
              <w:pStyle w:val="TableNormal0"/>
              <w:cnfStyle w:val="000000100000" w:firstRow="0" w:lastRow="0" w:firstColumn="0" w:lastColumn="0" w:oddVBand="0" w:evenVBand="0" w:oddHBand="1" w:evenHBand="0" w:firstRowFirstColumn="0" w:firstRowLastColumn="0" w:lastRowFirstColumn="0" w:lastRowLastColumn="0"/>
            </w:pPr>
            <w:r>
              <w:t>HRSNs</w:t>
            </w:r>
            <w:r w:rsidR="13222A85">
              <w:t xml:space="preserve"> </w:t>
            </w:r>
            <w:r w:rsidR="13222A85" w:rsidRPr="29E43697">
              <w:rPr>
                <w:rFonts w:eastAsia="Times New Roman"/>
              </w:rPr>
              <w:t>(20</w:t>
            </w:r>
            <w:r w:rsidR="4638A4EA" w:rsidRPr="29E43697">
              <w:rPr>
                <w:rFonts w:eastAsia="Times New Roman"/>
              </w:rPr>
              <w:t>23</w:t>
            </w:r>
            <w:r w:rsidR="13222A85" w:rsidRPr="29E43697">
              <w:rPr>
                <w:rFonts w:eastAsia="Times New Roman"/>
              </w:rPr>
              <w:t>-2027)</w:t>
            </w:r>
            <w:r>
              <w:t>;</w:t>
            </w:r>
          </w:p>
          <w:p w14:paraId="3204632E" w14:textId="193E4E05" w:rsidR="00596ECB" w:rsidRPr="006664C8" w:rsidRDefault="00596ECB" w:rsidP="00626543">
            <w:pPr>
              <w:pStyle w:val="TableNormal0"/>
              <w:cnfStyle w:val="000000100000" w:firstRow="0" w:lastRow="0" w:firstColumn="0" w:lastColumn="0" w:oddVBand="0" w:evenVBand="0" w:oddHBand="1" w:evenHBand="0" w:firstRowFirstColumn="0" w:firstRowLastColumn="0" w:lastRowFirstColumn="0" w:lastRowLastColumn="0"/>
            </w:pPr>
            <w:r w:rsidRPr="006664C8">
              <w:t>FSP/Specialized CSP</w:t>
            </w:r>
            <w:r w:rsidR="00863520">
              <w:t xml:space="preserve"> </w:t>
            </w:r>
            <w:r w:rsidR="00863520">
              <w:rPr>
                <w:rFonts w:eastAsia="Times New Roman"/>
              </w:rPr>
              <w:t>(20</w:t>
            </w:r>
            <w:r w:rsidR="000928FB" w:rsidRPr="00C61430">
              <w:rPr>
                <w:rFonts w:eastAsia="Times New Roman"/>
              </w:rPr>
              <w:t>23</w:t>
            </w:r>
            <w:r w:rsidR="00863520">
              <w:rPr>
                <w:rFonts w:eastAsia="Times New Roman"/>
              </w:rPr>
              <w:t>-2027)</w:t>
            </w:r>
          </w:p>
        </w:tc>
        <w:tc>
          <w:tcPr>
            <w:tcW w:w="2340" w:type="dxa"/>
          </w:tcPr>
          <w:p w14:paraId="6D5DB134" w14:textId="47DDEDF4" w:rsidR="00596ECB" w:rsidRPr="006664C8" w:rsidRDefault="43B5B03A" w:rsidP="00626543">
            <w:pPr>
              <w:pStyle w:val="TableNormal0"/>
              <w:cnfStyle w:val="000000100000" w:firstRow="0" w:lastRow="0" w:firstColumn="0" w:lastColumn="0" w:oddVBand="0" w:evenVBand="0" w:oddHBand="1" w:evenHBand="0" w:firstRowFirstColumn="0" w:firstRowLastColumn="0" w:lastRowFirstColumn="0" w:lastRowLastColumn="0"/>
            </w:pPr>
            <w:r>
              <w:t>FSP nutrition services recipients</w:t>
            </w:r>
            <w:r w:rsidR="09C44A07">
              <w:t xml:space="preserve"> (n=</w:t>
            </w:r>
            <w:r w:rsidR="25691D99">
              <w:t>~</w:t>
            </w:r>
            <w:r w:rsidR="09C44A07">
              <w:t>11,000)</w:t>
            </w:r>
            <w:r>
              <w:t>. Comparison groups of referred but not served</w:t>
            </w:r>
            <w:r w:rsidR="0742784A">
              <w:t xml:space="preserve"> (n=~1,000)</w:t>
            </w:r>
            <w:r>
              <w:t xml:space="preserve"> and </w:t>
            </w:r>
            <w:r w:rsidR="00CD4C83">
              <w:t>propensity-</w:t>
            </w:r>
            <w:r>
              <w:t xml:space="preserve">balanced </w:t>
            </w:r>
            <w:r w:rsidRPr="3383C28C">
              <w:rPr>
                <w:rFonts w:eastAsia="Times New Roman"/>
              </w:rPr>
              <w:t>non-recipients of services.</w:t>
            </w:r>
            <w:r>
              <w:t xml:space="preserve"> (H7-7.1)</w:t>
            </w:r>
            <w:r w:rsidR="3A3084C8">
              <w:t xml:space="preserve"> (n=</w:t>
            </w:r>
            <w:r w:rsidR="471CFD9A">
              <w:t xml:space="preserve"> </w:t>
            </w:r>
            <w:r w:rsidR="4297CC2E">
              <w:t>~1</w:t>
            </w:r>
            <w:r w:rsidR="0742784A">
              <w:t>1</w:t>
            </w:r>
            <w:r w:rsidR="4297CC2E">
              <w:t>,000</w:t>
            </w:r>
            <w:r>
              <w:t>);</w:t>
            </w:r>
          </w:p>
          <w:p w14:paraId="3E63FB65" w14:textId="645A89A1" w:rsidR="00596ECB" w:rsidRPr="006664C8" w:rsidRDefault="3A43C9D7" w:rsidP="00626543">
            <w:pPr>
              <w:pStyle w:val="TableNormal0"/>
              <w:cnfStyle w:val="000000100000" w:firstRow="0" w:lastRow="0" w:firstColumn="0" w:lastColumn="0" w:oddVBand="0" w:evenVBand="0" w:oddHBand="1" w:evenHBand="0" w:firstRowFirstColumn="0" w:firstRowLastColumn="0" w:lastRowFirstColumn="0" w:lastRowLastColumn="0"/>
            </w:pPr>
            <w:r>
              <w:t>FSP housing services recipients</w:t>
            </w:r>
            <w:r w:rsidR="2167D109">
              <w:t xml:space="preserve"> (n=</w:t>
            </w:r>
            <w:r w:rsidR="00C32419">
              <w:t>~</w:t>
            </w:r>
            <w:r w:rsidR="2167D109">
              <w:t>3,000)</w:t>
            </w:r>
            <w:r>
              <w:t>. Comparison groups of referred but not served</w:t>
            </w:r>
            <w:r w:rsidR="002D3E62">
              <w:t xml:space="preserve"> (n=~300)</w:t>
            </w:r>
            <w:r>
              <w:t xml:space="preserve"> and </w:t>
            </w:r>
            <w:r w:rsidR="00CD4C83">
              <w:t>propensity-</w:t>
            </w:r>
            <w:r>
              <w:t>balanced non-recipients of service</w:t>
            </w:r>
            <w:r w:rsidR="3F4238E6">
              <w:t>s</w:t>
            </w:r>
            <w:r w:rsidR="002D3E62">
              <w:t xml:space="preserve"> (n=~3,000)</w:t>
            </w:r>
            <w:r>
              <w:t>. (H7-7.2)</w:t>
            </w:r>
            <w:r w:rsidR="3086E984">
              <w:t xml:space="preserve"> (n</w:t>
            </w:r>
            <w:r w:rsidR="007C3543">
              <w:t>~400</w:t>
            </w:r>
            <w:r>
              <w:t>);</w:t>
            </w:r>
          </w:p>
          <w:p w14:paraId="1CB033ED" w14:textId="53517AC3" w:rsidR="00596ECB" w:rsidRPr="006664C8" w:rsidRDefault="00596ECB" w:rsidP="00626543">
            <w:pPr>
              <w:pStyle w:val="TableNormal0"/>
              <w:cnfStyle w:val="000000100000" w:firstRow="0" w:lastRow="0" w:firstColumn="0" w:lastColumn="0" w:oddVBand="0" w:evenVBand="0" w:oddHBand="1" w:evenHBand="0" w:firstRowFirstColumn="0" w:firstRowLastColumn="0" w:lastRowFirstColumn="0" w:lastRowLastColumn="0"/>
            </w:pPr>
            <w:r w:rsidRPr="006664C8">
              <w:t>Members receiving CSP-HI and CSP-TPP services that are ACO/MCO enrolled or seen in a hospital (H7-7.3)</w:t>
            </w:r>
            <w:r w:rsidR="00DF126D">
              <w:t xml:space="preserve"> (n</w:t>
            </w:r>
            <w:r w:rsidR="000B00BF" w:rsidRPr="00C61430">
              <w:t>=</w:t>
            </w:r>
            <w:r w:rsidR="00D1072B" w:rsidRPr="00C61430">
              <w:t>~</w:t>
            </w:r>
            <w:r w:rsidR="00FF15C6" w:rsidRPr="00C61430">
              <w:t>500-</w:t>
            </w:r>
            <w:r w:rsidR="000B00BF" w:rsidRPr="00C61430">
              <w:t>1,000</w:t>
            </w:r>
            <w:r w:rsidR="00DF126D">
              <w:t>)</w:t>
            </w:r>
            <w:r w:rsidRPr="006664C8">
              <w:t>; other members will be studied if data are available;</w:t>
            </w:r>
          </w:p>
          <w:p w14:paraId="2EC4C398" w14:textId="52093B35" w:rsidR="00596ECB" w:rsidRPr="006664C8" w:rsidRDefault="00596ECB" w:rsidP="00626543">
            <w:pPr>
              <w:pStyle w:val="TableNormal0"/>
              <w:cnfStyle w:val="000000100000" w:firstRow="0" w:lastRow="0" w:firstColumn="0" w:lastColumn="0" w:oddVBand="0" w:evenVBand="0" w:oddHBand="1" w:evenHBand="0" w:firstRowFirstColumn="0" w:firstRowLastColumn="0" w:lastRowFirstColumn="0" w:lastRowLastColumn="0"/>
            </w:pPr>
            <w:r w:rsidRPr="006664C8">
              <w:t>Members receiving CSP-JI  services that are ACO/MCO enrolled or seen in a hospital</w:t>
            </w:r>
            <w:r w:rsidR="00B015C5">
              <w:t xml:space="preserve"> (n=</w:t>
            </w:r>
            <w:r w:rsidR="003651E2" w:rsidRPr="00C61430">
              <w:t>~500-1,000</w:t>
            </w:r>
            <w:r w:rsidR="00B015C5" w:rsidRPr="00C61430">
              <w:t>);</w:t>
            </w:r>
            <w:r w:rsidRPr="006664C8">
              <w:t xml:space="preserve"> </w:t>
            </w:r>
            <w:r w:rsidR="00D422C4">
              <w:t>c</w:t>
            </w:r>
            <w:r w:rsidRPr="006664C8">
              <w:t xml:space="preserve">omparison group of referred but not served (H7-7.4); other </w:t>
            </w:r>
            <w:r w:rsidRPr="006664C8">
              <w:lastRenderedPageBreak/>
              <w:t>members will be studied if data are available</w:t>
            </w:r>
          </w:p>
        </w:tc>
        <w:tc>
          <w:tcPr>
            <w:tcW w:w="1800" w:type="dxa"/>
          </w:tcPr>
          <w:p w14:paraId="4D907669" w14:textId="6919F391" w:rsidR="00596ECB" w:rsidRPr="006664C8" w:rsidRDefault="00596ECB" w:rsidP="00626543">
            <w:pPr>
              <w:pStyle w:val="TableNormal0"/>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6664C8">
              <w:rPr>
                <w:rFonts w:eastAsia="Times New Roman"/>
              </w:rPr>
              <w:lastRenderedPageBreak/>
              <w:t>Statuses of respective HRSN need</w:t>
            </w:r>
            <w:r w:rsidR="00CD4C83">
              <w:rPr>
                <w:rFonts w:eastAsia="Times New Roman"/>
              </w:rPr>
              <w:t>s</w:t>
            </w:r>
            <w:r w:rsidRPr="006664C8">
              <w:rPr>
                <w:rFonts w:eastAsia="Times New Roman"/>
              </w:rPr>
              <w:t xml:space="preserve"> among FSP and Specialized CSP services recipients </w:t>
            </w:r>
          </w:p>
        </w:tc>
        <w:tc>
          <w:tcPr>
            <w:tcW w:w="3079" w:type="dxa"/>
          </w:tcPr>
          <w:p w14:paraId="3A1B6BF8" w14:textId="3A4C37A2" w:rsidR="00596ECB" w:rsidRPr="006664C8" w:rsidRDefault="00596ECB" w:rsidP="00626543">
            <w:pPr>
              <w:pStyle w:val="TableNormal0"/>
              <w:cnfStyle w:val="000000100000" w:firstRow="0" w:lastRow="0" w:firstColumn="0" w:lastColumn="0" w:oddVBand="0" w:evenVBand="0" w:oddHBand="1" w:evenHBand="0" w:firstRowFirstColumn="0" w:firstRowLastColumn="0" w:lastRowFirstColumn="0" w:lastRowLastColumn="0"/>
            </w:pPr>
            <w:r w:rsidRPr="006664C8">
              <w:t>Descriptive statistics</w:t>
            </w:r>
            <w:r w:rsidR="00DF126D">
              <w:t xml:space="preserve"> (member)</w:t>
            </w:r>
            <w:r w:rsidRPr="006664C8">
              <w:t>;</w:t>
            </w:r>
          </w:p>
          <w:p w14:paraId="4909CA0E" w14:textId="4754E1DA" w:rsidR="00596ECB" w:rsidRPr="006664C8" w:rsidRDefault="00596ECB" w:rsidP="00626543">
            <w:pPr>
              <w:pStyle w:val="TableNormal0"/>
              <w:cnfStyle w:val="000000100000" w:firstRow="0" w:lastRow="0" w:firstColumn="0" w:lastColumn="0" w:oddVBand="0" w:evenVBand="0" w:oddHBand="1" w:evenHBand="0" w:firstRowFirstColumn="0" w:firstRowLastColumn="0" w:lastRowFirstColumn="0" w:lastRowLastColumn="0"/>
            </w:pPr>
            <w:r w:rsidRPr="006664C8">
              <w:t xml:space="preserve">Pre/Post </w:t>
            </w:r>
            <w:r w:rsidR="00D422C4">
              <w:t>c</w:t>
            </w:r>
            <w:r w:rsidR="00D422C4" w:rsidRPr="006664C8">
              <w:t xml:space="preserve">omparison </w:t>
            </w:r>
            <w:r w:rsidRPr="006664C8">
              <w:t>(CSP-HI, CSP-TPP)</w:t>
            </w:r>
            <w:r w:rsidR="00DF126D">
              <w:t xml:space="preserve"> (member)</w:t>
            </w:r>
            <w:r w:rsidRPr="006664C8">
              <w:t>;</w:t>
            </w:r>
          </w:p>
          <w:p w14:paraId="1799676F" w14:textId="49AF2711" w:rsidR="00596ECB" w:rsidRPr="006664C8" w:rsidRDefault="00596ECB" w:rsidP="00626543">
            <w:pPr>
              <w:pStyle w:val="TableNormal0"/>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6664C8">
              <w:t>Difference-in-</w:t>
            </w:r>
            <w:r w:rsidR="00D422C4">
              <w:t>d</w:t>
            </w:r>
            <w:r w:rsidR="00D422C4" w:rsidRPr="006664C8">
              <w:t xml:space="preserve">ifference </w:t>
            </w:r>
            <w:r w:rsidR="00D422C4">
              <w:t>m</w:t>
            </w:r>
            <w:r w:rsidR="00D422C4" w:rsidRPr="006664C8">
              <w:t xml:space="preserve">odel </w:t>
            </w:r>
            <w:r w:rsidRPr="006664C8">
              <w:t>(FSP, CSP-JI)</w:t>
            </w:r>
            <w:r w:rsidR="00DF126D">
              <w:t xml:space="preserve"> (member)</w:t>
            </w:r>
          </w:p>
        </w:tc>
      </w:tr>
      <w:tr w:rsidR="00845EEC" w:rsidRPr="006664C8" w14:paraId="7B65A7DE" w14:textId="77777777" w:rsidTr="3383C28C">
        <w:tc>
          <w:tcPr>
            <w:cnfStyle w:val="001000000000" w:firstRow="0" w:lastRow="0" w:firstColumn="1" w:lastColumn="0" w:oddVBand="0" w:evenVBand="0" w:oddHBand="0" w:evenHBand="0" w:firstRowFirstColumn="0" w:firstRowLastColumn="0" w:lastRowFirstColumn="0" w:lastRowLastColumn="0"/>
            <w:tcW w:w="2155" w:type="dxa"/>
          </w:tcPr>
          <w:p w14:paraId="74AE5EF2" w14:textId="7D19EC9D" w:rsidR="00596ECB" w:rsidRPr="006664C8" w:rsidRDefault="00596ECB" w:rsidP="00626543">
            <w:pPr>
              <w:pStyle w:val="TableNormal0"/>
            </w:pPr>
            <w:r w:rsidRPr="006664C8">
              <w:t xml:space="preserve">RQ7-8 </w:t>
            </w:r>
            <w:r w:rsidRPr="00F5435E">
              <w:t xml:space="preserve">What was the effect of FSP and </w:t>
            </w:r>
            <w:r w:rsidR="00D65DDB">
              <w:t>s</w:t>
            </w:r>
            <w:r w:rsidRPr="00F5435E">
              <w:t xml:space="preserve">pecialized CSP on </w:t>
            </w:r>
            <w:r w:rsidR="009C2AA0">
              <w:t>healthcare</w:t>
            </w:r>
            <w:r w:rsidRPr="00F5435E">
              <w:t xml:space="preserve"> utilization and cost?</w:t>
            </w:r>
          </w:p>
        </w:tc>
        <w:tc>
          <w:tcPr>
            <w:tcW w:w="1710" w:type="dxa"/>
          </w:tcPr>
          <w:p w14:paraId="607D6E50" w14:textId="66972D48" w:rsidR="00596ECB" w:rsidRPr="006664C8" w:rsidRDefault="00596ECB" w:rsidP="00626543">
            <w:pPr>
              <w:pStyle w:val="TableNormal0"/>
              <w:cnfStyle w:val="000000000000" w:firstRow="0" w:lastRow="0" w:firstColumn="0" w:lastColumn="0" w:oddVBand="0" w:evenVBand="0" w:oddHBand="0" w:evenHBand="0" w:firstRowFirstColumn="0" w:firstRowLastColumn="0" w:lastRowFirstColumn="0" w:lastRowLastColumn="0"/>
            </w:pPr>
            <w:r w:rsidRPr="00626543">
              <w:rPr>
                <w:rFonts w:eastAsia="Times New Roman"/>
                <w:b/>
                <w:bCs/>
              </w:rPr>
              <w:t>H</w:t>
            </w:r>
            <w:r w:rsidRPr="00626543">
              <w:rPr>
                <w:b/>
                <w:bCs/>
              </w:rPr>
              <w:t>7-</w:t>
            </w:r>
            <w:r w:rsidRPr="00626543">
              <w:rPr>
                <w:rFonts w:eastAsia="Times New Roman"/>
                <w:b/>
                <w:bCs/>
              </w:rPr>
              <w:t>8.1</w:t>
            </w:r>
            <w:r w:rsidRPr="006664C8">
              <w:rPr>
                <w:rFonts w:eastAsia="Times New Roman"/>
              </w:rPr>
              <w:t xml:space="preserve"> FSP and </w:t>
            </w:r>
            <w:r w:rsidR="00D65DDB">
              <w:rPr>
                <w:rFonts w:eastAsia="Times New Roman"/>
              </w:rPr>
              <w:t>s</w:t>
            </w:r>
            <w:r w:rsidRPr="006664C8">
              <w:rPr>
                <w:rFonts w:eastAsia="Times New Roman"/>
              </w:rPr>
              <w:t xml:space="preserve">pecialized CSP </w:t>
            </w:r>
            <w:r w:rsidRPr="006664C8">
              <w:t>increased efficient, effective healthcare utilization</w:t>
            </w:r>
            <w:r w:rsidR="00AC3E5F">
              <w:t>,</w:t>
            </w:r>
            <w:r w:rsidRPr="006664C8">
              <w:t xml:space="preserve"> including (but not limited to) increased utilization of preventive and community-based services and decreased utilization of emergency department (ED) and inpatient hospital service.</w:t>
            </w:r>
          </w:p>
          <w:p w14:paraId="46FDCB67" w14:textId="50B112E0" w:rsidR="00596ECB" w:rsidRPr="006664C8" w:rsidRDefault="00596ECB" w:rsidP="00626543">
            <w:pPr>
              <w:pStyle w:val="TableNormal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26543">
              <w:rPr>
                <w:rFonts w:eastAsia="Times New Roman"/>
                <w:b/>
                <w:bCs/>
              </w:rPr>
              <w:t>H</w:t>
            </w:r>
            <w:r w:rsidRPr="00626543">
              <w:rPr>
                <w:b/>
                <w:bCs/>
              </w:rPr>
              <w:t>7-</w:t>
            </w:r>
            <w:r w:rsidRPr="00626543">
              <w:rPr>
                <w:rFonts w:eastAsia="Times New Roman"/>
                <w:b/>
                <w:bCs/>
              </w:rPr>
              <w:t>8.2</w:t>
            </w:r>
            <w:r w:rsidRPr="006664C8">
              <w:rPr>
                <w:rFonts w:eastAsia="Times New Roman"/>
              </w:rPr>
              <w:t xml:space="preserve"> FSP and </w:t>
            </w:r>
            <w:r w:rsidR="00BF6F4C">
              <w:rPr>
                <w:rFonts w:eastAsia="Times New Roman"/>
              </w:rPr>
              <w:t>s</w:t>
            </w:r>
            <w:r w:rsidRPr="006664C8">
              <w:rPr>
                <w:rFonts w:eastAsia="Times New Roman"/>
              </w:rPr>
              <w:t>pecialized CSP decreased the total cost of care (TCOC).</w:t>
            </w:r>
          </w:p>
        </w:tc>
        <w:tc>
          <w:tcPr>
            <w:tcW w:w="2430" w:type="dxa"/>
          </w:tcPr>
          <w:p w14:paraId="11710E2E" w14:textId="6B5EBEBC" w:rsidR="00596ECB" w:rsidRPr="006664C8" w:rsidRDefault="00596ECB" w:rsidP="00626543">
            <w:pPr>
              <w:pStyle w:val="TableNormal0"/>
              <w:cnfStyle w:val="000000000000" w:firstRow="0" w:lastRow="0" w:firstColumn="0" w:lastColumn="0" w:oddVBand="0" w:evenVBand="0" w:oddHBand="0" w:evenHBand="0" w:firstRowFirstColumn="0" w:firstRowLastColumn="0" w:lastRowFirstColumn="0" w:lastRowLastColumn="0"/>
            </w:pPr>
            <w:r w:rsidRPr="006664C8">
              <w:t>Administrative</w:t>
            </w:r>
            <w:r w:rsidR="7D0CFDC3">
              <w:t xml:space="preserve"> data</w:t>
            </w:r>
            <w:r w:rsidRPr="006664C8">
              <w:t>:</w:t>
            </w:r>
          </w:p>
          <w:p w14:paraId="189FA1F6" w14:textId="4B3A9BBC" w:rsidR="00E96895" w:rsidRPr="00C61430" w:rsidRDefault="00E96895" w:rsidP="00E96895">
            <w:pPr>
              <w:pStyle w:val="TableNormal0"/>
              <w:cnfStyle w:val="000000000000" w:firstRow="0" w:lastRow="0" w:firstColumn="0" w:lastColumn="0" w:oddVBand="0" w:evenVBand="0" w:oddHBand="0" w:evenHBand="0" w:firstRowFirstColumn="0" w:firstRowLastColumn="0" w:lastRowFirstColumn="0" w:lastRowLastColumn="0"/>
            </w:pPr>
            <w:r w:rsidRPr="00C61430">
              <w:t xml:space="preserve">Demographics </w:t>
            </w:r>
            <w:r w:rsidRPr="00C61430">
              <w:rPr>
                <w:rFonts w:eastAsia="Times New Roman"/>
              </w:rPr>
              <w:t>(2020-2027 for FSP</w:t>
            </w:r>
            <w:r w:rsidR="0036331B">
              <w:rPr>
                <w:rFonts w:eastAsia="Times New Roman"/>
              </w:rPr>
              <w:t xml:space="preserve"> and CSP-HI</w:t>
            </w:r>
            <w:r w:rsidRPr="00C61430">
              <w:rPr>
                <w:rFonts w:eastAsia="Times New Roman"/>
              </w:rPr>
              <w:t>, 2022-2027 for</w:t>
            </w:r>
            <w:r w:rsidR="0036331B">
              <w:rPr>
                <w:rFonts w:eastAsia="Times New Roman"/>
              </w:rPr>
              <w:t xml:space="preserve"> other specialized</w:t>
            </w:r>
            <w:r w:rsidRPr="00C61430">
              <w:rPr>
                <w:rFonts w:eastAsia="Times New Roman"/>
              </w:rPr>
              <w:t xml:space="preserve"> CSP)</w:t>
            </w:r>
            <w:r w:rsidRPr="00C61430">
              <w:t>;</w:t>
            </w:r>
          </w:p>
          <w:p w14:paraId="3F1515F0" w14:textId="6C81DFC9" w:rsidR="00E96895" w:rsidRPr="00C61430" w:rsidRDefault="00E96895" w:rsidP="00E96895">
            <w:pPr>
              <w:pStyle w:val="TableNormal0"/>
              <w:cnfStyle w:val="000000000000" w:firstRow="0" w:lastRow="0" w:firstColumn="0" w:lastColumn="0" w:oddVBand="0" w:evenVBand="0" w:oddHBand="0" w:evenHBand="0" w:firstRowFirstColumn="0" w:firstRowLastColumn="0" w:lastRowFirstColumn="0" w:lastRowLastColumn="0"/>
            </w:pPr>
            <w:r w:rsidRPr="00C61430">
              <w:t xml:space="preserve">Eligibility/Enrollment </w:t>
            </w:r>
            <w:r w:rsidRPr="00C61430">
              <w:rPr>
                <w:rFonts w:eastAsia="Times New Roman"/>
              </w:rPr>
              <w:t>(</w:t>
            </w:r>
            <w:r w:rsidR="0036331B" w:rsidRPr="00C61430">
              <w:rPr>
                <w:rFonts w:eastAsia="Times New Roman"/>
              </w:rPr>
              <w:t>2020-2027 for FSP</w:t>
            </w:r>
            <w:r w:rsidR="0036331B">
              <w:rPr>
                <w:rFonts w:eastAsia="Times New Roman"/>
              </w:rPr>
              <w:t xml:space="preserve"> and CSP-HI</w:t>
            </w:r>
            <w:r w:rsidR="0036331B" w:rsidRPr="00C61430">
              <w:rPr>
                <w:rFonts w:eastAsia="Times New Roman"/>
              </w:rPr>
              <w:t>, 2022-2027 for</w:t>
            </w:r>
            <w:r w:rsidR="0036331B">
              <w:rPr>
                <w:rFonts w:eastAsia="Times New Roman"/>
              </w:rPr>
              <w:t xml:space="preserve"> other specialized</w:t>
            </w:r>
            <w:r w:rsidR="0036331B" w:rsidRPr="00C61430">
              <w:rPr>
                <w:rFonts w:eastAsia="Times New Roman"/>
              </w:rPr>
              <w:t xml:space="preserve"> CSP</w:t>
            </w:r>
            <w:r w:rsidRPr="00C61430">
              <w:rPr>
                <w:rFonts w:eastAsia="Times New Roman"/>
              </w:rPr>
              <w:t>)</w:t>
            </w:r>
            <w:r w:rsidRPr="00C61430">
              <w:t>;</w:t>
            </w:r>
          </w:p>
          <w:p w14:paraId="26F75B2D" w14:textId="65334485" w:rsidR="00E96895" w:rsidRPr="00C61430" w:rsidRDefault="00E96895" w:rsidP="00E96895">
            <w:pPr>
              <w:pStyle w:val="TableNormal0"/>
              <w:cnfStyle w:val="000000000000" w:firstRow="0" w:lastRow="0" w:firstColumn="0" w:lastColumn="0" w:oddVBand="0" w:evenVBand="0" w:oddHBand="0" w:evenHBand="0" w:firstRowFirstColumn="0" w:firstRowLastColumn="0" w:lastRowFirstColumn="0" w:lastRowLastColumn="0"/>
            </w:pPr>
            <w:r w:rsidRPr="00C61430">
              <w:t xml:space="preserve">Claims/Encounters </w:t>
            </w:r>
            <w:r w:rsidRPr="00C61430">
              <w:rPr>
                <w:rFonts w:eastAsia="Times New Roman"/>
              </w:rPr>
              <w:t>(2020-2027)</w:t>
            </w:r>
            <w:r w:rsidRPr="00C61430">
              <w:t>;</w:t>
            </w:r>
          </w:p>
          <w:p w14:paraId="3CD110CF" w14:textId="62D3FA1E" w:rsidR="00596ECB" w:rsidRPr="006664C8" w:rsidRDefault="00E96895" w:rsidP="00626543">
            <w:pPr>
              <w:pStyle w:val="TableNormal0"/>
              <w:cnfStyle w:val="000000000000" w:firstRow="0" w:lastRow="0" w:firstColumn="0" w:lastColumn="0" w:oddVBand="0" w:evenVBand="0" w:oddHBand="0" w:evenHBand="0" w:firstRowFirstColumn="0" w:firstRowLastColumn="0" w:lastRowFirstColumn="0" w:lastRowLastColumn="0"/>
            </w:pPr>
            <w:r w:rsidRPr="00C61430">
              <w:t>FSP/</w:t>
            </w:r>
            <w:r w:rsidR="00AC3E5F">
              <w:t>S</w:t>
            </w:r>
            <w:r w:rsidRPr="00C61430">
              <w:t xml:space="preserve">pecialized CSP </w:t>
            </w:r>
            <w:r w:rsidRPr="00C61430">
              <w:rPr>
                <w:rFonts w:eastAsia="Times New Roman"/>
              </w:rPr>
              <w:t>(</w:t>
            </w:r>
            <w:r w:rsidR="0036331B" w:rsidRPr="00C61430">
              <w:rPr>
                <w:rFonts w:eastAsia="Times New Roman"/>
              </w:rPr>
              <w:t>2020-2027 for FSP</w:t>
            </w:r>
            <w:r w:rsidR="0036331B">
              <w:rPr>
                <w:rFonts w:eastAsia="Times New Roman"/>
              </w:rPr>
              <w:t xml:space="preserve"> and CSP-HI</w:t>
            </w:r>
            <w:r w:rsidR="0036331B" w:rsidRPr="00C61430">
              <w:rPr>
                <w:rFonts w:eastAsia="Times New Roman"/>
              </w:rPr>
              <w:t>, 2022-2027 for</w:t>
            </w:r>
            <w:r w:rsidR="0036331B">
              <w:rPr>
                <w:rFonts w:eastAsia="Times New Roman"/>
              </w:rPr>
              <w:t xml:space="preserve"> other specialized</w:t>
            </w:r>
            <w:r w:rsidR="0036331B" w:rsidRPr="00C61430">
              <w:rPr>
                <w:rFonts w:eastAsia="Times New Roman"/>
              </w:rPr>
              <w:t xml:space="preserve"> CSP</w:t>
            </w:r>
            <w:r w:rsidRPr="00C61430">
              <w:rPr>
                <w:rFonts w:eastAsia="Times New Roman"/>
              </w:rPr>
              <w:t>)</w:t>
            </w:r>
          </w:p>
        </w:tc>
        <w:tc>
          <w:tcPr>
            <w:tcW w:w="2340" w:type="dxa"/>
          </w:tcPr>
          <w:p w14:paraId="3B7E9796" w14:textId="22BECF4A" w:rsidR="00596ECB" w:rsidRPr="006664C8" w:rsidRDefault="00596ECB" w:rsidP="00626543">
            <w:pPr>
              <w:pStyle w:val="TableNormal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664C8">
              <w:rPr>
                <w:rFonts w:eastAsia="Times New Roman"/>
              </w:rPr>
              <w:t xml:space="preserve">Members receiving FSP </w:t>
            </w:r>
            <w:r w:rsidR="00714835">
              <w:rPr>
                <w:rFonts w:eastAsia="Times New Roman"/>
              </w:rPr>
              <w:t>(Housing support n=</w:t>
            </w:r>
            <w:r w:rsidR="00C32419">
              <w:rPr>
                <w:rFonts w:eastAsia="Times New Roman"/>
              </w:rPr>
              <w:t>~</w:t>
            </w:r>
            <w:r w:rsidR="005E642B">
              <w:rPr>
                <w:rFonts w:eastAsia="Times New Roman"/>
              </w:rPr>
              <w:t>3,</w:t>
            </w:r>
            <w:r w:rsidR="00714835">
              <w:rPr>
                <w:rFonts w:eastAsia="Times New Roman"/>
              </w:rPr>
              <w:t>000; nutrition support n=</w:t>
            </w:r>
            <w:r w:rsidR="00C32419">
              <w:rPr>
                <w:rFonts w:eastAsia="Times New Roman"/>
              </w:rPr>
              <w:t>~</w:t>
            </w:r>
            <w:r w:rsidR="005E642B">
              <w:rPr>
                <w:rFonts w:eastAsia="Times New Roman"/>
              </w:rPr>
              <w:t>11</w:t>
            </w:r>
            <w:r w:rsidR="00714835">
              <w:rPr>
                <w:rFonts w:eastAsia="Times New Roman"/>
              </w:rPr>
              <w:t>,000)</w:t>
            </w:r>
            <w:r w:rsidRPr="006664C8">
              <w:rPr>
                <w:rFonts w:eastAsia="Times New Roman"/>
              </w:rPr>
              <w:t xml:space="preserve"> and </w:t>
            </w:r>
            <w:r w:rsidR="00D65DDB">
              <w:rPr>
                <w:rFonts w:eastAsia="Times New Roman"/>
              </w:rPr>
              <w:t>s</w:t>
            </w:r>
            <w:r w:rsidRPr="006664C8">
              <w:rPr>
                <w:rFonts w:eastAsia="Times New Roman"/>
              </w:rPr>
              <w:t>pecialized CSP services</w:t>
            </w:r>
            <w:r w:rsidR="00714835" w:rsidRPr="00C61430">
              <w:rPr>
                <w:rFonts w:eastAsia="Times New Roman"/>
              </w:rPr>
              <w:t>.</w:t>
            </w:r>
            <w:r w:rsidR="000A2C83">
              <w:rPr>
                <w:rFonts w:eastAsia="Times New Roman"/>
              </w:rPr>
              <w:t xml:space="preserve"> </w:t>
            </w:r>
            <w:r w:rsidR="00714835" w:rsidRPr="00C61430">
              <w:rPr>
                <w:rFonts w:eastAsia="Times New Roman"/>
              </w:rPr>
              <w:t>(</w:t>
            </w:r>
            <w:r w:rsidR="00D65DDB">
              <w:rPr>
                <w:rFonts w:eastAsia="Times New Roman"/>
              </w:rPr>
              <w:t>s</w:t>
            </w:r>
            <w:r w:rsidR="00714835">
              <w:rPr>
                <w:rFonts w:eastAsia="Times New Roman"/>
              </w:rPr>
              <w:t>pecialized CSP: referred and served n=</w:t>
            </w:r>
            <w:r w:rsidR="00C32419">
              <w:rPr>
                <w:rFonts w:eastAsia="Times New Roman"/>
              </w:rPr>
              <w:t>~</w:t>
            </w:r>
            <w:r w:rsidR="00714835">
              <w:rPr>
                <w:rFonts w:eastAsia="Times New Roman"/>
              </w:rPr>
              <w:t>2,000 per program)</w:t>
            </w:r>
            <w:r w:rsidRPr="006664C8">
              <w:rPr>
                <w:rFonts w:eastAsia="Times New Roman"/>
              </w:rPr>
              <w:t>. Comparison groups of referred but not served (FSP</w:t>
            </w:r>
            <w:r w:rsidR="00D45B95">
              <w:rPr>
                <w:rFonts w:eastAsia="Times New Roman"/>
              </w:rPr>
              <w:t xml:space="preserve"> housing n=~300 and nutrition n=~1000</w:t>
            </w:r>
            <w:r w:rsidR="00BC7240">
              <w:rPr>
                <w:rFonts w:eastAsia="Times New Roman"/>
              </w:rPr>
              <w:t xml:space="preserve">; </w:t>
            </w:r>
            <w:r w:rsidR="00BC7240" w:rsidRPr="006664C8">
              <w:rPr>
                <w:rFonts w:eastAsia="Times New Roman"/>
              </w:rPr>
              <w:t xml:space="preserve">and </w:t>
            </w:r>
            <w:r w:rsidR="00BC7240">
              <w:rPr>
                <w:rFonts w:eastAsia="Times New Roman"/>
              </w:rPr>
              <w:t xml:space="preserve">n=~750 </w:t>
            </w:r>
            <w:r w:rsidR="00BC7240" w:rsidRPr="006664C8">
              <w:rPr>
                <w:rFonts w:eastAsia="Times New Roman"/>
              </w:rPr>
              <w:t>CSP-JI</w:t>
            </w:r>
            <w:r w:rsidR="00BC7240">
              <w:rPr>
                <w:rFonts w:eastAsia="Times New Roman"/>
              </w:rPr>
              <w:t xml:space="preserve"> </w:t>
            </w:r>
            <w:r w:rsidRPr="006664C8">
              <w:rPr>
                <w:rFonts w:eastAsia="Times New Roman"/>
              </w:rPr>
              <w:t xml:space="preserve">members from select providers who </w:t>
            </w:r>
            <w:r w:rsidR="00BC7240">
              <w:rPr>
                <w:rFonts w:eastAsia="Times New Roman"/>
              </w:rPr>
              <w:t xml:space="preserve">may </w:t>
            </w:r>
            <w:r w:rsidRPr="006664C8">
              <w:rPr>
                <w:rFonts w:eastAsia="Times New Roman"/>
              </w:rPr>
              <w:t>report these data</w:t>
            </w:r>
            <w:r w:rsidR="00BC7240">
              <w:rPr>
                <w:rFonts w:eastAsia="Times New Roman"/>
              </w:rPr>
              <w:t>)</w:t>
            </w:r>
            <w:r w:rsidRPr="006664C8">
              <w:rPr>
                <w:rFonts w:eastAsia="Times New Roman"/>
              </w:rPr>
              <w:t xml:space="preserve"> and propensity balanced non-recipients of services</w:t>
            </w:r>
            <w:r w:rsidR="004F77AC">
              <w:rPr>
                <w:rFonts w:eastAsia="Times New Roman"/>
              </w:rPr>
              <w:t xml:space="preserve"> (</w:t>
            </w:r>
            <w:r w:rsidR="00E15B80">
              <w:rPr>
                <w:rFonts w:eastAsia="Times New Roman"/>
              </w:rPr>
              <w:t>(Housing support n=~3,000; nutrition support n=~11,000; specialized CSP n=~2,000 per program</w:t>
            </w:r>
            <w:r w:rsidR="004F77AC">
              <w:rPr>
                <w:rFonts w:eastAsia="Times New Roman"/>
              </w:rPr>
              <w:t>)</w:t>
            </w:r>
          </w:p>
        </w:tc>
        <w:tc>
          <w:tcPr>
            <w:tcW w:w="1800" w:type="dxa"/>
          </w:tcPr>
          <w:p w14:paraId="028A2CCA" w14:textId="77777777" w:rsidR="00596ECB" w:rsidRPr="006664C8" w:rsidRDefault="00596ECB" w:rsidP="00626543">
            <w:pPr>
              <w:pStyle w:val="TableNormal0"/>
              <w:cnfStyle w:val="000000000000" w:firstRow="0" w:lastRow="0" w:firstColumn="0" w:lastColumn="0" w:oddVBand="0" w:evenVBand="0" w:oddHBand="0" w:evenHBand="0" w:firstRowFirstColumn="0" w:firstRowLastColumn="0" w:lastRowFirstColumn="0" w:lastRowLastColumn="0"/>
            </w:pPr>
            <w:r w:rsidRPr="006664C8">
              <w:t>Utilization PMPM, Cost PMPM by program type and eligibility criteria categories</w:t>
            </w:r>
          </w:p>
        </w:tc>
        <w:tc>
          <w:tcPr>
            <w:tcW w:w="3079" w:type="dxa"/>
          </w:tcPr>
          <w:p w14:paraId="09E4E5F4" w14:textId="404EBE15" w:rsidR="00596ECB" w:rsidRPr="006664C8" w:rsidRDefault="00596ECB" w:rsidP="00626543">
            <w:pPr>
              <w:pStyle w:val="TableNormal0"/>
              <w:cnfStyle w:val="000000000000" w:firstRow="0" w:lastRow="0" w:firstColumn="0" w:lastColumn="0" w:oddVBand="0" w:evenVBand="0" w:oddHBand="0" w:evenHBand="0" w:firstRowFirstColumn="0" w:firstRowLastColumn="0" w:lastRowFirstColumn="0" w:lastRowLastColumn="0"/>
            </w:pPr>
            <w:r w:rsidRPr="006664C8">
              <w:t>Descriptive statistics</w:t>
            </w:r>
            <w:r w:rsidR="00C10B0C">
              <w:t xml:space="preserve"> (member)</w:t>
            </w:r>
            <w:r w:rsidRPr="006664C8">
              <w:t>;</w:t>
            </w:r>
          </w:p>
          <w:p w14:paraId="2D566755" w14:textId="56F5B4A9" w:rsidR="00596ECB" w:rsidRPr="006664C8" w:rsidRDefault="00596ECB" w:rsidP="00626543">
            <w:pPr>
              <w:pStyle w:val="TableNormal0"/>
              <w:cnfStyle w:val="000000000000" w:firstRow="0" w:lastRow="0" w:firstColumn="0" w:lastColumn="0" w:oddVBand="0" w:evenVBand="0" w:oddHBand="0" w:evenHBand="0" w:firstRowFirstColumn="0" w:firstRowLastColumn="0" w:lastRowFirstColumn="0" w:lastRowLastColumn="0"/>
            </w:pPr>
            <w:r w:rsidRPr="006664C8">
              <w:t>Pre/Post Comparison (CSP-HI, CSP-TPP)</w:t>
            </w:r>
            <w:r w:rsidR="00C10B0C">
              <w:t xml:space="preserve"> (member</w:t>
            </w:r>
            <w:r w:rsidRPr="006664C8">
              <w:t>);</w:t>
            </w:r>
          </w:p>
          <w:p w14:paraId="66C7005C" w14:textId="08B11864" w:rsidR="00596ECB" w:rsidRPr="006664C8" w:rsidRDefault="00596ECB" w:rsidP="00626543">
            <w:pPr>
              <w:pStyle w:val="TableNormal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664C8">
              <w:t>Difference-in-Difference Model (FSP, CSP-JI)</w:t>
            </w:r>
            <w:r w:rsidR="00C10B0C">
              <w:t xml:space="preserve"> (member)</w:t>
            </w:r>
          </w:p>
        </w:tc>
      </w:tr>
      <w:tr w:rsidR="00845EEC" w:rsidRPr="006664C8" w14:paraId="763AA979" w14:textId="77777777" w:rsidTr="3383C28C">
        <w:trPr>
          <w:cnfStyle w:val="000000100000" w:firstRow="0" w:lastRow="0" w:firstColumn="0" w:lastColumn="0" w:oddVBand="0" w:evenVBand="0" w:oddHBand="1" w:evenHBand="0" w:firstRowFirstColumn="0" w:firstRowLastColumn="0" w:lastRowFirstColumn="0" w:lastRowLastColumn="0"/>
          <w:trHeight w:val="1750"/>
        </w:trPr>
        <w:tc>
          <w:tcPr>
            <w:cnfStyle w:val="001000000000" w:firstRow="0" w:lastRow="0" w:firstColumn="1" w:lastColumn="0" w:oddVBand="0" w:evenVBand="0" w:oddHBand="0" w:evenHBand="0" w:firstRowFirstColumn="0" w:firstRowLastColumn="0" w:lastRowFirstColumn="0" w:lastRowLastColumn="0"/>
            <w:tcW w:w="2155" w:type="dxa"/>
          </w:tcPr>
          <w:p w14:paraId="05E5DB19" w14:textId="77777777" w:rsidR="00596ECB" w:rsidRPr="006664C8" w:rsidRDefault="00596ECB" w:rsidP="00C52C38">
            <w:pPr>
              <w:pStyle w:val="TableNormal0"/>
            </w:pPr>
            <w:r w:rsidRPr="006664C8">
              <w:t xml:space="preserve">RQ7-9 </w:t>
            </w:r>
            <w:r w:rsidRPr="00F5435E">
              <w:t>What were the effects of FSP on physical and mental health outcomes?</w:t>
            </w:r>
          </w:p>
        </w:tc>
        <w:tc>
          <w:tcPr>
            <w:tcW w:w="1710" w:type="dxa"/>
          </w:tcPr>
          <w:p w14:paraId="5E1313D7" w14:textId="77777777" w:rsidR="00596ECB" w:rsidRPr="006664C8" w:rsidRDefault="00596ECB" w:rsidP="00C52C38">
            <w:pPr>
              <w:pStyle w:val="TableNormal0"/>
              <w:cnfStyle w:val="000000100000" w:firstRow="0" w:lastRow="0" w:firstColumn="0" w:lastColumn="0" w:oddVBand="0" w:evenVBand="0" w:oddHBand="1" w:evenHBand="0" w:firstRowFirstColumn="0" w:firstRowLastColumn="0" w:lastRowFirstColumn="0" w:lastRowLastColumn="0"/>
            </w:pPr>
            <w:r w:rsidRPr="00C52C38">
              <w:rPr>
                <w:rFonts w:eastAsia="Times New Roman"/>
                <w:b/>
                <w:bCs/>
              </w:rPr>
              <w:t>H</w:t>
            </w:r>
            <w:r w:rsidRPr="00C52C38">
              <w:rPr>
                <w:b/>
                <w:bCs/>
              </w:rPr>
              <w:t>7-</w:t>
            </w:r>
            <w:r w:rsidRPr="00C52C38">
              <w:rPr>
                <w:rFonts w:eastAsia="Times New Roman"/>
                <w:b/>
                <w:bCs/>
              </w:rPr>
              <w:t>9.1</w:t>
            </w:r>
            <w:r w:rsidRPr="006664C8">
              <w:rPr>
                <w:rFonts w:eastAsia="Times New Roman"/>
              </w:rPr>
              <w:t>. FSP services improved self-reported physical health.</w:t>
            </w:r>
          </w:p>
          <w:p w14:paraId="1CECFD11" w14:textId="77777777" w:rsidR="00596ECB" w:rsidRPr="006664C8" w:rsidRDefault="00596ECB" w:rsidP="00C52C38">
            <w:pPr>
              <w:pStyle w:val="TableNormal0"/>
              <w:cnfStyle w:val="000000100000" w:firstRow="0" w:lastRow="0" w:firstColumn="0" w:lastColumn="0" w:oddVBand="0" w:evenVBand="0" w:oddHBand="1" w:evenHBand="0" w:firstRowFirstColumn="0" w:firstRowLastColumn="0" w:lastRowFirstColumn="0" w:lastRowLastColumn="0"/>
            </w:pPr>
            <w:r w:rsidRPr="00C52C38">
              <w:rPr>
                <w:rFonts w:eastAsia="Times New Roman"/>
                <w:b/>
                <w:bCs/>
              </w:rPr>
              <w:t>H</w:t>
            </w:r>
            <w:r w:rsidRPr="00C52C38">
              <w:rPr>
                <w:b/>
                <w:bCs/>
              </w:rPr>
              <w:t>7-</w:t>
            </w:r>
            <w:r w:rsidRPr="00C52C38">
              <w:rPr>
                <w:rFonts w:eastAsia="Times New Roman"/>
                <w:b/>
                <w:bCs/>
              </w:rPr>
              <w:t>9.2</w:t>
            </w:r>
            <w:r w:rsidRPr="006664C8">
              <w:rPr>
                <w:rFonts w:eastAsia="Times New Roman"/>
              </w:rPr>
              <w:t>. FSP services improved self-reported mental health.</w:t>
            </w:r>
          </w:p>
          <w:p w14:paraId="4AB54679" w14:textId="0D230322" w:rsidR="00596ECB" w:rsidRPr="006664C8" w:rsidRDefault="00596ECB" w:rsidP="00C52C38">
            <w:pPr>
              <w:pStyle w:val="TableNormal0"/>
              <w:cnfStyle w:val="000000100000" w:firstRow="0" w:lastRow="0" w:firstColumn="0" w:lastColumn="0" w:oddVBand="0" w:evenVBand="0" w:oddHBand="1" w:evenHBand="0" w:firstRowFirstColumn="0" w:firstRowLastColumn="0" w:lastRowFirstColumn="0" w:lastRowLastColumn="0"/>
            </w:pPr>
            <w:r w:rsidRPr="00C52C38">
              <w:rPr>
                <w:rFonts w:eastAsia="Times New Roman"/>
                <w:b/>
                <w:bCs/>
              </w:rPr>
              <w:t>H</w:t>
            </w:r>
            <w:r w:rsidRPr="00C52C38">
              <w:rPr>
                <w:b/>
                <w:bCs/>
              </w:rPr>
              <w:t>7-</w:t>
            </w:r>
            <w:r w:rsidRPr="00C52C38">
              <w:rPr>
                <w:rFonts w:eastAsia="Times New Roman"/>
                <w:b/>
                <w:bCs/>
              </w:rPr>
              <w:t>9.3.</w:t>
            </w:r>
            <w:r w:rsidRPr="006664C8">
              <w:rPr>
                <w:rFonts w:eastAsia="Times New Roman"/>
              </w:rPr>
              <w:t xml:space="preserve"> FSP </w:t>
            </w:r>
            <w:r w:rsidR="00AC17B9">
              <w:rPr>
                <w:rFonts w:eastAsia="Times New Roman"/>
              </w:rPr>
              <w:t>nutrition support</w:t>
            </w:r>
            <w:r w:rsidR="00AC17B9" w:rsidRPr="006664C8">
              <w:rPr>
                <w:rFonts w:eastAsia="Times New Roman"/>
              </w:rPr>
              <w:t xml:space="preserve"> </w:t>
            </w:r>
            <w:r w:rsidRPr="006664C8">
              <w:rPr>
                <w:rFonts w:eastAsia="Times New Roman"/>
              </w:rPr>
              <w:t xml:space="preserve">lowered </w:t>
            </w:r>
            <w:r w:rsidRPr="006664C8">
              <w:rPr>
                <w:rFonts w:eastAsia="Times New Roman"/>
              </w:rPr>
              <w:lastRenderedPageBreak/>
              <w:t>HbA1c levels among members with diabetes.</w:t>
            </w:r>
          </w:p>
          <w:p w14:paraId="275D6CDF" w14:textId="77777777" w:rsidR="00596ECB" w:rsidRPr="006664C8" w:rsidRDefault="00596ECB" w:rsidP="00C52C38">
            <w:pPr>
              <w:pStyle w:val="TableNormal0"/>
              <w:cnfStyle w:val="000000100000" w:firstRow="0" w:lastRow="0" w:firstColumn="0" w:lastColumn="0" w:oddVBand="0" w:evenVBand="0" w:oddHBand="1" w:evenHBand="0" w:firstRowFirstColumn="0" w:firstRowLastColumn="0" w:lastRowFirstColumn="0" w:lastRowLastColumn="0"/>
            </w:pPr>
            <w:r w:rsidRPr="00C52C38">
              <w:rPr>
                <w:rFonts w:eastAsia="Times New Roman"/>
                <w:b/>
                <w:bCs/>
              </w:rPr>
              <w:t>H</w:t>
            </w:r>
            <w:r w:rsidRPr="00C52C38">
              <w:rPr>
                <w:b/>
                <w:bCs/>
              </w:rPr>
              <w:t>7-</w:t>
            </w:r>
            <w:r w:rsidRPr="00C52C38">
              <w:rPr>
                <w:rFonts w:eastAsia="Times New Roman"/>
                <w:b/>
                <w:bCs/>
              </w:rPr>
              <w:t>9.4</w:t>
            </w:r>
            <w:r w:rsidRPr="006664C8">
              <w:rPr>
                <w:rFonts w:eastAsia="Times New Roman"/>
              </w:rPr>
              <w:t>. FSP lowered blood pressure levels among members with hypertension.</w:t>
            </w:r>
          </w:p>
          <w:p w14:paraId="4626637B" w14:textId="7A2C3FB0" w:rsidR="00596ECB" w:rsidRPr="006664C8" w:rsidRDefault="00596ECB" w:rsidP="00C52C38">
            <w:pPr>
              <w:pStyle w:val="TableNormal0"/>
              <w:cnfStyle w:val="000000100000" w:firstRow="0" w:lastRow="0" w:firstColumn="0" w:lastColumn="0" w:oddVBand="0" w:evenVBand="0" w:oddHBand="1" w:evenHBand="0" w:firstRowFirstColumn="0" w:firstRowLastColumn="0" w:lastRowFirstColumn="0" w:lastRowLastColumn="0"/>
            </w:pPr>
            <w:r w:rsidRPr="00C52C38">
              <w:rPr>
                <w:rFonts w:eastAsia="Times New Roman"/>
                <w:b/>
                <w:bCs/>
              </w:rPr>
              <w:t>H</w:t>
            </w:r>
            <w:r w:rsidRPr="00C52C38">
              <w:rPr>
                <w:b/>
                <w:bCs/>
              </w:rPr>
              <w:t>7-</w:t>
            </w:r>
            <w:r w:rsidRPr="00C52C38">
              <w:rPr>
                <w:rFonts w:eastAsia="Times New Roman"/>
                <w:b/>
                <w:bCs/>
              </w:rPr>
              <w:t>9.5</w:t>
            </w:r>
            <w:r w:rsidRPr="006664C8">
              <w:rPr>
                <w:rFonts w:eastAsia="Times New Roman"/>
              </w:rPr>
              <w:t xml:space="preserve"> The magnitude of FSP </w:t>
            </w:r>
            <w:r w:rsidR="00EB1D04">
              <w:t>nutrition support</w:t>
            </w:r>
            <w:r w:rsidR="00EB1D04" w:rsidRPr="006664C8">
              <w:t xml:space="preserve"> </w:t>
            </w:r>
            <w:r w:rsidR="00DB154B">
              <w:rPr>
                <w:rFonts w:eastAsia="Times New Roman"/>
              </w:rPr>
              <w:t>s</w:t>
            </w:r>
            <w:r w:rsidR="00947404">
              <w:rPr>
                <w:rFonts w:eastAsia="Times New Roman"/>
              </w:rPr>
              <w:t>ervices</w:t>
            </w:r>
            <w:r w:rsidR="00AC3E5F">
              <w:rPr>
                <w:rFonts w:eastAsia="Times New Roman"/>
              </w:rPr>
              <w:t>'</w:t>
            </w:r>
            <w:r w:rsidRPr="006664C8">
              <w:rPr>
                <w:rFonts w:eastAsia="Times New Roman"/>
              </w:rPr>
              <w:t xml:space="preserve"> effects on HbA1c levels among members with diabetes were dependent on the duration of services and, for </w:t>
            </w:r>
            <w:r w:rsidR="00947404">
              <w:t>nutrition support</w:t>
            </w:r>
            <w:r w:rsidR="00947404" w:rsidRPr="006664C8">
              <w:t xml:space="preserve"> </w:t>
            </w:r>
            <w:r w:rsidRPr="006664C8">
              <w:rPr>
                <w:rFonts w:eastAsia="Times New Roman"/>
              </w:rPr>
              <w:t>vouchers, the amount of the voucher.</w:t>
            </w:r>
          </w:p>
          <w:p w14:paraId="49C32F90" w14:textId="128B3D9C" w:rsidR="00596ECB" w:rsidRPr="006664C8" w:rsidRDefault="00596ECB" w:rsidP="00C52C38">
            <w:pPr>
              <w:pStyle w:val="TableNormal0"/>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52C38">
              <w:rPr>
                <w:b/>
                <w:bCs/>
                <w:color w:val="000000"/>
              </w:rPr>
              <w:t>H</w:t>
            </w:r>
            <w:r w:rsidRPr="00C52C38">
              <w:rPr>
                <w:b/>
                <w:bCs/>
              </w:rPr>
              <w:t>7-</w:t>
            </w:r>
            <w:r w:rsidRPr="00C52C38">
              <w:rPr>
                <w:b/>
                <w:bCs/>
                <w:color w:val="000000"/>
              </w:rPr>
              <w:t>9.6</w:t>
            </w:r>
            <w:r w:rsidRPr="006664C8">
              <w:t xml:space="preserve">. Whether </w:t>
            </w:r>
            <w:r w:rsidR="00AC3E5F">
              <w:t xml:space="preserve">the </w:t>
            </w:r>
            <w:r w:rsidRPr="006664C8">
              <w:t>effects of FSP on health outcomes will be sustained beyond the end of services will vary by service type</w:t>
            </w:r>
            <w:r w:rsidRPr="006664C8">
              <w:rPr>
                <w:rFonts w:eastAsia="Times New Roman"/>
              </w:rPr>
              <w:t>.</w:t>
            </w:r>
          </w:p>
        </w:tc>
        <w:tc>
          <w:tcPr>
            <w:tcW w:w="2430" w:type="dxa"/>
          </w:tcPr>
          <w:p w14:paraId="600484E5" w14:textId="32C355D8" w:rsidR="00596ECB" w:rsidRPr="006664C8" w:rsidRDefault="00596ECB" w:rsidP="00C52C38">
            <w:pPr>
              <w:pStyle w:val="TableNormal0"/>
              <w:cnfStyle w:val="000000100000" w:firstRow="0" w:lastRow="0" w:firstColumn="0" w:lastColumn="0" w:oddVBand="0" w:evenVBand="0" w:oddHBand="1" w:evenHBand="0" w:firstRowFirstColumn="0" w:firstRowLastColumn="0" w:lastRowFirstColumn="0" w:lastRowLastColumn="0"/>
            </w:pPr>
            <w:r w:rsidRPr="006664C8">
              <w:lastRenderedPageBreak/>
              <w:t>Administrative</w:t>
            </w:r>
            <w:r w:rsidR="222C180B">
              <w:t xml:space="preserve"> data</w:t>
            </w:r>
            <w:r w:rsidRPr="006664C8">
              <w:t>:</w:t>
            </w:r>
          </w:p>
          <w:p w14:paraId="4517F61C" w14:textId="1B2460A4" w:rsidR="00BF1C91" w:rsidRPr="006664C8" w:rsidRDefault="00596ECB" w:rsidP="00BF1C91">
            <w:pPr>
              <w:pStyle w:val="TableNormal0"/>
              <w:cnfStyle w:val="000000100000" w:firstRow="0" w:lastRow="0" w:firstColumn="0" w:lastColumn="0" w:oddVBand="0" w:evenVBand="0" w:oddHBand="1" w:evenHBand="0" w:firstRowFirstColumn="0" w:firstRowLastColumn="0" w:lastRowFirstColumn="0" w:lastRowLastColumn="0"/>
            </w:pPr>
            <w:r w:rsidRPr="006664C8">
              <w:t>Demographics</w:t>
            </w:r>
            <w:r w:rsidR="00BF1C91">
              <w:t xml:space="preserve"> </w:t>
            </w:r>
            <w:r w:rsidR="00BF1C91">
              <w:rPr>
                <w:rFonts w:eastAsia="Times New Roman"/>
              </w:rPr>
              <w:t>(20</w:t>
            </w:r>
            <w:r w:rsidR="00E96895" w:rsidRPr="00C61430">
              <w:rPr>
                <w:rFonts w:eastAsia="Times New Roman"/>
              </w:rPr>
              <w:t>23</w:t>
            </w:r>
            <w:r w:rsidR="00BF1C91">
              <w:rPr>
                <w:rFonts w:eastAsia="Times New Roman"/>
              </w:rPr>
              <w:t>-2027)</w:t>
            </w:r>
            <w:r w:rsidR="00BF1C91" w:rsidRPr="006664C8">
              <w:t>;</w:t>
            </w:r>
          </w:p>
          <w:p w14:paraId="35916E07" w14:textId="6E71BBE5" w:rsidR="00596ECB" w:rsidRPr="006664C8" w:rsidRDefault="00596ECB" w:rsidP="00C52C38">
            <w:pPr>
              <w:pStyle w:val="TableNormal0"/>
              <w:cnfStyle w:val="000000100000" w:firstRow="0" w:lastRow="0" w:firstColumn="0" w:lastColumn="0" w:oddVBand="0" w:evenVBand="0" w:oddHBand="1" w:evenHBand="0" w:firstRowFirstColumn="0" w:firstRowLastColumn="0" w:lastRowFirstColumn="0" w:lastRowLastColumn="0"/>
            </w:pPr>
            <w:r w:rsidRPr="006664C8">
              <w:t>Eligibility/</w:t>
            </w:r>
            <w:r w:rsidR="0028043C" w:rsidRPr="006664C8">
              <w:t xml:space="preserve"> </w:t>
            </w:r>
            <w:r w:rsidRPr="006664C8">
              <w:t>Enrollment</w:t>
            </w:r>
            <w:r w:rsidR="00BF1C91">
              <w:t xml:space="preserve"> </w:t>
            </w:r>
            <w:r w:rsidR="00BF1C91">
              <w:rPr>
                <w:rFonts w:eastAsia="Times New Roman"/>
              </w:rPr>
              <w:t>(20</w:t>
            </w:r>
            <w:r w:rsidR="00E96895" w:rsidRPr="00C61430">
              <w:rPr>
                <w:rFonts w:eastAsia="Times New Roman"/>
              </w:rPr>
              <w:t>23</w:t>
            </w:r>
            <w:r w:rsidR="00BF1C91">
              <w:rPr>
                <w:rFonts w:eastAsia="Times New Roman"/>
              </w:rPr>
              <w:t>-2027);</w:t>
            </w:r>
          </w:p>
          <w:p w14:paraId="2736E381" w14:textId="5CF27587" w:rsidR="00596ECB" w:rsidRPr="006664C8" w:rsidRDefault="00596ECB" w:rsidP="00C52C38">
            <w:pPr>
              <w:pStyle w:val="TableNormal0"/>
              <w:cnfStyle w:val="000000100000" w:firstRow="0" w:lastRow="0" w:firstColumn="0" w:lastColumn="0" w:oddVBand="0" w:evenVBand="0" w:oddHBand="1" w:evenHBand="0" w:firstRowFirstColumn="0" w:firstRowLastColumn="0" w:lastRowFirstColumn="0" w:lastRowLastColumn="0"/>
            </w:pPr>
            <w:r w:rsidRPr="006664C8">
              <w:t>FSP</w:t>
            </w:r>
            <w:r w:rsidR="00BF1C91">
              <w:t xml:space="preserve"> </w:t>
            </w:r>
            <w:r w:rsidR="00BF1C91">
              <w:rPr>
                <w:rFonts w:eastAsia="Times New Roman"/>
              </w:rPr>
              <w:t>(20</w:t>
            </w:r>
            <w:r w:rsidR="00E96895" w:rsidRPr="00C61430">
              <w:rPr>
                <w:rFonts w:eastAsia="Times New Roman"/>
              </w:rPr>
              <w:t>23</w:t>
            </w:r>
            <w:r w:rsidR="00BF1C91">
              <w:rPr>
                <w:rFonts w:eastAsia="Times New Roman"/>
              </w:rPr>
              <w:t>-2027)</w:t>
            </w:r>
          </w:p>
        </w:tc>
        <w:tc>
          <w:tcPr>
            <w:tcW w:w="2340" w:type="dxa"/>
          </w:tcPr>
          <w:p w14:paraId="7FC280FC" w14:textId="6B74C900" w:rsidR="00596ECB" w:rsidRPr="006664C8" w:rsidRDefault="0692D496" w:rsidP="00C52C38">
            <w:pPr>
              <w:pStyle w:val="TableNormal0"/>
              <w:cnfStyle w:val="000000100000" w:firstRow="0" w:lastRow="0" w:firstColumn="0" w:lastColumn="0" w:oddVBand="0" w:evenVBand="0" w:oddHBand="1" w:evenHBand="0" w:firstRowFirstColumn="0" w:firstRowLastColumn="0" w:lastRowFirstColumn="0" w:lastRowLastColumn="0"/>
            </w:pPr>
            <w:r>
              <w:t xml:space="preserve">FSP services recipients </w:t>
            </w:r>
            <w:r w:rsidR="07753212" w:rsidRPr="3383C28C">
              <w:rPr>
                <w:rFonts w:eastAsia="Times New Roman"/>
              </w:rPr>
              <w:t>(Housing support n=</w:t>
            </w:r>
            <w:r w:rsidR="0264B1A6" w:rsidRPr="3383C28C">
              <w:rPr>
                <w:rFonts w:eastAsia="Times New Roman"/>
              </w:rPr>
              <w:t>~</w:t>
            </w:r>
            <w:r w:rsidR="07753212" w:rsidRPr="3383C28C">
              <w:rPr>
                <w:rFonts w:eastAsia="Times New Roman"/>
              </w:rPr>
              <w:t>3,000; nutrition support n=</w:t>
            </w:r>
            <w:r w:rsidR="0264B1A6" w:rsidRPr="3383C28C">
              <w:rPr>
                <w:rFonts w:eastAsia="Times New Roman"/>
              </w:rPr>
              <w:t>~</w:t>
            </w:r>
            <w:r w:rsidR="07753212" w:rsidRPr="3383C28C">
              <w:rPr>
                <w:rFonts w:eastAsia="Times New Roman"/>
              </w:rPr>
              <w:t xml:space="preserve">11,000) </w:t>
            </w:r>
            <w:r>
              <w:t xml:space="preserve">(H7-9.1 and H7-9.2).  </w:t>
            </w:r>
          </w:p>
          <w:p w14:paraId="63DB3B6E" w14:textId="101D12D9" w:rsidR="00596ECB" w:rsidRPr="006664C8" w:rsidRDefault="00596ECB" w:rsidP="00C52C38">
            <w:pPr>
              <w:pStyle w:val="TableNormal0"/>
              <w:cnfStyle w:val="000000100000" w:firstRow="0" w:lastRow="0" w:firstColumn="0" w:lastColumn="0" w:oddVBand="0" w:evenVBand="0" w:oddHBand="1" w:evenHBand="0" w:firstRowFirstColumn="0" w:firstRowLastColumn="0" w:lastRowFirstColumn="0" w:lastRowLastColumn="0"/>
            </w:pPr>
            <w:r w:rsidRPr="006664C8">
              <w:t xml:space="preserve">FSP </w:t>
            </w:r>
            <w:r w:rsidR="00DE792D">
              <w:t>nutrition support</w:t>
            </w:r>
            <w:r w:rsidR="00590C30">
              <w:t>s</w:t>
            </w:r>
            <w:r w:rsidR="00DE792D" w:rsidRPr="006664C8">
              <w:t xml:space="preserve"> </w:t>
            </w:r>
            <w:r w:rsidRPr="006664C8">
              <w:t>participants with diabetes</w:t>
            </w:r>
            <w:r w:rsidR="00CA2091">
              <w:t xml:space="preserve"> (n</w:t>
            </w:r>
            <w:r w:rsidR="003905B9">
              <w:t>=~</w:t>
            </w:r>
            <w:r w:rsidR="00835B25">
              <w:t>3,500</w:t>
            </w:r>
            <w:r w:rsidR="0087726C">
              <w:t>)</w:t>
            </w:r>
            <w:r w:rsidRPr="006664C8">
              <w:t xml:space="preserve">. Comparison group of referred but not served members with </w:t>
            </w:r>
            <w:r w:rsidRPr="006664C8">
              <w:lastRenderedPageBreak/>
              <w:t xml:space="preserve">diabetes </w:t>
            </w:r>
            <w:r w:rsidR="0087726C">
              <w:t>(n=</w:t>
            </w:r>
            <w:r w:rsidR="00700AFE">
              <w:t>280</w:t>
            </w:r>
            <w:r w:rsidR="00165B01">
              <w:t>)</w:t>
            </w:r>
            <w:r w:rsidR="007541BD">
              <w:t xml:space="preserve"> </w:t>
            </w:r>
            <w:r w:rsidRPr="006664C8">
              <w:t>(H7-9.3</w:t>
            </w:r>
            <w:r w:rsidR="00CA68E5">
              <w:t xml:space="preserve"> and H7-9.5</w:t>
            </w:r>
            <w:r w:rsidRPr="006664C8">
              <w:t>);</w:t>
            </w:r>
          </w:p>
          <w:p w14:paraId="6C83DCC6" w14:textId="3B01AD3C" w:rsidR="00596ECB" w:rsidRPr="006664C8" w:rsidRDefault="00596ECB" w:rsidP="00C52C38">
            <w:pPr>
              <w:pStyle w:val="TableNormal0"/>
              <w:cnfStyle w:val="000000100000" w:firstRow="0" w:lastRow="0" w:firstColumn="0" w:lastColumn="0" w:oddVBand="0" w:evenVBand="0" w:oddHBand="1" w:evenHBand="0" w:firstRowFirstColumn="0" w:firstRowLastColumn="0" w:lastRowFirstColumn="0" w:lastRowLastColumn="0"/>
            </w:pPr>
            <w:r w:rsidRPr="006664C8">
              <w:t>FSP services recipients with hypertension</w:t>
            </w:r>
            <w:r w:rsidR="007541BD">
              <w:t xml:space="preserve"> (Housing support n=~</w:t>
            </w:r>
            <w:r w:rsidR="00AC4DFB">
              <w:t>2</w:t>
            </w:r>
            <w:r w:rsidR="00587FC7">
              <w:t>,000</w:t>
            </w:r>
            <w:r w:rsidR="00DE14AC">
              <w:t>; nutrition support n=~</w:t>
            </w:r>
            <w:r w:rsidR="00AC4DFB">
              <w:t>5,000</w:t>
            </w:r>
            <w:r w:rsidR="00431E7B">
              <w:t>)</w:t>
            </w:r>
            <w:r w:rsidRPr="006664C8">
              <w:t>. Comparison group of referred but not served members with hypertension</w:t>
            </w:r>
            <w:r w:rsidR="00431E7B">
              <w:t xml:space="preserve"> (</w:t>
            </w:r>
            <w:r w:rsidR="006E147C">
              <w:t xml:space="preserve">Housing support </w:t>
            </w:r>
            <w:r w:rsidR="00431E7B">
              <w:t>n</w:t>
            </w:r>
            <w:r w:rsidR="006E147C">
              <w:t>=~</w:t>
            </w:r>
            <w:r w:rsidR="00AF56C1">
              <w:t>150</w:t>
            </w:r>
            <w:r w:rsidR="006E147C">
              <w:t xml:space="preserve">; nutrition support n=~ </w:t>
            </w:r>
            <w:r w:rsidR="00AF56C1">
              <w:t>420</w:t>
            </w:r>
            <w:r w:rsidR="00431E7B">
              <w:t>)</w:t>
            </w:r>
            <w:r w:rsidR="00A1105E">
              <w:t xml:space="preserve">; Comparison group of </w:t>
            </w:r>
            <w:r w:rsidR="000E29C3">
              <w:t>propensity-balanced non-recipients (housing n=~2,000; nutrition n=~5,000)</w:t>
            </w:r>
            <w:r w:rsidRPr="006664C8">
              <w:t>(H7-9.4);</w:t>
            </w:r>
          </w:p>
          <w:p w14:paraId="7F8CC7FD" w14:textId="650805A8" w:rsidR="00596ECB" w:rsidRPr="006664C8" w:rsidRDefault="00596ECB" w:rsidP="00C52C38">
            <w:pPr>
              <w:pStyle w:val="TableNormal0"/>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6664C8">
              <w:t>See study populations for H7-9.1-4  (H7-9.6)</w:t>
            </w:r>
          </w:p>
        </w:tc>
        <w:tc>
          <w:tcPr>
            <w:tcW w:w="1800" w:type="dxa"/>
          </w:tcPr>
          <w:p w14:paraId="56E13C3B" w14:textId="77777777" w:rsidR="00596ECB" w:rsidRPr="006664C8" w:rsidRDefault="00596ECB" w:rsidP="00C52C38">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6664C8">
              <w:rPr>
                <w:rFonts w:eastAsia="Times New Roman"/>
              </w:rPr>
              <w:lastRenderedPageBreak/>
              <w:t>Physical health status;</w:t>
            </w:r>
          </w:p>
          <w:p w14:paraId="19D07F13" w14:textId="77777777" w:rsidR="00596ECB" w:rsidRPr="006664C8" w:rsidRDefault="00596ECB" w:rsidP="00C52C38">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6664C8">
              <w:rPr>
                <w:rFonts w:eastAsia="Times New Roman"/>
              </w:rPr>
              <w:t>Mental health status;</w:t>
            </w:r>
          </w:p>
          <w:p w14:paraId="6EA7B4FF" w14:textId="77777777" w:rsidR="00596ECB" w:rsidRPr="006664C8" w:rsidRDefault="00596ECB" w:rsidP="00C52C38">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6664C8">
              <w:rPr>
                <w:rFonts w:eastAsia="Times New Roman"/>
              </w:rPr>
              <w:t>HbA1c level;</w:t>
            </w:r>
          </w:p>
          <w:p w14:paraId="32D78436" w14:textId="77777777" w:rsidR="00596ECB" w:rsidRPr="006664C8" w:rsidRDefault="00596ECB" w:rsidP="00C52C38">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6664C8">
              <w:rPr>
                <w:rFonts w:eastAsia="Times New Roman"/>
              </w:rPr>
              <w:t>Blood pressure;</w:t>
            </w:r>
          </w:p>
          <w:p w14:paraId="10F7E2E9" w14:textId="77777777" w:rsidR="00596ECB" w:rsidRPr="006664C8" w:rsidRDefault="00596ECB" w:rsidP="00C52C38">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6664C8">
              <w:t>Self-reported physical health status;</w:t>
            </w:r>
          </w:p>
          <w:p w14:paraId="10C8CF93" w14:textId="77777777" w:rsidR="00596ECB" w:rsidRPr="006664C8" w:rsidRDefault="00596ECB" w:rsidP="00C52C38">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6664C8">
              <w:lastRenderedPageBreak/>
              <w:t>Self-reported mental health status;</w:t>
            </w:r>
          </w:p>
          <w:p w14:paraId="02D00675" w14:textId="77777777" w:rsidR="00596ECB" w:rsidRPr="006664C8" w:rsidRDefault="00596ECB" w:rsidP="00C52C38">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6664C8">
              <w:t>HbA1c;</w:t>
            </w:r>
          </w:p>
          <w:p w14:paraId="019477FF" w14:textId="77777777" w:rsidR="00596ECB" w:rsidRPr="006664C8" w:rsidRDefault="00596ECB" w:rsidP="00C52C38">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6664C8">
              <w:t>Blood pressure</w:t>
            </w:r>
          </w:p>
          <w:p w14:paraId="37CC1BAD" w14:textId="77777777" w:rsidR="00596ECB" w:rsidRPr="006664C8" w:rsidRDefault="00596ECB" w:rsidP="00C52C38">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6664C8">
              <w:rPr>
                <w:rFonts w:eastAsia="Times New Roman"/>
              </w:rPr>
              <w:t>See H7-9.1-4</w:t>
            </w:r>
          </w:p>
        </w:tc>
        <w:tc>
          <w:tcPr>
            <w:tcW w:w="3079" w:type="dxa"/>
          </w:tcPr>
          <w:p w14:paraId="2C4E8280" w14:textId="51B12C63" w:rsidR="00596ECB" w:rsidRPr="006664C8" w:rsidRDefault="00596ECB" w:rsidP="00C52C38">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6664C8">
              <w:rPr>
                <w:rFonts w:eastAsia="Times New Roman"/>
              </w:rPr>
              <w:lastRenderedPageBreak/>
              <w:t>Descriptive statistics</w:t>
            </w:r>
            <w:r w:rsidR="00A43862">
              <w:rPr>
                <w:rFonts w:eastAsia="Times New Roman"/>
              </w:rPr>
              <w:t xml:space="preserve"> </w:t>
            </w:r>
            <w:r w:rsidR="005D59B9">
              <w:t>(member)</w:t>
            </w:r>
            <w:r w:rsidRPr="006664C8">
              <w:rPr>
                <w:rFonts w:eastAsia="Times New Roman"/>
              </w:rPr>
              <w:t>;</w:t>
            </w:r>
          </w:p>
          <w:p w14:paraId="5AF13A3F" w14:textId="67CBFDFA" w:rsidR="00596ECB" w:rsidRPr="006664C8" w:rsidRDefault="00596ECB" w:rsidP="00C52C38">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6664C8">
              <w:rPr>
                <w:rFonts w:eastAsia="Times New Roman"/>
              </w:rPr>
              <w:t>Pre/Post Comparison (H7-9.1, H7-9.2, H7-9.6)</w:t>
            </w:r>
            <w:r w:rsidR="005D59B9">
              <w:t xml:space="preserve"> (member</w:t>
            </w:r>
            <w:r>
              <w:t>)</w:t>
            </w:r>
            <w:r w:rsidRPr="006664C8">
              <w:rPr>
                <w:rFonts w:eastAsia="Times New Roman"/>
              </w:rPr>
              <w:t>;</w:t>
            </w:r>
          </w:p>
          <w:p w14:paraId="7354633E" w14:textId="4F858D71" w:rsidR="00596ECB" w:rsidRPr="006664C8" w:rsidRDefault="00596ECB" w:rsidP="00C52C38">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6664C8">
              <w:rPr>
                <w:rFonts w:eastAsia="Times New Roman"/>
              </w:rPr>
              <w:t>Difference-in-Difference Model (H7-9.3, H7-9.4</w:t>
            </w:r>
            <w:r w:rsidR="00937B85">
              <w:rPr>
                <w:rFonts w:eastAsia="Times New Roman"/>
              </w:rPr>
              <w:t xml:space="preserve"> - </w:t>
            </w:r>
            <w:r w:rsidRPr="006664C8">
              <w:rPr>
                <w:rFonts w:eastAsia="Times New Roman"/>
              </w:rPr>
              <w:t xml:space="preserve"> H7-9.6)</w:t>
            </w:r>
            <w:r w:rsidR="005D59B9">
              <w:t xml:space="preserve"> (member</w:t>
            </w:r>
            <w:r>
              <w:t>)</w:t>
            </w:r>
          </w:p>
          <w:p w14:paraId="077031FF" w14:textId="1AE20DCF" w:rsidR="00596ECB" w:rsidRPr="006664C8" w:rsidRDefault="00596ECB" w:rsidP="00C52C38">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p>
        </w:tc>
      </w:tr>
      <w:tr w:rsidR="00845EEC" w:rsidRPr="006664C8" w14:paraId="2FAE0DA7" w14:textId="77777777" w:rsidTr="3383C28C">
        <w:trPr>
          <w:trHeight w:val="472"/>
        </w:trPr>
        <w:tc>
          <w:tcPr>
            <w:cnfStyle w:val="001000000000" w:firstRow="0" w:lastRow="0" w:firstColumn="1" w:lastColumn="0" w:oddVBand="0" w:evenVBand="0" w:oddHBand="0" w:evenHBand="0" w:firstRowFirstColumn="0" w:firstRowLastColumn="0" w:lastRowFirstColumn="0" w:lastRowLastColumn="0"/>
            <w:tcW w:w="2155" w:type="dxa"/>
          </w:tcPr>
          <w:p w14:paraId="43847CBF" w14:textId="77777777" w:rsidR="00596ECB" w:rsidRPr="006664C8" w:rsidRDefault="00596ECB" w:rsidP="00C52C38">
            <w:pPr>
              <w:pStyle w:val="TableNormal0"/>
            </w:pPr>
            <w:r w:rsidRPr="006664C8">
              <w:t xml:space="preserve">RQ7-10 </w:t>
            </w:r>
            <w:r w:rsidRPr="00F5435E">
              <w:t xml:space="preserve">Do nutritional FSP services for MassHealth members at risk for nutritional deficiencies achieve better outcomes when </w:t>
            </w:r>
            <w:r w:rsidRPr="00F5435E">
              <w:lastRenderedPageBreak/>
              <w:t>supports are delivered to MassHealth members and those in their household versus when supports are delivered to members only?</w:t>
            </w:r>
          </w:p>
        </w:tc>
        <w:tc>
          <w:tcPr>
            <w:tcW w:w="1710" w:type="dxa"/>
          </w:tcPr>
          <w:p w14:paraId="4CB2738B" w14:textId="6D386C0E" w:rsidR="00596ECB" w:rsidRPr="006664C8" w:rsidRDefault="00596ECB" w:rsidP="00C52C38">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C52C38">
              <w:rPr>
                <w:rFonts w:eastAsia="Times New Roman"/>
                <w:b/>
                <w:bCs/>
              </w:rPr>
              <w:lastRenderedPageBreak/>
              <w:t>H</w:t>
            </w:r>
            <w:r w:rsidRPr="00C52C38">
              <w:rPr>
                <w:b/>
                <w:bCs/>
              </w:rPr>
              <w:t>7-</w:t>
            </w:r>
            <w:r w:rsidRPr="00C52C38">
              <w:rPr>
                <w:rFonts w:eastAsia="Times New Roman"/>
                <w:b/>
                <w:bCs/>
              </w:rPr>
              <w:t>10.1</w:t>
            </w:r>
            <w:r w:rsidRPr="006664C8">
              <w:rPr>
                <w:rFonts w:eastAsia="Times New Roman"/>
              </w:rPr>
              <w:t xml:space="preserve"> Allowing nutritional supports to be delivered to MassHealth members and their household</w:t>
            </w:r>
            <w:r w:rsidR="00590C30">
              <w:rPr>
                <w:rFonts w:eastAsia="Times New Roman"/>
              </w:rPr>
              <w:t>s</w:t>
            </w:r>
            <w:r w:rsidRPr="006664C8">
              <w:rPr>
                <w:rFonts w:eastAsia="Times New Roman"/>
              </w:rPr>
              <w:t xml:space="preserve"> will lead </w:t>
            </w:r>
            <w:r w:rsidRPr="006664C8">
              <w:rPr>
                <w:rFonts w:eastAsia="Times New Roman"/>
              </w:rPr>
              <w:lastRenderedPageBreak/>
              <w:t xml:space="preserve">to more nutritional supports being delivered to those in </w:t>
            </w:r>
            <w:r w:rsidR="00590C30" w:rsidRPr="006664C8">
              <w:rPr>
                <w:rFonts w:eastAsia="Times New Roman"/>
              </w:rPr>
              <w:t>food</w:t>
            </w:r>
            <w:r w:rsidR="00590C30">
              <w:rPr>
                <w:rFonts w:eastAsia="Times New Roman"/>
              </w:rPr>
              <w:t>-</w:t>
            </w:r>
            <w:r w:rsidRPr="006664C8">
              <w:rPr>
                <w:rFonts w:eastAsia="Times New Roman"/>
              </w:rPr>
              <w:t>insecure households.</w:t>
            </w:r>
          </w:p>
          <w:p w14:paraId="75077243" w14:textId="77777777" w:rsidR="00596ECB" w:rsidRPr="006664C8" w:rsidRDefault="00596ECB" w:rsidP="00C52C38">
            <w:pPr>
              <w:pStyle w:val="TableNormal0"/>
              <w:cnfStyle w:val="000000000000" w:firstRow="0" w:lastRow="0" w:firstColumn="0" w:lastColumn="0" w:oddVBand="0" w:evenVBand="0" w:oddHBand="0" w:evenHBand="0" w:firstRowFirstColumn="0" w:firstRowLastColumn="0" w:lastRowFirstColumn="0" w:lastRowLastColumn="0"/>
            </w:pPr>
            <w:r w:rsidRPr="00C52C38">
              <w:rPr>
                <w:rFonts w:eastAsia="Times New Roman"/>
                <w:b/>
                <w:bCs/>
              </w:rPr>
              <w:t>H</w:t>
            </w:r>
            <w:r w:rsidRPr="00C52C38">
              <w:rPr>
                <w:b/>
                <w:bCs/>
              </w:rPr>
              <w:t>7-</w:t>
            </w:r>
            <w:r w:rsidRPr="00C52C38">
              <w:rPr>
                <w:rFonts w:eastAsia="Times New Roman"/>
                <w:b/>
                <w:bCs/>
              </w:rPr>
              <w:t>10.2</w:t>
            </w:r>
            <w:r w:rsidRPr="006664C8">
              <w:rPr>
                <w:rFonts w:eastAsia="Times New Roman"/>
              </w:rPr>
              <w:t xml:space="preserve"> Among members with diabetes who share meals with those in their household, nutritional supports will improve A1c more when delivered to a member and their household versus when delivered to the member only.</w:t>
            </w:r>
          </w:p>
          <w:p w14:paraId="39B75B38" w14:textId="77777777" w:rsidR="00596ECB" w:rsidRPr="006664C8" w:rsidRDefault="00596ECB" w:rsidP="00C52C38">
            <w:pPr>
              <w:pStyle w:val="TableNormal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52C38">
              <w:rPr>
                <w:rFonts w:eastAsia="Times New Roman"/>
                <w:b/>
                <w:bCs/>
              </w:rPr>
              <w:t>H</w:t>
            </w:r>
            <w:r w:rsidRPr="00C52C38">
              <w:rPr>
                <w:b/>
                <w:bCs/>
              </w:rPr>
              <w:t>7-</w:t>
            </w:r>
            <w:r w:rsidRPr="00C52C38">
              <w:rPr>
                <w:rFonts w:eastAsia="Times New Roman"/>
                <w:b/>
                <w:bCs/>
              </w:rPr>
              <w:t>10.3</w:t>
            </w:r>
            <w:r w:rsidRPr="006664C8">
              <w:rPr>
                <w:rFonts w:eastAsia="Times New Roman"/>
              </w:rPr>
              <w:t xml:space="preserve"> Nutritional supports will reduce food insecurity more when delivered to a member and their household compared with when only delivered to the member.</w:t>
            </w:r>
          </w:p>
        </w:tc>
        <w:tc>
          <w:tcPr>
            <w:tcW w:w="2430" w:type="dxa"/>
          </w:tcPr>
          <w:p w14:paraId="4A3335F4" w14:textId="197ADA49" w:rsidR="00596ECB" w:rsidRPr="006664C8" w:rsidRDefault="00596ECB" w:rsidP="00C52C38">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6664C8">
              <w:rPr>
                <w:rFonts w:eastAsia="Times New Roman"/>
              </w:rPr>
              <w:lastRenderedPageBreak/>
              <w:t>Administrative</w:t>
            </w:r>
            <w:r w:rsidR="46A41DF6" w:rsidRPr="6E0A98E0">
              <w:rPr>
                <w:rFonts w:eastAsia="Times New Roman"/>
              </w:rPr>
              <w:t xml:space="preserve"> data</w:t>
            </w:r>
            <w:r w:rsidRPr="006664C8">
              <w:rPr>
                <w:rFonts w:eastAsia="Times New Roman"/>
              </w:rPr>
              <w:t>:</w:t>
            </w:r>
          </w:p>
          <w:p w14:paraId="29A9BDD7" w14:textId="326755A1" w:rsidR="00596ECB" w:rsidRPr="006664C8" w:rsidRDefault="00596ECB" w:rsidP="00C52C38">
            <w:pPr>
              <w:pStyle w:val="TableNormal0"/>
              <w:cnfStyle w:val="000000000000" w:firstRow="0" w:lastRow="0" w:firstColumn="0" w:lastColumn="0" w:oddVBand="0" w:evenVBand="0" w:oddHBand="0" w:evenHBand="0" w:firstRowFirstColumn="0" w:firstRowLastColumn="0" w:lastRowFirstColumn="0" w:lastRowLastColumn="0"/>
            </w:pPr>
            <w:r w:rsidRPr="006664C8">
              <w:t>Demographics</w:t>
            </w:r>
            <w:r w:rsidR="003D2702">
              <w:t xml:space="preserve"> </w:t>
            </w:r>
            <w:r w:rsidR="003D2702">
              <w:rPr>
                <w:rFonts w:eastAsia="Times New Roman"/>
              </w:rPr>
              <w:t>(</w:t>
            </w:r>
            <w:r w:rsidR="003D2702" w:rsidRPr="00C61430">
              <w:rPr>
                <w:rFonts w:eastAsia="Times New Roman"/>
              </w:rPr>
              <w:t>20</w:t>
            </w:r>
            <w:r w:rsidR="00273843" w:rsidRPr="00C61430">
              <w:rPr>
                <w:rFonts w:eastAsia="Times New Roman"/>
              </w:rPr>
              <w:t>20</w:t>
            </w:r>
            <w:r w:rsidR="003D2702">
              <w:rPr>
                <w:rFonts w:eastAsia="Times New Roman"/>
              </w:rPr>
              <w:t>-2027)</w:t>
            </w:r>
            <w:r w:rsidR="003D2702" w:rsidRPr="006664C8">
              <w:t>;</w:t>
            </w:r>
          </w:p>
          <w:p w14:paraId="1C3B0D2A" w14:textId="28963538" w:rsidR="003D2702" w:rsidRPr="006664C8" w:rsidRDefault="00596ECB" w:rsidP="003D2702">
            <w:pPr>
              <w:pStyle w:val="TableNormal0"/>
              <w:cnfStyle w:val="000000000000" w:firstRow="0" w:lastRow="0" w:firstColumn="0" w:lastColumn="0" w:oddVBand="0" w:evenVBand="0" w:oddHBand="0" w:evenHBand="0" w:firstRowFirstColumn="0" w:firstRowLastColumn="0" w:lastRowFirstColumn="0" w:lastRowLastColumn="0"/>
            </w:pPr>
            <w:r w:rsidRPr="006664C8">
              <w:t>Eligibility/Enrollment</w:t>
            </w:r>
            <w:r w:rsidR="003D2702">
              <w:t xml:space="preserve"> </w:t>
            </w:r>
            <w:r w:rsidR="003D2702">
              <w:rPr>
                <w:rFonts w:eastAsia="Times New Roman"/>
              </w:rPr>
              <w:t>(</w:t>
            </w:r>
            <w:r w:rsidR="003D2702" w:rsidRPr="00C61430">
              <w:rPr>
                <w:rFonts w:eastAsia="Times New Roman"/>
              </w:rPr>
              <w:t>20</w:t>
            </w:r>
            <w:r w:rsidR="00273843" w:rsidRPr="00C61430">
              <w:rPr>
                <w:rFonts w:eastAsia="Times New Roman"/>
              </w:rPr>
              <w:t>20</w:t>
            </w:r>
            <w:r w:rsidR="003D2702">
              <w:rPr>
                <w:rFonts w:eastAsia="Times New Roman"/>
              </w:rPr>
              <w:t>-2027)</w:t>
            </w:r>
            <w:r w:rsidR="003D2702" w:rsidRPr="006664C8">
              <w:t>;</w:t>
            </w:r>
          </w:p>
          <w:p w14:paraId="1534F339" w14:textId="426D0927" w:rsidR="003D2702" w:rsidRPr="006664C8" w:rsidRDefault="00596ECB" w:rsidP="003D2702">
            <w:pPr>
              <w:pStyle w:val="TableNormal0"/>
              <w:cnfStyle w:val="000000000000" w:firstRow="0" w:lastRow="0" w:firstColumn="0" w:lastColumn="0" w:oddVBand="0" w:evenVBand="0" w:oddHBand="0" w:evenHBand="0" w:firstRowFirstColumn="0" w:firstRowLastColumn="0" w:lastRowFirstColumn="0" w:lastRowLastColumn="0"/>
            </w:pPr>
            <w:r w:rsidRPr="006664C8">
              <w:lastRenderedPageBreak/>
              <w:t>Claims</w:t>
            </w:r>
            <w:r w:rsidR="0028043C" w:rsidRPr="006664C8">
              <w:t xml:space="preserve"> </w:t>
            </w:r>
            <w:r w:rsidRPr="006664C8">
              <w:t>Encounters</w:t>
            </w:r>
            <w:r w:rsidR="003D2702">
              <w:t xml:space="preserve"> </w:t>
            </w:r>
            <w:r w:rsidR="003D2702">
              <w:rPr>
                <w:rFonts w:eastAsia="Times New Roman"/>
              </w:rPr>
              <w:t>(</w:t>
            </w:r>
            <w:r w:rsidR="003D2702" w:rsidRPr="00C61430">
              <w:rPr>
                <w:rFonts w:eastAsia="Times New Roman"/>
              </w:rPr>
              <w:t>20</w:t>
            </w:r>
            <w:r w:rsidR="00273843" w:rsidRPr="00C61430">
              <w:rPr>
                <w:rFonts w:eastAsia="Times New Roman"/>
              </w:rPr>
              <w:t>20</w:t>
            </w:r>
            <w:r w:rsidR="003D2702">
              <w:rPr>
                <w:rFonts w:eastAsia="Times New Roman"/>
              </w:rPr>
              <w:t>-2027)</w:t>
            </w:r>
            <w:r w:rsidR="003D2702" w:rsidRPr="006664C8">
              <w:t>;</w:t>
            </w:r>
          </w:p>
          <w:p w14:paraId="76DF6ED4" w14:textId="6C04F462" w:rsidR="00596ECB" w:rsidRPr="006664C8" w:rsidRDefault="00596ECB" w:rsidP="00C52C38">
            <w:pPr>
              <w:pStyle w:val="TableNormal0"/>
              <w:cnfStyle w:val="000000000000" w:firstRow="0" w:lastRow="0" w:firstColumn="0" w:lastColumn="0" w:oddVBand="0" w:evenVBand="0" w:oddHBand="0" w:evenHBand="0" w:firstRowFirstColumn="0" w:firstRowLastColumn="0" w:lastRowFirstColumn="0" w:lastRowLastColumn="0"/>
            </w:pPr>
            <w:r w:rsidRPr="006664C8">
              <w:t>FSP</w:t>
            </w:r>
            <w:r w:rsidR="003D2702">
              <w:t xml:space="preserve"> </w:t>
            </w:r>
            <w:r w:rsidR="003D2702">
              <w:rPr>
                <w:rFonts w:eastAsia="Times New Roman"/>
              </w:rPr>
              <w:t>(</w:t>
            </w:r>
            <w:r w:rsidR="003D2702" w:rsidRPr="00C61430">
              <w:rPr>
                <w:rFonts w:eastAsia="Times New Roman"/>
              </w:rPr>
              <w:t>20</w:t>
            </w:r>
            <w:r w:rsidR="00273843" w:rsidRPr="00C61430">
              <w:rPr>
                <w:rFonts w:eastAsia="Times New Roman"/>
              </w:rPr>
              <w:t>20</w:t>
            </w:r>
            <w:r w:rsidR="003D2702">
              <w:rPr>
                <w:rFonts w:eastAsia="Times New Roman"/>
              </w:rPr>
              <w:t>-2027)</w:t>
            </w:r>
            <w:r w:rsidRPr="006664C8">
              <w:t>;</w:t>
            </w:r>
          </w:p>
          <w:p w14:paraId="74ABA842" w14:textId="1E2E2C78" w:rsidR="00596ECB" w:rsidRPr="006664C8" w:rsidRDefault="00596ECB" w:rsidP="00C52C38">
            <w:pPr>
              <w:pStyle w:val="TableNormal0"/>
              <w:cnfStyle w:val="000000000000" w:firstRow="0" w:lastRow="0" w:firstColumn="0" w:lastColumn="0" w:oddVBand="0" w:evenVBand="0" w:oddHBand="0" w:evenHBand="0" w:firstRowFirstColumn="0" w:firstRowLastColumn="0" w:lastRowFirstColumn="0" w:lastRowLastColumn="0"/>
            </w:pPr>
            <w:r w:rsidRPr="006664C8">
              <w:t>Member interviews</w:t>
            </w:r>
            <w:r w:rsidR="00F21A4F">
              <w:t xml:space="preserve"> </w:t>
            </w:r>
            <w:r w:rsidR="00736356" w:rsidRPr="006A7D74">
              <w:t>(</w:t>
            </w:r>
            <w:r w:rsidR="00736356" w:rsidRPr="00C52C38">
              <w:t>2024-2025; 2026-2027)</w:t>
            </w:r>
          </w:p>
        </w:tc>
        <w:tc>
          <w:tcPr>
            <w:tcW w:w="2340" w:type="dxa"/>
          </w:tcPr>
          <w:p w14:paraId="7862E5E2" w14:textId="10F47D59" w:rsidR="00596ECB" w:rsidRPr="006664C8" w:rsidRDefault="00596ECB" w:rsidP="00C52C38">
            <w:pPr>
              <w:pStyle w:val="TableNormal0"/>
              <w:cnfStyle w:val="000000000000" w:firstRow="0" w:lastRow="0" w:firstColumn="0" w:lastColumn="0" w:oddVBand="0" w:evenVBand="0" w:oddHBand="0" w:evenHBand="0" w:firstRowFirstColumn="0" w:firstRowLastColumn="0" w:lastRowFirstColumn="0" w:lastRowLastColumn="0"/>
            </w:pPr>
            <w:r w:rsidRPr="006664C8">
              <w:rPr>
                <w:rFonts w:eastAsia="Times New Roman"/>
              </w:rPr>
              <w:lastRenderedPageBreak/>
              <w:t xml:space="preserve">FSP members receiving </w:t>
            </w:r>
            <w:r w:rsidR="00230BC2">
              <w:t>nutrition support</w:t>
            </w:r>
            <w:r w:rsidR="00230BC2" w:rsidRPr="006664C8">
              <w:t xml:space="preserve"> </w:t>
            </w:r>
            <w:r w:rsidR="00230BC2">
              <w:rPr>
                <w:rFonts w:eastAsia="Times New Roman"/>
              </w:rPr>
              <w:t xml:space="preserve">services </w:t>
            </w:r>
            <w:r w:rsidRPr="006664C8">
              <w:rPr>
                <w:rFonts w:eastAsia="Times New Roman"/>
              </w:rPr>
              <w:t>for their household</w:t>
            </w:r>
            <w:r w:rsidR="00F85AC0" w:rsidRPr="00C61430">
              <w:rPr>
                <w:rFonts w:eastAsia="Times New Roman"/>
              </w:rPr>
              <w:t xml:space="preserve"> </w:t>
            </w:r>
            <w:r w:rsidR="001F11B5" w:rsidRPr="00C61430">
              <w:rPr>
                <w:rFonts w:eastAsia="Times New Roman"/>
              </w:rPr>
              <w:t>(TBD)</w:t>
            </w:r>
            <w:r w:rsidR="00F85AC0">
              <w:rPr>
                <w:rFonts w:eastAsia="Times New Roman"/>
              </w:rPr>
              <w:t xml:space="preserve"> </w:t>
            </w:r>
          </w:p>
          <w:p w14:paraId="0519FD53" w14:textId="70C93DF9" w:rsidR="00596ECB" w:rsidRPr="006664C8" w:rsidRDefault="00596ECB" w:rsidP="00C52C38">
            <w:pPr>
              <w:pStyle w:val="TableNormal0"/>
              <w:cnfStyle w:val="000000000000" w:firstRow="0" w:lastRow="0" w:firstColumn="0" w:lastColumn="0" w:oddVBand="0" w:evenVBand="0" w:oddHBand="0" w:evenHBand="0" w:firstRowFirstColumn="0" w:firstRowLastColumn="0" w:lastRowFirstColumn="0" w:lastRowLastColumn="0"/>
            </w:pPr>
            <w:r w:rsidRPr="006664C8">
              <w:t xml:space="preserve">Comparisons will be made to programs that operated in </w:t>
            </w:r>
            <w:r w:rsidR="00BA0F12">
              <w:t xml:space="preserve">the </w:t>
            </w:r>
            <w:r w:rsidRPr="006664C8">
              <w:lastRenderedPageBreak/>
              <w:t>first FSP iteration in which household members did not receive FSP services.</w:t>
            </w:r>
            <w:r w:rsidR="001F11B5" w:rsidRPr="00C61430">
              <w:t xml:space="preserve"> </w:t>
            </w:r>
          </w:p>
          <w:p w14:paraId="23C8C13B" w14:textId="0E79876B" w:rsidR="00596ECB" w:rsidRPr="006664C8" w:rsidRDefault="00596ECB" w:rsidP="00C52C38">
            <w:pPr>
              <w:pStyle w:val="TableNormal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664C8">
              <w:t>As diabetes is rare in children, we will first assess sample size and statistical power to assess feasibility prior to this research aim</w:t>
            </w:r>
          </w:p>
        </w:tc>
        <w:tc>
          <w:tcPr>
            <w:tcW w:w="1800" w:type="dxa"/>
          </w:tcPr>
          <w:p w14:paraId="67A9B159" w14:textId="77777777" w:rsidR="00596ECB" w:rsidRPr="006664C8" w:rsidRDefault="00596ECB" w:rsidP="00C52C38">
            <w:pPr>
              <w:pStyle w:val="TableNormal0"/>
              <w:cnfStyle w:val="000000000000" w:firstRow="0" w:lastRow="0" w:firstColumn="0" w:lastColumn="0" w:oddVBand="0" w:evenVBand="0" w:oddHBand="0" w:evenHBand="0" w:firstRowFirstColumn="0" w:firstRowLastColumn="0" w:lastRowFirstColumn="0" w:lastRowLastColumn="0"/>
            </w:pPr>
            <w:r w:rsidRPr="006664C8">
              <w:lastRenderedPageBreak/>
              <w:t>Number of individuals receiving nutritional supports;</w:t>
            </w:r>
          </w:p>
          <w:p w14:paraId="74059705" w14:textId="77777777" w:rsidR="00596ECB" w:rsidRPr="006664C8" w:rsidRDefault="00596ECB" w:rsidP="00C52C38">
            <w:pPr>
              <w:pStyle w:val="TableNormal0"/>
              <w:cnfStyle w:val="000000000000" w:firstRow="0" w:lastRow="0" w:firstColumn="0" w:lastColumn="0" w:oddVBand="0" w:evenVBand="0" w:oddHBand="0" w:evenHBand="0" w:firstRowFirstColumn="0" w:firstRowLastColumn="0" w:lastRowFirstColumn="0" w:lastRowLastColumn="0"/>
            </w:pPr>
            <w:r w:rsidRPr="006664C8">
              <w:t>The total volume of services delivered;</w:t>
            </w:r>
          </w:p>
          <w:p w14:paraId="157F860B" w14:textId="77777777" w:rsidR="00596ECB" w:rsidRPr="006664C8" w:rsidRDefault="00596ECB" w:rsidP="00C52C38">
            <w:pPr>
              <w:pStyle w:val="TableNormal0"/>
              <w:cnfStyle w:val="000000000000" w:firstRow="0" w:lastRow="0" w:firstColumn="0" w:lastColumn="0" w:oddVBand="0" w:evenVBand="0" w:oddHBand="0" w:evenHBand="0" w:firstRowFirstColumn="0" w:firstRowLastColumn="0" w:lastRowFirstColumn="0" w:lastRowLastColumn="0"/>
            </w:pPr>
            <w:r w:rsidRPr="006664C8">
              <w:lastRenderedPageBreak/>
              <w:t>A1c;</w:t>
            </w:r>
          </w:p>
          <w:p w14:paraId="584604C6" w14:textId="77777777" w:rsidR="00596ECB" w:rsidRPr="006664C8" w:rsidRDefault="00596ECB" w:rsidP="00C52C38">
            <w:pPr>
              <w:pStyle w:val="TableNormal0"/>
              <w:cnfStyle w:val="000000000000" w:firstRow="0" w:lastRow="0" w:firstColumn="0" w:lastColumn="0" w:oddVBand="0" w:evenVBand="0" w:oddHBand="0" w:evenHBand="0" w:firstRowFirstColumn="0" w:firstRowLastColumn="0" w:lastRowFirstColumn="0" w:lastRowLastColumn="0"/>
            </w:pPr>
            <w:r w:rsidRPr="006664C8">
              <w:t>Food insecurity;</w:t>
            </w:r>
          </w:p>
          <w:p w14:paraId="1132034A" w14:textId="674CBD4E" w:rsidR="00596ECB" w:rsidRPr="006664C8" w:rsidRDefault="00596ECB" w:rsidP="00C52C38">
            <w:pPr>
              <w:pStyle w:val="TableNormal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664C8">
              <w:t xml:space="preserve">Member or proxy respondent experiences with and perceptions of </w:t>
            </w:r>
            <w:r w:rsidR="00230BC2">
              <w:t>nutrition support</w:t>
            </w:r>
            <w:r w:rsidR="00230BC2" w:rsidRPr="006664C8">
              <w:t xml:space="preserve"> </w:t>
            </w:r>
            <w:r w:rsidR="0026615A">
              <w:t>services</w:t>
            </w:r>
            <w:r w:rsidRPr="006664C8">
              <w:t xml:space="preserve"> delivered to the household</w:t>
            </w:r>
          </w:p>
        </w:tc>
        <w:tc>
          <w:tcPr>
            <w:tcW w:w="3079" w:type="dxa"/>
          </w:tcPr>
          <w:p w14:paraId="46B4DBD0" w14:textId="1BC0292A" w:rsidR="00596ECB" w:rsidRPr="006664C8" w:rsidRDefault="00596ECB" w:rsidP="00C52C38">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6664C8">
              <w:rPr>
                <w:rFonts w:eastAsia="Times New Roman"/>
              </w:rPr>
              <w:lastRenderedPageBreak/>
              <w:t>Descriptive statistics</w:t>
            </w:r>
            <w:r w:rsidR="00992CC8">
              <w:rPr>
                <w:rFonts w:eastAsia="Times New Roman"/>
              </w:rPr>
              <w:t xml:space="preserve"> (member)</w:t>
            </w:r>
            <w:r w:rsidRPr="006664C8">
              <w:rPr>
                <w:rFonts w:eastAsia="Times New Roman"/>
              </w:rPr>
              <w:t>;</w:t>
            </w:r>
          </w:p>
          <w:p w14:paraId="2361A1AA" w14:textId="16D3AD2C" w:rsidR="00596ECB" w:rsidRPr="006664C8" w:rsidRDefault="00596ECB" w:rsidP="00C52C38">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6664C8">
              <w:rPr>
                <w:rFonts w:eastAsia="Times New Roman"/>
              </w:rPr>
              <w:t>Pre/</w:t>
            </w:r>
            <w:r w:rsidR="00590C30">
              <w:rPr>
                <w:rFonts w:eastAsia="Times New Roman"/>
              </w:rPr>
              <w:t>p</w:t>
            </w:r>
            <w:r w:rsidR="00590C30" w:rsidRPr="006664C8">
              <w:rPr>
                <w:rFonts w:eastAsia="Times New Roman"/>
              </w:rPr>
              <w:t xml:space="preserve">ost </w:t>
            </w:r>
            <w:r w:rsidR="00590C30">
              <w:rPr>
                <w:rFonts w:eastAsia="Times New Roman"/>
              </w:rPr>
              <w:t>c</w:t>
            </w:r>
            <w:r w:rsidR="00590C30" w:rsidRPr="006664C8">
              <w:rPr>
                <w:rFonts w:eastAsia="Times New Roman"/>
              </w:rPr>
              <w:t>omparison</w:t>
            </w:r>
            <w:r w:rsidR="00590C30">
              <w:rPr>
                <w:rFonts w:eastAsia="Times New Roman"/>
              </w:rPr>
              <w:t xml:space="preserve"> </w:t>
            </w:r>
            <w:r w:rsidR="00992CC8">
              <w:rPr>
                <w:rFonts w:eastAsia="Times New Roman"/>
              </w:rPr>
              <w:t>(member)</w:t>
            </w:r>
            <w:r w:rsidRPr="006664C8">
              <w:rPr>
                <w:rFonts w:eastAsia="Times New Roman"/>
              </w:rPr>
              <w:t>;</w:t>
            </w:r>
          </w:p>
          <w:p w14:paraId="7383CE32" w14:textId="13CCD8F0" w:rsidR="00596ECB" w:rsidRPr="006664C8" w:rsidRDefault="00596ECB" w:rsidP="00C52C38">
            <w:pPr>
              <w:pStyle w:val="TableNormal0"/>
              <w:cnfStyle w:val="000000000000" w:firstRow="0" w:lastRow="0" w:firstColumn="0" w:lastColumn="0" w:oddVBand="0" w:evenVBand="0" w:oddHBand="0" w:evenHBand="0" w:firstRowFirstColumn="0" w:firstRowLastColumn="0" w:lastRowFirstColumn="0" w:lastRowLastColumn="0"/>
            </w:pPr>
            <w:r w:rsidRPr="006664C8">
              <w:t>Difference-in-</w:t>
            </w:r>
            <w:r w:rsidR="00590C30">
              <w:t>d</w:t>
            </w:r>
            <w:r w:rsidRPr="006664C8">
              <w:t xml:space="preserve">ifference </w:t>
            </w:r>
            <w:r w:rsidR="00590C30">
              <w:t>m</w:t>
            </w:r>
            <w:r w:rsidRPr="006664C8">
              <w:t>odel</w:t>
            </w:r>
            <w:r w:rsidR="00992CC8">
              <w:t xml:space="preserve"> </w:t>
            </w:r>
            <w:r w:rsidR="00992CC8">
              <w:rPr>
                <w:rFonts w:eastAsia="Times New Roman"/>
              </w:rPr>
              <w:t>(member)</w:t>
            </w:r>
            <w:r w:rsidRPr="006664C8">
              <w:t>;</w:t>
            </w:r>
          </w:p>
          <w:p w14:paraId="228A5365" w14:textId="19D4FAF0" w:rsidR="00596ECB" w:rsidRPr="006664C8" w:rsidRDefault="00596ECB" w:rsidP="00C52C38">
            <w:pPr>
              <w:pStyle w:val="TableNormal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664C8">
              <w:lastRenderedPageBreak/>
              <w:t xml:space="preserve">Qualitative: focus groups or interviews </w:t>
            </w:r>
            <w:r w:rsidR="00F21A4F">
              <w:rPr>
                <w:rFonts w:eastAsia="Times New Roman"/>
              </w:rPr>
              <w:t>(member)</w:t>
            </w:r>
          </w:p>
        </w:tc>
      </w:tr>
      <w:tr w:rsidR="00845EEC" w:rsidRPr="006664C8" w14:paraId="2A905F56" w14:textId="77777777" w:rsidTr="3383C28C">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2155" w:type="dxa"/>
          </w:tcPr>
          <w:p w14:paraId="434E8FD7" w14:textId="77777777" w:rsidR="00596ECB" w:rsidRPr="006664C8" w:rsidRDefault="00596ECB" w:rsidP="00C52C38">
            <w:pPr>
              <w:pStyle w:val="TableNormal0"/>
            </w:pPr>
            <w:r w:rsidRPr="006664C8">
              <w:lastRenderedPageBreak/>
              <w:t xml:space="preserve">RQ7-11 </w:t>
            </w:r>
            <w:r w:rsidRPr="00F5435E">
              <w:t xml:space="preserve">Were the Social Service Organizations (SSO) infrastructure investments effective in supporting the development and </w:t>
            </w:r>
            <w:r w:rsidRPr="00F5435E">
              <w:lastRenderedPageBreak/>
              <w:t>implementation of Flexible Services?</w:t>
            </w:r>
          </w:p>
        </w:tc>
        <w:tc>
          <w:tcPr>
            <w:tcW w:w="1710" w:type="dxa"/>
          </w:tcPr>
          <w:p w14:paraId="37F11295" w14:textId="77777777" w:rsidR="00596ECB" w:rsidRPr="006664C8" w:rsidRDefault="00596ECB" w:rsidP="00C52C38">
            <w:pPr>
              <w:pStyle w:val="TableNormal0"/>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52C38">
              <w:rPr>
                <w:b/>
                <w:bCs/>
                <w:color w:val="000000"/>
              </w:rPr>
              <w:lastRenderedPageBreak/>
              <w:t>H</w:t>
            </w:r>
            <w:r w:rsidRPr="00C52C38">
              <w:rPr>
                <w:b/>
                <w:bCs/>
              </w:rPr>
              <w:t>7-</w:t>
            </w:r>
            <w:r w:rsidRPr="00C52C38">
              <w:rPr>
                <w:b/>
                <w:bCs/>
                <w:color w:val="000000"/>
              </w:rPr>
              <w:t>11.1</w:t>
            </w:r>
            <w:r w:rsidRPr="006664C8">
              <w:t>. The infrastructure investments supported the development and implementation of HRSN services</w:t>
            </w:r>
            <w:r w:rsidRPr="006664C8">
              <w:rPr>
                <w:rFonts w:eastAsia="Times New Roman"/>
              </w:rPr>
              <w:t>.</w:t>
            </w:r>
          </w:p>
        </w:tc>
        <w:tc>
          <w:tcPr>
            <w:tcW w:w="2430" w:type="dxa"/>
          </w:tcPr>
          <w:p w14:paraId="3662B20D" w14:textId="34AB3B3E" w:rsidR="00596ECB" w:rsidRPr="00222D9E" w:rsidRDefault="00596ECB" w:rsidP="00C52C38">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22D9E">
              <w:rPr>
                <w:rFonts w:eastAsia="Times New Roman"/>
              </w:rPr>
              <w:t>Qualitative</w:t>
            </w:r>
            <w:r w:rsidR="005B47F7">
              <w:rPr>
                <w:rFonts w:eastAsia="Times New Roman"/>
              </w:rPr>
              <w:t>:</w:t>
            </w:r>
            <w:r w:rsidR="0092777C" w:rsidRPr="00222D9E">
              <w:rPr>
                <w:rFonts w:eastAsia="Times New Roman"/>
              </w:rPr>
              <w:t xml:space="preserve"> </w:t>
            </w:r>
          </w:p>
          <w:p w14:paraId="035560FD" w14:textId="01D7F27E" w:rsidR="00596ECB" w:rsidRPr="00641995" w:rsidRDefault="00D82404" w:rsidP="00C52C38">
            <w:pPr>
              <w:pStyle w:val="TableNormal0"/>
              <w:cnfStyle w:val="000000100000" w:firstRow="0" w:lastRow="0" w:firstColumn="0" w:lastColumn="0" w:oddVBand="0" w:evenVBand="0" w:oddHBand="1" w:evenHBand="0" w:firstRowFirstColumn="0" w:firstRowLastColumn="0" w:lastRowFirstColumn="0" w:lastRowLastColumn="0"/>
            </w:pPr>
            <w:r>
              <w:t>Survey</w:t>
            </w:r>
            <w:r w:rsidR="003D2702" w:rsidRPr="00641995">
              <w:t xml:space="preserve"> </w:t>
            </w:r>
            <w:r w:rsidR="003D2702" w:rsidRPr="00641995">
              <w:rPr>
                <w:rFonts w:eastAsia="Times New Roman"/>
              </w:rPr>
              <w:t>(</w:t>
            </w:r>
            <w:r w:rsidR="00A94A5E" w:rsidRPr="00641995">
              <w:rPr>
                <w:rFonts w:eastAsia="Times New Roman"/>
              </w:rPr>
              <w:t>2024-</w:t>
            </w:r>
            <w:r w:rsidR="00BC1E7D" w:rsidRPr="00641995">
              <w:rPr>
                <w:rFonts w:eastAsia="Times New Roman"/>
              </w:rPr>
              <w:t>20</w:t>
            </w:r>
            <w:r w:rsidR="00A94A5E" w:rsidRPr="00641995">
              <w:rPr>
                <w:rFonts w:eastAsia="Times New Roman"/>
              </w:rPr>
              <w:t>25</w:t>
            </w:r>
            <w:r w:rsidR="003D2702" w:rsidRPr="00641995">
              <w:rPr>
                <w:rFonts w:eastAsia="Times New Roman"/>
              </w:rPr>
              <w:t>,</w:t>
            </w:r>
            <w:r w:rsidR="00A94A5E" w:rsidRPr="00641995">
              <w:rPr>
                <w:rFonts w:eastAsia="Times New Roman"/>
              </w:rPr>
              <w:t>2026-2027</w:t>
            </w:r>
            <w:r w:rsidR="003D2702" w:rsidRPr="00641995">
              <w:rPr>
                <w:rFonts w:eastAsia="Times New Roman"/>
              </w:rPr>
              <w:t>)</w:t>
            </w:r>
            <w:r w:rsidR="00596ECB" w:rsidRPr="00641995">
              <w:t>;</w:t>
            </w:r>
          </w:p>
          <w:p w14:paraId="7D76693A" w14:textId="0E8DBC18" w:rsidR="00596ECB" w:rsidRPr="00641995" w:rsidRDefault="00596ECB" w:rsidP="00C52C38">
            <w:pPr>
              <w:pStyle w:val="TableNormal0"/>
              <w:cnfStyle w:val="000000100000" w:firstRow="0" w:lastRow="0" w:firstColumn="0" w:lastColumn="0" w:oddVBand="0" w:evenVBand="0" w:oddHBand="1" w:evenHBand="0" w:firstRowFirstColumn="0" w:firstRowLastColumn="0" w:lastRowFirstColumn="0" w:lastRowLastColumn="0"/>
            </w:pPr>
            <w:r w:rsidRPr="00641995">
              <w:t>Interviews or Focus Groups</w:t>
            </w:r>
            <w:r w:rsidR="003D2702" w:rsidRPr="00641995">
              <w:t xml:space="preserve"> </w:t>
            </w:r>
            <w:r w:rsidR="00736356" w:rsidRPr="00641995">
              <w:t>(2024-2025; 2026-2027)</w:t>
            </w:r>
            <w:r w:rsidR="005B47F7">
              <w:t>;</w:t>
            </w:r>
          </w:p>
          <w:p w14:paraId="7B8AA623" w14:textId="675B75A8" w:rsidR="003D2702" w:rsidRPr="006664C8" w:rsidRDefault="00596ECB" w:rsidP="003D2702">
            <w:pPr>
              <w:pStyle w:val="TableNormal0"/>
              <w:cnfStyle w:val="000000100000" w:firstRow="0" w:lastRow="0" w:firstColumn="0" w:lastColumn="0" w:oddVBand="0" w:evenVBand="0" w:oddHBand="1" w:evenHBand="0" w:firstRowFirstColumn="0" w:firstRowLastColumn="0" w:lastRowFirstColumn="0" w:lastRowLastColumn="0"/>
            </w:pPr>
            <w:r w:rsidRPr="006664C8">
              <w:rPr>
                <w:rFonts w:eastAsia="Times New Roman"/>
              </w:rPr>
              <w:t>Document Review</w:t>
            </w:r>
            <w:r w:rsidR="003D2702">
              <w:rPr>
                <w:rFonts w:eastAsia="Times New Roman"/>
              </w:rPr>
              <w:t xml:space="preserve"> </w:t>
            </w:r>
            <w:r w:rsidR="003D2702" w:rsidRPr="00C61430">
              <w:rPr>
                <w:rFonts w:eastAsia="Times New Roman"/>
              </w:rPr>
              <w:t>(</w:t>
            </w:r>
            <w:r w:rsidR="00736356" w:rsidRPr="00C61430">
              <w:rPr>
                <w:rFonts w:eastAsia="Times New Roman"/>
              </w:rPr>
              <w:t>Ongoing)</w:t>
            </w:r>
          </w:p>
          <w:p w14:paraId="42AFD36E" w14:textId="1114825B" w:rsidR="00596ECB" w:rsidRPr="006664C8" w:rsidRDefault="00596ECB" w:rsidP="00C52C38">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p>
        </w:tc>
        <w:tc>
          <w:tcPr>
            <w:tcW w:w="2340" w:type="dxa"/>
          </w:tcPr>
          <w:p w14:paraId="6E4EE904" w14:textId="1351F286" w:rsidR="00596ECB" w:rsidRPr="006664C8" w:rsidRDefault="23F5828A" w:rsidP="00C52C38">
            <w:pPr>
              <w:pStyle w:val="TableNormal0"/>
              <w:cnfStyle w:val="000000100000" w:firstRow="0" w:lastRow="0" w:firstColumn="0" w:lastColumn="0" w:oddVBand="0" w:evenVBand="0" w:oddHBand="1" w:evenHBand="0" w:firstRowFirstColumn="0" w:firstRowLastColumn="0" w:lastRowFirstColumn="0" w:lastRowLastColumn="0"/>
            </w:pPr>
            <w:r>
              <w:lastRenderedPageBreak/>
              <w:t xml:space="preserve">SSOs participating in Flexible Services </w:t>
            </w:r>
            <w:r w:rsidR="38A499EB">
              <w:t xml:space="preserve">and </w:t>
            </w:r>
            <w:r w:rsidR="37D8FF15">
              <w:t>s</w:t>
            </w:r>
            <w:r w:rsidR="38A499EB">
              <w:t xml:space="preserve">pecialized CSP providers </w:t>
            </w:r>
            <w:r>
              <w:t>allocated SSO Integration Funding</w:t>
            </w:r>
            <w:r w:rsidR="6D76CDB1">
              <w:t xml:space="preserve"> (n</w:t>
            </w:r>
            <w:r w:rsidR="6D76CDB1" w:rsidRPr="00FD1B3F">
              <w:t>=</w:t>
            </w:r>
            <w:r w:rsidR="7F962684" w:rsidRPr="00FD1B3F">
              <w:t>~</w:t>
            </w:r>
            <w:r w:rsidR="6B48A297">
              <w:t>25-40</w:t>
            </w:r>
            <w:r w:rsidR="6D76CDB1">
              <w:t>)</w:t>
            </w:r>
          </w:p>
        </w:tc>
        <w:tc>
          <w:tcPr>
            <w:tcW w:w="1800" w:type="dxa"/>
          </w:tcPr>
          <w:p w14:paraId="644E3849" w14:textId="1BC1EBBF" w:rsidR="00596ECB" w:rsidRPr="006664C8" w:rsidRDefault="00596ECB" w:rsidP="00C52C38">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6664C8">
              <w:rPr>
                <w:rFonts w:eastAsia="Times New Roman"/>
              </w:rPr>
              <w:t>QI/FG:</w:t>
            </w:r>
          </w:p>
          <w:p w14:paraId="27D22FD9" w14:textId="77777777" w:rsidR="00596ECB" w:rsidRPr="006664C8" w:rsidRDefault="00596ECB" w:rsidP="00C52C38">
            <w:pPr>
              <w:pStyle w:val="TableNormal0"/>
              <w:cnfStyle w:val="000000100000" w:firstRow="0" w:lastRow="0" w:firstColumn="0" w:lastColumn="0" w:oddVBand="0" w:evenVBand="0" w:oddHBand="1" w:evenHBand="0" w:firstRowFirstColumn="0" w:firstRowLastColumn="0" w:lastRowFirstColumn="0" w:lastRowLastColumn="0"/>
            </w:pPr>
            <w:r w:rsidRPr="006664C8">
              <w:t xml:space="preserve">Number and types of programs implemented by SSOs receiving </w:t>
            </w:r>
            <w:r w:rsidRPr="006664C8">
              <w:lastRenderedPageBreak/>
              <w:t>infrastructure investments;</w:t>
            </w:r>
          </w:p>
          <w:p w14:paraId="45825DD1" w14:textId="77777777" w:rsidR="00596ECB" w:rsidRPr="006664C8" w:rsidRDefault="00596ECB" w:rsidP="00C52C38">
            <w:pPr>
              <w:pStyle w:val="TableNormal0"/>
              <w:cnfStyle w:val="000000100000" w:firstRow="0" w:lastRow="0" w:firstColumn="0" w:lastColumn="0" w:oddVBand="0" w:evenVBand="0" w:oddHBand="1" w:evenHBand="0" w:firstRowFirstColumn="0" w:firstRowLastColumn="0" w:lastRowFirstColumn="0" w:lastRowLastColumn="0"/>
            </w:pPr>
            <w:r w:rsidRPr="006664C8">
              <w:t>Facilitators and barriers to program implementation;</w:t>
            </w:r>
          </w:p>
          <w:p w14:paraId="3555E76E" w14:textId="741707D4" w:rsidR="00596ECB" w:rsidRPr="006664C8" w:rsidRDefault="00596ECB" w:rsidP="00C52C38">
            <w:pPr>
              <w:pStyle w:val="TableNormal0"/>
              <w:cnfStyle w:val="000000100000" w:firstRow="0" w:lastRow="0" w:firstColumn="0" w:lastColumn="0" w:oddVBand="0" w:evenVBand="0" w:oddHBand="1" w:evenHBand="0" w:firstRowFirstColumn="0" w:firstRowLastColumn="0" w:lastRowFirstColumn="0" w:lastRowLastColumn="0"/>
            </w:pPr>
            <w:r w:rsidRPr="006664C8">
              <w:t>Provider and staff perceptions of the value of SSO infrastructure investments to support development and implementation of FSP programming</w:t>
            </w:r>
          </w:p>
        </w:tc>
        <w:tc>
          <w:tcPr>
            <w:tcW w:w="3079" w:type="dxa"/>
          </w:tcPr>
          <w:p w14:paraId="3B9C2BE5" w14:textId="0CF2BE8F" w:rsidR="00596ECB" w:rsidRPr="006664C8" w:rsidRDefault="00596ECB" w:rsidP="00C52C38">
            <w:pPr>
              <w:pStyle w:val="TableNormal0"/>
              <w:cnfStyle w:val="000000100000" w:firstRow="0" w:lastRow="0" w:firstColumn="0" w:lastColumn="0" w:oddVBand="0" w:evenVBand="0" w:oddHBand="1" w:evenHBand="0" w:firstRowFirstColumn="0" w:firstRowLastColumn="0" w:lastRowFirstColumn="0" w:lastRowLastColumn="0"/>
            </w:pPr>
            <w:r w:rsidRPr="006664C8">
              <w:rPr>
                <w:rFonts w:eastAsia="Times New Roman"/>
              </w:rPr>
              <w:lastRenderedPageBreak/>
              <w:t>Qualitative</w:t>
            </w:r>
            <w:r w:rsidR="000712A8">
              <w:rPr>
                <w:rFonts w:eastAsia="Times New Roman"/>
              </w:rPr>
              <w:t xml:space="preserve"> (SSOs)</w:t>
            </w:r>
            <w:r w:rsidRPr="006664C8">
              <w:rPr>
                <w:rFonts w:eastAsia="Times New Roman"/>
              </w:rPr>
              <w:t>;</w:t>
            </w:r>
          </w:p>
          <w:p w14:paraId="714CCE39" w14:textId="77777777" w:rsidR="00596ECB" w:rsidRPr="006664C8" w:rsidRDefault="00596ECB" w:rsidP="00C52C38">
            <w:pPr>
              <w:pStyle w:val="TableNormal0"/>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6664C8">
              <w:rPr>
                <w:rFonts w:eastAsia="Times New Roman"/>
              </w:rPr>
              <w:t>Descriptive analysis</w:t>
            </w:r>
          </w:p>
        </w:tc>
      </w:tr>
      <w:tr w:rsidR="00845EEC" w:rsidRPr="006664C8" w14:paraId="3F311E88" w14:textId="77777777" w:rsidTr="3383C28C">
        <w:trPr>
          <w:trHeight w:val="962"/>
        </w:trPr>
        <w:tc>
          <w:tcPr>
            <w:cnfStyle w:val="001000000000" w:firstRow="0" w:lastRow="0" w:firstColumn="1" w:lastColumn="0" w:oddVBand="0" w:evenVBand="0" w:oddHBand="0" w:evenHBand="0" w:firstRowFirstColumn="0" w:firstRowLastColumn="0" w:lastRowFirstColumn="0" w:lastRowLastColumn="0"/>
            <w:tcW w:w="2155" w:type="dxa"/>
          </w:tcPr>
          <w:p w14:paraId="7FA63F2E" w14:textId="0D0E35CF" w:rsidR="00596ECB" w:rsidRPr="006664C8" w:rsidRDefault="01F30ECD" w:rsidP="00C52C38">
            <w:pPr>
              <w:pStyle w:val="TableNormal0"/>
            </w:pPr>
            <w:r w:rsidRPr="29E43697">
              <w:rPr>
                <w:rFonts w:eastAsia="Times New Roman"/>
              </w:rPr>
              <w:t>RQ</w:t>
            </w:r>
            <w:r>
              <w:t>7-</w:t>
            </w:r>
            <w:r w:rsidRPr="29E43697">
              <w:rPr>
                <w:rFonts w:eastAsia="Times New Roman"/>
              </w:rPr>
              <w:t>12 What were the impacts of FSP/</w:t>
            </w:r>
            <w:r w:rsidR="00C20D81">
              <w:rPr>
                <w:rFonts w:eastAsia="Times New Roman"/>
              </w:rPr>
              <w:t>s</w:t>
            </w:r>
            <w:r w:rsidRPr="29E43697">
              <w:rPr>
                <w:rFonts w:eastAsia="Times New Roman"/>
              </w:rPr>
              <w:t>pecialized CSP Medicaid spending on local investments on comparable services, for example</w:t>
            </w:r>
            <w:r w:rsidR="00F52216">
              <w:rPr>
                <w:rFonts w:eastAsia="Times New Roman"/>
              </w:rPr>
              <w:t>,</w:t>
            </w:r>
            <w:r w:rsidRPr="29E43697">
              <w:rPr>
                <w:rFonts w:eastAsia="Times New Roman"/>
              </w:rPr>
              <w:t xml:space="preserve"> housing and nutrition?</w:t>
            </w:r>
          </w:p>
        </w:tc>
        <w:tc>
          <w:tcPr>
            <w:tcW w:w="1710" w:type="dxa"/>
          </w:tcPr>
          <w:p w14:paraId="27D2B8DB" w14:textId="5B3CB1C4" w:rsidR="00596ECB" w:rsidRPr="00C61430" w:rsidRDefault="08A55264" w:rsidP="00C52C38">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3383C28C">
              <w:rPr>
                <w:rFonts w:eastAsia="Times New Roman"/>
                <w:b/>
                <w:bCs/>
              </w:rPr>
              <w:t>H</w:t>
            </w:r>
            <w:r w:rsidRPr="3383C28C">
              <w:rPr>
                <w:b/>
                <w:bCs/>
              </w:rPr>
              <w:t>7-</w:t>
            </w:r>
            <w:r w:rsidRPr="3383C28C">
              <w:rPr>
                <w:rFonts w:eastAsia="Times New Roman"/>
                <w:b/>
                <w:bCs/>
              </w:rPr>
              <w:t>12.1.</w:t>
            </w:r>
            <w:r w:rsidRPr="3383C28C">
              <w:rPr>
                <w:rFonts w:eastAsia="Times New Roman"/>
              </w:rPr>
              <w:t xml:space="preserve"> FSP and </w:t>
            </w:r>
            <w:r w:rsidR="38B4CEF6" w:rsidRPr="3383C28C">
              <w:rPr>
                <w:rFonts w:eastAsia="Times New Roman"/>
              </w:rPr>
              <w:t>s</w:t>
            </w:r>
            <w:r w:rsidRPr="3383C28C">
              <w:rPr>
                <w:rFonts w:eastAsia="Times New Roman"/>
              </w:rPr>
              <w:t xml:space="preserve">pecialized CSP </w:t>
            </w:r>
            <w:r w:rsidRPr="3383C28C">
              <w:rPr>
                <w:rFonts w:eastAsia="Segoe UI"/>
                <w:color w:val="333333"/>
              </w:rPr>
              <w:t xml:space="preserve"> Medicaid spending </w:t>
            </w:r>
            <w:r w:rsidR="1080EE71" w:rsidRPr="3383C28C">
              <w:rPr>
                <w:rFonts w:eastAsia="Segoe UI"/>
                <w:color w:val="333333"/>
              </w:rPr>
              <w:t>strengthened</w:t>
            </w:r>
            <w:r w:rsidRPr="3383C28C">
              <w:rPr>
                <w:rFonts w:eastAsia="Segoe UI"/>
                <w:color w:val="333333"/>
              </w:rPr>
              <w:t xml:space="preserve"> clinical</w:t>
            </w:r>
            <w:r w:rsidR="00F52216">
              <w:rPr>
                <w:rFonts w:eastAsia="Segoe UI"/>
                <w:color w:val="333333"/>
              </w:rPr>
              <w:t>-to-</w:t>
            </w:r>
            <w:r w:rsidRPr="3383C28C">
              <w:rPr>
                <w:rFonts w:eastAsia="Segoe UI"/>
                <w:color w:val="333333"/>
              </w:rPr>
              <w:t>community linkages and non-Medicaid funding to address HRSNs</w:t>
            </w:r>
            <w:r w:rsidR="3481370B" w:rsidRPr="3383C28C">
              <w:rPr>
                <w:rFonts w:eastAsia="Segoe UI"/>
                <w:color w:val="333333"/>
              </w:rPr>
              <w:t xml:space="preserve"> among FSP and </w:t>
            </w:r>
            <w:r w:rsidR="3B598E8D" w:rsidRPr="3383C28C">
              <w:rPr>
                <w:rFonts w:eastAsia="Segoe UI"/>
                <w:color w:val="333333"/>
              </w:rPr>
              <w:t>s</w:t>
            </w:r>
            <w:r w:rsidR="3481370B" w:rsidRPr="3383C28C">
              <w:rPr>
                <w:rFonts w:eastAsia="Segoe UI"/>
                <w:color w:val="333333"/>
              </w:rPr>
              <w:t>pecialize</w:t>
            </w:r>
            <w:r w:rsidR="5B64B635" w:rsidRPr="3383C28C">
              <w:rPr>
                <w:rFonts w:eastAsia="Segoe UI"/>
                <w:color w:val="333333"/>
              </w:rPr>
              <w:t>d</w:t>
            </w:r>
            <w:r w:rsidR="3481370B" w:rsidRPr="3383C28C">
              <w:rPr>
                <w:rFonts w:eastAsia="Segoe UI"/>
                <w:color w:val="333333"/>
              </w:rPr>
              <w:t xml:space="preserve"> CSP providers</w:t>
            </w:r>
            <w:r w:rsidRPr="3383C28C">
              <w:rPr>
                <w:rFonts w:eastAsia="Times New Roman"/>
              </w:rPr>
              <w:t>.</w:t>
            </w:r>
          </w:p>
          <w:p w14:paraId="5A0A67D3" w14:textId="427C8272" w:rsidR="00596ECB" w:rsidRPr="006664C8" w:rsidRDefault="00596ECB" w:rsidP="00C52C38">
            <w:pPr>
              <w:pStyle w:val="TableNormal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C52C38">
              <w:rPr>
                <w:b/>
                <w:bCs/>
                <w:color w:val="000000"/>
              </w:rPr>
              <w:t>H</w:t>
            </w:r>
            <w:r w:rsidRPr="00C52C38">
              <w:rPr>
                <w:b/>
                <w:bCs/>
              </w:rPr>
              <w:t>7-</w:t>
            </w:r>
            <w:r w:rsidRPr="00C52C38">
              <w:rPr>
                <w:b/>
                <w:bCs/>
                <w:color w:val="000000"/>
              </w:rPr>
              <w:t>12.2</w:t>
            </w:r>
            <w:r w:rsidRPr="00C52C38">
              <w:rPr>
                <w:b/>
                <w:bCs/>
              </w:rPr>
              <w:t>.</w:t>
            </w:r>
            <w:r w:rsidRPr="006664C8">
              <w:t xml:space="preserve"> FSP and </w:t>
            </w:r>
            <w:r w:rsidR="004C2F67">
              <w:t>s</w:t>
            </w:r>
            <w:r w:rsidRPr="006664C8">
              <w:t>pecialized CSP providers partnered with local and state entities to identify and fill service gaps in HRSN services</w:t>
            </w:r>
            <w:r w:rsidRPr="006664C8">
              <w:rPr>
                <w:rFonts w:eastAsia="Times New Roman"/>
              </w:rPr>
              <w:t>.</w:t>
            </w:r>
          </w:p>
        </w:tc>
        <w:tc>
          <w:tcPr>
            <w:tcW w:w="2430" w:type="dxa"/>
          </w:tcPr>
          <w:p w14:paraId="5C3DE151" w14:textId="2AB807E8" w:rsidR="00596ECB" w:rsidRPr="00222D9E" w:rsidRDefault="00596ECB" w:rsidP="00C52C38">
            <w:pPr>
              <w:pStyle w:val="TableNormal0"/>
              <w:cnfStyle w:val="000000000000" w:firstRow="0" w:lastRow="0" w:firstColumn="0" w:lastColumn="0" w:oddVBand="0" w:evenVBand="0" w:oddHBand="0" w:evenHBand="0" w:firstRowFirstColumn="0" w:firstRowLastColumn="0" w:lastRowFirstColumn="0" w:lastRowLastColumn="0"/>
            </w:pPr>
            <w:r w:rsidRPr="00222D9E">
              <w:t>Qualitative Interviews or Focus Groups</w:t>
            </w:r>
            <w:r w:rsidR="00A32F1A" w:rsidRPr="00222D9E">
              <w:t xml:space="preserve"> </w:t>
            </w:r>
            <w:r w:rsidR="00736356" w:rsidRPr="00222D9E">
              <w:t>(2024-2025; 2026-2027)</w:t>
            </w:r>
            <w:r w:rsidR="005B47F7">
              <w:t>;</w:t>
            </w:r>
          </w:p>
          <w:p w14:paraId="4CF9CE32" w14:textId="602419F4" w:rsidR="00596ECB" w:rsidRPr="006664C8" w:rsidRDefault="00596ECB" w:rsidP="00C52C38">
            <w:pPr>
              <w:pStyle w:val="TableNormal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664C8">
              <w:rPr>
                <w:rFonts w:eastAsia="Times New Roman"/>
              </w:rPr>
              <w:t>Document Review</w:t>
            </w:r>
            <w:r w:rsidR="003D2702">
              <w:rPr>
                <w:rFonts w:eastAsia="Times New Roman"/>
              </w:rPr>
              <w:t xml:space="preserve"> </w:t>
            </w:r>
            <w:r w:rsidR="00736356" w:rsidRPr="00FD7A7D">
              <w:rPr>
                <w:rFonts w:eastAsia="Times New Roman"/>
              </w:rPr>
              <w:t>(Ongoing)</w:t>
            </w:r>
          </w:p>
        </w:tc>
        <w:tc>
          <w:tcPr>
            <w:tcW w:w="2340" w:type="dxa"/>
          </w:tcPr>
          <w:p w14:paraId="6E5389B4" w14:textId="78F389D4" w:rsidR="00FC4247" w:rsidRPr="00C61430" w:rsidRDefault="00596ECB">
            <w:pPr>
              <w:pStyle w:val="TableNormal0"/>
              <w:cnfStyle w:val="000000000000" w:firstRow="0" w:lastRow="0" w:firstColumn="0" w:lastColumn="0" w:oddVBand="0" w:evenVBand="0" w:oddHBand="0" w:evenHBand="0" w:firstRowFirstColumn="0" w:firstRowLastColumn="0" w:lastRowFirstColumn="0" w:lastRowLastColumn="0"/>
            </w:pPr>
            <w:r w:rsidRPr="006664C8">
              <w:t xml:space="preserve">FSP and </w:t>
            </w:r>
            <w:r w:rsidR="004C2F67">
              <w:t>s</w:t>
            </w:r>
            <w:r w:rsidRPr="006664C8">
              <w:t>pecialized CSP providers</w:t>
            </w:r>
            <w:r w:rsidR="00A32F1A">
              <w:t xml:space="preserve"> </w:t>
            </w:r>
            <w:r w:rsidR="00C5054F">
              <w:t>interviewees</w:t>
            </w:r>
            <w:r w:rsidR="00FC4247" w:rsidRPr="00C61430">
              <w:t xml:space="preserve"> </w:t>
            </w:r>
            <w:r w:rsidR="009E0A84">
              <w:br/>
            </w:r>
            <w:r w:rsidR="00A32F1A">
              <w:t>(n</w:t>
            </w:r>
            <w:r w:rsidR="00B442EB">
              <w:t xml:space="preserve"> ≤ </w:t>
            </w:r>
            <w:r w:rsidR="00AD18FD" w:rsidRPr="00C61430">
              <w:t>35-50)</w:t>
            </w:r>
          </w:p>
          <w:p w14:paraId="266831FA" w14:textId="7616A3F9" w:rsidR="00596ECB" w:rsidRPr="006664C8" w:rsidRDefault="00596ECB" w:rsidP="00C52C38">
            <w:pPr>
              <w:pStyle w:val="TableNormal0"/>
              <w:cnfStyle w:val="000000000000" w:firstRow="0" w:lastRow="0" w:firstColumn="0" w:lastColumn="0" w:oddVBand="0" w:evenVBand="0" w:oddHBand="0" w:evenHBand="0" w:firstRowFirstColumn="0" w:firstRowLastColumn="0" w:lastRowFirstColumn="0" w:lastRowLastColumn="0"/>
            </w:pPr>
            <w:r w:rsidRPr="00C61430">
              <w:t>FSP providers</w:t>
            </w:r>
            <w:r w:rsidR="00FC4247" w:rsidRPr="00C61430">
              <w:t xml:space="preserve"> </w:t>
            </w:r>
            <w:r w:rsidR="00C5054F">
              <w:t>survey</w:t>
            </w:r>
            <w:r w:rsidR="00A32F1A" w:rsidRPr="00C61430">
              <w:t xml:space="preserve"> (n=</w:t>
            </w:r>
            <w:r w:rsidR="005F6F27" w:rsidRPr="00C61430">
              <w:t>~</w:t>
            </w:r>
            <w:r w:rsidR="00E00D48">
              <w:t>40</w:t>
            </w:r>
            <w:r w:rsidR="001A78EF" w:rsidRPr="00C61430">
              <w:t>)</w:t>
            </w:r>
          </w:p>
        </w:tc>
        <w:tc>
          <w:tcPr>
            <w:tcW w:w="1800" w:type="dxa"/>
          </w:tcPr>
          <w:p w14:paraId="7CB36DF9" w14:textId="77777777" w:rsidR="00B84713" w:rsidRPr="006664C8" w:rsidRDefault="00B84713" w:rsidP="00B84713">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6664C8">
              <w:rPr>
                <w:rFonts w:eastAsia="Times New Roman"/>
              </w:rPr>
              <w:t>QI/FG:</w:t>
            </w:r>
          </w:p>
          <w:p w14:paraId="601DB016" w14:textId="16E130BD" w:rsidR="4895F0F4" w:rsidRPr="00C61430" w:rsidRDefault="006A7D74" w:rsidP="4895F0F4">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Perceived</w:t>
            </w:r>
            <w:r w:rsidRPr="006A7D74">
              <w:rPr>
                <w:rFonts w:eastAsia="Times New Roman"/>
              </w:rPr>
              <w:t xml:space="preserve"> changes in investments in comparable services locally over time</w:t>
            </w:r>
            <w:r w:rsidR="00B14923">
              <w:rPr>
                <w:rFonts w:eastAsia="Times New Roman"/>
              </w:rPr>
              <w:t>;</w:t>
            </w:r>
          </w:p>
          <w:p w14:paraId="13EA54DE" w14:textId="06950588" w:rsidR="00596ECB" w:rsidRPr="006664C8" w:rsidRDefault="00596ECB" w:rsidP="00C52C38">
            <w:pPr>
              <w:pStyle w:val="TableNormal0"/>
              <w:cnfStyle w:val="000000000000" w:firstRow="0" w:lastRow="0" w:firstColumn="0" w:lastColumn="0" w:oddVBand="0" w:evenVBand="0" w:oddHBand="0" w:evenHBand="0" w:firstRowFirstColumn="0" w:firstRowLastColumn="0" w:lastRowFirstColumn="0" w:lastRowLastColumn="0"/>
            </w:pPr>
            <w:r w:rsidRPr="006664C8">
              <w:t xml:space="preserve">FSP and </w:t>
            </w:r>
            <w:r w:rsidR="004C2F67">
              <w:t>s</w:t>
            </w:r>
            <w:r w:rsidRPr="006664C8">
              <w:t>pecialized CSP perspectives of facilitators and barriers to developing clinical</w:t>
            </w:r>
            <w:r w:rsidR="00F52216">
              <w:t>-to-</w:t>
            </w:r>
            <w:r w:rsidRPr="006664C8">
              <w:t>community linkages and obtaining non-Medicaid funding to address HRSNs;</w:t>
            </w:r>
          </w:p>
          <w:p w14:paraId="1FC6845E" w14:textId="1E01E6A2" w:rsidR="00596ECB" w:rsidRPr="006664C8" w:rsidRDefault="00596ECB" w:rsidP="00C52C38">
            <w:pPr>
              <w:pStyle w:val="TableNormal0"/>
              <w:cnfStyle w:val="000000000000" w:firstRow="0" w:lastRow="0" w:firstColumn="0" w:lastColumn="0" w:oddVBand="0" w:evenVBand="0" w:oddHBand="0" w:evenHBand="0" w:firstRowFirstColumn="0" w:firstRowLastColumn="0" w:lastRowFirstColumn="0" w:lastRowLastColumn="0"/>
            </w:pPr>
            <w:r w:rsidRPr="006664C8">
              <w:t xml:space="preserve">FSP and </w:t>
            </w:r>
            <w:r w:rsidR="004C2F67">
              <w:t>s</w:t>
            </w:r>
            <w:r w:rsidRPr="006664C8">
              <w:t xml:space="preserve">pecialized CSP perspectives of facilitators and barriers to coordinating with local and state entities to </w:t>
            </w:r>
            <w:r w:rsidRPr="006664C8">
              <w:lastRenderedPageBreak/>
              <w:t>identify and fill service gaps</w:t>
            </w:r>
            <w:r w:rsidR="00B14923">
              <w:t>;</w:t>
            </w:r>
          </w:p>
          <w:p w14:paraId="1DD0DB13" w14:textId="0868083B" w:rsidR="00596ECB" w:rsidRPr="006664C8" w:rsidRDefault="00596ECB" w:rsidP="00C52C38">
            <w:pPr>
              <w:pStyle w:val="TableNormal0"/>
              <w:cnfStyle w:val="000000000000" w:firstRow="0" w:lastRow="0" w:firstColumn="0" w:lastColumn="0" w:oddVBand="0" w:evenVBand="0" w:oddHBand="0" w:evenHBand="0" w:firstRowFirstColumn="0" w:firstRowLastColumn="0" w:lastRowFirstColumn="0" w:lastRowLastColumn="0"/>
              <w:rPr>
                <w:color w:val="000000"/>
              </w:rPr>
            </w:pPr>
            <w:r w:rsidRPr="006664C8">
              <w:t xml:space="preserve">Perspectives on changes to </w:t>
            </w:r>
            <w:r w:rsidR="00C862CC">
              <w:t xml:space="preserve">the </w:t>
            </w:r>
            <w:r w:rsidRPr="006664C8">
              <w:t>landscape of domain of service delivery (e.g., housing services) as relates to FSP programming initiation and CSP programming changes</w:t>
            </w:r>
          </w:p>
        </w:tc>
        <w:tc>
          <w:tcPr>
            <w:tcW w:w="3079" w:type="dxa"/>
          </w:tcPr>
          <w:p w14:paraId="7D87D345" w14:textId="2AA6E7A3" w:rsidR="4C808107" w:rsidRPr="00C61430" w:rsidRDefault="39CAFAEE" w:rsidP="4C808107">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C61430">
              <w:rPr>
                <w:rFonts w:eastAsia="Times New Roman"/>
              </w:rPr>
              <w:lastRenderedPageBreak/>
              <w:t>Descriptive statistics (providers)</w:t>
            </w:r>
            <w:r w:rsidR="005B47F7">
              <w:rPr>
                <w:rFonts w:eastAsia="Times New Roman"/>
              </w:rPr>
              <w:t>;</w:t>
            </w:r>
          </w:p>
          <w:p w14:paraId="707121F8" w14:textId="01B52920" w:rsidR="00596ECB" w:rsidRPr="006664C8" w:rsidRDefault="00596ECB" w:rsidP="00C52C38">
            <w:pPr>
              <w:pStyle w:val="TableNormal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664C8">
              <w:rPr>
                <w:rFonts w:eastAsia="Times New Roman"/>
              </w:rPr>
              <w:t>Qualitative</w:t>
            </w:r>
            <w:r w:rsidR="0092777C">
              <w:rPr>
                <w:rFonts w:eastAsia="Times New Roman"/>
              </w:rPr>
              <w:t xml:space="preserve"> (</w:t>
            </w:r>
            <w:r w:rsidR="00A32F1A">
              <w:rPr>
                <w:rFonts w:eastAsia="Times New Roman"/>
              </w:rPr>
              <w:t>providers)</w:t>
            </w:r>
          </w:p>
        </w:tc>
      </w:tr>
      <w:tr w:rsidR="00845EEC" w:rsidRPr="006664C8" w14:paraId="4169C020" w14:textId="77777777" w:rsidTr="003A3B7D">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2155" w:type="dxa"/>
          </w:tcPr>
          <w:p w14:paraId="5A6D0F90" w14:textId="77777777" w:rsidR="00596ECB" w:rsidRPr="006664C8" w:rsidRDefault="00596ECB" w:rsidP="00C52C38">
            <w:pPr>
              <w:pStyle w:val="TableNormal0"/>
            </w:pPr>
            <w:r w:rsidRPr="006664C8">
              <w:t xml:space="preserve">RQ7-13. </w:t>
            </w:r>
            <w:r w:rsidRPr="00F5435E">
              <w:t xml:space="preserve">What were the costs of providing HRSN services? </w:t>
            </w:r>
          </w:p>
        </w:tc>
        <w:tc>
          <w:tcPr>
            <w:tcW w:w="1710" w:type="dxa"/>
          </w:tcPr>
          <w:p w14:paraId="24FADE15" w14:textId="1A106B0B" w:rsidR="00596ECB" w:rsidRPr="006664C8" w:rsidRDefault="00596ECB" w:rsidP="00C52C38">
            <w:pPr>
              <w:pStyle w:val="TableNormal0"/>
              <w:cnfStyle w:val="000000100000" w:firstRow="0" w:lastRow="0" w:firstColumn="0" w:lastColumn="0" w:oddVBand="0" w:evenVBand="0" w:oddHBand="1" w:evenHBand="0" w:firstRowFirstColumn="0" w:firstRowLastColumn="0" w:lastRowFirstColumn="0" w:lastRowLastColumn="0"/>
            </w:pPr>
            <w:r w:rsidRPr="00C52C38">
              <w:rPr>
                <w:rFonts w:eastAsia="Times New Roman"/>
                <w:b/>
                <w:bCs/>
              </w:rPr>
              <w:t>H</w:t>
            </w:r>
            <w:r w:rsidRPr="00C52C38">
              <w:rPr>
                <w:b/>
                <w:bCs/>
              </w:rPr>
              <w:t>7-</w:t>
            </w:r>
            <w:r w:rsidRPr="00C52C38">
              <w:rPr>
                <w:rFonts w:eastAsia="Times New Roman"/>
                <w:b/>
                <w:bCs/>
              </w:rPr>
              <w:t>13.1.</w:t>
            </w:r>
            <w:r w:rsidRPr="006664C8">
              <w:rPr>
                <w:rFonts w:eastAsia="Times New Roman"/>
              </w:rPr>
              <w:t xml:space="preserve"> The costs of providing HRSN services were partially offset by the benefits of these programs in terms of lower costs for </w:t>
            </w:r>
            <w:r w:rsidR="009C2AA0">
              <w:rPr>
                <w:rFonts w:eastAsia="Times New Roman"/>
              </w:rPr>
              <w:t>healthcare</w:t>
            </w:r>
            <w:r w:rsidRPr="006664C8">
              <w:rPr>
                <w:rFonts w:eastAsia="Times New Roman"/>
              </w:rPr>
              <w:t xml:space="preserve"> services, for example</w:t>
            </w:r>
            <w:r w:rsidR="00C862CC">
              <w:rPr>
                <w:rFonts w:eastAsia="Times New Roman"/>
              </w:rPr>
              <w:t>,</w:t>
            </w:r>
            <w:r w:rsidRPr="006664C8">
              <w:rPr>
                <w:rFonts w:eastAsia="Times New Roman"/>
              </w:rPr>
              <w:t xml:space="preserve"> decreased costs for emergency room visits and inpatient hospitalizations.</w:t>
            </w:r>
          </w:p>
          <w:p w14:paraId="47268C24" w14:textId="7F8A5C4B" w:rsidR="00596ECB" w:rsidRPr="006664C8" w:rsidRDefault="00596ECB" w:rsidP="00C52C38">
            <w:pPr>
              <w:pStyle w:val="TableNormal0"/>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6664C8">
              <w:rPr>
                <w:rFonts w:eastAsia="Times New Roman"/>
                <w:color w:val="000000"/>
              </w:rPr>
              <w:t>H</w:t>
            </w:r>
            <w:r w:rsidRPr="006664C8">
              <w:t>7-</w:t>
            </w:r>
            <w:r w:rsidRPr="006664C8">
              <w:rPr>
                <w:rFonts w:eastAsia="Times New Roman"/>
                <w:color w:val="000000"/>
              </w:rPr>
              <w:t xml:space="preserve">13.2 </w:t>
            </w:r>
            <w:r w:rsidRPr="006664C8">
              <w:t xml:space="preserve">FSP programs were </w:t>
            </w:r>
            <w:r w:rsidR="00C862CC" w:rsidRPr="006664C8">
              <w:t>cost</w:t>
            </w:r>
            <w:r w:rsidR="00C862CC">
              <w:t>-</w:t>
            </w:r>
            <w:r w:rsidRPr="006664C8">
              <w:t xml:space="preserve">effective when compared to the costs of medications or other </w:t>
            </w:r>
            <w:r w:rsidR="009C2AA0">
              <w:t>healthcare</w:t>
            </w:r>
            <w:r w:rsidRPr="006664C8">
              <w:t xml:space="preserve"> services with known impacts on </w:t>
            </w:r>
            <w:r w:rsidRPr="006664C8">
              <w:lastRenderedPageBreak/>
              <w:t>cardiometabolic biomarkers.</w:t>
            </w:r>
            <w:r w:rsidRPr="006664C8">
              <w:rPr>
                <w:rFonts w:eastAsia="Times New Roman"/>
                <w:color w:val="000000"/>
              </w:rPr>
              <w:t xml:space="preserve"> </w:t>
            </w:r>
          </w:p>
        </w:tc>
        <w:tc>
          <w:tcPr>
            <w:tcW w:w="2430" w:type="dxa"/>
          </w:tcPr>
          <w:p w14:paraId="2CDB29FB" w14:textId="26BAABB1" w:rsidR="00596ECB" w:rsidRPr="006664C8" w:rsidRDefault="00596ECB" w:rsidP="00C52C38">
            <w:pPr>
              <w:pStyle w:val="TableNormal0"/>
              <w:cnfStyle w:val="000000100000" w:firstRow="0" w:lastRow="0" w:firstColumn="0" w:lastColumn="0" w:oddVBand="0" w:evenVBand="0" w:oddHBand="1" w:evenHBand="0" w:firstRowFirstColumn="0" w:firstRowLastColumn="0" w:lastRowFirstColumn="0" w:lastRowLastColumn="0"/>
            </w:pPr>
            <w:r w:rsidRPr="006664C8">
              <w:lastRenderedPageBreak/>
              <w:t>Administrative</w:t>
            </w:r>
            <w:r w:rsidR="2ACAD2DB">
              <w:t xml:space="preserve"> data</w:t>
            </w:r>
            <w:r w:rsidRPr="006664C8">
              <w:t>:</w:t>
            </w:r>
          </w:p>
          <w:p w14:paraId="36341673" w14:textId="706FC54B" w:rsidR="0066106F" w:rsidRPr="00C61430" w:rsidRDefault="0066106F" w:rsidP="0066106F">
            <w:pPr>
              <w:pStyle w:val="TableNormal0"/>
              <w:cnfStyle w:val="000000100000" w:firstRow="0" w:lastRow="0" w:firstColumn="0" w:lastColumn="0" w:oddVBand="0" w:evenVBand="0" w:oddHBand="1" w:evenHBand="0" w:firstRowFirstColumn="0" w:firstRowLastColumn="0" w:lastRowFirstColumn="0" w:lastRowLastColumn="0"/>
            </w:pPr>
            <w:r w:rsidRPr="00C61430">
              <w:t xml:space="preserve">Demographics </w:t>
            </w:r>
            <w:r w:rsidRPr="00C61430">
              <w:rPr>
                <w:rFonts w:eastAsia="Times New Roman"/>
              </w:rPr>
              <w:t>(</w:t>
            </w:r>
            <w:r w:rsidR="0036331B" w:rsidRPr="00C61430">
              <w:rPr>
                <w:rFonts w:eastAsia="Times New Roman"/>
              </w:rPr>
              <w:t>2020-2027 for FSP</w:t>
            </w:r>
            <w:r w:rsidR="0036331B">
              <w:rPr>
                <w:rFonts w:eastAsia="Times New Roman"/>
              </w:rPr>
              <w:t xml:space="preserve"> and CSP-HI</w:t>
            </w:r>
            <w:r w:rsidR="0036331B" w:rsidRPr="00C61430">
              <w:rPr>
                <w:rFonts w:eastAsia="Times New Roman"/>
              </w:rPr>
              <w:t>, 2022-2027 for</w:t>
            </w:r>
            <w:r w:rsidR="0036331B">
              <w:rPr>
                <w:rFonts w:eastAsia="Times New Roman"/>
              </w:rPr>
              <w:t xml:space="preserve"> other specialized</w:t>
            </w:r>
            <w:r w:rsidR="0036331B" w:rsidRPr="00C61430">
              <w:rPr>
                <w:rFonts w:eastAsia="Times New Roman"/>
              </w:rPr>
              <w:t xml:space="preserve"> CSP</w:t>
            </w:r>
            <w:r w:rsidRPr="00C61430">
              <w:rPr>
                <w:rFonts w:eastAsia="Times New Roman"/>
              </w:rPr>
              <w:t>)</w:t>
            </w:r>
            <w:r w:rsidRPr="00C61430">
              <w:t>;</w:t>
            </w:r>
          </w:p>
          <w:p w14:paraId="074E004A" w14:textId="7A039CDC" w:rsidR="0066106F" w:rsidRPr="00C61430" w:rsidRDefault="0066106F" w:rsidP="0066106F">
            <w:pPr>
              <w:pStyle w:val="TableNormal0"/>
              <w:cnfStyle w:val="000000100000" w:firstRow="0" w:lastRow="0" w:firstColumn="0" w:lastColumn="0" w:oddVBand="0" w:evenVBand="0" w:oddHBand="1" w:evenHBand="0" w:firstRowFirstColumn="0" w:firstRowLastColumn="0" w:lastRowFirstColumn="0" w:lastRowLastColumn="0"/>
            </w:pPr>
            <w:r w:rsidRPr="00C61430">
              <w:t xml:space="preserve">Eligibility/Enrollment </w:t>
            </w:r>
            <w:r w:rsidRPr="00C61430">
              <w:rPr>
                <w:rFonts w:eastAsia="Times New Roman"/>
              </w:rPr>
              <w:t>(</w:t>
            </w:r>
            <w:r w:rsidR="0036331B" w:rsidRPr="00C61430">
              <w:rPr>
                <w:rFonts w:eastAsia="Times New Roman"/>
              </w:rPr>
              <w:t>2020-2027 for FSP</w:t>
            </w:r>
            <w:r w:rsidR="0036331B">
              <w:rPr>
                <w:rFonts w:eastAsia="Times New Roman"/>
              </w:rPr>
              <w:t xml:space="preserve"> and CSP-HI</w:t>
            </w:r>
            <w:r w:rsidR="0036331B" w:rsidRPr="00C61430">
              <w:rPr>
                <w:rFonts w:eastAsia="Times New Roman"/>
              </w:rPr>
              <w:t>, 2022-2027 for</w:t>
            </w:r>
            <w:r w:rsidR="0036331B">
              <w:rPr>
                <w:rFonts w:eastAsia="Times New Roman"/>
              </w:rPr>
              <w:t xml:space="preserve"> other specialized</w:t>
            </w:r>
            <w:r w:rsidR="0036331B" w:rsidRPr="00C61430">
              <w:rPr>
                <w:rFonts w:eastAsia="Times New Roman"/>
              </w:rPr>
              <w:t xml:space="preserve"> CSP</w:t>
            </w:r>
            <w:r w:rsidRPr="00C61430">
              <w:rPr>
                <w:rFonts w:eastAsia="Times New Roman"/>
              </w:rPr>
              <w:t>)</w:t>
            </w:r>
            <w:r w:rsidRPr="00C61430">
              <w:t>;</w:t>
            </w:r>
          </w:p>
          <w:p w14:paraId="566DC76F" w14:textId="613949D9" w:rsidR="0066106F" w:rsidRPr="00C61430" w:rsidRDefault="0066106F" w:rsidP="0066106F">
            <w:pPr>
              <w:pStyle w:val="TableNormal0"/>
              <w:cnfStyle w:val="000000100000" w:firstRow="0" w:lastRow="0" w:firstColumn="0" w:lastColumn="0" w:oddVBand="0" w:evenVBand="0" w:oddHBand="1" w:evenHBand="0" w:firstRowFirstColumn="0" w:firstRowLastColumn="0" w:lastRowFirstColumn="0" w:lastRowLastColumn="0"/>
            </w:pPr>
            <w:r w:rsidRPr="00C61430">
              <w:t xml:space="preserve">Claims/Encounters </w:t>
            </w:r>
            <w:r w:rsidRPr="00C61430">
              <w:rPr>
                <w:rFonts w:eastAsia="Times New Roman"/>
              </w:rPr>
              <w:t>(2020-2027)</w:t>
            </w:r>
            <w:r w:rsidRPr="00C61430">
              <w:t>;</w:t>
            </w:r>
          </w:p>
          <w:p w14:paraId="7638AE76" w14:textId="1229B69E" w:rsidR="00596ECB" w:rsidRPr="006664C8" w:rsidRDefault="0066106F" w:rsidP="00C52C38">
            <w:pPr>
              <w:pStyle w:val="TableNormal0"/>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C61430">
              <w:t>FSP/</w:t>
            </w:r>
            <w:r w:rsidR="00725E28">
              <w:t>s</w:t>
            </w:r>
            <w:r w:rsidRPr="00C61430">
              <w:t xml:space="preserve">pecialized CSP </w:t>
            </w:r>
            <w:r w:rsidRPr="00C61430">
              <w:rPr>
                <w:rFonts w:eastAsia="Times New Roman"/>
              </w:rPr>
              <w:t>(</w:t>
            </w:r>
            <w:r w:rsidR="0036331B" w:rsidRPr="00C61430">
              <w:rPr>
                <w:rFonts w:eastAsia="Times New Roman"/>
              </w:rPr>
              <w:t>2020-2027 for FSP</w:t>
            </w:r>
            <w:r w:rsidR="0036331B">
              <w:rPr>
                <w:rFonts w:eastAsia="Times New Roman"/>
              </w:rPr>
              <w:t xml:space="preserve"> and CSP-HI</w:t>
            </w:r>
            <w:r w:rsidR="0036331B" w:rsidRPr="00C61430">
              <w:rPr>
                <w:rFonts w:eastAsia="Times New Roman"/>
              </w:rPr>
              <w:t>, 2022-2027 for</w:t>
            </w:r>
            <w:r w:rsidR="0036331B">
              <w:rPr>
                <w:rFonts w:eastAsia="Times New Roman"/>
              </w:rPr>
              <w:t xml:space="preserve"> other specialized</w:t>
            </w:r>
            <w:r w:rsidR="0036331B" w:rsidRPr="00C61430">
              <w:rPr>
                <w:rFonts w:eastAsia="Times New Roman"/>
              </w:rPr>
              <w:t xml:space="preserve"> CSP</w:t>
            </w:r>
            <w:r w:rsidRPr="00C61430">
              <w:rPr>
                <w:rFonts w:eastAsia="Times New Roman"/>
              </w:rPr>
              <w:t>)</w:t>
            </w:r>
          </w:p>
        </w:tc>
        <w:tc>
          <w:tcPr>
            <w:tcW w:w="2340" w:type="dxa"/>
          </w:tcPr>
          <w:p w14:paraId="7789D089" w14:textId="50182FF8" w:rsidR="00596ECB" w:rsidRPr="006664C8" w:rsidRDefault="23F5828A" w:rsidP="00C52C38">
            <w:pPr>
              <w:pStyle w:val="TableNormal0"/>
              <w:cnfStyle w:val="000000100000" w:firstRow="0" w:lastRow="0" w:firstColumn="0" w:lastColumn="0" w:oddVBand="0" w:evenVBand="0" w:oddHBand="1" w:evenHBand="0" w:firstRowFirstColumn="0" w:firstRowLastColumn="0" w:lastRowFirstColumn="0" w:lastRowLastColumn="0"/>
            </w:pPr>
            <w:r>
              <w:t xml:space="preserve">FSP </w:t>
            </w:r>
            <w:r w:rsidR="10D2EB34">
              <w:t>(Housing support n=</w:t>
            </w:r>
            <w:r w:rsidR="0264B1A6">
              <w:t>~</w:t>
            </w:r>
            <w:r w:rsidR="07753212">
              <w:t>3,000</w:t>
            </w:r>
            <w:r w:rsidR="10D2EB34">
              <w:t xml:space="preserve"> and nutrition support n=</w:t>
            </w:r>
            <w:r w:rsidR="0264B1A6">
              <w:t>~</w:t>
            </w:r>
            <w:r w:rsidR="07753212">
              <w:t>11</w:t>
            </w:r>
            <w:r w:rsidR="10D2EB34">
              <w:t>,000)</w:t>
            </w:r>
            <w:r>
              <w:t xml:space="preserve"> and </w:t>
            </w:r>
            <w:r w:rsidR="02427BEA">
              <w:t>s</w:t>
            </w:r>
            <w:r>
              <w:t xml:space="preserve">pecialized CSP services recipients </w:t>
            </w:r>
            <w:r w:rsidR="1ECD04CB">
              <w:t>(n=</w:t>
            </w:r>
            <w:r w:rsidR="0264B1A6">
              <w:t>~</w:t>
            </w:r>
            <w:r w:rsidR="1ECD04CB">
              <w:t xml:space="preserve">2,000 per program) </w:t>
            </w:r>
          </w:p>
        </w:tc>
        <w:tc>
          <w:tcPr>
            <w:tcW w:w="1800" w:type="dxa"/>
          </w:tcPr>
          <w:p w14:paraId="7D1218B8" w14:textId="77777777" w:rsidR="00596ECB" w:rsidRPr="006664C8" w:rsidRDefault="00596ECB" w:rsidP="00C52C38">
            <w:pPr>
              <w:pStyle w:val="TableNormal0"/>
              <w:cnfStyle w:val="000000100000" w:firstRow="0" w:lastRow="0" w:firstColumn="0" w:lastColumn="0" w:oddVBand="0" w:evenVBand="0" w:oddHBand="1" w:evenHBand="0" w:firstRowFirstColumn="0" w:firstRowLastColumn="0" w:lastRowFirstColumn="0" w:lastRowLastColumn="0"/>
            </w:pPr>
            <w:r w:rsidRPr="006664C8">
              <w:t>TCOC;</w:t>
            </w:r>
          </w:p>
          <w:p w14:paraId="3A4B3BE9" w14:textId="77777777" w:rsidR="00596ECB" w:rsidRPr="006664C8" w:rsidRDefault="00596ECB" w:rsidP="00C52C38">
            <w:pPr>
              <w:pStyle w:val="TableNormal0"/>
              <w:cnfStyle w:val="000000100000" w:firstRow="0" w:lastRow="0" w:firstColumn="0" w:lastColumn="0" w:oddVBand="0" w:evenVBand="0" w:oddHBand="1" w:evenHBand="0" w:firstRowFirstColumn="0" w:firstRowLastColumn="0" w:lastRowFirstColumn="0" w:lastRowLastColumn="0"/>
            </w:pPr>
            <w:r w:rsidRPr="006664C8">
              <w:t>Total costs of FSP services;</w:t>
            </w:r>
          </w:p>
          <w:p w14:paraId="7346373A" w14:textId="77777777" w:rsidR="00596ECB" w:rsidRPr="006664C8" w:rsidRDefault="00596ECB" w:rsidP="00C52C38">
            <w:pPr>
              <w:pStyle w:val="TableNormal0"/>
              <w:cnfStyle w:val="000000100000" w:firstRow="0" w:lastRow="0" w:firstColumn="0" w:lastColumn="0" w:oddVBand="0" w:evenVBand="0" w:oddHBand="1" w:evenHBand="0" w:firstRowFirstColumn="0" w:firstRowLastColumn="0" w:lastRowFirstColumn="0" w:lastRowLastColumn="0"/>
            </w:pPr>
            <w:r w:rsidRPr="006664C8">
              <w:t>Blood pressure, HbA1c</w:t>
            </w:r>
          </w:p>
        </w:tc>
        <w:tc>
          <w:tcPr>
            <w:tcW w:w="3079" w:type="dxa"/>
          </w:tcPr>
          <w:p w14:paraId="67C1A740" w14:textId="1F63D707" w:rsidR="00596ECB" w:rsidRPr="006664C8" w:rsidRDefault="00596ECB" w:rsidP="00C52C38">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6664C8">
              <w:rPr>
                <w:rFonts w:eastAsia="Times New Roman"/>
              </w:rPr>
              <w:t>Descriptive analysis of program and healthcare costs</w:t>
            </w:r>
            <w:r w:rsidR="00A32F1A">
              <w:rPr>
                <w:rFonts w:eastAsia="Times New Roman"/>
              </w:rPr>
              <w:t xml:space="preserve"> (program, member)</w:t>
            </w:r>
            <w:r w:rsidRPr="006664C8">
              <w:rPr>
                <w:rFonts w:eastAsia="Times New Roman"/>
              </w:rPr>
              <w:t>;</w:t>
            </w:r>
          </w:p>
          <w:p w14:paraId="0B3A33C5" w14:textId="393B2C74" w:rsidR="00596ECB" w:rsidRPr="006664C8" w:rsidRDefault="00596ECB" w:rsidP="00C52C38">
            <w:pPr>
              <w:pStyle w:val="TableNormal0"/>
              <w:cnfStyle w:val="000000100000" w:firstRow="0" w:lastRow="0" w:firstColumn="0" w:lastColumn="0" w:oddVBand="0" w:evenVBand="0" w:oddHBand="1" w:evenHBand="0" w:firstRowFirstColumn="0" w:firstRowLastColumn="0" w:lastRowFirstColumn="0" w:lastRowLastColumn="0"/>
            </w:pPr>
            <w:r w:rsidRPr="006664C8">
              <w:t>Difference-in-</w:t>
            </w:r>
            <w:r w:rsidR="002B44C5">
              <w:t>d</w:t>
            </w:r>
            <w:r w:rsidR="002B44C5" w:rsidRPr="006664C8">
              <w:t xml:space="preserve">ifference </w:t>
            </w:r>
            <w:r w:rsidR="002B44C5">
              <w:t>m</w:t>
            </w:r>
            <w:r w:rsidR="002B44C5" w:rsidRPr="006664C8">
              <w:t xml:space="preserve">odel </w:t>
            </w:r>
            <w:r w:rsidRPr="006664C8">
              <w:t>to compare healthcare costs</w:t>
            </w:r>
            <w:r w:rsidR="00A32F1A">
              <w:t xml:space="preserve"> </w:t>
            </w:r>
            <w:r w:rsidR="00A32F1A">
              <w:rPr>
                <w:rFonts w:eastAsia="Times New Roman"/>
              </w:rPr>
              <w:t>(program, member)</w:t>
            </w:r>
            <w:r w:rsidRPr="006664C8">
              <w:t>;</w:t>
            </w:r>
          </w:p>
          <w:p w14:paraId="52E0C729" w14:textId="77777777" w:rsidR="00596ECB" w:rsidRPr="006664C8" w:rsidRDefault="00596ECB" w:rsidP="00C52C38">
            <w:pPr>
              <w:pStyle w:val="TableNormal0"/>
              <w:cnfStyle w:val="000000100000" w:firstRow="0" w:lastRow="0" w:firstColumn="0" w:lastColumn="0" w:oddVBand="0" w:evenVBand="0" w:oddHBand="1" w:evenHBand="0" w:firstRowFirstColumn="0" w:firstRowLastColumn="0" w:lastRowFirstColumn="0" w:lastRowLastColumn="0"/>
            </w:pPr>
            <w:r w:rsidRPr="006664C8">
              <w:t>Return on investment analysis (H7-13.1);</w:t>
            </w:r>
          </w:p>
          <w:p w14:paraId="14454B63" w14:textId="2E251E95" w:rsidR="00596ECB" w:rsidRPr="006664C8" w:rsidRDefault="00596ECB" w:rsidP="00C52C38">
            <w:pPr>
              <w:pStyle w:val="TableNormal0"/>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6664C8">
              <w:rPr>
                <w:rFonts w:eastAsia="Times New Roman"/>
              </w:rPr>
              <w:t>Cost</w:t>
            </w:r>
            <w:r w:rsidR="002B44C5">
              <w:rPr>
                <w:rFonts w:eastAsia="Times New Roman"/>
              </w:rPr>
              <w:t>-</w:t>
            </w:r>
            <w:r w:rsidRPr="006664C8">
              <w:rPr>
                <w:rFonts w:eastAsia="Times New Roman"/>
              </w:rPr>
              <w:t>effectiveness analyses (H7-13.2)</w:t>
            </w:r>
          </w:p>
        </w:tc>
      </w:tr>
      <w:tr w:rsidR="00845EEC" w:rsidRPr="006664C8" w14:paraId="0AFF4346" w14:textId="77777777" w:rsidTr="3383C28C">
        <w:trPr>
          <w:trHeight w:val="2875"/>
        </w:trPr>
        <w:tc>
          <w:tcPr>
            <w:cnfStyle w:val="001000000000" w:firstRow="0" w:lastRow="0" w:firstColumn="1" w:lastColumn="0" w:oddVBand="0" w:evenVBand="0" w:oddHBand="0" w:evenHBand="0" w:firstRowFirstColumn="0" w:firstRowLastColumn="0" w:lastRowFirstColumn="0" w:lastRowLastColumn="0"/>
            <w:tcW w:w="2155" w:type="dxa"/>
          </w:tcPr>
          <w:p w14:paraId="10FC5715" w14:textId="5A7636C3" w:rsidR="00596ECB" w:rsidRPr="006664C8" w:rsidRDefault="11134DA7" w:rsidP="00C52C38">
            <w:pPr>
              <w:pStyle w:val="TableNormal0"/>
            </w:pPr>
            <w:r w:rsidRPr="29E43697">
              <w:rPr>
                <w:rFonts w:eastAsia="Times New Roman"/>
              </w:rPr>
              <w:t>RQ</w:t>
            </w:r>
            <w:r>
              <w:t>7-</w:t>
            </w:r>
            <w:r w:rsidRPr="29E43697">
              <w:rPr>
                <w:rFonts w:eastAsia="Times New Roman"/>
              </w:rPr>
              <w:t>14 To what exten</w:t>
            </w:r>
            <w:r w:rsidR="54E26E9F" w:rsidRPr="29E43697">
              <w:rPr>
                <w:rFonts w:eastAsia="Times New Roman"/>
              </w:rPr>
              <w:t>t</w:t>
            </w:r>
            <w:r w:rsidRPr="29E43697">
              <w:rPr>
                <w:rFonts w:eastAsia="Times New Roman"/>
              </w:rPr>
              <w:t xml:space="preserve"> did FSP and </w:t>
            </w:r>
            <w:r w:rsidR="00725E28">
              <w:rPr>
                <w:rFonts w:eastAsia="Times New Roman"/>
              </w:rPr>
              <w:t>s</w:t>
            </w:r>
            <w:r w:rsidRPr="29E43697">
              <w:rPr>
                <w:rFonts w:eastAsia="Times New Roman"/>
              </w:rPr>
              <w:t>pecialized CSP reduce health disparities by improving outcomes among demographic groups with a high prevalence of HRSNs?</w:t>
            </w:r>
          </w:p>
        </w:tc>
        <w:tc>
          <w:tcPr>
            <w:tcW w:w="1710" w:type="dxa"/>
          </w:tcPr>
          <w:p w14:paraId="163907FF" w14:textId="47C1700C" w:rsidR="00596ECB" w:rsidRPr="006664C8" w:rsidRDefault="001918F7" w:rsidP="00C52C38">
            <w:pPr>
              <w:pStyle w:val="TableNormal0"/>
              <w:cnfStyle w:val="000000000000" w:firstRow="0" w:lastRow="0" w:firstColumn="0" w:lastColumn="0" w:oddVBand="0" w:evenVBand="0" w:oddHBand="0" w:evenHBand="0" w:firstRowFirstColumn="0" w:firstRowLastColumn="0" w:lastRowFirstColumn="0" w:lastRowLastColumn="0"/>
              <w:rPr>
                <w:color w:val="000000"/>
              </w:rPr>
            </w:pPr>
            <w:r w:rsidRPr="000019A8">
              <w:rPr>
                <w:b/>
                <w:bCs/>
              </w:rPr>
              <w:t xml:space="preserve">H7-14.1 </w:t>
            </w:r>
            <w:r>
              <w:t xml:space="preserve">FSP and </w:t>
            </w:r>
            <w:r w:rsidR="00725E28">
              <w:t>s</w:t>
            </w:r>
            <w:r>
              <w:t>pecialized CS</w:t>
            </w:r>
            <w:r w:rsidR="005C4C99">
              <w:t>P</w:t>
            </w:r>
            <w:r>
              <w:t xml:space="preserve"> improved outcomes among demographic groups with a high prevalence of HRSNs</w:t>
            </w:r>
            <w:r w:rsidRPr="000019A8">
              <w:t xml:space="preserve"> (H7-7.1-4)</w:t>
            </w:r>
            <w:r>
              <w:t>.</w:t>
            </w:r>
            <w:r w:rsidRPr="000019A8">
              <w:t xml:space="preserve"> </w:t>
            </w:r>
          </w:p>
        </w:tc>
        <w:tc>
          <w:tcPr>
            <w:tcW w:w="2430" w:type="dxa"/>
          </w:tcPr>
          <w:p w14:paraId="24F47F01" w14:textId="26E552AE" w:rsidR="00596ECB" w:rsidRPr="006664C8" w:rsidRDefault="00596ECB" w:rsidP="00C52C38">
            <w:pPr>
              <w:pStyle w:val="TableNormal0"/>
              <w:cnfStyle w:val="000000000000" w:firstRow="0" w:lastRow="0" w:firstColumn="0" w:lastColumn="0" w:oddVBand="0" w:evenVBand="0" w:oddHBand="0" w:evenHBand="0" w:firstRowFirstColumn="0" w:firstRowLastColumn="0" w:lastRowFirstColumn="0" w:lastRowLastColumn="0"/>
            </w:pPr>
            <w:r w:rsidRPr="006664C8">
              <w:t>Administrative</w:t>
            </w:r>
            <w:r w:rsidR="61DD0058">
              <w:t xml:space="preserve"> data</w:t>
            </w:r>
            <w:r w:rsidRPr="006664C8">
              <w:t>:</w:t>
            </w:r>
          </w:p>
          <w:p w14:paraId="326AD758" w14:textId="62F4493C" w:rsidR="0066106F" w:rsidRPr="00C61430" w:rsidRDefault="0066106F" w:rsidP="0066106F">
            <w:pPr>
              <w:pStyle w:val="TableNormal0"/>
              <w:cnfStyle w:val="000000000000" w:firstRow="0" w:lastRow="0" w:firstColumn="0" w:lastColumn="0" w:oddVBand="0" w:evenVBand="0" w:oddHBand="0" w:evenHBand="0" w:firstRowFirstColumn="0" w:firstRowLastColumn="0" w:lastRowFirstColumn="0" w:lastRowLastColumn="0"/>
            </w:pPr>
            <w:r w:rsidRPr="00C61430">
              <w:t xml:space="preserve">Demographics </w:t>
            </w:r>
            <w:r w:rsidRPr="00C61430">
              <w:rPr>
                <w:rFonts w:eastAsia="Times New Roman"/>
              </w:rPr>
              <w:t>(</w:t>
            </w:r>
            <w:r w:rsidR="0036331B" w:rsidRPr="00C61430">
              <w:rPr>
                <w:rFonts w:eastAsia="Times New Roman"/>
              </w:rPr>
              <w:t>2020-2027 for FSP</w:t>
            </w:r>
            <w:r w:rsidR="0036331B">
              <w:rPr>
                <w:rFonts w:eastAsia="Times New Roman"/>
              </w:rPr>
              <w:t xml:space="preserve"> and CSP-HI</w:t>
            </w:r>
            <w:r w:rsidR="0036331B" w:rsidRPr="00C61430">
              <w:rPr>
                <w:rFonts w:eastAsia="Times New Roman"/>
              </w:rPr>
              <w:t>, 2022-2027 for</w:t>
            </w:r>
            <w:r w:rsidR="0036331B">
              <w:rPr>
                <w:rFonts w:eastAsia="Times New Roman"/>
              </w:rPr>
              <w:t xml:space="preserve"> other specialized</w:t>
            </w:r>
            <w:r w:rsidR="0036331B" w:rsidRPr="00C61430">
              <w:rPr>
                <w:rFonts w:eastAsia="Times New Roman"/>
              </w:rPr>
              <w:t xml:space="preserve"> CSP</w:t>
            </w:r>
            <w:r w:rsidRPr="00C61430">
              <w:rPr>
                <w:rFonts w:eastAsia="Times New Roman"/>
              </w:rPr>
              <w:t>)</w:t>
            </w:r>
            <w:r w:rsidRPr="00C61430">
              <w:t>;</w:t>
            </w:r>
          </w:p>
          <w:p w14:paraId="47D4099C" w14:textId="50AA6A92" w:rsidR="0066106F" w:rsidRPr="00C61430" w:rsidRDefault="0066106F" w:rsidP="0066106F">
            <w:pPr>
              <w:pStyle w:val="TableNormal0"/>
              <w:cnfStyle w:val="000000000000" w:firstRow="0" w:lastRow="0" w:firstColumn="0" w:lastColumn="0" w:oddVBand="0" w:evenVBand="0" w:oddHBand="0" w:evenHBand="0" w:firstRowFirstColumn="0" w:firstRowLastColumn="0" w:lastRowFirstColumn="0" w:lastRowLastColumn="0"/>
            </w:pPr>
            <w:r w:rsidRPr="00C61430">
              <w:t xml:space="preserve">Eligibility/ Enrollment </w:t>
            </w:r>
            <w:r w:rsidRPr="00C61430">
              <w:rPr>
                <w:rFonts w:eastAsia="Times New Roman"/>
              </w:rPr>
              <w:t>(</w:t>
            </w:r>
            <w:r w:rsidR="0036331B" w:rsidRPr="00C61430">
              <w:rPr>
                <w:rFonts w:eastAsia="Times New Roman"/>
              </w:rPr>
              <w:t>2020-2027 for FSP</w:t>
            </w:r>
            <w:r w:rsidR="0036331B">
              <w:rPr>
                <w:rFonts w:eastAsia="Times New Roman"/>
              </w:rPr>
              <w:t xml:space="preserve"> and CSP-HI</w:t>
            </w:r>
            <w:r w:rsidR="0036331B" w:rsidRPr="00C61430">
              <w:rPr>
                <w:rFonts w:eastAsia="Times New Roman"/>
              </w:rPr>
              <w:t>, 2022-2027 for</w:t>
            </w:r>
            <w:r w:rsidR="0036331B">
              <w:rPr>
                <w:rFonts w:eastAsia="Times New Roman"/>
              </w:rPr>
              <w:t xml:space="preserve"> other specialized</w:t>
            </w:r>
            <w:r w:rsidR="0036331B" w:rsidRPr="00C61430">
              <w:rPr>
                <w:rFonts w:eastAsia="Times New Roman"/>
              </w:rPr>
              <w:t xml:space="preserve"> CSP</w:t>
            </w:r>
            <w:r w:rsidRPr="00C61430">
              <w:rPr>
                <w:rFonts w:eastAsia="Times New Roman"/>
              </w:rPr>
              <w:t>)</w:t>
            </w:r>
            <w:r w:rsidRPr="00C61430">
              <w:t>;</w:t>
            </w:r>
          </w:p>
          <w:p w14:paraId="2C8179D1" w14:textId="3975E09E" w:rsidR="0066106F" w:rsidRPr="00C61430" w:rsidRDefault="0066106F" w:rsidP="0066106F">
            <w:pPr>
              <w:pStyle w:val="TableNormal0"/>
              <w:cnfStyle w:val="000000000000" w:firstRow="0" w:lastRow="0" w:firstColumn="0" w:lastColumn="0" w:oddVBand="0" w:evenVBand="0" w:oddHBand="0" w:evenHBand="0" w:firstRowFirstColumn="0" w:firstRowLastColumn="0" w:lastRowFirstColumn="0" w:lastRowLastColumn="0"/>
            </w:pPr>
            <w:r w:rsidRPr="00C61430">
              <w:t xml:space="preserve">Claims/Encounters </w:t>
            </w:r>
            <w:r w:rsidRPr="00C61430">
              <w:rPr>
                <w:rFonts w:eastAsia="Times New Roman"/>
              </w:rPr>
              <w:t>(2020-2027)</w:t>
            </w:r>
            <w:r w:rsidRPr="00C61430">
              <w:t>;</w:t>
            </w:r>
          </w:p>
          <w:p w14:paraId="568B788A" w14:textId="5DC18F84" w:rsidR="0050358B" w:rsidRDefault="0066106F" w:rsidP="00C52C38">
            <w:pPr>
              <w:pStyle w:val="TableNormal0"/>
              <w:cnfStyle w:val="000000000000" w:firstRow="0" w:lastRow="0" w:firstColumn="0" w:lastColumn="0" w:oddVBand="0" w:evenVBand="0" w:oddHBand="0" w:evenHBand="0" w:firstRowFirstColumn="0" w:firstRowLastColumn="0" w:lastRowFirstColumn="0" w:lastRowLastColumn="0"/>
            </w:pPr>
            <w:r w:rsidRPr="00C61430">
              <w:t>FSP/</w:t>
            </w:r>
            <w:r w:rsidR="00C16CEC">
              <w:t>s</w:t>
            </w:r>
            <w:r w:rsidRPr="00C61430">
              <w:t xml:space="preserve">pecialized CSP </w:t>
            </w:r>
            <w:r w:rsidRPr="00C61430">
              <w:rPr>
                <w:rFonts w:eastAsia="Times New Roman"/>
              </w:rPr>
              <w:t>(</w:t>
            </w:r>
            <w:r w:rsidR="0036331B" w:rsidRPr="00C61430">
              <w:rPr>
                <w:rFonts w:eastAsia="Times New Roman"/>
              </w:rPr>
              <w:t>2020-2027 for FSP</w:t>
            </w:r>
            <w:r w:rsidR="0036331B">
              <w:rPr>
                <w:rFonts w:eastAsia="Times New Roman"/>
              </w:rPr>
              <w:t xml:space="preserve"> and CSP-HI</w:t>
            </w:r>
            <w:r w:rsidR="0036331B" w:rsidRPr="00C61430">
              <w:rPr>
                <w:rFonts w:eastAsia="Times New Roman"/>
              </w:rPr>
              <w:t>, 2022-2027 for</w:t>
            </w:r>
            <w:r w:rsidR="0036331B">
              <w:rPr>
                <w:rFonts w:eastAsia="Times New Roman"/>
              </w:rPr>
              <w:t xml:space="preserve"> other specialized</w:t>
            </w:r>
            <w:r w:rsidR="0036331B" w:rsidRPr="00C61430">
              <w:rPr>
                <w:rFonts w:eastAsia="Times New Roman"/>
              </w:rPr>
              <w:t xml:space="preserve"> CSP</w:t>
            </w:r>
            <w:r w:rsidRPr="00C61430">
              <w:rPr>
                <w:rFonts w:eastAsia="Times New Roman"/>
              </w:rPr>
              <w:t>)</w:t>
            </w:r>
            <w:r w:rsidRPr="00C61430">
              <w:t xml:space="preserve"> </w:t>
            </w:r>
          </w:p>
          <w:p w14:paraId="651E2C80" w14:textId="27071A5F" w:rsidR="00596ECB" w:rsidRPr="006664C8" w:rsidRDefault="00596ECB" w:rsidP="00C52C38">
            <w:pPr>
              <w:pStyle w:val="TableNormal0"/>
              <w:cnfStyle w:val="000000000000" w:firstRow="0" w:lastRow="0" w:firstColumn="0" w:lastColumn="0" w:oddVBand="0" w:evenVBand="0" w:oddHBand="0" w:evenHBand="0" w:firstRowFirstColumn="0" w:firstRowLastColumn="0" w:lastRowFirstColumn="0" w:lastRowLastColumn="0"/>
            </w:pPr>
            <w:r w:rsidRPr="006664C8">
              <w:t>See RQ7-7</w:t>
            </w:r>
          </w:p>
          <w:p w14:paraId="519E1C9D" w14:textId="77777777" w:rsidR="00596ECB" w:rsidRPr="006664C8" w:rsidRDefault="00596ECB" w:rsidP="00C52C38">
            <w:pPr>
              <w:pStyle w:val="TableNormal0"/>
              <w:cnfStyle w:val="000000000000" w:firstRow="0" w:lastRow="0" w:firstColumn="0" w:lastColumn="0" w:oddVBand="0" w:evenVBand="0" w:oddHBand="0" w:evenHBand="0" w:firstRowFirstColumn="0" w:firstRowLastColumn="0" w:lastRowFirstColumn="0" w:lastRowLastColumn="0"/>
            </w:pPr>
            <w:r w:rsidRPr="006664C8">
              <w:t>See RQ7-8</w:t>
            </w:r>
          </w:p>
          <w:p w14:paraId="39BCA560" w14:textId="77777777" w:rsidR="00596ECB" w:rsidRPr="006664C8" w:rsidRDefault="00596ECB" w:rsidP="00C52C38">
            <w:pPr>
              <w:pStyle w:val="TableNormal0"/>
              <w:cnfStyle w:val="000000000000" w:firstRow="0" w:lastRow="0" w:firstColumn="0" w:lastColumn="0" w:oddVBand="0" w:evenVBand="0" w:oddHBand="0" w:evenHBand="0" w:firstRowFirstColumn="0" w:firstRowLastColumn="0" w:lastRowFirstColumn="0" w:lastRowLastColumn="0"/>
            </w:pPr>
            <w:r w:rsidRPr="006664C8">
              <w:t>See RQ7-9</w:t>
            </w:r>
          </w:p>
        </w:tc>
        <w:tc>
          <w:tcPr>
            <w:tcW w:w="2340" w:type="dxa"/>
          </w:tcPr>
          <w:p w14:paraId="152134C3" w14:textId="65ABA87F" w:rsidR="00596ECB" w:rsidRPr="006664C8" w:rsidRDefault="23F5828A" w:rsidP="00C52C38">
            <w:pPr>
              <w:pStyle w:val="TableNormal0"/>
              <w:cnfStyle w:val="000000000000" w:firstRow="0" w:lastRow="0" w:firstColumn="0" w:lastColumn="0" w:oddVBand="0" w:evenVBand="0" w:oddHBand="0" w:evenHBand="0" w:firstRowFirstColumn="0" w:firstRowLastColumn="0" w:lastRowFirstColumn="0" w:lastRowLastColumn="0"/>
            </w:pPr>
            <w:r>
              <w:t xml:space="preserve">FSP </w:t>
            </w:r>
            <w:r w:rsidR="1ECD04CB">
              <w:t>(</w:t>
            </w:r>
            <w:r w:rsidR="10D2EB34">
              <w:t xml:space="preserve">Housing support </w:t>
            </w:r>
            <w:r w:rsidR="1ECD04CB">
              <w:t>n=</w:t>
            </w:r>
            <w:r w:rsidR="0264B1A6">
              <w:t>~</w:t>
            </w:r>
            <w:r w:rsidR="07753212">
              <w:t>3</w:t>
            </w:r>
            <w:r w:rsidR="10D2EB34">
              <w:t>,000 and nutrition support n=</w:t>
            </w:r>
            <w:r w:rsidR="0264B1A6">
              <w:t>~</w:t>
            </w:r>
            <w:r w:rsidR="07753212">
              <w:t>11</w:t>
            </w:r>
            <w:r w:rsidR="10D2EB34">
              <w:t>,000</w:t>
            </w:r>
            <w:r w:rsidR="1ECD04CB">
              <w:t xml:space="preserve">) </w:t>
            </w:r>
            <w:r>
              <w:t xml:space="preserve">and </w:t>
            </w:r>
            <w:r w:rsidR="0A30EA34">
              <w:t>s</w:t>
            </w:r>
            <w:r>
              <w:t>pecialized CSP services recipients</w:t>
            </w:r>
            <w:r w:rsidR="1ECD04CB">
              <w:t xml:space="preserve"> (n=</w:t>
            </w:r>
            <w:r w:rsidR="0264B1A6">
              <w:t>~</w:t>
            </w:r>
            <w:r w:rsidR="1ECD04CB">
              <w:t xml:space="preserve">2,000 per </w:t>
            </w:r>
            <w:r w:rsidR="62E3E9AE">
              <w:t xml:space="preserve">CSP </w:t>
            </w:r>
            <w:r w:rsidR="1ECD04CB">
              <w:t>program)</w:t>
            </w:r>
            <w:r>
              <w:t>:</w:t>
            </w:r>
          </w:p>
          <w:p w14:paraId="35F1CAFF" w14:textId="77777777" w:rsidR="00596ECB" w:rsidRPr="006664C8" w:rsidRDefault="00596ECB" w:rsidP="00C52C38">
            <w:pPr>
              <w:pStyle w:val="TableNormal0"/>
              <w:cnfStyle w:val="000000000000" w:firstRow="0" w:lastRow="0" w:firstColumn="0" w:lastColumn="0" w:oddVBand="0" w:evenVBand="0" w:oddHBand="0" w:evenHBand="0" w:firstRowFirstColumn="0" w:firstRowLastColumn="0" w:lastRowFirstColumn="0" w:lastRowLastColumn="0"/>
            </w:pPr>
            <w:r w:rsidRPr="006664C8">
              <w:t>See RQ7 H.1-4 (H14.1);</w:t>
            </w:r>
          </w:p>
          <w:p w14:paraId="18056E48" w14:textId="77777777" w:rsidR="00596ECB" w:rsidRPr="006664C8" w:rsidRDefault="00596ECB" w:rsidP="00C52C38">
            <w:pPr>
              <w:pStyle w:val="TableNormal0"/>
              <w:cnfStyle w:val="000000000000" w:firstRow="0" w:lastRow="0" w:firstColumn="0" w:lastColumn="0" w:oddVBand="0" w:evenVBand="0" w:oddHBand="0" w:evenHBand="0" w:firstRowFirstColumn="0" w:firstRowLastColumn="0" w:lastRowFirstColumn="0" w:lastRowLastColumn="0"/>
            </w:pPr>
            <w:r w:rsidRPr="006664C8">
              <w:t>See RQ8 (H14.2);</w:t>
            </w:r>
          </w:p>
          <w:p w14:paraId="23648B3D" w14:textId="77777777" w:rsidR="00596ECB" w:rsidRPr="006664C8" w:rsidRDefault="00596ECB" w:rsidP="00C52C38">
            <w:pPr>
              <w:pStyle w:val="TableNormal0"/>
              <w:cnfStyle w:val="000000000000" w:firstRow="0" w:lastRow="0" w:firstColumn="0" w:lastColumn="0" w:oddVBand="0" w:evenVBand="0" w:oddHBand="0" w:evenHBand="0" w:firstRowFirstColumn="0" w:firstRowLastColumn="0" w:lastRowFirstColumn="0" w:lastRowLastColumn="0"/>
              <w:rPr>
                <w:color w:val="000000"/>
              </w:rPr>
            </w:pPr>
            <w:r w:rsidRPr="006664C8">
              <w:t>See RQ9 H.1-4 (H14.3)</w:t>
            </w:r>
          </w:p>
        </w:tc>
        <w:tc>
          <w:tcPr>
            <w:tcW w:w="1800" w:type="dxa"/>
          </w:tcPr>
          <w:p w14:paraId="633E56C9" w14:textId="77777777" w:rsidR="00596ECB" w:rsidRPr="006664C8" w:rsidRDefault="00596ECB" w:rsidP="00C52C38">
            <w:pPr>
              <w:pStyle w:val="TableNormal0"/>
              <w:cnfStyle w:val="000000000000" w:firstRow="0" w:lastRow="0" w:firstColumn="0" w:lastColumn="0" w:oddVBand="0" w:evenVBand="0" w:oddHBand="0" w:evenHBand="0" w:firstRowFirstColumn="0" w:firstRowLastColumn="0" w:lastRowFirstColumn="0" w:lastRowLastColumn="0"/>
            </w:pPr>
            <w:r w:rsidRPr="006664C8">
              <w:t>See RQ7, 10, 11 with outcomes for RELDSOGI categories:</w:t>
            </w:r>
          </w:p>
          <w:p w14:paraId="69943CA0" w14:textId="77777777" w:rsidR="00596ECB" w:rsidRPr="006664C8" w:rsidRDefault="00596ECB" w:rsidP="00C52C38">
            <w:pPr>
              <w:pStyle w:val="TableNormal0"/>
              <w:cnfStyle w:val="000000000000" w:firstRow="0" w:lastRow="0" w:firstColumn="0" w:lastColumn="0" w:oddVBand="0" w:evenVBand="0" w:oddHBand="0" w:evenHBand="0" w:firstRowFirstColumn="0" w:firstRowLastColumn="0" w:lastRowFirstColumn="0" w:lastRowLastColumn="0"/>
            </w:pPr>
            <w:r w:rsidRPr="006664C8">
              <w:t>See RQ7 (H14.1);</w:t>
            </w:r>
          </w:p>
          <w:p w14:paraId="76E6BDA2" w14:textId="77777777" w:rsidR="00596ECB" w:rsidRPr="006664C8" w:rsidRDefault="00596ECB" w:rsidP="00C52C38">
            <w:pPr>
              <w:pStyle w:val="TableNormal0"/>
              <w:cnfStyle w:val="000000000000" w:firstRow="0" w:lastRow="0" w:firstColumn="0" w:lastColumn="0" w:oddVBand="0" w:evenVBand="0" w:oddHBand="0" w:evenHBand="0" w:firstRowFirstColumn="0" w:firstRowLastColumn="0" w:lastRowFirstColumn="0" w:lastRowLastColumn="0"/>
            </w:pPr>
            <w:r w:rsidRPr="006664C8">
              <w:t>See RQ8 (H14.2);</w:t>
            </w:r>
          </w:p>
          <w:p w14:paraId="0D05E531" w14:textId="77777777" w:rsidR="00596ECB" w:rsidRPr="006664C8" w:rsidRDefault="00596ECB" w:rsidP="00C52C38">
            <w:pPr>
              <w:pStyle w:val="TableNormal0"/>
              <w:cnfStyle w:val="000000000000" w:firstRow="0" w:lastRow="0" w:firstColumn="0" w:lastColumn="0" w:oddVBand="0" w:evenVBand="0" w:oddHBand="0" w:evenHBand="0" w:firstRowFirstColumn="0" w:firstRowLastColumn="0" w:lastRowFirstColumn="0" w:lastRowLastColumn="0"/>
              <w:rPr>
                <w:color w:val="000000"/>
              </w:rPr>
            </w:pPr>
            <w:r w:rsidRPr="006664C8">
              <w:t>See RQ9 H.1-4 (H14.3)</w:t>
            </w:r>
          </w:p>
        </w:tc>
        <w:tc>
          <w:tcPr>
            <w:tcW w:w="3079" w:type="dxa"/>
          </w:tcPr>
          <w:p w14:paraId="36364DA9" w14:textId="77777777" w:rsidR="00596ECB" w:rsidRPr="006664C8" w:rsidRDefault="00596ECB" w:rsidP="00C52C38">
            <w:pPr>
              <w:pStyle w:val="TableNormal0"/>
              <w:cnfStyle w:val="000000000000" w:firstRow="0" w:lastRow="0" w:firstColumn="0" w:lastColumn="0" w:oddVBand="0" w:evenVBand="0" w:oddHBand="0" w:evenHBand="0" w:firstRowFirstColumn="0" w:firstRowLastColumn="0" w:lastRowFirstColumn="0" w:lastRowLastColumn="0"/>
            </w:pPr>
            <w:r w:rsidRPr="006664C8">
              <w:t>See RQ7-7, 7-8, 7-9:</w:t>
            </w:r>
          </w:p>
          <w:p w14:paraId="5C4E2376" w14:textId="0F8F94AE" w:rsidR="00596ECB" w:rsidRPr="006664C8" w:rsidRDefault="00596ECB" w:rsidP="00C52C38">
            <w:pPr>
              <w:pStyle w:val="TableNormal0"/>
              <w:cnfStyle w:val="000000000000" w:firstRow="0" w:lastRow="0" w:firstColumn="0" w:lastColumn="0" w:oddVBand="0" w:evenVBand="0" w:oddHBand="0" w:evenHBand="0" w:firstRowFirstColumn="0" w:firstRowLastColumn="0" w:lastRowFirstColumn="0" w:lastRowLastColumn="0"/>
            </w:pPr>
            <w:r w:rsidRPr="006664C8">
              <w:t>Descriptive analysis</w:t>
            </w:r>
            <w:r w:rsidR="004A0A6E">
              <w:t xml:space="preserve"> (member, demographic groups)</w:t>
            </w:r>
            <w:r w:rsidRPr="006664C8">
              <w:t>;</w:t>
            </w:r>
          </w:p>
          <w:p w14:paraId="3CB34241" w14:textId="12FB97FF" w:rsidR="00596ECB" w:rsidRPr="006664C8" w:rsidRDefault="00596ECB" w:rsidP="00C52C38">
            <w:pPr>
              <w:pStyle w:val="TableNormal0"/>
              <w:cnfStyle w:val="000000000000" w:firstRow="0" w:lastRow="0" w:firstColumn="0" w:lastColumn="0" w:oddVBand="0" w:evenVBand="0" w:oddHBand="0" w:evenHBand="0" w:firstRowFirstColumn="0" w:firstRowLastColumn="0" w:lastRowFirstColumn="0" w:lastRowLastColumn="0"/>
            </w:pPr>
            <w:r w:rsidRPr="006664C8">
              <w:t>Stratified analyses</w:t>
            </w:r>
            <w:r w:rsidR="004A0A6E">
              <w:t xml:space="preserve"> (member, demographic groups)</w:t>
            </w:r>
            <w:r w:rsidRPr="006664C8">
              <w:t>;</w:t>
            </w:r>
          </w:p>
          <w:p w14:paraId="44019007" w14:textId="056BFF69" w:rsidR="00596ECB" w:rsidRPr="006664C8" w:rsidRDefault="00596ECB" w:rsidP="00C52C38">
            <w:pPr>
              <w:pStyle w:val="TableNormal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664C8">
              <w:t>Difference-in-difference model</w:t>
            </w:r>
            <w:r w:rsidR="004A0A6E">
              <w:t xml:space="preserve"> (member, demographic groups)</w:t>
            </w:r>
          </w:p>
        </w:tc>
      </w:tr>
    </w:tbl>
    <w:p w14:paraId="33267B47" w14:textId="77777777" w:rsidR="003A3B7D" w:rsidRPr="003A3B7D" w:rsidRDefault="003A3B7D" w:rsidP="003A3B7D">
      <w:pPr>
        <w:pStyle w:val="TableorFigurefootnote"/>
      </w:pPr>
      <w:r w:rsidRPr="003A3B7D">
        <w:t xml:space="preserve">a. Research Questions developed based on the following STC sections 15.1 – 15.18; </w:t>
      </w:r>
      <w:hyperlink r:id="rId38" w:history="1">
        <w:r w:rsidRPr="003A3B7D">
          <w:rPr>
            <w:rStyle w:val="Hyperlink"/>
          </w:rPr>
          <w:t>1115 MassHealth Demonstration ("Waiver") | Mass.gov</w:t>
        </w:r>
      </w:hyperlink>
    </w:p>
    <w:p w14:paraId="665415DA" w14:textId="77777777" w:rsidR="003A3B7D" w:rsidRPr="003A3B7D" w:rsidRDefault="003A3B7D" w:rsidP="003A3B7D">
      <w:pPr>
        <w:pStyle w:val="TableorFigurefootnote"/>
      </w:pPr>
      <w:r w:rsidRPr="003A3B7D">
        <w:t>b. Data sources are described in section 8.4.2 “Data Sources and Collection Methods” and in section 1.4.1 “Summary of Data Sources”</w:t>
      </w:r>
    </w:p>
    <w:p w14:paraId="7CC005D1" w14:textId="43D747B7" w:rsidR="00416054" w:rsidRPr="008358B8" w:rsidRDefault="003A3B7D" w:rsidP="003A3B7D">
      <w:pPr>
        <w:pStyle w:val="TableorFigurefootnote"/>
        <w:sectPr w:rsidR="00416054" w:rsidRPr="008358B8" w:rsidSect="00744E1B">
          <w:pgSz w:w="15840" w:h="12240" w:orient="landscape"/>
          <w:pgMar w:top="1152" w:right="1152" w:bottom="1152" w:left="1152" w:header="720" w:footer="720" w:gutter="0"/>
          <w:cols w:space="720"/>
          <w:docGrid w:linePitch="360"/>
        </w:sectPr>
      </w:pPr>
      <w:r w:rsidRPr="003A3B7D">
        <w:t>c. Analytic methods are described below in section 8.4.5 “Analysis Methods”</w:t>
      </w:r>
    </w:p>
    <w:p w14:paraId="6DAC2FB7" w14:textId="77777777" w:rsidR="008925CE" w:rsidRPr="0009132C" w:rsidRDefault="008925CE" w:rsidP="00C870A3">
      <w:pPr>
        <w:pStyle w:val="Heading2"/>
      </w:pPr>
      <w:bookmarkStart w:id="227" w:name="_Data_and_Methods_1"/>
      <w:bookmarkEnd w:id="224"/>
      <w:bookmarkEnd w:id="227"/>
      <w:r w:rsidRPr="0009132C">
        <w:lastRenderedPageBreak/>
        <w:t xml:space="preserve"> </w:t>
      </w:r>
      <w:bookmarkStart w:id="228" w:name="_Toc130209736"/>
      <w:bookmarkStart w:id="229" w:name="_Toc151976446"/>
      <w:r w:rsidRPr="0009132C">
        <w:t>Data and Methods</w:t>
      </w:r>
      <w:bookmarkEnd w:id="228"/>
      <w:bookmarkEnd w:id="229"/>
    </w:p>
    <w:p w14:paraId="01AF6503" w14:textId="2ACCA7F5" w:rsidR="008925CE" w:rsidRPr="0009132C" w:rsidRDefault="008925CE" w:rsidP="00EE4105">
      <w:pPr>
        <w:pStyle w:val="Heading3"/>
      </w:pPr>
      <w:bookmarkStart w:id="230" w:name="_Hlk151289561"/>
      <w:r w:rsidRPr="0009132C">
        <w:t>Study Populations (</w:t>
      </w:r>
      <w:r w:rsidR="00A60C8A">
        <w:t>I</w:t>
      </w:r>
      <w:r w:rsidRPr="0009132C">
        <w:t>ncluding Comparison Groups)</w:t>
      </w:r>
    </w:p>
    <w:bookmarkEnd w:id="230"/>
    <w:p w14:paraId="40C2DC5C" w14:textId="28E2170D" w:rsidR="008925CE" w:rsidRPr="006D78BE" w:rsidRDefault="008925CE" w:rsidP="00C870A3">
      <w:r w:rsidRPr="0009132C">
        <w:t xml:space="preserve">The study populations vary across research questions (See </w:t>
      </w:r>
      <w:r w:rsidR="009E0A84" w:rsidRPr="00A505D3">
        <w:rPr>
          <w:color w:val="000F9F"/>
          <w:u w:val="single"/>
        </w:rPr>
        <w:fldChar w:fldCharType="begin"/>
      </w:r>
      <w:r w:rsidR="009E0A84" w:rsidRPr="00A505D3">
        <w:rPr>
          <w:color w:val="000F9F"/>
          <w:u w:val="single"/>
        </w:rPr>
        <w:instrText xml:space="preserve"> REF _Ref143171163 \h </w:instrText>
      </w:r>
      <w:r w:rsidR="009E0A84" w:rsidRPr="00A505D3">
        <w:rPr>
          <w:color w:val="000F9F"/>
          <w:u w:val="single"/>
        </w:rPr>
      </w:r>
      <w:r w:rsidR="009E0A84" w:rsidRPr="00A505D3">
        <w:rPr>
          <w:color w:val="000F9F"/>
          <w:u w:val="single"/>
        </w:rPr>
        <w:fldChar w:fldCharType="separate"/>
      </w:r>
      <w:r w:rsidR="009E0A84" w:rsidRPr="00A505D3">
        <w:rPr>
          <w:color w:val="000F9F"/>
          <w:u w:val="single"/>
        </w:rPr>
        <w:t xml:space="preserve">Table </w:t>
      </w:r>
      <w:r w:rsidR="009E0A84" w:rsidRPr="00A505D3">
        <w:rPr>
          <w:noProof/>
          <w:color w:val="000F9F"/>
          <w:u w:val="single"/>
        </w:rPr>
        <w:t>8</w:t>
      </w:r>
      <w:r w:rsidR="009E0A84" w:rsidRPr="00A505D3">
        <w:rPr>
          <w:color w:val="000F9F"/>
          <w:u w:val="single"/>
        </w:rPr>
        <w:noBreakHyphen/>
      </w:r>
      <w:r w:rsidR="009E0A84" w:rsidRPr="00A505D3">
        <w:rPr>
          <w:noProof/>
          <w:color w:val="000F9F"/>
          <w:u w:val="single"/>
        </w:rPr>
        <w:t>1</w:t>
      </w:r>
      <w:r w:rsidR="009E0A84" w:rsidRPr="00A505D3">
        <w:rPr>
          <w:color w:val="000F9F"/>
          <w:u w:val="single"/>
        </w:rPr>
        <w:fldChar w:fldCharType="end"/>
      </w:r>
      <w:r w:rsidR="00554660">
        <w:t>)</w:t>
      </w:r>
    </w:p>
    <w:p w14:paraId="0E8C9F14" w14:textId="7D3A529B" w:rsidR="008925CE" w:rsidRPr="006D78BE" w:rsidRDefault="008925CE" w:rsidP="00C870A3">
      <w:r w:rsidRPr="0009132C">
        <w:t>For the RQs that address HRSN screening, prevalence, or referral to HRSN programs (RQ</w:t>
      </w:r>
      <w:r w:rsidR="00EE762C" w:rsidRPr="0009132C">
        <w:t>7-</w:t>
      </w:r>
      <w:r w:rsidRPr="0009132C">
        <w:t xml:space="preserve">1, </w:t>
      </w:r>
      <w:r w:rsidR="00EE762C" w:rsidRPr="0009132C">
        <w:t>7-</w:t>
      </w:r>
      <w:r w:rsidRPr="0009132C">
        <w:t xml:space="preserve">2, </w:t>
      </w:r>
      <w:r w:rsidR="00EE762C" w:rsidRPr="0009132C">
        <w:t>7-</w:t>
      </w:r>
      <w:r w:rsidRPr="0009132C">
        <w:t xml:space="preserve">6), the study population will be comprised of MassHealth ACO/MCO enrolled members and members seen in a hospital where these data will be available. </w:t>
      </w:r>
    </w:p>
    <w:p w14:paraId="2A485FF8" w14:textId="4FF3F852" w:rsidR="00433675" w:rsidRDefault="008925CE" w:rsidP="00C870A3">
      <w:bookmarkStart w:id="231" w:name="_Hlk151289582"/>
      <w:r w:rsidRPr="0009132C">
        <w:t xml:space="preserve">For RQs that address member-level FSP and </w:t>
      </w:r>
      <w:r w:rsidR="00917C63">
        <w:t>s</w:t>
      </w:r>
      <w:r w:rsidRPr="0009132C">
        <w:t>pecialized CSP program outcomes (RQ</w:t>
      </w:r>
      <w:r w:rsidR="00EE762C" w:rsidRPr="0009132C">
        <w:t>7-</w:t>
      </w:r>
      <w:r w:rsidRPr="0009132C">
        <w:t xml:space="preserve">3, </w:t>
      </w:r>
      <w:r w:rsidR="00AB34CA">
        <w:t>RQ</w:t>
      </w:r>
      <w:r w:rsidR="00EE762C" w:rsidRPr="0009132C">
        <w:t>7-</w:t>
      </w:r>
      <w:r w:rsidR="007D759E">
        <w:t>6</w:t>
      </w:r>
      <w:r w:rsidR="00C844B9">
        <w:t xml:space="preserve"> </w:t>
      </w:r>
      <w:r w:rsidR="00EB32A6">
        <w:t xml:space="preserve">to </w:t>
      </w:r>
      <w:r w:rsidR="00EB32A6" w:rsidRPr="0009132C">
        <w:t>RQ</w:t>
      </w:r>
      <w:r w:rsidR="00EE762C" w:rsidRPr="0009132C">
        <w:t>7-</w:t>
      </w:r>
      <w:r w:rsidRPr="0009132C">
        <w:t>1</w:t>
      </w:r>
      <w:r w:rsidR="009035CC">
        <w:t>0</w:t>
      </w:r>
      <w:r w:rsidRPr="0009132C">
        <w:t xml:space="preserve">, </w:t>
      </w:r>
      <w:r w:rsidR="00EE762C" w:rsidRPr="0009132C">
        <w:t>7-</w:t>
      </w:r>
      <w:r w:rsidRPr="0009132C">
        <w:t>1</w:t>
      </w:r>
      <w:r w:rsidR="009035CC">
        <w:t>4</w:t>
      </w:r>
      <w:bookmarkEnd w:id="231"/>
      <w:r w:rsidRPr="0009132C">
        <w:t>)</w:t>
      </w:r>
      <w:r w:rsidR="00F83C97">
        <w:t>,</w:t>
      </w:r>
      <w:r w:rsidRPr="0009132C">
        <w:t xml:space="preserve"> the study populations will be the members receiving FSP and </w:t>
      </w:r>
      <w:r w:rsidR="00917C63">
        <w:t>s</w:t>
      </w:r>
      <w:r w:rsidRPr="0009132C">
        <w:t xml:space="preserve">pecialized CSP services. Comparison groups </w:t>
      </w:r>
      <w:r w:rsidR="0007292A" w:rsidRPr="0009132C">
        <w:t xml:space="preserve">and </w:t>
      </w:r>
      <w:r w:rsidR="00F12348" w:rsidRPr="0009132C">
        <w:t xml:space="preserve">propensity </w:t>
      </w:r>
      <w:r w:rsidR="00F83C97" w:rsidRPr="0009132C">
        <w:t>score</w:t>
      </w:r>
      <w:r w:rsidR="00F83C97">
        <w:t>-</w:t>
      </w:r>
      <w:r w:rsidR="00F12348" w:rsidRPr="0009132C">
        <w:t xml:space="preserve">based </w:t>
      </w:r>
      <w:r w:rsidR="005558F8" w:rsidRPr="0009132C">
        <w:t>statistical</w:t>
      </w:r>
      <w:r w:rsidRPr="0009132C">
        <w:t xml:space="preserve"> </w:t>
      </w:r>
      <w:r w:rsidR="00F12348" w:rsidRPr="0009132C">
        <w:t xml:space="preserve">approaches (e.g., matching, weighting) </w:t>
      </w:r>
      <w:r w:rsidRPr="0009132C">
        <w:t xml:space="preserve">will be used to estimate the effects of the FSP, CSP-JI, and CSP-HI programs </w:t>
      </w:r>
      <w:bookmarkStart w:id="232" w:name="_Hlk151289694"/>
      <w:r w:rsidRPr="0009132C">
        <w:t>(RQ</w:t>
      </w:r>
      <w:r w:rsidR="00120064" w:rsidRPr="0009132C">
        <w:t>7-</w:t>
      </w:r>
      <w:r w:rsidR="009035CC">
        <w:t>7</w:t>
      </w:r>
      <w:r w:rsidR="00120064" w:rsidRPr="0009132C">
        <w:t xml:space="preserve"> </w:t>
      </w:r>
      <w:r w:rsidR="00EB32A6">
        <w:t>to</w:t>
      </w:r>
      <w:r w:rsidR="00120064" w:rsidRPr="0009132C">
        <w:t xml:space="preserve"> RQ7-</w:t>
      </w:r>
      <w:r w:rsidR="00DC76F2">
        <w:t>10</w:t>
      </w:r>
      <w:r w:rsidRPr="0009132C">
        <w:t xml:space="preserve">, </w:t>
      </w:r>
      <w:r w:rsidR="00120064" w:rsidRPr="0009132C">
        <w:t>7-</w:t>
      </w:r>
      <w:r w:rsidRPr="0009132C">
        <w:t>1</w:t>
      </w:r>
      <w:r w:rsidR="00DC76F2">
        <w:t>4</w:t>
      </w:r>
      <w:r w:rsidRPr="0009132C">
        <w:t xml:space="preserve">). </w:t>
      </w:r>
      <w:bookmarkEnd w:id="232"/>
      <w:r w:rsidRPr="0009132C">
        <w:t xml:space="preserve">For these RQs, we anticipate using the following comparison groups: </w:t>
      </w:r>
    </w:p>
    <w:p w14:paraId="0665DAB6" w14:textId="0C9B7E59" w:rsidR="00433675" w:rsidRDefault="008925CE" w:rsidP="00641995">
      <w:pPr>
        <w:pStyle w:val="FHClistnumber"/>
        <w:numPr>
          <w:ilvl w:val="0"/>
          <w:numId w:val="193"/>
        </w:numPr>
      </w:pPr>
      <w:r w:rsidRPr="0009132C">
        <w:t>MassHealth members screened as eligible</w:t>
      </w:r>
      <w:r w:rsidR="00F83C97">
        <w:t>,</w:t>
      </w:r>
      <w:r w:rsidRPr="0009132C">
        <w:t xml:space="preserve"> but who never </w:t>
      </w:r>
      <w:r w:rsidR="00F83C97">
        <w:t xml:space="preserve">received </w:t>
      </w:r>
      <w:r w:rsidR="004A156D" w:rsidRPr="0009132C">
        <w:t xml:space="preserve">or were delayed </w:t>
      </w:r>
      <w:r w:rsidR="00F83C97" w:rsidRPr="0009132C">
        <w:t xml:space="preserve">in receiving </w:t>
      </w:r>
      <w:r w:rsidR="004A156D" w:rsidRPr="0009132C">
        <w:t xml:space="preserve">(e.g., </w:t>
      </w:r>
      <w:r w:rsidR="00226B9B" w:rsidRPr="0009132C">
        <w:t>on wait lists)</w:t>
      </w:r>
      <w:r w:rsidR="004A156D" w:rsidRPr="0009132C">
        <w:t xml:space="preserve"> </w:t>
      </w:r>
      <w:r w:rsidRPr="0009132C">
        <w:t>services in the respective HRSN program (FSP and CSP-JI</w:t>
      </w:r>
      <w:r w:rsidR="00463375" w:rsidRPr="0009132C">
        <w:t>)</w:t>
      </w:r>
      <w:r w:rsidR="00463375">
        <w:t>;</w:t>
      </w:r>
      <w:r w:rsidR="00463375" w:rsidRPr="0009132C">
        <w:t xml:space="preserve"> </w:t>
      </w:r>
      <w:r w:rsidR="00E20A61" w:rsidRPr="0009132C">
        <w:t>where possible</w:t>
      </w:r>
      <w:r w:rsidR="00463375">
        <w:t>,</w:t>
      </w:r>
      <w:r w:rsidR="00E20A61" w:rsidRPr="0009132C">
        <w:t xml:space="preserve"> we will leverage</w:t>
      </w:r>
      <w:r w:rsidR="00A12ACB" w:rsidRPr="0009132C">
        <w:t xml:space="preserve"> variation in program implementation to draw </w:t>
      </w:r>
      <w:r w:rsidR="00B83AA4" w:rsidRPr="0009132C">
        <w:t xml:space="preserve">comparison groups of individuals who likely would have </w:t>
      </w:r>
      <w:r w:rsidR="008B169D">
        <w:t>received services</w:t>
      </w:r>
      <w:r w:rsidR="00B83AA4" w:rsidRPr="0009132C">
        <w:t xml:space="preserve"> if they had been in a different delivery system</w:t>
      </w:r>
    </w:p>
    <w:p w14:paraId="50CE9609" w14:textId="5ADB394B" w:rsidR="00433675" w:rsidRDefault="008925CE" w:rsidP="00641995">
      <w:pPr>
        <w:pStyle w:val="FHClistnumber"/>
        <w:numPr>
          <w:ilvl w:val="0"/>
          <w:numId w:val="193"/>
        </w:numPr>
      </w:pPr>
      <w:r w:rsidRPr="0009132C">
        <w:t>MassHealth members who were not screened and did not receive services in the respective HRSN but who closely resemble the individuals who did receive services (FSP)</w:t>
      </w:r>
    </w:p>
    <w:p w14:paraId="45D003A9" w14:textId="3CEDB3F9" w:rsidR="00433675" w:rsidRDefault="008925CE" w:rsidP="00641995">
      <w:pPr>
        <w:pStyle w:val="FHClistnumber"/>
        <w:numPr>
          <w:ilvl w:val="0"/>
          <w:numId w:val="193"/>
        </w:numPr>
      </w:pPr>
      <w:r w:rsidRPr="0009132C">
        <w:t>MassHealth members who received FSP at the individual-level and not at the household-level as a comparison group (RQ</w:t>
      </w:r>
      <w:r w:rsidR="00120064" w:rsidRPr="0009132C">
        <w:t>7-</w:t>
      </w:r>
      <w:r w:rsidRPr="0009132C">
        <w:t>1</w:t>
      </w:r>
      <w:r w:rsidR="00DC76F2">
        <w:t>0</w:t>
      </w:r>
      <w:r w:rsidRPr="0009132C">
        <w:t>)</w:t>
      </w:r>
    </w:p>
    <w:p w14:paraId="43BF6ABA" w14:textId="5EEDCDEA" w:rsidR="008925CE" w:rsidRPr="005B47F7" w:rsidRDefault="00433675" w:rsidP="00641995">
      <w:pPr>
        <w:pStyle w:val="FHClistnumber"/>
        <w:numPr>
          <w:ilvl w:val="0"/>
          <w:numId w:val="193"/>
        </w:numPr>
        <w:spacing w:after="240"/>
        <w:rPr>
          <w:color w:val="000000"/>
        </w:rPr>
      </w:pPr>
      <w:r>
        <w:t>T</w:t>
      </w:r>
      <w:r w:rsidR="008925CE" w:rsidRPr="0009132C">
        <w:t xml:space="preserve">o the extent possible, MassHealth members </w:t>
      </w:r>
      <w:r w:rsidR="00AA1714">
        <w:t>who</w:t>
      </w:r>
      <w:r w:rsidR="00AA1714" w:rsidRPr="0009132C">
        <w:t xml:space="preserve"> </w:t>
      </w:r>
      <w:r w:rsidR="008925CE" w:rsidRPr="0009132C">
        <w:t>are homeless and not participating in CSP-HI</w:t>
      </w:r>
    </w:p>
    <w:p w14:paraId="216E3EB5" w14:textId="0B3D324B" w:rsidR="008925CE" w:rsidRPr="006D78BE" w:rsidRDefault="008925CE" w:rsidP="00C870A3">
      <w:r w:rsidRPr="0009132C">
        <w:t xml:space="preserve">For RQs that address process or implementation questions, the study populations will be comprised of providers and staff of the applicable agency or group: MassHealth, FSP and </w:t>
      </w:r>
      <w:r w:rsidR="009A3E1E">
        <w:t>s</w:t>
      </w:r>
      <w:r w:rsidRPr="0009132C">
        <w:t>pecialized CSP service providers, ACOs, MCOs, justice entities, and/or local and state HRSN service providers (RQ</w:t>
      </w:r>
      <w:r w:rsidR="00120064" w:rsidRPr="0009132C">
        <w:t>7-</w:t>
      </w:r>
      <w:r w:rsidRPr="0009132C">
        <w:t xml:space="preserve">4, </w:t>
      </w:r>
      <w:r w:rsidR="00120064" w:rsidRPr="0009132C">
        <w:t>7-</w:t>
      </w:r>
      <w:r w:rsidRPr="0009132C">
        <w:t xml:space="preserve">5, </w:t>
      </w:r>
      <w:r w:rsidR="00120064" w:rsidRPr="0009132C">
        <w:t>7-</w:t>
      </w:r>
      <w:r w:rsidRPr="0009132C">
        <w:t>1</w:t>
      </w:r>
      <w:r w:rsidR="00DC76F2">
        <w:t>1</w:t>
      </w:r>
      <w:r w:rsidRPr="0009132C">
        <w:t xml:space="preserve">, and </w:t>
      </w:r>
      <w:r w:rsidR="00120064" w:rsidRPr="0009132C">
        <w:t>7-</w:t>
      </w:r>
      <w:r w:rsidRPr="0009132C">
        <w:t>1</w:t>
      </w:r>
      <w:r w:rsidR="00DC76F2">
        <w:t>2</w:t>
      </w:r>
      <w:r w:rsidRPr="0009132C">
        <w:t>)</w:t>
      </w:r>
      <w:r w:rsidR="000E45E1" w:rsidRPr="0009132C">
        <w:t>.</w:t>
      </w:r>
    </w:p>
    <w:p w14:paraId="1D687721" w14:textId="133FDAEB" w:rsidR="008925CE" w:rsidRPr="006D78BE" w:rsidRDefault="008925CE" w:rsidP="00C870A3">
      <w:r w:rsidRPr="0009132C">
        <w:t>For the cost analysis (RQ</w:t>
      </w:r>
      <w:r w:rsidR="00120064" w:rsidRPr="0009132C">
        <w:t>7-</w:t>
      </w:r>
      <w:r w:rsidRPr="0009132C">
        <w:t>1</w:t>
      </w:r>
      <w:r w:rsidR="00F244ED">
        <w:t>3</w:t>
      </w:r>
      <w:r w:rsidRPr="0009132C">
        <w:t xml:space="preserve">), the study population will be comprised of members receiving FSP and </w:t>
      </w:r>
      <w:r w:rsidR="009A3E1E">
        <w:t>s</w:t>
      </w:r>
      <w:r w:rsidRPr="0009132C">
        <w:t>pecialized CSP services and the staff of the applicable agency: MassHealth, FSP and Specialized CSP service providers, and ACOs/MCOs.</w:t>
      </w:r>
    </w:p>
    <w:p w14:paraId="4BAEEA81" w14:textId="4F2F54F7" w:rsidR="008925CE" w:rsidRPr="0009132C" w:rsidRDefault="008925CE" w:rsidP="00EE4105">
      <w:pPr>
        <w:pStyle w:val="Heading3"/>
      </w:pPr>
      <w:bookmarkStart w:id="233" w:name="_Data_Sources_and_4"/>
      <w:bookmarkEnd w:id="233"/>
      <w:r w:rsidRPr="0009132C">
        <w:t>Data Sources and Collection</w:t>
      </w:r>
      <w:r w:rsidR="000D5413">
        <w:t xml:space="preserve"> Methods</w:t>
      </w:r>
    </w:p>
    <w:p w14:paraId="627F12A8" w14:textId="6D3D3A79" w:rsidR="008925CE" w:rsidRPr="0009132C" w:rsidRDefault="008925CE" w:rsidP="001C0E05">
      <w:r w:rsidRPr="0009132C">
        <w:t xml:space="preserve">The evaluation data sources and data collection for the Demonstration are described in </w:t>
      </w:r>
      <w:hyperlink w:anchor="_Executive_Summary" w:history="1">
        <w:r w:rsidR="00641995" w:rsidRPr="002A5B82">
          <w:rPr>
            <w:rStyle w:val="Hyperlink"/>
          </w:rPr>
          <w:t>Chapter 1</w:t>
        </w:r>
      </w:hyperlink>
      <w:r w:rsidR="00EF6F53" w:rsidRPr="0009132C">
        <w:t xml:space="preserve"> </w:t>
      </w:r>
      <w:r w:rsidR="006B3A7A">
        <w:t>(Executive Summary)</w:t>
      </w:r>
      <w:r w:rsidR="005266F3">
        <w:t>,</w:t>
      </w:r>
      <w:r w:rsidR="006B3A7A">
        <w:t xml:space="preserve"> </w:t>
      </w:r>
      <w:hyperlink w:anchor="_Summary_of_the" w:history="1">
        <w:r w:rsidR="00EF6F53" w:rsidRPr="005266F3">
          <w:rPr>
            <w:rStyle w:val="Hyperlink"/>
          </w:rPr>
          <w:t>Section 1</w:t>
        </w:r>
        <w:r w:rsidRPr="005266F3">
          <w:rPr>
            <w:rStyle w:val="Hyperlink"/>
          </w:rPr>
          <w:t>.</w:t>
        </w:r>
        <w:r w:rsidR="00E961F5" w:rsidRPr="005266F3">
          <w:rPr>
            <w:rStyle w:val="Hyperlink"/>
          </w:rPr>
          <w:t>4</w:t>
        </w:r>
      </w:hyperlink>
      <w:r w:rsidRPr="0009132C">
        <w:t xml:space="preserve">. This section also provides additional information on the data sources specific to FSP and </w:t>
      </w:r>
      <w:r w:rsidR="009A3E1E">
        <w:t>s</w:t>
      </w:r>
      <w:r w:rsidRPr="0009132C">
        <w:t>pecialized CSPs.</w:t>
      </w:r>
    </w:p>
    <w:p w14:paraId="3FFB9118" w14:textId="12384F09" w:rsidR="008925CE" w:rsidRPr="0009132C" w:rsidRDefault="008925CE" w:rsidP="001C0E05">
      <w:r w:rsidRPr="0009132C">
        <w:lastRenderedPageBreak/>
        <w:t xml:space="preserve">MassHealth administrative data will be the source for member HRSNs. We anticipate that HRSN data will be available for the subpopulations of MassHealth members that include ACO/MCO enrolled members and any member that presents to a hospital that contracts and participates in the </w:t>
      </w:r>
      <w:r w:rsidR="00781071">
        <w:t>HQEI</w:t>
      </w:r>
      <w:r w:rsidRPr="0009132C">
        <w:t xml:space="preserve"> (</w:t>
      </w:r>
      <w:hyperlink w:anchor="_Hospital_Quality_and" w:history="1">
        <w:r w:rsidR="004B6EFA" w:rsidRPr="00845EEC">
          <w:rPr>
            <w:rStyle w:val="Hyperlink"/>
          </w:rPr>
          <w:t>Chapter 7</w:t>
        </w:r>
      </w:hyperlink>
      <w:r w:rsidR="004B6EFA" w:rsidRPr="00A505D3">
        <w:rPr>
          <w:rStyle w:val="Hyperlink"/>
          <w:u w:val="none"/>
        </w:rPr>
        <w:t xml:space="preserve"> </w:t>
      </w:r>
      <w:r w:rsidR="00E87EEE" w:rsidRPr="00641995">
        <w:rPr>
          <w:rStyle w:val="Hyperlink"/>
          <w:color w:val="auto"/>
          <w:u w:val="none"/>
        </w:rPr>
        <w:t>(</w:t>
      </w:r>
      <w:r w:rsidR="00900B46" w:rsidRPr="00641995">
        <w:rPr>
          <w:rStyle w:val="Hyperlink"/>
          <w:color w:val="auto"/>
          <w:u w:val="none"/>
        </w:rPr>
        <w:t>Hospital Quality and Equity)</w:t>
      </w:r>
      <w:r w:rsidRPr="0009132C">
        <w:t xml:space="preserve">) with MassHealth. MassHealth will align its HRSN screening </w:t>
      </w:r>
      <w:r w:rsidR="00DE25C4" w:rsidRPr="0009132C">
        <w:t>specifications</w:t>
      </w:r>
      <w:r w:rsidRPr="0009132C">
        <w:t xml:space="preserve"> with the CMS Social Drivers of Health screening tool when the final specifications are available. At this time, the MassHealth ACO/MCO contracts specify that the ACOs and MCOs must screen for housing insecurity, food insecurity, issues with transportation, the risk for violence, and issues obtaining utilities</w:t>
      </w:r>
      <w:r w:rsidR="00442F1C">
        <w:t>,</w:t>
      </w:r>
      <w:r w:rsidRPr="0009132C">
        <w:t xml:space="preserve"> including heating and internet. Identified needs will be submitted to MassHealth in the form of ICD-10 </w:t>
      </w:r>
      <w:r w:rsidR="00FE64E6" w:rsidRPr="0009132C">
        <w:t>Z</w:t>
      </w:r>
      <w:r w:rsidRPr="0009132C">
        <w:t xml:space="preserve">-codes on encounters and claims. MassHealth will begin utilizing </w:t>
      </w:r>
      <w:r w:rsidR="00FE64E6" w:rsidRPr="0009132C">
        <w:t>Z</w:t>
      </w:r>
      <w:r w:rsidRPr="0009132C">
        <w:t xml:space="preserve">-codes as part of the required HRSN screening in </w:t>
      </w:r>
      <w:r w:rsidR="005B47F7">
        <w:t>CY</w:t>
      </w:r>
      <w:r w:rsidRPr="0009132C">
        <w:t>2024.</w:t>
      </w:r>
    </w:p>
    <w:p w14:paraId="30FA2C4C" w14:textId="3367FD6D" w:rsidR="008925CE" w:rsidRPr="0009132C" w:rsidRDefault="008925CE" w:rsidP="001C0E05">
      <w:r>
        <w:t>MassHealth administrative data and the Center for Health Information Analysis (CHIA) Enhanced Demographics Data File will be the source for member demographic data</w:t>
      </w:r>
      <w:r w:rsidR="008F5CE3">
        <w:t>,</w:t>
      </w:r>
      <w:r>
        <w:t xml:space="preserve"> including member race, ethnicity, language, disability, </w:t>
      </w:r>
      <w:r w:rsidR="00C52B6E">
        <w:t xml:space="preserve">sexual </w:t>
      </w:r>
      <w:r>
        <w:t>orientation, and gender identity (RELDSOGI). MassHealth administrative RELDSOGI data is currently limited; however, MassHealth has plans to increase the collection of RELDSOGI data to include all members. Data will be collected by ACOs/MCOs and hospitals and it will also be collected as part of the MassHealth eligibility determination process. We expect that the data completeness will increase over time</w:t>
      </w:r>
      <w:r w:rsidR="008F5CE3">
        <w:t>,</w:t>
      </w:r>
      <w:r>
        <w:t xml:space="preserve"> with race and ethnicity data completeness occurring before data completeness is achieved for language, disability, and SOGI data. MassHealth plans to implement the new data collection activities throughout 2023.</w:t>
      </w:r>
    </w:p>
    <w:p w14:paraId="08822CA4" w14:textId="5AD4F84C" w:rsidR="008925CE" w:rsidRPr="0009132C" w:rsidRDefault="008925CE" w:rsidP="001C0E05">
      <w:r w:rsidRPr="0009132C">
        <w:t xml:space="preserve">MassHealth administrative data will be used to identify members </w:t>
      </w:r>
      <w:r w:rsidRPr="0009132C">
        <w:rPr>
          <w:rFonts w:eastAsia="Times New Roman"/>
        </w:rPr>
        <w:t xml:space="preserve">referred for and who receive </w:t>
      </w:r>
      <w:r w:rsidRPr="0009132C">
        <w:t>FSP</w:t>
      </w:r>
      <w:r w:rsidR="00FE6260">
        <w:t xml:space="preserve"> </w:t>
      </w:r>
      <w:r w:rsidRPr="0009132C">
        <w:t xml:space="preserve">services. Through at least the end of </w:t>
      </w:r>
      <w:r w:rsidR="005B47F7">
        <w:t>CY</w:t>
      </w:r>
      <w:r w:rsidRPr="0009132C">
        <w:t>2024, ACOs will report data to MassHealth including lists of members receiving FSP services by type of service, risk factor (RF) and health needs-based criteria qualifying the individual for services, household level data (if receiving allowable nutritional supports for the household), and baseline plus follow-up data on self-reported mental and physical health, financial stress, food insecurity (if receiving nutritional supports), and their housing situation (if receiving housing supports).</w:t>
      </w:r>
    </w:p>
    <w:p w14:paraId="04F73891" w14:textId="2703D16A" w:rsidR="008925CE" w:rsidRPr="0009132C" w:rsidRDefault="008925CE" w:rsidP="001C0E05">
      <w:r>
        <w:t xml:space="preserve">MassHealth administrative data will be used to identify members receiving </w:t>
      </w:r>
      <w:r w:rsidR="00E279EF">
        <w:t>s</w:t>
      </w:r>
      <w:r>
        <w:t>pecialized CSP services. MassHealth will collect per diem services in the form of claims and encounters. A subgroup of CSP-JI providers that are also BH-JI vendors</w:t>
      </w:r>
      <w:r w:rsidR="676D6DC5">
        <w:t>, per their BH-JI</w:t>
      </w:r>
      <w:r>
        <w:t xml:space="preserve"> </w:t>
      </w:r>
      <w:r w:rsidR="7AC2CF23">
        <w:t>Contracts,</w:t>
      </w:r>
      <w:r>
        <w:t xml:space="preserve"> will submit lists of members who were referred and who received CSP-JI to MassHealth. The list will include </w:t>
      </w:r>
      <w:r w:rsidR="3FBB001B">
        <w:t xml:space="preserve">data that is not redundant to other MassHealth data collection efforts: </w:t>
      </w:r>
      <w:r>
        <w:t xml:space="preserve">demographics, referral source, </w:t>
      </w:r>
      <w:r w:rsidR="00575F77">
        <w:t>service start</w:t>
      </w:r>
      <w:r>
        <w:t xml:space="preserve"> date, </w:t>
      </w:r>
      <w:r w:rsidR="00575F77">
        <w:t>service end date</w:t>
      </w:r>
      <w:r>
        <w:t xml:space="preserve">, the reason for </w:t>
      </w:r>
      <w:r w:rsidR="00575F77">
        <w:t>stopping services</w:t>
      </w:r>
      <w:r>
        <w:t xml:space="preserve">, and housing and employment status at </w:t>
      </w:r>
      <w:r w:rsidR="00FE6260">
        <w:t xml:space="preserve">the </w:t>
      </w:r>
      <w:r w:rsidR="00575F77">
        <w:t>end of services</w:t>
      </w:r>
      <w:r>
        <w:t>.</w:t>
      </w:r>
    </w:p>
    <w:p w14:paraId="1B41D3DE" w14:textId="1A54CBF5" w:rsidR="008925CE" w:rsidRPr="0009132C" w:rsidRDefault="008925CE" w:rsidP="001C0E05">
      <w:r w:rsidRPr="0009132C">
        <w:t xml:space="preserve">Access to administrative data from sources besides MassHealth will be explored, such as from the Department of Transitional Assistance </w:t>
      </w:r>
      <w:r w:rsidR="284FEC92" w:rsidRPr="0009132C">
        <w:t xml:space="preserve">(DTA) </w:t>
      </w:r>
      <w:r w:rsidRPr="0009132C">
        <w:t xml:space="preserve">and </w:t>
      </w:r>
      <w:r w:rsidR="005D7401">
        <w:t xml:space="preserve">DPH </w:t>
      </w:r>
      <w:r w:rsidRPr="0009132C">
        <w:t xml:space="preserve">(e.g., for SNAP and WIC enrollment) and the Department of Correction (e.g., for incarceration dates). If available, such data will be useful for describing the characteristics of members, </w:t>
      </w:r>
      <w:r w:rsidRPr="0009132C">
        <w:lastRenderedPageBreak/>
        <w:t xml:space="preserve">adjusting for confounding, tracking potential program outcomes, and examining </w:t>
      </w:r>
      <w:r w:rsidR="00B81719">
        <w:t xml:space="preserve">the </w:t>
      </w:r>
      <w:r w:rsidRPr="0009132C">
        <w:t>heterogeneity of program effects.</w:t>
      </w:r>
    </w:p>
    <w:p w14:paraId="4769A02C" w14:textId="0B499689" w:rsidR="008925CE" w:rsidRPr="0009132C" w:rsidRDefault="008925CE" w:rsidP="001C0E05">
      <w:r w:rsidRPr="0009132C">
        <w:t xml:space="preserve">Qualitative </w:t>
      </w:r>
      <w:r w:rsidR="00D475A1">
        <w:t>and survey</w:t>
      </w:r>
      <w:r w:rsidRPr="0009132C">
        <w:t xml:space="preserve"> data will be collected via staff </w:t>
      </w:r>
      <w:r w:rsidR="00F347C0">
        <w:t>surveys</w:t>
      </w:r>
      <w:r w:rsidRPr="0009132C">
        <w:t>, member interviews or focus groups (which may include embedded survey items), staff interviews or focus groups, and document reviews. See</w:t>
      </w:r>
      <w:r w:rsidR="00FC7508">
        <w:t xml:space="preserve"> </w:t>
      </w:r>
      <w:hyperlink w:anchor="_Delivery_System_Reform" w:history="1">
        <w:r w:rsidR="004105D9" w:rsidRPr="00277FA7">
          <w:rPr>
            <w:rStyle w:val="Hyperlink"/>
          </w:rPr>
          <w:t>Chapter 3</w:t>
        </w:r>
      </w:hyperlink>
      <w:r w:rsidR="00FE6260">
        <w:t xml:space="preserve"> (Delivery System Reform</w:t>
      </w:r>
      <w:r w:rsidR="00B81719">
        <w:t>)</w:t>
      </w:r>
      <w:r w:rsidRPr="0009132C">
        <w:t xml:space="preserve"> </w:t>
      </w:r>
      <w:hyperlink w:anchor="_Data_and_Methods" w:history="1">
        <w:r w:rsidR="00845EEC">
          <w:rPr>
            <w:rStyle w:val="Hyperlink"/>
          </w:rPr>
          <w:t>S</w:t>
        </w:r>
        <w:r w:rsidRPr="00845EEC">
          <w:rPr>
            <w:rStyle w:val="Hyperlink"/>
          </w:rPr>
          <w:t>ection 3.4</w:t>
        </w:r>
        <w:r w:rsidR="00FC7508">
          <w:rPr>
            <w:rStyle w:val="Hyperlink"/>
          </w:rPr>
          <w:t xml:space="preserve"> </w:t>
        </w:r>
        <w:r w:rsidRPr="00845EEC">
          <w:rPr>
            <w:rStyle w:val="Hyperlink"/>
          </w:rPr>
          <w:t>Data and Methods</w:t>
        </w:r>
      </w:hyperlink>
      <w:r w:rsidRPr="0009132C">
        <w:t xml:space="preserve"> for additional details on qualitative data collection methods.</w:t>
      </w:r>
    </w:p>
    <w:p w14:paraId="3A329E7D" w14:textId="77777777" w:rsidR="008925CE" w:rsidRPr="0009132C" w:rsidRDefault="008925CE" w:rsidP="00EE4105">
      <w:pPr>
        <w:pStyle w:val="Heading3"/>
      </w:pPr>
      <w:r w:rsidRPr="0009132C">
        <w:t xml:space="preserve">Measures </w:t>
      </w:r>
    </w:p>
    <w:p w14:paraId="42F6E778" w14:textId="6B086216" w:rsidR="008925CE" w:rsidRPr="0009132C" w:rsidRDefault="008925CE" w:rsidP="001C0E05">
      <w:r w:rsidRPr="0009132C">
        <w:t xml:space="preserve">The measures and methods that will be used to evaluate the FSP and </w:t>
      </w:r>
      <w:r w:rsidR="007F0337">
        <w:t>s</w:t>
      </w:r>
      <w:r w:rsidRPr="0009132C">
        <w:t xml:space="preserve">pecialized CSPs are listed in </w:t>
      </w:r>
      <w:r w:rsidR="00FC7508" w:rsidRPr="00A505D3">
        <w:rPr>
          <w:color w:val="000F9F"/>
          <w:u w:val="single"/>
        </w:rPr>
        <w:fldChar w:fldCharType="begin"/>
      </w:r>
      <w:r w:rsidR="00FC7508" w:rsidRPr="0063390D">
        <w:rPr>
          <w:color w:val="000F9F"/>
          <w:u w:val="single"/>
        </w:rPr>
        <w:instrText xml:space="preserve"> REF _Ref143171163 \h </w:instrText>
      </w:r>
      <w:r w:rsidR="00FC7508" w:rsidRPr="00A505D3">
        <w:rPr>
          <w:color w:val="000F9F"/>
          <w:u w:val="single"/>
        </w:rPr>
      </w:r>
      <w:r w:rsidR="00FC7508" w:rsidRPr="00A505D3">
        <w:rPr>
          <w:color w:val="000F9F"/>
          <w:u w:val="single"/>
        </w:rPr>
        <w:fldChar w:fldCharType="separate"/>
      </w:r>
      <w:r w:rsidR="00EB7B05" w:rsidRPr="0063390D">
        <w:rPr>
          <w:color w:val="000F9F"/>
          <w:u w:val="single"/>
        </w:rPr>
        <w:t xml:space="preserve">Table </w:t>
      </w:r>
      <w:r w:rsidR="00EB7B05" w:rsidRPr="0063390D">
        <w:rPr>
          <w:noProof/>
          <w:color w:val="000F9F"/>
          <w:u w:val="single"/>
        </w:rPr>
        <w:t>8</w:t>
      </w:r>
      <w:r w:rsidR="00EB7B05" w:rsidRPr="0063390D">
        <w:rPr>
          <w:color w:val="000F9F"/>
          <w:u w:val="single"/>
        </w:rPr>
        <w:noBreakHyphen/>
      </w:r>
      <w:r w:rsidR="00EB7B05" w:rsidRPr="0063390D">
        <w:rPr>
          <w:noProof/>
          <w:color w:val="000F9F"/>
          <w:u w:val="single"/>
        </w:rPr>
        <w:t>1</w:t>
      </w:r>
      <w:r w:rsidR="00FC7508" w:rsidRPr="00A505D3">
        <w:rPr>
          <w:color w:val="000F9F"/>
          <w:u w:val="single"/>
        </w:rPr>
        <w:fldChar w:fldCharType="end"/>
      </w:r>
      <w:r w:rsidRPr="0009132C">
        <w:t xml:space="preserve"> by RQ. </w:t>
      </w:r>
    </w:p>
    <w:p w14:paraId="3B0CDA27" w14:textId="06F948E0" w:rsidR="00334A88" w:rsidRDefault="008925CE" w:rsidP="001C0E05">
      <w:r w:rsidRPr="000019A8">
        <w:t>The measures include population or subpopulation level descriptive statistics, for example</w:t>
      </w:r>
      <w:r w:rsidR="00B81719">
        <w:t>,</w:t>
      </w:r>
      <w:r w:rsidRPr="000019A8">
        <w:t xml:space="preserve"> </w:t>
      </w:r>
      <w:r w:rsidR="000019A8" w:rsidRPr="000019A8">
        <w:t xml:space="preserve">frequencies of member demographic characteristics and chronic conditions, </w:t>
      </w:r>
      <w:r w:rsidRPr="000019A8">
        <w:t>HRSN screening rates (RQ</w:t>
      </w:r>
      <w:r w:rsidR="00833C35" w:rsidRPr="000019A8">
        <w:t>7-</w:t>
      </w:r>
      <w:r w:rsidRPr="000019A8">
        <w:t xml:space="preserve">1), </w:t>
      </w:r>
      <w:r w:rsidR="00B81719">
        <w:t xml:space="preserve">the </w:t>
      </w:r>
      <w:r w:rsidRPr="000019A8">
        <w:t>prevalence of HRSNs (RQ</w:t>
      </w:r>
      <w:r w:rsidR="00833C35" w:rsidRPr="000019A8">
        <w:t>7-</w:t>
      </w:r>
      <w:r w:rsidRPr="000019A8">
        <w:t xml:space="preserve">2, </w:t>
      </w:r>
      <w:r w:rsidR="005B47F7">
        <w:t>7-</w:t>
      </w:r>
      <w:r w:rsidRPr="000019A8">
        <w:t xml:space="preserve">9), counts of FSP and </w:t>
      </w:r>
      <w:r w:rsidR="00B946AA">
        <w:t>s</w:t>
      </w:r>
      <w:r w:rsidRPr="000019A8">
        <w:t>pecialized CSP identification/screening, referrals, service utilization, and program costs (</w:t>
      </w:r>
      <w:r w:rsidR="00286D84" w:rsidRPr="000019A8">
        <w:t>RQ7-</w:t>
      </w:r>
      <w:r w:rsidRPr="000019A8">
        <w:t>7), per-member-per-month (PMPM) healthcare costs (RQ</w:t>
      </w:r>
      <w:r w:rsidR="00F3485E" w:rsidRPr="000019A8">
        <w:t>7-</w:t>
      </w:r>
      <w:r w:rsidR="005C4EEA" w:rsidRPr="000019A8">
        <w:t>8</w:t>
      </w:r>
      <w:r w:rsidRPr="000019A8">
        <w:t xml:space="preserve">, </w:t>
      </w:r>
      <w:r w:rsidR="00F03B94" w:rsidRPr="000019A8">
        <w:t>7-1</w:t>
      </w:r>
      <w:r w:rsidR="005C4EEA" w:rsidRPr="000019A8">
        <w:t>3</w:t>
      </w:r>
      <w:r w:rsidRPr="000019A8">
        <w:t>), PMPM healthcare utilization (</w:t>
      </w:r>
      <w:r w:rsidR="00F03B94" w:rsidRPr="000019A8">
        <w:t>RQ7-</w:t>
      </w:r>
      <w:r w:rsidR="00FE28C6" w:rsidRPr="000019A8">
        <w:t>8</w:t>
      </w:r>
      <w:r w:rsidRPr="000019A8">
        <w:t>), self-reported physical and mental health status (RQ</w:t>
      </w:r>
      <w:r w:rsidR="00F3485E" w:rsidRPr="000019A8">
        <w:t>7-</w:t>
      </w:r>
      <w:r w:rsidR="00FE28C6" w:rsidRPr="000019A8">
        <w:t>9</w:t>
      </w:r>
      <w:r w:rsidRPr="000019A8">
        <w:t>), biomarkers</w:t>
      </w:r>
      <w:r w:rsidR="00334A88">
        <w:t xml:space="preserve"> </w:t>
      </w:r>
      <w:r w:rsidR="00334A88" w:rsidRPr="00334A88">
        <w:t>(RQ7-9</w:t>
      </w:r>
      <w:r w:rsidR="005B47F7">
        <w:t xml:space="preserve">, </w:t>
      </w:r>
      <w:r w:rsidR="00334A88" w:rsidRPr="00334A88">
        <w:t>7-10</w:t>
      </w:r>
      <w:r w:rsidR="00334A88">
        <w:t>)</w:t>
      </w:r>
      <w:r w:rsidR="2E4F5715">
        <w:t xml:space="preserve">, and FSP and </w:t>
      </w:r>
      <w:r w:rsidR="00B946AA">
        <w:t>s</w:t>
      </w:r>
      <w:r w:rsidR="2E4F5715">
        <w:t>pecialized CSP provider organization descriptive statistics on revenue, programs, and clients served</w:t>
      </w:r>
      <w:r w:rsidR="27477C92">
        <w:t xml:space="preserve"> (RQ7-12</w:t>
      </w:r>
      <w:r w:rsidR="00334A88" w:rsidRPr="00334A88">
        <w:t>)</w:t>
      </w:r>
    </w:p>
    <w:p w14:paraId="228F8F1D" w14:textId="77777777" w:rsidR="001E1D39" w:rsidRDefault="001E1D39" w:rsidP="006B55B4">
      <w:pPr>
        <w:pStyle w:val="Heading3"/>
        <w:numPr>
          <w:ilvl w:val="2"/>
          <w:numId w:val="8"/>
        </w:numPr>
        <w:ind w:left="1987"/>
      </w:pPr>
      <w:r>
        <w:t>Covariates</w:t>
      </w:r>
    </w:p>
    <w:p w14:paraId="787203A7" w14:textId="60B7865E" w:rsidR="001E1D39" w:rsidRDefault="227822AC" w:rsidP="001E1D39">
      <w:r>
        <w:t>For analyses conducted at the individual (member) level using administrative data</w:t>
      </w:r>
      <w:r w:rsidR="007F3EE4">
        <w:t>,</w:t>
      </w:r>
      <w:r>
        <w:t xml:space="preserve"> we will draw from a consistent set of characteristics</w:t>
      </w:r>
      <w:r w:rsidR="00B45B88">
        <w:t>,</w:t>
      </w:r>
      <w:r>
        <w:t xml:space="preserve"> </w:t>
      </w:r>
      <w:r w:rsidR="00C22BEE">
        <w:t xml:space="preserve">including </w:t>
      </w:r>
      <w:r>
        <w:t xml:space="preserve">age, </w:t>
      </w:r>
      <w:r w:rsidR="3C64D7BF">
        <w:t>sex,</w:t>
      </w:r>
      <w:r>
        <w:t xml:space="preserve"> </w:t>
      </w:r>
      <w:r w:rsidR="24996DF6">
        <w:t>race, ethnicity, language, sex</w:t>
      </w:r>
      <w:r w:rsidR="440926D5">
        <w:t>ual</w:t>
      </w:r>
      <w:r w:rsidR="24996DF6">
        <w:t xml:space="preserve"> orientation, gender identity</w:t>
      </w:r>
      <w:r>
        <w:t xml:space="preserve">, disability status (either client of the Massachusetts </w:t>
      </w:r>
      <w:r w:rsidR="00014872">
        <w:t>DMH</w:t>
      </w:r>
      <w:r>
        <w:t xml:space="preserve"> </w:t>
      </w:r>
      <w:r w:rsidR="00205F74">
        <w:t>or</w:t>
      </w:r>
      <w:r>
        <w:t xml:space="preserve"> the </w:t>
      </w:r>
      <w:r w:rsidR="00205F74">
        <w:t>DDS</w:t>
      </w:r>
      <w:r>
        <w:t>, or eligible for Medicaid due to disability), housing problems (</w:t>
      </w:r>
      <w:r w:rsidR="58021E99">
        <w:t>e.g.,</w:t>
      </w:r>
      <w:r>
        <w:t xml:space="preserve"> </w:t>
      </w:r>
      <w:r w:rsidR="005B47F7">
        <w:t>three or more</w:t>
      </w:r>
      <w:r>
        <w:t xml:space="preserve"> addresses in the year</w:t>
      </w:r>
      <w:r w:rsidR="58021E99">
        <w:t>,</w:t>
      </w:r>
      <w:r>
        <w:t xml:space="preserve"> homelessness by ICD-10 code</w:t>
      </w:r>
      <w:r w:rsidR="58021E99">
        <w:t xml:space="preserve">, </w:t>
      </w:r>
      <w:r w:rsidR="640845F8">
        <w:t>identified as homeless</w:t>
      </w:r>
      <w:r w:rsidR="4381F504">
        <w:t xml:space="preserve"> or housing unstable</w:t>
      </w:r>
      <w:r w:rsidR="640845F8">
        <w:t xml:space="preserve"> from other </w:t>
      </w:r>
      <w:r w:rsidR="4381F504">
        <w:t xml:space="preserve">state </w:t>
      </w:r>
      <w:r w:rsidR="640845F8">
        <w:t>data sources</w:t>
      </w:r>
      <w:r>
        <w:t xml:space="preserve">), the Neighborhood Stress Score, </w:t>
      </w:r>
      <w:r w:rsidR="125E6DF8">
        <w:t>justice-invo</w:t>
      </w:r>
      <w:r w:rsidR="483EE564">
        <w:t>l</w:t>
      </w:r>
      <w:r w:rsidR="125E6DF8">
        <w:t>vement,</w:t>
      </w:r>
      <w:r>
        <w:t xml:space="preserve"> the DxCG medical morbidity summary score, and the RxCG drug-based medical morbidity summary score. A narrower set of characteristics may be used for specific analyses as applicable (e.g., subgroup analyses among women would not use sex as a covariate). </w:t>
      </w:r>
    </w:p>
    <w:p w14:paraId="1AA7B280" w14:textId="7BAAA2DB" w:rsidR="001E1D39" w:rsidRPr="00845EEC" w:rsidRDefault="001E1D39" w:rsidP="001C0E05">
      <w:r>
        <w:t>Analyses conducted at the ACO level (or that incorporate clustering at the ACO level) will include covariates such as ACO type (academic hospital-anchored, community hospital anchored, physician-anchored), ACO size (</w:t>
      </w:r>
      <w:r w:rsidR="00483270">
        <w:t>number</w:t>
      </w:r>
      <w:r>
        <w:t xml:space="preserve"> of MassHealth members, number of total enrollees across all payers), region, and experience with risk-based contracts with Medicare and commercial payers.</w:t>
      </w:r>
      <w:r w:rsidR="00CD3B68">
        <w:t xml:space="preserve"> </w:t>
      </w:r>
      <w:r w:rsidR="00483C20">
        <w:t>Analyses conducted at the SSO</w:t>
      </w:r>
      <w:r w:rsidR="006B1466">
        <w:t>, CSP, and/or FSP</w:t>
      </w:r>
      <w:r w:rsidR="00483C20">
        <w:t xml:space="preserve"> level (or that incorporate clustering at </w:t>
      </w:r>
      <w:r w:rsidR="006B1466">
        <w:t>those levels</w:t>
      </w:r>
      <w:r w:rsidR="00483C20">
        <w:t>)</w:t>
      </w:r>
      <w:r w:rsidR="006B1466">
        <w:t xml:space="preserve"> will include </w:t>
      </w:r>
      <w:r w:rsidR="002E6A79">
        <w:t>number of M</w:t>
      </w:r>
      <w:r w:rsidR="00752F6B">
        <w:t>ass</w:t>
      </w:r>
      <w:r w:rsidR="002E6A79">
        <w:t>H</w:t>
      </w:r>
      <w:r w:rsidR="00752F6B">
        <w:t>ealth</w:t>
      </w:r>
      <w:r w:rsidR="002E6A79">
        <w:t xml:space="preserve"> members served</w:t>
      </w:r>
      <w:r w:rsidR="006B1466">
        <w:t xml:space="preserve">, location, </w:t>
      </w:r>
      <w:r w:rsidR="00220C4F">
        <w:t xml:space="preserve">and number of years providing flexible services </w:t>
      </w:r>
      <w:r w:rsidR="00E11294">
        <w:t xml:space="preserve">or </w:t>
      </w:r>
      <w:r w:rsidR="00264852">
        <w:t xml:space="preserve">specialized </w:t>
      </w:r>
      <w:r w:rsidR="00E11294">
        <w:t xml:space="preserve">CSP services </w:t>
      </w:r>
      <w:r w:rsidR="00220C4F">
        <w:t>for MH members</w:t>
      </w:r>
      <w:r w:rsidR="005C034D">
        <w:t>.</w:t>
      </w:r>
    </w:p>
    <w:p w14:paraId="3D60DEFD" w14:textId="77777777" w:rsidR="008925CE" w:rsidRPr="0009132C" w:rsidRDefault="20C35FE6" w:rsidP="00EE4105">
      <w:pPr>
        <w:pStyle w:val="Heading3"/>
      </w:pPr>
      <w:r>
        <w:t>Analysis Methods</w:t>
      </w:r>
    </w:p>
    <w:p w14:paraId="48576E52" w14:textId="29E52ADF" w:rsidR="008925CE" w:rsidRPr="0009132C" w:rsidRDefault="008925CE" w:rsidP="00323F7E">
      <w:r w:rsidRPr="0009132C">
        <w:t xml:space="preserve">Mixed qualitative and quantitative methods will be used to answer the RQs </w:t>
      </w:r>
      <w:r w:rsidR="007F3EE4">
        <w:t xml:space="preserve">of </w:t>
      </w:r>
      <w:r w:rsidRPr="0009132C">
        <w:t xml:space="preserve">the HRSN policy domain and to evaluate the extent to which </w:t>
      </w:r>
      <w:r w:rsidR="00D56A38" w:rsidRPr="0009132C">
        <w:t>D</w:t>
      </w:r>
      <w:r w:rsidRPr="0009132C">
        <w:t xml:space="preserve">emonstration initiatives and implementation activities advanced health equity and improved outcomes. For </w:t>
      </w:r>
      <w:r w:rsidRPr="0009132C">
        <w:lastRenderedPageBreak/>
        <w:t>quantitative analyses, we will begin with descriptive statistics by CY to characterize populations with specific HRSNs and the subsets who were screened, referred, and who ultimately received HRSN services. We will conduct multivariable modeling to examine adjusted trends over time and to</w:t>
      </w:r>
      <w:r w:rsidRPr="0009132C" w:rsidDel="00574066">
        <w:t xml:space="preserve"> </w:t>
      </w:r>
      <w:r w:rsidRPr="0009132C">
        <w:t xml:space="preserve">identify characteristics (e.g., age, RELDSOGI, region, area-level socioeconomic stress) associated with process measures (e.g., screening, referral, </w:t>
      </w:r>
      <w:r w:rsidR="00F94BBD">
        <w:t>starting services, stopping services</w:t>
      </w:r>
      <w:r w:rsidRPr="0009132C">
        <w:t xml:space="preserve">). Outcome and cost measures will next be described by </w:t>
      </w:r>
      <w:r w:rsidR="005B47F7">
        <w:t>calendar year</w:t>
      </w:r>
      <w:r w:rsidR="005B47F7" w:rsidRPr="0009132C">
        <w:t xml:space="preserve"> </w:t>
      </w:r>
      <w:r w:rsidRPr="0009132C">
        <w:t xml:space="preserve">among recipients of HRSN services overall and within subpopulations of interest (e.g., with certain conditions or receiving specific HRSN services). As described in </w:t>
      </w:r>
      <w:hyperlink w:anchor="_Delivery_System_Reform" w:history="1">
        <w:r w:rsidRPr="00FC7508">
          <w:rPr>
            <w:rStyle w:val="Hyperlink"/>
          </w:rPr>
          <w:t>Chapter 3</w:t>
        </w:r>
      </w:hyperlink>
      <w:r w:rsidR="002A58D6" w:rsidRPr="0009132C" w:rsidDel="002A58D6">
        <w:t xml:space="preserve"> </w:t>
      </w:r>
      <w:r w:rsidR="002A58D6">
        <w:t>(Delivery System Reform),</w:t>
      </w:r>
      <w:r w:rsidR="009D5728" w:rsidRPr="0009132C">
        <w:t xml:space="preserve"> </w:t>
      </w:r>
      <w:r w:rsidRPr="0009132C">
        <w:t xml:space="preserve">we will proceed to apply quasi-experimental difference-in-difference methods with </w:t>
      </w:r>
      <w:r w:rsidR="007F3EE4" w:rsidRPr="0009132C">
        <w:t>propensity</w:t>
      </w:r>
      <w:r w:rsidR="007F3EE4">
        <w:t>-</w:t>
      </w:r>
      <w:r w:rsidRPr="0009132C">
        <w:t>balanced comparisons to examine program effects on outcomes and costs while seeking to address observed sources of bias. Generalized mixed effects linear models will be used for modeling each type of outcome (e.g., dichotomous, continuous, rate) as appropriate and based on observed distributions, with random effects to account for clustering within healthcare organizations, geographic units, and repeated measurements within individuals over time. For the</w:t>
      </w:r>
      <w:r w:rsidRPr="0009132C" w:rsidDel="00C16E82">
        <w:t xml:space="preserve"> </w:t>
      </w:r>
      <w:r w:rsidRPr="0009132C">
        <w:t xml:space="preserve">CSP-TPP and some FSP, CSP-HI, and CSP-JI outcomes, we will use a pre/post method to estimate program effects when adequate data are not available to implement comparative analyses. </w:t>
      </w:r>
    </w:p>
    <w:p w14:paraId="5D301488" w14:textId="1403BF69" w:rsidR="008925CE" w:rsidRPr="00134E27" w:rsidRDefault="008925CE" w:rsidP="00323F7E">
      <w:r w:rsidRPr="0009132C">
        <w:t xml:space="preserve">For </w:t>
      </w:r>
      <w:r w:rsidRPr="00E73522">
        <w:t>RQ</w:t>
      </w:r>
      <w:r w:rsidR="00833C35" w:rsidRPr="00E73522">
        <w:t>7-</w:t>
      </w:r>
      <w:r w:rsidRPr="00E73522">
        <w:t>1</w:t>
      </w:r>
      <w:r w:rsidR="00E73522">
        <w:t>3</w:t>
      </w:r>
      <w:r w:rsidRPr="0009132C">
        <w:t>, a return on investment and cost-effectiveness analysis will be conducted for the FSP program consistent with the approach described for each in our evaluation design for</w:t>
      </w:r>
      <w:r w:rsidR="00FC7508">
        <w:t xml:space="preserve"> the</w:t>
      </w:r>
      <w:r w:rsidRPr="0009132C">
        <w:t xml:space="preserve"> 2017-2022 Demonstration</w:t>
      </w:r>
      <w:r w:rsidR="008E709B" w:rsidRPr="0009132C">
        <w:t>.</w:t>
      </w:r>
      <w:r w:rsidRPr="0009132C">
        <w:rPr>
          <w:rStyle w:val="FootnoteReference"/>
        </w:rPr>
        <w:footnoteReference w:id="174"/>
      </w:r>
    </w:p>
    <w:p w14:paraId="18908FF5" w14:textId="73A81E59" w:rsidR="008925CE" w:rsidRPr="0009132C" w:rsidRDefault="008925CE" w:rsidP="00323F7E">
      <w:r w:rsidRPr="00E73522">
        <w:t>RQ</w:t>
      </w:r>
      <w:r w:rsidR="00833C35" w:rsidRPr="00E73522">
        <w:t>7-</w:t>
      </w:r>
      <w:r w:rsidRPr="00E73522">
        <w:t>1</w:t>
      </w:r>
      <w:r w:rsidR="00E73522">
        <w:t>4</w:t>
      </w:r>
      <w:r w:rsidRPr="0009132C">
        <w:t xml:space="preserve"> will assess the effects of FSP and </w:t>
      </w:r>
      <w:r w:rsidR="0048591F">
        <w:t>s</w:t>
      </w:r>
      <w:r w:rsidRPr="0009132C">
        <w:t>pecialized CSP on health disparities by conducting stratified descriptive and pre-post analyses by RELDSOGI categories and</w:t>
      </w:r>
      <w:r w:rsidR="001D03C1">
        <w:t>,</w:t>
      </w:r>
      <w:r w:rsidRPr="0009132C">
        <w:t xml:space="preserve"> where feasible, adding interaction terms between program effects and RELDSOGI categories to previously described difference-in-difference models and then calculating effect estimates for each category. </w:t>
      </w:r>
    </w:p>
    <w:p w14:paraId="7CEF68B7" w14:textId="09B25271" w:rsidR="008925CE" w:rsidRDefault="008925CE" w:rsidP="00323F7E">
      <w:r w:rsidRPr="0009132C">
        <w:t xml:space="preserve">Qualitative methods will be used to assess FSP and </w:t>
      </w:r>
      <w:r w:rsidR="0048591F">
        <w:t>s</w:t>
      </w:r>
      <w:r w:rsidRPr="0009132C">
        <w:t>pecialized CSP members’ experiences and understanding of programs (R</w:t>
      </w:r>
      <w:r w:rsidR="00DB5434">
        <w:t>Q</w:t>
      </w:r>
      <w:r w:rsidR="00120064" w:rsidRPr="0009132C">
        <w:t>7-</w:t>
      </w:r>
      <w:r w:rsidRPr="0009132C">
        <w:t>3), the actions that MassHealth and key stakeholders took to implement, operate</w:t>
      </w:r>
      <w:r w:rsidR="001D03C1">
        <w:t>,</w:t>
      </w:r>
      <w:r w:rsidRPr="0009132C">
        <w:t xml:space="preserve"> and coordinate HRSN initiatives (RQ</w:t>
      </w:r>
      <w:r w:rsidR="00120064" w:rsidRPr="0009132C">
        <w:t>7-</w:t>
      </w:r>
      <w:r w:rsidRPr="0009132C">
        <w:t>4), how members were identified for referral to programs (R</w:t>
      </w:r>
      <w:r w:rsidR="004432C5">
        <w:t>Q</w:t>
      </w:r>
      <w:r w:rsidR="00120064" w:rsidRPr="0009132C">
        <w:t>7-</w:t>
      </w:r>
      <w:r w:rsidRPr="0009132C">
        <w:t xml:space="preserve">5), whether SSO infrastructure investments were effective in supporting the development and implementation of </w:t>
      </w:r>
      <w:r w:rsidRPr="00E73522">
        <w:t>FSP (RQ</w:t>
      </w:r>
      <w:r w:rsidR="00120064" w:rsidRPr="00E73522">
        <w:t>7-</w:t>
      </w:r>
      <w:r w:rsidRPr="00E73522">
        <w:t>1</w:t>
      </w:r>
      <w:r w:rsidR="00E73522">
        <w:t>1</w:t>
      </w:r>
      <w:r w:rsidRPr="00E73522">
        <w:t>), experiences of household level nutrition supports (RQ</w:t>
      </w:r>
      <w:r w:rsidR="00120064" w:rsidRPr="00E73522">
        <w:t>7-</w:t>
      </w:r>
      <w:r w:rsidRPr="00E73522">
        <w:t>1</w:t>
      </w:r>
      <w:r w:rsidR="00E73522">
        <w:t>0</w:t>
      </w:r>
      <w:r w:rsidRPr="00E73522">
        <w:t xml:space="preserve">), and the impacts of FSP and </w:t>
      </w:r>
      <w:r w:rsidR="00F8507D">
        <w:t>s</w:t>
      </w:r>
      <w:r w:rsidRPr="00E73522">
        <w:t>pecialized CSP Medicaid spending on local investments in comparable services (RQ</w:t>
      </w:r>
      <w:r w:rsidR="00120064" w:rsidRPr="00E73522">
        <w:t>7-</w:t>
      </w:r>
      <w:r w:rsidRPr="00E73522">
        <w:t>1</w:t>
      </w:r>
      <w:r w:rsidR="00E73522">
        <w:t>2</w:t>
      </w:r>
      <w:r w:rsidRPr="00E73522">
        <w:t>). See</w:t>
      </w:r>
      <w:r w:rsidR="00620DA4">
        <w:t xml:space="preserve"> </w:t>
      </w:r>
      <w:hyperlink w:anchor="_Delivery_System_Reform" w:history="1">
        <w:r w:rsidR="007A1C6F" w:rsidRPr="00277FA7">
          <w:rPr>
            <w:rStyle w:val="Hyperlink"/>
          </w:rPr>
          <w:t>Chapter 3</w:t>
        </w:r>
      </w:hyperlink>
      <w:r w:rsidR="007A1C6F">
        <w:t xml:space="preserve"> </w:t>
      </w:r>
      <w:r w:rsidR="00620DA4">
        <w:t>(</w:t>
      </w:r>
      <w:r w:rsidR="00845EEC">
        <w:t>D</w:t>
      </w:r>
      <w:r w:rsidR="00620DA4">
        <w:t xml:space="preserve">isability </w:t>
      </w:r>
      <w:r w:rsidR="00845EEC">
        <w:t>S</w:t>
      </w:r>
      <w:r w:rsidR="00620DA4">
        <w:t xml:space="preserve">ystems </w:t>
      </w:r>
      <w:r w:rsidR="00845EEC">
        <w:t>R</w:t>
      </w:r>
      <w:r w:rsidR="00620DA4">
        <w:t>eform)</w:t>
      </w:r>
      <w:r w:rsidR="00D87B99">
        <w:t>,</w:t>
      </w:r>
      <w:r w:rsidR="00845EEC">
        <w:t xml:space="preserve"> </w:t>
      </w:r>
      <w:hyperlink w:anchor="_Data_and_Methods">
        <w:r w:rsidR="00845EEC" w:rsidRPr="4242CA6B">
          <w:rPr>
            <w:rStyle w:val="Hyperlink"/>
          </w:rPr>
          <w:t>Section 3.4 Data and Methods</w:t>
        </w:r>
      </w:hyperlink>
      <w:r w:rsidR="009D5728" w:rsidRPr="0009132C">
        <w:t xml:space="preserve">, </w:t>
      </w:r>
      <w:r w:rsidRPr="0009132C">
        <w:t>for a description of qualitative analysis methods.</w:t>
      </w:r>
    </w:p>
    <w:p w14:paraId="0A95B409" w14:textId="2EF41F3B" w:rsidR="00366727" w:rsidRPr="00B20B79" w:rsidRDefault="00366727" w:rsidP="00366727">
      <w:pPr>
        <w:rPr>
          <w:rFonts w:ascii="Arial" w:hAnsi="Arial" w:cs="Arial"/>
          <w:color w:val="000000"/>
          <w:shd w:val="clear" w:color="auto" w:fill="FFFFFF"/>
        </w:rPr>
      </w:pPr>
      <w:r w:rsidRPr="29E43697">
        <w:rPr>
          <w:rStyle w:val="normaltextrun"/>
          <w:rFonts w:ascii="Arial" w:hAnsi="Arial"/>
          <w:color w:val="000000" w:themeColor="text1"/>
        </w:rPr>
        <w:t xml:space="preserve">Using an embedded mixed methods approach, we will synthesize the quantitative and qualitative data. We will solicit an in-depth nuanced understanding of various members’ experiences, examine how those experiences may be related to </w:t>
      </w:r>
      <w:r w:rsidR="00AF22D6" w:rsidRPr="29E43697">
        <w:rPr>
          <w:rStyle w:val="normaltextrun"/>
          <w:rFonts w:ascii="Arial" w:hAnsi="Arial"/>
          <w:color w:val="000000" w:themeColor="text1"/>
        </w:rPr>
        <w:t xml:space="preserve">HRSN </w:t>
      </w:r>
      <w:r w:rsidRPr="29E43697">
        <w:rPr>
          <w:rStyle w:val="normaltextrun"/>
          <w:rFonts w:ascii="Arial" w:hAnsi="Arial"/>
          <w:color w:val="000000" w:themeColor="text1"/>
        </w:rPr>
        <w:t xml:space="preserve">policy and </w:t>
      </w:r>
      <w:r w:rsidRPr="29E43697">
        <w:rPr>
          <w:rStyle w:val="normaltextrun"/>
          <w:rFonts w:ascii="Arial" w:hAnsi="Arial"/>
          <w:color w:val="000000" w:themeColor="text1"/>
        </w:rPr>
        <w:lastRenderedPageBreak/>
        <w:t xml:space="preserve">practice innovation, and use these findings to explain pertinent trends and outcomes. For example, understanding members’ perspectives on HRSN screening and utilization of FSP and </w:t>
      </w:r>
      <w:r w:rsidR="00CC1785">
        <w:rPr>
          <w:rStyle w:val="normaltextrun"/>
          <w:rFonts w:ascii="Arial" w:hAnsi="Arial"/>
          <w:color w:val="000000" w:themeColor="text1"/>
        </w:rPr>
        <w:t xml:space="preserve">specialized </w:t>
      </w:r>
      <w:r w:rsidRPr="29E43697">
        <w:rPr>
          <w:rStyle w:val="normaltextrun"/>
          <w:rFonts w:ascii="Arial" w:hAnsi="Arial"/>
          <w:color w:val="000000" w:themeColor="text1"/>
        </w:rPr>
        <w:t>CSP services can help contextualize trends seen in utilization and outcomes.</w:t>
      </w:r>
      <w:r w:rsidR="00BB3392">
        <w:rPr>
          <w:rStyle w:val="FootnoteReference"/>
          <w:rFonts w:ascii="Arial" w:hAnsi="Arial"/>
          <w:color w:val="000000"/>
          <w:shd w:val="clear" w:color="auto" w:fill="FFFFFF"/>
        </w:rPr>
        <w:footnoteReference w:id="175"/>
      </w:r>
      <w:r w:rsidR="000D25C5" w:rsidRPr="29E43697">
        <w:rPr>
          <w:rStyle w:val="normaltextrun"/>
          <w:rFonts w:ascii="Arial" w:hAnsi="Arial"/>
          <w:color w:val="000000" w:themeColor="text1"/>
        </w:rPr>
        <w:t xml:space="preserve"> Conversely, preliminary quantitative findings from </w:t>
      </w:r>
      <w:r w:rsidR="00FA664B">
        <w:rPr>
          <w:rStyle w:val="normaltextrun"/>
          <w:rFonts w:ascii="Arial" w:hAnsi="Arial"/>
          <w:color w:val="000000" w:themeColor="text1"/>
        </w:rPr>
        <w:t xml:space="preserve">the </w:t>
      </w:r>
      <w:r w:rsidR="000D25C5" w:rsidRPr="29E43697">
        <w:rPr>
          <w:rStyle w:val="normaltextrun"/>
          <w:rFonts w:ascii="Arial" w:hAnsi="Arial"/>
          <w:color w:val="000000" w:themeColor="text1"/>
        </w:rPr>
        <w:t>analysis of data from early in the Demonstration period can generate questions regarding underlying mechanisms that can then be explored in subsequent qualitative data collection and analysis.</w:t>
      </w:r>
    </w:p>
    <w:p w14:paraId="079135F6" w14:textId="652ED332" w:rsidR="008925CE" w:rsidRPr="0009132C" w:rsidRDefault="20C35FE6" w:rsidP="00EE4105">
      <w:pPr>
        <w:pStyle w:val="Heading3"/>
      </w:pPr>
      <w:r>
        <w:t>Limitations</w:t>
      </w:r>
    </w:p>
    <w:p w14:paraId="19FFFC6D" w14:textId="5C57C966" w:rsidR="00FC7508" w:rsidRDefault="008925CE" w:rsidP="00DC326F">
      <w:r w:rsidRPr="0009132C">
        <w:t>With the exception of qualitative data from key informant interviews (KII) and document review,</w:t>
      </w:r>
      <w:r w:rsidR="001F6B27" w:rsidRPr="0009132C">
        <w:t xml:space="preserve"> which are subject to their own limitations as described in</w:t>
      </w:r>
      <w:r w:rsidR="00FA664B">
        <w:t xml:space="preserve"> </w:t>
      </w:r>
      <w:hyperlink w:anchor="_Delivery_System_Reform" w:history="1">
        <w:r w:rsidR="007A1C6F" w:rsidRPr="00277FA7">
          <w:rPr>
            <w:rStyle w:val="Hyperlink"/>
          </w:rPr>
          <w:t>Chapter 3</w:t>
        </w:r>
      </w:hyperlink>
      <w:r w:rsidR="007A1C6F">
        <w:t xml:space="preserve"> </w:t>
      </w:r>
      <w:r w:rsidR="00FA664B">
        <w:t>(Delivery System Reform)</w:t>
      </w:r>
      <w:r w:rsidR="001F6B27" w:rsidRPr="0009132C">
        <w:t xml:space="preserve"> </w:t>
      </w:r>
      <w:hyperlink w:anchor="_Data_and_Methods" w:history="1">
        <w:r w:rsidR="00A60F6A" w:rsidRPr="00FC7508">
          <w:rPr>
            <w:rStyle w:val="Hyperlink"/>
          </w:rPr>
          <w:t xml:space="preserve">Section </w:t>
        </w:r>
        <w:r w:rsidR="001F6B27" w:rsidRPr="00FC7508">
          <w:rPr>
            <w:rStyle w:val="Hyperlink"/>
          </w:rPr>
          <w:t>3</w:t>
        </w:r>
        <w:r w:rsidR="00864B88" w:rsidRPr="00FC7508">
          <w:rPr>
            <w:rStyle w:val="Hyperlink"/>
          </w:rPr>
          <w:t>.</w:t>
        </w:r>
        <w:r w:rsidR="00943A7E" w:rsidRPr="00FC7508">
          <w:rPr>
            <w:rStyle w:val="Hyperlink"/>
          </w:rPr>
          <w:t>4</w:t>
        </w:r>
      </w:hyperlink>
      <w:r w:rsidR="001F6B27" w:rsidRPr="0009132C">
        <w:t>,</w:t>
      </w:r>
      <w:r w:rsidRPr="0009132C">
        <w:t xml:space="preserve"> the evaluation of FSP and </w:t>
      </w:r>
      <w:r w:rsidR="00CC1785">
        <w:t>s</w:t>
      </w:r>
      <w:r w:rsidRPr="0009132C">
        <w:t xml:space="preserve">pecialized CSP will rely on MassHealth administrative data (defined broadly to include member-level data reported by HRSN providers and ACOs/MCOs). The traditional MassHealth administrative data (member eligibility/enrollment and claim/encounters) is complete and available for </w:t>
      </w:r>
      <w:r w:rsidR="00690D2A" w:rsidRPr="0009132C">
        <w:t xml:space="preserve">the </w:t>
      </w:r>
      <w:r w:rsidRPr="0009132C">
        <w:t xml:space="preserve">full </w:t>
      </w:r>
      <w:r w:rsidR="00D56A38" w:rsidRPr="0009132C">
        <w:t>D</w:t>
      </w:r>
      <w:r w:rsidRPr="0009132C">
        <w:t>emonstration period</w:t>
      </w:r>
      <w:r w:rsidR="418AFDFA" w:rsidRPr="0009132C">
        <w:t>; however</w:t>
      </w:r>
      <w:r w:rsidR="00C844B9">
        <w:t>,</w:t>
      </w:r>
      <w:r w:rsidRPr="0009132C">
        <w:t xml:space="preserve"> RELDSOGI, HRSN, and FSP and </w:t>
      </w:r>
      <w:r w:rsidR="00CC1785">
        <w:t>s</w:t>
      </w:r>
      <w:r w:rsidRPr="0009132C">
        <w:t xml:space="preserve">pecialized CSP program administrative data </w:t>
      </w:r>
      <w:r w:rsidR="008455A9">
        <w:t>are</w:t>
      </w:r>
      <w:r w:rsidRPr="0009132C">
        <w:t xml:space="preserve"> not as complete as the traditional MassHealth administrative data. </w:t>
      </w:r>
      <w:r w:rsidR="07F1BAFE" w:rsidRPr="0009132C">
        <w:t>W</w:t>
      </w:r>
      <w:r w:rsidRPr="0009132C">
        <w:t xml:space="preserve">e anticipate that the completeness will improve throughout the </w:t>
      </w:r>
      <w:r w:rsidR="00D56A38" w:rsidRPr="0009132C">
        <w:t>D</w:t>
      </w:r>
      <w:r w:rsidRPr="0009132C">
        <w:t xml:space="preserve">emonstration period and that the MassHealth administrative data will be sufficient to implement the proposed research methods. </w:t>
      </w:r>
    </w:p>
    <w:p w14:paraId="2377E5F4" w14:textId="01EDDA2E" w:rsidR="00FC7508" w:rsidRDefault="008925CE" w:rsidP="00DC326F">
      <w:r w:rsidRPr="0009132C">
        <w:t xml:space="preserve">At this time, the ACO/MCO contracts specify that the ACOs and MCOs must screen for housing insecurity, food insecurity, issues with transportation, </w:t>
      </w:r>
      <w:r w:rsidR="00FA664B">
        <w:t xml:space="preserve">the </w:t>
      </w:r>
      <w:r w:rsidR="47445E17" w:rsidRPr="0009132C">
        <w:t>experience of</w:t>
      </w:r>
      <w:r w:rsidRPr="0009132C">
        <w:t xml:space="preserve"> violence</w:t>
      </w:r>
      <w:r w:rsidR="00FA664B">
        <w:t>,</w:t>
      </w:r>
      <w:r w:rsidRPr="0009132C">
        <w:t xml:space="preserve"> and issues obtaining utilities</w:t>
      </w:r>
      <w:r w:rsidR="00FA664B">
        <w:t>,</w:t>
      </w:r>
      <w:r w:rsidRPr="0009132C">
        <w:t xml:space="preserve"> including heating and internet. Hospitals participating in the HQEI are also required to screen for HRSNs. </w:t>
      </w:r>
      <w:r w:rsidR="2F448212" w:rsidRPr="0009132C">
        <w:t>However</w:t>
      </w:r>
      <w:r w:rsidRPr="0009132C">
        <w:t xml:space="preserve">, we will not have HRSN data available for </w:t>
      </w:r>
      <w:r w:rsidR="00866553">
        <w:t>s</w:t>
      </w:r>
      <w:r w:rsidRPr="0009132C">
        <w:t xml:space="preserve">pecialized CSP members in </w:t>
      </w:r>
      <w:r w:rsidR="003B0F49">
        <w:t>FFS</w:t>
      </w:r>
      <w:r w:rsidRPr="0009132C">
        <w:t xml:space="preserve"> delivery systems and who are not hospitalized.</w:t>
      </w:r>
      <w:r w:rsidR="13FCA91E" w:rsidRPr="0009132C">
        <w:t xml:space="preserve"> Members are also able to decline to answer any part of the screening. Due to the sensitive nature of screening for experience of violence, these q</w:t>
      </w:r>
      <w:r w:rsidR="3B1DBAF9" w:rsidRPr="0009132C">
        <w:t xml:space="preserve">uestions are sometimes not asked in the same tool or setting as other questions, and results may be recorded elsewhere. This is important, for example, for ensuring a member is not put in a position of disclosing an experience of violence in front of the perpetrator. </w:t>
      </w:r>
    </w:p>
    <w:p w14:paraId="68CFCD0C" w14:textId="718329CA" w:rsidR="008925CE" w:rsidRPr="00DF1458" w:rsidRDefault="008925CE" w:rsidP="00DC326F">
      <w:r>
        <w:t xml:space="preserve">For analyses affected by </w:t>
      </w:r>
      <w:r w:rsidR="001A4085">
        <w:t xml:space="preserve">substantial </w:t>
      </w:r>
      <w:r>
        <w:t xml:space="preserve">missing data, we will use one or more missing data methods (e.g., last-observation carry forward, multiple imputation, inverse probability weighting), and if missingness is highly dependent on calendar time, we will perform stratified analyses by time period. </w:t>
      </w:r>
      <w:r w:rsidR="001A4085">
        <w:t xml:space="preserve">We will conduct sensitivity analyses to examine the robustness of findings to alternative assumptions regarding missingness mechanisms and </w:t>
      </w:r>
      <w:r w:rsidR="006C2564">
        <w:t>approaches to accounting for missingness.</w:t>
      </w:r>
      <w:r>
        <w:t xml:space="preserve"> Some analyses may not be sufficiently powered to detect a program impact. For example, for H</w:t>
      </w:r>
      <w:r w:rsidR="00AA514D">
        <w:t>7-</w:t>
      </w:r>
      <w:r>
        <w:t>1</w:t>
      </w:r>
      <w:r w:rsidR="00E73522">
        <w:t>0</w:t>
      </w:r>
      <w:r>
        <w:t>.2</w:t>
      </w:r>
      <w:r w:rsidR="00CD1D22">
        <w:t>,</w:t>
      </w:r>
      <w:r>
        <w:t xml:space="preserve"> there may be very few referrals for services delivered at the household level for members with diabetes</w:t>
      </w:r>
      <w:r w:rsidR="00CD1D22">
        <w:t>,</w:t>
      </w:r>
      <w:r>
        <w:t xml:space="preserve"> and </w:t>
      </w:r>
      <w:r>
        <w:lastRenderedPageBreak/>
        <w:t xml:space="preserve">the feasibility of pursuing this research aim will need to be assessed after examining referral volume. </w:t>
      </w:r>
    </w:p>
    <w:p w14:paraId="06FA256C" w14:textId="78133478" w:rsidR="008925CE" w:rsidRPr="00DF1458" w:rsidRDefault="008925CE" w:rsidP="00DC326F">
      <w:r w:rsidRPr="0009132C">
        <w:t>For members receiving FSP services, ACOs will report baseline and follow-up data on self-reported</w:t>
      </w:r>
      <w:r w:rsidR="00602D4A" w:rsidRPr="0009132C">
        <w:t xml:space="preserve"> health,</w:t>
      </w:r>
      <w:r w:rsidRPr="0009132C">
        <w:t xml:space="preserve"> food insecurity (if receiving nutritional supports), and housing insecurity (if receiving housing supports). These data will augment the HRSN data and be used to assess the effects of FSP on food and housing needs. Unlike members receiving FSP services, these data will not be collected specifically for comparison groups or for those receiving </w:t>
      </w:r>
      <w:r w:rsidR="001D5EAA">
        <w:t>s</w:t>
      </w:r>
      <w:r w:rsidRPr="0009132C">
        <w:t xml:space="preserve">pecialized CSP services. Blood pressure and HbA1c levels will also be required submissions for ACOs as part of quality measure reporting. We expect that the completeness of member-reported and clinical outcome data will vary across FSP and </w:t>
      </w:r>
      <w:r w:rsidR="001D5EAA">
        <w:t xml:space="preserve">specialized </w:t>
      </w:r>
      <w:r w:rsidRPr="0009132C">
        <w:t xml:space="preserve">CSP programs and that the health outcome data will be </w:t>
      </w:r>
      <w:r w:rsidR="0020192D">
        <w:t xml:space="preserve">the </w:t>
      </w:r>
      <w:r w:rsidRPr="0009132C">
        <w:t xml:space="preserve">most complete for members receiving FSP services. These data will provide outcome data for the FSP comparison group and support </w:t>
      </w:r>
      <w:r w:rsidR="0020192D">
        <w:t xml:space="preserve">the </w:t>
      </w:r>
      <w:r w:rsidRPr="0009132C">
        <w:t xml:space="preserve">estimation of the effects of FSP on these clinical outcomes. We expect that MassHealth may increase the collection of outcome data for comparison groups and members receiving </w:t>
      </w:r>
      <w:r w:rsidR="001D5EAA">
        <w:t>s</w:t>
      </w:r>
      <w:r w:rsidRPr="0009132C">
        <w:t>pecialized CSP services</w:t>
      </w:r>
      <w:r w:rsidR="40D23C77" w:rsidRPr="0009132C">
        <w:t xml:space="preserve"> </w:t>
      </w:r>
      <w:r w:rsidRPr="0009132C">
        <w:t xml:space="preserve">during the </w:t>
      </w:r>
      <w:r w:rsidR="00D56A38" w:rsidRPr="0009132C">
        <w:t>D</w:t>
      </w:r>
      <w:r w:rsidRPr="0009132C">
        <w:t xml:space="preserve">emonstration period. </w:t>
      </w:r>
    </w:p>
    <w:p w14:paraId="457A4E77" w14:textId="4A1ADDC5" w:rsidR="008925CE" w:rsidRPr="0009132C" w:rsidRDefault="008925CE" w:rsidP="00444055">
      <w:r w:rsidRPr="0009132C">
        <w:t xml:space="preserve">After the end of CY2024, MassHealth may discontinue the baseline and follow-up data collection on self-reported </w:t>
      </w:r>
      <w:r w:rsidR="00235F25" w:rsidRPr="0009132C">
        <w:t xml:space="preserve">health, </w:t>
      </w:r>
      <w:r w:rsidRPr="0009132C">
        <w:t>food insecurity (if receiving nutritional supports), and housing insecurity (if receiving housing supports) and may discontinue the data collection to identify the comparison group of individuals that are referred to FSP but never participate. If the data collection is discontinued, we will change the data sources used to assess the effects of FSP based on what is available. We will use HRSN screening data before and after FSP participation to assess outcomes</w:t>
      </w:r>
      <w:r w:rsidR="0020192D">
        <w:t>,</w:t>
      </w:r>
      <w:r w:rsidRPr="0009132C">
        <w:t xml:space="preserve"> and we will identify comparison groups from the population of MassHealth members with housing and/or food needs </w:t>
      </w:r>
      <w:r w:rsidR="002D20DC">
        <w:t>who</w:t>
      </w:r>
      <w:r w:rsidR="002D20DC" w:rsidRPr="0009132C">
        <w:t xml:space="preserve"> </w:t>
      </w:r>
      <w:r w:rsidRPr="0009132C">
        <w:t>never participated in FSP.</w:t>
      </w:r>
    </w:p>
    <w:p w14:paraId="002107D9" w14:textId="0B6130EA" w:rsidR="008925CE" w:rsidRPr="0009132C" w:rsidRDefault="008925CE" w:rsidP="00444055">
      <w:r w:rsidRPr="0009132C">
        <w:t>MassHealth administrative RELDSOGI data is currently limited; however, MassHealth plans to increase the collection</w:t>
      </w:r>
      <w:r w:rsidR="00FC7508">
        <w:t xml:space="preserve"> of</w:t>
      </w:r>
      <w:r w:rsidRPr="0009132C">
        <w:t xml:space="preserve"> RELDSOGI data to include all members. </w:t>
      </w:r>
      <w:r w:rsidR="009A2C7C">
        <w:t>ACOs, MCOs, and hospitals will collect data</w:t>
      </w:r>
      <w:r w:rsidR="002D20DC">
        <w:t>,</w:t>
      </w:r>
      <w:r w:rsidRPr="0009132C">
        <w:t xml:space="preserve"> and it will also be collected as part of the MassHealth eligibility determination process. We expect that the data completeness will increase over time</w:t>
      </w:r>
      <w:r w:rsidR="00FC7508">
        <w:t>,</w:t>
      </w:r>
      <w:r w:rsidRPr="0009132C">
        <w:t xml:space="preserve"> with race and ethnicity data completeness occurring before </w:t>
      </w:r>
      <w:r w:rsidR="006D78BE">
        <w:t xml:space="preserve">achieving </w:t>
      </w:r>
      <w:r w:rsidRPr="0009132C">
        <w:t xml:space="preserve">data completeness for language, disability, sexual orientation, and gender identity. MassHealth plans to implement the new data collection activities throughout 2023. </w:t>
      </w:r>
    </w:p>
    <w:p w14:paraId="06F3283A" w14:textId="7159B444" w:rsidR="00FC7508" w:rsidRDefault="008925CE" w:rsidP="00DC326F">
      <w:r w:rsidRPr="0009132C">
        <w:t>Some program effect estimates (e.g., FSP and CSP-JI effects on HRSNs, healthcare cost</w:t>
      </w:r>
      <w:r w:rsidR="002D20DC">
        <w:t>,</w:t>
      </w:r>
      <w:r w:rsidRPr="0009132C">
        <w:t xml:space="preserve"> and utilization) will be based on a differences-in-differences model with one or more comparison groups of individuals that were referred to the respective program but did not receive services, and of individuals who were not screened</w:t>
      </w:r>
      <w:r w:rsidR="00436C1A" w:rsidRPr="0009132C">
        <w:t xml:space="preserve"> or referred</w:t>
      </w:r>
      <w:r w:rsidRPr="0009132C">
        <w:t xml:space="preserve"> and did not receive HRSN services. Each comparison group is susceptible to potential unobserved sources of selection bias and confounding associated with their status as either screened but did not receive services (e.g., no longer needed the services) or not screened (less access or engagement with the healthcare system). Therefore, we are using propensity score balancing techniques to address confounding and multiple </w:t>
      </w:r>
      <w:r w:rsidRPr="0009132C">
        <w:lastRenderedPageBreak/>
        <w:t xml:space="preserve">comparison groups to interrogate the robustness of our findings regarding program effects. </w:t>
      </w:r>
    </w:p>
    <w:p w14:paraId="0E36B06E" w14:textId="14FE9DA9" w:rsidR="008925CE" w:rsidRPr="0009132C" w:rsidRDefault="002B475F" w:rsidP="00444055">
      <w:r w:rsidRPr="0009132C">
        <w:t xml:space="preserve">We will also rely on qualitative findings to inform our quantitative analysis protocols and understand how programs are working from the perspectives of members, providers, and program </w:t>
      </w:r>
      <w:r w:rsidR="6634EFA0" w:rsidRPr="0009132C">
        <w:t>administrators</w:t>
      </w:r>
      <w:r w:rsidRPr="0009132C">
        <w:t>.</w:t>
      </w:r>
      <w:r w:rsidR="589C2461" w:rsidRPr="0009132C">
        <w:t xml:space="preserve"> </w:t>
      </w:r>
      <w:r w:rsidR="008925CE" w:rsidRPr="0009132C">
        <w:t>To the extent that system-level conditions arise whereby members of certain ACOs/MCOs (or residents of certain parts of the state) have differential access to one or another category of HRSN service, we will seek to leverage this natural variation to produce less biased estimates of program effects.</w:t>
      </w:r>
      <w:r w:rsidR="00A770CA" w:rsidRPr="0009132C">
        <w:t xml:space="preserve"> </w:t>
      </w:r>
    </w:p>
    <w:p w14:paraId="631B1FF6" w14:textId="4C09F0DC" w:rsidR="008925CE" w:rsidRDefault="008925CE" w:rsidP="00444055">
      <w:r w:rsidRPr="0009132C">
        <w:t>Program effect estimates for</w:t>
      </w:r>
      <w:r w:rsidRPr="0009132C" w:rsidDel="00DC7E72">
        <w:t xml:space="preserve"> </w:t>
      </w:r>
      <w:r w:rsidRPr="0009132C">
        <w:t xml:space="preserve">CSP-TPP will be based on a pre/post model. This approach is vulnerable to bias if there are unobserved effects of time (e.g., secular trends, other time-varying interventions or confounders) that occur concurrently with the pre/post periods. To address this limitation, we will work with MassHealth to determine if administrative data can be used to define a suitable comparison group. </w:t>
      </w:r>
    </w:p>
    <w:p w14:paraId="3469FADE" w14:textId="77777777" w:rsidR="00A60C8A" w:rsidRPr="0009132C" w:rsidRDefault="00A60C8A" w:rsidP="00444055"/>
    <w:p w14:paraId="6D5F5A6D" w14:textId="77777777" w:rsidR="0003780C" w:rsidRPr="0009132C" w:rsidRDefault="0003780C" w:rsidP="00BF73A5">
      <w:pPr>
        <w:sectPr w:rsidR="0003780C" w:rsidRPr="0009132C" w:rsidSect="00744E1B">
          <w:pgSz w:w="12240" w:h="15840"/>
          <w:pgMar w:top="1440" w:right="1440" w:bottom="1440" w:left="1440" w:header="720" w:footer="576" w:gutter="0"/>
          <w:cols w:space="720"/>
          <w:docGrid w:linePitch="360"/>
        </w:sectPr>
      </w:pPr>
    </w:p>
    <w:p w14:paraId="7E1CEF5F" w14:textId="183B0310" w:rsidR="008F5F78" w:rsidRPr="0009132C" w:rsidRDefault="008F5F78" w:rsidP="00466D8A">
      <w:pPr>
        <w:pStyle w:val="FHCAppendixH1"/>
      </w:pPr>
      <w:bookmarkStart w:id="234" w:name="_Toc129619749"/>
      <w:bookmarkStart w:id="235" w:name="_Toc130209737"/>
      <w:bookmarkStart w:id="236" w:name="_Toc151976447"/>
      <w:r w:rsidRPr="0009132C">
        <w:lastRenderedPageBreak/>
        <w:t>Appendices</w:t>
      </w:r>
      <w:bookmarkEnd w:id="234"/>
      <w:bookmarkEnd w:id="235"/>
      <w:bookmarkEnd w:id="236"/>
    </w:p>
    <w:p w14:paraId="246DB998" w14:textId="6B1F8D24" w:rsidR="00393073" w:rsidRPr="0009132C" w:rsidRDefault="00393073" w:rsidP="00430786">
      <w:pPr>
        <w:pStyle w:val="FHCAppendixH2"/>
      </w:pPr>
      <w:bookmarkStart w:id="237" w:name="The_UMMS_ISA_for_the_Independent_Evaluat"/>
      <w:bookmarkStart w:id="238" w:name="Appendix_A"/>
      <w:bookmarkStart w:id="239" w:name="_Toc129619750"/>
      <w:bookmarkStart w:id="240" w:name="_Toc130209738"/>
      <w:bookmarkStart w:id="241" w:name="_Toc151976448"/>
      <w:bookmarkEnd w:id="237"/>
      <w:bookmarkEnd w:id="238"/>
      <w:r w:rsidRPr="0009132C">
        <w:t>Appendix A: Independent Evaluator Selection, Assurance of Independence, and Qualifications</w:t>
      </w:r>
      <w:bookmarkEnd w:id="239"/>
      <w:bookmarkEnd w:id="240"/>
      <w:bookmarkEnd w:id="241"/>
    </w:p>
    <w:p w14:paraId="3B3AF7DA" w14:textId="57173DB6" w:rsidR="00496A54" w:rsidRPr="0009132C" w:rsidRDefault="00496A54" w:rsidP="00223AA4">
      <w:pPr>
        <w:pStyle w:val="FHCAppendixH3"/>
      </w:pPr>
      <w:bookmarkStart w:id="242" w:name="MassHealth_has_selected_the_University_o"/>
      <w:bookmarkStart w:id="243" w:name="_Toc130419910"/>
      <w:bookmarkEnd w:id="242"/>
      <w:r w:rsidRPr="0009132C">
        <w:t>A.1 Selection of Independent Evaluator and Assurance of Independence</w:t>
      </w:r>
      <w:bookmarkEnd w:id="243"/>
      <w:r w:rsidRPr="0009132C">
        <w:t xml:space="preserve"> </w:t>
      </w:r>
    </w:p>
    <w:p w14:paraId="6329148D" w14:textId="59993E50" w:rsidR="00393073" w:rsidRPr="0009132C" w:rsidRDefault="00393073" w:rsidP="0058308B">
      <w:r w:rsidRPr="0009132C">
        <w:t xml:space="preserve">Based on previous performance and familiarity with MassHealth programs, policies, and data systems, Massachusetts (MA) has selected the </w:t>
      </w:r>
      <w:hyperlink r:id="rId39" w:history="1">
        <w:r w:rsidRPr="0009132C">
          <w:rPr>
            <w:rStyle w:val="Hyperlink"/>
          </w:rPr>
          <w:t>UMass Chan Medical School</w:t>
        </w:r>
      </w:hyperlink>
      <w:r w:rsidRPr="0009132C">
        <w:t xml:space="preserve"> (UMass Chan) as the Independent Evaluator (IE) for the 2022-2027 Demonstration. The Independent Evaluation will also be informed by review and guidance from a Scientific Advisory Committee (SAC) and external reviewers comprised of nationally recognized experts in Medicaid systems transformation, program evaluation, and health services research.</w:t>
      </w:r>
    </w:p>
    <w:p w14:paraId="3A06523E" w14:textId="6CCB23E0" w:rsidR="00393073" w:rsidRPr="0009132C" w:rsidRDefault="00393073" w:rsidP="0058308B">
      <w:r w:rsidRPr="0009132C">
        <w:t>As a state agency of the Commonwealth of Massachusetts, UMass Chan is subject to, participates in mandatory training regarding, and complies with</w:t>
      </w:r>
      <w:r w:rsidR="005B47F7">
        <w:t>,</w:t>
      </w:r>
      <w:r w:rsidRPr="0009132C">
        <w:t xml:space="preserve"> applicable state conflict of interest laws, including Mass. Gen. Laws, Ch. 268A and Ch. 268B. Under those laws and UMass Chan’s Conflict of Interest Policy, employees must disclose potential financial conflicts of interest. In an Interdepartmental Service Agreement (ISA) between UMass Chan and MA, UMass Chan employees and agents are prohibited from having financial, personal, or professional interests in conflict with the </w:t>
      </w:r>
      <w:r w:rsidR="005B47F7">
        <w:t>state</w:t>
      </w:r>
      <w:r w:rsidRPr="0009132C">
        <w:t xml:space="preserve">; UMass Chan is required to comply with all applicable state and federal requirements governing conflicts of interest; and UMass Chan must report potential conflicts of interest to MA. Further, the ISA for the 2017-2022 </w:t>
      </w:r>
      <w:r w:rsidR="005B47F7">
        <w:t>E</w:t>
      </w:r>
      <w:r w:rsidR="005B47F7" w:rsidRPr="0009132C">
        <w:t xml:space="preserve">valuation </w:t>
      </w:r>
      <w:r w:rsidRPr="0009132C">
        <w:t xml:space="preserve">specifically guaranteed UMass Chan’s editorial control over the evaluation and reporting process. An ISA with similar language will be developed for the 2022-2027 Independent Evaluation and will include a statement of “no conflict of interest” that will be signed by the IE. </w:t>
      </w:r>
    </w:p>
    <w:p w14:paraId="1F8DF961" w14:textId="482C32EC" w:rsidR="00393073" w:rsidRPr="0009132C" w:rsidRDefault="00393073" w:rsidP="0058308B">
      <w:r w:rsidRPr="0009132C">
        <w:t xml:space="preserve">UMass Chan certifies that, to the best of its knowledge, there are presently no conflicts of interest in performing this work. Any conflicts that arise during the evaluation will be reported to the UMass Chan Conflict of Interest Committee to determine the appropriate course of action to manage or remove the conflict, including </w:t>
      </w:r>
      <w:r w:rsidR="0064012D">
        <w:t>reporting</w:t>
      </w:r>
      <w:r w:rsidRPr="0009132C">
        <w:t xml:space="preserve"> the conflict to MA pursuant to the ISA. </w:t>
      </w:r>
    </w:p>
    <w:p w14:paraId="24A4C473" w14:textId="77777777" w:rsidR="00393073" w:rsidRPr="0009132C" w:rsidRDefault="00393073" w:rsidP="0058308B">
      <w:r w:rsidRPr="0009132C">
        <w:t>UMass Chan will conduct a fair and impartial evaluation and develop independent reports on findings from the Independent Evaluation.</w:t>
      </w:r>
    </w:p>
    <w:p w14:paraId="60112AD2" w14:textId="77777777" w:rsidR="00393073" w:rsidRPr="00466D8A" w:rsidRDefault="00393073" w:rsidP="00223AA4">
      <w:pPr>
        <w:pStyle w:val="FHCAppendixH3"/>
      </w:pPr>
      <w:bookmarkStart w:id="244" w:name="_Toc130419911"/>
      <w:r w:rsidRPr="0009132C">
        <w:t>A.2 UMass Chan Resources and Leadership for the Independent Evaluation</w:t>
      </w:r>
      <w:bookmarkEnd w:id="244"/>
    </w:p>
    <w:p w14:paraId="0DA4993A" w14:textId="3F23026B" w:rsidR="00393073" w:rsidRPr="0009132C" w:rsidRDefault="00393073" w:rsidP="0058308B">
      <w:r w:rsidRPr="0009132C">
        <w:t>Faculty members and staff participating in the Independent Evaluation are</w:t>
      </w:r>
      <w:r w:rsidRPr="00223AA4">
        <w:t xml:space="preserve"> </w:t>
      </w:r>
      <w:r w:rsidRPr="0009132C">
        <w:t xml:space="preserve">drawn from the UMass Chan Department of Population and Quantitative Health Sciences (PQHS), the Research </w:t>
      </w:r>
      <w:r w:rsidR="005B47F7">
        <w:t>&amp;</w:t>
      </w:r>
      <w:r w:rsidR="005B47F7" w:rsidRPr="0009132C">
        <w:t xml:space="preserve"> </w:t>
      </w:r>
      <w:r w:rsidRPr="0009132C">
        <w:t xml:space="preserve">Evaluation </w:t>
      </w:r>
      <w:r w:rsidR="005B47F7">
        <w:t>u</w:t>
      </w:r>
      <w:r w:rsidRPr="0009132C">
        <w:t>nit of ForHealth Consulting at UMass Chan, and the Department of Family Medicine and Community Health (FMCH) at UMass Chan.</w:t>
      </w:r>
    </w:p>
    <w:p w14:paraId="7E96FEDD" w14:textId="39844E3C" w:rsidR="00393073" w:rsidRPr="0009132C" w:rsidRDefault="00393073" w:rsidP="0058308B">
      <w:r w:rsidRPr="0009132C">
        <w:t xml:space="preserve">The mission of </w:t>
      </w:r>
      <w:hyperlink r:id="rId40" w:history="1">
        <w:r w:rsidRPr="0009132C">
          <w:rPr>
            <w:rStyle w:val="Hyperlink"/>
          </w:rPr>
          <w:t>PQHS</w:t>
        </w:r>
      </w:hyperlink>
      <w:r w:rsidRPr="0009132C">
        <w:t xml:space="preserve"> is to advance science and improve population health. Formed in 2009, PQHS is located on the </w:t>
      </w:r>
      <w:r w:rsidR="00663B6E">
        <w:t>UMass Chan</w:t>
      </w:r>
      <w:r w:rsidRPr="0009132C">
        <w:t xml:space="preserve"> campus and includes a broad array of research and evaluation expertise. Several PQHS faculty will play key roles in the </w:t>
      </w:r>
      <w:r w:rsidRPr="0009132C">
        <w:lastRenderedPageBreak/>
        <w:t>Independent Evaluation: Matthew Alcusky, PharmD, PhD,</w:t>
      </w:r>
      <w:r w:rsidRPr="0009132C" w:rsidDel="00917317">
        <w:t xml:space="preserve"> </w:t>
      </w:r>
      <w:r w:rsidRPr="0009132C">
        <w:t xml:space="preserve">will serve as Principal Investigator for the IE and will serve as lead researcher for several policy Domains. Elaine Wang, PhD, will serve as PI with </w:t>
      </w:r>
      <w:r w:rsidR="00D9032A">
        <w:t>Dr.</w:t>
      </w:r>
      <w:r w:rsidR="00D9032A" w:rsidRPr="0009132C">
        <w:t xml:space="preserve"> </w:t>
      </w:r>
      <w:r w:rsidRPr="0009132C">
        <w:t>Alcusky and lead several policy Domains. Yara Halasa-Rappel</w:t>
      </w:r>
      <w:r w:rsidR="0063624C">
        <w:t>, DMD, PhD,</w:t>
      </w:r>
      <w:r w:rsidRPr="0009132C">
        <w:t xml:space="preserve"> will serve as a Co-PI and Co-evaluation lead for the Behavioral Health and Workforce Initiatives Domains. Jay Himmelstein, MD, MPH, will serve as Senior Policy Advisor for the evaluation and coordinate input from the scientific advisory committee and external reviewers. Arlene Ash, PhD, will serve as the Senior Scientist and advise on advanced analytic methods for the evaluation. PQHS also houses the UMass Chan Quantitative Methods Core (QMC), which provides biostatistical, epidemiological, and other methodological consultation and technical support for research across the campus. Eric Mick, PhD, PQHS faculty and former Assistant Director of the QMC, will lead the statistical team for the Demonstration evaluation.</w:t>
      </w:r>
    </w:p>
    <w:p w14:paraId="3196361C" w14:textId="4BB6F5A3" w:rsidR="00393073" w:rsidRPr="0009132C" w:rsidRDefault="0020559B" w:rsidP="0058308B">
      <w:hyperlink r:id="rId41" w:history="1">
        <w:r w:rsidR="00393073" w:rsidRPr="0009132C">
          <w:rPr>
            <w:rStyle w:val="Hyperlink"/>
          </w:rPr>
          <w:t>ForHealth Consulting</w:t>
        </w:r>
      </w:hyperlink>
      <w:r w:rsidR="00393073" w:rsidRPr="0009132C">
        <w:t>, formerly known as Common</w:t>
      </w:r>
      <w:r w:rsidR="00132A6E" w:rsidRPr="0009132C">
        <w:t>w</w:t>
      </w:r>
      <w:r w:rsidR="00393073" w:rsidRPr="0009132C">
        <w:t>ealth Medicine, is the public</w:t>
      </w:r>
      <w:r w:rsidR="00E02B6E">
        <w:t xml:space="preserve"> </w:t>
      </w:r>
      <w:r w:rsidR="00393073" w:rsidRPr="0009132C">
        <w:t xml:space="preserve">sector consulting arm of UMass Chan. The Research </w:t>
      </w:r>
      <w:r w:rsidR="00F43A04">
        <w:t>&amp;</w:t>
      </w:r>
      <w:r w:rsidR="00F43A04" w:rsidRPr="0009132C">
        <w:t xml:space="preserve"> </w:t>
      </w:r>
      <w:r w:rsidR="00393073" w:rsidRPr="0009132C">
        <w:t xml:space="preserve">Evaluation </w:t>
      </w:r>
      <w:r w:rsidR="00460D52">
        <w:t>u</w:t>
      </w:r>
      <w:r w:rsidR="00460D52" w:rsidRPr="0009132C">
        <w:t xml:space="preserve">nit </w:t>
      </w:r>
      <w:r w:rsidR="00393073" w:rsidRPr="0009132C">
        <w:t xml:space="preserve">of ForHealth </w:t>
      </w:r>
      <w:r w:rsidR="000366E2">
        <w:t>C</w:t>
      </w:r>
      <w:r w:rsidR="000366E2" w:rsidRPr="0009132C">
        <w:t>onsulting</w:t>
      </w:r>
      <w:r w:rsidR="00393073" w:rsidRPr="0009132C">
        <w:t xml:space="preserve">, </w:t>
      </w:r>
      <w:r w:rsidR="00FC7508">
        <w:t>led by</w:t>
      </w:r>
      <w:r w:rsidR="00393073" w:rsidRPr="0009132C">
        <w:t xml:space="preserve"> Elaine Wang, PhD</w:t>
      </w:r>
      <w:r w:rsidR="00FC7508">
        <w:t>,</w:t>
      </w:r>
      <w:r w:rsidR="00393073" w:rsidRPr="0009132C">
        <w:t xml:space="preserve"> includes UMass Chan faculty and staff with deep experience in evaluating Medicaid and public health programs and routinely partners with health and human services agencies, nonprofits, and other organizations to evaluate program outcomes and support evidence-based policymaking. </w:t>
      </w:r>
      <w:r w:rsidR="009D36BA" w:rsidRPr="0009132C">
        <w:t>Yara Halasa-Rappel</w:t>
      </w:r>
      <w:r w:rsidR="009D36BA">
        <w:t>, DMD, PhD,</w:t>
      </w:r>
      <w:r w:rsidR="009D36BA" w:rsidRPr="0009132C">
        <w:t xml:space="preserve"> will serve as a Co-PI and Co-evaluation lead for the Behavioral Health and Workforce Initiatives Domains. </w:t>
      </w:r>
      <w:r w:rsidR="00410E39" w:rsidRPr="0009132C">
        <w:t xml:space="preserve">Susan Pfefferle, PhD, will serve as Co-PI and lead for the </w:t>
      </w:r>
      <w:r w:rsidR="00475F1B">
        <w:t>B</w:t>
      </w:r>
      <w:r w:rsidR="00475F1B" w:rsidRPr="0009132C">
        <w:t xml:space="preserve">ehavioral </w:t>
      </w:r>
      <w:r w:rsidR="00475F1B">
        <w:t>H</w:t>
      </w:r>
      <w:r w:rsidR="00475F1B" w:rsidRPr="0009132C">
        <w:t xml:space="preserve">ealth </w:t>
      </w:r>
      <w:r w:rsidR="00410E39" w:rsidRPr="0009132C">
        <w:t xml:space="preserve">domain. Jack Gettens, PhD, will serve as Co-Investigator with a focus on the Health-Related Social Needs Domain. </w:t>
      </w:r>
      <w:r w:rsidR="00393073" w:rsidRPr="0009132C">
        <w:t>The multi-disciplinary researchers in the unit focus on applied research and data analytics using qualitative and quantitative methods. Staff from multiple disciplines leverage education and training in areas such as health policy, social policy, epidemiology, health economics, public health, and sociology. They use a community-participatory approach to collect, generate, analyze, and summarize information that advances policies, programs, and services to a higher level of impact and performance.</w:t>
      </w:r>
    </w:p>
    <w:p w14:paraId="700C1058" w14:textId="3D2109CE" w:rsidR="00420408" w:rsidRPr="0009132C" w:rsidRDefault="0020559B" w:rsidP="00420408">
      <w:hyperlink r:id="rId42" w:history="1">
        <w:r w:rsidR="00420408" w:rsidRPr="0009132C">
          <w:rPr>
            <w:rStyle w:val="Hyperlink"/>
          </w:rPr>
          <w:t>The Department of FMCH</w:t>
        </w:r>
      </w:hyperlink>
      <w:r w:rsidR="00420408" w:rsidRPr="0009132C">
        <w:t xml:space="preserve"> emphasizes the relationship between clinical practice and community health with a particular focus on serving vulnerable populations by providing clinical care, medical education, and research in health policy. Being one of UMass Chan’s founding departments, FMCH works to advance the fitness of populations and communities and advance the needs of the Commonwealth’s underserved populations. FMCH faculty will play key roles in the Independent Evaluation</w:t>
      </w:r>
      <w:r w:rsidR="00D443B5">
        <w:t xml:space="preserve"> as</w:t>
      </w:r>
      <w:r w:rsidR="00420408" w:rsidRPr="0009132C">
        <w:t xml:space="preserve"> </w:t>
      </w:r>
      <w:r w:rsidR="00CB52F0" w:rsidRPr="0009132C">
        <w:t xml:space="preserve">Drs. </w:t>
      </w:r>
      <w:r w:rsidR="00420408" w:rsidRPr="0009132C">
        <w:t>Susan Pfefferle</w:t>
      </w:r>
      <w:r w:rsidR="00CB52F0" w:rsidRPr="0009132C">
        <w:t xml:space="preserve"> and </w:t>
      </w:r>
      <w:r w:rsidR="00420408" w:rsidRPr="0009132C">
        <w:t>Jack Gettens</w:t>
      </w:r>
      <w:r w:rsidR="00CB52F0" w:rsidRPr="0009132C">
        <w:t xml:space="preserve"> are also faculty of the department.</w:t>
      </w:r>
    </w:p>
    <w:p w14:paraId="691EF53F" w14:textId="045009BC" w:rsidR="00FE00F9" w:rsidRPr="0009132C" w:rsidRDefault="00393073" w:rsidP="00F50822">
      <w:r w:rsidRPr="0009132C">
        <w:t xml:space="preserve">The Draft Evaluation Design has been informed by review and feedback from the 1115 Demonstration Scientific Advisory Committee (SAC), and additional external reviewers, including nationally recognized experts in Medicaid program evaluation and health services research, convened to </w:t>
      </w:r>
      <w:r w:rsidR="00D443B5">
        <w:t>en</w:t>
      </w:r>
      <w:r w:rsidR="00D443B5" w:rsidRPr="0009132C">
        <w:t xml:space="preserve">sure </w:t>
      </w:r>
      <w:r w:rsidRPr="0009132C">
        <w:t>scientific rigor and feasibility of the evaluation design. It is anticipated that SAC members and external reviewers will be involved on an ongoing basis to help address evaluation implementation challenges and review evaluation deliverables as appropriate.</w:t>
      </w:r>
    </w:p>
    <w:p w14:paraId="32A72279" w14:textId="315F3B0B" w:rsidR="00393073" w:rsidRPr="0009132C" w:rsidRDefault="00393073" w:rsidP="00223AA4">
      <w:pPr>
        <w:pStyle w:val="FHCAppendixH3"/>
      </w:pPr>
      <w:bookmarkStart w:id="245" w:name="_Toc130419912"/>
      <w:r w:rsidRPr="0009132C">
        <w:lastRenderedPageBreak/>
        <w:t>A.3 Faculty Leadership and Subject Matter Experts</w:t>
      </w:r>
      <w:bookmarkEnd w:id="245"/>
      <w:r w:rsidRPr="0009132C">
        <w:t xml:space="preserve"> </w:t>
      </w:r>
    </w:p>
    <w:p w14:paraId="50E245B0" w14:textId="77777777" w:rsidR="00393073" w:rsidRPr="00893BE3" w:rsidRDefault="00393073" w:rsidP="00893BE3">
      <w:pPr>
        <w:pStyle w:val="Resume-NameandTitleleft"/>
        <w:rPr>
          <w:b/>
          <w:bCs/>
        </w:rPr>
      </w:pPr>
      <w:r w:rsidRPr="00893BE3">
        <w:rPr>
          <w:b/>
          <w:bCs/>
        </w:rPr>
        <w:t>Matthew Alcusky, PharmD, PhD</w:t>
      </w:r>
    </w:p>
    <w:p w14:paraId="13984097" w14:textId="77777777" w:rsidR="00393073" w:rsidRPr="00466D8A" w:rsidRDefault="00393073" w:rsidP="00466D8A">
      <w:pPr>
        <w:pStyle w:val="Resume-NameandTitleleft"/>
      </w:pPr>
      <w:bookmarkStart w:id="246" w:name="Assistant_Professor,_Department_of_Quant"/>
      <w:bookmarkStart w:id="247" w:name="Co-_Principal_Investigator"/>
      <w:bookmarkEnd w:id="246"/>
      <w:bookmarkEnd w:id="247"/>
      <w:r w:rsidRPr="00466D8A">
        <w:t>Assistant Professor, Department of Population and Quantitative Health Sciences (PQHS)</w:t>
      </w:r>
    </w:p>
    <w:p w14:paraId="52F2978D" w14:textId="77777777" w:rsidR="00393073" w:rsidRPr="00893BE3" w:rsidRDefault="00393073" w:rsidP="00893BE3">
      <w:pPr>
        <w:pStyle w:val="Resume-NameandTitleleft"/>
        <w:rPr>
          <w:b/>
          <w:bCs/>
        </w:rPr>
      </w:pPr>
      <w:r w:rsidRPr="00893BE3">
        <w:rPr>
          <w:b/>
          <w:bCs/>
        </w:rPr>
        <w:t>Principal Investigator and Lead Researcher for Delivery System Reform, Health Related Social Needs, and Hospital Quality and Equity Initiative Domains</w:t>
      </w:r>
    </w:p>
    <w:p w14:paraId="3FACECFD" w14:textId="77777777" w:rsidR="00393073" w:rsidRPr="0009132C" w:rsidRDefault="00393073" w:rsidP="0058308B">
      <w:pPr>
        <w:pStyle w:val="Resume-body"/>
      </w:pPr>
      <w:r w:rsidRPr="0009132C">
        <w:t>Dr. Matthew Alcusky will serve as a Principal Investigator with Dr. Wang and will be responsible for integrating and supporting evaluation efforts across all Demonstration goals. Dr. Alcusky and Dr. Wang will oversee the core research team and faculty investigators and function as the day-to-day scientific liaisons with MassHealth and CMS as needed. Dr. Alcusky and Dr. Wang will regularly meet with MassHealth leadership to oversee workstreams and data access essential for the Independent Evaluation.</w:t>
      </w:r>
    </w:p>
    <w:p w14:paraId="44AD01FB" w14:textId="7F0D0F5A" w:rsidR="00393073" w:rsidRPr="0009132C" w:rsidRDefault="00393073" w:rsidP="0058308B">
      <w:pPr>
        <w:pStyle w:val="Resume-body"/>
      </w:pPr>
      <w:r w:rsidRPr="0009132C">
        <w:t>Dr. Alcusky is a pharmacoepidemiologist and health services researcher focused on generating evidence from mixed methods data sources to inform clinical practice and guide health policy. His pharmacoepidemiologic research has focused on the study of prescribing patterns, comparative safety and effectiveness, and medication-related healthcare utilization, often in vulnerable segments of the Medicaid</w:t>
      </w:r>
      <w:r w:rsidRPr="00466D8A">
        <w:t xml:space="preserve"> </w:t>
      </w:r>
      <w:r w:rsidRPr="0009132C">
        <w:t>and</w:t>
      </w:r>
      <w:r w:rsidRPr="00466D8A">
        <w:t xml:space="preserve"> </w:t>
      </w:r>
      <w:r w:rsidRPr="0009132C">
        <w:t>Medicare</w:t>
      </w:r>
      <w:r w:rsidRPr="00466D8A">
        <w:t xml:space="preserve"> </w:t>
      </w:r>
      <w:r w:rsidRPr="0009132C">
        <w:t xml:space="preserve">populations. Dr. Alcusky has a history of working with MassHealth and deep knowledge of their programs. Together with Dr. Ash and Dr. Mick, he develops and refines predictive models for risk adjustment of ACO quality measures and to adjust payments to managed care entities, including the MassHealth ACOs and their primary care providers. He is also developing and implementing methods to set value-based prices for pharmaceuticals to support MassHealth’s value-based pricing initiative. He currently serves as a Principal Investigator for the Independent Evaluation of MassHealth’s 2017-2022 1115 Demonstration with responsibility for leading the evaluation of the state’s Delivery System Reform Incentive Payment (DSRIP) Program. </w:t>
      </w:r>
    </w:p>
    <w:p w14:paraId="3C31C7F6" w14:textId="275F521A" w:rsidR="00393073" w:rsidRPr="00893BE3" w:rsidRDefault="008C391B" w:rsidP="00893BE3">
      <w:pPr>
        <w:pStyle w:val="Resume-NameandTitleleft"/>
        <w:rPr>
          <w:b/>
          <w:bCs/>
        </w:rPr>
      </w:pPr>
      <w:r w:rsidRPr="00893BE3">
        <w:rPr>
          <w:b/>
          <w:bCs/>
        </w:rPr>
        <w:t>Ying (</w:t>
      </w:r>
      <w:r w:rsidR="00393073" w:rsidRPr="00893BE3">
        <w:rPr>
          <w:b/>
          <w:bCs/>
        </w:rPr>
        <w:t>Elaine</w:t>
      </w:r>
      <w:r w:rsidRPr="00893BE3">
        <w:rPr>
          <w:b/>
          <w:bCs/>
        </w:rPr>
        <w:t>)</w:t>
      </w:r>
      <w:r w:rsidR="00393073" w:rsidRPr="00893BE3">
        <w:rPr>
          <w:b/>
          <w:bCs/>
        </w:rPr>
        <w:t xml:space="preserve"> Wang, PhD</w:t>
      </w:r>
    </w:p>
    <w:p w14:paraId="5CD0F0AC" w14:textId="3312F405" w:rsidR="00393073" w:rsidRPr="00466D8A" w:rsidRDefault="00393073" w:rsidP="00466D8A">
      <w:pPr>
        <w:pStyle w:val="Resume-NameandTitleleft"/>
      </w:pPr>
      <w:r w:rsidRPr="00466D8A">
        <w:t xml:space="preserve">Associate Professor, PQHS and Executive Director, Research </w:t>
      </w:r>
      <w:r w:rsidR="005B47F7">
        <w:t>&amp;</w:t>
      </w:r>
      <w:r w:rsidR="005B47F7" w:rsidRPr="00466D8A">
        <w:t xml:space="preserve"> </w:t>
      </w:r>
      <w:r w:rsidRPr="00466D8A">
        <w:t>Evaluation, ForHealth Consulting</w:t>
      </w:r>
    </w:p>
    <w:p w14:paraId="56ADDB30" w14:textId="77777777" w:rsidR="00393073" w:rsidRPr="00893BE3" w:rsidRDefault="00393073" w:rsidP="00893BE3">
      <w:pPr>
        <w:pStyle w:val="Resume-NameandTitleleft"/>
        <w:rPr>
          <w:b/>
          <w:bCs/>
        </w:rPr>
      </w:pPr>
      <w:r w:rsidRPr="00893BE3">
        <w:rPr>
          <w:b/>
          <w:bCs/>
        </w:rPr>
        <w:t>Principal Investigator and Lead Researcher for the Coverage and Eligibility, Workforce Initiatives, and Safety Net Care Pool Domains</w:t>
      </w:r>
    </w:p>
    <w:p w14:paraId="66BE9F12" w14:textId="291E0412" w:rsidR="00393073" w:rsidRPr="0009132C" w:rsidRDefault="00393073" w:rsidP="0058308B">
      <w:pPr>
        <w:pStyle w:val="Resume-body"/>
      </w:pPr>
      <w:r w:rsidRPr="0009132C">
        <w:t xml:space="preserve">Dr. </w:t>
      </w:r>
      <w:r w:rsidR="00D95F48">
        <w:t xml:space="preserve">Elaine </w:t>
      </w:r>
      <w:r w:rsidRPr="0009132C">
        <w:t xml:space="preserve">Wang will serve as a Principal Investigator with Dr. Alcusky and will be responsible for integrating and supporting evaluation efforts across all Demonstration goals. Dr. Alcusky and Dr. Wang will oversee the core research team and faculty investigators and function as the day-to-day scientific liaisons with MassHealth and CMS as needed. Dr. Alcusky and Dr. Wang will regularly meet with MassHealth leadership to oversee workstreams and data access essential for the Independent Evaluation. She also leads the </w:t>
      </w:r>
      <w:r w:rsidR="006E5BF3">
        <w:t>Coverage and Eligibility</w:t>
      </w:r>
      <w:r w:rsidRPr="0009132C">
        <w:t xml:space="preserve"> and S</w:t>
      </w:r>
      <w:r w:rsidR="006E5BF3">
        <w:t xml:space="preserve">afety Net </w:t>
      </w:r>
      <w:r w:rsidRPr="0009132C">
        <w:t>C</w:t>
      </w:r>
      <w:r w:rsidR="006E5BF3">
        <w:t xml:space="preserve">are </w:t>
      </w:r>
      <w:r w:rsidRPr="0009132C">
        <w:t>P</w:t>
      </w:r>
      <w:r w:rsidR="006E5BF3">
        <w:t>ool</w:t>
      </w:r>
      <w:r w:rsidRPr="0009132C">
        <w:t xml:space="preserve"> domain</w:t>
      </w:r>
      <w:r w:rsidR="00F77B13">
        <w:t>s</w:t>
      </w:r>
      <w:r w:rsidRPr="0009132C">
        <w:t xml:space="preserve"> and co-leads the Workforce Initiatives with Dr. Halasa-Rappel. </w:t>
      </w:r>
    </w:p>
    <w:p w14:paraId="48F5929F" w14:textId="7EB36262" w:rsidR="00393073" w:rsidRPr="0009132C" w:rsidRDefault="00393073" w:rsidP="0058308B">
      <w:pPr>
        <w:pStyle w:val="Resume-body"/>
      </w:pPr>
      <w:r w:rsidRPr="0009132C">
        <w:t>Dr. Wang is a mixed</w:t>
      </w:r>
      <w:r w:rsidR="00376420">
        <w:t xml:space="preserve"> </w:t>
      </w:r>
      <w:r w:rsidRPr="0009132C">
        <w:t xml:space="preserve">methods health services and health policy researcher with more than 20 years of policy research experience. She currently serves as the </w:t>
      </w:r>
      <w:r w:rsidR="005B47F7">
        <w:lastRenderedPageBreak/>
        <w:t>e</w:t>
      </w:r>
      <w:r w:rsidR="005B47F7" w:rsidRPr="0009132C">
        <w:t xml:space="preserve">xecutive </w:t>
      </w:r>
      <w:r w:rsidR="005B47F7">
        <w:t>d</w:t>
      </w:r>
      <w:r w:rsidR="005B47F7" w:rsidRPr="0009132C">
        <w:t xml:space="preserve">irector </w:t>
      </w:r>
      <w:r w:rsidRPr="0009132C">
        <w:t>of Research &amp; Evaluation at ForHealth</w:t>
      </w:r>
      <w:r w:rsidR="000366E2">
        <w:t xml:space="preserve"> Consulting</w:t>
      </w:r>
      <w:r w:rsidRPr="0009132C">
        <w:t xml:space="preserve">. She has deep experience in 1115 Medicaid Waiver evaluation, value-based purchasing programs, and children with special health needs (e.g., those with life-limiting conditions and autism), amongst her other fields of interest. She has led various projects for the Centers for Medicare &amp; Medicaid Services, including leading a Medicare Part D star rating project, developing performance measures for monitoring Medicare Parts C and D plans, and helping create a Qualified Health Plan Quality Rating system. Before joining UMass Chan, </w:t>
      </w:r>
      <w:r w:rsidR="00D9032A">
        <w:t xml:space="preserve">Dr. </w:t>
      </w:r>
      <w:r w:rsidRPr="0009132C">
        <w:t xml:space="preserve">Wang held leadership roles at policy consulting firms, including the American Institutes for Research and IMPAQ International (now merged). She received her doctoral degree from the School of Public Policy at the University of Maryland Baltimore County. </w:t>
      </w:r>
    </w:p>
    <w:p w14:paraId="1006C3F8" w14:textId="77777777" w:rsidR="00393073" w:rsidRPr="00893BE3" w:rsidRDefault="00393073" w:rsidP="00893BE3">
      <w:pPr>
        <w:pStyle w:val="Resume-NameandTitleleft"/>
        <w:rPr>
          <w:b/>
          <w:bCs/>
        </w:rPr>
      </w:pPr>
      <w:r w:rsidRPr="00893BE3">
        <w:rPr>
          <w:b/>
          <w:bCs/>
        </w:rPr>
        <w:t>Yara Halasa-Rappel, DMD, PhD</w:t>
      </w:r>
    </w:p>
    <w:p w14:paraId="6E98AB47" w14:textId="2B0AA1BE" w:rsidR="00393073" w:rsidRPr="00466D8A" w:rsidRDefault="00393073" w:rsidP="00466D8A">
      <w:pPr>
        <w:pStyle w:val="Resume-NameandTitleleft"/>
      </w:pPr>
      <w:r w:rsidRPr="00466D8A">
        <w:t xml:space="preserve">Assistant Professor, PQHS and Senior Project Director, Research </w:t>
      </w:r>
      <w:r w:rsidR="005B47F7">
        <w:t>&amp;</w:t>
      </w:r>
      <w:r w:rsidR="005B47F7" w:rsidRPr="00466D8A">
        <w:t xml:space="preserve"> </w:t>
      </w:r>
      <w:r w:rsidRPr="00466D8A">
        <w:t>Evaluation, ForHealth Consulting</w:t>
      </w:r>
    </w:p>
    <w:p w14:paraId="71EFA6BF" w14:textId="77777777" w:rsidR="00393073" w:rsidRPr="00893BE3" w:rsidRDefault="00393073" w:rsidP="00893BE3">
      <w:pPr>
        <w:pStyle w:val="Resume-NameandTitleleft"/>
        <w:rPr>
          <w:b/>
          <w:bCs/>
        </w:rPr>
      </w:pPr>
      <w:r w:rsidRPr="00893BE3">
        <w:rPr>
          <w:b/>
          <w:bCs/>
        </w:rPr>
        <w:t>Co-PI and Co-lead for the Behavioral Health and Workforce Initiatives Domains</w:t>
      </w:r>
    </w:p>
    <w:p w14:paraId="5F9FB920" w14:textId="1A26FFE8" w:rsidR="00393073" w:rsidRPr="0009132C" w:rsidRDefault="00393073" w:rsidP="0058308B">
      <w:pPr>
        <w:pStyle w:val="Resume-body"/>
      </w:pPr>
      <w:r w:rsidRPr="0009132C">
        <w:t xml:space="preserve">Dr. Yara Halasa-Rappel will serve as the Co-PI and Co-evaluation lead for the Behavioral Health and Workforce Initiatives Domains. </w:t>
      </w:r>
      <w:r w:rsidR="00D95F48">
        <w:t xml:space="preserve">Dr. </w:t>
      </w:r>
      <w:r w:rsidRPr="0009132C">
        <w:t>Halasa</w:t>
      </w:r>
      <w:r w:rsidR="00635B1F" w:rsidRPr="0009132C">
        <w:t>-</w:t>
      </w:r>
      <w:r w:rsidRPr="0009132C">
        <w:t xml:space="preserve">Rappel has over 18 years of experience conducting health-related research in the United States and internationally. Her research focuses on evaluating healthcare programs and technologies, health financing, and economic evaluation of health and health-related projects. She has experience analyzing the cost-effectiveness of randomized control trials in the U.S. and Africa, in addition to Real-World Data such as enrollment and claims data, electronic medical, and national surveys to inform policy change. As the </w:t>
      </w:r>
      <w:r w:rsidR="005B47F7">
        <w:t>s</w:t>
      </w:r>
      <w:r w:rsidR="005B47F7" w:rsidRPr="0009132C">
        <w:t xml:space="preserve">enior </w:t>
      </w:r>
      <w:r w:rsidR="005B47F7">
        <w:t>p</w:t>
      </w:r>
      <w:r w:rsidR="005B47F7" w:rsidRPr="0009132C">
        <w:t xml:space="preserve">roject </w:t>
      </w:r>
      <w:r w:rsidR="005B47F7">
        <w:t>d</w:t>
      </w:r>
      <w:r w:rsidRPr="0009132C">
        <w:t xml:space="preserve">irector of the Massachusetts 1115 DSRIP Demonstration, she estimated the ROI, analyzed data from primary and secondary sources, and coordinated and </w:t>
      </w:r>
      <w:r w:rsidR="00D9032A">
        <w:t>synthesiz</w:t>
      </w:r>
      <w:r w:rsidR="00066671">
        <w:t>ed</w:t>
      </w:r>
      <w:r w:rsidR="00D9032A" w:rsidRPr="0009132C">
        <w:t xml:space="preserve"> </w:t>
      </w:r>
      <w:r w:rsidRPr="0009132C">
        <w:t>findings from the qualitative and quantitative components. Dr. Halasa-Rappel authored over 50 articles and book chapters, including key publications on dengue, oral health, and health financing. She earned her PhD in Social Policy from the Heller School at Brandeis University in Waltham, Massachusetts, her Master of Science in Health Care Policy, Management, and Economics from Bocconi University in Milan, Italy, and her DMD from Aleppo, Syria.</w:t>
      </w:r>
    </w:p>
    <w:p w14:paraId="0D8DD9CB" w14:textId="77777777" w:rsidR="00393073" w:rsidRPr="00893BE3" w:rsidRDefault="00393073" w:rsidP="00893BE3">
      <w:pPr>
        <w:pStyle w:val="Resume-NameandTitleleft"/>
        <w:rPr>
          <w:b/>
          <w:bCs/>
        </w:rPr>
      </w:pPr>
      <w:r w:rsidRPr="00893BE3">
        <w:rPr>
          <w:b/>
          <w:bCs/>
        </w:rPr>
        <w:t>Susan Pfefferle, PhD</w:t>
      </w:r>
    </w:p>
    <w:p w14:paraId="15E8FA12" w14:textId="2DAE19A9" w:rsidR="00393073" w:rsidRPr="00466D8A" w:rsidRDefault="00393073" w:rsidP="00466D8A">
      <w:pPr>
        <w:pStyle w:val="Resume-NameandTitleleft"/>
      </w:pPr>
      <w:r w:rsidRPr="00466D8A">
        <w:t>Assistant Professor, Department</w:t>
      </w:r>
      <w:r w:rsidRPr="00AE08A3">
        <w:t xml:space="preserve"> </w:t>
      </w:r>
      <w:r w:rsidRPr="00466D8A">
        <w:t xml:space="preserve">of Family Medicine and Community Health (DFMCH) and Senior Research Scientist, Research </w:t>
      </w:r>
      <w:r w:rsidR="005B47F7">
        <w:t>&amp;</w:t>
      </w:r>
      <w:r w:rsidR="005B47F7" w:rsidRPr="00466D8A">
        <w:t xml:space="preserve"> </w:t>
      </w:r>
      <w:r w:rsidRPr="00466D8A">
        <w:t>Evaluation, ForHealth Consulting</w:t>
      </w:r>
    </w:p>
    <w:p w14:paraId="25CE364B" w14:textId="77777777" w:rsidR="00393073" w:rsidRPr="00893BE3" w:rsidRDefault="00393073" w:rsidP="00893BE3">
      <w:pPr>
        <w:pStyle w:val="Resume-NameandTitleleft"/>
        <w:rPr>
          <w:b/>
          <w:bCs/>
        </w:rPr>
      </w:pPr>
      <w:r w:rsidRPr="00893BE3">
        <w:rPr>
          <w:b/>
          <w:bCs/>
        </w:rPr>
        <w:t>Co-PI and Lead for Behavioral Health Domain</w:t>
      </w:r>
    </w:p>
    <w:p w14:paraId="7305A619" w14:textId="76F726A1" w:rsidR="00393073" w:rsidRPr="0009132C" w:rsidRDefault="00393073" w:rsidP="0058308B">
      <w:pPr>
        <w:pStyle w:val="Resume-body"/>
      </w:pPr>
      <w:r w:rsidRPr="0009132C">
        <w:t xml:space="preserve">Dr. Susan Pfefferle will serve as </w:t>
      </w:r>
      <w:r w:rsidR="001F23DB">
        <w:t>c</w:t>
      </w:r>
      <w:r w:rsidR="001F23DB" w:rsidRPr="0009132C">
        <w:t>o</w:t>
      </w:r>
      <w:r w:rsidRPr="0009132C">
        <w:t xml:space="preserve">-PI and lead for the </w:t>
      </w:r>
      <w:r w:rsidR="004515F4">
        <w:t>B</w:t>
      </w:r>
      <w:r w:rsidR="004515F4" w:rsidRPr="0009132C">
        <w:t xml:space="preserve">ehavioral </w:t>
      </w:r>
      <w:r w:rsidR="004515F4">
        <w:t>H</w:t>
      </w:r>
      <w:r w:rsidR="004515F4" w:rsidRPr="0009132C">
        <w:t xml:space="preserve">ealth </w:t>
      </w:r>
      <w:r w:rsidRPr="0009132C">
        <w:t xml:space="preserve">domain. Dr. Pfefferle has over 20 years of expertise in </w:t>
      </w:r>
      <w:r w:rsidR="004515F4">
        <w:t>BH</w:t>
      </w:r>
      <w:r w:rsidRPr="0009132C">
        <w:t xml:space="preserve"> services research, program evaluation, qualitative and mixed methods research, and </w:t>
      </w:r>
      <w:r w:rsidR="004515F4">
        <w:t>BH</w:t>
      </w:r>
      <w:r w:rsidRPr="0009132C">
        <w:t xml:space="preserve"> policy. Her studies focus on </w:t>
      </w:r>
      <w:r w:rsidR="004515F4">
        <w:t>BH</w:t>
      </w:r>
      <w:r w:rsidRPr="0009132C">
        <w:t xml:space="preserve"> and health services for underserved populations. She has conducted numerous evaluations of programs providing services to Medicaid beneficiaries with SMI and OUD and jail diversion programs with people with BH diagnoses for federal agencies and states. She currently leads the evaluation of the Massachusetts </w:t>
      </w:r>
      <w:r w:rsidRPr="0009132C">
        <w:lastRenderedPageBreak/>
        <w:t>Behavioral Health Helpline and is a subject matter expert for the evaluation of the BH Roadmap evaluation.</w:t>
      </w:r>
    </w:p>
    <w:p w14:paraId="3E683F2A" w14:textId="25759782" w:rsidR="00393073" w:rsidRPr="0009132C" w:rsidRDefault="00393073" w:rsidP="0058308B">
      <w:pPr>
        <w:pStyle w:val="Resume-body"/>
      </w:pPr>
      <w:r w:rsidRPr="0009132C">
        <w:t>Dr. Pfefferle received a PhD in Social Policy from the Heller School at Brandeis University, where she was a NIMH trainee</w:t>
      </w:r>
      <w:r w:rsidR="00F660FE">
        <w:t>,</w:t>
      </w:r>
      <w:r w:rsidRPr="0009132C">
        <w:t xml:space="preserve"> and a MEd in Counseling Psychology from the University of Massachusetts. She was a NIMH post-doctoral fellow at Washington University in St. Louis, where she studied the integration of BH services in community health programs.</w:t>
      </w:r>
    </w:p>
    <w:p w14:paraId="404C0C38" w14:textId="77777777" w:rsidR="00393073" w:rsidRPr="00893BE3" w:rsidRDefault="00393073" w:rsidP="00893BE3">
      <w:pPr>
        <w:pStyle w:val="Resume-NameandTitleleft"/>
        <w:rPr>
          <w:b/>
          <w:bCs/>
        </w:rPr>
      </w:pPr>
      <w:r w:rsidRPr="00893BE3">
        <w:rPr>
          <w:b/>
          <w:bCs/>
        </w:rPr>
        <w:t>Joanne Nicholson, PhD</w:t>
      </w:r>
    </w:p>
    <w:p w14:paraId="407D91A4" w14:textId="77777777" w:rsidR="00393073" w:rsidRPr="00466D8A" w:rsidRDefault="00393073" w:rsidP="00466D8A">
      <w:pPr>
        <w:pStyle w:val="Resume-NameandTitleleft"/>
      </w:pPr>
      <w:r w:rsidRPr="00466D8A">
        <w:t>Professor, Institute for Behavioral Health/Schneider Institutes for Health Policy, the Heller School at Brandeis University, and Adjunct Professor of Psychiatry, UMass Chan Medical School</w:t>
      </w:r>
    </w:p>
    <w:p w14:paraId="2C491D7E" w14:textId="77777777" w:rsidR="00393073" w:rsidRPr="00893BE3" w:rsidRDefault="00393073" w:rsidP="00893BE3">
      <w:pPr>
        <w:pStyle w:val="Resume-NameandTitleleft"/>
        <w:rPr>
          <w:b/>
          <w:bCs/>
        </w:rPr>
      </w:pPr>
      <w:r w:rsidRPr="00893BE3">
        <w:rPr>
          <w:b/>
          <w:bCs/>
        </w:rPr>
        <w:t>Co-PI and Senior Scientist for Qualitative Studies</w:t>
      </w:r>
    </w:p>
    <w:p w14:paraId="0BFD273E" w14:textId="4325E6C3" w:rsidR="00393073" w:rsidRPr="008534BB" w:rsidRDefault="00393073" w:rsidP="0058308B">
      <w:pPr>
        <w:pStyle w:val="Resume-body"/>
      </w:pPr>
      <w:r w:rsidRPr="0009132C">
        <w:t xml:space="preserve">Dr. </w:t>
      </w:r>
      <w:r w:rsidR="003E71EA">
        <w:t xml:space="preserve">Joanne </w:t>
      </w:r>
      <w:r w:rsidRPr="0009132C">
        <w:t>Nicholson will serve as the lead investigator</w:t>
      </w:r>
      <w:r w:rsidR="005262CC">
        <w:t>,</w:t>
      </w:r>
      <w:r w:rsidRPr="0009132C">
        <w:t xml:space="preserve"> providing oversight on all qualitative interviewing, data collection, and analysis efforts</w:t>
      </w:r>
      <w:r w:rsidR="0018522C">
        <w:t>,</w:t>
      </w:r>
      <w:r w:rsidRPr="0009132C">
        <w:t xml:space="preserve"> and will contribute to mixed methods approaches to address relevant research questions in the Demonstration evaluation. She serves in a similar role as Co-PI for the 2017</w:t>
      </w:r>
      <w:r w:rsidR="00620677">
        <w:t>-</w:t>
      </w:r>
      <w:r w:rsidRPr="0009132C">
        <w:t>2022 1115 independent evaluation.</w:t>
      </w:r>
    </w:p>
    <w:p w14:paraId="21A83001" w14:textId="166215A1" w:rsidR="00393073" w:rsidRPr="0009132C" w:rsidDel="00FB4939" w:rsidRDefault="00393073" w:rsidP="0058308B">
      <w:pPr>
        <w:pStyle w:val="Resume-body"/>
      </w:pPr>
      <w:r w:rsidRPr="0009132C">
        <w:t xml:space="preserve">Dr. Nicholson is a clinical and rehabilitation psychologist and health services researcher with over 30 years of experience focusing on individuals and families living with </w:t>
      </w:r>
      <w:r w:rsidR="004515F4">
        <w:t>BH</w:t>
      </w:r>
      <w:r w:rsidRPr="0009132C">
        <w:t xml:space="preserve"> conditions and disabilities. She is an internationally recognized expert and consultant on adapting treatments and services to meet the needs of families in which parents have mental illness and/or substance use disorders. As an implementation scientist, Dr. Nicholson has led numerous studies of interventions adapted to new target populations or service settings. She currently chairs the Scientific Advisory Group for an EU-funded study to replicate a model intervention for parents with mental illness and their families in eight European countries. She is particularly interested in demonstrating the effectiveness of strategies for changing provider practice and in community engagement in research. She has been the PI/PL on studies funded by NIDILRR, NIH, PCORI, SAMHSA, NSF, private foundations, and industry sources. She consults on PCORI-funded studies currently underway on perinatal health and </w:t>
      </w:r>
      <w:r w:rsidR="004515F4">
        <w:t>BH</w:t>
      </w:r>
      <w:r w:rsidRPr="0009132C">
        <w:t xml:space="preserve"> services for Black women, women in rural communities, and perinatal psychiatric consultation. Dr. Nicholson is an invited member of the SAMHSA National Advisory Committee on Women’s Services.</w:t>
      </w:r>
      <w:bookmarkStart w:id="248" w:name="Matthew_Alcusky,_PharmD,_MS"/>
      <w:bookmarkEnd w:id="248"/>
    </w:p>
    <w:p w14:paraId="4C466B2F" w14:textId="77777777" w:rsidR="00393073" w:rsidRPr="0009132C" w:rsidRDefault="00393073" w:rsidP="00223AA4">
      <w:pPr>
        <w:pStyle w:val="FHCAppendixH3"/>
      </w:pPr>
      <w:bookmarkStart w:id="249" w:name="_Toc130419913"/>
      <w:r w:rsidRPr="0009132C">
        <w:t>A.4 UMass Chan Subject Matter Experts:</w:t>
      </w:r>
      <w:bookmarkEnd w:id="249"/>
    </w:p>
    <w:p w14:paraId="448AB53A" w14:textId="77777777" w:rsidR="00393073" w:rsidRPr="00893BE3" w:rsidRDefault="00393073" w:rsidP="00893BE3">
      <w:pPr>
        <w:pStyle w:val="Resume-NameandTitleleft"/>
        <w:rPr>
          <w:b/>
          <w:bCs/>
        </w:rPr>
      </w:pPr>
      <w:r w:rsidRPr="00893BE3">
        <w:rPr>
          <w:b/>
          <w:bCs/>
        </w:rPr>
        <w:t xml:space="preserve">Arlene Ash, PhD </w:t>
      </w:r>
    </w:p>
    <w:p w14:paraId="18575308" w14:textId="77777777" w:rsidR="00393073" w:rsidRPr="00466D8A" w:rsidRDefault="00393073" w:rsidP="00466D8A">
      <w:pPr>
        <w:pStyle w:val="Resume-NameandTitleleft"/>
      </w:pPr>
      <w:r w:rsidRPr="00466D8A">
        <w:t>Professor and Division Chief, Biostatistics and Health Services Research, Department</w:t>
      </w:r>
      <w:r w:rsidRPr="00223AA4">
        <w:t xml:space="preserve"> </w:t>
      </w:r>
      <w:r w:rsidRPr="00466D8A">
        <w:t>of Quantitative Health Sciences</w:t>
      </w:r>
    </w:p>
    <w:p w14:paraId="69190F07" w14:textId="77777777" w:rsidR="00393073" w:rsidRPr="00893BE3" w:rsidRDefault="00393073" w:rsidP="00893BE3">
      <w:pPr>
        <w:pStyle w:val="Resume-NameandTitleleft"/>
        <w:rPr>
          <w:b/>
          <w:bCs/>
        </w:rPr>
      </w:pPr>
      <w:r w:rsidRPr="00893BE3">
        <w:rPr>
          <w:b/>
          <w:bCs/>
        </w:rPr>
        <w:t>Co-Investigator and Consulting Methodologist</w:t>
      </w:r>
    </w:p>
    <w:p w14:paraId="0162776F" w14:textId="15022E3C" w:rsidR="00393073" w:rsidRPr="0009132C" w:rsidRDefault="00393073" w:rsidP="0058308B">
      <w:pPr>
        <w:pStyle w:val="Resume-body"/>
      </w:pPr>
      <w:r w:rsidRPr="0009132C">
        <w:t>Dr. Arlene Ash will serve as a consulting methodologist</w:t>
      </w:r>
      <w:r w:rsidR="005262CC">
        <w:t>,</w:t>
      </w:r>
      <w:r w:rsidRPr="0009132C">
        <w:t xml:space="preserve"> providing advice on advanced analytic methods for the evaluation process and outcome measures.</w:t>
      </w:r>
    </w:p>
    <w:p w14:paraId="5E73F2FA" w14:textId="506BBC01" w:rsidR="00393073" w:rsidRPr="0009132C" w:rsidRDefault="00393073" w:rsidP="0058308B">
      <w:pPr>
        <w:pStyle w:val="Resume-body"/>
      </w:pPr>
      <w:r w:rsidRPr="0009132C">
        <w:lastRenderedPageBreak/>
        <w:t xml:space="preserve">Dr. Ash is </w:t>
      </w:r>
      <w:r w:rsidR="005B47F7">
        <w:t>p</w:t>
      </w:r>
      <w:r w:rsidR="005B47F7" w:rsidRPr="0009132C">
        <w:t xml:space="preserve">rofessor </w:t>
      </w:r>
      <w:r w:rsidRPr="0009132C">
        <w:t xml:space="preserve">and </w:t>
      </w:r>
      <w:r w:rsidR="005B47F7">
        <w:t>d</w:t>
      </w:r>
      <w:r w:rsidR="005B47F7" w:rsidRPr="0009132C">
        <w:t xml:space="preserve">ivision </w:t>
      </w:r>
      <w:r w:rsidR="005B47F7">
        <w:t>c</w:t>
      </w:r>
      <w:r w:rsidR="005B47F7" w:rsidRPr="0009132C">
        <w:t xml:space="preserve">hief </w:t>
      </w:r>
      <w:r w:rsidRPr="0009132C">
        <w:t xml:space="preserve">for Biostatistics and Health Services Research in QHS at </w:t>
      </w:r>
      <w:r w:rsidR="009F0046" w:rsidRPr="0009132C">
        <w:t>UM</w:t>
      </w:r>
      <w:r w:rsidR="009F0046">
        <w:t>ass Chan</w:t>
      </w:r>
      <w:r w:rsidR="009F0046" w:rsidRPr="0009132C">
        <w:t xml:space="preserve"> </w:t>
      </w:r>
      <w:r w:rsidRPr="0009132C">
        <w:t xml:space="preserve">and an internationally recognized methods expert in health services research. She pioneered tools for using administrative data to monitor and manage healthcare delivery systems, including those now used by the Medicare program. Dr. Ash was one of six appointees to the COPSS-CMS white paper project: “Statistical Issues in Assessing Hospital Performance.” Her </w:t>
      </w:r>
      <w:r w:rsidR="00D9032A" w:rsidRPr="0009132C">
        <w:t>UM</w:t>
      </w:r>
      <w:r w:rsidR="00D9032A">
        <w:t xml:space="preserve">ass Chan </w:t>
      </w:r>
      <w:r w:rsidRPr="0009132C">
        <w:t>team has helped MassHealth incorporate social determinants of health into Medicaid/CHIP global payments.</w:t>
      </w:r>
    </w:p>
    <w:p w14:paraId="60A3E393" w14:textId="77777777" w:rsidR="00F9787D" w:rsidRPr="00893BE3" w:rsidRDefault="00F9787D" w:rsidP="00893BE3">
      <w:pPr>
        <w:pStyle w:val="Resume-NameandTitleleft"/>
        <w:rPr>
          <w:b/>
          <w:bCs/>
        </w:rPr>
      </w:pPr>
      <w:r w:rsidRPr="00893BE3">
        <w:rPr>
          <w:b/>
          <w:bCs/>
        </w:rPr>
        <w:t xml:space="preserve">Jack Gettens, PhD  </w:t>
      </w:r>
    </w:p>
    <w:p w14:paraId="0A5E5CF7" w14:textId="77777777" w:rsidR="00F9787D" w:rsidRPr="00466D8A" w:rsidRDefault="00F9787D" w:rsidP="00466D8A">
      <w:pPr>
        <w:pStyle w:val="Resume-NameandTitleleft"/>
      </w:pPr>
      <w:r w:rsidRPr="00466D8A">
        <w:t>Senior Research Scientist, Research and Evaluation, ForHealth Consulting</w:t>
      </w:r>
    </w:p>
    <w:p w14:paraId="61212C0C" w14:textId="77777777" w:rsidR="00F9787D" w:rsidRPr="00466D8A" w:rsidRDefault="00F9787D" w:rsidP="00466D8A">
      <w:pPr>
        <w:pStyle w:val="Resume-NameandTitleleft"/>
      </w:pPr>
      <w:r w:rsidRPr="00466D8A">
        <w:t>Assistant Professor, Family Medicine and Community Health</w:t>
      </w:r>
    </w:p>
    <w:p w14:paraId="50A3AAAA" w14:textId="6538CB34" w:rsidR="00F9787D" w:rsidRPr="00395E65" w:rsidRDefault="00F9787D" w:rsidP="00395E65">
      <w:pPr>
        <w:pStyle w:val="Resume-NameandTitleleft"/>
        <w:rPr>
          <w:b/>
          <w:bCs/>
        </w:rPr>
      </w:pPr>
      <w:r w:rsidRPr="00395E65">
        <w:rPr>
          <w:b/>
          <w:bCs/>
        </w:rPr>
        <w:t>Co-</w:t>
      </w:r>
      <w:r w:rsidR="000E64F2">
        <w:rPr>
          <w:b/>
          <w:bCs/>
        </w:rPr>
        <w:t>i</w:t>
      </w:r>
      <w:r w:rsidR="000E64F2" w:rsidRPr="00395E65">
        <w:rPr>
          <w:b/>
          <w:bCs/>
        </w:rPr>
        <w:t xml:space="preserve">nvestigator </w:t>
      </w:r>
      <w:r w:rsidRPr="00395E65">
        <w:rPr>
          <w:b/>
          <w:bCs/>
        </w:rPr>
        <w:t xml:space="preserve">with a focus on Health-Related Social Needs Domain and Senior Biostatistician </w:t>
      </w:r>
    </w:p>
    <w:p w14:paraId="31D72196" w14:textId="2338AB7A" w:rsidR="00F9787D" w:rsidRPr="0009132C" w:rsidRDefault="00F9787D" w:rsidP="00F9787D">
      <w:pPr>
        <w:pStyle w:val="Resume-body"/>
      </w:pPr>
      <w:r w:rsidRPr="0009132C">
        <w:t xml:space="preserve">Dr. Jack Gettens will serve as Co-Investigator with a focus on </w:t>
      </w:r>
      <w:r w:rsidR="000E64F2">
        <w:t xml:space="preserve">the </w:t>
      </w:r>
      <w:r w:rsidRPr="0009132C">
        <w:t xml:space="preserve">Health-Related Social Needs Domain. Dr. Gettens has over 15 years of expertise in health services research, program evaluation, and qualitative and quantitative research methods. His studies focus on the healthcare and well-being of people with disabilities, public health, and supports for justice-involved individuals. He currently leads the evaluation of the MassHealth Behavioral Health Supports for Justice-Involved </w:t>
      </w:r>
      <w:r w:rsidR="000E64F2">
        <w:t>I</w:t>
      </w:r>
      <w:r w:rsidR="000E64F2" w:rsidRPr="0009132C">
        <w:t xml:space="preserve">ndividuals </w:t>
      </w:r>
      <w:r w:rsidRPr="0009132C">
        <w:t>(BH-JI) program. Dr. Gettens’ recent work includes a mixed</w:t>
      </w:r>
      <w:r w:rsidR="00376420">
        <w:t xml:space="preserve"> </w:t>
      </w:r>
      <w:r w:rsidRPr="0009132C">
        <w:t xml:space="preserve">method study (focus group, population survey, and claims analysis) of the employment-related health insurance needs of working-age persons with disabilities and a qualitative study assessing how low-income Social Security Disability Insurance participants </w:t>
      </w:r>
      <w:r w:rsidR="000E64F2">
        <w:t>“</w:t>
      </w:r>
      <w:r w:rsidRPr="0009132C">
        <w:t>make ends meet.</w:t>
      </w:r>
      <w:r w:rsidR="000E64F2">
        <w:t>”</w:t>
      </w:r>
      <w:r w:rsidRPr="0009132C">
        <w:t xml:space="preserve"> Dr. Gettens received a PhD in Social Policy from the Heller School at Brandeis University.</w:t>
      </w:r>
    </w:p>
    <w:p w14:paraId="25304B90" w14:textId="77777777" w:rsidR="00F9787D" w:rsidRPr="00893BE3" w:rsidRDefault="00F9787D" w:rsidP="00893BE3">
      <w:pPr>
        <w:pStyle w:val="Resume-NameandTitleleft"/>
        <w:rPr>
          <w:b/>
          <w:bCs/>
        </w:rPr>
      </w:pPr>
      <w:r w:rsidRPr="00893BE3">
        <w:rPr>
          <w:b/>
          <w:bCs/>
        </w:rPr>
        <w:t xml:space="preserve">Kurt Hager, PhD, MS </w:t>
      </w:r>
    </w:p>
    <w:p w14:paraId="48CFA582" w14:textId="77777777" w:rsidR="00F9787D" w:rsidRPr="00466D8A" w:rsidRDefault="00F9787D" w:rsidP="00466D8A">
      <w:pPr>
        <w:pStyle w:val="Resume-NameandTitleleft"/>
      </w:pPr>
      <w:r w:rsidRPr="00466D8A">
        <w:t xml:space="preserve">Instructor, PQHS </w:t>
      </w:r>
    </w:p>
    <w:p w14:paraId="610D5008" w14:textId="77777777" w:rsidR="00F9787D" w:rsidRPr="00395E65" w:rsidRDefault="00F9787D" w:rsidP="00395E65">
      <w:pPr>
        <w:pStyle w:val="Resume-NameandTitleleft"/>
        <w:rPr>
          <w:b/>
          <w:bCs/>
        </w:rPr>
      </w:pPr>
      <w:r w:rsidRPr="00395E65">
        <w:rPr>
          <w:b/>
          <w:bCs/>
        </w:rPr>
        <w:t>Co-Investigator with a focus on Health-Related Social Needs Domain</w:t>
      </w:r>
    </w:p>
    <w:p w14:paraId="39E214A3" w14:textId="50173EFC" w:rsidR="00F9787D" w:rsidRPr="00ED689F" w:rsidRDefault="00F9787D" w:rsidP="00F9787D">
      <w:pPr>
        <w:pStyle w:val="Resume-body"/>
      </w:pPr>
      <w:r w:rsidRPr="00ED689F">
        <w:t xml:space="preserve">Dr. Kurt Hager will serve as a co-investigator and content expert in the HRSN domain. His research focuses on the effectiveness of nutritional interventions and policies on chronic disease in the U.S. This includes evaluations of produce prescriptions and medically tailored meals integrated into clinical care that leverage quasi-experimental methods similar to the analyses proposed in the EDD. He has been involved in policy initiatives at the Center for Health Law and Policy Innovation at Harvard Law School and as a steering committee member of the National Produce Prescription Collaborative to advance HRSNs coverage in Medicare and Medicaid. Dr. Hager’s training and research also include policy modeling and implementation science using mixed methods. </w:t>
      </w:r>
    </w:p>
    <w:p w14:paraId="213D374A" w14:textId="77777777" w:rsidR="00393073" w:rsidRPr="00ED689F" w:rsidRDefault="00393073" w:rsidP="00893BE3">
      <w:pPr>
        <w:pStyle w:val="Resume-NameandTitleleft"/>
        <w:rPr>
          <w:b/>
          <w:bCs/>
        </w:rPr>
      </w:pPr>
      <w:r w:rsidRPr="00ED689F">
        <w:rPr>
          <w:b/>
          <w:bCs/>
        </w:rPr>
        <w:t>Jay Himmelstein, MD, MPH</w:t>
      </w:r>
    </w:p>
    <w:p w14:paraId="447EDCE3" w14:textId="77777777" w:rsidR="00393073" w:rsidRPr="00ED689F" w:rsidRDefault="00393073" w:rsidP="00AE08A3">
      <w:pPr>
        <w:pStyle w:val="Resume-NameandTitleleft"/>
        <w:rPr>
          <w:b/>
          <w:bCs/>
        </w:rPr>
      </w:pPr>
      <w:r w:rsidRPr="00ED689F">
        <w:t xml:space="preserve">Professor, PQHS and Family Medicine and Community Health </w:t>
      </w:r>
    </w:p>
    <w:p w14:paraId="51ECC37C" w14:textId="77777777" w:rsidR="00393073" w:rsidRPr="00ED689F" w:rsidRDefault="00393073" w:rsidP="00AE08A3">
      <w:pPr>
        <w:pStyle w:val="Resume-NameandTitleleft"/>
        <w:rPr>
          <w:b/>
          <w:bCs/>
        </w:rPr>
      </w:pPr>
      <w:r w:rsidRPr="00ED689F">
        <w:rPr>
          <w:b/>
          <w:bCs/>
        </w:rPr>
        <w:t>Co-Investigator and Senior Health Policy Advisor</w:t>
      </w:r>
    </w:p>
    <w:p w14:paraId="03144FC8" w14:textId="77777777" w:rsidR="00393073" w:rsidRPr="00ED689F" w:rsidRDefault="00393073" w:rsidP="0058308B">
      <w:pPr>
        <w:pStyle w:val="Resume-body"/>
      </w:pPr>
      <w:r w:rsidRPr="00ED689F">
        <w:t xml:space="preserve">Jay Himmelstein, MD, MPH, will serve as a senior policy advisor to the 2022-2027 IE and coordinate input from the Scientific Advisory Committee and external </w:t>
      </w:r>
      <w:r w:rsidRPr="00ED689F">
        <w:lastRenderedPageBreak/>
        <w:t>reviewers and will be responsible for communicating and incorporating reviewer feedback into the evaluation design and related deliverables.</w:t>
      </w:r>
    </w:p>
    <w:p w14:paraId="28039CAD" w14:textId="4FCEFC3C" w:rsidR="00393073" w:rsidRPr="00ED689F" w:rsidRDefault="0020559B" w:rsidP="0058308B">
      <w:pPr>
        <w:pStyle w:val="Resume-body"/>
      </w:pPr>
      <w:hyperlink r:id="rId43">
        <w:r w:rsidR="00393073" w:rsidRPr="00ED689F">
          <w:t xml:space="preserve">Dr. Himmelstein </w:t>
        </w:r>
      </w:hyperlink>
      <w:r w:rsidR="00393073" w:rsidRPr="00ED689F">
        <w:t xml:space="preserve">is a professor in the departments of PQHS and </w:t>
      </w:r>
      <w:r w:rsidR="005B47F7" w:rsidRPr="00ED689F">
        <w:t>FMCH</w:t>
      </w:r>
      <w:r w:rsidR="00393073" w:rsidRPr="00ED689F">
        <w:t xml:space="preserve">. His professional career in research, policy development, and service has been dedicated to improving </w:t>
      </w:r>
      <w:r w:rsidR="009C2AA0" w:rsidRPr="00ED689F">
        <w:t>healthcare</w:t>
      </w:r>
      <w:r w:rsidR="00393073" w:rsidRPr="00ED689F">
        <w:t xml:space="preserve"> and health outcomes for those served by the public sector. He has placed special emphasis on Medicaid programs and health services for people with disabilities and is a nationally recognized physician, educator, and researcher. Dr. Himmelstein was the PI and executive sponsor for the 2017-2022 IE and has been involved with developing and evaluating Medicaid programs and policies for more than 25 years. He has authored over 100 peer-reviewed articles, chapters, and technical reports. He is an elected member of the National Academy of Social Insurance and has served on review committees for the National Academy of Science and several editorial review boards.</w:t>
      </w:r>
    </w:p>
    <w:p w14:paraId="2D9E62CE" w14:textId="77777777" w:rsidR="00393073" w:rsidRPr="00ED689F" w:rsidRDefault="00393073" w:rsidP="00893BE3">
      <w:pPr>
        <w:pStyle w:val="Resume-NameandTitleleft"/>
        <w:rPr>
          <w:b/>
          <w:bCs/>
        </w:rPr>
      </w:pPr>
      <w:r w:rsidRPr="00ED689F">
        <w:rPr>
          <w:b/>
          <w:bCs/>
        </w:rPr>
        <w:t>Eric Mick, ScD</w:t>
      </w:r>
    </w:p>
    <w:p w14:paraId="30413707" w14:textId="77777777" w:rsidR="00393073" w:rsidRPr="00ED689F" w:rsidRDefault="00393073" w:rsidP="00AE08A3">
      <w:pPr>
        <w:pStyle w:val="Resume-NameandTitleleft"/>
      </w:pPr>
      <w:r w:rsidRPr="00ED689F">
        <w:t>Associate Professor of Epidemiology, Department of Population and Quantitative Health Sciences</w:t>
      </w:r>
    </w:p>
    <w:p w14:paraId="50E8D83D" w14:textId="77777777" w:rsidR="00393073" w:rsidRPr="00ED689F" w:rsidRDefault="00393073" w:rsidP="00AE08A3">
      <w:pPr>
        <w:pStyle w:val="Resume-NameandTitleleft"/>
        <w:rPr>
          <w:b/>
          <w:bCs/>
        </w:rPr>
      </w:pPr>
      <w:r w:rsidRPr="00ED689F">
        <w:rPr>
          <w:b/>
          <w:bCs/>
        </w:rPr>
        <w:t>Co-Investigator and Senior Statistician</w:t>
      </w:r>
    </w:p>
    <w:p w14:paraId="0FBC8E0E" w14:textId="77777777" w:rsidR="00393073" w:rsidRPr="00ED689F" w:rsidRDefault="00393073" w:rsidP="0058308B">
      <w:pPr>
        <w:pStyle w:val="Resume-body"/>
      </w:pPr>
      <w:r w:rsidRPr="00ED689F">
        <w:t>Dr. Eric Mick will serve as Co-Investigator and Senior Statistician. Dr. Mick will be responsible for supervising study biostatisticians and for developing, managing, and analyzing the administrative data that will be used to track implementation efforts and outcomes. Dr. Mick will be responsible for translating the research design into clearly documented working code. He will be a member of the overall evaluation leadership team, participating in leadership meetings and coordinating meetings with MassHealth, as appropriate.</w:t>
      </w:r>
    </w:p>
    <w:p w14:paraId="2435F9C7" w14:textId="33F9E537" w:rsidR="00393073" w:rsidRPr="00ED689F" w:rsidRDefault="00393073" w:rsidP="0058308B">
      <w:pPr>
        <w:pStyle w:val="Resume-body"/>
      </w:pPr>
      <w:r w:rsidRPr="00ED689F">
        <w:t xml:space="preserve">Dr. Mick was trained as a psychiatric and genetic epidemiologist, and his methodological areas of interest are epidemiology (descriptive and clinical), analysis of “big-data” (genomic research and administrative databases), and multivariate methods for longitudinal data. His current focus is on informing </w:t>
      </w:r>
      <w:r w:rsidR="009C2AA0" w:rsidRPr="00ED689F">
        <w:t>healthcare</w:t>
      </w:r>
      <w:r w:rsidRPr="00ED689F">
        <w:t xml:space="preserve"> delivery reform through risk adjustment modeling of total cost of care </w:t>
      </w:r>
      <w:r w:rsidR="00DD1C31" w:rsidRPr="00ED689F">
        <w:t xml:space="preserve">(TCOC) </w:t>
      </w:r>
      <w:r w:rsidRPr="00ED689F">
        <w:t>and measures of quality.</w:t>
      </w:r>
    </w:p>
    <w:p w14:paraId="6EBF350A" w14:textId="4E0C4E3F" w:rsidR="00393073" w:rsidRPr="00ED689F" w:rsidRDefault="00393073" w:rsidP="00223AA4">
      <w:pPr>
        <w:pStyle w:val="FHCAppendixH3"/>
      </w:pPr>
      <w:bookmarkStart w:id="250" w:name="_Toc130419914"/>
      <w:r w:rsidRPr="00ED689F">
        <w:t>A.5 Independent Evaluation Scientific Advisory Committee (SAC) and External Reviewers</w:t>
      </w:r>
      <w:bookmarkEnd w:id="250"/>
    </w:p>
    <w:p w14:paraId="3862A929" w14:textId="77777777" w:rsidR="00393073" w:rsidRPr="00ED689F" w:rsidRDefault="00393073" w:rsidP="0058308B">
      <w:r w:rsidRPr="00ED689F">
        <w:t>The MA 1115 Demonstration Scientific Advisory Committee (SAC) and additional external reviewers have provided feedback on the evaluation design and analytic approaches in this Draft Demonstration Evaluation Design Document. SAC members and external reviewers were selected based on their expertise in health services research expertise and methodological experience in evaluating the impact of policy changes on healthcare systems and populations of interest. Reviewers have provided feedback and guidance on the proposed evaluation methods and data sources to ensure that the proposed approaches in the EDD are feasible and meet prevailing standards of scientific and academic rigor.</w:t>
      </w:r>
    </w:p>
    <w:p w14:paraId="3C004C5B" w14:textId="77777777" w:rsidR="00393073" w:rsidRPr="00ED689F" w:rsidRDefault="00393073" w:rsidP="0058308B">
      <w:r w:rsidRPr="00ED689F">
        <w:lastRenderedPageBreak/>
        <w:t>The SAC will be consulted over the life of this evaluation as scientific advisors and will be asked to review CMS deliverables. The SAC will be available as needed to consult with IE faculty to address potential obstacles to the evaluation and provide guidance relating to specific analyses, interpretation of findings, and may collaborate on reports in the scientific literature.</w:t>
      </w:r>
    </w:p>
    <w:p w14:paraId="727E1D51" w14:textId="77777777" w:rsidR="00393073" w:rsidRPr="00ED689F" w:rsidRDefault="00393073" w:rsidP="00223AA4">
      <w:pPr>
        <w:pStyle w:val="Heading4"/>
      </w:pPr>
      <w:r w:rsidRPr="00ED689F">
        <w:t>SAC Members</w:t>
      </w:r>
      <w:bookmarkStart w:id="251" w:name="Randall_P._Ellis,_PhD"/>
      <w:bookmarkStart w:id="252" w:name="Professor,_Dept._of_Economics,_Boston_Un"/>
      <w:bookmarkStart w:id="253" w:name="Dr._Ellis’s_area_of_expertise_relevant_t"/>
      <w:bookmarkEnd w:id="251"/>
      <w:bookmarkEnd w:id="252"/>
      <w:bookmarkEnd w:id="253"/>
      <w:r w:rsidRPr="00ED689F">
        <w:t>:</w:t>
      </w:r>
    </w:p>
    <w:p w14:paraId="6B379998" w14:textId="77777777" w:rsidR="00393073" w:rsidRPr="00ED689F" w:rsidRDefault="00393073" w:rsidP="00893BE3">
      <w:pPr>
        <w:pStyle w:val="Resume-NameandTitleleft"/>
        <w:rPr>
          <w:b/>
          <w:bCs/>
        </w:rPr>
      </w:pPr>
      <w:r w:rsidRPr="00ED689F">
        <w:rPr>
          <w:b/>
          <w:bCs/>
        </w:rPr>
        <w:t>K. John McConnell, PhD</w:t>
      </w:r>
    </w:p>
    <w:p w14:paraId="4F0C4F15" w14:textId="77777777" w:rsidR="00393073" w:rsidRPr="00ED689F" w:rsidRDefault="00393073" w:rsidP="00893BE3">
      <w:pPr>
        <w:pStyle w:val="Resume-NameandTitleleft"/>
      </w:pPr>
      <w:r w:rsidRPr="00ED689F">
        <w:t>Director, Center for Health Systems Effectiveness, Oregon Health &amp; Sciences University</w:t>
      </w:r>
    </w:p>
    <w:p w14:paraId="2642C401" w14:textId="6A159491" w:rsidR="00393073" w:rsidRPr="00ED689F" w:rsidRDefault="00393073" w:rsidP="0058308B">
      <w:pPr>
        <w:pStyle w:val="Resume-body"/>
      </w:pPr>
      <w:r w:rsidRPr="00ED689F">
        <w:t xml:space="preserve">Dr. McConnell has several areas of expertise relevant to this evaluation. He is the principal investigator for the Oregon 1115 Demonstration evaluation team. His health economics research has addressed total costs of care (in the context of provider accountability), displaced cost estimates, and Medicaid quality of care. He has studied the impact of CCO (ACO-type) implementation on coordination, access, quality, outcomes, costs, avoidable care (linked database evaluation), and behavioral and physical healthcare integration in Medicaid populations. Dr. McConnell </w:t>
      </w:r>
      <w:r w:rsidR="009B6566" w:rsidRPr="00ED689F">
        <w:t>has also</w:t>
      </w:r>
      <w:r w:rsidRPr="00ED689F">
        <w:t xml:space="preserve"> conducted research on costs and outcomes in alternate substance abuse care pathways and developed comparison populations for Waiver evaluation, including interstate data. His current work focuses on understanding the effectiveness of reform of the Medicaid payment and delivery system, with Oregon serving as a leading example.</w:t>
      </w:r>
    </w:p>
    <w:p w14:paraId="69DA0F81" w14:textId="40B1F109" w:rsidR="00393073" w:rsidRPr="00ED689F" w:rsidRDefault="00393073" w:rsidP="0058308B">
      <w:pPr>
        <w:pStyle w:val="Resume-body"/>
      </w:pPr>
      <w:r w:rsidRPr="00ED689F">
        <w:t>Dr. McConnell is a health economist and Director of the</w:t>
      </w:r>
      <w:r w:rsidR="00D9032A" w:rsidRPr="00ED689F">
        <w:t xml:space="preserve"> </w:t>
      </w:r>
      <w:r w:rsidRPr="00ED689F">
        <w:t xml:space="preserve">Center for Health Systems Effectiveness at OHSU. His research has also addressed emergency and trauma care, organizational management, </w:t>
      </w:r>
      <w:r w:rsidR="004515F4" w:rsidRPr="00ED689F">
        <w:t>BH</w:t>
      </w:r>
      <w:r w:rsidRPr="00ED689F">
        <w:t>, and state health policy.</w:t>
      </w:r>
    </w:p>
    <w:p w14:paraId="6D91C764" w14:textId="77777777" w:rsidR="00393073" w:rsidRPr="00ED689F" w:rsidRDefault="00393073" w:rsidP="002A1795">
      <w:pPr>
        <w:pStyle w:val="Resume-NameandTitleleft"/>
        <w:rPr>
          <w:b/>
          <w:bCs/>
        </w:rPr>
      </w:pPr>
      <w:r w:rsidRPr="00ED689F">
        <w:rPr>
          <w:b/>
          <w:bCs/>
        </w:rPr>
        <w:t>Deborah Peikes, MPA, PhD</w:t>
      </w:r>
    </w:p>
    <w:p w14:paraId="0C9B2704" w14:textId="77777777" w:rsidR="00393073" w:rsidRPr="00ED689F" w:rsidRDefault="00393073" w:rsidP="002A1795">
      <w:pPr>
        <w:pStyle w:val="Resume-NameandTitleleft"/>
      </w:pPr>
      <w:r w:rsidRPr="00ED689F">
        <w:t>Vice President, Measurement and Evaluation, Blue Cross Blue Shield of Massachusetts</w:t>
      </w:r>
    </w:p>
    <w:p w14:paraId="37347648" w14:textId="0578BCF7" w:rsidR="00393073" w:rsidRPr="00ED689F" w:rsidRDefault="00393073" w:rsidP="0058308B">
      <w:pPr>
        <w:pStyle w:val="Resume-body"/>
      </w:pPr>
      <w:r w:rsidRPr="00ED689F">
        <w:t xml:space="preserve">Dr. Peikes’s areas of expertise relevant to this evaluation include the impact of alternative primary care models on health outcomes and qualitative studies of </w:t>
      </w:r>
      <w:r w:rsidR="009C2AA0" w:rsidRPr="00ED689F">
        <w:t>healthcare</w:t>
      </w:r>
      <w:r w:rsidRPr="00ED689F">
        <w:t xml:space="preserve"> systems. Her expertise includes program evaluation, evaluation of patient-centered medical homes, primary care effectiveness, and integration of care for persons with multiple comorbidities.</w:t>
      </w:r>
    </w:p>
    <w:p w14:paraId="11165326" w14:textId="2566CF24" w:rsidR="00393073" w:rsidRPr="0009132C" w:rsidRDefault="00393073" w:rsidP="0058308B">
      <w:pPr>
        <w:pStyle w:val="Resume-body"/>
      </w:pPr>
      <w:r w:rsidRPr="00ED689F">
        <w:t>Dr. Peikes is a leader in research on value-based care, how to improve the delivery of primary care through the patient-centered medical home and related models of care, care coordination and disease management for people with chronic illnesses, and the health, employment, and social integration of beneficiaries with severe disabilities. Dr. Peikes spent over two decades leading evaluations of some of CMS’s leading care delivery and payment reform initiatives as a Senior Fellow at Mathematica Policy Research and was formerly the Vice President of Healthcare Research at Humana. She currently serves on the Board of Governors of the Patient-Centered Outcomes Research Institute</w:t>
      </w:r>
      <w:r w:rsidRPr="0009132C">
        <w:t>.</w:t>
      </w:r>
    </w:p>
    <w:p w14:paraId="20809EDD" w14:textId="77777777" w:rsidR="00393073" w:rsidRPr="002A1795" w:rsidRDefault="00393073" w:rsidP="00223AA4">
      <w:pPr>
        <w:pStyle w:val="Resume-NameandTitleleft"/>
        <w:keepNext/>
        <w:rPr>
          <w:b/>
          <w:bCs/>
        </w:rPr>
      </w:pPr>
      <w:r w:rsidRPr="002A1795">
        <w:rPr>
          <w:b/>
          <w:bCs/>
        </w:rPr>
        <w:lastRenderedPageBreak/>
        <w:t>Rebecca Wells, PhD</w:t>
      </w:r>
    </w:p>
    <w:p w14:paraId="015B57C2" w14:textId="77777777" w:rsidR="00393073" w:rsidRPr="002A1795" w:rsidRDefault="00393073" w:rsidP="002A1795">
      <w:pPr>
        <w:pStyle w:val="Resume-NameandTitleleft"/>
      </w:pPr>
      <w:r w:rsidRPr="002A1795">
        <w:t>Professor, Management, Policy and Community Health, University of Texas School of Public Health</w:t>
      </w:r>
    </w:p>
    <w:p w14:paraId="28426E4B" w14:textId="334D1413" w:rsidR="00393073" w:rsidRPr="0009132C" w:rsidRDefault="00393073" w:rsidP="0058308B">
      <w:pPr>
        <w:pStyle w:val="Resume-body"/>
      </w:pPr>
      <w:r w:rsidRPr="0009132C">
        <w:t xml:space="preserve">Dr. Wells’ experience relevant to this evaluation includes being the principal investigator for the first Texas 1115 Demonstration and DSRIP evaluation. Her expertise includes program and infrastructure change, implementation and performance measures for DSRIP-funded initiatives, </w:t>
      </w:r>
      <w:r w:rsidR="004515F4">
        <w:t>BH</w:t>
      </w:r>
      <w:r w:rsidRPr="0009132C">
        <w:t>, substance abuse disorder program effectiveness, and evaluating the impacts of community support services programs.</w:t>
      </w:r>
    </w:p>
    <w:p w14:paraId="3A887C7E" w14:textId="20B650EF" w:rsidR="00393073" w:rsidRPr="00893BE3" w:rsidRDefault="00393073" w:rsidP="0058308B">
      <w:pPr>
        <w:pStyle w:val="Resume-body"/>
      </w:pPr>
      <w:r w:rsidRPr="0009132C">
        <w:t xml:space="preserve">Dr. Wells is based at the University of Texas Health Science Center (UTHealth) School of Public Health, where she is currently involved in a team-based intervention to improve ambulatory care and a study of intersectoral cooperation. She also serves on the University of North Carolina-based National Maternal and Child Health Workforce Development Center, where she trains public health leaders in facilitating both internal transformation and intersectoral adaptive change. </w:t>
      </w:r>
    </w:p>
    <w:p w14:paraId="6A737E2A" w14:textId="01D4AF8B" w:rsidR="002A1795" w:rsidRPr="0009132C" w:rsidRDefault="002A1795" w:rsidP="00223AA4">
      <w:pPr>
        <w:pStyle w:val="Heading4"/>
      </w:pPr>
      <w:r>
        <w:t>External Reviewers</w:t>
      </w:r>
      <w:r w:rsidRPr="0009132C">
        <w:t>:</w:t>
      </w:r>
    </w:p>
    <w:p w14:paraId="6715DFC2" w14:textId="77777777" w:rsidR="00393073" w:rsidRPr="0009132C" w:rsidRDefault="00393073" w:rsidP="0063143F">
      <w:pPr>
        <w:keepNext/>
      </w:pPr>
      <w:r w:rsidRPr="0009132C">
        <w:t>The subject matter experts listed below provided focused reviews on early drafts of specific</w:t>
      </w:r>
      <w:r w:rsidRPr="0009132C" w:rsidDel="007615CA">
        <w:t xml:space="preserve"> </w:t>
      </w:r>
      <w:r w:rsidRPr="0009132C">
        <w:t xml:space="preserve">domain chapters. </w:t>
      </w:r>
    </w:p>
    <w:p w14:paraId="4D36136E" w14:textId="77777777" w:rsidR="00393073" w:rsidRPr="008F454D" w:rsidRDefault="00393073" w:rsidP="008F454D">
      <w:pPr>
        <w:pStyle w:val="Resume-NameandTitleleft"/>
        <w:rPr>
          <w:b/>
          <w:bCs/>
        </w:rPr>
      </w:pPr>
      <w:r w:rsidRPr="008F454D">
        <w:rPr>
          <w:b/>
          <w:bCs/>
        </w:rPr>
        <w:t>Katherine Howitt, MA; Coverage and Eligibility Domain</w:t>
      </w:r>
    </w:p>
    <w:p w14:paraId="2E9449C4" w14:textId="77777777" w:rsidR="00393073" w:rsidRPr="008F454D" w:rsidRDefault="00393073" w:rsidP="008F454D">
      <w:pPr>
        <w:pStyle w:val="Resume-NameandTitleleft"/>
      </w:pPr>
      <w:r w:rsidRPr="008F454D">
        <w:t>Director, Massachusetts Medicaid Policy Institute, Blue Cross Blue Shield of Massachusetts Foundation</w:t>
      </w:r>
    </w:p>
    <w:p w14:paraId="3CA431EB" w14:textId="5FC4E510" w:rsidR="00393073" w:rsidRPr="0009132C" w:rsidRDefault="00393073" w:rsidP="0058308B">
      <w:pPr>
        <w:pStyle w:val="Resume-body"/>
      </w:pPr>
      <w:r w:rsidRPr="0009132C">
        <w:t>Ms. Howitt develops and leads the strategic policy and research agenda on MassHealth for the Foundation. She has expert knowledge of Medicaid and MassHealth, healthcare system change, and economics. Previously</w:t>
      </w:r>
      <w:r w:rsidR="00BF5BBC">
        <w:t>,</w:t>
      </w:r>
      <w:r w:rsidRPr="0009132C">
        <w:t xml:space="preserve"> she was the </w:t>
      </w:r>
      <w:r w:rsidR="00BF5BBC">
        <w:t>a</w:t>
      </w:r>
      <w:r w:rsidR="00BF5BBC" w:rsidRPr="0009132C">
        <w:t xml:space="preserve">ssociate </w:t>
      </w:r>
      <w:r w:rsidR="00BF5BBC">
        <w:t>d</w:t>
      </w:r>
      <w:r w:rsidR="00BF5BBC" w:rsidRPr="0009132C">
        <w:t xml:space="preserve">irector </w:t>
      </w:r>
      <w:r w:rsidRPr="0009132C">
        <w:t xml:space="preserve">of </w:t>
      </w:r>
      <w:r w:rsidR="00BF5BBC">
        <w:t>p</w:t>
      </w:r>
      <w:r w:rsidR="00BF5BBC" w:rsidRPr="0009132C">
        <w:t xml:space="preserve">olicy </w:t>
      </w:r>
      <w:r w:rsidRPr="0009132C">
        <w:t>at Community Catalyst, responsible for the Medicaid policy agenda. Ms. Howitt contributed her expertise to a review of the Coverage and Eligibility domain.</w:t>
      </w:r>
    </w:p>
    <w:p w14:paraId="0DF159FF" w14:textId="77777777" w:rsidR="00CD4637" w:rsidRPr="008F454D" w:rsidRDefault="00CD4637" w:rsidP="008F454D">
      <w:pPr>
        <w:pStyle w:val="Resume-NameandTitleleft"/>
        <w:rPr>
          <w:b/>
          <w:bCs/>
        </w:rPr>
      </w:pPr>
      <w:r w:rsidRPr="008F454D">
        <w:rPr>
          <w:b/>
          <w:bCs/>
        </w:rPr>
        <w:t>Michaela Kerrissey, PhD; Delivery System Reform Domain</w:t>
      </w:r>
    </w:p>
    <w:p w14:paraId="7F1635BE" w14:textId="77777777" w:rsidR="00CD4637" w:rsidRPr="008F454D" w:rsidRDefault="00CD4637" w:rsidP="008F454D">
      <w:pPr>
        <w:pStyle w:val="Resume-NameandTitleleft"/>
      </w:pPr>
      <w:r w:rsidRPr="008F454D">
        <w:t>Assistant Professor of Management, Health, and Policy Management, Harvard T.H. Chan School of Public Health</w:t>
      </w:r>
    </w:p>
    <w:p w14:paraId="7C361944" w14:textId="1218BD60" w:rsidR="00393073" w:rsidRPr="0009132C" w:rsidRDefault="00CD4637" w:rsidP="0058308B">
      <w:pPr>
        <w:pStyle w:val="Resume-body"/>
      </w:pPr>
      <w:r w:rsidRPr="0009132C">
        <w:t>Dr. Kerrissey researches the work of teams that address problems crossing organizational boundaries in healthcare. She is interested in the innovation and integration of services in organizations. In addition to teaching at the School of Public Health, Dr. Kerrissey offers courses at Harvard University’s business and medical schools. Prior to her career in academia, she was a consultant with The Bridgespan Group. Dr. Kerrissey brought her expertise in measuring the integration of healthcare services and survey methods to a review of the Delivery System Reform Domain.</w:t>
      </w:r>
    </w:p>
    <w:p w14:paraId="42743E6A" w14:textId="77777777" w:rsidR="00393073" w:rsidRPr="008F454D" w:rsidRDefault="00393073" w:rsidP="008F454D">
      <w:pPr>
        <w:pStyle w:val="Resume-NameandTitleleft"/>
        <w:rPr>
          <w:b/>
          <w:bCs/>
        </w:rPr>
      </w:pPr>
      <w:r w:rsidRPr="008F454D">
        <w:rPr>
          <w:b/>
          <w:bCs/>
        </w:rPr>
        <w:t>Chris Sheldrick, PhD; Behavioral Health Domain</w:t>
      </w:r>
    </w:p>
    <w:p w14:paraId="008B33F7" w14:textId="77777777" w:rsidR="00393073" w:rsidRPr="008F454D" w:rsidRDefault="00393073" w:rsidP="008F454D">
      <w:pPr>
        <w:pStyle w:val="Resume-NameandTitleleft"/>
      </w:pPr>
      <w:r w:rsidRPr="008F454D">
        <w:t>Research Associate Professor Health Law, Policy &amp; Management, Boston University School of Public Health</w:t>
      </w:r>
    </w:p>
    <w:p w14:paraId="19C76DA1" w14:textId="789C0040" w:rsidR="000A417B" w:rsidRPr="0009132C" w:rsidRDefault="00393073" w:rsidP="00CD4637">
      <w:pPr>
        <w:pStyle w:val="Resume-body"/>
      </w:pPr>
      <w:r w:rsidRPr="0009132C">
        <w:lastRenderedPageBreak/>
        <w:t xml:space="preserve">Dr. Sheldrick researches screening and clinical decision-making. He has experience developing, implementing, and evaluating screening protocols. He was part of the team that created the Survey of Wellbeing of Young Children and is interested in identifying and helping children with developmental and behavioral needs. Dr. Sheldrick teaches at Boston University and is a recipient of a KM1 fellowship. </w:t>
      </w:r>
    </w:p>
    <w:p w14:paraId="4B609993" w14:textId="77777777" w:rsidR="00D36D1C" w:rsidRPr="008F454D" w:rsidRDefault="00D36D1C" w:rsidP="008F454D">
      <w:pPr>
        <w:pStyle w:val="Resume-NameandTitleleft"/>
        <w:rPr>
          <w:b/>
          <w:bCs/>
        </w:rPr>
      </w:pPr>
      <w:r w:rsidRPr="008F454D">
        <w:rPr>
          <w:b/>
          <w:bCs/>
        </w:rPr>
        <w:t>Joan Kaijala, MPP; Workforce Initiative Domain</w:t>
      </w:r>
    </w:p>
    <w:p w14:paraId="53F08826" w14:textId="77777777" w:rsidR="00D36D1C" w:rsidRPr="008F454D" w:rsidRDefault="00D36D1C" w:rsidP="008F454D">
      <w:pPr>
        <w:pStyle w:val="Resume-NameandTitleleft"/>
      </w:pPr>
      <w:r w:rsidRPr="008F454D">
        <w:t>Consultant</w:t>
      </w:r>
    </w:p>
    <w:p w14:paraId="07A92D5A" w14:textId="6D3E30CB" w:rsidR="00D36D1C" w:rsidRPr="005C22AB" w:rsidRDefault="00D36D1C" w:rsidP="00223AA4">
      <w:pPr>
        <w:pStyle w:val="Resume-body"/>
      </w:pPr>
      <w:r w:rsidRPr="005C22AB">
        <w:t>Ms. Kaijala is an expert in the health professions workforce, health equity, organizational development, and program management. She has conducted public health leadership trainings, researched and developed a survey of public health professionals, and is working on the development of the New England Rural Health Leadership Training Center. Ms. Kaijala was also involved with the creation of the Massachusetts Health Care Workforce Center and its loan repayment programs. Ms. Kaijala drew on these experiences while reviewing the Workforce Initiative domain.</w:t>
      </w:r>
    </w:p>
    <w:p w14:paraId="62AF5D1A" w14:textId="59FAB89C" w:rsidR="00851A2A" w:rsidRPr="00362126" w:rsidRDefault="0E77E5DB" w:rsidP="001D6037">
      <w:pPr>
        <w:sectPr w:rsidR="00851A2A" w:rsidRPr="00362126" w:rsidSect="00744E1B">
          <w:footerReference w:type="default" r:id="rId44"/>
          <w:pgSz w:w="12240" w:h="15840"/>
          <w:pgMar w:top="1440" w:right="1440" w:bottom="1440" w:left="1440" w:header="720" w:footer="576" w:gutter="0"/>
          <w:cols w:space="720"/>
          <w:docGrid w:linePitch="360"/>
        </w:sectPr>
      </w:pPr>
      <w:r w:rsidRPr="00362126">
        <w:t>Additional</w:t>
      </w:r>
      <w:r w:rsidR="000A417B" w:rsidRPr="00362126">
        <w:t xml:space="preserve"> external reviewers will be added as needed. </w:t>
      </w:r>
    </w:p>
    <w:p w14:paraId="3CBD2299" w14:textId="6989B4B1" w:rsidR="006207FD" w:rsidRPr="0009132C" w:rsidRDefault="006207FD" w:rsidP="00430786">
      <w:pPr>
        <w:pStyle w:val="FHCAppendixH2"/>
      </w:pPr>
      <w:bookmarkStart w:id="254" w:name="Appendix_B"/>
      <w:bookmarkStart w:id="255" w:name="_Toc129619751"/>
      <w:bookmarkStart w:id="256" w:name="_Toc130209739"/>
      <w:bookmarkStart w:id="257" w:name="_Toc151976449"/>
      <w:bookmarkEnd w:id="254"/>
      <w:r w:rsidRPr="0009132C">
        <w:lastRenderedPageBreak/>
        <w:t xml:space="preserve">Appendix B: Specifications of Quantitative Measures Derived from </w:t>
      </w:r>
      <w:r w:rsidR="000938F8" w:rsidRPr="0009132C">
        <w:t>Existing</w:t>
      </w:r>
      <w:r w:rsidRPr="0009132C">
        <w:t xml:space="preserve"> Sources</w:t>
      </w:r>
      <w:bookmarkEnd w:id="255"/>
      <w:bookmarkEnd w:id="256"/>
      <w:bookmarkEnd w:id="257"/>
    </w:p>
    <w:p w14:paraId="3EE51522" w14:textId="445FA816" w:rsidR="006207FD" w:rsidRPr="0009132C" w:rsidRDefault="006207FD" w:rsidP="00223AA4">
      <w:pPr>
        <w:pStyle w:val="FHCAppendixH3"/>
      </w:pPr>
      <w:bookmarkStart w:id="258" w:name="_Toc130419916"/>
      <w:r w:rsidRPr="0009132C">
        <w:t>B.1 Overview</w:t>
      </w:r>
      <w:bookmarkEnd w:id="258"/>
    </w:p>
    <w:p w14:paraId="7568931D" w14:textId="77777777" w:rsidR="006207FD" w:rsidRPr="0009132C" w:rsidRDefault="006207FD" w:rsidP="00444055">
      <w:r w:rsidRPr="0009132C">
        <w:t>The table below lists process and outcome measures derived from existing data sources to be used in the quantitative evaluation of Demonstration Chapters 2 through 8. These measures were selected to quantify the Demonstration’s effects on healthcare access, program enrollment, care processes, needs identification, integration, healthcare utilization, member outcomes, and healthcare costs.</w:t>
      </w:r>
    </w:p>
    <w:p w14:paraId="47E0B09A" w14:textId="77777777" w:rsidR="006207FD" w:rsidRPr="0009132C" w:rsidRDefault="006207FD" w:rsidP="00223AA4">
      <w:pPr>
        <w:pStyle w:val="FHCAppendixH3"/>
      </w:pPr>
      <w:bookmarkStart w:id="259" w:name="_Toc130419917"/>
      <w:r w:rsidRPr="0009132C">
        <w:t>B.2 Measure Selection</w:t>
      </w:r>
      <w:bookmarkEnd w:id="259"/>
    </w:p>
    <w:p w14:paraId="11E3E189" w14:textId="0F033F35" w:rsidR="006207FD" w:rsidRPr="0009132C" w:rsidRDefault="006207FD" w:rsidP="00444055">
      <w:r w:rsidRPr="0009132C">
        <w:t xml:space="preserve">Accountability measures comprising the Massachusetts Executive Office of Health and Human Services (EOHHS) Accountable Care Organization (ACO) Quality and Health Equity and the Community Partner measure slates were selected by MassHealth after iterative feedback from stakeholders in Massachusetts and from CMS. Measures that were not selected by MassHealth for accountability purposes but that were deemed important for evaluating Demonstration policies will also be studied. Additional quality measures were selected from established measure stewards, giving preference to measures that were endorsed by the National Quality Forum (NQF) to study Demonstration effects on processes and outcomes across other important conceptual areas, particularly those included in the evaluation Logic Models. Standard epidemiologic measures (e.g., rates, proportions) will also be calculated to track changes in utilization and costs over the study period. Similar to other state evaluations, measure selection accounts for outcomes specific to </w:t>
      </w:r>
      <w:r w:rsidR="00D35F44">
        <w:t>this</w:t>
      </w:r>
      <w:r w:rsidRPr="0009132C">
        <w:t xml:space="preserve"> Demonstration.</w:t>
      </w:r>
      <w:r w:rsidR="00663B6E">
        <w:t xml:space="preserve"> </w:t>
      </w:r>
    </w:p>
    <w:p w14:paraId="6E4FF339" w14:textId="0A9C8C4E" w:rsidR="006207FD" w:rsidRPr="0009132C" w:rsidRDefault="006207FD" w:rsidP="00444055">
      <w:r w:rsidRPr="0009132C">
        <w:t xml:space="preserve">The </w:t>
      </w:r>
      <w:hyperlink w:anchor="_Chapter_2:_Coverage" w:history="1">
        <w:r w:rsidR="00D35F44" w:rsidRPr="00D35F44">
          <w:rPr>
            <w:rStyle w:val="Hyperlink"/>
          </w:rPr>
          <w:t>measure information</w:t>
        </w:r>
      </w:hyperlink>
      <w:r w:rsidR="00D35F44">
        <w:t xml:space="preserve"> in the </w:t>
      </w:r>
      <w:r w:rsidRPr="0009132C">
        <w:t>table</w:t>
      </w:r>
      <w:r w:rsidR="00D35F44">
        <w:t>s</w:t>
      </w:r>
      <w:r w:rsidRPr="0009132C">
        <w:t xml:space="preserve"> below is organized into seven sections, each corresponding to one policy domain. We have summarized important information for the measures listed in the table</w:t>
      </w:r>
      <w:r w:rsidR="00212AEB">
        <w:t>,</w:t>
      </w:r>
      <w:r w:rsidRPr="0009132C">
        <w:t xml:space="preserve"> including the steward, NQF measure number (if applicable), NQF endorsement, and national benchmarks from </w:t>
      </w:r>
      <w:r w:rsidR="005B47F7">
        <w:t>the Centers for Medicare and Medicaid Services (</w:t>
      </w:r>
      <w:r w:rsidRPr="0009132C">
        <w:t>CMS</w:t>
      </w:r>
      <w:r w:rsidR="005B47F7">
        <w:t>)</w:t>
      </w:r>
      <w:r w:rsidRPr="0009132C">
        <w:t xml:space="preserve">, </w:t>
      </w:r>
      <w:r w:rsidRPr="0009132C">
        <w:rPr>
          <w:bCs/>
        </w:rPr>
        <w:t>National Council for Quality Assurance (N</w:t>
      </w:r>
      <w:r w:rsidRPr="0009132C">
        <w:t xml:space="preserve">CQA), and Agency for Healthcare Research and Quality (ARHQ), if available. Measures operationalized by MassHealth and </w:t>
      </w:r>
      <w:r w:rsidR="005B47F7" w:rsidRPr="0009132C">
        <w:t>UM</w:t>
      </w:r>
      <w:r w:rsidR="005B47F7">
        <w:t>ass Chan</w:t>
      </w:r>
      <w:r w:rsidR="005B47F7" w:rsidRPr="0009132C">
        <w:t xml:space="preserve"> </w:t>
      </w:r>
      <w:r w:rsidRPr="0009132C">
        <w:t xml:space="preserve">do not have national benchmarks. </w:t>
      </w:r>
    </w:p>
    <w:p w14:paraId="0C32C33A" w14:textId="60092182" w:rsidR="006207FD" w:rsidRPr="0009132C" w:rsidRDefault="006207FD" w:rsidP="00444055">
      <w:r w:rsidRPr="0009132C">
        <w:t>Note: Some measures are repeated across chapters for different populations. The titles of these measures will be included in each chapter where they are being calculated</w:t>
      </w:r>
      <w:r w:rsidR="00152422">
        <w:t>,</w:t>
      </w:r>
      <w:r w:rsidRPr="0009132C">
        <w:t xml:space="preserve"> with a reference to the chapter where the measure details were provided. </w:t>
      </w:r>
    </w:p>
    <w:p w14:paraId="127842BE" w14:textId="45DF0D07" w:rsidR="006207FD" w:rsidRPr="0009132C" w:rsidRDefault="006207FD" w:rsidP="00223AA4">
      <w:pPr>
        <w:pStyle w:val="Heading4"/>
      </w:pPr>
      <w:r w:rsidRPr="0009132C">
        <w:t>Measure Stewards</w:t>
      </w:r>
    </w:p>
    <w:p w14:paraId="2AA52F1E" w14:textId="77777777" w:rsidR="006207FD" w:rsidRPr="0009132C" w:rsidRDefault="006207FD" w:rsidP="00014DEE">
      <w:r w:rsidRPr="0009132C">
        <w:t>Measure stewards are recognized as expert organizations involved in developing measure definitions. The stewards used in this evaluation include:</w:t>
      </w:r>
    </w:p>
    <w:p w14:paraId="1E0D5F4D" w14:textId="206DC24B" w:rsidR="006207FD" w:rsidRPr="0009132C" w:rsidRDefault="67DC6C3D" w:rsidP="005F02C8">
      <w:pPr>
        <w:pStyle w:val="Bullet1"/>
      </w:pPr>
      <w:r w:rsidRPr="3383C28C">
        <w:rPr>
          <w:u w:val="single"/>
        </w:rPr>
        <w:t>National Council for Quality Assurance (NCQA)</w:t>
      </w:r>
      <w:r w:rsidR="3F16EAC8">
        <w:t>:</w:t>
      </w:r>
      <w:r>
        <w:t xml:space="preserve"> </w:t>
      </w:r>
      <w:r w:rsidR="005B47F7">
        <w:t xml:space="preserve">A </w:t>
      </w:r>
      <w:r>
        <w:t>national nonprofit organization that monitors healthcare quality and accredits health plans. The Healthcare Effectiveness Data and Information Set (HEDIS) developed and maintained by NCQA is a tool used by many American health plans to measure performance on various aspects of healthcare and services provided</w:t>
      </w:r>
    </w:p>
    <w:p w14:paraId="020DD8CE" w14:textId="3D328942" w:rsidR="006207FD" w:rsidRPr="0009132C" w:rsidRDefault="67DC6C3D" w:rsidP="005F02C8">
      <w:pPr>
        <w:pStyle w:val="Bullet1"/>
      </w:pPr>
      <w:bookmarkStart w:id="260" w:name="_Hlk129349477"/>
      <w:r w:rsidRPr="3383C28C">
        <w:rPr>
          <w:u w:val="single"/>
        </w:rPr>
        <w:lastRenderedPageBreak/>
        <w:t xml:space="preserve">Agency for Healthcare Research and Quality </w:t>
      </w:r>
      <w:bookmarkEnd w:id="260"/>
      <w:r w:rsidRPr="3383C28C">
        <w:rPr>
          <w:u w:val="single"/>
        </w:rPr>
        <w:t>(AHRQ</w:t>
      </w:r>
      <w:r>
        <w:t>)</w:t>
      </w:r>
      <w:r w:rsidR="3F16EAC8">
        <w:t>:</w:t>
      </w:r>
      <w:r>
        <w:t xml:space="preserve"> </w:t>
      </w:r>
      <w:r w:rsidR="005B47F7">
        <w:t xml:space="preserve">A </w:t>
      </w:r>
      <w:r>
        <w:t>federal agency that strives to improve the quality and safety of American healthcare systems</w:t>
      </w:r>
    </w:p>
    <w:p w14:paraId="6843036B" w14:textId="56C88211" w:rsidR="006207FD" w:rsidRPr="0009132C" w:rsidRDefault="67DC6C3D" w:rsidP="005F02C8">
      <w:pPr>
        <w:pStyle w:val="Bullet1"/>
      </w:pPr>
      <w:r w:rsidRPr="3383C28C">
        <w:rPr>
          <w:u w:val="single"/>
        </w:rPr>
        <w:t>Choosing Wisely</w:t>
      </w:r>
      <w:r w:rsidR="3F16EAC8">
        <w:t>:</w:t>
      </w:r>
      <w:r>
        <w:t xml:space="preserve"> A national initiative that works with patients and clinicians to avoid wasteful and/or unnecessary healthcare services</w:t>
      </w:r>
    </w:p>
    <w:p w14:paraId="6DE6FCA2" w14:textId="2B92EFA8" w:rsidR="006207FD" w:rsidRPr="0009132C" w:rsidRDefault="67DC6C3D" w:rsidP="005F02C8">
      <w:pPr>
        <w:pStyle w:val="Bullet1"/>
      </w:pPr>
      <w:r w:rsidRPr="3383C28C">
        <w:rPr>
          <w:u w:val="single"/>
        </w:rPr>
        <w:t>MassHealth</w:t>
      </w:r>
      <w:r w:rsidR="3F16EAC8">
        <w:t>:</w:t>
      </w:r>
      <w:r>
        <w:t xml:space="preserve"> </w:t>
      </w:r>
      <w:r w:rsidR="005B47F7">
        <w:t>T</w:t>
      </w:r>
      <w:r>
        <w:t>he program that administers Medicaid and the Children’s Health Insurance Program in Massachusetts</w:t>
      </w:r>
    </w:p>
    <w:p w14:paraId="538094CE" w14:textId="1C1DEF6E" w:rsidR="006207FD" w:rsidRPr="0009132C" w:rsidRDefault="67DC6C3D" w:rsidP="003C6C8F">
      <w:pPr>
        <w:pStyle w:val="Bullet1"/>
      </w:pPr>
      <w:r w:rsidRPr="3383C28C">
        <w:rPr>
          <w:u w:val="single"/>
        </w:rPr>
        <w:t>Dental Quality Alliance</w:t>
      </w:r>
      <w:r w:rsidR="3F16EAC8">
        <w:t>:</w:t>
      </w:r>
      <w:r>
        <w:t xml:space="preserve"> </w:t>
      </w:r>
      <w:r w:rsidR="005B47F7">
        <w:t xml:space="preserve">An </w:t>
      </w:r>
      <w:r>
        <w:t>alliance established by the American Dental Association to advance performance measurement as a means to improve oral health, patient care, and safety through a consensus-building process.</w:t>
      </w:r>
    </w:p>
    <w:p w14:paraId="06D98080" w14:textId="1903A1EF" w:rsidR="006207FD" w:rsidRPr="0009132C" w:rsidRDefault="006207FD" w:rsidP="00223AA4">
      <w:pPr>
        <w:pStyle w:val="Heading4"/>
      </w:pPr>
      <w:r w:rsidRPr="0009132C">
        <w:t>Measure Data</w:t>
      </w:r>
    </w:p>
    <w:p w14:paraId="612363EC" w14:textId="4BA4A652" w:rsidR="006207FD" w:rsidRPr="0009132C" w:rsidRDefault="0020559B" w:rsidP="00444055">
      <w:hyperlink w:anchor="_Chapter_2:_Coverage" w:history="1">
        <w:r w:rsidR="006207FD" w:rsidRPr="00D35F44">
          <w:rPr>
            <w:rStyle w:val="Hyperlink"/>
          </w:rPr>
          <w:t>Measure information</w:t>
        </w:r>
      </w:hyperlink>
      <w:r w:rsidR="006207FD" w:rsidRPr="0009132C">
        <w:t xml:space="preserve"> in </w:t>
      </w:r>
      <w:r w:rsidR="005F5CC3">
        <w:t xml:space="preserve">this </w:t>
      </w:r>
      <w:r w:rsidR="006207FD" w:rsidRPr="0009132C">
        <w:t xml:space="preserve">Appendix includes national or state benchmarks where available. CMS benchmarks are presented here at the 50th and 90th percentile. The other benchmarks appear as rates (ARHQ measures) or percentiles. Most measures will be calculated from the following data sources: </w:t>
      </w:r>
    </w:p>
    <w:p w14:paraId="25BD4222" w14:textId="79D74FF8" w:rsidR="006207FD" w:rsidRPr="0009132C" w:rsidRDefault="67DC6C3D" w:rsidP="0021674F">
      <w:pPr>
        <w:pStyle w:val="Bullet1"/>
      </w:pPr>
      <w:r w:rsidRPr="3383C28C">
        <w:rPr>
          <w:u w:val="single"/>
        </w:rPr>
        <w:t xml:space="preserve">Massachusetts Medicaid </w:t>
      </w:r>
      <w:r w:rsidR="466937C1" w:rsidRPr="3383C28C">
        <w:rPr>
          <w:u w:val="single"/>
        </w:rPr>
        <w:t>A</w:t>
      </w:r>
      <w:r w:rsidRPr="3383C28C">
        <w:rPr>
          <w:u w:val="single"/>
        </w:rPr>
        <w:t xml:space="preserve">dministrative </w:t>
      </w:r>
      <w:r w:rsidR="466937C1" w:rsidRPr="3383C28C">
        <w:rPr>
          <w:u w:val="single"/>
        </w:rPr>
        <w:t>D</w:t>
      </w:r>
      <w:r w:rsidRPr="3383C28C">
        <w:rPr>
          <w:u w:val="single"/>
        </w:rPr>
        <w:t>ata</w:t>
      </w:r>
      <w:r>
        <w:t>: This member-level database is comprised of eligibility, enrollment, and billing records for healthcare services for the MassHealth member population.</w:t>
      </w:r>
    </w:p>
    <w:p w14:paraId="689ECD51" w14:textId="5423DB7F" w:rsidR="006207FD" w:rsidRPr="0009132C" w:rsidRDefault="67DC6C3D" w:rsidP="005F02C8">
      <w:pPr>
        <w:pStyle w:val="Bullet1"/>
      </w:pPr>
      <w:r w:rsidRPr="3383C28C">
        <w:rPr>
          <w:u w:val="single"/>
        </w:rPr>
        <w:t>Health Insurance Exchange/Integrated Eligibility Information System (HIX/IES) data</w:t>
      </w:r>
      <w:r>
        <w:t>: The HIX/IES data set contains Medicaid ID, demographic information, date of enrollment/renewal, whether the individual lost coverage or had their aid category changed after 90</w:t>
      </w:r>
      <w:r w:rsidR="00152422">
        <w:t xml:space="preserve"> </w:t>
      </w:r>
      <w:r>
        <w:t>days, and reason for loss of coverage.</w:t>
      </w:r>
    </w:p>
    <w:p w14:paraId="371B3C85" w14:textId="685309C2" w:rsidR="005F5CC3" w:rsidRPr="0009132C" w:rsidRDefault="67DC6C3D" w:rsidP="003C6C8F">
      <w:pPr>
        <w:pStyle w:val="Bullet1"/>
      </w:pPr>
      <w:r w:rsidRPr="3383C28C">
        <w:rPr>
          <w:u w:val="single"/>
        </w:rPr>
        <w:t xml:space="preserve">Clinical </w:t>
      </w:r>
      <w:r w:rsidR="466937C1" w:rsidRPr="3383C28C">
        <w:rPr>
          <w:u w:val="single"/>
        </w:rPr>
        <w:t>I</w:t>
      </w:r>
      <w:r w:rsidRPr="3383C28C">
        <w:rPr>
          <w:u w:val="single"/>
        </w:rPr>
        <w:t xml:space="preserve">nformation </w:t>
      </w:r>
      <w:r w:rsidR="466937C1" w:rsidRPr="3383C28C">
        <w:rPr>
          <w:u w:val="single"/>
        </w:rPr>
        <w:t>R</w:t>
      </w:r>
      <w:r w:rsidRPr="3383C28C">
        <w:rPr>
          <w:u w:val="single"/>
        </w:rPr>
        <w:t>eported by ACOs</w:t>
      </w:r>
      <w:r>
        <w:t>: These extracts will include data for hybrid quality measures that require clinical information</w:t>
      </w:r>
    </w:p>
    <w:p w14:paraId="0338C166" w14:textId="230A0161" w:rsidR="006207FD" w:rsidRPr="0009132C" w:rsidRDefault="3AC916DD" w:rsidP="00223AA4">
      <w:pPr>
        <w:pStyle w:val="Bullet1"/>
      </w:pPr>
      <w:r w:rsidRPr="3383C28C">
        <w:rPr>
          <w:u w:val="single"/>
        </w:rPr>
        <w:t xml:space="preserve">Other: </w:t>
      </w:r>
      <w:r w:rsidR="67DC6C3D">
        <w:t>A few evaluation measures utilize data from other sources, such as the Massachusetts Uncompensated Care Cost reports, Safety Net Hospital reports, and program data from MassHealth</w:t>
      </w:r>
      <w:r>
        <w:t>, as detailed below</w:t>
      </w:r>
      <w:r w:rsidR="67DC6C3D">
        <w:t>.</w:t>
      </w:r>
      <w:r>
        <w:br w:type="page"/>
      </w:r>
    </w:p>
    <w:p w14:paraId="7A09364F" w14:textId="1043E13C" w:rsidR="00AD78C7" w:rsidRDefault="00AD78C7" w:rsidP="005F5CC3">
      <w:pPr>
        <w:pStyle w:val="Heading4"/>
      </w:pPr>
      <w:r w:rsidRPr="00AD78C7">
        <w:lastRenderedPageBreak/>
        <w:t xml:space="preserve">Measure </w:t>
      </w:r>
      <w:r w:rsidR="00FD55C9">
        <w:t>Information</w:t>
      </w:r>
      <w:r w:rsidRPr="00AD78C7">
        <w:t xml:space="preserve"> by</w:t>
      </w:r>
      <w:r w:rsidR="00646B90">
        <w:t xml:space="preserve"> </w:t>
      </w:r>
      <w:r w:rsidR="00D35F44">
        <w:t>Policy Domain</w:t>
      </w:r>
    </w:p>
    <w:p w14:paraId="21B5B852" w14:textId="06649BBD" w:rsidR="00C220BF" w:rsidRPr="0063390D" w:rsidRDefault="00C220BF" w:rsidP="005F5CC3">
      <w:pPr>
        <w:pStyle w:val="Heading5"/>
        <w:rPr>
          <w:b/>
          <w:bCs/>
        </w:rPr>
      </w:pPr>
      <w:bookmarkStart w:id="261" w:name="_Chapter_2:_Coverage"/>
      <w:bookmarkEnd w:id="261"/>
      <w:r w:rsidRPr="0063390D">
        <w:rPr>
          <w:b/>
          <w:bCs/>
        </w:rPr>
        <w:t xml:space="preserve">Chapter 2: </w:t>
      </w:r>
      <w:r w:rsidR="00614FFB" w:rsidRPr="0063390D">
        <w:rPr>
          <w:b/>
          <w:bCs/>
        </w:rPr>
        <w:fldChar w:fldCharType="begin"/>
      </w:r>
      <w:r w:rsidR="00614FFB" w:rsidRPr="0063390D">
        <w:rPr>
          <w:b/>
          <w:bCs/>
        </w:rPr>
        <w:instrText xml:space="preserve"> REF _Ref142920692 \h </w:instrText>
      </w:r>
      <w:r w:rsidR="00ED689F" w:rsidRPr="0063390D">
        <w:rPr>
          <w:b/>
          <w:bCs/>
          <w:highlight w:val="yellow"/>
        </w:rPr>
        <w:instrText xml:space="preserve"> \* MERGEFORMAT </w:instrText>
      </w:r>
      <w:r w:rsidR="00614FFB" w:rsidRPr="0063390D">
        <w:rPr>
          <w:b/>
          <w:bCs/>
        </w:rPr>
      </w:r>
      <w:r w:rsidR="00614FFB" w:rsidRPr="0063390D">
        <w:rPr>
          <w:b/>
          <w:bCs/>
        </w:rPr>
        <w:fldChar w:fldCharType="separate"/>
      </w:r>
      <w:r w:rsidR="00EB7B05" w:rsidRPr="0063390D">
        <w:rPr>
          <w:b/>
          <w:bCs/>
        </w:rPr>
        <w:t>Coverage and Eligibility</w:t>
      </w:r>
      <w:r w:rsidR="00614FFB" w:rsidRPr="0063390D">
        <w:rPr>
          <w:b/>
          <w:bCs/>
        </w:rPr>
        <w:fldChar w:fldCharType="end"/>
      </w:r>
      <w:bookmarkStart w:id="262" w:name="_Hlk142907874"/>
    </w:p>
    <w:tbl>
      <w:tblPr>
        <w:tblStyle w:val="FHCclean10pt"/>
        <w:tblW w:w="0" w:type="auto"/>
        <w:tblLook w:val="04A0" w:firstRow="1" w:lastRow="0" w:firstColumn="1" w:lastColumn="0" w:noHBand="0" w:noVBand="1"/>
      </w:tblPr>
      <w:tblGrid>
        <w:gridCol w:w="2485"/>
        <w:gridCol w:w="6859"/>
      </w:tblGrid>
      <w:tr w:rsidR="00C220BF" w:rsidRPr="001F7463" w14:paraId="7D49586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6" w:type="dxa"/>
          </w:tcPr>
          <w:p w14:paraId="536CF2A3" w14:textId="35FF66AB" w:rsidR="00C220BF" w:rsidRPr="001F7463" w:rsidRDefault="00C220BF">
            <w:pPr>
              <w:rPr>
                <w:rFonts w:cstheme="minorHAnsi"/>
              </w:rPr>
            </w:pPr>
            <w:r w:rsidRPr="001F7463">
              <w:rPr>
                <w:rFonts w:cstheme="minorHAnsi"/>
              </w:rPr>
              <w:t>Measure:</w:t>
            </w:r>
          </w:p>
        </w:tc>
        <w:tc>
          <w:tcPr>
            <w:tcW w:w="6864" w:type="dxa"/>
          </w:tcPr>
          <w:p w14:paraId="15A530AF" w14:textId="77777777" w:rsidR="00C220BF" w:rsidRPr="001F7463" w:rsidRDefault="00C220BF">
            <w:pPr>
              <w:cnfStyle w:val="100000000000" w:firstRow="1" w:lastRow="0" w:firstColumn="0" w:lastColumn="0" w:oddVBand="0" w:evenVBand="0" w:oddHBand="0" w:evenHBand="0" w:firstRowFirstColumn="0" w:firstRowLastColumn="0" w:lastRowFirstColumn="0" w:lastRowLastColumn="0"/>
              <w:rPr>
                <w:rFonts w:cstheme="minorHAnsi"/>
              </w:rPr>
            </w:pPr>
            <w:r w:rsidRPr="001F7463">
              <w:rPr>
                <w:rFonts w:cstheme="minorHAnsi"/>
              </w:rPr>
              <w:t>Adult Access to Preventive/Ambulatory Health Services (AAP)</w:t>
            </w:r>
          </w:p>
        </w:tc>
      </w:tr>
      <w:tr w:rsidR="00C220BF" w:rsidRPr="001F7463" w14:paraId="1A89C84A" w14:textId="77777777">
        <w:tc>
          <w:tcPr>
            <w:cnfStyle w:val="001000000000" w:firstRow="0" w:lastRow="0" w:firstColumn="1" w:lastColumn="0" w:oddVBand="0" w:evenVBand="0" w:oddHBand="0" w:evenHBand="0" w:firstRowFirstColumn="0" w:firstRowLastColumn="0" w:lastRowFirstColumn="0" w:lastRowLastColumn="0"/>
            <w:tcW w:w="2486" w:type="dxa"/>
          </w:tcPr>
          <w:p w14:paraId="01D1556B" w14:textId="77777777" w:rsidR="00C220BF" w:rsidRPr="001F7463" w:rsidRDefault="00C220BF">
            <w:pPr>
              <w:rPr>
                <w:rFonts w:cstheme="minorHAnsi"/>
              </w:rPr>
            </w:pPr>
            <w:r w:rsidRPr="001F7463">
              <w:rPr>
                <w:rFonts w:cstheme="minorHAnsi"/>
              </w:rPr>
              <w:t>Steward</w:t>
            </w:r>
          </w:p>
        </w:tc>
        <w:tc>
          <w:tcPr>
            <w:tcW w:w="6864" w:type="dxa"/>
          </w:tcPr>
          <w:p w14:paraId="56C68FDC" w14:textId="77777777" w:rsidR="00C220BF" w:rsidRPr="001F7463" w:rsidRDefault="00C220BF">
            <w:pPr>
              <w:cnfStyle w:val="000000000000" w:firstRow="0" w:lastRow="0" w:firstColumn="0" w:lastColumn="0" w:oddVBand="0" w:evenVBand="0" w:oddHBand="0" w:evenHBand="0" w:firstRowFirstColumn="0" w:firstRowLastColumn="0" w:lastRowFirstColumn="0" w:lastRowLastColumn="0"/>
              <w:rPr>
                <w:rFonts w:cstheme="minorHAnsi"/>
              </w:rPr>
            </w:pPr>
            <w:r w:rsidRPr="001F7463">
              <w:rPr>
                <w:rFonts w:cstheme="minorHAnsi"/>
              </w:rPr>
              <w:t>National Committee on Quality Assurance</w:t>
            </w:r>
          </w:p>
        </w:tc>
      </w:tr>
      <w:tr w:rsidR="00C220BF" w:rsidRPr="001F7463" w14:paraId="26C32160" w14:textId="77777777">
        <w:tc>
          <w:tcPr>
            <w:cnfStyle w:val="001000000000" w:firstRow="0" w:lastRow="0" w:firstColumn="1" w:lastColumn="0" w:oddVBand="0" w:evenVBand="0" w:oddHBand="0" w:evenHBand="0" w:firstRowFirstColumn="0" w:firstRowLastColumn="0" w:lastRowFirstColumn="0" w:lastRowLastColumn="0"/>
            <w:tcW w:w="2486" w:type="dxa"/>
          </w:tcPr>
          <w:p w14:paraId="32D56F70" w14:textId="77777777" w:rsidR="00C220BF" w:rsidRPr="001F7463" w:rsidRDefault="00C220BF">
            <w:pPr>
              <w:rPr>
                <w:rFonts w:cstheme="minorHAnsi"/>
              </w:rPr>
            </w:pPr>
            <w:r w:rsidRPr="001F7463">
              <w:rPr>
                <w:rFonts w:cstheme="minorHAnsi"/>
              </w:rPr>
              <w:t>NQF Endorsed</w:t>
            </w:r>
          </w:p>
        </w:tc>
        <w:tc>
          <w:tcPr>
            <w:tcW w:w="6864" w:type="dxa"/>
          </w:tcPr>
          <w:p w14:paraId="4120EA23" w14:textId="77777777" w:rsidR="00C220BF" w:rsidRPr="001F7463" w:rsidRDefault="00C220BF">
            <w:pPr>
              <w:cnfStyle w:val="000000000000" w:firstRow="0" w:lastRow="0" w:firstColumn="0" w:lastColumn="0" w:oddVBand="0" w:evenVBand="0" w:oddHBand="0" w:evenHBand="0" w:firstRowFirstColumn="0" w:firstRowLastColumn="0" w:lastRowFirstColumn="0" w:lastRowLastColumn="0"/>
              <w:rPr>
                <w:rFonts w:cstheme="minorHAnsi"/>
              </w:rPr>
            </w:pPr>
            <w:r w:rsidRPr="001F7463">
              <w:rPr>
                <w:rFonts w:cstheme="minorHAnsi"/>
              </w:rPr>
              <w:t>No</w:t>
            </w:r>
          </w:p>
        </w:tc>
      </w:tr>
      <w:tr w:rsidR="00C220BF" w:rsidRPr="001F7463" w14:paraId="0938AD36" w14:textId="77777777">
        <w:tc>
          <w:tcPr>
            <w:cnfStyle w:val="001000000000" w:firstRow="0" w:lastRow="0" w:firstColumn="1" w:lastColumn="0" w:oddVBand="0" w:evenVBand="0" w:oddHBand="0" w:evenHBand="0" w:firstRowFirstColumn="0" w:firstRowLastColumn="0" w:lastRowFirstColumn="0" w:lastRowLastColumn="0"/>
            <w:tcW w:w="2486" w:type="dxa"/>
          </w:tcPr>
          <w:p w14:paraId="26E41F7E" w14:textId="77777777" w:rsidR="00C220BF" w:rsidRPr="001F7463" w:rsidRDefault="00C220BF">
            <w:pPr>
              <w:rPr>
                <w:rFonts w:cstheme="minorHAnsi"/>
              </w:rPr>
            </w:pPr>
            <w:r w:rsidRPr="001F7463">
              <w:rPr>
                <w:rFonts w:cstheme="minorHAnsi"/>
              </w:rPr>
              <w:t>Description</w:t>
            </w:r>
          </w:p>
        </w:tc>
        <w:tc>
          <w:tcPr>
            <w:tcW w:w="6864" w:type="dxa"/>
          </w:tcPr>
          <w:p w14:paraId="1898E06B" w14:textId="77777777" w:rsidR="00C220BF" w:rsidRPr="001F7463" w:rsidRDefault="00C220BF">
            <w:pPr>
              <w:cnfStyle w:val="000000000000" w:firstRow="0" w:lastRow="0" w:firstColumn="0" w:lastColumn="0" w:oddVBand="0" w:evenVBand="0" w:oddHBand="0" w:evenHBand="0" w:firstRowFirstColumn="0" w:firstRowLastColumn="0" w:lastRowFirstColumn="0" w:lastRowLastColumn="0"/>
              <w:rPr>
                <w:rFonts w:cstheme="minorHAnsi"/>
              </w:rPr>
            </w:pPr>
            <w:r w:rsidRPr="001F7463">
              <w:rPr>
                <w:rFonts w:cstheme="minorHAnsi"/>
              </w:rPr>
              <w:t xml:space="preserve">This measure is used to assess the percentage of members 20 years and older who had an ambulatory or preventive care visit. </w:t>
            </w:r>
          </w:p>
          <w:p w14:paraId="3BE632D3" w14:textId="2D28AEE9" w:rsidR="00C220BF" w:rsidRPr="001F7463" w:rsidRDefault="00C220BF">
            <w:pPr>
              <w:cnfStyle w:val="000000000000" w:firstRow="0" w:lastRow="0" w:firstColumn="0" w:lastColumn="0" w:oddVBand="0" w:evenVBand="0" w:oddHBand="0" w:evenHBand="0" w:firstRowFirstColumn="0" w:firstRowLastColumn="0" w:lastRowFirstColumn="0" w:lastRowLastColumn="0"/>
              <w:rPr>
                <w:rFonts w:cstheme="minorHAnsi"/>
              </w:rPr>
            </w:pPr>
            <w:r w:rsidRPr="001F7463">
              <w:rPr>
                <w:rFonts w:cstheme="minorHAnsi"/>
              </w:rPr>
              <w:t>Medicaid members who had an ambulatory or preventive care visit during the measurement year</w:t>
            </w:r>
            <w:r w:rsidR="00550A60">
              <w:rPr>
                <w:rFonts w:cstheme="minorHAnsi"/>
              </w:rPr>
              <w:t>.</w:t>
            </w:r>
          </w:p>
        </w:tc>
      </w:tr>
      <w:tr w:rsidR="00C220BF" w:rsidRPr="001F7463" w14:paraId="70B5A50E" w14:textId="77777777">
        <w:tc>
          <w:tcPr>
            <w:cnfStyle w:val="001000000000" w:firstRow="0" w:lastRow="0" w:firstColumn="1" w:lastColumn="0" w:oddVBand="0" w:evenVBand="0" w:oddHBand="0" w:evenHBand="0" w:firstRowFirstColumn="0" w:firstRowLastColumn="0" w:lastRowFirstColumn="0" w:lastRowLastColumn="0"/>
            <w:tcW w:w="2486" w:type="dxa"/>
          </w:tcPr>
          <w:p w14:paraId="5E599AF3" w14:textId="77777777" w:rsidR="00C220BF" w:rsidRPr="001F7463" w:rsidRDefault="00C220BF">
            <w:pPr>
              <w:rPr>
                <w:rFonts w:cstheme="minorHAnsi"/>
              </w:rPr>
            </w:pPr>
            <w:r w:rsidRPr="001F7463">
              <w:rPr>
                <w:rFonts w:cstheme="minorHAnsi"/>
              </w:rPr>
              <w:t>Numerator</w:t>
            </w:r>
          </w:p>
        </w:tc>
        <w:tc>
          <w:tcPr>
            <w:tcW w:w="6864" w:type="dxa"/>
          </w:tcPr>
          <w:p w14:paraId="2E9A4E2B" w14:textId="77777777" w:rsidR="00C220BF" w:rsidRPr="001F7463" w:rsidRDefault="00C220BF">
            <w:pPr>
              <w:cnfStyle w:val="000000000000" w:firstRow="0" w:lastRow="0" w:firstColumn="0" w:lastColumn="0" w:oddVBand="0" w:evenVBand="0" w:oddHBand="0" w:evenHBand="0" w:firstRowFirstColumn="0" w:firstRowLastColumn="0" w:lastRowFirstColumn="0" w:lastRowLastColumn="0"/>
              <w:rPr>
                <w:rFonts w:cstheme="minorHAnsi"/>
              </w:rPr>
            </w:pPr>
            <w:r w:rsidRPr="001F7463">
              <w:rPr>
                <w:rFonts w:cstheme="minorHAnsi"/>
              </w:rPr>
              <w:t>One or more ambulatory or preventive care visits during the measurement year</w:t>
            </w:r>
          </w:p>
        </w:tc>
      </w:tr>
      <w:tr w:rsidR="00C220BF" w:rsidRPr="001F7463" w14:paraId="2A745C61" w14:textId="77777777">
        <w:tc>
          <w:tcPr>
            <w:cnfStyle w:val="001000000000" w:firstRow="0" w:lastRow="0" w:firstColumn="1" w:lastColumn="0" w:oddVBand="0" w:evenVBand="0" w:oddHBand="0" w:evenHBand="0" w:firstRowFirstColumn="0" w:firstRowLastColumn="0" w:lastRowFirstColumn="0" w:lastRowLastColumn="0"/>
            <w:tcW w:w="2486" w:type="dxa"/>
          </w:tcPr>
          <w:p w14:paraId="0389F756" w14:textId="77777777" w:rsidR="00C220BF" w:rsidRPr="001F7463" w:rsidRDefault="00C220BF">
            <w:pPr>
              <w:rPr>
                <w:rFonts w:cstheme="minorHAnsi"/>
              </w:rPr>
            </w:pPr>
            <w:r w:rsidRPr="001F7463">
              <w:rPr>
                <w:rFonts w:cstheme="minorHAnsi"/>
              </w:rPr>
              <w:t>Denominator</w:t>
            </w:r>
          </w:p>
        </w:tc>
        <w:tc>
          <w:tcPr>
            <w:tcW w:w="6864" w:type="dxa"/>
          </w:tcPr>
          <w:p w14:paraId="5EE24B6C" w14:textId="22B06B03" w:rsidR="00C220BF" w:rsidRPr="001F7463" w:rsidRDefault="00C220BF">
            <w:pPr>
              <w:cnfStyle w:val="000000000000" w:firstRow="0" w:lastRow="0" w:firstColumn="0" w:lastColumn="0" w:oddVBand="0" w:evenVBand="0" w:oddHBand="0" w:evenHBand="0" w:firstRowFirstColumn="0" w:firstRowLastColumn="0" w:lastRowFirstColumn="0" w:lastRowLastColumn="0"/>
              <w:rPr>
                <w:rFonts w:cstheme="minorHAnsi"/>
              </w:rPr>
            </w:pPr>
            <w:r w:rsidRPr="001F7463">
              <w:rPr>
                <w:rFonts w:cstheme="minorHAnsi"/>
              </w:rPr>
              <w:t xml:space="preserve">Members 20 years </w:t>
            </w:r>
            <w:r w:rsidR="005B47F7">
              <w:rPr>
                <w:rFonts w:cstheme="minorHAnsi"/>
              </w:rPr>
              <w:t xml:space="preserve">of </w:t>
            </w:r>
            <w:r w:rsidR="005B47F7" w:rsidRPr="001F7463">
              <w:rPr>
                <w:rFonts w:cstheme="minorHAnsi"/>
              </w:rPr>
              <w:t xml:space="preserve">age </w:t>
            </w:r>
            <w:r w:rsidRPr="001F7463">
              <w:rPr>
                <w:rFonts w:cstheme="minorHAnsi"/>
              </w:rPr>
              <w:t>and older as of December 31 of the measurement year</w:t>
            </w:r>
          </w:p>
        </w:tc>
      </w:tr>
      <w:tr w:rsidR="00C220BF" w:rsidRPr="001F7463" w14:paraId="4C3362EC" w14:textId="77777777">
        <w:tc>
          <w:tcPr>
            <w:cnfStyle w:val="001000000000" w:firstRow="0" w:lastRow="0" w:firstColumn="1" w:lastColumn="0" w:oddVBand="0" w:evenVBand="0" w:oddHBand="0" w:evenHBand="0" w:firstRowFirstColumn="0" w:firstRowLastColumn="0" w:lastRowFirstColumn="0" w:lastRowLastColumn="0"/>
            <w:tcW w:w="2486" w:type="dxa"/>
          </w:tcPr>
          <w:p w14:paraId="4D08CF87" w14:textId="77777777" w:rsidR="00C220BF" w:rsidRPr="001F7463" w:rsidRDefault="00C220BF">
            <w:pPr>
              <w:rPr>
                <w:rFonts w:cstheme="minorHAnsi"/>
              </w:rPr>
            </w:pPr>
            <w:r w:rsidRPr="001F7463">
              <w:rPr>
                <w:rFonts w:cstheme="minorHAnsi"/>
              </w:rPr>
              <w:t>Data Sources</w:t>
            </w:r>
          </w:p>
        </w:tc>
        <w:tc>
          <w:tcPr>
            <w:tcW w:w="6864" w:type="dxa"/>
          </w:tcPr>
          <w:p w14:paraId="660E4329" w14:textId="77777777" w:rsidR="00C220BF" w:rsidRPr="001F7463" w:rsidRDefault="00C220BF">
            <w:pPr>
              <w:cnfStyle w:val="000000000000" w:firstRow="0" w:lastRow="0" w:firstColumn="0" w:lastColumn="0" w:oddVBand="0" w:evenVBand="0" w:oddHBand="0" w:evenHBand="0" w:firstRowFirstColumn="0" w:firstRowLastColumn="0" w:lastRowFirstColumn="0" w:lastRowLastColumn="0"/>
              <w:rPr>
                <w:rFonts w:cstheme="minorHAnsi"/>
              </w:rPr>
            </w:pPr>
            <w:r w:rsidRPr="001F7463">
              <w:rPr>
                <w:rFonts w:cstheme="minorHAnsi"/>
              </w:rPr>
              <w:t>Medicaid claims/encounters data</w:t>
            </w:r>
          </w:p>
        </w:tc>
      </w:tr>
      <w:tr w:rsidR="00C220BF" w:rsidRPr="001F7463" w14:paraId="2C93EBF6" w14:textId="77777777">
        <w:tc>
          <w:tcPr>
            <w:cnfStyle w:val="001000000000" w:firstRow="0" w:lastRow="0" w:firstColumn="1" w:lastColumn="0" w:oddVBand="0" w:evenVBand="0" w:oddHBand="0" w:evenHBand="0" w:firstRowFirstColumn="0" w:firstRowLastColumn="0" w:lastRowFirstColumn="0" w:lastRowLastColumn="0"/>
            <w:tcW w:w="2486" w:type="dxa"/>
          </w:tcPr>
          <w:p w14:paraId="6A66C835" w14:textId="77777777" w:rsidR="00C220BF" w:rsidRPr="001F7463" w:rsidRDefault="00C220BF">
            <w:pPr>
              <w:rPr>
                <w:rFonts w:cstheme="minorHAnsi"/>
              </w:rPr>
            </w:pPr>
            <w:r w:rsidRPr="001F7463">
              <w:rPr>
                <w:rFonts w:cstheme="minorHAnsi"/>
              </w:rPr>
              <w:t>National Benchmark</w:t>
            </w:r>
          </w:p>
        </w:tc>
        <w:tc>
          <w:tcPr>
            <w:tcW w:w="6864" w:type="dxa"/>
          </w:tcPr>
          <w:p w14:paraId="041B763E" w14:textId="77777777" w:rsidR="00C220BF" w:rsidRPr="001F7463" w:rsidRDefault="00C220BF">
            <w:pPr>
              <w:cnfStyle w:val="000000000000" w:firstRow="0" w:lastRow="0" w:firstColumn="0" w:lastColumn="0" w:oddVBand="0" w:evenVBand="0" w:oddHBand="0" w:evenHBand="0" w:firstRowFirstColumn="0" w:firstRowLastColumn="0" w:lastRowFirstColumn="0" w:lastRowLastColumn="0"/>
              <w:rPr>
                <w:rFonts w:cstheme="minorHAnsi"/>
              </w:rPr>
            </w:pPr>
            <w:r w:rsidRPr="001F7463">
              <w:rPr>
                <w:rFonts w:cstheme="minorHAnsi"/>
              </w:rPr>
              <w:t>None</w:t>
            </w:r>
          </w:p>
        </w:tc>
      </w:tr>
    </w:tbl>
    <w:p w14:paraId="41D00220" w14:textId="77777777" w:rsidR="00C220BF" w:rsidRDefault="00C220BF" w:rsidP="00727B56">
      <w:pPr>
        <w:pStyle w:val="NoSpacing"/>
      </w:pPr>
    </w:p>
    <w:tbl>
      <w:tblPr>
        <w:tblStyle w:val="FHCclean10pt"/>
        <w:tblW w:w="0" w:type="auto"/>
        <w:tblLook w:val="04A0" w:firstRow="1" w:lastRow="0" w:firstColumn="1" w:lastColumn="0" w:noHBand="0" w:noVBand="1"/>
      </w:tblPr>
      <w:tblGrid>
        <w:gridCol w:w="2485"/>
        <w:gridCol w:w="6859"/>
      </w:tblGrid>
      <w:tr w:rsidR="00C220BF" w:rsidRPr="0009132C" w14:paraId="06621C4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6" w:type="dxa"/>
          </w:tcPr>
          <w:p w14:paraId="63EE6395" w14:textId="77777777" w:rsidR="00C220BF" w:rsidRPr="0009132C" w:rsidRDefault="00C220BF">
            <w:pPr>
              <w:rPr>
                <w:rFonts w:eastAsia="Calibri"/>
              </w:rPr>
            </w:pPr>
            <w:r w:rsidRPr="0078047F">
              <w:t>Measure:</w:t>
            </w:r>
          </w:p>
        </w:tc>
        <w:tc>
          <w:tcPr>
            <w:tcW w:w="6864" w:type="dxa"/>
          </w:tcPr>
          <w:p w14:paraId="4B6F42CA" w14:textId="77777777" w:rsidR="00C220BF" w:rsidRPr="0009132C" w:rsidRDefault="00C220BF">
            <w:pPr>
              <w:cnfStyle w:val="100000000000" w:firstRow="1" w:lastRow="0" w:firstColumn="0" w:lastColumn="0" w:oddVBand="0" w:evenVBand="0" w:oddHBand="0" w:evenHBand="0" w:firstRowFirstColumn="0" w:firstRowLastColumn="0" w:lastRowFirstColumn="0" w:lastRowLastColumn="0"/>
              <w:rPr>
                <w:rFonts w:eastAsia="Calibri"/>
              </w:rPr>
            </w:pPr>
            <w:r w:rsidRPr="0078047F">
              <w:t>Annual Primary Care Visit</w:t>
            </w:r>
          </w:p>
        </w:tc>
      </w:tr>
      <w:tr w:rsidR="00C220BF" w:rsidRPr="0009132C" w14:paraId="17001A2E" w14:textId="77777777">
        <w:tc>
          <w:tcPr>
            <w:cnfStyle w:val="001000000000" w:firstRow="0" w:lastRow="0" w:firstColumn="1" w:lastColumn="0" w:oddVBand="0" w:evenVBand="0" w:oddHBand="0" w:evenHBand="0" w:firstRowFirstColumn="0" w:firstRowLastColumn="0" w:lastRowFirstColumn="0" w:lastRowLastColumn="0"/>
            <w:tcW w:w="2486" w:type="dxa"/>
          </w:tcPr>
          <w:p w14:paraId="7CE44C13" w14:textId="77777777" w:rsidR="00C220BF" w:rsidRPr="0009132C" w:rsidRDefault="00C220BF">
            <w:pPr>
              <w:rPr>
                <w:rFonts w:eastAsia="Calibri"/>
              </w:rPr>
            </w:pPr>
            <w:r w:rsidRPr="0078047F">
              <w:t>Steward</w:t>
            </w:r>
          </w:p>
        </w:tc>
        <w:tc>
          <w:tcPr>
            <w:tcW w:w="6864" w:type="dxa"/>
          </w:tcPr>
          <w:p w14:paraId="5D476525" w14:textId="77777777"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78047F">
              <w:t>MassHealth</w:t>
            </w:r>
          </w:p>
        </w:tc>
      </w:tr>
      <w:tr w:rsidR="00C220BF" w:rsidRPr="0009132C" w14:paraId="436E35A0" w14:textId="77777777">
        <w:tc>
          <w:tcPr>
            <w:cnfStyle w:val="001000000000" w:firstRow="0" w:lastRow="0" w:firstColumn="1" w:lastColumn="0" w:oddVBand="0" w:evenVBand="0" w:oddHBand="0" w:evenHBand="0" w:firstRowFirstColumn="0" w:firstRowLastColumn="0" w:lastRowFirstColumn="0" w:lastRowLastColumn="0"/>
            <w:tcW w:w="2486" w:type="dxa"/>
          </w:tcPr>
          <w:p w14:paraId="79F9131A" w14:textId="77777777" w:rsidR="00C220BF" w:rsidRPr="0009132C" w:rsidRDefault="00C220BF">
            <w:pPr>
              <w:rPr>
                <w:rFonts w:eastAsia="Calibri"/>
              </w:rPr>
            </w:pPr>
            <w:r w:rsidRPr="0078047F">
              <w:t>NQF Endorsed</w:t>
            </w:r>
          </w:p>
        </w:tc>
        <w:tc>
          <w:tcPr>
            <w:tcW w:w="6864" w:type="dxa"/>
          </w:tcPr>
          <w:p w14:paraId="635EB5B8" w14:textId="77777777"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78047F">
              <w:t>No</w:t>
            </w:r>
          </w:p>
        </w:tc>
      </w:tr>
      <w:tr w:rsidR="00C220BF" w:rsidRPr="0009132C" w14:paraId="73DB0D95" w14:textId="77777777">
        <w:tc>
          <w:tcPr>
            <w:cnfStyle w:val="001000000000" w:firstRow="0" w:lastRow="0" w:firstColumn="1" w:lastColumn="0" w:oddVBand="0" w:evenVBand="0" w:oddHBand="0" w:evenHBand="0" w:firstRowFirstColumn="0" w:firstRowLastColumn="0" w:lastRowFirstColumn="0" w:lastRowLastColumn="0"/>
            <w:tcW w:w="2486" w:type="dxa"/>
          </w:tcPr>
          <w:p w14:paraId="760C1689" w14:textId="77777777" w:rsidR="00C220BF" w:rsidRPr="0009132C" w:rsidRDefault="00C220BF">
            <w:pPr>
              <w:rPr>
                <w:rFonts w:eastAsia="Calibri"/>
              </w:rPr>
            </w:pPr>
            <w:bookmarkStart w:id="263" w:name="_Hlk129958907"/>
            <w:r w:rsidRPr="0009132C">
              <w:rPr>
                <w:rFonts w:eastAsia="Calibri"/>
              </w:rPr>
              <w:t>Description</w:t>
            </w:r>
          </w:p>
        </w:tc>
        <w:tc>
          <w:tcPr>
            <w:tcW w:w="6864" w:type="dxa"/>
          </w:tcPr>
          <w:p w14:paraId="48C976B0" w14:textId="3F8FE289"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Percentage of enrollees 18 to 64 years of age who had an annual primary care visit in the measurement year</w:t>
            </w:r>
            <w:r w:rsidR="00550A60">
              <w:rPr>
                <w:rFonts w:eastAsia="Calibri"/>
              </w:rPr>
              <w:t>.</w:t>
            </w:r>
          </w:p>
        </w:tc>
      </w:tr>
      <w:tr w:rsidR="00C220BF" w:rsidRPr="0009132C" w14:paraId="70884EA6" w14:textId="77777777">
        <w:tc>
          <w:tcPr>
            <w:cnfStyle w:val="001000000000" w:firstRow="0" w:lastRow="0" w:firstColumn="1" w:lastColumn="0" w:oddVBand="0" w:evenVBand="0" w:oddHBand="0" w:evenHBand="0" w:firstRowFirstColumn="0" w:firstRowLastColumn="0" w:lastRowFirstColumn="0" w:lastRowLastColumn="0"/>
            <w:tcW w:w="2486" w:type="dxa"/>
          </w:tcPr>
          <w:p w14:paraId="35A5108E" w14:textId="77777777" w:rsidR="00C220BF" w:rsidRPr="0009132C" w:rsidRDefault="00C220BF">
            <w:pPr>
              <w:rPr>
                <w:rFonts w:eastAsia="Calibri"/>
              </w:rPr>
            </w:pPr>
            <w:r w:rsidRPr="0009132C">
              <w:rPr>
                <w:rFonts w:eastAsia="Calibri"/>
              </w:rPr>
              <w:t>Numerator</w:t>
            </w:r>
          </w:p>
        </w:tc>
        <w:tc>
          <w:tcPr>
            <w:tcW w:w="6864" w:type="dxa"/>
          </w:tcPr>
          <w:p w14:paraId="1878E224" w14:textId="63AC1FFF"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Number of enrollees who had at least one primary care visit during the measurement year</w:t>
            </w:r>
            <w:r w:rsidR="00550A60">
              <w:rPr>
                <w:rFonts w:eastAsia="Calibri"/>
              </w:rPr>
              <w:t>.</w:t>
            </w:r>
          </w:p>
        </w:tc>
      </w:tr>
      <w:tr w:rsidR="00C220BF" w:rsidRPr="0009132C" w14:paraId="182B8449" w14:textId="77777777">
        <w:tc>
          <w:tcPr>
            <w:cnfStyle w:val="001000000000" w:firstRow="0" w:lastRow="0" w:firstColumn="1" w:lastColumn="0" w:oddVBand="0" w:evenVBand="0" w:oddHBand="0" w:evenHBand="0" w:firstRowFirstColumn="0" w:firstRowLastColumn="0" w:lastRowFirstColumn="0" w:lastRowLastColumn="0"/>
            <w:tcW w:w="2486" w:type="dxa"/>
          </w:tcPr>
          <w:p w14:paraId="383E32C3" w14:textId="77777777" w:rsidR="00C220BF" w:rsidRPr="0009132C" w:rsidRDefault="00C220BF">
            <w:pPr>
              <w:rPr>
                <w:rFonts w:eastAsia="Calibri"/>
              </w:rPr>
            </w:pPr>
            <w:r w:rsidRPr="0009132C">
              <w:rPr>
                <w:rFonts w:eastAsia="Calibri"/>
              </w:rPr>
              <w:t>Denominator</w:t>
            </w:r>
          </w:p>
        </w:tc>
        <w:tc>
          <w:tcPr>
            <w:tcW w:w="6864" w:type="dxa"/>
          </w:tcPr>
          <w:p w14:paraId="452E3171" w14:textId="77777777"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Eligible population</w:t>
            </w:r>
          </w:p>
        </w:tc>
      </w:tr>
      <w:tr w:rsidR="00C220BF" w:rsidRPr="0009132C" w14:paraId="0FFFA968" w14:textId="77777777">
        <w:tc>
          <w:tcPr>
            <w:cnfStyle w:val="001000000000" w:firstRow="0" w:lastRow="0" w:firstColumn="1" w:lastColumn="0" w:oddVBand="0" w:evenVBand="0" w:oddHBand="0" w:evenHBand="0" w:firstRowFirstColumn="0" w:firstRowLastColumn="0" w:lastRowFirstColumn="0" w:lastRowLastColumn="0"/>
            <w:tcW w:w="2486" w:type="dxa"/>
          </w:tcPr>
          <w:p w14:paraId="587E9BE4" w14:textId="77777777" w:rsidR="00C220BF" w:rsidRPr="0009132C" w:rsidRDefault="00C220BF">
            <w:pPr>
              <w:rPr>
                <w:rFonts w:eastAsia="Calibri"/>
              </w:rPr>
            </w:pPr>
            <w:r w:rsidRPr="0009132C">
              <w:rPr>
                <w:rFonts w:eastAsia="Calibri"/>
              </w:rPr>
              <w:t>Data Sources</w:t>
            </w:r>
          </w:p>
        </w:tc>
        <w:tc>
          <w:tcPr>
            <w:tcW w:w="6864" w:type="dxa"/>
          </w:tcPr>
          <w:p w14:paraId="0C2F5C96" w14:textId="77777777"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Medicaid claims/encounters data</w:t>
            </w:r>
          </w:p>
        </w:tc>
      </w:tr>
      <w:tr w:rsidR="00C220BF" w:rsidRPr="0009132C" w14:paraId="05458738" w14:textId="77777777">
        <w:tc>
          <w:tcPr>
            <w:cnfStyle w:val="001000000000" w:firstRow="0" w:lastRow="0" w:firstColumn="1" w:lastColumn="0" w:oddVBand="0" w:evenVBand="0" w:oddHBand="0" w:evenHBand="0" w:firstRowFirstColumn="0" w:firstRowLastColumn="0" w:lastRowFirstColumn="0" w:lastRowLastColumn="0"/>
            <w:tcW w:w="2486" w:type="dxa"/>
          </w:tcPr>
          <w:p w14:paraId="5E12B61F" w14:textId="77777777" w:rsidR="00C220BF" w:rsidRPr="0009132C" w:rsidRDefault="00C220BF">
            <w:pPr>
              <w:rPr>
                <w:rFonts w:eastAsia="Calibri"/>
              </w:rPr>
            </w:pPr>
            <w:r w:rsidRPr="0009132C">
              <w:rPr>
                <w:rFonts w:eastAsia="Calibri"/>
              </w:rPr>
              <w:t>National Benchmark</w:t>
            </w:r>
          </w:p>
        </w:tc>
        <w:tc>
          <w:tcPr>
            <w:tcW w:w="6864" w:type="dxa"/>
          </w:tcPr>
          <w:p w14:paraId="0EE1BE13" w14:textId="77777777"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None</w:t>
            </w:r>
          </w:p>
        </w:tc>
      </w:tr>
    </w:tbl>
    <w:p w14:paraId="5761182E" w14:textId="77777777" w:rsidR="00C220BF" w:rsidRDefault="00C220BF" w:rsidP="00727B56">
      <w:pPr>
        <w:pStyle w:val="NoSpacing"/>
      </w:pPr>
    </w:p>
    <w:tbl>
      <w:tblPr>
        <w:tblStyle w:val="FHCclean10pt"/>
        <w:tblW w:w="0" w:type="auto"/>
        <w:tblLook w:val="04A0" w:firstRow="1" w:lastRow="0" w:firstColumn="1" w:lastColumn="0" w:noHBand="0" w:noVBand="1"/>
      </w:tblPr>
      <w:tblGrid>
        <w:gridCol w:w="2484"/>
        <w:gridCol w:w="6860"/>
      </w:tblGrid>
      <w:tr w:rsidR="00C220BF" w:rsidRPr="0009132C" w14:paraId="25087CE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6" w:type="dxa"/>
          </w:tcPr>
          <w:bookmarkEnd w:id="263"/>
          <w:p w14:paraId="42E97653" w14:textId="77777777" w:rsidR="00C220BF" w:rsidRPr="0030184A" w:rsidRDefault="00C220BF">
            <w:r w:rsidRPr="0030184A">
              <w:t xml:space="preserve">Measure: </w:t>
            </w:r>
          </w:p>
        </w:tc>
        <w:tc>
          <w:tcPr>
            <w:tcW w:w="6864" w:type="dxa"/>
          </w:tcPr>
          <w:p w14:paraId="116D3149" w14:textId="77777777" w:rsidR="00C220BF" w:rsidRPr="0030184A" w:rsidRDefault="00C220BF">
            <w:pPr>
              <w:cnfStyle w:val="100000000000" w:firstRow="1" w:lastRow="0" w:firstColumn="0" w:lastColumn="0" w:oddVBand="0" w:evenVBand="0" w:oddHBand="0" w:evenHBand="0" w:firstRowFirstColumn="0" w:firstRowLastColumn="0" w:lastRowFirstColumn="0" w:lastRowLastColumn="0"/>
            </w:pPr>
            <w:r w:rsidRPr="0030184A">
              <w:t>Immunizations for Adolescents (IMA)</w:t>
            </w:r>
          </w:p>
        </w:tc>
      </w:tr>
      <w:tr w:rsidR="00C220BF" w:rsidRPr="0009132C" w14:paraId="4A3178D2" w14:textId="77777777">
        <w:tc>
          <w:tcPr>
            <w:cnfStyle w:val="001000000000" w:firstRow="0" w:lastRow="0" w:firstColumn="1" w:lastColumn="0" w:oddVBand="0" w:evenVBand="0" w:oddHBand="0" w:evenHBand="0" w:firstRowFirstColumn="0" w:firstRowLastColumn="0" w:lastRowFirstColumn="0" w:lastRowLastColumn="0"/>
            <w:tcW w:w="2486" w:type="dxa"/>
          </w:tcPr>
          <w:p w14:paraId="51ACC3BF" w14:textId="77777777" w:rsidR="00C220BF" w:rsidRPr="0030184A" w:rsidRDefault="00C220BF">
            <w:r w:rsidRPr="0030184A">
              <w:t xml:space="preserve">Steward: </w:t>
            </w:r>
          </w:p>
        </w:tc>
        <w:tc>
          <w:tcPr>
            <w:tcW w:w="6864" w:type="dxa"/>
          </w:tcPr>
          <w:p w14:paraId="6BDE4CB4" w14:textId="77777777" w:rsidR="00C220BF" w:rsidRPr="0030184A" w:rsidRDefault="00C220BF">
            <w:pPr>
              <w:cnfStyle w:val="000000000000" w:firstRow="0" w:lastRow="0" w:firstColumn="0" w:lastColumn="0" w:oddVBand="0" w:evenVBand="0" w:oddHBand="0" w:evenHBand="0" w:firstRowFirstColumn="0" w:firstRowLastColumn="0" w:lastRowFirstColumn="0" w:lastRowLastColumn="0"/>
            </w:pPr>
            <w:r w:rsidRPr="0030184A">
              <w:t>National Committee on Quality Assurance (#1407)</w:t>
            </w:r>
          </w:p>
        </w:tc>
      </w:tr>
      <w:tr w:rsidR="00C220BF" w:rsidRPr="0009132C" w14:paraId="6E1A0398" w14:textId="77777777">
        <w:tc>
          <w:tcPr>
            <w:cnfStyle w:val="001000000000" w:firstRow="0" w:lastRow="0" w:firstColumn="1" w:lastColumn="0" w:oddVBand="0" w:evenVBand="0" w:oddHBand="0" w:evenHBand="0" w:firstRowFirstColumn="0" w:firstRowLastColumn="0" w:lastRowFirstColumn="0" w:lastRowLastColumn="0"/>
            <w:tcW w:w="2486" w:type="dxa"/>
          </w:tcPr>
          <w:p w14:paraId="66F4EBA0" w14:textId="77777777" w:rsidR="00C220BF" w:rsidRPr="0030184A" w:rsidRDefault="00C220BF">
            <w:r w:rsidRPr="0030184A">
              <w:t>NQF Endorsed:</w:t>
            </w:r>
          </w:p>
        </w:tc>
        <w:tc>
          <w:tcPr>
            <w:tcW w:w="6864" w:type="dxa"/>
          </w:tcPr>
          <w:p w14:paraId="5D004312" w14:textId="6B54975B" w:rsidR="00C220BF" w:rsidRPr="0030184A" w:rsidRDefault="00E16E16">
            <w:pPr>
              <w:cnfStyle w:val="000000000000" w:firstRow="0" w:lastRow="0" w:firstColumn="0" w:lastColumn="0" w:oddVBand="0" w:evenVBand="0" w:oddHBand="0" w:evenHBand="0" w:firstRowFirstColumn="0" w:firstRowLastColumn="0" w:lastRowFirstColumn="0" w:lastRowLastColumn="0"/>
            </w:pPr>
            <w:r w:rsidRPr="00E16E16">
              <w:t>Yes</w:t>
            </w:r>
          </w:p>
        </w:tc>
      </w:tr>
      <w:tr w:rsidR="00C220BF" w:rsidRPr="0009132C" w14:paraId="35742BC3" w14:textId="77777777">
        <w:tc>
          <w:tcPr>
            <w:cnfStyle w:val="001000000000" w:firstRow="0" w:lastRow="0" w:firstColumn="1" w:lastColumn="0" w:oddVBand="0" w:evenVBand="0" w:oddHBand="0" w:evenHBand="0" w:firstRowFirstColumn="0" w:firstRowLastColumn="0" w:lastRowFirstColumn="0" w:lastRowLastColumn="0"/>
            <w:tcW w:w="2486" w:type="dxa"/>
          </w:tcPr>
          <w:p w14:paraId="7708DA4C" w14:textId="77777777" w:rsidR="00C220BF" w:rsidRPr="0009132C" w:rsidRDefault="00C220BF">
            <w:pPr>
              <w:rPr>
                <w:rFonts w:eastAsia="Calibri"/>
              </w:rPr>
            </w:pPr>
            <w:r w:rsidRPr="0009132C">
              <w:rPr>
                <w:rFonts w:eastAsia="Calibri"/>
              </w:rPr>
              <w:t>Description</w:t>
            </w:r>
          </w:p>
        </w:tc>
        <w:tc>
          <w:tcPr>
            <w:tcW w:w="6864" w:type="dxa"/>
          </w:tcPr>
          <w:p w14:paraId="29AB8E05" w14:textId="273F769F"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The percentage of adolescents 13 years of age who had the recommended immunizations (meningococcal vaccine and one tetanus, diphtheria toxoids and acellular pertussis vaccine (Tdap) or one tetanus, diphtheria toxoids vaccine (Td) by their 13th birthday</w:t>
            </w:r>
            <w:r w:rsidR="00550A60">
              <w:rPr>
                <w:rFonts w:eastAsia="Calibri"/>
              </w:rPr>
              <w:t>.</w:t>
            </w:r>
          </w:p>
        </w:tc>
      </w:tr>
      <w:tr w:rsidR="00C220BF" w:rsidRPr="0009132C" w14:paraId="22A51F57" w14:textId="77777777">
        <w:tc>
          <w:tcPr>
            <w:cnfStyle w:val="001000000000" w:firstRow="0" w:lastRow="0" w:firstColumn="1" w:lastColumn="0" w:oddVBand="0" w:evenVBand="0" w:oddHBand="0" w:evenHBand="0" w:firstRowFirstColumn="0" w:firstRowLastColumn="0" w:lastRowFirstColumn="0" w:lastRowLastColumn="0"/>
            <w:tcW w:w="2486" w:type="dxa"/>
          </w:tcPr>
          <w:p w14:paraId="44BF986E" w14:textId="77777777" w:rsidR="00C220BF" w:rsidRPr="0009132C" w:rsidRDefault="00C220BF">
            <w:pPr>
              <w:rPr>
                <w:rFonts w:eastAsia="Calibri"/>
              </w:rPr>
            </w:pPr>
            <w:r w:rsidRPr="0009132C">
              <w:rPr>
                <w:rFonts w:eastAsia="Calibri"/>
              </w:rPr>
              <w:t>Numerator</w:t>
            </w:r>
          </w:p>
        </w:tc>
        <w:tc>
          <w:tcPr>
            <w:tcW w:w="6864" w:type="dxa"/>
          </w:tcPr>
          <w:p w14:paraId="05477D78" w14:textId="5A7E3598"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Adolescents 13 years of age who had one dose of meningococcal vaccine and one tetanus, diphtheria toxoids and acellular pertussis vaccine (Tdap) or one tetanus, diphtheria toxoids vaccine (Td) by their 13th birthday</w:t>
            </w:r>
            <w:r w:rsidR="00550A60">
              <w:rPr>
                <w:rFonts w:eastAsia="Calibri"/>
              </w:rPr>
              <w:t>.</w:t>
            </w:r>
          </w:p>
        </w:tc>
      </w:tr>
      <w:tr w:rsidR="00C220BF" w:rsidRPr="0009132C" w14:paraId="6CF5279E" w14:textId="77777777">
        <w:tc>
          <w:tcPr>
            <w:cnfStyle w:val="001000000000" w:firstRow="0" w:lastRow="0" w:firstColumn="1" w:lastColumn="0" w:oddVBand="0" w:evenVBand="0" w:oddHBand="0" w:evenHBand="0" w:firstRowFirstColumn="0" w:firstRowLastColumn="0" w:lastRowFirstColumn="0" w:lastRowLastColumn="0"/>
            <w:tcW w:w="2486" w:type="dxa"/>
          </w:tcPr>
          <w:p w14:paraId="33B00FAB" w14:textId="77777777" w:rsidR="00C220BF" w:rsidRPr="0009132C" w:rsidRDefault="00C220BF">
            <w:pPr>
              <w:rPr>
                <w:rFonts w:eastAsia="Calibri"/>
              </w:rPr>
            </w:pPr>
            <w:r w:rsidRPr="0009132C">
              <w:rPr>
                <w:rFonts w:eastAsia="Calibri"/>
              </w:rPr>
              <w:t>Denominator</w:t>
            </w:r>
          </w:p>
        </w:tc>
        <w:tc>
          <w:tcPr>
            <w:tcW w:w="6864" w:type="dxa"/>
          </w:tcPr>
          <w:p w14:paraId="0455DC68" w14:textId="77777777"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Adolescents who turn 13 years of age during the measurement year</w:t>
            </w:r>
          </w:p>
        </w:tc>
      </w:tr>
      <w:tr w:rsidR="00C220BF" w:rsidRPr="0009132C" w14:paraId="2DB7D0FD" w14:textId="77777777">
        <w:tc>
          <w:tcPr>
            <w:cnfStyle w:val="001000000000" w:firstRow="0" w:lastRow="0" w:firstColumn="1" w:lastColumn="0" w:oddVBand="0" w:evenVBand="0" w:oddHBand="0" w:evenHBand="0" w:firstRowFirstColumn="0" w:firstRowLastColumn="0" w:lastRowFirstColumn="0" w:lastRowLastColumn="0"/>
            <w:tcW w:w="2486" w:type="dxa"/>
          </w:tcPr>
          <w:p w14:paraId="13FDCE30" w14:textId="77777777" w:rsidR="00C220BF" w:rsidRPr="0009132C" w:rsidRDefault="00C220BF">
            <w:pPr>
              <w:rPr>
                <w:rFonts w:eastAsia="Calibri"/>
              </w:rPr>
            </w:pPr>
            <w:r w:rsidRPr="0009132C">
              <w:rPr>
                <w:rFonts w:eastAsia="Calibri"/>
              </w:rPr>
              <w:t>Data Sources</w:t>
            </w:r>
          </w:p>
        </w:tc>
        <w:tc>
          <w:tcPr>
            <w:tcW w:w="6864" w:type="dxa"/>
          </w:tcPr>
          <w:p w14:paraId="0ADBCF99" w14:textId="77777777"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Hybrid</w:t>
            </w:r>
          </w:p>
        </w:tc>
      </w:tr>
      <w:tr w:rsidR="00C220BF" w:rsidRPr="0009132C" w14:paraId="4B57F9D1" w14:textId="77777777">
        <w:tc>
          <w:tcPr>
            <w:cnfStyle w:val="001000000000" w:firstRow="0" w:lastRow="0" w:firstColumn="1" w:lastColumn="0" w:oddVBand="0" w:evenVBand="0" w:oddHBand="0" w:evenHBand="0" w:firstRowFirstColumn="0" w:firstRowLastColumn="0" w:lastRowFirstColumn="0" w:lastRowLastColumn="0"/>
            <w:tcW w:w="2486" w:type="dxa"/>
          </w:tcPr>
          <w:p w14:paraId="7FD93A6B" w14:textId="77777777" w:rsidR="00C220BF" w:rsidRPr="0009132C" w:rsidRDefault="00C220BF">
            <w:pPr>
              <w:rPr>
                <w:rFonts w:eastAsia="Calibri"/>
              </w:rPr>
            </w:pPr>
            <w:r w:rsidRPr="0009132C">
              <w:rPr>
                <w:rFonts w:eastAsia="Calibri"/>
              </w:rPr>
              <w:t>National Benchmark</w:t>
            </w:r>
          </w:p>
        </w:tc>
        <w:tc>
          <w:tcPr>
            <w:tcW w:w="6864" w:type="dxa"/>
          </w:tcPr>
          <w:p w14:paraId="4BA32A22" w14:textId="77777777"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2021 Medicaid HMO = 79.3%</w:t>
            </w:r>
          </w:p>
          <w:p w14:paraId="4D943F94" w14:textId="3E4BC505"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lastRenderedPageBreak/>
              <w:t xml:space="preserve">Source: </w:t>
            </w:r>
            <w:hyperlink r:id="rId45" w:history="1">
              <w:r w:rsidRPr="005F5CC3">
                <w:rPr>
                  <w:rStyle w:val="Hyperlink"/>
                  <w:rFonts w:eastAsia="Calibri"/>
                </w:rPr>
                <w:t>https://www.ncqa.org/hedis/measures/immunizations-for-adolescents</w:t>
              </w:r>
            </w:hyperlink>
            <w:r w:rsidRPr="0009132C">
              <w:rPr>
                <w:rFonts w:eastAsia="Calibri"/>
              </w:rPr>
              <w:t>/</w:t>
            </w:r>
            <w:r w:rsidR="005F5CC3">
              <w:rPr>
                <w:rFonts w:eastAsia="Calibri"/>
              </w:rPr>
              <w:t xml:space="preserve"> </w:t>
            </w:r>
          </w:p>
        </w:tc>
      </w:tr>
    </w:tbl>
    <w:p w14:paraId="091793BB" w14:textId="77777777" w:rsidR="00C220BF" w:rsidRPr="00BC0A3B" w:rsidRDefault="00C220BF" w:rsidP="00727B56">
      <w:pPr>
        <w:pStyle w:val="NoSpacing"/>
      </w:pPr>
    </w:p>
    <w:tbl>
      <w:tblPr>
        <w:tblStyle w:val="FHCclean10pt"/>
        <w:tblW w:w="0" w:type="auto"/>
        <w:tblLook w:val="04A0" w:firstRow="1" w:lastRow="0" w:firstColumn="1" w:lastColumn="0" w:noHBand="0" w:noVBand="1"/>
      </w:tblPr>
      <w:tblGrid>
        <w:gridCol w:w="2484"/>
        <w:gridCol w:w="6860"/>
      </w:tblGrid>
      <w:tr w:rsidR="00C220BF" w:rsidRPr="00842545" w14:paraId="6CE9FC25" w14:textId="77777777" w:rsidTr="00AE42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688B2760" w14:textId="77777777" w:rsidR="00C220BF" w:rsidRPr="00842545" w:rsidRDefault="00C220BF">
            <w:r w:rsidRPr="00842545">
              <w:t xml:space="preserve">Measure: </w:t>
            </w:r>
          </w:p>
        </w:tc>
        <w:tc>
          <w:tcPr>
            <w:tcW w:w="6860" w:type="dxa"/>
          </w:tcPr>
          <w:p w14:paraId="3D7281CA" w14:textId="77777777" w:rsidR="00C220BF" w:rsidRPr="00842545" w:rsidRDefault="00C220BF">
            <w:pPr>
              <w:cnfStyle w:val="100000000000" w:firstRow="1" w:lastRow="0" w:firstColumn="0" w:lastColumn="0" w:oddVBand="0" w:evenVBand="0" w:oddHBand="0" w:evenHBand="0" w:firstRowFirstColumn="0" w:firstRowLastColumn="0" w:lastRowFirstColumn="0" w:lastRowLastColumn="0"/>
            </w:pPr>
            <w:r w:rsidRPr="00842545">
              <w:t>Primary Care Provider Visit (Children)</w:t>
            </w:r>
          </w:p>
        </w:tc>
      </w:tr>
      <w:tr w:rsidR="00C220BF" w:rsidRPr="00842545" w14:paraId="4F7D4061" w14:textId="77777777" w:rsidTr="00AE4209">
        <w:tc>
          <w:tcPr>
            <w:cnfStyle w:val="001000000000" w:firstRow="0" w:lastRow="0" w:firstColumn="1" w:lastColumn="0" w:oddVBand="0" w:evenVBand="0" w:oddHBand="0" w:evenHBand="0" w:firstRowFirstColumn="0" w:firstRowLastColumn="0" w:lastRowFirstColumn="0" w:lastRowLastColumn="0"/>
            <w:tcW w:w="2484" w:type="dxa"/>
          </w:tcPr>
          <w:p w14:paraId="677B0882" w14:textId="77777777" w:rsidR="00C220BF" w:rsidRPr="00842545" w:rsidRDefault="00C220BF">
            <w:r w:rsidRPr="00842545">
              <w:t xml:space="preserve">Steward: </w:t>
            </w:r>
          </w:p>
        </w:tc>
        <w:tc>
          <w:tcPr>
            <w:tcW w:w="6860" w:type="dxa"/>
          </w:tcPr>
          <w:p w14:paraId="760240CF" w14:textId="77777777" w:rsidR="00C220BF" w:rsidRPr="00842545" w:rsidRDefault="00C220BF">
            <w:pPr>
              <w:cnfStyle w:val="000000000000" w:firstRow="0" w:lastRow="0" w:firstColumn="0" w:lastColumn="0" w:oddVBand="0" w:evenVBand="0" w:oddHBand="0" w:evenHBand="0" w:firstRowFirstColumn="0" w:firstRowLastColumn="0" w:lastRowFirstColumn="0" w:lastRowLastColumn="0"/>
            </w:pPr>
            <w:r w:rsidRPr="00842545">
              <w:t>Steward: National Committee on Quality Assurance</w:t>
            </w:r>
          </w:p>
        </w:tc>
      </w:tr>
      <w:tr w:rsidR="00AE4209" w:rsidRPr="00842545" w14:paraId="6CC41106" w14:textId="77777777" w:rsidTr="00AE4209">
        <w:tc>
          <w:tcPr>
            <w:cnfStyle w:val="001000000000" w:firstRow="0" w:lastRow="0" w:firstColumn="1" w:lastColumn="0" w:oddVBand="0" w:evenVBand="0" w:oddHBand="0" w:evenHBand="0" w:firstRowFirstColumn="0" w:firstRowLastColumn="0" w:lastRowFirstColumn="0" w:lastRowLastColumn="0"/>
            <w:tcW w:w="2484" w:type="dxa"/>
          </w:tcPr>
          <w:p w14:paraId="131BBAC2" w14:textId="77777777" w:rsidR="00AE4209" w:rsidRPr="00842545" w:rsidRDefault="00AE4209" w:rsidP="00AE4209">
            <w:r w:rsidRPr="00842545">
              <w:t>NQF Endorsed:</w:t>
            </w:r>
          </w:p>
        </w:tc>
        <w:tc>
          <w:tcPr>
            <w:tcW w:w="6860" w:type="dxa"/>
          </w:tcPr>
          <w:p w14:paraId="29D85F12" w14:textId="48B66F47" w:rsidR="00AE4209" w:rsidRPr="00842545" w:rsidRDefault="00AE4209" w:rsidP="00AE4209">
            <w:pPr>
              <w:cnfStyle w:val="000000000000" w:firstRow="0" w:lastRow="0" w:firstColumn="0" w:lastColumn="0" w:oddVBand="0" w:evenVBand="0" w:oddHBand="0" w:evenHBand="0" w:firstRowFirstColumn="0" w:firstRowLastColumn="0" w:lastRowFirstColumn="0" w:lastRowLastColumn="0"/>
            </w:pPr>
            <w:r w:rsidRPr="00842545">
              <w:t>No</w:t>
            </w:r>
          </w:p>
        </w:tc>
      </w:tr>
      <w:tr w:rsidR="00C220BF" w:rsidRPr="00842545" w14:paraId="57E12DBF" w14:textId="77777777" w:rsidTr="00AE4209">
        <w:tc>
          <w:tcPr>
            <w:cnfStyle w:val="001000000000" w:firstRow="0" w:lastRow="0" w:firstColumn="1" w:lastColumn="0" w:oddVBand="0" w:evenVBand="0" w:oddHBand="0" w:evenHBand="0" w:firstRowFirstColumn="0" w:firstRowLastColumn="0" w:lastRowFirstColumn="0" w:lastRowLastColumn="0"/>
            <w:tcW w:w="2484" w:type="dxa"/>
          </w:tcPr>
          <w:p w14:paraId="38CE0B11" w14:textId="77777777" w:rsidR="00C220BF" w:rsidRPr="00842545" w:rsidRDefault="00C220BF">
            <w:r w:rsidRPr="00842545">
              <w:t>Description</w:t>
            </w:r>
          </w:p>
        </w:tc>
        <w:tc>
          <w:tcPr>
            <w:tcW w:w="6860" w:type="dxa"/>
          </w:tcPr>
          <w:p w14:paraId="538B56A1" w14:textId="0826801F" w:rsidR="00C220BF" w:rsidRPr="00842545" w:rsidRDefault="00C220BF">
            <w:pPr>
              <w:cnfStyle w:val="000000000000" w:firstRow="0" w:lastRow="0" w:firstColumn="0" w:lastColumn="0" w:oddVBand="0" w:evenVBand="0" w:oddHBand="0" w:evenHBand="0" w:firstRowFirstColumn="0" w:firstRowLastColumn="0" w:lastRowFirstColumn="0" w:lastRowLastColumn="0"/>
            </w:pPr>
            <w:r w:rsidRPr="00842545">
              <w:t>Percentage of children and adolescents 12 months</w:t>
            </w:r>
            <w:r w:rsidR="005B47F7">
              <w:t xml:space="preserve"> of age</w:t>
            </w:r>
            <w:r w:rsidRPr="00842545">
              <w:t xml:space="preserve"> to 19 </w:t>
            </w:r>
            <w:r w:rsidR="005B47F7">
              <w:t xml:space="preserve">years of age </w:t>
            </w:r>
            <w:r w:rsidRPr="00842545">
              <w:t>who had a visit with a primary care practitioner (PCP). Four separate percentages are reported:</w:t>
            </w:r>
          </w:p>
          <w:p w14:paraId="238734F5" w14:textId="480DD8F6" w:rsidR="00C220BF" w:rsidRPr="00D46EB0"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D46EB0">
              <w:t xml:space="preserve">Children ages 12 to 24 months </w:t>
            </w:r>
            <w:r w:rsidR="005B47F7">
              <w:t xml:space="preserve">of age </w:t>
            </w:r>
            <w:r w:rsidRPr="00D46EB0">
              <w:t>and 25 months to 6</w:t>
            </w:r>
            <w:r w:rsidR="005B47F7">
              <w:t xml:space="preserve"> years of age</w:t>
            </w:r>
            <w:r w:rsidRPr="00D46EB0">
              <w:t xml:space="preserve"> who had a visit with a PCP during the measurement year</w:t>
            </w:r>
            <w:r w:rsidR="008B6898">
              <w:t>.</w:t>
            </w:r>
          </w:p>
          <w:p w14:paraId="15076603" w14:textId="528D7FF1" w:rsidR="00C220BF" w:rsidRPr="00842545"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842545">
              <w:t xml:space="preserve">Children </w:t>
            </w:r>
            <w:bookmarkStart w:id="264" w:name="_Hlk151292374"/>
            <w:r w:rsidRPr="00842545">
              <w:t xml:space="preserve">7 to 11 </w:t>
            </w:r>
            <w:r w:rsidR="005B47F7">
              <w:t xml:space="preserve">years of age </w:t>
            </w:r>
            <w:r w:rsidRPr="00842545">
              <w:t xml:space="preserve">and adolescents 12 to 19 </w:t>
            </w:r>
            <w:r w:rsidR="005B47F7">
              <w:t>years of age</w:t>
            </w:r>
            <w:bookmarkEnd w:id="264"/>
            <w:r w:rsidR="005B47F7">
              <w:t xml:space="preserve"> </w:t>
            </w:r>
            <w:r w:rsidRPr="00842545">
              <w:t>who had a visit with a PCP during the measurement year or the year prior to the measurement year</w:t>
            </w:r>
            <w:r w:rsidR="008B6898">
              <w:t>.</w:t>
            </w:r>
          </w:p>
        </w:tc>
      </w:tr>
      <w:tr w:rsidR="00C220BF" w:rsidRPr="00842545" w14:paraId="12CFC151" w14:textId="77777777" w:rsidTr="00AE4209">
        <w:tc>
          <w:tcPr>
            <w:cnfStyle w:val="001000000000" w:firstRow="0" w:lastRow="0" w:firstColumn="1" w:lastColumn="0" w:oddVBand="0" w:evenVBand="0" w:oddHBand="0" w:evenHBand="0" w:firstRowFirstColumn="0" w:firstRowLastColumn="0" w:lastRowFirstColumn="0" w:lastRowLastColumn="0"/>
            <w:tcW w:w="2484" w:type="dxa"/>
          </w:tcPr>
          <w:p w14:paraId="74A4DC1D" w14:textId="77777777" w:rsidR="00C220BF" w:rsidRPr="00842545" w:rsidRDefault="00C220BF">
            <w:r w:rsidRPr="00842545">
              <w:t>Numerator</w:t>
            </w:r>
          </w:p>
        </w:tc>
        <w:tc>
          <w:tcPr>
            <w:tcW w:w="6860" w:type="dxa"/>
          </w:tcPr>
          <w:p w14:paraId="739D3BAB" w14:textId="7403C662" w:rsidR="00C220BF" w:rsidRPr="00842545"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842545">
              <w:t>For 12 to 24 months</w:t>
            </w:r>
            <w:r w:rsidR="00DA7342">
              <w:t xml:space="preserve"> </w:t>
            </w:r>
            <w:r w:rsidR="005B47F7">
              <w:t xml:space="preserve">of age </w:t>
            </w:r>
            <w:r w:rsidR="00DA7342">
              <w:t>and</w:t>
            </w:r>
            <w:r w:rsidRPr="00842545">
              <w:t xml:space="preserve"> 25 months </w:t>
            </w:r>
            <w:r w:rsidR="005B47F7">
              <w:t xml:space="preserve">of age </w:t>
            </w:r>
            <w:r w:rsidRPr="00842545">
              <w:t>to 6</w:t>
            </w:r>
            <w:r w:rsidR="005B47F7">
              <w:t xml:space="preserve"> years of age</w:t>
            </w:r>
            <w:r w:rsidRPr="00842545">
              <w:t>: One or more visits with a PCP (Ambulatory Visits Value Set) during the measurement year.</w:t>
            </w:r>
          </w:p>
          <w:p w14:paraId="72070821" w14:textId="5DE20EB5" w:rsidR="00C220BF" w:rsidRPr="00842545"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842545">
              <w:t xml:space="preserve">For </w:t>
            </w:r>
            <w:r w:rsidR="005B47F7" w:rsidRPr="00842545">
              <w:t xml:space="preserve">7 to 11 </w:t>
            </w:r>
            <w:r w:rsidR="005B47F7">
              <w:t xml:space="preserve">years of age </w:t>
            </w:r>
            <w:r w:rsidR="005B47F7" w:rsidRPr="00842545">
              <w:t xml:space="preserve">and 12 to 19 </w:t>
            </w:r>
            <w:r w:rsidR="005B47F7">
              <w:t>years of age</w:t>
            </w:r>
            <w:r w:rsidRPr="00842545">
              <w:t>: One or more visits with a PCP (Ambulatory Visits Value Set) during the measurement year or the year prior to the measurement year. Count all children/</w:t>
            </w:r>
            <w:r w:rsidR="005B47F7">
              <w:t xml:space="preserve"> </w:t>
            </w:r>
            <w:r w:rsidRPr="00842545">
              <w:t>adolescents who had an ambulatory or preventive care visit to any PCP.</w:t>
            </w:r>
          </w:p>
        </w:tc>
      </w:tr>
      <w:tr w:rsidR="00C220BF" w:rsidRPr="00842545" w14:paraId="60642D21" w14:textId="77777777" w:rsidTr="00AE4209">
        <w:tc>
          <w:tcPr>
            <w:cnfStyle w:val="001000000000" w:firstRow="0" w:lastRow="0" w:firstColumn="1" w:lastColumn="0" w:oddVBand="0" w:evenVBand="0" w:oddHBand="0" w:evenHBand="0" w:firstRowFirstColumn="0" w:firstRowLastColumn="0" w:lastRowFirstColumn="0" w:lastRowLastColumn="0"/>
            <w:tcW w:w="2484" w:type="dxa"/>
          </w:tcPr>
          <w:p w14:paraId="4738067C" w14:textId="77777777" w:rsidR="00C220BF" w:rsidRPr="00842545" w:rsidRDefault="00C220BF">
            <w:r w:rsidRPr="00842545">
              <w:t>Denominator</w:t>
            </w:r>
          </w:p>
        </w:tc>
        <w:tc>
          <w:tcPr>
            <w:tcW w:w="6860" w:type="dxa"/>
          </w:tcPr>
          <w:p w14:paraId="4B5D9684" w14:textId="77777777" w:rsidR="00C220BF" w:rsidRPr="00842545" w:rsidRDefault="00C220BF">
            <w:pPr>
              <w:cnfStyle w:val="000000000000" w:firstRow="0" w:lastRow="0" w:firstColumn="0" w:lastColumn="0" w:oddVBand="0" w:evenVBand="0" w:oddHBand="0" w:evenHBand="0" w:firstRowFirstColumn="0" w:firstRowLastColumn="0" w:lastRowFirstColumn="0" w:lastRowLastColumn="0"/>
            </w:pPr>
            <w:r w:rsidRPr="00842545">
              <w:t>The eligible population</w:t>
            </w:r>
          </w:p>
        </w:tc>
      </w:tr>
      <w:tr w:rsidR="00C220BF" w:rsidRPr="00842545" w14:paraId="745936BB" w14:textId="77777777" w:rsidTr="00AE4209">
        <w:tc>
          <w:tcPr>
            <w:cnfStyle w:val="001000000000" w:firstRow="0" w:lastRow="0" w:firstColumn="1" w:lastColumn="0" w:oddVBand="0" w:evenVBand="0" w:oddHBand="0" w:evenHBand="0" w:firstRowFirstColumn="0" w:firstRowLastColumn="0" w:lastRowFirstColumn="0" w:lastRowLastColumn="0"/>
            <w:tcW w:w="2484" w:type="dxa"/>
          </w:tcPr>
          <w:p w14:paraId="7E242965" w14:textId="77777777" w:rsidR="00C220BF" w:rsidRPr="00842545" w:rsidRDefault="00C220BF">
            <w:r w:rsidRPr="00842545">
              <w:t>Data Sources</w:t>
            </w:r>
          </w:p>
        </w:tc>
        <w:tc>
          <w:tcPr>
            <w:tcW w:w="6860" w:type="dxa"/>
          </w:tcPr>
          <w:p w14:paraId="4C5502CC" w14:textId="77777777" w:rsidR="00C220BF" w:rsidRPr="00842545" w:rsidRDefault="00C220BF">
            <w:pPr>
              <w:cnfStyle w:val="000000000000" w:firstRow="0" w:lastRow="0" w:firstColumn="0" w:lastColumn="0" w:oddVBand="0" w:evenVBand="0" w:oddHBand="0" w:evenHBand="0" w:firstRowFirstColumn="0" w:firstRowLastColumn="0" w:lastRowFirstColumn="0" w:lastRowLastColumn="0"/>
            </w:pPr>
            <w:r w:rsidRPr="00842545">
              <w:t>Medicaid claims/encounters data</w:t>
            </w:r>
          </w:p>
        </w:tc>
      </w:tr>
      <w:tr w:rsidR="00C220BF" w:rsidRPr="00842545" w14:paraId="248A5586" w14:textId="77777777" w:rsidTr="00AE4209">
        <w:tc>
          <w:tcPr>
            <w:cnfStyle w:val="001000000000" w:firstRow="0" w:lastRow="0" w:firstColumn="1" w:lastColumn="0" w:oddVBand="0" w:evenVBand="0" w:oddHBand="0" w:evenHBand="0" w:firstRowFirstColumn="0" w:firstRowLastColumn="0" w:lastRowFirstColumn="0" w:lastRowLastColumn="0"/>
            <w:tcW w:w="2484" w:type="dxa"/>
          </w:tcPr>
          <w:p w14:paraId="1D958FFC" w14:textId="77777777" w:rsidR="00C220BF" w:rsidRPr="00842545" w:rsidRDefault="00C220BF">
            <w:r w:rsidRPr="00842545">
              <w:t xml:space="preserve">National Benchmark </w:t>
            </w:r>
          </w:p>
        </w:tc>
        <w:tc>
          <w:tcPr>
            <w:tcW w:w="6860" w:type="dxa"/>
          </w:tcPr>
          <w:p w14:paraId="0DC16754" w14:textId="77777777" w:rsidR="00C220BF" w:rsidRPr="00842545" w:rsidRDefault="00C220BF">
            <w:pPr>
              <w:cnfStyle w:val="000000000000" w:firstRow="0" w:lastRow="0" w:firstColumn="0" w:lastColumn="0" w:oddVBand="0" w:evenVBand="0" w:oddHBand="0" w:evenHBand="0" w:firstRowFirstColumn="0" w:firstRowLastColumn="0" w:lastRowFirstColumn="0" w:lastRowLastColumn="0"/>
            </w:pPr>
            <w:r w:rsidRPr="00842545">
              <w:t>2019 Medicaid HMO = 95.1%</w:t>
            </w:r>
          </w:p>
          <w:p w14:paraId="4FA5BE82" w14:textId="54C90115" w:rsidR="00C220BF" w:rsidRPr="00842545" w:rsidRDefault="0020559B">
            <w:pPr>
              <w:cnfStyle w:val="000000000000" w:firstRow="0" w:lastRow="0" w:firstColumn="0" w:lastColumn="0" w:oddVBand="0" w:evenVBand="0" w:oddHBand="0" w:evenHBand="0" w:firstRowFirstColumn="0" w:firstRowLastColumn="0" w:lastRowFirstColumn="0" w:lastRowLastColumn="0"/>
            </w:pPr>
            <w:hyperlink r:id="rId46" w:history="1">
              <w:r w:rsidR="005F5CC3" w:rsidRPr="009348BF">
                <w:rPr>
                  <w:rStyle w:val="Hyperlink"/>
                </w:rPr>
                <w:t>https://www.ncqa.org/hedis/measures/children-and-adolescents-access-to-primary-care-practitioners-cap/</w:t>
              </w:r>
            </w:hyperlink>
            <w:r w:rsidR="005F5CC3">
              <w:t xml:space="preserve"> </w:t>
            </w:r>
          </w:p>
        </w:tc>
      </w:tr>
    </w:tbl>
    <w:p w14:paraId="69FFB66A" w14:textId="77777777" w:rsidR="00C220BF" w:rsidRDefault="00C220BF" w:rsidP="00727B56">
      <w:pPr>
        <w:pStyle w:val="NoSpacing"/>
      </w:pPr>
    </w:p>
    <w:tbl>
      <w:tblPr>
        <w:tblStyle w:val="FHCclean10pt"/>
        <w:tblW w:w="0" w:type="auto"/>
        <w:tblLook w:val="04A0" w:firstRow="1" w:lastRow="0" w:firstColumn="1" w:lastColumn="0" w:noHBand="0" w:noVBand="1"/>
      </w:tblPr>
      <w:tblGrid>
        <w:gridCol w:w="2484"/>
        <w:gridCol w:w="6860"/>
      </w:tblGrid>
      <w:tr w:rsidR="00C220BF" w:rsidRPr="0009132C" w14:paraId="380E3D4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6" w:type="dxa"/>
          </w:tcPr>
          <w:p w14:paraId="1205FE51" w14:textId="77777777" w:rsidR="00C220BF" w:rsidRPr="0009132C" w:rsidRDefault="00C220BF">
            <w:pPr>
              <w:rPr>
                <w:rFonts w:eastAsia="Calibri"/>
              </w:rPr>
            </w:pPr>
            <w:r w:rsidRPr="0030184A">
              <w:t xml:space="preserve">Measure: </w:t>
            </w:r>
          </w:p>
        </w:tc>
        <w:tc>
          <w:tcPr>
            <w:tcW w:w="6864" w:type="dxa"/>
          </w:tcPr>
          <w:p w14:paraId="0AFA1BEE" w14:textId="75917EF4" w:rsidR="00C220BF" w:rsidRPr="0009132C" w:rsidRDefault="00C220BF">
            <w:pPr>
              <w:cnfStyle w:val="100000000000" w:firstRow="1" w:lastRow="0" w:firstColumn="0" w:lastColumn="0" w:oddVBand="0" w:evenVBand="0" w:oddHBand="0" w:evenHBand="0" w:firstRowFirstColumn="0" w:firstRowLastColumn="0" w:lastRowFirstColumn="0" w:lastRowLastColumn="0"/>
              <w:rPr>
                <w:rFonts w:eastAsia="Calibri"/>
              </w:rPr>
            </w:pPr>
            <w:r w:rsidRPr="0009132C">
              <w:rPr>
                <w:rFonts w:eastAsia="Calibri"/>
              </w:rPr>
              <w:t xml:space="preserve">Child and Adolescent Well-Care Visits (WCV) </w:t>
            </w:r>
            <w:r w:rsidRPr="00223AA4">
              <w:br/>
              <w:t xml:space="preserve">*MassHealth ACO </w:t>
            </w:r>
            <w:r w:rsidR="005F5CC3" w:rsidRPr="00223AA4">
              <w:t>M</w:t>
            </w:r>
            <w:r w:rsidRPr="00223AA4">
              <w:t xml:space="preserve">onitoring </w:t>
            </w:r>
            <w:r w:rsidR="005F5CC3" w:rsidRPr="00223AA4">
              <w:t>M</w:t>
            </w:r>
            <w:r w:rsidRPr="00223AA4">
              <w:t>easure</w:t>
            </w:r>
          </w:p>
        </w:tc>
      </w:tr>
      <w:tr w:rsidR="00C220BF" w:rsidRPr="0009132C" w14:paraId="1A5BE87E" w14:textId="77777777">
        <w:tc>
          <w:tcPr>
            <w:cnfStyle w:val="001000000000" w:firstRow="0" w:lastRow="0" w:firstColumn="1" w:lastColumn="0" w:oddVBand="0" w:evenVBand="0" w:oddHBand="0" w:evenHBand="0" w:firstRowFirstColumn="0" w:firstRowLastColumn="0" w:lastRowFirstColumn="0" w:lastRowLastColumn="0"/>
            <w:tcW w:w="2486" w:type="dxa"/>
          </w:tcPr>
          <w:p w14:paraId="155168AB" w14:textId="77777777" w:rsidR="00C220BF" w:rsidRPr="00842545" w:rsidRDefault="00C220BF">
            <w:r w:rsidRPr="00842545">
              <w:t xml:space="preserve">Steward: </w:t>
            </w:r>
          </w:p>
        </w:tc>
        <w:tc>
          <w:tcPr>
            <w:tcW w:w="6864" w:type="dxa"/>
          </w:tcPr>
          <w:p w14:paraId="6F293179" w14:textId="77777777" w:rsidR="00C220BF" w:rsidRPr="00842545" w:rsidRDefault="00C220BF">
            <w:pPr>
              <w:cnfStyle w:val="000000000000" w:firstRow="0" w:lastRow="0" w:firstColumn="0" w:lastColumn="0" w:oddVBand="0" w:evenVBand="0" w:oddHBand="0" w:evenHBand="0" w:firstRowFirstColumn="0" w:firstRowLastColumn="0" w:lastRowFirstColumn="0" w:lastRowLastColumn="0"/>
            </w:pPr>
            <w:r w:rsidRPr="00842545">
              <w:t>National Committee for Quality Assurance</w:t>
            </w:r>
          </w:p>
        </w:tc>
      </w:tr>
      <w:tr w:rsidR="00C220BF" w:rsidRPr="0009132C" w14:paraId="6EA0E122" w14:textId="77777777">
        <w:tc>
          <w:tcPr>
            <w:cnfStyle w:val="001000000000" w:firstRow="0" w:lastRow="0" w:firstColumn="1" w:lastColumn="0" w:oddVBand="0" w:evenVBand="0" w:oddHBand="0" w:evenHBand="0" w:firstRowFirstColumn="0" w:firstRowLastColumn="0" w:lastRowFirstColumn="0" w:lastRowLastColumn="0"/>
            <w:tcW w:w="2486" w:type="dxa"/>
          </w:tcPr>
          <w:p w14:paraId="52F2F53A" w14:textId="77777777" w:rsidR="00C220BF" w:rsidRPr="0009132C" w:rsidRDefault="00C220BF">
            <w:pPr>
              <w:rPr>
                <w:rFonts w:eastAsia="Calibri"/>
              </w:rPr>
            </w:pPr>
            <w:r w:rsidRPr="0030184A">
              <w:t>NQF Endorsed:</w:t>
            </w:r>
          </w:p>
        </w:tc>
        <w:tc>
          <w:tcPr>
            <w:tcW w:w="6864" w:type="dxa"/>
          </w:tcPr>
          <w:p w14:paraId="4DB68889" w14:textId="77777777"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No</w:t>
            </w:r>
          </w:p>
        </w:tc>
      </w:tr>
      <w:tr w:rsidR="00C220BF" w:rsidRPr="0009132C" w14:paraId="24016B51" w14:textId="77777777">
        <w:tc>
          <w:tcPr>
            <w:cnfStyle w:val="001000000000" w:firstRow="0" w:lastRow="0" w:firstColumn="1" w:lastColumn="0" w:oddVBand="0" w:evenVBand="0" w:oddHBand="0" w:evenHBand="0" w:firstRowFirstColumn="0" w:firstRowLastColumn="0" w:lastRowFirstColumn="0" w:lastRowLastColumn="0"/>
            <w:tcW w:w="2486" w:type="dxa"/>
          </w:tcPr>
          <w:p w14:paraId="2CE9CEBD" w14:textId="77777777" w:rsidR="00C220BF" w:rsidRPr="0009132C" w:rsidRDefault="00C220BF">
            <w:pPr>
              <w:rPr>
                <w:rFonts w:eastAsia="Calibri"/>
              </w:rPr>
            </w:pPr>
            <w:r w:rsidRPr="0009132C">
              <w:rPr>
                <w:rFonts w:eastAsia="Calibri"/>
              </w:rPr>
              <w:t>Description</w:t>
            </w:r>
          </w:p>
        </w:tc>
        <w:tc>
          <w:tcPr>
            <w:tcW w:w="6864" w:type="dxa"/>
          </w:tcPr>
          <w:p w14:paraId="20ACE607" w14:textId="69C06048"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The percentage of members 3</w:t>
            </w:r>
            <w:r w:rsidR="005B47F7">
              <w:rPr>
                <w:rFonts w:eastAsia="Calibri"/>
              </w:rPr>
              <w:t xml:space="preserve"> to </w:t>
            </w:r>
            <w:r w:rsidRPr="0009132C">
              <w:rPr>
                <w:rFonts w:eastAsia="Calibri"/>
              </w:rPr>
              <w:t>21 years of age who had at least one comprehensive well-care visit with a PCP or an OB/GYN practitioner during the measurement year.</w:t>
            </w:r>
          </w:p>
        </w:tc>
      </w:tr>
      <w:tr w:rsidR="00C220BF" w:rsidRPr="0009132C" w14:paraId="22D528FB" w14:textId="77777777">
        <w:tc>
          <w:tcPr>
            <w:cnfStyle w:val="001000000000" w:firstRow="0" w:lastRow="0" w:firstColumn="1" w:lastColumn="0" w:oddVBand="0" w:evenVBand="0" w:oddHBand="0" w:evenHBand="0" w:firstRowFirstColumn="0" w:firstRowLastColumn="0" w:lastRowFirstColumn="0" w:lastRowLastColumn="0"/>
            <w:tcW w:w="2486" w:type="dxa"/>
          </w:tcPr>
          <w:p w14:paraId="657ED4EB" w14:textId="77777777" w:rsidR="00C220BF" w:rsidRPr="0009132C" w:rsidRDefault="00C220BF">
            <w:pPr>
              <w:rPr>
                <w:rFonts w:eastAsia="Calibri"/>
              </w:rPr>
            </w:pPr>
            <w:r w:rsidRPr="0009132C">
              <w:rPr>
                <w:rFonts w:eastAsia="Calibri"/>
              </w:rPr>
              <w:t>Numerator</w:t>
            </w:r>
          </w:p>
        </w:tc>
        <w:tc>
          <w:tcPr>
            <w:tcW w:w="6864" w:type="dxa"/>
          </w:tcPr>
          <w:p w14:paraId="4DBB3B0C" w14:textId="31F1820F"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At least one comprehensive well-care visit with a PCP or an OB/GYN practitioner during the measurement year. The practitioner does not have to be the practitioner assigned to the adolescent</w:t>
            </w:r>
            <w:r w:rsidR="008406C6">
              <w:rPr>
                <w:rFonts w:eastAsia="Calibri"/>
              </w:rPr>
              <w:t>.</w:t>
            </w:r>
          </w:p>
        </w:tc>
      </w:tr>
      <w:tr w:rsidR="00C220BF" w:rsidRPr="0009132C" w14:paraId="40A23320" w14:textId="77777777">
        <w:tc>
          <w:tcPr>
            <w:cnfStyle w:val="001000000000" w:firstRow="0" w:lastRow="0" w:firstColumn="1" w:lastColumn="0" w:oddVBand="0" w:evenVBand="0" w:oddHBand="0" w:evenHBand="0" w:firstRowFirstColumn="0" w:firstRowLastColumn="0" w:lastRowFirstColumn="0" w:lastRowLastColumn="0"/>
            <w:tcW w:w="2486" w:type="dxa"/>
          </w:tcPr>
          <w:p w14:paraId="6691F50E" w14:textId="77777777" w:rsidR="00C220BF" w:rsidRPr="0009132C" w:rsidRDefault="00C220BF">
            <w:pPr>
              <w:rPr>
                <w:rFonts w:eastAsia="Calibri"/>
              </w:rPr>
            </w:pPr>
            <w:r w:rsidRPr="0009132C">
              <w:rPr>
                <w:rFonts w:eastAsia="Calibri"/>
              </w:rPr>
              <w:t>Denominator</w:t>
            </w:r>
          </w:p>
        </w:tc>
        <w:tc>
          <w:tcPr>
            <w:tcW w:w="6864" w:type="dxa"/>
          </w:tcPr>
          <w:p w14:paraId="08730C0E" w14:textId="77777777"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The eligible population</w:t>
            </w:r>
          </w:p>
        </w:tc>
      </w:tr>
      <w:tr w:rsidR="00C220BF" w:rsidRPr="0009132C" w14:paraId="48C0B301" w14:textId="77777777">
        <w:tc>
          <w:tcPr>
            <w:cnfStyle w:val="001000000000" w:firstRow="0" w:lastRow="0" w:firstColumn="1" w:lastColumn="0" w:oddVBand="0" w:evenVBand="0" w:oddHBand="0" w:evenHBand="0" w:firstRowFirstColumn="0" w:firstRowLastColumn="0" w:lastRowFirstColumn="0" w:lastRowLastColumn="0"/>
            <w:tcW w:w="2486" w:type="dxa"/>
          </w:tcPr>
          <w:p w14:paraId="29903BC0" w14:textId="77777777" w:rsidR="00C220BF" w:rsidRPr="0009132C" w:rsidRDefault="00C220BF">
            <w:pPr>
              <w:rPr>
                <w:rFonts w:eastAsia="Calibri"/>
              </w:rPr>
            </w:pPr>
            <w:r w:rsidRPr="0009132C">
              <w:rPr>
                <w:rFonts w:eastAsia="Calibri"/>
              </w:rPr>
              <w:t>Data Sources</w:t>
            </w:r>
          </w:p>
        </w:tc>
        <w:tc>
          <w:tcPr>
            <w:tcW w:w="6864" w:type="dxa"/>
          </w:tcPr>
          <w:p w14:paraId="1D510886" w14:textId="77777777"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Medicaid claims/encounters data</w:t>
            </w:r>
          </w:p>
        </w:tc>
      </w:tr>
      <w:tr w:rsidR="00C220BF" w:rsidRPr="0009132C" w14:paraId="61642F60" w14:textId="77777777">
        <w:tc>
          <w:tcPr>
            <w:cnfStyle w:val="001000000000" w:firstRow="0" w:lastRow="0" w:firstColumn="1" w:lastColumn="0" w:oddVBand="0" w:evenVBand="0" w:oddHBand="0" w:evenHBand="0" w:firstRowFirstColumn="0" w:firstRowLastColumn="0" w:lastRowFirstColumn="0" w:lastRowLastColumn="0"/>
            <w:tcW w:w="2486" w:type="dxa"/>
          </w:tcPr>
          <w:p w14:paraId="239FFB4A" w14:textId="77777777" w:rsidR="00C220BF" w:rsidRPr="0009132C" w:rsidRDefault="00C220BF">
            <w:pPr>
              <w:rPr>
                <w:rFonts w:eastAsia="Calibri"/>
              </w:rPr>
            </w:pPr>
            <w:r w:rsidRPr="0009132C">
              <w:rPr>
                <w:rFonts w:eastAsia="Calibri"/>
              </w:rPr>
              <w:t>National Benchmark</w:t>
            </w:r>
          </w:p>
        </w:tc>
        <w:tc>
          <w:tcPr>
            <w:tcW w:w="6864" w:type="dxa"/>
          </w:tcPr>
          <w:p w14:paraId="4B781C20" w14:textId="77777777"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2021 Medicaid HMO = 49.5%</w:t>
            </w:r>
          </w:p>
          <w:p w14:paraId="59DBD416" w14:textId="6C8F670F"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 xml:space="preserve">Source: </w:t>
            </w:r>
            <w:hyperlink r:id="rId47" w:history="1">
              <w:r w:rsidR="005F5CC3" w:rsidRPr="009348BF">
                <w:rPr>
                  <w:rStyle w:val="Hyperlink"/>
                  <w:rFonts w:eastAsia="Calibri"/>
                </w:rPr>
                <w:t>https://www.ncqa.org/hedis/measures/child-and-adolescent-well-care-visits/</w:t>
              </w:r>
            </w:hyperlink>
            <w:r w:rsidR="005F5CC3">
              <w:rPr>
                <w:rFonts w:eastAsia="Calibri"/>
              </w:rPr>
              <w:t xml:space="preserve"> </w:t>
            </w:r>
          </w:p>
        </w:tc>
      </w:tr>
    </w:tbl>
    <w:p w14:paraId="5B7A587B" w14:textId="77777777" w:rsidR="00C220BF" w:rsidRDefault="00C220BF" w:rsidP="00727B56">
      <w:pPr>
        <w:pStyle w:val="NoSpacing"/>
      </w:pPr>
    </w:p>
    <w:tbl>
      <w:tblPr>
        <w:tblStyle w:val="FHCclean10pt"/>
        <w:tblW w:w="0" w:type="auto"/>
        <w:tblLook w:val="04A0" w:firstRow="1" w:lastRow="0" w:firstColumn="1" w:lastColumn="0" w:noHBand="0" w:noVBand="1"/>
      </w:tblPr>
      <w:tblGrid>
        <w:gridCol w:w="2485"/>
        <w:gridCol w:w="6859"/>
      </w:tblGrid>
      <w:tr w:rsidR="00C220BF" w:rsidRPr="0009132C" w14:paraId="778D6A0B" w14:textId="77777777" w:rsidTr="00A969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5" w:type="dxa"/>
          </w:tcPr>
          <w:p w14:paraId="7FA14205" w14:textId="77777777" w:rsidR="00C220BF" w:rsidRPr="0009132C" w:rsidRDefault="00C220BF">
            <w:pPr>
              <w:rPr>
                <w:rFonts w:eastAsia="Calibri"/>
              </w:rPr>
            </w:pPr>
            <w:r w:rsidRPr="0030184A">
              <w:lastRenderedPageBreak/>
              <w:t xml:space="preserve">Measure: </w:t>
            </w:r>
          </w:p>
        </w:tc>
        <w:tc>
          <w:tcPr>
            <w:tcW w:w="6859" w:type="dxa"/>
          </w:tcPr>
          <w:p w14:paraId="686EA3C3" w14:textId="77777777" w:rsidR="00C220BF" w:rsidRPr="0009132C" w:rsidRDefault="00C220BF">
            <w:pPr>
              <w:cnfStyle w:val="100000000000" w:firstRow="1" w:lastRow="0" w:firstColumn="0" w:lastColumn="0" w:oddVBand="0" w:evenVBand="0" w:oddHBand="0" w:evenHBand="0" w:firstRowFirstColumn="0" w:firstRowLastColumn="0" w:lastRowFirstColumn="0" w:lastRowLastColumn="0"/>
              <w:rPr>
                <w:rFonts w:eastAsia="Calibri"/>
              </w:rPr>
            </w:pPr>
            <w:r w:rsidRPr="00BF235A">
              <w:t>All Cause Inpatient Admissions</w:t>
            </w:r>
          </w:p>
        </w:tc>
      </w:tr>
      <w:tr w:rsidR="00C220BF" w:rsidRPr="0009132C" w14:paraId="00B6B357" w14:textId="77777777" w:rsidTr="00A96958">
        <w:tc>
          <w:tcPr>
            <w:cnfStyle w:val="001000000000" w:firstRow="0" w:lastRow="0" w:firstColumn="1" w:lastColumn="0" w:oddVBand="0" w:evenVBand="0" w:oddHBand="0" w:evenHBand="0" w:firstRowFirstColumn="0" w:firstRowLastColumn="0" w:lastRowFirstColumn="0" w:lastRowLastColumn="0"/>
            <w:tcW w:w="2485" w:type="dxa"/>
          </w:tcPr>
          <w:p w14:paraId="072A3205" w14:textId="77777777" w:rsidR="00C220BF" w:rsidRPr="0009132C" w:rsidRDefault="00C220BF">
            <w:pPr>
              <w:rPr>
                <w:rFonts w:eastAsia="Calibri"/>
              </w:rPr>
            </w:pPr>
            <w:r w:rsidRPr="0030184A">
              <w:t xml:space="preserve">Steward: </w:t>
            </w:r>
          </w:p>
        </w:tc>
        <w:tc>
          <w:tcPr>
            <w:tcW w:w="6859" w:type="dxa"/>
          </w:tcPr>
          <w:p w14:paraId="78CD8D67" w14:textId="77777777"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BF235A">
              <w:t>MassHealth</w:t>
            </w:r>
          </w:p>
        </w:tc>
      </w:tr>
      <w:tr w:rsidR="00A96958" w:rsidRPr="0009132C" w14:paraId="30B56B06" w14:textId="77777777" w:rsidTr="00A96958">
        <w:tc>
          <w:tcPr>
            <w:cnfStyle w:val="001000000000" w:firstRow="0" w:lastRow="0" w:firstColumn="1" w:lastColumn="0" w:oddVBand="0" w:evenVBand="0" w:oddHBand="0" w:evenHBand="0" w:firstRowFirstColumn="0" w:firstRowLastColumn="0" w:lastRowFirstColumn="0" w:lastRowLastColumn="0"/>
            <w:tcW w:w="2485" w:type="dxa"/>
          </w:tcPr>
          <w:p w14:paraId="7C0ABB16" w14:textId="77777777" w:rsidR="00A96958" w:rsidRPr="0009132C" w:rsidRDefault="00A96958" w:rsidP="00A96958">
            <w:pPr>
              <w:rPr>
                <w:rFonts w:eastAsia="Calibri"/>
              </w:rPr>
            </w:pPr>
            <w:r w:rsidRPr="0030184A">
              <w:t>NQF Endorsed:</w:t>
            </w:r>
          </w:p>
        </w:tc>
        <w:tc>
          <w:tcPr>
            <w:tcW w:w="6859" w:type="dxa"/>
          </w:tcPr>
          <w:p w14:paraId="42B83AD2" w14:textId="0BF8C0B5" w:rsidR="00A96958" w:rsidRPr="0009132C" w:rsidRDefault="00A96958" w:rsidP="00A96958">
            <w:pPr>
              <w:cnfStyle w:val="000000000000" w:firstRow="0" w:lastRow="0" w:firstColumn="0" w:lastColumn="0" w:oddVBand="0" w:evenVBand="0" w:oddHBand="0" w:evenHBand="0" w:firstRowFirstColumn="0" w:firstRowLastColumn="0" w:lastRowFirstColumn="0" w:lastRowLastColumn="0"/>
              <w:rPr>
                <w:rFonts w:eastAsia="Calibri"/>
              </w:rPr>
            </w:pPr>
            <w:r w:rsidRPr="00BF235A">
              <w:t>No</w:t>
            </w:r>
          </w:p>
        </w:tc>
      </w:tr>
      <w:tr w:rsidR="00C220BF" w:rsidRPr="006D0A35" w14:paraId="4291CAE6" w14:textId="77777777" w:rsidTr="00A96958">
        <w:tc>
          <w:tcPr>
            <w:cnfStyle w:val="001000000000" w:firstRow="0" w:lastRow="0" w:firstColumn="1" w:lastColumn="0" w:oddVBand="0" w:evenVBand="0" w:oddHBand="0" w:evenHBand="0" w:firstRowFirstColumn="0" w:firstRowLastColumn="0" w:lastRowFirstColumn="0" w:lastRowLastColumn="0"/>
            <w:tcW w:w="2485" w:type="dxa"/>
          </w:tcPr>
          <w:p w14:paraId="3AD78BC3" w14:textId="77777777" w:rsidR="00C220BF" w:rsidRPr="006D0A35" w:rsidRDefault="00C220BF">
            <w:r w:rsidRPr="006D0A35">
              <w:t>Description</w:t>
            </w:r>
          </w:p>
        </w:tc>
        <w:tc>
          <w:tcPr>
            <w:tcW w:w="6859" w:type="dxa"/>
          </w:tcPr>
          <w:p w14:paraId="7A1995B9" w14:textId="14E69FE5" w:rsidR="00C220BF" w:rsidRPr="006D0A35" w:rsidRDefault="00C220BF">
            <w:pPr>
              <w:cnfStyle w:val="000000000000" w:firstRow="0" w:lastRow="0" w:firstColumn="0" w:lastColumn="0" w:oddVBand="0" w:evenVBand="0" w:oddHBand="0" w:evenHBand="0" w:firstRowFirstColumn="0" w:firstRowLastColumn="0" w:lastRowFirstColumn="0" w:lastRowLastColumn="0"/>
            </w:pPr>
            <w:r w:rsidRPr="006D0A35">
              <w:t>Rate of all-cause acute hospital admissions (or observation stays)</w:t>
            </w:r>
            <w:r w:rsidR="00327C0B">
              <w:t>.</w:t>
            </w:r>
          </w:p>
        </w:tc>
      </w:tr>
      <w:tr w:rsidR="00C220BF" w:rsidRPr="006D0A35" w14:paraId="5B7EADD4" w14:textId="77777777" w:rsidTr="00A96958">
        <w:tc>
          <w:tcPr>
            <w:cnfStyle w:val="001000000000" w:firstRow="0" w:lastRow="0" w:firstColumn="1" w:lastColumn="0" w:oddVBand="0" w:evenVBand="0" w:oddHBand="0" w:evenHBand="0" w:firstRowFirstColumn="0" w:firstRowLastColumn="0" w:lastRowFirstColumn="0" w:lastRowLastColumn="0"/>
            <w:tcW w:w="2485" w:type="dxa"/>
          </w:tcPr>
          <w:p w14:paraId="6E21BA96" w14:textId="77777777" w:rsidR="00C220BF" w:rsidRPr="006D0A35" w:rsidRDefault="00C220BF">
            <w:r w:rsidRPr="006D0A35">
              <w:t>Numerator</w:t>
            </w:r>
          </w:p>
        </w:tc>
        <w:tc>
          <w:tcPr>
            <w:tcW w:w="6859" w:type="dxa"/>
          </w:tcPr>
          <w:p w14:paraId="1EFFEEF3" w14:textId="11446478" w:rsidR="00C220BF" w:rsidRPr="006D0A35" w:rsidRDefault="00C220BF">
            <w:pPr>
              <w:cnfStyle w:val="000000000000" w:firstRow="0" w:lastRow="0" w:firstColumn="0" w:lastColumn="0" w:oddVBand="0" w:evenVBand="0" w:oddHBand="0" w:evenHBand="0" w:firstRowFirstColumn="0" w:firstRowLastColumn="0" w:lastRowFirstColumn="0" w:lastRowLastColumn="0"/>
            </w:pPr>
            <w:r w:rsidRPr="006D0A35">
              <w:t>The number of acute inpatient admissions from any cause</w:t>
            </w:r>
            <w:r w:rsidR="00327C0B">
              <w:t>.</w:t>
            </w:r>
          </w:p>
        </w:tc>
      </w:tr>
      <w:tr w:rsidR="00C220BF" w:rsidRPr="006D0A35" w14:paraId="52E4ECEE" w14:textId="77777777" w:rsidTr="00A96958">
        <w:tc>
          <w:tcPr>
            <w:cnfStyle w:val="001000000000" w:firstRow="0" w:lastRow="0" w:firstColumn="1" w:lastColumn="0" w:oddVBand="0" w:evenVBand="0" w:oddHBand="0" w:evenHBand="0" w:firstRowFirstColumn="0" w:firstRowLastColumn="0" w:lastRowFirstColumn="0" w:lastRowLastColumn="0"/>
            <w:tcW w:w="2485" w:type="dxa"/>
          </w:tcPr>
          <w:p w14:paraId="25DF77C8" w14:textId="77777777" w:rsidR="00C220BF" w:rsidRPr="006D0A35" w:rsidRDefault="00C220BF">
            <w:r w:rsidRPr="006D0A35">
              <w:t>Denominator</w:t>
            </w:r>
          </w:p>
        </w:tc>
        <w:tc>
          <w:tcPr>
            <w:tcW w:w="6859" w:type="dxa"/>
          </w:tcPr>
          <w:p w14:paraId="0902FE5D" w14:textId="6F4CFFF5" w:rsidR="00C220BF" w:rsidRPr="006D0A35" w:rsidRDefault="00C220BF">
            <w:pPr>
              <w:cnfStyle w:val="000000000000" w:firstRow="0" w:lastRow="0" w:firstColumn="0" w:lastColumn="0" w:oddVBand="0" w:evenVBand="0" w:oddHBand="0" w:evenHBand="0" w:firstRowFirstColumn="0" w:firstRowLastColumn="0" w:lastRowFirstColumn="0" w:lastRowLastColumn="0"/>
            </w:pPr>
            <w:r w:rsidRPr="006D0A35">
              <w:t>The person-time contributed by members in the population of interest during the measurement period</w:t>
            </w:r>
            <w:r w:rsidR="00DA7342">
              <w:t>.</w:t>
            </w:r>
          </w:p>
        </w:tc>
      </w:tr>
      <w:tr w:rsidR="00C220BF" w:rsidRPr="006D0A35" w14:paraId="52B67BD8" w14:textId="77777777" w:rsidTr="00A96958">
        <w:tc>
          <w:tcPr>
            <w:cnfStyle w:val="001000000000" w:firstRow="0" w:lastRow="0" w:firstColumn="1" w:lastColumn="0" w:oddVBand="0" w:evenVBand="0" w:oddHBand="0" w:evenHBand="0" w:firstRowFirstColumn="0" w:firstRowLastColumn="0" w:lastRowFirstColumn="0" w:lastRowLastColumn="0"/>
            <w:tcW w:w="2485" w:type="dxa"/>
          </w:tcPr>
          <w:p w14:paraId="33625AAD" w14:textId="77777777" w:rsidR="00C220BF" w:rsidRPr="006D0A35" w:rsidRDefault="00C220BF">
            <w:r w:rsidRPr="006D0A35">
              <w:t>Data Sources</w:t>
            </w:r>
          </w:p>
        </w:tc>
        <w:tc>
          <w:tcPr>
            <w:tcW w:w="6859" w:type="dxa"/>
          </w:tcPr>
          <w:p w14:paraId="5F3D6E1F" w14:textId="77777777" w:rsidR="00C220BF" w:rsidRPr="006D0A35" w:rsidRDefault="00C220BF">
            <w:pPr>
              <w:cnfStyle w:val="000000000000" w:firstRow="0" w:lastRow="0" w:firstColumn="0" w:lastColumn="0" w:oddVBand="0" w:evenVBand="0" w:oddHBand="0" w:evenHBand="0" w:firstRowFirstColumn="0" w:firstRowLastColumn="0" w:lastRowFirstColumn="0" w:lastRowLastColumn="0"/>
            </w:pPr>
            <w:r w:rsidRPr="006D0A35">
              <w:t>Medicaid claims/encounters data</w:t>
            </w:r>
          </w:p>
        </w:tc>
      </w:tr>
      <w:tr w:rsidR="00C220BF" w:rsidRPr="006D0A35" w14:paraId="647C075B" w14:textId="77777777" w:rsidTr="00A96958">
        <w:tc>
          <w:tcPr>
            <w:cnfStyle w:val="001000000000" w:firstRow="0" w:lastRow="0" w:firstColumn="1" w:lastColumn="0" w:oddVBand="0" w:evenVBand="0" w:oddHBand="0" w:evenHBand="0" w:firstRowFirstColumn="0" w:firstRowLastColumn="0" w:lastRowFirstColumn="0" w:lastRowLastColumn="0"/>
            <w:tcW w:w="2485" w:type="dxa"/>
          </w:tcPr>
          <w:p w14:paraId="3DB9EC7A" w14:textId="77777777" w:rsidR="00C220BF" w:rsidRPr="006D0A35" w:rsidRDefault="00C220BF">
            <w:r w:rsidRPr="006D0A35">
              <w:t>National Benchmark</w:t>
            </w:r>
          </w:p>
        </w:tc>
        <w:tc>
          <w:tcPr>
            <w:tcW w:w="6859" w:type="dxa"/>
          </w:tcPr>
          <w:p w14:paraId="20B1EA73" w14:textId="77777777" w:rsidR="00C220BF" w:rsidRPr="006D0A35" w:rsidRDefault="00C220BF">
            <w:pPr>
              <w:cnfStyle w:val="000000000000" w:firstRow="0" w:lastRow="0" w:firstColumn="0" w:lastColumn="0" w:oddVBand="0" w:evenVBand="0" w:oddHBand="0" w:evenHBand="0" w:firstRowFirstColumn="0" w:firstRowLastColumn="0" w:lastRowFirstColumn="0" w:lastRowLastColumn="0"/>
            </w:pPr>
            <w:r w:rsidRPr="006D0A35">
              <w:t xml:space="preserve">None </w:t>
            </w:r>
          </w:p>
        </w:tc>
      </w:tr>
    </w:tbl>
    <w:p w14:paraId="05331623" w14:textId="77777777" w:rsidR="00C220BF" w:rsidRDefault="00C220BF" w:rsidP="00727B56">
      <w:pPr>
        <w:pStyle w:val="NoSpacing"/>
      </w:pPr>
    </w:p>
    <w:tbl>
      <w:tblPr>
        <w:tblStyle w:val="FHCclean10pt"/>
        <w:tblW w:w="0" w:type="auto"/>
        <w:tblLook w:val="04A0" w:firstRow="1" w:lastRow="0" w:firstColumn="1" w:lastColumn="0" w:noHBand="0" w:noVBand="1"/>
      </w:tblPr>
      <w:tblGrid>
        <w:gridCol w:w="2485"/>
        <w:gridCol w:w="6859"/>
      </w:tblGrid>
      <w:tr w:rsidR="00C220BF" w:rsidRPr="006D0A35" w14:paraId="0B8D999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6" w:type="dxa"/>
          </w:tcPr>
          <w:p w14:paraId="13E4FBA8" w14:textId="77777777" w:rsidR="00C220BF" w:rsidRPr="006D0A35" w:rsidRDefault="00C220BF">
            <w:r w:rsidRPr="0030184A">
              <w:t xml:space="preserve">Measure: </w:t>
            </w:r>
          </w:p>
        </w:tc>
        <w:tc>
          <w:tcPr>
            <w:tcW w:w="6864" w:type="dxa"/>
          </w:tcPr>
          <w:p w14:paraId="529725AF" w14:textId="77777777" w:rsidR="00C220BF" w:rsidRPr="006D0A35" w:rsidRDefault="00C220BF">
            <w:pPr>
              <w:cnfStyle w:val="100000000000" w:firstRow="1" w:lastRow="0" w:firstColumn="0" w:lastColumn="0" w:oddVBand="0" w:evenVBand="0" w:oddHBand="0" w:evenHBand="0" w:firstRowFirstColumn="0" w:firstRowLastColumn="0" w:lastRowFirstColumn="0" w:lastRowLastColumn="0"/>
            </w:pPr>
            <w:r w:rsidRPr="00CF63E1">
              <w:t>All Cause ED Visits</w:t>
            </w:r>
          </w:p>
        </w:tc>
      </w:tr>
      <w:tr w:rsidR="00C220BF" w:rsidRPr="006D0A35" w14:paraId="601E4B0D" w14:textId="77777777">
        <w:tc>
          <w:tcPr>
            <w:cnfStyle w:val="001000000000" w:firstRow="0" w:lastRow="0" w:firstColumn="1" w:lastColumn="0" w:oddVBand="0" w:evenVBand="0" w:oddHBand="0" w:evenHBand="0" w:firstRowFirstColumn="0" w:firstRowLastColumn="0" w:lastRowFirstColumn="0" w:lastRowLastColumn="0"/>
            <w:tcW w:w="2486" w:type="dxa"/>
          </w:tcPr>
          <w:p w14:paraId="524B2394" w14:textId="77777777" w:rsidR="00C220BF" w:rsidRPr="006D0A35" w:rsidRDefault="00C220BF">
            <w:r w:rsidRPr="0030184A">
              <w:t xml:space="preserve">Steward: </w:t>
            </w:r>
          </w:p>
        </w:tc>
        <w:tc>
          <w:tcPr>
            <w:tcW w:w="6864" w:type="dxa"/>
          </w:tcPr>
          <w:p w14:paraId="27A0D529" w14:textId="77777777" w:rsidR="00C220BF" w:rsidRPr="006D0A35" w:rsidRDefault="00C220BF">
            <w:pPr>
              <w:cnfStyle w:val="000000000000" w:firstRow="0" w:lastRow="0" w:firstColumn="0" w:lastColumn="0" w:oddVBand="0" w:evenVBand="0" w:oddHBand="0" w:evenHBand="0" w:firstRowFirstColumn="0" w:firstRowLastColumn="0" w:lastRowFirstColumn="0" w:lastRowLastColumn="0"/>
            </w:pPr>
            <w:r w:rsidRPr="00CF63E1">
              <w:t>MassHealth</w:t>
            </w:r>
          </w:p>
        </w:tc>
      </w:tr>
      <w:tr w:rsidR="00C220BF" w:rsidRPr="006D0A35" w14:paraId="1B3D8250" w14:textId="77777777">
        <w:tc>
          <w:tcPr>
            <w:cnfStyle w:val="001000000000" w:firstRow="0" w:lastRow="0" w:firstColumn="1" w:lastColumn="0" w:oddVBand="0" w:evenVBand="0" w:oddHBand="0" w:evenHBand="0" w:firstRowFirstColumn="0" w:firstRowLastColumn="0" w:lastRowFirstColumn="0" w:lastRowLastColumn="0"/>
            <w:tcW w:w="2486" w:type="dxa"/>
          </w:tcPr>
          <w:p w14:paraId="053224AB" w14:textId="77777777" w:rsidR="00C220BF" w:rsidRPr="006D0A35" w:rsidRDefault="00C220BF">
            <w:r w:rsidRPr="0030184A">
              <w:t>NQF Endorsed:</w:t>
            </w:r>
          </w:p>
        </w:tc>
        <w:tc>
          <w:tcPr>
            <w:tcW w:w="6864" w:type="dxa"/>
          </w:tcPr>
          <w:p w14:paraId="6FB559A8" w14:textId="77777777" w:rsidR="00C220BF" w:rsidRPr="006D0A35" w:rsidRDefault="00C220BF">
            <w:pPr>
              <w:cnfStyle w:val="000000000000" w:firstRow="0" w:lastRow="0" w:firstColumn="0" w:lastColumn="0" w:oddVBand="0" w:evenVBand="0" w:oddHBand="0" w:evenHBand="0" w:firstRowFirstColumn="0" w:firstRowLastColumn="0" w:lastRowFirstColumn="0" w:lastRowLastColumn="0"/>
            </w:pPr>
            <w:r>
              <w:t>No</w:t>
            </w:r>
          </w:p>
        </w:tc>
      </w:tr>
      <w:tr w:rsidR="00C220BF" w:rsidRPr="006D0A35" w14:paraId="16DFF6FA" w14:textId="77777777">
        <w:tc>
          <w:tcPr>
            <w:cnfStyle w:val="001000000000" w:firstRow="0" w:lastRow="0" w:firstColumn="1" w:lastColumn="0" w:oddVBand="0" w:evenVBand="0" w:oddHBand="0" w:evenHBand="0" w:firstRowFirstColumn="0" w:firstRowLastColumn="0" w:lastRowFirstColumn="0" w:lastRowLastColumn="0"/>
            <w:tcW w:w="2486" w:type="dxa"/>
          </w:tcPr>
          <w:p w14:paraId="21BCE957" w14:textId="77777777" w:rsidR="00C220BF" w:rsidRPr="006D0A35" w:rsidRDefault="00C220BF">
            <w:r w:rsidRPr="006D0A35">
              <w:t>Description</w:t>
            </w:r>
          </w:p>
        </w:tc>
        <w:tc>
          <w:tcPr>
            <w:tcW w:w="6864" w:type="dxa"/>
          </w:tcPr>
          <w:p w14:paraId="675083DF" w14:textId="61059972" w:rsidR="00C220BF" w:rsidRPr="006D0A35" w:rsidRDefault="00C220BF">
            <w:pPr>
              <w:cnfStyle w:val="000000000000" w:firstRow="0" w:lastRow="0" w:firstColumn="0" w:lastColumn="0" w:oddVBand="0" w:evenVBand="0" w:oddHBand="0" w:evenHBand="0" w:firstRowFirstColumn="0" w:firstRowLastColumn="0" w:lastRowFirstColumn="0" w:lastRowLastColumn="0"/>
            </w:pPr>
            <w:r w:rsidRPr="006D0A35">
              <w:t xml:space="preserve">Rate of </w:t>
            </w:r>
            <w:r w:rsidR="00327C0B" w:rsidRPr="006D0A35">
              <w:t>all</w:t>
            </w:r>
            <w:r w:rsidR="00327C0B">
              <w:t>-</w:t>
            </w:r>
            <w:r w:rsidRPr="006D0A35">
              <w:t>cause ED visits for enrollees 3 to 64 years of age</w:t>
            </w:r>
            <w:r w:rsidR="00327C0B">
              <w:t>.</w:t>
            </w:r>
          </w:p>
        </w:tc>
      </w:tr>
      <w:tr w:rsidR="00C220BF" w:rsidRPr="006D0A35" w14:paraId="42E64042" w14:textId="77777777">
        <w:tc>
          <w:tcPr>
            <w:cnfStyle w:val="001000000000" w:firstRow="0" w:lastRow="0" w:firstColumn="1" w:lastColumn="0" w:oddVBand="0" w:evenVBand="0" w:oddHBand="0" w:evenHBand="0" w:firstRowFirstColumn="0" w:firstRowLastColumn="0" w:lastRowFirstColumn="0" w:lastRowLastColumn="0"/>
            <w:tcW w:w="2486" w:type="dxa"/>
          </w:tcPr>
          <w:p w14:paraId="29129D0E" w14:textId="77777777" w:rsidR="00C220BF" w:rsidRPr="006D0A35" w:rsidRDefault="00C220BF">
            <w:r w:rsidRPr="006D0A35">
              <w:t>Numerator</w:t>
            </w:r>
          </w:p>
        </w:tc>
        <w:tc>
          <w:tcPr>
            <w:tcW w:w="6864" w:type="dxa"/>
          </w:tcPr>
          <w:p w14:paraId="4A1FD975" w14:textId="657C0587" w:rsidR="00C220BF" w:rsidRPr="006D0A35" w:rsidRDefault="00C220BF">
            <w:pPr>
              <w:cnfStyle w:val="000000000000" w:firstRow="0" w:lastRow="0" w:firstColumn="0" w:lastColumn="0" w:oddVBand="0" w:evenVBand="0" w:oddHBand="0" w:evenHBand="0" w:firstRowFirstColumn="0" w:firstRowLastColumn="0" w:lastRowFirstColumn="0" w:lastRowLastColumn="0"/>
            </w:pPr>
            <w:r w:rsidRPr="006D0A35">
              <w:t>All ED visits by enrollees 3 to 64 years of age on or between January 1 and December 1 of the measurement year</w:t>
            </w:r>
            <w:r w:rsidR="00327C0B">
              <w:t>.</w:t>
            </w:r>
          </w:p>
        </w:tc>
      </w:tr>
      <w:tr w:rsidR="00C220BF" w:rsidRPr="006D0A35" w14:paraId="45EA5873" w14:textId="77777777">
        <w:tc>
          <w:tcPr>
            <w:cnfStyle w:val="001000000000" w:firstRow="0" w:lastRow="0" w:firstColumn="1" w:lastColumn="0" w:oddVBand="0" w:evenVBand="0" w:oddHBand="0" w:evenHBand="0" w:firstRowFirstColumn="0" w:firstRowLastColumn="0" w:lastRowFirstColumn="0" w:lastRowLastColumn="0"/>
            <w:tcW w:w="2486" w:type="dxa"/>
          </w:tcPr>
          <w:p w14:paraId="163C0D41" w14:textId="77777777" w:rsidR="00C220BF" w:rsidRPr="006D0A35" w:rsidRDefault="00C220BF">
            <w:r w:rsidRPr="006D0A35">
              <w:t>Denominator</w:t>
            </w:r>
          </w:p>
        </w:tc>
        <w:tc>
          <w:tcPr>
            <w:tcW w:w="6864" w:type="dxa"/>
          </w:tcPr>
          <w:p w14:paraId="18D531F6" w14:textId="77777777" w:rsidR="00C220BF" w:rsidRPr="006D0A35" w:rsidRDefault="00C220BF">
            <w:pPr>
              <w:cnfStyle w:val="000000000000" w:firstRow="0" w:lastRow="0" w:firstColumn="0" w:lastColumn="0" w:oddVBand="0" w:evenVBand="0" w:oddHBand="0" w:evenHBand="0" w:firstRowFirstColumn="0" w:firstRowLastColumn="0" w:lastRowFirstColumn="0" w:lastRowLastColumn="0"/>
            </w:pPr>
            <w:r w:rsidRPr="006D0A35">
              <w:t>Enrollees 3 to 64 years of age</w:t>
            </w:r>
          </w:p>
        </w:tc>
      </w:tr>
      <w:tr w:rsidR="00C220BF" w:rsidRPr="006D0A35" w14:paraId="58A34238" w14:textId="77777777">
        <w:tc>
          <w:tcPr>
            <w:cnfStyle w:val="001000000000" w:firstRow="0" w:lastRow="0" w:firstColumn="1" w:lastColumn="0" w:oddVBand="0" w:evenVBand="0" w:oddHBand="0" w:evenHBand="0" w:firstRowFirstColumn="0" w:firstRowLastColumn="0" w:lastRowFirstColumn="0" w:lastRowLastColumn="0"/>
            <w:tcW w:w="2486" w:type="dxa"/>
          </w:tcPr>
          <w:p w14:paraId="4A500274" w14:textId="77777777" w:rsidR="00C220BF" w:rsidRPr="006D0A35" w:rsidRDefault="00C220BF">
            <w:r w:rsidRPr="006D0A35">
              <w:t>Data Sources</w:t>
            </w:r>
          </w:p>
        </w:tc>
        <w:tc>
          <w:tcPr>
            <w:tcW w:w="6864" w:type="dxa"/>
          </w:tcPr>
          <w:p w14:paraId="7A7AEB56" w14:textId="77777777" w:rsidR="00C220BF" w:rsidRPr="006D0A35" w:rsidRDefault="00C220BF">
            <w:pPr>
              <w:cnfStyle w:val="000000000000" w:firstRow="0" w:lastRow="0" w:firstColumn="0" w:lastColumn="0" w:oddVBand="0" w:evenVBand="0" w:oddHBand="0" w:evenHBand="0" w:firstRowFirstColumn="0" w:firstRowLastColumn="0" w:lastRowFirstColumn="0" w:lastRowLastColumn="0"/>
            </w:pPr>
            <w:r w:rsidRPr="006D0A35">
              <w:t>Medicaid claims/encounters data</w:t>
            </w:r>
          </w:p>
        </w:tc>
      </w:tr>
      <w:tr w:rsidR="00C220BF" w:rsidRPr="006D0A35" w14:paraId="2F57A738" w14:textId="77777777">
        <w:tc>
          <w:tcPr>
            <w:cnfStyle w:val="001000000000" w:firstRow="0" w:lastRow="0" w:firstColumn="1" w:lastColumn="0" w:oddVBand="0" w:evenVBand="0" w:oddHBand="0" w:evenHBand="0" w:firstRowFirstColumn="0" w:firstRowLastColumn="0" w:lastRowFirstColumn="0" w:lastRowLastColumn="0"/>
            <w:tcW w:w="2486" w:type="dxa"/>
          </w:tcPr>
          <w:p w14:paraId="0A30417A" w14:textId="77777777" w:rsidR="00C220BF" w:rsidRPr="006D0A35" w:rsidRDefault="00C220BF">
            <w:r w:rsidRPr="006D0A35">
              <w:t>National Benchmark</w:t>
            </w:r>
          </w:p>
        </w:tc>
        <w:tc>
          <w:tcPr>
            <w:tcW w:w="6864" w:type="dxa"/>
          </w:tcPr>
          <w:p w14:paraId="784CA4B5" w14:textId="77777777" w:rsidR="00C220BF" w:rsidRPr="006D0A35" w:rsidRDefault="00C220BF">
            <w:pPr>
              <w:cnfStyle w:val="000000000000" w:firstRow="0" w:lastRow="0" w:firstColumn="0" w:lastColumn="0" w:oddVBand="0" w:evenVBand="0" w:oddHBand="0" w:evenHBand="0" w:firstRowFirstColumn="0" w:firstRowLastColumn="0" w:lastRowFirstColumn="0" w:lastRowLastColumn="0"/>
            </w:pPr>
            <w:r w:rsidRPr="006D0A35">
              <w:t>None</w:t>
            </w:r>
          </w:p>
        </w:tc>
      </w:tr>
    </w:tbl>
    <w:p w14:paraId="50B6E5BC" w14:textId="77777777" w:rsidR="00C220BF" w:rsidRDefault="00C220BF" w:rsidP="00727B56">
      <w:pPr>
        <w:pStyle w:val="NoSpacing"/>
      </w:pPr>
    </w:p>
    <w:tbl>
      <w:tblPr>
        <w:tblStyle w:val="FHCclean10pt"/>
        <w:tblW w:w="0" w:type="auto"/>
        <w:tblLook w:val="04A0" w:firstRow="1" w:lastRow="0" w:firstColumn="1" w:lastColumn="0" w:noHBand="0" w:noVBand="1"/>
      </w:tblPr>
      <w:tblGrid>
        <w:gridCol w:w="2485"/>
        <w:gridCol w:w="6859"/>
      </w:tblGrid>
      <w:tr w:rsidR="00C220BF" w:rsidRPr="0009132C" w14:paraId="1DF3183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5" w:type="dxa"/>
          </w:tcPr>
          <w:p w14:paraId="139847B3" w14:textId="77777777" w:rsidR="00C220BF" w:rsidRPr="0009132C" w:rsidRDefault="00C220BF">
            <w:pPr>
              <w:rPr>
                <w:rFonts w:eastAsia="Calibri"/>
              </w:rPr>
            </w:pPr>
            <w:r>
              <w:rPr>
                <w:rFonts w:eastAsia="Calibri"/>
              </w:rPr>
              <w:t>Measure:</w:t>
            </w:r>
          </w:p>
        </w:tc>
        <w:tc>
          <w:tcPr>
            <w:tcW w:w="6859" w:type="dxa"/>
          </w:tcPr>
          <w:p w14:paraId="54034ECE" w14:textId="77777777" w:rsidR="00C220BF" w:rsidRPr="0009132C" w:rsidRDefault="00C220BF">
            <w:pPr>
              <w:cnfStyle w:val="100000000000" w:firstRow="1" w:lastRow="0" w:firstColumn="0" w:lastColumn="0" w:oddVBand="0" w:evenVBand="0" w:oddHBand="0" w:evenHBand="0" w:firstRowFirstColumn="0" w:firstRowLastColumn="0" w:lastRowFirstColumn="0" w:lastRowLastColumn="0"/>
              <w:rPr>
                <w:rFonts w:eastAsia="Calibri"/>
              </w:rPr>
            </w:pPr>
            <w:r w:rsidRPr="00B844FA">
              <w:rPr>
                <w:rFonts w:eastAsia="Calibri"/>
              </w:rPr>
              <w:t>Primary Care Sensitive ED Visits</w:t>
            </w:r>
          </w:p>
        </w:tc>
      </w:tr>
      <w:tr w:rsidR="00BF0EE9" w:rsidRPr="0009132C" w14:paraId="26D676BB" w14:textId="77777777">
        <w:tc>
          <w:tcPr>
            <w:cnfStyle w:val="001000000000" w:firstRow="0" w:lastRow="0" w:firstColumn="1" w:lastColumn="0" w:oddVBand="0" w:evenVBand="0" w:oddHBand="0" w:evenHBand="0" w:firstRowFirstColumn="0" w:firstRowLastColumn="0" w:lastRowFirstColumn="0" w:lastRowLastColumn="0"/>
            <w:tcW w:w="2485" w:type="dxa"/>
          </w:tcPr>
          <w:p w14:paraId="11F3E419" w14:textId="77777777" w:rsidR="00BF0EE9" w:rsidRPr="0030184A" w:rsidRDefault="00BF0EE9" w:rsidP="00BF0EE9">
            <w:r>
              <w:t>Steward:</w:t>
            </w:r>
          </w:p>
        </w:tc>
        <w:tc>
          <w:tcPr>
            <w:tcW w:w="6859" w:type="dxa"/>
          </w:tcPr>
          <w:p w14:paraId="548253D2" w14:textId="43008299" w:rsidR="00BF0EE9" w:rsidRDefault="00BF0EE9" w:rsidP="00BF0EE9">
            <w:pP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None</w:t>
            </w:r>
          </w:p>
        </w:tc>
      </w:tr>
      <w:tr w:rsidR="00C220BF" w:rsidRPr="0009132C" w14:paraId="1FA85AC2" w14:textId="77777777">
        <w:tc>
          <w:tcPr>
            <w:cnfStyle w:val="001000000000" w:firstRow="0" w:lastRow="0" w:firstColumn="1" w:lastColumn="0" w:oddVBand="0" w:evenVBand="0" w:oddHBand="0" w:evenHBand="0" w:firstRowFirstColumn="0" w:firstRowLastColumn="0" w:lastRowFirstColumn="0" w:lastRowLastColumn="0"/>
            <w:tcW w:w="2485" w:type="dxa"/>
          </w:tcPr>
          <w:p w14:paraId="0C95BCCD" w14:textId="77777777" w:rsidR="00C220BF" w:rsidRPr="0009132C" w:rsidRDefault="00C220BF">
            <w:pPr>
              <w:rPr>
                <w:rFonts w:eastAsia="Calibri"/>
              </w:rPr>
            </w:pPr>
            <w:r w:rsidRPr="0030184A">
              <w:t>NQF Endorsed:</w:t>
            </w:r>
          </w:p>
        </w:tc>
        <w:tc>
          <w:tcPr>
            <w:tcW w:w="6859" w:type="dxa"/>
          </w:tcPr>
          <w:p w14:paraId="6778C848" w14:textId="77777777"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No</w:t>
            </w:r>
          </w:p>
        </w:tc>
      </w:tr>
      <w:tr w:rsidR="00C220BF" w:rsidRPr="0009132C" w14:paraId="10BCA787" w14:textId="77777777">
        <w:tc>
          <w:tcPr>
            <w:cnfStyle w:val="001000000000" w:firstRow="0" w:lastRow="0" w:firstColumn="1" w:lastColumn="0" w:oddVBand="0" w:evenVBand="0" w:oddHBand="0" w:evenHBand="0" w:firstRowFirstColumn="0" w:firstRowLastColumn="0" w:lastRowFirstColumn="0" w:lastRowLastColumn="0"/>
            <w:tcW w:w="2485" w:type="dxa"/>
          </w:tcPr>
          <w:p w14:paraId="18AE8DD6" w14:textId="77777777" w:rsidR="00C220BF" w:rsidRPr="0009132C" w:rsidRDefault="00C220BF">
            <w:pPr>
              <w:rPr>
                <w:rFonts w:eastAsia="Calibri"/>
              </w:rPr>
            </w:pPr>
            <w:r w:rsidRPr="0009132C">
              <w:rPr>
                <w:rFonts w:eastAsia="Calibri"/>
              </w:rPr>
              <w:t>Description</w:t>
            </w:r>
          </w:p>
        </w:tc>
        <w:tc>
          <w:tcPr>
            <w:tcW w:w="6859" w:type="dxa"/>
          </w:tcPr>
          <w:p w14:paraId="7B83F78C" w14:textId="522C0F77"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Rate of primary care sensitive ED visits for enrollees 3 to 64 years of age</w:t>
            </w:r>
            <w:r w:rsidR="00327C0B">
              <w:rPr>
                <w:rFonts w:eastAsia="Calibri"/>
              </w:rPr>
              <w:t>.</w:t>
            </w:r>
          </w:p>
        </w:tc>
      </w:tr>
      <w:tr w:rsidR="00C220BF" w:rsidRPr="0009132C" w14:paraId="55BAEC77" w14:textId="77777777">
        <w:tc>
          <w:tcPr>
            <w:cnfStyle w:val="001000000000" w:firstRow="0" w:lastRow="0" w:firstColumn="1" w:lastColumn="0" w:oddVBand="0" w:evenVBand="0" w:oddHBand="0" w:evenHBand="0" w:firstRowFirstColumn="0" w:firstRowLastColumn="0" w:lastRowFirstColumn="0" w:lastRowLastColumn="0"/>
            <w:tcW w:w="2485" w:type="dxa"/>
          </w:tcPr>
          <w:p w14:paraId="3073AEA6" w14:textId="77777777" w:rsidR="00C220BF" w:rsidRPr="0009132C" w:rsidRDefault="00C220BF">
            <w:pPr>
              <w:rPr>
                <w:rFonts w:eastAsia="Calibri"/>
              </w:rPr>
            </w:pPr>
            <w:r w:rsidRPr="0009132C">
              <w:rPr>
                <w:rFonts w:eastAsia="Calibri"/>
              </w:rPr>
              <w:t>Numerator</w:t>
            </w:r>
          </w:p>
        </w:tc>
        <w:tc>
          <w:tcPr>
            <w:tcW w:w="6859" w:type="dxa"/>
          </w:tcPr>
          <w:p w14:paraId="60FFF084" w14:textId="4051768F"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All primary care sensitive ED visits by enrollees 3 to 64 years of age on or between January 1 and December 1 of the measurement year</w:t>
            </w:r>
            <w:r w:rsidR="00327C0B">
              <w:rPr>
                <w:rFonts w:eastAsia="Calibri"/>
              </w:rPr>
              <w:t>.</w:t>
            </w:r>
          </w:p>
        </w:tc>
      </w:tr>
      <w:tr w:rsidR="00C220BF" w:rsidRPr="0009132C" w14:paraId="7B2A74D2" w14:textId="77777777">
        <w:tc>
          <w:tcPr>
            <w:cnfStyle w:val="001000000000" w:firstRow="0" w:lastRow="0" w:firstColumn="1" w:lastColumn="0" w:oddVBand="0" w:evenVBand="0" w:oddHBand="0" w:evenHBand="0" w:firstRowFirstColumn="0" w:firstRowLastColumn="0" w:lastRowFirstColumn="0" w:lastRowLastColumn="0"/>
            <w:tcW w:w="2485" w:type="dxa"/>
          </w:tcPr>
          <w:p w14:paraId="7F0E7C60" w14:textId="77777777" w:rsidR="00C220BF" w:rsidRPr="0009132C" w:rsidRDefault="00C220BF">
            <w:pPr>
              <w:rPr>
                <w:rFonts w:eastAsia="Calibri"/>
              </w:rPr>
            </w:pPr>
            <w:r w:rsidRPr="0009132C">
              <w:rPr>
                <w:rFonts w:eastAsia="Calibri"/>
              </w:rPr>
              <w:t>Denominator</w:t>
            </w:r>
          </w:p>
        </w:tc>
        <w:tc>
          <w:tcPr>
            <w:tcW w:w="6859" w:type="dxa"/>
          </w:tcPr>
          <w:p w14:paraId="69C66556" w14:textId="5DB65102"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Person-time contributed by enrollees 3 to 64 years of age</w:t>
            </w:r>
            <w:r w:rsidR="00182DB7">
              <w:rPr>
                <w:rFonts w:eastAsia="Calibri"/>
              </w:rPr>
              <w:t>.</w:t>
            </w:r>
          </w:p>
        </w:tc>
      </w:tr>
      <w:tr w:rsidR="00C220BF" w:rsidRPr="0009132C" w14:paraId="4424FC42" w14:textId="77777777">
        <w:tc>
          <w:tcPr>
            <w:cnfStyle w:val="001000000000" w:firstRow="0" w:lastRow="0" w:firstColumn="1" w:lastColumn="0" w:oddVBand="0" w:evenVBand="0" w:oddHBand="0" w:evenHBand="0" w:firstRowFirstColumn="0" w:firstRowLastColumn="0" w:lastRowFirstColumn="0" w:lastRowLastColumn="0"/>
            <w:tcW w:w="2485" w:type="dxa"/>
          </w:tcPr>
          <w:p w14:paraId="26D0A1AA" w14:textId="77777777" w:rsidR="00C220BF" w:rsidRPr="0009132C" w:rsidRDefault="00C220BF">
            <w:pPr>
              <w:rPr>
                <w:rFonts w:eastAsia="Calibri"/>
              </w:rPr>
            </w:pPr>
            <w:r w:rsidRPr="0009132C">
              <w:rPr>
                <w:rFonts w:eastAsia="Calibri"/>
              </w:rPr>
              <w:t>Data Sources</w:t>
            </w:r>
          </w:p>
        </w:tc>
        <w:tc>
          <w:tcPr>
            <w:tcW w:w="6859" w:type="dxa"/>
          </w:tcPr>
          <w:p w14:paraId="2CD6B686" w14:textId="77777777"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Medicaid claims/encounters data</w:t>
            </w:r>
          </w:p>
        </w:tc>
      </w:tr>
      <w:tr w:rsidR="00C220BF" w:rsidRPr="0009132C" w14:paraId="57667B35" w14:textId="77777777">
        <w:tc>
          <w:tcPr>
            <w:cnfStyle w:val="001000000000" w:firstRow="0" w:lastRow="0" w:firstColumn="1" w:lastColumn="0" w:oddVBand="0" w:evenVBand="0" w:oddHBand="0" w:evenHBand="0" w:firstRowFirstColumn="0" w:firstRowLastColumn="0" w:lastRowFirstColumn="0" w:lastRowLastColumn="0"/>
            <w:tcW w:w="2485" w:type="dxa"/>
          </w:tcPr>
          <w:p w14:paraId="59EE580D" w14:textId="77777777" w:rsidR="00C220BF" w:rsidRPr="0009132C" w:rsidRDefault="00C220BF">
            <w:pPr>
              <w:rPr>
                <w:rFonts w:eastAsia="Calibri"/>
              </w:rPr>
            </w:pPr>
            <w:r w:rsidRPr="0009132C">
              <w:rPr>
                <w:rFonts w:eastAsia="Calibri"/>
              </w:rPr>
              <w:t>National Benchmark</w:t>
            </w:r>
          </w:p>
        </w:tc>
        <w:tc>
          <w:tcPr>
            <w:tcW w:w="6859" w:type="dxa"/>
          </w:tcPr>
          <w:p w14:paraId="5E9D6632" w14:textId="0B8E8BA6"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None</w:t>
            </w:r>
          </w:p>
        </w:tc>
      </w:tr>
    </w:tbl>
    <w:p w14:paraId="11918170" w14:textId="77777777" w:rsidR="00C220BF" w:rsidRDefault="00C220BF" w:rsidP="00727B56">
      <w:pPr>
        <w:pStyle w:val="NoSpacing"/>
      </w:pPr>
    </w:p>
    <w:tbl>
      <w:tblPr>
        <w:tblStyle w:val="FHCclean10pt"/>
        <w:tblW w:w="0" w:type="auto"/>
        <w:tblLook w:val="04A0" w:firstRow="1" w:lastRow="0" w:firstColumn="1" w:lastColumn="0" w:noHBand="0" w:noVBand="1"/>
      </w:tblPr>
      <w:tblGrid>
        <w:gridCol w:w="2485"/>
        <w:gridCol w:w="6859"/>
      </w:tblGrid>
      <w:tr w:rsidR="00C220BF" w:rsidRPr="0009132C" w14:paraId="5A6611F0" w14:textId="77777777" w:rsidTr="002761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5" w:type="dxa"/>
          </w:tcPr>
          <w:p w14:paraId="161F6FB8" w14:textId="77777777" w:rsidR="00C220BF" w:rsidRPr="0009132C" w:rsidRDefault="00C220BF">
            <w:pPr>
              <w:rPr>
                <w:rFonts w:eastAsia="Calibri"/>
              </w:rPr>
            </w:pPr>
            <w:r>
              <w:rPr>
                <w:rFonts w:eastAsia="Calibri"/>
              </w:rPr>
              <w:t>Measure:</w:t>
            </w:r>
          </w:p>
        </w:tc>
        <w:tc>
          <w:tcPr>
            <w:tcW w:w="6859" w:type="dxa"/>
          </w:tcPr>
          <w:p w14:paraId="4F0DAB01" w14:textId="77777777" w:rsidR="00C220BF" w:rsidRPr="0009132C" w:rsidRDefault="00C220BF">
            <w:pPr>
              <w:cnfStyle w:val="100000000000" w:firstRow="1" w:lastRow="0" w:firstColumn="0" w:lastColumn="0" w:oddVBand="0" w:evenVBand="0" w:oddHBand="0" w:evenHBand="0" w:firstRowFirstColumn="0" w:firstRowLastColumn="0" w:lastRowFirstColumn="0" w:lastRowLastColumn="0"/>
              <w:rPr>
                <w:rFonts w:eastAsia="Calibri"/>
              </w:rPr>
            </w:pPr>
            <w:r w:rsidRPr="00B844FA">
              <w:rPr>
                <w:rFonts w:eastAsia="Calibri"/>
              </w:rPr>
              <w:t>Pediatric ED Visits (All-cause)</w:t>
            </w:r>
          </w:p>
        </w:tc>
      </w:tr>
      <w:tr w:rsidR="00276141" w:rsidRPr="0009132C" w14:paraId="42A503BA" w14:textId="77777777" w:rsidTr="00276141">
        <w:tc>
          <w:tcPr>
            <w:cnfStyle w:val="001000000000" w:firstRow="0" w:lastRow="0" w:firstColumn="1" w:lastColumn="0" w:oddVBand="0" w:evenVBand="0" w:oddHBand="0" w:evenHBand="0" w:firstRowFirstColumn="0" w:firstRowLastColumn="0" w:lastRowFirstColumn="0" w:lastRowLastColumn="0"/>
            <w:tcW w:w="2485" w:type="dxa"/>
          </w:tcPr>
          <w:p w14:paraId="18CB1675" w14:textId="77777777" w:rsidR="00276141" w:rsidRPr="0030184A" w:rsidRDefault="00276141" w:rsidP="00276141">
            <w:r>
              <w:t>Steward</w:t>
            </w:r>
          </w:p>
        </w:tc>
        <w:tc>
          <w:tcPr>
            <w:tcW w:w="6859" w:type="dxa"/>
          </w:tcPr>
          <w:p w14:paraId="42293A0E" w14:textId="3240942E" w:rsidR="00276141" w:rsidRDefault="00276141" w:rsidP="00276141">
            <w:pP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None</w:t>
            </w:r>
          </w:p>
        </w:tc>
      </w:tr>
      <w:tr w:rsidR="00276141" w:rsidRPr="0009132C" w14:paraId="05D178FD" w14:textId="77777777" w:rsidTr="00276141">
        <w:tc>
          <w:tcPr>
            <w:cnfStyle w:val="001000000000" w:firstRow="0" w:lastRow="0" w:firstColumn="1" w:lastColumn="0" w:oddVBand="0" w:evenVBand="0" w:oddHBand="0" w:evenHBand="0" w:firstRowFirstColumn="0" w:firstRowLastColumn="0" w:lastRowFirstColumn="0" w:lastRowLastColumn="0"/>
            <w:tcW w:w="2485" w:type="dxa"/>
          </w:tcPr>
          <w:p w14:paraId="4F8CCBD7" w14:textId="77777777" w:rsidR="00276141" w:rsidRPr="0009132C" w:rsidRDefault="00276141" w:rsidP="00276141">
            <w:pPr>
              <w:rPr>
                <w:rFonts w:eastAsia="Calibri"/>
              </w:rPr>
            </w:pPr>
            <w:r w:rsidRPr="0030184A">
              <w:t>NQF Endorsed:</w:t>
            </w:r>
          </w:p>
        </w:tc>
        <w:tc>
          <w:tcPr>
            <w:tcW w:w="6859" w:type="dxa"/>
          </w:tcPr>
          <w:p w14:paraId="6774C5B4" w14:textId="77777777" w:rsidR="00276141" w:rsidRPr="0009132C" w:rsidRDefault="00276141" w:rsidP="00276141">
            <w:pP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No</w:t>
            </w:r>
          </w:p>
        </w:tc>
      </w:tr>
      <w:tr w:rsidR="00276141" w:rsidRPr="0009132C" w14:paraId="7BC610EA" w14:textId="77777777" w:rsidTr="00276141">
        <w:tc>
          <w:tcPr>
            <w:cnfStyle w:val="001000000000" w:firstRow="0" w:lastRow="0" w:firstColumn="1" w:lastColumn="0" w:oddVBand="0" w:evenVBand="0" w:oddHBand="0" w:evenHBand="0" w:firstRowFirstColumn="0" w:firstRowLastColumn="0" w:lastRowFirstColumn="0" w:lastRowLastColumn="0"/>
            <w:tcW w:w="2485" w:type="dxa"/>
          </w:tcPr>
          <w:p w14:paraId="501B3948" w14:textId="77777777" w:rsidR="00276141" w:rsidRPr="0009132C" w:rsidRDefault="00276141" w:rsidP="00276141">
            <w:pPr>
              <w:rPr>
                <w:rFonts w:eastAsia="Calibri"/>
              </w:rPr>
            </w:pPr>
            <w:r w:rsidRPr="0009132C">
              <w:rPr>
                <w:rFonts w:eastAsia="Calibri"/>
              </w:rPr>
              <w:t>Description</w:t>
            </w:r>
          </w:p>
        </w:tc>
        <w:tc>
          <w:tcPr>
            <w:tcW w:w="6859" w:type="dxa"/>
          </w:tcPr>
          <w:p w14:paraId="3F7161E9" w14:textId="2EDCA55F" w:rsidR="00276141" w:rsidRPr="0009132C" w:rsidRDefault="00276141" w:rsidP="00276141">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Rate of all-cause pediatric ED visits for members under 18</w:t>
            </w:r>
            <w:r>
              <w:rPr>
                <w:rFonts w:eastAsia="Calibri"/>
              </w:rPr>
              <w:t xml:space="preserve"> years of age.</w:t>
            </w:r>
          </w:p>
        </w:tc>
      </w:tr>
      <w:tr w:rsidR="00276141" w:rsidRPr="0009132C" w14:paraId="22D0ACDE" w14:textId="77777777" w:rsidTr="00276141">
        <w:tc>
          <w:tcPr>
            <w:cnfStyle w:val="001000000000" w:firstRow="0" w:lastRow="0" w:firstColumn="1" w:lastColumn="0" w:oddVBand="0" w:evenVBand="0" w:oddHBand="0" w:evenHBand="0" w:firstRowFirstColumn="0" w:firstRowLastColumn="0" w:lastRowFirstColumn="0" w:lastRowLastColumn="0"/>
            <w:tcW w:w="2485" w:type="dxa"/>
          </w:tcPr>
          <w:p w14:paraId="7883E913" w14:textId="77777777" w:rsidR="00276141" w:rsidRPr="0009132C" w:rsidRDefault="00276141" w:rsidP="00276141">
            <w:pPr>
              <w:rPr>
                <w:rFonts w:eastAsia="Calibri"/>
              </w:rPr>
            </w:pPr>
            <w:r w:rsidRPr="0009132C">
              <w:rPr>
                <w:rFonts w:eastAsia="Calibri"/>
              </w:rPr>
              <w:t>Numerator</w:t>
            </w:r>
          </w:p>
        </w:tc>
        <w:tc>
          <w:tcPr>
            <w:tcW w:w="6859" w:type="dxa"/>
          </w:tcPr>
          <w:p w14:paraId="779178B5" w14:textId="61C10A1F" w:rsidR="00276141" w:rsidRPr="0009132C" w:rsidRDefault="00276141" w:rsidP="00276141">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The observed number of all</w:t>
            </w:r>
            <w:r>
              <w:rPr>
                <w:rFonts w:eastAsia="Calibri"/>
              </w:rPr>
              <w:t>-</w:t>
            </w:r>
            <w:r w:rsidRPr="0009132C">
              <w:rPr>
                <w:rFonts w:eastAsia="Calibri"/>
              </w:rPr>
              <w:t>cause pediatric ED visits for members under 18</w:t>
            </w:r>
            <w:r>
              <w:rPr>
                <w:rFonts w:eastAsia="Calibri"/>
              </w:rPr>
              <w:t xml:space="preserve"> years of age.</w:t>
            </w:r>
          </w:p>
        </w:tc>
      </w:tr>
      <w:tr w:rsidR="00276141" w:rsidRPr="0009132C" w14:paraId="350F4744" w14:textId="77777777" w:rsidTr="00276141">
        <w:tc>
          <w:tcPr>
            <w:cnfStyle w:val="001000000000" w:firstRow="0" w:lastRow="0" w:firstColumn="1" w:lastColumn="0" w:oddVBand="0" w:evenVBand="0" w:oddHBand="0" w:evenHBand="0" w:firstRowFirstColumn="0" w:firstRowLastColumn="0" w:lastRowFirstColumn="0" w:lastRowLastColumn="0"/>
            <w:tcW w:w="2485" w:type="dxa"/>
          </w:tcPr>
          <w:p w14:paraId="3A8496E4" w14:textId="77777777" w:rsidR="00276141" w:rsidRPr="0009132C" w:rsidRDefault="00276141" w:rsidP="00276141">
            <w:pPr>
              <w:rPr>
                <w:rFonts w:eastAsia="Calibri"/>
              </w:rPr>
            </w:pPr>
            <w:r w:rsidRPr="0009132C">
              <w:rPr>
                <w:rFonts w:eastAsia="Calibri"/>
              </w:rPr>
              <w:t>Denominator</w:t>
            </w:r>
          </w:p>
        </w:tc>
        <w:tc>
          <w:tcPr>
            <w:tcW w:w="6859" w:type="dxa"/>
          </w:tcPr>
          <w:p w14:paraId="0B9D854B" w14:textId="68A3B2DF" w:rsidR="00276141" w:rsidRPr="0009132C" w:rsidRDefault="00276141" w:rsidP="00276141">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The person-time contributed by members in the population of interest during the measurement period</w:t>
            </w:r>
            <w:r>
              <w:rPr>
                <w:rFonts w:eastAsia="Calibri"/>
              </w:rPr>
              <w:t>.</w:t>
            </w:r>
          </w:p>
        </w:tc>
      </w:tr>
      <w:tr w:rsidR="00276141" w:rsidRPr="0009132C" w14:paraId="165C3B39" w14:textId="77777777" w:rsidTr="00276141">
        <w:tc>
          <w:tcPr>
            <w:cnfStyle w:val="001000000000" w:firstRow="0" w:lastRow="0" w:firstColumn="1" w:lastColumn="0" w:oddVBand="0" w:evenVBand="0" w:oddHBand="0" w:evenHBand="0" w:firstRowFirstColumn="0" w:firstRowLastColumn="0" w:lastRowFirstColumn="0" w:lastRowLastColumn="0"/>
            <w:tcW w:w="2485" w:type="dxa"/>
          </w:tcPr>
          <w:p w14:paraId="262DDE50" w14:textId="77777777" w:rsidR="00276141" w:rsidRPr="0009132C" w:rsidRDefault="00276141" w:rsidP="00276141">
            <w:pPr>
              <w:rPr>
                <w:rFonts w:eastAsia="Calibri"/>
              </w:rPr>
            </w:pPr>
            <w:r w:rsidRPr="0009132C">
              <w:rPr>
                <w:rFonts w:eastAsia="Calibri"/>
              </w:rPr>
              <w:lastRenderedPageBreak/>
              <w:t>Data Sources</w:t>
            </w:r>
          </w:p>
        </w:tc>
        <w:tc>
          <w:tcPr>
            <w:tcW w:w="6859" w:type="dxa"/>
          </w:tcPr>
          <w:p w14:paraId="48B65809" w14:textId="77777777" w:rsidR="00276141" w:rsidRPr="0009132C" w:rsidRDefault="00276141" w:rsidP="00276141">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Medicaid claims/encounters data</w:t>
            </w:r>
          </w:p>
        </w:tc>
      </w:tr>
      <w:tr w:rsidR="00276141" w:rsidRPr="0009132C" w14:paraId="64D34EBD" w14:textId="77777777" w:rsidTr="00276141">
        <w:tc>
          <w:tcPr>
            <w:cnfStyle w:val="001000000000" w:firstRow="0" w:lastRow="0" w:firstColumn="1" w:lastColumn="0" w:oddVBand="0" w:evenVBand="0" w:oddHBand="0" w:evenHBand="0" w:firstRowFirstColumn="0" w:firstRowLastColumn="0" w:lastRowFirstColumn="0" w:lastRowLastColumn="0"/>
            <w:tcW w:w="2485" w:type="dxa"/>
          </w:tcPr>
          <w:p w14:paraId="6B58A709" w14:textId="77777777" w:rsidR="00276141" w:rsidRPr="0009132C" w:rsidRDefault="00276141" w:rsidP="00276141">
            <w:pPr>
              <w:rPr>
                <w:rFonts w:eastAsia="Calibri"/>
              </w:rPr>
            </w:pPr>
            <w:r w:rsidRPr="0009132C">
              <w:rPr>
                <w:rFonts w:eastAsia="Calibri"/>
              </w:rPr>
              <w:t>National Benchmark</w:t>
            </w:r>
          </w:p>
        </w:tc>
        <w:tc>
          <w:tcPr>
            <w:tcW w:w="6859" w:type="dxa"/>
          </w:tcPr>
          <w:p w14:paraId="430D005A" w14:textId="77777777" w:rsidR="00276141" w:rsidRPr="0009132C" w:rsidRDefault="00276141" w:rsidP="00276141">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None</w:t>
            </w:r>
          </w:p>
        </w:tc>
      </w:tr>
    </w:tbl>
    <w:p w14:paraId="59E3AF94" w14:textId="77777777" w:rsidR="00BC0A3B" w:rsidRDefault="00BC0A3B" w:rsidP="00727B56">
      <w:pPr>
        <w:pStyle w:val="NoSpacing"/>
      </w:pPr>
    </w:p>
    <w:tbl>
      <w:tblPr>
        <w:tblStyle w:val="FHCclean10pt"/>
        <w:tblW w:w="0" w:type="auto"/>
        <w:tblLook w:val="04A0" w:firstRow="1" w:lastRow="0" w:firstColumn="1" w:lastColumn="0" w:noHBand="0" w:noVBand="1"/>
      </w:tblPr>
      <w:tblGrid>
        <w:gridCol w:w="2485"/>
        <w:gridCol w:w="6859"/>
      </w:tblGrid>
      <w:tr w:rsidR="00C220BF" w:rsidRPr="0009132C" w14:paraId="34F7952C" w14:textId="77777777" w:rsidTr="00836D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5" w:type="dxa"/>
          </w:tcPr>
          <w:p w14:paraId="77429ECF" w14:textId="77777777" w:rsidR="00C220BF" w:rsidRPr="0009132C" w:rsidRDefault="00C220BF">
            <w:pPr>
              <w:rPr>
                <w:rFonts w:eastAsia="Calibri"/>
              </w:rPr>
            </w:pPr>
            <w:r>
              <w:rPr>
                <w:rFonts w:eastAsia="Calibri"/>
              </w:rPr>
              <w:t>Measure:</w:t>
            </w:r>
          </w:p>
        </w:tc>
        <w:tc>
          <w:tcPr>
            <w:tcW w:w="6859" w:type="dxa"/>
          </w:tcPr>
          <w:p w14:paraId="51D35F30" w14:textId="77777777" w:rsidR="00C220BF" w:rsidRPr="0009132C" w:rsidRDefault="00C220BF">
            <w:pPr>
              <w:cnfStyle w:val="100000000000" w:firstRow="1" w:lastRow="0" w:firstColumn="0" w:lastColumn="0" w:oddVBand="0" w:evenVBand="0" w:oddHBand="0" w:evenHBand="0" w:firstRowFirstColumn="0" w:firstRowLastColumn="0" w:lastRowFirstColumn="0" w:lastRowLastColumn="0"/>
              <w:rPr>
                <w:rFonts w:eastAsia="Calibri"/>
              </w:rPr>
            </w:pPr>
            <w:r w:rsidRPr="00B844FA">
              <w:rPr>
                <w:rFonts w:eastAsia="Calibri"/>
              </w:rPr>
              <w:t>Pediatric Hospitalizations (All-cause)</w:t>
            </w:r>
          </w:p>
        </w:tc>
      </w:tr>
      <w:tr w:rsidR="00836DB5" w:rsidRPr="0009132C" w14:paraId="0E1C4DA5" w14:textId="77777777" w:rsidTr="00836DB5">
        <w:tc>
          <w:tcPr>
            <w:cnfStyle w:val="001000000000" w:firstRow="0" w:lastRow="0" w:firstColumn="1" w:lastColumn="0" w:oddVBand="0" w:evenVBand="0" w:oddHBand="0" w:evenHBand="0" w:firstRowFirstColumn="0" w:firstRowLastColumn="0" w:lastRowFirstColumn="0" w:lastRowLastColumn="0"/>
            <w:tcW w:w="2485" w:type="dxa"/>
          </w:tcPr>
          <w:p w14:paraId="19227F92" w14:textId="77777777" w:rsidR="00836DB5" w:rsidRPr="0030184A" w:rsidRDefault="00836DB5" w:rsidP="00836DB5">
            <w:r>
              <w:t>Steward:</w:t>
            </w:r>
          </w:p>
        </w:tc>
        <w:tc>
          <w:tcPr>
            <w:tcW w:w="6859" w:type="dxa"/>
          </w:tcPr>
          <w:p w14:paraId="5B84BB8F" w14:textId="5B95275A" w:rsidR="00836DB5" w:rsidRDefault="00836DB5" w:rsidP="00836DB5">
            <w:pP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None</w:t>
            </w:r>
          </w:p>
        </w:tc>
      </w:tr>
      <w:tr w:rsidR="00836DB5" w:rsidRPr="0009132C" w14:paraId="35F1AB8A" w14:textId="77777777" w:rsidTr="00836DB5">
        <w:tc>
          <w:tcPr>
            <w:cnfStyle w:val="001000000000" w:firstRow="0" w:lastRow="0" w:firstColumn="1" w:lastColumn="0" w:oddVBand="0" w:evenVBand="0" w:oddHBand="0" w:evenHBand="0" w:firstRowFirstColumn="0" w:firstRowLastColumn="0" w:lastRowFirstColumn="0" w:lastRowLastColumn="0"/>
            <w:tcW w:w="2485" w:type="dxa"/>
          </w:tcPr>
          <w:p w14:paraId="6EDB6D9C" w14:textId="77777777" w:rsidR="00836DB5" w:rsidRPr="0009132C" w:rsidRDefault="00836DB5" w:rsidP="00836DB5">
            <w:pPr>
              <w:rPr>
                <w:rFonts w:eastAsia="Calibri"/>
              </w:rPr>
            </w:pPr>
            <w:r w:rsidRPr="0030184A">
              <w:t>NQF Endorsed:</w:t>
            </w:r>
          </w:p>
        </w:tc>
        <w:tc>
          <w:tcPr>
            <w:tcW w:w="6859" w:type="dxa"/>
          </w:tcPr>
          <w:p w14:paraId="7308DC20" w14:textId="77777777" w:rsidR="00836DB5" w:rsidRPr="0009132C" w:rsidRDefault="00836DB5" w:rsidP="00836DB5">
            <w:pP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No</w:t>
            </w:r>
          </w:p>
        </w:tc>
      </w:tr>
      <w:tr w:rsidR="00836DB5" w:rsidRPr="0009132C" w14:paraId="00A27B62" w14:textId="77777777" w:rsidTr="00836DB5">
        <w:tc>
          <w:tcPr>
            <w:cnfStyle w:val="001000000000" w:firstRow="0" w:lastRow="0" w:firstColumn="1" w:lastColumn="0" w:oddVBand="0" w:evenVBand="0" w:oddHBand="0" w:evenHBand="0" w:firstRowFirstColumn="0" w:firstRowLastColumn="0" w:lastRowFirstColumn="0" w:lastRowLastColumn="0"/>
            <w:tcW w:w="2485" w:type="dxa"/>
          </w:tcPr>
          <w:p w14:paraId="134EA6FA" w14:textId="77777777" w:rsidR="00836DB5" w:rsidRPr="0009132C" w:rsidRDefault="00836DB5" w:rsidP="00836DB5">
            <w:pPr>
              <w:rPr>
                <w:rFonts w:eastAsia="Calibri"/>
              </w:rPr>
            </w:pPr>
            <w:r w:rsidRPr="0009132C">
              <w:rPr>
                <w:rFonts w:eastAsia="Calibri"/>
              </w:rPr>
              <w:t>Description</w:t>
            </w:r>
          </w:p>
        </w:tc>
        <w:tc>
          <w:tcPr>
            <w:tcW w:w="6859" w:type="dxa"/>
          </w:tcPr>
          <w:p w14:paraId="4B687021" w14:textId="00BB41DC" w:rsidR="00836DB5" w:rsidRPr="0009132C" w:rsidRDefault="00836DB5" w:rsidP="00836DB5">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Rate of all-cause hospital admissions (and observation stays) for members under age 18</w:t>
            </w:r>
            <w:r>
              <w:rPr>
                <w:rFonts w:eastAsia="Calibri"/>
              </w:rPr>
              <w:t>.</w:t>
            </w:r>
          </w:p>
        </w:tc>
      </w:tr>
      <w:tr w:rsidR="00836DB5" w:rsidRPr="0009132C" w14:paraId="36097124" w14:textId="77777777" w:rsidTr="00836DB5">
        <w:tc>
          <w:tcPr>
            <w:cnfStyle w:val="001000000000" w:firstRow="0" w:lastRow="0" w:firstColumn="1" w:lastColumn="0" w:oddVBand="0" w:evenVBand="0" w:oddHBand="0" w:evenHBand="0" w:firstRowFirstColumn="0" w:firstRowLastColumn="0" w:lastRowFirstColumn="0" w:lastRowLastColumn="0"/>
            <w:tcW w:w="2485" w:type="dxa"/>
          </w:tcPr>
          <w:p w14:paraId="74640676" w14:textId="77777777" w:rsidR="00836DB5" w:rsidRPr="0009132C" w:rsidRDefault="00836DB5" w:rsidP="00836DB5">
            <w:pPr>
              <w:rPr>
                <w:rFonts w:eastAsia="Calibri"/>
              </w:rPr>
            </w:pPr>
            <w:r w:rsidRPr="0009132C">
              <w:rPr>
                <w:rFonts w:eastAsia="Calibri"/>
              </w:rPr>
              <w:t>Numerator</w:t>
            </w:r>
          </w:p>
        </w:tc>
        <w:tc>
          <w:tcPr>
            <w:tcW w:w="6859" w:type="dxa"/>
          </w:tcPr>
          <w:p w14:paraId="3C58CEFC" w14:textId="45AE3495" w:rsidR="00836DB5" w:rsidRPr="0009132C" w:rsidRDefault="00836DB5" w:rsidP="00836DB5">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The observed number of all</w:t>
            </w:r>
            <w:r>
              <w:rPr>
                <w:rFonts w:eastAsia="Calibri"/>
              </w:rPr>
              <w:t>-</w:t>
            </w:r>
            <w:r w:rsidRPr="0009132C">
              <w:rPr>
                <w:rFonts w:eastAsia="Calibri"/>
              </w:rPr>
              <w:t>cause pediatric hospitalizations for members under 18</w:t>
            </w:r>
            <w:r>
              <w:rPr>
                <w:rFonts w:eastAsia="Calibri"/>
              </w:rPr>
              <w:t>.</w:t>
            </w:r>
          </w:p>
        </w:tc>
      </w:tr>
      <w:tr w:rsidR="00836DB5" w:rsidRPr="0009132C" w14:paraId="22296E74" w14:textId="77777777" w:rsidTr="00836DB5">
        <w:tc>
          <w:tcPr>
            <w:cnfStyle w:val="001000000000" w:firstRow="0" w:lastRow="0" w:firstColumn="1" w:lastColumn="0" w:oddVBand="0" w:evenVBand="0" w:oddHBand="0" w:evenHBand="0" w:firstRowFirstColumn="0" w:firstRowLastColumn="0" w:lastRowFirstColumn="0" w:lastRowLastColumn="0"/>
            <w:tcW w:w="2485" w:type="dxa"/>
          </w:tcPr>
          <w:p w14:paraId="23463285" w14:textId="77777777" w:rsidR="00836DB5" w:rsidRPr="0009132C" w:rsidRDefault="00836DB5" w:rsidP="00836DB5">
            <w:pPr>
              <w:rPr>
                <w:rFonts w:eastAsia="Calibri"/>
              </w:rPr>
            </w:pPr>
            <w:r w:rsidRPr="0009132C">
              <w:rPr>
                <w:rFonts w:eastAsia="Calibri"/>
              </w:rPr>
              <w:t>Denominator</w:t>
            </w:r>
          </w:p>
        </w:tc>
        <w:tc>
          <w:tcPr>
            <w:tcW w:w="6859" w:type="dxa"/>
          </w:tcPr>
          <w:p w14:paraId="570CD3E2" w14:textId="0B82327E" w:rsidR="00836DB5" w:rsidRPr="0009132C" w:rsidRDefault="00836DB5" w:rsidP="00836DB5">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The person-time contributed by members in the population of interest during the measurement period</w:t>
            </w:r>
            <w:r>
              <w:rPr>
                <w:rFonts w:eastAsia="Calibri"/>
              </w:rPr>
              <w:t>.</w:t>
            </w:r>
          </w:p>
        </w:tc>
      </w:tr>
      <w:tr w:rsidR="00836DB5" w:rsidRPr="0009132C" w14:paraId="0A803849" w14:textId="77777777" w:rsidTr="00836DB5">
        <w:tc>
          <w:tcPr>
            <w:cnfStyle w:val="001000000000" w:firstRow="0" w:lastRow="0" w:firstColumn="1" w:lastColumn="0" w:oddVBand="0" w:evenVBand="0" w:oddHBand="0" w:evenHBand="0" w:firstRowFirstColumn="0" w:firstRowLastColumn="0" w:lastRowFirstColumn="0" w:lastRowLastColumn="0"/>
            <w:tcW w:w="2485" w:type="dxa"/>
          </w:tcPr>
          <w:p w14:paraId="2A7F1A74" w14:textId="77777777" w:rsidR="00836DB5" w:rsidRPr="0009132C" w:rsidRDefault="00836DB5" w:rsidP="00836DB5">
            <w:pPr>
              <w:rPr>
                <w:rFonts w:eastAsia="Calibri"/>
              </w:rPr>
            </w:pPr>
            <w:r w:rsidRPr="0009132C">
              <w:rPr>
                <w:rFonts w:eastAsia="Calibri"/>
              </w:rPr>
              <w:t>Data Sources</w:t>
            </w:r>
          </w:p>
        </w:tc>
        <w:tc>
          <w:tcPr>
            <w:tcW w:w="6859" w:type="dxa"/>
          </w:tcPr>
          <w:p w14:paraId="6926A476" w14:textId="77777777" w:rsidR="00836DB5" w:rsidRPr="0009132C" w:rsidRDefault="00836DB5" w:rsidP="00836DB5">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Medicaid claims/encounters data</w:t>
            </w:r>
          </w:p>
        </w:tc>
      </w:tr>
      <w:tr w:rsidR="00836DB5" w:rsidRPr="0009132C" w14:paraId="03FD7DD5" w14:textId="77777777" w:rsidTr="00836DB5">
        <w:tc>
          <w:tcPr>
            <w:cnfStyle w:val="001000000000" w:firstRow="0" w:lastRow="0" w:firstColumn="1" w:lastColumn="0" w:oddVBand="0" w:evenVBand="0" w:oddHBand="0" w:evenHBand="0" w:firstRowFirstColumn="0" w:firstRowLastColumn="0" w:lastRowFirstColumn="0" w:lastRowLastColumn="0"/>
            <w:tcW w:w="2485" w:type="dxa"/>
          </w:tcPr>
          <w:p w14:paraId="73FBEDD5" w14:textId="77777777" w:rsidR="00836DB5" w:rsidRPr="0009132C" w:rsidRDefault="00836DB5" w:rsidP="00836DB5">
            <w:pPr>
              <w:rPr>
                <w:rFonts w:eastAsia="Calibri"/>
              </w:rPr>
            </w:pPr>
            <w:r w:rsidRPr="0009132C">
              <w:rPr>
                <w:rFonts w:eastAsia="Calibri"/>
              </w:rPr>
              <w:t>National Benchmark</w:t>
            </w:r>
          </w:p>
        </w:tc>
        <w:tc>
          <w:tcPr>
            <w:tcW w:w="6859" w:type="dxa"/>
          </w:tcPr>
          <w:p w14:paraId="22DFEFC1" w14:textId="77777777" w:rsidR="00836DB5" w:rsidRPr="0009132C" w:rsidRDefault="00836DB5" w:rsidP="00836DB5">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None</w:t>
            </w:r>
          </w:p>
        </w:tc>
      </w:tr>
    </w:tbl>
    <w:p w14:paraId="39FE102E" w14:textId="1733B4D3" w:rsidR="005139D7" w:rsidRDefault="005139D7" w:rsidP="00223AA4">
      <w:pPr>
        <w:pStyle w:val="Heading5"/>
      </w:pPr>
    </w:p>
    <w:p w14:paraId="03F7CE54" w14:textId="4E246B37" w:rsidR="00C220BF" w:rsidRPr="0063390D" w:rsidRDefault="00727B56" w:rsidP="00BC0A3B">
      <w:pPr>
        <w:pStyle w:val="Heading5"/>
        <w:rPr>
          <w:b/>
          <w:bCs/>
        </w:rPr>
      </w:pPr>
      <w:r w:rsidRPr="0063390D">
        <w:rPr>
          <w:b/>
          <w:bCs/>
        </w:rPr>
        <w:t xml:space="preserve">Chapter 3: </w:t>
      </w:r>
      <w:r w:rsidR="00614FFB" w:rsidRPr="0063390D">
        <w:rPr>
          <w:b/>
          <w:bCs/>
        </w:rPr>
        <w:fldChar w:fldCharType="begin"/>
      </w:r>
      <w:r w:rsidR="00614FFB" w:rsidRPr="0063390D">
        <w:rPr>
          <w:b/>
          <w:bCs/>
        </w:rPr>
        <w:instrText xml:space="preserve"> REF _Ref142920741 \h </w:instrText>
      </w:r>
      <w:r w:rsidR="0063390D">
        <w:rPr>
          <w:b/>
          <w:bCs/>
        </w:rPr>
        <w:instrText xml:space="preserve"> \* MERGEFORMAT </w:instrText>
      </w:r>
      <w:r w:rsidR="00614FFB" w:rsidRPr="0063390D">
        <w:rPr>
          <w:b/>
          <w:bCs/>
        </w:rPr>
      </w:r>
      <w:r w:rsidR="00614FFB" w:rsidRPr="0063390D">
        <w:rPr>
          <w:b/>
          <w:bCs/>
        </w:rPr>
        <w:fldChar w:fldCharType="separate"/>
      </w:r>
      <w:r w:rsidR="00EB7B05" w:rsidRPr="0063390D">
        <w:rPr>
          <w:b/>
          <w:bCs/>
        </w:rPr>
        <w:t>Delivery System Reform</w:t>
      </w:r>
      <w:r w:rsidR="00614FFB" w:rsidRPr="0063390D">
        <w:rPr>
          <w:b/>
          <w:bCs/>
        </w:rPr>
        <w:fldChar w:fldCharType="end"/>
      </w:r>
    </w:p>
    <w:tbl>
      <w:tblPr>
        <w:tblStyle w:val="FHCclean10pt"/>
        <w:tblW w:w="0" w:type="auto"/>
        <w:tblLook w:val="04A0" w:firstRow="1" w:lastRow="0" w:firstColumn="1" w:lastColumn="0" w:noHBand="0" w:noVBand="1"/>
      </w:tblPr>
      <w:tblGrid>
        <w:gridCol w:w="2484"/>
        <w:gridCol w:w="6860"/>
      </w:tblGrid>
      <w:tr w:rsidR="00C220BF" w:rsidRPr="0009132C" w14:paraId="59C67F4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54B322C3" w14:textId="77777777" w:rsidR="00C220BF" w:rsidRPr="0009132C" w:rsidRDefault="00C220BF">
            <w:pPr>
              <w:rPr>
                <w:rFonts w:eastAsia="Calibri"/>
              </w:rPr>
            </w:pPr>
            <w:r w:rsidRPr="0030184A">
              <w:t xml:space="preserve">Measure: </w:t>
            </w:r>
          </w:p>
        </w:tc>
        <w:tc>
          <w:tcPr>
            <w:tcW w:w="6860" w:type="dxa"/>
          </w:tcPr>
          <w:p w14:paraId="77498028" w14:textId="77777777" w:rsidR="00C220BF" w:rsidRPr="0009132C" w:rsidRDefault="00C220BF">
            <w:pPr>
              <w:cnfStyle w:val="100000000000" w:firstRow="1" w:lastRow="0" w:firstColumn="0" w:lastColumn="0" w:oddVBand="0" w:evenVBand="0" w:oddHBand="0" w:evenHBand="0" w:firstRowFirstColumn="0" w:firstRowLastColumn="0" w:lastRowFirstColumn="0" w:lastRowLastColumn="0"/>
              <w:rPr>
                <w:rFonts w:eastAsia="Calibri"/>
              </w:rPr>
            </w:pPr>
            <w:r w:rsidRPr="00B844FA">
              <w:rPr>
                <w:rFonts w:eastAsia="Calibri"/>
              </w:rPr>
              <w:t>Diabetes Screening for People With Schizophrenia or Bipolar Disorder Who Are Using Antipsychotic Medications (SSD)</w:t>
            </w:r>
            <w:r>
              <w:rPr>
                <w:rFonts w:eastAsia="Calibri"/>
              </w:rPr>
              <w:br/>
            </w:r>
            <w:r w:rsidRPr="00223AA4">
              <w:t>*MassHealth BH CP Quality Measure</w:t>
            </w:r>
          </w:p>
        </w:tc>
      </w:tr>
      <w:tr w:rsidR="00C220BF" w:rsidRPr="0009132C" w14:paraId="62A79A79" w14:textId="77777777">
        <w:tc>
          <w:tcPr>
            <w:cnfStyle w:val="001000000000" w:firstRow="0" w:lastRow="0" w:firstColumn="1" w:lastColumn="0" w:oddVBand="0" w:evenVBand="0" w:oddHBand="0" w:evenHBand="0" w:firstRowFirstColumn="0" w:firstRowLastColumn="0" w:lastRowFirstColumn="0" w:lastRowLastColumn="0"/>
            <w:tcW w:w="2484" w:type="dxa"/>
          </w:tcPr>
          <w:p w14:paraId="2F0CE337" w14:textId="77777777" w:rsidR="00C220BF" w:rsidRPr="0009132C" w:rsidRDefault="00C220BF">
            <w:pPr>
              <w:rPr>
                <w:rFonts w:eastAsia="Calibri"/>
              </w:rPr>
            </w:pPr>
            <w:r w:rsidRPr="0030184A">
              <w:t xml:space="preserve">Steward: </w:t>
            </w:r>
          </w:p>
        </w:tc>
        <w:tc>
          <w:tcPr>
            <w:tcW w:w="6860" w:type="dxa"/>
          </w:tcPr>
          <w:p w14:paraId="1C757F76" w14:textId="77777777"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B844FA">
              <w:rPr>
                <w:rFonts w:eastAsia="Calibri"/>
              </w:rPr>
              <w:t>National Committee on Quality Assurance (#1932)</w:t>
            </w:r>
          </w:p>
        </w:tc>
      </w:tr>
      <w:tr w:rsidR="00C220BF" w:rsidRPr="0009132C" w14:paraId="4D37EF80" w14:textId="77777777">
        <w:tc>
          <w:tcPr>
            <w:cnfStyle w:val="001000000000" w:firstRow="0" w:lastRow="0" w:firstColumn="1" w:lastColumn="0" w:oddVBand="0" w:evenVBand="0" w:oddHBand="0" w:evenHBand="0" w:firstRowFirstColumn="0" w:firstRowLastColumn="0" w:lastRowFirstColumn="0" w:lastRowLastColumn="0"/>
            <w:tcW w:w="2484" w:type="dxa"/>
          </w:tcPr>
          <w:p w14:paraId="52DDEE2B" w14:textId="77777777" w:rsidR="00C220BF" w:rsidRPr="0009132C" w:rsidRDefault="00C220BF">
            <w:pPr>
              <w:rPr>
                <w:rFonts w:eastAsia="Calibri"/>
              </w:rPr>
            </w:pPr>
            <w:r w:rsidRPr="0030184A">
              <w:t>NQF Endorsed:</w:t>
            </w:r>
          </w:p>
        </w:tc>
        <w:tc>
          <w:tcPr>
            <w:tcW w:w="6860" w:type="dxa"/>
          </w:tcPr>
          <w:p w14:paraId="2706DC23" w14:textId="77777777"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Yes</w:t>
            </w:r>
          </w:p>
        </w:tc>
      </w:tr>
      <w:tr w:rsidR="00C220BF" w:rsidRPr="0009132C" w14:paraId="661A3965" w14:textId="77777777">
        <w:tc>
          <w:tcPr>
            <w:cnfStyle w:val="001000000000" w:firstRow="0" w:lastRow="0" w:firstColumn="1" w:lastColumn="0" w:oddVBand="0" w:evenVBand="0" w:oddHBand="0" w:evenHBand="0" w:firstRowFirstColumn="0" w:firstRowLastColumn="0" w:lastRowFirstColumn="0" w:lastRowLastColumn="0"/>
            <w:tcW w:w="2484" w:type="dxa"/>
          </w:tcPr>
          <w:p w14:paraId="75EBD198" w14:textId="77777777" w:rsidR="00C220BF" w:rsidRPr="0009132C" w:rsidRDefault="00C220BF">
            <w:pPr>
              <w:rPr>
                <w:rFonts w:eastAsia="Calibri"/>
              </w:rPr>
            </w:pPr>
            <w:r w:rsidRPr="0009132C">
              <w:rPr>
                <w:rFonts w:eastAsia="Calibri"/>
              </w:rPr>
              <w:t>Description</w:t>
            </w:r>
          </w:p>
        </w:tc>
        <w:tc>
          <w:tcPr>
            <w:tcW w:w="6860" w:type="dxa"/>
          </w:tcPr>
          <w:p w14:paraId="72D4BB16" w14:textId="4DE647DC"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 xml:space="preserve">The percentage of patients 18 </w:t>
            </w:r>
            <w:r w:rsidR="005B47F7">
              <w:rPr>
                <w:rFonts w:eastAsia="Calibri"/>
              </w:rPr>
              <w:t>to</w:t>
            </w:r>
            <w:r w:rsidR="005B47F7" w:rsidRPr="0009132C">
              <w:rPr>
                <w:rFonts w:eastAsia="Calibri"/>
              </w:rPr>
              <w:t xml:space="preserve"> </w:t>
            </w:r>
            <w:r w:rsidRPr="0009132C">
              <w:rPr>
                <w:rFonts w:eastAsia="Calibri"/>
              </w:rPr>
              <w:t>64 years of age with schizophrenia or bipolar disorder who were dispensed an antipsychotic medication and had a diabetes screening test during the measurement year.</w:t>
            </w:r>
          </w:p>
        </w:tc>
      </w:tr>
      <w:tr w:rsidR="00C220BF" w:rsidRPr="0009132C" w14:paraId="1444589B" w14:textId="77777777">
        <w:tc>
          <w:tcPr>
            <w:cnfStyle w:val="001000000000" w:firstRow="0" w:lastRow="0" w:firstColumn="1" w:lastColumn="0" w:oddVBand="0" w:evenVBand="0" w:oddHBand="0" w:evenHBand="0" w:firstRowFirstColumn="0" w:firstRowLastColumn="0" w:lastRowFirstColumn="0" w:lastRowLastColumn="0"/>
            <w:tcW w:w="2484" w:type="dxa"/>
          </w:tcPr>
          <w:p w14:paraId="1718C204" w14:textId="77777777" w:rsidR="00C220BF" w:rsidRPr="0009132C" w:rsidRDefault="00C220BF">
            <w:pPr>
              <w:rPr>
                <w:rFonts w:eastAsia="Calibri"/>
              </w:rPr>
            </w:pPr>
            <w:r w:rsidRPr="0009132C">
              <w:rPr>
                <w:rFonts w:eastAsia="Calibri"/>
              </w:rPr>
              <w:t>Numerator</w:t>
            </w:r>
          </w:p>
        </w:tc>
        <w:tc>
          <w:tcPr>
            <w:tcW w:w="6860" w:type="dxa"/>
          </w:tcPr>
          <w:p w14:paraId="2BD7E3A1" w14:textId="165FA5D5"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Among patients 18</w:t>
            </w:r>
            <w:r w:rsidR="005B47F7">
              <w:rPr>
                <w:rFonts w:eastAsia="Calibri"/>
              </w:rPr>
              <w:t xml:space="preserve"> to </w:t>
            </w:r>
            <w:r w:rsidRPr="0009132C">
              <w:rPr>
                <w:rFonts w:eastAsia="Calibri"/>
              </w:rPr>
              <w:t>64 years old with schizophrenia or bipolar disorder, those who were dispensed an antipsychotic medication and had a diabetes screening testing during the measurement year.</w:t>
            </w:r>
          </w:p>
        </w:tc>
      </w:tr>
      <w:tr w:rsidR="00C220BF" w:rsidRPr="0009132C" w14:paraId="4BE9AF54" w14:textId="77777777">
        <w:tc>
          <w:tcPr>
            <w:cnfStyle w:val="001000000000" w:firstRow="0" w:lastRow="0" w:firstColumn="1" w:lastColumn="0" w:oddVBand="0" w:evenVBand="0" w:oddHBand="0" w:evenHBand="0" w:firstRowFirstColumn="0" w:firstRowLastColumn="0" w:lastRowFirstColumn="0" w:lastRowLastColumn="0"/>
            <w:tcW w:w="2484" w:type="dxa"/>
          </w:tcPr>
          <w:p w14:paraId="1D07DFDE" w14:textId="77777777" w:rsidR="00C220BF" w:rsidRPr="0009132C" w:rsidRDefault="00C220BF">
            <w:pPr>
              <w:rPr>
                <w:rFonts w:eastAsia="Calibri"/>
              </w:rPr>
            </w:pPr>
            <w:r w:rsidRPr="0009132C">
              <w:rPr>
                <w:rFonts w:eastAsia="Calibri"/>
              </w:rPr>
              <w:t>Denominator</w:t>
            </w:r>
          </w:p>
        </w:tc>
        <w:tc>
          <w:tcPr>
            <w:tcW w:w="6860" w:type="dxa"/>
          </w:tcPr>
          <w:p w14:paraId="52240BE8" w14:textId="3E70483A"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Patients ages 18 to 64 years of age as of the end of the measurement year (e.g., December 31) with a schizophrenia or bipolar disorder diagnosis and who were prescribed an antipsychotic medication</w:t>
            </w:r>
            <w:r w:rsidR="00B6357F">
              <w:rPr>
                <w:rFonts w:eastAsia="Calibri"/>
              </w:rPr>
              <w:t>.</w:t>
            </w:r>
          </w:p>
        </w:tc>
      </w:tr>
      <w:tr w:rsidR="00C220BF" w:rsidRPr="0009132C" w14:paraId="6A7AA67A" w14:textId="77777777">
        <w:tc>
          <w:tcPr>
            <w:cnfStyle w:val="001000000000" w:firstRow="0" w:lastRow="0" w:firstColumn="1" w:lastColumn="0" w:oddVBand="0" w:evenVBand="0" w:oddHBand="0" w:evenHBand="0" w:firstRowFirstColumn="0" w:firstRowLastColumn="0" w:lastRowFirstColumn="0" w:lastRowLastColumn="0"/>
            <w:tcW w:w="2484" w:type="dxa"/>
          </w:tcPr>
          <w:p w14:paraId="5EF80081" w14:textId="77777777" w:rsidR="00C220BF" w:rsidRPr="0009132C" w:rsidRDefault="00C220BF">
            <w:pPr>
              <w:rPr>
                <w:rFonts w:eastAsia="Calibri"/>
              </w:rPr>
            </w:pPr>
            <w:r w:rsidRPr="0009132C">
              <w:rPr>
                <w:rFonts w:eastAsia="Calibri"/>
              </w:rPr>
              <w:t>Data Sources</w:t>
            </w:r>
          </w:p>
        </w:tc>
        <w:tc>
          <w:tcPr>
            <w:tcW w:w="6860" w:type="dxa"/>
          </w:tcPr>
          <w:p w14:paraId="6B3850A4" w14:textId="77777777"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Medicaid claims/encounters data</w:t>
            </w:r>
          </w:p>
        </w:tc>
      </w:tr>
      <w:tr w:rsidR="00C220BF" w:rsidRPr="005A683A" w14:paraId="7549D634" w14:textId="77777777">
        <w:tc>
          <w:tcPr>
            <w:cnfStyle w:val="001000000000" w:firstRow="0" w:lastRow="0" w:firstColumn="1" w:lastColumn="0" w:oddVBand="0" w:evenVBand="0" w:oddHBand="0" w:evenHBand="0" w:firstRowFirstColumn="0" w:firstRowLastColumn="0" w:lastRowFirstColumn="0" w:lastRowLastColumn="0"/>
            <w:tcW w:w="2484" w:type="dxa"/>
          </w:tcPr>
          <w:p w14:paraId="7E517CBE" w14:textId="77777777" w:rsidR="00C220BF" w:rsidRPr="0009132C" w:rsidRDefault="00C220BF">
            <w:pPr>
              <w:rPr>
                <w:rFonts w:eastAsia="Calibri"/>
              </w:rPr>
            </w:pPr>
            <w:r w:rsidRPr="0009132C">
              <w:rPr>
                <w:rFonts w:eastAsia="Calibri"/>
              </w:rPr>
              <w:t>National Benchmark</w:t>
            </w:r>
          </w:p>
        </w:tc>
        <w:tc>
          <w:tcPr>
            <w:tcW w:w="6860" w:type="dxa"/>
          </w:tcPr>
          <w:p w14:paraId="172B90D8" w14:textId="77777777"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2021 Medicaid HMO = 79.2%</w:t>
            </w:r>
          </w:p>
          <w:p w14:paraId="7D605FD8" w14:textId="619987BE" w:rsidR="00C220BF" w:rsidRPr="00FC3F84"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FC3F84">
              <w:rPr>
                <w:rFonts w:eastAsia="Calibri"/>
              </w:rPr>
              <w:t xml:space="preserve">Source: </w:t>
            </w:r>
            <w:hyperlink r:id="rId48" w:history="1">
              <w:r w:rsidR="005F5CC3" w:rsidRPr="00FC3F84">
                <w:rPr>
                  <w:rStyle w:val="Hyperlink"/>
                  <w:rFonts w:eastAsia="Calibri"/>
                </w:rPr>
                <w:t>https://www.ncqa.org/hedis/measures/diabetes-and-cardiovascular-disease-screening-and-monitoring-for-people-with-schizophrenia-or-bipolar-disorder/</w:t>
              </w:r>
            </w:hyperlink>
            <w:r w:rsidR="005F5CC3" w:rsidRPr="00FC3F84">
              <w:rPr>
                <w:rFonts w:eastAsia="Calibri"/>
              </w:rPr>
              <w:t xml:space="preserve"> </w:t>
            </w:r>
          </w:p>
        </w:tc>
      </w:tr>
    </w:tbl>
    <w:p w14:paraId="2CAB8918" w14:textId="77777777" w:rsidR="00C220BF" w:rsidRPr="00E73183" w:rsidRDefault="00C220BF" w:rsidP="00727B56">
      <w:pPr>
        <w:pStyle w:val="NoSpacing"/>
      </w:pPr>
    </w:p>
    <w:tbl>
      <w:tblPr>
        <w:tblStyle w:val="FHCclean10pt"/>
        <w:tblW w:w="0" w:type="auto"/>
        <w:tblLook w:val="04A0" w:firstRow="1" w:lastRow="0" w:firstColumn="1" w:lastColumn="0" w:noHBand="0" w:noVBand="1"/>
      </w:tblPr>
      <w:tblGrid>
        <w:gridCol w:w="2484"/>
        <w:gridCol w:w="6860"/>
      </w:tblGrid>
      <w:tr w:rsidR="00C220BF" w:rsidRPr="00BB2A07" w14:paraId="45B012F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4BB72F77" w14:textId="77777777" w:rsidR="00C220BF" w:rsidRPr="00BB2A07" w:rsidRDefault="00C220BF">
            <w:r w:rsidRPr="002B2DA4">
              <w:t>Measure:</w:t>
            </w:r>
          </w:p>
        </w:tc>
        <w:tc>
          <w:tcPr>
            <w:tcW w:w="6860" w:type="dxa"/>
          </w:tcPr>
          <w:p w14:paraId="4DA4C896" w14:textId="77777777" w:rsidR="00C220BF" w:rsidRPr="00BB2A07" w:rsidRDefault="00C220BF">
            <w:pPr>
              <w:cnfStyle w:val="100000000000" w:firstRow="1" w:lastRow="0" w:firstColumn="0" w:lastColumn="0" w:oddVBand="0" w:evenVBand="0" w:oddHBand="0" w:evenHBand="0" w:firstRowFirstColumn="0" w:firstRowLastColumn="0" w:lastRowFirstColumn="0" w:lastRowLastColumn="0"/>
            </w:pPr>
            <w:r w:rsidRPr="00BB2A07">
              <w:t>Physician Visit within 30 Days of Hospital Discharge</w:t>
            </w:r>
          </w:p>
        </w:tc>
      </w:tr>
      <w:tr w:rsidR="00C220BF" w:rsidRPr="00BB2A07" w14:paraId="09D52E80" w14:textId="77777777">
        <w:tc>
          <w:tcPr>
            <w:cnfStyle w:val="001000000000" w:firstRow="0" w:lastRow="0" w:firstColumn="1" w:lastColumn="0" w:oddVBand="0" w:evenVBand="0" w:oddHBand="0" w:evenHBand="0" w:firstRowFirstColumn="0" w:firstRowLastColumn="0" w:lastRowFirstColumn="0" w:lastRowLastColumn="0"/>
            <w:tcW w:w="2484" w:type="dxa"/>
          </w:tcPr>
          <w:p w14:paraId="0ED4337F" w14:textId="77777777" w:rsidR="00C220BF" w:rsidRPr="00BB2A07" w:rsidRDefault="00C220BF">
            <w:r w:rsidRPr="002B2DA4">
              <w:t>Steward</w:t>
            </w:r>
            <w:r>
              <w:t>:</w:t>
            </w:r>
          </w:p>
        </w:tc>
        <w:tc>
          <w:tcPr>
            <w:tcW w:w="6860" w:type="dxa"/>
          </w:tcPr>
          <w:p w14:paraId="7DC85797" w14:textId="77777777" w:rsidR="00C220BF" w:rsidRPr="00BB2A07" w:rsidRDefault="00C220BF">
            <w:pPr>
              <w:cnfStyle w:val="000000000000" w:firstRow="0" w:lastRow="0" w:firstColumn="0" w:lastColumn="0" w:oddVBand="0" w:evenVBand="0" w:oddHBand="0" w:evenHBand="0" w:firstRowFirstColumn="0" w:firstRowLastColumn="0" w:lastRowFirstColumn="0" w:lastRowLastColumn="0"/>
            </w:pPr>
            <w:r>
              <w:t>None</w:t>
            </w:r>
          </w:p>
        </w:tc>
      </w:tr>
      <w:tr w:rsidR="00C220BF" w:rsidRPr="00BB2A07" w14:paraId="5A383EF9" w14:textId="77777777">
        <w:tc>
          <w:tcPr>
            <w:cnfStyle w:val="001000000000" w:firstRow="0" w:lastRow="0" w:firstColumn="1" w:lastColumn="0" w:oddVBand="0" w:evenVBand="0" w:oddHBand="0" w:evenHBand="0" w:firstRowFirstColumn="0" w:firstRowLastColumn="0" w:lastRowFirstColumn="0" w:lastRowLastColumn="0"/>
            <w:tcW w:w="2484" w:type="dxa"/>
          </w:tcPr>
          <w:p w14:paraId="526594AE" w14:textId="77777777" w:rsidR="00C220BF" w:rsidRPr="00BB2A07" w:rsidRDefault="00C220BF">
            <w:r w:rsidRPr="002B2DA4">
              <w:t>NQF Endorsed</w:t>
            </w:r>
            <w:r>
              <w:t>:</w:t>
            </w:r>
          </w:p>
        </w:tc>
        <w:tc>
          <w:tcPr>
            <w:tcW w:w="6860" w:type="dxa"/>
          </w:tcPr>
          <w:p w14:paraId="1E05A92F" w14:textId="77777777" w:rsidR="00C220BF" w:rsidRPr="00BB2A07" w:rsidRDefault="00C220BF">
            <w:pPr>
              <w:cnfStyle w:val="000000000000" w:firstRow="0" w:lastRow="0" w:firstColumn="0" w:lastColumn="0" w:oddVBand="0" w:evenVBand="0" w:oddHBand="0" w:evenHBand="0" w:firstRowFirstColumn="0" w:firstRowLastColumn="0" w:lastRowFirstColumn="0" w:lastRowLastColumn="0"/>
            </w:pPr>
            <w:r>
              <w:t>No</w:t>
            </w:r>
          </w:p>
        </w:tc>
      </w:tr>
      <w:tr w:rsidR="00C220BF" w:rsidRPr="00BB2A07" w14:paraId="155DBF92" w14:textId="77777777">
        <w:tc>
          <w:tcPr>
            <w:cnfStyle w:val="001000000000" w:firstRow="0" w:lastRow="0" w:firstColumn="1" w:lastColumn="0" w:oddVBand="0" w:evenVBand="0" w:oddHBand="0" w:evenHBand="0" w:firstRowFirstColumn="0" w:firstRowLastColumn="0" w:lastRowFirstColumn="0" w:lastRowLastColumn="0"/>
            <w:tcW w:w="2484" w:type="dxa"/>
          </w:tcPr>
          <w:p w14:paraId="3AD4BA90" w14:textId="77777777" w:rsidR="00C220BF" w:rsidRPr="00BB2A07" w:rsidRDefault="00C220BF">
            <w:bookmarkStart w:id="265" w:name="_Hlk128130964"/>
            <w:r w:rsidRPr="00BB2A07">
              <w:t>Description</w:t>
            </w:r>
          </w:p>
        </w:tc>
        <w:tc>
          <w:tcPr>
            <w:tcW w:w="6860" w:type="dxa"/>
          </w:tcPr>
          <w:p w14:paraId="0E05F391" w14:textId="4C4E9EA8" w:rsidR="00C220BF" w:rsidRPr="00BB2A07" w:rsidRDefault="00C220BF">
            <w:pPr>
              <w:cnfStyle w:val="000000000000" w:firstRow="0" w:lastRow="0" w:firstColumn="0" w:lastColumn="0" w:oddVBand="0" w:evenVBand="0" w:oddHBand="0" w:evenHBand="0" w:firstRowFirstColumn="0" w:firstRowLastColumn="0" w:lastRowFirstColumn="0" w:lastRowLastColumn="0"/>
            </w:pPr>
            <w:r w:rsidRPr="00BB2A07">
              <w:t>Percentage of hospitalizations for enrollees 18 to 64 years of age where the member received follow-up within 30 days of hospital discharge</w:t>
            </w:r>
            <w:r w:rsidR="00B6357F">
              <w:t>.</w:t>
            </w:r>
          </w:p>
        </w:tc>
      </w:tr>
      <w:tr w:rsidR="00C220BF" w:rsidRPr="00BB2A07" w14:paraId="641CC98B" w14:textId="77777777">
        <w:tc>
          <w:tcPr>
            <w:cnfStyle w:val="001000000000" w:firstRow="0" w:lastRow="0" w:firstColumn="1" w:lastColumn="0" w:oddVBand="0" w:evenVBand="0" w:oddHBand="0" w:evenHBand="0" w:firstRowFirstColumn="0" w:firstRowLastColumn="0" w:lastRowFirstColumn="0" w:lastRowLastColumn="0"/>
            <w:tcW w:w="2484" w:type="dxa"/>
          </w:tcPr>
          <w:p w14:paraId="488AF8DD" w14:textId="77777777" w:rsidR="00C220BF" w:rsidRPr="00BB2A07" w:rsidRDefault="00C220BF">
            <w:r w:rsidRPr="00BB2A07">
              <w:lastRenderedPageBreak/>
              <w:t>Numerator</w:t>
            </w:r>
          </w:p>
        </w:tc>
        <w:tc>
          <w:tcPr>
            <w:tcW w:w="6860" w:type="dxa"/>
          </w:tcPr>
          <w:p w14:paraId="167A124D" w14:textId="0D7A1B75" w:rsidR="00C220BF" w:rsidRPr="00BB2A07" w:rsidRDefault="00C220BF">
            <w:pPr>
              <w:cnfStyle w:val="000000000000" w:firstRow="0" w:lastRow="0" w:firstColumn="0" w:lastColumn="0" w:oddVBand="0" w:evenVBand="0" w:oddHBand="0" w:evenHBand="0" w:firstRowFirstColumn="0" w:firstRowLastColumn="0" w:lastRowFirstColumn="0" w:lastRowLastColumn="0"/>
            </w:pPr>
            <w:r w:rsidRPr="00BB2A07">
              <w:t>Enrollees 18 to 64 years of age who had a follow-up visit within 30 days of hospital discharge</w:t>
            </w:r>
            <w:r w:rsidR="00B6357F">
              <w:t>.</w:t>
            </w:r>
          </w:p>
        </w:tc>
      </w:tr>
      <w:tr w:rsidR="00C220BF" w:rsidRPr="00BB2A07" w14:paraId="6AB0BE85" w14:textId="77777777">
        <w:tc>
          <w:tcPr>
            <w:cnfStyle w:val="001000000000" w:firstRow="0" w:lastRow="0" w:firstColumn="1" w:lastColumn="0" w:oddVBand="0" w:evenVBand="0" w:oddHBand="0" w:evenHBand="0" w:firstRowFirstColumn="0" w:firstRowLastColumn="0" w:lastRowFirstColumn="0" w:lastRowLastColumn="0"/>
            <w:tcW w:w="2484" w:type="dxa"/>
          </w:tcPr>
          <w:p w14:paraId="3F6CD4D4" w14:textId="77777777" w:rsidR="00C220BF" w:rsidRPr="00BB2A07" w:rsidRDefault="00C220BF">
            <w:r w:rsidRPr="00BB2A07">
              <w:t>Denominator</w:t>
            </w:r>
          </w:p>
        </w:tc>
        <w:tc>
          <w:tcPr>
            <w:tcW w:w="6860" w:type="dxa"/>
          </w:tcPr>
          <w:p w14:paraId="4D2DA21B" w14:textId="52137C7F" w:rsidR="00C220BF" w:rsidRPr="00BB2A07" w:rsidRDefault="00C220BF">
            <w:pPr>
              <w:cnfStyle w:val="000000000000" w:firstRow="0" w:lastRow="0" w:firstColumn="0" w:lastColumn="0" w:oddVBand="0" w:evenVBand="0" w:oddHBand="0" w:evenHBand="0" w:firstRowFirstColumn="0" w:firstRowLastColumn="0" w:lastRowFirstColumn="0" w:lastRowLastColumn="0"/>
            </w:pPr>
            <w:r w:rsidRPr="00BB2A07">
              <w:t>Enrollees 18 to 64 years of age who were hospitalized</w:t>
            </w:r>
            <w:r w:rsidR="00B6357F">
              <w:t>.</w:t>
            </w:r>
          </w:p>
        </w:tc>
      </w:tr>
      <w:tr w:rsidR="00C220BF" w:rsidRPr="00BB2A07" w14:paraId="0DB3F6CE" w14:textId="77777777">
        <w:tc>
          <w:tcPr>
            <w:cnfStyle w:val="001000000000" w:firstRow="0" w:lastRow="0" w:firstColumn="1" w:lastColumn="0" w:oddVBand="0" w:evenVBand="0" w:oddHBand="0" w:evenHBand="0" w:firstRowFirstColumn="0" w:firstRowLastColumn="0" w:lastRowFirstColumn="0" w:lastRowLastColumn="0"/>
            <w:tcW w:w="2484" w:type="dxa"/>
          </w:tcPr>
          <w:p w14:paraId="1989F6EB" w14:textId="77777777" w:rsidR="00C220BF" w:rsidRPr="00BB2A07" w:rsidRDefault="00C220BF">
            <w:r w:rsidRPr="00BB2A07">
              <w:t>Data Sources</w:t>
            </w:r>
          </w:p>
        </w:tc>
        <w:tc>
          <w:tcPr>
            <w:tcW w:w="6860" w:type="dxa"/>
          </w:tcPr>
          <w:p w14:paraId="5CD25FD9" w14:textId="77777777" w:rsidR="00C220BF" w:rsidRPr="00BB2A07" w:rsidRDefault="00C220BF">
            <w:pPr>
              <w:cnfStyle w:val="000000000000" w:firstRow="0" w:lastRow="0" w:firstColumn="0" w:lastColumn="0" w:oddVBand="0" w:evenVBand="0" w:oddHBand="0" w:evenHBand="0" w:firstRowFirstColumn="0" w:firstRowLastColumn="0" w:lastRowFirstColumn="0" w:lastRowLastColumn="0"/>
            </w:pPr>
            <w:r w:rsidRPr="00BB2A07">
              <w:t>Medicaid claims/encounters data</w:t>
            </w:r>
          </w:p>
        </w:tc>
      </w:tr>
      <w:tr w:rsidR="00C220BF" w:rsidRPr="00BB2A07" w14:paraId="55D35D23" w14:textId="77777777">
        <w:tc>
          <w:tcPr>
            <w:cnfStyle w:val="001000000000" w:firstRow="0" w:lastRow="0" w:firstColumn="1" w:lastColumn="0" w:oddVBand="0" w:evenVBand="0" w:oddHBand="0" w:evenHBand="0" w:firstRowFirstColumn="0" w:firstRowLastColumn="0" w:lastRowFirstColumn="0" w:lastRowLastColumn="0"/>
            <w:tcW w:w="2484" w:type="dxa"/>
          </w:tcPr>
          <w:p w14:paraId="4C0FF0B0" w14:textId="77777777" w:rsidR="00C220BF" w:rsidRPr="00BB2A07" w:rsidRDefault="00C220BF">
            <w:r w:rsidRPr="00BB2A07">
              <w:t>National Benchmark</w:t>
            </w:r>
          </w:p>
        </w:tc>
        <w:tc>
          <w:tcPr>
            <w:tcW w:w="6860" w:type="dxa"/>
          </w:tcPr>
          <w:p w14:paraId="1A915E17" w14:textId="77777777" w:rsidR="00C220BF" w:rsidRPr="00BB2A07" w:rsidRDefault="00C220BF">
            <w:pPr>
              <w:cnfStyle w:val="000000000000" w:firstRow="0" w:lastRow="0" w:firstColumn="0" w:lastColumn="0" w:oddVBand="0" w:evenVBand="0" w:oddHBand="0" w:evenHBand="0" w:firstRowFirstColumn="0" w:firstRowLastColumn="0" w:lastRowFirstColumn="0" w:lastRowLastColumn="0"/>
            </w:pPr>
            <w:r w:rsidRPr="00BB2A07">
              <w:t>None</w:t>
            </w:r>
          </w:p>
        </w:tc>
      </w:tr>
    </w:tbl>
    <w:p w14:paraId="28A8FE2E" w14:textId="77777777" w:rsidR="00C220BF" w:rsidRDefault="00C220BF" w:rsidP="00727B56">
      <w:pPr>
        <w:pStyle w:val="NoSpacing"/>
      </w:pPr>
    </w:p>
    <w:tbl>
      <w:tblPr>
        <w:tblStyle w:val="FHCclean10pt"/>
        <w:tblW w:w="0" w:type="auto"/>
        <w:tblLook w:val="04A0" w:firstRow="1" w:lastRow="0" w:firstColumn="1" w:lastColumn="0" w:noHBand="0" w:noVBand="1"/>
      </w:tblPr>
      <w:tblGrid>
        <w:gridCol w:w="2484"/>
        <w:gridCol w:w="6860"/>
      </w:tblGrid>
      <w:tr w:rsidR="00C220BF" w:rsidRPr="0009132C" w14:paraId="0D9A40E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762BE4DA" w14:textId="77777777" w:rsidR="00C220BF" w:rsidRPr="0009132C" w:rsidRDefault="00C220BF">
            <w:pPr>
              <w:rPr>
                <w:rFonts w:eastAsia="Calibri"/>
              </w:rPr>
            </w:pPr>
            <w:bookmarkStart w:id="266" w:name="_Hlk151292383"/>
            <w:bookmarkEnd w:id="265"/>
            <w:r w:rsidRPr="002B2DA4">
              <w:t>Measure:</w:t>
            </w:r>
          </w:p>
        </w:tc>
        <w:tc>
          <w:tcPr>
            <w:tcW w:w="6860" w:type="dxa"/>
          </w:tcPr>
          <w:p w14:paraId="0CF77D9A" w14:textId="77777777" w:rsidR="00C220BF" w:rsidRPr="0009132C" w:rsidRDefault="00C220BF">
            <w:pPr>
              <w:cnfStyle w:val="100000000000" w:firstRow="1" w:lastRow="0" w:firstColumn="0" w:lastColumn="0" w:oddVBand="0" w:evenVBand="0" w:oddHBand="0" w:evenHBand="0" w:firstRowFirstColumn="0" w:firstRowLastColumn="0" w:lastRowFirstColumn="0" w:lastRowLastColumn="0"/>
              <w:rPr>
                <w:rFonts w:eastAsia="Calibri"/>
              </w:rPr>
            </w:pPr>
            <w:r w:rsidRPr="00E37E31">
              <w:rPr>
                <w:rFonts w:eastAsia="Calibri"/>
              </w:rPr>
              <w:t>Follow-Up After Emergency Department Visit for Alcohol and Other Drug Abuse or Dependence (FUA-AD and FUA-CH)</w:t>
            </w:r>
          </w:p>
        </w:tc>
      </w:tr>
      <w:bookmarkEnd w:id="266"/>
      <w:tr w:rsidR="00C220BF" w:rsidRPr="0009132C" w14:paraId="5E9D7A64" w14:textId="77777777">
        <w:tc>
          <w:tcPr>
            <w:cnfStyle w:val="001000000000" w:firstRow="0" w:lastRow="0" w:firstColumn="1" w:lastColumn="0" w:oddVBand="0" w:evenVBand="0" w:oddHBand="0" w:evenHBand="0" w:firstRowFirstColumn="0" w:firstRowLastColumn="0" w:lastRowFirstColumn="0" w:lastRowLastColumn="0"/>
            <w:tcW w:w="2484" w:type="dxa"/>
          </w:tcPr>
          <w:p w14:paraId="71B8D474" w14:textId="77777777" w:rsidR="00C220BF" w:rsidRPr="0009132C" w:rsidRDefault="00C220BF">
            <w:pPr>
              <w:rPr>
                <w:rFonts w:eastAsia="Calibri"/>
              </w:rPr>
            </w:pPr>
            <w:r w:rsidRPr="002B2DA4">
              <w:t>Steward</w:t>
            </w:r>
            <w:r>
              <w:t>:</w:t>
            </w:r>
          </w:p>
        </w:tc>
        <w:tc>
          <w:tcPr>
            <w:tcW w:w="6860" w:type="dxa"/>
          </w:tcPr>
          <w:p w14:paraId="5ABB4D9E" w14:textId="77777777"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E37E31">
              <w:rPr>
                <w:rFonts w:eastAsia="Calibri"/>
              </w:rPr>
              <w:t>National Committee for Quality Assurance (#3488)</w:t>
            </w:r>
          </w:p>
        </w:tc>
      </w:tr>
      <w:tr w:rsidR="00C220BF" w:rsidRPr="0009132C" w14:paraId="4876F4FA" w14:textId="77777777">
        <w:tc>
          <w:tcPr>
            <w:cnfStyle w:val="001000000000" w:firstRow="0" w:lastRow="0" w:firstColumn="1" w:lastColumn="0" w:oddVBand="0" w:evenVBand="0" w:oddHBand="0" w:evenHBand="0" w:firstRowFirstColumn="0" w:firstRowLastColumn="0" w:lastRowFirstColumn="0" w:lastRowLastColumn="0"/>
            <w:tcW w:w="2484" w:type="dxa"/>
          </w:tcPr>
          <w:p w14:paraId="5A6D3FEB" w14:textId="77777777" w:rsidR="00C220BF" w:rsidRPr="0009132C" w:rsidRDefault="00C220BF">
            <w:pPr>
              <w:rPr>
                <w:rFonts w:eastAsia="Calibri"/>
              </w:rPr>
            </w:pPr>
            <w:r w:rsidRPr="002B2DA4">
              <w:t>NQF Endorsed</w:t>
            </w:r>
            <w:r>
              <w:t>:</w:t>
            </w:r>
          </w:p>
        </w:tc>
        <w:tc>
          <w:tcPr>
            <w:tcW w:w="6860" w:type="dxa"/>
          </w:tcPr>
          <w:p w14:paraId="2C3A024C" w14:textId="77777777"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Yes</w:t>
            </w:r>
          </w:p>
        </w:tc>
      </w:tr>
      <w:tr w:rsidR="00C220BF" w:rsidRPr="0009132C" w14:paraId="5F32DE8E" w14:textId="77777777">
        <w:tc>
          <w:tcPr>
            <w:cnfStyle w:val="001000000000" w:firstRow="0" w:lastRow="0" w:firstColumn="1" w:lastColumn="0" w:oddVBand="0" w:evenVBand="0" w:oddHBand="0" w:evenHBand="0" w:firstRowFirstColumn="0" w:firstRowLastColumn="0" w:lastRowFirstColumn="0" w:lastRowLastColumn="0"/>
            <w:tcW w:w="2484" w:type="dxa"/>
          </w:tcPr>
          <w:p w14:paraId="16A0ECB8" w14:textId="77777777" w:rsidR="00C220BF" w:rsidRPr="0009132C" w:rsidRDefault="00C220BF">
            <w:pPr>
              <w:rPr>
                <w:rFonts w:eastAsia="Calibri"/>
              </w:rPr>
            </w:pPr>
            <w:r w:rsidRPr="0009132C">
              <w:rPr>
                <w:rFonts w:eastAsia="Calibri"/>
              </w:rPr>
              <w:t>Description</w:t>
            </w:r>
          </w:p>
        </w:tc>
        <w:tc>
          <w:tcPr>
            <w:tcW w:w="6860" w:type="dxa"/>
          </w:tcPr>
          <w:p w14:paraId="36A616C7" w14:textId="2F91EC26"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 xml:space="preserve">The percentage of ED visits for members 13 years of age and older with a principal diagnosis of alcohol or other drug (AOD) abuse or dependence </w:t>
            </w:r>
            <w:r w:rsidR="00D50933">
              <w:rPr>
                <w:rFonts w:eastAsia="Calibri"/>
              </w:rPr>
              <w:t xml:space="preserve">and </w:t>
            </w:r>
            <w:r w:rsidRPr="0009132C">
              <w:rPr>
                <w:rFonts w:eastAsia="Calibri"/>
              </w:rPr>
              <w:t xml:space="preserve">who had a </w:t>
            </w:r>
            <w:r w:rsidR="00D50933" w:rsidRPr="0009132C">
              <w:rPr>
                <w:rFonts w:eastAsia="Calibri"/>
              </w:rPr>
              <w:t>follow</w:t>
            </w:r>
            <w:r w:rsidR="00D50933">
              <w:rPr>
                <w:rFonts w:eastAsia="Calibri"/>
              </w:rPr>
              <w:t>-</w:t>
            </w:r>
            <w:r w:rsidRPr="0009132C">
              <w:rPr>
                <w:rFonts w:eastAsia="Calibri"/>
              </w:rPr>
              <w:t>up visit for AOD. Two rates are reported:</w:t>
            </w:r>
          </w:p>
          <w:p w14:paraId="1CC49228" w14:textId="77777777" w:rsidR="00C220BF" w:rsidRPr="0009132C" w:rsidRDefault="00C220BF" w:rsidP="00C220BF">
            <w:pPr>
              <w:pStyle w:val="FHCTableBullet10pt"/>
              <w:cnfStyle w:val="000000000000" w:firstRow="0" w:lastRow="0" w:firstColumn="0" w:lastColumn="0" w:oddVBand="0" w:evenVBand="0" w:oddHBand="0" w:evenHBand="0" w:firstRowFirstColumn="0" w:firstRowLastColumn="0" w:lastRowFirstColumn="0" w:lastRowLastColumn="0"/>
            </w:pPr>
            <w:r w:rsidRPr="0009132C">
              <w:t>The percentage of ED visits for which the member received follow-up within 30 days of the ED visit (31 total days).</w:t>
            </w:r>
          </w:p>
          <w:p w14:paraId="3C27D569" w14:textId="57D43353" w:rsidR="00C220BF" w:rsidRPr="0009132C"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09132C">
              <w:t xml:space="preserve">The percentage of ED visits for which the member received follow-up within </w:t>
            </w:r>
            <w:r w:rsidR="005B47F7">
              <w:t xml:space="preserve">seven </w:t>
            </w:r>
            <w:r w:rsidRPr="0009132C">
              <w:t>days of the ED visit (</w:t>
            </w:r>
            <w:r w:rsidR="005B47F7">
              <w:t>eight</w:t>
            </w:r>
            <w:r w:rsidRPr="0009132C">
              <w:t xml:space="preserve"> total days).</w:t>
            </w:r>
          </w:p>
        </w:tc>
      </w:tr>
      <w:tr w:rsidR="00C220BF" w:rsidRPr="0009132C" w14:paraId="21860849" w14:textId="77777777">
        <w:tc>
          <w:tcPr>
            <w:cnfStyle w:val="001000000000" w:firstRow="0" w:lastRow="0" w:firstColumn="1" w:lastColumn="0" w:oddVBand="0" w:evenVBand="0" w:oddHBand="0" w:evenHBand="0" w:firstRowFirstColumn="0" w:firstRowLastColumn="0" w:lastRowFirstColumn="0" w:lastRowLastColumn="0"/>
            <w:tcW w:w="2484" w:type="dxa"/>
          </w:tcPr>
          <w:p w14:paraId="3D90DD61" w14:textId="77777777" w:rsidR="00C220BF" w:rsidRPr="0009132C" w:rsidRDefault="00C220BF">
            <w:pPr>
              <w:rPr>
                <w:rFonts w:eastAsia="Calibri"/>
              </w:rPr>
            </w:pPr>
            <w:r w:rsidRPr="0009132C">
              <w:rPr>
                <w:rFonts w:eastAsia="Calibri"/>
              </w:rPr>
              <w:t>Numerator</w:t>
            </w:r>
          </w:p>
        </w:tc>
        <w:tc>
          <w:tcPr>
            <w:tcW w:w="6860" w:type="dxa"/>
          </w:tcPr>
          <w:p w14:paraId="7989AC60" w14:textId="77777777"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The numerator consists of two rates:</w:t>
            </w:r>
          </w:p>
          <w:p w14:paraId="31A6CC6C" w14:textId="340C3F6F" w:rsidR="00C220BF" w:rsidRPr="0009132C"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09132C">
              <w:t>30-day follow-up: A follow-up visit with any practitioner, with a principal diagnosis of AOD</w:t>
            </w:r>
            <w:r w:rsidR="00A355E1">
              <w:t>,</w:t>
            </w:r>
            <w:r w:rsidRPr="0009132C">
              <w:t xml:space="preserve"> within 30 days after the ED visit (31 total days). Include visits that occur on the date of the ED visit.</w:t>
            </w:r>
          </w:p>
          <w:p w14:paraId="66FD144A" w14:textId="4BB46B7D" w:rsidR="00C220BF" w:rsidRPr="00E37E31"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09132C">
              <w:t>7-day follow-up: A follow-up visit with any practitioner, with a principal diagnosis of AOD</w:t>
            </w:r>
            <w:r w:rsidR="00943AF1">
              <w:t>,</w:t>
            </w:r>
            <w:r w:rsidRPr="0009132C">
              <w:t xml:space="preserve"> within </w:t>
            </w:r>
            <w:r w:rsidR="00D50933">
              <w:t>s</w:t>
            </w:r>
            <w:r w:rsidR="00A355E1">
              <w:t>even</w:t>
            </w:r>
            <w:r w:rsidR="00D50933" w:rsidRPr="0009132C">
              <w:t xml:space="preserve"> </w:t>
            </w:r>
            <w:r w:rsidRPr="0009132C">
              <w:t>days after the ED visit (</w:t>
            </w:r>
            <w:r w:rsidR="00A355E1">
              <w:t>eight</w:t>
            </w:r>
            <w:r w:rsidR="00A355E1" w:rsidRPr="0009132C">
              <w:t xml:space="preserve"> </w:t>
            </w:r>
            <w:r w:rsidRPr="0009132C">
              <w:t>total days). Include visits that occur on the date of the ED visit.</w:t>
            </w:r>
          </w:p>
          <w:p w14:paraId="1600388C" w14:textId="638C8688"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These rates are stratified by age (13</w:t>
            </w:r>
            <w:r w:rsidR="005B47F7">
              <w:rPr>
                <w:rFonts w:eastAsia="Calibri"/>
              </w:rPr>
              <w:t xml:space="preserve"> to </w:t>
            </w:r>
            <w:r w:rsidRPr="0009132C">
              <w:rPr>
                <w:rFonts w:eastAsia="Calibri"/>
              </w:rPr>
              <w:t>17, 18 and older, total)</w:t>
            </w:r>
            <w:r w:rsidR="00292ACE">
              <w:rPr>
                <w:rFonts w:eastAsia="Calibri"/>
              </w:rPr>
              <w:t>.</w:t>
            </w:r>
          </w:p>
        </w:tc>
      </w:tr>
      <w:tr w:rsidR="00C220BF" w:rsidRPr="0009132C" w14:paraId="4960B08D" w14:textId="77777777">
        <w:tc>
          <w:tcPr>
            <w:cnfStyle w:val="001000000000" w:firstRow="0" w:lastRow="0" w:firstColumn="1" w:lastColumn="0" w:oddVBand="0" w:evenVBand="0" w:oddHBand="0" w:evenHBand="0" w:firstRowFirstColumn="0" w:firstRowLastColumn="0" w:lastRowFirstColumn="0" w:lastRowLastColumn="0"/>
            <w:tcW w:w="2484" w:type="dxa"/>
          </w:tcPr>
          <w:p w14:paraId="2DF89F8E" w14:textId="77777777" w:rsidR="00C220BF" w:rsidRPr="0009132C" w:rsidRDefault="00C220BF">
            <w:pPr>
              <w:rPr>
                <w:rFonts w:eastAsia="Calibri"/>
              </w:rPr>
            </w:pPr>
            <w:r w:rsidRPr="0009132C">
              <w:rPr>
                <w:rFonts w:eastAsia="Calibri"/>
              </w:rPr>
              <w:t>Denominator</w:t>
            </w:r>
          </w:p>
        </w:tc>
        <w:tc>
          <w:tcPr>
            <w:tcW w:w="6860" w:type="dxa"/>
          </w:tcPr>
          <w:p w14:paraId="360DC58E" w14:textId="47CC0072"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ED visits with a primary diagnosis of alcohol or other drug abuse or dependence on or between January 1 and December 1 of the measurement year</w:t>
            </w:r>
            <w:r w:rsidR="00943AF1">
              <w:rPr>
                <w:rFonts w:eastAsia="Calibri"/>
              </w:rPr>
              <w:t>,</w:t>
            </w:r>
            <w:r w:rsidRPr="0009132C">
              <w:rPr>
                <w:rFonts w:eastAsia="Calibri"/>
              </w:rPr>
              <w:t xml:space="preserve"> where the member was 13 years or older on the date of the visit.</w:t>
            </w:r>
          </w:p>
        </w:tc>
      </w:tr>
      <w:tr w:rsidR="00C220BF" w:rsidRPr="0009132C" w14:paraId="29D90AA9" w14:textId="77777777">
        <w:tc>
          <w:tcPr>
            <w:cnfStyle w:val="001000000000" w:firstRow="0" w:lastRow="0" w:firstColumn="1" w:lastColumn="0" w:oddVBand="0" w:evenVBand="0" w:oddHBand="0" w:evenHBand="0" w:firstRowFirstColumn="0" w:firstRowLastColumn="0" w:lastRowFirstColumn="0" w:lastRowLastColumn="0"/>
            <w:tcW w:w="2484" w:type="dxa"/>
          </w:tcPr>
          <w:p w14:paraId="1D61F481" w14:textId="77777777" w:rsidR="00C220BF" w:rsidRPr="0009132C" w:rsidRDefault="00C220BF">
            <w:pPr>
              <w:rPr>
                <w:rFonts w:eastAsia="Calibri"/>
              </w:rPr>
            </w:pPr>
            <w:r w:rsidRPr="0009132C">
              <w:rPr>
                <w:rFonts w:eastAsia="Calibri"/>
              </w:rPr>
              <w:t>Data Sources</w:t>
            </w:r>
          </w:p>
        </w:tc>
        <w:tc>
          <w:tcPr>
            <w:tcW w:w="6860" w:type="dxa"/>
          </w:tcPr>
          <w:p w14:paraId="51EDC630" w14:textId="77777777"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Medicaid claims/encounters data</w:t>
            </w:r>
          </w:p>
        </w:tc>
      </w:tr>
      <w:tr w:rsidR="00C220BF" w:rsidRPr="00786BB0" w14:paraId="0439821C" w14:textId="77777777">
        <w:tc>
          <w:tcPr>
            <w:cnfStyle w:val="001000000000" w:firstRow="0" w:lastRow="0" w:firstColumn="1" w:lastColumn="0" w:oddVBand="0" w:evenVBand="0" w:oddHBand="0" w:evenHBand="0" w:firstRowFirstColumn="0" w:firstRowLastColumn="0" w:lastRowFirstColumn="0" w:lastRowLastColumn="0"/>
            <w:tcW w:w="2484" w:type="dxa"/>
          </w:tcPr>
          <w:p w14:paraId="067ACC77" w14:textId="77777777" w:rsidR="00C220BF" w:rsidRPr="0009132C" w:rsidRDefault="00C220BF">
            <w:pPr>
              <w:rPr>
                <w:rFonts w:eastAsia="Calibri"/>
              </w:rPr>
            </w:pPr>
            <w:r w:rsidRPr="0009132C">
              <w:rPr>
                <w:rFonts w:eastAsia="Calibri"/>
              </w:rPr>
              <w:t>National Benchmark</w:t>
            </w:r>
          </w:p>
        </w:tc>
        <w:tc>
          <w:tcPr>
            <w:tcW w:w="6860" w:type="dxa"/>
          </w:tcPr>
          <w:p w14:paraId="3002A741" w14:textId="7839F252"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 xml:space="preserve">2021 Medicaid HMO for follow-up within </w:t>
            </w:r>
            <w:r w:rsidR="005B47F7">
              <w:rPr>
                <w:rFonts w:eastAsia="Calibri"/>
              </w:rPr>
              <w:t>seven</w:t>
            </w:r>
            <w:r w:rsidRPr="0009132C">
              <w:rPr>
                <w:rFonts w:eastAsia="Calibri"/>
              </w:rPr>
              <w:t xml:space="preserve"> days of ED visit= 11%</w:t>
            </w:r>
          </w:p>
          <w:p w14:paraId="70D74107" w14:textId="77777777"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2021 Medicaid HMO for follow-up within 30 days of ED visit= 15.9%</w:t>
            </w:r>
          </w:p>
          <w:p w14:paraId="0CE69046" w14:textId="5205FC7D"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lang w:val="fr-FR"/>
              </w:rPr>
            </w:pPr>
            <w:r w:rsidRPr="0009132C">
              <w:rPr>
                <w:rFonts w:eastAsia="Calibri"/>
                <w:lang w:val="fr-FR"/>
              </w:rPr>
              <w:t xml:space="preserve">Source: </w:t>
            </w:r>
            <w:hyperlink r:id="rId49" w:history="1">
              <w:r w:rsidR="005F5CC3" w:rsidRPr="009348BF">
                <w:rPr>
                  <w:rStyle w:val="Hyperlink"/>
                  <w:rFonts w:eastAsia="Calibri"/>
                  <w:lang w:val="fr-FR"/>
                </w:rPr>
                <w:t>https://www.ncqa.org/hedis/measures/follow-up-after-emergency-department-visit-for-alcohol-and-other-drug-abuse-or-dependence/</w:t>
              </w:r>
            </w:hyperlink>
            <w:r w:rsidR="005F5CC3">
              <w:rPr>
                <w:rFonts w:eastAsia="Calibri"/>
                <w:lang w:val="fr-FR"/>
              </w:rPr>
              <w:t xml:space="preserve"> </w:t>
            </w:r>
          </w:p>
        </w:tc>
      </w:tr>
    </w:tbl>
    <w:p w14:paraId="2D4113E3" w14:textId="77777777" w:rsidR="00C220BF" w:rsidRPr="00223AA4" w:rsidRDefault="00C220BF" w:rsidP="00727B56">
      <w:pPr>
        <w:pStyle w:val="NoSpacing"/>
        <w:rPr>
          <w:lang w:val="fr-FR"/>
        </w:rPr>
      </w:pPr>
    </w:p>
    <w:tbl>
      <w:tblPr>
        <w:tblStyle w:val="FHCclean10pt"/>
        <w:tblW w:w="0" w:type="auto"/>
        <w:tblLook w:val="04A0" w:firstRow="1" w:lastRow="0" w:firstColumn="1" w:lastColumn="0" w:noHBand="0" w:noVBand="1"/>
      </w:tblPr>
      <w:tblGrid>
        <w:gridCol w:w="2484"/>
        <w:gridCol w:w="6860"/>
      </w:tblGrid>
      <w:tr w:rsidR="00C220BF" w:rsidRPr="0009132C" w14:paraId="71315A0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34A4A948" w14:textId="77777777" w:rsidR="00C220BF" w:rsidRPr="0009132C" w:rsidRDefault="00C220BF">
            <w:pPr>
              <w:rPr>
                <w:rFonts w:eastAsia="Calibri"/>
              </w:rPr>
            </w:pPr>
            <w:r w:rsidRPr="00DB3492">
              <w:t>Measure:</w:t>
            </w:r>
          </w:p>
        </w:tc>
        <w:tc>
          <w:tcPr>
            <w:tcW w:w="6860" w:type="dxa"/>
          </w:tcPr>
          <w:p w14:paraId="2BFF0361" w14:textId="77777777" w:rsidR="00C220BF" w:rsidRPr="0009132C" w:rsidRDefault="00C220BF">
            <w:pPr>
              <w:cnfStyle w:val="100000000000" w:firstRow="1" w:lastRow="0" w:firstColumn="0" w:lastColumn="0" w:oddVBand="0" w:evenVBand="0" w:oddHBand="0" w:evenHBand="0" w:firstRowFirstColumn="0" w:firstRowLastColumn="0" w:lastRowFirstColumn="0" w:lastRowLastColumn="0"/>
              <w:rPr>
                <w:rFonts w:eastAsia="Calibri"/>
              </w:rPr>
            </w:pPr>
            <w:r w:rsidRPr="00094BF9">
              <w:rPr>
                <w:rFonts w:eastAsia="Calibri"/>
              </w:rPr>
              <w:t xml:space="preserve">Follow-Up After Hospitalization for Mental Illness (FUH) </w:t>
            </w:r>
            <w:r>
              <w:rPr>
                <w:rFonts w:eastAsia="Calibri"/>
              </w:rPr>
              <w:br/>
            </w:r>
            <w:r w:rsidRPr="00094BF9">
              <w:rPr>
                <w:rFonts w:eastAsia="Calibri"/>
              </w:rPr>
              <w:t>* MassHealth ACO  Quality Measure</w:t>
            </w:r>
          </w:p>
        </w:tc>
      </w:tr>
      <w:tr w:rsidR="00C220BF" w:rsidRPr="0009132C" w14:paraId="3E6FE6F3" w14:textId="77777777">
        <w:tc>
          <w:tcPr>
            <w:cnfStyle w:val="001000000000" w:firstRow="0" w:lastRow="0" w:firstColumn="1" w:lastColumn="0" w:oddVBand="0" w:evenVBand="0" w:oddHBand="0" w:evenHBand="0" w:firstRowFirstColumn="0" w:firstRowLastColumn="0" w:lastRowFirstColumn="0" w:lastRowLastColumn="0"/>
            <w:tcW w:w="2484" w:type="dxa"/>
          </w:tcPr>
          <w:p w14:paraId="0D56DA4B" w14:textId="77777777" w:rsidR="00C220BF" w:rsidRPr="0009132C" w:rsidRDefault="00C220BF">
            <w:pPr>
              <w:rPr>
                <w:rFonts w:eastAsia="Calibri"/>
              </w:rPr>
            </w:pPr>
            <w:r w:rsidRPr="00DB3492">
              <w:t>Steward:</w:t>
            </w:r>
          </w:p>
        </w:tc>
        <w:tc>
          <w:tcPr>
            <w:tcW w:w="6860" w:type="dxa"/>
          </w:tcPr>
          <w:p w14:paraId="58012186" w14:textId="77777777"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094BF9">
              <w:rPr>
                <w:rFonts w:eastAsia="Calibri"/>
              </w:rPr>
              <w:t>National Committee for Quality Assurance (#0576)</w:t>
            </w:r>
          </w:p>
        </w:tc>
      </w:tr>
      <w:tr w:rsidR="00C220BF" w:rsidRPr="0009132C" w14:paraId="0FCCA0D5" w14:textId="77777777">
        <w:tc>
          <w:tcPr>
            <w:cnfStyle w:val="001000000000" w:firstRow="0" w:lastRow="0" w:firstColumn="1" w:lastColumn="0" w:oddVBand="0" w:evenVBand="0" w:oddHBand="0" w:evenHBand="0" w:firstRowFirstColumn="0" w:firstRowLastColumn="0" w:lastRowFirstColumn="0" w:lastRowLastColumn="0"/>
            <w:tcW w:w="2484" w:type="dxa"/>
          </w:tcPr>
          <w:p w14:paraId="65FBC6E0" w14:textId="77777777" w:rsidR="00C220BF" w:rsidRPr="0009132C" w:rsidRDefault="00C220BF">
            <w:pPr>
              <w:rPr>
                <w:rFonts w:eastAsia="Calibri"/>
              </w:rPr>
            </w:pPr>
            <w:r w:rsidRPr="00DB3492">
              <w:t>NQF Endorsed:</w:t>
            </w:r>
          </w:p>
        </w:tc>
        <w:tc>
          <w:tcPr>
            <w:tcW w:w="6860" w:type="dxa"/>
          </w:tcPr>
          <w:p w14:paraId="07096DF9" w14:textId="77777777"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Yes</w:t>
            </w:r>
          </w:p>
        </w:tc>
      </w:tr>
      <w:tr w:rsidR="00C220BF" w:rsidRPr="0009132C" w14:paraId="4F405967" w14:textId="77777777">
        <w:tc>
          <w:tcPr>
            <w:cnfStyle w:val="001000000000" w:firstRow="0" w:lastRow="0" w:firstColumn="1" w:lastColumn="0" w:oddVBand="0" w:evenVBand="0" w:oddHBand="0" w:evenHBand="0" w:firstRowFirstColumn="0" w:firstRowLastColumn="0" w:lastRowFirstColumn="0" w:lastRowLastColumn="0"/>
            <w:tcW w:w="2484" w:type="dxa"/>
          </w:tcPr>
          <w:p w14:paraId="3842C7C6" w14:textId="77777777" w:rsidR="00C220BF" w:rsidRPr="0009132C" w:rsidRDefault="00C220BF">
            <w:pPr>
              <w:rPr>
                <w:rFonts w:eastAsia="Calibri"/>
              </w:rPr>
            </w:pPr>
            <w:bookmarkStart w:id="267" w:name="_Hlk129958673"/>
            <w:r w:rsidRPr="0009132C">
              <w:rPr>
                <w:rFonts w:eastAsia="Calibri"/>
              </w:rPr>
              <w:t>Description</w:t>
            </w:r>
          </w:p>
        </w:tc>
        <w:tc>
          <w:tcPr>
            <w:tcW w:w="6860" w:type="dxa"/>
          </w:tcPr>
          <w:p w14:paraId="74F6B9D6" w14:textId="77777777"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The percentage of discharges for members 6 years of age and older who were hospitalized for treatment of selected mental illness or intentional self-harm diagnoses and who had a follow-up visit with a mental health provider. Two rates are reported:</w:t>
            </w:r>
          </w:p>
          <w:p w14:paraId="38444ED0" w14:textId="77777777" w:rsidR="00C220BF" w:rsidRPr="00094BF9"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094BF9">
              <w:lastRenderedPageBreak/>
              <w:t>The percentage of discharges for which the member received follow-up within 30 days after discharge.</w:t>
            </w:r>
          </w:p>
          <w:p w14:paraId="2F905602" w14:textId="62123CFB" w:rsidR="00C220BF" w:rsidRPr="00094BF9"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rPr>
                <w:rFonts w:eastAsia="Calibri"/>
              </w:rPr>
            </w:pPr>
            <w:r w:rsidRPr="00094BF9">
              <w:t xml:space="preserve">The percentage of discharges for which the member received follow-up within </w:t>
            </w:r>
            <w:r w:rsidR="005B47F7">
              <w:t>seven days</w:t>
            </w:r>
            <w:r w:rsidRPr="00094BF9">
              <w:t xml:space="preserve"> after discharge.</w:t>
            </w:r>
          </w:p>
        </w:tc>
      </w:tr>
      <w:tr w:rsidR="00C220BF" w:rsidRPr="0009132C" w14:paraId="535F6618" w14:textId="77777777">
        <w:tc>
          <w:tcPr>
            <w:cnfStyle w:val="001000000000" w:firstRow="0" w:lastRow="0" w:firstColumn="1" w:lastColumn="0" w:oddVBand="0" w:evenVBand="0" w:oddHBand="0" w:evenHBand="0" w:firstRowFirstColumn="0" w:firstRowLastColumn="0" w:lastRowFirstColumn="0" w:lastRowLastColumn="0"/>
            <w:tcW w:w="2484" w:type="dxa"/>
          </w:tcPr>
          <w:p w14:paraId="72B2939D" w14:textId="77777777" w:rsidR="00C220BF" w:rsidRPr="0009132C" w:rsidRDefault="00C220BF">
            <w:pPr>
              <w:rPr>
                <w:rFonts w:eastAsia="Calibri"/>
              </w:rPr>
            </w:pPr>
            <w:r w:rsidRPr="0009132C">
              <w:rPr>
                <w:rFonts w:eastAsia="Calibri"/>
              </w:rPr>
              <w:lastRenderedPageBreak/>
              <w:t>Numerator</w:t>
            </w:r>
          </w:p>
        </w:tc>
        <w:tc>
          <w:tcPr>
            <w:tcW w:w="6860" w:type="dxa"/>
          </w:tcPr>
          <w:p w14:paraId="47D5EE03" w14:textId="77777777" w:rsidR="00C220BF" w:rsidRPr="00EC5B0D"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09132C">
              <w:t>30-Day Follow-Up: A follow-up visit with a mental health provider within 30 days after discharge.</w:t>
            </w:r>
          </w:p>
          <w:p w14:paraId="7518CC38" w14:textId="70BA5980" w:rsidR="00C220BF" w:rsidRPr="0009132C"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09132C">
              <w:t xml:space="preserve">7-Day Follow-Up: A follow-up visit with a mental health provider within </w:t>
            </w:r>
            <w:r w:rsidR="005B47F7">
              <w:t>seven days</w:t>
            </w:r>
            <w:r w:rsidRPr="0009132C">
              <w:t xml:space="preserve"> after discharge</w:t>
            </w:r>
          </w:p>
        </w:tc>
      </w:tr>
      <w:tr w:rsidR="00C220BF" w:rsidRPr="0009132C" w14:paraId="672E5A8A" w14:textId="77777777">
        <w:tc>
          <w:tcPr>
            <w:cnfStyle w:val="001000000000" w:firstRow="0" w:lastRow="0" w:firstColumn="1" w:lastColumn="0" w:oddVBand="0" w:evenVBand="0" w:oddHBand="0" w:evenHBand="0" w:firstRowFirstColumn="0" w:firstRowLastColumn="0" w:lastRowFirstColumn="0" w:lastRowLastColumn="0"/>
            <w:tcW w:w="2484" w:type="dxa"/>
          </w:tcPr>
          <w:p w14:paraId="0DDC9A56" w14:textId="77777777" w:rsidR="00C220BF" w:rsidRPr="0009132C" w:rsidRDefault="00C220BF">
            <w:pPr>
              <w:rPr>
                <w:rFonts w:eastAsia="Calibri"/>
              </w:rPr>
            </w:pPr>
            <w:r w:rsidRPr="0009132C">
              <w:rPr>
                <w:rFonts w:eastAsia="Calibri"/>
              </w:rPr>
              <w:t>Denominator</w:t>
            </w:r>
          </w:p>
        </w:tc>
        <w:tc>
          <w:tcPr>
            <w:tcW w:w="6860" w:type="dxa"/>
          </w:tcPr>
          <w:p w14:paraId="63199322" w14:textId="4CE54118"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Discharges from an acute inpatient setting with a principal diagnosis of mental illness or intentional self-harm on the discharge claim during the first 11 months of the measurement year (i.e.</w:t>
            </w:r>
            <w:r w:rsidR="00943AF1">
              <w:rPr>
                <w:rFonts w:eastAsia="Calibri"/>
              </w:rPr>
              <w:t>,</w:t>
            </w:r>
            <w:r w:rsidRPr="0009132C">
              <w:rPr>
                <w:rFonts w:eastAsia="Calibri"/>
              </w:rPr>
              <w:t xml:space="preserve"> January 1 to December 1) for members 6 years and older.</w:t>
            </w:r>
          </w:p>
        </w:tc>
      </w:tr>
      <w:tr w:rsidR="00C220BF" w:rsidRPr="0009132C" w14:paraId="1A83E549" w14:textId="77777777">
        <w:tc>
          <w:tcPr>
            <w:cnfStyle w:val="001000000000" w:firstRow="0" w:lastRow="0" w:firstColumn="1" w:lastColumn="0" w:oddVBand="0" w:evenVBand="0" w:oddHBand="0" w:evenHBand="0" w:firstRowFirstColumn="0" w:firstRowLastColumn="0" w:lastRowFirstColumn="0" w:lastRowLastColumn="0"/>
            <w:tcW w:w="2484" w:type="dxa"/>
          </w:tcPr>
          <w:p w14:paraId="78543C24" w14:textId="77777777" w:rsidR="00C220BF" w:rsidRPr="0009132C" w:rsidRDefault="00C220BF">
            <w:pPr>
              <w:rPr>
                <w:rFonts w:eastAsia="Calibri"/>
              </w:rPr>
            </w:pPr>
            <w:r w:rsidRPr="0009132C">
              <w:rPr>
                <w:rFonts w:eastAsia="Calibri"/>
              </w:rPr>
              <w:t>Data Sources</w:t>
            </w:r>
          </w:p>
        </w:tc>
        <w:tc>
          <w:tcPr>
            <w:tcW w:w="6860" w:type="dxa"/>
          </w:tcPr>
          <w:p w14:paraId="52943361" w14:textId="77777777"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Medicaid claims/encounters data</w:t>
            </w:r>
          </w:p>
        </w:tc>
      </w:tr>
      <w:tr w:rsidR="00C220BF" w:rsidRPr="00786BB0" w14:paraId="5D69B682" w14:textId="77777777">
        <w:tc>
          <w:tcPr>
            <w:cnfStyle w:val="001000000000" w:firstRow="0" w:lastRow="0" w:firstColumn="1" w:lastColumn="0" w:oddVBand="0" w:evenVBand="0" w:oddHBand="0" w:evenHBand="0" w:firstRowFirstColumn="0" w:firstRowLastColumn="0" w:lastRowFirstColumn="0" w:lastRowLastColumn="0"/>
            <w:tcW w:w="2484" w:type="dxa"/>
          </w:tcPr>
          <w:p w14:paraId="50FFDB37" w14:textId="77777777" w:rsidR="00C220BF" w:rsidRPr="0009132C" w:rsidRDefault="00C220BF">
            <w:pPr>
              <w:rPr>
                <w:rFonts w:eastAsia="Calibri"/>
              </w:rPr>
            </w:pPr>
            <w:r w:rsidRPr="0009132C">
              <w:rPr>
                <w:rFonts w:eastAsia="Calibri"/>
              </w:rPr>
              <w:t>National Benchmark</w:t>
            </w:r>
          </w:p>
        </w:tc>
        <w:tc>
          <w:tcPr>
            <w:tcW w:w="6860" w:type="dxa"/>
          </w:tcPr>
          <w:p w14:paraId="0289A194" w14:textId="3808680E"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 xml:space="preserve">2021 Medicaid HMO for follow-up within </w:t>
            </w:r>
            <w:r w:rsidR="005B47F7">
              <w:rPr>
                <w:rFonts w:eastAsia="Calibri"/>
              </w:rPr>
              <w:t>seven days</w:t>
            </w:r>
            <w:r w:rsidRPr="0009132C">
              <w:rPr>
                <w:rFonts w:eastAsia="Calibri"/>
              </w:rPr>
              <w:t xml:space="preserve"> post-discharge= 38.4%</w:t>
            </w:r>
          </w:p>
          <w:p w14:paraId="75086103" w14:textId="77777777"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2021 Medicaid HMO for follow-up within 30 days post-discharge = 58.7%</w:t>
            </w:r>
          </w:p>
          <w:p w14:paraId="5D7E9D69" w14:textId="1C09E4E5"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lang w:val="fr-FR"/>
              </w:rPr>
            </w:pPr>
            <w:r w:rsidRPr="0009132C">
              <w:rPr>
                <w:rFonts w:eastAsia="Calibri"/>
                <w:lang w:val="fr-FR"/>
              </w:rPr>
              <w:t>Source:</w:t>
            </w:r>
            <w:r w:rsidRPr="00223AA4">
              <w:rPr>
                <w:lang w:val="fr-FR"/>
              </w:rPr>
              <w:t xml:space="preserve"> </w:t>
            </w:r>
            <w:hyperlink r:id="rId50" w:history="1">
              <w:r w:rsidR="001D6037" w:rsidRPr="00897566">
                <w:rPr>
                  <w:rStyle w:val="Hyperlink"/>
                  <w:rFonts w:eastAsia="Calibri"/>
                  <w:lang w:val="fr-FR"/>
                </w:rPr>
                <w:t>https://www.ncqa.org/hedis/measures/follow-up-after-hospitalization-for-mental-illness/</w:t>
              </w:r>
            </w:hyperlink>
            <w:r w:rsidR="001D6037">
              <w:rPr>
                <w:rFonts w:eastAsia="Calibri"/>
                <w:lang w:val="fr-FR"/>
              </w:rPr>
              <w:t xml:space="preserve"> </w:t>
            </w:r>
          </w:p>
        </w:tc>
      </w:tr>
    </w:tbl>
    <w:p w14:paraId="3B8B929C" w14:textId="77777777" w:rsidR="00C220BF" w:rsidRPr="00223AA4" w:rsidRDefault="00C220BF" w:rsidP="00727B56">
      <w:pPr>
        <w:pStyle w:val="NoSpacing"/>
        <w:rPr>
          <w:lang w:val="fr-FR"/>
        </w:rPr>
      </w:pPr>
    </w:p>
    <w:tbl>
      <w:tblPr>
        <w:tblStyle w:val="FHCclean10pt"/>
        <w:tblW w:w="0" w:type="auto"/>
        <w:tblLook w:val="04A0" w:firstRow="1" w:lastRow="0" w:firstColumn="1" w:lastColumn="0" w:noHBand="0" w:noVBand="1"/>
      </w:tblPr>
      <w:tblGrid>
        <w:gridCol w:w="2484"/>
        <w:gridCol w:w="6860"/>
      </w:tblGrid>
      <w:tr w:rsidR="00C220BF" w:rsidRPr="00094BF9" w14:paraId="014EA87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bookmarkEnd w:id="267"/>
          <w:p w14:paraId="74844E66" w14:textId="77777777" w:rsidR="00C220BF" w:rsidRPr="00094BF9" w:rsidRDefault="00C220BF">
            <w:r w:rsidRPr="00DB3492">
              <w:t>Measure:</w:t>
            </w:r>
          </w:p>
        </w:tc>
        <w:tc>
          <w:tcPr>
            <w:tcW w:w="6860" w:type="dxa"/>
          </w:tcPr>
          <w:p w14:paraId="12C09632" w14:textId="77777777" w:rsidR="00C220BF" w:rsidRPr="00094BF9" w:rsidRDefault="00C220BF">
            <w:pPr>
              <w:cnfStyle w:val="100000000000" w:firstRow="1" w:lastRow="0" w:firstColumn="0" w:lastColumn="0" w:oddVBand="0" w:evenVBand="0" w:oddHBand="0" w:evenHBand="0" w:firstRowFirstColumn="0" w:firstRowLastColumn="0" w:lastRowFirstColumn="0" w:lastRowLastColumn="0"/>
            </w:pPr>
            <w:r w:rsidRPr="00EC5B0D">
              <w:t>Follow-up with CP after Acute or Post-Acute Stay</w:t>
            </w:r>
            <w:r>
              <w:br/>
            </w:r>
            <w:r w:rsidRPr="00EC5B0D">
              <w:t>*MassHealth LTSS CP and BH CP Quality Measure</w:t>
            </w:r>
          </w:p>
        </w:tc>
      </w:tr>
      <w:tr w:rsidR="00C220BF" w:rsidRPr="00094BF9" w14:paraId="0D7CC1CE" w14:textId="77777777">
        <w:tc>
          <w:tcPr>
            <w:cnfStyle w:val="001000000000" w:firstRow="0" w:lastRow="0" w:firstColumn="1" w:lastColumn="0" w:oddVBand="0" w:evenVBand="0" w:oddHBand="0" w:evenHBand="0" w:firstRowFirstColumn="0" w:firstRowLastColumn="0" w:lastRowFirstColumn="0" w:lastRowLastColumn="0"/>
            <w:tcW w:w="2484" w:type="dxa"/>
          </w:tcPr>
          <w:p w14:paraId="41A104AA" w14:textId="77777777" w:rsidR="00C220BF" w:rsidRPr="00094BF9" w:rsidRDefault="00C220BF">
            <w:r w:rsidRPr="00DB3492">
              <w:t>Steward:</w:t>
            </w:r>
          </w:p>
        </w:tc>
        <w:tc>
          <w:tcPr>
            <w:tcW w:w="6860" w:type="dxa"/>
          </w:tcPr>
          <w:p w14:paraId="593CD323" w14:textId="77777777" w:rsidR="00C220BF" w:rsidRPr="00094BF9" w:rsidRDefault="00C220BF">
            <w:pPr>
              <w:cnfStyle w:val="000000000000" w:firstRow="0" w:lastRow="0" w:firstColumn="0" w:lastColumn="0" w:oddVBand="0" w:evenVBand="0" w:oddHBand="0" w:evenHBand="0" w:firstRowFirstColumn="0" w:firstRowLastColumn="0" w:lastRowFirstColumn="0" w:lastRowLastColumn="0"/>
            </w:pPr>
            <w:r>
              <w:t>MassHealth</w:t>
            </w:r>
          </w:p>
        </w:tc>
      </w:tr>
      <w:tr w:rsidR="00C220BF" w:rsidRPr="00094BF9" w14:paraId="7C3F4F74" w14:textId="77777777">
        <w:tc>
          <w:tcPr>
            <w:cnfStyle w:val="001000000000" w:firstRow="0" w:lastRow="0" w:firstColumn="1" w:lastColumn="0" w:oddVBand="0" w:evenVBand="0" w:oddHBand="0" w:evenHBand="0" w:firstRowFirstColumn="0" w:firstRowLastColumn="0" w:lastRowFirstColumn="0" w:lastRowLastColumn="0"/>
            <w:tcW w:w="2484" w:type="dxa"/>
          </w:tcPr>
          <w:p w14:paraId="0623B862" w14:textId="77777777" w:rsidR="00C220BF" w:rsidRPr="00094BF9" w:rsidRDefault="00C220BF">
            <w:r w:rsidRPr="00DB3492">
              <w:t>NQF Endorsed:</w:t>
            </w:r>
          </w:p>
        </w:tc>
        <w:tc>
          <w:tcPr>
            <w:tcW w:w="6860" w:type="dxa"/>
          </w:tcPr>
          <w:p w14:paraId="23653217" w14:textId="77777777" w:rsidR="00C220BF" w:rsidRPr="00094BF9" w:rsidRDefault="00C220BF">
            <w:pPr>
              <w:cnfStyle w:val="000000000000" w:firstRow="0" w:lastRow="0" w:firstColumn="0" w:lastColumn="0" w:oddVBand="0" w:evenVBand="0" w:oddHBand="0" w:evenHBand="0" w:firstRowFirstColumn="0" w:firstRowLastColumn="0" w:lastRowFirstColumn="0" w:lastRowLastColumn="0"/>
            </w:pPr>
            <w:r>
              <w:t>No</w:t>
            </w:r>
          </w:p>
        </w:tc>
      </w:tr>
      <w:tr w:rsidR="00C220BF" w:rsidRPr="00094BF9" w14:paraId="71DC819D" w14:textId="77777777">
        <w:tc>
          <w:tcPr>
            <w:cnfStyle w:val="001000000000" w:firstRow="0" w:lastRow="0" w:firstColumn="1" w:lastColumn="0" w:oddVBand="0" w:evenVBand="0" w:oddHBand="0" w:evenHBand="0" w:firstRowFirstColumn="0" w:firstRowLastColumn="0" w:lastRowFirstColumn="0" w:lastRowLastColumn="0"/>
            <w:tcW w:w="2484" w:type="dxa"/>
          </w:tcPr>
          <w:p w14:paraId="23D810B3" w14:textId="77777777" w:rsidR="00C220BF" w:rsidRPr="00094BF9" w:rsidRDefault="00C220BF">
            <w:r w:rsidRPr="00094BF9">
              <w:t>Description</w:t>
            </w:r>
          </w:p>
        </w:tc>
        <w:tc>
          <w:tcPr>
            <w:tcW w:w="6860" w:type="dxa"/>
          </w:tcPr>
          <w:p w14:paraId="33056ABC" w14:textId="77777777" w:rsidR="00C220BF" w:rsidRPr="00094BF9" w:rsidRDefault="00C220BF">
            <w:pPr>
              <w:cnfStyle w:val="000000000000" w:firstRow="0" w:lastRow="0" w:firstColumn="0" w:lastColumn="0" w:oddVBand="0" w:evenVBand="0" w:oddHBand="0" w:evenHBand="0" w:firstRowFirstColumn="0" w:firstRowLastColumn="0" w:lastRowFirstColumn="0" w:lastRowLastColumn="0"/>
            </w:pPr>
            <w:r w:rsidRPr="00094BF9">
              <w:t>The percentage of discharges from acute or post-acute stays for Long Term Services and Supports Community Partner (LTSS CP) enrollees 3 to 64 years of age or Behavioral Health Community partners (BH CP) enrollees 18 to 64 years of age that were succeeded by a follow-up with the LTSS CP or BH CP within (# to be specified) business days of discharge.</w:t>
            </w:r>
          </w:p>
        </w:tc>
      </w:tr>
      <w:tr w:rsidR="00C220BF" w:rsidRPr="00094BF9" w14:paraId="13C3DA84" w14:textId="77777777">
        <w:tc>
          <w:tcPr>
            <w:cnfStyle w:val="001000000000" w:firstRow="0" w:lastRow="0" w:firstColumn="1" w:lastColumn="0" w:oddVBand="0" w:evenVBand="0" w:oddHBand="0" w:evenHBand="0" w:firstRowFirstColumn="0" w:firstRowLastColumn="0" w:lastRowFirstColumn="0" w:lastRowLastColumn="0"/>
            <w:tcW w:w="2484" w:type="dxa"/>
          </w:tcPr>
          <w:p w14:paraId="336563A4" w14:textId="77777777" w:rsidR="00C220BF" w:rsidRPr="00094BF9" w:rsidRDefault="00C220BF">
            <w:r w:rsidRPr="00094BF9">
              <w:t>Numerator</w:t>
            </w:r>
          </w:p>
        </w:tc>
        <w:tc>
          <w:tcPr>
            <w:tcW w:w="6860" w:type="dxa"/>
          </w:tcPr>
          <w:p w14:paraId="53AC4AF1" w14:textId="77777777" w:rsidR="00C220BF" w:rsidRPr="00094BF9" w:rsidRDefault="00C220BF">
            <w:pPr>
              <w:cnfStyle w:val="000000000000" w:firstRow="0" w:lastRow="0" w:firstColumn="0" w:lastColumn="0" w:oddVBand="0" w:evenVBand="0" w:oddHBand="0" w:evenHBand="0" w:firstRowFirstColumn="0" w:firstRowLastColumn="0" w:lastRowFirstColumn="0" w:lastRowLastColumn="0"/>
            </w:pPr>
            <w:r w:rsidRPr="00094BF9">
              <w:t>Discharges for LTSS CP enrollees 3 to 64 years of age or BH CP enrollees 18 to 64 years of age that were succeeded by a follow-up with the LTSS CP or BH CP within 3 business days of discharge.</w:t>
            </w:r>
          </w:p>
        </w:tc>
      </w:tr>
      <w:tr w:rsidR="00C220BF" w:rsidRPr="00094BF9" w14:paraId="49BB4D98" w14:textId="77777777">
        <w:tc>
          <w:tcPr>
            <w:cnfStyle w:val="001000000000" w:firstRow="0" w:lastRow="0" w:firstColumn="1" w:lastColumn="0" w:oddVBand="0" w:evenVBand="0" w:oddHBand="0" w:evenHBand="0" w:firstRowFirstColumn="0" w:firstRowLastColumn="0" w:lastRowFirstColumn="0" w:lastRowLastColumn="0"/>
            <w:tcW w:w="2484" w:type="dxa"/>
          </w:tcPr>
          <w:p w14:paraId="5BA2C10F" w14:textId="77777777" w:rsidR="00C220BF" w:rsidRPr="00094BF9" w:rsidRDefault="00C220BF">
            <w:r w:rsidRPr="00094BF9">
              <w:t>Denominator</w:t>
            </w:r>
          </w:p>
        </w:tc>
        <w:tc>
          <w:tcPr>
            <w:tcW w:w="6860" w:type="dxa"/>
          </w:tcPr>
          <w:p w14:paraId="0DD544C1" w14:textId="77777777" w:rsidR="00C220BF" w:rsidRPr="00094BF9" w:rsidRDefault="00C220BF">
            <w:pPr>
              <w:cnfStyle w:val="000000000000" w:firstRow="0" w:lastRow="0" w:firstColumn="0" w:lastColumn="0" w:oddVBand="0" w:evenVBand="0" w:oddHBand="0" w:evenHBand="0" w:firstRowFirstColumn="0" w:firstRowLastColumn="0" w:lastRowFirstColumn="0" w:lastRowLastColumn="0"/>
            </w:pPr>
            <w:r w:rsidRPr="00094BF9">
              <w:t xml:space="preserve">Discharges for LTSS CP enrollees 3 to 64 years of age or BH CP enrollees 18 to 64 years of age during the measurement year. </w:t>
            </w:r>
          </w:p>
        </w:tc>
      </w:tr>
      <w:tr w:rsidR="00C220BF" w:rsidRPr="00094BF9" w14:paraId="11BFC555" w14:textId="77777777">
        <w:tc>
          <w:tcPr>
            <w:cnfStyle w:val="001000000000" w:firstRow="0" w:lastRow="0" w:firstColumn="1" w:lastColumn="0" w:oddVBand="0" w:evenVBand="0" w:oddHBand="0" w:evenHBand="0" w:firstRowFirstColumn="0" w:firstRowLastColumn="0" w:lastRowFirstColumn="0" w:lastRowLastColumn="0"/>
            <w:tcW w:w="2484" w:type="dxa"/>
          </w:tcPr>
          <w:p w14:paraId="319CA3E0" w14:textId="77777777" w:rsidR="00C220BF" w:rsidRPr="00094BF9" w:rsidRDefault="00C220BF">
            <w:r w:rsidRPr="00094BF9">
              <w:t>Data Sources</w:t>
            </w:r>
          </w:p>
        </w:tc>
        <w:tc>
          <w:tcPr>
            <w:tcW w:w="6860" w:type="dxa"/>
          </w:tcPr>
          <w:p w14:paraId="6147922D" w14:textId="77777777" w:rsidR="00C220BF" w:rsidRPr="00094BF9" w:rsidRDefault="00C220BF">
            <w:pPr>
              <w:cnfStyle w:val="000000000000" w:firstRow="0" w:lastRow="0" w:firstColumn="0" w:lastColumn="0" w:oddVBand="0" w:evenVBand="0" w:oddHBand="0" w:evenHBand="0" w:firstRowFirstColumn="0" w:firstRowLastColumn="0" w:lastRowFirstColumn="0" w:lastRowLastColumn="0"/>
            </w:pPr>
            <w:r w:rsidRPr="00094BF9">
              <w:t>Medicaid claims/encounters data</w:t>
            </w:r>
          </w:p>
        </w:tc>
      </w:tr>
      <w:tr w:rsidR="00C220BF" w:rsidRPr="00094BF9" w14:paraId="5DFFD5A2" w14:textId="77777777">
        <w:tc>
          <w:tcPr>
            <w:cnfStyle w:val="001000000000" w:firstRow="0" w:lastRow="0" w:firstColumn="1" w:lastColumn="0" w:oddVBand="0" w:evenVBand="0" w:oddHBand="0" w:evenHBand="0" w:firstRowFirstColumn="0" w:firstRowLastColumn="0" w:lastRowFirstColumn="0" w:lastRowLastColumn="0"/>
            <w:tcW w:w="2484" w:type="dxa"/>
          </w:tcPr>
          <w:p w14:paraId="05020076" w14:textId="77777777" w:rsidR="00C220BF" w:rsidRPr="00094BF9" w:rsidRDefault="00C220BF">
            <w:r w:rsidRPr="00094BF9">
              <w:t>National Benchmark</w:t>
            </w:r>
          </w:p>
        </w:tc>
        <w:tc>
          <w:tcPr>
            <w:tcW w:w="6860" w:type="dxa"/>
          </w:tcPr>
          <w:p w14:paraId="38D85348" w14:textId="77777777" w:rsidR="00C220BF" w:rsidRPr="00094BF9" w:rsidRDefault="00C220BF">
            <w:pPr>
              <w:cnfStyle w:val="000000000000" w:firstRow="0" w:lastRow="0" w:firstColumn="0" w:lastColumn="0" w:oddVBand="0" w:evenVBand="0" w:oddHBand="0" w:evenHBand="0" w:firstRowFirstColumn="0" w:firstRowLastColumn="0" w:lastRowFirstColumn="0" w:lastRowLastColumn="0"/>
            </w:pPr>
            <w:r w:rsidRPr="00094BF9">
              <w:t>None</w:t>
            </w:r>
          </w:p>
        </w:tc>
      </w:tr>
    </w:tbl>
    <w:p w14:paraId="3AB397F2" w14:textId="77777777" w:rsidR="00C220BF" w:rsidRDefault="00C220BF" w:rsidP="00727B56">
      <w:pPr>
        <w:pStyle w:val="NoSpacing"/>
      </w:pPr>
    </w:p>
    <w:tbl>
      <w:tblPr>
        <w:tblStyle w:val="FHCclean10pt"/>
        <w:tblW w:w="0" w:type="auto"/>
        <w:tblLook w:val="04A0" w:firstRow="1" w:lastRow="0" w:firstColumn="1" w:lastColumn="0" w:noHBand="0" w:noVBand="1"/>
      </w:tblPr>
      <w:tblGrid>
        <w:gridCol w:w="2484"/>
        <w:gridCol w:w="6860"/>
      </w:tblGrid>
      <w:tr w:rsidR="00C220BF" w:rsidRPr="0009132C" w14:paraId="3D6D184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16D8EE91" w14:textId="77777777" w:rsidR="00C220BF" w:rsidRPr="0009132C" w:rsidRDefault="00C220BF">
            <w:pPr>
              <w:rPr>
                <w:rFonts w:eastAsia="Calibri"/>
              </w:rPr>
            </w:pPr>
            <w:r w:rsidRPr="00DB3492">
              <w:t>Measure:</w:t>
            </w:r>
          </w:p>
        </w:tc>
        <w:tc>
          <w:tcPr>
            <w:tcW w:w="6860" w:type="dxa"/>
          </w:tcPr>
          <w:p w14:paraId="1B44E760" w14:textId="77777777" w:rsidR="00C220BF" w:rsidRPr="0009132C" w:rsidRDefault="00C220BF">
            <w:pPr>
              <w:cnfStyle w:val="100000000000" w:firstRow="1" w:lastRow="0" w:firstColumn="0" w:lastColumn="0" w:oddVBand="0" w:evenVBand="0" w:oddHBand="0" w:evenHBand="0" w:firstRowFirstColumn="0" w:firstRowLastColumn="0" w:lastRowFirstColumn="0" w:lastRowLastColumn="0"/>
              <w:rPr>
                <w:rFonts w:eastAsia="Calibri"/>
              </w:rPr>
            </w:pPr>
            <w:r>
              <w:rPr>
                <w:rFonts w:eastAsia="Calibri"/>
              </w:rPr>
              <w:t>F</w:t>
            </w:r>
            <w:r w:rsidRPr="00EC5B0D">
              <w:rPr>
                <w:rFonts w:eastAsia="Calibri"/>
              </w:rPr>
              <w:t>ollow-up with BH-CP or Provider after ED Visit</w:t>
            </w:r>
            <w:r>
              <w:rPr>
                <w:rFonts w:eastAsia="Calibri"/>
              </w:rPr>
              <w:br/>
            </w:r>
            <w:r w:rsidRPr="00EC5B0D">
              <w:rPr>
                <w:rFonts w:eastAsia="Calibri"/>
              </w:rPr>
              <w:t>*MassHealth BH CP Quality Measure</w:t>
            </w:r>
          </w:p>
        </w:tc>
      </w:tr>
      <w:tr w:rsidR="00C220BF" w:rsidRPr="0009132C" w14:paraId="78C27067" w14:textId="77777777">
        <w:tc>
          <w:tcPr>
            <w:cnfStyle w:val="001000000000" w:firstRow="0" w:lastRow="0" w:firstColumn="1" w:lastColumn="0" w:oddVBand="0" w:evenVBand="0" w:oddHBand="0" w:evenHBand="0" w:firstRowFirstColumn="0" w:firstRowLastColumn="0" w:lastRowFirstColumn="0" w:lastRowLastColumn="0"/>
            <w:tcW w:w="2484" w:type="dxa"/>
          </w:tcPr>
          <w:p w14:paraId="1D4943CC" w14:textId="77777777" w:rsidR="00C220BF" w:rsidRPr="0009132C" w:rsidRDefault="00C220BF">
            <w:pPr>
              <w:rPr>
                <w:rFonts w:eastAsia="Calibri"/>
              </w:rPr>
            </w:pPr>
            <w:r w:rsidRPr="00DB3492">
              <w:t>Steward:</w:t>
            </w:r>
          </w:p>
        </w:tc>
        <w:tc>
          <w:tcPr>
            <w:tcW w:w="6860" w:type="dxa"/>
          </w:tcPr>
          <w:p w14:paraId="1EBAA115" w14:textId="77777777"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MassHealth</w:t>
            </w:r>
          </w:p>
        </w:tc>
      </w:tr>
      <w:tr w:rsidR="00C220BF" w:rsidRPr="0009132C" w14:paraId="4723D92B" w14:textId="77777777">
        <w:tc>
          <w:tcPr>
            <w:cnfStyle w:val="001000000000" w:firstRow="0" w:lastRow="0" w:firstColumn="1" w:lastColumn="0" w:oddVBand="0" w:evenVBand="0" w:oddHBand="0" w:evenHBand="0" w:firstRowFirstColumn="0" w:firstRowLastColumn="0" w:lastRowFirstColumn="0" w:lastRowLastColumn="0"/>
            <w:tcW w:w="2484" w:type="dxa"/>
          </w:tcPr>
          <w:p w14:paraId="565F0E16" w14:textId="77777777" w:rsidR="00C220BF" w:rsidRPr="0009132C" w:rsidRDefault="00C220BF">
            <w:pPr>
              <w:rPr>
                <w:rFonts w:eastAsia="Calibri"/>
              </w:rPr>
            </w:pPr>
            <w:r w:rsidRPr="00DB3492">
              <w:t>NQF Endorsed:</w:t>
            </w:r>
          </w:p>
        </w:tc>
        <w:tc>
          <w:tcPr>
            <w:tcW w:w="6860" w:type="dxa"/>
          </w:tcPr>
          <w:p w14:paraId="17AC46C6" w14:textId="77777777"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No</w:t>
            </w:r>
          </w:p>
        </w:tc>
      </w:tr>
      <w:tr w:rsidR="00C220BF" w:rsidRPr="0009132C" w14:paraId="64DEAE77" w14:textId="77777777">
        <w:tc>
          <w:tcPr>
            <w:cnfStyle w:val="001000000000" w:firstRow="0" w:lastRow="0" w:firstColumn="1" w:lastColumn="0" w:oddVBand="0" w:evenVBand="0" w:oddHBand="0" w:evenHBand="0" w:firstRowFirstColumn="0" w:firstRowLastColumn="0" w:lastRowFirstColumn="0" w:lastRowLastColumn="0"/>
            <w:tcW w:w="2484" w:type="dxa"/>
          </w:tcPr>
          <w:p w14:paraId="454F2C26" w14:textId="77777777" w:rsidR="00C220BF" w:rsidRPr="0009132C" w:rsidRDefault="00C220BF">
            <w:pPr>
              <w:rPr>
                <w:rFonts w:eastAsia="Calibri"/>
              </w:rPr>
            </w:pPr>
            <w:r w:rsidRPr="0009132C">
              <w:rPr>
                <w:rFonts w:eastAsia="Calibri"/>
              </w:rPr>
              <w:t>Description</w:t>
            </w:r>
          </w:p>
        </w:tc>
        <w:tc>
          <w:tcPr>
            <w:tcW w:w="6860" w:type="dxa"/>
          </w:tcPr>
          <w:p w14:paraId="095D8C5E" w14:textId="358CB1EF"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 xml:space="preserve">Percentage of ED visits for enrollees 18 to 64 years of age where the member received follow-up within </w:t>
            </w:r>
            <w:r w:rsidR="00331099">
              <w:rPr>
                <w:rFonts w:eastAsia="Calibri"/>
              </w:rPr>
              <w:t>seven</w:t>
            </w:r>
            <w:r w:rsidR="00331099" w:rsidRPr="0009132C">
              <w:rPr>
                <w:rFonts w:eastAsia="Calibri"/>
              </w:rPr>
              <w:t xml:space="preserve"> </w:t>
            </w:r>
            <w:r w:rsidRPr="0009132C">
              <w:rPr>
                <w:rFonts w:eastAsia="Calibri"/>
              </w:rPr>
              <w:t>days of ED discharge</w:t>
            </w:r>
            <w:r w:rsidR="00714329">
              <w:rPr>
                <w:rFonts w:eastAsia="Calibri"/>
              </w:rPr>
              <w:t>.</w:t>
            </w:r>
          </w:p>
        </w:tc>
      </w:tr>
      <w:tr w:rsidR="00C220BF" w:rsidRPr="0009132C" w14:paraId="47F86FA7" w14:textId="77777777">
        <w:tc>
          <w:tcPr>
            <w:cnfStyle w:val="001000000000" w:firstRow="0" w:lastRow="0" w:firstColumn="1" w:lastColumn="0" w:oddVBand="0" w:evenVBand="0" w:oddHBand="0" w:evenHBand="0" w:firstRowFirstColumn="0" w:firstRowLastColumn="0" w:lastRowFirstColumn="0" w:lastRowLastColumn="0"/>
            <w:tcW w:w="2484" w:type="dxa"/>
          </w:tcPr>
          <w:p w14:paraId="4DD7ED89" w14:textId="77777777" w:rsidR="00C220BF" w:rsidRPr="0009132C" w:rsidRDefault="00C220BF">
            <w:pPr>
              <w:rPr>
                <w:rFonts w:eastAsia="Calibri"/>
              </w:rPr>
            </w:pPr>
            <w:r w:rsidRPr="0009132C">
              <w:rPr>
                <w:rFonts w:eastAsia="Calibri"/>
              </w:rPr>
              <w:t>Numerator</w:t>
            </w:r>
          </w:p>
        </w:tc>
        <w:tc>
          <w:tcPr>
            <w:tcW w:w="6860" w:type="dxa"/>
          </w:tcPr>
          <w:p w14:paraId="6FC08698" w14:textId="0522207E"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Enrollees 18 to 64 years of age who received follow-up care from a BH CP or provider after an ED visit</w:t>
            </w:r>
            <w:r w:rsidR="00714329">
              <w:rPr>
                <w:rFonts w:eastAsia="Calibri"/>
              </w:rPr>
              <w:t>.</w:t>
            </w:r>
          </w:p>
        </w:tc>
      </w:tr>
      <w:tr w:rsidR="00C220BF" w:rsidRPr="0009132C" w14:paraId="10609AE2" w14:textId="77777777">
        <w:tc>
          <w:tcPr>
            <w:cnfStyle w:val="001000000000" w:firstRow="0" w:lastRow="0" w:firstColumn="1" w:lastColumn="0" w:oddVBand="0" w:evenVBand="0" w:oddHBand="0" w:evenHBand="0" w:firstRowFirstColumn="0" w:firstRowLastColumn="0" w:lastRowFirstColumn="0" w:lastRowLastColumn="0"/>
            <w:tcW w:w="2484" w:type="dxa"/>
          </w:tcPr>
          <w:p w14:paraId="20E02C04" w14:textId="77777777" w:rsidR="00C220BF" w:rsidRPr="0009132C" w:rsidRDefault="00C220BF">
            <w:pPr>
              <w:rPr>
                <w:rFonts w:eastAsia="Calibri"/>
              </w:rPr>
            </w:pPr>
            <w:r w:rsidRPr="0009132C">
              <w:rPr>
                <w:rFonts w:eastAsia="Calibri"/>
              </w:rPr>
              <w:lastRenderedPageBreak/>
              <w:t>Denominator</w:t>
            </w:r>
          </w:p>
        </w:tc>
        <w:tc>
          <w:tcPr>
            <w:tcW w:w="6860" w:type="dxa"/>
          </w:tcPr>
          <w:p w14:paraId="530560D5" w14:textId="2FFF8742"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Enrollees 18 to 64 years of age who had an ED visit in the measurement year</w:t>
            </w:r>
            <w:r w:rsidR="00331099">
              <w:rPr>
                <w:rFonts w:eastAsia="Calibri"/>
              </w:rPr>
              <w:t>.</w:t>
            </w:r>
          </w:p>
        </w:tc>
      </w:tr>
      <w:tr w:rsidR="00C220BF" w:rsidRPr="0009132C" w14:paraId="2F28F9B7" w14:textId="77777777">
        <w:tc>
          <w:tcPr>
            <w:cnfStyle w:val="001000000000" w:firstRow="0" w:lastRow="0" w:firstColumn="1" w:lastColumn="0" w:oddVBand="0" w:evenVBand="0" w:oddHBand="0" w:evenHBand="0" w:firstRowFirstColumn="0" w:firstRowLastColumn="0" w:lastRowFirstColumn="0" w:lastRowLastColumn="0"/>
            <w:tcW w:w="2484" w:type="dxa"/>
          </w:tcPr>
          <w:p w14:paraId="652278DC" w14:textId="77777777" w:rsidR="00C220BF" w:rsidRPr="0009132C" w:rsidRDefault="00C220BF">
            <w:pPr>
              <w:rPr>
                <w:rFonts w:eastAsia="Calibri"/>
              </w:rPr>
            </w:pPr>
            <w:r w:rsidRPr="0009132C">
              <w:rPr>
                <w:rFonts w:eastAsia="Calibri"/>
              </w:rPr>
              <w:t>Data Sources</w:t>
            </w:r>
          </w:p>
        </w:tc>
        <w:tc>
          <w:tcPr>
            <w:tcW w:w="6860" w:type="dxa"/>
          </w:tcPr>
          <w:p w14:paraId="768388EE" w14:textId="77777777"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Medicaid claims/encounters data</w:t>
            </w:r>
          </w:p>
        </w:tc>
      </w:tr>
      <w:tr w:rsidR="00C220BF" w:rsidRPr="0009132C" w14:paraId="44F5E92E" w14:textId="77777777">
        <w:tc>
          <w:tcPr>
            <w:cnfStyle w:val="001000000000" w:firstRow="0" w:lastRow="0" w:firstColumn="1" w:lastColumn="0" w:oddVBand="0" w:evenVBand="0" w:oddHBand="0" w:evenHBand="0" w:firstRowFirstColumn="0" w:firstRowLastColumn="0" w:lastRowFirstColumn="0" w:lastRowLastColumn="0"/>
            <w:tcW w:w="2484" w:type="dxa"/>
          </w:tcPr>
          <w:p w14:paraId="5200A0A5" w14:textId="77777777" w:rsidR="00C220BF" w:rsidRPr="0009132C" w:rsidRDefault="00C220BF">
            <w:pPr>
              <w:rPr>
                <w:rFonts w:eastAsia="Calibri"/>
              </w:rPr>
            </w:pPr>
            <w:r w:rsidRPr="0009132C">
              <w:rPr>
                <w:rFonts w:eastAsia="Calibri"/>
              </w:rPr>
              <w:t>National Benchmark</w:t>
            </w:r>
          </w:p>
        </w:tc>
        <w:tc>
          <w:tcPr>
            <w:tcW w:w="6860" w:type="dxa"/>
          </w:tcPr>
          <w:p w14:paraId="7D1FB87F" w14:textId="77777777"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None</w:t>
            </w:r>
          </w:p>
        </w:tc>
      </w:tr>
    </w:tbl>
    <w:p w14:paraId="114ED32B" w14:textId="77777777" w:rsidR="00710F77" w:rsidRDefault="00710F77" w:rsidP="00727B56">
      <w:pPr>
        <w:pStyle w:val="NoSpacing"/>
      </w:pPr>
    </w:p>
    <w:tbl>
      <w:tblPr>
        <w:tblStyle w:val="FHCclean10pt"/>
        <w:tblW w:w="0" w:type="auto"/>
        <w:tblLook w:val="04A0" w:firstRow="1" w:lastRow="0" w:firstColumn="1" w:lastColumn="0" w:noHBand="0" w:noVBand="1"/>
      </w:tblPr>
      <w:tblGrid>
        <w:gridCol w:w="2484"/>
        <w:gridCol w:w="6860"/>
      </w:tblGrid>
      <w:tr w:rsidR="00C220BF" w:rsidRPr="0009132C" w14:paraId="4A230C7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69E29B26" w14:textId="77777777" w:rsidR="00C220BF" w:rsidRPr="0009132C" w:rsidRDefault="00C220BF">
            <w:pPr>
              <w:rPr>
                <w:rFonts w:eastAsia="Calibri"/>
              </w:rPr>
            </w:pPr>
            <w:r w:rsidRPr="00DB3492">
              <w:t>Measure:</w:t>
            </w:r>
          </w:p>
        </w:tc>
        <w:tc>
          <w:tcPr>
            <w:tcW w:w="6860" w:type="dxa"/>
          </w:tcPr>
          <w:p w14:paraId="3566F71E" w14:textId="77777777" w:rsidR="00C220BF" w:rsidRPr="0009132C" w:rsidRDefault="00C220BF">
            <w:pPr>
              <w:cnfStyle w:val="100000000000" w:firstRow="1" w:lastRow="0" w:firstColumn="0" w:lastColumn="0" w:oddVBand="0" w:evenVBand="0" w:oddHBand="0" w:evenHBand="0" w:firstRowFirstColumn="0" w:firstRowLastColumn="0" w:lastRowFirstColumn="0" w:lastRowLastColumn="0"/>
              <w:rPr>
                <w:rFonts w:eastAsia="Calibri"/>
              </w:rPr>
            </w:pPr>
            <w:r w:rsidRPr="00EC5B0D">
              <w:rPr>
                <w:rFonts w:eastAsia="Calibri"/>
              </w:rPr>
              <w:t>Developmental Screening in the First 3 Years of Life</w:t>
            </w:r>
            <w:r>
              <w:rPr>
                <w:rFonts w:eastAsia="Calibri"/>
              </w:rPr>
              <w:br/>
            </w:r>
            <w:r w:rsidRPr="00EC5B0D">
              <w:rPr>
                <w:rFonts w:eastAsia="Calibri"/>
              </w:rPr>
              <w:t>*MassHealth ACO quality measure</w:t>
            </w:r>
          </w:p>
        </w:tc>
      </w:tr>
      <w:tr w:rsidR="00C220BF" w:rsidRPr="0009132C" w14:paraId="1124E2A0" w14:textId="77777777">
        <w:tc>
          <w:tcPr>
            <w:cnfStyle w:val="001000000000" w:firstRow="0" w:lastRow="0" w:firstColumn="1" w:lastColumn="0" w:oddVBand="0" w:evenVBand="0" w:oddHBand="0" w:evenHBand="0" w:firstRowFirstColumn="0" w:firstRowLastColumn="0" w:lastRowFirstColumn="0" w:lastRowLastColumn="0"/>
            <w:tcW w:w="2484" w:type="dxa"/>
          </w:tcPr>
          <w:p w14:paraId="3DA237E1" w14:textId="77777777" w:rsidR="00C220BF" w:rsidRPr="0009132C" w:rsidRDefault="00C220BF">
            <w:pPr>
              <w:rPr>
                <w:rFonts w:eastAsia="Calibri"/>
              </w:rPr>
            </w:pPr>
            <w:r w:rsidRPr="00DB3492">
              <w:t>Steward:</w:t>
            </w:r>
          </w:p>
        </w:tc>
        <w:tc>
          <w:tcPr>
            <w:tcW w:w="6860" w:type="dxa"/>
          </w:tcPr>
          <w:p w14:paraId="134675E1" w14:textId="77777777"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EC5B0D">
              <w:rPr>
                <w:rFonts w:eastAsia="Calibri"/>
              </w:rPr>
              <w:t>National Committee for Quality Assurance (#1448)</w:t>
            </w:r>
          </w:p>
        </w:tc>
      </w:tr>
      <w:tr w:rsidR="00C220BF" w:rsidRPr="0009132C" w14:paraId="239DB6B9" w14:textId="77777777">
        <w:tc>
          <w:tcPr>
            <w:cnfStyle w:val="001000000000" w:firstRow="0" w:lastRow="0" w:firstColumn="1" w:lastColumn="0" w:oddVBand="0" w:evenVBand="0" w:oddHBand="0" w:evenHBand="0" w:firstRowFirstColumn="0" w:firstRowLastColumn="0" w:lastRowFirstColumn="0" w:lastRowLastColumn="0"/>
            <w:tcW w:w="2484" w:type="dxa"/>
          </w:tcPr>
          <w:p w14:paraId="4F16DC35" w14:textId="77777777" w:rsidR="00C220BF" w:rsidRPr="0009132C" w:rsidRDefault="00C220BF">
            <w:pPr>
              <w:rPr>
                <w:rFonts w:eastAsia="Calibri"/>
              </w:rPr>
            </w:pPr>
            <w:r w:rsidRPr="00DB3492">
              <w:t>NQF Endorsed:</w:t>
            </w:r>
          </w:p>
        </w:tc>
        <w:tc>
          <w:tcPr>
            <w:tcW w:w="6860" w:type="dxa"/>
          </w:tcPr>
          <w:p w14:paraId="3B0AAD0E" w14:textId="77777777"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No</w:t>
            </w:r>
          </w:p>
        </w:tc>
      </w:tr>
      <w:tr w:rsidR="00C220BF" w:rsidRPr="0009132C" w14:paraId="763D9058" w14:textId="77777777">
        <w:tc>
          <w:tcPr>
            <w:cnfStyle w:val="001000000000" w:firstRow="0" w:lastRow="0" w:firstColumn="1" w:lastColumn="0" w:oddVBand="0" w:evenVBand="0" w:oddHBand="0" w:evenHBand="0" w:firstRowFirstColumn="0" w:firstRowLastColumn="0" w:lastRowFirstColumn="0" w:lastRowLastColumn="0"/>
            <w:tcW w:w="2484" w:type="dxa"/>
          </w:tcPr>
          <w:p w14:paraId="7477995E" w14:textId="77777777" w:rsidR="00C220BF" w:rsidRPr="0009132C" w:rsidRDefault="00C220BF">
            <w:pPr>
              <w:rPr>
                <w:rFonts w:eastAsia="Calibri"/>
              </w:rPr>
            </w:pPr>
            <w:bookmarkStart w:id="268" w:name="_Hlk129958869"/>
            <w:r w:rsidRPr="0009132C">
              <w:rPr>
                <w:rFonts w:eastAsia="Calibri"/>
              </w:rPr>
              <w:t>Description</w:t>
            </w:r>
          </w:p>
        </w:tc>
        <w:tc>
          <w:tcPr>
            <w:tcW w:w="6860" w:type="dxa"/>
          </w:tcPr>
          <w:p w14:paraId="2B4393E6" w14:textId="682C30C6"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 xml:space="preserve">The percentage of children </w:t>
            </w:r>
            <w:r w:rsidR="00587A51">
              <w:rPr>
                <w:rFonts w:eastAsia="Calibri"/>
              </w:rPr>
              <w:t>1</w:t>
            </w:r>
            <w:r w:rsidRPr="0009132C">
              <w:rPr>
                <w:rFonts w:eastAsia="Calibri"/>
              </w:rPr>
              <w:t xml:space="preserve">, </w:t>
            </w:r>
            <w:r w:rsidR="0079575E">
              <w:rPr>
                <w:rFonts w:eastAsia="Calibri"/>
              </w:rPr>
              <w:t>2</w:t>
            </w:r>
            <w:r w:rsidRPr="0009132C">
              <w:rPr>
                <w:rFonts w:eastAsia="Calibri"/>
              </w:rPr>
              <w:t xml:space="preserve">, and </w:t>
            </w:r>
            <w:r w:rsidR="0079575E">
              <w:rPr>
                <w:rFonts w:eastAsia="Calibri"/>
              </w:rPr>
              <w:t>3</w:t>
            </w:r>
            <w:r w:rsidR="0079575E" w:rsidRPr="0009132C">
              <w:rPr>
                <w:rFonts w:eastAsia="Calibri"/>
              </w:rPr>
              <w:t xml:space="preserve"> </w:t>
            </w:r>
            <w:r w:rsidRPr="0009132C">
              <w:rPr>
                <w:rFonts w:eastAsia="Calibri"/>
              </w:rPr>
              <w:t xml:space="preserve">years </w:t>
            </w:r>
            <w:r w:rsidR="00B37957">
              <w:rPr>
                <w:rFonts w:eastAsia="Calibri"/>
              </w:rPr>
              <w:t xml:space="preserve">of age </w:t>
            </w:r>
            <w:r w:rsidRPr="0009132C">
              <w:rPr>
                <w:rFonts w:eastAsia="Calibri"/>
              </w:rPr>
              <w:t>who had a developmental screening performed</w:t>
            </w:r>
            <w:r w:rsidR="00331099">
              <w:rPr>
                <w:rFonts w:eastAsia="Calibri"/>
              </w:rPr>
              <w:t>.</w:t>
            </w:r>
          </w:p>
          <w:p w14:paraId="5A8DB5FF" w14:textId="02581B89" w:rsidR="00C220BF" w:rsidRPr="0009132C" w:rsidRDefault="005B47F7">
            <w:pP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Three</w:t>
            </w:r>
            <w:r w:rsidRPr="0009132C">
              <w:rPr>
                <w:rFonts w:eastAsia="Calibri"/>
              </w:rPr>
              <w:t xml:space="preserve"> </w:t>
            </w:r>
            <w:r w:rsidR="00C220BF" w:rsidRPr="0009132C">
              <w:rPr>
                <w:rFonts w:eastAsia="Calibri"/>
              </w:rPr>
              <w:t xml:space="preserve">Rates – </w:t>
            </w:r>
          </w:p>
          <w:p w14:paraId="098BD081" w14:textId="77777777" w:rsidR="00C220BF" w:rsidRPr="0009132C" w:rsidRDefault="00C220BF" w:rsidP="00EC21C0">
            <w:pPr>
              <w:pStyle w:val="FHCTableBullet10pt"/>
              <w:cnfStyle w:val="000000000000" w:firstRow="0" w:lastRow="0" w:firstColumn="0" w:lastColumn="0" w:oddVBand="0" w:evenVBand="0" w:oddHBand="0" w:evenHBand="0" w:firstRowFirstColumn="0" w:firstRowLastColumn="0" w:lastRowFirstColumn="0" w:lastRowLastColumn="0"/>
            </w:pPr>
            <w:r w:rsidRPr="0009132C">
              <w:t>Rate 1: Developmental Screening by Child’s First Birthday</w:t>
            </w:r>
          </w:p>
          <w:p w14:paraId="53CAA8AC" w14:textId="77777777" w:rsidR="00C220BF" w:rsidRPr="0009132C" w:rsidRDefault="00C220BF" w:rsidP="00EC21C0">
            <w:pPr>
              <w:pStyle w:val="FHCTableBullet10pt"/>
              <w:cnfStyle w:val="000000000000" w:firstRow="0" w:lastRow="0" w:firstColumn="0" w:lastColumn="0" w:oddVBand="0" w:evenVBand="0" w:oddHBand="0" w:evenHBand="0" w:firstRowFirstColumn="0" w:firstRowLastColumn="0" w:lastRowFirstColumn="0" w:lastRowLastColumn="0"/>
            </w:pPr>
            <w:r w:rsidRPr="0009132C">
              <w:t>Rate 2: Developmental Screening by Child’s Second Birthday</w:t>
            </w:r>
          </w:p>
          <w:p w14:paraId="20B5B716" w14:textId="77777777" w:rsidR="00C220BF" w:rsidRPr="0009132C" w:rsidRDefault="00C220BF" w:rsidP="00EC21C0">
            <w:pPr>
              <w:pStyle w:val="FHCTableBullet10pt"/>
              <w:cnfStyle w:val="000000000000" w:firstRow="0" w:lastRow="0" w:firstColumn="0" w:lastColumn="0" w:oddVBand="0" w:evenVBand="0" w:oddHBand="0" w:evenHBand="0" w:firstRowFirstColumn="0" w:firstRowLastColumn="0" w:lastRowFirstColumn="0" w:lastRowLastColumn="0"/>
            </w:pPr>
            <w:r w:rsidRPr="0009132C">
              <w:t>Rate 3: Developmental Screening by Child’s Third Birthday</w:t>
            </w:r>
          </w:p>
        </w:tc>
      </w:tr>
      <w:tr w:rsidR="00C220BF" w:rsidRPr="0009132C" w14:paraId="01079AE6" w14:textId="77777777">
        <w:tc>
          <w:tcPr>
            <w:cnfStyle w:val="001000000000" w:firstRow="0" w:lastRow="0" w:firstColumn="1" w:lastColumn="0" w:oddVBand="0" w:evenVBand="0" w:oddHBand="0" w:evenHBand="0" w:firstRowFirstColumn="0" w:firstRowLastColumn="0" w:lastRowFirstColumn="0" w:lastRowLastColumn="0"/>
            <w:tcW w:w="2484" w:type="dxa"/>
          </w:tcPr>
          <w:p w14:paraId="32D77981" w14:textId="77777777" w:rsidR="00C220BF" w:rsidRPr="0009132C" w:rsidRDefault="00C220BF">
            <w:pPr>
              <w:rPr>
                <w:rFonts w:eastAsia="Calibri"/>
              </w:rPr>
            </w:pPr>
            <w:r w:rsidRPr="0009132C">
              <w:rPr>
                <w:rFonts w:eastAsia="Calibri"/>
              </w:rPr>
              <w:t>Numerator</w:t>
            </w:r>
          </w:p>
        </w:tc>
        <w:tc>
          <w:tcPr>
            <w:tcW w:w="6860" w:type="dxa"/>
          </w:tcPr>
          <w:p w14:paraId="0F5D1552" w14:textId="3E59A7AA"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Children who had documentation of a developmental screening (screening for risk of developmental, behavioral, and social delays) using a standardized tool by their first, second, and third birthdays</w:t>
            </w:r>
            <w:r w:rsidR="00331099">
              <w:rPr>
                <w:rFonts w:eastAsia="Calibri"/>
              </w:rPr>
              <w:t>.</w:t>
            </w:r>
          </w:p>
        </w:tc>
      </w:tr>
      <w:tr w:rsidR="00C220BF" w:rsidRPr="0009132C" w14:paraId="5C9A654E" w14:textId="77777777">
        <w:tc>
          <w:tcPr>
            <w:cnfStyle w:val="001000000000" w:firstRow="0" w:lastRow="0" w:firstColumn="1" w:lastColumn="0" w:oddVBand="0" w:evenVBand="0" w:oddHBand="0" w:evenHBand="0" w:firstRowFirstColumn="0" w:firstRowLastColumn="0" w:lastRowFirstColumn="0" w:lastRowLastColumn="0"/>
            <w:tcW w:w="2484" w:type="dxa"/>
          </w:tcPr>
          <w:p w14:paraId="1BCE0E32" w14:textId="77777777" w:rsidR="00C220BF" w:rsidRPr="0009132C" w:rsidRDefault="00C220BF">
            <w:pPr>
              <w:rPr>
                <w:rFonts w:eastAsia="Calibri"/>
              </w:rPr>
            </w:pPr>
            <w:r w:rsidRPr="0009132C">
              <w:rPr>
                <w:rFonts w:eastAsia="Calibri"/>
              </w:rPr>
              <w:t>Denominator</w:t>
            </w:r>
          </w:p>
        </w:tc>
        <w:tc>
          <w:tcPr>
            <w:tcW w:w="6860" w:type="dxa"/>
          </w:tcPr>
          <w:p w14:paraId="4B03672F" w14:textId="6583EDA2"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 xml:space="preserve">Children with a visit who turned </w:t>
            </w:r>
            <w:r w:rsidR="00587A51">
              <w:rPr>
                <w:rFonts w:eastAsia="Calibri"/>
              </w:rPr>
              <w:t>1</w:t>
            </w:r>
            <w:r w:rsidRPr="0009132C">
              <w:rPr>
                <w:rFonts w:eastAsia="Calibri"/>
              </w:rPr>
              <w:t xml:space="preserve">, </w:t>
            </w:r>
            <w:r w:rsidR="00587A51">
              <w:rPr>
                <w:rFonts w:eastAsia="Calibri"/>
              </w:rPr>
              <w:t>2</w:t>
            </w:r>
            <w:r w:rsidRPr="0009132C">
              <w:rPr>
                <w:rFonts w:eastAsia="Calibri"/>
              </w:rPr>
              <w:t xml:space="preserve">, and </w:t>
            </w:r>
            <w:r w:rsidR="00587A51">
              <w:rPr>
                <w:rFonts w:eastAsia="Calibri"/>
              </w:rPr>
              <w:t>3</w:t>
            </w:r>
            <w:r w:rsidR="00587A51" w:rsidRPr="0009132C">
              <w:rPr>
                <w:rFonts w:eastAsia="Calibri"/>
              </w:rPr>
              <w:t xml:space="preserve"> </w:t>
            </w:r>
            <w:r w:rsidRPr="0009132C">
              <w:rPr>
                <w:rFonts w:eastAsia="Calibri"/>
              </w:rPr>
              <w:t>years of age</w:t>
            </w:r>
            <w:r w:rsidR="00331099">
              <w:rPr>
                <w:rFonts w:eastAsia="Calibri"/>
              </w:rPr>
              <w:t>.</w:t>
            </w:r>
          </w:p>
        </w:tc>
      </w:tr>
      <w:tr w:rsidR="00C220BF" w:rsidRPr="0009132C" w14:paraId="2E3C4202" w14:textId="77777777">
        <w:tc>
          <w:tcPr>
            <w:cnfStyle w:val="001000000000" w:firstRow="0" w:lastRow="0" w:firstColumn="1" w:lastColumn="0" w:oddVBand="0" w:evenVBand="0" w:oddHBand="0" w:evenHBand="0" w:firstRowFirstColumn="0" w:firstRowLastColumn="0" w:lastRowFirstColumn="0" w:lastRowLastColumn="0"/>
            <w:tcW w:w="2484" w:type="dxa"/>
          </w:tcPr>
          <w:p w14:paraId="2A2D40CC" w14:textId="77777777" w:rsidR="00C220BF" w:rsidRPr="0009132C" w:rsidRDefault="00C220BF">
            <w:pPr>
              <w:rPr>
                <w:rFonts w:eastAsia="Calibri"/>
              </w:rPr>
            </w:pPr>
            <w:r w:rsidRPr="0009132C">
              <w:rPr>
                <w:rFonts w:eastAsia="Calibri"/>
              </w:rPr>
              <w:t>Data Sources</w:t>
            </w:r>
          </w:p>
        </w:tc>
        <w:tc>
          <w:tcPr>
            <w:tcW w:w="6860" w:type="dxa"/>
          </w:tcPr>
          <w:p w14:paraId="251B9552" w14:textId="77777777"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Hybrid/Medicaid claims/encounters data</w:t>
            </w:r>
          </w:p>
        </w:tc>
      </w:tr>
      <w:tr w:rsidR="00C220BF" w:rsidRPr="0009132C" w14:paraId="7C3C63A5" w14:textId="77777777">
        <w:tc>
          <w:tcPr>
            <w:cnfStyle w:val="001000000000" w:firstRow="0" w:lastRow="0" w:firstColumn="1" w:lastColumn="0" w:oddVBand="0" w:evenVBand="0" w:oddHBand="0" w:evenHBand="0" w:firstRowFirstColumn="0" w:firstRowLastColumn="0" w:lastRowFirstColumn="0" w:lastRowLastColumn="0"/>
            <w:tcW w:w="2484" w:type="dxa"/>
          </w:tcPr>
          <w:p w14:paraId="58BD0AAF" w14:textId="77777777" w:rsidR="00C220BF" w:rsidRPr="0009132C" w:rsidRDefault="00C220BF">
            <w:pPr>
              <w:rPr>
                <w:rFonts w:eastAsia="Calibri"/>
              </w:rPr>
            </w:pPr>
            <w:r w:rsidRPr="0009132C">
              <w:rPr>
                <w:rFonts w:eastAsia="Calibri"/>
              </w:rPr>
              <w:t>National Benchmark</w:t>
            </w:r>
          </w:p>
        </w:tc>
        <w:tc>
          <w:tcPr>
            <w:tcW w:w="6860" w:type="dxa"/>
          </w:tcPr>
          <w:p w14:paraId="674FD21C" w14:textId="77777777" w:rsidR="00C220BF" w:rsidRPr="0009132C"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09132C">
              <w:rPr>
                <w:rFonts w:eastAsia="Calibri"/>
              </w:rPr>
              <w:t>None</w:t>
            </w:r>
          </w:p>
        </w:tc>
      </w:tr>
    </w:tbl>
    <w:p w14:paraId="33C7AB3A" w14:textId="77777777" w:rsidR="00C220BF" w:rsidRDefault="00C220BF" w:rsidP="00727B56">
      <w:pPr>
        <w:pStyle w:val="NoSpacing"/>
      </w:pPr>
    </w:p>
    <w:tbl>
      <w:tblPr>
        <w:tblStyle w:val="FHCclean10pt"/>
        <w:tblW w:w="0" w:type="auto"/>
        <w:tblLook w:val="04A0" w:firstRow="1" w:lastRow="0" w:firstColumn="1" w:lastColumn="0" w:noHBand="0" w:noVBand="1"/>
      </w:tblPr>
      <w:tblGrid>
        <w:gridCol w:w="2484"/>
        <w:gridCol w:w="6860"/>
      </w:tblGrid>
      <w:tr w:rsidR="00C220BF" w:rsidRPr="008F1CAB" w14:paraId="146AD94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bookmarkEnd w:id="268"/>
          <w:p w14:paraId="0E009455" w14:textId="77777777" w:rsidR="00C220BF" w:rsidRPr="008F1CAB" w:rsidRDefault="00C220BF">
            <w:r w:rsidRPr="00DB3492">
              <w:t>Measure:</w:t>
            </w:r>
          </w:p>
        </w:tc>
        <w:tc>
          <w:tcPr>
            <w:tcW w:w="6860" w:type="dxa"/>
          </w:tcPr>
          <w:p w14:paraId="47474690" w14:textId="77777777" w:rsidR="00C220BF" w:rsidRPr="008F1CAB" w:rsidRDefault="00C220BF">
            <w:pPr>
              <w:cnfStyle w:val="100000000000" w:firstRow="1" w:lastRow="0" w:firstColumn="0" w:lastColumn="0" w:oddVBand="0" w:evenVBand="0" w:oddHBand="0" w:evenHBand="0" w:firstRowFirstColumn="0" w:firstRowLastColumn="0" w:lastRowFirstColumn="0" w:lastRowLastColumn="0"/>
            </w:pPr>
            <w:r w:rsidRPr="00EC5B0D">
              <w:t>Immunizations for Adolescents (IMA)</w:t>
            </w:r>
          </w:p>
        </w:tc>
      </w:tr>
      <w:tr w:rsidR="00C220BF" w:rsidRPr="008F1CAB" w14:paraId="031318A9" w14:textId="77777777">
        <w:tc>
          <w:tcPr>
            <w:cnfStyle w:val="001000000000" w:firstRow="0" w:lastRow="0" w:firstColumn="1" w:lastColumn="0" w:oddVBand="0" w:evenVBand="0" w:oddHBand="0" w:evenHBand="0" w:firstRowFirstColumn="0" w:firstRowLastColumn="0" w:lastRowFirstColumn="0" w:lastRowLastColumn="0"/>
            <w:tcW w:w="2484" w:type="dxa"/>
          </w:tcPr>
          <w:p w14:paraId="621F5AC1" w14:textId="77777777" w:rsidR="00C220BF" w:rsidRPr="008F1CAB" w:rsidRDefault="00C220BF">
            <w:r w:rsidRPr="00DB3492">
              <w:t>Steward:</w:t>
            </w:r>
          </w:p>
        </w:tc>
        <w:tc>
          <w:tcPr>
            <w:tcW w:w="6860" w:type="dxa"/>
          </w:tcPr>
          <w:p w14:paraId="67E97AA6"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EC5B0D">
              <w:t>National Committee on Quality Assurance (#1407)</w:t>
            </w:r>
          </w:p>
        </w:tc>
      </w:tr>
      <w:tr w:rsidR="00C220BF" w:rsidRPr="008F1CAB" w14:paraId="2C50C930" w14:textId="77777777">
        <w:tc>
          <w:tcPr>
            <w:cnfStyle w:val="001000000000" w:firstRow="0" w:lastRow="0" w:firstColumn="1" w:lastColumn="0" w:oddVBand="0" w:evenVBand="0" w:oddHBand="0" w:evenHBand="0" w:firstRowFirstColumn="0" w:firstRowLastColumn="0" w:lastRowFirstColumn="0" w:lastRowLastColumn="0"/>
            <w:tcW w:w="2484" w:type="dxa"/>
          </w:tcPr>
          <w:p w14:paraId="0EA5C385" w14:textId="77777777" w:rsidR="00C220BF" w:rsidRPr="008F1CAB" w:rsidRDefault="00C220BF">
            <w:r w:rsidRPr="00DB3492">
              <w:t>NQF Endorsed:</w:t>
            </w:r>
          </w:p>
        </w:tc>
        <w:tc>
          <w:tcPr>
            <w:tcW w:w="6860" w:type="dxa"/>
          </w:tcPr>
          <w:p w14:paraId="084A7AAC"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Yes</w:t>
            </w:r>
          </w:p>
        </w:tc>
      </w:tr>
      <w:tr w:rsidR="00C220BF" w:rsidRPr="008F1CAB" w14:paraId="7CD3CFE6" w14:textId="77777777">
        <w:tc>
          <w:tcPr>
            <w:cnfStyle w:val="001000000000" w:firstRow="0" w:lastRow="0" w:firstColumn="1" w:lastColumn="0" w:oddVBand="0" w:evenVBand="0" w:oddHBand="0" w:evenHBand="0" w:firstRowFirstColumn="0" w:firstRowLastColumn="0" w:lastRowFirstColumn="0" w:lastRowLastColumn="0"/>
            <w:tcW w:w="2484" w:type="dxa"/>
          </w:tcPr>
          <w:p w14:paraId="324312D3" w14:textId="77777777" w:rsidR="00C220BF" w:rsidRPr="008F1CAB" w:rsidRDefault="00C220BF">
            <w:r w:rsidRPr="008F1CAB">
              <w:t>Description</w:t>
            </w:r>
          </w:p>
        </w:tc>
        <w:tc>
          <w:tcPr>
            <w:tcW w:w="6860" w:type="dxa"/>
          </w:tcPr>
          <w:p w14:paraId="52360111" w14:textId="114055DE"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The percentage of adolescents 13 years of age who had the recommended immunizations (meningococcal vaccine and one tetanus, diphtheria toxoids and acellular pertussis vaccine (Tdap) or one tetanus, diphtheria toxoids vaccine (Td) by their 13th birthday</w:t>
            </w:r>
            <w:r w:rsidR="00587A51">
              <w:t>.</w:t>
            </w:r>
          </w:p>
        </w:tc>
      </w:tr>
      <w:tr w:rsidR="00C220BF" w:rsidRPr="008F1CAB" w14:paraId="5A42CD4B" w14:textId="77777777">
        <w:tc>
          <w:tcPr>
            <w:cnfStyle w:val="001000000000" w:firstRow="0" w:lastRow="0" w:firstColumn="1" w:lastColumn="0" w:oddVBand="0" w:evenVBand="0" w:oddHBand="0" w:evenHBand="0" w:firstRowFirstColumn="0" w:firstRowLastColumn="0" w:lastRowFirstColumn="0" w:lastRowLastColumn="0"/>
            <w:tcW w:w="2484" w:type="dxa"/>
          </w:tcPr>
          <w:p w14:paraId="64DBABE1" w14:textId="77777777" w:rsidR="00C220BF" w:rsidRPr="008F1CAB" w:rsidRDefault="00C220BF">
            <w:r w:rsidRPr="008F1CAB">
              <w:t>Numerator</w:t>
            </w:r>
          </w:p>
        </w:tc>
        <w:tc>
          <w:tcPr>
            <w:tcW w:w="6860" w:type="dxa"/>
          </w:tcPr>
          <w:p w14:paraId="5A5DC45B" w14:textId="387465B8"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Adolescents 13 years of age who had one dose of meningococcal vaccine and one tetanus, diphtheria toxoids and acellular pertussis vaccine (Tdap) or one tetanus, diphtheria toxoids vaccine (Td) by their 13th birthday</w:t>
            </w:r>
            <w:r w:rsidR="0079575E">
              <w:t>.</w:t>
            </w:r>
          </w:p>
        </w:tc>
      </w:tr>
      <w:tr w:rsidR="00C220BF" w:rsidRPr="008F1CAB" w14:paraId="2B3B1CF1" w14:textId="77777777">
        <w:tc>
          <w:tcPr>
            <w:cnfStyle w:val="001000000000" w:firstRow="0" w:lastRow="0" w:firstColumn="1" w:lastColumn="0" w:oddVBand="0" w:evenVBand="0" w:oddHBand="0" w:evenHBand="0" w:firstRowFirstColumn="0" w:firstRowLastColumn="0" w:lastRowFirstColumn="0" w:lastRowLastColumn="0"/>
            <w:tcW w:w="2484" w:type="dxa"/>
          </w:tcPr>
          <w:p w14:paraId="4FCAA836" w14:textId="77777777" w:rsidR="00C220BF" w:rsidRPr="008F1CAB" w:rsidRDefault="00C220BF">
            <w:r w:rsidRPr="008F1CAB">
              <w:t>Denominator</w:t>
            </w:r>
          </w:p>
        </w:tc>
        <w:tc>
          <w:tcPr>
            <w:tcW w:w="6860" w:type="dxa"/>
          </w:tcPr>
          <w:p w14:paraId="2CA40406" w14:textId="30DD8926"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Adolescents who turn 13 years of age during the measurement year</w:t>
            </w:r>
            <w:r w:rsidR="0079575E">
              <w:t>.</w:t>
            </w:r>
          </w:p>
        </w:tc>
      </w:tr>
      <w:tr w:rsidR="00C220BF" w:rsidRPr="008F1CAB" w14:paraId="1347A940" w14:textId="77777777">
        <w:tc>
          <w:tcPr>
            <w:cnfStyle w:val="001000000000" w:firstRow="0" w:lastRow="0" w:firstColumn="1" w:lastColumn="0" w:oddVBand="0" w:evenVBand="0" w:oddHBand="0" w:evenHBand="0" w:firstRowFirstColumn="0" w:firstRowLastColumn="0" w:lastRowFirstColumn="0" w:lastRowLastColumn="0"/>
            <w:tcW w:w="2484" w:type="dxa"/>
          </w:tcPr>
          <w:p w14:paraId="15D21D53" w14:textId="77777777" w:rsidR="00C220BF" w:rsidRPr="008F1CAB" w:rsidRDefault="00C220BF">
            <w:r w:rsidRPr="008F1CAB">
              <w:t>Data Sources</w:t>
            </w:r>
          </w:p>
        </w:tc>
        <w:tc>
          <w:tcPr>
            <w:tcW w:w="6860" w:type="dxa"/>
          </w:tcPr>
          <w:p w14:paraId="38BBAF7A"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Hybrid</w:t>
            </w:r>
          </w:p>
        </w:tc>
      </w:tr>
      <w:tr w:rsidR="00C220BF" w:rsidRPr="008F1CAB" w14:paraId="2B7CF080" w14:textId="77777777">
        <w:tc>
          <w:tcPr>
            <w:cnfStyle w:val="001000000000" w:firstRow="0" w:lastRow="0" w:firstColumn="1" w:lastColumn="0" w:oddVBand="0" w:evenVBand="0" w:oddHBand="0" w:evenHBand="0" w:firstRowFirstColumn="0" w:firstRowLastColumn="0" w:lastRowFirstColumn="0" w:lastRowLastColumn="0"/>
            <w:tcW w:w="2484" w:type="dxa"/>
          </w:tcPr>
          <w:p w14:paraId="3F34AC21" w14:textId="77777777" w:rsidR="00C220BF" w:rsidRPr="008F1CAB" w:rsidRDefault="00C220BF">
            <w:r w:rsidRPr="008F1CAB">
              <w:t>National Benchmark</w:t>
            </w:r>
          </w:p>
        </w:tc>
        <w:tc>
          <w:tcPr>
            <w:tcW w:w="6860" w:type="dxa"/>
          </w:tcPr>
          <w:p w14:paraId="62BC4A73"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2021 Medicaid HMO = 79.3%</w:t>
            </w:r>
          </w:p>
          <w:p w14:paraId="6C80FD29" w14:textId="021E8BFE"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 xml:space="preserve">Source: </w:t>
            </w:r>
            <w:hyperlink r:id="rId51" w:history="1">
              <w:r w:rsidR="0080011C" w:rsidRPr="00897566">
                <w:rPr>
                  <w:rStyle w:val="Hyperlink"/>
                </w:rPr>
                <w:t>https://www.ncqa.org/hedis/measures/immunizations-for-adolescents/</w:t>
              </w:r>
            </w:hyperlink>
            <w:r w:rsidR="0080011C">
              <w:t xml:space="preserve"> </w:t>
            </w:r>
          </w:p>
        </w:tc>
      </w:tr>
    </w:tbl>
    <w:p w14:paraId="52B34E9C" w14:textId="77777777" w:rsidR="00C220BF" w:rsidRDefault="00C220BF" w:rsidP="00727B56">
      <w:pPr>
        <w:pStyle w:val="NoSpacing"/>
      </w:pPr>
    </w:p>
    <w:tbl>
      <w:tblPr>
        <w:tblStyle w:val="FHCclean10pt"/>
        <w:tblW w:w="0" w:type="auto"/>
        <w:tblLook w:val="04A0" w:firstRow="1" w:lastRow="0" w:firstColumn="1" w:lastColumn="0" w:noHBand="0" w:noVBand="1"/>
      </w:tblPr>
      <w:tblGrid>
        <w:gridCol w:w="2484"/>
        <w:gridCol w:w="6860"/>
      </w:tblGrid>
      <w:tr w:rsidR="00C220BF" w:rsidRPr="008F1CAB" w14:paraId="5F92511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296EB0B1" w14:textId="77777777" w:rsidR="00C220BF" w:rsidRPr="008F1CAB" w:rsidRDefault="00C220BF">
            <w:bookmarkStart w:id="269" w:name="_Hlk129958346"/>
            <w:r w:rsidRPr="00DB3492">
              <w:t>Measure:</w:t>
            </w:r>
          </w:p>
        </w:tc>
        <w:tc>
          <w:tcPr>
            <w:tcW w:w="6860" w:type="dxa"/>
          </w:tcPr>
          <w:p w14:paraId="167D4A26" w14:textId="77777777" w:rsidR="00C220BF" w:rsidRPr="008F1CAB" w:rsidRDefault="00C220BF">
            <w:pPr>
              <w:cnfStyle w:val="100000000000" w:firstRow="1" w:lastRow="0" w:firstColumn="0" w:lastColumn="0" w:oddVBand="0" w:evenVBand="0" w:oddHBand="0" w:evenHBand="0" w:firstRowFirstColumn="0" w:firstRowLastColumn="0" w:lastRowFirstColumn="0" w:lastRowLastColumn="0"/>
            </w:pPr>
            <w:r w:rsidRPr="0098315E">
              <w:t>Childhood Immunization Status (CIS)</w:t>
            </w:r>
            <w:r>
              <w:br/>
            </w:r>
            <w:r w:rsidRPr="0098315E">
              <w:t>*MassHealth ACO quality measure (pediatric ACOs)</w:t>
            </w:r>
          </w:p>
        </w:tc>
      </w:tr>
      <w:tr w:rsidR="00C220BF" w:rsidRPr="008F1CAB" w14:paraId="4C1DEA92" w14:textId="77777777">
        <w:tc>
          <w:tcPr>
            <w:cnfStyle w:val="001000000000" w:firstRow="0" w:lastRow="0" w:firstColumn="1" w:lastColumn="0" w:oddVBand="0" w:evenVBand="0" w:oddHBand="0" w:evenHBand="0" w:firstRowFirstColumn="0" w:firstRowLastColumn="0" w:lastRowFirstColumn="0" w:lastRowLastColumn="0"/>
            <w:tcW w:w="2484" w:type="dxa"/>
          </w:tcPr>
          <w:p w14:paraId="0B3DF5E4" w14:textId="77777777" w:rsidR="00C220BF" w:rsidRPr="008F1CAB" w:rsidRDefault="00C220BF">
            <w:r w:rsidRPr="00DB3492">
              <w:t>Steward:</w:t>
            </w:r>
          </w:p>
        </w:tc>
        <w:tc>
          <w:tcPr>
            <w:tcW w:w="6860" w:type="dxa"/>
          </w:tcPr>
          <w:p w14:paraId="630EDC15"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98315E">
              <w:t>National Committee on Quality Assurance (#0038)</w:t>
            </w:r>
          </w:p>
        </w:tc>
      </w:tr>
      <w:tr w:rsidR="00C220BF" w:rsidRPr="008F1CAB" w14:paraId="3F0CD283" w14:textId="77777777">
        <w:tc>
          <w:tcPr>
            <w:cnfStyle w:val="001000000000" w:firstRow="0" w:lastRow="0" w:firstColumn="1" w:lastColumn="0" w:oddVBand="0" w:evenVBand="0" w:oddHBand="0" w:evenHBand="0" w:firstRowFirstColumn="0" w:firstRowLastColumn="0" w:lastRowFirstColumn="0" w:lastRowLastColumn="0"/>
            <w:tcW w:w="2484" w:type="dxa"/>
          </w:tcPr>
          <w:p w14:paraId="32BCADD2" w14:textId="77777777" w:rsidR="00C220BF" w:rsidRPr="008F1CAB" w:rsidRDefault="00C220BF">
            <w:r w:rsidRPr="00DB3492">
              <w:lastRenderedPageBreak/>
              <w:t>NQF Endorsed:</w:t>
            </w:r>
          </w:p>
        </w:tc>
        <w:tc>
          <w:tcPr>
            <w:tcW w:w="6860" w:type="dxa"/>
          </w:tcPr>
          <w:p w14:paraId="0B650F68"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Yes</w:t>
            </w:r>
          </w:p>
        </w:tc>
      </w:tr>
      <w:tr w:rsidR="00C220BF" w:rsidRPr="008F1CAB" w14:paraId="1A6F851D" w14:textId="77777777">
        <w:tc>
          <w:tcPr>
            <w:cnfStyle w:val="001000000000" w:firstRow="0" w:lastRow="0" w:firstColumn="1" w:lastColumn="0" w:oddVBand="0" w:evenVBand="0" w:oddHBand="0" w:evenHBand="0" w:firstRowFirstColumn="0" w:firstRowLastColumn="0" w:lastRowFirstColumn="0" w:lastRowLastColumn="0"/>
            <w:tcW w:w="2484" w:type="dxa"/>
          </w:tcPr>
          <w:p w14:paraId="69F4BB3D" w14:textId="77777777" w:rsidR="00C220BF" w:rsidRPr="008F1CAB" w:rsidRDefault="00C220BF">
            <w:bookmarkStart w:id="270" w:name="_Hlk129958329"/>
            <w:r w:rsidRPr="008F1CAB">
              <w:t>Description</w:t>
            </w:r>
          </w:p>
        </w:tc>
        <w:tc>
          <w:tcPr>
            <w:tcW w:w="6860" w:type="dxa"/>
          </w:tcPr>
          <w:p w14:paraId="6CBFF038" w14:textId="43540CBC"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Percentage of children 2 years of age who had four diphtheria, tetanus and acellular pertussis (D</w:t>
            </w:r>
            <w:r w:rsidR="00A5067F">
              <w:t>T</w:t>
            </w:r>
            <w:r w:rsidRPr="008F1CAB">
              <w:t>aP); three polio (IPV); one measles, mumps and rubella (MMR); three haemophilus influenza type B (HiB); three hepatitis B (HepB); one chickenpox (VZV); four pneumococcal conjugate (PCV); one hepatitis A (HepA); two or three rotavirus (RV); and two influenza (flu) vaccines by their second birthday. The measure calculates a rate for each vaccine.</w:t>
            </w:r>
          </w:p>
        </w:tc>
      </w:tr>
      <w:tr w:rsidR="00C220BF" w:rsidRPr="008F1CAB" w14:paraId="4CAA6274" w14:textId="77777777">
        <w:tc>
          <w:tcPr>
            <w:cnfStyle w:val="001000000000" w:firstRow="0" w:lastRow="0" w:firstColumn="1" w:lastColumn="0" w:oddVBand="0" w:evenVBand="0" w:oddHBand="0" w:evenHBand="0" w:firstRowFirstColumn="0" w:firstRowLastColumn="0" w:lastRowFirstColumn="0" w:lastRowLastColumn="0"/>
            <w:tcW w:w="2484" w:type="dxa"/>
          </w:tcPr>
          <w:p w14:paraId="43526B3F" w14:textId="77777777" w:rsidR="00C220BF" w:rsidRPr="008F1CAB" w:rsidRDefault="00C220BF">
            <w:r w:rsidRPr="008F1CAB">
              <w:t>Numerator</w:t>
            </w:r>
          </w:p>
        </w:tc>
        <w:tc>
          <w:tcPr>
            <w:tcW w:w="6860" w:type="dxa"/>
          </w:tcPr>
          <w:p w14:paraId="4BE93530" w14:textId="68E80F81"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Children who received the recommended vaccines by their second birthday</w:t>
            </w:r>
            <w:r w:rsidR="0079575E">
              <w:t>.</w:t>
            </w:r>
          </w:p>
        </w:tc>
      </w:tr>
      <w:tr w:rsidR="00C220BF" w:rsidRPr="008F1CAB" w14:paraId="63D9ED01" w14:textId="77777777">
        <w:tc>
          <w:tcPr>
            <w:cnfStyle w:val="001000000000" w:firstRow="0" w:lastRow="0" w:firstColumn="1" w:lastColumn="0" w:oddVBand="0" w:evenVBand="0" w:oddHBand="0" w:evenHBand="0" w:firstRowFirstColumn="0" w:firstRowLastColumn="0" w:lastRowFirstColumn="0" w:lastRowLastColumn="0"/>
            <w:tcW w:w="2484" w:type="dxa"/>
          </w:tcPr>
          <w:p w14:paraId="3F8FEB2F" w14:textId="77777777" w:rsidR="00C220BF" w:rsidRPr="008F1CAB" w:rsidRDefault="00C220BF">
            <w:r w:rsidRPr="008F1CAB">
              <w:t>Denominator</w:t>
            </w:r>
          </w:p>
        </w:tc>
        <w:tc>
          <w:tcPr>
            <w:tcW w:w="6860" w:type="dxa"/>
          </w:tcPr>
          <w:p w14:paraId="0F3E4B42"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Children who turn 2 years of age during the measurement year.</w:t>
            </w:r>
          </w:p>
        </w:tc>
      </w:tr>
      <w:tr w:rsidR="00C220BF" w:rsidRPr="008F1CAB" w14:paraId="0B4F58E7" w14:textId="77777777">
        <w:tc>
          <w:tcPr>
            <w:cnfStyle w:val="001000000000" w:firstRow="0" w:lastRow="0" w:firstColumn="1" w:lastColumn="0" w:oddVBand="0" w:evenVBand="0" w:oddHBand="0" w:evenHBand="0" w:firstRowFirstColumn="0" w:firstRowLastColumn="0" w:lastRowFirstColumn="0" w:lastRowLastColumn="0"/>
            <w:tcW w:w="2484" w:type="dxa"/>
          </w:tcPr>
          <w:p w14:paraId="3A662AE3" w14:textId="77777777" w:rsidR="00C220BF" w:rsidRPr="008F1CAB" w:rsidRDefault="00C220BF">
            <w:r w:rsidRPr="008F1CAB">
              <w:t>Data Sources</w:t>
            </w:r>
          </w:p>
        </w:tc>
        <w:tc>
          <w:tcPr>
            <w:tcW w:w="6860" w:type="dxa"/>
          </w:tcPr>
          <w:p w14:paraId="7C88130A"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Hybrid</w:t>
            </w:r>
          </w:p>
        </w:tc>
      </w:tr>
      <w:tr w:rsidR="00C220BF" w:rsidRPr="00786BB0" w14:paraId="3C2BDB7C" w14:textId="77777777">
        <w:tc>
          <w:tcPr>
            <w:cnfStyle w:val="001000000000" w:firstRow="0" w:lastRow="0" w:firstColumn="1" w:lastColumn="0" w:oddVBand="0" w:evenVBand="0" w:oddHBand="0" w:evenHBand="0" w:firstRowFirstColumn="0" w:firstRowLastColumn="0" w:lastRowFirstColumn="0" w:lastRowLastColumn="0"/>
            <w:tcW w:w="2484" w:type="dxa"/>
          </w:tcPr>
          <w:p w14:paraId="7E12498A" w14:textId="77777777" w:rsidR="00C220BF" w:rsidRPr="008F1CAB" w:rsidRDefault="00C220BF">
            <w:r w:rsidRPr="008F1CAB">
              <w:t>National Benchmark</w:t>
            </w:r>
          </w:p>
        </w:tc>
        <w:tc>
          <w:tcPr>
            <w:tcW w:w="6860" w:type="dxa"/>
          </w:tcPr>
          <w:p w14:paraId="1E9C391B"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2021 Medicaid HMO for Influenza: 47.6%</w:t>
            </w:r>
          </w:p>
          <w:p w14:paraId="6A4791F4"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2021 Medicaid HMO for Combination 10: 35.9%</w:t>
            </w:r>
          </w:p>
          <w:p w14:paraId="56B732FA"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2021 Medicaid HMO for Combination 2: 70.4%</w:t>
            </w:r>
          </w:p>
          <w:p w14:paraId="4D2B8BE4"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2021 Medicaid HMO for Combination 2: 63%</w:t>
            </w:r>
          </w:p>
          <w:p w14:paraId="1AA29953" w14:textId="6FD8D1D0"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 xml:space="preserve">2021 Medicaid HMO for </w:t>
            </w:r>
            <w:r w:rsidR="00950BAB" w:rsidRPr="008F1CAB">
              <w:t>Diphtheria</w:t>
            </w:r>
            <w:r w:rsidRPr="008F1CAB">
              <w:t>, Tetanus, Acellular Pertussis (</w:t>
            </w:r>
            <w:r w:rsidR="00A5067F" w:rsidRPr="008F1CAB">
              <w:t>DT</w:t>
            </w:r>
            <w:r w:rsidR="00A5067F">
              <w:t>a</w:t>
            </w:r>
            <w:r w:rsidR="00A5067F" w:rsidRPr="008F1CAB">
              <w:t>P</w:t>
            </w:r>
            <w:r w:rsidRPr="008F1CAB">
              <w:t>/DT): 69.7%</w:t>
            </w:r>
          </w:p>
          <w:p w14:paraId="6AE0C36A"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2021 Medicaid HMO for Hepatitis B (HEP B): 84.9%</w:t>
            </w:r>
          </w:p>
          <w:p w14:paraId="4BB5B789"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2021 Medicaid HMO for Haemophilis Influenza Type B (HIB B): 82.6%</w:t>
            </w:r>
          </w:p>
          <w:p w14:paraId="154EF0B1"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2021 Medicaid HMO for Inactivated Polio Virus (IPV): 84.7%</w:t>
            </w:r>
          </w:p>
          <w:p w14:paraId="10747BB0"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2021 Medicaid HMO for Measles, Mumps, Rubella (MMR): 83.1%</w:t>
            </w:r>
          </w:p>
          <w:p w14:paraId="5FB9CA0E"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2021 Medicaid HMO for Pneumococcal Conjugate (PCV): 70.7%</w:t>
            </w:r>
          </w:p>
          <w:p w14:paraId="758960FC"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2021 Medicaid HMO for Varicella (VZV): 82.9%</w:t>
            </w:r>
          </w:p>
          <w:p w14:paraId="325AA4F3"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2021 Medicaid HMO for Hepatitis A (Hep A): 79.9%</w:t>
            </w:r>
          </w:p>
          <w:p w14:paraId="5A76CC6D"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2021 Medicaid HMO for Rotavirus (RV): 68.4%</w:t>
            </w:r>
          </w:p>
          <w:p w14:paraId="1A8D5CBF" w14:textId="77777777" w:rsidR="00C220BF" w:rsidRPr="00EC21C0" w:rsidRDefault="00C220BF">
            <w:pPr>
              <w:cnfStyle w:val="000000000000" w:firstRow="0" w:lastRow="0" w:firstColumn="0" w:lastColumn="0" w:oddVBand="0" w:evenVBand="0" w:oddHBand="0" w:evenHBand="0" w:firstRowFirstColumn="0" w:firstRowLastColumn="0" w:lastRowFirstColumn="0" w:lastRowLastColumn="0"/>
              <w:rPr>
                <w:lang w:val="fr-FR"/>
              </w:rPr>
            </w:pPr>
            <w:r w:rsidRPr="00EC21C0">
              <w:rPr>
                <w:lang w:val="fr-FR"/>
              </w:rPr>
              <w:t xml:space="preserve">Sources: </w:t>
            </w:r>
            <w:hyperlink r:id="rId52" w:history="1">
              <w:r w:rsidRPr="00EC21C0">
                <w:rPr>
                  <w:rStyle w:val="Hyperlink"/>
                  <w:lang w:val="fr-FR"/>
                </w:rPr>
                <w:t>https://www.ncqa.org/hedis/measures/childhood-immunization-status/</w:t>
              </w:r>
            </w:hyperlink>
            <w:r w:rsidRPr="00EC21C0">
              <w:rPr>
                <w:lang w:val="fr-FR"/>
              </w:rPr>
              <w:t xml:space="preserve">; </w:t>
            </w:r>
            <w:hyperlink r:id="rId53" w:anchor="qpsPageState=%7B%22TabType%22%3A1,%22TabContentType%22%3A2,%22SearchCriteriaForStandard%22%3A%7B%22TaxonomyIDs%22%3A%5B%5D,%22SelectedTypeAheadFilterOption%22%3A%7B%22FilterOptionLabel%22%3A%22childhood+immunization+status+(cis)%22,%22SearchType%22%3A0,%22TaxonomyId%22%3A0,%22SortWeight%22%3A0,%22TypeOfTypeAheadFilterOption%22%3A1,%22AssociatedStandardCount%22%3A0,%22FilterOptions%22%3A%5B%5D,%22ID%22%3A53779,%22IsNew%22%3Afalse,%22IsActive%22%3Afalse,%22IsDeleted%22%3Afalse,%22IsLocked%22%3Afalse,%22IsLoading%22%3Afalse%7D,%22Keyword%22%3A%22childhood+immunization+status+(cis)%22,%22PageSize%22%3A%2225%22,%22OrderType%22%3A3,%22OrderBy%22%3A%22ASC%22,%22PageNo%22%3A%222%22,%22IsExactMatch%22%3Afalse,%22QueryStringType%22%3A%22%22,%22ProjectActivityId%22%3A%220%22,%22FederalProgramYear%22%3A%220%22,%22FederalFiscalYear%22%3A%220%22,%22FilterTypes%22%3A0,%22EndorsementStatus%22%3A%22%22,%22MSAIDs%22%3A%5B%5D%7D,%22SearchCriteriaForForPortfolio%22%3A%7B%22Tags%22%3A%5B%5D,%22FilterTypes%22%3A0,%22PageStartIndex%22%3A1,%22PageEndIndex%22%3A25,%22PageNumber%22%3Anull,%22PageSize%22%3A%2225%22,%22SortBy%22%3A%22Title%22,%22SortOrder%22%3A%22ASC%22,%22SearchTerm%22%3A%22%22%7D,%22ItemsToCompare%22%3A%5B%5D,%22SelectedStandardIdList%22%3A%5B%5D,%22StandardID%22%3A240,%22EntityTypeID%22%3A1%7D" w:history="1">
              <w:r w:rsidRPr="00EC21C0">
                <w:rPr>
                  <w:rStyle w:val="Hyperlink"/>
                  <w:lang w:val="fr-FR"/>
                </w:rPr>
                <w:t>NQF</w:t>
              </w:r>
            </w:hyperlink>
            <w:r w:rsidRPr="00EC21C0">
              <w:rPr>
                <w:lang w:val="fr-FR"/>
              </w:rPr>
              <w:t xml:space="preserve">. </w:t>
            </w:r>
          </w:p>
        </w:tc>
      </w:tr>
    </w:tbl>
    <w:p w14:paraId="7990048D" w14:textId="77777777" w:rsidR="00C220BF" w:rsidRPr="00EC21C0" w:rsidRDefault="00C220BF" w:rsidP="00727B56">
      <w:pPr>
        <w:pStyle w:val="NoSpacing"/>
        <w:rPr>
          <w:lang w:val="fr-FR"/>
        </w:rPr>
      </w:pPr>
    </w:p>
    <w:tbl>
      <w:tblPr>
        <w:tblStyle w:val="FHCclean10pt"/>
        <w:tblW w:w="0" w:type="auto"/>
        <w:tblLook w:val="04A0" w:firstRow="1" w:lastRow="0" w:firstColumn="1" w:lastColumn="0" w:noHBand="0" w:noVBand="1"/>
      </w:tblPr>
      <w:tblGrid>
        <w:gridCol w:w="2484"/>
        <w:gridCol w:w="6860"/>
      </w:tblGrid>
      <w:tr w:rsidR="00C220BF" w:rsidRPr="008F1CAB" w14:paraId="3FFA4AF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bookmarkEnd w:id="269"/>
          <w:bookmarkEnd w:id="270"/>
          <w:p w14:paraId="250B93A1" w14:textId="77777777" w:rsidR="00C220BF" w:rsidRPr="008F1CAB" w:rsidRDefault="00C220BF">
            <w:r w:rsidRPr="00DB3492">
              <w:t>Measure:</w:t>
            </w:r>
          </w:p>
        </w:tc>
        <w:tc>
          <w:tcPr>
            <w:tcW w:w="6860" w:type="dxa"/>
          </w:tcPr>
          <w:p w14:paraId="482B4B73" w14:textId="74C67564" w:rsidR="00C220BF" w:rsidRPr="008F1CAB" w:rsidRDefault="00C220BF">
            <w:pPr>
              <w:cnfStyle w:val="100000000000" w:firstRow="1" w:lastRow="0" w:firstColumn="0" w:lastColumn="0" w:oddVBand="0" w:evenVBand="0" w:oddHBand="0" w:evenHBand="0" w:firstRowFirstColumn="0" w:firstRowLastColumn="0" w:lastRowFirstColumn="0" w:lastRowLastColumn="0"/>
            </w:pPr>
            <w:r w:rsidRPr="0098315E">
              <w:t>Prenatal &amp; Postpartum Care (PPC)/ Timeliness of Prenatal Care</w:t>
            </w:r>
            <w:r>
              <w:br/>
            </w:r>
            <w:r w:rsidRPr="0098315E">
              <w:t>*</w:t>
            </w:r>
            <w:r w:rsidR="005B47F7">
              <w:t xml:space="preserve"> </w:t>
            </w:r>
            <w:r w:rsidR="00B05780" w:rsidRPr="0098315E">
              <w:t>MassHealt</w:t>
            </w:r>
            <w:r w:rsidR="00B05780" w:rsidRPr="0098315E">
              <w:rPr>
                <w:b w:val="0"/>
              </w:rPr>
              <w:t>h</w:t>
            </w:r>
            <w:r w:rsidRPr="0098315E">
              <w:t xml:space="preserve"> ACO </w:t>
            </w:r>
            <w:r w:rsidR="00691501">
              <w:t>Q</w:t>
            </w:r>
            <w:r w:rsidRPr="0098315E">
              <w:t xml:space="preserve">uality </w:t>
            </w:r>
            <w:r w:rsidR="00691501">
              <w:t>M</w:t>
            </w:r>
            <w:r w:rsidRPr="0098315E">
              <w:t>easure</w:t>
            </w:r>
          </w:p>
        </w:tc>
      </w:tr>
      <w:tr w:rsidR="00C220BF" w:rsidRPr="008F1CAB" w14:paraId="24F1E888" w14:textId="77777777">
        <w:tc>
          <w:tcPr>
            <w:cnfStyle w:val="001000000000" w:firstRow="0" w:lastRow="0" w:firstColumn="1" w:lastColumn="0" w:oddVBand="0" w:evenVBand="0" w:oddHBand="0" w:evenHBand="0" w:firstRowFirstColumn="0" w:firstRowLastColumn="0" w:lastRowFirstColumn="0" w:lastRowLastColumn="0"/>
            <w:tcW w:w="2484" w:type="dxa"/>
          </w:tcPr>
          <w:p w14:paraId="001A33C2" w14:textId="77777777" w:rsidR="00C220BF" w:rsidRPr="008F1CAB" w:rsidRDefault="00C220BF">
            <w:r w:rsidRPr="00DB3492">
              <w:t>Steward:</w:t>
            </w:r>
          </w:p>
        </w:tc>
        <w:tc>
          <w:tcPr>
            <w:tcW w:w="6860" w:type="dxa"/>
          </w:tcPr>
          <w:p w14:paraId="08404709"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98315E">
              <w:t>National Committee on Quality Assurance (#1517)</w:t>
            </w:r>
          </w:p>
        </w:tc>
      </w:tr>
      <w:tr w:rsidR="00C220BF" w:rsidRPr="008F1CAB" w14:paraId="4FADD18B" w14:textId="77777777">
        <w:tc>
          <w:tcPr>
            <w:cnfStyle w:val="001000000000" w:firstRow="0" w:lastRow="0" w:firstColumn="1" w:lastColumn="0" w:oddVBand="0" w:evenVBand="0" w:oddHBand="0" w:evenHBand="0" w:firstRowFirstColumn="0" w:firstRowLastColumn="0" w:lastRowFirstColumn="0" w:lastRowLastColumn="0"/>
            <w:tcW w:w="2484" w:type="dxa"/>
          </w:tcPr>
          <w:p w14:paraId="6F727D77" w14:textId="77777777" w:rsidR="00C220BF" w:rsidRPr="008F1CAB" w:rsidRDefault="00C220BF">
            <w:r w:rsidRPr="00DB3492">
              <w:t>NQF Endorsed:</w:t>
            </w:r>
          </w:p>
        </w:tc>
        <w:tc>
          <w:tcPr>
            <w:tcW w:w="6860" w:type="dxa"/>
          </w:tcPr>
          <w:p w14:paraId="1644278C"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98315E">
              <w:t>Measure Retired and Endorsement Removed</w:t>
            </w:r>
          </w:p>
        </w:tc>
      </w:tr>
      <w:tr w:rsidR="00C220BF" w:rsidRPr="008F1CAB" w14:paraId="71D22359" w14:textId="77777777">
        <w:tc>
          <w:tcPr>
            <w:cnfStyle w:val="001000000000" w:firstRow="0" w:lastRow="0" w:firstColumn="1" w:lastColumn="0" w:oddVBand="0" w:evenVBand="0" w:oddHBand="0" w:evenHBand="0" w:firstRowFirstColumn="0" w:firstRowLastColumn="0" w:lastRowFirstColumn="0" w:lastRowLastColumn="0"/>
            <w:tcW w:w="2484" w:type="dxa"/>
          </w:tcPr>
          <w:p w14:paraId="5A4C975D" w14:textId="77777777" w:rsidR="00C220BF" w:rsidRPr="008F1CAB" w:rsidRDefault="00C220BF">
            <w:bookmarkStart w:id="271" w:name="_Hlk129958785"/>
            <w:r w:rsidRPr="008F1CAB">
              <w:t>Description</w:t>
            </w:r>
          </w:p>
        </w:tc>
        <w:tc>
          <w:tcPr>
            <w:tcW w:w="6860" w:type="dxa"/>
          </w:tcPr>
          <w:p w14:paraId="4757AAC5"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The percentage of deliveries of live births between November 6 of the year prior to the measurement year and November 5 of the measurement year. For these women, the measure assesses the following facets of prenatal and postpartum care:</w:t>
            </w:r>
          </w:p>
          <w:p w14:paraId="093F1532"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Rate 1: Timeliness of Prenatal Care. The percentage of deliveries that received a prenatal care visit as a member of the organization in the first trimester or within 42 days of enrollment in the organization.</w:t>
            </w:r>
          </w:p>
          <w:p w14:paraId="541CD988"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Rate 2: Postpartum Care. The percentage of deliveries that had a postpartum visit on or between 21 and 56 days after delivery.</w:t>
            </w:r>
          </w:p>
        </w:tc>
      </w:tr>
      <w:tr w:rsidR="00C220BF" w:rsidRPr="008F1CAB" w14:paraId="4CEC8868" w14:textId="77777777">
        <w:tc>
          <w:tcPr>
            <w:cnfStyle w:val="001000000000" w:firstRow="0" w:lastRow="0" w:firstColumn="1" w:lastColumn="0" w:oddVBand="0" w:evenVBand="0" w:oddHBand="0" w:evenHBand="0" w:firstRowFirstColumn="0" w:firstRowLastColumn="0" w:lastRowFirstColumn="0" w:lastRowLastColumn="0"/>
            <w:tcW w:w="2484" w:type="dxa"/>
          </w:tcPr>
          <w:p w14:paraId="25A31195" w14:textId="77777777" w:rsidR="00C220BF" w:rsidRPr="008F1CAB" w:rsidRDefault="00C220BF">
            <w:r w:rsidRPr="008F1CAB">
              <w:t>Numerator</w:t>
            </w:r>
          </w:p>
        </w:tc>
        <w:tc>
          <w:tcPr>
            <w:tcW w:w="6860" w:type="dxa"/>
          </w:tcPr>
          <w:p w14:paraId="7BE64B88"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This measure assesses whether pregnant women had timely prenatal and postpartum care visits. It has two rates, one assessing the timeliness of prenatal visits, and one assessing the timeliness of postpartum visits.</w:t>
            </w:r>
          </w:p>
        </w:tc>
      </w:tr>
      <w:tr w:rsidR="00C220BF" w:rsidRPr="008F1CAB" w14:paraId="3B910D27" w14:textId="77777777">
        <w:tc>
          <w:tcPr>
            <w:cnfStyle w:val="001000000000" w:firstRow="0" w:lastRow="0" w:firstColumn="1" w:lastColumn="0" w:oddVBand="0" w:evenVBand="0" w:oddHBand="0" w:evenHBand="0" w:firstRowFirstColumn="0" w:firstRowLastColumn="0" w:lastRowFirstColumn="0" w:lastRowLastColumn="0"/>
            <w:tcW w:w="2484" w:type="dxa"/>
          </w:tcPr>
          <w:p w14:paraId="2939DC1E" w14:textId="77777777" w:rsidR="00C220BF" w:rsidRPr="008F1CAB" w:rsidRDefault="00C220BF">
            <w:r w:rsidRPr="008F1CAB">
              <w:lastRenderedPageBreak/>
              <w:t>Denominator</w:t>
            </w:r>
          </w:p>
        </w:tc>
        <w:tc>
          <w:tcPr>
            <w:tcW w:w="6860" w:type="dxa"/>
          </w:tcPr>
          <w:p w14:paraId="2BBE38AD"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The percentage of deliveries of live births between November 6 of the year prior to the measurement year and November 5 of the measurement year.</w:t>
            </w:r>
          </w:p>
        </w:tc>
      </w:tr>
      <w:tr w:rsidR="00C220BF" w:rsidRPr="008F1CAB" w14:paraId="674B0597" w14:textId="77777777">
        <w:tc>
          <w:tcPr>
            <w:cnfStyle w:val="001000000000" w:firstRow="0" w:lastRow="0" w:firstColumn="1" w:lastColumn="0" w:oddVBand="0" w:evenVBand="0" w:oddHBand="0" w:evenHBand="0" w:firstRowFirstColumn="0" w:firstRowLastColumn="0" w:lastRowFirstColumn="0" w:lastRowLastColumn="0"/>
            <w:tcW w:w="2484" w:type="dxa"/>
          </w:tcPr>
          <w:p w14:paraId="46B275DF" w14:textId="77777777" w:rsidR="00C220BF" w:rsidRPr="008F1CAB" w:rsidRDefault="00C220BF">
            <w:r w:rsidRPr="008F1CAB">
              <w:t>Data Sources</w:t>
            </w:r>
          </w:p>
        </w:tc>
        <w:tc>
          <w:tcPr>
            <w:tcW w:w="6860" w:type="dxa"/>
          </w:tcPr>
          <w:p w14:paraId="4760CAA5"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Hybrid</w:t>
            </w:r>
          </w:p>
        </w:tc>
      </w:tr>
      <w:tr w:rsidR="00C220BF" w:rsidRPr="008F1CAB" w14:paraId="70FBF1E9" w14:textId="77777777">
        <w:tc>
          <w:tcPr>
            <w:cnfStyle w:val="001000000000" w:firstRow="0" w:lastRow="0" w:firstColumn="1" w:lastColumn="0" w:oddVBand="0" w:evenVBand="0" w:oddHBand="0" w:evenHBand="0" w:firstRowFirstColumn="0" w:firstRowLastColumn="0" w:lastRowFirstColumn="0" w:lastRowLastColumn="0"/>
            <w:tcW w:w="2484" w:type="dxa"/>
          </w:tcPr>
          <w:p w14:paraId="4422500A" w14:textId="77777777" w:rsidR="00C220BF" w:rsidRPr="008F1CAB" w:rsidRDefault="00C220BF">
            <w:r w:rsidRPr="008F1CAB">
              <w:t>National Benchmark</w:t>
            </w:r>
          </w:p>
        </w:tc>
        <w:tc>
          <w:tcPr>
            <w:tcW w:w="6860" w:type="dxa"/>
          </w:tcPr>
          <w:p w14:paraId="736575D5"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2021 Medicaid HMO: 83.5%</w:t>
            </w:r>
          </w:p>
          <w:p w14:paraId="1666634B" w14:textId="5EAE3A76"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 xml:space="preserve">Source: </w:t>
            </w:r>
            <w:hyperlink r:id="rId54" w:history="1">
              <w:r w:rsidR="00727B56" w:rsidRPr="00897566">
                <w:rPr>
                  <w:rStyle w:val="Hyperlink"/>
                </w:rPr>
                <w:t>https://www.ncqa.org/hedis/measures/prenatal-and-postpartum-care-ppc/</w:t>
              </w:r>
            </w:hyperlink>
            <w:r w:rsidR="00727B56">
              <w:t xml:space="preserve"> </w:t>
            </w:r>
          </w:p>
        </w:tc>
      </w:tr>
    </w:tbl>
    <w:p w14:paraId="0C7C644B" w14:textId="77777777" w:rsidR="00C220BF" w:rsidRDefault="00C220BF" w:rsidP="00727B56">
      <w:pPr>
        <w:pStyle w:val="NoSpacing"/>
      </w:pPr>
    </w:p>
    <w:tbl>
      <w:tblPr>
        <w:tblStyle w:val="FHCclean10pt"/>
        <w:tblW w:w="0" w:type="auto"/>
        <w:tblLook w:val="04A0" w:firstRow="1" w:lastRow="0" w:firstColumn="1" w:lastColumn="0" w:noHBand="0" w:noVBand="1"/>
      </w:tblPr>
      <w:tblGrid>
        <w:gridCol w:w="2484"/>
        <w:gridCol w:w="6860"/>
      </w:tblGrid>
      <w:tr w:rsidR="00C220BF" w:rsidRPr="008F1CAB" w14:paraId="45D729B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bookmarkEnd w:id="271"/>
          <w:p w14:paraId="1B205369" w14:textId="77777777" w:rsidR="00C220BF" w:rsidRPr="008F1CAB" w:rsidRDefault="00C220BF">
            <w:r w:rsidRPr="00DB3492">
              <w:t>Measure:</w:t>
            </w:r>
          </w:p>
        </w:tc>
        <w:tc>
          <w:tcPr>
            <w:tcW w:w="6860" w:type="dxa"/>
          </w:tcPr>
          <w:p w14:paraId="422CA588" w14:textId="77777777" w:rsidR="00C220BF" w:rsidRPr="008F1CAB" w:rsidRDefault="00C220BF">
            <w:pPr>
              <w:cnfStyle w:val="100000000000" w:firstRow="1" w:lastRow="0" w:firstColumn="0" w:lastColumn="0" w:oddVBand="0" w:evenVBand="0" w:oddHBand="0" w:evenHBand="0" w:firstRowFirstColumn="0" w:firstRowLastColumn="0" w:lastRowFirstColumn="0" w:lastRowLastColumn="0"/>
            </w:pPr>
            <w:r w:rsidRPr="0098315E">
              <w:t>Topical Fluoride for Children at Elevated Caries Risk</w:t>
            </w:r>
            <w:r>
              <w:br/>
            </w:r>
            <w:r w:rsidRPr="0098315E">
              <w:t>* MassHealth ACO quality measure</w:t>
            </w:r>
          </w:p>
        </w:tc>
      </w:tr>
      <w:tr w:rsidR="00C220BF" w:rsidRPr="008F1CAB" w14:paraId="49BCA9F0" w14:textId="77777777">
        <w:tc>
          <w:tcPr>
            <w:cnfStyle w:val="001000000000" w:firstRow="0" w:lastRow="0" w:firstColumn="1" w:lastColumn="0" w:oddVBand="0" w:evenVBand="0" w:oddHBand="0" w:evenHBand="0" w:firstRowFirstColumn="0" w:firstRowLastColumn="0" w:lastRowFirstColumn="0" w:lastRowLastColumn="0"/>
            <w:tcW w:w="2484" w:type="dxa"/>
          </w:tcPr>
          <w:p w14:paraId="6A6782F4" w14:textId="77777777" w:rsidR="00C220BF" w:rsidRPr="008F1CAB" w:rsidRDefault="00C220BF">
            <w:r w:rsidRPr="00DB3492">
              <w:t>Steward:</w:t>
            </w:r>
          </w:p>
        </w:tc>
        <w:tc>
          <w:tcPr>
            <w:tcW w:w="6860" w:type="dxa"/>
          </w:tcPr>
          <w:p w14:paraId="2017BD0F"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98315E">
              <w:t>American Dental Association on behalf of the Dental Quality Alliance (#2528)</w:t>
            </w:r>
          </w:p>
        </w:tc>
      </w:tr>
      <w:tr w:rsidR="00C220BF" w:rsidRPr="008F1CAB" w14:paraId="29C30526" w14:textId="77777777">
        <w:tc>
          <w:tcPr>
            <w:cnfStyle w:val="001000000000" w:firstRow="0" w:lastRow="0" w:firstColumn="1" w:lastColumn="0" w:oddVBand="0" w:evenVBand="0" w:oddHBand="0" w:evenHBand="0" w:firstRowFirstColumn="0" w:firstRowLastColumn="0" w:lastRowFirstColumn="0" w:lastRowLastColumn="0"/>
            <w:tcW w:w="2484" w:type="dxa"/>
          </w:tcPr>
          <w:p w14:paraId="65D02C95" w14:textId="77777777" w:rsidR="00C220BF" w:rsidRPr="008F1CAB" w:rsidRDefault="00C220BF">
            <w:r w:rsidRPr="00DB3492">
              <w:t>NQF Endorsed:</w:t>
            </w:r>
          </w:p>
        </w:tc>
        <w:tc>
          <w:tcPr>
            <w:tcW w:w="6860" w:type="dxa"/>
          </w:tcPr>
          <w:p w14:paraId="7E4B4C82"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Yes</w:t>
            </w:r>
          </w:p>
        </w:tc>
      </w:tr>
      <w:tr w:rsidR="00C220BF" w:rsidRPr="008F1CAB" w14:paraId="527E992A" w14:textId="77777777">
        <w:tc>
          <w:tcPr>
            <w:cnfStyle w:val="001000000000" w:firstRow="0" w:lastRow="0" w:firstColumn="1" w:lastColumn="0" w:oddVBand="0" w:evenVBand="0" w:oddHBand="0" w:evenHBand="0" w:firstRowFirstColumn="0" w:firstRowLastColumn="0" w:lastRowFirstColumn="0" w:lastRowLastColumn="0"/>
            <w:tcW w:w="2484" w:type="dxa"/>
          </w:tcPr>
          <w:p w14:paraId="39A94844" w14:textId="77777777" w:rsidR="00C220BF" w:rsidRPr="008F1CAB" w:rsidRDefault="00C220BF">
            <w:r w:rsidRPr="008F1CAB">
              <w:t>Description</w:t>
            </w:r>
          </w:p>
        </w:tc>
        <w:tc>
          <w:tcPr>
            <w:tcW w:w="6860" w:type="dxa"/>
          </w:tcPr>
          <w:p w14:paraId="2E461ACB" w14:textId="173D8651"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 xml:space="preserve">The percentage of Medicaid beneficiaries, </w:t>
            </w:r>
            <w:r w:rsidR="005B47F7">
              <w:t>between</w:t>
            </w:r>
            <w:r w:rsidRPr="008F1CAB">
              <w:t xml:space="preserve"> 6</w:t>
            </w:r>
            <w:r w:rsidR="005B47F7">
              <w:t xml:space="preserve"> to </w:t>
            </w:r>
            <w:r w:rsidRPr="008F1CAB">
              <w:t>14 years of age, who are at elevated risk of caries who received a topical fluoride application and/or sealants at a dental or oral health service within the measurement year</w:t>
            </w:r>
            <w:r w:rsidR="00D968F7">
              <w:t>.</w:t>
            </w:r>
          </w:p>
        </w:tc>
      </w:tr>
      <w:tr w:rsidR="00C220BF" w:rsidRPr="008F1CAB" w14:paraId="7F2047ED" w14:textId="77777777">
        <w:tc>
          <w:tcPr>
            <w:cnfStyle w:val="001000000000" w:firstRow="0" w:lastRow="0" w:firstColumn="1" w:lastColumn="0" w:oddVBand="0" w:evenVBand="0" w:oddHBand="0" w:evenHBand="0" w:firstRowFirstColumn="0" w:firstRowLastColumn="0" w:lastRowFirstColumn="0" w:lastRowLastColumn="0"/>
            <w:tcW w:w="2484" w:type="dxa"/>
          </w:tcPr>
          <w:p w14:paraId="5DC6BBAB" w14:textId="77777777" w:rsidR="00C220BF" w:rsidRPr="008F1CAB" w:rsidRDefault="00C220BF">
            <w:r w:rsidRPr="008F1CAB">
              <w:t>Numerator</w:t>
            </w:r>
          </w:p>
        </w:tc>
        <w:tc>
          <w:tcPr>
            <w:tcW w:w="6860" w:type="dxa"/>
          </w:tcPr>
          <w:p w14:paraId="404FFA59" w14:textId="61E850C5" w:rsidR="00C220BF" w:rsidRPr="008F1CAB" w:rsidRDefault="00C220BF" w:rsidP="00834F31">
            <w:pPr>
              <w:cnfStyle w:val="000000000000" w:firstRow="0" w:lastRow="0" w:firstColumn="0" w:lastColumn="0" w:oddVBand="0" w:evenVBand="0" w:oddHBand="0" w:evenHBand="0" w:firstRowFirstColumn="0" w:firstRowLastColumn="0" w:lastRowFirstColumn="0" w:lastRowLastColumn="0"/>
            </w:pPr>
            <w:r w:rsidRPr="008F1CAB">
              <w:t>Medicaid beneficiaries 6</w:t>
            </w:r>
            <w:r w:rsidR="005B47F7">
              <w:t xml:space="preserve"> to </w:t>
            </w:r>
            <w:r w:rsidRPr="008F1CAB">
              <w:t xml:space="preserve">14 years </w:t>
            </w:r>
            <w:r w:rsidR="005B47F7">
              <w:t>of age</w:t>
            </w:r>
            <w:r w:rsidR="005B47F7" w:rsidRPr="008F1CAB">
              <w:t xml:space="preserve"> </w:t>
            </w:r>
            <w:r w:rsidRPr="008F1CAB">
              <w:t>as of the last day of the measurement year, meeting the above eligibility criteria, meets the above criteria for elevated</w:t>
            </w:r>
            <w:r w:rsidR="0065019A">
              <w:t xml:space="preserve"> </w:t>
            </w:r>
            <w:r w:rsidRPr="008F1CAB">
              <w:t>caries risk, and meets the following criteria:</w:t>
            </w:r>
          </w:p>
          <w:p w14:paraId="6562172F" w14:textId="511725DC"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 Received a topical fluoride or a sealant as a dental or oral health service (as defined by the NUCC maintained Provider Taxonomy Codes Value Set) during the measurement year</w:t>
            </w:r>
            <w:r w:rsidR="00B72441">
              <w:t>.</w:t>
            </w:r>
          </w:p>
        </w:tc>
      </w:tr>
      <w:tr w:rsidR="00C220BF" w:rsidRPr="008F1CAB" w14:paraId="78747DE2" w14:textId="77777777">
        <w:tc>
          <w:tcPr>
            <w:cnfStyle w:val="001000000000" w:firstRow="0" w:lastRow="0" w:firstColumn="1" w:lastColumn="0" w:oddVBand="0" w:evenVBand="0" w:oddHBand="0" w:evenHBand="0" w:firstRowFirstColumn="0" w:firstRowLastColumn="0" w:lastRowFirstColumn="0" w:lastRowLastColumn="0"/>
            <w:tcW w:w="2484" w:type="dxa"/>
          </w:tcPr>
          <w:p w14:paraId="147457D8" w14:textId="77777777" w:rsidR="00C220BF" w:rsidRPr="008F1CAB" w:rsidRDefault="00C220BF">
            <w:r w:rsidRPr="008F1CAB">
              <w:t>Denominator</w:t>
            </w:r>
          </w:p>
        </w:tc>
        <w:tc>
          <w:tcPr>
            <w:tcW w:w="6860" w:type="dxa"/>
          </w:tcPr>
          <w:p w14:paraId="4E5ABFFA" w14:textId="0014410B"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 xml:space="preserve">Medicaid beneficiaries aged 6-14 years old as of the last day </w:t>
            </w:r>
          </w:p>
          <w:p w14:paraId="7920111B" w14:textId="0998BA63"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of the measurement year, meeting the above eligibility criteria</w:t>
            </w:r>
            <w:r w:rsidR="00F977BB">
              <w:t>,</w:t>
            </w:r>
            <w:r w:rsidRPr="008F1CAB">
              <w:t xml:space="preserve"> and meets the following criteria for elevated caries risk:</w:t>
            </w:r>
          </w:p>
          <w:p w14:paraId="5E3D3FD4" w14:textId="433313DF" w:rsidR="00C220BF" w:rsidRPr="008F1CAB" w:rsidRDefault="00C220BF" w:rsidP="00EC21C0">
            <w:pPr>
              <w:pStyle w:val="FHCTableBullet10pt"/>
              <w:cnfStyle w:val="000000000000" w:firstRow="0" w:lastRow="0" w:firstColumn="0" w:lastColumn="0" w:oddVBand="0" w:evenVBand="0" w:oddHBand="0" w:evenHBand="0" w:firstRowFirstColumn="0" w:firstRowLastColumn="0" w:lastRowFirstColumn="0" w:lastRowLastColumn="0"/>
            </w:pPr>
            <w:r w:rsidRPr="008F1CAB">
              <w:t>Has a CDT code identifying elevated caries risk in the measurement year</w:t>
            </w:r>
          </w:p>
          <w:p w14:paraId="6EC68E24"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OR</w:t>
            </w:r>
          </w:p>
          <w:p w14:paraId="2C10070B" w14:textId="2E4334B0" w:rsidR="00C220BF" w:rsidRPr="00D35F44" w:rsidRDefault="00C220BF" w:rsidP="00EC21C0">
            <w:pPr>
              <w:pStyle w:val="FHCTableBullet10pt"/>
              <w:cnfStyle w:val="000000000000" w:firstRow="0" w:lastRow="0" w:firstColumn="0" w:lastColumn="0" w:oddVBand="0" w:evenVBand="0" w:oddHBand="0" w:evenHBand="0" w:firstRowFirstColumn="0" w:firstRowLastColumn="0" w:lastRowFirstColumn="0" w:lastRowLastColumn="0"/>
            </w:pPr>
            <w:r w:rsidRPr="008F1CAB">
              <w:t xml:space="preserve">Has a CDT code identifying elevated caries risk in any of the three years prior to the </w:t>
            </w:r>
            <w:r w:rsidRPr="00D35F44">
              <w:t>measurement year</w:t>
            </w:r>
          </w:p>
          <w:p w14:paraId="7DEAFDDE" w14:textId="6348FE91"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OR</w:t>
            </w:r>
          </w:p>
          <w:p w14:paraId="3B1A3BCA" w14:textId="025AF2D5" w:rsidR="00C220BF" w:rsidRPr="008F1CAB" w:rsidRDefault="00C220BF" w:rsidP="00EC21C0">
            <w:pPr>
              <w:pStyle w:val="FHCTableBullet10pt"/>
              <w:cnfStyle w:val="000000000000" w:firstRow="0" w:lastRow="0" w:firstColumn="0" w:lastColumn="0" w:oddVBand="0" w:evenVBand="0" w:oddHBand="0" w:evenHBand="0" w:firstRowFirstColumn="0" w:firstRowLastColumn="0" w:lastRowFirstColumn="0" w:lastRowLastColumn="0"/>
            </w:pPr>
            <w:r w:rsidRPr="008F1CAB">
              <w:t>Has a visit with a CDT code ‘D0602’ or ‘D0603’ in the measurement year.</w:t>
            </w:r>
          </w:p>
        </w:tc>
      </w:tr>
      <w:tr w:rsidR="00C220BF" w:rsidRPr="008F1CAB" w14:paraId="558F3E82" w14:textId="77777777">
        <w:tc>
          <w:tcPr>
            <w:cnfStyle w:val="001000000000" w:firstRow="0" w:lastRow="0" w:firstColumn="1" w:lastColumn="0" w:oddVBand="0" w:evenVBand="0" w:oddHBand="0" w:evenHBand="0" w:firstRowFirstColumn="0" w:firstRowLastColumn="0" w:lastRowFirstColumn="0" w:lastRowLastColumn="0"/>
            <w:tcW w:w="2484" w:type="dxa"/>
          </w:tcPr>
          <w:p w14:paraId="280E4E93" w14:textId="77777777" w:rsidR="00C220BF" w:rsidRPr="008F1CAB" w:rsidRDefault="00C220BF">
            <w:r w:rsidRPr="008F1CAB">
              <w:t>Data Sources</w:t>
            </w:r>
          </w:p>
        </w:tc>
        <w:tc>
          <w:tcPr>
            <w:tcW w:w="6860" w:type="dxa"/>
          </w:tcPr>
          <w:p w14:paraId="47E92077"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Medicaid claims/encounters data</w:t>
            </w:r>
          </w:p>
        </w:tc>
      </w:tr>
      <w:tr w:rsidR="00C220BF" w:rsidRPr="008F1CAB" w14:paraId="22B49A24" w14:textId="77777777">
        <w:tc>
          <w:tcPr>
            <w:cnfStyle w:val="001000000000" w:firstRow="0" w:lastRow="0" w:firstColumn="1" w:lastColumn="0" w:oddVBand="0" w:evenVBand="0" w:oddHBand="0" w:evenHBand="0" w:firstRowFirstColumn="0" w:firstRowLastColumn="0" w:lastRowFirstColumn="0" w:lastRowLastColumn="0"/>
            <w:tcW w:w="2484" w:type="dxa"/>
          </w:tcPr>
          <w:p w14:paraId="735DF3CA" w14:textId="77777777" w:rsidR="00C220BF" w:rsidRPr="008F1CAB" w:rsidRDefault="00C220BF">
            <w:r w:rsidRPr="008F1CAB">
              <w:t>National Benchmark</w:t>
            </w:r>
          </w:p>
        </w:tc>
        <w:tc>
          <w:tcPr>
            <w:tcW w:w="6860" w:type="dxa"/>
          </w:tcPr>
          <w:p w14:paraId="765E822B"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None</w:t>
            </w:r>
          </w:p>
        </w:tc>
      </w:tr>
    </w:tbl>
    <w:p w14:paraId="7C3F0E71" w14:textId="77777777" w:rsidR="00C220BF" w:rsidRDefault="00C220BF" w:rsidP="00727B56">
      <w:pPr>
        <w:pStyle w:val="NoSpacing"/>
      </w:pPr>
    </w:p>
    <w:tbl>
      <w:tblPr>
        <w:tblStyle w:val="FHCclean10pt"/>
        <w:tblW w:w="0" w:type="auto"/>
        <w:tblLook w:val="04A0" w:firstRow="1" w:lastRow="0" w:firstColumn="1" w:lastColumn="0" w:noHBand="0" w:noVBand="1"/>
      </w:tblPr>
      <w:tblGrid>
        <w:gridCol w:w="2484"/>
        <w:gridCol w:w="6860"/>
      </w:tblGrid>
      <w:tr w:rsidR="00C220BF" w:rsidRPr="008F1CAB" w14:paraId="39DC401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21107E38" w14:textId="77777777" w:rsidR="00C220BF" w:rsidRPr="008F1CAB" w:rsidRDefault="00C220BF">
            <w:r w:rsidRPr="00DB3492">
              <w:t>Measure:</w:t>
            </w:r>
          </w:p>
        </w:tc>
        <w:tc>
          <w:tcPr>
            <w:tcW w:w="6860" w:type="dxa"/>
          </w:tcPr>
          <w:p w14:paraId="10C6E8C3" w14:textId="77777777" w:rsidR="00C220BF" w:rsidRPr="008F1CAB" w:rsidRDefault="00C220BF">
            <w:pPr>
              <w:cnfStyle w:val="100000000000" w:firstRow="1" w:lastRow="0" w:firstColumn="0" w:lastColumn="0" w:oddVBand="0" w:evenVBand="0" w:oddHBand="0" w:evenHBand="0" w:firstRowFirstColumn="0" w:firstRowLastColumn="0" w:lastRowFirstColumn="0" w:lastRowLastColumn="0"/>
            </w:pPr>
            <w:r w:rsidRPr="0098315E">
              <w:t>Asthma Medication Ratio</w:t>
            </w:r>
            <w:r>
              <w:br/>
            </w:r>
            <w:r w:rsidRPr="0098315E">
              <w:t>* MassHealth ACO quality measure</w:t>
            </w:r>
          </w:p>
        </w:tc>
      </w:tr>
      <w:tr w:rsidR="00C220BF" w:rsidRPr="008F1CAB" w14:paraId="70E9B904" w14:textId="77777777">
        <w:tc>
          <w:tcPr>
            <w:cnfStyle w:val="001000000000" w:firstRow="0" w:lastRow="0" w:firstColumn="1" w:lastColumn="0" w:oddVBand="0" w:evenVBand="0" w:oddHBand="0" w:evenHBand="0" w:firstRowFirstColumn="0" w:firstRowLastColumn="0" w:lastRowFirstColumn="0" w:lastRowLastColumn="0"/>
            <w:tcW w:w="2484" w:type="dxa"/>
          </w:tcPr>
          <w:p w14:paraId="519324CB" w14:textId="77777777" w:rsidR="00C220BF" w:rsidRPr="008F1CAB" w:rsidRDefault="00C220BF">
            <w:r w:rsidRPr="00DB3492">
              <w:t>Steward:</w:t>
            </w:r>
          </w:p>
        </w:tc>
        <w:tc>
          <w:tcPr>
            <w:tcW w:w="6860" w:type="dxa"/>
          </w:tcPr>
          <w:p w14:paraId="14F75E4F"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98315E">
              <w:t>National Committee for Quality Assurance</w:t>
            </w:r>
            <w:r>
              <w:t xml:space="preserve"> </w:t>
            </w:r>
            <w:r w:rsidRPr="0098315E">
              <w:t>(#1800)</w:t>
            </w:r>
          </w:p>
        </w:tc>
      </w:tr>
      <w:tr w:rsidR="00C220BF" w:rsidRPr="008F1CAB" w14:paraId="72A4CC67" w14:textId="77777777">
        <w:tc>
          <w:tcPr>
            <w:cnfStyle w:val="001000000000" w:firstRow="0" w:lastRow="0" w:firstColumn="1" w:lastColumn="0" w:oddVBand="0" w:evenVBand="0" w:oddHBand="0" w:evenHBand="0" w:firstRowFirstColumn="0" w:firstRowLastColumn="0" w:lastRowFirstColumn="0" w:lastRowLastColumn="0"/>
            <w:tcW w:w="2484" w:type="dxa"/>
          </w:tcPr>
          <w:p w14:paraId="516BB0C2" w14:textId="77777777" w:rsidR="00C220BF" w:rsidRPr="008F1CAB" w:rsidRDefault="00C220BF">
            <w:r w:rsidRPr="00DB3492">
              <w:t>NQF Endorsed:</w:t>
            </w:r>
          </w:p>
        </w:tc>
        <w:tc>
          <w:tcPr>
            <w:tcW w:w="6860" w:type="dxa"/>
          </w:tcPr>
          <w:p w14:paraId="2B68E84E"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Yes</w:t>
            </w:r>
          </w:p>
        </w:tc>
      </w:tr>
      <w:tr w:rsidR="00C220BF" w:rsidRPr="008F1CAB" w14:paraId="30BE3EBD" w14:textId="77777777">
        <w:tc>
          <w:tcPr>
            <w:cnfStyle w:val="001000000000" w:firstRow="0" w:lastRow="0" w:firstColumn="1" w:lastColumn="0" w:oddVBand="0" w:evenVBand="0" w:oddHBand="0" w:evenHBand="0" w:firstRowFirstColumn="0" w:firstRowLastColumn="0" w:lastRowFirstColumn="0" w:lastRowLastColumn="0"/>
            <w:tcW w:w="2484" w:type="dxa"/>
          </w:tcPr>
          <w:p w14:paraId="374283FA" w14:textId="77777777" w:rsidR="00C220BF" w:rsidRPr="008F1CAB" w:rsidRDefault="00C220BF">
            <w:bookmarkStart w:id="272" w:name="_Hlk129958818"/>
            <w:r w:rsidRPr="008F1CAB">
              <w:t>Description</w:t>
            </w:r>
          </w:p>
        </w:tc>
        <w:tc>
          <w:tcPr>
            <w:tcW w:w="6860" w:type="dxa"/>
          </w:tcPr>
          <w:p w14:paraId="0DCDF1B4" w14:textId="27395C1A"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The percentage of patients 5</w:t>
            </w:r>
            <w:r w:rsidR="0065019A">
              <w:t xml:space="preserve"> to </w:t>
            </w:r>
            <w:r w:rsidRPr="008F1CAB">
              <w:t>64 years of age who were identified as having persistent asthma and had a ratio of controller medications to total asthma medications of 0.50 or greater during the measurement year</w:t>
            </w:r>
            <w:r w:rsidR="0065019A">
              <w:t>.</w:t>
            </w:r>
          </w:p>
        </w:tc>
      </w:tr>
      <w:tr w:rsidR="00C220BF" w:rsidRPr="008F1CAB" w14:paraId="57742A1D" w14:textId="77777777">
        <w:tc>
          <w:tcPr>
            <w:cnfStyle w:val="001000000000" w:firstRow="0" w:lastRow="0" w:firstColumn="1" w:lastColumn="0" w:oddVBand="0" w:evenVBand="0" w:oddHBand="0" w:evenHBand="0" w:firstRowFirstColumn="0" w:firstRowLastColumn="0" w:lastRowFirstColumn="0" w:lastRowLastColumn="0"/>
            <w:tcW w:w="2484" w:type="dxa"/>
          </w:tcPr>
          <w:p w14:paraId="0D79A2EB" w14:textId="77777777" w:rsidR="00C220BF" w:rsidRPr="008F1CAB" w:rsidRDefault="00C220BF">
            <w:r w:rsidRPr="008F1CAB">
              <w:lastRenderedPageBreak/>
              <w:t>Numerator</w:t>
            </w:r>
          </w:p>
        </w:tc>
        <w:tc>
          <w:tcPr>
            <w:tcW w:w="6860" w:type="dxa"/>
          </w:tcPr>
          <w:p w14:paraId="0E6BC513" w14:textId="57948B6C"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The number of patients who have a ratio of controller medications to total asthma medications of 0.50 or greater during the measurement year</w:t>
            </w:r>
            <w:r w:rsidR="00F977BB">
              <w:t>.</w:t>
            </w:r>
          </w:p>
        </w:tc>
      </w:tr>
      <w:tr w:rsidR="00C220BF" w:rsidRPr="008F1CAB" w14:paraId="6D705A4A" w14:textId="77777777">
        <w:tc>
          <w:tcPr>
            <w:cnfStyle w:val="001000000000" w:firstRow="0" w:lastRow="0" w:firstColumn="1" w:lastColumn="0" w:oddVBand="0" w:evenVBand="0" w:oddHBand="0" w:evenHBand="0" w:firstRowFirstColumn="0" w:firstRowLastColumn="0" w:lastRowFirstColumn="0" w:lastRowLastColumn="0"/>
            <w:tcW w:w="2484" w:type="dxa"/>
          </w:tcPr>
          <w:p w14:paraId="1E808DED" w14:textId="77777777" w:rsidR="00C220BF" w:rsidRPr="008F1CAB" w:rsidRDefault="00C220BF">
            <w:r w:rsidRPr="008F1CAB">
              <w:t>Denominator</w:t>
            </w:r>
          </w:p>
        </w:tc>
        <w:tc>
          <w:tcPr>
            <w:tcW w:w="6860" w:type="dxa"/>
          </w:tcPr>
          <w:p w14:paraId="44D18C72" w14:textId="5E8F2C08"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All patients 5</w:t>
            </w:r>
            <w:r w:rsidR="00F977BB">
              <w:t xml:space="preserve"> to </w:t>
            </w:r>
            <w:r w:rsidRPr="008F1CAB">
              <w:t>64 years of age as of December 31 of the measurement year who have persistent asthma by meeting at least one of the following criteria during both the measurement year and the year prior to the measurement year:</w:t>
            </w:r>
          </w:p>
          <w:p w14:paraId="3605D8F7" w14:textId="35991FE6" w:rsidR="00C220BF" w:rsidRPr="008F1CAB"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8F1CAB">
              <w:t xml:space="preserve">At least one </w:t>
            </w:r>
            <w:r w:rsidR="00781071">
              <w:t>ED</w:t>
            </w:r>
            <w:r w:rsidRPr="008F1CAB">
              <w:t xml:space="preserve"> visit with asthma as the principal diagnosis</w:t>
            </w:r>
            <w:r w:rsidR="00F977BB">
              <w:t>.</w:t>
            </w:r>
            <w:r w:rsidRPr="008F1CAB">
              <w:t xml:space="preserve"> </w:t>
            </w:r>
          </w:p>
          <w:p w14:paraId="1961569F" w14:textId="12670E42" w:rsidR="00C220BF" w:rsidRPr="008F1CAB"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t>A</w:t>
            </w:r>
            <w:r w:rsidRPr="008F1CAB">
              <w:t>t least one acute inpatient encounter with asthma as the principal diagnosis</w:t>
            </w:r>
            <w:r w:rsidR="00F977BB">
              <w:t>.</w:t>
            </w:r>
            <w:r w:rsidRPr="008F1CAB">
              <w:t xml:space="preserve"> </w:t>
            </w:r>
          </w:p>
          <w:p w14:paraId="4644D1E6" w14:textId="4E699119" w:rsidR="00C220BF" w:rsidRPr="008F1CAB"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8F1CAB">
              <w:t xml:space="preserve">At least four outpatient visits or observation visits on different dates of service, with any diagnosis of asthma AND at least two asthma medication dispensing events. </w:t>
            </w:r>
            <w:r w:rsidR="00943AF1">
              <w:t>The v</w:t>
            </w:r>
            <w:r w:rsidR="00943AF1" w:rsidRPr="008F1CAB">
              <w:t xml:space="preserve">isit </w:t>
            </w:r>
            <w:r w:rsidRPr="008F1CAB">
              <w:t>type need not be the same for the four visits.</w:t>
            </w:r>
          </w:p>
          <w:p w14:paraId="593550FA" w14:textId="2334BD11" w:rsidR="00C220BF" w:rsidRPr="008F1CAB"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8F1CAB">
              <w:t>At least four asthma medication dispensing events for any controller medication or reliever medication</w:t>
            </w:r>
            <w:r w:rsidR="00F977BB">
              <w:t>.</w:t>
            </w:r>
          </w:p>
        </w:tc>
      </w:tr>
      <w:tr w:rsidR="00C220BF" w:rsidRPr="008F1CAB" w14:paraId="43DA6589" w14:textId="77777777">
        <w:tc>
          <w:tcPr>
            <w:cnfStyle w:val="001000000000" w:firstRow="0" w:lastRow="0" w:firstColumn="1" w:lastColumn="0" w:oddVBand="0" w:evenVBand="0" w:oddHBand="0" w:evenHBand="0" w:firstRowFirstColumn="0" w:firstRowLastColumn="0" w:lastRowFirstColumn="0" w:lastRowLastColumn="0"/>
            <w:tcW w:w="2484" w:type="dxa"/>
          </w:tcPr>
          <w:p w14:paraId="0A44B010" w14:textId="77777777" w:rsidR="00C220BF" w:rsidRPr="008F1CAB" w:rsidRDefault="00C220BF">
            <w:r w:rsidRPr="008F1CAB">
              <w:t>Data Sources</w:t>
            </w:r>
          </w:p>
        </w:tc>
        <w:tc>
          <w:tcPr>
            <w:tcW w:w="6860" w:type="dxa"/>
          </w:tcPr>
          <w:p w14:paraId="08230DF0"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Medicaid claims/encounters</w:t>
            </w:r>
          </w:p>
        </w:tc>
      </w:tr>
      <w:tr w:rsidR="00C220BF" w:rsidRPr="008F1CAB" w14:paraId="43AE1AB6" w14:textId="77777777" w:rsidTr="00E73183">
        <w:tc>
          <w:tcPr>
            <w:cnfStyle w:val="001000000000" w:firstRow="0" w:lastRow="0" w:firstColumn="1" w:lastColumn="0" w:oddVBand="0" w:evenVBand="0" w:oddHBand="0" w:evenHBand="0" w:firstRowFirstColumn="0" w:firstRowLastColumn="0" w:lastRowFirstColumn="0" w:lastRowLastColumn="0"/>
            <w:tcW w:w="2484" w:type="dxa"/>
          </w:tcPr>
          <w:p w14:paraId="2C761F33" w14:textId="77777777" w:rsidR="00C220BF" w:rsidRPr="008F1CAB" w:rsidRDefault="00C220BF">
            <w:r w:rsidRPr="008F1CAB">
              <w:t>National Benchmark</w:t>
            </w:r>
          </w:p>
        </w:tc>
        <w:tc>
          <w:tcPr>
            <w:tcW w:w="6860" w:type="dxa"/>
          </w:tcPr>
          <w:p w14:paraId="4A97A69E"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2021 Medicaid HMO=64.9%</w:t>
            </w:r>
          </w:p>
          <w:p w14:paraId="36DFD2FE" w14:textId="0411A51E"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 xml:space="preserve">Source: </w:t>
            </w:r>
            <w:hyperlink r:id="rId55" w:history="1">
              <w:r w:rsidR="00727B56" w:rsidRPr="00897566">
                <w:rPr>
                  <w:rStyle w:val="Hyperlink"/>
                </w:rPr>
                <w:t>https://www.ncqa.org/hedis/measures/medication-management-for-people-with-asthma-and-asthma-medication-ratio/</w:t>
              </w:r>
            </w:hyperlink>
            <w:r w:rsidR="00727B56">
              <w:t xml:space="preserve"> </w:t>
            </w:r>
          </w:p>
        </w:tc>
      </w:tr>
    </w:tbl>
    <w:p w14:paraId="09439A0D" w14:textId="77777777" w:rsidR="00C220BF" w:rsidRDefault="00C220BF" w:rsidP="00727B56">
      <w:pPr>
        <w:pStyle w:val="NoSpacing"/>
      </w:pPr>
    </w:p>
    <w:tbl>
      <w:tblPr>
        <w:tblStyle w:val="FHCclean10pt"/>
        <w:tblW w:w="0" w:type="auto"/>
        <w:tblLook w:val="04A0" w:firstRow="1" w:lastRow="0" w:firstColumn="1" w:lastColumn="0" w:noHBand="0" w:noVBand="1"/>
      </w:tblPr>
      <w:tblGrid>
        <w:gridCol w:w="2484"/>
        <w:gridCol w:w="6860"/>
      </w:tblGrid>
      <w:tr w:rsidR="00C220BF" w:rsidRPr="008F1CAB" w14:paraId="7BA7534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bookmarkEnd w:id="272"/>
          <w:p w14:paraId="0179A7B6" w14:textId="77777777" w:rsidR="00C220BF" w:rsidRPr="008F1CAB" w:rsidRDefault="00C220BF">
            <w:r w:rsidRPr="00DB3492">
              <w:t>Measure:</w:t>
            </w:r>
          </w:p>
        </w:tc>
        <w:tc>
          <w:tcPr>
            <w:tcW w:w="6860" w:type="dxa"/>
          </w:tcPr>
          <w:p w14:paraId="3323B36E" w14:textId="77777777" w:rsidR="00C220BF" w:rsidRPr="008F1CAB" w:rsidRDefault="00C220BF">
            <w:pPr>
              <w:cnfStyle w:val="100000000000" w:firstRow="1" w:lastRow="0" w:firstColumn="0" w:lastColumn="0" w:oddVBand="0" w:evenVBand="0" w:oddHBand="0" w:evenHBand="0" w:firstRowFirstColumn="0" w:firstRowLastColumn="0" w:lastRowFirstColumn="0" w:lastRowLastColumn="0"/>
            </w:pPr>
            <w:r w:rsidRPr="00043CA6">
              <w:t>Initiation and Engagement of Alcohol and Other Drug Dependence Treatment (IET)</w:t>
            </w:r>
            <w:r>
              <w:br/>
            </w:r>
            <w:r w:rsidRPr="00043CA6">
              <w:t>* MassHealth ACO and BH CP Quality Measure</w:t>
            </w:r>
          </w:p>
        </w:tc>
      </w:tr>
      <w:tr w:rsidR="00C220BF" w:rsidRPr="008F1CAB" w14:paraId="164A37E1" w14:textId="77777777">
        <w:tc>
          <w:tcPr>
            <w:cnfStyle w:val="001000000000" w:firstRow="0" w:lastRow="0" w:firstColumn="1" w:lastColumn="0" w:oddVBand="0" w:evenVBand="0" w:oddHBand="0" w:evenHBand="0" w:firstRowFirstColumn="0" w:firstRowLastColumn="0" w:lastRowFirstColumn="0" w:lastRowLastColumn="0"/>
            <w:tcW w:w="2484" w:type="dxa"/>
          </w:tcPr>
          <w:p w14:paraId="5D32F212" w14:textId="77777777" w:rsidR="00C220BF" w:rsidRPr="008F1CAB" w:rsidRDefault="00C220BF">
            <w:r w:rsidRPr="00DB3492">
              <w:t>Steward:</w:t>
            </w:r>
          </w:p>
        </w:tc>
        <w:tc>
          <w:tcPr>
            <w:tcW w:w="6860" w:type="dxa"/>
          </w:tcPr>
          <w:p w14:paraId="067D76FB"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043CA6">
              <w:t>National Committee for Quality Assurance (#0004)</w:t>
            </w:r>
          </w:p>
        </w:tc>
      </w:tr>
      <w:tr w:rsidR="00C220BF" w:rsidRPr="008F1CAB" w14:paraId="3109B5D8" w14:textId="77777777">
        <w:tc>
          <w:tcPr>
            <w:cnfStyle w:val="001000000000" w:firstRow="0" w:lastRow="0" w:firstColumn="1" w:lastColumn="0" w:oddVBand="0" w:evenVBand="0" w:oddHBand="0" w:evenHBand="0" w:firstRowFirstColumn="0" w:firstRowLastColumn="0" w:lastRowFirstColumn="0" w:lastRowLastColumn="0"/>
            <w:tcW w:w="2484" w:type="dxa"/>
          </w:tcPr>
          <w:p w14:paraId="384E6B29" w14:textId="77777777" w:rsidR="00C220BF" w:rsidRPr="008F1CAB" w:rsidRDefault="00C220BF">
            <w:r w:rsidRPr="00DB3492">
              <w:t>NQF Endorsed:</w:t>
            </w:r>
          </w:p>
        </w:tc>
        <w:tc>
          <w:tcPr>
            <w:tcW w:w="6860" w:type="dxa"/>
          </w:tcPr>
          <w:p w14:paraId="3371D51E"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Yes</w:t>
            </w:r>
          </w:p>
        </w:tc>
      </w:tr>
      <w:tr w:rsidR="00C220BF" w:rsidRPr="008F1CAB" w14:paraId="6E741DD7" w14:textId="77777777">
        <w:tc>
          <w:tcPr>
            <w:cnfStyle w:val="001000000000" w:firstRow="0" w:lastRow="0" w:firstColumn="1" w:lastColumn="0" w:oddVBand="0" w:evenVBand="0" w:oddHBand="0" w:evenHBand="0" w:firstRowFirstColumn="0" w:firstRowLastColumn="0" w:lastRowFirstColumn="0" w:lastRowLastColumn="0"/>
            <w:tcW w:w="2484" w:type="dxa"/>
          </w:tcPr>
          <w:p w14:paraId="5C91E00E" w14:textId="77777777" w:rsidR="00C220BF" w:rsidRPr="008F1CAB" w:rsidRDefault="00C220BF">
            <w:r w:rsidRPr="008F1CAB">
              <w:t>Description</w:t>
            </w:r>
          </w:p>
        </w:tc>
        <w:tc>
          <w:tcPr>
            <w:tcW w:w="6860" w:type="dxa"/>
          </w:tcPr>
          <w:p w14:paraId="634D68F4" w14:textId="42F03E0E"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The percentage of adolescent and adult patients with a new episode of alcohol or other drug (AOD) dependence who received the following</w:t>
            </w:r>
            <w:r w:rsidR="00F977BB">
              <w:t>:</w:t>
            </w:r>
            <w:r w:rsidR="00F977BB" w:rsidRPr="008F1CAB">
              <w:t xml:space="preserve"> </w:t>
            </w:r>
          </w:p>
          <w:p w14:paraId="2BC039C0" w14:textId="10167D02" w:rsidR="00C220BF" w:rsidRPr="008F1CAB"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8F1CAB">
              <w:t>Initiation of AOD Treatment: The percentage of patients who initiate treatment through an inpatient AOD admission, outpatient visit, intensive outpatient encounter</w:t>
            </w:r>
            <w:r w:rsidR="00D40A9A">
              <w:t>,</w:t>
            </w:r>
            <w:r w:rsidRPr="008F1CAB">
              <w:t xml:space="preserve"> or partial hospitalization within 14 days of the diagnosis.</w:t>
            </w:r>
          </w:p>
          <w:p w14:paraId="08743DD1" w14:textId="77777777" w:rsidR="00C220BF" w:rsidRPr="008F1CAB"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8F1CAB">
              <w:t>Engagement of AOD Treatment: The percentage of patients who initiated treatment and who had two or more additional services with a diagnosis of AOD within 30 days of the initiation visit.</w:t>
            </w:r>
          </w:p>
        </w:tc>
      </w:tr>
      <w:tr w:rsidR="00C220BF" w:rsidRPr="008F1CAB" w14:paraId="69A8FF00" w14:textId="77777777">
        <w:tc>
          <w:tcPr>
            <w:cnfStyle w:val="001000000000" w:firstRow="0" w:lastRow="0" w:firstColumn="1" w:lastColumn="0" w:oddVBand="0" w:evenVBand="0" w:oddHBand="0" w:evenHBand="0" w:firstRowFirstColumn="0" w:firstRowLastColumn="0" w:lastRowFirstColumn="0" w:lastRowLastColumn="0"/>
            <w:tcW w:w="2484" w:type="dxa"/>
          </w:tcPr>
          <w:p w14:paraId="77A9B3AB" w14:textId="77777777" w:rsidR="00C220BF" w:rsidRPr="008F1CAB" w:rsidRDefault="00C220BF">
            <w:r w:rsidRPr="008F1CAB">
              <w:t>Numerator</w:t>
            </w:r>
          </w:p>
        </w:tc>
        <w:tc>
          <w:tcPr>
            <w:tcW w:w="6860" w:type="dxa"/>
          </w:tcPr>
          <w:p w14:paraId="445E9CFC" w14:textId="02611A8E" w:rsidR="00C220BF" w:rsidRPr="008F1CAB" w:rsidRDefault="00C220BF" w:rsidP="00727B56">
            <w:pPr>
              <w:cnfStyle w:val="000000000000" w:firstRow="0" w:lastRow="0" w:firstColumn="0" w:lastColumn="0" w:oddVBand="0" w:evenVBand="0" w:oddHBand="0" w:evenHBand="0" w:firstRowFirstColumn="0" w:firstRowLastColumn="0" w:lastRowFirstColumn="0" w:lastRowLastColumn="0"/>
            </w:pPr>
            <w:r w:rsidRPr="008F1CAB">
              <w:t>Initiation of AOD Dependence Treatment: Initiation of AOD treatment through an inpatient admission, outpatient visit, intensive outpatient encounter</w:t>
            </w:r>
            <w:r w:rsidR="00D40A9A">
              <w:t>,</w:t>
            </w:r>
            <w:r w:rsidRPr="008F1CAB">
              <w:t xml:space="preserve"> or partial hospitalization within 14 days of the index episode start date.</w:t>
            </w:r>
          </w:p>
          <w:p w14:paraId="7CB93EBE" w14:textId="05E01319" w:rsidR="00C220BF" w:rsidRPr="008F1CAB" w:rsidRDefault="00C220BF" w:rsidP="00727B56">
            <w:pPr>
              <w:cnfStyle w:val="000000000000" w:firstRow="0" w:lastRow="0" w:firstColumn="0" w:lastColumn="0" w:oddVBand="0" w:evenVBand="0" w:oddHBand="0" w:evenHBand="0" w:firstRowFirstColumn="0" w:firstRowLastColumn="0" w:lastRowFirstColumn="0" w:lastRowLastColumn="0"/>
            </w:pPr>
            <w:r w:rsidRPr="008F1CAB">
              <w:t>Engagement of AOD Treatment:</w:t>
            </w:r>
            <w:r>
              <w:t xml:space="preserve"> I</w:t>
            </w:r>
            <w:r w:rsidRPr="008F1CAB">
              <w:t>nitiation of AOD treatment and two or more inpatient admissions, outpatient visits, intensive outpatient encounters</w:t>
            </w:r>
            <w:r w:rsidR="00D40A9A">
              <w:t>,</w:t>
            </w:r>
            <w:r w:rsidRPr="008F1CAB">
              <w:t xml:space="preserve"> or partial hospitalizations with any AOD diagnosis within 30 days after the date of the Initiation encounter (inclusive).</w:t>
            </w:r>
          </w:p>
        </w:tc>
      </w:tr>
      <w:tr w:rsidR="00C220BF" w:rsidRPr="008F1CAB" w14:paraId="78C8971F" w14:textId="77777777">
        <w:tc>
          <w:tcPr>
            <w:cnfStyle w:val="001000000000" w:firstRow="0" w:lastRow="0" w:firstColumn="1" w:lastColumn="0" w:oddVBand="0" w:evenVBand="0" w:oddHBand="0" w:evenHBand="0" w:firstRowFirstColumn="0" w:firstRowLastColumn="0" w:lastRowFirstColumn="0" w:lastRowLastColumn="0"/>
            <w:tcW w:w="2484" w:type="dxa"/>
          </w:tcPr>
          <w:p w14:paraId="134B8622" w14:textId="77777777" w:rsidR="00C220BF" w:rsidRPr="008F1CAB" w:rsidRDefault="00C220BF">
            <w:r w:rsidRPr="008F1CAB">
              <w:t>Denominator</w:t>
            </w:r>
          </w:p>
        </w:tc>
        <w:tc>
          <w:tcPr>
            <w:tcW w:w="6860" w:type="dxa"/>
          </w:tcPr>
          <w:p w14:paraId="536585BD" w14:textId="32B613EC"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 xml:space="preserve">Patients 13 years of age and older who were diagnosed with a new episode of </w:t>
            </w:r>
            <w:r w:rsidR="00BC56B9" w:rsidRPr="008F1CAB">
              <w:t>AOD</w:t>
            </w:r>
            <w:r w:rsidR="00BC56B9" w:rsidRPr="008F1CAB" w:rsidDel="00BC56B9">
              <w:t xml:space="preserve"> </w:t>
            </w:r>
            <w:r w:rsidRPr="008F1CAB">
              <w:t>dependency during the first 10 and ½ months of the measurement year (e.g., January 1-November 15).</w:t>
            </w:r>
          </w:p>
        </w:tc>
      </w:tr>
      <w:tr w:rsidR="00C220BF" w:rsidRPr="008F1CAB" w14:paraId="2C96D473" w14:textId="77777777">
        <w:tc>
          <w:tcPr>
            <w:cnfStyle w:val="001000000000" w:firstRow="0" w:lastRow="0" w:firstColumn="1" w:lastColumn="0" w:oddVBand="0" w:evenVBand="0" w:oddHBand="0" w:evenHBand="0" w:firstRowFirstColumn="0" w:firstRowLastColumn="0" w:lastRowFirstColumn="0" w:lastRowLastColumn="0"/>
            <w:tcW w:w="2484" w:type="dxa"/>
          </w:tcPr>
          <w:p w14:paraId="425A7CF1" w14:textId="77777777" w:rsidR="00C220BF" w:rsidRPr="008F1CAB" w:rsidRDefault="00C220BF">
            <w:r w:rsidRPr="008F1CAB">
              <w:t>Data Sources</w:t>
            </w:r>
          </w:p>
        </w:tc>
        <w:tc>
          <w:tcPr>
            <w:tcW w:w="6860" w:type="dxa"/>
          </w:tcPr>
          <w:p w14:paraId="24780CFC"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MMIS claims/encounter data</w:t>
            </w:r>
          </w:p>
        </w:tc>
      </w:tr>
      <w:tr w:rsidR="00C220BF" w:rsidRPr="00786BB0" w14:paraId="3BA390BA" w14:textId="77777777" w:rsidTr="00E73183">
        <w:tc>
          <w:tcPr>
            <w:cnfStyle w:val="001000000000" w:firstRow="0" w:lastRow="0" w:firstColumn="1" w:lastColumn="0" w:oddVBand="0" w:evenVBand="0" w:oddHBand="0" w:evenHBand="0" w:firstRowFirstColumn="0" w:firstRowLastColumn="0" w:lastRowFirstColumn="0" w:lastRowLastColumn="0"/>
            <w:tcW w:w="2484" w:type="dxa"/>
          </w:tcPr>
          <w:p w14:paraId="3160FC65" w14:textId="77777777" w:rsidR="00C220BF" w:rsidRPr="008F1CAB" w:rsidRDefault="00C220BF">
            <w:r w:rsidRPr="008F1CAB">
              <w:t>National Benchmark</w:t>
            </w:r>
          </w:p>
        </w:tc>
        <w:tc>
          <w:tcPr>
            <w:tcW w:w="6860" w:type="dxa"/>
          </w:tcPr>
          <w:p w14:paraId="70BF8681"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Initiation: 2021 Medicaid HMO = 43.1%</w:t>
            </w:r>
          </w:p>
          <w:p w14:paraId="7E97FE91"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lastRenderedPageBreak/>
              <w:t>Engagement: 2016 Medicaid HMO = 28.4%</w:t>
            </w:r>
          </w:p>
          <w:p w14:paraId="280DFCAF" w14:textId="1D1EA969" w:rsidR="00C220BF" w:rsidRPr="00EC21C0" w:rsidRDefault="00C220BF">
            <w:pPr>
              <w:cnfStyle w:val="000000000000" w:firstRow="0" w:lastRow="0" w:firstColumn="0" w:lastColumn="0" w:oddVBand="0" w:evenVBand="0" w:oddHBand="0" w:evenHBand="0" w:firstRowFirstColumn="0" w:firstRowLastColumn="0" w:lastRowFirstColumn="0" w:lastRowLastColumn="0"/>
              <w:rPr>
                <w:lang w:val="fr-FR"/>
              </w:rPr>
            </w:pPr>
            <w:r w:rsidRPr="00EC21C0">
              <w:rPr>
                <w:lang w:val="fr-FR"/>
              </w:rPr>
              <w:t xml:space="preserve">Source: </w:t>
            </w:r>
            <w:hyperlink r:id="rId56" w:history="1">
              <w:r w:rsidR="00D35F44" w:rsidRPr="00EC21C0">
                <w:rPr>
                  <w:rStyle w:val="Hyperlink"/>
                  <w:lang w:val="fr-FR"/>
                </w:rPr>
                <w:t>https://www.ncqa.org/hedis/measures/initiation-and-engagement-of-alcohol-and-other-drug-abuse-or-dependence-treatment/</w:t>
              </w:r>
            </w:hyperlink>
            <w:r w:rsidR="00D35F44" w:rsidRPr="00EC21C0">
              <w:rPr>
                <w:lang w:val="fr-FR"/>
              </w:rPr>
              <w:t xml:space="preserve"> </w:t>
            </w:r>
          </w:p>
        </w:tc>
      </w:tr>
    </w:tbl>
    <w:p w14:paraId="17B0682A" w14:textId="77777777" w:rsidR="00710F77" w:rsidRPr="00EC21C0" w:rsidRDefault="00710F77" w:rsidP="00F562BC">
      <w:pPr>
        <w:pStyle w:val="NoSpacing"/>
        <w:rPr>
          <w:lang w:val="fr-FR"/>
        </w:rPr>
      </w:pPr>
    </w:p>
    <w:tbl>
      <w:tblPr>
        <w:tblStyle w:val="FHCclean10pt"/>
        <w:tblW w:w="0" w:type="auto"/>
        <w:tblLook w:val="04A0" w:firstRow="1" w:lastRow="0" w:firstColumn="1" w:lastColumn="0" w:noHBand="0" w:noVBand="1"/>
      </w:tblPr>
      <w:tblGrid>
        <w:gridCol w:w="2484"/>
        <w:gridCol w:w="6860"/>
      </w:tblGrid>
      <w:tr w:rsidR="00C220BF" w:rsidRPr="008F1CAB" w14:paraId="252835E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0A2AE689" w14:textId="77777777" w:rsidR="00C220BF" w:rsidRPr="008F1CAB" w:rsidRDefault="00C220BF">
            <w:bookmarkStart w:id="273" w:name="_Hlk129958187"/>
            <w:r w:rsidRPr="00DB3492">
              <w:t>Measure:</w:t>
            </w:r>
          </w:p>
        </w:tc>
        <w:tc>
          <w:tcPr>
            <w:tcW w:w="6860" w:type="dxa"/>
          </w:tcPr>
          <w:p w14:paraId="2ADAC0EE" w14:textId="5632CC13" w:rsidR="00C220BF" w:rsidRPr="008F1CAB" w:rsidRDefault="00C220BF">
            <w:pPr>
              <w:cnfStyle w:val="100000000000" w:firstRow="1" w:lastRow="0" w:firstColumn="0" w:lastColumn="0" w:oddVBand="0" w:evenVBand="0" w:oddHBand="0" w:evenHBand="0" w:firstRowFirstColumn="0" w:firstRowLastColumn="0" w:lastRowFirstColumn="0" w:lastRowLastColumn="0"/>
            </w:pPr>
            <w:r w:rsidRPr="00043CA6">
              <w:t>Metabolic Monitoring for Children and Adolescents on Antipsychotics (APM)</w:t>
            </w:r>
            <w:r>
              <w:br/>
            </w:r>
            <w:r w:rsidRPr="00043CA6">
              <w:t xml:space="preserve">* MassHealth ACO </w:t>
            </w:r>
            <w:r w:rsidR="00727B56">
              <w:t>Q</w:t>
            </w:r>
            <w:r w:rsidRPr="00043CA6">
              <w:t xml:space="preserve">uality </w:t>
            </w:r>
            <w:r w:rsidR="00727B56">
              <w:t>M</w:t>
            </w:r>
            <w:r w:rsidRPr="00043CA6">
              <w:t>easure (</w:t>
            </w:r>
            <w:r w:rsidR="00727B56">
              <w:t>P</w:t>
            </w:r>
            <w:r w:rsidRPr="00043CA6">
              <w:t>ediatric ACOs)</w:t>
            </w:r>
          </w:p>
        </w:tc>
      </w:tr>
      <w:tr w:rsidR="00C220BF" w:rsidRPr="008F1CAB" w14:paraId="738D922C" w14:textId="77777777">
        <w:tc>
          <w:tcPr>
            <w:cnfStyle w:val="001000000000" w:firstRow="0" w:lastRow="0" w:firstColumn="1" w:lastColumn="0" w:oddVBand="0" w:evenVBand="0" w:oddHBand="0" w:evenHBand="0" w:firstRowFirstColumn="0" w:firstRowLastColumn="0" w:lastRowFirstColumn="0" w:lastRowLastColumn="0"/>
            <w:tcW w:w="2484" w:type="dxa"/>
          </w:tcPr>
          <w:p w14:paraId="12A9287A" w14:textId="77777777" w:rsidR="00C220BF" w:rsidRPr="008F1CAB" w:rsidRDefault="00C220BF">
            <w:r w:rsidRPr="00DB3492">
              <w:t>Steward:</w:t>
            </w:r>
          </w:p>
        </w:tc>
        <w:tc>
          <w:tcPr>
            <w:tcW w:w="6860" w:type="dxa"/>
          </w:tcPr>
          <w:p w14:paraId="7E829B52"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043CA6">
              <w:t>National Committee on Quality Assurance (#2800)</w:t>
            </w:r>
          </w:p>
        </w:tc>
      </w:tr>
      <w:tr w:rsidR="00C220BF" w:rsidRPr="008F1CAB" w14:paraId="0CB405FC" w14:textId="77777777">
        <w:tc>
          <w:tcPr>
            <w:cnfStyle w:val="001000000000" w:firstRow="0" w:lastRow="0" w:firstColumn="1" w:lastColumn="0" w:oddVBand="0" w:evenVBand="0" w:oddHBand="0" w:evenHBand="0" w:firstRowFirstColumn="0" w:firstRowLastColumn="0" w:lastRowFirstColumn="0" w:lastRowLastColumn="0"/>
            <w:tcW w:w="2484" w:type="dxa"/>
          </w:tcPr>
          <w:p w14:paraId="192D85B7" w14:textId="77777777" w:rsidR="00C220BF" w:rsidRPr="008F1CAB" w:rsidRDefault="00C220BF">
            <w:r w:rsidRPr="00DB3492">
              <w:t>NQF Endorsed:</w:t>
            </w:r>
          </w:p>
        </w:tc>
        <w:tc>
          <w:tcPr>
            <w:tcW w:w="6860" w:type="dxa"/>
          </w:tcPr>
          <w:p w14:paraId="026F8E55"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Yes</w:t>
            </w:r>
          </w:p>
        </w:tc>
      </w:tr>
      <w:tr w:rsidR="00C220BF" w:rsidRPr="008F1CAB" w14:paraId="2E9DFEBA" w14:textId="77777777">
        <w:tc>
          <w:tcPr>
            <w:cnfStyle w:val="001000000000" w:firstRow="0" w:lastRow="0" w:firstColumn="1" w:lastColumn="0" w:oddVBand="0" w:evenVBand="0" w:oddHBand="0" w:evenHBand="0" w:firstRowFirstColumn="0" w:firstRowLastColumn="0" w:lastRowFirstColumn="0" w:lastRowLastColumn="0"/>
            <w:tcW w:w="2484" w:type="dxa"/>
          </w:tcPr>
          <w:p w14:paraId="71564360" w14:textId="77777777" w:rsidR="00C220BF" w:rsidRPr="008F1CAB" w:rsidRDefault="00C220BF">
            <w:r w:rsidRPr="008F1CAB">
              <w:t>Description</w:t>
            </w:r>
          </w:p>
        </w:tc>
        <w:tc>
          <w:tcPr>
            <w:tcW w:w="6860" w:type="dxa"/>
          </w:tcPr>
          <w:p w14:paraId="1563BEDE" w14:textId="75CBD0D6"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The percentage of children and adolescents 1</w:t>
            </w:r>
            <w:r w:rsidR="005B47F7">
              <w:t xml:space="preserve"> to </w:t>
            </w:r>
            <w:r w:rsidRPr="008F1CAB">
              <w:t>17 years of age who had two or more antipsychotic prescriptions and had metabolic testing.</w:t>
            </w:r>
          </w:p>
        </w:tc>
      </w:tr>
      <w:tr w:rsidR="00C220BF" w:rsidRPr="008F1CAB" w14:paraId="3C8EB3EC" w14:textId="77777777">
        <w:tc>
          <w:tcPr>
            <w:cnfStyle w:val="001000000000" w:firstRow="0" w:lastRow="0" w:firstColumn="1" w:lastColumn="0" w:oddVBand="0" w:evenVBand="0" w:oddHBand="0" w:evenHBand="0" w:firstRowFirstColumn="0" w:firstRowLastColumn="0" w:lastRowFirstColumn="0" w:lastRowLastColumn="0"/>
            <w:tcW w:w="2484" w:type="dxa"/>
          </w:tcPr>
          <w:p w14:paraId="7E41E242" w14:textId="77777777" w:rsidR="00C220BF" w:rsidRPr="008F1CAB" w:rsidRDefault="00C220BF">
            <w:r w:rsidRPr="008F1CAB">
              <w:t>Numerator</w:t>
            </w:r>
          </w:p>
        </w:tc>
        <w:tc>
          <w:tcPr>
            <w:tcW w:w="6860" w:type="dxa"/>
          </w:tcPr>
          <w:p w14:paraId="40920320"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Children and adolescents who received glucose and cholesterol tests during the measurement year.</w:t>
            </w:r>
          </w:p>
        </w:tc>
      </w:tr>
      <w:tr w:rsidR="00C220BF" w:rsidRPr="008F1CAB" w14:paraId="7A4D2ACE" w14:textId="77777777">
        <w:tc>
          <w:tcPr>
            <w:cnfStyle w:val="001000000000" w:firstRow="0" w:lastRow="0" w:firstColumn="1" w:lastColumn="0" w:oddVBand="0" w:evenVBand="0" w:oddHBand="0" w:evenHBand="0" w:firstRowFirstColumn="0" w:firstRowLastColumn="0" w:lastRowFirstColumn="0" w:lastRowLastColumn="0"/>
            <w:tcW w:w="2484" w:type="dxa"/>
          </w:tcPr>
          <w:p w14:paraId="499941A5" w14:textId="77777777" w:rsidR="00C220BF" w:rsidRPr="008F1CAB" w:rsidRDefault="00C220BF">
            <w:r w:rsidRPr="008F1CAB">
              <w:t>Denominator</w:t>
            </w:r>
          </w:p>
        </w:tc>
        <w:tc>
          <w:tcPr>
            <w:tcW w:w="6860" w:type="dxa"/>
          </w:tcPr>
          <w:p w14:paraId="177839C6"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Children and adolescents who had ongoing use of antipsychotic medication (at least two prescriptions).</w:t>
            </w:r>
          </w:p>
        </w:tc>
      </w:tr>
      <w:tr w:rsidR="00C220BF" w:rsidRPr="008F1CAB" w14:paraId="7D7C6E33" w14:textId="77777777">
        <w:tc>
          <w:tcPr>
            <w:cnfStyle w:val="001000000000" w:firstRow="0" w:lastRow="0" w:firstColumn="1" w:lastColumn="0" w:oddVBand="0" w:evenVBand="0" w:oddHBand="0" w:evenHBand="0" w:firstRowFirstColumn="0" w:firstRowLastColumn="0" w:lastRowFirstColumn="0" w:lastRowLastColumn="0"/>
            <w:tcW w:w="2484" w:type="dxa"/>
          </w:tcPr>
          <w:p w14:paraId="7D7024C8" w14:textId="77777777" w:rsidR="00C220BF" w:rsidRPr="008F1CAB" w:rsidRDefault="00C220BF">
            <w:r w:rsidRPr="008F1CAB">
              <w:t>Data Sources</w:t>
            </w:r>
          </w:p>
        </w:tc>
        <w:tc>
          <w:tcPr>
            <w:tcW w:w="6860" w:type="dxa"/>
          </w:tcPr>
          <w:p w14:paraId="524007EA"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Medicaid claims/encounters data</w:t>
            </w:r>
          </w:p>
        </w:tc>
      </w:tr>
      <w:tr w:rsidR="00C220BF" w:rsidRPr="005A683A" w14:paraId="01E50460" w14:textId="77777777" w:rsidTr="0001795F">
        <w:trPr>
          <w:trHeight w:val="901"/>
        </w:trPr>
        <w:tc>
          <w:tcPr>
            <w:cnfStyle w:val="001000000000" w:firstRow="0" w:lastRow="0" w:firstColumn="1" w:lastColumn="0" w:oddVBand="0" w:evenVBand="0" w:oddHBand="0" w:evenHBand="0" w:firstRowFirstColumn="0" w:firstRowLastColumn="0" w:lastRowFirstColumn="0" w:lastRowLastColumn="0"/>
            <w:tcW w:w="0" w:type="dxa"/>
          </w:tcPr>
          <w:p w14:paraId="299CA4B2" w14:textId="77777777" w:rsidR="00C220BF" w:rsidRPr="008F1CAB" w:rsidRDefault="00C220BF">
            <w:r w:rsidRPr="008F1CAB">
              <w:t>National Benchmark</w:t>
            </w:r>
          </w:p>
        </w:tc>
        <w:tc>
          <w:tcPr>
            <w:tcW w:w="0" w:type="dxa"/>
          </w:tcPr>
          <w:p w14:paraId="79671867"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2021 Medicaid HMO = 36.6%</w:t>
            </w:r>
          </w:p>
          <w:p w14:paraId="03201C29" w14:textId="3289A910" w:rsidR="00C220BF" w:rsidRPr="00FC3F84" w:rsidRDefault="00C220BF">
            <w:pPr>
              <w:cnfStyle w:val="000000000000" w:firstRow="0" w:lastRow="0" w:firstColumn="0" w:lastColumn="0" w:oddVBand="0" w:evenVBand="0" w:oddHBand="0" w:evenHBand="0" w:firstRowFirstColumn="0" w:firstRowLastColumn="0" w:lastRowFirstColumn="0" w:lastRowLastColumn="0"/>
            </w:pPr>
            <w:r w:rsidRPr="00FC3F84">
              <w:t xml:space="preserve">Source: </w:t>
            </w:r>
            <w:hyperlink r:id="rId57" w:history="1">
              <w:r w:rsidR="0071707D" w:rsidRPr="00FC3F84">
                <w:rPr>
                  <w:rStyle w:val="Hyperlink"/>
                </w:rPr>
                <w:t>https://www.ncqa.org/hedis/measures/metabolic-monitoring-for-children-and-adolescents-on-antipsychotics/</w:t>
              </w:r>
            </w:hyperlink>
            <w:r w:rsidR="0071707D" w:rsidRPr="00FC3F84">
              <w:t xml:space="preserve"> </w:t>
            </w:r>
          </w:p>
        </w:tc>
      </w:tr>
    </w:tbl>
    <w:p w14:paraId="49E58230" w14:textId="77777777" w:rsidR="00C220BF" w:rsidRPr="00FC3F84" w:rsidRDefault="00C220BF" w:rsidP="00727B56">
      <w:pPr>
        <w:pStyle w:val="NoSpacing"/>
      </w:pPr>
    </w:p>
    <w:tbl>
      <w:tblPr>
        <w:tblStyle w:val="FHCclean10pt"/>
        <w:tblW w:w="0" w:type="auto"/>
        <w:tblLook w:val="04A0" w:firstRow="1" w:lastRow="0" w:firstColumn="1" w:lastColumn="0" w:noHBand="0" w:noVBand="1"/>
      </w:tblPr>
      <w:tblGrid>
        <w:gridCol w:w="2484"/>
        <w:gridCol w:w="6860"/>
      </w:tblGrid>
      <w:tr w:rsidR="00C220BF" w:rsidRPr="008F1CAB" w14:paraId="2BFB251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bookmarkEnd w:id="273"/>
          <w:p w14:paraId="04C03577" w14:textId="77777777" w:rsidR="00C220BF" w:rsidRPr="008F1CAB" w:rsidRDefault="00C220BF">
            <w:r w:rsidRPr="00DB3492">
              <w:t>Measure:</w:t>
            </w:r>
          </w:p>
        </w:tc>
        <w:tc>
          <w:tcPr>
            <w:tcW w:w="6860" w:type="dxa"/>
          </w:tcPr>
          <w:p w14:paraId="5CCFD3BF" w14:textId="77777777" w:rsidR="00C220BF" w:rsidRPr="008F1CAB" w:rsidRDefault="00C220BF">
            <w:pPr>
              <w:cnfStyle w:val="100000000000" w:firstRow="1" w:lastRow="0" w:firstColumn="0" w:lastColumn="0" w:oddVBand="0" w:evenVBand="0" w:oddHBand="0" w:evenHBand="0" w:firstRowFirstColumn="0" w:firstRowLastColumn="0" w:lastRowFirstColumn="0" w:lastRowLastColumn="0"/>
            </w:pPr>
            <w:r w:rsidRPr="007B3A4D">
              <w:t>Antidepressant Medication Management (AMM)</w:t>
            </w:r>
            <w:r>
              <w:br/>
            </w:r>
            <w:r w:rsidRPr="007B3A4D">
              <w:t>*</w:t>
            </w:r>
            <w:r>
              <w:t xml:space="preserve"> </w:t>
            </w:r>
            <w:r w:rsidRPr="007B3A4D">
              <w:t>MassHealth BH CP Quality Measure</w:t>
            </w:r>
          </w:p>
        </w:tc>
      </w:tr>
      <w:tr w:rsidR="00C220BF" w:rsidRPr="008F1CAB" w14:paraId="017089EB" w14:textId="77777777">
        <w:tc>
          <w:tcPr>
            <w:cnfStyle w:val="001000000000" w:firstRow="0" w:lastRow="0" w:firstColumn="1" w:lastColumn="0" w:oddVBand="0" w:evenVBand="0" w:oddHBand="0" w:evenHBand="0" w:firstRowFirstColumn="0" w:firstRowLastColumn="0" w:lastRowFirstColumn="0" w:lastRowLastColumn="0"/>
            <w:tcW w:w="2484" w:type="dxa"/>
          </w:tcPr>
          <w:p w14:paraId="5CCAFA56" w14:textId="77777777" w:rsidR="00C220BF" w:rsidRPr="008F1CAB" w:rsidRDefault="00C220BF">
            <w:r w:rsidRPr="00DB3492">
              <w:t>Steward:</w:t>
            </w:r>
          </w:p>
        </w:tc>
        <w:tc>
          <w:tcPr>
            <w:tcW w:w="6860" w:type="dxa"/>
          </w:tcPr>
          <w:p w14:paraId="71F28F4E"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7B3A4D">
              <w:t>National Committee on Quality Assurance (#0105)</w:t>
            </w:r>
          </w:p>
        </w:tc>
      </w:tr>
      <w:tr w:rsidR="00C220BF" w:rsidRPr="008F1CAB" w14:paraId="26358D4E" w14:textId="77777777">
        <w:tc>
          <w:tcPr>
            <w:cnfStyle w:val="001000000000" w:firstRow="0" w:lastRow="0" w:firstColumn="1" w:lastColumn="0" w:oddVBand="0" w:evenVBand="0" w:oddHBand="0" w:evenHBand="0" w:firstRowFirstColumn="0" w:firstRowLastColumn="0" w:lastRowFirstColumn="0" w:lastRowLastColumn="0"/>
            <w:tcW w:w="2484" w:type="dxa"/>
          </w:tcPr>
          <w:p w14:paraId="5567A31C" w14:textId="77777777" w:rsidR="00C220BF" w:rsidRPr="008F1CAB" w:rsidRDefault="00C220BF">
            <w:r w:rsidRPr="00DB3492">
              <w:t>NQF Endorsed:</w:t>
            </w:r>
          </w:p>
        </w:tc>
        <w:tc>
          <w:tcPr>
            <w:tcW w:w="6860" w:type="dxa"/>
          </w:tcPr>
          <w:p w14:paraId="03E93F7F"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Yes</w:t>
            </w:r>
          </w:p>
        </w:tc>
      </w:tr>
      <w:tr w:rsidR="00C220BF" w:rsidRPr="008F1CAB" w14:paraId="51778CBF" w14:textId="77777777">
        <w:tc>
          <w:tcPr>
            <w:cnfStyle w:val="001000000000" w:firstRow="0" w:lastRow="0" w:firstColumn="1" w:lastColumn="0" w:oddVBand="0" w:evenVBand="0" w:oddHBand="0" w:evenHBand="0" w:firstRowFirstColumn="0" w:firstRowLastColumn="0" w:lastRowFirstColumn="0" w:lastRowLastColumn="0"/>
            <w:tcW w:w="2484" w:type="dxa"/>
          </w:tcPr>
          <w:p w14:paraId="6F7ABC94" w14:textId="77777777" w:rsidR="00C220BF" w:rsidRPr="008F1CAB" w:rsidRDefault="00C220BF">
            <w:r w:rsidRPr="008F1CAB">
              <w:t>Description</w:t>
            </w:r>
          </w:p>
        </w:tc>
        <w:tc>
          <w:tcPr>
            <w:tcW w:w="6860" w:type="dxa"/>
          </w:tcPr>
          <w:p w14:paraId="52A17266" w14:textId="4BC9D4B0"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 xml:space="preserve">The percentage of patients 18 years of age and older with a diagnosis of major depression </w:t>
            </w:r>
            <w:r w:rsidR="00D425E0">
              <w:t>who</w:t>
            </w:r>
            <w:r w:rsidR="00D425E0" w:rsidRPr="008F1CAB">
              <w:t xml:space="preserve"> </w:t>
            </w:r>
            <w:r w:rsidRPr="008F1CAB">
              <w:t>were treated with antidepressant medication and who remained on an antidepressant medication treatment. Two rates are reported.</w:t>
            </w:r>
          </w:p>
          <w:p w14:paraId="16AE9DFB" w14:textId="77777777" w:rsidR="00C220BF" w:rsidRPr="008F1CAB"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8F1CAB">
              <w:t xml:space="preserve">Effective Acute Phase Treatment. The percentage of patients who remained on an antidepressant medication for at least 84 days (12 weeks). </w:t>
            </w:r>
          </w:p>
          <w:p w14:paraId="43EF6161" w14:textId="18F14BDE" w:rsidR="00C220BF" w:rsidRPr="008F1CAB"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8F1CAB">
              <w:t>Effective Continuation Phase Treatment. The percentage of patients who remained on an antidepressant medication for at least 180 days (</w:t>
            </w:r>
            <w:r w:rsidR="005B47F7">
              <w:t>six</w:t>
            </w:r>
            <w:r w:rsidR="005B47F7" w:rsidRPr="008F1CAB">
              <w:t xml:space="preserve"> </w:t>
            </w:r>
            <w:r w:rsidRPr="008F1CAB">
              <w:t>months).</w:t>
            </w:r>
          </w:p>
        </w:tc>
      </w:tr>
      <w:tr w:rsidR="00C220BF" w:rsidRPr="008F1CAB" w14:paraId="702627C0" w14:textId="77777777">
        <w:tc>
          <w:tcPr>
            <w:cnfStyle w:val="001000000000" w:firstRow="0" w:lastRow="0" w:firstColumn="1" w:lastColumn="0" w:oddVBand="0" w:evenVBand="0" w:oddHBand="0" w:evenHBand="0" w:firstRowFirstColumn="0" w:firstRowLastColumn="0" w:lastRowFirstColumn="0" w:lastRowLastColumn="0"/>
            <w:tcW w:w="2484" w:type="dxa"/>
          </w:tcPr>
          <w:p w14:paraId="725F524D" w14:textId="77777777" w:rsidR="00C220BF" w:rsidRPr="008F1CAB" w:rsidRDefault="00C220BF">
            <w:r w:rsidRPr="008F1CAB">
              <w:t>Numerator</w:t>
            </w:r>
          </w:p>
        </w:tc>
        <w:tc>
          <w:tcPr>
            <w:tcW w:w="6860" w:type="dxa"/>
          </w:tcPr>
          <w:p w14:paraId="4DE548C9" w14:textId="7BF834A6"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Adults 18 years of age and older who were treated with antidepressant medication, had a diagnosis of major depression, and remained on an antidepressant medication treatment</w:t>
            </w:r>
            <w:r w:rsidR="00A5297E">
              <w:t>.</w:t>
            </w:r>
          </w:p>
        </w:tc>
      </w:tr>
      <w:tr w:rsidR="00C220BF" w:rsidRPr="008F1CAB" w14:paraId="655E524B" w14:textId="77777777">
        <w:tc>
          <w:tcPr>
            <w:cnfStyle w:val="001000000000" w:firstRow="0" w:lastRow="0" w:firstColumn="1" w:lastColumn="0" w:oddVBand="0" w:evenVBand="0" w:oddHBand="0" w:evenHBand="0" w:firstRowFirstColumn="0" w:firstRowLastColumn="0" w:lastRowFirstColumn="0" w:lastRowLastColumn="0"/>
            <w:tcW w:w="2484" w:type="dxa"/>
          </w:tcPr>
          <w:p w14:paraId="02CFDDB3" w14:textId="77777777" w:rsidR="00C220BF" w:rsidRPr="008F1CAB" w:rsidRDefault="00C220BF">
            <w:r w:rsidRPr="008F1CAB">
              <w:t>Denominator</w:t>
            </w:r>
          </w:p>
        </w:tc>
        <w:tc>
          <w:tcPr>
            <w:tcW w:w="6860" w:type="dxa"/>
          </w:tcPr>
          <w:p w14:paraId="7B78D3B2" w14:textId="095DF90A"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 xml:space="preserve">Patients 18 years of age and older with a diagnosis of major depression and </w:t>
            </w:r>
            <w:r w:rsidR="002F1F8B">
              <w:t xml:space="preserve">who </w:t>
            </w:r>
            <w:r w:rsidRPr="008F1CAB">
              <w:t>were newly treated with antidepressant medication</w:t>
            </w:r>
            <w:r w:rsidR="00A5297E">
              <w:t>.</w:t>
            </w:r>
          </w:p>
        </w:tc>
      </w:tr>
      <w:tr w:rsidR="00C220BF" w:rsidRPr="008F1CAB" w14:paraId="71F92100" w14:textId="77777777">
        <w:tc>
          <w:tcPr>
            <w:cnfStyle w:val="001000000000" w:firstRow="0" w:lastRow="0" w:firstColumn="1" w:lastColumn="0" w:oddVBand="0" w:evenVBand="0" w:oddHBand="0" w:evenHBand="0" w:firstRowFirstColumn="0" w:firstRowLastColumn="0" w:lastRowFirstColumn="0" w:lastRowLastColumn="0"/>
            <w:tcW w:w="2484" w:type="dxa"/>
          </w:tcPr>
          <w:p w14:paraId="6E87F71D" w14:textId="77777777" w:rsidR="00C220BF" w:rsidRPr="008F1CAB" w:rsidRDefault="00C220BF">
            <w:r w:rsidRPr="008F1CAB">
              <w:t>Data Sources</w:t>
            </w:r>
          </w:p>
        </w:tc>
        <w:tc>
          <w:tcPr>
            <w:tcW w:w="6860" w:type="dxa"/>
          </w:tcPr>
          <w:p w14:paraId="711FF4A4"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Medicaid claims/encounters data</w:t>
            </w:r>
          </w:p>
        </w:tc>
      </w:tr>
      <w:tr w:rsidR="00C220BF" w:rsidRPr="00786BB0" w14:paraId="16BF9711" w14:textId="77777777" w:rsidTr="00E73183">
        <w:tc>
          <w:tcPr>
            <w:cnfStyle w:val="001000000000" w:firstRow="0" w:lastRow="0" w:firstColumn="1" w:lastColumn="0" w:oddVBand="0" w:evenVBand="0" w:oddHBand="0" w:evenHBand="0" w:firstRowFirstColumn="0" w:firstRowLastColumn="0" w:lastRowFirstColumn="0" w:lastRowLastColumn="0"/>
            <w:tcW w:w="2484" w:type="dxa"/>
          </w:tcPr>
          <w:p w14:paraId="7D73ECB7" w14:textId="77777777" w:rsidR="00C220BF" w:rsidRPr="008F1CAB" w:rsidRDefault="00C220BF">
            <w:r w:rsidRPr="008F1CAB">
              <w:t>National Benchmark</w:t>
            </w:r>
          </w:p>
        </w:tc>
        <w:tc>
          <w:tcPr>
            <w:tcW w:w="6860" w:type="dxa"/>
          </w:tcPr>
          <w:p w14:paraId="634D2216"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Effective Acute Phase Treatment Rate: 2021 Medicaid HMO = 60.8%</w:t>
            </w:r>
          </w:p>
          <w:p w14:paraId="21219EB4"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Effective Continuation Phase Treatment Rate: 2021 Medicaid HMO: 44.1%</w:t>
            </w:r>
          </w:p>
          <w:p w14:paraId="21D22AC5" w14:textId="37E255E7" w:rsidR="00C220BF" w:rsidRPr="00EC21C0" w:rsidRDefault="00C220BF">
            <w:pPr>
              <w:cnfStyle w:val="000000000000" w:firstRow="0" w:lastRow="0" w:firstColumn="0" w:lastColumn="0" w:oddVBand="0" w:evenVBand="0" w:oddHBand="0" w:evenHBand="0" w:firstRowFirstColumn="0" w:firstRowLastColumn="0" w:lastRowFirstColumn="0" w:lastRowLastColumn="0"/>
              <w:rPr>
                <w:lang w:val="fr-FR"/>
              </w:rPr>
            </w:pPr>
            <w:r w:rsidRPr="00EC21C0">
              <w:rPr>
                <w:lang w:val="fr-FR"/>
              </w:rPr>
              <w:t xml:space="preserve">Source: </w:t>
            </w:r>
            <w:hyperlink r:id="rId58" w:history="1">
              <w:r w:rsidR="0071707D" w:rsidRPr="00EC21C0">
                <w:rPr>
                  <w:rStyle w:val="Hyperlink"/>
                  <w:lang w:val="fr-FR"/>
                </w:rPr>
                <w:t>https://www.ncqa.org/hedis/measures/antidepressant-medication-management/</w:t>
              </w:r>
            </w:hyperlink>
            <w:r w:rsidR="0071707D" w:rsidRPr="00EC21C0">
              <w:rPr>
                <w:lang w:val="fr-FR"/>
              </w:rPr>
              <w:t xml:space="preserve"> </w:t>
            </w:r>
          </w:p>
        </w:tc>
      </w:tr>
    </w:tbl>
    <w:p w14:paraId="296F293F" w14:textId="77777777" w:rsidR="00710F77" w:rsidRPr="00EC21C0" w:rsidRDefault="00710F77" w:rsidP="0071707D">
      <w:pPr>
        <w:pStyle w:val="NoSpacing"/>
        <w:rPr>
          <w:lang w:val="fr-FR"/>
        </w:rPr>
      </w:pPr>
    </w:p>
    <w:tbl>
      <w:tblPr>
        <w:tblStyle w:val="FHCclean10pt"/>
        <w:tblW w:w="0" w:type="auto"/>
        <w:tblLook w:val="04A0" w:firstRow="1" w:lastRow="0" w:firstColumn="1" w:lastColumn="0" w:noHBand="0" w:noVBand="1"/>
      </w:tblPr>
      <w:tblGrid>
        <w:gridCol w:w="2484"/>
        <w:gridCol w:w="6860"/>
      </w:tblGrid>
      <w:tr w:rsidR="00C220BF" w:rsidRPr="008F1CAB" w14:paraId="5B03D3A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2F16FA9F" w14:textId="77777777" w:rsidR="00C220BF" w:rsidRPr="008F1CAB" w:rsidRDefault="00C220BF">
            <w:r w:rsidRPr="00DB3492">
              <w:t>Measure:</w:t>
            </w:r>
          </w:p>
        </w:tc>
        <w:tc>
          <w:tcPr>
            <w:tcW w:w="6860" w:type="dxa"/>
          </w:tcPr>
          <w:p w14:paraId="1F9966A7" w14:textId="77777777" w:rsidR="00C220BF" w:rsidRPr="008F1CAB" w:rsidRDefault="00C220BF">
            <w:pPr>
              <w:cnfStyle w:val="100000000000" w:firstRow="1" w:lastRow="0" w:firstColumn="0" w:lastColumn="0" w:oddVBand="0" w:evenVBand="0" w:oddHBand="0" w:evenHBand="0" w:firstRowFirstColumn="0" w:firstRowLastColumn="0" w:lastRowFirstColumn="0" w:lastRowLastColumn="0"/>
            </w:pPr>
            <w:r w:rsidRPr="00213D3A">
              <w:t>Oral Health Evaluation</w:t>
            </w:r>
          </w:p>
        </w:tc>
      </w:tr>
      <w:tr w:rsidR="00C220BF" w:rsidRPr="008F1CAB" w14:paraId="40044B8D" w14:textId="77777777">
        <w:tc>
          <w:tcPr>
            <w:cnfStyle w:val="001000000000" w:firstRow="0" w:lastRow="0" w:firstColumn="1" w:lastColumn="0" w:oddVBand="0" w:evenVBand="0" w:oddHBand="0" w:evenHBand="0" w:firstRowFirstColumn="0" w:firstRowLastColumn="0" w:lastRowFirstColumn="0" w:lastRowLastColumn="0"/>
            <w:tcW w:w="2484" w:type="dxa"/>
          </w:tcPr>
          <w:p w14:paraId="3CDCB133" w14:textId="77777777" w:rsidR="00C220BF" w:rsidRPr="008F1CAB" w:rsidRDefault="00C220BF">
            <w:r w:rsidRPr="00DB3492">
              <w:t>Steward:</w:t>
            </w:r>
          </w:p>
        </w:tc>
        <w:tc>
          <w:tcPr>
            <w:tcW w:w="6860" w:type="dxa"/>
          </w:tcPr>
          <w:p w14:paraId="7986B615"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213D3A">
              <w:t>American Dental Association on behalf of the Dental Quality Alliance (#2517)</w:t>
            </w:r>
          </w:p>
        </w:tc>
      </w:tr>
      <w:tr w:rsidR="00C220BF" w:rsidRPr="008F1CAB" w14:paraId="00110F95" w14:textId="77777777">
        <w:tc>
          <w:tcPr>
            <w:cnfStyle w:val="001000000000" w:firstRow="0" w:lastRow="0" w:firstColumn="1" w:lastColumn="0" w:oddVBand="0" w:evenVBand="0" w:oddHBand="0" w:evenHBand="0" w:firstRowFirstColumn="0" w:firstRowLastColumn="0" w:lastRowFirstColumn="0" w:lastRowLastColumn="0"/>
            <w:tcW w:w="2484" w:type="dxa"/>
          </w:tcPr>
          <w:p w14:paraId="7FD326E0" w14:textId="77777777" w:rsidR="00C220BF" w:rsidRPr="008F1CAB" w:rsidRDefault="00C220BF">
            <w:r w:rsidRPr="00DB3492">
              <w:t>NQF Endorsed:</w:t>
            </w:r>
          </w:p>
        </w:tc>
        <w:tc>
          <w:tcPr>
            <w:tcW w:w="6860" w:type="dxa"/>
          </w:tcPr>
          <w:p w14:paraId="62876A97"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Yes</w:t>
            </w:r>
          </w:p>
        </w:tc>
      </w:tr>
      <w:tr w:rsidR="00C220BF" w:rsidRPr="008F1CAB" w14:paraId="79C23BCF" w14:textId="77777777">
        <w:tc>
          <w:tcPr>
            <w:cnfStyle w:val="001000000000" w:firstRow="0" w:lastRow="0" w:firstColumn="1" w:lastColumn="0" w:oddVBand="0" w:evenVBand="0" w:oddHBand="0" w:evenHBand="0" w:firstRowFirstColumn="0" w:firstRowLastColumn="0" w:lastRowFirstColumn="0" w:lastRowLastColumn="0"/>
            <w:tcW w:w="2484" w:type="dxa"/>
          </w:tcPr>
          <w:p w14:paraId="298F69BF" w14:textId="77777777" w:rsidR="00C220BF" w:rsidRPr="008F1CAB" w:rsidRDefault="00C220BF">
            <w:r w:rsidRPr="008F1CAB">
              <w:t>Description</w:t>
            </w:r>
          </w:p>
        </w:tc>
        <w:tc>
          <w:tcPr>
            <w:tcW w:w="6860" w:type="dxa"/>
          </w:tcPr>
          <w:p w14:paraId="7DD89B14" w14:textId="7C08BC90"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 xml:space="preserve">Percentage of enrolled children under 21 years </w:t>
            </w:r>
            <w:r w:rsidR="002F1F8B">
              <w:t xml:space="preserve">of </w:t>
            </w:r>
            <w:r w:rsidR="002F1F8B" w:rsidRPr="008F1CAB">
              <w:t xml:space="preserve">age </w:t>
            </w:r>
            <w:r w:rsidRPr="008F1CAB">
              <w:t>who received a comprehensive or periodic oral evaluation within the reporting year.</w:t>
            </w:r>
          </w:p>
        </w:tc>
      </w:tr>
      <w:tr w:rsidR="00C220BF" w:rsidRPr="008F1CAB" w14:paraId="7884351B" w14:textId="77777777">
        <w:tc>
          <w:tcPr>
            <w:cnfStyle w:val="001000000000" w:firstRow="0" w:lastRow="0" w:firstColumn="1" w:lastColumn="0" w:oddVBand="0" w:evenVBand="0" w:oddHBand="0" w:evenHBand="0" w:firstRowFirstColumn="0" w:firstRowLastColumn="0" w:lastRowFirstColumn="0" w:lastRowLastColumn="0"/>
            <w:tcW w:w="2484" w:type="dxa"/>
          </w:tcPr>
          <w:p w14:paraId="2B7D639F" w14:textId="77777777" w:rsidR="00C220BF" w:rsidRPr="008F1CAB" w:rsidRDefault="00C220BF">
            <w:r w:rsidRPr="008F1CAB">
              <w:t>Numerator</w:t>
            </w:r>
          </w:p>
        </w:tc>
        <w:tc>
          <w:tcPr>
            <w:tcW w:w="6860" w:type="dxa"/>
          </w:tcPr>
          <w:p w14:paraId="04638223" w14:textId="7636CEAE"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Unduplicated number of enrolled children under 21 years</w:t>
            </w:r>
            <w:r w:rsidR="002F1F8B">
              <w:t xml:space="preserve"> of</w:t>
            </w:r>
            <w:r w:rsidRPr="008F1CAB">
              <w:t xml:space="preserve"> </w:t>
            </w:r>
            <w:r w:rsidR="002F1F8B" w:rsidRPr="008F1CAB">
              <w:t xml:space="preserve">age </w:t>
            </w:r>
            <w:r w:rsidRPr="008F1CAB">
              <w:t>who received a comprehensive or periodic oral evaluation as a dental service</w:t>
            </w:r>
            <w:r w:rsidR="002F1F8B">
              <w:t>.</w:t>
            </w:r>
          </w:p>
        </w:tc>
      </w:tr>
      <w:tr w:rsidR="00C220BF" w:rsidRPr="008F1CAB" w14:paraId="3427888F" w14:textId="77777777">
        <w:tc>
          <w:tcPr>
            <w:cnfStyle w:val="001000000000" w:firstRow="0" w:lastRow="0" w:firstColumn="1" w:lastColumn="0" w:oddVBand="0" w:evenVBand="0" w:oddHBand="0" w:evenHBand="0" w:firstRowFirstColumn="0" w:firstRowLastColumn="0" w:lastRowFirstColumn="0" w:lastRowLastColumn="0"/>
            <w:tcW w:w="2484" w:type="dxa"/>
          </w:tcPr>
          <w:p w14:paraId="02F63616" w14:textId="77777777" w:rsidR="00C220BF" w:rsidRPr="008F1CAB" w:rsidRDefault="00C220BF">
            <w:r w:rsidRPr="008F1CAB">
              <w:t>Denominator</w:t>
            </w:r>
          </w:p>
        </w:tc>
        <w:tc>
          <w:tcPr>
            <w:tcW w:w="6860" w:type="dxa"/>
          </w:tcPr>
          <w:p w14:paraId="3A85A569" w14:textId="2FA3D87B"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Unduplicated number of enrolled children under 21 years</w:t>
            </w:r>
            <w:r w:rsidR="002F1F8B" w:rsidRPr="008F1CAB">
              <w:t xml:space="preserve"> </w:t>
            </w:r>
            <w:r w:rsidR="002F1F8B">
              <w:t xml:space="preserve">of </w:t>
            </w:r>
            <w:r w:rsidR="002F1F8B" w:rsidRPr="008F1CAB">
              <w:t>age</w:t>
            </w:r>
            <w:r w:rsidR="002F1F8B">
              <w:t>.</w:t>
            </w:r>
          </w:p>
        </w:tc>
      </w:tr>
      <w:tr w:rsidR="00C220BF" w:rsidRPr="008F1CAB" w14:paraId="51CF4F4A" w14:textId="77777777">
        <w:tc>
          <w:tcPr>
            <w:cnfStyle w:val="001000000000" w:firstRow="0" w:lastRow="0" w:firstColumn="1" w:lastColumn="0" w:oddVBand="0" w:evenVBand="0" w:oddHBand="0" w:evenHBand="0" w:firstRowFirstColumn="0" w:firstRowLastColumn="0" w:lastRowFirstColumn="0" w:lastRowLastColumn="0"/>
            <w:tcW w:w="2484" w:type="dxa"/>
          </w:tcPr>
          <w:p w14:paraId="6BAEB781" w14:textId="77777777" w:rsidR="00C220BF" w:rsidRPr="008F1CAB" w:rsidRDefault="00C220BF">
            <w:r w:rsidRPr="008F1CAB">
              <w:t>Data Sources</w:t>
            </w:r>
          </w:p>
        </w:tc>
        <w:tc>
          <w:tcPr>
            <w:tcW w:w="6860" w:type="dxa"/>
          </w:tcPr>
          <w:p w14:paraId="28C2BCBC"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Medicaid claims/encounters data</w:t>
            </w:r>
          </w:p>
        </w:tc>
      </w:tr>
      <w:tr w:rsidR="00C220BF" w:rsidRPr="008F1CAB" w14:paraId="40EA4694" w14:textId="77777777">
        <w:tc>
          <w:tcPr>
            <w:cnfStyle w:val="001000000000" w:firstRow="0" w:lastRow="0" w:firstColumn="1" w:lastColumn="0" w:oddVBand="0" w:evenVBand="0" w:oddHBand="0" w:evenHBand="0" w:firstRowFirstColumn="0" w:firstRowLastColumn="0" w:lastRowFirstColumn="0" w:lastRowLastColumn="0"/>
            <w:tcW w:w="2484" w:type="dxa"/>
          </w:tcPr>
          <w:p w14:paraId="19219F4E" w14:textId="77777777" w:rsidR="00C220BF" w:rsidRPr="008F1CAB" w:rsidRDefault="00C220BF">
            <w:r w:rsidRPr="008F1CAB">
              <w:t>National Benchmark</w:t>
            </w:r>
          </w:p>
        </w:tc>
        <w:tc>
          <w:tcPr>
            <w:tcW w:w="6860" w:type="dxa"/>
          </w:tcPr>
          <w:p w14:paraId="39E92983"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None</w:t>
            </w:r>
          </w:p>
        </w:tc>
      </w:tr>
    </w:tbl>
    <w:p w14:paraId="76A27A3F" w14:textId="77777777" w:rsidR="00C220BF" w:rsidRDefault="00C220BF" w:rsidP="0071707D">
      <w:pPr>
        <w:pStyle w:val="NoSpacing"/>
      </w:pPr>
    </w:p>
    <w:tbl>
      <w:tblPr>
        <w:tblStyle w:val="FHCclean10pt"/>
        <w:tblW w:w="0" w:type="auto"/>
        <w:tblLook w:val="04A0" w:firstRow="1" w:lastRow="0" w:firstColumn="1" w:lastColumn="0" w:noHBand="0" w:noVBand="1"/>
      </w:tblPr>
      <w:tblGrid>
        <w:gridCol w:w="2484"/>
        <w:gridCol w:w="6860"/>
      </w:tblGrid>
      <w:tr w:rsidR="00C220BF" w:rsidRPr="008F1CAB" w14:paraId="12770C3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5238C4F6" w14:textId="77777777" w:rsidR="00C220BF" w:rsidRPr="008F1CAB" w:rsidRDefault="00C220BF">
            <w:r w:rsidRPr="00DB3492">
              <w:t>Measure:</w:t>
            </w:r>
          </w:p>
        </w:tc>
        <w:tc>
          <w:tcPr>
            <w:tcW w:w="6860" w:type="dxa"/>
          </w:tcPr>
          <w:p w14:paraId="66E8F7CB" w14:textId="2648FC8A" w:rsidR="00C220BF" w:rsidRPr="008F1CAB" w:rsidRDefault="00C220BF">
            <w:pPr>
              <w:cnfStyle w:val="100000000000" w:firstRow="1" w:lastRow="0" w:firstColumn="0" w:lastColumn="0" w:oddVBand="0" w:evenVBand="0" w:oddHBand="0" w:evenHBand="0" w:firstRowFirstColumn="0" w:firstRowLastColumn="0" w:lastRowFirstColumn="0" w:lastRowLastColumn="0"/>
            </w:pPr>
            <w:r w:rsidRPr="00213D3A">
              <w:t>Preventive Care and Screening: Screening for Depression and Follow-Up Plan</w:t>
            </w:r>
            <w:r>
              <w:br/>
            </w:r>
            <w:r w:rsidRPr="00213D3A">
              <w:t>*</w:t>
            </w:r>
            <w:r w:rsidR="005B47F7">
              <w:t xml:space="preserve"> </w:t>
            </w:r>
            <w:r w:rsidRPr="00213D3A">
              <w:t>MassHealth ACO quality measure</w:t>
            </w:r>
          </w:p>
        </w:tc>
      </w:tr>
      <w:tr w:rsidR="00C220BF" w:rsidRPr="008F1CAB" w14:paraId="2DCBFDF6" w14:textId="77777777">
        <w:tc>
          <w:tcPr>
            <w:cnfStyle w:val="001000000000" w:firstRow="0" w:lastRow="0" w:firstColumn="1" w:lastColumn="0" w:oddVBand="0" w:evenVBand="0" w:oddHBand="0" w:evenHBand="0" w:firstRowFirstColumn="0" w:firstRowLastColumn="0" w:lastRowFirstColumn="0" w:lastRowLastColumn="0"/>
            <w:tcW w:w="2484" w:type="dxa"/>
          </w:tcPr>
          <w:p w14:paraId="7C1BD81D" w14:textId="77777777" w:rsidR="00C220BF" w:rsidRPr="008F1CAB" w:rsidRDefault="00C220BF">
            <w:r w:rsidRPr="00DB3492">
              <w:t>Steward:</w:t>
            </w:r>
          </w:p>
        </w:tc>
        <w:tc>
          <w:tcPr>
            <w:tcW w:w="6860" w:type="dxa"/>
          </w:tcPr>
          <w:p w14:paraId="533EDDB3"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213D3A">
              <w:t>Centers for Medicare &amp; Medicaid Services (#0418)</w:t>
            </w:r>
          </w:p>
        </w:tc>
      </w:tr>
      <w:tr w:rsidR="00C220BF" w:rsidRPr="008F1CAB" w14:paraId="056A4ED7" w14:textId="77777777">
        <w:tc>
          <w:tcPr>
            <w:cnfStyle w:val="001000000000" w:firstRow="0" w:lastRow="0" w:firstColumn="1" w:lastColumn="0" w:oddVBand="0" w:evenVBand="0" w:oddHBand="0" w:evenHBand="0" w:firstRowFirstColumn="0" w:firstRowLastColumn="0" w:lastRowFirstColumn="0" w:lastRowLastColumn="0"/>
            <w:tcW w:w="2484" w:type="dxa"/>
          </w:tcPr>
          <w:p w14:paraId="05DA895B" w14:textId="77777777" w:rsidR="00C220BF" w:rsidRPr="008F1CAB" w:rsidRDefault="00C220BF">
            <w:r w:rsidRPr="00DB3492">
              <w:t>NQF Endorsed:</w:t>
            </w:r>
          </w:p>
        </w:tc>
        <w:tc>
          <w:tcPr>
            <w:tcW w:w="6860" w:type="dxa"/>
          </w:tcPr>
          <w:p w14:paraId="2BD42A5F" w14:textId="3BB4B67C"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213D3A">
              <w:t xml:space="preserve">Endorsement </w:t>
            </w:r>
            <w:r w:rsidR="0071707D">
              <w:t>R</w:t>
            </w:r>
            <w:r w:rsidRPr="00213D3A">
              <w:t>emoved</w:t>
            </w:r>
          </w:p>
        </w:tc>
      </w:tr>
      <w:tr w:rsidR="00C220BF" w:rsidRPr="008F1CAB" w14:paraId="6D997B9B" w14:textId="77777777">
        <w:tc>
          <w:tcPr>
            <w:cnfStyle w:val="001000000000" w:firstRow="0" w:lastRow="0" w:firstColumn="1" w:lastColumn="0" w:oddVBand="0" w:evenVBand="0" w:oddHBand="0" w:evenHBand="0" w:firstRowFirstColumn="0" w:firstRowLastColumn="0" w:lastRowFirstColumn="0" w:lastRowLastColumn="0"/>
            <w:tcW w:w="2484" w:type="dxa"/>
          </w:tcPr>
          <w:p w14:paraId="5A5F36CA" w14:textId="77777777" w:rsidR="00C220BF" w:rsidRPr="008F1CAB" w:rsidRDefault="00C220BF">
            <w:bookmarkStart w:id="274" w:name="_Hlk129958846"/>
            <w:r w:rsidRPr="008F1CAB">
              <w:t>Description</w:t>
            </w:r>
          </w:p>
        </w:tc>
        <w:tc>
          <w:tcPr>
            <w:tcW w:w="6860" w:type="dxa"/>
          </w:tcPr>
          <w:p w14:paraId="11C5D56D" w14:textId="320136BD"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 xml:space="preserve">Percentage of patients 12 years </w:t>
            </w:r>
            <w:r w:rsidR="005B47F7">
              <w:t xml:space="preserve">of age </w:t>
            </w:r>
            <w:r w:rsidRPr="008F1CAB">
              <w:t xml:space="preserve">and older screened for depression on the date of the encounter or 14 days prior to the date of the encounter using an </w:t>
            </w:r>
            <w:r w:rsidR="00BF105C" w:rsidRPr="008F1CAB">
              <w:t>age</w:t>
            </w:r>
            <w:r w:rsidR="00BF105C">
              <w:t>-</w:t>
            </w:r>
            <w:r w:rsidRPr="008F1CAB">
              <w:t>appropriate standardized depression screening tool AND</w:t>
            </w:r>
            <w:r w:rsidR="00BF105C">
              <w:t>,</w:t>
            </w:r>
            <w:r w:rsidRPr="008F1CAB">
              <w:t xml:space="preserve"> if positive, a follow-up plan is documented on the date of the eligible encounter</w:t>
            </w:r>
            <w:r w:rsidR="00BF105C">
              <w:t>.</w:t>
            </w:r>
          </w:p>
        </w:tc>
      </w:tr>
      <w:tr w:rsidR="00C220BF" w:rsidRPr="008F1CAB" w14:paraId="2A75756C" w14:textId="77777777">
        <w:tc>
          <w:tcPr>
            <w:cnfStyle w:val="001000000000" w:firstRow="0" w:lastRow="0" w:firstColumn="1" w:lastColumn="0" w:oddVBand="0" w:evenVBand="0" w:oddHBand="0" w:evenHBand="0" w:firstRowFirstColumn="0" w:firstRowLastColumn="0" w:lastRowFirstColumn="0" w:lastRowLastColumn="0"/>
            <w:tcW w:w="2484" w:type="dxa"/>
          </w:tcPr>
          <w:p w14:paraId="3427CE50" w14:textId="77777777" w:rsidR="00C220BF" w:rsidRPr="008F1CAB" w:rsidRDefault="00C220BF">
            <w:r w:rsidRPr="008F1CAB">
              <w:t>Numerator</w:t>
            </w:r>
          </w:p>
        </w:tc>
        <w:tc>
          <w:tcPr>
            <w:tcW w:w="6860" w:type="dxa"/>
          </w:tcPr>
          <w:p w14:paraId="7622A734" w14:textId="739DB30B"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 xml:space="preserve">Patients screened for depression on the date of the encounter or up to 14 days prior to the date of the encounter using an </w:t>
            </w:r>
            <w:r w:rsidR="00BF105C" w:rsidRPr="008F1CAB">
              <w:t>age</w:t>
            </w:r>
            <w:r w:rsidR="00BF105C">
              <w:t>-</w:t>
            </w:r>
            <w:r w:rsidRPr="008F1CAB">
              <w:t>appropriate standardized tool AND, if positive, a follow-up plan is documented on the date of the eligible encounter</w:t>
            </w:r>
            <w:r w:rsidR="00BF105C">
              <w:t>.</w:t>
            </w:r>
          </w:p>
        </w:tc>
      </w:tr>
      <w:tr w:rsidR="00C220BF" w:rsidRPr="008F1CAB" w14:paraId="23614C2D" w14:textId="77777777">
        <w:tc>
          <w:tcPr>
            <w:cnfStyle w:val="001000000000" w:firstRow="0" w:lastRow="0" w:firstColumn="1" w:lastColumn="0" w:oddVBand="0" w:evenVBand="0" w:oddHBand="0" w:evenHBand="0" w:firstRowFirstColumn="0" w:firstRowLastColumn="0" w:lastRowFirstColumn="0" w:lastRowLastColumn="0"/>
            <w:tcW w:w="2484" w:type="dxa"/>
          </w:tcPr>
          <w:p w14:paraId="772669B4" w14:textId="77777777" w:rsidR="00C220BF" w:rsidRPr="008F1CAB" w:rsidRDefault="00C220BF">
            <w:r w:rsidRPr="008F1CAB">
              <w:t>Denominator</w:t>
            </w:r>
          </w:p>
        </w:tc>
        <w:tc>
          <w:tcPr>
            <w:tcW w:w="6860" w:type="dxa"/>
          </w:tcPr>
          <w:p w14:paraId="17B20472" w14:textId="03EAAAA8"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 xml:space="preserve">All patients 12 years </w:t>
            </w:r>
            <w:r w:rsidR="005B47F7">
              <w:t xml:space="preserve">of age </w:t>
            </w:r>
            <w:r w:rsidRPr="008F1CAB">
              <w:t>and older at the beginning of the measurement period with at least one eligible encounter during the measurement period</w:t>
            </w:r>
          </w:p>
        </w:tc>
      </w:tr>
      <w:tr w:rsidR="00C220BF" w:rsidRPr="008F1CAB" w14:paraId="7F61756A" w14:textId="77777777">
        <w:tc>
          <w:tcPr>
            <w:cnfStyle w:val="001000000000" w:firstRow="0" w:lastRow="0" w:firstColumn="1" w:lastColumn="0" w:oddVBand="0" w:evenVBand="0" w:oddHBand="0" w:evenHBand="0" w:firstRowFirstColumn="0" w:firstRowLastColumn="0" w:lastRowFirstColumn="0" w:lastRowLastColumn="0"/>
            <w:tcW w:w="2484" w:type="dxa"/>
          </w:tcPr>
          <w:p w14:paraId="66B42E1E" w14:textId="77777777" w:rsidR="00C220BF" w:rsidRPr="008F1CAB" w:rsidRDefault="00C220BF">
            <w:r w:rsidRPr="008F1CAB">
              <w:t>Data Sources</w:t>
            </w:r>
          </w:p>
        </w:tc>
        <w:tc>
          <w:tcPr>
            <w:tcW w:w="6860" w:type="dxa"/>
          </w:tcPr>
          <w:p w14:paraId="295A1196"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Hybrid</w:t>
            </w:r>
          </w:p>
        </w:tc>
      </w:tr>
      <w:tr w:rsidR="00C220BF" w:rsidRPr="008F1CAB" w14:paraId="08CB39E5" w14:textId="77777777">
        <w:tc>
          <w:tcPr>
            <w:cnfStyle w:val="001000000000" w:firstRow="0" w:lastRow="0" w:firstColumn="1" w:lastColumn="0" w:oddVBand="0" w:evenVBand="0" w:oddHBand="0" w:evenHBand="0" w:firstRowFirstColumn="0" w:firstRowLastColumn="0" w:lastRowFirstColumn="0" w:lastRowLastColumn="0"/>
            <w:tcW w:w="2484" w:type="dxa"/>
          </w:tcPr>
          <w:p w14:paraId="58E2601D" w14:textId="77777777" w:rsidR="00C220BF" w:rsidRPr="008F1CAB" w:rsidRDefault="00C220BF">
            <w:r w:rsidRPr="008F1CAB">
              <w:t>National Benchmark</w:t>
            </w:r>
          </w:p>
        </w:tc>
        <w:tc>
          <w:tcPr>
            <w:tcW w:w="6860" w:type="dxa"/>
          </w:tcPr>
          <w:p w14:paraId="7F8E1511"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None</w:t>
            </w:r>
          </w:p>
        </w:tc>
      </w:tr>
    </w:tbl>
    <w:p w14:paraId="7778BE76" w14:textId="77777777" w:rsidR="00C220BF" w:rsidRDefault="00C220BF" w:rsidP="0071707D">
      <w:pPr>
        <w:pStyle w:val="NoSpacing"/>
      </w:pPr>
    </w:p>
    <w:tbl>
      <w:tblPr>
        <w:tblStyle w:val="FHCclean10pt"/>
        <w:tblW w:w="0" w:type="auto"/>
        <w:tblLook w:val="04A0" w:firstRow="1" w:lastRow="0" w:firstColumn="1" w:lastColumn="0" w:noHBand="0" w:noVBand="1"/>
      </w:tblPr>
      <w:tblGrid>
        <w:gridCol w:w="2484"/>
        <w:gridCol w:w="6860"/>
      </w:tblGrid>
      <w:tr w:rsidR="0061365F" w:rsidRPr="008F1CAB" w14:paraId="03A356F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bookmarkEnd w:id="274"/>
          <w:p w14:paraId="20FBD6BB" w14:textId="7A1708B8" w:rsidR="0061365F" w:rsidRPr="00DB3492" w:rsidRDefault="0061365F">
            <w:r>
              <w:t>Measure</w:t>
            </w:r>
          </w:p>
        </w:tc>
        <w:tc>
          <w:tcPr>
            <w:tcW w:w="6860" w:type="dxa"/>
          </w:tcPr>
          <w:p w14:paraId="7869886B" w14:textId="78D7248F" w:rsidR="0061365F" w:rsidRPr="008F1CAB" w:rsidRDefault="0061365F">
            <w:pPr>
              <w:cnfStyle w:val="100000000000" w:firstRow="1" w:lastRow="0" w:firstColumn="0" w:lastColumn="0" w:oddVBand="0" w:evenVBand="0" w:oddHBand="0" w:evenHBand="0" w:firstRowFirstColumn="0" w:firstRowLastColumn="0" w:lastRowFirstColumn="0" w:lastRowLastColumn="0"/>
            </w:pPr>
            <w:r w:rsidRPr="0061365F">
              <w:t>Enrollment in ACO Care Management Programs</w:t>
            </w:r>
          </w:p>
        </w:tc>
      </w:tr>
      <w:tr w:rsidR="00C220BF" w:rsidRPr="008F1CAB" w14:paraId="4C23309F" w14:textId="77777777">
        <w:tc>
          <w:tcPr>
            <w:cnfStyle w:val="001000000000" w:firstRow="0" w:lastRow="0" w:firstColumn="1" w:lastColumn="0" w:oddVBand="0" w:evenVBand="0" w:oddHBand="0" w:evenHBand="0" w:firstRowFirstColumn="0" w:firstRowLastColumn="0" w:lastRowFirstColumn="0" w:lastRowLastColumn="0"/>
            <w:tcW w:w="2484" w:type="dxa"/>
          </w:tcPr>
          <w:p w14:paraId="5BA140BB" w14:textId="77777777" w:rsidR="00C220BF" w:rsidRPr="008F1CAB" w:rsidRDefault="00C220BF">
            <w:r w:rsidRPr="00DB3492">
              <w:t>Steward:</w:t>
            </w:r>
          </w:p>
        </w:tc>
        <w:tc>
          <w:tcPr>
            <w:tcW w:w="6860" w:type="dxa"/>
          </w:tcPr>
          <w:p w14:paraId="543D3B92" w14:textId="5FFFA895" w:rsidR="00C220BF" w:rsidRPr="008F1CAB" w:rsidRDefault="008455A9">
            <w:pPr>
              <w:cnfStyle w:val="000000000000" w:firstRow="0" w:lastRow="0" w:firstColumn="0" w:lastColumn="0" w:oddVBand="0" w:evenVBand="0" w:oddHBand="0" w:evenHBand="0" w:firstRowFirstColumn="0" w:firstRowLastColumn="0" w:lastRowFirstColumn="0" w:lastRowLastColumn="0"/>
            </w:pPr>
            <w:r>
              <w:t>None</w:t>
            </w:r>
          </w:p>
        </w:tc>
      </w:tr>
      <w:tr w:rsidR="00C220BF" w:rsidRPr="008F1CAB" w14:paraId="04DC0753" w14:textId="77777777">
        <w:tc>
          <w:tcPr>
            <w:cnfStyle w:val="001000000000" w:firstRow="0" w:lastRow="0" w:firstColumn="1" w:lastColumn="0" w:oddVBand="0" w:evenVBand="0" w:oddHBand="0" w:evenHBand="0" w:firstRowFirstColumn="0" w:firstRowLastColumn="0" w:lastRowFirstColumn="0" w:lastRowLastColumn="0"/>
            <w:tcW w:w="2484" w:type="dxa"/>
          </w:tcPr>
          <w:p w14:paraId="7D0D22C4" w14:textId="77777777" w:rsidR="00C220BF" w:rsidRPr="008F1CAB" w:rsidRDefault="00C220BF">
            <w:r w:rsidRPr="00DB3492">
              <w:t>NQF Endorsed:</w:t>
            </w:r>
          </w:p>
        </w:tc>
        <w:tc>
          <w:tcPr>
            <w:tcW w:w="6860" w:type="dxa"/>
          </w:tcPr>
          <w:p w14:paraId="7BFBC5B1" w14:textId="7FC95171" w:rsidR="00C220BF" w:rsidRPr="008F1CAB" w:rsidRDefault="008455A9">
            <w:pPr>
              <w:cnfStyle w:val="000000000000" w:firstRow="0" w:lastRow="0" w:firstColumn="0" w:lastColumn="0" w:oddVBand="0" w:evenVBand="0" w:oddHBand="0" w:evenHBand="0" w:firstRowFirstColumn="0" w:firstRowLastColumn="0" w:lastRowFirstColumn="0" w:lastRowLastColumn="0"/>
            </w:pPr>
            <w:r>
              <w:t>No</w:t>
            </w:r>
          </w:p>
        </w:tc>
      </w:tr>
      <w:tr w:rsidR="00C220BF" w:rsidRPr="008F1CAB" w14:paraId="720C3736" w14:textId="77777777">
        <w:tc>
          <w:tcPr>
            <w:cnfStyle w:val="001000000000" w:firstRow="0" w:lastRow="0" w:firstColumn="1" w:lastColumn="0" w:oddVBand="0" w:evenVBand="0" w:oddHBand="0" w:evenHBand="0" w:firstRowFirstColumn="0" w:firstRowLastColumn="0" w:lastRowFirstColumn="0" w:lastRowLastColumn="0"/>
            <w:tcW w:w="2484" w:type="dxa"/>
          </w:tcPr>
          <w:p w14:paraId="08119D8C" w14:textId="77777777" w:rsidR="00C220BF" w:rsidRPr="008F1CAB" w:rsidRDefault="00C220BF">
            <w:r w:rsidRPr="008F1CAB">
              <w:t>Description</w:t>
            </w:r>
          </w:p>
        </w:tc>
        <w:tc>
          <w:tcPr>
            <w:tcW w:w="6860" w:type="dxa"/>
          </w:tcPr>
          <w:p w14:paraId="26D5C5A6"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 xml:space="preserve">The percentage of ACO enrollees in care management programs. </w:t>
            </w:r>
          </w:p>
        </w:tc>
      </w:tr>
      <w:tr w:rsidR="00C220BF" w:rsidRPr="008F1CAB" w14:paraId="69534562" w14:textId="77777777">
        <w:tc>
          <w:tcPr>
            <w:cnfStyle w:val="001000000000" w:firstRow="0" w:lastRow="0" w:firstColumn="1" w:lastColumn="0" w:oddVBand="0" w:evenVBand="0" w:oddHBand="0" w:evenHBand="0" w:firstRowFirstColumn="0" w:firstRowLastColumn="0" w:lastRowFirstColumn="0" w:lastRowLastColumn="0"/>
            <w:tcW w:w="2484" w:type="dxa"/>
          </w:tcPr>
          <w:p w14:paraId="59AEFE83" w14:textId="77777777" w:rsidR="00C220BF" w:rsidRPr="008F1CAB" w:rsidRDefault="00C220BF">
            <w:r w:rsidRPr="008F1CAB">
              <w:t>Numerator</w:t>
            </w:r>
          </w:p>
        </w:tc>
        <w:tc>
          <w:tcPr>
            <w:tcW w:w="6860" w:type="dxa"/>
          </w:tcPr>
          <w:p w14:paraId="2966D703"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The number of ACO enrollees who are receiving ACO care management program services.</w:t>
            </w:r>
          </w:p>
        </w:tc>
      </w:tr>
      <w:tr w:rsidR="00C220BF" w:rsidRPr="008F1CAB" w14:paraId="6EBDC5C5" w14:textId="77777777">
        <w:tc>
          <w:tcPr>
            <w:cnfStyle w:val="001000000000" w:firstRow="0" w:lastRow="0" w:firstColumn="1" w:lastColumn="0" w:oddVBand="0" w:evenVBand="0" w:oddHBand="0" w:evenHBand="0" w:firstRowFirstColumn="0" w:firstRowLastColumn="0" w:lastRowFirstColumn="0" w:lastRowLastColumn="0"/>
            <w:tcW w:w="2484" w:type="dxa"/>
          </w:tcPr>
          <w:p w14:paraId="3A99C2C1" w14:textId="77777777" w:rsidR="00C220BF" w:rsidRPr="008F1CAB" w:rsidRDefault="00C220BF">
            <w:r w:rsidRPr="008F1CAB">
              <w:t>Denominator</w:t>
            </w:r>
          </w:p>
        </w:tc>
        <w:tc>
          <w:tcPr>
            <w:tcW w:w="6860" w:type="dxa"/>
          </w:tcPr>
          <w:p w14:paraId="37D12D25"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The number of ACO enrollees.</w:t>
            </w:r>
          </w:p>
        </w:tc>
      </w:tr>
      <w:tr w:rsidR="00C220BF" w:rsidRPr="008F1CAB" w14:paraId="3BB74707" w14:textId="77777777">
        <w:tc>
          <w:tcPr>
            <w:cnfStyle w:val="001000000000" w:firstRow="0" w:lastRow="0" w:firstColumn="1" w:lastColumn="0" w:oddVBand="0" w:evenVBand="0" w:oddHBand="0" w:evenHBand="0" w:firstRowFirstColumn="0" w:firstRowLastColumn="0" w:lastRowFirstColumn="0" w:lastRowLastColumn="0"/>
            <w:tcW w:w="2484" w:type="dxa"/>
          </w:tcPr>
          <w:p w14:paraId="015914E6" w14:textId="77777777" w:rsidR="00C220BF" w:rsidRPr="008F1CAB" w:rsidRDefault="00C220BF">
            <w:r w:rsidRPr="008F1CAB">
              <w:t>Data Sources</w:t>
            </w:r>
          </w:p>
        </w:tc>
        <w:tc>
          <w:tcPr>
            <w:tcW w:w="6860" w:type="dxa"/>
          </w:tcPr>
          <w:p w14:paraId="5183789F"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Claims and encounters</w:t>
            </w:r>
          </w:p>
        </w:tc>
      </w:tr>
      <w:tr w:rsidR="00C220BF" w:rsidRPr="008F1CAB" w14:paraId="6BCF24BB" w14:textId="77777777">
        <w:tc>
          <w:tcPr>
            <w:cnfStyle w:val="001000000000" w:firstRow="0" w:lastRow="0" w:firstColumn="1" w:lastColumn="0" w:oddVBand="0" w:evenVBand="0" w:oddHBand="0" w:evenHBand="0" w:firstRowFirstColumn="0" w:firstRowLastColumn="0" w:lastRowFirstColumn="0" w:lastRowLastColumn="0"/>
            <w:tcW w:w="2484" w:type="dxa"/>
          </w:tcPr>
          <w:p w14:paraId="012C9FA1" w14:textId="77777777" w:rsidR="00C220BF" w:rsidRPr="008F1CAB" w:rsidRDefault="00C220BF">
            <w:r w:rsidRPr="008F1CAB">
              <w:t>National Benchmark</w:t>
            </w:r>
          </w:p>
        </w:tc>
        <w:tc>
          <w:tcPr>
            <w:tcW w:w="6860" w:type="dxa"/>
          </w:tcPr>
          <w:p w14:paraId="27F48CED"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None</w:t>
            </w:r>
          </w:p>
        </w:tc>
      </w:tr>
    </w:tbl>
    <w:p w14:paraId="3575E10F" w14:textId="77777777" w:rsidR="00710F77" w:rsidRDefault="00710F77" w:rsidP="0071707D">
      <w:pPr>
        <w:pStyle w:val="NoSpacing"/>
      </w:pPr>
    </w:p>
    <w:tbl>
      <w:tblPr>
        <w:tblStyle w:val="FHCclean10pt"/>
        <w:tblW w:w="0" w:type="auto"/>
        <w:tblLook w:val="04A0" w:firstRow="1" w:lastRow="0" w:firstColumn="1" w:lastColumn="0" w:noHBand="0" w:noVBand="1"/>
      </w:tblPr>
      <w:tblGrid>
        <w:gridCol w:w="2484"/>
        <w:gridCol w:w="6860"/>
      </w:tblGrid>
      <w:tr w:rsidR="0061365F" w:rsidRPr="008F1CAB" w14:paraId="44807638" w14:textId="77777777" w:rsidTr="006136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7B4F8760" w14:textId="60005232" w:rsidR="0061365F" w:rsidRPr="00DB3492" w:rsidRDefault="0061365F">
            <w:r>
              <w:lastRenderedPageBreak/>
              <w:t>Measure</w:t>
            </w:r>
          </w:p>
        </w:tc>
        <w:tc>
          <w:tcPr>
            <w:tcW w:w="6860" w:type="dxa"/>
          </w:tcPr>
          <w:p w14:paraId="35096550" w14:textId="506EC1B5" w:rsidR="0061365F" w:rsidRPr="008F1CAB" w:rsidRDefault="0061365F">
            <w:pPr>
              <w:cnfStyle w:val="100000000000" w:firstRow="1" w:lastRow="0" w:firstColumn="0" w:lastColumn="0" w:oddVBand="0" w:evenVBand="0" w:oddHBand="0" w:evenHBand="0" w:firstRowFirstColumn="0" w:firstRowLastColumn="0" w:lastRowFirstColumn="0" w:lastRowLastColumn="0"/>
            </w:pPr>
            <w:r w:rsidRPr="0061365F">
              <w:t>Prevalence of ACO Primary Care Practices by Clinical Tier</w:t>
            </w:r>
          </w:p>
        </w:tc>
      </w:tr>
      <w:tr w:rsidR="00C220BF" w:rsidRPr="008F1CAB" w14:paraId="2BB179F2" w14:textId="77777777" w:rsidTr="0061365F">
        <w:tc>
          <w:tcPr>
            <w:cnfStyle w:val="001000000000" w:firstRow="0" w:lastRow="0" w:firstColumn="1" w:lastColumn="0" w:oddVBand="0" w:evenVBand="0" w:oddHBand="0" w:evenHBand="0" w:firstRowFirstColumn="0" w:firstRowLastColumn="0" w:lastRowFirstColumn="0" w:lastRowLastColumn="0"/>
            <w:tcW w:w="2484" w:type="dxa"/>
          </w:tcPr>
          <w:p w14:paraId="46AFCC52" w14:textId="77777777" w:rsidR="00C220BF" w:rsidRPr="008F1CAB" w:rsidRDefault="00C220BF">
            <w:r w:rsidRPr="00DB3492">
              <w:t>Steward:</w:t>
            </w:r>
          </w:p>
        </w:tc>
        <w:tc>
          <w:tcPr>
            <w:tcW w:w="6860" w:type="dxa"/>
          </w:tcPr>
          <w:p w14:paraId="613E3CDB" w14:textId="629EF893" w:rsidR="00C220BF" w:rsidRPr="008F1CAB" w:rsidRDefault="008455A9">
            <w:pPr>
              <w:cnfStyle w:val="000000000000" w:firstRow="0" w:lastRow="0" w:firstColumn="0" w:lastColumn="0" w:oddVBand="0" w:evenVBand="0" w:oddHBand="0" w:evenHBand="0" w:firstRowFirstColumn="0" w:firstRowLastColumn="0" w:lastRowFirstColumn="0" w:lastRowLastColumn="0"/>
            </w:pPr>
            <w:r>
              <w:t>None</w:t>
            </w:r>
          </w:p>
        </w:tc>
      </w:tr>
      <w:tr w:rsidR="00C220BF" w:rsidRPr="008F1CAB" w14:paraId="7720E77C" w14:textId="77777777" w:rsidTr="0061365F">
        <w:tc>
          <w:tcPr>
            <w:cnfStyle w:val="001000000000" w:firstRow="0" w:lastRow="0" w:firstColumn="1" w:lastColumn="0" w:oddVBand="0" w:evenVBand="0" w:oddHBand="0" w:evenHBand="0" w:firstRowFirstColumn="0" w:firstRowLastColumn="0" w:lastRowFirstColumn="0" w:lastRowLastColumn="0"/>
            <w:tcW w:w="2484" w:type="dxa"/>
          </w:tcPr>
          <w:p w14:paraId="52A01154" w14:textId="77777777" w:rsidR="00C220BF" w:rsidRPr="008F1CAB" w:rsidRDefault="00C220BF">
            <w:r w:rsidRPr="00DB3492">
              <w:t>NQF Endorsed:</w:t>
            </w:r>
          </w:p>
        </w:tc>
        <w:tc>
          <w:tcPr>
            <w:tcW w:w="6860" w:type="dxa"/>
          </w:tcPr>
          <w:p w14:paraId="61C5AA3E" w14:textId="6E439CF2" w:rsidR="00C220BF" w:rsidRPr="008F1CAB" w:rsidRDefault="008455A9">
            <w:pPr>
              <w:cnfStyle w:val="000000000000" w:firstRow="0" w:lastRow="0" w:firstColumn="0" w:lastColumn="0" w:oddVBand="0" w:evenVBand="0" w:oddHBand="0" w:evenHBand="0" w:firstRowFirstColumn="0" w:firstRowLastColumn="0" w:lastRowFirstColumn="0" w:lastRowLastColumn="0"/>
            </w:pPr>
            <w:r>
              <w:t>No</w:t>
            </w:r>
          </w:p>
        </w:tc>
      </w:tr>
      <w:tr w:rsidR="00C220BF" w:rsidRPr="008F1CAB" w14:paraId="49ECF654" w14:textId="77777777" w:rsidTr="0061365F">
        <w:tc>
          <w:tcPr>
            <w:cnfStyle w:val="001000000000" w:firstRow="0" w:lastRow="0" w:firstColumn="1" w:lastColumn="0" w:oddVBand="0" w:evenVBand="0" w:oddHBand="0" w:evenHBand="0" w:firstRowFirstColumn="0" w:firstRowLastColumn="0" w:lastRowFirstColumn="0" w:lastRowLastColumn="0"/>
            <w:tcW w:w="2484" w:type="dxa"/>
          </w:tcPr>
          <w:p w14:paraId="445D6D84" w14:textId="77777777" w:rsidR="00C220BF" w:rsidRPr="008F1CAB" w:rsidRDefault="00C220BF">
            <w:r w:rsidRPr="008F1CAB">
              <w:t>Description</w:t>
            </w:r>
          </w:p>
        </w:tc>
        <w:tc>
          <w:tcPr>
            <w:tcW w:w="6860" w:type="dxa"/>
          </w:tcPr>
          <w:p w14:paraId="4F3F4954" w14:textId="686AEFFD"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 xml:space="preserve">The percentage of ACO primary care practice sites in clinical </w:t>
            </w:r>
            <w:r w:rsidR="006B66D5">
              <w:t>Tier</w:t>
            </w:r>
            <w:r w:rsidRPr="008F1CAB">
              <w:t>s 1, 2, and 3 of the primary care sub-capitation program.</w:t>
            </w:r>
          </w:p>
        </w:tc>
      </w:tr>
      <w:tr w:rsidR="00C220BF" w:rsidRPr="008F1CAB" w14:paraId="105E3104" w14:textId="77777777" w:rsidTr="0061365F">
        <w:tc>
          <w:tcPr>
            <w:cnfStyle w:val="001000000000" w:firstRow="0" w:lastRow="0" w:firstColumn="1" w:lastColumn="0" w:oddVBand="0" w:evenVBand="0" w:oddHBand="0" w:evenHBand="0" w:firstRowFirstColumn="0" w:firstRowLastColumn="0" w:lastRowFirstColumn="0" w:lastRowLastColumn="0"/>
            <w:tcW w:w="2484" w:type="dxa"/>
          </w:tcPr>
          <w:p w14:paraId="22B2D40D" w14:textId="77777777" w:rsidR="00C220BF" w:rsidRPr="008F1CAB" w:rsidRDefault="00C220BF">
            <w:r w:rsidRPr="008F1CAB">
              <w:t>Numerator</w:t>
            </w:r>
          </w:p>
        </w:tc>
        <w:tc>
          <w:tcPr>
            <w:tcW w:w="6860" w:type="dxa"/>
          </w:tcPr>
          <w:p w14:paraId="417DC0E7" w14:textId="6985B5C4"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 xml:space="preserve">The number of ACO primary care practice sites in clinical </w:t>
            </w:r>
            <w:r w:rsidR="006B66D5">
              <w:t>Tier</w:t>
            </w:r>
            <w:r w:rsidRPr="008F1CAB">
              <w:t>s 1, 2, and 3 of the primary care sub-capitation program.</w:t>
            </w:r>
          </w:p>
        </w:tc>
      </w:tr>
      <w:tr w:rsidR="00C220BF" w:rsidRPr="008F1CAB" w14:paraId="27A5B024" w14:textId="77777777" w:rsidTr="0061365F">
        <w:tc>
          <w:tcPr>
            <w:cnfStyle w:val="001000000000" w:firstRow="0" w:lastRow="0" w:firstColumn="1" w:lastColumn="0" w:oddVBand="0" w:evenVBand="0" w:oddHBand="0" w:evenHBand="0" w:firstRowFirstColumn="0" w:firstRowLastColumn="0" w:lastRowFirstColumn="0" w:lastRowLastColumn="0"/>
            <w:tcW w:w="2484" w:type="dxa"/>
          </w:tcPr>
          <w:p w14:paraId="088B2ACB" w14:textId="77777777" w:rsidR="00C220BF" w:rsidRPr="008F1CAB" w:rsidRDefault="00C220BF">
            <w:r w:rsidRPr="008F1CAB">
              <w:t>Denominator</w:t>
            </w:r>
          </w:p>
        </w:tc>
        <w:tc>
          <w:tcPr>
            <w:tcW w:w="6860" w:type="dxa"/>
          </w:tcPr>
          <w:p w14:paraId="5DF55408"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The number of primary care practice sites in the sub-capitation program.</w:t>
            </w:r>
          </w:p>
        </w:tc>
      </w:tr>
      <w:tr w:rsidR="00C220BF" w:rsidRPr="008F1CAB" w14:paraId="1CD28C4B" w14:textId="77777777" w:rsidTr="0061365F">
        <w:tc>
          <w:tcPr>
            <w:cnfStyle w:val="001000000000" w:firstRow="0" w:lastRow="0" w:firstColumn="1" w:lastColumn="0" w:oddVBand="0" w:evenVBand="0" w:oddHBand="0" w:evenHBand="0" w:firstRowFirstColumn="0" w:firstRowLastColumn="0" w:lastRowFirstColumn="0" w:lastRowLastColumn="0"/>
            <w:tcW w:w="2484" w:type="dxa"/>
          </w:tcPr>
          <w:p w14:paraId="1A632AE0" w14:textId="77777777" w:rsidR="00C220BF" w:rsidRPr="008F1CAB" w:rsidRDefault="00C220BF">
            <w:r w:rsidRPr="008F1CAB">
              <w:t>Data Sources</w:t>
            </w:r>
          </w:p>
        </w:tc>
        <w:tc>
          <w:tcPr>
            <w:tcW w:w="6860" w:type="dxa"/>
          </w:tcPr>
          <w:p w14:paraId="69708606"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ACO program data</w:t>
            </w:r>
          </w:p>
        </w:tc>
      </w:tr>
      <w:tr w:rsidR="00C220BF" w:rsidRPr="008F1CAB" w14:paraId="6ACADB9D" w14:textId="77777777" w:rsidTr="0061365F">
        <w:tc>
          <w:tcPr>
            <w:cnfStyle w:val="001000000000" w:firstRow="0" w:lastRow="0" w:firstColumn="1" w:lastColumn="0" w:oddVBand="0" w:evenVBand="0" w:oddHBand="0" w:evenHBand="0" w:firstRowFirstColumn="0" w:firstRowLastColumn="0" w:lastRowFirstColumn="0" w:lastRowLastColumn="0"/>
            <w:tcW w:w="2484" w:type="dxa"/>
          </w:tcPr>
          <w:p w14:paraId="545CD33D" w14:textId="77777777" w:rsidR="00C220BF" w:rsidRPr="008F1CAB" w:rsidRDefault="00C220BF">
            <w:r w:rsidRPr="008F1CAB">
              <w:t>National Benchmark</w:t>
            </w:r>
          </w:p>
        </w:tc>
        <w:tc>
          <w:tcPr>
            <w:tcW w:w="6860" w:type="dxa"/>
          </w:tcPr>
          <w:p w14:paraId="0820BBA2"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None</w:t>
            </w:r>
          </w:p>
        </w:tc>
      </w:tr>
    </w:tbl>
    <w:p w14:paraId="487A8141" w14:textId="77777777" w:rsidR="00BC0A3B" w:rsidRDefault="00BC0A3B" w:rsidP="0061365F">
      <w:pPr>
        <w:pStyle w:val="NoSpacing"/>
      </w:pPr>
    </w:p>
    <w:tbl>
      <w:tblPr>
        <w:tblStyle w:val="FHCclean10pt"/>
        <w:tblW w:w="0" w:type="auto"/>
        <w:tblLook w:val="04A0" w:firstRow="1" w:lastRow="0" w:firstColumn="1" w:lastColumn="0" w:noHBand="0" w:noVBand="1"/>
      </w:tblPr>
      <w:tblGrid>
        <w:gridCol w:w="2484"/>
        <w:gridCol w:w="6860"/>
      </w:tblGrid>
      <w:tr w:rsidR="00C220BF" w:rsidRPr="008F1CAB" w14:paraId="571EF501" w14:textId="77777777" w:rsidTr="005139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DBE0C1E" w14:textId="77777777" w:rsidR="00F86151" w:rsidRPr="008F1CAB" w:rsidRDefault="00F86151">
            <w:r w:rsidRPr="008F1CAB">
              <w:t xml:space="preserve">Measure: </w:t>
            </w:r>
          </w:p>
        </w:tc>
        <w:tc>
          <w:tcPr>
            <w:tcW w:w="6860" w:type="dxa"/>
          </w:tcPr>
          <w:p w14:paraId="62BF11E9" w14:textId="76C615A4" w:rsidR="00C220BF" w:rsidRPr="008F1CAB" w:rsidRDefault="005B47F7">
            <w:pPr>
              <w:cnfStyle w:val="100000000000" w:firstRow="1" w:lastRow="0" w:firstColumn="0" w:lastColumn="0" w:oddVBand="0" w:evenVBand="0" w:oddHBand="0" w:evenHBand="0" w:firstRowFirstColumn="0" w:firstRowLastColumn="0" w:lastRowFirstColumn="0" w:lastRowLastColumn="0"/>
            </w:pPr>
            <w:r w:rsidRPr="0061365F">
              <w:t>Continuity of Primary Care</w:t>
            </w:r>
          </w:p>
        </w:tc>
      </w:tr>
      <w:tr w:rsidR="00C220BF" w:rsidRPr="008F1CAB" w14:paraId="2AA78C8E" w14:textId="77777777">
        <w:tc>
          <w:tcPr>
            <w:cnfStyle w:val="001000000000" w:firstRow="0" w:lastRow="0" w:firstColumn="1" w:lastColumn="0" w:oddVBand="0" w:evenVBand="0" w:oddHBand="0" w:evenHBand="0" w:firstRowFirstColumn="0" w:firstRowLastColumn="0" w:lastRowFirstColumn="0" w:lastRowLastColumn="0"/>
            <w:tcW w:w="2484" w:type="dxa"/>
          </w:tcPr>
          <w:p w14:paraId="59AA0DA4" w14:textId="77777777" w:rsidR="00C220BF" w:rsidRPr="008F1CAB" w:rsidRDefault="00C220BF">
            <w:r w:rsidRPr="00DB3492">
              <w:t>Steward:</w:t>
            </w:r>
          </w:p>
        </w:tc>
        <w:tc>
          <w:tcPr>
            <w:tcW w:w="6860" w:type="dxa"/>
          </w:tcPr>
          <w:p w14:paraId="6BDA2418" w14:textId="4803442C" w:rsidR="00C220BF" w:rsidRPr="008F1CAB" w:rsidRDefault="008455A9">
            <w:pPr>
              <w:cnfStyle w:val="000000000000" w:firstRow="0" w:lastRow="0" w:firstColumn="0" w:lastColumn="0" w:oddVBand="0" w:evenVBand="0" w:oddHBand="0" w:evenHBand="0" w:firstRowFirstColumn="0" w:firstRowLastColumn="0" w:lastRowFirstColumn="0" w:lastRowLastColumn="0"/>
            </w:pPr>
            <w:r>
              <w:t>None</w:t>
            </w:r>
          </w:p>
        </w:tc>
      </w:tr>
      <w:tr w:rsidR="00C220BF" w:rsidRPr="008F1CAB" w14:paraId="1E8F0EA8" w14:textId="77777777">
        <w:tc>
          <w:tcPr>
            <w:cnfStyle w:val="001000000000" w:firstRow="0" w:lastRow="0" w:firstColumn="1" w:lastColumn="0" w:oddVBand="0" w:evenVBand="0" w:oddHBand="0" w:evenHBand="0" w:firstRowFirstColumn="0" w:firstRowLastColumn="0" w:lastRowFirstColumn="0" w:lastRowLastColumn="0"/>
            <w:tcW w:w="2484" w:type="dxa"/>
          </w:tcPr>
          <w:p w14:paraId="78C7E359" w14:textId="77777777" w:rsidR="00C220BF" w:rsidRPr="008F1CAB" w:rsidRDefault="00C220BF">
            <w:r w:rsidRPr="00DB3492">
              <w:t>NQF Endorsed:</w:t>
            </w:r>
          </w:p>
        </w:tc>
        <w:tc>
          <w:tcPr>
            <w:tcW w:w="6860" w:type="dxa"/>
          </w:tcPr>
          <w:p w14:paraId="2769BD47" w14:textId="2978D1E2" w:rsidR="00C220BF" w:rsidRPr="008F1CAB" w:rsidRDefault="008455A9">
            <w:pPr>
              <w:cnfStyle w:val="000000000000" w:firstRow="0" w:lastRow="0" w:firstColumn="0" w:lastColumn="0" w:oddVBand="0" w:evenVBand="0" w:oddHBand="0" w:evenHBand="0" w:firstRowFirstColumn="0" w:firstRowLastColumn="0" w:lastRowFirstColumn="0" w:lastRowLastColumn="0"/>
            </w:pPr>
            <w:r>
              <w:t>No</w:t>
            </w:r>
          </w:p>
        </w:tc>
      </w:tr>
      <w:tr w:rsidR="00C220BF" w:rsidRPr="008F1CAB" w14:paraId="15494BF5" w14:textId="77777777">
        <w:tc>
          <w:tcPr>
            <w:cnfStyle w:val="001000000000" w:firstRow="0" w:lastRow="0" w:firstColumn="1" w:lastColumn="0" w:oddVBand="0" w:evenVBand="0" w:oddHBand="0" w:evenHBand="0" w:firstRowFirstColumn="0" w:firstRowLastColumn="0" w:lastRowFirstColumn="0" w:lastRowLastColumn="0"/>
            <w:tcW w:w="2484" w:type="dxa"/>
          </w:tcPr>
          <w:p w14:paraId="71320FE8" w14:textId="77777777" w:rsidR="00C220BF" w:rsidRPr="008F1CAB" w:rsidRDefault="00C220BF">
            <w:r w:rsidRPr="008F1CAB">
              <w:t>Description</w:t>
            </w:r>
          </w:p>
        </w:tc>
        <w:tc>
          <w:tcPr>
            <w:tcW w:w="6860" w:type="dxa"/>
          </w:tcPr>
          <w:p w14:paraId="28991F0F"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A ratio of the number of visits with a member’s attributed primary care practice site to the total number of visits with primary care providers.</w:t>
            </w:r>
          </w:p>
        </w:tc>
      </w:tr>
      <w:tr w:rsidR="00C220BF" w:rsidRPr="008F1CAB" w14:paraId="4AB78CD8" w14:textId="77777777">
        <w:tc>
          <w:tcPr>
            <w:cnfStyle w:val="001000000000" w:firstRow="0" w:lastRow="0" w:firstColumn="1" w:lastColumn="0" w:oddVBand="0" w:evenVBand="0" w:oddHBand="0" w:evenHBand="0" w:firstRowFirstColumn="0" w:firstRowLastColumn="0" w:lastRowFirstColumn="0" w:lastRowLastColumn="0"/>
            <w:tcW w:w="2484" w:type="dxa"/>
          </w:tcPr>
          <w:p w14:paraId="37F3B0C0" w14:textId="77777777" w:rsidR="00C220BF" w:rsidRPr="008F1CAB" w:rsidRDefault="00C220BF">
            <w:r w:rsidRPr="008F1CAB">
              <w:t>Numerator</w:t>
            </w:r>
          </w:p>
        </w:tc>
        <w:tc>
          <w:tcPr>
            <w:tcW w:w="6860" w:type="dxa"/>
          </w:tcPr>
          <w:p w14:paraId="1AD078D0"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Number of visits with a member’s attributed primary care practice site.</w:t>
            </w:r>
          </w:p>
        </w:tc>
      </w:tr>
      <w:tr w:rsidR="00C220BF" w:rsidRPr="008F1CAB" w14:paraId="75BF89CC" w14:textId="77777777">
        <w:tc>
          <w:tcPr>
            <w:cnfStyle w:val="001000000000" w:firstRow="0" w:lastRow="0" w:firstColumn="1" w:lastColumn="0" w:oddVBand="0" w:evenVBand="0" w:oddHBand="0" w:evenHBand="0" w:firstRowFirstColumn="0" w:firstRowLastColumn="0" w:lastRowFirstColumn="0" w:lastRowLastColumn="0"/>
            <w:tcW w:w="2484" w:type="dxa"/>
          </w:tcPr>
          <w:p w14:paraId="7EA306AB" w14:textId="77777777" w:rsidR="00C220BF" w:rsidRPr="008F1CAB" w:rsidRDefault="00C220BF">
            <w:r w:rsidRPr="008F1CAB">
              <w:t>Denominator</w:t>
            </w:r>
          </w:p>
        </w:tc>
        <w:tc>
          <w:tcPr>
            <w:tcW w:w="6860" w:type="dxa"/>
          </w:tcPr>
          <w:p w14:paraId="4F43C3E8"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The eligible population.</w:t>
            </w:r>
          </w:p>
        </w:tc>
      </w:tr>
      <w:tr w:rsidR="00C220BF" w:rsidRPr="008F1CAB" w14:paraId="4143F4E9" w14:textId="77777777">
        <w:tc>
          <w:tcPr>
            <w:cnfStyle w:val="001000000000" w:firstRow="0" w:lastRow="0" w:firstColumn="1" w:lastColumn="0" w:oddVBand="0" w:evenVBand="0" w:oddHBand="0" w:evenHBand="0" w:firstRowFirstColumn="0" w:firstRowLastColumn="0" w:lastRowFirstColumn="0" w:lastRowLastColumn="0"/>
            <w:tcW w:w="2484" w:type="dxa"/>
          </w:tcPr>
          <w:p w14:paraId="5016543D" w14:textId="77777777" w:rsidR="00C220BF" w:rsidRPr="008F1CAB" w:rsidRDefault="00C220BF">
            <w:r w:rsidRPr="008F1CAB">
              <w:t>Data Sources</w:t>
            </w:r>
          </w:p>
        </w:tc>
        <w:tc>
          <w:tcPr>
            <w:tcW w:w="6860" w:type="dxa"/>
          </w:tcPr>
          <w:p w14:paraId="03AA8F31"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Claims and encounters</w:t>
            </w:r>
          </w:p>
        </w:tc>
      </w:tr>
      <w:tr w:rsidR="00C220BF" w:rsidRPr="008F1CAB" w14:paraId="076A81A5" w14:textId="77777777">
        <w:tc>
          <w:tcPr>
            <w:cnfStyle w:val="001000000000" w:firstRow="0" w:lastRow="0" w:firstColumn="1" w:lastColumn="0" w:oddVBand="0" w:evenVBand="0" w:oddHBand="0" w:evenHBand="0" w:firstRowFirstColumn="0" w:firstRowLastColumn="0" w:lastRowFirstColumn="0" w:lastRowLastColumn="0"/>
            <w:tcW w:w="2484" w:type="dxa"/>
          </w:tcPr>
          <w:p w14:paraId="67176BA1" w14:textId="77777777" w:rsidR="00C220BF" w:rsidRPr="008F1CAB" w:rsidRDefault="00C220BF">
            <w:r w:rsidRPr="008F1CAB">
              <w:t>National Benchmark</w:t>
            </w:r>
          </w:p>
        </w:tc>
        <w:tc>
          <w:tcPr>
            <w:tcW w:w="6860" w:type="dxa"/>
          </w:tcPr>
          <w:p w14:paraId="0888E94A"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None</w:t>
            </w:r>
          </w:p>
        </w:tc>
      </w:tr>
    </w:tbl>
    <w:p w14:paraId="1BFC4E8A" w14:textId="77777777" w:rsidR="00C220BF" w:rsidRDefault="00C220BF" w:rsidP="0061365F">
      <w:pPr>
        <w:pStyle w:val="NoSpacing"/>
      </w:pPr>
    </w:p>
    <w:tbl>
      <w:tblPr>
        <w:tblStyle w:val="FHCclean10pt"/>
        <w:tblW w:w="0" w:type="auto"/>
        <w:tblLook w:val="04A0" w:firstRow="1" w:lastRow="0" w:firstColumn="1" w:lastColumn="0" w:noHBand="0" w:noVBand="1"/>
      </w:tblPr>
      <w:tblGrid>
        <w:gridCol w:w="2484"/>
        <w:gridCol w:w="6860"/>
      </w:tblGrid>
      <w:tr w:rsidR="00C220BF" w:rsidRPr="008F1CAB" w14:paraId="0BD482D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395DD56E" w14:textId="77777777" w:rsidR="00C220BF" w:rsidRPr="008F1CAB" w:rsidRDefault="00C220BF">
            <w:r w:rsidRPr="00DB3492">
              <w:t>Measure:</w:t>
            </w:r>
          </w:p>
        </w:tc>
        <w:tc>
          <w:tcPr>
            <w:tcW w:w="6860" w:type="dxa"/>
          </w:tcPr>
          <w:p w14:paraId="5FD1B9DF" w14:textId="113F1359" w:rsidR="00C220BF" w:rsidRPr="008F1CAB" w:rsidRDefault="00C220BF">
            <w:pPr>
              <w:cnfStyle w:val="100000000000" w:firstRow="1" w:lastRow="0" w:firstColumn="0" w:lastColumn="0" w:oddVBand="0" w:evenVBand="0" w:oddHBand="0" w:evenHBand="0" w:firstRowFirstColumn="0" w:firstRowLastColumn="0" w:lastRowFirstColumn="0" w:lastRowLastColumn="0"/>
            </w:pPr>
            <w:r w:rsidRPr="00DB6BD8">
              <w:t>Health Related Social Needs Screening</w:t>
            </w:r>
            <w:r>
              <w:br/>
            </w:r>
            <w:r w:rsidRPr="00DB6BD8">
              <w:t>*</w:t>
            </w:r>
            <w:r w:rsidR="005B47F7">
              <w:t xml:space="preserve"> </w:t>
            </w:r>
            <w:r w:rsidRPr="00DB6BD8">
              <w:t xml:space="preserve">MassHealth ACO </w:t>
            </w:r>
            <w:r w:rsidR="0071707D">
              <w:t>M</w:t>
            </w:r>
            <w:r w:rsidRPr="00DB6BD8">
              <w:t xml:space="preserve">onitoring </w:t>
            </w:r>
            <w:r w:rsidR="0071707D">
              <w:t>M</w:t>
            </w:r>
            <w:r w:rsidRPr="00DB6BD8">
              <w:t>easure</w:t>
            </w:r>
          </w:p>
        </w:tc>
      </w:tr>
      <w:tr w:rsidR="00C220BF" w:rsidRPr="008F1CAB" w14:paraId="42F98544" w14:textId="77777777">
        <w:tc>
          <w:tcPr>
            <w:cnfStyle w:val="001000000000" w:firstRow="0" w:lastRow="0" w:firstColumn="1" w:lastColumn="0" w:oddVBand="0" w:evenVBand="0" w:oddHBand="0" w:evenHBand="0" w:firstRowFirstColumn="0" w:firstRowLastColumn="0" w:lastRowFirstColumn="0" w:lastRowLastColumn="0"/>
            <w:tcW w:w="2484" w:type="dxa"/>
          </w:tcPr>
          <w:p w14:paraId="72AC6258" w14:textId="77777777" w:rsidR="00C220BF" w:rsidRPr="008F1CAB" w:rsidRDefault="00C220BF">
            <w:r w:rsidRPr="00DB3492">
              <w:t>Steward:</w:t>
            </w:r>
          </w:p>
        </w:tc>
        <w:tc>
          <w:tcPr>
            <w:tcW w:w="6860" w:type="dxa"/>
          </w:tcPr>
          <w:p w14:paraId="5A45CDEB"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MassHealth</w:t>
            </w:r>
          </w:p>
        </w:tc>
      </w:tr>
      <w:tr w:rsidR="00C220BF" w:rsidRPr="008F1CAB" w14:paraId="31DC7159" w14:textId="77777777">
        <w:tc>
          <w:tcPr>
            <w:cnfStyle w:val="001000000000" w:firstRow="0" w:lastRow="0" w:firstColumn="1" w:lastColumn="0" w:oddVBand="0" w:evenVBand="0" w:oddHBand="0" w:evenHBand="0" w:firstRowFirstColumn="0" w:firstRowLastColumn="0" w:lastRowFirstColumn="0" w:lastRowLastColumn="0"/>
            <w:tcW w:w="2484" w:type="dxa"/>
          </w:tcPr>
          <w:p w14:paraId="797A53D2" w14:textId="77777777" w:rsidR="00C220BF" w:rsidRPr="008F1CAB" w:rsidRDefault="00C220BF">
            <w:r w:rsidRPr="00DB3492">
              <w:t>NQF Endorsed:</w:t>
            </w:r>
          </w:p>
        </w:tc>
        <w:tc>
          <w:tcPr>
            <w:tcW w:w="6860" w:type="dxa"/>
          </w:tcPr>
          <w:p w14:paraId="64EEA27D"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No</w:t>
            </w:r>
          </w:p>
        </w:tc>
      </w:tr>
      <w:tr w:rsidR="00C220BF" w:rsidRPr="008F1CAB" w14:paraId="147E2D9B" w14:textId="77777777">
        <w:tc>
          <w:tcPr>
            <w:cnfStyle w:val="001000000000" w:firstRow="0" w:lastRow="0" w:firstColumn="1" w:lastColumn="0" w:oddVBand="0" w:evenVBand="0" w:oddHBand="0" w:evenHBand="0" w:firstRowFirstColumn="0" w:firstRowLastColumn="0" w:lastRowFirstColumn="0" w:lastRowLastColumn="0"/>
            <w:tcW w:w="2484" w:type="dxa"/>
          </w:tcPr>
          <w:p w14:paraId="70F5384C" w14:textId="77777777" w:rsidR="00C220BF" w:rsidRPr="008F1CAB" w:rsidRDefault="00C220BF">
            <w:bookmarkStart w:id="275" w:name="_Hlk129958379"/>
            <w:r w:rsidRPr="008F1CAB">
              <w:t>Description</w:t>
            </w:r>
          </w:p>
        </w:tc>
        <w:tc>
          <w:tcPr>
            <w:tcW w:w="6860" w:type="dxa"/>
          </w:tcPr>
          <w:p w14:paraId="0A7DBB11" w14:textId="51546FAC"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Percentage of members who were screened for health-related social needs in the measurement year</w:t>
            </w:r>
            <w:r w:rsidR="005B47F7">
              <w:t>.</w:t>
            </w:r>
            <w:r w:rsidRPr="008F1CAB">
              <w:t xml:space="preserve"> </w:t>
            </w:r>
          </w:p>
        </w:tc>
      </w:tr>
      <w:tr w:rsidR="00C220BF" w:rsidRPr="008F1CAB" w14:paraId="6A8F3A05" w14:textId="77777777">
        <w:tc>
          <w:tcPr>
            <w:cnfStyle w:val="001000000000" w:firstRow="0" w:lastRow="0" w:firstColumn="1" w:lastColumn="0" w:oddVBand="0" w:evenVBand="0" w:oddHBand="0" w:evenHBand="0" w:firstRowFirstColumn="0" w:firstRowLastColumn="0" w:lastRowFirstColumn="0" w:lastRowLastColumn="0"/>
            <w:tcW w:w="2484" w:type="dxa"/>
          </w:tcPr>
          <w:p w14:paraId="47A85026" w14:textId="77777777" w:rsidR="00C220BF" w:rsidRPr="008F1CAB" w:rsidRDefault="00C220BF">
            <w:r w:rsidRPr="008F1CAB">
              <w:t>Numerator</w:t>
            </w:r>
          </w:p>
        </w:tc>
        <w:tc>
          <w:tcPr>
            <w:tcW w:w="6860" w:type="dxa"/>
          </w:tcPr>
          <w:p w14:paraId="1F17AE87"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Specification pending</w:t>
            </w:r>
          </w:p>
        </w:tc>
      </w:tr>
      <w:tr w:rsidR="00C220BF" w:rsidRPr="008F1CAB" w14:paraId="47ADC464" w14:textId="77777777">
        <w:tc>
          <w:tcPr>
            <w:cnfStyle w:val="001000000000" w:firstRow="0" w:lastRow="0" w:firstColumn="1" w:lastColumn="0" w:oddVBand="0" w:evenVBand="0" w:oddHBand="0" w:evenHBand="0" w:firstRowFirstColumn="0" w:firstRowLastColumn="0" w:lastRowFirstColumn="0" w:lastRowLastColumn="0"/>
            <w:tcW w:w="2484" w:type="dxa"/>
          </w:tcPr>
          <w:p w14:paraId="13B1CEE0" w14:textId="77777777" w:rsidR="00C220BF" w:rsidRPr="008F1CAB" w:rsidRDefault="00C220BF">
            <w:r w:rsidRPr="008F1CAB">
              <w:t>Denominator</w:t>
            </w:r>
          </w:p>
        </w:tc>
        <w:tc>
          <w:tcPr>
            <w:tcW w:w="6860" w:type="dxa"/>
          </w:tcPr>
          <w:p w14:paraId="275A20EC"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Specification pending</w:t>
            </w:r>
          </w:p>
        </w:tc>
      </w:tr>
      <w:tr w:rsidR="00C220BF" w:rsidRPr="008F1CAB" w14:paraId="52D615A3" w14:textId="77777777">
        <w:tc>
          <w:tcPr>
            <w:cnfStyle w:val="001000000000" w:firstRow="0" w:lastRow="0" w:firstColumn="1" w:lastColumn="0" w:oddVBand="0" w:evenVBand="0" w:oddHBand="0" w:evenHBand="0" w:firstRowFirstColumn="0" w:firstRowLastColumn="0" w:lastRowFirstColumn="0" w:lastRowLastColumn="0"/>
            <w:tcW w:w="2484" w:type="dxa"/>
          </w:tcPr>
          <w:p w14:paraId="7054152E" w14:textId="77777777" w:rsidR="00C220BF" w:rsidRPr="008F1CAB" w:rsidRDefault="00C220BF">
            <w:r w:rsidRPr="008F1CAB">
              <w:t>Data Sources</w:t>
            </w:r>
          </w:p>
        </w:tc>
        <w:tc>
          <w:tcPr>
            <w:tcW w:w="6860" w:type="dxa"/>
          </w:tcPr>
          <w:p w14:paraId="64BD7248"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Medicaid claims/encounters data</w:t>
            </w:r>
          </w:p>
        </w:tc>
      </w:tr>
      <w:tr w:rsidR="00C220BF" w:rsidRPr="008F1CAB" w14:paraId="7CDFAE56" w14:textId="77777777">
        <w:tc>
          <w:tcPr>
            <w:cnfStyle w:val="001000000000" w:firstRow="0" w:lastRow="0" w:firstColumn="1" w:lastColumn="0" w:oddVBand="0" w:evenVBand="0" w:oddHBand="0" w:evenHBand="0" w:firstRowFirstColumn="0" w:firstRowLastColumn="0" w:lastRowFirstColumn="0" w:lastRowLastColumn="0"/>
            <w:tcW w:w="2484" w:type="dxa"/>
          </w:tcPr>
          <w:p w14:paraId="7A08F41D" w14:textId="77777777" w:rsidR="00C220BF" w:rsidRPr="008F1CAB" w:rsidRDefault="00C220BF">
            <w:r w:rsidRPr="008F1CAB">
              <w:t>National Benchmark</w:t>
            </w:r>
          </w:p>
        </w:tc>
        <w:tc>
          <w:tcPr>
            <w:tcW w:w="6860" w:type="dxa"/>
          </w:tcPr>
          <w:p w14:paraId="4489FDF0"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None</w:t>
            </w:r>
          </w:p>
        </w:tc>
      </w:tr>
    </w:tbl>
    <w:p w14:paraId="2C300464" w14:textId="77777777" w:rsidR="00C220BF" w:rsidRDefault="00C220BF" w:rsidP="0071707D">
      <w:pPr>
        <w:pStyle w:val="NoSpacing"/>
      </w:pPr>
    </w:p>
    <w:tbl>
      <w:tblPr>
        <w:tblStyle w:val="FHCclean10pt"/>
        <w:tblW w:w="0" w:type="auto"/>
        <w:tblLook w:val="04A0" w:firstRow="1" w:lastRow="0" w:firstColumn="1" w:lastColumn="0" w:noHBand="0" w:noVBand="1"/>
      </w:tblPr>
      <w:tblGrid>
        <w:gridCol w:w="2484"/>
        <w:gridCol w:w="6860"/>
      </w:tblGrid>
      <w:tr w:rsidR="00C220BF" w:rsidRPr="008F1CAB" w14:paraId="55BD95A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bookmarkEnd w:id="275"/>
          <w:p w14:paraId="49254093" w14:textId="77777777" w:rsidR="00C220BF" w:rsidRPr="008F1CAB" w:rsidRDefault="00C220BF">
            <w:r w:rsidRPr="00DB3492">
              <w:t>Measure:</w:t>
            </w:r>
          </w:p>
        </w:tc>
        <w:tc>
          <w:tcPr>
            <w:tcW w:w="6860" w:type="dxa"/>
          </w:tcPr>
          <w:p w14:paraId="352B35D9" w14:textId="3B052A64" w:rsidR="00C220BF" w:rsidRPr="008F1CAB" w:rsidRDefault="00C220BF">
            <w:pPr>
              <w:cnfStyle w:val="100000000000" w:firstRow="1" w:lastRow="0" w:firstColumn="0" w:lastColumn="0" w:oddVBand="0" w:evenVBand="0" w:oddHBand="0" w:evenHBand="0" w:firstRowFirstColumn="0" w:firstRowLastColumn="0" w:lastRowFirstColumn="0" w:lastRowLastColumn="0"/>
            </w:pPr>
            <w:r w:rsidRPr="006D00F2">
              <w:t>Annual Primary Care Visit</w:t>
            </w:r>
            <w:r>
              <w:br/>
              <w:t>* MassHealth</w:t>
            </w:r>
            <w:r w:rsidR="00C52285">
              <w:t xml:space="preserve"> CP Quality Measure</w:t>
            </w:r>
          </w:p>
        </w:tc>
      </w:tr>
      <w:tr w:rsidR="00C220BF" w:rsidRPr="008F1CAB" w14:paraId="1871BECB" w14:textId="77777777">
        <w:tc>
          <w:tcPr>
            <w:cnfStyle w:val="001000000000" w:firstRow="0" w:lastRow="0" w:firstColumn="1" w:lastColumn="0" w:oddVBand="0" w:evenVBand="0" w:oddHBand="0" w:evenHBand="0" w:firstRowFirstColumn="0" w:firstRowLastColumn="0" w:lastRowFirstColumn="0" w:lastRowLastColumn="0"/>
            <w:tcW w:w="2484" w:type="dxa"/>
          </w:tcPr>
          <w:p w14:paraId="65222C7C" w14:textId="77777777" w:rsidR="00C220BF" w:rsidRPr="008F1CAB" w:rsidRDefault="00C220BF">
            <w:r w:rsidRPr="00DB3492">
              <w:t>Steward:</w:t>
            </w:r>
          </w:p>
        </w:tc>
        <w:tc>
          <w:tcPr>
            <w:tcW w:w="6860" w:type="dxa"/>
          </w:tcPr>
          <w:p w14:paraId="6B117992"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MassHealth</w:t>
            </w:r>
          </w:p>
        </w:tc>
      </w:tr>
      <w:tr w:rsidR="00C220BF" w:rsidRPr="008F1CAB" w14:paraId="111F9F21" w14:textId="77777777">
        <w:tc>
          <w:tcPr>
            <w:cnfStyle w:val="001000000000" w:firstRow="0" w:lastRow="0" w:firstColumn="1" w:lastColumn="0" w:oddVBand="0" w:evenVBand="0" w:oddHBand="0" w:evenHBand="0" w:firstRowFirstColumn="0" w:firstRowLastColumn="0" w:lastRowFirstColumn="0" w:lastRowLastColumn="0"/>
            <w:tcW w:w="2484" w:type="dxa"/>
          </w:tcPr>
          <w:p w14:paraId="5EB122D3" w14:textId="77777777" w:rsidR="00C220BF" w:rsidRPr="008F1CAB" w:rsidRDefault="00C220BF">
            <w:r w:rsidRPr="00DB3492">
              <w:t>NQF Endorsed:</w:t>
            </w:r>
          </w:p>
        </w:tc>
        <w:tc>
          <w:tcPr>
            <w:tcW w:w="6860" w:type="dxa"/>
          </w:tcPr>
          <w:p w14:paraId="4C91D184"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No</w:t>
            </w:r>
          </w:p>
        </w:tc>
      </w:tr>
      <w:tr w:rsidR="00C220BF" w:rsidRPr="008F1CAB" w14:paraId="57A6E9C4" w14:textId="77777777">
        <w:tc>
          <w:tcPr>
            <w:cnfStyle w:val="001000000000" w:firstRow="0" w:lastRow="0" w:firstColumn="1" w:lastColumn="0" w:oddVBand="0" w:evenVBand="0" w:oddHBand="0" w:evenHBand="0" w:firstRowFirstColumn="0" w:firstRowLastColumn="0" w:lastRowFirstColumn="0" w:lastRowLastColumn="0"/>
            <w:tcW w:w="2484" w:type="dxa"/>
          </w:tcPr>
          <w:p w14:paraId="0528773B" w14:textId="77777777" w:rsidR="00C220BF" w:rsidRPr="008F1CAB" w:rsidRDefault="00C220BF">
            <w:r w:rsidRPr="008F1CAB">
              <w:t>Description</w:t>
            </w:r>
          </w:p>
        </w:tc>
        <w:tc>
          <w:tcPr>
            <w:tcW w:w="6860" w:type="dxa"/>
          </w:tcPr>
          <w:p w14:paraId="7C72B56C" w14:textId="17E05803"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Percentage of enrollees 18 to 64 years of age who had an annual primary care visit in the measurement year</w:t>
            </w:r>
            <w:r w:rsidR="005B47F7">
              <w:t>.</w:t>
            </w:r>
          </w:p>
        </w:tc>
      </w:tr>
      <w:tr w:rsidR="00C220BF" w:rsidRPr="008F1CAB" w14:paraId="1B9C5F86" w14:textId="77777777">
        <w:tc>
          <w:tcPr>
            <w:cnfStyle w:val="001000000000" w:firstRow="0" w:lastRow="0" w:firstColumn="1" w:lastColumn="0" w:oddVBand="0" w:evenVBand="0" w:oddHBand="0" w:evenHBand="0" w:firstRowFirstColumn="0" w:firstRowLastColumn="0" w:lastRowFirstColumn="0" w:lastRowLastColumn="0"/>
            <w:tcW w:w="2484" w:type="dxa"/>
          </w:tcPr>
          <w:p w14:paraId="3962F605" w14:textId="77777777" w:rsidR="00C220BF" w:rsidRPr="008F1CAB" w:rsidRDefault="00C220BF">
            <w:r w:rsidRPr="008F1CAB">
              <w:lastRenderedPageBreak/>
              <w:t>Numerator</w:t>
            </w:r>
          </w:p>
        </w:tc>
        <w:tc>
          <w:tcPr>
            <w:tcW w:w="6860" w:type="dxa"/>
          </w:tcPr>
          <w:p w14:paraId="2484F449" w14:textId="1147DA6C"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Number of enrollees who had at least one primary care visit during the measurement year</w:t>
            </w:r>
            <w:r w:rsidR="005B47F7">
              <w:t>.</w:t>
            </w:r>
          </w:p>
        </w:tc>
      </w:tr>
      <w:tr w:rsidR="00C220BF" w:rsidRPr="008F1CAB" w14:paraId="4F413B40" w14:textId="77777777">
        <w:tc>
          <w:tcPr>
            <w:cnfStyle w:val="001000000000" w:firstRow="0" w:lastRow="0" w:firstColumn="1" w:lastColumn="0" w:oddVBand="0" w:evenVBand="0" w:oddHBand="0" w:evenHBand="0" w:firstRowFirstColumn="0" w:firstRowLastColumn="0" w:lastRowFirstColumn="0" w:lastRowLastColumn="0"/>
            <w:tcW w:w="2484" w:type="dxa"/>
          </w:tcPr>
          <w:p w14:paraId="59096AB3" w14:textId="77777777" w:rsidR="00C220BF" w:rsidRPr="008F1CAB" w:rsidRDefault="00C220BF">
            <w:r w:rsidRPr="008F1CAB">
              <w:t>Denominator</w:t>
            </w:r>
          </w:p>
        </w:tc>
        <w:tc>
          <w:tcPr>
            <w:tcW w:w="6860" w:type="dxa"/>
          </w:tcPr>
          <w:p w14:paraId="594F38C1" w14:textId="37DD4F04"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Eligible population</w:t>
            </w:r>
            <w:r w:rsidR="005B47F7">
              <w:t>.</w:t>
            </w:r>
          </w:p>
        </w:tc>
      </w:tr>
      <w:tr w:rsidR="00C220BF" w:rsidRPr="008F1CAB" w14:paraId="6B83F0A5" w14:textId="77777777">
        <w:tc>
          <w:tcPr>
            <w:cnfStyle w:val="001000000000" w:firstRow="0" w:lastRow="0" w:firstColumn="1" w:lastColumn="0" w:oddVBand="0" w:evenVBand="0" w:oddHBand="0" w:evenHBand="0" w:firstRowFirstColumn="0" w:firstRowLastColumn="0" w:lastRowFirstColumn="0" w:lastRowLastColumn="0"/>
            <w:tcW w:w="2484" w:type="dxa"/>
          </w:tcPr>
          <w:p w14:paraId="148AD8C0" w14:textId="77777777" w:rsidR="00C220BF" w:rsidRPr="008F1CAB" w:rsidRDefault="00C220BF">
            <w:r w:rsidRPr="008F1CAB">
              <w:t>Data Sources</w:t>
            </w:r>
          </w:p>
        </w:tc>
        <w:tc>
          <w:tcPr>
            <w:tcW w:w="6860" w:type="dxa"/>
          </w:tcPr>
          <w:p w14:paraId="2DA9F0B4"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Medicaid claims/encounters data</w:t>
            </w:r>
          </w:p>
        </w:tc>
      </w:tr>
      <w:tr w:rsidR="00C220BF" w:rsidRPr="008F1CAB" w14:paraId="4E007135" w14:textId="77777777">
        <w:tc>
          <w:tcPr>
            <w:cnfStyle w:val="001000000000" w:firstRow="0" w:lastRow="0" w:firstColumn="1" w:lastColumn="0" w:oddVBand="0" w:evenVBand="0" w:oddHBand="0" w:evenHBand="0" w:firstRowFirstColumn="0" w:firstRowLastColumn="0" w:lastRowFirstColumn="0" w:lastRowLastColumn="0"/>
            <w:tcW w:w="2484" w:type="dxa"/>
          </w:tcPr>
          <w:p w14:paraId="3FB3E02E" w14:textId="77777777" w:rsidR="00C220BF" w:rsidRPr="008F1CAB" w:rsidRDefault="00C220BF">
            <w:r w:rsidRPr="008F1CAB">
              <w:t>National Benchmark</w:t>
            </w:r>
          </w:p>
        </w:tc>
        <w:tc>
          <w:tcPr>
            <w:tcW w:w="6860" w:type="dxa"/>
          </w:tcPr>
          <w:p w14:paraId="72AC1076"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None</w:t>
            </w:r>
          </w:p>
        </w:tc>
      </w:tr>
    </w:tbl>
    <w:p w14:paraId="0203DF4A" w14:textId="77777777" w:rsidR="00C220BF" w:rsidRDefault="00C220BF" w:rsidP="0071707D">
      <w:pPr>
        <w:pStyle w:val="NoSpacing"/>
      </w:pPr>
    </w:p>
    <w:tbl>
      <w:tblPr>
        <w:tblStyle w:val="FHCclean10pt"/>
        <w:tblW w:w="0" w:type="auto"/>
        <w:tblLook w:val="04A0" w:firstRow="1" w:lastRow="0" w:firstColumn="1" w:lastColumn="0" w:noHBand="0" w:noVBand="1"/>
      </w:tblPr>
      <w:tblGrid>
        <w:gridCol w:w="2484"/>
        <w:gridCol w:w="6860"/>
      </w:tblGrid>
      <w:tr w:rsidR="00C220BF" w:rsidRPr="008F1CAB" w14:paraId="59795E8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6999D5F9" w14:textId="77777777" w:rsidR="00C220BF" w:rsidRPr="008F1CAB" w:rsidRDefault="00C220BF">
            <w:r w:rsidRPr="00DB3492">
              <w:t>Measure:</w:t>
            </w:r>
          </w:p>
        </w:tc>
        <w:tc>
          <w:tcPr>
            <w:tcW w:w="6860" w:type="dxa"/>
          </w:tcPr>
          <w:p w14:paraId="4DB2A539" w14:textId="3B3AA5A0" w:rsidR="00C220BF" w:rsidRPr="008F1CAB" w:rsidRDefault="00C220BF">
            <w:pPr>
              <w:cnfStyle w:val="100000000000" w:firstRow="1" w:lastRow="0" w:firstColumn="0" w:lastColumn="0" w:oddVBand="0" w:evenVBand="0" w:oddHBand="0" w:evenHBand="0" w:firstRowFirstColumn="0" w:firstRowLastColumn="0" w:lastRowFirstColumn="0" w:lastRowLastColumn="0"/>
            </w:pPr>
            <w:r w:rsidRPr="006D00F2">
              <w:t>Treatment Plan Completion (BH CP)</w:t>
            </w:r>
            <w:r>
              <w:br/>
            </w:r>
            <w:r w:rsidRPr="006D00F2">
              <w:t>*</w:t>
            </w:r>
            <w:r w:rsidR="005B47F7">
              <w:t xml:space="preserve"> </w:t>
            </w:r>
            <w:r w:rsidRPr="006D00F2">
              <w:t xml:space="preserve">MassHealth BH CP </w:t>
            </w:r>
            <w:r w:rsidR="0071707D">
              <w:t>Q</w:t>
            </w:r>
            <w:r w:rsidRPr="006D00F2">
              <w:t xml:space="preserve">uality </w:t>
            </w:r>
            <w:r w:rsidR="0071707D">
              <w:t>M</w:t>
            </w:r>
            <w:r w:rsidRPr="006D00F2">
              <w:t>easure</w:t>
            </w:r>
          </w:p>
        </w:tc>
      </w:tr>
      <w:tr w:rsidR="00C220BF" w:rsidRPr="008F1CAB" w14:paraId="7E8ADFAA" w14:textId="77777777">
        <w:tc>
          <w:tcPr>
            <w:cnfStyle w:val="001000000000" w:firstRow="0" w:lastRow="0" w:firstColumn="1" w:lastColumn="0" w:oddVBand="0" w:evenVBand="0" w:oddHBand="0" w:evenHBand="0" w:firstRowFirstColumn="0" w:firstRowLastColumn="0" w:lastRowFirstColumn="0" w:lastRowLastColumn="0"/>
            <w:tcW w:w="2484" w:type="dxa"/>
          </w:tcPr>
          <w:p w14:paraId="202C9E04" w14:textId="77777777" w:rsidR="00C220BF" w:rsidRPr="008F1CAB" w:rsidRDefault="00C220BF">
            <w:r w:rsidRPr="00DB3492">
              <w:t>Steward:</w:t>
            </w:r>
          </w:p>
        </w:tc>
        <w:tc>
          <w:tcPr>
            <w:tcW w:w="6860" w:type="dxa"/>
          </w:tcPr>
          <w:p w14:paraId="6AB6B6AC"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MassHealth</w:t>
            </w:r>
          </w:p>
        </w:tc>
      </w:tr>
      <w:tr w:rsidR="00C220BF" w:rsidRPr="008F1CAB" w14:paraId="31A71553" w14:textId="77777777">
        <w:tc>
          <w:tcPr>
            <w:cnfStyle w:val="001000000000" w:firstRow="0" w:lastRow="0" w:firstColumn="1" w:lastColumn="0" w:oddVBand="0" w:evenVBand="0" w:oddHBand="0" w:evenHBand="0" w:firstRowFirstColumn="0" w:firstRowLastColumn="0" w:lastRowFirstColumn="0" w:lastRowLastColumn="0"/>
            <w:tcW w:w="2484" w:type="dxa"/>
          </w:tcPr>
          <w:p w14:paraId="30B36E47" w14:textId="77777777" w:rsidR="00C220BF" w:rsidRPr="008F1CAB" w:rsidRDefault="00C220BF">
            <w:r w:rsidRPr="00DB3492">
              <w:t>NQF Endorsed:</w:t>
            </w:r>
          </w:p>
        </w:tc>
        <w:tc>
          <w:tcPr>
            <w:tcW w:w="6860" w:type="dxa"/>
          </w:tcPr>
          <w:p w14:paraId="6E9A5476"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No</w:t>
            </w:r>
          </w:p>
        </w:tc>
      </w:tr>
      <w:tr w:rsidR="00C220BF" w:rsidRPr="008F1CAB" w14:paraId="1D61BE63" w14:textId="77777777">
        <w:tc>
          <w:tcPr>
            <w:cnfStyle w:val="001000000000" w:firstRow="0" w:lastRow="0" w:firstColumn="1" w:lastColumn="0" w:oddVBand="0" w:evenVBand="0" w:oddHBand="0" w:evenHBand="0" w:firstRowFirstColumn="0" w:firstRowLastColumn="0" w:lastRowFirstColumn="0" w:lastRowLastColumn="0"/>
            <w:tcW w:w="2484" w:type="dxa"/>
          </w:tcPr>
          <w:p w14:paraId="71E9DEB3" w14:textId="77777777" w:rsidR="00C220BF" w:rsidRPr="008F1CAB" w:rsidRDefault="00C220BF">
            <w:r w:rsidRPr="008F1CAB">
              <w:t>Description</w:t>
            </w:r>
          </w:p>
        </w:tc>
        <w:tc>
          <w:tcPr>
            <w:tcW w:w="6860" w:type="dxa"/>
          </w:tcPr>
          <w:p w14:paraId="34117928" w14:textId="53F0B46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Percentage of BH CP enrollees 18 to 64 years of age who completed a treatment plan within the measurement year</w:t>
            </w:r>
            <w:r w:rsidR="005B47F7">
              <w:t>.</w:t>
            </w:r>
          </w:p>
        </w:tc>
      </w:tr>
      <w:tr w:rsidR="00C220BF" w:rsidRPr="008F1CAB" w14:paraId="7736CDE6" w14:textId="77777777">
        <w:tc>
          <w:tcPr>
            <w:cnfStyle w:val="001000000000" w:firstRow="0" w:lastRow="0" w:firstColumn="1" w:lastColumn="0" w:oddVBand="0" w:evenVBand="0" w:oddHBand="0" w:evenHBand="0" w:firstRowFirstColumn="0" w:firstRowLastColumn="0" w:lastRowFirstColumn="0" w:lastRowLastColumn="0"/>
            <w:tcW w:w="2484" w:type="dxa"/>
          </w:tcPr>
          <w:p w14:paraId="49D1A10C" w14:textId="77777777" w:rsidR="00C220BF" w:rsidRPr="008F1CAB" w:rsidRDefault="00C220BF">
            <w:r w:rsidRPr="008F1CAB">
              <w:t>Numerator</w:t>
            </w:r>
          </w:p>
        </w:tc>
        <w:tc>
          <w:tcPr>
            <w:tcW w:w="6860" w:type="dxa"/>
          </w:tcPr>
          <w:p w14:paraId="0A1C3556" w14:textId="0753C9B3"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Enrollees 18 to 64 years of age who completed a treatment plan</w:t>
            </w:r>
            <w:r w:rsidR="009B3D97">
              <w:t>.</w:t>
            </w:r>
          </w:p>
        </w:tc>
      </w:tr>
      <w:tr w:rsidR="00C220BF" w:rsidRPr="008F1CAB" w14:paraId="3F650781" w14:textId="77777777">
        <w:tc>
          <w:tcPr>
            <w:cnfStyle w:val="001000000000" w:firstRow="0" w:lastRow="0" w:firstColumn="1" w:lastColumn="0" w:oddVBand="0" w:evenVBand="0" w:oddHBand="0" w:evenHBand="0" w:firstRowFirstColumn="0" w:firstRowLastColumn="0" w:lastRowFirstColumn="0" w:lastRowLastColumn="0"/>
            <w:tcW w:w="2484" w:type="dxa"/>
          </w:tcPr>
          <w:p w14:paraId="0C85F076" w14:textId="77777777" w:rsidR="00C220BF" w:rsidRPr="008F1CAB" w:rsidRDefault="00C220BF">
            <w:r w:rsidRPr="008F1CAB">
              <w:t>Denominator</w:t>
            </w:r>
          </w:p>
        </w:tc>
        <w:tc>
          <w:tcPr>
            <w:tcW w:w="6860" w:type="dxa"/>
          </w:tcPr>
          <w:p w14:paraId="096694BF" w14:textId="17AD0573"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Enrollees 18 to 64 years of age</w:t>
            </w:r>
            <w:r w:rsidR="009B3D97">
              <w:t>.</w:t>
            </w:r>
          </w:p>
        </w:tc>
      </w:tr>
      <w:tr w:rsidR="00C220BF" w:rsidRPr="008F1CAB" w14:paraId="1D0E1C5A" w14:textId="77777777">
        <w:tc>
          <w:tcPr>
            <w:cnfStyle w:val="001000000000" w:firstRow="0" w:lastRow="0" w:firstColumn="1" w:lastColumn="0" w:oddVBand="0" w:evenVBand="0" w:oddHBand="0" w:evenHBand="0" w:firstRowFirstColumn="0" w:firstRowLastColumn="0" w:lastRowFirstColumn="0" w:lastRowLastColumn="0"/>
            <w:tcW w:w="2484" w:type="dxa"/>
          </w:tcPr>
          <w:p w14:paraId="21DDA879" w14:textId="77777777" w:rsidR="00C220BF" w:rsidRPr="008F1CAB" w:rsidRDefault="00C220BF">
            <w:r w:rsidRPr="008F1CAB">
              <w:t>Data Sources</w:t>
            </w:r>
          </w:p>
        </w:tc>
        <w:tc>
          <w:tcPr>
            <w:tcW w:w="6860" w:type="dxa"/>
          </w:tcPr>
          <w:p w14:paraId="4F94DDCF"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Medicaid claims/encounters, analytics vendor extract</w:t>
            </w:r>
          </w:p>
        </w:tc>
      </w:tr>
      <w:tr w:rsidR="00C220BF" w:rsidRPr="008F1CAB" w14:paraId="6C78F429" w14:textId="77777777">
        <w:tc>
          <w:tcPr>
            <w:cnfStyle w:val="001000000000" w:firstRow="0" w:lastRow="0" w:firstColumn="1" w:lastColumn="0" w:oddVBand="0" w:evenVBand="0" w:oddHBand="0" w:evenHBand="0" w:firstRowFirstColumn="0" w:firstRowLastColumn="0" w:lastRowFirstColumn="0" w:lastRowLastColumn="0"/>
            <w:tcW w:w="2484" w:type="dxa"/>
          </w:tcPr>
          <w:p w14:paraId="41626D7B" w14:textId="77777777" w:rsidR="00C220BF" w:rsidRPr="008F1CAB" w:rsidRDefault="00C220BF">
            <w:r w:rsidRPr="008F1CAB">
              <w:t>National Benchmark</w:t>
            </w:r>
          </w:p>
        </w:tc>
        <w:tc>
          <w:tcPr>
            <w:tcW w:w="6860" w:type="dxa"/>
          </w:tcPr>
          <w:p w14:paraId="780ED7C7"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None</w:t>
            </w:r>
          </w:p>
        </w:tc>
      </w:tr>
    </w:tbl>
    <w:p w14:paraId="773BC74C" w14:textId="77777777" w:rsidR="00C220BF" w:rsidRDefault="00C220BF" w:rsidP="0071707D">
      <w:pPr>
        <w:pStyle w:val="NoSpacing"/>
      </w:pPr>
    </w:p>
    <w:tbl>
      <w:tblPr>
        <w:tblStyle w:val="FHCclean10pt"/>
        <w:tblW w:w="0" w:type="auto"/>
        <w:tblLook w:val="04A0" w:firstRow="1" w:lastRow="0" w:firstColumn="1" w:lastColumn="0" w:noHBand="0" w:noVBand="1"/>
      </w:tblPr>
      <w:tblGrid>
        <w:gridCol w:w="2484"/>
        <w:gridCol w:w="6860"/>
      </w:tblGrid>
      <w:tr w:rsidR="00C220BF" w:rsidRPr="008F1CAB" w14:paraId="6A3075F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4B5998EF" w14:textId="77777777" w:rsidR="00C220BF" w:rsidRPr="008F1CAB" w:rsidRDefault="00C220BF">
            <w:r w:rsidRPr="00DB3492">
              <w:t>Measure:</w:t>
            </w:r>
          </w:p>
        </w:tc>
        <w:tc>
          <w:tcPr>
            <w:tcW w:w="6860" w:type="dxa"/>
          </w:tcPr>
          <w:p w14:paraId="474CD913" w14:textId="13C923F9" w:rsidR="00C220BF" w:rsidRPr="008F1CAB" w:rsidRDefault="00C220BF">
            <w:pPr>
              <w:cnfStyle w:val="100000000000" w:firstRow="1" w:lastRow="0" w:firstColumn="0" w:lastColumn="0" w:oddVBand="0" w:evenVBand="0" w:oddHBand="0" w:evenHBand="0" w:firstRowFirstColumn="0" w:firstRowLastColumn="0" w:lastRowFirstColumn="0" w:lastRowLastColumn="0"/>
            </w:pPr>
            <w:r w:rsidRPr="00750175">
              <w:t>Care Plan Completion (LTSS CP)</w:t>
            </w:r>
            <w:r>
              <w:br/>
            </w:r>
            <w:r w:rsidRPr="00750175">
              <w:t>*</w:t>
            </w:r>
            <w:r w:rsidR="005B47F7">
              <w:t xml:space="preserve"> </w:t>
            </w:r>
            <w:r w:rsidRPr="00750175">
              <w:t xml:space="preserve">MassHealth LTSS CP </w:t>
            </w:r>
            <w:r w:rsidR="0071707D">
              <w:t>Q</w:t>
            </w:r>
            <w:r w:rsidRPr="00750175">
              <w:t xml:space="preserve">uality </w:t>
            </w:r>
            <w:r w:rsidR="0071707D">
              <w:t>M</w:t>
            </w:r>
            <w:r w:rsidRPr="00750175">
              <w:t>easure</w:t>
            </w:r>
          </w:p>
        </w:tc>
      </w:tr>
      <w:tr w:rsidR="00C220BF" w:rsidRPr="008F1CAB" w14:paraId="0F201242" w14:textId="77777777">
        <w:tc>
          <w:tcPr>
            <w:cnfStyle w:val="001000000000" w:firstRow="0" w:lastRow="0" w:firstColumn="1" w:lastColumn="0" w:oddVBand="0" w:evenVBand="0" w:oddHBand="0" w:evenHBand="0" w:firstRowFirstColumn="0" w:firstRowLastColumn="0" w:lastRowFirstColumn="0" w:lastRowLastColumn="0"/>
            <w:tcW w:w="2484" w:type="dxa"/>
          </w:tcPr>
          <w:p w14:paraId="602B1458" w14:textId="77777777" w:rsidR="00C220BF" w:rsidRPr="008F1CAB" w:rsidRDefault="00C220BF">
            <w:r w:rsidRPr="00DB3492">
              <w:t>Steward:</w:t>
            </w:r>
          </w:p>
        </w:tc>
        <w:tc>
          <w:tcPr>
            <w:tcW w:w="6860" w:type="dxa"/>
          </w:tcPr>
          <w:p w14:paraId="6FB85EF7"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MassHealth</w:t>
            </w:r>
          </w:p>
        </w:tc>
      </w:tr>
      <w:tr w:rsidR="00C220BF" w:rsidRPr="008F1CAB" w14:paraId="62A12F15" w14:textId="77777777">
        <w:tc>
          <w:tcPr>
            <w:cnfStyle w:val="001000000000" w:firstRow="0" w:lastRow="0" w:firstColumn="1" w:lastColumn="0" w:oddVBand="0" w:evenVBand="0" w:oddHBand="0" w:evenHBand="0" w:firstRowFirstColumn="0" w:firstRowLastColumn="0" w:lastRowFirstColumn="0" w:lastRowLastColumn="0"/>
            <w:tcW w:w="2484" w:type="dxa"/>
          </w:tcPr>
          <w:p w14:paraId="5C693070" w14:textId="77777777" w:rsidR="00C220BF" w:rsidRPr="008F1CAB" w:rsidRDefault="00C220BF">
            <w:r w:rsidRPr="00DB3492">
              <w:t>NQF Endorsed:</w:t>
            </w:r>
          </w:p>
        </w:tc>
        <w:tc>
          <w:tcPr>
            <w:tcW w:w="6860" w:type="dxa"/>
          </w:tcPr>
          <w:p w14:paraId="4A7416F2"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No</w:t>
            </w:r>
          </w:p>
        </w:tc>
      </w:tr>
      <w:tr w:rsidR="00C220BF" w:rsidRPr="008F1CAB" w14:paraId="5FFD62AF" w14:textId="77777777">
        <w:tc>
          <w:tcPr>
            <w:cnfStyle w:val="001000000000" w:firstRow="0" w:lastRow="0" w:firstColumn="1" w:lastColumn="0" w:oddVBand="0" w:evenVBand="0" w:oddHBand="0" w:evenHBand="0" w:firstRowFirstColumn="0" w:firstRowLastColumn="0" w:lastRowFirstColumn="0" w:lastRowLastColumn="0"/>
            <w:tcW w:w="2484" w:type="dxa"/>
          </w:tcPr>
          <w:p w14:paraId="5C982B6B" w14:textId="77777777" w:rsidR="00C220BF" w:rsidRPr="008F1CAB" w:rsidRDefault="00C220BF">
            <w:r w:rsidRPr="008F1CAB">
              <w:t>Description</w:t>
            </w:r>
          </w:p>
        </w:tc>
        <w:tc>
          <w:tcPr>
            <w:tcW w:w="6860" w:type="dxa"/>
          </w:tcPr>
          <w:p w14:paraId="54C68C33" w14:textId="2675CF9D"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Percentage of LTSS CP enrollees 3 to 64 years of age who completed a care plan within the measurement year</w:t>
            </w:r>
            <w:r w:rsidR="00AD672A">
              <w:t>.</w:t>
            </w:r>
            <w:r w:rsidRPr="008F1CAB">
              <w:t xml:space="preserve">  </w:t>
            </w:r>
          </w:p>
        </w:tc>
      </w:tr>
      <w:tr w:rsidR="00C220BF" w:rsidRPr="008F1CAB" w14:paraId="764A35F1" w14:textId="77777777">
        <w:tc>
          <w:tcPr>
            <w:cnfStyle w:val="001000000000" w:firstRow="0" w:lastRow="0" w:firstColumn="1" w:lastColumn="0" w:oddVBand="0" w:evenVBand="0" w:oddHBand="0" w:evenHBand="0" w:firstRowFirstColumn="0" w:firstRowLastColumn="0" w:lastRowFirstColumn="0" w:lastRowLastColumn="0"/>
            <w:tcW w:w="2484" w:type="dxa"/>
          </w:tcPr>
          <w:p w14:paraId="16BFAB78" w14:textId="77777777" w:rsidR="00C220BF" w:rsidRPr="008F1CAB" w:rsidRDefault="00C220BF">
            <w:r w:rsidRPr="008F1CAB">
              <w:t>Numerator</w:t>
            </w:r>
          </w:p>
        </w:tc>
        <w:tc>
          <w:tcPr>
            <w:tcW w:w="6860" w:type="dxa"/>
          </w:tcPr>
          <w:p w14:paraId="5221D08B" w14:textId="4FF0B8CD"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Enrollees 3 to 64 years of age who completed a care plan</w:t>
            </w:r>
            <w:r w:rsidR="00AD672A">
              <w:t>.</w:t>
            </w:r>
          </w:p>
        </w:tc>
      </w:tr>
      <w:tr w:rsidR="00C220BF" w:rsidRPr="008F1CAB" w14:paraId="1DD84C50" w14:textId="77777777">
        <w:tc>
          <w:tcPr>
            <w:cnfStyle w:val="001000000000" w:firstRow="0" w:lastRow="0" w:firstColumn="1" w:lastColumn="0" w:oddVBand="0" w:evenVBand="0" w:oddHBand="0" w:evenHBand="0" w:firstRowFirstColumn="0" w:firstRowLastColumn="0" w:lastRowFirstColumn="0" w:lastRowLastColumn="0"/>
            <w:tcW w:w="2484" w:type="dxa"/>
          </w:tcPr>
          <w:p w14:paraId="18044967" w14:textId="77777777" w:rsidR="00C220BF" w:rsidRPr="008F1CAB" w:rsidRDefault="00C220BF">
            <w:r w:rsidRPr="008F1CAB">
              <w:t>Denominator</w:t>
            </w:r>
          </w:p>
        </w:tc>
        <w:tc>
          <w:tcPr>
            <w:tcW w:w="6860" w:type="dxa"/>
          </w:tcPr>
          <w:p w14:paraId="7780A8CA" w14:textId="2DEA2D3A"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Enrollees 3 to 64 years of age</w:t>
            </w:r>
            <w:r w:rsidR="00AD672A">
              <w:t>.</w:t>
            </w:r>
          </w:p>
        </w:tc>
      </w:tr>
      <w:tr w:rsidR="00C220BF" w:rsidRPr="008F1CAB" w14:paraId="07216FDE" w14:textId="77777777">
        <w:tc>
          <w:tcPr>
            <w:cnfStyle w:val="001000000000" w:firstRow="0" w:lastRow="0" w:firstColumn="1" w:lastColumn="0" w:oddVBand="0" w:evenVBand="0" w:oddHBand="0" w:evenHBand="0" w:firstRowFirstColumn="0" w:firstRowLastColumn="0" w:lastRowFirstColumn="0" w:lastRowLastColumn="0"/>
            <w:tcW w:w="2484" w:type="dxa"/>
          </w:tcPr>
          <w:p w14:paraId="0DF46784" w14:textId="77777777" w:rsidR="00C220BF" w:rsidRPr="008F1CAB" w:rsidRDefault="00C220BF">
            <w:r w:rsidRPr="008F1CAB">
              <w:t>Data Sources</w:t>
            </w:r>
          </w:p>
        </w:tc>
        <w:tc>
          <w:tcPr>
            <w:tcW w:w="6860" w:type="dxa"/>
          </w:tcPr>
          <w:p w14:paraId="7433ED3F"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Medicaid claims/encounters, analytics vendor extract</w:t>
            </w:r>
          </w:p>
        </w:tc>
      </w:tr>
      <w:tr w:rsidR="00C220BF" w:rsidRPr="008F1CAB" w14:paraId="7E9CA8F8" w14:textId="77777777">
        <w:tc>
          <w:tcPr>
            <w:cnfStyle w:val="001000000000" w:firstRow="0" w:lastRow="0" w:firstColumn="1" w:lastColumn="0" w:oddVBand="0" w:evenVBand="0" w:oddHBand="0" w:evenHBand="0" w:firstRowFirstColumn="0" w:firstRowLastColumn="0" w:lastRowFirstColumn="0" w:lastRowLastColumn="0"/>
            <w:tcW w:w="2484" w:type="dxa"/>
          </w:tcPr>
          <w:p w14:paraId="28CD535E" w14:textId="77777777" w:rsidR="00C220BF" w:rsidRPr="008F1CAB" w:rsidRDefault="00C220BF">
            <w:r w:rsidRPr="008F1CAB">
              <w:t>National Benchmark</w:t>
            </w:r>
          </w:p>
        </w:tc>
        <w:tc>
          <w:tcPr>
            <w:tcW w:w="6860" w:type="dxa"/>
          </w:tcPr>
          <w:p w14:paraId="68040E12"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None</w:t>
            </w:r>
          </w:p>
        </w:tc>
      </w:tr>
    </w:tbl>
    <w:p w14:paraId="5CFDA8BA" w14:textId="77777777" w:rsidR="00C220BF" w:rsidRDefault="00C220BF" w:rsidP="0071707D">
      <w:pPr>
        <w:pStyle w:val="NoSpacing"/>
      </w:pPr>
    </w:p>
    <w:tbl>
      <w:tblPr>
        <w:tblStyle w:val="FHCclean10pt"/>
        <w:tblW w:w="0" w:type="auto"/>
        <w:tblLook w:val="04A0" w:firstRow="1" w:lastRow="0" w:firstColumn="1" w:lastColumn="0" w:noHBand="0" w:noVBand="1"/>
      </w:tblPr>
      <w:tblGrid>
        <w:gridCol w:w="2484"/>
        <w:gridCol w:w="6860"/>
      </w:tblGrid>
      <w:tr w:rsidR="00C220BF" w:rsidRPr="008F1CAB" w14:paraId="3C00C32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56450E90" w14:textId="77777777" w:rsidR="00C220BF" w:rsidRPr="008F1CAB" w:rsidRDefault="00C220BF">
            <w:r w:rsidRPr="00DB3492">
              <w:t>Measure:</w:t>
            </w:r>
          </w:p>
        </w:tc>
        <w:tc>
          <w:tcPr>
            <w:tcW w:w="6860" w:type="dxa"/>
          </w:tcPr>
          <w:p w14:paraId="324C8115" w14:textId="77777777" w:rsidR="00C220BF" w:rsidRPr="008F1CAB" w:rsidRDefault="00C220BF">
            <w:pPr>
              <w:cnfStyle w:val="100000000000" w:firstRow="1" w:lastRow="0" w:firstColumn="0" w:lastColumn="0" w:oddVBand="0" w:evenVBand="0" w:oddHBand="0" w:evenHBand="0" w:firstRowFirstColumn="0" w:firstRowLastColumn="0" w:lastRowFirstColumn="0" w:lastRowLastColumn="0"/>
            </w:pPr>
            <w:r w:rsidRPr="00750175">
              <w:t>Oral Health Evaluation (LTSS CP)</w:t>
            </w:r>
            <w:r>
              <w:br/>
            </w:r>
            <w:r w:rsidRPr="00750175">
              <w:t>*</w:t>
            </w:r>
            <w:r>
              <w:t xml:space="preserve"> </w:t>
            </w:r>
            <w:r w:rsidRPr="00750175">
              <w:t>MassHealth LTSS CP Quality Measure</w:t>
            </w:r>
          </w:p>
        </w:tc>
      </w:tr>
      <w:tr w:rsidR="00C220BF" w:rsidRPr="008F1CAB" w14:paraId="2A956569" w14:textId="77777777">
        <w:tc>
          <w:tcPr>
            <w:cnfStyle w:val="001000000000" w:firstRow="0" w:lastRow="0" w:firstColumn="1" w:lastColumn="0" w:oddVBand="0" w:evenVBand="0" w:oddHBand="0" w:evenHBand="0" w:firstRowFirstColumn="0" w:firstRowLastColumn="0" w:lastRowFirstColumn="0" w:lastRowLastColumn="0"/>
            <w:tcW w:w="2484" w:type="dxa"/>
          </w:tcPr>
          <w:p w14:paraId="044B24FB" w14:textId="77777777" w:rsidR="00C220BF" w:rsidRPr="008F1CAB" w:rsidRDefault="00C220BF">
            <w:r w:rsidRPr="00DB3492">
              <w:t>Steward:</w:t>
            </w:r>
          </w:p>
        </w:tc>
        <w:tc>
          <w:tcPr>
            <w:tcW w:w="6860" w:type="dxa"/>
          </w:tcPr>
          <w:p w14:paraId="51D6700C"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750175">
              <w:t>American Dental Association on behalf of the Dental Quality Alliance (#2517)</w:t>
            </w:r>
          </w:p>
        </w:tc>
      </w:tr>
      <w:tr w:rsidR="00C220BF" w:rsidRPr="008F1CAB" w14:paraId="63FC5BC2" w14:textId="77777777">
        <w:tc>
          <w:tcPr>
            <w:cnfStyle w:val="001000000000" w:firstRow="0" w:lastRow="0" w:firstColumn="1" w:lastColumn="0" w:oddVBand="0" w:evenVBand="0" w:oddHBand="0" w:evenHBand="0" w:firstRowFirstColumn="0" w:firstRowLastColumn="0" w:lastRowFirstColumn="0" w:lastRowLastColumn="0"/>
            <w:tcW w:w="2484" w:type="dxa"/>
          </w:tcPr>
          <w:p w14:paraId="406039F2" w14:textId="77777777" w:rsidR="00C220BF" w:rsidRPr="008F1CAB" w:rsidRDefault="00C220BF">
            <w:r w:rsidRPr="00DB3492">
              <w:t>NQF Endorsed:</w:t>
            </w:r>
          </w:p>
        </w:tc>
        <w:tc>
          <w:tcPr>
            <w:tcW w:w="6860" w:type="dxa"/>
          </w:tcPr>
          <w:p w14:paraId="469BD9B9"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Yes</w:t>
            </w:r>
          </w:p>
        </w:tc>
      </w:tr>
      <w:tr w:rsidR="00C220BF" w:rsidRPr="008F1CAB" w14:paraId="30654295" w14:textId="77777777">
        <w:tc>
          <w:tcPr>
            <w:cnfStyle w:val="001000000000" w:firstRow="0" w:lastRow="0" w:firstColumn="1" w:lastColumn="0" w:oddVBand="0" w:evenVBand="0" w:oddHBand="0" w:evenHBand="0" w:firstRowFirstColumn="0" w:firstRowLastColumn="0" w:lastRowFirstColumn="0" w:lastRowLastColumn="0"/>
            <w:tcW w:w="2484" w:type="dxa"/>
          </w:tcPr>
          <w:p w14:paraId="6358FB3D" w14:textId="77777777" w:rsidR="00C220BF" w:rsidRPr="008F1CAB" w:rsidRDefault="00C220BF">
            <w:r w:rsidRPr="008F1CAB">
              <w:t>Description</w:t>
            </w:r>
          </w:p>
        </w:tc>
        <w:tc>
          <w:tcPr>
            <w:tcW w:w="6860" w:type="dxa"/>
          </w:tcPr>
          <w:p w14:paraId="67AB443A"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Percentage of LTSS CP enrollees 3 to 64 years of age who received a comprehensive or periodic oral evaluation within the reporting year.</w:t>
            </w:r>
          </w:p>
        </w:tc>
      </w:tr>
      <w:tr w:rsidR="00C220BF" w:rsidRPr="008F1CAB" w14:paraId="48F3D816" w14:textId="77777777">
        <w:tc>
          <w:tcPr>
            <w:cnfStyle w:val="001000000000" w:firstRow="0" w:lastRow="0" w:firstColumn="1" w:lastColumn="0" w:oddVBand="0" w:evenVBand="0" w:oddHBand="0" w:evenHBand="0" w:firstRowFirstColumn="0" w:firstRowLastColumn="0" w:lastRowFirstColumn="0" w:lastRowLastColumn="0"/>
            <w:tcW w:w="2484" w:type="dxa"/>
          </w:tcPr>
          <w:p w14:paraId="37B81BFB" w14:textId="77777777" w:rsidR="00C220BF" w:rsidRPr="008F1CAB" w:rsidRDefault="00C220BF">
            <w:r w:rsidRPr="008F1CAB">
              <w:t>Numerator</w:t>
            </w:r>
          </w:p>
        </w:tc>
        <w:tc>
          <w:tcPr>
            <w:tcW w:w="6860" w:type="dxa"/>
          </w:tcPr>
          <w:p w14:paraId="2D163B76" w14:textId="1408CEC0"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Unduplicated number of LTSS CP enrollees 3 to 64 years of age who received a comprehensive or periodic oral evaluation as a dental service</w:t>
            </w:r>
            <w:r w:rsidR="00AD672A">
              <w:t>.</w:t>
            </w:r>
          </w:p>
        </w:tc>
      </w:tr>
      <w:tr w:rsidR="00C220BF" w:rsidRPr="008F1CAB" w14:paraId="12D94492" w14:textId="77777777">
        <w:tc>
          <w:tcPr>
            <w:cnfStyle w:val="001000000000" w:firstRow="0" w:lastRow="0" w:firstColumn="1" w:lastColumn="0" w:oddVBand="0" w:evenVBand="0" w:oddHBand="0" w:evenHBand="0" w:firstRowFirstColumn="0" w:firstRowLastColumn="0" w:lastRowFirstColumn="0" w:lastRowLastColumn="0"/>
            <w:tcW w:w="2484" w:type="dxa"/>
          </w:tcPr>
          <w:p w14:paraId="4DB5A300" w14:textId="77777777" w:rsidR="00C220BF" w:rsidRPr="008F1CAB" w:rsidRDefault="00C220BF">
            <w:r w:rsidRPr="008F1CAB">
              <w:t>Denominator</w:t>
            </w:r>
          </w:p>
        </w:tc>
        <w:tc>
          <w:tcPr>
            <w:tcW w:w="6860" w:type="dxa"/>
          </w:tcPr>
          <w:p w14:paraId="4C3B1D20" w14:textId="2A1CA77F"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LTSS CP enrollees 3 to 64 years of age</w:t>
            </w:r>
            <w:r w:rsidR="00AD672A">
              <w:t>.</w:t>
            </w:r>
          </w:p>
        </w:tc>
      </w:tr>
      <w:tr w:rsidR="00C220BF" w:rsidRPr="008F1CAB" w14:paraId="0DBD87BE" w14:textId="77777777">
        <w:tc>
          <w:tcPr>
            <w:cnfStyle w:val="001000000000" w:firstRow="0" w:lastRow="0" w:firstColumn="1" w:lastColumn="0" w:oddVBand="0" w:evenVBand="0" w:oddHBand="0" w:evenHBand="0" w:firstRowFirstColumn="0" w:firstRowLastColumn="0" w:lastRowFirstColumn="0" w:lastRowLastColumn="0"/>
            <w:tcW w:w="2484" w:type="dxa"/>
          </w:tcPr>
          <w:p w14:paraId="342856C1" w14:textId="77777777" w:rsidR="00C220BF" w:rsidRPr="008F1CAB" w:rsidRDefault="00C220BF">
            <w:r w:rsidRPr="008F1CAB">
              <w:t>Data Sources</w:t>
            </w:r>
          </w:p>
        </w:tc>
        <w:tc>
          <w:tcPr>
            <w:tcW w:w="6860" w:type="dxa"/>
          </w:tcPr>
          <w:p w14:paraId="0A94E90E"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Medicaid claims/encounters data</w:t>
            </w:r>
          </w:p>
        </w:tc>
      </w:tr>
      <w:tr w:rsidR="00C220BF" w:rsidRPr="008F1CAB" w14:paraId="4585AF6E" w14:textId="77777777">
        <w:tc>
          <w:tcPr>
            <w:cnfStyle w:val="001000000000" w:firstRow="0" w:lastRow="0" w:firstColumn="1" w:lastColumn="0" w:oddVBand="0" w:evenVBand="0" w:oddHBand="0" w:evenHBand="0" w:firstRowFirstColumn="0" w:firstRowLastColumn="0" w:lastRowFirstColumn="0" w:lastRowLastColumn="0"/>
            <w:tcW w:w="2484" w:type="dxa"/>
          </w:tcPr>
          <w:p w14:paraId="3B0D4CB4" w14:textId="77777777" w:rsidR="00C220BF" w:rsidRPr="008F1CAB" w:rsidRDefault="00C220BF">
            <w:r w:rsidRPr="008F1CAB">
              <w:t>National Benchmark</w:t>
            </w:r>
          </w:p>
        </w:tc>
        <w:tc>
          <w:tcPr>
            <w:tcW w:w="6860" w:type="dxa"/>
          </w:tcPr>
          <w:p w14:paraId="08447694"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None</w:t>
            </w:r>
          </w:p>
        </w:tc>
      </w:tr>
    </w:tbl>
    <w:p w14:paraId="03EA72D5" w14:textId="77777777" w:rsidR="00710F77" w:rsidRDefault="00710F77" w:rsidP="0071707D">
      <w:pPr>
        <w:pStyle w:val="NoSpacing"/>
      </w:pPr>
    </w:p>
    <w:tbl>
      <w:tblPr>
        <w:tblStyle w:val="FHCclean10pt"/>
        <w:tblW w:w="0" w:type="auto"/>
        <w:tblLook w:val="04A0" w:firstRow="1" w:lastRow="0" w:firstColumn="1" w:lastColumn="0" w:noHBand="0" w:noVBand="1"/>
      </w:tblPr>
      <w:tblGrid>
        <w:gridCol w:w="2484"/>
        <w:gridCol w:w="6860"/>
      </w:tblGrid>
      <w:tr w:rsidR="00C220BF" w:rsidRPr="008F1CAB" w14:paraId="12A5DF7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2B4133A0" w14:textId="77777777" w:rsidR="00C220BF" w:rsidRPr="008F1CAB" w:rsidRDefault="00C220BF">
            <w:r w:rsidRPr="00DB3492">
              <w:t>Measure:</w:t>
            </w:r>
          </w:p>
        </w:tc>
        <w:tc>
          <w:tcPr>
            <w:tcW w:w="6860" w:type="dxa"/>
          </w:tcPr>
          <w:p w14:paraId="7F664D06" w14:textId="77777777" w:rsidR="00C220BF" w:rsidRPr="008F1CAB" w:rsidRDefault="00C220BF">
            <w:pPr>
              <w:cnfStyle w:val="100000000000" w:firstRow="1" w:lastRow="0" w:firstColumn="0" w:lastColumn="0" w:oddVBand="0" w:evenVBand="0" w:oddHBand="0" w:evenHBand="0" w:firstRowFirstColumn="0" w:firstRowLastColumn="0" w:lastRowFirstColumn="0" w:lastRowLastColumn="0"/>
            </w:pPr>
            <w:r w:rsidRPr="00C92538">
              <w:t>Post-acute Care Utilization (Adult and Pediatric)</w:t>
            </w:r>
          </w:p>
        </w:tc>
      </w:tr>
      <w:tr w:rsidR="00C220BF" w:rsidRPr="008F1CAB" w14:paraId="030178B9" w14:textId="77777777">
        <w:tc>
          <w:tcPr>
            <w:cnfStyle w:val="001000000000" w:firstRow="0" w:lastRow="0" w:firstColumn="1" w:lastColumn="0" w:oddVBand="0" w:evenVBand="0" w:oddHBand="0" w:evenHBand="0" w:firstRowFirstColumn="0" w:firstRowLastColumn="0" w:lastRowFirstColumn="0" w:lastRowLastColumn="0"/>
            <w:tcW w:w="2484" w:type="dxa"/>
          </w:tcPr>
          <w:p w14:paraId="007A6426" w14:textId="77777777" w:rsidR="00C220BF" w:rsidRPr="008F1CAB" w:rsidRDefault="00C220BF">
            <w:r w:rsidRPr="00DB3492">
              <w:t>Steward:</w:t>
            </w:r>
          </w:p>
        </w:tc>
        <w:tc>
          <w:tcPr>
            <w:tcW w:w="6860" w:type="dxa"/>
          </w:tcPr>
          <w:p w14:paraId="7260B4B5"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None</w:t>
            </w:r>
          </w:p>
        </w:tc>
      </w:tr>
      <w:tr w:rsidR="00C220BF" w:rsidRPr="008F1CAB" w14:paraId="29266D07" w14:textId="77777777">
        <w:tc>
          <w:tcPr>
            <w:cnfStyle w:val="001000000000" w:firstRow="0" w:lastRow="0" w:firstColumn="1" w:lastColumn="0" w:oddVBand="0" w:evenVBand="0" w:oddHBand="0" w:evenHBand="0" w:firstRowFirstColumn="0" w:firstRowLastColumn="0" w:lastRowFirstColumn="0" w:lastRowLastColumn="0"/>
            <w:tcW w:w="2484" w:type="dxa"/>
          </w:tcPr>
          <w:p w14:paraId="6A80FEB0" w14:textId="77777777" w:rsidR="00C220BF" w:rsidRPr="008F1CAB" w:rsidRDefault="00C220BF">
            <w:r w:rsidRPr="00DB3492">
              <w:t>NQF Endorsed:</w:t>
            </w:r>
          </w:p>
        </w:tc>
        <w:tc>
          <w:tcPr>
            <w:tcW w:w="6860" w:type="dxa"/>
          </w:tcPr>
          <w:p w14:paraId="71B78997"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No</w:t>
            </w:r>
          </w:p>
        </w:tc>
      </w:tr>
      <w:tr w:rsidR="00C220BF" w:rsidRPr="008F1CAB" w14:paraId="28BF14C1" w14:textId="77777777">
        <w:tc>
          <w:tcPr>
            <w:cnfStyle w:val="001000000000" w:firstRow="0" w:lastRow="0" w:firstColumn="1" w:lastColumn="0" w:oddVBand="0" w:evenVBand="0" w:oddHBand="0" w:evenHBand="0" w:firstRowFirstColumn="0" w:firstRowLastColumn="0" w:lastRowFirstColumn="0" w:lastRowLastColumn="0"/>
            <w:tcW w:w="2484" w:type="dxa"/>
          </w:tcPr>
          <w:p w14:paraId="42317318" w14:textId="77777777" w:rsidR="00C220BF" w:rsidRPr="008F1CAB" w:rsidRDefault="00C220BF">
            <w:r w:rsidRPr="008F1CAB">
              <w:t>Description</w:t>
            </w:r>
          </w:p>
        </w:tc>
        <w:tc>
          <w:tcPr>
            <w:tcW w:w="6860" w:type="dxa"/>
          </w:tcPr>
          <w:p w14:paraId="7E19397B"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Rate of post-acute care utilization overall and by type for members in MCEs, ACOs, and MCOs.</w:t>
            </w:r>
          </w:p>
        </w:tc>
      </w:tr>
      <w:tr w:rsidR="00C220BF" w:rsidRPr="008F1CAB" w14:paraId="61E4EE6D" w14:textId="77777777">
        <w:tc>
          <w:tcPr>
            <w:cnfStyle w:val="001000000000" w:firstRow="0" w:lastRow="0" w:firstColumn="1" w:lastColumn="0" w:oddVBand="0" w:evenVBand="0" w:oddHBand="0" w:evenHBand="0" w:firstRowFirstColumn="0" w:firstRowLastColumn="0" w:lastRowFirstColumn="0" w:lastRowLastColumn="0"/>
            <w:tcW w:w="2484" w:type="dxa"/>
          </w:tcPr>
          <w:p w14:paraId="458BE756" w14:textId="77777777" w:rsidR="00C220BF" w:rsidRPr="008F1CAB" w:rsidRDefault="00C220BF">
            <w:r w:rsidRPr="008F1CAB">
              <w:t>Numerator</w:t>
            </w:r>
          </w:p>
        </w:tc>
        <w:tc>
          <w:tcPr>
            <w:tcW w:w="6860" w:type="dxa"/>
          </w:tcPr>
          <w:p w14:paraId="2336A310" w14:textId="7A81EF59" w:rsidR="00C220BF" w:rsidRPr="008F1CAB" w:rsidRDefault="00C220BF" w:rsidP="00EC21C0">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8F1CAB">
              <w:t xml:space="preserve">Number of discharges where the person used any post-acute care service (inpatient rehab, nursing facility, or home care) in the 14 days after the discharge date. Include utilization on the discharge date and count it as day 0 (so 15 total days from 0-14). </w:t>
            </w:r>
          </w:p>
          <w:p w14:paraId="021A67F8" w14:textId="65C8123B" w:rsidR="00C220BF" w:rsidRPr="008F1CAB" w:rsidRDefault="00C220BF" w:rsidP="00EC21C0">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8F1CAB">
              <w:t xml:space="preserve">Number of discharges where the person used any institutional post-acute care service (inpatient rehab or nursing facility) in the 14 days after the discharge date. Include utilization on the discharge date and count it as day 0 (so 15 total days from 0-14). </w:t>
            </w:r>
          </w:p>
          <w:p w14:paraId="4A134FB0" w14:textId="477046A9" w:rsidR="00C220BF" w:rsidRPr="008F1CAB" w:rsidRDefault="00C220BF" w:rsidP="00EC21C0">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8F1CAB">
              <w:t>Number of discharges where the person used any home health service in the 14 days after the discharge date. Include utilization on the discharge date and count it as day 0 (so 15 total days from 0-14).</w:t>
            </w:r>
          </w:p>
        </w:tc>
      </w:tr>
      <w:tr w:rsidR="00C220BF" w:rsidRPr="008F1CAB" w14:paraId="1BA63462" w14:textId="77777777">
        <w:tc>
          <w:tcPr>
            <w:cnfStyle w:val="001000000000" w:firstRow="0" w:lastRow="0" w:firstColumn="1" w:lastColumn="0" w:oddVBand="0" w:evenVBand="0" w:oddHBand="0" w:evenHBand="0" w:firstRowFirstColumn="0" w:firstRowLastColumn="0" w:lastRowFirstColumn="0" w:lastRowLastColumn="0"/>
            <w:tcW w:w="2484" w:type="dxa"/>
          </w:tcPr>
          <w:p w14:paraId="269BB420" w14:textId="77777777" w:rsidR="00C220BF" w:rsidRPr="008F1CAB" w:rsidRDefault="00C220BF">
            <w:r w:rsidRPr="008F1CAB">
              <w:t>Denominator</w:t>
            </w:r>
          </w:p>
        </w:tc>
        <w:tc>
          <w:tcPr>
            <w:tcW w:w="6860" w:type="dxa"/>
          </w:tcPr>
          <w:p w14:paraId="3E59F203"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 xml:space="preserve">The number of eligible index hospital stays (discharges) during the study period (between January 1 and December 17).  </w:t>
            </w:r>
          </w:p>
        </w:tc>
      </w:tr>
      <w:tr w:rsidR="00C220BF" w:rsidRPr="008F1CAB" w14:paraId="395D975B" w14:textId="77777777">
        <w:tc>
          <w:tcPr>
            <w:cnfStyle w:val="001000000000" w:firstRow="0" w:lastRow="0" w:firstColumn="1" w:lastColumn="0" w:oddVBand="0" w:evenVBand="0" w:oddHBand="0" w:evenHBand="0" w:firstRowFirstColumn="0" w:firstRowLastColumn="0" w:lastRowFirstColumn="0" w:lastRowLastColumn="0"/>
            <w:tcW w:w="2484" w:type="dxa"/>
          </w:tcPr>
          <w:p w14:paraId="52345E87" w14:textId="77777777" w:rsidR="00C220BF" w:rsidRPr="008F1CAB" w:rsidRDefault="00C220BF">
            <w:r w:rsidRPr="008F1CAB">
              <w:t>Data Sources</w:t>
            </w:r>
          </w:p>
        </w:tc>
        <w:tc>
          <w:tcPr>
            <w:tcW w:w="6860" w:type="dxa"/>
          </w:tcPr>
          <w:p w14:paraId="3E1B5375"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Medicaid claims/encounters data</w:t>
            </w:r>
          </w:p>
        </w:tc>
      </w:tr>
      <w:tr w:rsidR="00C220BF" w:rsidRPr="008F1CAB" w14:paraId="4494403C" w14:textId="77777777">
        <w:tc>
          <w:tcPr>
            <w:cnfStyle w:val="001000000000" w:firstRow="0" w:lastRow="0" w:firstColumn="1" w:lastColumn="0" w:oddVBand="0" w:evenVBand="0" w:oddHBand="0" w:evenHBand="0" w:firstRowFirstColumn="0" w:firstRowLastColumn="0" w:lastRowFirstColumn="0" w:lastRowLastColumn="0"/>
            <w:tcW w:w="2484" w:type="dxa"/>
          </w:tcPr>
          <w:p w14:paraId="56844E75" w14:textId="77777777" w:rsidR="00C220BF" w:rsidRPr="008F1CAB" w:rsidRDefault="00C220BF">
            <w:r w:rsidRPr="008F1CAB">
              <w:t>National Benchmark</w:t>
            </w:r>
          </w:p>
        </w:tc>
        <w:tc>
          <w:tcPr>
            <w:tcW w:w="6860" w:type="dxa"/>
          </w:tcPr>
          <w:p w14:paraId="2CC2B486"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None</w:t>
            </w:r>
          </w:p>
        </w:tc>
      </w:tr>
    </w:tbl>
    <w:p w14:paraId="0671298C" w14:textId="77777777" w:rsidR="00C220BF" w:rsidRDefault="00C220BF" w:rsidP="005F05A0">
      <w:pPr>
        <w:pStyle w:val="NoSpacing"/>
      </w:pPr>
    </w:p>
    <w:tbl>
      <w:tblPr>
        <w:tblStyle w:val="FHCclean10pt"/>
        <w:tblW w:w="0" w:type="auto"/>
        <w:tblLook w:val="04A0" w:firstRow="1" w:lastRow="0" w:firstColumn="1" w:lastColumn="0" w:noHBand="0" w:noVBand="1"/>
      </w:tblPr>
      <w:tblGrid>
        <w:gridCol w:w="2484"/>
        <w:gridCol w:w="6860"/>
      </w:tblGrid>
      <w:tr w:rsidR="00C220BF" w:rsidRPr="008F1CAB" w14:paraId="0471EA4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3E539AFA" w14:textId="77777777" w:rsidR="00C220BF" w:rsidRPr="008F1CAB" w:rsidRDefault="00C220BF">
            <w:r w:rsidRPr="00DB3492">
              <w:t>Measure:</w:t>
            </w:r>
          </w:p>
        </w:tc>
        <w:tc>
          <w:tcPr>
            <w:tcW w:w="6860" w:type="dxa"/>
          </w:tcPr>
          <w:p w14:paraId="286D4EB9" w14:textId="77777777" w:rsidR="00C220BF" w:rsidRPr="008F1CAB" w:rsidRDefault="00C220BF">
            <w:pPr>
              <w:cnfStyle w:val="100000000000" w:firstRow="1" w:lastRow="0" w:firstColumn="0" w:lastColumn="0" w:oddVBand="0" w:evenVBand="0" w:oddHBand="0" w:evenHBand="0" w:firstRowFirstColumn="0" w:firstRowLastColumn="0" w:lastRowFirstColumn="0" w:lastRowLastColumn="0"/>
            </w:pPr>
            <w:r w:rsidRPr="007703E4">
              <w:t>Primary Care Utilization</w:t>
            </w:r>
          </w:p>
        </w:tc>
      </w:tr>
      <w:tr w:rsidR="00C220BF" w:rsidRPr="008F1CAB" w14:paraId="44212C14" w14:textId="77777777">
        <w:tc>
          <w:tcPr>
            <w:cnfStyle w:val="001000000000" w:firstRow="0" w:lastRow="0" w:firstColumn="1" w:lastColumn="0" w:oddVBand="0" w:evenVBand="0" w:oddHBand="0" w:evenHBand="0" w:firstRowFirstColumn="0" w:firstRowLastColumn="0" w:lastRowFirstColumn="0" w:lastRowLastColumn="0"/>
            <w:tcW w:w="2484" w:type="dxa"/>
          </w:tcPr>
          <w:p w14:paraId="213440F7" w14:textId="77777777" w:rsidR="00C220BF" w:rsidRPr="008F1CAB" w:rsidRDefault="00C220BF">
            <w:r w:rsidRPr="00DB3492">
              <w:t>Steward:</w:t>
            </w:r>
          </w:p>
        </w:tc>
        <w:tc>
          <w:tcPr>
            <w:tcW w:w="6860" w:type="dxa"/>
          </w:tcPr>
          <w:p w14:paraId="6CAD018B"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None</w:t>
            </w:r>
          </w:p>
        </w:tc>
      </w:tr>
      <w:tr w:rsidR="00C220BF" w:rsidRPr="008F1CAB" w14:paraId="7CD48CE3" w14:textId="77777777">
        <w:tc>
          <w:tcPr>
            <w:cnfStyle w:val="001000000000" w:firstRow="0" w:lastRow="0" w:firstColumn="1" w:lastColumn="0" w:oddVBand="0" w:evenVBand="0" w:oddHBand="0" w:evenHBand="0" w:firstRowFirstColumn="0" w:firstRowLastColumn="0" w:lastRowFirstColumn="0" w:lastRowLastColumn="0"/>
            <w:tcW w:w="2484" w:type="dxa"/>
          </w:tcPr>
          <w:p w14:paraId="47A4DB66" w14:textId="77777777" w:rsidR="00C220BF" w:rsidRPr="008F1CAB" w:rsidRDefault="00C220BF">
            <w:r w:rsidRPr="00DB3492">
              <w:t>NQF Endorsed:</w:t>
            </w:r>
          </w:p>
        </w:tc>
        <w:tc>
          <w:tcPr>
            <w:tcW w:w="6860" w:type="dxa"/>
          </w:tcPr>
          <w:p w14:paraId="1A81B39F"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No</w:t>
            </w:r>
          </w:p>
        </w:tc>
      </w:tr>
      <w:tr w:rsidR="00C220BF" w:rsidRPr="008F1CAB" w14:paraId="325D0725" w14:textId="77777777">
        <w:tc>
          <w:tcPr>
            <w:cnfStyle w:val="001000000000" w:firstRow="0" w:lastRow="0" w:firstColumn="1" w:lastColumn="0" w:oddVBand="0" w:evenVBand="0" w:oddHBand="0" w:evenHBand="0" w:firstRowFirstColumn="0" w:firstRowLastColumn="0" w:lastRowFirstColumn="0" w:lastRowLastColumn="0"/>
            <w:tcW w:w="2484" w:type="dxa"/>
          </w:tcPr>
          <w:p w14:paraId="012DCE2A" w14:textId="77777777" w:rsidR="00C220BF" w:rsidRPr="008F1CAB" w:rsidRDefault="00C220BF">
            <w:r w:rsidRPr="008F1CAB">
              <w:t>Description</w:t>
            </w:r>
          </w:p>
        </w:tc>
        <w:tc>
          <w:tcPr>
            <w:tcW w:w="6860" w:type="dxa"/>
          </w:tcPr>
          <w:p w14:paraId="554AD1BC" w14:textId="07BB97BB"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Rate of members 0 to 64 years of age who utilized primary care services</w:t>
            </w:r>
            <w:r w:rsidR="00E00146">
              <w:t>.</w:t>
            </w:r>
          </w:p>
        </w:tc>
      </w:tr>
      <w:tr w:rsidR="00C220BF" w:rsidRPr="008F1CAB" w14:paraId="527742B1" w14:textId="77777777">
        <w:tc>
          <w:tcPr>
            <w:cnfStyle w:val="001000000000" w:firstRow="0" w:lastRow="0" w:firstColumn="1" w:lastColumn="0" w:oddVBand="0" w:evenVBand="0" w:oddHBand="0" w:evenHBand="0" w:firstRowFirstColumn="0" w:firstRowLastColumn="0" w:lastRowFirstColumn="0" w:lastRowLastColumn="0"/>
            <w:tcW w:w="2484" w:type="dxa"/>
          </w:tcPr>
          <w:p w14:paraId="35E7E052" w14:textId="77777777" w:rsidR="00C220BF" w:rsidRPr="008F1CAB" w:rsidRDefault="00C220BF">
            <w:r w:rsidRPr="008F1CAB">
              <w:t>Numerator</w:t>
            </w:r>
          </w:p>
        </w:tc>
        <w:tc>
          <w:tcPr>
            <w:tcW w:w="6860" w:type="dxa"/>
          </w:tcPr>
          <w:p w14:paraId="1B958761" w14:textId="1D87A041"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Total number of 0 to 64 years of age who utilized primary care services</w:t>
            </w:r>
            <w:r w:rsidR="00E00146">
              <w:t>.</w:t>
            </w:r>
          </w:p>
        </w:tc>
      </w:tr>
      <w:tr w:rsidR="00C220BF" w:rsidRPr="008F1CAB" w14:paraId="75649C96" w14:textId="77777777">
        <w:tc>
          <w:tcPr>
            <w:cnfStyle w:val="001000000000" w:firstRow="0" w:lastRow="0" w:firstColumn="1" w:lastColumn="0" w:oddVBand="0" w:evenVBand="0" w:oddHBand="0" w:evenHBand="0" w:firstRowFirstColumn="0" w:firstRowLastColumn="0" w:lastRowFirstColumn="0" w:lastRowLastColumn="0"/>
            <w:tcW w:w="2484" w:type="dxa"/>
          </w:tcPr>
          <w:p w14:paraId="444671D1" w14:textId="77777777" w:rsidR="00C220BF" w:rsidRPr="008F1CAB" w:rsidRDefault="00C220BF">
            <w:r w:rsidRPr="008F1CAB">
              <w:t>Denominator</w:t>
            </w:r>
          </w:p>
        </w:tc>
        <w:tc>
          <w:tcPr>
            <w:tcW w:w="6860" w:type="dxa"/>
          </w:tcPr>
          <w:p w14:paraId="5D893FE2" w14:textId="0A738B86"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Person-time contributed among members 0 to 64 years of age</w:t>
            </w:r>
            <w:r w:rsidR="00E00146">
              <w:t>.</w:t>
            </w:r>
          </w:p>
        </w:tc>
      </w:tr>
      <w:tr w:rsidR="00C220BF" w:rsidRPr="008F1CAB" w14:paraId="03626EC6" w14:textId="77777777">
        <w:tc>
          <w:tcPr>
            <w:cnfStyle w:val="001000000000" w:firstRow="0" w:lastRow="0" w:firstColumn="1" w:lastColumn="0" w:oddVBand="0" w:evenVBand="0" w:oddHBand="0" w:evenHBand="0" w:firstRowFirstColumn="0" w:firstRowLastColumn="0" w:lastRowFirstColumn="0" w:lastRowLastColumn="0"/>
            <w:tcW w:w="2484" w:type="dxa"/>
          </w:tcPr>
          <w:p w14:paraId="2FD81E61" w14:textId="77777777" w:rsidR="00C220BF" w:rsidRPr="008F1CAB" w:rsidRDefault="00C220BF">
            <w:r w:rsidRPr="008F1CAB">
              <w:t>Data Sources</w:t>
            </w:r>
          </w:p>
        </w:tc>
        <w:tc>
          <w:tcPr>
            <w:tcW w:w="6860" w:type="dxa"/>
          </w:tcPr>
          <w:p w14:paraId="11123AB2"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Medicaid claims/encounters data</w:t>
            </w:r>
          </w:p>
        </w:tc>
      </w:tr>
      <w:tr w:rsidR="00C220BF" w:rsidRPr="008F1CAB" w14:paraId="7F877D2D" w14:textId="77777777">
        <w:tc>
          <w:tcPr>
            <w:cnfStyle w:val="001000000000" w:firstRow="0" w:lastRow="0" w:firstColumn="1" w:lastColumn="0" w:oddVBand="0" w:evenVBand="0" w:oddHBand="0" w:evenHBand="0" w:firstRowFirstColumn="0" w:firstRowLastColumn="0" w:lastRowFirstColumn="0" w:lastRowLastColumn="0"/>
            <w:tcW w:w="2484" w:type="dxa"/>
          </w:tcPr>
          <w:p w14:paraId="72404691" w14:textId="77777777" w:rsidR="00C220BF" w:rsidRPr="008F1CAB" w:rsidRDefault="00C220BF">
            <w:r w:rsidRPr="008F1CAB">
              <w:t>National Benchmark</w:t>
            </w:r>
          </w:p>
        </w:tc>
        <w:tc>
          <w:tcPr>
            <w:tcW w:w="6860" w:type="dxa"/>
          </w:tcPr>
          <w:p w14:paraId="26E02210"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None</w:t>
            </w:r>
          </w:p>
        </w:tc>
      </w:tr>
    </w:tbl>
    <w:p w14:paraId="0BDA1E7D" w14:textId="77777777" w:rsidR="00C220BF" w:rsidRDefault="00C220BF" w:rsidP="005F05A0">
      <w:pPr>
        <w:pStyle w:val="NoSpacing"/>
      </w:pPr>
    </w:p>
    <w:tbl>
      <w:tblPr>
        <w:tblStyle w:val="FHCclean10pt"/>
        <w:tblW w:w="0" w:type="auto"/>
        <w:tblLook w:val="04A0" w:firstRow="1" w:lastRow="0" w:firstColumn="1" w:lastColumn="0" w:noHBand="0" w:noVBand="1"/>
      </w:tblPr>
      <w:tblGrid>
        <w:gridCol w:w="2484"/>
        <w:gridCol w:w="6860"/>
      </w:tblGrid>
      <w:tr w:rsidR="00C220BF" w:rsidRPr="008F1CAB" w14:paraId="0308149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49D04DB1" w14:textId="77777777" w:rsidR="00C220BF" w:rsidRPr="008F1CAB" w:rsidRDefault="00C220BF">
            <w:r w:rsidRPr="00DB3492">
              <w:t>Measure:</w:t>
            </w:r>
          </w:p>
        </w:tc>
        <w:tc>
          <w:tcPr>
            <w:tcW w:w="6860" w:type="dxa"/>
          </w:tcPr>
          <w:p w14:paraId="5741668D" w14:textId="77777777" w:rsidR="00C220BF" w:rsidRPr="008F1CAB" w:rsidRDefault="00C220BF">
            <w:pPr>
              <w:cnfStyle w:val="100000000000" w:firstRow="1" w:lastRow="0" w:firstColumn="0" w:lastColumn="0" w:oddVBand="0" w:evenVBand="0" w:oddHBand="0" w:evenHBand="0" w:firstRowFirstColumn="0" w:firstRowLastColumn="0" w:lastRowFirstColumn="0" w:lastRowLastColumn="0"/>
            </w:pPr>
            <w:r w:rsidRPr="007703E4">
              <w:t>Ambulatory Care Utilization</w:t>
            </w:r>
          </w:p>
        </w:tc>
      </w:tr>
      <w:tr w:rsidR="00C220BF" w:rsidRPr="008F1CAB" w14:paraId="60823F24" w14:textId="77777777">
        <w:tc>
          <w:tcPr>
            <w:cnfStyle w:val="001000000000" w:firstRow="0" w:lastRow="0" w:firstColumn="1" w:lastColumn="0" w:oddVBand="0" w:evenVBand="0" w:oddHBand="0" w:evenHBand="0" w:firstRowFirstColumn="0" w:firstRowLastColumn="0" w:lastRowFirstColumn="0" w:lastRowLastColumn="0"/>
            <w:tcW w:w="2484" w:type="dxa"/>
          </w:tcPr>
          <w:p w14:paraId="680B2891" w14:textId="77777777" w:rsidR="00C220BF" w:rsidRPr="008F1CAB" w:rsidRDefault="00C220BF">
            <w:r w:rsidRPr="00DB3492">
              <w:t>Steward:</w:t>
            </w:r>
          </w:p>
        </w:tc>
        <w:tc>
          <w:tcPr>
            <w:tcW w:w="6860" w:type="dxa"/>
          </w:tcPr>
          <w:p w14:paraId="0F202D9B"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None</w:t>
            </w:r>
          </w:p>
        </w:tc>
      </w:tr>
      <w:tr w:rsidR="00C220BF" w:rsidRPr="008F1CAB" w14:paraId="7348B0EA" w14:textId="77777777">
        <w:tc>
          <w:tcPr>
            <w:cnfStyle w:val="001000000000" w:firstRow="0" w:lastRow="0" w:firstColumn="1" w:lastColumn="0" w:oddVBand="0" w:evenVBand="0" w:oddHBand="0" w:evenHBand="0" w:firstRowFirstColumn="0" w:firstRowLastColumn="0" w:lastRowFirstColumn="0" w:lastRowLastColumn="0"/>
            <w:tcW w:w="2484" w:type="dxa"/>
          </w:tcPr>
          <w:p w14:paraId="7FBD2BE1" w14:textId="77777777" w:rsidR="00C220BF" w:rsidRPr="008F1CAB" w:rsidRDefault="00C220BF">
            <w:r w:rsidRPr="00DB3492">
              <w:t>NQF Endorsed:</w:t>
            </w:r>
          </w:p>
        </w:tc>
        <w:tc>
          <w:tcPr>
            <w:tcW w:w="6860" w:type="dxa"/>
          </w:tcPr>
          <w:p w14:paraId="174954D8"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No</w:t>
            </w:r>
          </w:p>
        </w:tc>
      </w:tr>
      <w:tr w:rsidR="00C220BF" w:rsidRPr="008F1CAB" w14:paraId="5D89C210" w14:textId="77777777">
        <w:tc>
          <w:tcPr>
            <w:cnfStyle w:val="001000000000" w:firstRow="0" w:lastRow="0" w:firstColumn="1" w:lastColumn="0" w:oddVBand="0" w:evenVBand="0" w:oddHBand="0" w:evenHBand="0" w:firstRowFirstColumn="0" w:firstRowLastColumn="0" w:lastRowFirstColumn="0" w:lastRowLastColumn="0"/>
            <w:tcW w:w="2484" w:type="dxa"/>
          </w:tcPr>
          <w:p w14:paraId="46B80807" w14:textId="77777777" w:rsidR="00C220BF" w:rsidRPr="008F1CAB" w:rsidRDefault="00C220BF">
            <w:r w:rsidRPr="008F1CAB">
              <w:t>Description</w:t>
            </w:r>
          </w:p>
        </w:tc>
        <w:tc>
          <w:tcPr>
            <w:tcW w:w="6860" w:type="dxa"/>
          </w:tcPr>
          <w:p w14:paraId="1D18DAAC" w14:textId="040D8C4C"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Rate of ambulatory care visits among members 0 to 64 years of age</w:t>
            </w:r>
            <w:r w:rsidR="00E00146">
              <w:t>.</w:t>
            </w:r>
          </w:p>
        </w:tc>
      </w:tr>
      <w:tr w:rsidR="00C220BF" w:rsidRPr="008F1CAB" w14:paraId="48E83338" w14:textId="77777777">
        <w:tc>
          <w:tcPr>
            <w:cnfStyle w:val="001000000000" w:firstRow="0" w:lastRow="0" w:firstColumn="1" w:lastColumn="0" w:oddVBand="0" w:evenVBand="0" w:oddHBand="0" w:evenHBand="0" w:firstRowFirstColumn="0" w:firstRowLastColumn="0" w:lastRowFirstColumn="0" w:lastRowLastColumn="0"/>
            <w:tcW w:w="2484" w:type="dxa"/>
          </w:tcPr>
          <w:p w14:paraId="08E6C7E4" w14:textId="77777777" w:rsidR="00C220BF" w:rsidRPr="008F1CAB" w:rsidRDefault="00C220BF">
            <w:r w:rsidRPr="008F1CAB">
              <w:t>Numerator</w:t>
            </w:r>
          </w:p>
        </w:tc>
        <w:tc>
          <w:tcPr>
            <w:tcW w:w="6860" w:type="dxa"/>
          </w:tcPr>
          <w:p w14:paraId="188F34C5" w14:textId="3953AA72"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Total number of ambulatory care visits among members 0 to 64 years of age</w:t>
            </w:r>
            <w:r w:rsidR="00E00146">
              <w:t>.</w:t>
            </w:r>
          </w:p>
        </w:tc>
      </w:tr>
      <w:tr w:rsidR="00C220BF" w:rsidRPr="008F1CAB" w14:paraId="5DB420D5" w14:textId="77777777">
        <w:tc>
          <w:tcPr>
            <w:cnfStyle w:val="001000000000" w:firstRow="0" w:lastRow="0" w:firstColumn="1" w:lastColumn="0" w:oddVBand="0" w:evenVBand="0" w:oddHBand="0" w:evenHBand="0" w:firstRowFirstColumn="0" w:firstRowLastColumn="0" w:lastRowFirstColumn="0" w:lastRowLastColumn="0"/>
            <w:tcW w:w="2484" w:type="dxa"/>
          </w:tcPr>
          <w:p w14:paraId="0F01DA64" w14:textId="77777777" w:rsidR="00C220BF" w:rsidRPr="008F1CAB" w:rsidRDefault="00C220BF">
            <w:r w:rsidRPr="008F1CAB">
              <w:t>Denominator</w:t>
            </w:r>
          </w:p>
        </w:tc>
        <w:tc>
          <w:tcPr>
            <w:tcW w:w="6860" w:type="dxa"/>
          </w:tcPr>
          <w:p w14:paraId="5523E925" w14:textId="2F6741FC"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Person-time contributed among members 0 to 64 years of age</w:t>
            </w:r>
            <w:r w:rsidR="00E00146">
              <w:t>.</w:t>
            </w:r>
          </w:p>
        </w:tc>
      </w:tr>
      <w:tr w:rsidR="00C220BF" w:rsidRPr="008F1CAB" w14:paraId="0CCBFC0B" w14:textId="77777777">
        <w:tc>
          <w:tcPr>
            <w:cnfStyle w:val="001000000000" w:firstRow="0" w:lastRow="0" w:firstColumn="1" w:lastColumn="0" w:oddVBand="0" w:evenVBand="0" w:oddHBand="0" w:evenHBand="0" w:firstRowFirstColumn="0" w:firstRowLastColumn="0" w:lastRowFirstColumn="0" w:lastRowLastColumn="0"/>
            <w:tcW w:w="2484" w:type="dxa"/>
          </w:tcPr>
          <w:p w14:paraId="625C76E6" w14:textId="77777777" w:rsidR="00C220BF" w:rsidRPr="008F1CAB" w:rsidRDefault="00C220BF">
            <w:r w:rsidRPr="008F1CAB">
              <w:t>Data Sources</w:t>
            </w:r>
          </w:p>
        </w:tc>
        <w:tc>
          <w:tcPr>
            <w:tcW w:w="6860" w:type="dxa"/>
          </w:tcPr>
          <w:p w14:paraId="104A487F"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Medicaid claims/encounters data</w:t>
            </w:r>
          </w:p>
        </w:tc>
      </w:tr>
      <w:tr w:rsidR="00C220BF" w:rsidRPr="008F1CAB" w14:paraId="099077C6" w14:textId="77777777">
        <w:tc>
          <w:tcPr>
            <w:cnfStyle w:val="001000000000" w:firstRow="0" w:lastRow="0" w:firstColumn="1" w:lastColumn="0" w:oddVBand="0" w:evenVBand="0" w:oddHBand="0" w:evenHBand="0" w:firstRowFirstColumn="0" w:firstRowLastColumn="0" w:lastRowFirstColumn="0" w:lastRowLastColumn="0"/>
            <w:tcW w:w="2484" w:type="dxa"/>
          </w:tcPr>
          <w:p w14:paraId="0890E58D" w14:textId="77777777" w:rsidR="00C220BF" w:rsidRPr="008F1CAB" w:rsidRDefault="00C220BF">
            <w:r w:rsidRPr="008F1CAB">
              <w:t>National Benchmark</w:t>
            </w:r>
          </w:p>
        </w:tc>
        <w:tc>
          <w:tcPr>
            <w:tcW w:w="6860" w:type="dxa"/>
          </w:tcPr>
          <w:p w14:paraId="39C30480"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None</w:t>
            </w:r>
          </w:p>
        </w:tc>
      </w:tr>
    </w:tbl>
    <w:p w14:paraId="79631005" w14:textId="77777777" w:rsidR="00710F77" w:rsidRDefault="00710F77" w:rsidP="00BC0A3B">
      <w:pPr>
        <w:pStyle w:val="NoSpacing"/>
      </w:pPr>
    </w:p>
    <w:tbl>
      <w:tblPr>
        <w:tblStyle w:val="FHCclean10pt"/>
        <w:tblW w:w="0" w:type="auto"/>
        <w:tblLook w:val="04A0" w:firstRow="1" w:lastRow="0" w:firstColumn="1" w:lastColumn="0" w:noHBand="0" w:noVBand="1"/>
      </w:tblPr>
      <w:tblGrid>
        <w:gridCol w:w="2484"/>
        <w:gridCol w:w="6860"/>
      </w:tblGrid>
      <w:tr w:rsidR="00C220BF" w:rsidRPr="008F1CAB" w14:paraId="5B5D81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35342CDA" w14:textId="77777777" w:rsidR="00C220BF" w:rsidRPr="008F1CAB" w:rsidRDefault="00C220BF">
            <w:r w:rsidRPr="00DB3492">
              <w:lastRenderedPageBreak/>
              <w:t>Measure:</w:t>
            </w:r>
          </w:p>
        </w:tc>
        <w:tc>
          <w:tcPr>
            <w:tcW w:w="6860" w:type="dxa"/>
          </w:tcPr>
          <w:p w14:paraId="2DA984EF" w14:textId="77777777" w:rsidR="00C220BF" w:rsidRPr="008F1CAB" w:rsidRDefault="00C220BF">
            <w:pPr>
              <w:cnfStyle w:val="100000000000" w:firstRow="1" w:lastRow="0" w:firstColumn="0" w:lastColumn="0" w:oddVBand="0" w:evenVBand="0" w:oddHBand="0" w:evenHBand="0" w:firstRowFirstColumn="0" w:firstRowLastColumn="0" w:lastRowFirstColumn="0" w:lastRowLastColumn="0"/>
            </w:pPr>
            <w:r w:rsidRPr="007703E4">
              <w:t>Pharmacy Utilization</w:t>
            </w:r>
          </w:p>
        </w:tc>
      </w:tr>
      <w:tr w:rsidR="00C220BF" w:rsidRPr="008F1CAB" w14:paraId="70ED053B" w14:textId="77777777">
        <w:tc>
          <w:tcPr>
            <w:cnfStyle w:val="001000000000" w:firstRow="0" w:lastRow="0" w:firstColumn="1" w:lastColumn="0" w:oddVBand="0" w:evenVBand="0" w:oddHBand="0" w:evenHBand="0" w:firstRowFirstColumn="0" w:firstRowLastColumn="0" w:lastRowFirstColumn="0" w:lastRowLastColumn="0"/>
            <w:tcW w:w="2484" w:type="dxa"/>
          </w:tcPr>
          <w:p w14:paraId="2D330442" w14:textId="77777777" w:rsidR="00C220BF" w:rsidRPr="008F1CAB" w:rsidRDefault="00C220BF">
            <w:r w:rsidRPr="00DB3492">
              <w:t>Steward:</w:t>
            </w:r>
          </w:p>
        </w:tc>
        <w:tc>
          <w:tcPr>
            <w:tcW w:w="6860" w:type="dxa"/>
          </w:tcPr>
          <w:p w14:paraId="19371353"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None</w:t>
            </w:r>
          </w:p>
        </w:tc>
      </w:tr>
      <w:tr w:rsidR="00C220BF" w:rsidRPr="008F1CAB" w14:paraId="1C5E69E4" w14:textId="77777777">
        <w:tc>
          <w:tcPr>
            <w:cnfStyle w:val="001000000000" w:firstRow="0" w:lastRow="0" w:firstColumn="1" w:lastColumn="0" w:oddVBand="0" w:evenVBand="0" w:oddHBand="0" w:evenHBand="0" w:firstRowFirstColumn="0" w:firstRowLastColumn="0" w:lastRowFirstColumn="0" w:lastRowLastColumn="0"/>
            <w:tcW w:w="2484" w:type="dxa"/>
          </w:tcPr>
          <w:p w14:paraId="4FEE9D79" w14:textId="77777777" w:rsidR="00C220BF" w:rsidRPr="008F1CAB" w:rsidRDefault="00C220BF">
            <w:r w:rsidRPr="00DB3492">
              <w:t>NQF Endorsed:</w:t>
            </w:r>
          </w:p>
        </w:tc>
        <w:tc>
          <w:tcPr>
            <w:tcW w:w="6860" w:type="dxa"/>
          </w:tcPr>
          <w:p w14:paraId="101BFA4F"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No</w:t>
            </w:r>
          </w:p>
        </w:tc>
      </w:tr>
      <w:tr w:rsidR="00C220BF" w:rsidRPr="008F1CAB" w14:paraId="0CAC8597" w14:textId="77777777">
        <w:tc>
          <w:tcPr>
            <w:cnfStyle w:val="001000000000" w:firstRow="0" w:lastRow="0" w:firstColumn="1" w:lastColumn="0" w:oddVBand="0" w:evenVBand="0" w:oddHBand="0" w:evenHBand="0" w:firstRowFirstColumn="0" w:firstRowLastColumn="0" w:lastRowFirstColumn="0" w:lastRowLastColumn="0"/>
            <w:tcW w:w="2484" w:type="dxa"/>
          </w:tcPr>
          <w:p w14:paraId="6D11045A" w14:textId="77777777" w:rsidR="00C220BF" w:rsidRPr="008F1CAB" w:rsidRDefault="00C220BF">
            <w:r w:rsidRPr="008F1CAB">
              <w:t>Description</w:t>
            </w:r>
          </w:p>
        </w:tc>
        <w:tc>
          <w:tcPr>
            <w:tcW w:w="6860" w:type="dxa"/>
          </w:tcPr>
          <w:p w14:paraId="40E0D733" w14:textId="2BC65120"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Number of medications used among members 0 to 64 years of age</w:t>
            </w:r>
            <w:r w:rsidR="00E00146">
              <w:t>.</w:t>
            </w:r>
          </w:p>
        </w:tc>
      </w:tr>
      <w:tr w:rsidR="00C220BF" w:rsidRPr="008F1CAB" w14:paraId="5724F4E8" w14:textId="77777777">
        <w:tc>
          <w:tcPr>
            <w:cnfStyle w:val="001000000000" w:firstRow="0" w:lastRow="0" w:firstColumn="1" w:lastColumn="0" w:oddVBand="0" w:evenVBand="0" w:oddHBand="0" w:evenHBand="0" w:firstRowFirstColumn="0" w:firstRowLastColumn="0" w:lastRowFirstColumn="0" w:lastRowLastColumn="0"/>
            <w:tcW w:w="2484" w:type="dxa"/>
          </w:tcPr>
          <w:p w14:paraId="518D9EF6" w14:textId="77777777" w:rsidR="00C220BF" w:rsidRPr="008F1CAB" w:rsidRDefault="00C220BF">
            <w:r w:rsidRPr="008F1CAB">
              <w:t>Numerator</w:t>
            </w:r>
          </w:p>
        </w:tc>
        <w:tc>
          <w:tcPr>
            <w:tcW w:w="6860" w:type="dxa"/>
          </w:tcPr>
          <w:p w14:paraId="41182A8B" w14:textId="781FE75B"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Number of unique medications used among members 0 to 64 years of age</w:t>
            </w:r>
            <w:r w:rsidR="00E00146">
              <w:t>.</w:t>
            </w:r>
          </w:p>
        </w:tc>
      </w:tr>
      <w:tr w:rsidR="00C220BF" w:rsidRPr="008F1CAB" w14:paraId="4DBA39A6" w14:textId="77777777">
        <w:tc>
          <w:tcPr>
            <w:cnfStyle w:val="001000000000" w:firstRow="0" w:lastRow="0" w:firstColumn="1" w:lastColumn="0" w:oddVBand="0" w:evenVBand="0" w:oddHBand="0" w:evenHBand="0" w:firstRowFirstColumn="0" w:firstRowLastColumn="0" w:lastRowFirstColumn="0" w:lastRowLastColumn="0"/>
            <w:tcW w:w="2484" w:type="dxa"/>
          </w:tcPr>
          <w:p w14:paraId="3FD43D07" w14:textId="77777777" w:rsidR="00C220BF" w:rsidRPr="008F1CAB" w:rsidRDefault="00C220BF">
            <w:r w:rsidRPr="008F1CAB">
              <w:t>Denominator</w:t>
            </w:r>
          </w:p>
        </w:tc>
        <w:tc>
          <w:tcPr>
            <w:tcW w:w="6860" w:type="dxa"/>
          </w:tcPr>
          <w:p w14:paraId="4C35F9BA" w14:textId="6781F720"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Members 0 to 64 years of age</w:t>
            </w:r>
            <w:r w:rsidR="00E00146">
              <w:t>.</w:t>
            </w:r>
          </w:p>
        </w:tc>
      </w:tr>
      <w:tr w:rsidR="00C220BF" w:rsidRPr="008F1CAB" w14:paraId="6A542A23" w14:textId="77777777">
        <w:tc>
          <w:tcPr>
            <w:cnfStyle w:val="001000000000" w:firstRow="0" w:lastRow="0" w:firstColumn="1" w:lastColumn="0" w:oddVBand="0" w:evenVBand="0" w:oddHBand="0" w:evenHBand="0" w:firstRowFirstColumn="0" w:firstRowLastColumn="0" w:lastRowFirstColumn="0" w:lastRowLastColumn="0"/>
            <w:tcW w:w="2484" w:type="dxa"/>
          </w:tcPr>
          <w:p w14:paraId="7C42706A" w14:textId="77777777" w:rsidR="00C220BF" w:rsidRPr="008F1CAB" w:rsidRDefault="00C220BF">
            <w:r w:rsidRPr="008F1CAB">
              <w:t>Data Sources</w:t>
            </w:r>
          </w:p>
        </w:tc>
        <w:tc>
          <w:tcPr>
            <w:tcW w:w="6860" w:type="dxa"/>
          </w:tcPr>
          <w:p w14:paraId="1BDF8DEB"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Medicaid claims/encounters data</w:t>
            </w:r>
          </w:p>
        </w:tc>
      </w:tr>
      <w:tr w:rsidR="00C220BF" w:rsidRPr="008F1CAB" w14:paraId="72B8C7DE" w14:textId="77777777">
        <w:tc>
          <w:tcPr>
            <w:cnfStyle w:val="001000000000" w:firstRow="0" w:lastRow="0" w:firstColumn="1" w:lastColumn="0" w:oddVBand="0" w:evenVBand="0" w:oddHBand="0" w:evenHBand="0" w:firstRowFirstColumn="0" w:firstRowLastColumn="0" w:lastRowFirstColumn="0" w:lastRowLastColumn="0"/>
            <w:tcW w:w="2484" w:type="dxa"/>
          </w:tcPr>
          <w:p w14:paraId="39E182A4" w14:textId="77777777" w:rsidR="00C220BF" w:rsidRPr="008F1CAB" w:rsidRDefault="00C220BF">
            <w:r w:rsidRPr="008F1CAB">
              <w:t>National Benchmark</w:t>
            </w:r>
          </w:p>
        </w:tc>
        <w:tc>
          <w:tcPr>
            <w:tcW w:w="6860" w:type="dxa"/>
          </w:tcPr>
          <w:p w14:paraId="1B5DA612"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None</w:t>
            </w:r>
          </w:p>
        </w:tc>
      </w:tr>
    </w:tbl>
    <w:p w14:paraId="35D88CDB" w14:textId="77777777" w:rsidR="00C220BF" w:rsidRDefault="00C220BF" w:rsidP="00D35F44">
      <w:pPr>
        <w:pStyle w:val="NoSpacing"/>
      </w:pPr>
    </w:p>
    <w:tbl>
      <w:tblPr>
        <w:tblStyle w:val="FHCclean10pt"/>
        <w:tblW w:w="0" w:type="auto"/>
        <w:tblLook w:val="04A0" w:firstRow="1" w:lastRow="0" w:firstColumn="1" w:lastColumn="0" w:noHBand="0" w:noVBand="1"/>
      </w:tblPr>
      <w:tblGrid>
        <w:gridCol w:w="2484"/>
        <w:gridCol w:w="6860"/>
      </w:tblGrid>
      <w:tr w:rsidR="00C220BF" w:rsidRPr="008F1CAB" w14:paraId="46D23CA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4FA0751D" w14:textId="77777777" w:rsidR="00C220BF" w:rsidRPr="008F1CAB" w:rsidRDefault="00C220BF">
            <w:r w:rsidRPr="00DB3492">
              <w:t>Measure:</w:t>
            </w:r>
          </w:p>
        </w:tc>
        <w:tc>
          <w:tcPr>
            <w:tcW w:w="6860" w:type="dxa"/>
          </w:tcPr>
          <w:p w14:paraId="59B9C548" w14:textId="77777777" w:rsidR="00C220BF" w:rsidRPr="008F1CAB" w:rsidRDefault="00C220BF">
            <w:pPr>
              <w:cnfStyle w:val="100000000000" w:firstRow="1" w:lastRow="0" w:firstColumn="0" w:lastColumn="0" w:oddVBand="0" w:evenVBand="0" w:oddHBand="0" w:evenHBand="0" w:firstRowFirstColumn="0" w:firstRowLastColumn="0" w:lastRowFirstColumn="0" w:lastRowLastColumn="0"/>
            </w:pPr>
            <w:r w:rsidRPr="007703E4">
              <w:t>Imaging for Low Back Pain (LBP)</w:t>
            </w:r>
          </w:p>
        </w:tc>
      </w:tr>
      <w:tr w:rsidR="00C220BF" w:rsidRPr="008F1CAB" w14:paraId="64447143" w14:textId="77777777">
        <w:tc>
          <w:tcPr>
            <w:cnfStyle w:val="001000000000" w:firstRow="0" w:lastRow="0" w:firstColumn="1" w:lastColumn="0" w:oddVBand="0" w:evenVBand="0" w:oddHBand="0" w:evenHBand="0" w:firstRowFirstColumn="0" w:firstRowLastColumn="0" w:lastRowFirstColumn="0" w:lastRowLastColumn="0"/>
            <w:tcW w:w="2484" w:type="dxa"/>
          </w:tcPr>
          <w:p w14:paraId="0A6D1F1F" w14:textId="77777777" w:rsidR="00C220BF" w:rsidRPr="008F1CAB" w:rsidRDefault="00C220BF">
            <w:r w:rsidRPr="00DB3492">
              <w:t>Steward:</w:t>
            </w:r>
          </w:p>
        </w:tc>
        <w:tc>
          <w:tcPr>
            <w:tcW w:w="6860" w:type="dxa"/>
          </w:tcPr>
          <w:p w14:paraId="174F9CF0"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7703E4">
              <w:t xml:space="preserve">National Committee on Quality Assurance </w:t>
            </w:r>
          </w:p>
        </w:tc>
      </w:tr>
      <w:tr w:rsidR="00C220BF" w:rsidRPr="008F1CAB" w14:paraId="2828F4E8" w14:textId="77777777">
        <w:tc>
          <w:tcPr>
            <w:cnfStyle w:val="001000000000" w:firstRow="0" w:lastRow="0" w:firstColumn="1" w:lastColumn="0" w:oddVBand="0" w:evenVBand="0" w:oddHBand="0" w:evenHBand="0" w:firstRowFirstColumn="0" w:firstRowLastColumn="0" w:lastRowFirstColumn="0" w:lastRowLastColumn="0"/>
            <w:tcW w:w="2484" w:type="dxa"/>
          </w:tcPr>
          <w:p w14:paraId="30B9FB85" w14:textId="77777777" w:rsidR="00C220BF" w:rsidRPr="008F1CAB" w:rsidRDefault="00C220BF">
            <w:r w:rsidRPr="00DB3492">
              <w:t>NQF Endorsed:</w:t>
            </w:r>
          </w:p>
        </w:tc>
        <w:tc>
          <w:tcPr>
            <w:tcW w:w="6860" w:type="dxa"/>
          </w:tcPr>
          <w:p w14:paraId="69F2F189"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No</w:t>
            </w:r>
          </w:p>
        </w:tc>
      </w:tr>
      <w:tr w:rsidR="00C220BF" w:rsidRPr="008F1CAB" w14:paraId="290215AE" w14:textId="77777777">
        <w:tc>
          <w:tcPr>
            <w:cnfStyle w:val="001000000000" w:firstRow="0" w:lastRow="0" w:firstColumn="1" w:lastColumn="0" w:oddVBand="0" w:evenVBand="0" w:oddHBand="0" w:evenHBand="0" w:firstRowFirstColumn="0" w:firstRowLastColumn="0" w:lastRowFirstColumn="0" w:lastRowLastColumn="0"/>
            <w:tcW w:w="2484" w:type="dxa"/>
          </w:tcPr>
          <w:p w14:paraId="46481D7B" w14:textId="77777777" w:rsidR="00C220BF" w:rsidRPr="008F1CAB" w:rsidRDefault="00C220BF">
            <w:r w:rsidRPr="008F1CAB">
              <w:t>Description</w:t>
            </w:r>
          </w:p>
        </w:tc>
        <w:tc>
          <w:tcPr>
            <w:tcW w:w="6860" w:type="dxa"/>
          </w:tcPr>
          <w:p w14:paraId="579FD02C" w14:textId="59BEA43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 xml:space="preserve">Adults </w:t>
            </w:r>
            <w:r w:rsidR="00E00146" w:rsidRPr="008F1CAB">
              <w:t>18</w:t>
            </w:r>
            <w:r w:rsidR="00E00146">
              <w:t xml:space="preserve"> to </w:t>
            </w:r>
            <w:r w:rsidR="00E00146" w:rsidRPr="008F1CAB">
              <w:t xml:space="preserve">50 </w:t>
            </w:r>
            <w:r w:rsidR="00E00146">
              <w:t>years of age</w:t>
            </w:r>
            <w:r w:rsidRPr="008F1CAB">
              <w:t xml:space="preserve"> with a primary diagnosis of low back pain who did not have an imaging study (plain X-ray, MRI</w:t>
            </w:r>
            <w:r w:rsidR="00E00146">
              <w:t>,</w:t>
            </w:r>
            <w:r w:rsidRPr="008F1CAB">
              <w:t xml:space="preserve"> or CT scan) within 28 days of the diagnosis. </w:t>
            </w:r>
          </w:p>
        </w:tc>
      </w:tr>
      <w:tr w:rsidR="00C220BF" w:rsidRPr="008F1CAB" w14:paraId="038C2275" w14:textId="77777777">
        <w:tc>
          <w:tcPr>
            <w:cnfStyle w:val="001000000000" w:firstRow="0" w:lastRow="0" w:firstColumn="1" w:lastColumn="0" w:oddVBand="0" w:evenVBand="0" w:oddHBand="0" w:evenHBand="0" w:firstRowFirstColumn="0" w:firstRowLastColumn="0" w:lastRowFirstColumn="0" w:lastRowLastColumn="0"/>
            <w:tcW w:w="2484" w:type="dxa"/>
          </w:tcPr>
          <w:p w14:paraId="50068B0D" w14:textId="77777777" w:rsidR="00C220BF" w:rsidRPr="008F1CAB" w:rsidRDefault="00C220BF">
            <w:r w:rsidRPr="008F1CAB">
              <w:t>Numerator</w:t>
            </w:r>
          </w:p>
        </w:tc>
        <w:tc>
          <w:tcPr>
            <w:tcW w:w="6860" w:type="dxa"/>
          </w:tcPr>
          <w:p w14:paraId="26115F92"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The number of patients without an order for or report on an imaging study during the 28 days after pain onset.</w:t>
            </w:r>
          </w:p>
        </w:tc>
      </w:tr>
      <w:tr w:rsidR="00C220BF" w:rsidRPr="008F1CAB" w14:paraId="4D9A8EC8" w14:textId="77777777">
        <w:tc>
          <w:tcPr>
            <w:cnfStyle w:val="001000000000" w:firstRow="0" w:lastRow="0" w:firstColumn="1" w:lastColumn="0" w:oddVBand="0" w:evenVBand="0" w:oddHBand="0" w:evenHBand="0" w:firstRowFirstColumn="0" w:firstRowLastColumn="0" w:lastRowFirstColumn="0" w:lastRowLastColumn="0"/>
            <w:tcW w:w="2484" w:type="dxa"/>
          </w:tcPr>
          <w:p w14:paraId="3212A1BF" w14:textId="77777777" w:rsidR="00C220BF" w:rsidRPr="008F1CAB" w:rsidRDefault="00C220BF">
            <w:r w:rsidRPr="008F1CAB">
              <w:t>Denominator</w:t>
            </w:r>
          </w:p>
        </w:tc>
        <w:tc>
          <w:tcPr>
            <w:tcW w:w="6860" w:type="dxa"/>
          </w:tcPr>
          <w:p w14:paraId="0FD3DB8E" w14:textId="01AEB2CB"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Adults 18</w:t>
            </w:r>
            <w:r w:rsidR="00E00146">
              <w:t xml:space="preserve"> to </w:t>
            </w:r>
            <w:r w:rsidRPr="008F1CAB">
              <w:t xml:space="preserve">50 </w:t>
            </w:r>
            <w:r w:rsidR="00E00146">
              <w:t xml:space="preserve">years of age </w:t>
            </w:r>
            <w:r w:rsidRPr="008F1CAB">
              <w:t>with a primary diagnosis of low back pain.</w:t>
            </w:r>
          </w:p>
        </w:tc>
      </w:tr>
      <w:tr w:rsidR="00C220BF" w:rsidRPr="008F1CAB" w14:paraId="71062AAF" w14:textId="77777777">
        <w:tc>
          <w:tcPr>
            <w:cnfStyle w:val="001000000000" w:firstRow="0" w:lastRow="0" w:firstColumn="1" w:lastColumn="0" w:oddVBand="0" w:evenVBand="0" w:oddHBand="0" w:evenHBand="0" w:firstRowFirstColumn="0" w:firstRowLastColumn="0" w:lastRowFirstColumn="0" w:lastRowLastColumn="0"/>
            <w:tcW w:w="2484" w:type="dxa"/>
          </w:tcPr>
          <w:p w14:paraId="3D647156" w14:textId="77777777" w:rsidR="00C220BF" w:rsidRPr="008F1CAB" w:rsidRDefault="00C220BF">
            <w:r w:rsidRPr="008F1CAB">
              <w:t>Data Sources</w:t>
            </w:r>
          </w:p>
        </w:tc>
        <w:tc>
          <w:tcPr>
            <w:tcW w:w="6860" w:type="dxa"/>
          </w:tcPr>
          <w:p w14:paraId="515CD28C"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Medicaid claims/encounters data</w:t>
            </w:r>
          </w:p>
        </w:tc>
      </w:tr>
      <w:tr w:rsidR="00C220BF" w:rsidRPr="008F1CAB" w14:paraId="55A0D2CE" w14:textId="77777777">
        <w:tc>
          <w:tcPr>
            <w:cnfStyle w:val="001000000000" w:firstRow="0" w:lastRow="0" w:firstColumn="1" w:lastColumn="0" w:oddVBand="0" w:evenVBand="0" w:oddHBand="0" w:evenHBand="0" w:firstRowFirstColumn="0" w:firstRowLastColumn="0" w:lastRowFirstColumn="0" w:lastRowLastColumn="0"/>
            <w:tcW w:w="2484" w:type="dxa"/>
          </w:tcPr>
          <w:p w14:paraId="14A07603" w14:textId="77777777" w:rsidR="00C220BF" w:rsidRPr="008F1CAB" w:rsidRDefault="00C220BF">
            <w:r w:rsidRPr="008F1CAB">
              <w:t>National Benchmark</w:t>
            </w:r>
          </w:p>
        </w:tc>
        <w:tc>
          <w:tcPr>
            <w:tcW w:w="6860" w:type="dxa"/>
          </w:tcPr>
          <w:p w14:paraId="6ADBFD12"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2021 Medicaid HMO = 74.5%</w:t>
            </w:r>
          </w:p>
          <w:p w14:paraId="14888D48" w14:textId="27C8F60A"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 xml:space="preserve">Source: </w:t>
            </w:r>
            <w:hyperlink r:id="rId59" w:history="1">
              <w:r w:rsidR="005F5CC3" w:rsidRPr="009348BF">
                <w:rPr>
                  <w:rStyle w:val="Hyperlink"/>
                </w:rPr>
                <w:t>https://www.ncqa.org/hedis/measures/use-of-imaging-studies-for-low-back-pain/</w:t>
              </w:r>
            </w:hyperlink>
            <w:r w:rsidR="005F5CC3">
              <w:t xml:space="preserve"> </w:t>
            </w:r>
          </w:p>
        </w:tc>
      </w:tr>
    </w:tbl>
    <w:p w14:paraId="15C405E6" w14:textId="77777777" w:rsidR="00C220BF" w:rsidRDefault="00C220BF" w:rsidP="00D35F44">
      <w:pPr>
        <w:pStyle w:val="NoSpacing"/>
      </w:pPr>
    </w:p>
    <w:tbl>
      <w:tblPr>
        <w:tblStyle w:val="FHCclean10pt"/>
        <w:tblW w:w="0" w:type="auto"/>
        <w:tblLook w:val="04A0" w:firstRow="1" w:lastRow="0" w:firstColumn="1" w:lastColumn="0" w:noHBand="0" w:noVBand="1"/>
      </w:tblPr>
      <w:tblGrid>
        <w:gridCol w:w="2484"/>
        <w:gridCol w:w="6860"/>
      </w:tblGrid>
      <w:tr w:rsidR="00C220BF" w:rsidRPr="008F1CAB" w14:paraId="4380E9B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1C2312F6" w14:textId="77777777" w:rsidR="00C220BF" w:rsidRPr="008F1CAB" w:rsidRDefault="00C220BF">
            <w:r w:rsidRPr="00DB3492">
              <w:t>Measure:</w:t>
            </w:r>
          </w:p>
        </w:tc>
        <w:tc>
          <w:tcPr>
            <w:tcW w:w="6860" w:type="dxa"/>
          </w:tcPr>
          <w:p w14:paraId="089B2902" w14:textId="77777777" w:rsidR="00C220BF" w:rsidRPr="008F1CAB" w:rsidRDefault="00C220BF">
            <w:pPr>
              <w:cnfStyle w:val="100000000000" w:firstRow="1" w:lastRow="0" w:firstColumn="0" w:lastColumn="0" w:oddVBand="0" w:evenVBand="0" w:oddHBand="0" w:evenHBand="0" w:firstRowFirstColumn="0" w:firstRowLastColumn="0" w:lastRowFirstColumn="0" w:lastRowLastColumn="0"/>
            </w:pPr>
            <w:r w:rsidRPr="00FB63B0">
              <w:t>Inpatient Utilization—General Hospital/Acute Care (IPU)</w:t>
            </w:r>
          </w:p>
        </w:tc>
      </w:tr>
      <w:tr w:rsidR="00C220BF" w:rsidRPr="008F1CAB" w14:paraId="7A8121C7" w14:textId="77777777">
        <w:tc>
          <w:tcPr>
            <w:cnfStyle w:val="001000000000" w:firstRow="0" w:lastRow="0" w:firstColumn="1" w:lastColumn="0" w:oddVBand="0" w:evenVBand="0" w:oddHBand="0" w:evenHBand="0" w:firstRowFirstColumn="0" w:firstRowLastColumn="0" w:lastRowFirstColumn="0" w:lastRowLastColumn="0"/>
            <w:tcW w:w="2484" w:type="dxa"/>
          </w:tcPr>
          <w:p w14:paraId="439245CE" w14:textId="77777777" w:rsidR="00C220BF" w:rsidRPr="008F1CAB" w:rsidRDefault="00C220BF">
            <w:r w:rsidRPr="00DB3492">
              <w:t>Steward:</w:t>
            </w:r>
          </w:p>
        </w:tc>
        <w:tc>
          <w:tcPr>
            <w:tcW w:w="6860" w:type="dxa"/>
          </w:tcPr>
          <w:p w14:paraId="5D8CB824"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None</w:t>
            </w:r>
          </w:p>
        </w:tc>
      </w:tr>
      <w:tr w:rsidR="00C220BF" w:rsidRPr="008F1CAB" w14:paraId="5A879376" w14:textId="77777777">
        <w:tc>
          <w:tcPr>
            <w:cnfStyle w:val="001000000000" w:firstRow="0" w:lastRow="0" w:firstColumn="1" w:lastColumn="0" w:oddVBand="0" w:evenVBand="0" w:oddHBand="0" w:evenHBand="0" w:firstRowFirstColumn="0" w:firstRowLastColumn="0" w:lastRowFirstColumn="0" w:lastRowLastColumn="0"/>
            <w:tcW w:w="2484" w:type="dxa"/>
          </w:tcPr>
          <w:p w14:paraId="46F9D44A" w14:textId="77777777" w:rsidR="00C220BF" w:rsidRPr="008F1CAB" w:rsidRDefault="00C220BF">
            <w:r w:rsidRPr="00DB3492">
              <w:t>NQF Endorsed:</w:t>
            </w:r>
          </w:p>
        </w:tc>
        <w:tc>
          <w:tcPr>
            <w:tcW w:w="6860" w:type="dxa"/>
          </w:tcPr>
          <w:p w14:paraId="7952049A"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No</w:t>
            </w:r>
          </w:p>
        </w:tc>
      </w:tr>
      <w:tr w:rsidR="00C220BF" w:rsidRPr="008F1CAB" w14:paraId="4B12B6BE" w14:textId="77777777">
        <w:tc>
          <w:tcPr>
            <w:cnfStyle w:val="001000000000" w:firstRow="0" w:lastRow="0" w:firstColumn="1" w:lastColumn="0" w:oddVBand="0" w:evenVBand="0" w:oddHBand="0" w:evenHBand="0" w:firstRowFirstColumn="0" w:firstRowLastColumn="0" w:lastRowFirstColumn="0" w:lastRowLastColumn="0"/>
            <w:tcW w:w="2484" w:type="dxa"/>
          </w:tcPr>
          <w:p w14:paraId="1E30F81A" w14:textId="77777777" w:rsidR="00C220BF" w:rsidRPr="008F1CAB" w:rsidRDefault="00C220BF">
            <w:r w:rsidRPr="008F1CAB">
              <w:t>Description</w:t>
            </w:r>
          </w:p>
        </w:tc>
        <w:tc>
          <w:tcPr>
            <w:tcW w:w="6860" w:type="dxa"/>
          </w:tcPr>
          <w:p w14:paraId="57AAB5F1" w14:textId="260DBCEF"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Rate of inpatient stays among members 0 to 64 years of age.</w:t>
            </w:r>
          </w:p>
        </w:tc>
      </w:tr>
      <w:tr w:rsidR="00C220BF" w:rsidRPr="008F1CAB" w14:paraId="4F761117" w14:textId="77777777">
        <w:tc>
          <w:tcPr>
            <w:cnfStyle w:val="001000000000" w:firstRow="0" w:lastRow="0" w:firstColumn="1" w:lastColumn="0" w:oddVBand="0" w:evenVBand="0" w:oddHBand="0" w:evenHBand="0" w:firstRowFirstColumn="0" w:firstRowLastColumn="0" w:lastRowFirstColumn="0" w:lastRowLastColumn="0"/>
            <w:tcW w:w="2484" w:type="dxa"/>
          </w:tcPr>
          <w:p w14:paraId="27F968D9" w14:textId="77777777" w:rsidR="00C220BF" w:rsidRPr="008F1CAB" w:rsidRDefault="00C220BF">
            <w:r w:rsidRPr="008F1CAB">
              <w:t>Numerator</w:t>
            </w:r>
          </w:p>
        </w:tc>
        <w:tc>
          <w:tcPr>
            <w:tcW w:w="6860" w:type="dxa"/>
          </w:tcPr>
          <w:p w14:paraId="26380DCC" w14:textId="50F4BDDE"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Total number</w:t>
            </w:r>
            <w:r w:rsidR="00AA63A0">
              <w:t xml:space="preserve"> of</w:t>
            </w:r>
            <w:r w:rsidRPr="008F1CAB">
              <w:t xml:space="preserve"> inpatient stays</w:t>
            </w:r>
            <w:r w:rsidR="00AA63A0">
              <w:t>.</w:t>
            </w:r>
          </w:p>
        </w:tc>
      </w:tr>
      <w:tr w:rsidR="00C220BF" w:rsidRPr="008F1CAB" w14:paraId="1EA3C69E" w14:textId="77777777">
        <w:tc>
          <w:tcPr>
            <w:cnfStyle w:val="001000000000" w:firstRow="0" w:lastRow="0" w:firstColumn="1" w:lastColumn="0" w:oddVBand="0" w:evenVBand="0" w:oddHBand="0" w:evenHBand="0" w:firstRowFirstColumn="0" w:firstRowLastColumn="0" w:lastRowFirstColumn="0" w:lastRowLastColumn="0"/>
            <w:tcW w:w="2484" w:type="dxa"/>
          </w:tcPr>
          <w:p w14:paraId="7F7A9238" w14:textId="77777777" w:rsidR="00C220BF" w:rsidRPr="008F1CAB" w:rsidRDefault="00C220BF">
            <w:r w:rsidRPr="008F1CAB">
              <w:t>Denominator</w:t>
            </w:r>
          </w:p>
        </w:tc>
        <w:tc>
          <w:tcPr>
            <w:tcW w:w="6860" w:type="dxa"/>
          </w:tcPr>
          <w:p w14:paraId="1C4859A5" w14:textId="7815F696"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 xml:space="preserve">Person-time contributed </w:t>
            </w:r>
            <w:r w:rsidR="008023A0" w:rsidRPr="008F1CAB">
              <w:t>by members</w:t>
            </w:r>
            <w:r w:rsidRPr="008F1CAB">
              <w:t xml:space="preserve"> 0 to 64 years of age</w:t>
            </w:r>
            <w:r w:rsidR="00AA63A0">
              <w:t>.</w:t>
            </w:r>
          </w:p>
        </w:tc>
      </w:tr>
      <w:tr w:rsidR="00C220BF" w:rsidRPr="008F1CAB" w14:paraId="5A262B0B" w14:textId="77777777">
        <w:tc>
          <w:tcPr>
            <w:cnfStyle w:val="001000000000" w:firstRow="0" w:lastRow="0" w:firstColumn="1" w:lastColumn="0" w:oddVBand="0" w:evenVBand="0" w:oddHBand="0" w:evenHBand="0" w:firstRowFirstColumn="0" w:firstRowLastColumn="0" w:lastRowFirstColumn="0" w:lastRowLastColumn="0"/>
            <w:tcW w:w="2484" w:type="dxa"/>
          </w:tcPr>
          <w:p w14:paraId="0C074D4E" w14:textId="77777777" w:rsidR="00C220BF" w:rsidRPr="008F1CAB" w:rsidRDefault="00C220BF">
            <w:r w:rsidRPr="008F1CAB">
              <w:t>Data Sources</w:t>
            </w:r>
          </w:p>
        </w:tc>
        <w:tc>
          <w:tcPr>
            <w:tcW w:w="6860" w:type="dxa"/>
          </w:tcPr>
          <w:p w14:paraId="0F2D5BC4"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Medicaid claims/encounters data</w:t>
            </w:r>
          </w:p>
        </w:tc>
      </w:tr>
      <w:tr w:rsidR="00C220BF" w:rsidRPr="008F1CAB" w14:paraId="69E8FD58" w14:textId="77777777">
        <w:tc>
          <w:tcPr>
            <w:cnfStyle w:val="001000000000" w:firstRow="0" w:lastRow="0" w:firstColumn="1" w:lastColumn="0" w:oddVBand="0" w:evenVBand="0" w:oddHBand="0" w:evenHBand="0" w:firstRowFirstColumn="0" w:firstRowLastColumn="0" w:lastRowFirstColumn="0" w:lastRowLastColumn="0"/>
            <w:tcW w:w="2484" w:type="dxa"/>
          </w:tcPr>
          <w:p w14:paraId="054E31B9" w14:textId="77777777" w:rsidR="00C220BF" w:rsidRPr="008F1CAB" w:rsidRDefault="00C220BF">
            <w:r w:rsidRPr="008F1CAB">
              <w:t>National Benchmark</w:t>
            </w:r>
          </w:p>
        </w:tc>
        <w:tc>
          <w:tcPr>
            <w:tcW w:w="6860" w:type="dxa"/>
          </w:tcPr>
          <w:p w14:paraId="23D628D3"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None</w:t>
            </w:r>
          </w:p>
        </w:tc>
      </w:tr>
    </w:tbl>
    <w:p w14:paraId="2A4BF8E1" w14:textId="77777777" w:rsidR="00C220BF" w:rsidRDefault="00C220BF" w:rsidP="00D35F44">
      <w:pPr>
        <w:pStyle w:val="NoSpacing"/>
      </w:pPr>
    </w:p>
    <w:tbl>
      <w:tblPr>
        <w:tblStyle w:val="FHCclean10pt"/>
        <w:tblW w:w="0" w:type="auto"/>
        <w:tblLook w:val="04A0" w:firstRow="1" w:lastRow="0" w:firstColumn="1" w:lastColumn="0" w:noHBand="0" w:noVBand="1"/>
      </w:tblPr>
      <w:tblGrid>
        <w:gridCol w:w="2484"/>
        <w:gridCol w:w="6860"/>
      </w:tblGrid>
      <w:tr w:rsidR="00C220BF" w:rsidRPr="008F1CAB" w14:paraId="5F1D121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3F979665" w14:textId="77777777" w:rsidR="00C220BF" w:rsidRPr="008F1CAB" w:rsidRDefault="00C220BF">
            <w:r w:rsidRPr="00DB3492">
              <w:t>Measure:</w:t>
            </w:r>
          </w:p>
        </w:tc>
        <w:tc>
          <w:tcPr>
            <w:tcW w:w="6860" w:type="dxa"/>
          </w:tcPr>
          <w:p w14:paraId="3571858C" w14:textId="77777777" w:rsidR="00C220BF" w:rsidRPr="008F1CAB" w:rsidRDefault="00C220BF">
            <w:pPr>
              <w:cnfStyle w:val="100000000000" w:firstRow="1" w:lastRow="0" w:firstColumn="0" w:lastColumn="0" w:oddVBand="0" w:evenVBand="0" w:oddHBand="0" w:evenHBand="0" w:firstRowFirstColumn="0" w:firstRowLastColumn="0" w:lastRowFirstColumn="0" w:lastRowLastColumn="0"/>
            </w:pPr>
            <w:r w:rsidRPr="00FB63B0">
              <w:t>Unnecessary C-Section</w:t>
            </w:r>
          </w:p>
        </w:tc>
      </w:tr>
      <w:tr w:rsidR="00C220BF" w:rsidRPr="008F1CAB" w14:paraId="0DA1BB0D" w14:textId="77777777">
        <w:tc>
          <w:tcPr>
            <w:cnfStyle w:val="001000000000" w:firstRow="0" w:lastRow="0" w:firstColumn="1" w:lastColumn="0" w:oddVBand="0" w:evenVBand="0" w:oddHBand="0" w:evenHBand="0" w:firstRowFirstColumn="0" w:firstRowLastColumn="0" w:lastRowFirstColumn="0" w:lastRowLastColumn="0"/>
            <w:tcW w:w="2484" w:type="dxa"/>
          </w:tcPr>
          <w:p w14:paraId="794AF794" w14:textId="77777777" w:rsidR="00C220BF" w:rsidRPr="008F1CAB" w:rsidRDefault="00C220BF">
            <w:r w:rsidRPr="00DB3492">
              <w:t>Steward:</w:t>
            </w:r>
          </w:p>
        </w:tc>
        <w:tc>
          <w:tcPr>
            <w:tcW w:w="6860" w:type="dxa"/>
          </w:tcPr>
          <w:p w14:paraId="4C08EE10"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FB63B0">
              <w:t>Joint Commission National Quality Measures (#PC-02)</w:t>
            </w:r>
          </w:p>
        </w:tc>
      </w:tr>
      <w:tr w:rsidR="00C220BF" w:rsidRPr="008F1CAB" w14:paraId="6A5BCE75" w14:textId="77777777">
        <w:tc>
          <w:tcPr>
            <w:cnfStyle w:val="001000000000" w:firstRow="0" w:lastRow="0" w:firstColumn="1" w:lastColumn="0" w:oddVBand="0" w:evenVBand="0" w:oddHBand="0" w:evenHBand="0" w:firstRowFirstColumn="0" w:firstRowLastColumn="0" w:lastRowFirstColumn="0" w:lastRowLastColumn="0"/>
            <w:tcW w:w="2484" w:type="dxa"/>
          </w:tcPr>
          <w:p w14:paraId="10919008" w14:textId="77777777" w:rsidR="00C220BF" w:rsidRPr="008F1CAB" w:rsidRDefault="00C220BF">
            <w:r w:rsidRPr="00DB3492">
              <w:t>NQF Endorsed:</w:t>
            </w:r>
          </w:p>
        </w:tc>
        <w:tc>
          <w:tcPr>
            <w:tcW w:w="6860" w:type="dxa"/>
          </w:tcPr>
          <w:p w14:paraId="3B4F4020"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No</w:t>
            </w:r>
          </w:p>
        </w:tc>
      </w:tr>
      <w:tr w:rsidR="00C220BF" w:rsidRPr="008F1CAB" w14:paraId="75CE80AC" w14:textId="77777777">
        <w:tc>
          <w:tcPr>
            <w:cnfStyle w:val="001000000000" w:firstRow="0" w:lastRow="0" w:firstColumn="1" w:lastColumn="0" w:oddVBand="0" w:evenVBand="0" w:oddHBand="0" w:evenHBand="0" w:firstRowFirstColumn="0" w:firstRowLastColumn="0" w:lastRowFirstColumn="0" w:lastRowLastColumn="0"/>
            <w:tcW w:w="2484" w:type="dxa"/>
          </w:tcPr>
          <w:p w14:paraId="5F0C5F9B" w14:textId="77777777" w:rsidR="00C220BF" w:rsidRPr="008F1CAB" w:rsidRDefault="00C220BF">
            <w:r w:rsidRPr="008F1CAB">
              <w:t>Description</w:t>
            </w:r>
          </w:p>
        </w:tc>
        <w:tc>
          <w:tcPr>
            <w:tcW w:w="6860" w:type="dxa"/>
          </w:tcPr>
          <w:p w14:paraId="78BC95DF" w14:textId="7DCA082B"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Nulliparous women with a term, singleton baby in a vertex position delivered by cesarean birth</w:t>
            </w:r>
            <w:r w:rsidR="00AA63A0">
              <w:t>.</w:t>
            </w:r>
          </w:p>
        </w:tc>
      </w:tr>
      <w:tr w:rsidR="00C220BF" w:rsidRPr="008F1CAB" w14:paraId="1876FB36" w14:textId="77777777">
        <w:tc>
          <w:tcPr>
            <w:cnfStyle w:val="001000000000" w:firstRow="0" w:lastRow="0" w:firstColumn="1" w:lastColumn="0" w:oddVBand="0" w:evenVBand="0" w:oddHBand="0" w:evenHBand="0" w:firstRowFirstColumn="0" w:firstRowLastColumn="0" w:lastRowFirstColumn="0" w:lastRowLastColumn="0"/>
            <w:tcW w:w="2484" w:type="dxa"/>
          </w:tcPr>
          <w:p w14:paraId="0E2B3FA6" w14:textId="77777777" w:rsidR="00C220BF" w:rsidRPr="008F1CAB" w:rsidRDefault="00C220BF">
            <w:r w:rsidRPr="008F1CAB">
              <w:t>Numerator</w:t>
            </w:r>
          </w:p>
        </w:tc>
        <w:tc>
          <w:tcPr>
            <w:tcW w:w="6860" w:type="dxa"/>
          </w:tcPr>
          <w:p w14:paraId="2C356BD8" w14:textId="73DB6368"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Patients with cesarean births</w:t>
            </w:r>
            <w:r w:rsidR="00AA63A0">
              <w:t>.</w:t>
            </w:r>
          </w:p>
        </w:tc>
      </w:tr>
      <w:tr w:rsidR="00C220BF" w:rsidRPr="008F1CAB" w14:paraId="7009EC1A" w14:textId="77777777">
        <w:tc>
          <w:tcPr>
            <w:cnfStyle w:val="001000000000" w:firstRow="0" w:lastRow="0" w:firstColumn="1" w:lastColumn="0" w:oddVBand="0" w:evenVBand="0" w:oddHBand="0" w:evenHBand="0" w:firstRowFirstColumn="0" w:firstRowLastColumn="0" w:lastRowFirstColumn="0" w:lastRowLastColumn="0"/>
            <w:tcW w:w="2484" w:type="dxa"/>
          </w:tcPr>
          <w:p w14:paraId="279013DF" w14:textId="77777777" w:rsidR="00C220BF" w:rsidRPr="008F1CAB" w:rsidRDefault="00C220BF">
            <w:r w:rsidRPr="008F1CAB">
              <w:lastRenderedPageBreak/>
              <w:t>Denominator</w:t>
            </w:r>
          </w:p>
        </w:tc>
        <w:tc>
          <w:tcPr>
            <w:tcW w:w="6860" w:type="dxa"/>
          </w:tcPr>
          <w:p w14:paraId="5D570FE7" w14:textId="378E0B2C"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 xml:space="preserve">Nulliparous patients delivered of a </w:t>
            </w:r>
            <w:r w:rsidR="00AA63A0" w:rsidRPr="008F1CAB">
              <w:t>live</w:t>
            </w:r>
            <w:r w:rsidR="00AA63A0">
              <w:t>-</w:t>
            </w:r>
            <w:r w:rsidRPr="008F1CAB">
              <w:t>term singleton newborn in vertex presentation</w:t>
            </w:r>
            <w:r w:rsidR="00AA63A0">
              <w:t>.</w:t>
            </w:r>
          </w:p>
        </w:tc>
      </w:tr>
      <w:tr w:rsidR="00C220BF" w:rsidRPr="008F1CAB" w14:paraId="170A050B" w14:textId="77777777">
        <w:tc>
          <w:tcPr>
            <w:cnfStyle w:val="001000000000" w:firstRow="0" w:lastRow="0" w:firstColumn="1" w:lastColumn="0" w:oddVBand="0" w:evenVBand="0" w:oddHBand="0" w:evenHBand="0" w:firstRowFirstColumn="0" w:firstRowLastColumn="0" w:lastRowFirstColumn="0" w:lastRowLastColumn="0"/>
            <w:tcW w:w="2484" w:type="dxa"/>
          </w:tcPr>
          <w:p w14:paraId="47B3A3D2" w14:textId="77777777" w:rsidR="00C220BF" w:rsidRPr="008F1CAB" w:rsidRDefault="00C220BF">
            <w:r w:rsidRPr="008F1CAB">
              <w:t>Data Sources</w:t>
            </w:r>
          </w:p>
        </w:tc>
        <w:tc>
          <w:tcPr>
            <w:tcW w:w="6860" w:type="dxa"/>
          </w:tcPr>
          <w:p w14:paraId="51A08B3A"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Medicaid claims/encounters data</w:t>
            </w:r>
          </w:p>
        </w:tc>
      </w:tr>
      <w:tr w:rsidR="00C220BF" w:rsidRPr="008F1CAB" w14:paraId="61C817F8" w14:textId="77777777">
        <w:tc>
          <w:tcPr>
            <w:cnfStyle w:val="001000000000" w:firstRow="0" w:lastRow="0" w:firstColumn="1" w:lastColumn="0" w:oddVBand="0" w:evenVBand="0" w:oddHBand="0" w:evenHBand="0" w:firstRowFirstColumn="0" w:firstRowLastColumn="0" w:lastRowFirstColumn="0" w:lastRowLastColumn="0"/>
            <w:tcW w:w="2484" w:type="dxa"/>
          </w:tcPr>
          <w:p w14:paraId="767029B8" w14:textId="77777777" w:rsidR="00C220BF" w:rsidRPr="008F1CAB" w:rsidRDefault="00C220BF">
            <w:r w:rsidRPr="008F1CAB">
              <w:t>National Benchmark</w:t>
            </w:r>
          </w:p>
        </w:tc>
        <w:tc>
          <w:tcPr>
            <w:tcW w:w="6860" w:type="dxa"/>
          </w:tcPr>
          <w:p w14:paraId="47FD76EC"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None</w:t>
            </w:r>
          </w:p>
        </w:tc>
      </w:tr>
    </w:tbl>
    <w:p w14:paraId="544C75EF" w14:textId="77777777" w:rsidR="00C220BF" w:rsidRDefault="00C220BF" w:rsidP="00662F94">
      <w:pPr>
        <w:pStyle w:val="NoSpacing"/>
      </w:pPr>
    </w:p>
    <w:tbl>
      <w:tblPr>
        <w:tblStyle w:val="FHCclean10pt"/>
        <w:tblW w:w="0" w:type="auto"/>
        <w:tblLook w:val="04A0" w:firstRow="1" w:lastRow="0" w:firstColumn="1" w:lastColumn="0" w:noHBand="0" w:noVBand="1"/>
      </w:tblPr>
      <w:tblGrid>
        <w:gridCol w:w="2484"/>
        <w:gridCol w:w="6860"/>
      </w:tblGrid>
      <w:tr w:rsidR="00C220BF" w:rsidRPr="008F1CAB" w14:paraId="0D56FC8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145540CC" w14:textId="77777777" w:rsidR="00C220BF" w:rsidRPr="008F1CAB" w:rsidRDefault="00C220BF">
            <w:r w:rsidRPr="00DB3492">
              <w:t>Measure:</w:t>
            </w:r>
          </w:p>
        </w:tc>
        <w:tc>
          <w:tcPr>
            <w:tcW w:w="6860" w:type="dxa"/>
          </w:tcPr>
          <w:p w14:paraId="25A385F6" w14:textId="77777777" w:rsidR="00C220BF" w:rsidRPr="008F1CAB" w:rsidRDefault="00C220BF">
            <w:pPr>
              <w:cnfStyle w:val="100000000000" w:firstRow="1" w:lastRow="0" w:firstColumn="0" w:lastColumn="0" w:oddVBand="0" w:evenVBand="0" w:oddHBand="0" w:evenHBand="0" w:firstRowFirstColumn="0" w:firstRowLastColumn="0" w:lastRowFirstColumn="0" w:lastRowLastColumn="0"/>
            </w:pPr>
            <w:r w:rsidRPr="00FB63B0">
              <w:t>Plan All-Cause Readmissions (PCR)</w:t>
            </w:r>
          </w:p>
        </w:tc>
      </w:tr>
      <w:tr w:rsidR="00C220BF" w:rsidRPr="008F1CAB" w14:paraId="5477ED01" w14:textId="77777777">
        <w:tc>
          <w:tcPr>
            <w:cnfStyle w:val="001000000000" w:firstRow="0" w:lastRow="0" w:firstColumn="1" w:lastColumn="0" w:oddVBand="0" w:evenVBand="0" w:oddHBand="0" w:evenHBand="0" w:firstRowFirstColumn="0" w:firstRowLastColumn="0" w:lastRowFirstColumn="0" w:lastRowLastColumn="0"/>
            <w:tcW w:w="2484" w:type="dxa"/>
          </w:tcPr>
          <w:p w14:paraId="5D223F19" w14:textId="77777777" w:rsidR="00C220BF" w:rsidRPr="008F1CAB" w:rsidRDefault="00C220BF">
            <w:r w:rsidRPr="00DB3492">
              <w:t>Steward:</w:t>
            </w:r>
          </w:p>
        </w:tc>
        <w:tc>
          <w:tcPr>
            <w:tcW w:w="6860" w:type="dxa"/>
          </w:tcPr>
          <w:p w14:paraId="05DB988C"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FB63B0">
              <w:t>National Committee for Quality Assurance (#1768)</w:t>
            </w:r>
          </w:p>
        </w:tc>
      </w:tr>
      <w:tr w:rsidR="00C220BF" w:rsidRPr="008F1CAB" w14:paraId="2EE1CD54" w14:textId="77777777">
        <w:tc>
          <w:tcPr>
            <w:cnfStyle w:val="001000000000" w:firstRow="0" w:lastRow="0" w:firstColumn="1" w:lastColumn="0" w:oddVBand="0" w:evenVBand="0" w:oddHBand="0" w:evenHBand="0" w:firstRowFirstColumn="0" w:firstRowLastColumn="0" w:lastRowFirstColumn="0" w:lastRowLastColumn="0"/>
            <w:tcW w:w="2484" w:type="dxa"/>
          </w:tcPr>
          <w:p w14:paraId="17CC1768" w14:textId="77777777" w:rsidR="00C220BF" w:rsidRPr="008F1CAB" w:rsidRDefault="00C220BF">
            <w:r w:rsidRPr="00DB3492">
              <w:t>NQF Endorsed:</w:t>
            </w:r>
          </w:p>
        </w:tc>
        <w:tc>
          <w:tcPr>
            <w:tcW w:w="6860" w:type="dxa"/>
          </w:tcPr>
          <w:p w14:paraId="0BAAB4AB"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Endorsement Removed</w:t>
            </w:r>
          </w:p>
        </w:tc>
      </w:tr>
      <w:tr w:rsidR="00C220BF" w:rsidRPr="008F1CAB" w14:paraId="53933464" w14:textId="77777777">
        <w:tc>
          <w:tcPr>
            <w:cnfStyle w:val="001000000000" w:firstRow="0" w:lastRow="0" w:firstColumn="1" w:lastColumn="0" w:oddVBand="0" w:evenVBand="0" w:oddHBand="0" w:evenHBand="0" w:firstRowFirstColumn="0" w:firstRowLastColumn="0" w:lastRowFirstColumn="0" w:lastRowLastColumn="0"/>
            <w:tcW w:w="2484" w:type="dxa"/>
          </w:tcPr>
          <w:p w14:paraId="278ED4C0" w14:textId="77777777" w:rsidR="00C220BF" w:rsidRPr="008F1CAB" w:rsidRDefault="00C220BF">
            <w:r w:rsidRPr="008F1CAB">
              <w:t>Description</w:t>
            </w:r>
          </w:p>
        </w:tc>
        <w:tc>
          <w:tcPr>
            <w:tcW w:w="6860" w:type="dxa"/>
          </w:tcPr>
          <w:p w14:paraId="2D849D4C" w14:textId="55A1A741"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The rate of adult acute inpatient and observation stays that were followed by an unplanned acute readmission for any diagnosis within 30 days after discharge</w:t>
            </w:r>
            <w:r w:rsidR="00AA63A0">
              <w:t>.</w:t>
            </w:r>
          </w:p>
        </w:tc>
      </w:tr>
      <w:tr w:rsidR="00C220BF" w:rsidRPr="008F1CAB" w14:paraId="6108F2FA" w14:textId="77777777">
        <w:tc>
          <w:tcPr>
            <w:cnfStyle w:val="001000000000" w:firstRow="0" w:lastRow="0" w:firstColumn="1" w:lastColumn="0" w:oddVBand="0" w:evenVBand="0" w:oddHBand="0" w:evenHBand="0" w:firstRowFirstColumn="0" w:firstRowLastColumn="0" w:lastRowFirstColumn="0" w:lastRowLastColumn="0"/>
            <w:tcW w:w="2484" w:type="dxa"/>
          </w:tcPr>
          <w:p w14:paraId="514DBA9E" w14:textId="77777777" w:rsidR="00C220BF" w:rsidRPr="008F1CAB" w:rsidRDefault="00C220BF">
            <w:r w:rsidRPr="008F1CAB">
              <w:t>Numerator</w:t>
            </w:r>
          </w:p>
        </w:tc>
        <w:tc>
          <w:tcPr>
            <w:tcW w:w="6860" w:type="dxa"/>
          </w:tcPr>
          <w:p w14:paraId="2DFD1485"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At least one acute unplanned readmission for any diagnosis within 30 days of the date of discharge from the Index Hospital Stay, that is on or between the second day of the measurement year and the end of the measurement year.</w:t>
            </w:r>
          </w:p>
        </w:tc>
      </w:tr>
      <w:tr w:rsidR="00C220BF" w:rsidRPr="008F1CAB" w14:paraId="5DA87440" w14:textId="77777777">
        <w:tc>
          <w:tcPr>
            <w:cnfStyle w:val="001000000000" w:firstRow="0" w:lastRow="0" w:firstColumn="1" w:lastColumn="0" w:oddVBand="0" w:evenVBand="0" w:oddHBand="0" w:evenHBand="0" w:firstRowFirstColumn="0" w:firstRowLastColumn="0" w:lastRowFirstColumn="0" w:lastRowLastColumn="0"/>
            <w:tcW w:w="2484" w:type="dxa"/>
          </w:tcPr>
          <w:p w14:paraId="2F5E57A8" w14:textId="77777777" w:rsidR="00C220BF" w:rsidRPr="008F1CAB" w:rsidRDefault="00C220BF">
            <w:r w:rsidRPr="008F1CAB">
              <w:t>Denominator</w:t>
            </w:r>
          </w:p>
        </w:tc>
        <w:tc>
          <w:tcPr>
            <w:tcW w:w="6860" w:type="dxa"/>
          </w:tcPr>
          <w:p w14:paraId="5155A504" w14:textId="5F4F793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Patients 18</w:t>
            </w:r>
            <w:r w:rsidR="005B47F7">
              <w:t xml:space="preserve"> years of age</w:t>
            </w:r>
            <w:r w:rsidRPr="008F1CAB">
              <w:t xml:space="preserve"> and older with a discharge from an acute inpatient stay (Index Hospital Stay) on or between January 1 and December 1 of the measurement year.</w:t>
            </w:r>
          </w:p>
        </w:tc>
      </w:tr>
      <w:tr w:rsidR="00C220BF" w:rsidRPr="008F1CAB" w14:paraId="25218442" w14:textId="77777777">
        <w:tc>
          <w:tcPr>
            <w:cnfStyle w:val="001000000000" w:firstRow="0" w:lastRow="0" w:firstColumn="1" w:lastColumn="0" w:oddVBand="0" w:evenVBand="0" w:oddHBand="0" w:evenHBand="0" w:firstRowFirstColumn="0" w:firstRowLastColumn="0" w:lastRowFirstColumn="0" w:lastRowLastColumn="0"/>
            <w:tcW w:w="2484" w:type="dxa"/>
          </w:tcPr>
          <w:p w14:paraId="2280A760" w14:textId="77777777" w:rsidR="00C220BF" w:rsidRPr="008F1CAB" w:rsidRDefault="00C220BF">
            <w:r w:rsidRPr="008F1CAB">
              <w:t>Data Sources</w:t>
            </w:r>
          </w:p>
        </w:tc>
        <w:tc>
          <w:tcPr>
            <w:tcW w:w="6860" w:type="dxa"/>
          </w:tcPr>
          <w:p w14:paraId="3CA1C579"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Medicaid claims/encounters data</w:t>
            </w:r>
          </w:p>
        </w:tc>
      </w:tr>
      <w:tr w:rsidR="00C220BF" w:rsidRPr="008F1CAB" w14:paraId="1C3E6D2F" w14:textId="77777777">
        <w:tc>
          <w:tcPr>
            <w:cnfStyle w:val="001000000000" w:firstRow="0" w:lastRow="0" w:firstColumn="1" w:lastColumn="0" w:oddVBand="0" w:evenVBand="0" w:oddHBand="0" w:evenHBand="0" w:firstRowFirstColumn="0" w:firstRowLastColumn="0" w:lastRowFirstColumn="0" w:lastRowLastColumn="0"/>
            <w:tcW w:w="2484" w:type="dxa"/>
          </w:tcPr>
          <w:p w14:paraId="11DB8E87" w14:textId="77777777" w:rsidR="00C220BF" w:rsidRPr="008F1CAB" w:rsidRDefault="00C220BF">
            <w:r w:rsidRPr="008F1CAB">
              <w:t>National Benchmark</w:t>
            </w:r>
          </w:p>
        </w:tc>
        <w:tc>
          <w:tcPr>
            <w:tcW w:w="6860" w:type="dxa"/>
          </w:tcPr>
          <w:p w14:paraId="2EF78D83"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2021 Medicaid HMO = 10%</w:t>
            </w:r>
          </w:p>
          <w:p w14:paraId="69FCA478" w14:textId="238C594A"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 xml:space="preserve">Source: </w:t>
            </w:r>
            <w:hyperlink r:id="rId60" w:history="1">
              <w:r w:rsidR="005F5CC3" w:rsidRPr="009348BF">
                <w:rPr>
                  <w:rStyle w:val="Hyperlink"/>
                </w:rPr>
                <w:t>https://www.ncqa.org/hedis/measures/plan-all-cause-readmissions/</w:t>
              </w:r>
            </w:hyperlink>
            <w:r w:rsidR="005F5CC3">
              <w:t xml:space="preserve"> </w:t>
            </w:r>
          </w:p>
        </w:tc>
      </w:tr>
    </w:tbl>
    <w:p w14:paraId="21EF5288" w14:textId="77777777" w:rsidR="00C220BF" w:rsidRDefault="00C220BF" w:rsidP="00662F94">
      <w:pPr>
        <w:pStyle w:val="NoSpacing"/>
      </w:pPr>
    </w:p>
    <w:tbl>
      <w:tblPr>
        <w:tblStyle w:val="FHCclean10pt"/>
        <w:tblW w:w="0" w:type="auto"/>
        <w:tblLook w:val="04A0" w:firstRow="1" w:lastRow="0" w:firstColumn="1" w:lastColumn="0" w:noHBand="0" w:noVBand="1"/>
      </w:tblPr>
      <w:tblGrid>
        <w:gridCol w:w="2484"/>
        <w:gridCol w:w="6860"/>
      </w:tblGrid>
      <w:tr w:rsidR="00C220BF" w:rsidRPr="008F1CAB" w14:paraId="647E1BE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753DF68E" w14:textId="77777777" w:rsidR="00C220BF" w:rsidRPr="008F1CAB" w:rsidRDefault="00C220BF">
            <w:r w:rsidRPr="00DB3492">
              <w:t>Measure:</w:t>
            </w:r>
          </w:p>
        </w:tc>
        <w:tc>
          <w:tcPr>
            <w:tcW w:w="6860" w:type="dxa"/>
          </w:tcPr>
          <w:p w14:paraId="6528ACE8" w14:textId="77777777" w:rsidR="00C220BF" w:rsidRPr="008F1CAB" w:rsidRDefault="00C220BF">
            <w:pPr>
              <w:cnfStyle w:val="100000000000" w:firstRow="1" w:lastRow="0" w:firstColumn="0" w:lastColumn="0" w:oddVBand="0" w:evenVBand="0" w:oddHBand="0" w:evenHBand="0" w:firstRowFirstColumn="0" w:firstRowLastColumn="0" w:lastRowFirstColumn="0" w:lastRowLastColumn="0"/>
            </w:pPr>
            <w:r w:rsidRPr="00FB63B0">
              <w:t>Acute Unplanned Hospital Admissions</w:t>
            </w:r>
          </w:p>
        </w:tc>
      </w:tr>
      <w:tr w:rsidR="00C220BF" w:rsidRPr="008F1CAB" w14:paraId="1BC07B13" w14:textId="77777777">
        <w:tc>
          <w:tcPr>
            <w:cnfStyle w:val="001000000000" w:firstRow="0" w:lastRow="0" w:firstColumn="1" w:lastColumn="0" w:oddVBand="0" w:evenVBand="0" w:oddHBand="0" w:evenHBand="0" w:firstRowFirstColumn="0" w:firstRowLastColumn="0" w:lastRowFirstColumn="0" w:lastRowLastColumn="0"/>
            <w:tcW w:w="2484" w:type="dxa"/>
          </w:tcPr>
          <w:p w14:paraId="5501E5D4" w14:textId="77777777" w:rsidR="00C220BF" w:rsidRPr="008F1CAB" w:rsidRDefault="00C220BF">
            <w:r w:rsidRPr="00DB3492">
              <w:t>Steward:</w:t>
            </w:r>
          </w:p>
        </w:tc>
        <w:tc>
          <w:tcPr>
            <w:tcW w:w="6860" w:type="dxa"/>
          </w:tcPr>
          <w:p w14:paraId="44DADF97"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FB63B0">
              <w:t>Adapted from Risk-Standardized Acute Admission Rates for Patients with Diabetes (NQF#2887)</w:t>
            </w:r>
          </w:p>
        </w:tc>
      </w:tr>
      <w:tr w:rsidR="00C220BF" w:rsidRPr="008F1CAB" w14:paraId="4169C8FB" w14:textId="77777777">
        <w:tc>
          <w:tcPr>
            <w:cnfStyle w:val="001000000000" w:firstRow="0" w:lastRow="0" w:firstColumn="1" w:lastColumn="0" w:oddVBand="0" w:evenVBand="0" w:oddHBand="0" w:evenHBand="0" w:firstRowFirstColumn="0" w:firstRowLastColumn="0" w:lastRowFirstColumn="0" w:lastRowLastColumn="0"/>
            <w:tcW w:w="2484" w:type="dxa"/>
          </w:tcPr>
          <w:p w14:paraId="423E4BDD" w14:textId="77777777" w:rsidR="00C220BF" w:rsidRPr="008F1CAB" w:rsidRDefault="00C220BF">
            <w:r w:rsidRPr="00DB3492">
              <w:t>NQF Endorsed:</w:t>
            </w:r>
          </w:p>
        </w:tc>
        <w:tc>
          <w:tcPr>
            <w:tcW w:w="6860" w:type="dxa"/>
          </w:tcPr>
          <w:p w14:paraId="6AF12D75"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Endorsement removed</w:t>
            </w:r>
          </w:p>
        </w:tc>
      </w:tr>
      <w:tr w:rsidR="00C220BF" w:rsidRPr="008F1CAB" w14:paraId="07AA131E" w14:textId="77777777">
        <w:tc>
          <w:tcPr>
            <w:cnfStyle w:val="001000000000" w:firstRow="0" w:lastRow="0" w:firstColumn="1" w:lastColumn="0" w:oddVBand="0" w:evenVBand="0" w:oddHBand="0" w:evenHBand="0" w:firstRowFirstColumn="0" w:firstRowLastColumn="0" w:lastRowFirstColumn="0" w:lastRowLastColumn="0"/>
            <w:tcW w:w="2484" w:type="dxa"/>
          </w:tcPr>
          <w:p w14:paraId="1250192E" w14:textId="77777777" w:rsidR="00C220BF" w:rsidRPr="008F1CAB" w:rsidRDefault="00C220BF">
            <w:r w:rsidRPr="008F1CAB">
              <w:t>Description</w:t>
            </w:r>
          </w:p>
        </w:tc>
        <w:tc>
          <w:tcPr>
            <w:tcW w:w="6860" w:type="dxa"/>
          </w:tcPr>
          <w:p w14:paraId="25E2C4F1"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 xml:space="preserve">The rate of acute unplanned admissions. Calculated separately for adult and pediatric populations. </w:t>
            </w:r>
          </w:p>
        </w:tc>
      </w:tr>
      <w:tr w:rsidR="00C220BF" w:rsidRPr="008F1CAB" w14:paraId="353CB2DC" w14:textId="77777777">
        <w:tc>
          <w:tcPr>
            <w:cnfStyle w:val="001000000000" w:firstRow="0" w:lastRow="0" w:firstColumn="1" w:lastColumn="0" w:oddVBand="0" w:evenVBand="0" w:oddHBand="0" w:evenHBand="0" w:firstRowFirstColumn="0" w:firstRowLastColumn="0" w:lastRowFirstColumn="0" w:lastRowLastColumn="0"/>
            <w:tcW w:w="2484" w:type="dxa"/>
          </w:tcPr>
          <w:p w14:paraId="22AC16E7" w14:textId="77777777" w:rsidR="00C220BF" w:rsidRPr="008F1CAB" w:rsidRDefault="00C220BF">
            <w:r w:rsidRPr="008F1CAB">
              <w:t>Numerator</w:t>
            </w:r>
          </w:p>
        </w:tc>
        <w:tc>
          <w:tcPr>
            <w:tcW w:w="6860" w:type="dxa"/>
          </w:tcPr>
          <w:p w14:paraId="3EF76DD1"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The number of acute unplanned hospital admissions.</w:t>
            </w:r>
          </w:p>
        </w:tc>
      </w:tr>
      <w:tr w:rsidR="00C220BF" w:rsidRPr="008F1CAB" w14:paraId="2363531E" w14:textId="77777777">
        <w:tc>
          <w:tcPr>
            <w:cnfStyle w:val="001000000000" w:firstRow="0" w:lastRow="0" w:firstColumn="1" w:lastColumn="0" w:oddVBand="0" w:evenVBand="0" w:oddHBand="0" w:evenHBand="0" w:firstRowFirstColumn="0" w:firstRowLastColumn="0" w:lastRowFirstColumn="0" w:lastRowLastColumn="0"/>
            <w:tcW w:w="2484" w:type="dxa"/>
          </w:tcPr>
          <w:p w14:paraId="74A663C8" w14:textId="77777777" w:rsidR="00C220BF" w:rsidRPr="008F1CAB" w:rsidRDefault="00C220BF">
            <w:r w:rsidRPr="008F1CAB">
              <w:t>Denominator</w:t>
            </w:r>
          </w:p>
        </w:tc>
        <w:tc>
          <w:tcPr>
            <w:tcW w:w="6860" w:type="dxa"/>
          </w:tcPr>
          <w:p w14:paraId="2E4EE2E6"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Person-time contributed by the eligible population.</w:t>
            </w:r>
          </w:p>
        </w:tc>
      </w:tr>
      <w:tr w:rsidR="00C220BF" w:rsidRPr="008F1CAB" w14:paraId="46AEBAE0" w14:textId="77777777">
        <w:tc>
          <w:tcPr>
            <w:cnfStyle w:val="001000000000" w:firstRow="0" w:lastRow="0" w:firstColumn="1" w:lastColumn="0" w:oddVBand="0" w:evenVBand="0" w:oddHBand="0" w:evenHBand="0" w:firstRowFirstColumn="0" w:firstRowLastColumn="0" w:lastRowFirstColumn="0" w:lastRowLastColumn="0"/>
            <w:tcW w:w="2484" w:type="dxa"/>
          </w:tcPr>
          <w:p w14:paraId="34787D44" w14:textId="77777777" w:rsidR="00C220BF" w:rsidRPr="008F1CAB" w:rsidRDefault="00C220BF">
            <w:r w:rsidRPr="008F1CAB">
              <w:t>Data Sources</w:t>
            </w:r>
          </w:p>
        </w:tc>
        <w:tc>
          <w:tcPr>
            <w:tcW w:w="6860" w:type="dxa"/>
          </w:tcPr>
          <w:p w14:paraId="0D6A6B9A"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Medicaid claims/encounters data</w:t>
            </w:r>
          </w:p>
        </w:tc>
      </w:tr>
      <w:tr w:rsidR="00C220BF" w:rsidRPr="008F1CAB" w14:paraId="69006310" w14:textId="77777777">
        <w:tc>
          <w:tcPr>
            <w:cnfStyle w:val="001000000000" w:firstRow="0" w:lastRow="0" w:firstColumn="1" w:lastColumn="0" w:oddVBand="0" w:evenVBand="0" w:oddHBand="0" w:evenHBand="0" w:firstRowFirstColumn="0" w:firstRowLastColumn="0" w:lastRowFirstColumn="0" w:lastRowLastColumn="0"/>
            <w:tcW w:w="2484" w:type="dxa"/>
          </w:tcPr>
          <w:p w14:paraId="38440B9A" w14:textId="77777777" w:rsidR="00C220BF" w:rsidRPr="008F1CAB" w:rsidRDefault="00C220BF">
            <w:r w:rsidRPr="008F1CAB">
              <w:t>National Benchmark</w:t>
            </w:r>
          </w:p>
        </w:tc>
        <w:tc>
          <w:tcPr>
            <w:tcW w:w="6860" w:type="dxa"/>
          </w:tcPr>
          <w:p w14:paraId="257DDFD3"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None</w:t>
            </w:r>
          </w:p>
        </w:tc>
      </w:tr>
    </w:tbl>
    <w:p w14:paraId="4EE54C9B" w14:textId="77777777" w:rsidR="00C220BF" w:rsidRDefault="00C220BF" w:rsidP="00662F94">
      <w:pPr>
        <w:pStyle w:val="NoSpacing"/>
      </w:pPr>
    </w:p>
    <w:tbl>
      <w:tblPr>
        <w:tblStyle w:val="FHCclean10pt"/>
        <w:tblW w:w="0" w:type="auto"/>
        <w:tblLook w:val="04A0" w:firstRow="1" w:lastRow="0" w:firstColumn="1" w:lastColumn="0" w:noHBand="0" w:noVBand="1"/>
      </w:tblPr>
      <w:tblGrid>
        <w:gridCol w:w="2484"/>
        <w:gridCol w:w="6860"/>
      </w:tblGrid>
      <w:tr w:rsidR="00C220BF" w:rsidRPr="008F1CAB" w14:paraId="1956904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4DB8B072" w14:textId="77777777" w:rsidR="00C220BF" w:rsidRPr="008F1CAB" w:rsidRDefault="00C220BF">
            <w:bookmarkStart w:id="276" w:name="_Hlk129958293"/>
            <w:r w:rsidRPr="00DB3492">
              <w:t>Measure:</w:t>
            </w:r>
          </w:p>
        </w:tc>
        <w:tc>
          <w:tcPr>
            <w:tcW w:w="6860" w:type="dxa"/>
          </w:tcPr>
          <w:p w14:paraId="4155F2F6" w14:textId="77777777" w:rsidR="00C220BF" w:rsidRPr="008F1CAB" w:rsidRDefault="00C220BF">
            <w:pPr>
              <w:cnfStyle w:val="100000000000" w:firstRow="1" w:lastRow="0" w:firstColumn="0" w:lastColumn="0" w:oddVBand="0" w:evenVBand="0" w:oddHBand="0" w:evenHBand="0" w:firstRowFirstColumn="0" w:firstRowLastColumn="0" w:lastRowFirstColumn="0" w:lastRowLastColumn="0"/>
            </w:pPr>
            <w:r w:rsidRPr="00FB63B0">
              <w:t>Hospital Admissions for Ambulatory Care Sensitive Conditions (Chronic ACSCs)</w:t>
            </w:r>
          </w:p>
        </w:tc>
      </w:tr>
      <w:tr w:rsidR="00C220BF" w:rsidRPr="008F1CAB" w14:paraId="741FFBCF" w14:textId="77777777">
        <w:tc>
          <w:tcPr>
            <w:cnfStyle w:val="001000000000" w:firstRow="0" w:lastRow="0" w:firstColumn="1" w:lastColumn="0" w:oddVBand="0" w:evenVBand="0" w:oddHBand="0" w:evenHBand="0" w:firstRowFirstColumn="0" w:firstRowLastColumn="0" w:lastRowFirstColumn="0" w:lastRowLastColumn="0"/>
            <w:tcW w:w="2484" w:type="dxa"/>
          </w:tcPr>
          <w:p w14:paraId="28E99D28" w14:textId="77777777" w:rsidR="00C220BF" w:rsidRPr="008F1CAB" w:rsidRDefault="00C220BF">
            <w:r w:rsidRPr="00DB3492">
              <w:t>Steward:</w:t>
            </w:r>
          </w:p>
        </w:tc>
        <w:tc>
          <w:tcPr>
            <w:tcW w:w="6860" w:type="dxa"/>
          </w:tcPr>
          <w:p w14:paraId="253EC533"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FB63B0">
              <w:t>AHRQ</w:t>
            </w:r>
          </w:p>
        </w:tc>
      </w:tr>
      <w:tr w:rsidR="00C220BF" w:rsidRPr="008F1CAB" w14:paraId="5C7E1362" w14:textId="77777777">
        <w:tc>
          <w:tcPr>
            <w:cnfStyle w:val="001000000000" w:firstRow="0" w:lastRow="0" w:firstColumn="1" w:lastColumn="0" w:oddVBand="0" w:evenVBand="0" w:oddHBand="0" w:evenHBand="0" w:firstRowFirstColumn="0" w:firstRowLastColumn="0" w:lastRowFirstColumn="0" w:lastRowLastColumn="0"/>
            <w:tcW w:w="2484" w:type="dxa"/>
          </w:tcPr>
          <w:p w14:paraId="0A0C1C94" w14:textId="77777777" w:rsidR="00C220BF" w:rsidRPr="008F1CAB" w:rsidRDefault="00C220BF">
            <w:r w:rsidRPr="00DB3492">
              <w:t>NQF Endorsed:</w:t>
            </w:r>
          </w:p>
        </w:tc>
        <w:tc>
          <w:tcPr>
            <w:tcW w:w="6860" w:type="dxa"/>
          </w:tcPr>
          <w:p w14:paraId="0DB10E4B" w14:textId="1581E22D" w:rsidR="00C220BF" w:rsidRPr="008F1CAB" w:rsidRDefault="00E55124">
            <w:pPr>
              <w:cnfStyle w:val="000000000000" w:firstRow="0" w:lastRow="0" w:firstColumn="0" w:lastColumn="0" w:oddVBand="0" w:evenVBand="0" w:oddHBand="0" w:evenHBand="0" w:firstRowFirstColumn="0" w:firstRowLastColumn="0" w:lastRowFirstColumn="0" w:lastRowLastColumn="0"/>
            </w:pPr>
            <w:r>
              <w:t>No</w:t>
            </w:r>
          </w:p>
        </w:tc>
      </w:tr>
      <w:tr w:rsidR="00C220BF" w:rsidRPr="008F1CAB" w14:paraId="7DBFD7A1" w14:textId="77777777">
        <w:tc>
          <w:tcPr>
            <w:cnfStyle w:val="001000000000" w:firstRow="0" w:lastRow="0" w:firstColumn="1" w:lastColumn="0" w:oddVBand="0" w:evenVBand="0" w:oddHBand="0" w:evenHBand="0" w:firstRowFirstColumn="0" w:firstRowLastColumn="0" w:lastRowFirstColumn="0" w:lastRowLastColumn="0"/>
            <w:tcW w:w="2484" w:type="dxa"/>
          </w:tcPr>
          <w:p w14:paraId="6BBA8305" w14:textId="77777777" w:rsidR="00C220BF" w:rsidRPr="008F1CAB" w:rsidRDefault="00C220BF">
            <w:r w:rsidRPr="008F1CAB">
              <w:t>Description</w:t>
            </w:r>
          </w:p>
        </w:tc>
        <w:tc>
          <w:tcPr>
            <w:tcW w:w="6860" w:type="dxa"/>
          </w:tcPr>
          <w:p w14:paraId="6D4150A6" w14:textId="6D8365F9"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Rate of admissions for members with chronic ACSCs</w:t>
            </w:r>
            <w:r w:rsidR="00787F62">
              <w:t>.</w:t>
            </w:r>
          </w:p>
        </w:tc>
      </w:tr>
      <w:tr w:rsidR="00C220BF" w:rsidRPr="008F1CAB" w14:paraId="3949C495" w14:textId="77777777">
        <w:tc>
          <w:tcPr>
            <w:cnfStyle w:val="001000000000" w:firstRow="0" w:lastRow="0" w:firstColumn="1" w:lastColumn="0" w:oddVBand="0" w:evenVBand="0" w:oddHBand="0" w:evenHBand="0" w:firstRowFirstColumn="0" w:firstRowLastColumn="0" w:lastRowFirstColumn="0" w:lastRowLastColumn="0"/>
            <w:tcW w:w="2484" w:type="dxa"/>
          </w:tcPr>
          <w:p w14:paraId="43C027E9" w14:textId="77777777" w:rsidR="00C220BF" w:rsidRPr="008F1CAB" w:rsidRDefault="00C220BF">
            <w:r w:rsidRPr="008F1CAB">
              <w:t>Numerator</w:t>
            </w:r>
          </w:p>
        </w:tc>
        <w:tc>
          <w:tcPr>
            <w:tcW w:w="6860" w:type="dxa"/>
          </w:tcPr>
          <w:p w14:paraId="3DC7E931" w14:textId="2F82EF95"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The number of acute unplanned hospital admissions for adults with chronic ACSCs (or observation stays)</w:t>
            </w:r>
            <w:r w:rsidR="00787F62">
              <w:t>.</w:t>
            </w:r>
          </w:p>
        </w:tc>
      </w:tr>
      <w:tr w:rsidR="00C220BF" w:rsidRPr="008F1CAB" w14:paraId="22A30BF0" w14:textId="77777777">
        <w:tc>
          <w:tcPr>
            <w:cnfStyle w:val="001000000000" w:firstRow="0" w:lastRow="0" w:firstColumn="1" w:lastColumn="0" w:oddVBand="0" w:evenVBand="0" w:oddHBand="0" w:evenHBand="0" w:firstRowFirstColumn="0" w:firstRowLastColumn="0" w:lastRowFirstColumn="0" w:lastRowLastColumn="0"/>
            <w:tcW w:w="2484" w:type="dxa"/>
          </w:tcPr>
          <w:p w14:paraId="5E07626A" w14:textId="77777777" w:rsidR="00C220BF" w:rsidRPr="008F1CAB" w:rsidRDefault="00C220BF">
            <w:r w:rsidRPr="008F1CAB">
              <w:lastRenderedPageBreak/>
              <w:t>Denominator</w:t>
            </w:r>
          </w:p>
        </w:tc>
        <w:tc>
          <w:tcPr>
            <w:tcW w:w="6860" w:type="dxa"/>
          </w:tcPr>
          <w:p w14:paraId="5C5777FD" w14:textId="70AA55F4"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The person-time contributed by members in the population of interest during the measurement period</w:t>
            </w:r>
            <w:r w:rsidR="00787F62">
              <w:t>.</w:t>
            </w:r>
          </w:p>
        </w:tc>
      </w:tr>
      <w:tr w:rsidR="00C220BF" w:rsidRPr="008F1CAB" w14:paraId="1719590A" w14:textId="77777777">
        <w:tc>
          <w:tcPr>
            <w:cnfStyle w:val="001000000000" w:firstRow="0" w:lastRow="0" w:firstColumn="1" w:lastColumn="0" w:oddVBand="0" w:evenVBand="0" w:oddHBand="0" w:evenHBand="0" w:firstRowFirstColumn="0" w:firstRowLastColumn="0" w:lastRowFirstColumn="0" w:lastRowLastColumn="0"/>
            <w:tcW w:w="2484" w:type="dxa"/>
          </w:tcPr>
          <w:p w14:paraId="640DC6A9" w14:textId="77777777" w:rsidR="00C220BF" w:rsidRPr="008F1CAB" w:rsidRDefault="00C220BF">
            <w:r w:rsidRPr="008F1CAB">
              <w:t>Data Sources</w:t>
            </w:r>
          </w:p>
        </w:tc>
        <w:tc>
          <w:tcPr>
            <w:tcW w:w="6860" w:type="dxa"/>
          </w:tcPr>
          <w:p w14:paraId="7F8B1E61"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Medicaid claims/encounters data</w:t>
            </w:r>
          </w:p>
        </w:tc>
      </w:tr>
      <w:tr w:rsidR="00C220BF" w:rsidRPr="008F1CAB" w14:paraId="74BE042D" w14:textId="77777777">
        <w:tc>
          <w:tcPr>
            <w:cnfStyle w:val="001000000000" w:firstRow="0" w:lastRow="0" w:firstColumn="1" w:lastColumn="0" w:oddVBand="0" w:evenVBand="0" w:oddHBand="0" w:evenHBand="0" w:firstRowFirstColumn="0" w:firstRowLastColumn="0" w:lastRowFirstColumn="0" w:lastRowLastColumn="0"/>
            <w:tcW w:w="2484" w:type="dxa"/>
          </w:tcPr>
          <w:p w14:paraId="42799A64" w14:textId="77777777" w:rsidR="00C220BF" w:rsidRPr="008F1CAB" w:rsidRDefault="00C220BF">
            <w:r w:rsidRPr="008F1CAB">
              <w:t>National Benchmark</w:t>
            </w:r>
          </w:p>
        </w:tc>
        <w:tc>
          <w:tcPr>
            <w:tcW w:w="6860" w:type="dxa"/>
          </w:tcPr>
          <w:p w14:paraId="4E24CC4A"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None</w:t>
            </w:r>
          </w:p>
        </w:tc>
      </w:tr>
    </w:tbl>
    <w:p w14:paraId="38B3359F" w14:textId="77777777" w:rsidR="00C220BF" w:rsidRDefault="00C220BF" w:rsidP="00662F94">
      <w:pPr>
        <w:pStyle w:val="NoSpacing"/>
      </w:pPr>
    </w:p>
    <w:tbl>
      <w:tblPr>
        <w:tblStyle w:val="FHCclean10pt"/>
        <w:tblW w:w="0" w:type="auto"/>
        <w:tblLook w:val="04A0" w:firstRow="1" w:lastRow="0" w:firstColumn="1" w:lastColumn="0" w:noHBand="0" w:noVBand="1"/>
      </w:tblPr>
      <w:tblGrid>
        <w:gridCol w:w="2484"/>
        <w:gridCol w:w="6860"/>
      </w:tblGrid>
      <w:tr w:rsidR="00C220BF" w:rsidRPr="008F1CAB" w14:paraId="3E9B38A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4E1CF797" w14:textId="77777777" w:rsidR="00C220BF" w:rsidRPr="008F1CAB" w:rsidRDefault="00C220BF">
            <w:r w:rsidRPr="00DB3492">
              <w:t>Measure:</w:t>
            </w:r>
          </w:p>
        </w:tc>
        <w:tc>
          <w:tcPr>
            <w:tcW w:w="6860" w:type="dxa"/>
          </w:tcPr>
          <w:p w14:paraId="48534C19" w14:textId="77777777" w:rsidR="00C220BF" w:rsidRPr="008F1CAB" w:rsidRDefault="00C220BF">
            <w:pPr>
              <w:cnfStyle w:val="100000000000" w:firstRow="1" w:lastRow="0" w:firstColumn="0" w:lastColumn="0" w:oddVBand="0" w:evenVBand="0" w:oddHBand="0" w:evenHBand="0" w:firstRowFirstColumn="0" w:firstRowLastColumn="0" w:lastRowFirstColumn="0" w:lastRowLastColumn="0"/>
            </w:pPr>
            <w:r w:rsidRPr="00FB63B0">
              <w:t>Hospital Admissions for Ambulatory Care Sensitive Conditions (Acute ACSCs)</w:t>
            </w:r>
          </w:p>
        </w:tc>
      </w:tr>
      <w:tr w:rsidR="00C220BF" w:rsidRPr="008F1CAB" w14:paraId="23F94E5A" w14:textId="77777777">
        <w:tc>
          <w:tcPr>
            <w:cnfStyle w:val="001000000000" w:firstRow="0" w:lastRow="0" w:firstColumn="1" w:lastColumn="0" w:oddVBand="0" w:evenVBand="0" w:oddHBand="0" w:evenHBand="0" w:firstRowFirstColumn="0" w:firstRowLastColumn="0" w:lastRowFirstColumn="0" w:lastRowLastColumn="0"/>
            <w:tcW w:w="2484" w:type="dxa"/>
          </w:tcPr>
          <w:p w14:paraId="63D9CCF0" w14:textId="77777777" w:rsidR="00C220BF" w:rsidRPr="008F1CAB" w:rsidRDefault="00C220BF">
            <w:r w:rsidRPr="00DB3492">
              <w:t>Steward:</w:t>
            </w:r>
          </w:p>
        </w:tc>
        <w:tc>
          <w:tcPr>
            <w:tcW w:w="6860" w:type="dxa"/>
          </w:tcPr>
          <w:p w14:paraId="359804B4"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FB63B0">
              <w:t>AHRQ</w:t>
            </w:r>
          </w:p>
        </w:tc>
      </w:tr>
      <w:tr w:rsidR="00C220BF" w:rsidRPr="008F1CAB" w14:paraId="7CA47B03" w14:textId="77777777">
        <w:tc>
          <w:tcPr>
            <w:cnfStyle w:val="001000000000" w:firstRow="0" w:lastRow="0" w:firstColumn="1" w:lastColumn="0" w:oddVBand="0" w:evenVBand="0" w:oddHBand="0" w:evenHBand="0" w:firstRowFirstColumn="0" w:firstRowLastColumn="0" w:lastRowFirstColumn="0" w:lastRowLastColumn="0"/>
            <w:tcW w:w="2484" w:type="dxa"/>
          </w:tcPr>
          <w:p w14:paraId="2E3F87D2" w14:textId="77777777" w:rsidR="00C220BF" w:rsidRPr="00E73183" w:rsidRDefault="00C220BF">
            <w:r w:rsidRPr="00E73183">
              <w:t>NQF Endorsed:</w:t>
            </w:r>
          </w:p>
        </w:tc>
        <w:tc>
          <w:tcPr>
            <w:tcW w:w="6860" w:type="dxa"/>
          </w:tcPr>
          <w:p w14:paraId="564A54CF" w14:textId="7FBEB874" w:rsidR="00C220BF" w:rsidRPr="008F1CAB" w:rsidRDefault="00961B06">
            <w:pPr>
              <w:cnfStyle w:val="000000000000" w:firstRow="0" w:lastRow="0" w:firstColumn="0" w:lastColumn="0" w:oddVBand="0" w:evenVBand="0" w:oddHBand="0" w:evenHBand="0" w:firstRowFirstColumn="0" w:firstRowLastColumn="0" w:lastRowFirstColumn="0" w:lastRowLastColumn="0"/>
            </w:pPr>
            <w:r>
              <w:t>No</w:t>
            </w:r>
          </w:p>
        </w:tc>
      </w:tr>
      <w:tr w:rsidR="00C220BF" w:rsidRPr="008F1CAB" w14:paraId="6B6AFB6B" w14:textId="77777777">
        <w:tc>
          <w:tcPr>
            <w:cnfStyle w:val="001000000000" w:firstRow="0" w:lastRow="0" w:firstColumn="1" w:lastColumn="0" w:oddVBand="0" w:evenVBand="0" w:oddHBand="0" w:evenHBand="0" w:firstRowFirstColumn="0" w:firstRowLastColumn="0" w:lastRowFirstColumn="0" w:lastRowLastColumn="0"/>
            <w:tcW w:w="2484" w:type="dxa"/>
          </w:tcPr>
          <w:p w14:paraId="4D101EEB" w14:textId="77777777" w:rsidR="00C220BF" w:rsidRPr="008F1CAB" w:rsidRDefault="00C220BF">
            <w:r w:rsidRPr="008F1CAB">
              <w:t>Description</w:t>
            </w:r>
          </w:p>
        </w:tc>
        <w:tc>
          <w:tcPr>
            <w:tcW w:w="6860" w:type="dxa"/>
          </w:tcPr>
          <w:p w14:paraId="7E7F0EE2" w14:textId="6BBF58AF"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Rate of admissions for members with acute ACSCs</w:t>
            </w:r>
            <w:r w:rsidR="00787F62">
              <w:t>.</w:t>
            </w:r>
          </w:p>
        </w:tc>
      </w:tr>
      <w:tr w:rsidR="00C220BF" w:rsidRPr="008F1CAB" w14:paraId="184C680B" w14:textId="77777777">
        <w:tc>
          <w:tcPr>
            <w:cnfStyle w:val="001000000000" w:firstRow="0" w:lastRow="0" w:firstColumn="1" w:lastColumn="0" w:oddVBand="0" w:evenVBand="0" w:oddHBand="0" w:evenHBand="0" w:firstRowFirstColumn="0" w:firstRowLastColumn="0" w:lastRowFirstColumn="0" w:lastRowLastColumn="0"/>
            <w:tcW w:w="2484" w:type="dxa"/>
          </w:tcPr>
          <w:p w14:paraId="023C39E0" w14:textId="77777777" w:rsidR="00C220BF" w:rsidRPr="008F1CAB" w:rsidRDefault="00C220BF">
            <w:r w:rsidRPr="008F1CAB">
              <w:t>Numerator</w:t>
            </w:r>
          </w:p>
        </w:tc>
        <w:tc>
          <w:tcPr>
            <w:tcW w:w="6860" w:type="dxa"/>
          </w:tcPr>
          <w:p w14:paraId="5B84FF8B" w14:textId="04BFD5AD"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The outcome measure is the observed number of acute unplanned hospital admissions for adults with acute ACSCs (or observation stays) per 1,000-member months at risk for admissions</w:t>
            </w:r>
            <w:r w:rsidR="00787F62">
              <w:t>.</w:t>
            </w:r>
          </w:p>
        </w:tc>
      </w:tr>
      <w:tr w:rsidR="00C220BF" w:rsidRPr="008F1CAB" w14:paraId="26DBEC27" w14:textId="77777777">
        <w:tc>
          <w:tcPr>
            <w:cnfStyle w:val="001000000000" w:firstRow="0" w:lastRow="0" w:firstColumn="1" w:lastColumn="0" w:oddVBand="0" w:evenVBand="0" w:oddHBand="0" w:evenHBand="0" w:firstRowFirstColumn="0" w:firstRowLastColumn="0" w:lastRowFirstColumn="0" w:lastRowLastColumn="0"/>
            <w:tcW w:w="2484" w:type="dxa"/>
          </w:tcPr>
          <w:p w14:paraId="464031BB" w14:textId="77777777" w:rsidR="00C220BF" w:rsidRPr="008F1CAB" w:rsidRDefault="00C220BF">
            <w:r w:rsidRPr="008F1CAB">
              <w:t>Denominator</w:t>
            </w:r>
          </w:p>
        </w:tc>
        <w:tc>
          <w:tcPr>
            <w:tcW w:w="6860" w:type="dxa"/>
          </w:tcPr>
          <w:p w14:paraId="27C0B491" w14:textId="7CCFF4BD"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The person-time contributed by members in the population of interest during the measurement period</w:t>
            </w:r>
            <w:r w:rsidR="00787F62">
              <w:t>.</w:t>
            </w:r>
          </w:p>
        </w:tc>
      </w:tr>
      <w:tr w:rsidR="00C220BF" w:rsidRPr="008F1CAB" w14:paraId="573C84B9" w14:textId="77777777">
        <w:tc>
          <w:tcPr>
            <w:cnfStyle w:val="001000000000" w:firstRow="0" w:lastRow="0" w:firstColumn="1" w:lastColumn="0" w:oddVBand="0" w:evenVBand="0" w:oddHBand="0" w:evenHBand="0" w:firstRowFirstColumn="0" w:firstRowLastColumn="0" w:lastRowFirstColumn="0" w:lastRowLastColumn="0"/>
            <w:tcW w:w="2484" w:type="dxa"/>
          </w:tcPr>
          <w:p w14:paraId="5DFF66F6" w14:textId="77777777" w:rsidR="00C220BF" w:rsidRPr="008F1CAB" w:rsidRDefault="00C220BF">
            <w:r w:rsidRPr="008F1CAB">
              <w:t>Data Sources</w:t>
            </w:r>
          </w:p>
        </w:tc>
        <w:tc>
          <w:tcPr>
            <w:tcW w:w="6860" w:type="dxa"/>
          </w:tcPr>
          <w:p w14:paraId="2A1DE08F"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Medicaid claims/encounters data</w:t>
            </w:r>
          </w:p>
        </w:tc>
      </w:tr>
      <w:tr w:rsidR="00C220BF" w:rsidRPr="008F1CAB" w14:paraId="296DB3A7" w14:textId="77777777">
        <w:tc>
          <w:tcPr>
            <w:cnfStyle w:val="001000000000" w:firstRow="0" w:lastRow="0" w:firstColumn="1" w:lastColumn="0" w:oddVBand="0" w:evenVBand="0" w:oddHBand="0" w:evenHBand="0" w:firstRowFirstColumn="0" w:firstRowLastColumn="0" w:lastRowFirstColumn="0" w:lastRowLastColumn="0"/>
            <w:tcW w:w="2484" w:type="dxa"/>
          </w:tcPr>
          <w:p w14:paraId="47BC7E94" w14:textId="77777777" w:rsidR="00C220BF" w:rsidRPr="008F1CAB" w:rsidRDefault="00C220BF">
            <w:r w:rsidRPr="008F1CAB">
              <w:t>National Benchmark</w:t>
            </w:r>
          </w:p>
        </w:tc>
        <w:tc>
          <w:tcPr>
            <w:tcW w:w="6860" w:type="dxa"/>
          </w:tcPr>
          <w:p w14:paraId="2550D7A6"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 xml:space="preserve">None </w:t>
            </w:r>
          </w:p>
        </w:tc>
      </w:tr>
    </w:tbl>
    <w:p w14:paraId="7091D7EB" w14:textId="77777777" w:rsidR="00C220BF" w:rsidRDefault="00C220BF" w:rsidP="00662F94">
      <w:pPr>
        <w:pStyle w:val="NoSpacing"/>
      </w:pPr>
    </w:p>
    <w:tbl>
      <w:tblPr>
        <w:tblStyle w:val="FHCclean10pt"/>
        <w:tblW w:w="0" w:type="auto"/>
        <w:tblLook w:val="04A0" w:firstRow="1" w:lastRow="0" w:firstColumn="1" w:lastColumn="0" w:noHBand="0" w:noVBand="1"/>
      </w:tblPr>
      <w:tblGrid>
        <w:gridCol w:w="2484"/>
        <w:gridCol w:w="6860"/>
      </w:tblGrid>
      <w:tr w:rsidR="00C220BF" w:rsidRPr="008F1CAB" w14:paraId="400EE6B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bookmarkEnd w:id="276"/>
          <w:p w14:paraId="261552CD" w14:textId="77777777" w:rsidR="00C220BF" w:rsidRPr="008F1CAB" w:rsidRDefault="00C220BF">
            <w:r w:rsidRPr="00DB3492">
              <w:t>Measure:</w:t>
            </w:r>
          </w:p>
        </w:tc>
        <w:tc>
          <w:tcPr>
            <w:tcW w:w="6860" w:type="dxa"/>
          </w:tcPr>
          <w:p w14:paraId="1B1642D7" w14:textId="77777777" w:rsidR="00C220BF" w:rsidRPr="008F1CAB" w:rsidRDefault="00C220BF">
            <w:pPr>
              <w:cnfStyle w:val="100000000000" w:firstRow="1" w:lastRow="0" w:firstColumn="0" w:lastColumn="0" w:oddVBand="0" w:evenVBand="0" w:oddHBand="0" w:evenHBand="0" w:firstRowFirstColumn="0" w:firstRowLastColumn="0" w:lastRowFirstColumn="0" w:lastRowLastColumn="0"/>
            </w:pPr>
            <w:r w:rsidRPr="00FB63B0">
              <w:t>Neonatal Intensive Care Unit Utilization</w:t>
            </w:r>
          </w:p>
        </w:tc>
      </w:tr>
      <w:tr w:rsidR="00C220BF" w:rsidRPr="008F1CAB" w14:paraId="211BD28E" w14:textId="77777777">
        <w:tc>
          <w:tcPr>
            <w:cnfStyle w:val="001000000000" w:firstRow="0" w:lastRow="0" w:firstColumn="1" w:lastColumn="0" w:oddVBand="0" w:evenVBand="0" w:oddHBand="0" w:evenHBand="0" w:firstRowFirstColumn="0" w:firstRowLastColumn="0" w:lastRowFirstColumn="0" w:lastRowLastColumn="0"/>
            <w:tcW w:w="2484" w:type="dxa"/>
          </w:tcPr>
          <w:p w14:paraId="16B574DD" w14:textId="77777777" w:rsidR="00C220BF" w:rsidRPr="008F1CAB" w:rsidRDefault="00C220BF">
            <w:r w:rsidRPr="00DB3492">
              <w:t>Steward:</w:t>
            </w:r>
          </w:p>
        </w:tc>
        <w:tc>
          <w:tcPr>
            <w:tcW w:w="6860" w:type="dxa"/>
          </w:tcPr>
          <w:p w14:paraId="4A510439"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None</w:t>
            </w:r>
          </w:p>
        </w:tc>
      </w:tr>
      <w:tr w:rsidR="00C220BF" w:rsidRPr="008F1CAB" w14:paraId="4070C61D" w14:textId="77777777">
        <w:tc>
          <w:tcPr>
            <w:cnfStyle w:val="001000000000" w:firstRow="0" w:lastRow="0" w:firstColumn="1" w:lastColumn="0" w:oddVBand="0" w:evenVBand="0" w:oddHBand="0" w:evenHBand="0" w:firstRowFirstColumn="0" w:firstRowLastColumn="0" w:lastRowFirstColumn="0" w:lastRowLastColumn="0"/>
            <w:tcW w:w="2484" w:type="dxa"/>
          </w:tcPr>
          <w:p w14:paraId="43694EE1" w14:textId="77777777" w:rsidR="00C220BF" w:rsidRPr="008F1CAB" w:rsidRDefault="00C220BF">
            <w:r w:rsidRPr="00DB3492">
              <w:t>NQF Endorsed:</w:t>
            </w:r>
          </w:p>
        </w:tc>
        <w:tc>
          <w:tcPr>
            <w:tcW w:w="6860" w:type="dxa"/>
          </w:tcPr>
          <w:p w14:paraId="3A03D78B"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No</w:t>
            </w:r>
          </w:p>
        </w:tc>
      </w:tr>
      <w:tr w:rsidR="00C220BF" w:rsidRPr="008F1CAB" w14:paraId="21BCE190" w14:textId="77777777">
        <w:tc>
          <w:tcPr>
            <w:cnfStyle w:val="001000000000" w:firstRow="0" w:lastRow="0" w:firstColumn="1" w:lastColumn="0" w:oddVBand="0" w:evenVBand="0" w:oddHBand="0" w:evenHBand="0" w:firstRowFirstColumn="0" w:firstRowLastColumn="0" w:lastRowFirstColumn="0" w:lastRowLastColumn="0"/>
            <w:tcW w:w="2484" w:type="dxa"/>
          </w:tcPr>
          <w:p w14:paraId="416D1F7A" w14:textId="77777777" w:rsidR="00C220BF" w:rsidRPr="008F1CAB" w:rsidRDefault="00C220BF">
            <w:r w:rsidRPr="008F1CAB">
              <w:t>Description</w:t>
            </w:r>
          </w:p>
        </w:tc>
        <w:tc>
          <w:tcPr>
            <w:tcW w:w="6860" w:type="dxa"/>
          </w:tcPr>
          <w:p w14:paraId="125D561A"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Rate of NICU hospitalizations among live births.</w:t>
            </w:r>
          </w:p>
        </w:tc>
      </w:tr>
      <w:tr w:rsidR="00C220BF" w:rsidRPr="008F1CAB" w14:paraId="0F9E4B01" w14:textId="77777777">
        <w:tc>
          <w:tcPr>
            <w:cnfStyle w:val="001000000000" w:firstRow="0" w:lastRow="0" w:firstColumn="1" w:lastColumn="0" w:oddVBand="0" w:evenVBand="0" w:oddHBand="0" w:evenHBand="0" w:firstRowFirstColumn="0" w:firstRowLastColumn="0" w:lastRowFirstColumn="0" w:lastRowLastColumn="0"/>
            <w:tcW w:w="2484" w:type="dxa"/>
          </w:tcPr>
          <w:p w14:paraId="66261B0A" w14:textId="77777777" w:rsidR="00C220BF" w:rsidRPr="008F1CAB" w:rsidRDefault="00C220BF">
            <w:r w:rsidRPr="008F1CAB">
              <w:t>Numerator</w:t>
            </w:r>
          </w:p>
        </w:tc>
        <w:tc>
          <w:tcPr>
            <w:tcW w:w="6860" w:type="dxa"/>
          </w:tcPr>
          <w:p w14:paraId="5EE844A5"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The observed number of NICU hospitalizations.</w:t>
            </w:r>
          </w:p>
        </w:tc>
      </w:tr>
      <w:tr w:rsidR="00C220BF" w:rsidRPr="008F1CAB" w14:paraId="64025B39" w14:textId="77777777">
        <w:tc>
          <w:tcPr>
            <w:cnfStyle w:val="001000000000" w:firstRow="0" w:lastRow="0" w:firstColumn="1" w:lastColumn="0" w:oddVBand="0" w:evenVBand="0" w:oddHBand="0" w:evenHBand="0" w:firstRowFirstColumn="0" w:firstRowLastColumn="0" w:lastRowFirstColumn="0" w:lastRowLastColumn="0"/>
            <w:tcW w:w="2484" w:type="dxa"/>
          </w:tcPr>
          <w:p w14:paraId="46B02FC4" w14:textId="77777777" w:rsidR="00C220BF" w:rsidRPr="008F1CAB" w:rsidRDefault="00C220BF">
            <w:r w:rsidRPr="008F1CAB">
              <w:t>Denominator</w:t>
            </w:r>
          </w:p>
        </w:tc>
        <w:tc>
          <w:tcPr>
            <w:tcW w:w="6860" w:type="dxa"/>
          </w:tcPr>
          <w:p w14:paraId="70255A33"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The number of live births.</w:t>
            </w:r>
          </w:p>
        </w:tc>
      </w:tr>
      <w:tr w:rsidR="00C220BF" w:rsidRPr="008F1CAB" w14:paraId="12453B50" w14:textId="77777777">
        <w:tc>
          <w:tcPr>
            <w:cnfStyle w:val="001000000000" w:firstRow="0" w:lastRow="0" w:firstColumn="1" w:lastColumn="0" w:oddVBand="0" w:evenVBand="0" w:oddHBand="0" w:evenHBand="0" w:firstRowFirstColumn="0" w:firstRowLastColumn="0" w:lastRowFirstColumn="0" w:lastRowLastColumn="0"/>
            <w:tcW w:w="2484" w:type="dxa"/>
          </w:tcPr>
          <w:p w14:paraId="49728DEC" w14:textId="77777777" w:rsidR="00C220BF" w:rsidRPr="008F1CAB" w:rsidRDefault="00C220BF">
            <w:r w:rsidRPr="008F1CAB">
              <w:t>Data Sources</w:t>
            </w:r>
          </w:p>
        </w:tc>
        <w:tc>
          <w:tcPr>
            <w:tcW w:w="6860" w:type="dxa"/>
          </w:tcPr>
          <w:p w14:paraId="4ABB6602"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Medicaid claims/encounters data</w:t>
            </w:r>
          </w:p>
        </w:tc>
      </w:tr>
      <w:tr w:rsidR="00C220BF" w:rsidRPr="008F1CAB" w14:paraId="0AEFBCAF" w14:textId="77777777">
        <w:tc>
          <w:tcPr>
            <w:cnfStyle w:val="001000000000" w:firstRow="0" w:lastRow="0" w:firstColumn="1" w:lastColumn="0" w:oddVBand="0" w:evenVBand="0" w:oddHBand="0" w:evenHBand="0" w:firstRowFirstColumn="0" w:firstRowLastColumn="0" w:lastRowFirstColumn="0" w:lastRowLastColumn="0"/>
            <w:tcW w:w="2484" w:type="dxa"/>
          </w:tcPr>
          <w:p w14:paraId="050124B6" w14:textId="77777777" w:rsidR="00C220BF" w:rsidRPr="008F1CAB" w:rsidRDefault="00C220BF">
            <w:r w:rsidRPr="008F1CAB">
              <w:t>National Benchmark</w:t>
            </w:r>
          </w:p>
        </w:tc>
        <w:tc>
          <w:tcPr>
            <w:tcW w:w="6860" w:type="dxa"/>
          </w:tcPr>
          <w:p w14:paraId="17EA19E2"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 xml:space="preserve">None </w:t>
            </w:r>
          </w:p>
        </w:tc>
      </w:tr>
    </w:tbl>
    <w:p w14:paraId="75009B3E" w14:textId="77777777" w:rsidR="00C220BF" w:rsidRDefault="00C220BF" w:rsidP="00662F94">
      <w:pPr>
        <w:pStyle w:val="NoSpacing"/>
      </w:pPr>
    </w:p>
    <w:tbl>
      <w:tblPr>
        <w:tblStyle w:val="FHCclean10pt"/>
        <w:tblW w:w="0" w:type="auto"/>
        <w:tblLook w:val="04A0" w:firstRow="1" w:lastRow="0" w:firstColumn="1" w:lastColumn="0" w:noHBand="0" w:noVBand="1"/>
      </w:tblPr>
      <w:tblGrid>
        <w:gridCol w:w="2484"/>
        <w:gridCol w:w="6860"/>
      </w:tblGrid>
      <w:tr w:rsidR="00C220BF" w:rsidRPr="008F1CAB" w14:paraId="19D9076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1989A0D3" w14:textId="77777777" w:rsidR="00C220BF" w:rsidRPr="008F1CAB" w:rsidRDefault="00C220BF">
            <w:r w:rsidRPr="00DB3492">
              <w:t>Measure:</w:t>
            </w:r>
          </w:p>
        </w:tc>
        <w:tc>
          <w:tcPr>
            <w:tcW w:w="6860" w:type="dxa"/>
          </w:tcPr>
          <w:p w14:paraId="4FEB884E" w14:textId="77777777" w:rsidR="00C220BF" w:rsidRPr="008F1CAB" w:rsidRDefault="00C220BF">
            <w:pPr>
              <w:cnfStyle w:val="100000000000" w:firstRow="1" w:lastRow="0" w:firstColumn="0" w:lastColumn="0" w:oddVBand="0" w:evenVBand="0" w:oddHBand="0" w:evenHBand="0" w:firstRowFirstColumn="0" w:firstRowLastColumn="0" w:lastRowFirstColumn="0" w:lastRowLastColumn="0"/>
            </w:pPr>
            <w:r w:rsidRPr="00FB63B0">
              <w:t>ED Boarding of Members with BH Conditions</w:t>
            </w:r>
          </w:p>
        </w:tc>
      </w:tr>
      <w:tr w:rsidR="00C220BF" w:rsidRPr="008F1CAB" w14:paraId="3110C7DD" w14:textId="77777777">
        <w:tc>
          <w:tcPr>
            <w:cnfStyle w:val="001000000000" w:firstRow="0" w:lastRow="0" w:firstColumn="1" w:lastColumn="0" w:oddVBand="0" w:evenVBand="0" w:oddHBand="0" w:evenHBand="0" w:firstRowFirstColumn="0" w:firstRowLastColumn="0" w:lastRowFirstColumn="0" w:lastRowLastColumn="0"/>
            <w:tcW w:w="2484" w:type="dxa"/>
          </w:tcPr>
          <w:p w14:paraId="35FCF56C" w14:textId="77777777" w:rsidR="00C220BF" w:rsidRPr="008F1CAB" w:rsidRDefault="00C220BF">
            <w:r w:rsidRPr="00DB3492">
              <w:t>Steward:</w:t>
            </w:r>
          </w:p>
        </w:tc>
        <w:tc>
          <w:tcPr>
            <w:tcW w:w="6860" w:type="dxa"/>
          </w:tcPr>
          <w:p w14:paraId="445FFA43"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None</w:t>
            </w:r>
          </w:p>
        </w:tc>
      </w:tr>
      <w:tr w:rsidR="00C220BF" w:rsidRPr="008F1CAB" w14:paraId="3418AA6D" w14:textId="77777777">
        <w:tc>
          <w:tcPr>
            <w:cnfStyle w:val="001000000000" w:firstRow="0" w:lastRow="0" w:firstColumn="1" w:lastColumn="0" w:oddVBand="0" w:evenVBand="0" w:oddHBand="0" w:evenHBand="0" w:firstRowFirstColumn="0" w:firstRowLastColumn="0" w:lastRowFirstColumn="0" w:lastRowLastColumn="0"/>
            <w:tcW w:w="2484" w:type="dxa"/>
          </w:tcPr>
          <w:p w14:paraId="6BD035DC" w14:textId="77777777" w:rsidR="00C220BF" w:rsidRPr="008F1CAB" w:rsidRDefault="00C220BF">
            <w:r w:rsidRPr="00DB3492">
              <w:t>NQF Endorsed:</w:t>
            </w:r>
          </w:p>
        </w:tc>
        <w:tc>
          <w:tcPr>
            <w:tcW w:w="6860" w:type="dxa"/>
          </w:tcPr>
          <w:p w14:paraId="2DAF2B30"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No</w:t>
            </w:r>
          </w:p>
        </w:tc>
      </w:tr>
      <w:tr w:rsidR="00C220BF" w:rsidRPr="008F1CAB" w14:paraId="52CDA764" w14:textId="77777777">
        <w:tc>
          <w:tcPr>
            <w:cnfStyle w:val="001000000000" w:firstRow="0" w:lastRow="0" w:firstColumn="1" w:lastColumn="0" w:oddVBand="0" w:evenVBand="0" w:oddHBand="0" w:evenHBand="0" w:firstRowFirstColumn="0" w:firstRowLastColumn="0" w:lastRowFirstColumn="0" w:lastRowLastColumn="0"/>
            <w:tcW w:w="2484" w:type="dxa"/>
          </w:tcPr>
          <w:p w14:paraId="314EF735" w14:textId="77777777" w:rsidR="00C220BF" w:rsidRPr="008F1CAB" w:rsidRDefault="00C220BF">
            <w:r w:rsidRPr="008F1CAB">
              <w:t>Description</w:t>
            </w:r>
          </w:p>
        </w:tc>
        <w:tc>
          <w:tcPr>
            <w:tcW w:w="6860" w:type="dxa"/>
          </w:tcPr>
          <w:p w14:paraId="3D6E7D67" w14:textId="1FAF238C"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The rate of ED visits resulting in boarding among members with BH conditions</w:t>
            </w:r>
            <w:r w:rsidR="00787F62">
              <w:t>.</w:t>
            </w:r>
          </w:p>
        </w:tc>
      </w:tr>
      <w:tr w:rsidR="00C220BF" w:rsidRPr="008F1CAB" w14:paraId="4DA1D97D" w14:textId="77777777">
        <w:tc>
          <w:tcPr>
            <w:cnfStyle w:val="001000000000" w:firstRow="0" w:lastRow="0" w:firstColumn="1" w:lastColumn="0" w:oddVBand="0" w:evenVBand="0" w:oddHBand="0" w:evenHBand="0" w:firstRowFirstColumn="0" w:firstRowLastColumn="0" w:lastRowFirstColumn="0" w:lastRowLastColumn="0"/>
            <w:tcW w:w="2484" w:type="dxa"/>
          </w:tcPr>
          <w:p w14:paraId="369B9267" w14:textId="77777777" w:rsidR="00C220BF" w:rsidRPr="008F1CAB" w:rsidRDefault="00C220BF">
            <w:r w:rsidRPr="008F1CAB">
              <w:t>Numerator</w:t>
            </w:r>
          </w:p>
        </w:tc>
        <w:tc>
          <w:tcPr>
            <w:tcW w:w="6860" w:type="dxa"/>
          </w:tcPr>
          <w:p w14:paraId="094C428D"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The number of ED visits for members with a BH condition with an arrival date and discharge date separated by one or more days (a minimum duration in the ED of 24 hours).</w:t>
            </w:r>
          </w:p>
        </w:tc>
      </w:tr>
      <w:tr w:rsidR="00C220BF" w:rsidRPr="008F1CAB" w14:paraId="60483A4B" w14:textId="77777777">
        <w:tc>
          <w:tcPr>
            <w:cnfStyle w:val="001000000000" w:firstRow="0" w:lastRow="0" w:firstColumn="1" w:lastColumn="0" w:oddVBand="0" w:evenVBand="0" w:oddHBand="0" w:evenHBand="0" w:firstRowFirstColumn="0" w:firstRowLastColumn="0" w:lastRowFirstColumn="0" w:lastRowLastColumn="0"/>
            <w:tcW w:w="2484" w:type="dxa"/>
          </w:tcPr>
          <w:p w14:paraId="55216813" w14:textId="77777777" w:rsidR="00C220BF" w:rsidRPr="008F1CAB" w:rsidRDefault="00C220BF">
            <w:r w:rsidRPr="008F1CAB">
              <w:t>Denominator</w:t>
            </w:r>
          </w:p>
        </w:tc>
        <w:tc>
          <w:tcPr>
            <w:tcW w:w="6860" w:type="dxa"/>
          </w:tcPr>
          <w:p w14:paraId="7DA28EAB" w14:textId="2A899C36"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The person-time contributed by members of the population of interest during the measurement period</w:t>
            </w:r>
            <w:r w:rsidR="00787F62">
              <w:t>.</w:t>
            </w:r>
          </w:p>
        </w:tc>
      </w:tr>
      <w:tr w:rsidR="00C220BF" w:rsidRPr="008F1CAB" w14:paraId="7B3CBDF7" w14:textId="77777777">
        <w:tc>
          <w:tcPr>
            <w:cnfStyle w:val="001000000000" w:firstRow="0" w:lastRow="0" w:firstColumn="1" w:lastColumn="0" w:oddVBand="0" w:evenVBand="0" w:oddHBand="0" w:evenHBand="0" w:firstRowFirstColumn="0" w:firstRowLastColumn="0" w:lastRowFirstColumn="0" w:lastRowLastColumn="0"/>
            <w:tcW w:w="2484" w:type="dxa"/>
          </w:tcPr>
          <w:p w14:paraId="4DF138F8" w14:textId="77777777" w:rsidR="00C220BF" w:rsidRPr="008F1CAB" w:rsidRDefault="00C220BF">
            <w:r w:rsidRPr="008F1CAB">
              <w:t>Data Sources</w:t>
            </w:r>
          </w:p>
        </w:tc>
        <w:tc>
          <w:tcPr>
            <w:tcW w:w="6860" w:type="dxa"/>
          </w:tcPr>
          <w:p w14:paraId="3A23673F"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Medicaid claims/encounters data</w:t>
            </w:r>
          </w:p>
        </w:tc>
      </w:tr>
      <w:tr w:rsidR="00C220BF" w:rsidRPr="008F1CAB" w14:paraId="176E8E8A" w14:textId="77777777">
        <w:tc>
          <w:tcPr>
            <w:cnfStyle w:val="001000000000" w:firstRow="0" w:lastRow="0" w:firstColumn="1" w:lastColumn="0" w:oddVBand="0" w:evenVBand="0" w:oddHBand="0" w:evenHBand="0" w:firstRowFirstColumn="0" w:firstRowLastColumn="0" w:lastRowFirstColumn="0" w:lastRowLastColumn="0"/>
            <w:tcW w:w="2484" w:type="dxa"/>
          </w:tcPr>
          <w:p w14:paraId="6450A404" w14:textId="77777777" w:rsidR="00C220BF" w:rsidRPr="008F1CAB" w:rsidRDefault="00C220BF">
            <w:r w:rsidRPr="008F1CAB">
              <w:t xml:space="preserve">National Benchmark </w:t>
            </w:r>
          </w:p>
        </w:tc>
        <w:tc>
          <w:tcPr>
            <w:tcW w:w="6860" w:type="dxa"/>
          </w:tcPr>
          <w:p w14:paraId="04B10DE4"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None</w:t>
            </w:r>
          </w:p>
        </w:tc>
      </w:tr>
    </w:tbl>
    <w:p w14:paraId="075F0C25" w14:textId="77777777" w:rsidR="00C220BF" w:rsidRDefault="00C220BF" w:rsidP="00662F94">
      <w:pPr>
        <w:pStyle w:val="NoSpacing"/>
      </w:pPr>
    </w:p>
    <w:tbl>
      <w:tblPr>
        <w:tblStyle w:val="FHCclean10pt"/>
        <w:tblW w:w="0" w:type="auto"/>
        <w:tblLook w:val="04A0" w:firstRow="1" w:lastRow="0" w:firstColumn="1" w:lastColumn="0" w:noHBand="0" w:noVBand="1"/>
      </w:tblPr>
      <w:tblGrid>
        <w:gridCol w:w="2484"/>
        <w:gridCol w:w="6860"/>
      </w:tblGrid>
      <w:tr w:rsidR="00C220BF" w:rsidRPr="008F1CAB" w14:paraId="19BBC93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646189E8" w14:textId="77777777" w:rsidR="00C220BF" w:rsidRPr="008F1CAB" w:rsidRDefault="00C220BF">
            <w:bookmarkStart w:id="277" w:name="_Hlk151293081"/>
            <w:r w:rsidRPr="00DB3492">
              <w:lastRenderedPageBreak/>
              <w:t>Measure:</w:t>
            </w:r>
          </w:p>
        </w:tc>
        <w:tc>
          <w:tcPr>
            <w:tcW w:w="6860" w:type="dxa"/>
          </w:tcPr>
          <w:p w14:paraId="0CF47867" w14:textId="01B8BC7D" w:rsidR="00C220BF" w:rsidRPr="008F1CAB" w:rsidRDefault="00C220BF">
            <w:pPr>
              <w:cnfStyle w:val="100000000000" w:firstRow="1" w:lastRow="0" w:firstColumn="0" w:lastColumn="0" w:oddVBand="0" w:evenVBand="0" w:oddHBand="0" w:evenHBand="0" w:firstRowFirstColumn="0" w:firstRowLastColumn="0" w:lastRowFirstColumn="0" w:lastRowLastColumn="0"/>
            </w:pPr>
            <w:r w:rsidRPr="00FB63B0">
              <w:t>Emergency Department Visits for Individuals with Mental Illness, Addiction, or Co-occurring Conditions</w:t>
            </w:r>
            <w:r>
              <w:br/>
            </w:r>
            <w:r w:rsidRPr="00FB63B0">
              <w:t>*</w:t>
            </w:r>
            <w:r w:rsidR="005B47F7">
              <w:t xml:space="preserve"> </w:t>
            </w:r>
            <w:r w:rsidRPr="00FB63B0">
              <w:t>MassHealth ACO Quality Measure</w:t>
            </w:r>
          </w:p>
        </w:tc>
      </w:tr>
      <w:bookmarkEnd w:id="277"/>
      <w:tr w:rsidR="00C220BF" w:rsidRPr="008F1CAB" w14:paraId="3D89A0CD" w14:textId="77777777">
        <w:tc>
          <w:tcPr>
            <w:cnfStyle w:val="001000000000" w:firstRow="0" w:lastRow="0" w:firstColumn="1" w:lastColumn="0" w:oddVBand="0" w:evenVBand="0" w:oddHBand="0" w:evenHBand="0" w:firstRowFirstColumn="0" w:firstRowLastColumn="0" w:lastRowFirstColumn="0" w:lastRowLastColumn="0"/>
            <w:tcW w:w="2484" w:type="dxa"/>
          </w:tcPr>
          <w:p w14:paraId="5422BC29" w14:textId="77777777" w:rsidR="00C220BF" w:rsidRPr="008F1CAB" w:rsidRDefault="00C220BF">
            <w:r w:rsidRPr="00DB3492">
              <w:t>Steward:</w:t>
            </w:r>
          </w:p>
        </w:tc>
        <w:tc>
          <w:tcPr>
            <w:tcW w:w="6860" w:type="dxa"/>
          </w:tcPr>
          <w:p w14:paraId="53995CCA"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MassHealth</w:t>
            </w:r>
          </w:p>
        </w:tc>
      </w:tr>
      <w:tr w:rsidR="00C220BF" w:rsidRPr="008F1CAB" w14:paraId="2076B61D" w14:textId="77777777">
        <w:tc>
          <w:tcPr>
            <w:cnfStyle w:val="001000000000" w:firstRow="0" w:lastRow="0" w:firstColumn="1" w:lastColumn="0" w:oddVBand="0" w:evenVBand="0" w:oddHBand="0" w:evenHBand="0" w:firstRowFirstColumn="0" w:firstRowLastColumn="0" w:lastRowFirstColumn="0" w:lastRowLastColumn="0"/>
            <w:tcW w:w="2484" w:type="dxa"/>
          </w:tcPr>
          <w:p w14:paraId="63EAB622" w14:textId="77777777" w:rsidR="00C220BF" w:rsidRPr="008F1CAB" w:rsidRDefault="00C220BF">
            <w:r w:rsidRPr="00DB3492">
              <w:t>NQF Endorsed:</w:t>
            </w:r>
          </w:p>
        </w:tc>
        <w:tc>
          <w:tcPr>
            <w:tcW w:w="6860" w:type="dxa"/>
          </w:tcPr>
          <w:p w14:paraId="3E5A1224"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No</w:t>
            </w:r>
          </w:p>
        </w:tc>
      </w:tr>
      <w:tr w:rsidR="00C220BF" w:rsidRPr="008F1CAB" w14:paraId="27551D4C" w14:textId="77777777">
        <w:tc>
          <w:tcPr>
            <w:cnfStyle w:val="001000000000" w:firstRow="0" w:lastRow="0" w:firstColumn="1" w:lastColumn="0" w:oddVBand="0" w:evenVBand="0" w:oddHBand="0" w:evenHBand="0" w:firstRowFirstColumn="0" w:firstRowLastColumn="0" w:lastRowFirstColumn="0" w:lastRowLastColumn="0"/>
            <w:tcW w:w="2484" w:type="dxa"/>
          </w:tcPr>
          <w:p w14:paraId="05353182" w14:textId="77777777" w:rsidR="00C220BF" w:rsidRPr="008F1CAB" w:rsidRDefault="00C220BF">
            <w:bookmarkStart w:id="278" w:name="_Hlk129957955"/>
            <w:r w:rsidRPr="008F1CAB">
              <w:t>Description</w:t>
            </w:r>
          </w:p>
        </w:tc>
        <w:tc>
          <w:tcPr>
            <w:tcW w:w="6860" w:type="dxa"/>
          </w:tcPr>
          <w:p w14:paraId="64B8F9D4" w14:textId="3AA1331A"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 xml:space="preserve">Rate of ED visits for members 18 to 64 years of age identified with a diagnosis of </w:t>
            </w:r>
            <w:r w:rsidR="00BE35B0">
              <w:t>SMI</w:t>
            </w:r>
            <w:r w:rsidRPr="008F1CAB">
              <w:t xml:space="preserve"> and/or substance addiction</w:t>
            </w:r>
            <w:r w:rsidR="004F49EB">
              <w:t>.</w:t>
            </w:r>
          </w:p>
        </w:tc>
      </w:tr>
      <w:tr w:rsidR="00C220BF" w:rsidRPr="008F1CAB" w14:paraId="536A306D" w14:textId="77777777">
        <w:tc>
          <w:tcPr>
            <w:cnfStyle w:val="001000000000" w:firstRow="0" w:lastRow="0" w:firstColumn="1" w:lastColumn="0" w:oddVBand="0" w:evenVBand="0" w:oddHBand="0" w:evenHBand="0" w:firstRowFirstColumn="0" w:firstRowLastColumn="0" w:lastRowFirstColumn="0" w:lastRowLastColumn="0"/>
            <w:tcW w:w="2484" w:type="dxa"/>
          </w:tcPr>
          <w:p w14:paraId="0751B9F0" w14:textId="77777777" w:rsidR="00C220BF" w:rsidRPr="008F1CAB" w:rsidRDefault="00C220BF">
            <w:r w:rsidRPr="008F1CAB">
              <w:t>Numerator</w:t>
            </w:r>
          </w:p>
        </w:tc>
        <w:tc>
          <w:tcPr>
            <w:tcW w:w="6860" w:type="dxa"/>
          </w:tcPr>
          <w:p w14:paraId="6556F10B" w14:textId="056028F4" w:rsidR="00C220BF" w:rsidRPr="008F1CAB" w:rsidRDefault="00AB34CA">
            <w:pPr>
              <w:cnfStyle w:val="000000000000" w:firstRow="0" w:lastRow="0" w:firstColumn="0" w:lastColumn="0" w:oddVBand="0" w:evenVBand="0" w:oddHBand="0" w:evenHBand="0" w:firstRowFirstColumn="0" w:firstRowLastColumn="0" w:lastRowFirstColumn="0" w:lastRowLastColumn="0"/>
            </w:pPr>
            <w:r w:rsidRPr="00AB34CA">
              <w:t>Number of emergency department visits</w:t>
            </w:r>
          </w:p>
        </w:tc>
      </w:tr>
      <w:tr w:rsidR="00C220BF" w:rsidRPr="008F1CAB" w14:paraId="0C417C19" w14:textId="77777777">
        <w:tc>
          <w:tcPr>
            <w:cnfStyle w:val="001000000000" w:firstRow="0" w:lastRow="0" w:firstColumn="1" w:lastColumn="0" w:oddVBand="0" w:evenVBand="0" w:oddHBand="0" w:evenHBand="0" w:firstRowFirstColumn="0" w:firstRowLastColumn="0" w:lastRowFirstColumn="0" w:lastRowLastColumn="0"/>
            <w:tcW w:w="2484" w:type="dxa"/>
          </w:tcPr>
          <w:p w14:paraId="2BD0A1FC" w14:textId="77777777" w:rsidR="00C220BF" w:rsidRPr="008F1CAB" w:rsidRDefault="00C220BF">
            <w:r w:rsidRPr="008F1CAB">
              <w:t>Denominator</w:t>
            </w:r>
          </w:p>
        </w:tc>
        <w:tc>
          <w:tcPr>
            <w:tcW w:w="6860" w:type="dxa"/>
          </w:tcPr>
          <w:p w14:paraId="7DE318F5" w14:textId="59EE2E61" w:rsidR="00C220BF" w:rsidRPr="008F1CAB" w:rsidRDefault="00AB34CA">
            <w:pPr>
              <w:cnfStyle w:val="000000000000" w:firstRow="0" w:lastRow="0" w:firstColumn="0" w:lastColumn="0" w:oddVBand="0" w:evenVBand="0" w:oddHBand="0" w:evenHBand="0" w:firstRowFirstColumn="0" w:firstRowLastColumn="0" w:lastRowFirstColumn="0" w:lastRowLastColumn="0"/>
            </w:pPr>
            <w:r w:rsidRPr="00AB34CA">
              <w:t>Enrollees 18 to 64 years of age as of December 31 of the measurement year with a diagnosis of serious mental illness and/or substance use disorder</w:t>
            </w:r>
          </w:p>
        </w:tc>
      </w:tr>
      <w:tr w:rsidR="00C220BF" w:rsidRPr="008F1CAB" w14:paraId="7C911C66" w14:textId="77777777">
        <w:tc>
          <w:tcPr>
            <w:cnfStyle w:val="001000000000" w:firstRow="0" w:lastRow="0" w:firstColumn="1" w:lastColumn="0" w:oddVBand="0" w:evenVBand="0" w:oddHBand="0" w:evenHBand="0" w:firstRowFirstColumn="0" w:firstRowLastColumn="0" w:lastRowFirstColumn="0" w:lastRowLastColumn="0"/>
            <w:tcW w:w="2484" w:type="dxa"/>
          </w:tcPr>
          <w:p w14:paraId="47427FC2" w14:textId="77777777" w:rsidR="00C220BF" w:rsidRPr="008F1CAB" w:rsidRDefault="00C220BF">
            <w:r w:rsidRPr="008F1CAB">
              <w:t>Data Sources</w:t>
            </w:r>
          </w:p>
        </w:tc>
        <w:tc>
          <w:tcPr>
            <w:tcW w:w="6860" w:type="dxa"/>
          </w:tcPr>
          <w:p w14:paraId="5D2C038D"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Medicaid claims/encounters data</w:t>
            </w:r>
          </w:p>
        </w:tc>
      </w:tr>
      <w:tr w:rsidR="00C220BF" w:rsidRPr="008F1CAB" w14:paraId="057251E6" w14:textId="77777777">
        <w:tc>
          <w:tcPr>
            <w:cnfStyle w:val="001000000000" w:firstRow="0" w:lastRow="0" w:firstColumn="1" w:lastColumn="0" w:oddVBand="0" w:evenVBand="0" w:oddHBand="0" w:evenHBand="0" w:firstRowFirstColumn="0" w:firstRowLastColumn="0" w:lastRowFirstColumn="0" w:lastRowLastColumn="0"/>
            <w:tcW w:w="2484" w:type="dxa"/>
          </w:tcPr>
          <w:p w14:paraId="65FB6FA3" w14:textId="77777777" w:rsidR="00C220BF" w:rsidRPr="008F1CAB" w:rsidRDefault="00C220BF">
            <w:r w:rsidRPr="008F1CAB">
              <w:t>National Benchmark</w:t>
            </w:r>
          </w:p>
        </w:tc>
        <w:tc>
          <w:tcPr>
            <w:tcW w:w="6860" w:type="dxa"/>
          </w:tcPr>
          <w:p w14:paraId="79F6A058"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None</w:t>
            </w:r>
          </w:p>
        </w:tc>
      </w:tr>
    </w:tbl>
    <w:p w14:paraId="0DBC96D6" w14:textId="77777777" w:rsidR="00C220BF" w:rsidRDefault="00C220BF" w:rsidP="00662F94">
      <w:pPr>
        <w:pStyle w:val="NoSpacing"/>
      </w:pPr>
    </w:p>
    <w:tbl>
      <w:tblPr>
        <w:tblStyle w:val="FHCclean10pt"/>
        <w:tblW w:w="0" w:type="auto"/>
        <w:tblLook w:val="04A0" w:firstRow="1" w:lastRow="0" w:firstColumn="1" w:lastColumn="0" w:noHBand="0" w:noVBand="1"/>
      </w:tblPr>
      <w:tblGrid>
        <w:gridCol w:w="2484"/>
        <w:gridCol w:w="6860"/>
      </w:tblGrid>
      <w:tr w:rsidR="00C220BF" w:rsidRPr="008F1CAB" w14:paraId="6B75708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bookmarkEnd w:id="278"/>
          <w:p w14:paraId="16F33EA6" w14:textId="77777777" w:rsidR="00C220BF" w:rsidRPr="008F1CAB" w:rsidRDefault="00C220BF">
            <w:r w:rsidRPr="00DB3492">
              <w:t>Measure:</w:t>
            </w:r>
          </w:p>
        </w:tc>
        <w:tc>
          <w:tcPr>
            <w:tcW w:w="6860" w:type="dxa"/>
          </w:tcPr>
          <w:p w14:paraId="0CB734E8" w14:textId="77777777" w:rsidR="00C220BF" w:rsidRPr="008F1CAB" w:rsidRDefault="00C220BF">
            <w:pPr>
              <w:cnfStyle w:val="100000000000" w:firstRow="1" w:lastRow="0" w:firstColumn="0" w:lastColumn="0" w:oddVBand="0" w:evenVBand="0" w:oddHBand="0" w:evenHBand="0" w:firstRowFirstColumn="0" w:firstRowLastColumn="0" w:lastRowFirstColumn="0" w:lastRowLastColumn="0"/>
            </w:pPr>
            <w:r>
              <w:t>Maternal Morbidity</w:t>
            </w:r>
          </w:p>
        </w:tc>
      </w:tr>
      <w:tr w:rsidR="00C220BF" w:rsidRPr="008F1CAB" w14:paraId="69A33E6D" w14:textId="77777777">
        <w:tc>
          <w:tcPr>
            <w:cnfStyle w:val="001000000000" w:firstRow="0" w:lastRow="0" w:firstColumn="1" w:lastColumn="0" w:oddVBand="0" w:evenVBand="0" w:oddHBand="0" w:evenHBand="0" w:firstRowFirstColumn="0" w:firstRowLastColumn="0" w:lastRowFirstColumn="0" w:lastRowLastColumn="0"/>
            <w:tcW w:w="2484" w:type="dxa"/>
          </w:tcPr>
          <w:p w14:paraId="136A2F54" w14:textId="77777777" w:rsidR="00C220BF" w:rsidRPr="008F1CAB" w:rsidRDefault="00C220BF">
            <w:r w:rsidRPr="00DB3492">
              <w:t>Steward:</w:t>
            </w:r>
          </w:p>
        </w:tc>
        <w:tc>
          <w:tcPr>
            <w:tcW w:w="6860" w:type="dxa"/>
          </w:tcPr>
          <w:p w14:paraId="6BA665FB"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MassHealth</w:t>
            </w:r>
          </w:p>
        </w:tc>
      </w:tr>
      <w:tr w:rsidR="00C220BF" w:rsidRPr="008F1CAB" w14:paraId="59423420" w14:textId="77777777">
        <w:tc>
          <w:tcPr>
            <w:cnfStyle w:val="001000000000" w:firstRow="0" w:lastRow="0" w:firstColumn="1" w:lastColumn="0" w:oddVBand="0" w:evenVBand="0" w:oddHBand="0" w:evenHBand="0" w:firstRowFirstColumn="0" w:firstRowLastColumn="0" w:lastRowFirstColumn="0" w:lastRowLastColumn="0"/>
            <w:tcW w:w="2484" w:type="dxa"/>
          </w:tcPr>
          <w:p w14:paraId="369EB955" w14:textId="77777777" w:rsidR="00C220BF" w:rsidRPr="008F1CAB" w:rsidRDefault="00C220BF">
            <w:r w:rsidRPr="00DB3492">
              <w:t>NQF Endorsed:</w:t>
            </w:r>
          </w:p>
        </w:tc>
        <w:tc>
          <w:tcPr>
            <w:tcW w:w="6860" w:type="dxa"/>
          </w:tcPr>
          <w:p w14:paraId="0238D4A3"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No</w:t>
            </w:r>
          </w:p>
        </w:tc>
      </w:tr>
      <w:tr w:rsidR="00C220BF" w:rsidRPr="008F1CAB" w14:paraId="75E03D1F" w14:textId="77777777">
        <w:tc>
          <w:tcPr>
            <w:cnfStyle w:val="001000000000" w:firstRow="0" w:lastRow="0" w:firstColumn="1" w:lastColumn="0" w:oddVBand="0" w:evenVBand="0" w:oddHBand="0" w:evenHBand="0" w:firstRowFirstColumn="0" w:firstRowLastColumn="0" w:lastRowFirstColumn="0" w:lastRowLastColumn="0"/>
            <w:tcW w:w="2484" w:type="dxa"/>
          </w:tcPr>
          <w:p w14:paraId="5BD69155" w14:textId="77777777" w:rsidR="00C220BF" w:rsidRPr="008F1CAB" w:rsidRDefault="00C220BF">
            <w:r w:rsidRPr="008F1CAB">
              <w:t>Description</w:t>
            </w:r>
          </w:p>
        </w:tc>
        <w:tc>
          <w:tcPr>
            <w:tcW w:w="6860" w:type="dxa"/>
          </w:tcPr>
          <w:p w14:paraId="51925553"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Specification pending.</w:t>
            </w:r>
          </w:p>
        </w:tc>
      </w:tr>
    </w:tbl>
    <w:p w14:paraId="3695C4A6" w14:textId="77777777" w:rsidR="00C220BF" w:rsidRDefault="00C220BF" w:rsidP="00662F94">
      <w:pPr>
        <w:pStyle w:val="NoSpacing"/>
      </w:pPr>
    </w:p>
    <w:tbl>
      <w:tblPr>
        <w:tblStyle w:val="FHCclean10pt"/>
        <w:tblW w:w="0" w:type="auto"/>
        <w:tblLook w:val="04A0" w:firstRow="1" w:lastRow="0" w:firstColumn="1" w:lastColumn="0" w:noHBand="0" w:noVBand="1"/>
      </w:tblPr>
      <w:tblGrid>
        <w:gridCol w:w="2484"/>
        <w:gridCol w:w="6860"/>
      </w:tblGrid>
      <w:tr w:rsidR="00C220BF" w:rsidRPr="008F1CAB" w14:paraId="006F315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2AA5EDD8" w14:textId="77777777" w:rsidR="00C220BF" w:rsidRPr="008F1CAB" w:rsidRDefault="00C220BF">
            <w:r w:rsidRPr="00DB3492">
              <w:t>Measure:</w:t>
            </w:r>
          </w:p>
        </w:tc>
        <w:tc>
          <w:tcPr>
            <w:tcW w:w="6860" w:type="dxa"/>
          </w:tcPr>
          <w:p w14:paraId="3AA253A2" w14:textId="77777777" w:rsidR="00C220BF" w:rsidRPr="008F1CAB" w:rsidRDefault="00C220BF">
            <w:pPr>
              <w:cnfStyle w:val="100000000000" w:firstRow="1" w:lastRow="0" w:firstColumn="0" w:lastColumn="0" w:oddVBand="0" w:evenVBand="0" w:oddHBand="0" w:evenHBand="0" w:firstRowFirstColumn="0" w:firstRowLastColumn="0" w:lastRowFirstColumn="0" w:lastRowLastColumn="0"/>
            </w:pPr>
            <w:r w:rsidRPr="00692F56">
              <w:t>Controlling High Blood Pressure (CBP-AD)</w:t>
            </w:r>
            <w:r>
              <w:br/>
            </w:r>
            <w:r w:rsidRPr="00692F56">
              <w:t>* MassHealth monitoring measure</w:t>
            </w:r>
          </w:p>
        </w:tc>
      </w:tr>
      <w:tr w:rsidR="00C220BF" w:rsidRPr="008F1CAB" w14:paraId="54699919" w14:textId="77777777">
        <w:tc>
          <w:tcPr>
            <w:cnfStyle w:val="001000000000" w:firstRow="0" w:lastRow="0" w:firstColumn="1" w:lastColumn="0" w:oddVBand="0" w:evenVBand="0" w:oddHBand="0" w:evenHBand="0" w:firstRowFirstColumn="0" w:firstRowLastColumn="0" w:lastRowFirstColumn="0" w:lastRowLastColumn="0"/>
            <w:tcW w:w="2484" w:type="dxa"/>
          </w:tcPr>
          <w:p w14:paraId="44C58983" w14:textId="77777777" w:rsidR="00C220BF" w:rsidRPr="008F1CAB" w:rsidRDefault="00C220BF">
            <w:r w:rsidRPr="00DB3492">
              <w:t>Steward:</w:t>
            </w:r>
          </w:p>
        </w:tc>
        <w:tc>
          <w:tcPr>
            <w:tcW w:w="6860" w:type="dxa"/>
          </w:tcPr>
          <w:p w14:paraId="6939406E"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692F56">
              <w:t>National Committee for Quality Assurance (#0018)</w:t>
            </w:r>
          </w:p>
        </w:tc>
      </w:tr>
      <w:tr w:rsidR="00C220BF" w:rsidRPr="008F1CAB" w14:paraId="1E5A199A" w14:textId="77777777">
        <w:tc>
          <w:tcPr>
            <w:cnfStyle w:val="001000000000" w:firstRow="0" w:lastRow="0" w:firstColumn="1" w:lastColumn="0" w:oddVBand="0" w:evenVBand="0" w:oddHBand="0" w:evenHBand="0" w:firstRowFirstColumn="0" w:firstRowLastColumn="0" w:lastRowFirstColumn="0" w:lastRowLastColumn="0"/>
            <w:tcW w:w="2484" w:type="dxa"/>
          </w:tcPr>
          <w:p w14:paraId="72232574" w14:textId="77777777" w:rsidR="00C220BF" w:rsidRPr="008F1CAB" w:rsidRDefault="00C220BF">
            <w:r w:rsidRPr="00DB3492">
              <w:t>NQF Endorsed:</w:t>
            </w:r>
          </w:p>
        </w:tc>
        <w:tc>
          <w:tcPr>
            <w:tcW w:w="6860" w:type="dxa"/>
          </w:tcPr>
          <w:p w14:paraId="4960B705"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Yes</w:t>
            </w:r>
          </w:p>
        </w:tc>
      </w:tr>
      <w:tr w:rsidR="00C220BF" w:rsidRPr="008F1CAB" w14:paraId="0E379045" w14:textId="77777777">
        <w:tc>
          <w:tcPr>
            <w:cnfStyle w:val="001000000000" w:firstRow="0" w:lastRow="0" w:firstColumn="1" w:lastColumn="0" w:oddVBand="0" w:evenVBand="0" w:oddHBand="0" w:evenHBand="0" w:firstRowFirstColumn="0" w:firstRowLastColumn="0" w:lastRowFirstColumn="0" w:lastRowLastColumn="0"/>
            <w:tcW w:w="2484" w:type="dxa"/>
          </w:tcPr>
          <w:p w14:paraId="0194FA2C" w14:textId="77777777" w:rsidR="00C220BF" w:rsidRPr="008F1CAB" w:rsidRDefault="00C220BF">
            <w:bookmarkStart w:id="279" w:name="_Hlk129958419"/>
            <w:r w:rsidRPr="008F1CAB">
              <w:t>Description</w:t>
            </w:r>
          </w:p>
        </w:tc>
        <w:tc>
          <w:tcPr>
            <w:tcW w:w="6860" w:type="dxa"/>
          </w:tcPr>
          <w:p w14:paraId="4B4E1990" w14:textId="1BAE4C1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The percentage of adults 18</w:t>
            </w:r>
            <w:r w:rsidR="0087713B">
              <w:t xml:space="preserve"> to </w:t>
            </w:r>
            <w:r w:rsidRPr="008F1CAB">
              <w:t>85 years of age who had a diagnosis of hypertension (HTN) and whose blood pressure was adequately controlled (&lt;140/90 mm Hg) during the measurement year.</w:t>
            </w:r>
          </w:p>
        </w:tc>
      </w:tr>
      <w:tr w:rsidR="00C220BF" w:rsidRPr="008F1CAB" w14:paraId="121E601F" w14:textId="77777777">
        <w:tc>
          <w:tcPr>
            <w:cnfStyle w:val="001000000000" w:firstRow="0" w:lastRow="0" w:firstColumn="1" w:lastColumn="0" w:oddVBand="0" w:evenVBand="0" w:oddHBand="0" w:evenHBand="0" w:firstRowFirstColumn="0" w:firstRowLastColumn="0" w:lastRowFirstColumn="0" w:lastRowLastColumn="0"/>
            <w:tcW w:w="2484" w:type="dxa"/>
          </w:tcPr>
          <w:p w14:paraId="04A655AD" w14:textId="77777777" w:rsidR="00C220BF" w:rsidRPr="008F1CAB" w:rsidRDefault="00C220BF">
            <w:r w:rsidRPr="008F1CAB">
              <w:t>Numerator</w:t>
            </w:r>
          </w:p>
        </w:tc>
        <w:tc>
          <w:tcPr>
            <w:tcW w:w="6860" w:type="dxa"/>
          </w:tcPr>
          <w:p w14:paraId="7C318092" w14:textId="6E9D37A1"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Patients whose most recent blood pressure level was &lt;140/90 mm Hg during the measurement year</w:t>
            </w:r>
            <w:r w:rsidR="0087713B">
              <w:t>.</w:t>
            </w:r>
          </w:p>
        </w:tc>
      </w:tr>
      <w:tr w:rsidR="00C220BF" w:rsidRPr="008F1CAB" w14:paraId="495EDEC5" w14:textId="77777777">
        <w:tc>
          <w:tcPr>
            <w:cnfStyle w:val="001000000000" w:firstRow="0" w:lastRow="0" w:firstColumn="1" w:lastColumn="0" w:oddVBand="0" w:evenVBand="0" w:oddHBand="0" w:evenHBand="0" w:firstRowFirstColumn="0" w:firstRowLastColumn="0" w:lastRowFirstColumn="0" w:lastRowLastColumn="0"/>
            <w:tcW w:w="2484" w:type="dxa"/>
          </w:tcPr>
          <w:p w14:paraId="325A3B23" w14:textId="77777777" w:rsidR="00C220BF" w:rsidRPr="008F1CAB" w:rsidRDefault="00C220BF">
            <w:r w:rsidRPr="008F1CAB">
              <w:t>Denominator</w:t>
            </w:r>
          </w:p>
        </w:tc>
        <w:tc>
          <w:tcPr>
            <w:tcW w:w="6860" w:type="dxa"/>
          </w:tcPr>
          <w:p w14:paraId="4A9B7831" w14:textId="08A9D504"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Patients 18</w:t>
            </w:r>
            <w:r w:rsidR="0087713B">
              <w:t xml:space="preserve"> to </w:t>
            </w:r>
            <w:r w:rsidRPr="008F1CAB">
              <w:t>85 years of age who had at least two visits on different dates of service with a diagnosis of hypertension during the measurement year or the year prior to the measurement year</w:t>
            </w:r>
            <w:r w:rsidR="0087713B">
              <w:t>.</w:t>
            </w:r>
          </w:p>
        </w:tc>
      </w:tr>
      <w:tr w:rsidR="00C220BF" w:rsidRPr="008F1CAB" w14:paraId="56CBA4FB" w14:textId="77777777">
        <w:tc>
          <w:tcPr>
            <w:cnfStyle w:val="001000000000" w:firstRow="0" w:lastRow="0" w:firstColumn="1" w:lastColumn="0" w:oddVBand="0" w:evenVBand="0" w:oddHBand="0" w:evenHBand="0" w:firstRowFirstColumn="0" w:firstRowLastColumn="0" w:lastRowFirstColumn="0" w:lastRowLastColumn="0"/>
            <w:tcW w:w="2484" w:type="dxa"/>
          </w:tcPr>
          <w:p w14:paraId="579505C7" w14:textId="77777777" w:rsidR="00C220BF" w:rsidRPr="008F1CAB" w:rsidRDefault="00C220BF">
            <w:r w:rsidRPr="008F1CAB">
              <w:t>Data Sources</w:t>
            </w:r>
          </w:p>
        </w:tc>
        <w:tc>
          <w:tcPr>
            <w:tcW w:w="6860" w:type="dxa"/>
          </w:tcPr>
          <w:p w14:paraId="0B0B97CF"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Hybrid</w:t>
            </w:r>
          </w:p>
        </w:tc>
      </w:tr>
      <w:tr w:rsidR="00C220BF" w:rsidRPr="008F1CAB" w14:paraId="6434D02C" w14:textId="77777777">
        <w:tc>
          <w:tcPr>
            <w:cnfStyle w:val="001000000000" w:firstRow="0" w:lastRow="0" w:firstColumn="1" w:lastColumn="0" w:oddVBand="0" w:evenVBand="0" w:oddHBand="0" w:evenHBand="0" w:firstRowFirstColumn="0" w:firstRowLastColumn="0" w:lastRowFirstColumn="0" w:lastRowLastColumn="0"/>
            <w:tcW w:w="2484" w:type="dxa"/>
          </w:tcPr>
          <w:p w14:paraId="5D8527A5" w14:textId="77777777" w:rsidR="00C220BF" w:rsidRPr="008F1CAB" w:rsidRDefault="00C220BF">
            <w:r w:rsidRPr="008F1CAB">
              <w:t>National Benchmark</w:t>
            </w:r>
          </w:p>
        </w:tc>
        <w:tc>
          <w:tcPr>
            <w:tcW w:w="6860" w:type="dxa"/>
          </w:tcPr>
          <w:p w14:paraId="584EC573"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2021 Medicaid HMO = 58.6%</w:t>
            </w:r>
          </w:p>
          <w:p w14:paraId="60F9A4D1" w14:textId="3341926C"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 xml:space="preserve">Source: </w:t>
            </w:r>
            <w:hyperlink r:id="rId61" w:history="1">
              <w:r w:rsidR="005F5CC3" w:rsidRPr="009348BF">
                <w:rPr>
                  <w:rStyle w:val="Hyperlink"/>
                </w:rPr>
                <w:t>https://www.ncqa.org/hedis/measures/controlling-high-blood-pressure/</w:t>
              </w:r>
            </w:hyperlink>
            <w:r w:rsidR="005F5CC3">
              <w:t xml:space="preserve"> </w:t>
            </w:r>
          </w:p>
        </w:tc>
      </w:tr>
      <w:bookmarkEnd w:id="279"/>
    </w:tbl>
    <w:p w14:paraId="5923178D" w14:textId="5B48BFEE" w:rsidR="005B47F7" w:rsidRDefault="005B47F7" w:rsidP="00662F94">
      <w:pPr>
        <w:pStyle w:val="NoSpacing"/>
      </w:pPr>
    </w:p>
    <w:tbl>
      <w:tblPr>
        <w:tblStyle w:val="FHCclean10pt"/>
        <w:tblW w:w="0" w:type="auto"/>
        <w:tblLook w:val="04A0" w:firstRow="1" w:lastRow="0" w:firstColumn="1" w:lastColumn="0" w:noHBand="0" w:noVBand="1"/>
      </w:tblPr>
      <w:tblGrid>
        <w:gridCol w:w="2484"/>
        <w:gridCol w:w="6860"/>
      </w:tblGrid>
      <w:tr w:rsidR="00C220BF" w:rsidRPr="008F1CAB" w14:paraId="0EA4F78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324B67D2" w14:textId="77777777" w:rsidR="00C220BF" w:rsidRPr="008F1CAB" w:rsidRDefault="00C220BF">
            <w:r w:rsidRPr="00DB3492">
              <w:t>Measure:</w:t>
            </w:r>
          </w:p>
        </w:tc>
        <w:tc>
          <w:tcPr>
            <w:tcW w:w="6860" w:type="dxa"/>
          </w:tcPr>
          <w:p w14:paraId="11DAB6D6" w14:textId="77777777" w:rsidR="00C220BF" w:rsidRPr="008F1CAB" w:rsidRDefault="00C220BF">
            <w:pPr>
              <w:cnfStyle w:val="100000000000" w:firstRow="1" w:lastRow="0" w:firstColumn="0" w:lastColumn="0" w:oddVBand="0" w:evenVBand="0" w:oddHBand="0" w:evenHBand="0" w:firstRowFirstColumn="0" w:firstRowLastColumn="0" w:lastRowFirstColumn="0" w:lastRowLastColumn="0"/>
            </w:pPr>
            <w:r w:rsidRPr="008C4715">
              <w:t>Comprehensive Diabetes Care: Hemoglobin A1c (HbA1c) Poor Control (&gt;9.0%)</w:t>
            </w:r>
            <w:r>
              <w:br/>
            </w:r>
            <w:r w:rsidRPr="008C4715">
              <w:t>* MassHealth ACO Quality Measure</w:t>
            </w:r>
          </w:p>
        </w:tc>
      </w:tr>
      <w:tr w:rsidR="00C220BF" w:rsidRPr="008F1CAB" w14:paraId="55DA52A5" w14:textId="77777777">
        <w:tc>
          <w:tcPr>
            <w:cnfStyle w:val="001000000000" w:firstRow="0" w:lastRow="0" w:firstColumn="1" w:lastColumn="0" w:oddVBand="0" w:evenVBand="0" w:oddHBand="0" w:evenHBand="0" w:firstRowFirstColumn="0" w:firstRowLastColumn="0" w:lastRowFirstColumn="0" w:lastRowLastColumn="0"/>
            <w:tcW w:w="2484" w:type="dxa"/>
          </w:tcPr>
          <w:p w14:paraId="69B8A9F7" w14:textId="77777777" w:rsidR="00C220BF" w:rsidRPr="008F1CAB" w:rsidRDefault="00C220BF">
            <w:r w:rsidRPr="00DB3492">
              <w:t>Steward:</w:t>
            </w:r>
          </w:p>
        </w:tc>
        <w:tc>
          <w:tcPr>
            <w:tcW w:w="6860" w:type="dxa"/>
          </w:tcPr>
          <w:p w14:paraId="6C5D6436"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N</w:t>
            </w:r>
            <w:r w:rsidRPr="008C4715">
              <w:t>ational Committee for Quality Assurance (#0059)</w:t>
            </w:r>
          </w:p>
        </w:tc>
      </w:tr>
      <w:tr w:rsidR="00C220BF" w:rsidRPr="008F1CAB" w14:paraId="77E08C76" w14:textId="77777777">
        <w:tc>
          <w:tcPr>
            <w:cnfStyle w:val="001000000000" w:firstRow="0" w:lastRow="0" w:firstColumn="1" w:lastColumn="0" w:oddVBand="0" w:evenVBand="0" w:oddHBand="0" w:evenHBand="0" w:firstRowFirstColumn="0" w:firstRowLastColumn="0" w:lastRowFirstColumn="0" w:lastRowLastColumn="0"/>
            <w:tcW w:w="2484" w:type="dxa"/>
          </w:tcPr>
          <w:p w14:paraId="33A1547E" w14:textId="77777777" w:rsidR="00C220BF" w:rsidRPr="008F1CAB" w:rsidRDefault="00C220BF">
            <w:r w:rsidRPr="00DB3492">
              <w:t>NQF Endorsed:</w:t>
            </w:r>
          </w:p>
        </w:tc>
        <w:tc>
          <w:tcPr>
            <w:tcW w:w="6860" w:type="dxa"/>
          </w:tcPr>
          <w:p w14:paraId="4F33235D"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Endorsement Removed</w:t>
            </w:r>
          </w:p>
        </w:tc>
      </w:tr>
      <w:tr w:rsidR="00C220BF" w:rsidRPr="008F1CAB" w14:paraId="1F063ED7" w14:textId="77777777">
        <w:tc>
          <w:tcPr>
            <w:cnfStyle w:val="001000000000" w:firstRow="0" w:lastRow="0" w:firstColumn="1" w:lastColumn="0" w:oddVBand="0" w:evenVBand="0" w:oddHBand="0" w:evenHBand="0" w:firstRowFirstColumn="0" w:firstRowLastColumn="0" w:lastRowFirstColumn="0" w:lastRowLastColumn="0"/>
            <w:tcW w:w="2484" w:type="dxa"/>
          </w:tcPr>
          <w:p w14:paraId="7C79775C" w14:textId="77777777" w:rsidR="00C220BF" w:rsidRPr="008F1CAB" w:rsidRDefault="00C220BF">
            <w:bookmarkStart w:id="280" w:name="_Hlk129958460"/>
            <w:r w:rsidRPr="008F1CAB">
              <w:lastRenderedPageBreak/>
              <w:t>Description</w:t>
            </w:r>
          </w:p>
        </w:tc>
        <w:tc>
          <w:tcPr>
            <w:tcW w:w="6860" w:type="dxa"/>
          </w:tcPr>
          <w:p w14:paraId="5AE50539" w14:textId="79997DC9"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The percentage of patients 18</w:t>
            </w:r>
            <w:r w:rsidR="00DD5141">
              <w:t xml:space="preserve"> to </w:t>
            </w:r>
            <w:r w:rsidRPr="008F1CAB">
              <w:t>75 years of age with diabetes (type 1 and type 2) whose most recent HbA1c level is &gt;9.0% during the measurement year</w:t>
            </w:r>
            <w:r w:rsidR="00DD5141">
              <w:t>.</w:t>
            </w:r>
          </w:p>
        </w:tc>
      </w:tr>
      <w:tr w:rsidR="00C220BF" w:rsidRPr="008F1CAB" w14:paraId="167C807B" w14:textId="77777777">
        <w:tc>
          <w:tcPr>
            <w:cnfStyle w:val="001000000000" w:firstRow="0" w:lastRow="0" w:firstColumn="1" w:lastColumn="0" w:oddVBand="0" w:evenVBand="0" w:oddHBand="0" w:evenHBand="0" w:firstRowFirstColumn="0" w:firstRowLastColumn="0" w:lastRowFirstColumn="0" w:lastRowLastColumn="0"/>
            <w:tcW w:w="2484" w:type="dxa"/>
          </w:tcPr>
          <w:p w14:paraId="4DA57D7F" w14:textId="77777777" w:rsidR="00C220BF" w:rsidRPr="008F1CAB" w:rsidRDefault="00C220BF">
            <w:r w:rsidRPr="008F1CAB">
              <w:t>Numerator</w:t>
            </w:r>
          </w:p>
        </w:tc>
        <w:tc>
          <w:tcPr>
            <w:tcW w:w="6860" w:type="dxa"/>
          </w:tcPr>
          <w:p w14:paraId="60CC3E3C" w14:textId="107B9291"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Patients whose most recent HbA1c level is greater than 9.0%</w:t>
            </w:r>
            <w:r w:rsidR="00DD5141">
              <w:t>,</w:t>
            </w:r>
            <w:r w:rsidRPr="008F1CAB">
              <w:t xml:space="preserve"> is missing a result, or for whom an HbA1c test was not done during the measurement year</w:t>
            </w:r>
            <w:r w:rsidR="00DD5141">
              <w:t>.</w:t>
            </w:r>
          </w:p>
        </w:tc>
      </w:tr>
      <w:tr w:rsidR="00C220BF" w:rsidRPr="008F1CAB" w14:paraId="3EB91612" w14:textId="77777777">
        <w:tc>
          <w:tcPr>
            <w:cnfStyle w:val="001000000000" w:firstRow="0" w:lastRow="0" w:firstColumn="1" w:lastColumn="0" w:oddVBand="0" w:evenVBand="0" w:oddHBand="0" w:evenHBand="0" w:firstRowFirstColumn="0" w:firstRowLastColumn="0" w:lastRowFirstColumn="0" w:lastRowLastColumn="0"/>
            <w:tcW w:w="2484" w:type="dxa"/>
          </w:tcPr>
          <w:p w14:paraId="4159ABC0" w14:textId="77777777" w:rsidR="00C220BF" w:rsidRPr="008F1CAB" w:rsidRDefault="00C220BF">
            <w:r w:rsidRPr="008F1CAB">
              <w:t>Denominator</w:t>
            </w:r>
          </w:p>
        </w:tc>
        <w:tc>
          <w:tcPr>
            <w:tcW w:w="6860" w:type="dxa"/>
          </w:tcPr>
          <w:p w14:paraId="281EC004" w14:textId="6FB2729B"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Patients 18</w:t>
            </w:r>
            <w:r w:rsidR="00DD5141">
              <w:t xml:space="preserve"> to </w:t>
            </w:r>
            <w:r w:rsidRPr="008F1CAB">
              <w:t>75 years of age by the end of the measurement year who had a diagnosis of diabetes (type 1 and type 2) during the measurement year or the year prior to the measurement year</w:t>
            </w:r>
            <w:r w:rsidR="00DD5141">
              <w:t>.</w:t>
            </w:r>
          </w:p>
        </w:tc>
      </w:tr>
      <w:tr w:rsidR="00C220BF" w:rsidRPr="008F1CAB" w14:paraId="046CA4FD" w14:textId="77777777">
        <w:tc>
          <w:tcPr>
            <w:cnfStyle w:val="001000000000" w:firstRow="0" w:lastRow="0" w:firstColumn="1" w:lastColumn="0" w:oddVBand="0" w:evenVBand="0" w:oddHBand="0" w:evenHBand="0" w:firstRowFirstColumn="0" w:firstRowLastColumn="0" w:lastRowFirstColumn="0" w:lastRowLastColumn="0"/>
            <w:tcW w:w="2484" w:type="dxa"/>
          </w:tcPr>
          <w:p w14:paraId="5D90885B" w14:textId="77777777" w:rsidR="00C220BF" w:rsidRPr="008F1CAB" w:rsidRDefault="00C220BF">
            <w:r w:rsidRPr="008F1CAB">
              <w:t>Data Sources</w:t>
            </w:r>
          </w:p>
        </w:tc>
        <w:tc>
          <w:tcPr>
            <w:tcW w:w="6860" w:type="dxa"/>
          </w:tcPr>
          <w:p w14:paraId="0CCBE068"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Hybrid</w:t>
            </w:r>
          </w:p>
        </w:tc>
      </w:tr>
      <w:tr w:rsidR="00C220BF" w:rsidRPr="008F1CAB" w14:paraId="70583970" w14:textId="77777777">
        <w:tc>
          <w:tcPr>
            <w:cnfStyle w:val="001000000000" w:firstRow="0" w:lastRow="0" w:firstColumn="1" w:lastColumn="0" w:oddVBand="0" w:evenVBand="0" w:oddHBand="0" w:evenHBand="0" w:firstRowFirstColumn="0" w:firstRowLastColumn="0" w:lastRowFirstColumn="0" w:lastRowLastColumn="0"/>
            <w:tcW w:w="2484" w:type="dxa"/>
          </w:tcPr>
          <w:p w14:paraId="57024205" w14:textId="77777777" w:rsidR="00C220BF" w:rsidRPr="008F1CAB" w:rsidRDefault="00C220BF">
            <w:r w:rsidRPr="008F1CAB">
              <w:t>National Benchmark</w:t>
            </w:r>
          </w:p>
        </w:tc>
        <w:tc>
          <w:tcPr>
            <w:tcW w:w="6860" w:type="dxa"/>
          </w:tcPr>
          <w:p w14:paraId="0CAB97EE"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2021 Medicaid HMO = 42.3%</w:t>
            </w:r>
          </w:p>
          <w:p w14:paraId="2DF03E55"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 xml:space="preserve">Source: </w:t>
            </w:r>
            <w:hyperlink r:id="rId62" w:history="1">
              <w:r w:rsidRPr="008F1CAB">
                <w:rPr>
                  <w:rStyle w:val="Hyperlink"/>
                </w:rPr>
                <w:t>https://www.ncqa.org/hedis/measures/comprehensive-diabetes-care/</w:t>
              </w:r>
            </w:hyperlink>
          </w:p>
          <w:p w14:paraId="7494178C"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 Lower rates signify better performance</w:t>
            </w:r>
          </w:p>
        </w:tc>
      </w:tr>
    </w:tbl>
    <w:p w14:paraId="03A066F7" w14:textId="77777777" w:rsidR="00C220BF" w:rsidRDefault="00C220BF" w:rsidP="00662F94">
      <w:pPr>
        <w:pStyle w:val="NoSpacing"/>
      </w:pPr>
    </w:p>
    <w:tbl>
      <w:tblPr>
        <w:tblStyle w:val="FHCclean10pt"/>
        <w:tblW w:w="0" w:type="auto"/>
        <w:tblLook w:val="04A0" w:firstRow="1" w:lastRow="0" w:firstColumn="1" w:lastColumn="0" w:noHBand="0" w:noVBand="1"/>
      </w:tblPr>
      <w:tblGrid>
        <w:gridCol w:w="2484"/>
        <w:gridCol w:w="6860"/>
      </w:tblGrid>
      <w:tr w:rsidR="00C220BF" w:rsidRPr="008F1CAB" w14:paraId="3AA45CE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bookmarkEnd w:id="280"/>
          <w:p w14:paraId="3B9ACD26" w14:textId="77777777" w:rsidR="00C220BF" w:rsidRPr="008F1CAB" w:rsidRDefault="00C220BF">
            <w:r w:rsidRPr="00DB3492">
              <w:t>Measure:</w:t>
            </w:r>
          </w:p>
        </w:tc>
        <w:tc>
          <w:tcPr>
            <w:tcW w:w="6860" w:type="dxa"/>
          </w:tcPr>
          <w:p w14:paraId="3CBD0638" w14:textId="77777777" w:rsidR="00C220BF" w:rsidRPr="008F1CAB" w:rsidRDefault="00C220BF">
            <w:pPr>
              <w:cnfStyle w:val="100000000000" w:firstRow="1" w:lastRow="0" w:firstColumn="0" w:lastColumn="0" w:oddVBand="0" w:evenVBand="0" w:oddHBand="0" w:evenHBand="0" w:firstRowFirstColumn="0" w:firstRowLastColumn="0" w:lastRowFirstColumn="0" w:lastRowLastColumn="0"/>
            </w:pPr>
            <w:r w:rsidRPr="008C4715">
              <w:t>Total Cost of Care (All Covered Services)</w:t>
            </w:r>
          </w:p>
        </w:tc>
      </w:tr>
      <w:tr w:rsidR="00C220BF" w:rsidRPr="008F1CAB" w14:paraId="2DD52728" w14:textId="77777777">
        <w:tc>
          <w:tcPr>
            <w:cnfStyle w:val="001000000000" w:firstRow="0" w:lastRow="0" w:firstColumn="1" w:lastColumn="0" w:oddVBand="0" w:evenVBand="0" w:oddHBand="0" w:evenHBand="0" w:firstRowFirstColumn="0" w:firstRowLastColumn="0" w:lastRowFirstColumn="0" w:lastRowLastColumn="0"/>
            <w:tcW w:w="2484" w:type="dxa"/>
          </w:tcPr>
          <w:p w14:paraId="4E8CB321" w14:textId="77777777" w:rsidR="00C220BF" w:rsidRPr="008F1CAB" w:rsidRDefault="00C220BF">
            <w:r w:rsidRPr="00DB3492">
              <w:t>Steward:</w:t>
            </w:r>
          </w:p>
        </w:tc>
        <w:tc>
          <w:tcPr>
            <w:tcW w:w="6860" w:type="dxa"/>
          </w:tcPr>
          <w:p w14:paraId="06C0CF16"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None</w:t>
            </w:r>
          </w:p>
        </w:tc>
      </w:tr>
      <w:tr w:rsidR="00C220BF" w:rsidRPr="008F1CAB" w14:paraId="11A9A954" w14:textId="77777777">
        <w:tc>
          <w:tcPr>
            <w:cnfStyle w:val="001000000000" w:firstRow="0" w:lastRow="0" w:firstColumn="1" w:lastColumn="0" w:oddVBand="0" w:evenVBand="0" w:oddHBand="0" w:evenHBand="0" w:firstRowFirstColumn="0" w:firstRowLastColumn="0" w:lastRowFirstColumn="0" w:lastRowLastColumn="0"/>
            <w:tcW w:w="2484" w:type="dxa"/>
          </w:tcPr>
          <w:p w14:paraId="654BEACB" w14:textId="77777777" w:rsidR="00C220BF" w:rsidRPr="008F1CAB" w:rsidRDefault="00C220BF">
            <w:r w:rsidRPr="00DB3492">
              <w:t>NQF Endorsed:</w:t>
            </w:r>
          </w:p>
        </w:tc>
        <w:tc>
          <w:tcPr>
            <w:tcW w:w="6860" w:type="dxa"/>
          </w:tcPr>
          <w:p w14:paraId="2C7B4F9B"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No</w:t>
            </w:r>
          </w:p>
        </w:tc>
      </w:tr>
      <w:tr w:rsidR="00C220BF" w:rsidRPr="008F1CAB" w14:paraId="1DC11EA5" w14:textId="77777777">
        <w:tc>
          <w:tcPr>
            <w:cnfStyle w:val="001000000000" w:firstRow="0" w:lastRow="0" w:firstColumn="1" w:lastColumn="0" w:oddVBand="0" w:evenVBand="0" w:oddHBand="0" w:evenHBand="0" w:firstRowFirstColumn="0" w:firstRowLastColumn="0" w:lastRowFirstColumn="0" w:lastRowLastColumn="0"/>
            <w:tcW w:w="2484" w:type="dxa"/>
          </w:tcPr>
          <w:p w14:paraId="34D1C1F3" w14:textId="77777777" w:rsidR="00C220BF" w:rsidRPr="008F1CAB" w:rsidRDefault="00C220BF">
            <w:r w:rsidRPr="008F1CAB">
              <w:t>Description</w:t>
            </w:r>
          </w:p>
        </w:tc>
        <w:tc>
          <w:tcPr>
            <w:tcW w:w="6860" w:type="dxa"/>
          </w:tcPr>
          <w:p w14:paraId="6E0A5739" w14:textId="7541D63B"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Costs of all MassHealth covered services</w:t>
            </w:r>
            <w:r w:rsidR="00DD5141">
              <w:t>.</w:t>
            </w:r>
          </w:p>
        </w:tc>
      </w:tr>
      <w:tr w:rsidR="00C220BF" w:rsidRPr="008F1CAB" w14:paraId="183E7144" w14:textId="77777777">
        <w:tc>
          <w:tcPr>
            <w:cnfStyle w:val="001000000000" w:firstRow="0" w:lastRow="0" w:firstColumn="1" w:lastColumn="0" w:oddVBand="0" w:evenVBand="0" w:oddHBand="0" w:evenHBand="0" w:firstRowFirstColumn="0" w:firstRowLastColumn="0" w:lastRowFirstColumn="0" w:lastRowLastColumn="0"/>
            <w:tcW w:w="2484" w:type="dxa"/>
          </w:tcPr>
          <w:p w14:paraId="14C15A04" w14:textId="77777777" w:rsidR="00C220BF" w:rsidRPr="008F1CAB" w:rsidRDefault="00C220BF">
            <w:r w:rsidRPr="008F1CAB">
              <w:t>Numerator</w:t>
            </w:r>
          </w:p>
        </w:tc>
        <w:tc>
          <w:tcPr>
            <w:tcW w:w="6860" w:type="dxa"/>
          </w:tcPr>
          <w:p w14:paraId="58A6F629" w14:textId="03BF25AE"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 xml:space="preserve">Costs of all MassHealth covered services (excludes cosmetic surgery, treatment for infertility, experimental treatment, personal comfort items, non-covered laboratory services, </w:t>
            </w:r>
            <w:r w:rsidR="00D0356B">
              <w:t xml:space="preserve">and </w:t>
            </w:r>
            <w:r w:rsidRPr="008F1CAB">
              <w:t>other services specified as not covered by MassHealth)</w:t>
            </w:r>
            <w:r w:rsidR="00DD5141">
              <w:t>.</w:t>
            </w:r>
          </w:p>
        </w:tc>
      </w:tr>
      <w:tr w:rsidR="00C220BF" w:rsidRPr="008F1CAB" w14:paraId="4E79C2D4" w14:textId="77777777">
        <w:tc>
          <w:tcPr>
            <w:cnfStyle w:val="001000000000" w:firstRow="0" w:lastRow="0" w:firstColumn="1" w:lastColumn="0" w:oddVBand="0" w:evenVBand="0" w:oddHBand="0" w:evenHBand="0" w:firstRowFirstColumn="0" w:firstRowLastColumn="0" w:lastRowFirstColumn="0" w:lastRowLastColumn="0"/>
            <w:tcW w:w="2484" w:type="dxa"/>
          </w:tcPr>
          <w:p w14:paraId="2E8C0689" w14:textId="77777777" w:rsidR="00C220BF" w:rsidRPr="008F1CAB" w:rsidRDefault="00C220BF">
            <w:r w:rsidRPr="008F1CAB">
              <w:t>Denominator</w:t>
            </w:r>
          </w:p>
        </w:tc>
        <w:tc>
          <w:tcPr>
            <w:tcW w:w="6860" w:type="dxa"/>
          </w:tcPr>
          <w:p w14:paraId="4CE37E86" w14:textId="33E7CE01"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The person-time contributed by members in the population of interest during the measurement period</w:t>
            </w:r>
            <w:r w:rsidR="00D0356B">
              <w:t>.</w:t>
            </w:r>
          </w:p>
        </w:tc>
      </w:tr>
      <w:tr w:rsidR="00C220BF" w:rsidRPr="008F1CAB" w14:paraId="6F2480EC" w14:textId="77777777">
        <w:tc>
          <w:tcPr>
            <w:cnfStyle w:val="001000000000" w:firstRow="0" w:lastRow="0" w:firstColumn="1" w:lastColumn="0" w:oddVBand="0" w:evenVBand="0" w:oddHBand="0" w:evenHBand="0" w:firstRowFirstColumn="0" w:firstRowLastColumn="0" w:lastRowFirstColumn="0" w:lastRowLastColumn="0"/>
            <w:tcW w:w="2484" w:type="dxa"/>
          </w:tcPr>
          <w:p w14:paraId="30342B4A" w14:textId="77777777" w:rsidR="00C220BF" w:rsidRPr="008F1CAB" w:rsidRDefault="00C220BF">
            <w:r w:rsidRPr="008F1CAB">
              <w:t>Data Sources</w:t>
            </w:r>
          </w:p>
        </w:tc>
        <w:tc>
          <w:tcPr>
            <w:tcW w:w="6860" w:type="dxa"/>
          </w:tcPr>
          <w:p w14:paraId="5C6D7B6A"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Medicaid claims/encounters data</w:t>
            </w:r>
          </w:p>
        </w:tc>
      </w:tr>
      <w:tr w:rsidR="00C220BF" w:rsidRPr="008F1CAB" w14:paraId="51FBD67A" w14:textId="77777777">
        <w:tc>
          <w:tcPr>
            <w:cnfStyle w:val="001000000000" w:firstRow="0" w:lastRow="0" w:firstColumn="1" w:lastColumn="0" w:oddVBand="0" w:evenVBand="0" w:oddHBand="0" w:evenHBand="0" w:firstRowFirstColumn="0" w:firstRowLastColumn="0" w:lastRowFirstColumn="0" w:lastRowLastColumn="0"/>
            <w:tcW w:w="2484" w:type="dxa"/>
          </w:tcPr>
          <w:p w14:paraId="6672E1C2" w14:textId="77777777" w:rsidR="00C220BF" w:rsidRPr="008F1CAB" w:rsidRDefault="00C220BF">
            <w:r w:rsidRPr="008F1CAB">
              <w:t>National Benchmark</w:t>
            </w:r>
          </w:p>
        </w:tc>
        <w:tc>
          <w:tcPr>
            <w:tcW w:w="6860" w:type="dxa"/>
          </w:tcPr>
          <w:p w14:paraId="604BAB69"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 xml:space="preserve">None </w:t>
            </w:r>
          </w:p>
        </w:tc>
      </w:tr>
    </w:tbl>
    <w:p w14:paraId="455FDF69" w14:textId="77777777" w:rsidR="00C220BF" w:rsidRDefault="00C220BF" w:rsidP="00662F94">
      <w:pPr>
        <w:pStyle w:val="NoSpacing"/>
      </w:pPr>
    </w:p>
    <w:tbl>
      <w:tblPr>
        <w:tblStyle w:val="FHCclean10pt"/>
        <w:tblW w:w="0" w:type="auto"/>
        <w:tblLook w:val="04A0" w:firstRow="1" w:lastRow="0" w:firstColumn="1" w:lastColumn="0" w:noHBand="0" w:noVBand="1"/>
      </w:tblPr>
      <w:tblGrid>
        <w:gridCol w:w="2484"/>
        <w:gridCol w:w="6860"/>
      </w:tblGrid>
      <w:tr w:rsidR="00C220BF" w:rsidRPr="008F1CAB" w14:paraId="24FC826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0A0A97DD" w14:textId="77777777" w:rsidR="00C220BF" w:rsidRPr="008F1CAB" w:rsidRDefault="00C220BF">
            <w:bookmarkStart w:id="281" w:name="_Hlk129958136"/>
            <w:r w:rsidRPr="00DB3492">
              <w:t>Measure:</w:t>
            </w:r>
          </w:p>
        </w:tc>
        <w:tc>
          <w:tcPr>
            <w:tcW w:w="6860" w:type="dxa"/>
          </w:tcPr>
          <w:p w14:paraId="5370AF28" w14:textId="77777777" w:rsidR="00C220BF" w:rsidRPr="008F1CAB" w:rsidRDefault="00C220BF">
            <w:pPr>
              <w:cnfStyle w:val="100000000000" w:firstRow="1" w:lastRow="0" w:firstColumn="0" w:lastColumn="0" w:oddVBand="0" w:evenVBand="0" w:oddHBand="0" w:evenHBand="0" w:firstRowFirstColumn="0" w:firstRowLastColumn="0" w:lastRowFirstColumn="0" w:lastRowLastColumn="0"/>
            </w:pPr>
            <w:r w:rsidRPr="008C4715">
              <w:t>Expenditures by Service Category</w:t>
            </w:r>
          </w:p>
        </w:tc>
      </w:tr>
      <w:tr w:rsidR="00C220BF" w:rsidRPr="008F1CAB" w14:paraId="2ACEBAB5" w14:textId="77777777">
        <w:tc>
          <w:tcPr>
            <w:cnfStyle w:val="001000000000" w:firstRow="0" w:lastRow="0" w:firstColumn="1" w:lastColumn="0" w:oddVBand="0" w:evenVBand="0" w:oddHBand="0" w:evenHBand="0" w:firstRowFirstColumn="0" w:firstRowLastColumn="0" w:lastRowFirstColumn="0" w:lastRowLastColumn="0"/>
            <w:tcW w:w="2484" w:type="dxa"/>
          </w:tcPr>
          <w:p w14:paraId="0622657C" w14:textId="77777777" w:rsidR="00C220BF" w:rsidRPr="008F1CAB" w:rsidRDefault="00C220BF">
            <w:r w:rsidRPr="00DB3492">
              <w:t>Steward:</w:t>
            </w:r>
          </w:p>
        </w:tc>
        <w:tc>
          <w:tcPr>
            <w:tcW w:w="6860" w:type="dxa"/>
          </w:tcPr>
          <w:p w14:paraId="709BF9E5"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None</w:t>
            </w:r>
          </w:p>
        </w:tc>
      </w:tr>
      <w:tr w:rsidR="00C220BF" w:rsidRPr="008F1CAB" w14:paraId="643A8DD4" w14:textId="77777777">
        <w:tc>
          <w:tcPr>
            <w:cnfStyle w:val="001000000000" w:firstRow="0" w:lastRow="0" w:firstColumn="1" w:lastColumn="0" w:oddVBand="0" w:evenVBand="0" w:oddHBand="0" w:evenHBand="0" w:firstRowFirstColumn="0" w:firstRowLastColumn="0" w:lastRowFirstColumn="0" w:lastRowLastColumn="0"/>
            <w:tcW w:w="2484" w:type="dxa"/>
          </w:tcPr>
          <w:p w14:paraId="57DD769D" w14:textId="77777777" w:rsidR="00C220BF" w:rsidRPr="008F1CAB" w:rsidRDefault="00C220BF">
            <w:r w:rsidRPr="00DB3492">
              <w:t>NQF Endorsed:</w:t>
            </w:r>
          </w:p>
        </w:tc>
        <w:tc>
          <w:tcPr>
            <w:tcW w:w="6860" w:type="dxa"/>
          </w:tcPr>
          <w:p w14:paraId="661C3C1A"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No</w:t>
            </w:r>
          </w:p>
        </w:tc>
      </w:tr>
      <w:tr w:rsidR="00C220BF" w:rsidRPr="008F1CAB" w14:paraId="3170A2EC" w14:textId="77777777">
        <w:tc>
          <w:tcPr>
            <w:cnfStyle w:val="001000000000" w:firstRow="0" w:lastRow="0" w:firstColumn="1" w:lastColumn="0" w:oddVBand="0" w:evenVBand="0" w:oddHBand="0" w:evenHBand="0" w:firstRowFirstColumn="0" w:firstRowLastColumn="0" w:lastRowFirstColumn="0" w:lastRowLastColumn="0"/>
            <w:tcW w:w="2484" w:type="dxa"/>
          </w:tcPr>
          <w:p w14:paraId="355FFCCC" w14:textId="77777777" w:rsidR="00C220BF" w:rsidRPr="008F1CAB" w:rsidRDefault="00C220BF">
            <w:r w:rsidRPr="008F1CAB">
              <w:t>Description</w:t>
            </w:r>
          </w:p>
        </w:tc>
        <w:tc>
          <w:tcPr>
            <w:tcW w:w="6860" w:type="dxa"/>
          </w:tcPr>
          <w:p w14:paraId="3E71DE79" w14:textId="17476BCD"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 xml:space="preserve">Costs for specific categories (e.g., services included in ACO medical risk corridors) and sub-categories of services including inpatient (e.g., non-maternity physical health, maternity, </w:t>
            </w:r>
            <w:r w:rsidR="004515F4">
              <w:t>BH</w:t>
            </w:r>
            <w:r w:rsidRPr="008F1CAB">
              <w:t xml:space="preserve">), ED visits, outpatient non-BH (lab and radiology, non-BH outpatient hospital), outpatient BH (e.g., Emergency Services Program, diversionary services), professional services, pharmacy, home health, durable medical equipment, emergency transportation, long-term care, other medical services, and services excluded from the TCOC (e.g., applied behavioral analysis, Children’s Behavioral Health Initiative, </w:t>
            </w:r>
            <w:r w:rsidR="004515F4">
              <w:t>LTSS</w:t>
            </w:r>
            <w:r w:rsidRPr="008F1CAB">
              <w:t>).</w:t>
            </w:r>
          </w:p>
        </w:tc>
      </w:tr>
      <w:tr w:rsidR="00C220BF" w:rsidRPr="008F1CAB" w14:paraId="686477A0" w14:textId="77777777">
        <w:tc>
          <w:tcPr>
            <w:cnfStyle w:val="001000000000" w:firstRow="0" w:lastRow="0" w:firstColumn="1" w:lastColumn="0" w:oddVBand="0" w:evenVBand="0" w:oddHBand="0" w:evenHBand="0" w:firstRowFirstColumn="0" w:firstRowLastColumn="0" w:lastRowFirstColumn="0" w:lastRowLastColumn="0"/>
            <w:tcW w:w="2484" w:type="dxa"/>
          </w:tcPr>
          <w:p w14:paraId="4926FED7" w14:textId="77777777" w:rsidR="00C220BF" w:rsidRPr="008F1CAB" w:rsidRDefault="00C220BF">
            <w:r w:rsidRPr="008F1CAB">
              <w:t>Numerator</w:t>
            </w:r>
          </w:p>
        </w:tc>
        <w:tc>
          <w:tcPr>
            <w:tcW w:w="6860" w:type="dxa"/>
          </w:tcPr>
          <w:p w14:paraId="780B6667" w14:textId="76FF6F1D"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Costs for specific categories and sub-categories of services (calculated separately for each category of service)</w:t>
            </w:r>
            <w:r w:rsidR="000425BE">
              <w:t>.</w:t>
            </w:r>
          </w:p>
        </w:tc>
      </w:tr>
      <w:tr w:rsidR="00C220BF" w:rsidRPr="008F1CAB" w14:paraId="46C24186" w14:textId="77777777">
        <w:tc>
          <w:tcPr>
            <w:cnfStyle w:val="001000000000" w:firstRow="0" w:lastRow="0" w:firstColumn="1" w:lastColumn="0" w:oddVBand="0" w:evenVBand="0" w:oddHBand="0" w:evenHBand="0" w:firstRowFirstColumn="0" w:firstRowLastColumn="0" w:lastRowFirstColumn="0" w:lastRowLastColumn="0"/>
            <w:tcW w:w="2484" w:type="dxa"/>
          </w:tcPr>
          <w:p w14:paraId="714E18DA" w14:textId="77777777" w:rsidR="00C220BF" w:rsidRPr="008F1CAB" w:rsidRDefault="00C220BF">
            <w:r w:rsidRPr="008F1CAB">
              <w:t>Denominator</w:t>
            </w:r>
          </w:p>
        </w:tc>
        <w:tc>
          <w:tcPr>
            <w:tcW w:w="6860" w:type="dxa"/>
          </w:tcPr>
          <w:p w14:paraId="5C1C5A54" w14:textId="21BEDECE"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The person-time contributed by members in the population of interest during the measurement period</w:t>
            </w:r>
            <w:r w:rsidR="000425BE">
              <w:t>.</w:t>
            </w:r>
          </w:p>
        </w:tc>
      </w:tr>
      <w:tr w:rsidR="00C220BF" w:rsidRPr="008F1CAB" w14:paraId="53D253BA" w14:textId="77777777">
        <w:tc>
          <w:tcPr>
            <w:cnfStyle w:val="001000000000" w:firstRow="0" w:lastRow="0" w:firstColumn="1" w:lastColumn="0" w:oddVBand="0" w:evenVBand="0" w:oddHBand="0" w:evenHBand="0" w:firstRowFirstColumn="0" w:firstRowLastColumn="0" w:lastRowFirstColumn="0" w:lastRowLastColumn="0"/>
            <w:tcW w:w="2484" w:type="dxa"/>
          </w:tcPr>
          <w:p w14:paraId="255898EF" w14:textId="77777777" w:rsidR="00C220BF" w:rsidRPr="008F1CAB" w:rsidRDefault="00C220BF">
            <w:r w:rsidRPr="008F1CAB">
              <w:lastRenderedPageBreak/>
              <w:t>Data Sources</w:t>
            </w:r>
          </w:p>
        </w:tc>
        <w:tc>
          <w:tcPr>
            <w:tcW w:w="6860" w:type="dxa"/>
          </w:tcPr>
          <w:p w14:paraId="52EFC7D7"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Medicaid claims/encounters data</w:t>
            </w:r>
          </w:p>
        </w:tc>
      </w:tr>
      <w:tr w:rsidR="00C220BF" w:rsidRPr="008F1CAB" w14:paraId="2FB19363" w14:textId="77777777">
        <w:tc>
          <w:tcPr>
            <w:cnfStyle w:val="001000000000" w:firstRow="0" w:lastRow="0" w:firstColumn="1" w:lastColumn="0" w:oddVBand="0" w:evenVBand="0" w:oddHBand="0" w:evenHBand="0" w:firstRowFirstColumn="0" w:firstRowLastColumn="0" w:lastRowFirstColumn="0" w:lastRowLastColumn="0"/>
            <w:tcW w:w="2484" w:type="dxa"/>
          </w:tcPr>
          <w:p w14:paraId="46E2F17E" w14:textId="77777777" w:rsidR="00C220BF" w:rsidRPr="008F1CAB" w:rsidRDefault="00C220BF">
            <w:r w:rsidRPr="008F1CAB">
              <w:t>National Benchmark</w:t>
            </w:r>
          </w:p>
        </w:tc>
        <w:tc>
          <w:tcPr>
            <w:tcW w:w="6860" w:type="dxa"/>
          </w:tcPr>
          <w:p w14:paraId="0B575055"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None</w:t>
            </w:r>
          </w:p>
        </w:tc>
      </w:tr>
    </w:tbl>
    <w:p w14:paraId="41E4FECB" w14:textId="74F5FAD5" w:rsidR="00BC0A3B" w:rsidRDefault="00E73183" w:rsidP="00662F94">
      <w:pPr>
        <w:pStyle w:val="NoSpacing"/>
      </w:pPr>
      <w:r>
        <w:t xml:space="preserve"> </w:t>
      </w:r>
    </w:p>
    <w:tbl>
      <w:tblPr>
        <w:tblStyle w:val="FHCclean10pt"/>
        <w:tblW w:w="0" w:type="auto"/>
        <w:tblLook w:val="04A0" w:firstRow="1" w:lastRow="0" w:firstColumn="1" w:lastColumn="0" w:noHBand="0" w:noVBand="1"/>
      </w:tblPr>
      <w:tblGrid>
        <w:gridCol w:w="2484"/>
        <w:gridCol w:w="6860"/>
      </w:tblGrid>
      <w:tr w:rsidR="00C220BF" w:rsidRPr="008F1CAB" w14:paraId="4F5865B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bookmarkEnd w:id="281"/>
          <w:p w14:paraId="48B7938D" w14:textId="77777777" w:rsidR="00C220BF" w:rsidRPr="008F1CAB" w:rsidRDefault="00C220BF">
            <w:r w:rsidRPr="00DB3492">
              <w:t>Measure:</w:t>
            </w:r>
          </w:p>
        </w:tc>
        <w:tc>
          <w:tcPr>
            <w:tcW w:w="6860" w:type="dxa"/>
          </w:tcPr>
          <w:p w14:paraId="45A468E1" w14:textId="16BC2B9B" w:rsidR="00C220BF" w:rsidRPr="008F1CAB" w:rsidRDefault="00C220BF">
            <w:pPr>
              <w:cnfStyle w:val="100000000000" w:firstRow="1" w:lastRow="0" w:firstColumn="0" w:lastColumn="0" w:oddVBand="0" w:evenVBand="0" w:oddHBand="0" w:evenHBand="0" w:firstRowFirstColumn="0" w:firstRowLastColumn="0" w:lastRowFirstColumn="0" w:lastRowLastColumn="0"/>
            </w:pPr>
            <w:r w:rsidRPr="008C4715">
              <w:t>Shared Saving</w:t>
            </w:r>
            <w:r w:rsidR="005B5BAC">
              <w:t>s</w:t>
            </w:r>
            <w:r w:rsidRPr="008C4715">
              <w:t xml:space="preserve"> and Shared Losses</w:t>
            </w:r>
          </w:p>
        </w:tc>
      </w:tr>
      <w:tr w:rsidR="00C220BF" w:rsidRPr="008F1CAB" w14:paraId="44295C57" w14:textId="77777777">
        <w:tc>
          <w:tcPr>
            <w:cnfStyle w:val="001000000000" w:firstRow="0" w:lastRow="0" w:firstColumn="1" w:lastColumn="0" w:oddVBand="0" w:evenVBand="0" w:oddHBand="0" w:evenHBand="0" w:firstRowFirstColumn="0" w:firstRowLastColumn="0" w:lastRowFirstColumn="0" w:lastRowLastColumn="0"/>
            <w:tcW w:w="2484" w:type="dxa"/>
          </w:tcPr>
          <w:p w14:paraId="0D42FF7D" w14:textId="77777777" w:rsidR="00C220BF" w:rsidRPr="008F1CAB" w:rsidRDefault="00C220BF">
            <w:r w:rsidRPr="00DB3492">
              <w:t>Steward:</w:t>
            </w:r>
          </w:p>
        </w:tc>
        <w:tc>
          <w:tcPr>
            <w:tcW w:w="6860" w:type="dxa"/>
          </w:tcPr>
          <w:p w14:paraId="5E50285D"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None</w:t>
            </w:r>
          </w:p>
        </w:tc>
      </w:tr>
      <w:tr w:rsidR="00C220BF" w:rsidRPr="008F1CAB" w14:paraId="1141A0BA" w14:textId="77777777">
        <w:tc>
          <w:tcPr>
            <w:cnfStyle w:val="001000000000" w:firstRow="0" w:lastRow="0" w:firstColumn="1" w:lastColumn="0" w:oddVBand="0" w:evenVBand="0" w:oddHBand="0" w:evenHBand="0" w:firstRowFirstColumn="0" w:firstRowLastColumn="0" w:lastRowFirstColumn="0" w:lastRowLastColumn="0"/>
            <w:tcW w:w="2484" w:type="dxa"/>
          </w:tcPr>
          <w:p w14:paraId="01C8464F" w14:textId="77777777" w:rsidR="00C220BF" w:rsidRPr="008F1CAB" w:rsidRDefault="00C220BF">
            <w:r w:rsidRPr="00DB3492">
              <w:t>NQF Endorsed:</w:t>
            </w:r>
          </w:p>
        </w:tc>
        <w:tc>
          <w:tcPr>
            <w:tcW w:w="6860" w:type="dxa"/>
          </w:tcPr>
          <w:p w14:paraId="7B3DE9DC"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No</w:t>
            </w:r>
          </w:p>
        </w:tc>
      </w:tr>
      <w:tr w:rsidR="00C220BF" w:rsidRPr="008F1CAB" w14:paraId="4D565364" w14:textId="77777777">
        <w:tc>
          <w:tcPr>
            <w:cnfStyle w:val="001000000000" w:firstRow="0" w:lastRow="0" w:firstColumn="1" w:lastColumn="0" w:oddVBand="0" w:evenVBand="0" w:oddHBand="0" w:evenHBand="0" w:firstRowFirstColumn="0" w:firstRowLastColumn="0" w:lastRowFirstColumn="0" w:lastRowLastColumn="0"/>
            <w:tcW w:w="2484" w:type="dxa"/>
          </w:tcPr>
          <w:p w14:paraId="1DBFB718" w14:textId="77777777" w:rsidR="00C220BF" w:rsidRPr="008F1CAB" w:rsidRDefault="00C220BF">
            <w:r w:rsidRPr="008F1CAB">
              <w:t>Description</w:t>
            </w:r>
          </w:p>
        </w:tc>
        <w:tc>
          <w:tcPr>
            <w:tcW w:w="6860" w:type="dxa"/>
          </w:tcPr>
          <w:p w14:paraId="13C8095F" w14:textId="355957B5" w:rsidR="005B47F7" w:rsidRDefault="00C220BF">
            <w:pPr>
              <w:cnfStyle w:val="000000000000" w:firstRow="0" w:lastRow="0" w:firstColumn="0" w:lastColumn="0" w:oddVBand="0" w:evenVBand="0" w:oddHBand="0" w:evenHBand="0" w:firstRowFirstColumn="0" w:firstRowLastColumn="0" w:lastRowFirstColumn="0" w:lastRowLastColumn="0"/>
            </w:pPr>
            <w:r w:rsidRPr="008F1CAB">
              <w:t>The separate and combined sum of shared savings and losses accrued by</w:t>
            </w:r>
            <w:r w:rsidR="005B47F7">
              <w:t>:</w:t>
            </w:r>
            <w:r w:rsidRPr="008F1CAB">
              <w:t xml:space="preserve"> 1. MassHealth </w:t>
            </w:r>
          </w:p>
          <w:p w14:paraId="7BF78A60" w14:textId="3F869112" w:rsidR="005B47F7" w:rsidRDefault="00C220BF">
            <w:pPr>
              <w:cnfStyle w:val="000000000000" w:firstRow="0" w:lastRow="0" w:firstColumn="0" w:lastColumn="0" w:oddVBand="0" w:evenVBand="0" w:oddHBand="0" w:evenHBand="0" w:firstRowFirstColumn="0" w:firstRowLastColumn="0" w:lastRowFirstColumn="0" w:lastRowLastColumn="0"/>
            </w:pPr>
            <w:r w:rsidRPr="008F1CAB">
              <w:t>2. ACOs</w:t>
            </w:r>
          </w:p>
          <w:p w14:paraId="5EDFDE0C" w14:textId="287842F8"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3. both MassHealth and the ACOs</w:t>
            </w:r>
          </w:p>
        </w:tc>
      </w:tr>
      <w:tr w:rsidR="00C220BF" w:rsidRPr="008F1CAB" w14:paraId="330BA410" w14:textId="77777777">
        <w:tc>
          <w:tcPr>
            <w:cnfStyle w:val="001000000000" w:firstRow="0" w:lastRow="0" w:firstColumn="1" w:lastColumn="0" w:oddVBand="0" w:evenVBand="0" w:oddHBand="0" w:evenHBand="0" w:firstRowFirstColumn="0" w:firstRowLastColumn="0" w:lastRowFirstColumn="0" w:lastRowLastColumn="0"/>
            <w:tcW w:w="2484" w:type="dxa"/>
          </w:tcPr>
          <w:p w14:paraId="03CA05CA" w14:textId="77777777" w:rsidR="00C220BF" w:rsidRPr="008F1CAB" w:rsidRDefault="00C220BF">
            <w:r w:rsidRPr="008F1CAB">
              <w:t>Numerator</w:t>
            </w:r>
          </w:p>
        </w:tc>
        <w:tc>
          <w:tcPr>
            <w:tcW w:w="6860" w:type="dxa"/>
          </w:tcPr>
          <w:p w14:paraId="784CBD6B"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Not applicable</w:t>
            </w:r>
          </w:p>
        </w:tc>
      </w:tr>
      <w:tr w:rsidR="00C220BF" w:rsidRPr="008F1CAB" w14:paraId="3970F80E" w14:textId="77777777">
        <w:tc>
          <w:tcPr>
            <w:cnfStyle w:val="001000000000" w:firstRow="0" w:lastRow="0" w:firstColumn="1" w:lastColumn="0" w:oddVBand="0" w:evenVBand="0" w:oddHBand="0" w:evenHBand="0" w:firstRowFirstColumn="0" w:firstRowLastColumn="0" w:lastRowFirstColumn="0" w:lastRowLastColumn="0"/>
            <w:tcW w:w="2484" w:type="dxa"/>
          </w:tcPr>
          <w:p w14:paraId="60A1CCC2" w14:textId="77777777" w:rsidR="00C220BF" w:rsidRPr="008F1CAB" w:rsidRDefault="00C220BF">
            <w:r w:rsidRPr="008F1CAB">
              <w:t>Denominator</w:t>
            </w:r>
          </w:p>
        </w:tc>
        <w:tc>
          <w:tcPr>
            <w:tcW w:w="6860" w:type="dxa"/>
          </w:tcPr>
          <w:p w14:paraId="3A390B3D"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Not applicable</w:t>
            </w:r>
          </w:p>
        </w:tc>
      </w:tr>
      <w:tr w:rsidR="00C220BF" w:rsidRPr="008F1CAB" w14:paraId="685D7F37" w14:textId="77777777">
        <w:tc>
          <w:tcPr>
            <w:cnfStyle w:val="001000000000" w:firstRow="0" w:lastRow="0" w:firstColumn="1" w:lastColumn="0" w:oddVBand="0" w:evenVBand="0" w:oddHBand="0" w:evenHBand="0" w:firstRowFirstColumn="0" w:firstRowLastColumn="0" w:lastRowFirstColumn="0" w:lastRowLastColumn="0"/>
            <w:tcW w:w="2484" w:type="dxa"/>
          </w:tcPr>
          <w:p w14:paraId="3DE90335" w14:textId="77777777" w:rsidR="00C220BF" w:rsidRPr="008F1CAB" w:rsidRDefault="00C220BF">
            <w:r w:rsidRPr="008F1CAB">
              <w:t>Data Sources</w:t>
            </w:r>
          </w:p>
        </w:tc>
        <w:tc>
          <w:tcPr>
            <w:tcW w:w="6860" w:type="dxa"/>
          </w:tcPr>
          <w:p w14:paraId="2F2CE517"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Financial reconciliation reports</w:t>
            </w:r>
          </w:p>
        </w:tc>
      </w:tr>
      <w:tr w:rsidR="00C220BF" w:rsidRPr="008F1CAB" w14:paraId="4B12330D" w14:textId="77777777">
        <w:tc>
          <w:tcPr>
            <w:cnfStyle w:val="001000000000" w:firstRow="0" w:lastRow="0" w:firstColumn="1" w:lastColumn="0" w:oddVBand="0" w:evenVBand="0" w:oddHBand="0" w:evenHBand="0" w:firstRowFirstColumn="0" w:firstRowLastColumn="0" w:lastRowFirstColumn="0" w:lastRowLastColumn="0"/>
            <w:tcW w:w="2484" w:type="dxa"/>
          </w:tcPr>
          <w:p w14:paraId="65E65558" w14:textId="77777777" w:rsidR="00C220BF" w:rsidRPr="008F1CAB" w:rsidRDefault="00C220BF">
            <w:r w:rsidRPr="008F1CAB">
              <w:t>National Benchmark</w:t>
            </w:r>
          </w:p>
        </w:tc>
        <w:tc>
          <w:tcPr>
            <w:tcW w:w="6860" w:type="dxa"/>
          </w:tcPr>
          <w:p w14:paraId="5064EE2E"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None</w:t>
            </w:r>
          </w:p>
        </w:tc>
      </w:tr>
    </w:tbl>
    <w:p w14:paraId="69A7568E" w14:textId="77777777" w:rsidR="005139D7" w:rsidRDefault="005139D7" w:rsidP="00D35F44">
      <w:pPr>
        <w:pStyle w:val="Heading5"/>
      </w:pPr>
    </w:p>
    <w:p w14:paraId="5853A1E8" w14:textId="50F1DC90" w:rsidR="00F562BC" w:rsidRPr="0030061F" w:rsidRDefault="00F562BC" w:rsidP="00D35F44">
      <w:pPr>
        <w:pStyle w:val="Heading5"/>
        <w:rPr>
          <w:b/>
          <w:bCs/>
        </w:rPr>
      </w:pPr>
      <w:r w:rsidRPr="0030061F">
        <w:rPr>
          <w:b/>
          <w:bCs/>
        </w:rPr>
        <w:t xml:space="preserve">Chapter 4: </w:t>
      </w:r>
      <w:r w:rsidR="00614FFB" w:rsidRPr="0030061F">
        <w:rPr>
          <w:b/>
          <w:bCs/>
        </w:rPr>
        <w:fldChar w:fldCharType="begin"/>
      </w:r>
      <w:r w:rsidR="00614FFB" w:rsidRPr="0030061F">
        <w:rPr>
          <w:b/>
          <w:bCs/>
        </w:rPr>
        <w:instrText xml:space="preserve"> REF _Ref142920800 \h </w:instrText>
      </w:r>
      <w:r w:rsidR="00614FFB" w:rsidRPr="0030061F">
        <w:rPr>
          <w:b/>
          <w:bCs/>
        </w:rPr>
      </w:r>
      <w:r w:rsidR="00614FFB" w:rsidRPr="0030061F">
        <w:rPr>
          <w:b/>
          <w:bCs/>
        </w:rPr>
        <w:fldChar w:fldCharType="separate"/>
      </w:r>
      <w:r w:rsidR="00EB7B05" w:rsidRPr="0030061F">
        <w:rPr>
          <w:b/>
          <w:bCs/>
        </w:rPr>
        <w:t>Behavioral Health</w:t>
      </w:r>
      <w:r w:rsidR="00614FFB" w:rsidRPr="0030061F">
        <w:rPr>
          <w:b/>
          <w:bCs/>
        </w:rPr>
        <w:fldChar w:fldCharType="end"/>
      </w:r>
    </w:p>
    <w:tbl>
      <w:tblPr>
        <w:tblStyle w:val="FHCclean10pt"/>
        <w:tblW w:w="0" w:type="auto"/>
        <w:tblLook w:val="04A0" w:firstRow="1" w:lastRow="0" w:firstColumn="1" w:lastColumn="0" w:noHBand="0" w:noVBand="1"/>
      </w:tblPr>
      <w:tblGrid>
        <w:gridCol w:w="2484"/>
        <w:gridCol w:w="6860"/>
      </w:tblGrid>
      <w:tr w:rsidR="00C220BF" w:rsidRPr="008F1CAB" w14:paraId="56EEB6E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48E51D6E" w14:textId="77777777" w:rsidR="00C220BF" w:rsidRPr="008F1CAB" w:rsidRDefault="00C220BF">
            <w:bookmarkStart w:id="282" w:name="_Hlk151293279"/>
            <w:r w:rsidRPr="00DB3492">
              <w:t>Measure:</w:t>
            </w:r>
          </w:p>
        </w:tc>
        <w:tc>
          <w:tcPr>
            <w:tcW w:w="6860" w:type="dxa"/>
          </w:tcPr>
          <w:p w14:paraId="18A6ED6A" w14:textId="77777777" w:rsidR="00C220BF" w:rsidRPr="008F1CAB" w:rsidRDefault="00C220BF">
            <w:pPr>
              <w:cnfStyle w:val="100000000000" w:firstRow="1" w:lastRow="0" w:firstColumn="0" w:lastColumn="0" w:oddVBand="0" w:evenVBand="0" w:oddHBand="0" w:evenHBand="0" w:firstRowFirstColumn="0" w:firstRowLastColumn="0" w:lastRowFirstColumn="0" w:lastRowLastColumn="0"/>
            </w:pPr>
            <w:r w:rsidRPr="008C4715">
              <w:t>Emergency Department Visits for Individuals with Mental Illness, Addiction, or Co-occurring Conditions Stratified by Age (6-17, 18-64)</w:t>
            </w:r>
            <w:r>
              <w:br/>
            </w:r>
            <w:r w:rsidRPr="008C4715">
              <w:t>*</w:t>
            </w:r>
            <w:r>
              <w:t xml:space="preserve"> </w:t>
            </w:r>
            <w:r w:rsidRPr="008C4715">
              <w:t>MassHealth ACO Quality Measure</w:t>
            </w:r>
          </w:p>
        </w:tc>
      </w:tr>
      <w:bookmarkEnd w:id="282"/>
      <w:tr w:rsidR="00C220BF" w:rsidRPr="008F1CAB" w14:paraId="68D8BC03" w14:textId="77777777">
        <w:tc>
          <w:tcPr>
            <w:cnfStyle w:val="001000000000" w:firstRow="0" w:lastRow="0" w:firstColumn="1" w:lastColumn="0" w:oddVBand="0" w:evenVBand="0" w:oddHBand="0" w:evenHBand="0" w:firstRowFirstColumn="0" w:firstRowLastColumn="0" w:lastRowFirstColumn="0" w:lastRowLastColumn="0"/>
            <w:tcW w:w="2484" w:type="dxa"/>
          </w:tcPr>
          <w:p w14:paraId="1EEC7D83" w14:textId="77777777" w:rsidR="00C220BF" w:rsidRPr="008F1CAB" w:rsidRDefault="00C220BF">
            <w:r w:rsidRPr="00DB3492">
              <w:t>Steward:</w:t>
            </w:r>
          </w:p>
        </w:tc>
        <w:tc>
          <w:tcPr>
            <w:tcW w:w="6860" w:type="dxa"/>
          </w:tcPr>
          <w:p w14:paraId="7197D524"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MassHealth</w:t>
            </w:r>
          </w:p>
        </w:tc>
      </w:tr>
      <w:tr w:rsidR="00C220BF" w:rsidRPr="008F1CAB" w14:paraId="235F4303" w14:textId="77777777">
        <w:tc>
          <w:tcPr>
            <w:cnfStyle w:val="001000000000" w:firstRow="0" w:lastRow="0" w:firstColumn="1" w:lastColumn="0" w:oddVBand="0" w:evenVBand="0" w:oddHBand="0" w:evenHBand="0" w:firstRowFirstColumn="0" w:firstRowLastColumn="0" w:lastRowFirstColumn="0" w:lastRowLastColumn="0"/>
            <w:tcW w:w="2484" w:type="dxa"/>
          </w:tcPr>
          <w:p w14:paraId="5DB1BBB2" w14:textId="77777777" w:rsidR="00C220BF" w:rsidRPr="008F1CAB" w:rsidRDefault="00C220BF">
            <w:r w:rsidRPr="00DB3492">
              <w:t>NQF Endorsed:</w:t>
            </w:r>
          </w:p>
        </w:tc>
        <w:tc>
          <w:tcPr>
            <w:tcW w:w="6860" w:type="dxa"/>
          </w:tcPr>
          <w:p w14:paraId="067A7821"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No</w:t>
            </w:r>
          </w:p>
        </w:tc>
      </w:tr>
      <w:tr w:rsidR="00C220BF" w:rsidRPr="008F1CAB" w14:paraId="203295EE" w14:textId="77777777">
        <w:tc>
          <w:tcPr>
            <w:cnfStyle w:val="001000000000" w:firstRow="0" w:lastRow="0" w:firstColumn="1" w:lastColumn="0" w:oddVBand="0" w:evenVBand="0" w:oddHBand="0" w:evenHBand="0" w:firstRowFirstColumn="0" w:firstRowLastColumn="0" w:lastRowFirstColumn="0" w:lastRowLastColumn="0"/>
            <w:tcW w:w="2484" w:type="dxa"/>
          </w:tcPr>
          <w:p w14:paraId="189A8656" w14:textId="77777777" w:rsidR="00C220BF" w:rsidRPr="008F1CAB" w:rsidRDefault="00C220BF">
            <w:r w:rsidRPr="008F1CAB">
              <w:t>Description</w:t>
            </w:r>
          </w:p>
        </w:tc>
        <w:tc>
          <w:tcPr>
            <w:tcW w:w="6860" w:type="dxa"/>
          </w:tcPr>
          <w:p w14:paraId="7B204637" w14:textId="28ADFF5C"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 xml:space="preserve">Rate of ED visits for members 18 to 64 years of age identified with a diagnosis of </w:t>
            </w:r>
            <w:r w:rsidR="00BE35B0">
              <w:t>SMI</w:t>
            </w:r>
            <w:r w:rsidRPr="008F1CAB">
              <w:t xml:space="preserve"> and/or substance addiction</w:t>
            </w:r>
            <w:r w:rsidR="000425BE">
              <w:t>.</w:t>
            </w:r>
          </w:p>
        </w:tc>
      </w:tr>
      <w:tr w:rsidR="00C220BF" w:rsidRPr="008F1CAB" w14:paraId="35701814" w14:textId="77777777">
        <w:tc>
          <w:tcPr>
            <w:cnfStyle w:val="001000000000" w:firstRow="0" w:lastRow="0" w:firstColumn="1" w:lastColumn="0" w:oddVBand="0" w:evenVBand="0" w:oddHBand="0" w:evenHBand="0" w:firstRowFirstColumn="0" w:firstRowLastColumn="0" w:lastRowFirstColumn="0" w:lastRowLastColumn="0"/>
            <w:tcW w:w="2484" w:type="dxa"/>
          </w:tcPr>
          <w:p w14:paraId="4FAE9F4E" w14:textId="77777777" w:rsidR="00C220BF" w:rsidRPr="008F1CAB" w:rsidRDefault="00C220BF">
            <w:r w:rsidRPr="008F1CAB">
              <w:t>Numerator</w:t>
            </w:r>
          </w:p>
        </w:tc>
        <w:tc>
          <w:tcPr>
            <w:tcW w:w="6860" w:type="dxa"/>
          </w:tcPr>
          <w:p w14:paraId="792256FD" w14:textId="4E9CDD1F" w:rsidR="00C220BF" w:rsidRPr="008F1CAB" w:rsidRDefault="00AB34CA">
            <w:pPr>
              <w:cnfStyle w:val="000000000000" w:firstRow="0" w:lastRow="0" w:firstColumn="0" w:lastColumn="0" w:oddVBand="0" w:evenVBand="0" w:oddHBand="0" w:evenHBand="0" w:firstRowFirstColumn="0" w:firstRowLastColumn="0" w:lastRowFirstColumn="0" w:lastRowLastColumn="0"/>
            </w:pPr>
            <w:r w:rsidRPr="00AB34CA">
              <w:t>Number of emergency department visits</w:t>
            </w:r>
          </w:p>
        </w:tc>
      </w:tr>
      <w:tr w:rsidR="00C220BF" w:rsidRPr="008F1CAB" w14:paraId="19170AAB" w14:textId="77777777">
        <w:tc>
          <w:tcPr>
            <w:cnfStyle w:val="001000000000" w:firstRow="0" w:lastRow="0" w:firstColumn="1" w:lastColumn="0" w:oddVBand="0" w:evenVBand="0" w:oddHBand="0" w:evenHBand="0" w:firstRowFirstColumn="0" w:firstRowLastColumn="0" w:lastRowFirstColumn="0" w:lastRowLastColumn="0"/>
            <w:tcW w:w="2484" w:type="dxa"/>
          </w:tcPr>
          <w:p w14:paraId="28588DF6" w14:textId="77777777" w:rsidR="00C220BF" w:rsidRPr="008F1CAB" w:rsidRDefault="00C220BF">
            <w:r w:rsidRPr="008F1CAB">
              <w:t>Denominator</w:t>
            </w:r>
          </w:p>
        </w:tc>
        <w:tc>
          <w:tcPr>
            <w:tcW w:w="6860" w:type="dxa"/>
          </w:tcPr>
          <w:p w14:paraId="684ACFE9" w14:textId="73F4867C" w:rsidR="00C220BF" w:rsidRPr="008F1CAB" w:rsidRDefault="00AB34CA">
            <w:pPr>
              <w:cnfStyle w:val="000000000000" w:firstRow="0" w:lastRow="0" w:firstColumn="0" w:lastColumn="0" w:oddVBand="0" w:evenVBand="0" w:oddHBand="0" w:evenHBand="0" w:firstRowFirstColumn="0" w:firstRowLastColumn="0" w:lastRowFirstColumn="0" w:lastRowLastColumn="0"/>
            </w:pPr>
            <w:r w:rsidRPr="00AB34CA">
              <w:t>Enrollees 18 to 64 years of age as of December 31 of the measurement year with a diagnosis of serious mental illness and/or substance use disorder</w:t>
            </w:r>
          </w:p>
        </w:tc>
      </w:tr>
      <w:tr w:rsidR="00C220BF" w:rsidRPr="008F1CAB" w14:paraId="5C7D24EE" w14:textId="77777777">
        <w:tc>
          <w:tcPr>
            <w:cnfStyle w:val="001000000000" w:firstRow="0" w:lastRow="0" w:firstColumn="1" w:lastColumn="0" w:oddVBand="0" w:evenVBand="0" w:oddHBand="0" w:evenHBand="0" w:firstRowFirstColumn="0" w:firstRowLastColumn="0" w:lastRowFirstColumn="0" w:lastRowLastColumn="0"/>
            <w:tcW w:w="2484" w:type="dxa"/>
          </w:tcPr>
          <w:p w14:paraId="2401009D" w14:textId="77777777" w:rsidR="00C220BF" w:rsidRPr="008F1CAB" w:rsidRDefault="00C220BF">
            <w:r w:rsidRPr="008F1CAB">
              <w:t>Data Sources</w:t>
            </w:r>
          </w:p>
        </w:tc>
        <w:tc>
          <w:tcPr>
            <w:tcW w:w="6860" w:type="dxa"/>
          </w:tcPr>
          <w:p w14:paraId="55814D3E"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Medicaid claims/encounters data</w:t>
            </w:r>
          </w:p>
        </w:tc>
      </w:tr>
      <w:tr w:rsidR="00C220BF" w:rsidRPr="008F1CAB" w14:paraId="40521AE5" w14:textId="77777777">
        <w:tc>
          <w:tcPr>
            <w:cnfStyle w:val="001000000000" w:firstRow="0" w:lastRow="0" w:firstColumn="1" w:lastColumn="0" w:oddVBand="0" w:evenVBand="0" w:oddHBand="0" w:evenHBand="0" w:firstRowFirstColumn="0" w:firstRowLastColumn="0" w:lastRowFirstColumn="0" w:lastRowLastColumn="0"/>
            <w:tcW w:w="2484" w:type="dxa"/>
          </w:tcPr>
          <w:p w14:paraId="47FE9D65" w14:textId="77777777" w:rsidR="00C220BF" w:rsidRPr="008F1CAB" w:rsidRDefault="00C220BF">
            <w:r w:rsidRPr="008F1CAB">
              <w:t>National Benchmark</w:t>
            </w:r>
          </w:p>
        </w:tc>
        <w:tc>
          <w:tcPr>
            <w:tcW w:w="6860" w:type="dxa"/>
          </w:tcPr>
          <w:p w14:paraId="0DE90ADB"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None</w:t>
            </w:r>
          </w:p>
        </w:tc>
      </w:tr>
    </w:tbl>
    <w:p w14:paraId="2DACFBAC" w14:textId="77777777" w:rsidR="00C220BF" w:rsidRDefault="00C220BF" w:rsidP="00662F94">
      <w:pPr>
        <w:pStyle w:val="NoSpacing"/>
      </w:pPr>
    </w:p>
    <w:tbl>
      <w:tblPr>
        <w:tblStyle w:val="FHCclean10pt"/>
        <w:tblW w:w="0" w:type="auto"/>
        <w:tblLook w:val="04A0" w:firstRow="1" w:lastRow="0" w:firstColumn="1" w:lastColumn="0" w:noHBand="0" w:noVBand="1"/>
      </w:tblPr>
      <w:tblGrid>
        <w:gridCol w:w="2484"/>
        <w:gridCol w:w="6860"/>
      </w:tblGrid>
      <w:tr w:rsidR="00C220BF" w:rsidRPr="008F1CAB" w14:paraId="1F03151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603FC3A2" w14:textId="77777777" w:rsidR="00C220BF" w:rsidRPr="008F1CAB" w:rsidRDefault="00C220BF">
            <w:r w:rsidRPr="00DB3492">
              <w:t>Measure:</w:t>
            </w:r>
          </w:p>
        </w:tc>
        <w:tc>
          <w:tcPr>
            <w:tcW w:w="6860" w:type="dxa"/>
          </w:tcPr>
          <w:p w14:paraId="09410901" w14:textId="77777777" w:rsidR="00C220BF" w:rsidRPr="008F1CAB" w:rsidRDefault="00C220BF">
            <w:pPr>
              <w:cnfStyle w:val="100000000000" w:firstRow="1" w:lastRow="0" w:firstColumn="0" w:lastColumn="0" w:oddVBand="0" w:evenVBand="0" w:oddHBand="0" w:evenHBand="0" w:firstRowFirstColumn="0" w:firstRowLastColumn="0" w:lastRowFirstColumn="0" w:lastRowLastColumn="0"/>
            </w:pPr>
            <w:r w:rsidRPr="008C4715">
              <w:t>ED Boarding (ED LOS &gt;24 hours) for Members with BH Conditions</w:t>
            </w:r>
          </w:p>
        </w:tc>
      </w:tr>
      <w:tr w:rsidR="00C220BF" w:rsidRPr="008F1CAB" w14:paraId="33C91371" w14:textId="77777777">
        <w:tc>
          <w:tcPr>
            <w:cnfStyle w:val="001000000000" w:firstRow="0" w:lastRow="0" w:firstColumn="1" w:lastColumn="0" w:oddVBand="0" w:evenVBand="0" w:oddHBand="0" w:evenHBand="0" w:firstRowFirstColumn="0" w:firstRowLastColumn="0" w:lastRowFirstColumn="0" w:lastRowLastColumn="0"/>
            <w:tcW w:w="2484" w:type="dxa"/>
          </w:tcPr>
          <w:p w14:paraId="544D4097" w14:textId="77777777" w:rsidR="00C220BF" w:rsidRPr="008F1CAB" w:rsidRDefault="00C220BF">
            <w:r w:rsidRPr="00DB3492">
              <w:t>Steward:</w:t>
            </w:r>
          </w:p>
        </w:tc>
        <w:tc>
          <w:tcPr>
            <w:tcW w:w="6860" w:type="dxa"/>
          </w:tcPr>
          <w:p w14:paraId="32B3B8E6"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None</w:t>
            </w:r>
          </w:p>
        </w:tc>
      </w:tr>
      <w:tr w:rsidR="00C220BF" w:rsidRPr="008F1CAB" w14:paraId="1559272A" w14:textId="77777777">
        <w:tc>
          <w:tcPr>
            <w:cnfStyle w:val="001000000000" w:firstRow="0" w:lastRow="0" w:firstColumn="1" w:lastColumn="0" w:oddVBand="0" w:evenVBand="0" w:oddHBand="0" w:evenHBand="0" w:firstRowFirstColumn="0" w:firstRowLastColumn="0" w:lastRowFirstColumn="0" w:lastRowLastColumn="0"/>
            <w:tcW w:w="2484" w:type="dxa"/>
          </w:tcPr>
          <w:p w14:paraId="43FB9F41" w14:textId="77777777" w:rsidR="00C220BF" w:rsidRPr="008F1CAB" w:rsidRDefault="00C220BF">
            <w:r w:rsidRPr="00DB3492">
              <w:t>NQF Endorsed:</w:t>
            </w:r>
          </w:p>
        </w:tc>
        <w:tc>
          <w:tcPr>
            <w:tcW w:w="6860" w:type="dxa"/>
          </w:tcPr>
          <w:p w14:paraId="27196C36"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No</w:t>
            </w:r>
          </w:p>
        </w:tc>
      </w:tr>
      <w:tr w:rsidR="00C220BF" w:rsidRPr="008F1CAB" w14:paraId="4AD335DA" w14:textId="77777777">
        <w:tc>
          <w:tcPr>
            <w:cnfStyle w:val="001000000000" w:firstRow="0" w:lastRow="0" w:firstColumn="1" w:lastColumn="0" w:oddVBand="0" w:evenVBand="0" w:oddHBand="0" w:evenHBand="0" w:firstRowFirstColumn="0" w:firstRowLastColumn="0" w:lastRowFirstColumn="0" w:lastRowLastColumn="0"/>
            <w:tcW w:w="2484" w:type="dxa"/>
          </w:tcPr>
          <w:p w14:paraId="18403E0B" w14:textId="77777777" w:rsidR="00C220BF" w:rsidRPr="008F1CAB" w:rsidRDefault="00C220BF">
            <w:r w:rsidRPr="008F1CAB">
              <w:t>Description</w:t>
            </w:r>
          </w:p>
        </w:tc>
        <w:tc>
          <w:tcPr>
            <w:tcW w:w="6860" w:type="dxa"/>
          </w:tcPr>
          <w:p w14:paraId="7398DFEB" w14:textId="6D75BA6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The percentage of ED visits resulting in boarding among members with BH conditions</w:t>
            </w:r>
            <w:r w:rsidR="00523B41">
              <w:t>.</w:t>
            </w:r>
          </w:p>
        </w:tc>
      </w:tr>
      <w:tr w:rsidR="00C220BF" w:rsidRPr="008F1CAB" w14:paraId="2D717BB3" w14:textId="77777777">
        <w:tc>
          <w:tcPr>
            <w:cnfStyle w:val="001000000000" w:firstRow="0" w:lastRow="0" w:firstColumn="1" w:lastColumn="0" w:oddVBand="0" w:evenVBand="0" w:oddHBand="0" w:evenHBand="0" w:firstRowFirstColumn="0" w:firstRowLastColumn="0" w:lastRowFirstColumn="0" w:lastRowLastColumn="0"/>
            <w:tcW w:w="2484" w:type="dxa"/>
          </w:tcPr>
          <w:p w14:paraId="23C5D339" w14:textId="77777777" w:rsidR="00C220BF" w:rsidRPr="008F1CAB" w:rsidRDefault="00C220BF">
            <w:r w:rsidRPr="008F1CAB">
              <w:t>Numerator</w:t>
            </w:r>
          </w:p>
        </w:tc>
        <w:tc>
          <w:tcPr>
            <w:tcW w:w="6860" w:type="dxa"/>
          </w:tcPr>
          <w:p w14:paraId="7745022D"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The number of ED visits for members with a BH condition with an arrival date and discharge date separated by one or more days (a minimum duration in the ED of 24 hours).</w:t>
            </w:r>
          </w:p>
        </w:tc>
      </w:tr>
      <w:tr w:rsidR="00C220BF" w:rsidRPr="008F1CAB" w14:paraId="509550C3" w14:textId="77777777">
        <w:tc>
          <w:tcPr>
            <w:cnfStyle w:val="001000000000" w:firstRow="0" w:lastRow="0" w:firstColumn="1" w:lastColumn="0" w:oddVBand="0" w:evenVBand="0" w:oddHBand="0" w:evenHBand="0" w:firstRowFirstColumn="0" w:firstRowLastColumn="0" w:lastRowFirstColumn="0" w:lastRowLastColumn="0"/>
            <w:tcW w:w="2484" w:type="dxa"/>
          </w:tcPr>
          <w:p w14:paraId="75A34589" w14:textId="77777777" w:rsidR="00C220BF" w:rsidRPr="008F1CAB" w:rsidRDefault="00C220BF">
            <w:r w:rsidRPr="008F1CAB">
              <w:t>Denominator</w:t>
            </w:r>
          </w:p>
        </w:tc>
        <w:tc>
          <w:tcPr>
            <w:tcW w:w="6860" w:type="dxa"/>
          </w:tcPr>
          <w:p w14:paraId="13AF8BDD" w14:textId="169A3701"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The person-time contributed by members of the population of interest during the measurement period</w:t>
            </w:r>
            <w:r w:rsidR="00523B41">
              <w:t>.</w:t>
            </w:r>
          </w:p>
        </w:tc>
      </w:tr>
      <w:tr w:rsidR="00C220BF" w:rsidRPr="008F1CAB" w14:paraId="44E92769" w14:textId="77777777">
        <w:tc>
          <w:tcPr>
            <w:cnfStyle w:val="001000000000" w:firstRow="0" w:lastRow="0" w:firstColumn="1" w:lastColumn="0" w:oddVBand="0" w:evenVBand="0" w:oddHBand="0" w:evenHBand="0" w:firstRowFirstColumn="0" w:firstRowLastColumn="0" w:lastRowFirstColumn="0" w:lastRowLastColumn="0"/>
            <w:tcW w:w="2484" w:type="dxa"/>
          </w:tcPr>
          <w:p w14:paraId="0B481A84" w14:textId="77777777" w:rsidR="00C220BF" w:rsidRPr="008F1CAB" w:rsidRDefault="00C220BF">
            <w:r w:rsidRPr="008F1CAB">
              <w:lastRenderedPageBreak/>
              <w:t>Data Sources</w:t>
            </w:r>
          </w:p>
        </w:tc>
        <w:tc>
          <w:tcPr>
            <w:tcW w:w="6860" w:type="dxa"/>
          </w:tcPr>
          <w:p w14:paraId="682DECFA"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Medicaid claims/encounters data</w:t>
            </w:r>
          </w:p>
        </w:tc>
      </w:tr>
      <w:tr w:rsidR="00C220BF" w:rsidRPr="008F1CAB" w14:paraId="35555B4A" w14:textId="77777777">
        <w:tc>
          <w:tcPr>
            <w:cnfStyle w:val="001000000000" w:firstRow="0" w:lastRow="0" w:firstColumn="1" w:lastColumn="0" w:oddVBand="0" w:evenVBand="0" w:oddHBand="0" w:evenHBand="0" w:firstRowFirstColumn="0" w:firstRowLastColumn="0" w:lastRowFirstColumn="0" w:lastRowLastColumn="0"/>
            <w:tcW w:w="2484" w:type="dxa"/>
          </w:tcPr>
          <w:p w14:paraId="3F99B2E6" w14:textId="77777777" w:rsidR="00C220BF" w:rsidRPr="008F1CAB" w:rsidRDefault="00C220BF">
            <w:r w:rsidRPr="008F1CAB">
              <w:t xml:space="preserve">National Benchmark </w:t>
            </w:r>
          </w:p>
        </w:tc>
        <w:tc>
          <w:tcPr>
            <w:tcW w:w="6860" w:type="dxa"/>
          </w:tcPr>
          <w:p w14:paraId="0670ED89"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None</w:t>
            </w:r>
          </w:p>
        </w:tc>
      </w:tr>
    </w:tbl>
    <w:p w14:paraId="269BFA67" w14:textId="77777777" w:rsidR="00C220BF" w:rsidRDefault="00C220BF" w:rsidP="00662F94">
      <w:pPr>
        <w:pStyle w:val="NoSpacing"/>
      </w:pPr>
    </w:p>
    <w:tbl>
      <w:tblPr>
        <w:tblStyle w:val="FHCclean10pt"/>
        <w:tblW w:w="0" w:type="auto"/>
        <w:tblLook w:val="04A0" w:firstRow="1" w:lastRow="0" w:firstColumn="1" w:lastColumn="0" w:noHBand="0" w:noVBand="1"/>
      </w:tblPr>
      <w:tblGrid>
        <w:gridCol w:w="2484"/>
        <w:gridCol w:w="6860"/>
      </w:tblGrid>
      <w:tr w:rsidR="00C220BF" w:rsidRPr="008F1CAB" w14:paraId="7E5283D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48E21710" w14:textId="77777777" w:rsidR="00C220BF" w:rsidRPr="008F1CAB" w:rsidRDefault="00C220BF">
            <w:r w:rsidRPr="00DB3492">
              <w:t>Measure:</w:t>
            </w:r>
          </w:p>
        </w:tc>
        <w:tc>
          <w:tcPr>
            <w:tcW w:w="6860" w:type="dxa"/>
          </w:tcPr>
          <w:p w14:paraId="249B8BE5" w14:textId="77777777" w:rsidR="00C220BF" w:rsidRPr="008F1CAB" w:rsidRDefault="00C220BF">
            <w:pPr>
              <w:cnfStyle w:val="100000000000" w:firstRow="1" w:lastRow="0" w:firstColumn="0" w:lastColumn="0" w:oddVBand="0" w:evenVBand="0" w:oddHBand="0" w:evenHBand="0" w:firstRowFirstColumn="0" w:firstRowLastColumn="0" w:lastRowFirstColumn="0" w:lastRowLastColumn="0"/>
            </w:pPr>
            <w:r w:rsidRPr="008F211A">
              <w:t>Follow-Up After Emergency Department Visit for Mental Illness</w:t>
            </w:r>
          </w:p>
        </w:tc>
      </w:tr>
      <w:tr w:rsidR="00C220BF" w:rsidRPr="008F1CAB" w14:paraId="55310658" w14:textId="77777777">
        <w:tc>
          <w:tcPr>
            <w:cnfStyle w:val="001000000000" w:firstRow="0" w:lastRow="0" w:firstColumn="1" w:lastColumn="0" w:oddVBand="0" w:evenVBand="0" w:oddHBand="0" w:evenHBand="0" w:firstRowFirstColumn="0" w:firstRowLastColumn="0" w:lastRowFirstColumn="0" w:lastRowLastColumn="0"/>
            <w:tcW w:w="2484" w:type="dxa"/>
          </w:tcPr>
          <w:p w14:paraId="3E97C889" w14:textId="77777777" w:rsidR="00C220BF" w:rsidRPr="008F1CAB" w:rsidRDefault="00C220BF">
            <w:r w:rsidRPr="00DB3492">
              <w:t>Steward:</w:t>
            </w:r>
          </w:p>
        </w:tc>
        <w:tc>
          <w:tcPr>
            <w:tcW w:w="6860" w:type="dxa"/>
          </w:tcPr>
          <w:p w14:paraId="5FF500EA"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211A">
              <w:t>National Committee for Quality Assurance (#3489)</w:t>
            </w:r>
          </w:p>
        </w:tc>
      </w:tr>
      <w:tr w:rsidR="00C220BF" w:rsidRPr="008F1CAB" w14:paraId="2EDD5441" w14:textId="77777777">
        <w:tc>
          <w:tcPr>
            <w:cnfStyle w:val="001000000000" w:firstRow="0" w:lastRow="0" w:firstColumn="1" w:lastColumn="0" w:oddVBand="0" w:evenVBand="0" w:oddHBand="0" w:evenHBand="0" w:firstRowFirstColumn="0" w:firstRowLastColumn="0" w:lastRowFirstColumn="0" w:lastRowLastColumn="0"/>
            <w:tcW w:w="2484" w:type="dxa"/>
          </w:tcPr>
          <w:p w14:paraId="54CD490A" w14:textId="77777777" w:rsidR="00C220BF" w:rsidRPr="008F1CAB" w:rsidRDefault="00C220BF">
            <w:r w:rsidRPr="00DB3492">
              <w:t>NQF Endorsed:</w:t>
            </w:r>
          </w:p>
        </w:tc>
        <w:tc>
          <w:tcPr>
            <w:tcW w:w="6860" w:type="dxa"/>
          </w:tcPr>
          <w:p w14:paraId="6277F420"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Yes</w:t>
            </w:r>
          </w:p>
        </w:tc>
      </w:tr>
      <w:tr w:rsidR="00C220BF" w:rsidRPr="008F1CAB" w14:paraId="0FDA6898" w14:textId="77777777">
        <w:tc>
          <w:tcPr>
            <w:cnfStyle w:val="001000000000" w:firstRow="0" w:lastRow="0" w:firstColumn="1" w:lastColumn="0" w:oddVBand="0" w:evenVBand="0" w:oddHBand="0" w:evenHBand="0" w:firstRowFirstColumn="0" w:firstRowLastColumn="0" w:lastRowFirstColumn="0" w:lastRowLastColumn="0"/>
            <w:tcW w:w="2484" w:type="dxa"/>
          </w:tcPr>
          <w:p w14:paraId="7BF61947" w14:textId="77777777" w:rsidR="00C220BF" w:rsidRPr="008F1CAB" w:rsidRDefault="00C220BF">
            <w:r w:rsidRPr="008F1CAB">
              <w:t>Description</w:t>
            </w:r>
          </w:p>
        </w:tc>
        <w:tc>
          <w:tcPr>
            <w:tcW w:w="6860" w:type="dxa"/>
          </w:tcPr>
          <w:p w14:paraId="2B34A691" w14:textId="2DB9549E"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The percentage of ED visits for members 6 years of age and older with a principal diagnosis of mental illness or intentional self-harm, who had a follow-up visit for mental illness. Two rates are reported:</w:t>
            </w:r>
          </w:p>
          <w:p w14:paraId="1DE6C033" w14:textId="77777777" w:rsidR="00C220BF" w:rsidRPr="008F1CAB"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8F1CAB">
              <w:t>The percentage of ED visits for which the member received follow-up within 30 days of the ED visit (31 total days).</w:t>
            </w:r>
          </w:p>
          <w:p w14:paraId="38682EDB" w14:textId="43E9EE83" w:rsidR="00C220BF" w:rsidRPr="008F1CAB"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8F1CAB">
              <w:t xml:space="preserve">The percentage of ED visits for which the member received follow-up within </w:t>
            </w:r>
            <w:r w:rsidR="005B47F7">
              <w:t>seven days</w:t>
            </w:r>
            <w:r w:rsidRPr="008F1CAB">
              <w:t xml:space="preserve"> of the ED visit (</w:t>
            </w:r>
            <w:r w:rsidR="005B47F7">
              <w:t>eight</w:t>
            </w:r>
            <w:r w:rsidR="005B47F7" w:rsidRPr="008F1CAB">
              <w:t xml:space="preserve"> </w:t>
            </w:r>
            <w:r w:rsidRPr="008F1CAB">
              <w:t>total days).</w:t>
            </w:r>
          </w:p>
        </w:tc>
      </w:tr>
      <w:tr w:rsidR="00C220BF" w:rsidRPr="008F1CAB" w14:paraId="29BC1F74" w14:textId="77777777">
        <w:tc>
          <w:tcPr>
            <w:cnfStyle w:val="001000000000" w:firstRow="0" w:lastRow="0" w:firstColumn="1" w:lastColumn="0" w:oddVBand="0" w:evenVBand="0" w:oddHBand="0" w:evenHBand="0" w:firstRowFirstColumn="0" w:firstRowLastColumn="0" w:lastRowFirstColumn="0" w:lastRowLastColumn="0"/>
            <w:tcW w:w="2484" w:type="dxa"/>
          </w:tcPr>
          <w:p w14:paraId="48EB4B50" w14:textId="77777777" w:rsidR="00C220BF" w:rsidRPr="008F1CAB" w:rsidRDefault="00C220BF">
            <w:r w:rsidRPr="008F1CAB">
              <w:t>Numerator</w:t>
            </w:r>
          </w:p>
        </w:tc>
        <w:tc>
          <w:tcPr>
            <w:tcW w:w="6860" w:type="dxa"/>
          </w:tcPr>
          <w:p w14:paraId="05B50978"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The numerator consists of two rates:</w:t>
            </w:r>
          </w:p>
          <w:p w14:paraId="0D38E610" w14:textId="77777777" w:rsidR="00C220BF" w:rsidRPr="008F1CAB"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8F1CAB">
              <w:t>30-day follow-up: The percentage of ED visits for which the member received follow-up within 30 days of the ED visit (31 total days).</w:t>
            </w:r>
          </w:p>
          <w:p w14:paraId="5ADEA065" w14:textId="60F8615B" w:rsidR="00C220BF" w:rsidRPr="008F1CAB"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8F1CAB">
              <w:t xml:space="preserve">7-day follow-up: The percentage of ED visits for which the member received follow-up within </w:t>
            </w:r>
            <w:r w:rsidR="004317EA">
              <w:t>seven</w:t>
            </w:r>
            <w:r w:rsidR="004317EA" w:rsidRPr="008F1CAB">
              <w:t xml:space="preserve"> </w:t>
            </w:r>
            <w:r w:rsidRPr="008F1CAB">
              <w:t>days of the ED visit (</w:t>
            </w:r>
            <w:r w:rsidR="004317EA">
              <w:t>eight</w:t>
            </w:r>
            <w:r w:rsidR="004317EA" w:rsidRPr="008F1CAB">
              <w:t xml:space="preserve"> </w:t>
            </w:r>
            <w:r w:rsidRPr="008F1CAB">
              <w:t>total days).</w:t>
            </w:r>
          </w:p>
        </w:tc>
      </w:tr>
      <w:tr w:rsidR="00C220BF" w:rsidRPr="008F1CAB" w14:paraId="01DC422B" w14:textId="77777777">
        <w:tc>
          <w:tcPr>
            <w:cnfStyle w:val="001000000000" w:firstRow="0" w:lastRow="0" w:firstColumn="1" w:lastColumn="0" w:oddVBand="0" w:evenVBand="0" w:oddHBand="0" w:evenHBand="0" w:firstRowFirstColumn="0" w:firstRowLastColumn="0" w:lastRowFirstColumn="0" w:lastRowLastColumn="0"/>
            <w:tcW w:w="2484" w:type="dxa"/>
          </w:tcPr>
          <w:p w14:paraId="310F7A09" w14:textId="77777777" w:rsidR="00C220BF" w:rsidRPr="008F1CAB" w:rsidRDefault="00C220BF">
            <w:r w:rsidRPr="008F1CAB">
              <w:t>Denominator</w:t>
            </w:r>
          </w:p>
        </w:tc>
        <w:tc>
          <w:tcPr>
            <w:tcW w:w="6860" w:type="dxa"/>
          </w:tcPr>
          <w:p w14:paraId="39C97D64" w14:textId="4724A3AB"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ED visits for members 6 years of age and older with a principal diagnosis of mental illness or intentional self-harm on or between January 1 and December 1 of the measurement year</w:t>
            </w:r>
            <w:r w:rsidR="004317EA">
              <w:t>.</w:t>
            </w:r>
          </w:p>
        </w:tc>
      </w:tr>
      <w:tr w:rsidR="00C220BF" w:rsidRPr="008F1CAB" w14:paraId="0931AE8F" w14:textId="77777777">
        <w:tc>
          <w:tcPr>
            <w:cnfStyle w:val="001000000000" w:firstRow="0" w:lastRow="0" w:firstColumn="1" w:lastColumn="0" w:oddVBand="0" w:evenVBand="0" w:oddHBand="0" w:evenHBand="0" w:firstRowFirstColumn="0" w:firstRowLastColumn="0" w:lastRowFirstColumn="0" w:lastRowLastColumn="0"/>
            <w:tcW w:w="2484" w:type="dxa"/>
          </w:tcPr>
          <w:p w14:paraId="79E3211E" w14:textId="77777777" w:rsidR="00C220BF" w:rsidRPr="008F1CAB" w:rsidRDefault="00C220BF">
            <w:r w:rsidRPr="008F1CAB">
              <w:t>Data Sources</w:t>
            </w:r>
          </w:p>
        </w:tc>
        <w:tc>
          <w:tcPr>
            <w:tcW w:w="6860" w:type="dxa"/>
          </w:tcPr>
          <w:p w14:paraId="197A7044"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Medicaid claims/encounters data</w:t>
            </w:r>
          </w:p>
        </w:tc>
      </w:tr>
      <w:tr w:rsidR="00C220BF" w:rsidRPr="00786BB0" w14:paraId="3AF3EAA9" w14:textId="77777777">
        <w:tc>
          <w:tcPr>
            <w:cnfStyle w:val="001000000000" w:firstRow="0" w:lastRow="0" w:firstColumn="1" w:lastColumn="0" w:oddVBand="0" w:evenVBand="0" w:oddHBand="0" w:evenHBand="0" w:firstRowFirstColumn="0" w:firstRowLastColumn="0" w:lastRowFirstColumn="0" w:lastRowLastColumn="0"/>
            <w:tcW w:w="2484" w:type="dxa"/>
          </w:tcPr>
          <w:p w14:paraId="52024CDC" w14:textId="77777777" w:rsidR="00C220BF" w:rsidRPr="008F1CAB" w:rsidRDefault="00C220BF">
            <w:r w:rsidRPr="008F1CAB">
              <w:t>National Benchmark</w:t>
            </w:r>
          </w:p>
        </w:tc>
        <w:tc>
          <w:tcPr>
            <w:tcW w:w="6860" w:type="dxa"/>
          </w:tcPr>
          <w:p w14:paraId="3D4B7481" w14:textId="345EF1FA"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 xml:space="preserve">2021 Medicaid HMO Follow-up within </w:t>
            </w:r>
            <w:r w:rsidR="004317EA">
              <w:t>seven</w:t>
            </w:r>
            <w:r w:rsidR="004317EA" w:rsidRPr="008F1CAB">
              <w:t xml:space="preserve"> </w:t>
            </w:r>
            <w:r w:rsidRPr="008F1CAB">
              <w:t>days</w:t>
            </w:r>
            <w:r w:rsidR="004317EA">
              <w:t xml:space="preserve"> </w:t>
            </w:r>
            <w:r w:rsidRPr="008F1CAB">
              <w:t>=</w:t>
            </w:r>
            <w:r w:rsidR="004317EA">
              <w:t xml:space="preserve"> </w:t>
            </w:r>
            <w:r w:rsidRPr="008F1CAB">
              <w:t>40.1%</w:t>
            </w:r>
          </w:p>
          <w:p w14:paraId="12C157E0" w14:textId="2CD6DEFE"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2021 Medicaid HMO Follow-up within 30 days</w:t>
            </w:r>
            <w:r w:rsidR="004317EA">
              <w:t xml:space="preserve"> </w:t>
            </w:r>
            <w:r w:rsidRPr="008F1CAB">
              <w:t>= 53.4%</w:t>
            </w:r>
          </w:p>
          <w:p w14:paraId="1E54EC24" w14:textId="24B7DB27" w:rsidR="00C220BF" w:rsidRPr="00EC21C0" w:rsidRDefault="00C220BF">
            <w:pPr>
              <w:cnfStyle w:val="000000000000" w:firstRow="0" w:lastRow="0" w:firstColumn="0" w:lastColumn="0" w:oddVBand="0" w:evenVBand="0" w:oddHBand="0" w:evenHBand="0" w:firstRowFirstColumn="0" w:firstRowLastColumn="0" w:lastRowFirstColumn="0" w:lastRowLastColumn="0"/>
              <w:rPr>
                <w:lang w:val="fr-FR"/>
              </w:rPr>
            </w:pPr>
            <w:r w:rsidRPr="00EC21C0">
              <w:rPr>
                <w:lang w:val="fr-FR"/>
              </w:rPr>
              <w:t xml:space="preserve">Source: </w:t>
            </w:r>
            <w:hyperlink r:id="rId63" w:history="1">
              <w:r w:rsidR="005F5CC3" w:rsidRPr="00EC21C0">
                <w:rPr>
                  <w:rStyle w:val="Hyperlink"/>
                  <w:lang w:val="fr-FR"/>
                </w:rPr>
                <w:t>https://www.ncqa.org/hedis/measures/follow-up-after-emergency-department-visit-for-mental-illness/</w:t>
              </w:r>
            </w:hyperlink>
            <w:r w:rsidR="005F5CC3" w:rsidRPr="00EC21C0">
              <w:rPr>
                <w:lang w:val="fr-FR"/>
              </w:rPr>
              <w:t xml:space="preserve"> </w:t>
            </w:r>
          </w:p>
        </w:tc>
      </w:tr>
    </w:tbl>
    <w:p w14:paraId="3A7E171B" w14:textId="77777777" w:rsidR="00C220BF" w:rsidRPr="00EC21C0" w:rsidRDefault="00C220BF" w:rsidP="00662F94">
      <w:pPr>
        <w:pStyle w:val="NoSpacing"/>
        <w:rPr>
          <w:lang w:val="fr-FR"/>
        </w:rPr>
      </w:pPr>
    </w:p>
    <w:tbl>
      <w:tblPr>
        <w:tblStyle w:val="FHCclean10pt"/>
        <w:tblW w:w="0" w:type="auto"/>
        <w:tblLook w:val="04A0" w:firstRow="1" w:lastRow="0" w:firstColumn="1" w:lastColumn="0" w:noHBand="0" w:noVBand="1"/>
      </w:tblPr>
      <w:tblGrid>
        <w:gridCol w:w="2484"/>
        <w:gridCol w:w="6860"/>
      </w:tblGrid>
      <w:tr w:rsidR="00C220BF" w:rsidRPr="008F1CAB" w14:paraId="2802267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12494C1D" w14:textId="77777777" w:rsidR="00C220BF" w:rsidRPr="008F1CAB" w:rsidRDefault="00C220BF">
            <w:bookmarkStart w:id="283" w:name="_Hlk129958090"/>
            <w:r w:rsidRPr="00DB3492">
              <w:t>Measure:</w:t>
            </w:r>
          </w:p>
        </w:tc>
        <w:tc>
          <w:tcPr>
            <w:tcW w:w="6860" w:type="dxa"/>
          </w:tcPr>
          <w:p w14:paraId="20F9BE31" w14:textId="6612254D" w:rsidR="00C220BF" w:rsidRPr="008F1CAB" w:rsidRDefault="00C220BF">
            <w:pPr>
              <w:cnfStyle w:val="100000000000" w:firstRow="1" w:lastRow="0" w:firstColumn="0" w:lastColumn="0" w:oddVBand="0" w:evenVBand="0" w:oddHBand="0" w:evenHBand="0" w:firstRowFirstColumn="0" w:firstRowLastColumn="0" w:lastRowFirstColumn="0" w:lastRowLastColumn="0"/>
            </w:pPr>
            <w:r w:rsidRPr="008F211A">
              <w:t xml:space="preserve">Total Cost of Care (All Covered Services) </w:t>
            </w:r>
            <w:r w:rsidR="00662F94">
              <w:t>B</w:t>
            </w:r>
            <w:r w:rsidRPr="008F211A">
              <w:t xml:space="preserve">roken </w:t>
            </w:r>
            <w:r w:rsidR="00662F94">
              <w:t>D</w:t>
            </w:r>
            <w:r w:rsidRPr="008F211A">
              <w:t xml:space="preserve">own by </w:t>
            </w:r>
            <w:r w:rsidR="00662F94">
              <w:t>I</w:t>
            </w:r>
            <w:r w:rsidRPr="008F211A">
              <w:t xml:space="preserve">ndividuals with </w:t>
            </w:r>
            <w:r w:rsidR="00662F94">
              <w:t>A</w:t>
            </w:r>
            <w:r w:rsidRPr="008F211A">
              <w:t xml:space="preserve">ny SUD-related, OUD, or SMI/SED </w:t>
            </w:r>
            <w:r w:rsidR="00662F94">
              <w:t>D</w:t>
            </w:r>
            <w:r w:rsidRPr="008F211A">
              <w:t>iagnos</w:t>
            </w:r>
            <w:r w:rsidR="00D35F44">
              <w:t>e</w:t>
            </w:r>
            <w:r w:rsidRPr="008F211A">
              <w:t>s</w:t>
            </w:r>
          </w:p>
        </w:tc>
      </w:tr>
      <w:tr w:rsidR="00C220BF" w:rsidRPr="008F1CAB" w14:paraId="7298B35E" w14:textId="77777777">
        <w:tc>
          <w:tcPr>
            <w:cnfStyle w:val="001000000000" w:firstRow="0" w:lastRow="0" w:firstColumn="1" w:lastColumn="0" w:oddVBand="0" w:evenVBand="0" w:oddHBand="0" w:evenHBand="0" w:firstRowFirstColumn="0" w:firstRowLastColumn="0" w:lastRowFirstColumn="0" w:lastRowLastColumn="0"/>
            <w:tcW w:w="2484" w:type="dxa"/>
          </w:tcPr>
          <w:p w14:paraId="758B1DDD" w14:textId="77777777" w:rsidR="00C220BF" w:rsidRPr="008F1CAB" w:rsidRDefault="00C220BF">
            <w:r w:rsidRPr="00DB3492">
              <w:t>Steward:</w:t>
            </w:r>
          </w:p>
        </w:tc>
        <w:tc>
          <w:tcPr>
            <w:tcW w:w="6860" w:type="dxa"/>
          </w:tcPr>
          <w:p w14:paraId="750597AD"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None</w:t>
            </w:r>
          </w:p>
        </w:tc>
      </w:tr>
      <w:tr w:rsidR="00C220BF" w:rsidRPr="008F1CAB" w14:paraId="4E2D1DA7" w14:textId="77777777">
        <w:tc>
          <w:tcPr>
            <w:cnfStyle w:val="001000000000" w:firstRow="0" w:lastRow="0" w:firstColumn="1" w:lastColumn="0" w:oddVBand="0" w:evenVBand="0" w:oddHBand="0" w:evenHBand="0" w:firstRowFirstColumn="0" w:firstRowLastColumn="0" w:lastRowFirstColumn="0" w:lastRowLastColumn="0"/>
            <w:tcW w:w="2484" w:type="dxa"/>
          </w:tcPr>
          <w:p w14:paraId="67261029" w14:textId="77777777" w:rsidR="00C220BF" w:rsidRPr="008F1CAB" w:rsidRDefault="00C220BF">
            <w:r w:rsidRPr="00DB3492">
              <w:t>NQF Endorsed:</w:t>
            </w:r>
          </w:p>
        </w:tc>
        <w:tc>
          <w:tcPr>
            <w:tcW w:w="6860" w:type="dxa"/>
          </w:tcPr>
          <w:p w14:paraId="3A46EE34"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No</w:t>
            </w:r>
          </w:p>
        </w:tc>
      </w:tr>
      <w:tr w:rsidR="00C220BF" w:rsidRPr="008F1CAB" w14:paraId="66B21129" w14:textId="77777777">
        <w:tc>
          <w:tcPr>
            <w:cnfStyle w:val="001000000000" w:firstRow="0" w:lastRow="0" w:firstColumn="1" w:lastColumn="0" w:oddVBand="0" w:evenVBand="0" w:oddHBand="0" w:evenHBand="0" w:firstRowFirstColumn="0" w:firstRowLastColumn="0" w:lastRowFirstColumn="0" w:lastRowLastColumn="0"/>
            <w:tcW w:w="2484" w:type="dxa"/>
          </w:tcPr>
          <w:p w14:paraId="33D76490" w14:textId="77777777" w:rsidR="00C220BF" w:rsidRPr="008F1CAB" w:rsidRDefault="00C220BF">
            <w:r w:rsidRPr="008F1CAB">
              <w:t>Description</w:t>
            </w:r>
          </w:p>
        </w:tc>
        <w:tc>
          <w:tcPr>
            <w:tcW w:w="6860" w:type="dxa"/>
          </w:tcPr>
          <w:p w14:paraId="6939BA6F" w14:textId="612DE5D2"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Costs of all MassHealth covered services</w:t>
            </w:r>
            <w:r w:rsidR="004317EA">
              <w:t>.</w:t>
            </w:r>
          </w:p>
        </w:tc>
      </w:tr>
      <w:tr w:rsidR="00C220BF" w:rsidRPr="008F1CAB" w14:paraId="1B42DA89" w14:textId="77777777">
        <w:tc>
          <w:tcPr>
            <w:cnfStyle w:val="001000000000" w:firstRow="0" w:lastRow="0" w:firstColumn="1" w:lastColumn="0" w:oddVBand="0" w:evenVBand="0" w:oddHBand="0" w:evenHBand="0" w:firstRowFirstColumn="0" w:firstRowLastColumn="0" w:lastRowFirstColumn="0" w:lastRowLastColumn="0"/>
            <w:tcW w:w="2484" w:type="dxa"/>
          </w:tcPr>
          <w:p w14:paraId="58492DC1" w14:textId="77777777" w:rsidR="00C220BF" w:rsidRPr="008F1CAB" w:rsidRDefault="00C220BF">
            <w:r w:rsidRPr="008F1CAB">
              <w:t>Numerator</w:t>
            </w:r>
          </w:p>
        </w:tc>
        <w:tc>
          <w:tcPr>
            <w:tcW w:w="6860" w:type="dxa"/>
          </w:tcPr>
          <w:p w14:paraId="0A6D397B" w14:textId="07479F4B"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 xml:space="preserve">Costs of all MassHealth covered services (excludes cosmetic surgery, treatment for infertility, experimental treatment, personal comfort items, non-covered laboratory services, </w:t>
            </w:r>
            <w:r w:rsidR="004317EA">
              <w:t xml:space="preserve">and </w:t>
            </w:r>
            <w:r w:rsidRPr="008F1CAB">
              <w:t>other services specified as not covered by MassHealth)</w:t>
            </w:r>
            <w:r w:rsidR="004317EA">
              <w:t>.</w:t>
            </w:r>
          </w:p>
        </w:tc>
      </w:tr>
      <w:tr w:rsidR="00C220BF" w:rsidRPr="008F1CAB" w14:paraId="6DC890AC" w14:textId="77777777">
        <w:tc>
          <w:tcPr>
            <w:cnfStyle w:val="001000000000" w:firstRow="0" w:lastRow="0" w:firstColumn="1" w:lastColumn="0" w:oddVBand="0" w:evenVBand="0" w:oddHBand="0" w:evenHBand="0" w:firstRowFirstColumn="0" w:firstRowLastColumn="0" w:lastRowFirstColumn="0" w:lastRowLastColumn="0"/>
            <w:tcW w:w="2484" w:type="dxa"/>
          </w:tcPr>
          <w:p w14:paraId="6EC66BBF" w14:textId="77777777" w:rsidR="00C220BF" w:rsidRPr="008F1CAB" w:rsidRDefault="00C220BF">
            <w:r w:rsidRPr="008F1CAB">
              <w:t>Denominator</w:t>
            </w:r>
          </w:p>
        </w:tc>
        <w:tc>
          <w:tcPr>
            <w:tcW w:w="6860" w:type="dxa"/>
          </w:tcPr>
          <w:p w14:paraId="4D205E25" w14:textId="18612ED2"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The person-time contributed by members in the population of interest during the measurement period</w:t>
            </w:r>
            <w:r w:rsidR="00325871">
              <w:t>.</w:t>
            </w:r>
          </w:p>
        </w:tc>
      </w:tr>
      <w:tr w:rsidR="00C220BF" w:rsidRPr="008F1CAB" w14:paraId="41BC8259" w14:textId="77777777">
        <w:tc>
          <w:tcPr>
            <w:cnfStyle w:val="001000000000" w:firstRow="0" w:lastRow="0" w:firstColumn="1" w:lastColumn="0" w:oddVBand="0" w:evenVBand="0" w:oddHBand="0" w:evenHBand="0" w:firstRowFirstColumn="0" w:firstRowLastColumn="0" w:lastRowFirstColumn="0" w:lastRowLastColumn="0"/>
            <w:tcW w:w="2484" w:type="dxa"/>
          </w:tcPr>
          <w:p w14:paraId="42631184" w14:textId="77777777" w:rsidR="00C220BF" w:rsidRPr="008F1CAB" w:rsidRDefault="00C220BF">
            <w:r w:rsidRPr="008F1CAB">
              <w:t>Data Sources</w:t>
            </w:r>
          </w:p>
        </w:tc>
        <w:tc>
          <w:tcPr>
            <w:tcW w:w="6860" w:type="dxa"/>
          </w:tcPr>
          <w:p w14:paraId="6DA3D8AE"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Medicaid claims/encounters data</w:t>
            </w:r>
          </w:p>
        </w:tc>
      </w:tr>
      <w:tr w:rsidR="00C220BF" w:rsidRPr="008F1CAB" w14:paraId="199FB012" w14:textId="77777777">
        <w:tc>
          <w:tcPr>
            <w:cnfStyle w:val="001000000000" w:firstRow="0" w:lastRow="0" w:firstColumn="1" w:lastColumn="0" w:oddVBand="0" w:evenVBand="0" w:oddHBand="0" w:evenHBand="0" w:firstRowFirstColumn="0" w:firstRowLastColumn="0" w:lastRowFirstColumn="0" w:lastRowLastColumn="0"/>
            <w:tcW w:w="2484" w:type="dxa"/>
          </w:tcPr>
          <w:p w14:paraId="77E162FA" w14:textId="77777777" w:rsidR="00C220BF" w:rsidRPr="008F1CAB" w:rsidRDefault="00C220BF">
            <w:r w:rsidRPr="008F1CAB">
              <w:t>National Benchmark</w:t>
            </w:r>
          </w:p>
        </w:tc>
        <w:tc>
          <w:tcPr>
            <w:tcW w:w="6860" w:type="dxa"/>
          </w:tcPr>
          <w:p w14:paraId="1C9EF813"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 xml:space="preserve">None </w:t>
            </w:r>
          </w:p>
        </w:tc>
      </w:tr>
    </w:tbl>
    <w:p w14:paraId="1E325ABD" w14:textId="77777777" w:rsidR="00C220BF" w:rsidRDefault="00C220BF" w:rsidP="00662F94">
      <w:pPr>
        <w:pStyle w:val="NoSpacing"/>
      </w:pPr>
    </w:p>
    <w:tbl>
      <w:tblPr>
        <w:tblStyle w:val="FHCclean10pt"/>
        <w:tblW w:w="0" w:type="auto"/>
        <w:tblLook w:val="04A0" w:firstRow="1" w:lastRow="0" w:firstColumn="1" w:lastColumn="0" w:noHBand="0" w:noVBand="1"/>
      </w:tblPr>
      <w:tblGrid>
        <w:gridCol w:w="2484"/>
        <w:gridCol w:w="6860"/>
      </w:tblGrid>
      <w:tr w:rsidR="00C220BF" w:rsidRPr="008F1CAB" w14:paraId="256FC67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bookmarkEnd w:id="283"/>
          <w:p w14:paraId="0CCFC0FB" w14:textId="77777777" w:rsidR="00C220BF" w:rsidRPr="008F1CAB" w:rsidRDefault="00C220BF">
            <w:r w:rsidRPr="00DB3492">
              <w:lastRenderedPageBreak/>
              <w:t>Measure:</w:t>
            </w:r>
          </w:p>
        </w:tc>
        <w:tc>
          <w:tcPr>
            <w:tcW w:w="6860" w:type="dxa"/>
          </w:tcPr>
          <w:p w14:paraId="192B1921" w14:textId="77777777" w:rsidR="00C220BF" w:rsidRPr="008F1CAB" w:rsidRDefault="00C220BF">
            <w:pPr>
              <w:cnfStyle w:val="100000000000" w:firstRow="1" w:lastRow="0" w:firstColumn="0" w:lastColumn="0" w:oddVBand="0" w:evenVBand="0" w:oddHBand="0" w:evenHBand="0" w:firstRowFirstColumn="0" w:firstRowLastColumn="0" w:lastRowFirstColumn="0" w:lastRowLastColumn="0"/>
            </w:pPr>
            <w:r w:rsidRPr="008F211A">
              <w:t>Initiation and Engagement of Alcohol and Other Drug Dependence Treatment (IET)</w:t>
            </w:r>
            <w:r>
              <w:br/>
            </w:r>
            <w:r w:rsidRPr="008F211A">
              <w:t>* MassHealth ACO and BH CP Quality Measure</w:t>
            </w:r>
          </w:p>
        </w:tc>
      </w:tr>
      <w:tr w:rsidR="00C220BF" w:rsidRPr="008F1CAB" w14:paraId="2ECFF85E" w14:textId="77777777">
        <w:tc>
          <w:tcPr>
            <w:cnfStyle w:val="001000000000" w:firstRow="0" w:lastRow="0" w:firstColumn="1" w:lastColumn="0" w:oddVBand="0" w:evenVBand="0" w:oddHBand="0" w:evenHBand="0" w:firstRowFirstColumn="0" w:firstRowLastColumn="0" w:lastRowFirstColumn="0" w:lastRowLastColumn="0"/>
            <w:tcW w:w="2484" w:type="dxa"/>
          </w:tcPr>
          <w:p w14:paraId="4C1D2436" w14:textId="77777777" w:rsidR="00C220BF" w:rsidRPr="008F1CAB" w:rsidRDefault="00C220BF">
            <w:r w:rsidRPr="00DB3492">
              <w:t>Steward:</w:t>
            </w:r>
          </w:p>
        </w:tc>
        <w:tc>
          <w:tcPr>
            <w:tcW w:w="6860" w:type="dxa"/>
          </w:tcPr>
          <w:p w14:paraId="1502FDD1"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211A">
              <w:t>National Committee for Quality Assurance (#0004)</w:t>
            </w:r>
          </w:p>
        </w:tc>
      </w:tr>
      <w:tr w:rsidR="00C220BF" w:rsidRPr="008F1CAB" w14:paraId="3C0806BB" w14:textId="77777777">
        <w:tc>
          <w:tcPr>
            <w:cnfStyle w:val="001000000000" w:firstRow="0" w:lastRow="0" w:firstColumn="1" w:lastColumn="0" w:oddVBand="0" w:evenVBand="0" w:oddHBand="0" w:evenHBand="0" w:firstRowFirstColumn="0" w:firstRowLastColumn="0" w:lastRowFirstColumn="0" w:lastRowLastColumn="0"/>
            <w:tcW w:w="2484" w:type="dxa"/>
          </w:tcPr>
          <w:p w14:paraId="7B7805E3" w14:textId="77777777" w:rsidR="00C220BF" w:rsidRPr="008F1CAB" w:rsidRDefault="00C220BF">
            <w:r w:rsidRPr="00DB3492">
              <w:t>NQF Endorsed:</w:t>
            </w:r>
          </w:p>
        </w:tc>
        <w:tc>
          <w:tcPr>
            <w:tcW w:w="6860" w:type="dxa"/>
          </w:tcPr>
          <w:p w14:paraId="4686CA34"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Yes</w:t>
            </w:r>
          </w:p>
        </w:tc>
      </w:tr>
      <w:tr w:rsidR="00C220BF" w:rsidRPr="008F1CAB" w14:paraId="63D58420" w14:textId="77777777">
        <w:tc>
          <w:tcPr>
            <w:cnfStyle w:val="001000000000" w:firstRow="0" w:lastRow="0" w:firstColumn="1" w:lastColumn="0" w:oddVBand="0" w:evenVBand="0" w:oddHBand="0" w:evenHBand="0" w:firstRowFirstColumn="0" w:firstRowLastColumn="0" w:lastRowFirstColumn="0" w:lastRowLastColumn="0"/>
            <w:tcW w:w="2484" w:type="dxa"/>
          </w:tcPr>
          <w:p w14:paraId="1AF7059C" w14:textId="77777777" w:rsidR="00C220BF" w:rsidRPr="008F1CAB" w:rsidRDefault="00C220BF">
            <w:r w:rsidRPr="008F1CAB">
              <w:t>Description</w:t>
            </w:r>
          </w:p>
        </w:tc>
        <w:tc>
          <w:tcPr>
            <w:tcW w:w="6860" w:type="dxa"/>
          </w:tcPr>
          <w:p w14:paraId="119EE4B4" w14:textId="38D683E1"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The percentage of adolescent and adult patients with a new episode of alcohol or other drug (AOD) dependence who received the following</w:t>
            </w:r>
            <w:r w:rsidR="00E13920">
              <w:t>:</w:t>
            </w:r>
            <w:r w:rsidRPr="008F1CAB">
              <w:t xml:space="preserve"> </w:t>
            </w:r>
          </w:p>
          <w:p w14:paraId="17B87541" w14:textId="25882879" w:rsidR="00C220BF" w:rsidRPr="008F1CAB"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8F1CAB">
              <w:t>Initiation of AOD Treatment: The percentage of patients who initiate treatment through an inpatient AOD admission, outpatient visit, intensive outpatient encounter</w:t>
            </w:r>
            <w:r w:rsidR="00325871">
              <w:t>,</w:t>
            </w:r>
            <w:r w:rsidRPr="008F1CAB">
              <w:t xml:space="preserve"> or partial hospitalization within 14 days of the diagnosis.</w:t>
            </w:r>
          </w:p>
          <w:p w14:paraId="1A770A5E" w14:textId="77777777" w:rsidR="00C220BF" w:rsidRPr="008F1CAB"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8F1CAB">
              <w:t>Engagement of AOD Treatment: The percentage of patients who initiated treatment and who had two or more additional services with a diagnosis of AOD within 30 days of the initiation visit.</w:t>
            </w:r>
          </w:p>
        </w:tc>
      </w:tr>
      <w:tr w:rsidR="00C220BF" w:rsidRPr="008F1CAB" w14:paraId="3B51A5FC" w14:textId="77777777">
        <w:tc>
          <w:tcPr>
            <w:cnfStyle w:val="001000000000" w:firstRow="0" w:lastRow="0" w:firstColumn="1" w:lastColumn="0" w:oddVBand="0" w:evenVBand="0" w:oddHBand="0" w:evenHBand="0" w:firstRowFirstColumn="0" w:firstRowLastColumn="0" w:lastRowFirstColumn="0" w:lastRowLastColumn="0"/>
            <w:tcW w:w="2484" w:type="dxa"/>
          </w:tcPr>
          <w:p w14:paraId="113AA083" w14:textId="77777777" w:rsidR="00C220BF" w:rsidRPr="008F1CAB" w:rsidRDefault="00C220BF">
            <w:r w:rsidRPr="008F1CAB">
              <w:t>Numerator</w:t>
            </w:r>
          </w:p>
        </w:tc>
        <w:tc>
          <w:tcPr>
            <w:tcW w:w="6860" w:type="dxa"/>
          </w:tcPr>
          <w:p w14:paraId="112C6FC0" w14:textId="73E853EB" w:rsidR="00C220BF" w:rsidRPr="008F1CAB"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8F1CAB">
              <w:t xml:space="preserve">Initiation of AOD Dependence Treatment: </w:t>
            </w:r>
            <w:r>
              <w:br/>
            </w:r>
            <w:r w:rsidRPr="008F1CAB">
              <w:t>Initiation of AOD treatment through an inpatient admission, outpatient visit, intensive outpatient encounter</w:t>
            </w:r>
            <w:r w:rsidR="00325871">
              <w:t>,</w:t>
            </w:r>
            <w:r w:rsidRPr="008F1CAB">
              <w:t xml:space="preserve"> or partial hospitalization within 14 days of the index episode start date.</w:t>
            </w:r>
          </w:p>
          <w:p w14:paraId="70C7C807" w14:textId="5FADFF47" w:rsidR="00C220BF" w:rsidRPr="008F1CAB"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8F1CAB">
              <w:t>Engagement of AOD Treatment:</w:t>
            </w:r>
            <w:r>
              <w:br/>
            </w:r>
            <w:r w:rsidRPr="008F1CAB">
              <w:t>Initiation of AOD treatment and two or more inpatient admissions, outpatient visits, intensive outpatient encounters</w:t>
            </w:r>
            <w:r w:rsidR="00325871">
              <w:t>,</w:t>
            </w:r>
            <w:r w:rsidRPr="008F1CAB">
              <w:t xml:space="preserve"> or partial hospitalizations with any AOD diagnosis within 30 days after the date of the Initiation encounter (inclusive).</w:t>
            </w:r>
          </w:p>
        </w:tc>
      </w:tr>
      <w:tr w:rsidR="00C220BF" w:rsidRPr="008F1CAB" w14:paraId="143B172C" w14:textId="77777777">
        <w:tc>
          <w:tcPr>
            <w:cnfStyle w:val="001000000000" w:firstRow="0" w:lastRow="0" w:firstColumn="1" w:lastColumn="0" w:oddVBand="0" w:evenVBand="0" w:oddHBand="0" w:evenHBand="0" w:firstRowFirstColumn="0" w:firstRowLastColumn="0" w:lastRowFirstColumn="0" w:lastRowLastColumn="0"/>
            <w:tcW w:w="2484" w:type="dxa"/>
          </w:tcPr>
          <w:p w14:paraId="46598EB0" w14:textId="77777777" w:rsidR="00C220BF" w:rsidRPr="008F1CAB" w:rsidRDefault="00C220BF">
            <w:r w:rsidRPr="008F1CAB">
              <w:t>Denominator</w:t>
            </w:r>
          </w:p>
        </w:tc>
        <w:tc>
          <w:tcPr>
            <w:tcW w:w="6860" w:type="dxa"/>
          </w:tcPr>
          <w:p w14:paraId="74C3BD1E" w14:textId="1E7001B1"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Patients age</w:t>
            </w:r>
            <w:r w:rsidR="00662F94">
              <w:t>d</w:t>
            </w:r>
            <w:r w:rsidRPr="008F1CAB">
              <w:t xml:space="preserve"> 13 years of age and older who were diagnosed with a new episode of </w:t>
            </w:r>
            <w:r w:rsidR="00325871" w:rsidRPr="008F1CAB">
              <w:t>AOD</w:t>
            </w:r>
            <w:r w:rsidR="00325871" w:rsidRPr="008F1CAB" w:rsidDel="00325871">
              <w:t xml:space="preserve"> </w:t>
            </w:r>
            <w:r w:rsidRPr="008F1CAB">
              <w:t>dependency during the first 10 and ½ months of the measurement year (e.g., January 1-November 15).</w:t>
            </w:r>
          </w:p>
        </w:tc>
      </w:tr>
      <w:tr w:rsidR="00C220BF" w:rsidRPr="008F1CAB" w14:paraId="3CFEF02D" w14:textId="77777777">
        <w:tc>
          <w:tcPr>
            <w:cnfStyle w:val="001000000000" w:firstRow="0" w:lastRow="0" w:firstColumn="1" w:lastColumn="0" w:oddVBand="0" w:evenVBand="0" w:oddHBand="0" w:evenHBand="0" w:firstRowFirstColumn="0" w:firstRowLastColumn="0" w:lastRowFirstColumn="0" w:lastRowLastColumn="0"/>
            <w:tcW w:w="2484" w:type="dxa"/>
          </w:tcPr>
          <w:p w14:paraId="39F49C6C" w14:textId="77777777" w:rsidR="00C220BF" w:rsidRPr="008F1CAB" w:rsidRDefault="00C220BF">
            <w:r w:rsidRPr="008F1CAB">
              <w:t>Data Sources</w:t>
            </w:r>
          </w:p>
        </w:tc>
        <w:tc>
          <w:tcPr>
            <w:tcW w:w="6860" w:type="dxa"/>
          </w:tcPr>
          <w:p w14:paraId="78219FDE"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MMIS claims/encounter data</w:t>
            </w:r>
          </w:p>
        </w:tc>
      </w:tr>
      <w:tr w:rsidR="00C220BF" w:rsidRPr="00786BB0" w14:paraId="77CC9E38" w14:textId="77777777">
        <w:tc>
          <w:tcPr>
            <w:cnfStyle w:val="001000000000" w:firstRow="0" w:lastRow="0" w:firstColumn="1" w:lastColumn="0" w:oddVBand="0" w:evenVBand="0" w:oddHBand="0" w:evenHBand="0" w:firstRowFirstColumn="0" w:firstRowLastColumn="0" w:lastRowFirstColumn="0" w:lastRowLastColumn="0"/>
            <w:tcW w:w="2484" w:type="dxa"/>
          </w:tcPr>
          <w:p w14:paraId="1B50B0D0" w14:textId="77777777" w:rsidR="00C220BF" w:rsidRPr="008F1CAB" w:rsidRDefault="00C220BF">
            <w:r w:rsidRPr="008F1CAB">
              <w:t>National Benchmark</w:t>
            </w:r>
          </w:p>
        </w:tc>
        <w:tc>
          <w:tcPr>
            <w:tcW w:w="6860" w:type="dxa"/>
          </w:tcPr>
          <w:p w14:paraId="019BD377"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Initiation: 2021 Medicaid HMO = 43.1%</w:t>
            </w:r>
          </w:p>
          <w:p w14:paraId="520C1CAC"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Engagement: 2016 Medicaid HMO = 28.4%</w:t>
            </w:r>
          </w:p>
          <w:p w14:paraId="35B4E547" w14:textId="4390A0C8" w:rsidR="00C220BF" w:rsidRPr="00EC21C0" w:rsidRDefault="00C220BF">
            <w:pPr>
              <w:cnfStyle w:val="000000000000" w:firstRow="0" w:lastRow="0" w:firstColumn="0" w:lastColumn="0" w:oddVBand="0" w:evenVBand="0" w:oddHBand="0" w:evenHBand="0" w:firstRowFirstColumn="0" w:firstRowLastColumn="0" w:lastRowFirstColumn="0" w:lastRowLastColumn="0"/>
              <w:rPr>
                <w:lang w:val="fr-FR"/>
              </w:rPr>
            </w:pPr>
            <w:r w:rsidRPr="00EC21C0">
              <w:rPr>
                <w:lang w:val="fr-FR"/>
              </w:rPr>
              <w:t xml:space="preserve">Source: </w:t>
            </w:r>
            <w:hyperlink r:id="rId64" w:history="1">
              <w:r w:rsidR="00662F94" w:rsidRPr="00EC21C0">
                <w:rPr>
                  <w:rStyle w:val="Hyperlink"/>
                  <w:lang w:val="fr-FR"/>
                </w:rPr>
                <w:t>https://www.ncqa.org/hedis/measures/initiation-and-engagement-of-alcohol-and-other-drug-abuse-or-dependence-treatment/</w:t>
              </w:r>
            </w:hyperlink>
            <w:r w:rsidR="00662F94" w:rsidRPr="00EC21C0">
              <w:rPr>
                <w:lang w:val="fr-FR"/>
              </w:rPr>
              <w:t xml:space="preserve"> </w:t>
            </w:r>
          </w:p>
        </w:tc>
      </w:tr>
    </w:tbl>
    <w:p w14:paraId="7FDECAD8" w14:textId="77777777" w:rsidR="00C220BF" w:rsidRPr="00EC21C0" w:rsidRDefault="00C220BF" w:rsidP="00F562BC">
      <w:pPr>
        <w:pStyle w:val="NoSpacing"/>
        <w:rPr>
          <w:lang w:val="fr-FR"/>
        </w:rPr>
      </w:pPr>
    </w:p>
    <w:tbl>
      <w:tblPr>
        <w:tblStyle w:val="FHCclean10pt"/>
        <w:tblW w:w="0" w:type="auto"/>
        <w:tblLook w:val="04A0" w:firstRow="1" w:lastRow="0" w:firstColumn="1" w:lastColumn="0" w:noHBand="0" w:noVBand="1"/>
      </w:tblPr>
      <w:tblGrid>
        <w:gridCol w:w="2484"/>
        <w:gridCol w:w="6860"/>
      </w:tblGrid>
      <w:tr w:rsidR="00C220BF" w:rsidRPr="008F1CAB" w14:paraId="60A31AE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2118AE17" w14:textId="77777777" w:rsidR="00C220BF" w:rsidRPr="008F1CAB" w:rsidRDefault="00C220BF">
            <w:r w:rsidRPr="00DB3492">
              <w:t>Measure:</w:t>
            </w:r>
          </w:p>
        </w:tc>
        <w:tc>
          <w:tcPr>
            <w:tcW w:w="6860" w:type="dxa"/>
          </w:tcPr>
          <w:p w14:paraId="4ADB784E" w14:textId="77777777" w:rsidR="00C220BF" w:rsidRPr="008F1CAB" w:rsidRDefault="00C220BF">
            <w:pPr>
              <w:cnfStyle w:val="100000000000" w:firstRow="1" w:lastRow="0" w:firstColumn="0" w:lastColumn="0" w:oddVBand="0" w:evenVBand="0" w:oddHBand="0" w:evenHBand="0" w:firstRowFirstColumn="0" w:firstRowLastColumn="0" w:lastRowFirstColumn="0" w:lastRowLastColumn="0"/>
            </w:pPr>
            <w:r w:rsidRPr="008F211A">
              <w:t>Continuity of Pharmacotherapy for Opioid Use Disorder</w:t>
            </w:r>
          </w:p>
        </w:tc>
      </w:tr>
      <w:tr w:rsidR="00C220BF" w:rsidRPr="008F1CAB" w14:paraId="333CAAD0" w14:textId="77777777">
        <w:tc>
          <w:tcPr>
            <w:cnfStyle w:val="001000000000" w:firstRow="0" w:lastRow="0" w:firstColumn="1" w:lastColumn="0" w:oddVBand="0" w:evenVBand="0" w:oddHBand="0" w:evenHBand="0" w:firstRowFirstColumn="0" w:firstRowLastColumn="0" w:lastRowFirstColumn="0" w:lastRowLastColumn="0"/>
            <w:tcW w:w="2484" w:type="dxa"/>
          </w:tcPr>
          <w:p w14:paraId="6C4C1690" w14:textId="77777777" w:rsidR="00C220BF" w:rsidRPr="008F1CAB" w:rsidRDefault="00C220BF">
            <w:r w:rsidRPr="00DB3492">
              <w:t>Steward:</w:t>
            </w:r>
          </w:p>
        </w:tc>
        <w:tc>
          <w:tcPr>
            <w:tcW w:w="6860" w:type="dxa"/>
          </w:tcPr>
          <w:p w14:paraId="3E0A7BD0"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211A">
              <w:t>University of Southern California (#3175)</w:t>
            </w:r>
          </w:p>
        </w:tc>
      </w:tr>
      <w:tr w:rsidR="00C220BF" w:rsidRPr="008F1CAB" w14:paraId="220A1FA9" w14:textId="77777777">
        <w:tc>
          <w:tcPr>
            <w:cnfStyle w:val="001000000000" w:firstRow="0" w:lastRow="0" w:firstColumn="1" w:lastColumn="0" w:oddVBand="0" w:evenVBand="0" w:oddHBand="0" w:evenHBand="0" w:firstRowFirstColumn="0" w:firstRowLastColumn="0" w:lastRowFirstColumn="0" w:lastRowLastColumn="0"/>
            <w:tcW w:w="2484" w:type="dxa"/>
          </w:tcPr>
          <w:p w14:paraId="3971B5A5" w14:textId="77777777" w:rsidR="00C220BF" w:rsidRPr="008F1CAB" w:rsidRDefault="00C220BF">
            <w:r w:rsidRPr="00DB3492">
              <w:t>NQF Endorsed:</w:t>
            </w:r>
          </w:p>
        </w:tc>
        <w:tc>
          <w:tcPr>
            <w:tcW w:w="6860" w:type="dxa"/>
          </w:tcPr>
          <w:p w14:paraId="5A524ABD"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Yes</w:t>
            </w:r>
          </w:p>
        </w:tc>
      </w:tr>
      <w:tr w:rsidR="00C220BF" w:rsidRPr="008F1CAB" w14:paraId="427742AF" w14:textId="77777777">
        <w:tc>
          <w:tcPr>
            <w:cnfStyle w:val="001000000000" w:firstRow="0" w:lastRow="0" w:firstColumn="1" w:lastColumn="0" w:oddVBand="0" w:evenVBand="0" w:oddHBand="0" w:evenHBand="0" w:firstRowFirstColumn="0" w:firstRowLastColumn="0" w:lastRowFirstColumn="0" w:lastRowLastColumn="0"/>
            <w:tcW w:w="2484" w:type="dxa"/>
          </w:tcPr>
          <w:p w14:paraId="796D588E" w14:textId="77777777" w:rsidR="00C220BF" w:rsidRPr="008F1CAB" w:rsidRDefault="00C220BF">
            <w:r w:rsidRPr="008F1CAB">
              <w:t>Description</w:t>
            </w:r>
          </w:p>
        </w:tc>
        <w:tc>
          <w:tcPr>
            <w:tcW w:w="6860" w:type="dxa"/>
          </w:tcPr>
          <w:p w14:paraId="72EB2855" w14:textId="4AE83893"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Percentage of adults of at least 18 years of age with pharmacotherapy for opioid use disorder (OUD) who have at least 180 days of continuous treatment</w:t>
            </w:r>
            <w:r w:rsidR="00325871">
              <w:t>.</w:t>
            </w:r>
          </w:p>
        </w:tc>
      </w:tr>
      <w:tr w:rsidR="00C220BF" w:rsidRPr="008F1CAB" w14:paraId="41856090" w14:textId="77777777">
        <w:tc>
          <w:tcPr>
            <w:cnfStyle w:val="001000000000" w:firstRow="0" w:lastRow="0" w:firstColumn="1" w:lastColumn="0" w:oddVBand="0" w:evenVBand="0" w:oddHBand="0" w:evenHBand="0" w:firstRowFirstColumn="0" w:firstRowLastColumn="0" w:lastRowFirstColumn="0" w:lastRowLastColumn="0"/>
            <w:tcW w:w="2484" w:type="dxa"/>
          </w:tcPr>
          <w:p w14:paraId="74460C83" w14:textId="77777777" w:rsidR="00C220BF" w:rsidRPr="008F1CAB" w:rsidRDefault="00C220BF">
            <w:r w:rsidRPr="008F1CAB">
              <w:t>Numerator</w:t>
            </w:r>
          </w:p>
        </w:tc>
        <w:tc>
          <w:tcPr>
            <w:tcW w:w="6860" w:type="dxa"/>
          </w:tcPr>
          <w:p w14:paraId="3E5AEEBB" w14:textId="140A50B2"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Individuals in the denominator who have at least 180 days of continuous pharmacotherapy with a medication prescribed for OUD without a gap of more than seven days</w:t>
            </w:r>
            <w:r w:rsidR="00325871">
              <w:t>.</w:t>
            </w:r>
          </w:p>
        </w:tc>
      </w:tr>
      <w:tr w:rsidR="00C220BF" w:rsidRPr="008F1CAB" w14:paraId="1DE9B5AB" w14:textId="77777777">
        <w:tc>
          <w:tcPr>
            <w:cnfStyle w:val="001000000000" w:firstRow="0" w:lastRow="0" w:firstColumn="1" w:lastColumn="0" w:oddVBand="0" w:evenVBand="0" w:oddHBand="0" w:evenHBand="0" w:firstRowFirstColumn="0" w:firstRowLastColumn="0" w:lastRowFirstColumn="0" w:lastRowLastColumn="0"/>
            <w:tcW w:w="2484" w:type="dxa"/>
          </w:tcPr>
          <w:p w14:paraId="34D64BFB" w14:textId="77777777" w:rsidR="00C220BF" w:rsidRPr="008F1CAB" w:rsidRDefault="00C220BF">
            <w:r w:rsidRPr="008F1CAB">
              <w:t>Denominator</w:t>
            </w:r>
          </w:p>
        </w:tc>
        <w:tc>
          <w:tcPr>
            <w:tcW w:w="6860" w:type="dxa"/>
          </w:tcPr>
          <w:p w14:paraId="1C2DA398" w14:textId="350F4DAC"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Individuals at least 18 years of age who had a diagnosis of OUD and at least one claim for an OUD medication</w:t>
            </w:r>
            <w:r w:rsidR="00325871">
              <w:t>.</w:t>
            </w:r>
          </w:p>
        </w:tc>
      </w:tr>
      <w:tr w:rsidR="00C220BF" w:rsidRPr="008F1CAB" w14:paraId="7B135ED2" w14:textId="77777777">
        <w:tc>
          <w:tcPr>
            <w:cnfStyle w:val="001000000000" w:firstRow="0" w:lastRow="0" w:firstColumn="1" w:lastColumn="0" w:oddVBand="0" w:evenVBand="0" w:oddHBand="0" w:evenHBand="0" w:firstRowFirstColumn="0" w:firstRowLastColumn="0" w:lastRowFirstColumn="0" w:lastRowLastColumn="0"/>
            <w:tcW w:w="2484" w:type="dxa"/>
          </w:tcPr>
          <w:p w14:paraId="29EB247C" w14:textId="77777777" w:rsidR="00C220BF" w:rsidRPr="008F1CAB" w:rsidRDefault="00C220BF">
            <w:r w:rsidRPr="008F1CAB">
              <w:t>Data Sources</w:t>
            </w:r>
          </w:p>
        </w:tc>
        <w:tc>
          <w:tcPr>
            <w:tcW w:w="6860" w:type="dxa"/>
          </w:tcPr>
          <w:p w14:paraId="3CE367D6"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Medicaid claims/encounters data</w:t>
            </w:r>
          </w:p>
        </w:tc>
      </w:tr>
      <w:tr w:rsidR="00C220BF" w:rsidRPr="008F1CAB" w14:paraId="1CCBCAD1" w14:textId="77777777">
        <w:tc>
          <w:tcPr>
            <w:cnfStyle w:val="001000000000" w:firstRow="0" w:lastRow="0" w:firstColumn="1" w:lastColumn="0" w:oddVBand="0" w:evenVBand="0" w:oddHBand="0" w:evenHBand="0" w:firstRowFirstColumn="0" w:firstRowLastColumn="0" w:lastRowFirstColumn="0" w:lastRowLastColumn="0"/>
            <w:tcW w:w="2484" w:type="dxa"/>
          </w:tcPr>
          <w:p w14:paraId="31299593" w14:textId="77777777" w:rsidR="00C220BF" w:rsidRPr="008F1CAB" w:rsidRDefault="00C220BF">
            <w:r w:rsidRPr="008F1CAB">
              <w:t>National Benchmark</w:t>
            </w:r>
          </w:p>
        </w:tc>
        <w:tc>
          <w:tcPr>
            <w:tcW w:w="6860" w:type="dxa"/>
          </w:tcPr>
          <w:p w14:paraId="235C08D6"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None</w:t>
            </w:r>
          </w:p>
        </w:tc>
      </w:tr>
    </w:tbl>
    <w:p w14:paraId="51307BEE" w14:textId="77777777" w:rsidR="00C220BF" w:rsidRDefault="00C220BF" w:rsidP="00662F94">
      <w:pPr>
        <w:pStyle w:val="NoSpacing"/>
      </w:pPr>
    </w:p>
    <w:tbl>
      <w:tblPr>
        <w:tblStyle w:val="FHCclean10pt"/>
        <w:tblW w:w="0" w:type="auto"/>
        <w:tblLook w:val="04A0" w:firstRow="1" w:lastRow="0" w:firstColumn="1" w:lastColumn="0" w:noHBand="0" w:noVBand="1"/>
      </w:tblPr>
      <w:tblGrid>
        <w:gridCol w:w="2484"/>
        <w:gridCol w:w="6860"/>
      </w:tblGrid>
      <w:tr w:rsidR="00C220BF" w:rsidRPr="008F1CAB" w14:paraId="527A902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4C0F48A7" w14:textId="77777777" w:rsidR="00C220BF" w:rsidRPr="008F1CAB" w:rsidRDefault="00C220BF">
            <w:r w:rsidRPr="00DB3492">
              <w:t>Measure:</w:t>
            </w:r>
          </w:p>
        </w:tc>
        <w:tc>
          <w:tcPr>
            <w:tcW w:w="6860" w:type="dxa"/>
          </w:tcPr>
          <w:p w14:paraId="01631DCA" w14:textId="77777777" w:rsidR="00C220BF" w:rsidRPr="008F1CAB" w:rsidRDefault="00C220BF">
            <w:pPr>
              <w:cnfStyle w:val="100000000000" w:firstRow="1" w:lastRow="0" w:firstColumn="0" w:lastColumn="0" w:oddVBand="0" w:evenVBand="0" w:oddHBand="0" w:evenHBand="0" w:firstRowFirstColumn="0" w:firstRowLastColumn="0" w:lastRowFirstColumn="0" w:lastRowLastColumn="0"/>
            </w:pPr>
            <w:r w:rsidRPr="008F211A">
              <w:t>Follow-Up After Emergency Department Visit for Mental Illness or Alcohol and Other Drug Abuse or Dependence</w:t>
            </w:r>
          </w:p>
        </w:tc>
      </w:tr>
      <w:tr w:rsidR="00C220BF" w:rsidRPr="008F1CAB" w14:paraId="780147D6" w14:textId="77777777">
        <w:tc>
          <w:tcPr>
            <w:cnfStyle w:val="001000000000" w:firstRow="0" w:lastRow="0" w:firstColumn="1" w:lastColumn="0" w:oddVBand="0" w:evenVBand="0" w:oddHBand="0" w:evenHBand="0" w:firstRowFirstColumn="0" w:firstRowLastColumn="0" w:lastRowFirstColumn="0" w:lastRowLastColumn="0"/>
            <w:tcW w:w="2484" w:type="dxa"/>
          </w:tcPr>
          <w:p w14:paraId="42F9ADE5" w14:textId="77777777" w:rsidR="00C220BF" w:rsidRPr="008F1CAB" w:rsidRDefault="00C220BF">
            <w:r w:rsidRPr="00DB3492">
              <w:t>Steward:</w:t>
            </w:r>
          </w:p>
        </w:tc>
        <w:tc>
          <w:tcPr>
            <w:tcW w:w="6860" w:type="dxa"/>
          </w:tcPr>
          <w:p w14:paraId="7F90FB2F"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211A">
              <w:t>National Committee for Quality Assurance (#2605)</w:t>
            </w:r>
          </w:p>
        </w:tc>
      </w:tr>
      <w:tr w:rsidR="00C220BF" w:rsidRPr="008F1CAB" w14:paraId="55376B8F" w14:textId="77777777">
        <w:tc>
          <w:tcPr>
            <w:cnfStyle w:val="001000000000" w:firstRow="0" w:lastRow="0" w:firstColumn="1" w:lastColumn="0" w:oddVBand="0" w:evenVBand="0" w:oddHBand="0" w:evenHBand="0" w:firstRowFirstColumn="0" w:firstRowLastColumn="0" w:lastRowFirstColumn="0" w:lastRowLastColumn="0"/>
            <w:tcW w:w="2484" w:type="dxa"/>
          </w:tcPr>
          <w:p w14:paraId="642DD00E" w14:textId="77777777" w:rsidR="00C220BF" w:rsidRPr="008F1CAB" w:rsidRDefault="00C220BF">
            <w:r w:rsidRPr="00DB3492">
              <w:t>NQF Endorsed:</w:t>
            </w:r>
          </w:p>
        </w:tc>
        <w:tc>
          <w:tcPr>
            <w:tcW w:w="6860" w:type="dxa"/>
          </w:tcPr>
          <w:p w14:paraId="4C9397E8"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Endorsement Removed</w:t>
            </w:r>
          </w:p>
        </w:tc>
      </w:tr>
      <w:tr w:rsidR="00C220BF" w:rsidRPr="008F1CAB" w14:paraId="657F14E7" w14:textId="77777777">
        <w:tc>
          <w:tcPr>
            <w:cnfStyle w:val="001000000000" w:firstRow="0" w:lastRow="0" w:firstColumn="1" w:lastColumn="0" w:oddVBand="0" w:evenVBand="0" w:oddHBand="0" w:evenHBand="0" w:firstRowFirstColumn="0" w:firstRowLastColumn="0" w:lastRowFirstColumn="0" w:lastRowLastColumn="0"/>
            <w:tcW w:w="2484" w:type="dxa"/>
          </w:tcPr>
          <w:p w14:paraId="4A262357" w14:textId="77777777" w:rsidR="00C220BF" w:rsidRPr="008F1CAB" w:rsidRDefault="00C220BF">
            <w:r w:rsidRPr="008F1CAB">
              <w:t>Description</w:t>
            </w:r>
          </w:p>
        </w:tc>
        <w:tc>
          <w:tcPr>
            <w:tcW w:w="6860" w:type="dxa"/>
          </w:tcPr>
          <w:p w14:paraId="3426AB01" w14:textId="49FDB546"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 xml:space="preserve">The percentage of discharges for patients 18 years of age and older who had a visit to the </w:t>
            </w:r>
            <w:r w:rsidR="00781071">
              <w:t>ED</w:t>
            </w:r>
            <w:r w:rsidRPr="008F1CAB">
              <w:t xml:space="preserve"> with a primary diagnosis of mental health or alcohol or other drug dependence during the measurement year AND who had a follow-up visit with any provider with a corresponding primary diagnosis of mental health or alcohol or other drug dependence within 7- and 30-days of discharge.</w:t>
            </w:r>
          </w:p>
          <w:p w14:paraId="4A7B1C81"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Four rates are reported:</w:t>
            </w:r>
          </w:p>
          <w:p w14:paraId="70016437" w14:textId="59AC339E" w:rsidR="00C220BF" w:rsidRPr="008F1CAB"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8F1CAB">
              <w:t xml:space="preserve">The percentage of </w:t>
            </w:r>
            <w:r w:rsidR="00781071">
              <w:t>ED</w:t>
            </w:r>
            <w:r w:rsidRPr="008F1CAB">
              <w:t xml:space="preserve"> visits for mental health for which the patient received follow-up within </w:t>
            </w:r>
            <w:r w:rsidR="00EA4CEB">
              <w:t>seven</w:t>
            </w:r>
            <w:r w:rsidR="00EA4CEB" w:rsidRPr="008F1CAB">
              <w:t xml:space="preserve"> </w:t>
            </w:r>
            <w:r w:rsidRPr="008F1CAB">
              <w:t>days of discharge.</w:t>
            </w:r>
          </w:p>
          <w:p w14:paraId="006E8CA4" w14:textId="3E452803" w:rsidR="00C220BF" w:rsidRPr="008F1CAB"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8F1CAB">
              <w:t xml:space="preserve">The percentage of </w:t>
            </w:r>
            <w:r w:rsidR="00781071">
              <w:t>ED</w:t>
            </w:r>
            <w:r w:rsidRPr="008F1CAB">
              <w:t xml:space="preserve"> visits for mental health for which the patient received follow-up within 30 days of discharge.</w:t>
            </w:r>
          </w:p>
          <w:p w14:paraId="2C163065" w14:textId="34B10E28" w:rsidR="00C220BF" w:rsidRPr="008F1CAB"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8F1CAB">
              <w:t xml:space="preserve">The percentage of </w:t>
            </w:r>
            <w:r w:rsidR="00781071">
              <w:t>ED</w:t>
            </w:r>
            <w:r w:rsidRPr="008F1CAB">
              <w:t xml:space="preserve"> visits for alcohol or other drug dependence for which the patient received follow-up within </w:t>
            </w:r>
            <w:r w:rsidR="00EA4CEB">
              <w:t>seven</w:t>
            </w:r>
            <w:r w:rsidR="00EA4CEB" w:rsidRPr="008F1CAB">
              <w:t xml:space="preserve"> </w:t>
            </w:r>
            <w:r w:rsidRPr="008F1CAB">
              <w:t>days of discharge.</w:t>
            </w:r>
          </w:p>
          <w:p w14:paraId="6A4B4ABD" w14:textId="0778F09F" w:rsidR="00C220BF" w:rsidRPr="008F1CAB"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8F1CAB">
              <w:t xml:space="preserve">The percentage of </w:t>
            </w:r>
            <w:r w:rsidR="00781071">
              <w:t>ED</w:t>
            </w:r>
            <w:r w:rsidRPr="008F1CAB">
              <w:t xml:space="preserve"> visits for alcohol or other drug dependence for which the patient received follow-up within 30 days of discharge</w:t>
            </w:r>
          </w:p>
        </w:tc>
      </w:tr>
      <w:tr w:rsidR="00C220BF" w:rsidRPr="008F1CAB" w14:paraId="735BA6B8" w14:textId="77777777">
        <w:tc>
          <w:tcPr>
            <w:cnfStyle w:val="001000000000" w:firstRow="0" w:lastRow="0" w:firstColumn="1" w:lastColumn="0" w:oddVBand="0" w:evenVBand="0" w:oddHBand="0" w:evenHBand="0" w:firstRowFirstColumn="0" w:firstRowLastColumn="0" w:lastRowFirstColumn="0" w:lastRowLastColumn="0"/>
            <w:tcW w:w="2484" w:type="dxa"/>
          </w:tcPr>
          <w:p w14:paraId="5751DB27" w14:textId="77777777" w:rsidR="00C220BF" w:rsidRPr="008F1CAB" w:rsidRDefault="00C220BF">
            <w:r w:rsidRPr="008F1CAB">
              <w:t>Numerator</w:t>
            </w:r>
          </w:p>
        </w:tc>
        <w:tc>
          <w:tcPr>
            <w:tcW w:w="6860" w:type="dxa"/>
          </w:tcPr>
          <w:p w14:paraId="7A513CF5"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The numerator for each denominator population consists of two rates:</w:t>
            </w:r>
          </w:p>
          <w:p w14:paraId="199C8262"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Mental Health</w:t>
            </w:r>
          </w:p>
          <w:p w14:paraId="2442BB5A" w14:textId="1BE54130" w:rsidR="00C220BF" w:rsidRPr="008F1CAB"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8F1CAB">
              <w:t>Rate 1: An outpatient visit, intensive outpatient encounter</w:t>
            </w:r>
            <w:r w:rsidR="00EA4CEB">
              <w:t>,</w:t>
            </w:r>
            <w:r w:rsidRPr="008F1CAB">
              <w:t xml:space="preserve"> or partial hospitalization with any provider with a primary diagnosis of mental health within </w:t>
            </w:r>
            <w:r w:rsidR="00EA4CEB">
              <w:t>seven</w:t>
            </w:r>
            <w:r w:rsidR="00EA4CEB" w:rsidRPr="008F1CAB">
              <w:t xml:space="preserve"> </w:t>
            </w:r>
            <w:r w:rsidRPr="008F1CAB">
              <w:t xml:space="preserve">days after </w:t>
            </w:r>
            <w:r w:rsidR="00781071">
              <w:t>ED</w:t>
            </w:r>
            <w:r w:rsidRPr="008F1CAB">
              <w:t xml:space="preserve"> discharge</w:t>
            </w:r>
            <w:r w:rsidR="00EA4CEB">
              <w:t>.</w:t>
            </w:r>
          </w:p>
          <w:p w14:paraId="2F1A25B1" w14:textId="4502818A" w:rsidR="00C220BF" w:rsidRPr="008F1CAB"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8F1CAB">
              <w:t>Rate 2: An outpatient visit, intensive outpatient encounter</w:t>
            </w:r>
            <w:r w:rsidR="00EA4CEB">
              <w:t>,</w:t>
            </w:r>
            <w:r w:rsidRPr="008F1CAB">
              <w:t xml:space="preserve"> or partial hospitalization with any provider with a primary diagnosis of mental health within 30 days after </w:t>
            </w:r>
            <w:r w:rsidR="00781071">
              <w:t>ED</w:t>
            </w:r>
            <w:r w:rsidRPr="008F1CAB">
              <w:t xml:space="preserve"> discharge</w:t>
            </w:r>
            <w:r w:rsidR="00EA4CEB">
              <w:t>.</w:t>
            </w:r>
          </w:p>
          <w:p w14:paraId="1924C168"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Alcohol or Other Drug Dependence</w:t>
            </w:r>
          </w:p>
          <w:p w14:paraId="321C7EE9" w14:textId="36EC3E26" w:rsidR="00C220BF" w:rsidRPr="008F1CAB"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8F1CAB">
              <w:t>Rate 1: An outpatient visit, intensive outpatient encounter</w:t>
            </w:r>
            <w:r w:rsidR="00EA4CEB">
              <w:t>,</w:t>
            </w:r>
            <w:r w:rsidRPr="008F1CAB">
              <w:t xml:space="preserve"> or partial hospitalization with any provider with a primary diagnosis of alcohol or other drug dependence within </w:t>
            </w:r>
            <w:r w:rsidR="00EA4CEB">
              <w:t>seven</w:t>
            </w:r>
            <w:r w:rsidR="00EA4CEB" w:rsidRPr="008F1CAB">
              <w:t xml:space="preserve"> </w:t>
            </w:r>
            <w:r w:rsidRPr="008F1CAB">
              <w:t xml:space="preserve">days after </w:t>
            </w:r>
            <w:r w:rsidR="00781071">
              <w:t>ED</w:t>
            </w:r>
            <w:r w:rsidRPr="008F1CAB">
              <w:t xml:space="preserve"> discharge</w:t>
            </w:r>
            <w:r w:rsidR="00EA4CEB">
              <w:t>.</w:t>
            </w:r>
          </w:p>
          <w:p w14:paraId="0A3D791B" w14:textId="20190429" w:rsidR="00C220BF" w:rsidRPr="008F1CAB"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8F1CAB">
              <w:t>Rate 2: An outpatient visit, intensive outpatient encounter</w:t>
            </w:r>
            <w:r w:rsidR="00EA4CEB">
              <w:t>,</w:t>
            </w:r>
            <w:r w:rsidRPr="008F1CAB">
              <w:t xml:space="preserve"> or partial hospitalization with any provider with a primary diagnosis of alcohol or other drug dependence within 30 days after </w:t>
            </w:r>
            <w:r w:rsidR="00781071">
              <w:t>ED</w:t>
            </w:r>
            <w:r w:rsidRPr="008F1CAB">
              <w:t xml:space="preserve"> discharge</w:t>
            </w:r>
            <w:r w:rsidR="00EA4CEB">
              <w:t>.</w:t>
            </w:r>
          </w:p>
        </w:tc>
      </w:tr>
      <w:tr w:rsidR="00C220BF" w:rsidRPr="008F1CAB" w14:paraId="6B09F432" w14:textId="77777777">
        <w:tc>
          <w:tcPr>
            <w:cnfStyle w:val="001000000000" w:firstRow="0" w:lastRow="0" w:firstColumn="1" w:lastColumn="0" w:oddVBand="0" w:evenVBand="0" w:oddHBand="0" w:evenHBand="0" w:firstRowFirstColumn="0" w:firstRowLastColumn="0" w:lastRowFirstColumn="0" w:lastRowLastColumn="0"/>
            <w:tcW w:w="2484" w:type="dxa"/>
          </w:tcPr>
          <w:p w14:paraId="1E17DD9A" w14:textId="77777777" w:rsidR="00C220BF" w:rsidRPr="008F1CAB" w:rsidRDefault="00C220BF">
            <w:r w:rsidRPr="008F1CAB">
              <w:t>Denominator</w:t>
            </w:r>
          </w:p>
        </w:tc>
        <w:tc>
          <w:tcPr>
            <w:tcW w:w="6860" w:type="dxa"/>
          </w:tcPr>
          <w:p w14:paraId="149D210F" w14:textId="7AC14FE3"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 xml:space="preserve">Patients who were treated and discharged from an </w:t>
            </w:r>
            <w:r w:rsidR="00781071">
              <w:t>ED</w:t>
            </w:r>
            <w:r w:rsidRPr="008F1CAB">
              <w:t xml:space="preserve"> with a primary diagnosis of mental health or alcohol or other drug dependence on or between January 1 and December 1 of the measurement year.</w:t>
            </w:r>
          </w:p>
        </w:tc>
      </w:tr>
      <w:tr w:rsidR="00C220BF" w:rsidRPr="008F1CAB" w14:paraId="4927CEBB" w14:textId="77777777">
        <w:tc>
          <w:tcPr>
            <w:cnfStyle w:val="001000000000" w:firstRow="0" w:lastRow="0" w:firstColumn="1" w:lastColumn="0" w:oddVBand="0" w:evenVBand="0" w:oddHBand="0" w:evenHBand="0" w:firstRowFirstColumn="0" w:firstRowLastColumn="0" w:lastRowFirstColumn="0" w:lastRowLastColumn="0"/>
            <w:tcW w:w="2484" w:type="dxa"/>
          </w:tcPr>
          <w:p w14:paraId="77EA0165" w14:textId="77777777" w:rsidR="00C220BF" w:rsidRPr="008F1CAB" w:rsidRDefault="00C220BF">
            <w:r w:rsidRPr="008F1CAB">
              <w:t>Data Sources</w:t>
            </w:r>
          </w:p>
        </w:tc>
        <w:tc>
          <w:tcPr>
            <w:tcW w:w="6860" w:type="dxa"/>
          </w:tcPr>
          <w:p w14:paraId="67447ACC"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Medicaid claims/encounters data</w:t>
            </w:r>
          </w:p>
        </w:tc>
      </w:tr>
      <w:tr w:rsidR="00C220BF" w:rsidRPr="008F1CAB" w14:paraId="2668F6C5" w14:textId="77777777">
        <w:tc>
          <w:tcPr>
            <w:cnfStyle w:val="001000000000" w:firstRow="0" w:lastRow="0" w:firstColumn="1" w:lastColumn="0" w:oddVBand="0" w:evenVBand="0" w:oddHBand="0" w:evenHBand="0" w:firstRowFirstColumn="0" w:firstRowLastColumn="0" w:lastRowFirstColumn="0" w:lastRowLastColumn="0"/>
            <w:tcW w:w="2484" w:type="dxa"/>
          </w:tcPr>
          <w:p w14:paraId="1732C7FC" w14:textId="77777777" w:rsidR="00C220BF" w:rsidRPr="008F1CAB" w:rsidRDefault="00C220BF">
            <w:r w:rsidRPr="008F1CAB">
              <w:t>National Benchmark</w:t>
            </w:r>
          </w:p>
        </w:tc>
        <w:tc>
          <w:tcPr>
            <w:tcW w:w="6860" w:type="dxa"/>
          </w:tcPr>
          <w:p w14:paraId="122EBF2E"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 xml:space="preserve">None </w:t>
            </w:r>
          </w:p>
        </w:tc>
      </w:tr>
    </w:tbl>
    <w:p w14:paraId="23CF99BE" w14:textId="77777777" w:rsidR="00C220BF" w:rsidRDefault="00C220BF" w:rsidP="00662F94">
      <w:pPr>
        <w:pStyle w:val="NoSpacing"/>
      </w:pPr>
    </w:p>
    <w:tbl>
      <w:tblPr>
        <w:tblStyle w:val="FHCclean10pt"/>
        <w:tblW w:w="0" w:type="auto"/>
        <w:tblLook w:val="04A0" w:firstRow="1" w:lastRow="0" w:firstColumn="1" w:lastColumn="0" w:noHBand="0" w:noVBand="1"/>
      </w:tblPr>
      <w:tblGrid>
        <w:gridCol w:w="2484"/>
        <w:gridCol w:w="6860"/>
      </w:tblGrid>
      <w:tr w:rsidR="00C220BF" w:rsidRPr="008F1CAB" w14:paraId="30080E3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6E49CE02" w14:textId="77777777" w:rsidR="00C220BF" w:rsidRPr="008F1CAB" w:rsidRDefault="00C220BF">
            <w:r w:rsidRPr="00DB3492">
              <w:t>Measure:</w:t>
            </w:r>
          </w:p>
        </w:tc>
        <w:tc>
          <w:tcPr>
            <w:tcW w:w="6860" w:type="dxa"/>
          </w:tcPr>
          <w:p w14:paraId="20712794" w14:textId="77777777" w:rsidR="00C220BF" w:rsidRPr="008F1CAB" w:rsidRDefault="00C220BF">
            <w:pPr>
              <w:cnfStyle w:val="100000000000" w:firstRow="1" w:lastRow="0" w:firstColumn="0" w:lastColumn="0" w:oddVBand="0" w:evenVBand="0" w:oddHBand="0" w:evenHBand="0" w:firstRowFirstColumn="0" w:firstRowLastColumn="0" w:lastRowFirstColumn="0" w:lastRowLastColumn="0"/>
            </w:pPr>
            <w:bookmarkStart w:id="284" w:name="_Hlk151294423"/>
            <w:r w:rsidRPr="000036C8">
              <w:t>Emergency Department Use for any SUD-related Diagnosis and OUD Diagnosis</w:t>
            </w:r>
            <w:bookmarkEnd w:id="284"/>
          </w:p>
        </w:tc>
      </w:tr>
      <w:tr w:rsidR="00C220BF" w:rsidRPr="008F1CAB" w14:paraId="64C00E15" w14:textId="77777777">
        <w:tc>
          <w:tcPr>
            <w:cnfStyle w:val="001000000000" w:firstRow="0" w:lastRow="0" w:firstColumn="1" w:lastColumn="0" w:oddVBand="0" w:evenVBand="0" w:oddHBand="0" w:evenHBand="0" w:firstRowFirstColumn="0" w:firstRowLastColumn="0" w:lastRowFirstColumn="0" w:lastRowLastColumn="0"/>
            <w:tcW w:w="2484" w:type="dxa"/>
          </w:tcPr>
          <w:p w14:paraId="401534D5" w14:textId="77777777" w:rsidR="00C220BF" w:rsidRPr="008F1CAB" w:rsidRDefault="00C220BF">
            <w:r w:rsidRPr="00891A54">
              <w:t>Steward:</w:t>
            </w:r>
          </w:p>
        </w:tc>
        <w:tc>
          <w:tcPr>
            <w:tcW w:w="6860" w:type="dxa"/>
          </w:tcPr>
          <w:p w14:paraId="0898B0B7" w14:textId="347EC567" w:rsidR="00C220BF" w:rsidRPr="008F1CAB" w:rsidRDefault="00891A54">
            <w:pPr>
              <w:cnfStyle w:val="000000000000" w:firstRow="0" w:lastRow="0" w:firstColumn="0" w:lastColumn="0" w:oddVBand="0" w:evenVBand="0" w:oddHBand="0" w:evenHBand="0" w:firstRowFirstColumn="0" w:firstRowLastColumn="0" w:lastRowFirstColumn="0" w:lastRowLastColumn="0"/>
            </w:pPr>
            <w:r>
              <w:t>None</w:t>
            </w:r>
          </w:p>
        </w:tc>
      </w:tr>
      <w:tr w:rsidR="00C220BF" w:rsidRPr="008F1CAB" w14:paraId="2AE01E51" w14:textId="77777777">
        <w:tc>
          <w:tcPr>
            <w:cnfStyle w:val="001000000000" w:firstRow="0" w:lastRow="0" w:firstColumn="1" w:lastColumn="0" w:oddVBand="0" w:evenVBand="0" w:oddHBand="0" w:evenHBand="0" w:firstRowFirstColumn="0" w:firstRowLastColumn="0" w:lastRowFirstColumn="0" w:lastRowLastColumn="0"/>
            <w:tcW w:w="2484" w:type="dxa"/>
          </w:tcPr>
          <w:p w14:paraId="36E91EE9" w14:textId="77777777" w:rsidR="00C220BF" w:rsidRPr="008F1CAB" w:rsidRDefault="00C220BF">
            <w:r w:rsidRPr="00DB3492">
              <w:t>NQF Endorsed:</w:t>
            </w:r>
          </w:p>
        </w:tc>
        <w:tc>
          <w:tcPr>
            <w:tcW w:w="6860" w:type="dxa"/>
          </w:tcPr>
          <w:p w14:paraId="28539DF9"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No</w:t>
            </w:r>
          </w:p>
        </w:tc>
      </w:tr>
      <w:tr w:rsidR="00C220BF" w:rsidRPr="008F1CAB" w14:paraId="10CDE363" w14:textId="77777777">
        <w:tc>
          <w:tcPr>
            <w:cnfStyle w:val="001000000000" w:firstRow="0" w:lastRow="0" w:firstColumn="1" w:lastColumn="0" w:oddVBand="0" w:evenVBand="0" w:oddHBand="0" w:evenHBand="0" w:firstRowFirstColumn="0" w:firstRowLastColumn="0" w:lastRowFirstColumn="0" w:lastRowLastColumn="0"/>
            <w:tcW w:w="2484" w:type="dxa"/>
          </w:tcPr>
          <w:p w14:paraId="72F7E07D" w14:textId="77777777" w:rsidR="00C220BF" w:rsidRPr="008F1CAB" w:rsidRDefault="00C220BF">
            <w:r w:rsidRPr="008F1CAB">
              <w:lastRenderedPageBreak/>
              <w:t>Description</w:t>
            </w:r>
          </w:p>
        </w:tc>
        <w:tc>
          <w:tcPr>
            <w:tcW w:w="6860" w:type="dxa"/>
          </w:tcPr>
          <w:p w14:paraId="2A6C1E29" w14:textId="43A0623E"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ED visits for SUD-related diagnoses and for OUD/1,000 member months for SUD-related and OUD diagnoses</w:t>
            </w:r>
            <w:r w:rsidR="00782BE9">
              <w:t>.</w:t>
            </w:r>
          </w:p>
        </w:tc>
      </w:tr>
      <w:tr w:rsidR="00C220BF" w:rsidRPr="008F1CAB" w14:paraId="207BEFA0" w14:textId="77777777">
        <w:tc>
          <w:tcPr>
            <w:cnfStyle w:val="001000000000" w:firstRow="0" w:lastRow="0" w:firstColumn="1" w:lastColumn="0" w:oddVBand="0" w:evenVBand="0" w:oddHBand="0" w:evenHBand="0" w:firstRowFirstColumn="0" w:firstRowLastColumn="0" w:lastRowFirstColumn="0" w:lastRowLastColumn="0"/>
            <w:tcW w:w="2484" w:type="dxa"/>
          </w:tcPr>
          <w:p w14:paraId="4599144C" w14:textId="77777777" w:rsidR="00C220BF" w:rsidRPr="008F1CAB" w:rsidRDefault="00C220BF">
            <w:r w:rsidRPr="008F1CAB">
              <w:t>Numerator</w:t>
            </w:r>
          </w:p>
        </w:tc>
        <w:tc>
          <w:tcPr>
            <w:tcW w:w="6860" w:type="dxa"/>
          </w:tcPr>
          <w:p w14:paraId="1CAC7E74" w14:textId="3B07AD0E"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Total number of ED visits for SUD-related and OUD diagnoses</w:t>
            </w:r>
            <w:r w:rsidR="00782BE9">
              <w:t>.</w:t>
            </w:r>
          </w:p>
        </w:tc>
      </w:tr>
      <w:tr w:rsidR="00C220BF" w:rsidRPr="008F1CAB" w14:paraId="17FD9BD4" w14:textId="77777777">
        <w:tc>
          <w:tcPr>
            <w:cnfStyle w:val="001000000000" w:firstRow="0" w:lastRow="0" w:firstColumn="1" w:lastColumn="0" w:oddVBand="0" w:evenVBand="0" w:oddHBand="0" w:evenHBand="0" w:firstRowFirstColumn="0" w:firstRowLastColumn="0" w:lastRowFirstColumn="0" w:lastRowLastColumn="0"/>
            <w:tcW w:w="2484" w:type="dxa"/>
          </w:tcPr>
          <w:p w14:paraId="4DA48B8A" w14:textId="77777777" w:rsidR="00C220BF" w:rsidRPr="008F1CAB" w:rsidRDefault="00C220BF">
            <w:r w:rsidRPr="008F1CAB">
              <w:t>Denominator</w:t>
            </w:r>
          </w:p>
        </w:tc>
        <w:tc>
          <w:tcPr>
            <w:tcW w:w="6860" w:type="dxa"/>
          </w:tcPr>
          <w:p w14:paraId="3C8A12BC" w14:textId="5626D16E"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1,000-member months among members with SUD/OUD diagnosis</w:t>
            </w:r>
            <w:r w:rsidR="00782BE9">
              <w:t>.</w:t>
            </w:r>
          </w:p>
        </w:tc>
      </w:tr>
      <w:tr w:rsidR="00C220BF" w:rsidRPr="008F1CAB" w14:paraId="5A1643FD" w14:textId="77777777">
        <w:tc>
          <w:tcPr>
            <w:cnfStyle w:val="001000000000" w:firstRow="0" w:lastRow="0" w:firstColumn="1" w:lastColumn="0" w:oddVBand="0" w:evenVBand="0" w:oddHBand="0" w:evenHBand="0" w:firstRowFirstColumn="0" w:firstRowLastColumn="0" w:lastRowFirstColumn="0" w:lastRowLastColumn="0"/>
            <w:tcW w:w="2484" w:type="dxa"/>
          </w:tcPr>
          <w:p w14:paraId="774FCC35" w14:textId="77777777" w:rsidR="00C220BF" w:rsidRPr="008F1CAB" w:rsidRDefault="00C220BF">
            <w:r w:rsidRPr="008F1CAB">
              <w:t>Data Sources</w:t>
            </w:r>
          </w:p>
        </w:tc>
        <w:tc>
          <w:tcPr>
            <w:tcW w:w="6860" w:type="dxa"/>
          </w:tcPr>
          <w:p w14:paraId="4B5A164C"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MMIS claims/encounter data</w:t>
            </w:r>
          </w:p>
        </w:tc>
      </w:tr>
      <w:tr w:rsidR="00C220BF" w:rsidRPr="008F1CAB" w14:paraId="52D2F3F6" w14:textId="77777777">
        <w:tc>
          <w:tcPr>
            <w:cnfStyle w:val="001000000000" w:firstRow="0" w:lastRow="0" w:firstColumn="1" w:lastColumn="0" w:oddVBand="0" w:evenVBand="0" w:oddHBand="0" w:evenHBand="0" w:firstRowFirstColumn="0" w:firstRowLastColumn="0" w:lastRowFirstColumn="0" w:lastRowLastColumn="0"/>
            <w:tcW w:w="2484" w:type="dxa"/>
          </w:tcPr>
          <w:p w14:paraId="233B2DB5" w14:textId="77777777" w:rsidR="00C220BF" w:rsidRPr="008F1CAB" w:rsidRDefault="00C220BF">
            <w:r w:rsidRPr="008F1CAB">
              <w:t>National Benchmark</w:t>
            </w:r>
          </w:p>
        </w:tc>
        <w:tc>
          <w:tcPr>
            <w:tcW w:w="6860" w:type="dxa"/>
          </w:tcPr>
          <w:p w14:paraId="305548B4"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None</w:t>
            </w:r>
          </w:p>
        </w:tc>
      </w:tr>
    </w:tbl>
    <w:p w14:paraId="01E604A7" w14:textId="77777777" w:rsidR="00C220BF" w:rsidRDefault="00C220BF" w:rsidP="00662F94">
      <w:pPr>
        <w:pStyle w:val="NoSpacing"/>
      </w:pPr>
    </w:p>
    <w:tbl>
      <w:tblPr>
        <w:tblStyle w:val="FHCclean10pt"/>
        <w:tblW w:w="0" w:type="auto"/>
        <w:tblLook w:val="04A0" w:firstRow="1" w:lastRow="0" w:firstColumn="1" w:lastColumn="0" w:noHBand="0" w:noVBand="1"/>
      </w:tblPr>
      <w:tblGrid>
        <w:gridCol w:w="2484"/>
        <w:gridCol w:w="6860"/>
      </w:tblGrid>
      <w:tr w:rsidR="00C220BF" w:rsidRPr="008F1CAB" w14:paraId="2B96A31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704D3DCD" w14:textId="77777777" w:rsidR="00C220BF" w:rsidRPr="008F1CAB" w:rsidRDefault="00C220BF">
            <w:r w:rsidRPr="00DB3492">
              <w:t>Measure:</w:t>
            </w:r>
          </w:p>
        </w:tc>
        <w:tc>
          <w:tcPr>
            <w:tcW w:w="6860" w:type="dxa"/>
          </w:tcPr>
          <w:p w14:paraId="5E48D816" w14:textId="77777777" w:rsidR="00C220BF" w:rsidRPr="008F1CAB" w:rsidRDefault="00C220BF">
            <w:pPr>
              <w:cnfStyle w:val="100000000000" w:firstRow="1" w:lastRow="0" w:firstColumn="0" w:lastColumn="0" w:oddVBand="0" w:evenVBand="0" w:oddHBand="0" w:evenHBand="0" w:firstRowFirstColumn="0" w:firstRowLastColumn="0" w:lastRowFirstColumn="0" w:lastRowLastColumn="0"/>
            </w:pPr>
            <w:bookmarkStart w:id="285" w:name="_Hlk151294381"/>
            <w:r w:rsidRPr="000036C8">
              <w:t>Outpatient SUD Services Usage per Month</w:t>
            </w:r>
            <w:bookmarkEnd w:id="285"/>
          </w:p>
        </w:tc>
      </w:tr>
      <w:tr w:rsidR="00C220BF" w:rsidRPr="008F1CAB" w14:paraId="54D9A6F4" w14:textId="77777777">
        <w:tc>
          <w:tcPr>
            <w:cnfStyle w:val="001000000000" w:firstRow="0" w:lastRow="0" w:firstColumn="1" w:lastColumn="0" w:oddVBand="0" w:evenVBand="0" w:oddHBand="0" w:evenHBand="0" w:firstRowFirstColumn="0" w:firstRowLastColumn="0" w:lastRowFirstColumn="0" w:lastRowLastColumn="0"/>
            <w:tcW w:w="2484" w:type="dxa"/>
          </w:tcPr>
          <w:p w14:paraId="4CFAFCFF" w14:textId="77777777" w:rsidR="00C220BF" w:rsidRPr="00891A54" w:rsidRDefault="00C220BF">
            <w:r w:rsidRPr="00891A54">
              <w:t>Steward:</w:t>
            </w:r>
          </w:p>
        </w:tc>
        <w:tc>
          <w:tcPr>
            <w:tcW w:w="6860" w:type="dxa"/>
          </w:tcPr>
          <w:p w14:paraId="53C8AE75" w14:textId="4683D5A3" w:rsidR="00C220BF" w:rsidRPr="008F1CAB" w:rsidRDefault="00891A54">
            <w:pPr>
              <w:cnfStyle w:val="000000000000" w:firstRow="0" w:lastRow="0" w:firstColumn="0" w:lastColumn="0" w:oddVBand="0" w:evenVBand="0" w:oddHBand="0" w:evenHBand="0" w:firstRowFirstColumn="0" w:firstRowLastColumn="0" w:lastRowFirstColumn="0" w:lastRowLastColumn="0"/>
            </w:pPr>
            <w:r>
              <w:t>None</w:t>
            </w:r>
          </w:p>
        </w:tc>
      </w:tr>
      <w:tr w:rsidR="00C220BF" w:rsidRPr="008F1CAB" w14:paraId="311B0CDC" w14:textId="77777777">
        <w:tc>
          <w:tcPr>
            <w:cnfStyle w:val="001000000000" w:firstRow="0" w:lastRow="0" w:firstColumn="1" w:lastColumn="0" w:oddVBand="0" w:evenVBand="0" w:oddHBand="0" w:evenHBand="0" w:firstRowFirstColumn="0" w:firstRowLastColumn="0" w:lastRowFirstColumn="0" w:lastRowLastColumn="0"/>
            <w:tcW w:w="2484" w:type="dxa"/>
          </w:tcPr>
          <w:p w14:paraId="3CE6C06C" w14:textId="77777777" w:rsidR="00C220BF" w:rsidRPr="008F1CAB" w:rsidRDefault="00C220BF">
            <w:r w:rsidRPr="00DB3492">
              <w:t>NQF Endorsed:</w:t>
            </w:r>
          </w:p>
        </w:tc>
        <w:tc>
          <w:tcPr>
            <w:tcW w:w="6860" w:type="dxa"/>
          </w:tcPr>
          <w:p w14:paraId="7B70CAA5"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No</w:t>
            </w:r>
          </w:p>
        </w:tc>
      </w:tr>
      <w:tr w:rsidR="00C220BF" w:rsidRPr="008F1CAB" w14:paraId="0F66B1FF" w14:textId="77777777">
        <w:tc>
          <w:tcPr>
            <w:cnfStyle w:val="001000000000" w:firstRow="0" w:lastRow="0" w:firstColumn="1" w:lastColumn="0" w:oddVBand="0" w:evenVBand="0" w:oddHBand="0" w:evenHBand="0" w:firstRowFirstColumn="0" w:firstRowLastColumn="0" w:lastRowFirstColumn="0" w:lastRowLastColumn="0"/>
            <w:tcW w:w="2484" w:type="dxa"/>
          </w:tcPr>
          <w:p w14:paraId="75C92391" w14:textId="77777777" w:rsidR="00C220BF" w:rsidRPr="008F1CAB" w:rsidRDefault="00C220BF">
            <w:r w:rsidRPr="008F1CAB">
              <w:t>Description</w:t>
            </w:r>
          </w:p>
        </w:tc>
        <w:tc>
          <w:tcPr>
            <w:tcW w:w="6860" w:type="dxa"/>
          </w:tcPr>
          <w:p w14:paraId="4066751A" w14:textId="6522C41A"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 xml:space="preserve">Percentage of members with any SUD/OUD diagnosis who used the following per month: </w:t>
            </w:r>
          </w:p>
          <w:p w14:paraId="35A73100" w14:textId="77777777" w:rsidR="00C220BF" w:rsidRPr="008F1CAB"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8F1CAB">
              <w:t xml:space="preserve">Outpatient SUD services </w:t>
            </w:r>
          </w:p>
          <w:p w14:paraId="6A0F9C92" w14:textId="77777777" w:rsidR="00C220BF" w:rsidRPr="008F1CAB"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8F1CAB">
              <w:t>Intensive outpatient services</w:t>
            </w:r>
          </w:p>
          <w:p w14:paraId="73F6897E" w14:textId="01CA1767" w:rsidR="00C220BF" w:rsidRPr="008F1CAB"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8F1CAB">
              <w:t>Medication</w:t>
            </w:r>
            <w:r w:rsidR="00782BE9">
              <w:t>-</w:t>
            </w:r>
            <w:r w:rsidRPr="008F1CAB">
              <w:t xml:space="preserve">assisted treatment for SUD </w:t>
            </w:r>
          </w:p>
          <w:p w14:paraId="54059BA9" w14:textId="670BD57D" w:rsidR="00C220BF" w:rsidRPr="008F1CAB"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8F1CAB">
              <w:t>Residential treatment (ASAM Level 3.1), including average length of stay</w:t>
            </w:r>
          </w:p>
          <w:p w14:paraId="76318A04" w14:textId="77777777" w:rsidR="00C220BF" w:rsidRPr="008F1CAB"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8F1CAB">
              <w:t>ASAM level 3.3</w:t>
            </w:r>
          </w:p>
          <w:p w14:paraId="6588C3AC" w14:textId="77777777" w:rsidR="00C220BF" w:rsidRPr="008F1CAB"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8F1CAB">
              <w:t>Clinical stabilization services (ASAM Level 3.5)</w:t>
            </w:r>
          </w:p>
          <w:p w14:paraId="4AC78004" w14:textId="77777777" w:rsidR="00C220BF" w:rsidRPr="008F1CAB"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8F1CAB">
              <w:t>Acute Treatment Services (ASAM Level 3.7)</w:t>
            </w:r>
          </w:p>
          <w:p w14:paraId="6286EDD2" w14:textId="77777777" w:rsidR="00C220BF" w:rsidRPr="008F1CAB"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8F1CAB">
              <w:t xml:space="preserve">Inpatient Withdrawal Management </w:t>
            </w:r>
          </w:p>
          <w:p w14:paraId="6D5E7F5B" w14:textId="77777777" w:rsidR="00C220BF" w:rsidRPr="008F1CAB"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8F1CAB">
              <w:t>Outpatient detox</w:t>
            </w:r>
          </w:p>
          <w:p w14:paraId="5D48BFBE" w14:textId="77777777" w:rsidR="00C220BF" w:rsidRPr="008F1CAB"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8F1CAB">
              <w:t>Recovery Coach</w:t>
            </w:r>
          </w:p>
          <w:p w14:paraId="4AF0B543" w14:textId="77777777" w:rsidR="00C220BF" w:rsidRPr="008F1CAB"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8F1CAB">
              <w:t>Recovery Support Navigator</w:t>
            </w:r>
          </w:p>
        </w:tc>
      </w:tr>
      <w:tr w:rsidR="00C220BF" w:rsidRPr="008F1CAB" w14:paraId="551DF82C" w14:textId="77777777">
        <w:tc>
          <w:tcPr>
            <w:cnfStyle w:val="001000000000" w:firstRow="0" w:lastRow="0" w:firstColumn="1" w:lastColumn="0" w:oddVBand="0" w:evenVBand="0" w:oddHBand="0" w:evenHBand="0" w:firstRowFirstColumn="0" w:firstRowLastColumn="0" w:lastRowFirstColumn="0" w:lastRowLastColumn="0"/>
            <w:tcW w:w="2484" w:type="dxa"/>
          </w:tcPr>
          <w:p w14:paraId="71C73144" w14:textId="77777777" w:rsidR="00C220BF" w:rsidRPr="008F1CAB" w:rsidRDefault="00C220BF">
            <w:r w:rsidRPr="008F1CAB">
              <w:t>Numerator</w:t>
            </w:r>
          </w:p>
        </w:tc>
        <w:tc>
          <w:tcPr>
            <w:tcW w:w="6860" w:type="dxa"/>
          </w:tcPr>
          <w:p w14:paraId="01B9EF4C" w14:textId="49479722"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Total number of members with any SUD/OUD diagnosis who used any of the listed services per month</w:t>
            </w:r>
            <w:r w:rsidR="00782BE9">
              <w:t>.</w:t>
            </w:r>
          </w:p>
        </w:tc>
      </w:tr>
      <w:tr w:rsidR="00C220BF" w:rsidRPr="008F1CAB" w14:paraId="46435C72" w14:textId="77777777">
        <w:tc>
          <w:tcPr>
            <w:cnfStyle w:val="001000000000" w:firstRow="0" w:lastRow="0" w:firstColumn="1" w:lastColumn="0" w:oddVBand="0" w:evenVBand="0" w:oddHBand="0" w:evenHBand="0" w:firstRowFirstColumn="0" w:firstRowLastColumn="0" w:lastRowFirstColumn="0" w:lastRowLastColumn="0"/>
            <w:tcW w:w="2484" w:type="dxa"/>
          </w:tcPr>
          <w:p w14:paraId="79C6875A" w14:textId="77777777" w:rsidR="00C220BF" w:rsidRPr="008F1CAB" w:rsidRDefault="00C220BF">
            <w:r w:rsidRPr="008F1CAB">
              <w:t>Denominator</w:t>
            </w:r>
          </w:p>
        </w:tc>
        <w:tc>
          <w:tcPr>
            <w:tcW w:w="6860" w:type="dxa"/>
          </w:tcPr>
          <w:p w14:paraId="50437098" w14:textId="12202475"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Total number of members with SUD/OUD diagnosis</w:t>
            </w:r>
            <w:r w:rsidR="00782BE9">
              <w:t>.</w:t>
            </w:r>
          </w:p>
        </w:tc>
      </w:tr>
      <w:tr w:rsidR="00C220BF" w:rsidRPr="008F1CAB" w14:paraId="457E27B7" w14:textId="77777777">
        <w:tc>
          <w:tcPr>
            <w:cnfStyle w:val="001000000000" w:firstRow="0" w:lastRow="0" w:firstColumn="1" w:lastColumn="0" w:oddVBand="0" w:evenVBand="0" w:oddHBand="0" w:evenHBand="0" w:firstRowFirstColumn="0" w:firstRowLastColumn="0" w:lastRowFirstColumn="0" w:lastRowLastColumn="0"/>
            <w:tcW w:w="2484" w:type="dxa"/>
          </w:tcPr>
          <w:p w14:paraId="213E6A77" w14:textId="77777777" w:rsidR="00C220BF" w:rsidRPr="008F1CAB" w:rsidRDefault="00C220BF">
            <w:r w:rsidRPr="008F1CAB">
              <w:t>Data Sources</w:t>
            </w:r>
          </w:p>
        </w:tc>
        <w:tc>
          <w:tcPr>
            <w:tcW w:w="6860" w:type="dxa"/>
          </w:tcPr>
          <w:p w14:paraId="72872407"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MMIS claims/encounter data, BSAS program data (if available)</w:t>
            </w:r>
          </w:p>
        </w:tc>
      </w:tr>
      <w:tr w:rsidR="00C220BF" w:rsidRPr="008F1CAB" w14:paraId="5F5F3A30" w14:textId="77777777">
        <w:tc>
          <w:tcPr>
            <w:cnfStyle w:val="001000000000" w:firstRow="0" w:lastRow="0" w:firstColumn="1" w:lastColumn="0" w:oddVBand="0" w:evenVBand="0" w:oddHBand="0" w:evenHBand="0" w:firstRowFirstColumn="0" w:firstRowLastColumn="0" w:lastRowFirstColumn="0" w:lastRowLastColumn="0"/>
            <w:tcW w:w="2484" w:type="dxa"/>
          </w:tcPr>
          <w:p w14:paraId="13C66509" w14:textId="77777777" w:rsidR="00C220BF" w:rsidRPr="008F1CAB" w:rsidRDefault="00C220BF">
            <w:r w:rsidRPr="008F1CAB">
              <w:t>National Benchmark</w:t>
            </w:r>
          </w:p>
        </w:tc>
        <w:tc>
          <w:tcPr>
            <w:tcW w:w="6860" w:type="dxa"/>
          </w:tcPr>
          <w:p w14:paraId="3D1EBDAC"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None</w:t>
            </w:r>
          </w:p>
        </w:tc>
      </w:tr>
    </w:tbl>
    <w:p w14:paraId="634820F2" w14:textId="77777777" w:rsidR="00C220BF" w:rsidRDefault="00C220BF" w:rsidP="00662F94">
      <w:pPr>
        <w:pStyle w:val="NoSpacing"/>
      </w:pPr>
    </w:p>
    <w:tbl>
      <w:tblPr>
        <w:tblStyle w:val="FHCclean10pt"/>
        <w:tblW w:w="0" w:type="auto"/>
        <w:tblLook w:val="04A0" w:firstRow="1" w:lastRow="0" w:firstColumn="1" w:lastColumn="0" w:noHBand="0" w:noVBand="1"/>
      </w:tblPr>
      <w:tblGrid>
        <w:gridCol w:w="2484"/>
        <w:gridCol w:w="6860"/>
      </w:tblGrid>
      <w:tr w:rsidR="00C220BF" w:rsidRPr="008F1CAB" w14:paraId="34959FE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6124D820" w14:textId="77777777" w:rsidR="00C220BF" w:rsidRPr="008F1CAB" w:rsidRDefault="00C220BF">
            <w:r w:rsidRPr="00DB3492">
              <w:t>Measure:</w:t>
            </w:r>
          </w:p>
        </w:tc>
        <w:tc>
          <w:tcPr>
            <w:tcW w:w="6860" w:type="dxa"/>
          </w:tcPr>
          <w:p w14:paraId="5D843943" w14:textId="77777777" w:rsidR="00C220BF" w:rsidRPr="008F1CAB" w:rsidRDefault="00C220BF">
            <w:pPr>
              <w:cnfStyle w:val="100000000000" w:firstRow="1" w:lastRow="0" w:firstColumn="0" w:lastColumn="0" w:oddVBand="0" w:evenVBand="0" w:oddHBand="0" w:evenHBand="0" w:firstRowFirstColumn="0" w:firstRowLastColumn="0" w:lastRowFirstColumn="0" w:lastRowLastColumn="0"/>
            </w:pPr>
            <w:r w:rsidRPr="000036C8">
              <w:t>Use of Opioids at High Dosage in Persons Without Cancer</w:t>
            </w:r>
          </w:p>
        </w:tc>
      </w:tr>
      <w:tr w:rsidR="00C220BF" w:rsidRPr="008F1CAB" w14:paraId="4E835BD2" w14:textId="77777777">
        <w:tc>
          <w:tcPr>
            <w:cnfStyle w:val="001000000000" w:firstRow="0" w:lastRow="0" w:firstColumn="1" w:lastColumn="0" w:oddVBand="0" w:evenVBand="0" w:oddHBand="0" w:evenHBand="0" w:firstRowFirstColumn="0" w:firstRowLastColumn="0" w:lastRowFirstColumn="0" w:lastRowLastColumn="0"/>
            <w:tcW w:w="2484" w:type="dxa"/>
          </w:tcPr>
          <w:p w14:paraId="6B24FFBE" w14:textId="77777777" w:rsidR="00C220BF" w:rsidRPr="008F1CAB" w:rsidRDefault="00C220BF">
            <w:r w:rsidRPr="00DB3492">
              <w:t>Steward:</w:t>
            </w:r>
          </w:p>
        </w:tc>
        <w:tc>
          <w:tcPr>
            <w:tcW w:w="6860" w:type="dxa"/>
          </w:tcPr>
          <w:p w14:paraId="05740228"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0036C8">
              <w:t>Pharmacy Quality Alliance (#2940)</w:t>
            </w:r>
          </w:p>
        </w:tc>
      </w:tr>
      <w:tr w:rsidR="00C220BF" w:rsidRPr="008F1CAB" w14:paraId="60623BD7" w14:textId="77777777">
        <w:tc>
          <w:tcPr>
            <w:cnfStyle w:val="001000000000" w:firstRow="0" w:lastRow="0" w:firstColumn="1" w:lastColumn="0" w:oddVBand="0" w:evenVBand="0" w:oddHBand="0" w:evenHBand="0" w:firstRowFirstColumn="0" w:firstRowLastColumn="0" w:lastRowFirstColumn="0" w:lastRowLastColumn="0"/>
            <w:tcW w:w="2484" w:type="dxa"/>
          </w:tcPr>
          <w:p w14:paraId="20667656" w14:textId="77777777" w:rsidR="00C220BF" w:rsidRPr="008F1CAB" w:rsidRDefault="00C220BF">
            <w:r w:rsidRPr="00DB3492">
              <w:t>NQF Endorsed:</w:t>
            </w:r>
          </w:p>
        </w:tc>
        <w:tc>
          <w:tcPr>
            <w:tcW w:w="6860" w:type="dxa"/>
          </w:tcPr>
          <w:p w14:paraId="15D67C10"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Yes</w:t>
            </w:r>
          </w:p>
        </w:tc>
      </w:tr>
      <w:tr w:rsidR="00C220BF" w:rsidRPr="008F1CAB" w14:paraId="79F21313" w14:textId="77777777">
        <w:tc>
          <w:tcPr>
            <w:cnfStyle w:val="001000000000" w:firstRow="0" w:lastRow="0" w:firstColumn="1" w:lastColumn="0" w:oddVBand="0" w:evenVBand="0" w:oddHBand="0" w:evenHBand="0" w:firstRowFirstColumn="0" w:firstRowLastColumn="0" w:lastRowFirstColumn="0" w:lastRowLastColumn="0"/>
            <w:tcW w:w="2484" w:type="dxa"/>
          </w:tcPr>
          <w:p w14:paraId="339E92A1" w14:textId="77777777" w:rsidR="00C220BF" w:rsidRPr="008F1CAB" w:rsidRDefault="00C220BF">
            <w:r w:rsidRPr="008F1CAB">
              <w:t>Description</w:t>
            </w:r>
          </w:p>
        </w:tc>
        <w:tc>
          <w:tcPr>
            <w:tcW w:w="6860" w:type="dxa"/>
          </w:tcPr>
          <w:p w14:paraId="656BF710" w14:textId="3AFE4473"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The proportion (XX out of 1,000) of individuals without cancer receiving prescriptions for opioids with a daily dosage greater than 120mg morphine equivalent dose (MED) for 90 consecutive days or longer, AND who received opioid prescriptions from four or more prescribers AND four or more pharmacies</w:t>
            </w:r>
            <w:r w:rsidR="007C528F">
              <w:t>.</w:t>
            </w:r>
          </w:p>
        </w:tc>
      </w:tr>
      <w:tr w:rsidR="00C220BF" w:rsidRPr="008F1CAB" w14:paraId="628CBAF6" w14:textId="77777777">
        <w:tc>
          <w:tcPr>
            <w:cnfStyle w:val="001000000000" w:firstRow="0" w:lastRow="0" w:firstColumn="1" w:lastColumn="0" w:oddVBand="0" w:evenVBand="0" w:oddHBand="0" w:evenHBand="0" w:firstRowFirstColumn="0" w:firstRowLastColumn="0" w:lastRowFirstColumn="0" w:lastRowLastColumn="0"/>
            <w:tcW w:w="2484" w:type="dxa"/>
          </w:tcPr>
          <w:p w14:paraId="56D2C02E" w14:textId="77777777" w:rsidR="00C220BF" w:rsidRPr="008F1CAB" w:rsidRDefault="00C220BF">
            <w:r w:rsidRPr="008F1CAB">
              <w:t>Numerator</w:t>
            </w:r>
          </w:p>
        </w:tc>
        <w:tc>
          <w:tcPr>
            <w:tcW w:w="6860" w:type="dxa"/>
          </w:tcPr>
          <w:p w14:paraId="6E237D59" w14:textId="30BA1313"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 xml:space="preserve">Any member in the denominator with opioid prescription claims where the MED is greater than 120mg for 90 consecutive days or longer AND who received opioid prescriptions from </w:t>
            </w:r>
            <w:r w:rsidR="007C528F">
              <w:t>four</w:t>
            </w:r>
            <w:r w:rsidR="007C528F" w:rsidRPr="008F1CAB">
              <w:t xml:space="preserve"> </w:t>
            </w:r>
            <w:r w:rsidRPr="008F1CAB">
              <w:t xml:space="preserve">or more prescribers AND </w:t>
            </w:r>
            <w:r w:rsidR="007C528F">
              <w:t>four</w:t>
            </w:r>
            <w:r w:rsidR="007C528F" w:rsidRPr="008F1CAB">
              <w:t xml:space="preserve"> </w:t>
            </w:r>
            <w:r w:rsidRPr="008F1CAB">
              <w:t>or more pharmacies</w:t>
            </w:r>
            <w:r w:rsidR="007C528F">
              <w:t>.</w:t>
            </w:r>
          </w:p>
        </w:tc>
      </w:tr>
      <w:tr w:rsidR="00C220BF" w:rsidRPr="008F1CAB" w14:paraId="15D8B8B1" w14:textId="77777777">
        <w:tc>
          <w:tcPr>
            <w:cnfStyle w:val="001000000000" w:firstRow="0" w:lastRow="0" w:firstColumn="1" w:lastColumn="0" w:oddVBand="0" w:evenVBand="0" w:oddHBand="0" w:evenHBand="0" w:firstRowFirstColumn="0" w:firstRowLastColumn="0" w:lastRowFirstColumn="0" w:lastRowLastColumn="0"/>
            <w:tcW w:w="2484" w:type="dxa"/>
          </w:tcPr>
          <w:p w14:paraId="4BED647B" w14:textId="77777777" w:rsidR="00C220BF" w:rsidRPr="008F1CAB" w:rsidRDefault="00C220BF">
            <w:r w:rsidRPr="008F1CAB">
              <w:lastRenderedPageBreak/>
              <w:t>Denominator</w:t>
            </w:r>
          </w:p>
        </w:tc>
        <w:tc>
          <w:tcPr>
            <w:tcW w:w="6860" w:type="dxa"/>
          </w:tcPr>
          <w:p w14:paraId="6D3498D9" w14:textId="3253E55B"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Any member with two or more prescription claims for opioids filled on at least two separate days, for which the sum of the days</w:t>
            </w:r>
            <w:r w:rsidR="003A51A0">
              <w:t>’</w:t>
            </w:r>
            <w:r w:rsidRPr="008F1CAB">
              <w:t xml:space="preserve"> supply is greater than or equal to 15</w:t>
            </w:r>
            <w:r w:rsidR="00073425">
              <w:t>.</w:t>
            </w:r>
          </w:p>
        </w:tc>
      </w:tr>
      <w:tr w:rsidR="00C220BF" w:rsidRPr="008F1CAB" w14:paraId="007F32E9" w14:textId="77777777">
        <w:tc>
          <w:tcPr>
            <w:cnfStyle w:val="001000000000" w:firstRow="0" w:lastRow="0" w:firstColumn="1" w:lastColumn="0" w:oddVBand="0" w:evenVBand="0" w:oddHBand="0" w:evenHBand="0" w:firstRowFirstColumn="0" w:firstRowLastColumn="0" w:lastRowFirstColumn="0" w:lastRowLastColumn="0"/>
            <w:tcW w:w="2484" w:type="dxa"/>
          </w:tcPr>
          <w:p w14:paraId="36321B85" w14:textId="77777777" w:rsidR="00C220BF" w:rsidRPr="008F1CAB" w:rsidRDefault="00C220BF">
            <w:r w:rsidRPr="008F1CAB">
              <w:t>Data Sources</w:t>
            </w:r>
          </w:p>
        </w:tc>
        <w:tc>
          <w:tcPr>
            <w:tcW w:w="6860" w:type="dxa"/>
          </w:tcPr>
          <w:p w14:paraId="3B568027"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Medicaid claims/encounters data</w:t>
            </w:r>
          </w:p>
        </w:tc>
      </w:tr>
      <w:tr w:rsidR="00C220BF" w:rsidRPr="008F1CAB" w14:paraId="2EF49393" w14:textId="77777777">
        <w:tc>
          <w:tcPr>
            <w:cnfStyle w:val="001000000000" w:firstRow="0" w:lastRow="0" w:firstColumn="1" w:lastColumn="0" w:oddVBand="0" w:evenVBand="0" w:oddHBand="0" w:evenHBand="0" w:firstRowFirstColumn="0" w:firstRowLastColumn="0" w:lastRowFirstColumn="0" w:lastRowLastColumn="0"/>
            <w:tcW w:w="2484" w:type="dxa"/>
          </w:tcPr>
          <w:p w14:paraId="2AD0C6D9" w14:textId="77777777" w:rsidR="00C220BF" w:rsidRPr="008F1CAB" w:rsidRDefault="00C220BF">
            <w:r w:rsidRPr="008F1CAB">
              <w:t>National Benchmark</w:t>
            </w:r>
          </w:p>
        </w:tc>
        <w:tc>
          <w:tcPr>
            <w:tcW w:w="6860" w:type="dxa"/>
          </w:tcPr>
          <w:p w14:paraId="26694123"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None</w:t>
            </w:r>
          </w:p>
        </w:tc>
      </w:tr>
    </w:tbl>
    <w:p w14:paraId="77CE44E7" w14:textId="77777777" w:rsidR="00C220BF" w:rsidRDefault="00C220BF" w:rsidP="00662F94">
      <w:pPr>
        <w:pStyle w:val="NoSpacing"/>
      </w:pPr>
    </w:p>
    <w:tbl>
      <w:tblPr>
        <w:tblStyle w:val="FHCclean10pt"/>
        <w:tblW w:w="0" w:type="auto"/>
        <w:tblLook w:val="04A0" w:firstRow="1" w:lastRow="0" w:firstColumn="1" w:lastColumn="0" w:noHBand="0" w:noVBand="1"/>
      </w:tblPr>
      <w:tblGrid>
        <w:gridCol w:w="2484"/>
        <w:gridCol w:w="6860"/>
      </w:tblGrid>
      <w:tr w:rsidR="00C220BF" w:rsidRPr="008F1CAB" w14:paraId="75FC93B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3F3659F3" w14:textId="77777777" w:rsidR="00C220BF" w:rsidRPr="008F1CAB" w:rsidRDefault="00C220BF">
            <w:r w:rsidRPr="00DB3492">
              <w:t>Measure:</w:t>
            </w:r>
          </w:p>
        </w:tc>
        <w:tc>
          <w:tcPr>
            <w:tcW w:w="6860" w:type="dxa"/>
          </w:tcPr>
          <w:p w14:paraId="2325A375" w14:textId="77777777" w:rsidR="00C220BF" w:rsidRPr="008F1CAB" w:rsidRDefault="00C220BF">
            <w:pPr>
              <w:cnfStyle w:val="100000000000" w:firstRow="1" w:lastRow="0" w:firstColumn="0" w:lastColumn="0" w:oddVBand="0" w:evenVBand="0" w:oddHBand="0" w:evenHBand="0" w:firstRowFirstColumn="0" w:firstRowLastColumn="0" w:lastRowFirstColumn="0" w:lastRowLastColumn="0"/>
            </w:pPr>
            <w:r w:rsidRPr="000036C8">
              <w:t xml:space="preserve">Inpatient Admissions for any SUD-related Diagnosis and OUD Diagnosis </w:t>
            </w:r>
          </w:p>
        </w:tc>
      </w:tr>
      <w:tr w:rsidR="00C220BF" w:rsidRPr="008F1CAB" w14:paraId="08185B10" w14:textId="77777777">
        <w:tc>
          <w:tcPr>
            <w:cnfStyle w:val="001000000000" w:firstRow="0" w:lastRow="0" w:firstColumn="1" w:lastColumn="0" w:oddVBand="0" w:evenVBand="0" w:oddHBand="0" w:evenHBand="0" w:firstRowFirstColumn="0" w:firstRowLastColumn="0" w:lastRowFirstColumn="0" w:lastRowLastColumn="0"/>
            <w:tcW w:w="2484" w:type="dxa"/>
          </w:tcPr>
          <w:p w14:paraId="75BC0056" w14:textId="77777777" w:rsidR="00C220BF" w:rsidRPr="008F1CAB" w:rsidRDefault="00C220BF">
            <w:r w:rsidRPr="00DB3492">
              <w:t>Steward:</w:t>
            </w:r>
          </w:p>
        </w:tc>
        <w:tc>
          <w:tcPr>
            <w:tcW w:w="6860" w:type="dxa"/>
          </w:tcPr>
          <w:p w14:paraId="4865E53E"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None</w:t>
            </w:r>
          </w:p>
        </w:tc>
      </w:tr>
      <w:tr w:rsidR="00C220BF" w:rsidRPr="008F1CAB" w14:paraId="33A65DD4" w14:textId="77777777">
        <w:tc>
          <w:tcPr>
            <w:cnfStyle w:val="001000000000" w:firstRow="0" w:lastRow="0" w:firstColumn="1" w:lastColumn="0" w:oddVBand="0" w:evenVBand="0" w:oddHBand="0" w:evenHBand="0" w:firstRowFirstColumn="0" w:firstRowLastColumn="0" w:lastRowFirstColumn="0" w:lastRowLastColumn="0"/>
            <w:tcW w:w="2484" w:type="dxa"/>
          </w:tcPr>
          <w:p w14:paraId="296A18A1" w14:textId="77777777" w:rsidR="00C220BF" w:rsidRPr="008F1CAB" w:rsidRDefault="00C220BF">
            <w:r w:rsidRPr="00DB3492">
              <w:t>NQF Endorsed:</w:t>
            </w:r>
          </w:p>
        </w:tc>
        <w:tc>
          <w:tcPr>
            <w:tcW w:w="6860" w:type="dxa"/>
          </w:tcPr>
          <w:p w14:paraId="663FAB95"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No</w:t>
            </w:r>
          </w:p>
        </w:tc>
      </w:tr>
      <w:tr w:rsidR="00C220BF" w:rsidRPr="008F1CAB" w14:paraId="3B08FA11" w14:textId="77777777">
        <w:tc>
          <w:tcPr>
            <w:cnfStyle w:val="001000000000" w:firstRow="0" w:lastRow="0" w:firstColumn="1" w:lastColumn="0" w:oddVBand="0" w:evenVBand="0" w:oddHBand="0" w:evenHBand="0" w:firstRowFirstColumn="0" w:firstRowLastColumn="0" w:lastRowFirstColumn="0" w:lastRowLastColumn="0"/>
            <w:tcW w:w="2484" w:type="dxa"/>
          </w:tcPr>
          <w:p w14:paraId="106A5AAC" w14:textId="77777777" w:rsidR="00C220BF" w:rsidRPr="008F1CAB" w:rsidRDefault="00C220BF">
            <w:r w:rsidRPr="008F1CAB">
              <w:t>Description</w:t>
            </w:r>
          </w:p>
        </w:tc>
        <w:tc>
          <w:tcPr>
            <w:tcW w:w="6860" w:type="dxa"/>
          </w:tcPr>
          <w:p w14:paraId="5B2524FE" w14:textId="103E442B"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Inpatient admissions for SUD and OUD/1,000-member months for SUD-related and OUD diagnoses</w:t>
            </w:r>
            <w:r w:rsidR="00073425">
              <w:t>.</w:t>
            </w:r>
          </w:p>
        </w:tc>
      </w:tr>
      <w:tr w:rsidR="00C220BF" w:rsidRPr="008F1CAB" w14:paraId="1FAEEF38" w14:textId="77777777">
        <w:tc>
          <w:tcPr>
            <w:cnfStyle w:val="001000000000" w:firstRow="0" w:lastRow="0" w:firstColumn="1" w:lastColumn="0" w:oddVBand="0" w:evenVBand="0" w:oddHBand="0" w:evenHBand="0" w:firstRowFirstColumn="0" w:firstRowLastColumn="0" w:lastRowFirstColumn="0" w:lastRowLastColumn="0"/>
            <w:tcW w:w="2484" w:type="dxa"/>
          </w:tcPr>
          <w:p w14:paraId="626E3730" w14:textId="77777777" w:rsidR="00C220BF" w:rsidRPr="008F1CAB" w:rsidRDefault="00C220BF">
            <w:r w:rsidRPr="008F1CAB">
              <w:t>Numerator</w:t>
            </w:r>
          </w:p>
        </w:tc>
        <w:tc>
          <w:tcPr>
            <w:tcW w:w="6860" w:type="dxa"/>
          </w:tcPr>
          <w:p w14:paraId="3948248C" w14:textId="325A4823"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Total number of inpatient admissions for SUD-related and OUD diagnoses</w:t>
            </w:r>
            <w:r w:rsidR="00073425">
              <w:t>.</w:t>
            </w:r>
          </w:p>
        </w:tc>
      </w:tr>
      <w:tr w:rsidR="00C220BF" w:rsidRPr="008F1CAB" w14:paraId="68DBE0BC" w14:textId="77777777">
        <w:tc>
          <w:tcPr>
            <w:cnfStyle w:val="001000000000" w:firstRow="0" w:lastRow="0" w:firstColumn="1" w:lastColumn="0" w:oddVBand="0" w:evenVBand="0" w:oddHBand="0" w:evenHBand="0" w:firstRowFirstColumn="0" w:firstRowLastColumn="0" w:lastRowFirstColumn="0" w:lastRowLastColumn="0"/>
            <w:tcW w:w="2484" w:type="dxa"/>
          </w:tcPr>
          <w:p w14:paraId="151C0173" w14:textId="77777777" w:rsidR="00C220BF" w:rsidRPr="008F1CAB" w:rsidRDefault="00C220BF">
            <w:r w:rsidRPr="008F1CAB">
              <w:t>Denominator</w:t>
            </w:r>
          </w:p>
        </w:tc>
        <w:tc>
          <w:tcPr>
            <w:tcW w:w="6860" w:type="dxa"/>
          </w:tcPr>
          <w:p w14:paraId="6E7064E7" w14:textId="3BC8AC45"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1,000-member months among members with SUD/OUD diagnosis</w:t>
            </w:r>
            <w:r w:rsidR="00073425">
              <w:t>.</w:t>
            </w:r>
          </w:p>
        </w:tc>
      </w:tr>
      <w:tr w:rsidR="00C220BF" w:rsidRPr="008F1CAB" w14:paraId="2C4BE90E" w14:textId="77777777">
        <w:tc>
          <w:tcPr>
            <w:cnfStyle w:val="001000000000" w:firstRow="0" w:lastRow="0" w:firstColumn="1" w:lastColumn="0" w:oddVBand="0" w:evenVBand="0" w:oddHBand="0" w:evenHBand="0" w:firstRowFirstColumn="0" w:firstRowLastColumn="0" w:lastRowFirstColumn="0" w:lastRowLastColumn="0"/>
            <w:tcW w:w="2484" w:type="dxa"/>
          </w:tcPr>
          <w:p w14:paraId="56497F03" w14:textId="77777777" w:rsidR="00C220BF" w:rsidRPr="008F1CAB" w:rsidRDefault="00C220BF">
            <w:r w:rsidRPr="008F1CAB">
              <w:t>Data Sources</w:t>
            </w:r>
          </w:p>
        </w:tc>
        <w:tc>
          <w:tcPr>
            <w:tcW w:w="6860" w:type="dxa"/>
          </w:tcPr>
          <w:p w14:paraId="5C9A7373"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MMIS claims/encounter data</w:t>
            </w:r>
          </w:p>
        </w:tc>
      </w:tr>
      <w:tr w:rsidR="00C220BF" w:rsidRPr="008F1CAB" w14:paraId="59B9FC6B" w14:textId="77777777">
        <w:tc>
          <w:tcPr>
            <w:cnfStyle w:val="001000000000" w:firstRow="0" w:lastRow="0" w:firstColumn="1" w:lastColumn="0" w:oddVBand="0" w:evenVBand="0" w:oddHBand="0" w:evenHBand="0" w:firstRowFirstColumn="0" w:firstRowLastColumn="0" w:lastRowFirstColumn="0" w:lastRowLastColumn="0"/>
            <w:tcW w:w="2484" w:type="dxa"/>
          </w:tcPr>
          <w:p w14:paraId="77389599" w14:textId="77777777" w:rsidR="00C220BF" w:rsidRPr="008F1CAB" w:rsidRDefault="00C220BF">
            <w:r w:rsidRPr="008F1CAB">
              <w:t>National Benchmark</w:t>
            </w:r>
          </w:p>
        </w:tc>
        <w:tc>
          <w:tcPr>
            <w:tcW w:w="6860" w:type="dxa"/>
          </w:tcPr>
          <w:p w14:paraId="50D014C7"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None</w:t>
            </w:r>
          </w:p>
        </w:tc>
      </w:tr>
    </w:tbl>
    <w:p w14:paraId="4F1584D0" w14:textId="77777777" w:rsidR="00C220BF" w:rsidRDefault="00C220BF" w:rsidP="00662F94">
      <w:pPr>
        <w:pStyle w:val="NoSpacing"/>
      </w:pPr>
    </w:p>
    <w:tbl>
      <w:tblPr>
        <w:tblStyle w:val="FHCclean10pt"/>
        <w:tblW w:w="0" w:type="auto"/>
        <w:tblLook w:val="04A0" w:firstRow="1" w:lastRow="0" w:firstColumn="1" w:lastColumn="0" w:noHBand="0" w:noVBand="1"/>
      </w:tblPr>
      <w:tblGrid>
        <w:gridCol w:w="2484"/>
        <w:gridCol w:w="6860"/>
      </w:tblGrid>
      <w:tr w:rsidR="00C220BF" w:rsidRPr="008F1CAB" w14:paraId="350900F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079507A4" w14:textId="77777777" w:rsidR="00C220BF" w:rsidRPr="008F1CAB" w:rsidRDefault="00C220BF">
            <w:r w:rsidRPr="00DB3492">
              <w:t>Measure:</w:t>
            </w:r>
          </w:p>
        </w:tc>
        <w:tc>
          <w:tcPr>
            <w:tcW w:w="6860" w:type="dxa"/>
          </w:tcPr>
          <w:p w14:paraId="7B52DD84" w14:textId="3F385322" w:rsidR="00C220BF" w:rsidRPr="008F1CAB" w:rsidRDefault="00C220BF">
            <w:pPr>
              <w:cnfStyle w:val="100000000000" w:firstRow="1" w:lastRow="0" w:firstColumn="0" w:lastColumn="0" w:oddVBand="0" w:evenVBand="0" w:oddHBand="0" w:evenHBand="0" w:firstRowFirstColumn="0" w:firstRowLastColumn="0" w:lastRowFirstColumn="0" w:lastRowLastColumn="0"/>
            </w:pPr>
            <w:r w:rsidRPr="000036C8">
              <w:t xml:space="preserve">Plan All-Cause Readmissions (PCR) for </w:t>
            </w:r>
            <w:r>
              <w:t>M</w:t>
            </w:r>
            <w:r w:rsidRPr="000036C8">
              <w:t xml:space="preserve">embers with a SUD/SMI/SED </w:t>
            </w:r>
            <w:r>
              <w:t>D</w:t>
            </w:r>
            <w:r w:rsidRPr="000036C8">
              <w:t>iagnosis</w:t>
            </w:r>
          </w:p>
        </w:tc>
      </w:tr>
      <w:tr w:rsidR="00C220BF" w:rsidRPr="008F1CAB" w14:paraId="1E9C8F7A" w14:textId="77777777">
        <w:tc>
          <w:tcPr>
            <w:cnfStyle w:val="001000000000" w:firstRow="0" w:lastRow="0" w:firstColumn="1" w:lastColumn="0" w:oddVBand="0" w:evenVBand="0" w:oddHBand="0" w:evenHBand="0" w:firstRowFirstColumn="0" w:firstRowLastColumn="0" w:lastRowFirstColumn="0" w:lastRowLastColumn="0"/>
            <w:tcW w:w="2484" w:type="dxa"/>
          </w:tcPr>
          <w:p w14:paraId="35771937" w14:textId="77777777" w:rsidR="00C220BF" w:rsidRPr="008F1CAB" w:rsidRDefault="00C220BF">
            <w:r w:rsidRPr="00DB3492">
              <w:t>Steward:</w:t>
            </w:r>
          </w:p>
        </w:tc>
        <w:tc>
          <w:tcPr>
            <w:tcW w:w="6860" w:type="dxa"/>
          </w:tcPr>
          <w:p w14:paraId="350F14C5"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0036C8">
              <w:t>National Committee for Quality Assurance (#1768)</w:t>
            </w:r>
          </w:p>
        </w:tc>
      </w:tr>
      <w:tr w:rsidR="00C220BF" w:rsidRPr="008F1CAB" w14:paraId="705256C5" w14:textId="77777777">
        <w:tc>
          <w:tcPr>
            <w:cnfStyle w:val="001000000000" w:firstRow="0" w:lastRow="0" w:firstColumn="1" w:lastColumn="0" w:oddVBand="0" w:evenVBand="0" w:oddHBand="0" w:evenHBand="0" w:firstRowFirstColumn="0" w:firstRowLastColumn="0" w:lastRowFirstColumn="0" w:lastRowLastColumn="0"/>
            <w:tcW w:w="2484" w:type="dxa"/>
          </w:tcPr>
          <w:p w14:paraId="773900DA" w14:textId="77777777" w:rsidR="00C220BF" w:rsidRPr="008F1CAB" w:rsidRDefault="00C220BF">
            <w:r w:rsidRPr="00DB3492">
              <w:t>NQF Endorsed:</w:t>
            </w:r>
          </w:p>
        </w:tc>
        <w:tc>
          <w:tcPr>
            <w:tcW w:w="6860" w:type="dxa"/>
          </w:tcPr>
          <w:p w14:paraId="60E29A9D"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Endorsement Removed</w:t>
            </w:r>
          </w:p>
        </w:tc>
      </w:tr>
      <w:tr w:rsidR="00C220BF" w:rsidRPr="008F1CAB" w14:paraId="52ADE442" w14:textId="77777777">
        <w:tc>
          <w:tcPr>
            <w:cnfStyle w:val="001000000000" w:firstRow="0" w:lastRow="0" w:firstColumn="1" w:lastColumn="0" w:oddVBand="0" w:evenVBand="0" w:oddHBand="0" w:evenHBand="0" w:firstRowFirstColumn="0" w:firstRowLastColumn="0" w:lastRowFirstColumn="0" w:lastRowLastColumn="0"/>
            <w:tcW w:w="2484" w:type="dxa"/>
          </w:tcPr>
          <w:p w14:paraId="21D7A653" w14:textId="77777777" w:rsidR="00C220BF" w:rsidRPr="008F1CAB" w:rsidRDefault="00C220BF">
            <w:r w:rsidRPr="008F1CAB">
              <w:t>Description</w:t>
            </w:r>
          </w:p>
        </w:tc>
        <w:tc>
          <w:tcPr>
            <w:tcW w:w="6860" w:type="dxa"/>
          </w:tcPr>
          <w:p w14:paraId="69148136" w14:textId="7F4DB9E6"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The rate of adult acute inpatient and observation stays that were followed by an unplanned acute readmission for any diagnosis within 30 days after discharge</w:t>
            </w:r>
            <w:r w:rsidR="00073425">
              <w:t>.</w:t>
            </w:r>
          </w:p>
        </w:tc>
      </w:tr>
      <w:tr w:rsidR="00C220BF" w:rsidRPr="008F1CAB" w14:paraId="230BD6E4" w14:textId="77777777">
        <w:tc>
          <w:tcPr>
            <w:cnfStyle w:val="001000000000" w:firstRow="0" w:lastRow="0" w:firstColumn="1" w:lastColumn="0" w:oddVBand="0" w:evenVBand="0" w:oddHBand="0" w:evenHBand="0" w:firstRowFirstColumn="0" w:firstRowLastColumn="0" w:lastRowFirstColumn="0" w:lastRowLastColumn="0"/>
            <w:tcW w:w="2484" w:type="dxa"/>
          </w:tcPr>
          <w:p w14:paraId="741AAA8A" w14:textId="77777777" w:rsidR="00C220BF" w:rsidRPr="008F1CAB" w:rsidRDefault="00C220BF">
            <w:r w:rsidRPr="008F1CAB">
              <w:t>Numerator</w:t>
            </w:r>
          </w:p>
        </w:tc>
        <w:tc>
          <w:tcPr>
            <w:tcW w:w="6860" w:type="dxa"/>
          </w:tcPr>
          <w:p w14:paraId="3E0D65EC"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At least one acute unplanned readmission for any diagnosis within 30 days of the date of discharge from the Index Hospital Stay, that is on or between the second day of the measurement year and the end of the measurement year.</w:t>
            </w:r>
          </w:p>
        </w:tc>
      </w:tr>
      <w:tr w:rsidR="00C220BF" w:rsidRPr="008F1CAB" w14:paraId="5DEAAE9E" w14:textId="77777777">
        <w:tc>
          <w:tcPr>
            <w:cnfStyle w:val="001000000000" w:firstRow="0" w:lastRow="0" w:firstColumn="1" w:lastColumn="0" w:oddVBand="0" w:evenVBand="0" w:oddHBand="0" w:evenHBand="0" w:firstRowFirstColumn="0" w:firstRowLastColumn="0" w:lastRowFirstColumn="0" w:lastRowLastColumn="0"/>
            <w:tcW w:w="2484" w:type="dxa"/>
          </w:tcPr>
          <w:p w14:paraId="183FBF99" w14:textId="77777777" w:rsidR="00C220BF" w:rsidRPr="008F1CAB" w:rsidRDefault="00C220BF">
            <w:r w:rsidRPr="008F1CAB">
              <w:t>Denominator</w:t>
            </w:r>
          </w:p>
        </w:tc>
        <w:tc>
          <w:tcPr>
            <w:tcW w:w="6860" w:type="dxa"/>
          </w:tcPr>
          <w:p w14:paraId="60A61118" w14:textId="6EDA06C1"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 xml:space="preserve">Patients 18 </w:t>
            </w:r>
            <w:r w:rsidR="009E4C42">
              <w:t>years of age</w:t>
            </w:r>
            <w:r w:rsidR="00073425" w:rsidRPr="008F1CAB">
              <w:t xml:space="preserve"> </w:t>
            </w:r>
            <w:r w:rsidRPr="008F1CAB">
              <w:t>and older with a discharge from an acute inpatient stay (Index Hospital Stay) on or between January 1 and December 1 of the measurement year.</w:t>
            </w:r>
          </w:p>
        </w:tc>
      </w:tr>
      <w:tr w:rsidR="00C220BF" w:rsidRPr="008F1CAB" w14:paraId="46320A26" w14:textId="77777777">
        <w:tc>
          <w:tcPr>
            <w:cnfStyle w:val="001000000000" w:firstRow="0" w:lastRow="0" w:firstColumn="1" w:lastColumn="0" w:oddVBand="0" w:evenVBand="0" w:oddHBand="0" w:evenHBand="0" w:firstRowFirstColumn="0" w:firstRowLastColumn="0" w:lastRowFirstColumn="0" w:lastRowLastColumn="0"/>
            <w:tcW w:w="2484" w:type="dxa"/>
          </w:tcPr>
          <w:p w14:paraId="0F39C8A1" w14:textId="77777777" w:rsidR="00C220BF" w:rsidRPr="008F1CAB" w:rsidRDefault="00C220BF">
            <w:r w:rsidRPr="008F1CAB">
              <w:t>Data Sources</w:t>
            </w:r>
          </w:p>
        </w:tc>
        <w:tc>
          <w:tcPr>
            <w:tcW w:w="6860" w:type="dxa"/>
          </w:tcPr>
          <w:p w14:paraId="36D28B2D"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Medicaid claims/encounters data</w:t>
            </w:r>
          </w:p>
        </w:tc>
      </w:tr>
      <w:tr w:rsidR="00C220BF" w:rsidRPr="008F1CAB" w14:paraId="133B2AAF" w14:textId="77777777">
        <w:tc>
          <w:tcPr>
            <w:cnfStyle w:val="001000000000" w:firstRow="0" w:lastRow="0" w:firstColumn="1" w:lastColumn="0" w:oddVBand="0" w:evenVBand="0" w:oddHBand="0" w:evenHBand="0" w:firstRowFirstColumn="0" w:firstRowLastColumn="0" w:lastRowFirstColumn="0" w:lastRowLastColumn="0"/>
            <w:tcW w:w="2484" w:type="dxa"/>
          </w:tcPr>
          <w:p w14:paraId="08BC349E" w14:textId="77777777" w:rsidR="00C220BF" w:rsidRPr="008F1CAB" w:rsidRDefault="00C220BF">
            <w:r w:rsidRPr="008F1CAB">
              <w:t>National Benchmark</w:t>
            </w:r>
          </w:p>
        </w:tc>
        <w:tc>
          <w:tcPr>
            <w:tcW w:w="6860" w:type="dxa"/>
          </w:tcPr>
          <w:p w14:paraId="373B3896"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2021 Medicaid HMO = 10%</w:t>
            </w:r>
          </w:p>
          <w:p w14:paraId="75F6AC41" w14:textId="2B9801DC"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 xml:space="preserve">Source: </w:t>
            </w:r>
            <w:hyperlink r:id="rId65" w:history="1">
              <w:r w:rsidR="00662F94" w:rsidRPr="00EE48F2">
                <w:rPr>
                  <w:rStyle w:val="Hyperlink"/>
                </w:rPr>
                <w:t>https://www.ncqa.org/hedis/measures/plan-all-cause-readmissions/</w:t>
              </w:r>
            </w:hyperlink>
            <w:r w:rsidR="00662F94">
              <w:t xml:space="preserve"> </w:t>
            </w:r>
          </w:p>
        </w:tc>
      </w:tr>
    </w:tbl>
    <w:p w14:paraId="5FE132CB" w14:textId="77777777" w:rsidR="00C220BF" w:rsidRDefault="00C220BF" w:rsidP="00662F94">
      <w:pPr>
        <w:pStyle w:val="NoSpacing"/>
      </w:pPr>
    </w:p>
    <w:tbl>
      <w:tblPr>
        <w:tblStyle w:val="FHCclean10pt"/>
        <w:tblW w:w="0" w:type="auto"/>
        <w:tblLook w:val="04A0" w:firstRow="1" w:lastRow="0" w:firstColumn="1" w:lastColumn="0" w:noHBand="0" w:noVBand="1"/>
      </w:tblPr>
      <w:tblGrid>
        <w:gridCol w:w="2484"/>
        <w:gridCol w:w="6860"/>
      </w:tblGrid>
      <w:tr w:rsidR="00C220BF" w:rsidRPr="008F1CAB" w14:paraId="2AF3F8F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5D6690ED" w14:textId="77777777" w:rsidR="00C220BF" w:rsidRPr="008F1CAB" w:rsidRDefault="00C220BF">
            <w:r w:rsidRPr="00DB3492">
              <w:t>Measure:</w:t>
            </w:r>
          </w:p>
        </w:tc>
        <w:tc>
          <w:tcPr>
            <w:tcW w:w="6860" w:type="dxa"/>
          </w:tcPr>
          <w:p w14:paraId="42D2C59D" w14:textId="3D421E4A" w:rsidR="00C220BF" w:rsidRPr="008F1CAB" w:rsidRDefault="00C220BF">
            <w:pPr>
              <w:cnfStyle w:val="100000000000" w:firstRow="1" w:lastRow="0" w:firstColumn="0" w:lastColumn="0" w:oddVBand="0" w:evenVBand="0" w:oddHBand="0" w:evenHBand="0" w:firstRowFirstColumn="0" w:firstRowLastColumn="0" w:lastRowFirstColumn="0" w:lastRowLastColumn="0"/>
            </w:pPr>
            <w:r w:rsidRPr="000036C8">
              <w:t xml:space="preserve">Healthcare </w:t>
            </w:r>
            <w:r>
              <w:t>U</w:t>
            </w:r>
            <w:r w:rsidRPr="000036C8">
              <w:t>tilization</w:t>
            </w:r>
          </w:p>
        </w:tc>
      </w:tr>
      <w:tr w:rsidR="00C220BF" w:rsidRPr="008F1CAB" w14:paraId="56D9B83D" w14:textId="77777777">
        <w:tc>
          <w:tcPr>
            <w:cnfStyle w:val="001000000000" w:firstRow="0" w:lastRow="0" w:firstColumn="1" w:lastColumn="0" w:oddVBand="0" w:evenVBand="0" w:oddHBand="0" w:evenHBand="0" w:firstRowFirstColumn="0" w:firstRowLastColumn="0" w:lastRowFirstColumn="0" w:lastRowLastColumn="0"/>
            <w:tcW w:w="2484" w:type="dxa"/>
          </w:tcPr>
          <w:p w14:paraId="6CA403C2" w14:textId="77777777" w:rsidR="00C220BF" w:rsidRPr="008F1CAB" w:rsidRDefault="00C220BF">
            <w:r w:rsidRPr="00DB3492">
              <w:t>Steward:</w:t>
            </w:r>
          </w:p>
        </w:tc>
        <w:tc>
          <w:tcPr>
            <w:tcW w:w="6860" w:type="dxa"/>
          </w:tcPr>
          <w:p w14:paraId="6B31215C"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None</w:t>
            </w:r>
          </w:p>
        </w:tc>
      </w:tr>
      <w:tr w:rsidR="00C220BF" w:rsidRPr="008F1CAB" w14:paraId="56855FD5" w14:textId="77777777">
        <w:tc>
          <w:tcPr>
            <w:cnfStyle w:val="001000000000" w:firstRow="0" w:lastRow="0" w:firstColumn="1" w:lastColumn="0" w:oddVBand="0" w:evenVBand="0" w:oddHBand="0" w:evenHBand="0" w:firstRowFirstColumn="0" w:firstRowLastColumn="0" w:lastRowFirstColumn="0" w:lastRowLastColumn="0"/>
            <w:tcW w:w="2484" w:type="dxa"/>
          </w:tcPr>
          <w:p w14:paraId="797DD2B3" w14:textId="77777777" w:rsidR="00C220BF" w:rsidRPr="008F1CAB" w:rsidRDefault="00C220BF">
            <w:r w:rsidRPr="00DB3492">
              <w:t>NQF Endorsed:</w:t>
            </w:r>
          </w:p>
        </w:tc>
        <w:tc>
          <w:tcPr>
            <w:tcW w:w="6860" w:type="dxa"/>
          </w:tcPr>
          <w:p w14:paraId="6B09155C"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No</w:t>
            </w:r>
          </w:p>
        </w:tc>
      </w:tr>
      <w:tr w:rsidR="00C220BF" w:rsidRPr="008F1CAB" w14:paraId="374E9D6B" w14:textId="77777777">
        <w:tc>
          <w:tcPr>
            <w:cnfStyle w:val="001000000000" w:firstRow="0" w:lastRow="0" w:firstColumn="1" w:lastColumn="0" w:oddVBand="0" w:evenVBand="0" w:oddHBand="0" w:evenHBand="0" w:firstRowFirstColumn="0" w:firstRowLastColumn="0" w:lastRowFirstColumn="0" w:lastRowLastColumn="0"/>
            <w:tcW w:w="2484" w:type="dxa"/>
          </w:tcPr>
          <w:p w14:paraId="55BA607E" w14:textId="77777777" w:rsidR="00C220BF" w:rsidRPr="008F1CAB" w:rsidRDefault="00C220BF">
            <w:r w:rsidRPr="008F1CAB">
              <w:t>Description</w:t>
            </w:r>
          </w:p>
        </w:tc>
        <w:tc>
          <w:tcPr>
            <w:tcW w:w="6860" w:type="dxa"/>
          </w:tcPr>
          <w:p w14:paraId="6A14B41D" w14:textId="06553B82"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Healthcare service utilization among members with SUD diagnosis</w:t>
            </w:r>
            <w:r w:rsidR="009E4C42">
              <w:t>.</w:t>
            </w:r>
          </w:p>
        </w:tc>
      </w:tr>
      <w:tr w:rsidR="00C220BF" w:rsidRPr="008F1CAB" w14:paraId="31D20BF2" w14:textId="77777777">
        <w:tc>
          <w:tcPr>
            <w:cnfStyle w:val="001000000000" w:firstRow="0" w:lastRow="0" w:firstColumn="1" w:lastColumn="0" w:oddVBand="0" w:evenVBand="0" w:oddHBand="0" w:evenHBand="0" w:firstRowFirstColumn="0" w:firstRowLastColumn="0" w:lastRowFirstColumn="0" w:lastRowLastColumn="0"/>
            <w:tcW w:w="2484" w:type="dxa"/>
          </w:tcPr>
          <w:p w14:paraId="5DF9E664" w14:textId="77777777" w:rsidR="00C220BF" w:rsidRPr="008F1CAB" w:rsidRDefault="00C220BF">
            <w:r w:rsidRPr="008F1CAB">
              <w:t>Numerator</w:t>
            </w:r>
          </w:p>
        </w:tc>
        <w:tc>
          <w:tcPr>
            <w:tcW w:w="6860" w:type="dxa"/>
          </w:tcPr>
          <w:p w14:paraId="57085FF8"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Total number of members with SUD and OUD diagnoses who used healthcare services used among members with SUD and OUD diagnoses:</w:t>
            </w:r>
          </w:p>
          <w:p w14:paraId="77569E88" w14:textId="77777777" w:rsidR="00C220BF" w:rsidRPr="00EC21C0" w:rsidRDefault="00C220BF">
            <w:pPr>
              <w:cnfStyle w:val="000000000000" w:firstRow="0" w:lastRow="0" w:firstColumn="0" w:lastColumn="0" w:oddVBand="0" w:evenVBand="0" w:oddHBand="0" w:evenHBand="0" w:firstRowFirstColumn="0" w:firstRowLastColumn="0" w:lastRowFirstColumn="0" w:lastRowLastColumn="0"/>
              <w:rPr>
                <w:lang w:val="fr-FR"/>
              </w:rPr>
            </w:pPr>
            <w:r w:rsidRPr="00EC21C0">
              <w:rPr>
                <w:lang w:val="fr-FR"/>
              </w:rPr>
              <w:lastRenderedPageBreak/>
              <w:t>• Outpatient SUD Professional visits</w:t>
            </w:r>
          </w:p>
          <w:p w14:paraId="510CC7C2" w14:textId="77777777" w:rsidR="00C220BF" w:rsidRPr="00EC21C0" w:rsidRDefault="00C220BF">
            <w:pPr>
              <w:cnfStyle w:val="000000000000" w:firstRow="0" w:lastRow="0" w:firstColumn="0" w:lastColumn="0" w:oddVBand="0" w:evenVBand="0" w:oddHBand="0" w:evenHBand="0" w:firstRowFirstColumn="0" w:firstRowLastColumn="0" w:lastRowFirstColumn="0" w:lastRowLastColumn="0"/>
              <w:rPr>
                <w:lang w:val="fr-FR"/>
              </w:rPr>
            </w:pPr>
            <w:r w:rsidRPr="00EC21C0">
              <w:rPr>
                <w:lang w:val="fr-FR"/>
              </w:rPr>
              <w:t>• Inpatient visits</w:t>
            </w:r>
          </w:p>
          <w:p w14:paraId="72583D28"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 Ambulatory care visits</w:t>
            </w:r>
          </w:p>
          <w:p w14:paraId="3E2F2603"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 Other</w:t>
            </w:r>
          </w:p>
        </w:tc>
      </w:tr>
      <w:tr w:rsidR="00C220BF" w:rsidRPr="008F1CAB" w14:paraId="3ADD09B2" w14:textId="77777777">
        <w:tc>
          <w:tcPr>
            <w:cnfStyle w:val="001000000000" w:firstRow="0" w:lastRow="0" w:firstColumn="1" w:lastColumn="0" w:oddVBand="0" w:evenVBand="0" w:oddHBand="0" w:evenHBand="0" w:firstRowFirstColumn="0" w:firstRowLastColumn="0" w:lastRowFirstColumn="0" w:lastRowLastColumn="0"/>
            <w:tcW w:w="2484" w:type="dxa"/>
          </w:tcPr>
          <w:p w14:paraId="622107FF" w14:textId="77777777" w:rsidR="00C220BF" w:rsidRPr="008F1CAB" w:rsidRDefault="00C220BF">
            <w:r w:rsidRPr="008F1CAB">
              <w:lastRenderedPageBreak/>
              <w:t>Denominator</w:t>
            </w:r>
          </w:p>
        </w:tc>
        <w:tc>
          <w:tcPr>
            <w:tcW w:w="6860" w:type="dxa"/>
          </w:tcPr>
          <w:p w14:paraId="283CAD9C" w14:textId="6B8FB759"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1,000 member months among members with SUD/OUD diagnosis</w:t>
            </w:r>
            <w:r w:rsidR="009E4C42">
              <w:t>.</w:t>
            </w:r>
          </w:p>
        </w:tc>
      </w:tr>
      <w:tr w:rsidR="00C220BF" w:rsidRPr="008F1CAB" w14:paraId="3CA8EA99" w14:textId="77777777">
        <w:tc>
          <w:tcPr>
            <w:cnfStyle w:val="001000000000" w:firstRow="0" w:lastRow="0" w:firstColumn="1" w:lastColumn="0" w:oddVBand="0" w:evenVBand="0" w:oddHBand="0" w:evenHBand="0" w:firstRowFirstColumn="0" w:firstRowLastColumn="0" w:lastRowFirstColumn="0" w:lastRowLastColumn="0"/>
            <w:tcW w:w="2484" w:type="dxa"/>
          </w:tcPr>
          <w:p w14:paraId="4CC9CB34" w14:textId="77777777" w:rsidR="00C220BF" w:rsidRPr="008F1CAB" w:rsidRDefault="00C220BF">
            <w:r w:rsidRPr="008F1CAB">
              <w:t>Data Sources</w:t>
            </w:r>
          </w:p>
        </w:tc>
        <w:tc>
          <w:tcPr>
            <w:tcW w:w="6860" w:type="dxa"/>
          </w:tcPr>
          <w:p w14:paraId="7485660D"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MMIS claims/encounter data</w:t>
            </w:r>
          </w:p>
        </w:tc>
      </w:tr>
      <w:tr w:rsidR="00C220BF" w:rsidRPr="008F1CAB" w14:paraId="04FB75B3" w14:textId="77777777">
        <w:tc>
          <w:tcPr>
            <w:cnfStyle w:val="001000000000" w:firstRow="0" w:lastRow="0" w:firstColumn="1" w:lastColumn="0" w:oddVBand="0" w:evenVBand="0" w:oddHBand="0" w:evenHBand="0" w:firstRowFirstColumn="0" w:firstRowLastColumn="0" w:lastRowFirstColumn="0" w:lastRowLastColumn="0"/>
            <w:tcW w:w="2484" w:type="dxa"/>
          </w:tcPr>
          <w:p w14:paraId="373CBC62" w14:textId="77777777" w:rsidR="00C220BF" w:rsidRPr="008F1CAB" w:rsidRDefault="00C220BF">
            <w:r w:rsidRPr="008F1CAB">
              <w:t>National Benchmark</w:t>
            </w:r>
          </w:p>
        </w:tc>
        <w:tc>
          <w:tcPr>
            <w:tcW w:w="6860" w:type="dxa"/>
          </w:tcPr>
          <w:p w14:paraId="3013DC69"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None</w:t>
            </w:r>
          </w:p>
        </w:tc>
      </w:tr>
    </w:tbl>
    <w:p w14:paraId="3DDF076E" w14:textId="77777777" w:rsidR="00C220BF" w:rsidRDefault="00C220BF" w:rsidP="00662F94">
      <w:pPr>
        <w:pStyle w:val="NoSpacing"/>
      </w:pPr>
    </w:p>
    <w:tbl>
      <w:tblPr>
        <w:tblStyle w:val="FHCclean10pt"/>
        <w:tblW w:w="0" w:type="auto"/>
        <w:tblLook w:val="04A0" w:firstRow="1" w:lastRow="0" w:firstColumn="1" w:lastColumn="0" w:noHBand="0" w:noVBand="1"/>
      </w:tblPr>
      <w:tblGrid>
        <w:gridCol w:w="2484"/>
        <w:gridCol w:w="6860"/>
      </w:tblGrid>
      <w:tr w:rsidR="00C220BF" w:rsidRPr="008F1CAB" w14:paraId="016BD8E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302CD1AA" w14:textId="77777777" w:rsidR="00C220BF" w:rsidRPr="008F1CAB" w:rsidRDefault="00C220BF">
            <w:r w:rsidRPr="00DB3492">
              <w:t>Measure:</w:t>
            </w:r>
          </w:p>
        </w:tc>
        <w:tc>
          <w:tcPr>
            <w:tcW w:w="6860" w:type="dxa"/>
          </w:tcPr>
          <w:p w14:paraId="42744445" w14:textId="2ED22648" w:rsidR="00C220BF" w:rsidRPr="008F1CAB" w:rsidRDefault="00C220BF">
            <w:pPr>
              <w:cnfStyle w:val="100000000000" w:firstRow="1" w:lastRow="0" w:firstColumn="0" w:lastColumn="0" w:oddVBand="0" w:evenVBand="0" w:oddHBand="0" w:evenHBand="0" w:firstRowFirstColumn="0" w:firstRowLastColumn="0" w:lastRowFirstColumn="0" w:lastRowLastColumn="0"/>
            </w:pPr>
            <w:r w:rsidRPr="000036C8">
              <w:t>M</w:t>
            </w:r>
            <w:r w:rsidR="00237E7F">
              <w:t xml:space="preserve">edication for </w:t>
            </w:r>
            <w:r w:rsidRPr="000036C8">
              <w:t>A</w:t>
            </w:r>
            <w:r w:rsidR="00237E7F">
              <w:t xml:space="preserve">ddiction </w:t>
            </w:r>
            <w:r w:rsidRPr="000036C8">
              <w:t>T</w:t>
            </w:r>
            <w:r w:rsidR="00237E7F">
              <w:t>reatment (MAT)</w:t>
            </w:r>
            <w:r w:rsidRPr="000036C8">
              <w:t xml:space="preserve"> Prescribers</w:t>
            </w:r>
          </w:p>
        </w:tc>
      </w:tr>
      <w:tr w:rsidR="00C220BF" w:rsidRPr="008F1CAB" w14:paraId="23A3DF31" w14:textId="77777777">
        <w:tc>
          <w:tcPr>
            <w:cnfStyle w:val="001000000000" w:firstRow="0" w:lastRow="0" w:firstColumn="1" w:lastColumn="0" w:oddVBand="0" w:evenVBand="0" w:oddHBand="0" w:evenHBand="0" w:firstRowFirstColumn="0" w:firstRowLastColumn="0" w:lastRowFirstColumn="0" w:lastRowLastColumn="0"/>
            <w:tcW w:w="2484" w:type="dxa"/>
          </w:tcPr>
          <w:p w14:paraId="216D7EA6" w14:textId="77777777" w:rsidR="00C220BF" w:rsidRPr="008F1CAB" w:rsidRDefault="00C220BF">
            <w:r w:rsidRPr="00DB3492">
              <w:t>Steward:</w:t>
            </w:r>
          </w:p>
        </w:tc>
        <w:tc>
          <w:tcPr>
            <w:tcW w:w="6860" w:type="dxa"/>
          </w:tcPr>
          <w:p w14:paraId="00A06088"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None</w:t>
            </w:r>
          </w:p>
        </w:tc>
      </w:tr>
      <w:tr w:rsidR="00C220BF" w:rsidRPr="008F1CAB" w14:paraId="14E41D77" w14:textId="77777777">
        <w:tc>
          <w:tcPr>
            <w:cnfStyle w:val="001000000000" w:firstRow="0" w:lastRow="0" w:firstColumn="1" w:lastColumn="0" w:oddVBand="0" w:evenVBand="0" w:oddHBand="0" w:evenHBand="0" w:firstRowFirstColumn="0" w:firstRowLastColumn="0" w:lastRowFirstColumn="0" w:lastRowLastColumn="0"/>
            <w:tcW w:w="2484" w:type="dxa"/>
          </w:tcPr>
          <w:p w14:paraId="60B62936" w14:textId="77777777" w:rsidR="00C220BF" w:rsidRPr="008F1CAB" w:rsidRDefault="00C220BF">
            <w:r w:rsidRPr="00DB3492">
              <w:t>NQF Endorsed:</w:t>
            </w:r>
          </w:p>
        </w:tc>
        <w:tc>
          <w:tcPr>
            <w:tcW w:w="6860" w:type="dxa"/>
          </w:tcPr>
          <w:p w14:paraId="4757F879"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No</w:t>
            </w:r>
          </w:p>
        </w:tc>
      </w:tr>
      <w:tr w:rsidR="00C220BF" w:rsidRPr="008F1CAB" w14:paraId="78B168BD" w14:textId="77777777">
        <w:tc>
          <w:tcPr>
            <w:cnfStyle w:val="001000000000" w:firstRow="0" w:lastRow="0" w:firstColumn="1" w:lastColumn="0" w:oddVBand="0" w:evenVBand="0" w:oddHBand="0" w:evenHBand="0" w:firstRowFirstColumn="0" w:firstRowLastColumn="0" w:lastRowFirstColumn="0" w:lastRowLastColumn="0"/>
            <w:tcW w:w="2484" w:type="dxa"/>
          </w:tcPr>
          <w:p w14:paraId="0E4B1A1A" w14:textId="77777777" w:rsidR="00C220BF" w:rsidRPr="008F1CAB" w:rsidRDefault="00C220BF">
            <w:r w:rsidRPr="008F1CAB">
              <w:t>Description</w:t>
            </w:r>
          </w:p>
        </w:tc>
        <w:tc>
          <w:tcPr>
            <w:tcW w:w="6860" w:type="dxa"/>
          </w:tcPr>
          <w:p w14:paraId="72350FF0" w14:textId="23063AAE"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Rate of MAT prescribers per # of members with OUD</w:t>
            </w:r>
            <w:r w:rsidR="009E4C42">
              <w:t>.</w:t>
            </w:r>
          </w:p>
        </w:tc>
      </w:tr>
      <w:tr w:rsidR="00C220BF" w:rsidRPr="008F1CAB" w14:paraId="52E8D4DA" w14:textId="77777777">
        <w:tc>
          <w:tcPr>
            <w:cnfStyle w:val="001000000000" w:firstRow="0" w:lastRow="0" w:firstColumn="1" w:lastColumn="0" w:oddVBand="0" w:evenVBand="0" w:oddHBand="0" w:evenHBand="0" w:firstRowFirstColumn="0" w:firstRowLastColumn="0" w:lastRowFirstColumn="0" w:lastRowLastColumn="0"/>
            <w:tcW w:w="2484" w:type="dxa"/>
          </w:tcPr>
          <w:p w14:paraId="490C12EB" w14:textId="77777777" w:rsidR="00C220BF" w:rsidRPr="008F1CAB" w:rsidRDefault="00C220BF">
            <w:r w:rsidRPr="008F1CAB">
              <w:t>Numerator</w:t>
            </w:r>
          </w:p>
        </w:tc>
        <w:tc>
          <w:tcPr>
            <w:tcW w:w="6860" w:type="dxa"/>
          </w:tcPr>
          <w:p w14:paraId="6F3EAFBD" w14:textId="1F8F319A"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Providers who prescribe MAT</w:t>
            </w:r>
            <w:r w:rsidR="009E4C42">
              <w:t>.</w:t>
            </w:r>
            <w:r w:rsidRPr="008F1CAB">
              <w:t xml:space="preserve"> </w:t>
            </w:r>
          </w:p>
        </w:tc>
      </w:tr>
      <w:tr w:rsidR="00C220BF" w:rsidRPr="008F1CAB" w14:paraId="4CCA42E3" w14:textId="77777777">
        <w:tc>
          <w:tcPr>
            <w:cnfStyle w:val="001000000000" w:firstRow="0" w:lastRow="0" w:firstColumn="1" w:lastColumn="0" w:oddVBand="0" w:evenVBand="0" w:oddHBand="0" w:evenHBand="0" w:firstRowFirstColumn="0" w:firstRowLastColumn="0" w:lastRowFirstColumn="0" w:lastRowLastColumn="0"/>
            <w:tcW w:w="2484" w:type="dxa"/>
          </w:tcPr>
          <w:p w14:paraId="493A9E50" w14:textId="77777777" w:rsidR="00C220BF" w:rsidRPr="008F1CAB" w:rsidRDefault="00C220BF">
            <w:r w:rsidRPr="008F1CAB">
              <w:t>Denominator</w:t>
            </w:r>
          </w:p>
        </w:tc>
        <w:tc>
          <w:tcPr>
            <w:tcW w:w="6860" w:type="dxa"/>
          </w:tcPr>
          <w:p w14:paraId="68D84B36"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N/A</w:t>
            </w:r>
          </w:p>
        </w:tc>
      </w:tr>
      <w:tr w:rsidR="00C220BF" w:rsidRPr="008F1CAB" w14:paraId="63BFA7C4" w14:textId="77777777">
        <w:tc>
          <w:tcPr>
            <w:cnfStyle w:val="001000000000" w:firstRow="0" w:lastRow="0" w:firstColumn="1" w:lastColumn="0" w:oddVBand="0" w:evenVBand="0" w:oddHBand="0" w:evenHBand="0" w:firstRowFirstColumn="0" w:firstRowLastColumn="0" w:lastRowFirstColumn="0" w:lastRowLastColumn="0"/>
            <w:tcW w:w="2484" w:type="dxa"/>
          </w:tcPr>
          <w:p w14:paraId="0674EA5E" w14:textId="77777777" w:rsidR="00C220BF" w:rsidRPr="008F1CAB" w:rsidRDefault="00C220BF">
            <w:r w:rsidRPr="008F1CAB">
              <w:t>Data Sources</w:t>
            </w:r>
          </w:p>
        </w:tc>
        <w:tc>
          <w:tcPr>
            <w:tcW w:w="6860" w:type="dxa"/>
          </w:tcPr>
          <w:p w14:paraId="4E4FBAD7"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MMIS claims/encounter data</w:t>
            </w:r>
          </w:p>
        </w:tc>
      </w:tr>
      <w:tr w:rsidR="00C220BF" w:rsidRPr="008F1CAB" w14:paraId="21AA79AC" w14:textId="77777777">
        <w:tc>
          <w:tcPr>
            <w:cnfStyle w:val="001000000000" w:firstRow="0" w:lastRow="0" w:firstColumn="1" w:lastColumn="0" w:oddVBand="0" w:evenVBand="0" w:oddHBand="0" w:evenHBand="0" w:firstRowFirstColumn="0" w:firstRowLastColumn="0" w:lastRowFirstColumn="0" w:lastRowLastColumn="0"/>
            <w:tcW w:w="2484" w:type="dxa"/>
          </w:tcPr>
          <w:p w14:paraId="4A93E5FD" w14:textId="77777777" w:rsidR="00C220BF" w:rsidRPr="008F1CAB" w:rsidRDefault="00C220BF">
            <w:r w:rsidRPr="008F1CAB">
              <w:t>National Benchmark</w:t>
            </w:r>
          </w:p>
        </w:tc>
        <w:tc>
          <w:tcPr>
            <w:tcW w:w="6860" w:type="dxa"/>
          </w:tcPr>
          <w:p w14:paraId="26EB084F"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None</w:t>
            </w:r>
          </w:p>
        </w:tc>
      </w:tr>
    </w:tbl>
    <w:p w14:paraId="240A6D17" w14:textId="77777777" w:rsidR="00C220BF" w:rsidRDefault="00C220BF" w:rsidP="00662F94">
      <w:pPr>
        <w:pStyle w:val="NoSpacing"/>
      </w:pPr>
    </w:p>
    <w:tbl>
      <w:tblPr>
        <w:tblStyle w:val="FHCclean10pt"/>
        <w:tblW w:w="0" w:type="auto"/>
        <w:tblLook w:val="04A0" w:firstRow="1" w:lastRow="0" w:firstColumn="1" w:lastColumn="0" w:noHBand="0" w:noVBand="1"/>
      </w:tblPr>
      <w:tblGrid>
        <w:gridCol w:w="2484"/>
        <w:gridCol w:w="6860"/>
      </w:tblGrid>
      <w:tr w:rsidR="00C220BF" w:rsidRPr="008F1CAB" w14:paraId="5B5FC15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3F07C846" w14:textId="77777777" w:rsidR="00C220BF" w:rsidRPr="008F1CAB" w:rsidRDefault="00C220BF">
            <w:r w:rsidRPr="00DB3492">
              <w:t>Measure:</w:t>
            </w:r>
          </w:p>
        </w:tc>
        <w:tc>
          <w:tcPr>
            <w:tcW w:w="6860" w:type="dxa"/>
          </w:tcPr>
          <w:p w14:paraId="289AF2C2" w14:textId="77777777" w:rsidR="00C220BF" w:rsidRPr="008F1CAB" w:rsidRDefault="00C220BF">
            <w:pPr>
              <w:cnfStyle w:val="100000000000" w:firstRow="1" w:lastRow="0" w:firstColumn="0" w:lastColumn="0" w:oddVBand="0" w:evenVBand="0" w:oddHBand="0" w:evenHBand="0" w:firstRowFirstColumn="0" w:firstRowLastColumn="0" w:lastRowFirstColumn="0" w:lastRowLastColumn="0"/>
            </w:pPr>
            <w:bookmarkStart w:id="286" w:name="_Hlk151293545"/>
            <w:r w:rsidRPr="000036C8">
              <w:t>Nonfatal Overdoses, Overall and Opioid-Related</w:t>
            </w:r>
            <w:bookmarkEnd w:id="286"/>
          </w:p>
        </w:tc>
      </w:tr>
      <w:tr w:rsidR="00C220BF" w:rsidRPr="00891A54" w14:paraId="53C6FA68" w14:textId="77777777">
        <w:tc>
          <w:tcPr>
            <w:cnfStyle w:val="001000000000" w:firstRow="0" w:lastRow="0" w:firstColumn="1" w:lastColumn="0" w:oddVBand="0" w:evenVBand="0" w:oddHBand="0" w:evenHBand="0" w:firstRowFirstColumn="0" w:firstRowLastColumn="0" w:lastRowFirstColumn="0" w:lastRowLastColumn="0"/>
            <w:tcW w:w="2484" w:type="dxa"/>
          </w:tcPr>
          <w:p w14:paraId="0388D750" w14:textId="77777777" w:rsidR="00C220BF" w:rsidRPr="00891A54" w:rsidRDefault="00C220BF">
            <w:r w:rsidRPr="00891A54">
              <w:t>Steward:</w:t>
            </w:r>
          </w:p>
        </w:tc>
        <w:tc>
          <w:tcPr>
            <w:tcW w:w="6860" w:type="dxa"/>
          </w:tcPr>
          <w:p w14:paraId="33B8CE16" w14:textId="7E0999F3" w:rsidR="00C220BF" w:rsidRPr="00891A54" w:rsidRDefault="00891A54">
            <w:pPr>
              <w:cnfStyle w:val="000000000000" w:firstRow="0" w:lastRow="0" w:firstColumn="0" w:lastColumn="0" w:oddVBand="0" w:evenVBand="0" w:oddHBand="0" w:evenHBand="0" w:firstRowFirstColumn="0" w:firstRowLastColumn="0" w:lastRowFirstColumn="0" w:lastRowLastColumn="0"/>
            </w:pPr>
            <w:r w:rsidRPr="00891A54">
              <w:t>None</w:t>
            </w:r>
          </w:p>
        </w:tc>
      </w:tr>
      <w:tr w:rsidR="00C220BF" w:rsidRPr="00891A54" w14:paraId="3BB39AE9" w14:textId="77777777">
        <w:tc>
          <w:tcPr>
            <w:cnfStyle w:val="001000000000" w:firstRow="0" w:lastRow="0" w:firstColumn="1" w:lastColumn="0" w:oddVBand="0" w:evenVBand="0" w:oddHBand="0" w:evenHBand="0" w:firstRowFirstColumn="0" w:firstRowLastColumn="0" w:lastRowFirstColumn="0" w:lastRowLastColumn="0"/>
            <w:tcW w:w="2484" w:type="dxa"/>
          </w:tcPr>
          <w:p w14:paraId="13814E83" w14:textId="77777777" w:rsidR="00C220BF" w:rsidRPr="00891A54" w:rsidRDefault="00C220BF">
            <w:r w:rsidRPr="00891A54">
              <w:t>NQF Endorsed:</w:t>
            </w:r>
          </w:p>
        </w:tc>
        <w:tc>
          <w:tcPr>
            <w:tcW w:w="6860" w:type="dxa"/>
          </w:tcPr>
          <w:p w14:paraId="62ADAC30" w14:textId="77777777" w:rsidR="00C220BF" w:rsidRPr="00891A54" w:rsidRDefault="00C220BF">
            <w:pPr>
              <w:cnfStyle w:val="000000000000" w:firstRow="0" w:lastRow="0" w:firstColumn="0" w:lastColumn="0" w:oddVBand="0" w:evenVBand="0" w:oddHBand="0" w:evenHBand="0" w:firstRowFirstColumn="0" w:firstRowLastColumn="0" w:lastRowFirstColumn="0" w:lastRowLastColumn="0"/>
            </w:pPr>
            <w:r w:rsidRPr="00891A54">
              <w:t>No</w:t>
            </w:r>
          </w:p>
        </w:tc>
      </w:tr>
      <w:tr w:rsidR="00C220BF" w:rsidRPr="00891A54" w14:paraId="75FD6D2F" w14:textId="77777777">
        <w:tc>
          <w:tcPr>
            <w:cnfStyle w:val="001000000000" w:firstRow="0" w:lastRow="0" w:firstColumn="1" w:lastColumn="0" w:oddVBand="0" w:evenVBand="0" w:oddHBand="0" w:evenHBand="0" w:firstRowFirstColumn="0" w:firstRowLastColumn="0" w:lastRowFirstColumn="0" w:lastRowLastColumn="0"/>
            <w:tcW w:w="2484" w:type="dxa"/>
          </w:tcPr>
          <w:p w14:paraId="744A9E94" w14:textId="77777777" w:rsidR="00C220BF" w:rsidRPr="00891A54" w:rsidRDefault="00C220BF">
            <w:r w:rsidRPr="00891A54">
              <w:t>Description</w:t>
            </w:r>
          </w:p>
        </w:tc>
        <w:tc>
          <w:tcPr>
            <w:tcW w:w="6860" w:type="dxa"/>
          </w:tcPr>
          <w:p w14:paraId="6DB28DF9" w14:textId="5462D141" w:rsidR="00C220BF" w:rsidRPr="00891A54" w:rsidRDefault="00C220BF">
            <w:pPr>
              <w:cnfStyle w:val="000000000000" w:firstRow="0" w:lastRow="0" w:firstColumn="0" w:lastColumn="0" w:oddVBand="0" w:evenVBand="0" w:oddHBand="0" w:evenHBand="0" w:firstRowFirstColumn="0" w:firstRowLastColumn="0" w:lastRowFirstColumn="0" w:lastRowLastColumn="0"/>
            </w:pPr>
            <w:r w:rsidRPr="00891A54">
              <w:t>Percentage of members who had a non-fatal overdose</w:t>
            </w:r>
            <w:r w:rsidR="009E4C42" w:rsidRPr="00891A54">
              <w:t>.</w:t>
            </w:r>
          </w:p>
        </w:tc>
      </w:tr>
      <w:tr w:rsidR="00C220BF" w:rsidRPr="00891A54" w14:paraId="22FA309D" w14:textId="77777777">
        <w:tc>
          <w:tcPr>
            <w:cnfStyle w:val="001000000000" w:firstRow="0" w:lastRow="0" w:firstColumn="1" w:lastColumn="0" w:oddVBand="0" w:evenVBand="0" w:oddHBand="0" w:evenHBand="0" w:firstRowFirstColumn="0" w:firstRowLastColumn="0" w:lastRowFirstColumn="0" w:lastRowLastColumn="0"/>
            <w:tcW w:w="2484" w:type="dxa"/>
          </w:tcPr>
          <w:p w14:paraId="16529B4A" w14:textId="77777777" w:rsidR="00C220BF" w:rsidRPr="00891A54" w:rsidRDefault="00C220BF">
            <w:r w:rsidRPr="00891A54">
              <w:t>Numerator</w:t>
            </w:r>
          </w:p>
        </w:tc>
        <w:tc>
          <w:tcPr>
            <w:tcW w:w="6860" w:type="dxa"/>
          </w:tcPr>
          <w:p w14:paraId="7A1C190E" w14:textId="2C90C03F" w:rsidR="00C220BF" w:rsidRPr="00891A54" w:rsidRDefault="00C220BF">
            <w:pPr>
              <w:cnfStyle w:val="000000000000" w:firstRow="0" w:lastRow="0" w:firstColumn="0" w:lastColumn="0" w:oddVBand="0" w:evenVBand="0" w:oddHBand="0" w:evenHBand="0" w:firstRowFirstColumn="0" w:firstRowLastColumn="0" w:lastRowFirstColumn="0" w:lastRowLastColumn="0"/>
            </w:pPr>
            <w:r w:rsidRPr="00891A54">
              <w:t xml:space="preserve">Total number of </w:t>
            </w:r>
            <w:r w:rsidR="009E4C42" w:rsidRPr="00891A54">
              <w:t>all-</w:t>
            </w:r>
            <w:r w:rsidRPr="00891A54">
              <w:t>cause and opioid-related nonfatal overdoses in MassHealth members</w:t>
            </w:r>
            <w:r w:rsidR="009E4C42" w:rsidRPr="00891A54">
              <w:t>.</w:t>
            </w:r>
          </w:p>
        </w:tc>
      </w:tr>
      <w:tr w:rsidR="00C220BF" w:rsidRPr="00891A54" w14:paraId="5B027D43" w14:textId="77777777">
        <w:tc>
          <w:tcPr>
            <w:cnfStyle w:val="001000000000" w:firstRow="0" w:lastRow="0" w:firstColumn="1" w:lastColumn="0" w:oddVBand="0" w:evenVBand="0" w:oddHBand="0" w:evenHBand="0" w:firstRowFirstColumn="0" w:firstRowLastColumn="0" w:lastRowFirstColumn="0" w:lastRowLastColumn="0"/>
            <w:tcW w:w="2484" w:type="dxa"/>
          </w:tcPr>
          <w:p w14:paraId="7327BAB1" w14:textId="77777777" w:rsidR="00C220BF" w:rsidRPr="00891A54" w:rsidRDefault="00C220BF">
            <w:r w:rsidRPr="00891A54">
              <w:t>Denominator</w:t>
            </w:r>
          </w:p>
        </w:tc>
        <w:tc>
          <w:tcPr>
            <w:tcW w:w="6860" w:type="dxa"/>
          </w:tcPr>
          <w:p w14:paraId="56321954" w14:textId="482BEFAD" w:rsidR="00C220BF" w:rsidRPr="00891A54" w:rsidRDefault="00C220BF">
            <w:pPr>
              <w:cnfStyle w:val="000000000000" w:firstRow="0" w:lastRow="0" w:firstColumn="0" w:lastColumn="0" w:oddVBand="0" w:evenVBand="0" w:oddHBand="0" w:evenHBand="0" w:firstRowFirstColumn="0" w:firstRowLastColumn="0" w:lastRowFirstColumn="0" w:lastRowLastColumn="0"/>
            </w:pPr>
            <w:r w:rsidRPr="00891A54">
              <w:t>Total number of MassHealth members</w:t>
            </w:r>
            <w:r w:rsidR="009E4C42" w:rsidRPr="00891A54">
              <w:t>.</w:t>
            </w:r>
          </w:p>
        </w:tc>
      </w:tr>
      <w:tr w:rsidR="00C220BF" w:rsidRPr="00891A54" w14:paraId="5F38187A" w14:textId="77777777">
        <w:tc>
          <w:tcPr>
            <w:cnfStyle w:val="001000000000" w:firstRow="0" w:lastRow="0" w:firstColumn="1" w:lastColumn="0" w:oddVBand="0" w:evenVBand="0" w:oddHBand="0" w:evenHBand="0" w:firstRowFirstColumn="0" w:firstRowLastColumn="0" w:lastRowFirstColumn="0" w:lastRowLastColumn="0"/>
            <w:tcW w:w="2484" w:type="dxa"/>
          </w:tcPr>
          <w:p w14:paraId="098C53B4" w14:textId="77777777" w:rsidR="00C220BF" w:rsidRPr="00891A54" w:rsidRDefault="00C220BF">
            <w:r w:rsidRPr="00891A54">
              <w:t>Data Sources</w:t>
            </w:r>
          </w:p>
        </w:tc>
        <w:tc>
          <w:tcPr>
            <w:tcW w:w="6860" w:type="dxa"/>
          </w:tcPr>
          <w:p w14:paraId="6773C421" w14:textId="77777777" w:rsidR="00C220BF" w:rsidRPr="00891A54" w:rsidRDefault="00C220BF">
            <w:pPr>
              <w:cnfStyle w:val="000000000000" w:firstRow="0" w:lastRow="0" w:firstColumn="0" w:lastColumn="0" w:oddVBand="0" w:evenVBand="0" w:oddHBand="0" w:evenHBand="0" w:firstRowFirstColumn="0" w:firstRowLastColumn="0" w:lastRowFirstColumn="0" w:lastRowLastColumn="0"/>
            </w:pPr>
            <w:r w:rsidRPr="00891A54">
              <w:t>MMIS claims/encounter data, Ch. 55 Public Health Dataset</w:t>
            </w:r>
          </w:p>
        </w:tc>
      </w:tr>
      <w:tr w:rsidR="00C220BF" w:rsidRPr="00891A54" w14:paraId="7AF1ED73" w14:textId="77777777">
        <w:tc>
          <w:tcPr>
            <w:cnfStyle w:val="001000000000" w:firstRow="0" w:lastRow="0" w:firstColumn="1" w:lastColumn="0" w:oddVBand="0" w:evenVBand="0" w:oddHBand="0" w:evenHBand="0" w:firstRowFirstColumn="0" w:firstRowLastColumn="0" w:lastRowFirstColumn="0" w:lastRowLastColumn="0"/>
            <w:tcW w:w="2484" w:type="dxa"/>
          </w:tcPr>
          <w:p w14:paraId="060FEF25" w14:textId="77777777" w:rsidR="00C220BF" w:rsidRPr="00891A54" w:rsidRDefault="00C220BF">
            <w:r w:rsidRPr="00891A54">
              <w:t>National Benchmark</w:t>
            </w:r>
          </w:p>
        </w:tc>
        <w:tc>
          <w:tcPr>
            <w:tcW w:w="6860" w:type="dxa"/>
          </w:tcPr>
          <w:p w14:paraId="2C56045B" w14:textId="77777777" w:rsidR="00C220BF" w:rsidRPr="00891A54" w:rsidRDefault="00C220BF">
            <w:pPr>
              <w:cnfStyle w:val="000000000000" w:firstRow="0" w:lastRow="0" w:firstColumn="0" w:lastColumn="0" w:oddVBand="0" w:evenVBand="0" w:oddHBand="0" w:evenHBand="0" w:firstRowFirstColumn="0" w:firstRowLastColumn="0" w:lastRowFirstColumn="0" w:lastRowLastColumn="0"/>
            </w:pPr>
            <w:r w:rsidRPr="00891A54">
              <w:t>None</w:t>
            </w:r>
          </w:p>
        </w:tc>
      </w:tr>
    </w:tbl>
    <w:p w14:paraId="2E2F3F2D" w14:textId="77777777" w:rsidR="00C220BF" w:rsidRPr="00891A54" w:rsidRDefault="00C220BF" w:rsidP="00662F94">
      <w:pPr>
        <w:pStyle w:val="NoSpacing"/>
      </w:pPr>
    </w:p>
    <w:tbl>
      <w:tblPr>
        <w:tblStyle w:val="FHCclean10pt"/>
        <w:tblW w:w="0" w:type="auto"/>
        <w:tblLook w:val="04A0" w:firstRow="1" w:lastRow="0" w:firstColumn="1" w:lastColumn="0" w:noHBand="0" w:noVBand="1"/>
      </w:tblPr>
      <w:tblGrid>
        <w:gridCol w:w="2484"/>
        <w:gridCol w:w="6860"/>
      </w:tblGrid>
      <w:tr w:rsidR="00C220BF" w:rsidRPr="00891A54" w14:paraId="469FD17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6597787D" w14:textId="77777777" w:rsidR="00C220BF" w:rsidRPr="00891A54" w:rsidRDefault="00C220BF">
            <w:r w:rsidRPr="00891A54">
              <w:t>Measure:</w:t>
            </w:r>
          </w:p>
        </w:tc>
        <w:tc>
          <w:tcPr>
            <w:tcW w:w="6860" w:type="dxa"/>
          </w:tcPr>
          <w:p w14:paraId="7EF636C3" w14:textId="77777777" w:rsidR="00C220BF" w:rsidRPr="00891A54" w:rsidRDefault="00C220BF">
            <w:pPr>
              <w:cnfStyle w:val="100000000000" w:firstRow="1" w:lastRow="0" w:firstColumn="0" w:lastColumn="0" w:oddVBand="0" w:evenVBand="0" w:oddHBand="0" w:evenHBand="0" w:firstRowFirstColumn="0" w:firstRowLastColumn="0" w:lastRowFirstColumn="0" w:lastRowLastColumn="0"/>
            </w:pPr>
            <w:bookmarkStart w:id="287" w:name="_Hlk151293555"/>
            <w:r w:rsidRPr="00891A54">
              <w:t xml:space="preserve">Overdose Deaths, Overall and Opioid-Related </w:t>
            </w:r>
            <w:bookmarkEnd w:id="287"/>
          </w:p>
        </w:tc>
      </w:tr>
      <w:tr w:rsidR="00C220BF" w:rsidRPr="008F1CAB" w14:paraId="539541B3" w14:textId="77777777">
        <w:tc>
          <w:tcPr>
            <w:cnfStyle w:val="001000000000" w:firstRow="0" w:lastRow="0" w:firstColumn="1" w:lastColumn="0" w:oddVBand="0" w:evenVBand="0" w:oddHBand="0" w:evenHBand="0" w:firstRowFirstColumn="0" w:firstRowLastColumn="0" w:lastRowFirstColumn="0" w:lastRowLastColumn="0"/>
            <w:tcW w:w="2484" w:type="dxa"/>
          </w:tcPr>
          <w:p w14:paraId="7C34DC4F" w14:textId="77777777" w:rsidR="00C220BF" w:rsidRPr="00891A54" w:rsidRDefault="00C220BF">
            <w:r w:rsidRPr="00891A54">
              <w:t>Steward:</w:t>
            </w:r>
          </w:p>
        </w:tc>
        <w:tc>
          <w:tcPr>
            <w:tcW w:w="6860" w:type="dxa"/>
          </w:tcPr>
          <w:p w14:paraId="12F4C77A" w14:textId="53E19A86" w:rsidR="00C220BF" w:rsidRPr="008F1CAB" w:rsidRDefault="00891A54">
            <w:pPr>
              <w:cnfStyle w:val="000000000000" w:firstRow="0" w:lastRow="0" w:firstColumn="0" w:lastColumn="0" w:oddVBand="0" w:evenVBand="0" w:oddHBand="0" w:evenHBand="0" w:firstRowFirstColumn="0" w:firstRowLastColumn="0" w:lastRowFirstColumn="0" w:lastRowLastColumn="0"/>
            </w:pPr>
            <w:r w:rsidRPr="00891A54">
              <w:t>None</w:t>
            </w:r>
          </w:p>
        </w:tc>
      </w:tr>
      <w:tr w:rsidR="00C220BF" w:rsidRPr="008F1CAB" w14:paraId="2145AFCC" w14:textId="77777777">
        <w:tc>
          <w:tcPr>
            <w:cnfStyle w:val="001000000000" w:firstRow="0" w:lastRow="0" w:firstColumn="1" w:lastColumn="0" w:oddVBand="0" w:evenVBand="0" w:oddHBand="0" w:evenHBand="0" w:firstRowFirstColumn="0" w:firstRowLastColumn="0" w:lastRowFirstColumn="0" w:lastRowLastColumn="0"/>
            <w:tcW w:w="2484" w:type="dxa"/>
          </w:tcPr>
          <w:p w14:paraId="20065A94" w14:textId="77777777" w:rsidR="00C220BF" w:rsidRPr="008F1CAB" w:rsidRDefault="00C220BF">
            <w:r w:rsidRPr="00DB3492">
              <w:t>NQF Endorsed:</w:t>
            </w:r>
          </w:p>
        </w:tc>
        <w:tc>
          <w:tcPr>
            <w:tcW w:w="6860" w:type="dxa"/>
          </w:tcPr>
          <w:p w14:paraId="2ECD9E7B"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t>No</w:t>
            </w:r>
          </w:p>
        </w:tc>
      </w:tr>
      <w:tr w:rsidR="00C220BF" w:rsidRPr="008F1CAB" w14:paraId="4565A7AA" w14:textId="77777777">
        <w:tc>
          <w:tcPr>
            <w:cnfStyle w:val="001000000000" w:firstRow="0" w:lastRow="0" w:firstColumn="1" w:lastColumn="0" w:oddVBand="0" w:evenVBand="0" w:oddHBand="0" w:evenHBand="0" w:firstRowFirstColumn="0" w:firstRowLastColumn="0" w:lastRowFirstColumn="0" w:lastRowLastColumn="0"/>
            <w:tcW w:w="2484" w:type="dxa"/>
          </w:tcPr>
          <w:p w14:paraId="0975FA28" w14:textId="77777777" w:rsidR="00C220BF" w:rsidRPr="008F1CAB" w:rsidRDefault="00C220BF">
            <w:r w:rsidRPr="008F1CAB">
              <w:t>Description</w:t>
            </w:r>
          </w:p>
        </w:tc>
        <w:tc>
          <w:tcPr>
            <w:tcW w:w="6860" w:type="dxa"/>
          </w:tcPr>
          <w:p w14:paraId="0E0A8A3B" w14:textId="00877F7C"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Percentage of members who had a fatal overdose</w:t>
            </w:r>
            <w:r w:rsidR="009E4C42">
              <w:t>.</w:t>
            </w:r>
          </w:p>
        </w:tc>
      </w:tr>
      <w:tr w:rsidR="00C220BF" w:rsidRPr="008F1CAB" w14:paraId="296CB5F5" w14:textId="77777777">
        <w:tc>
          <w:tcPr>
            <w:cnfStyle w:val="001000000000" w:firstRow="0" w:lastRow="0" w:firstColumn="1" w:lastColumn="0" w:oddVBand="0" w:evenVBand="0" w:oddHBand="0" w:evenHBand="0" w:firstRowFirstColumn="0" w:firstRowLastColumn="0" w:lastRowFirstColumn="0" w:lastRowLastColumn="0"/>
            <w:tcW w:w="2484" w:type="dxa"/>
          </w:tcPr>
          <w:p w14:paraId="67DE015E" w14:textId="77777777" w:rsidR="00C220BF" w:rsidRPr="008F1CAB" w:rsidRDefault="00C220BF">
            <w:r w:rsidRPr="008F1CAB">
              <w:t>Numerator</w:t>
            </w:r>
          </w:p>
        </w:tc>
        <w:tc>
          <w:tcPr>
            <w:tcW w:w="6860" w:type="dxa"/>
          </w:tcPr>
          <w:p w14:paraId="4AE76078" w14:textId="5896A1ED"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 xml:space="preserve">Total number of </w:t>
            </w:r>
            <w:r w:rsidR="009E4C42" w:rsidRPr="008F1CAB">
              <w:t>all</w:t>
            </w:r>
            <w:r w:rsidR="009E4C42">
              <w:t>-</w:t>
            </w:r>
            <w:r w:rsidRPr="008F1CAB">
              <w:t>cause and opioid-related fatal overdoses in MassHealth members</w:t>
            </w:r>
            <w:r w:rsidR="009E4C42">
              <w:t>.</w:t>
            </w:r>
          </w:p>
        </w:tc>
      </w:tr>
      <w:tr w:rsidR="00C220BF" w:rsidRPr="008F1CAB" w14:paraId="689EB02F" w14:textId="77777777">
        <w:tc>
          <w:tcPr>
            <w:cnfStyle w:val="001000000000" w:firstRow="0" w:lastRow="0" w:firstColumn="1" w:lastColumn="0" w:oddVBand="0" w:evenVBand="0" w:oddHBand="0" w:evenHBand="0" w:firstRowFirstColumn="0" w:firstRowLastColumn="0" w:lastRowFirstColumn="0" w:lastRowLastColumn="0"/>
            <w:tcW w:w="2484" w:type="dxa"/>
          </w:tcPr>
          <w:p w14:paraId="4A8D5417" w14:textId="77777777" w:rsidR="00C220BF" w:rsidRPr="008F1CAB" w:rsidRDefault="00C220BF">
            <w:r w:rsidRPr="008F1CAB">
              <w:t>Denominator</w:t>
            </w:r>
          </w:p>
        </w:tc>
        <w:tc>
          <w:tcPr>
            <w:tcW w:w="6860" w:type="dxa"/>
          </w:tcPr>
          <w:p w14:paraId="2ADFD943" w14:textId="64984CEC"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Total number of MassHealth members</w:t>
            </w:r>
            <w:r w:rsidR="009E4C42">
              <w:t>.</w:t>
            </w:r>
            <w:r w:rsidRPr="008F1CAB">
              <w:t xml:space="preserve"> </w:t>
            </w:r>
          </w:p>
        </w:tc>
      </w:tr>
      <w:tr w:rsidR="00C220BF" w:rsidRPr="008F1CAB" w14:paraId="1F17312B" w14:textId="77777777">
        <w:tc>
          <w:tcPr>
            <w:cnfStyle w:val="001000000000" w:firstRow="0" w:lastRow="0" w:firstColumn="1" w:lastColumn="0" w:oddVBand="0" w:evenVBand="0" w:oddHBand="0" w:evenHBand="0" w:firstRowFirstColumn="0" w:firstRowLastColumn="0" w:lastRowFirstColumn="0" w:lastRowLastColumn="0"/>
            <w:tcW w:w="2484" w:type="dxa"/>
          </w:tcPr>
          <w:p w14:paraId="2AD9FAE7" w14:textId="77777777" w:rsidR="00C220BF" w:rsidRPr="008F1CAB" w:rsidRDefault="00C220BF">
            <w:r w:rsidRPr="008F1CAB">
              <w:t>Data Sources</w:t>
            </w:r>
          </w:p>
        </w:tc>
        <w:tc>
          <w:tcPr>
            <w:tcW w:w="6860" w:type="dxa"/>
          </w:tcPr>
          <w:p w14:paraId="077B451D"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MMIS claims/encounter data, MA death records</w:t>
            </w:r>
          </w:p>
        </w:tc>
      </w:tr>
      <w:tr w:rsidR="00C220BF" w:rsidRPr="008F1CAB" w14:paraId="04F46B35" w14:textId="77777777">
        <w:tc>
          <w:tcPr>
            <w:cnfStyle w:val="001000000000" w:firstRow="0" w:lastRow="0" w:firstColumn="1" w:lastColumn="0" w:oddVBand="0" w:evenVBand="0" w:oddHBand="0" w:evenHBand="0" w:firstRowFirstColumn="0" w:firstRowLastColumn="0" w:lastRowFirstColumn="0" w:lastRowLastColumn="0"/>
            <w:tcW w:w="2484" w:type="dxa"/>
          </w:tcPr>
          <w:p w14:paraId="57C60AF9" w14:textId="77777777" w:rsidR="00C220BF" w:rsidRPr="008F1CAB" w:rsidRDefault="00C220BF">
            <w:r w:rsidRPr="008F1CAB">
              <w:t>National Benchmark</w:t>
            </w:r>
          </w:p>
        </w:tc>
        <w:tc>
          <w:tcPr>
            <w:tcW w:w="6860" w:type="dxa"/>
          </w:tcPr>
          <w:p w14:paraId="639FCFD1" w14:textId="77777777" w:rsidR="00C220BF" w:rsidRPr="008F1CAB" w:rsidRDefault="00C220BF">
            <w:pPr>
              <w:cnfStyle w:val="000000000000" w:firstRow="0" w:lastRow="0" w:firstColumn="0" w:lastColumn="0" w:oddVBand="0" w:evenVBand="0" w:oddHBand="0" w:evenHBand="0" w:firstRowFirstColumn="0" w:firstRowLastColumn="0" w:lastRowFirstColumn="0" w:lastRowLastColumn="0"/>
            </w:pPr>
            <w:r w:rsidRPr="008F1CAB">
              <w:t>None</w:t>
            </w:r>
          </w:p>
        </w:tc>
      </w:tr>
    </w:tbl>
    <w:p w14:paraId="2FC18168" w14:textId="77777777" w:rsidR="00C220BF" w:rsidRDefault="00C220BF" w:rsidP="00662F94">
      <w:pPr>
        <w:pStyle w:val="NoSpacing"/>
      </w:pPr>
    </w:p>
    <w:tbl>
      <w:tblPr>
        <w:tblStyle w:val="FHCclean10pt"/>
        <w:tblW w:w="0" w:type="auto"/>
        <w:tblLook w:val="04A0" w:firstRow="1" w:lastRow="0" w:firstColumn="1" w:lastColumn="0" w:noHBand="0" w:noVBand="1"/>
      </w:tblPr>
      <w:tblGrid>
        <w:gridCol w:w="2484"/>
        <w:gridCol w:w="6860"/>
      </w:tblGrid>
      <w:tr w:rsidR="00C220BF" w:rsidRPr="00F44630" w14:paraId="64C22FF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2D8E529E" w14:textId="77777777" w:rsidR="00C220BF" w:rsidRPr="00F44630" w:rsidRDefault="00C220BF">
            <w:r w:rsidRPr="00DB3492">
              <w:lastRenderedPageBreak/>
              <w:t>Measure:</w:t>
            </w:r>
          </w:p>
        </w:tc>
        <w:tc>
          <w:tcPr>
            <w:tcW w:w="6860" w:type="dxa"/>
          </w:tcPr>
          <w:p w14:paraId="48043716" w14:textId="25CEF863" w:rsidR="00C220BF" w:rsidRPr="00F44630" w:rsidRDefault="00C220BF">
            <w:pPr>
              <w:cnfStyle w:val="100000000000" w:firstRow="1" w:lastRow="0" w:firstColumn="0" w:lastColumn="0" w:oddVBand="0" w:evenVBand="0" w:oddHBand="0" w:evenHBand="0" w:firstRowFirstColumn="0" w:firstRowLastColumn="0" w:lastRowFirstColumn="0" w:lastRowLastColumn="0"/>
            </w:pPr>
            <w:r w:rsidRPr="000036C8">
              <w:t>Follow-Up After Hospitalization for Mental Illness (FUH) broken down by age (6-17, 18-64)</w:t>
            </w:r>
            <w:r>
              <w:br/>
            </w:r>
            <w:r w:rsidRPr="000036C8">
              <w:t>* MassHealth ACO Quality Measure</w:t>
            </w:r>
          </w:p>
        </w:tc>
      </w:tr>
      <w:tr w:rsidR="00C220BF" w:rsidRPr="00F44630" w14:paraId="1D6490B9" w14:textId="77777777">
        <w:tc>
          <w:tcPr>
            <w:cnfStyle w:val="001000000000" w:firstRow="0" w:lastRow="0" w:firstColumn="1" w:lastColumn="0" w:oddVBand="0" w:evenVBand="0" w:oddHBand="0" w:evenHBand="0" w:firstRowFirstColumn="0" w:firstRowLastColumn="0" w:lastRowFirstColumn="0" w:lastRowLastColumn="0"/>
            <w:tcW w:w="2484" w:type="dxa"/>
          </w:tcPr>
          <w:p w14:paraId="08B702EE" w14:textId="77777777" w:rsidR="00C220BF" w:rsidRPr="00F44630" w:rsidRDefault="00C220BF">
            <w:r w:rsidRPr="00DB3492">
              <w:t>Steward:</w:t>
            </w:r>
          </w:p>
        </w:tc>
        <w:tc>
          <w:tcPr>
            <w:tcW w:w="6860" w:type="dxa"/>
          </w:tcPr>
          <w:p w14:paraId="6FF82306"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0036C8">
              <w:t>National Committee for Quality Assurance (#0576)</w:t>
            </w:r>
          </w:p>
        </w:tc>
      </w:tr>
      <w:tr w:rsidR="00C220BF" w:rsidRPr="00F44630" w14:paraId="030AC008" w14:textId="77777777">
        <w:tc>
          <w:tcPr>
            <w:cnfStyle w:val="001000000000" w:firstRow="0" w:lastRow="0" w:firstColumn="1" w:lastColumn="0" w:oddVBand="0" w:evenVBand="0" w:oddHBand="0" w:evenHBand="0" w:firstRowFirstColumn="0" w:firstRowLastColumn="0" w:lastRowFirstColumn="0" w:lastRowLastColumn="0"/>
            <w:tcW w:w="2484" w:type="dxa"/>
          </w:tcPr>
          <w:p w14:paraId="3610C048" w14:textId="77777777" w:rsidR="00C220BF" w:rsidRPr="00F44630" w:rsidRDefault="00C220BF">
            <w:r w:rsidRPr="00DB3492">
              <w:t>NQF Endorsed:</w:t>
            </w:r>
          </w:p>
        </w:tc>
        <w:tc>
          <w:tcPr>
            <w:tcW w:w="6860" w:type="dxa"/>
          </w:tcPr>
          <w:p w14:paraId="3BAD510A"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t>Yes</w:t>
            </w:r>
          </w:p>
        </w:tc>
      </w:tr>
      <w:tr w:rsidR="00C220BF" w:rsidRPr="00F44630" w14:paraId="236B1182" w14:textId="77777777">
        <w:tc>
          <w:tcPr>
            <w:cnfStyle w:val="001000000000" w:firstRow="0" w:lastRow="0" w:firstColumn="1" w:lastColumn="0" w:oddVBand="0" w:evenVBand="0" w:oddHBand="0" w:evenHBand="0" w:firstRowFirstColumn="0" w:firstRowLastColumn="0" w:lastRowFirstColumn="0" w:lastRowLastColumn="0"/>
            <w:tcW w:w="2484" w:type="dxa"/>
          </w:tcPr>
          <w:p w14:paraId="4E75ACC0" w14:textId="77777777" w:rsidR="00C220BF" w:rsidRPr="00F44630" w:rsidRDefault="00C220BF">
            <w:r w:rsidRPr="00F44630">
              <w:t>Description</w:t>
            </w:r>
          </w:p>
        </w:tc>
        <w:tc>
          <w:tcPr>
            <w:tcW w:w="6860" w:type="dxa"/>
          </w:tcPr>
          <w:p w14:paraId="13712449"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The percentage of discharges for members 6 years of age and older who were hospitalized for treatment of selected mental illness or intentional self-harm diagnoses and who had a follow-up visit with a mental health provider. Two rates are reported:</w:t>
            </w:r>
          </w:p>
          <w:p w14:paraId="7689C987" w14:textId="77777777" w:rsidR="00C220BF" w:rsidRPr="00F44630"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F44630">
              <w:t>The percentage of discharges for which the member received follow-up within 30 days after discharge.</w:t>
            </w:r>
          </w:p>
          <w:p w14:paraId="1F05250C" w14:textId="101BA80A" w:rsidR="00C220BF" w:rsidRPr="00F44630"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F44630">
              <w:t xml:space="preserve">The percentage of discharges for which the member received follow-up within </w:t>
            </w:r>
            <w:r w:rsidR="005B47F7">
              <w:t>seven days</w:t>
            </w:r>
            <w:r w:rsidRPr="00F44630">
              <w:t xml:space="preserve"> after discharge.</w:t>
            </w:r>
          </w:p>
        </w:tc>
      </w:tr>
      <w:tr w:rsidR="00C220BF" w:rsidRPr="00F44630" w14:paraId="7137D44A" w14:textId="77777777">
        <w:tc>
          <w:tcPr>
            <w:cnfStyle w:val="001000000000" w:firstRow="0" w:lastRow="0" w:firstColumn="1" w:lastColumn="0" w:oddVBand="0" w:evenVBand="0" w:oddHBand="0" w:evenHBand="0" w:firstRowFirstColumn="0" w:firstRowLastColumn="0" w:lastRowFirstColumn="0" w:lastRowLastColumn="0"/>
            <w:tcW w:w="2484" w:type="dxa"/>
          </w:tcPr>
          <w:p w14:paraId="5D8B5B07" w14:textId="77777777" w:rsidR="00C220BF" w:rsidRPr="00F44630" w:rsidRDefault="00C220BF">
            <w:r w:rsidRPr="00F44630">
              <w:t>Numerator</w:t>
            </w:r>
          </w:p>
        </w:tc>
        <w:tc>
          <w:tcPr>
            <w:tcW w:w="6860" w:type="dxa"/>
          </w:tcPr>
          <w:p w14:paraId="462FFB3A" w14:textId="77777777" w:rsidR="00C220BF" w:rsidRPr="00F44630"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F44630">
              <w:t>30-Day Follow-Up: A follow-up visit with a mental health provider within 30 days after discharge.</w:t>
            </w:r>
          </w:p>
          <w:p w14:paraId="39C5B830" w14:textId="100A3258" w:rsidR="00C220BF" w:rsidRPr="00F44630"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F44630">
              <w:t xml:space="preserve">7-Day Follow-Up: A follow-up visit with a mental health provider within </w:t>
            </w:r>
            <w:r w:rsidR="009E4C42">
              <w:t>seven</w:t>
            </w:r>
            <w:r w:rsidR="009E4C42" w:rsidRPr="00F44630">
              <w:t xml:space="preserve"> </w:t>
            </w:r>
            <w:r w:rsidRPr="00F44630">
              <w:t>days after discharge</w:t>
            </w:r>
          </w:p>
        </w:tc>
      </w:tr>
      <w:tr w:rsidR="00C220BF" w:rsidRPr="00F44630" w14:paraId="49C03B2D" w14:textId="77777777">
        <w:tc>
          <w:tcPr>
            <w:cnfStyle w:val="001000000000" w:firstRow="0" w:lastRow="0" w:firstColumn="1" w:lastColumn="0" w:oddVBand="0" w:evenVBand="0" w:oddHBand="0" w:evenHBand="0" w:firstRowFirstColumn="0" w:firstRowLastColumn="0" w:lastRowFirstColumn="0" w:lastRowLastColumn="0"/>
            <w:tcW w:w="2484" w:type="dxa"/>
          </w:tcPr>
          <w:p w14:paraId="05D80655" w14:textId="77777777" w:rsidR="00C220BF" w:rsidRPr="00F44630" w:rsidRDefault="00C220BF">
            <w:r w:rsidRPr="00F44630">
              <w:t>Denominator</w:t>
            </w:r>
          </w:p>
        </w:tc>
        <w:tc>
          <w:tcPr>
            <w:tcW w:w="6860" w:type="dxa"/>
          </w:tcPr>
          <w:p w14:paraId="4B77B0A3" w14:textId="71A3B98A"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Discharges from an acute inpatient setting with a principal diagnosis of mental illness or intentional self-harm on the discharge claim during the first 11 months of the measurement year (i.e.</w:t>
            </w:r>
            <w:r w:rsidR="009E4C42">
              <w:t>,</w:t>
            </w:r>
            <w:r w:rsidRPr="00F44630">
              <w:t xml:space="preserve"> January 1 to December 1) for members 6 years and older.</w:t>
            </w:r>
          </w:p>
        </w:tc>
      </w:tr>
      <w:tr w:rsidR="00C220BF" w:rsidRPr="00F44630" w14:paraId="2FE07A07" w14:textId="77777777">
        <w:tc>
          <w:tcPr>
            <w:cnfStyle w:val="001000000000" w:firstRow="0" w:lastRow="0" w:firstColumn="1" w:lastColumn="0" w:oddVBand="0" w:evenVBand="0" w:oddHBand="0" w:evenHBand="0" w:firstRowFirstColumn="0" w:firstRowLastColumn="0" w:lastRowFirstColumn="0" w:lastRowLastColumn="0"/>
            <w:tcW w:w="2484" w:type="dxa"/>
          </w:tcPr>
          <w:p w14:paraId="6EAAFEA4" w14:textId="77777777" w:rsidR="00C220BF" w:rsidRPr="00F44630" w:rsidRDefault="00C220BF">
            <w:r w:rsidRPr="00F44630">
              <w:t>Data Sources</w:t>
            </w:r>
          </w:p>
        </w:tc>
        <w:tc>
          <w:tcPr>
            <w:tcW w:w="6860" w:type="dxa"/>
          </w:tcPr>
          <w:p w14:paraId="30F7DCDB"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Medicaid claims/encounters data</w:t>
            </w:r>
          </w:p>
        </w:tc>
      </w:tr>
      <w:tr w:rsidR="00C220BF" w:rsidRPr="00786BB0" w14:paraId="1034931D" w14:textId="77777777">
        <w:tc>
          <w:tcPr>
            <w:cnfStyle w:val="001000000000" w:firstRow="0" w:lastRow="0" w:firstColumn="1" w:lastColumn="0" w:oddVBand="0" w:evenVBand="0" w:oddHBand="0" w:evenHBand="0" w:firstRowFirstColumn="0" w:firstRowLastColumn="0" w:lastRowFirstColumn="0" w:lastRowLastColumn="0"/>
            <w:tcW w:w="2484" w:type="dxa"/>
          </w:tcPr>
          <w:p w14:paraId="51B6286C" w14:textId="77777777" w:rsidR="00C220BF" w:rsidRPr="00F44630" w:rsidRDefault="00C220BF">
            <w:r w:rsidRPr="00F44630">
              <w:t>National Benchmark</w:t>
            </w:r>
          </w:p>
        </w:tc>
        <w:tc>
          <w:tcPr>
            <w:tcW w:w="6860" w:type="dxa"/>
          </w:tcPr>
          <w:p w14:paraId="543994D2" w14:textId="723A21F9"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 xml:space="preserve">2021 Medicaid HMO for follow-up within </w:t>
            </w:r>
            <w:r w:rsidR="00F75DE8">
              <w:t>seven</w:t>
            </w:r>
            <w:r w:rsidR="00F75DE8" w:rsidRPr="00F44630">
              <w:t xml:space="preserve"> </w:t>
            </w:r>
            <w:r w:rsidRPr="00F44630">
              <w:t>days post-discharge= 38.4%</w:t>
            </w:r>
          </w:p>
          <w:p w14:paraId="400F111C"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2021 Medicaid HMO for follow-up within 30 days post-discharge = 58.7%</w:t>
            </w:r>
          </w:p>
          <w:p w14:paraId="1D102A54" w14:textId="56A885BB" w:rsidR="00C220BF" w:rsidRPr="00EC21C0" w:rsidRDefault="00C220BF">
            <w:pPr>
              <w:cnfStyle w:val="000000000000" w:firstRow="0" w:lastRow="0" w:firstColumn="0" w:lastColumn="0" w:oddVBand="0" w:evenVBand="0" w:oddHBand="0" w:evenHBand="0" w:firstRowFirstColumn="0" w:firstRowLastColumn="0" w:lastRowFirstColumn="0" w:lastRowLastColumn="0"/>
              <w:rPr>
                <w:lang w:val="fr-FR"/>
              </w:rPr>
            </w:pPr>
            <w:r w:rsidRPr="00EC21C0">
              <w:rPr>
                <w:lang w:val="fr-FR"/>
              </w:rPr>
              <w:t xml:space="preserve">Source: </w:t>
            </w:r>
            <w:hyperlink r:id="rId66" w:history="1">
              <w:r w:rsidR="005F5CC3" w:rsidRPr="00EC21C0">
                <w:rPr>
                  <w:rStyle w:val="Hyperlink"/>
                  <w:lang w:val="fr-FR"/>
                </w:rPr>
                <w:t>https://www.ncqa.org/hedis/measures/follow-up-after-hospitalization-for-mental-illness/</w:t>
              </w:r>
            </w:hyperlink>
            <w:r w:rsidR="005F5CC3" w:rsidRPr="00EC21C0">
              <w:rPr>
                <w:lang w:val="fr-FR"/>
              </w:rPr>
              <w:t xml:space="preserve"> </w:t>
            </w:r>
          </w:p>
        </w:tc>
      </w:tr>
    </w:tbl>
    <w:p w14:paraId="400DB85C" w14:textId="77777777" w:rsidR="005139D7" w:rsidRDefault="005139D7" w:rsidP="00D35F44">
      <w:pPr>
        <w:pStyle w:val="Heading5"/>
      </w:pPr>
    </w:p>
    <w:p w14:paraId="2F1448EB" w14:textId="583D16A0" w:rsidR="00C220BF" w:rsidRPr="0030061F" w:rsidRDefault="00C220BF" w:rsidP="00D35F44">
      <w:pPr>
        <w:pStyle w:val="Heading5"/>
        <w:rPr>
          <w:b/>
          <w:bCs/>
        </w:rPr>
      </w:pPr>
      <w:r w:rsidRPr="0030061F">
        <w:rPr>
          <w:b/>
          <w:bCs/>
        </w:rPr>
        <w:t xml:space="preserve">Chapter 5: </w:t>
      </w:r>
      <w:r w:rsidR="00614FFB" w:rsidRPr="0030061F">
        <w:rPr>
          <w:b/>
          <w:bCs/>
        </w:rPr>
        <w:fldChar w:fldCharType="begin"/>
      </w:r>
      <w:r w:rsidR="00614FFB" w:rsidRPr="0030061F">
        <w:rPr>
          <w:b/>
          <w:bCs/>
        </w:rPr>
        <w:instrText xml:space="preserve"> REF _Ref142920823 \h </w:instrText>
      </w:r>
      <w:r w:rsidR="0030061F">
        <w:rPr>
          <w:b/>
          <w:bCs/>
        </w:rPr>
        <w:instrText xml:space="preserve"> \* MERGEFORMAT </w:instrText>
      </w:r>
      <w:r w:rsidR="00614FFB" w:rsidRPr="0030061F">
        <w:rPr>
          <w:b/>
          <w:bCs/>
        </w:rPr>
      </w:r>
      <w:r w:rsidR="00614FFB" w:rsidRPr="0030061F">
        <w:rPr>
          <w:b/>
          <w:bCs/>
        </w:rPr>
        <w:fldChar w:fldCharType="separate"/>
      </w:r>
      <w:r w:rsidR="00EB7B05" w:rsidRPr="0030061F">
        <w:rPr>
          <w:b/>
          <w:bCs/>
        </w:rPr>
        <w:t>Safety Net Care Pool</w:t>
      </w:r>
      <w:r w:rsidR="00614FFB" w:rsidRPr="0030061F">
        <w:rPr>
          <w:b/>
          <w:bCs/>
        </w:rPr>
        <w:fldChar w:fldCharType="end"/>
      </w:r>
    </w:p>
    <w:tbl>
      <w:tblPr>
        <w:tblStyle w:val="FHCclean10pt"/>
        <w:tblW w:w="0" w:type="auto"/>
        <w:tblLook w:val="04A0" w:firstRow="1" w:lastRow="0" w:firstColumn="1" w:lastColumn="0" w:noHBand="0" w:noVBand="1"/>
      </w:tblPr>
      <w:tblGrid>
        <w:gridCol w:w="2484"/>
        <w:gridCol w:w="6860"/>
      </w:tblGrid>
      <w:tr w:rsidR="00C220BF" w:rsidRPr="00F44630" w14:paraId="7766EB4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383E2AD3" w14:textId="77777777" w:rsidR="00C220BF" w:rsidRPr="00F44630" w:rsidRDefault="00C220BF">
            <w:r w:rsidRPr="00DB3492">
              <w:t>Measure:</w:t>
            </w:r>
          </w:p>
        </w:tc>
        <w:tc>
          <w:tcPr>
            <w:tcW w:w="6860" w:type="dxa"/>
          </w:tcPr>
          <w:p w14:paraId="43FDB71F" w14:textId="2AC19B6D" w:rsidR="00C220BF" w:rsidRPr="00F44630" w:rsidRDefault="00C220BF">
            <w:pPr>
              <w:cnfStyle w:val="100000000000" w:firstRow="1" w:lastRow="0" w:firstColumn="0" w:lastColumn="0" w:oddVBand="0" w:evenVBand="0" w:oddHBand="0" w:evenHBand="0" w:firstRowFirstColumn="0" w:firstRowLastColumn="0" w:lastRowFirstColumn="0" w:lastRowLastColumn="0"/>
            </w:pPr>
            <w:r w:rsidRPr="000036C8">
              <w:t>Developmental Screening in the First 3 Years of Life</w:t>
            </w:r>
            <w:r>
              <w:br/>
            </w:r>
            <w:r w:rsidRPr="000036C8">
              <w:t xml:space="preserve">*MassHealth ACO </w:t>
            </w:r>
            <w:r>
              <w:t>Q</w:t>
            </w:r>
            <w:r w:rsidRPr="000036C8">
              <w:t xml:space="preserve">uality </w:t>
            </w:r>
            <w:r>
              <w:t>M</w:t>
            </w:r>
            <w:r w:rsidRPr="000036C8">
              <w:t>easure</w:t>
            </w:r>
          </w:p>
        </w:tc>
      </w:tr>
      <w:tr w:rsidR="00C220BF" w:rsidRPr="00F44630" w14:paraId="6CFC65F5" w14:textId="77777777">
        <w:tc>
          <w:tcPr>
            <w:cnfStyle w:val="001000000000" w:firstRow="0" w:lastRow="0" w:firstColumn="1" w:lastColumn="0" w:oddVBand="0" w:evenVBand="0" w:oddHBand="0" w:evenHBand="0" w:firstRowFirstColumn="0" w:firstRowLastColumn="0" w:lastRowFirstColumn="0" w:lastRowLastColumn="0"/>
            <w:tcW w:w="2484" w:type="dxa"/>
          </w:tcPr>
          <w:p w14:paraId="425C62B9" w14:textId="77777777" w:rsidR="00C220BF" w:rsidRPr="00F44630" w:rsidRDefault="00C220BF">
            <w:r w:rsidRPr="00DB3492">
              <w:t>Steward:</w:t>
            </w:r>
          </w:p>
        </w:tc>
        <w:tc>
          <w:tcPr>
            <w:tcW w:w="6860" w:type="dxa"/>
          </w:tcPr>
          <w:p w14:paraId="6D4436EF"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0036C8">
              <w:t>National Committee for Quality Assurance (#1448)</w:t>
            </w:r>
          </w:p>
        </w:tc>
      </w:tr>
      <w:tr w:rsidR="00C220BF" w:rsidRPr="00F44630" w14:paraId="521BA9DA" w14:textId="77777777">
        <w:tc>
          <w:tcPr>
            <w:cnfStyle w:val="001000000000" w:firstRow="0" w:lastRow="0" w:firstColumn="1" w:lastColumn="0" w:oddVBand="0" w:evenVBand="0" w:oddHBand="0" w:evenHBand="0" w:firstRowFirstColumn="0" w:firstRowLastColumn="0" w:lastRowFirstColumn="0" w:lastRowLastColumn="0"/>
            <w:tcW w:w="2484" w:type="dxa"/>
          </w:tcPr>
          <w:p w14:paraId="29E06104" w14:textId="77777777" w:rsidR="00C220BF" w:rsidRPr="00F44630" w:rsidRDefault="00C220BF">
            <w:r w:rsidRPr="00DB3492">
              <w:t>NQF Endorsed:</w:t>
            </w:r>
          </w:p>
        </w:tc>
        <w:tc>
          <w:tcPr>
            <w:tcW w:w="6860" w:type="dxa"/>
          </w:tcPr>
          <w:p w14:paraId="1FF6976B"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t>No</w:t>
            </w:r>
          </w:p>
        </w:tc>
      </w:tr>
      <w:tr w:rsidR="00C220BF" w:rsidRPr="00F44630" w14:paraId="7387E6B6" w14:textId="77777777">
        <w:tc>
          <w:tcPr>
            <w:cnfStyle w:val="001000000000" w:firstRow="0" w:lastRow="0" w:firstColumn="1" w:lastColumn="0" w:oddVBand="0" w:evenVBand="0" w:oddHBand="0" w:evenHBand="0" w:firstRowFirstColumn="0" w:firstRowLastColumn="0" w:lastRowFirstColumn="0" w:lastRowLastColumn="0"/>
            <w:tcW w:w="2484" w:type="dxa"/>
          </w:tcPr>
          <w:p w14:paraId="0A500310" w14:textId="77777777" w:rsidR="00C220BF" w:rsidRPr="00F44630" w:rsidRDefault="00C220BF">
            <w:r w:rsidRPr="00F44630">
              <w:t>Description</w:t>
            </w:r>
          </w:p>
        </w:tc>
        <w:tc>
          <w:tcPr>
            <w:tcW w:w="6860" w:type="dxa"/>
          </w:tcPr>
          <w:p w14:paraId="3A9241BF" w14:textId="0EDAA2B4"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 xml:space="preserve">The percentage of children </w:t>
            </w:r>
            <w:r w:rsidR="00F75DE8">
              <w:t>1</w:t>
            </w:r>
            <w:r w:rsidRPr="00F44630">
              <w:t xml:space="preserve">, </w:t>
            </w:r>
            <w:r w:rsidR="00F75DE8">
              <w:t>2</w:t>
            </w:r>
            <w:r w:rsidRPr="00F44630">
              <w:t xml:space="preserve">, and </w:t>
            </w:r>
            <w:r w:rsidR="00F75DE8">
              <w:t>3</w:t>
            </w:r>
            <w:r w:rsidR="00F75DE8" w:rsidRPr="00F44630">
              <w:t xml:space="preserve"> </w:t>
            </w:r>
            <w:r w:rsidRPr="00F44630">
              <w:t xml:space="preserve">years </w:t>
            </w:r>
            <w:r w:rsidR="004D2FD7">
              <w:t xml:space="preserve">of </w:t>
            </w:r>
            <w:r w:rsidR="004D2FD7" w:rsidRPr="00F44630">
              <w:t xml:space="preserve">age </w:t>
            </w:r>
            <w:r w:rsidRPr="00F44630">
              <w:t>who had a developmental screening performed</w:t>
            </w:r>
            <w:r w:rsidR="004D2FD7">
              <w:t>.</w:t>
            </w:r>
          </w:p>
          <w:p w14:paraId="17F11A6D" w14:textId="74A08AAF" w:rsidR="00C220BF" w:rsidRPr="00F44630" w:rsidRDefault="00F75DE8">
            <w:pPr>
              <w:cnfStyle w:val="000000000000" w:firstRow="0" w:lastRow="0" w:firstColumn="0" w:lastColumn="0" w:oddVBand="0" w:evenVBand="0" w:oddHBand="0" w:evenHBand="0" w:firstRowFirstColumn="0" w:firstRowLastColumn="0" w:lastRowFirstColumn="0" w:lastRowLastColumn="0"/>
            </w:pPr>
            <w:r>
              <w:t>Three</w:t>
            </w:r>
            <w:r w:rsidRPr="00F44630">
              <w:t xml:space="preserve"> </w:t>
            </w:r>
            <w:r w:rsidR="00C220BF" w:rsidRPr="00F44630">
              <w:t xml:space="preserve">Rates – </w:t>
            </w:r>
          </w:p>
          <w:p w14:paraId="178F7981" w14:textId="77777777" w:rsidR="00C220BF" w:rsidRPr="00F44630"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F44630">
              <w:t>Rate 1: Developmental Screening by Child’s First Birthday</w:t>
            </w:r>
          </w:p>
          <w:p w14:paraId="7634FC49" w14:textId="77777777" w:rsidR="00C220BF" w:rsidRPr="00F44630"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F44630">
              <w:t>Rate 2: Developmental Screening by Child’s Second Birthday</w:t>
            </w:r>
          </w:p>
          <w:p w14:paraId="69BF8616" w14:textId="77777777" w:rsidR="00C220BF" w:rsidRPr="00F44630"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F44630">
              <w:t>Rate 3: Developmental Screening by Child’s Third Birthday</w:t>
            </w:r>
          </w:p>
        </w:tc>
      </w:tr>
      <w:tr w:rsidR="00C220BF" w:rsidRPr="00F44630" w14:paraId="0906799A" w14:textId="77777777">
        <w:tc>
          <w:tcPr>
            <w:cnfStyle w:val="001000000000" w:firstRow="0" w:lastRow="0" w:firstColumn="1" w:lastColumn="0" w:oddVBand="0" w:evenVBand="0" w:oddHBand="0" w:evenHBand="0" w:firstRowFirstColumn="0" w:firstRowLastColumn="0" w:lastRowFirstColumn="0" w:lastRowLastColumn="0"/>
            <w:tcW w:w="2484" w:type="dxa"/>
          </w:tcPr>
          <w:p w14:paraId="3FAAC376" w14:textId="77777777" w:rsidR="00C220BF" w:rsidRPr="00F44630" w:rsidRDefault="00C220BF">
            <w:r w:rsidRPr="00F44630">
              <w:t>Numerator</w:t>
            </w:r>
          </w:p>
        </w:tc>
        <w:tc>
          <w:tcPr>
            <w:tcW w:w="6860" w:type="dxa"/>
          </w:tcPr>
          <w:p w14:paraId="15195CB6" w14:textId="02FC52B3"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Children who had documentation of a developmental screening (screening for risk of developmental, behavioral, and social delays) using a standardized tool by their first, second, and third birthdays</w:t>
            </w:r>
            <w:r w:rsidR="004D2FD7">
              <w:t>.</w:t>
            </w:r>
          </w:p>
        </w:tc>
      </w:tr>
      <w:tr w:rsidR="00C220BF" w:rsidRPr="00F44630" w14:paraId="4F8B9DB5" w14:textId="77777777">
        <w:tc>
          <w:tcPr>
            <w:cnfStyle w:val="001000000000" w:firstRow="0" w:lastRow="0" w:firstColumn="1" w:lastColumn="0" w:oddVBand="0" w:evenVBand="0" w:oddHBand="0" w:evenHBand="0" w:firstRowFirstColumn="0" w:firstRowLastColumn="0" w:lastRowFirstColumn="0" w:lastRowLastColumn="0"/>
            <w:tcW w:w="2484" w:type="dxa"/>
          </w:tcPr>
          <w:p w14:paraId="5873C75C" w14:textId="77777777" w:rsidR="00C220BF" w:rsidRPr="00F44630" w:rsidRDefault="00C220BF">
            <w:r w:rsidRPr="00F44630">
              <w:t>Denominator</w:t>
            </w:r>
          </w:p>
        </w:tc>
        <w:tc>
          <w:tcPr>
            <w:tcW w:w="6860" w:type="dxa"/>
          </w:tcPr>
          <w:p w14:paraId="6CB3FA06" w14:textId="4DF55DB9"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 xml:space="preserve">Children with a visit who turned </w:t>
            </w:r>
            <w:r w:rsidR="004D2FD7">
              <w:t>1</w:t>
            </w:r>
            <w:r w:rsidR="004D2FD7" w:rsidRPr="00F44630">
              <w:t xml:space="preserve">, </w:t>
            </w:r>
            <w:r w:rsidR="004D2FD7">
              <w:t>2</w:t>
            </w:r>
            <w:r w:rsidR="004D2FD7" w:rsidRPr="00F44630">
              <w:t xml:space="preserve">, and </w:t>
            </w:r>
            <w:r w:rsidR="004D2FD7">
              <w:t>3</w:t>
            </w:r>
            <w:r w:rsidR="004D2FD7" w:rsidRPr="00F44630">
              <w:t xml:space="preserve"> </w:t>
            </w:r>
            <w:r w:rsidRPr="00F44630">
              <w:t>years of age</w:t>
            </w:r>
            <w:r w:rsidR="004D2FD7">
              <w:t>.</w:t>
            </w:r>
          </w:p>
        </w:tc>
      </w:tr>
      <w:tr w:rsidR="00C220BF" w:rsidRPr="00F44630" w14:paraId="74E14738" w14:textId="77777777">
        <w:tc>
          <w:tcPr>
            <w:cnfStyle w:val="001000000000" w:firstRow="0" w:lastRow="0" w:firstColumn="1" w:lastColumn="0" w:oddVBand="0" w:evenVBand="0" w:oddHBand="0" w:evenHBand="0" w:firstRowFirstColumn="0" w:firstRowLastColumn="0" w:lastRowFirstColumn="0" w:lastRowLastColumn="0"/>
            <w:tcW w:w="2484" w:type="dxa"/>
          </w:tcPr>
          <w:p w14:paraId="3A2E0764" w14:textId="77777777" w:rsidR="00C220BF" w:rsidRPr="00F44630" w:rsidRDefault="00C220BF">
            <w:r w:rsidRPr="00F44630">
              <w:lastRenderedPageBreak/>
              <w:t>Data Sources</w:t>
            </w:r>
          </w:p>
        </w:tc>
        <w:tc>
          <w:tcPr>
            <w:tcW w:w="6860" w:type="dxa"/>
          </w:tcPr>
          <w:p w14:paraId="12DE4A9E"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Hybrid/Medicaid claims/encounters data</w:t>
            </w:r>
          </w:p>
        </w:tc>
      </w:tr>
      <w:tr w:rsidR="00C220BF" w:rsidRPr="00F44630" w14:paraId="78BCB5BC" w14:textId="77777777">
        <w:tc>
          <w:tcPr>
            <w:cnfStyle w:val="001000000000" w:firstRow="0" w:lastRow="0" w:firstColumn="1" w:lastColumn="0" w:oddVBand="0" w:evenVBand="0" w:oddHBand="0" w:evenHBand="0" w:firstRowFirstColumn="0" w:firstRowLastColumn="0" w:lastRowFirstColumn="0" w:lastRowLastColumn="0"/>
            <w:tcW w:w="2484" w:type="dxa"/>
          </w:tcPr>
          <w:p w14:paraId="0176158D" w14:textId="77777777" w:rsidR="00C220BF" w:rsidRPr="00F44630" w:rsidRDefault="00C220BF">
            <w:r w:rsidRPr="00F44630">
              <w:t>National Benchmark</w:t>
            </w:r>
          </w:p>
        </w:tc>
        <w:tc>
          <w:tcPr>
            <w:tcW w:w="6860" w:type="dxa"/>
          </w:tcPr>
          <w:p w14:paraId="2A256C69"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None</w:t>
            </w:r>
          </w:p>
        </w:tc>
      </w:tr>
    </w:tbl>
    <w:p w14:paraId="7A94DE79" w14:textId="77777777" w:rsidR="00C220BF" w:rsidRDefault="00C220BF" w:rsidP="009122F2">
      <w:pPr>
        <w:pStyle w:val="NoSpacing"/>
      </w:pPr>
    </w:p>
    <w:tbl>
      <w:tblPr>
        <w:tblStyle w:val="FHCclean10pt"/>
        <w:tblW w:w="0" w:type="auto"/>
        <w:tblLook w:val="04A0" w:firstRow="1" w:lastRow="0" w:firstColumn="1" w:lastColumn="0" w:noHBand="0" w:noVBand="1"/>
      </w:tblPr>
      <w:tblGrid>
        <w:gridCol w:w="2484"/>
        <w:gridCol w:w="6860"/>
      </w:tblGrid>
      <w:tr w:rsidR="00C220BF" w:rsidRPr="00F44630" w14:paraId="25498D2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3C27C337" w14:textId="77777777" w:rsidR="00C220BF" w:rsidRPr="00F44630" w:rsidRDefault="00C220BF">
            <w:r w:rsidRPr="00DB3492">
              <w:t>Measure:</w:t>
            </w:r>
          </w:p>
        </w:tc>
        <w:tc>
          <w:tcPr>
            <w:tcW w:w="6860" w:type="dxa"/>
          </w:tcPr>
          <w:p w14:paraId="5C78E72D" w14:textId="77777777" w:rsidR="00C220BF" w:rsidRPr="00F44630" w:rsidRDefault="00C220BF">
            <w:pPr>
              <w:cnfStyle w:val="100000000000" w:firstRow="1" w:lastRow="0" w:firstColumn="0" w:lastColumn="0" w:oddVBand="0" w:evenVBand="0" w:oddHBand="0" w:evenHBand="0" w:firstRowFirstColumn="0" w:firstRowLastColumn="0" w:lastRowFirstColumn="0" w:lastRowLastColumn="0"/>
            </w:pPr>
            <w:r w:rsidRPr="000036C8">
              <w:t>Immunizations for Adolescents (IMA)</w:t>
            </w:r>
          </w:p>
        </w:tc>
      </w:tr>
      <w:tr w:rsidR="00C220BF" w:rsidRPr="00F44630" w14:paraId="164FF682" w14:textId="77777777">
        <w:tc>
          <w:tcPr>
            <w:cnfStyle w:val="001000000000" w:firstRow="0" w:lastRow="0" w:firstColumn="1" w:lastColumn="0" w:oddVBand="0" w:evenVBand="0" w:oddHBand="0" w:evenHBand="0" w:firstRowFirstColumn="0" w:firstRowLastColumn="0" w:lastRowFirstColumn="0" w:lastRowLastColumn="0"/>
            <w:tcW w:w="2484" w:type="dxa"/>
          </w:tcPr>
          <w:p w14:paraId="11B8E8EA" w14:textId="77777777" w:rsidR="00C220BF" w:rsidRPr="00F44630" w:rsidRDefault="00C220BF">
            <w:r w:rsidRPr="00DB3492">
              <w:t>Steward:</w:t>
            </w:r>
          </w:p>
        </w:tc>
        <w:tc>
          <w:tcPr>
            <w:tcW w:w="6860" w:type="dxa"/>
          </w:tcPr>
          <w:p w14:paraId="7DCC0104"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0036C8">
              <w:t>National Committee on Quality Assurance (#1407)</w:t>
            </w:r>
          </w:p>
        </w:tc>
      </w:tr>
      <w:tr w:rsidR="00C220BF" w:rsidRPr="00F44630" w14:paraId="5296165E" w14:textId="77777777">
        <w:tc>
          <w:tcPr>
            <w:cnfStyle w:val="001000000000" w:firstRow="0" w:lastRow="0" w:firstColumn="1" w:lastColumn="0" w:oddVBand="0" w:evenVBand="0" w:oddHBand="0" w:evenHBand="0" w:firstRowFirstColumn="0" w:firstRowLastColumn="0" w:lastRowFirstColumn="0" w:lastRowLastColumn="0"/>
            <w:tcW w:w="2484" w:type="dxa"/>
          </w:tcPr>
          <w:p w14:paraId="14B09D0A" w14:textId="77777777" w:rsidR="00C220BF" w:rsidRPr="00F44630" w:rsidRDefault="00C220BF">
            <w:r w:rsidRPr="00DB3492">
              <w:t>NQF Endorsed:</w:t>
            </w:r>
          </w:p>
        </w:tc>
        <w:tc>
          <w:tcPr>
            <w:tcW w:w="6860" w:type="dxa"/>
          </w:tcPr>
          <w:p w14:paraId="56854ADE"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t>Yes</w:t>
            </w:r>
          </w:p>
        </w:tc>
      </w:tr>
      <w:tr w:rsidR="00C220BF" w:rsidRPr="00F44630" w14:paraId="298F6140" w14:textId="77777777">
        <w:tc>
          <w:tcPr>
            <w:cnfStyle w:val="001000000000" w:firstRow="0" w:lastRow="0" w:firstColumn="1" w:lastColumn="0" w:oddVBand="0" w:evenVBand="0" w:oddHBand="0" w:evenHBand="0" w:firstRowFirstColumn="0" w:firstRowLastColumn="0" w:lastRowFirstColumn="0" w:lastRowLastColumn="0"/>
            <w:tcW w:w="2484" w:type="dxa"/>
          </w:tcPr>
          <w:p w14:paraId="62E4E751" w14:textId="77777777" w:rsidR="00C220BF" w:rsidRPr="00F44630" w:rsidRDefault="00C220BF">
            <w:r w:rsidRPr="00F44630">
              <w:t>Description</w:t>
            </w:r>
          </w:p>
        </w:tc>
        <w:tc>
          <w:tcPr>
            <w:tcW w:w="6860" w:type="dxa"/>
          </w:tcPr>
          <w:p w14:paraId="028B0019" w14:textId="59196FAD"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The percentage of adolescents 13 years of age who had the recommended immunizations (meningococcal vaccine and one tetanus, diphtheria toxoids and acellular pertussis vaccine (Tdap) or one tetanus, diphtheria toxoids vaccine (Td) by their 13th birthday</w:t>
            </w:r>
            <w:r w:rsidR="004D2FD7">
              <w:t>.</w:t>
            </w:r>
          </w:p>
        </w:tc>
      </w:tr>
      <w:tr w:rsidR="00C220BF" w:rsidRPr="00F44630" w14:paraId="60ED49ED" w14:textId="77777777">
        <w:tc>
          <w:tcPr>
            <w:cnfStyle w:val="001000000000" w:firstRow="0" w:lastRow="0" w:firstColumn="1" w:lastColumn="0" w:oddVBand="0" w:evenVBand="0" w:oddHBand="0" w:evenHBand="0" w:firstRowFirstColumn="0" w:firstRowLastColumn="0" w:lastRowFirstColumn="0" w:lastRowLastColumn="0"/>
            <w:tcW w:w="2484" w:type="dxa"/>
          </w:tcPr>
          <w:p w14:paraId="7C92A77F" w14:textId="77777777" w:rsidR="00C220BF" w:rsidRPr="00F44630" w:rsidRDefault="00C220BF">
            <w:r w:rsidRPr="00F44630">
              <w:t>Numerator</w:t>
            </w:r>
          </w:p>
        </w:tc>
        <w:tc>
          <w:tcPr>
            <w:tcW w:w="6860" w:type="dxa"/>
          </w:tcPr>
          <w:p w14:paraId="21309C6A" w14:textId="3346EFD1"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Adolescents 13 years of age who had one dose of meningococcal vaccine and one tetanus, diphtheria toxoids and acellular pertussis vaccine (Tdap) or one tetanus, diphtheria toxoids vaccine (Td) by their 13th birthday</w:t>
            </w:r>
            <w:r w:rsidR="004D2FD7">
              <w:t>.</w:t>
            </w:r>
          </w:p>
        </w:tc>
      </w:tr>
      <w:tr w:rsidR="00C220BF" w:rsidRPr="00F44630" w14:paraId="26A99B04" w14:textId="77777777">
        <w:tc>
          <w:tcPr>
            <w:cnfStyle w:val="001000000000" w:firstRow="0" w:lastRow="0" w:firstColumn="1" w:lastColumn="0" w:oddVBand="0" w:evenVBand="0" w:oddHBand="0" w:evenHBand="0" w:firstRowFirstColumn="0" w:firstRowLastColumn="0" w:lastRowFirstColumn="0" w:lastRowLastColumn="0"/>
            <w:tcW w:w="2484" w:type="dxa"/>
          </w:tcPr>
          <w:p w14:paraId="0A39E484" w14:textId="77777777" w:rsidR="00C220BF" w:rsidRPr="00F44630" w:rsidRDefault="00C220BF">
            <w:r w:rsidRPr="00F44630">
              <w:t>Denominator</w:t>
            </w:r>
          </w:p>
        </w:tc>
        <w:tc>
          <w:tcPr>
            <w:tcW w:w="6860" w:type="dxa"/>
          </w:tcPr>
          <w:p w14:paraId="6A004024" w14:textId="2E301BA9"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Adolescents who turn 13 years of age during the measurement year</w:t>
            </w:r>
            <w:r w:rsidR="004D2FD7">
              <w:t>.</w:t>
            </w:r>
          </w:p>
        </w:tc>
      </w:tr>
      <w:tr w:rsidR="00C220BF" w:rsidRPr="00F44630" w14:paraId="771ECA39" w14:textId="77777777">
        <w:tc>
          <w:tcPr>
            <w:cnfStyle w:val="001000000000" w:firstRow="0" w:lastRow="0" w:firstColumn="1" w:lastColumn="0" w:oddVBand="0" w:evenVBand="0" w:oddHBand="0" w:evenHBand="0" w:firstRowFirstColumn="0" w:firstRowLastColumn="0" w:lastRowFirstColumn="0" w:lastRowLastColumn="0"/>
            <w:tcW w:w="2484" w:type="dxa"/>
          </w:tcPr>
          <w:p w14:paraId="53ACBE8B" w14:textId="77777777" w:rsidR="00C220BF" w:rsidRPr="00F44630" w:rsidRDefault="00C220BF">
            <w:r w:rsidRPr="00F44630">
              <w:t>Data Sources</w:t>
            </w:r>
          </w:p>
        </w:tc>
        <w:tc>
          <w:tcPr>
            <w:tcW w:w="6860" w:type="dxa"/>
          </w:tcPr>
          <w:p w14:paraId="2516CF63"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Hybrid</w:t>
            </w:r>
          </w:p>
        </w:tc>
      </w:tr>
      <w:tr w:rsidR="00C220BF" w:rsidRPr="00F44630" w14:paraId="3D081D80" w14:textId="77777777">
        <w:tc>
          <w:tcPr>
            <w:cnfStyle w:val="001000000000" w:firstRow="0" w:lastRow="0" w:firstColumn="1" w:lastColumn="0" w:oddVBand="0" w:evenVBand="0" w:oddHBand="0" w:evenHBand="0" w:firstRowFirstColumn="0" w:firstRowLastColumn="0" w:lastRowFirstColumn="0" w:lastRowLastColumn="0"/>
            <w:tcW w:w="2484" w:type="dxa"/>
          </w:tcPr>
          <w:p w14:paraId="7340F4ED" w14:textId="77777777" w:rsidR="00C220BF" w:rsidRPr="00F44630" w:rsidRDefault="00C220BF">
            <w:r w:rsidRPr="00F44630">
              <w:t>National Benchmark</w:t>
            </w:r>
          </w:p>
        </w:tc>
        <w:tc>
          <w:tcPr>
            <w:tcW w:w="6860" w:type="dxa"/>
          </w:tcPr>
          <w:p w14:paraId="1E010AA1"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2021 Medicaid HMO = 79.3%</w:t>
            </w:r>
          </w:p>
          <w:p w14:paraId="290196EF" w14:textId="54BB2388"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 xml:space="preserve">Source: </w:t>
            </w:r>
            <w:hyperlink r:id="rId67" w:history="1">
              <w:r w:rsidR="005F5CC3" w:rsidRPr="009348BF">
                <w:rPr>
                  <w:rStyle w:val="Hyperlink"/>
                </w:rPr>
                <w:t>https://www.ncqa.org/hedis/measures/immunizations-for-adolescents/</w:t>
              </w:r>
            </w:hyperlink>
            <w:r w:rsidR="005F5CC3">
              <w:t xml:space="preserve"> </w:t>
            </w:r>
          </w:p>
        </w:tc>
      </w:tr>
    </w:tbl>
    <w:p w14:paraId="7B6086B2" w14:textId="77777777" w:rsidR="00C220BF" w:rsidRDefault="00C220BF" w:rsidP="009122F2">
      <w:pPr>
        <w:pStyle w:val="NoSpacing"/>
      </w:pPr>
    </w:p>
    <w:tbl>
      <w:tblPr>
        <w:tblStyle w:val="FHCclean10pt"/>
        <w:tblW w:w="0" w:type="auto"/>
        <w:tblLook w:val="04A0" w:firstRow="1" w:lastRow="0" w:firstColumn="1" w:lastColumn="0" w:noHBand="0" w:noVBand="1"/>
      </w:tblPr>
      <w:tblGrid>
        <w:gridCol w:w="2484"/>
        <w:gridCol w:w="6860"/>
      </w:tblGrid>
      <w:tr w:rsidR="00C220BF" w:rsidRPr="00F44630" w14:paraId="3AFC8D8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411C5AA4" w14:textId="77777777" w:rsidR="00C220BF" w:rsidRPr="00F44630" w:rsidRDefault="00C220BF">
            <w:r w:rsidRPr="00DB3492">
              <w:t>Measure:</w:t>
            </w:r>
          </w:p>
        </w:tc>
        <w:tc>
          <w:tcPr>
            <w:tcW w:w="6860" w:type="dxa"/>
          </w:tcPr>
          <w:p w14:paraId="77CE28B5" w14:textId="48B70DA6" w:rsidR="00C220BF" w:rsidRPr="00F44630" w:rsidRDefault="00C220BF">
            <w:pPr>
              <w:cnfStyle w:val="100000000000" w:firstRow="1" w:lastRow="0" w:firstColumn="0" w:lastColumn="0" w:oddVBand="0" w:evenVBand="0" w:oddHBand="0" w:evenHBand="0" w:firstRowFirstColumn="0" w:firstRowLastColumn="0" w:lastRowFirstColumn="0" w:lastRowLastColumn="0"/>
            </w:pPr>
            <w:r w:rsidRPr="000036C8">
              <w:t>Prenatal &amp; Postpartum Care (PPC)/ Timeliness of Prenatal Care</w:t>
            </w:r>
            <w:r>
              <w:br/>
            </w:r>
            <w:r w:rsidRPr="000036C8">
              <w:t xml:space="preserve">*MassHealth ACO </w:t>
            </w:r>
            <w:r>
              <w:t>Q</w:t>
            </w:r>
            <w:r w:rsidRPr="000036C8">
              <w:t xml:space="preserve">uality </w:t>
            </w:r>
            <w:r>
              <w:t>M</w:t>
            </w:r>
            <w:r w:rsidRPr="000036C8">
              <w:t>easure</w:t>
            </w:r>
          </w:p>
        </w:tc>
      </w:tr>
      <w:tr w:rsidR="00C220BF" w:rsidRPr="00F44630" w14:paraId="1B952798" w14:textId="77777777">
        <w:tc>
          <w:tcPr>
            <w:cnfStyle w:val="001000000000" w:firstRow="0" w:lastRow="0" w:firstColumn="1" w:lastColumn="0" w:oddVBand="0" w:evenVBand="0" w:oddHBand="0" w:evenHBand="0" w:firstRowFirstColumn="0" w:firstRowLastColumn="0" w:lastRowFirstColumn="0" w:lastRowLastColumn="0"/>
            <w:tcW w:w="2484" w:type="dxa"/>
          </w:tcPr>
          <w:p w14:paraId="05CD817B" w14:textId="77777777" w:rsidR="00C220BF" w:rsidRPr="00F44630" w:rsidRDefault="00C220BF">
            <w:r w:rsidRPr="00DB3492">
              <w:t>Steward:</w:t>
            </w:r>
          </w:p>
        </w:tc>
        <w:tc>
          <w:tcPr>
            <w:tcW w:w="6860" w:type="dxa"/>
          </w:tcPr>
          <w:p w14:paraId="37ED0993"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0036C8">
              <w:t>National Committee on Quality Assurance (#1517)</w:t>
            </w:r>
          </w:p>
        </w:tc>
      </w:tr>
      <w:tr w:rsidR="00C220BF" w:rsidRPr="00F44630" w14:paraId="0E6F0E77" w14:textId="77777777">
        <w:tc>
          <w:tcPr>
            <w:cnfStyle w:val="001000000000" w:firstRow="0" w:lastRow="0" w:firstColumn="1" w:lastColumn="0" w:oddVBand="0" w:evenVBand="0" w:oddHBand="0" w:evenHBand="0" w:firstRowFirstColumn="0" w:firstRowLastColumn="0" w:lastRowFirstColumn="0" w:lastRowLastColumn="0"/>
            <w:tcW w:w="2484" w:type="dxa"/>
          </w:tcPr>
          <w:p w14:paraId="441CA7DE" w14:textId="77777777" w:rsidR="00C220BF" w:rsidRPr="00F44630" w:rsidRDefault="00C220BF">
            <w:r w:rsidRPr="00DB3492">
              <w:t>NQF Endorsed:</w:t>
            </w:r>
          </w:p>
        </w:tc>
        <w:tc>
          <w:tcPr>
            <w:tcW w:w="6860" w:type="dxa"/>
          </w:tcPr>
          <w:p w14:paraId="1A60CB97"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t>Measure Retired and Endorsement Removed</w:t>
            </w:r>
          </w:p>
        </w:tc>
      </w:tr>
      <w:tr w:rsidR="00C220BF" w:rsidRPr="00F44630" w14:paraId="233249EE" w14:textId="77777777">
        <w:tc>
          <w:tcPr>
            <w:cnfStyle w:val="001000000000" w:firstRow="0" w:lastRow="0" w:firstColumn="1" w:lastColumn="0" w:oddVBand="0" w:evenVBand="0" w:oddHBand="0" w:evenHBand="0" w:firstRowFirstColumn="0" w:firstRowLastColumn="0" w:lastRowFirstColumn="0" w:lastRowLastColumn="0"/>
            <w:tcW w:w="2484" w:type="dxa"/>
          </w:tcPr>
          <w:p w14:paraId="558A9DF5" w14:textId="77777777" w:rsidR="00C220BF" w:rsidRPr="00F44630" w:rsidRDefault="00C220BF">
            <w:r w:rsidRPr="00F44630">
              <w:t>Description</w:t>
            </w:r>
          </w:p>
        </w:tc>
        <w:tc>
          <w:tcPr>
            <w:tcW w:w="6860" w:type="dxa"/>
          </w:tcPr>
          <w:p w14:paraId="41DA98B8"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The percentage of deliveries of live births between November 6 of the year prior to the measurement year and November 5 of the measurement year. For these women, the measure assesses the following facets of prenatal and postpartum care:</w:t>
            </w:r>
          </w:p>
          <w:p w14:paraId="7A21A714" w14:textId="77777777" w:rsidR="00C220BF" w:rsidRPr="00F44630"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F44630">
              <w:t>Rate 1: Timeliness of Prenatal Care. The percentage of deliveries that received a prenatal care visit as a member of the organization in the first trimester or within 42 days of enrollment in the organization.</w:t>
            </w:r>
          </w:p>
          <w:p w14:paraId="78139B1B" w14:textId="77777777" w:rsidR="00C220BF" w:rsidRPr="00F44630"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F44630">
              <w:t>Rate 2: Postpartum Care. The percentage of deliveries that had a postpartum visit on or between 21 and 56 days after delivery.</w:t>
            </w:r>
          </w:p>
        </w:tc>
      </w:tr>
      <w:tr w:rsidR="00C220BF" w:rsidRPr="00F44630" w14:paraId="030B5653" w14:textId="77777777">
        <w:tc>
          <w:tcPr>
            <w:cnfStyle w:val="001000000000" w:firstRow="0" w:lastRow="0" w:firstColumn="1" w:lastColumn="0" w:oddVBand="0" w:evenVBand="0" w:oddHBand="0" w:evenHBand="0" w:firstRowFirstColumn="0" w:firstRowLastColumn="0" w:lastRowFirstColumn="0" w:lastRowLastColumn="0"/>
            <w:tcW w:w="2484" w:type="dxa"/>
          </w:tcPr>
          <w:p w14:paraId="5B4AF152" w14:textId="77777777" w:rsidR="00C220BF" w:rsidRPr="00F44630" w:rsidRDefault="00C220BF">
            <w:r w:rsidRPr="00F44630">
              <w:t>Numerator</w:t>
            </w:r>
          </w:p>
        </w:tc>
        <w:tc>
          <w:tcPr>
            <w:tcW w:w="6860" w:type="dxa"/>
          </w:tcPr>
          <w:p w14:paraId="6518CA07"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This measure assesses whether pregnant women had timely prenatal and postpartum care visits. It has two rates, one assessing the timeliness of prenatal visits, and one assessing the timeliness of postpartum visits.</w:t>
            </w:r>
          </w:p>
        </w:tc>
      </w:tr>
      <w:tr w:rsidR="00C220BF" w:rsidRPr="00F44630" w14:paraId="5C2A923B" w14:textId="77777777">
        <w:tc>
          <w:tcPr>
            <w:cnfStyle w:val="001000000000" w:firstRow="0" w:lastRow="0" w:firstColumn="1" w:lastColumn="0" w:oddVBand="0" w:evenVBand="0" w:oddHBand="0" w:evenHBand="0" w:firstRowFirstColumn="0" w:firstRowLastColumn="0" w:lastRowFirstColumn="0" w:lastRowLastColumn="0"/>
            <w:tcW w:w="2484" w:type="dxa"/>
          </w:tcPr>
          <w:p w14:paraId="64FB5138" w14:textId="77777777" w:rsidR="00C220BF" w:rsidRPr="00F44630" w:rsidRDefault="00C220BF">
            <w:r w:rsidRPr="00F44630">
              <w:t>Denominator</w:t>
            </w:r>
          </w:p>
        </w:tc>
        <w:tc>
          <w:tcPr>
            <w:tcW w:w="6860" w:type="dxa"/>
          </w:tcPr>
          <w:p w14:paraId="1867AB7D"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The percentage of deliveries of live births between November 6 of the year prior to the measurement year and November 5 of the measurement year.</w:t>
            </w:r>
          </w:p>
        </w:tc>
      </w:tr>
      <w:tr w:rsidR="00C220BF" w:rsidRPr="00F44630" w14:paraId="373E84CC" w14:textId="77777777">
        <w:tc>
          <w:tcPr>
            <w:cnfStyle w:val="001000000000" w:firstRow="0" w:lastRow="0" w:firstColumn="1" w:lastColumn="0" w:oddVBand="0" w:evenVBand="0" w:oddHBand="0" w:evenHBand="0" w:firstRowFirstColumn="0" w:firstRowLastColumn="0" w:lastRowFirstColumn="0" w:lastRowLastColumn="0"/>
            <w:tcW w:w="2484" w:type="dxa"/>
          </w:tcPr>
          <w:p w14:paraId="6838C7A2" w14:textId="77777777" w:rsidR="00C220BF" w:rsidRPr="00F44630" w:rsidRDefault="00C220BF">
            <w:r w:rsidRPr="00F44630">
              <w:t>Data Sources</w:t>
            </w:r>
          </w:p>
        </w:tc>
        <w:tc>
          <w:tcPr>
            <w:tcW w:w="6860" w:type="dxa"/>
          </w:tcPr>
          <w:p w14:paraId="654F88C3"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Hybrid</w:t>
            </w:r>
          </w:p>
        </w:tc>
      </w:tr>
      <w:tr w:rsidR="00C220BF" w:rsidRPr="00F44630" w14:paraId="59440BA4" w14:textId="77777777">
        <w:tc>
          <w:tcPr>
            <w:cnfStyle w:val="001000000000" w:firstRow="0" w:lastRow="0" w:firstColumn="1" w:lastColumn="0" w:oddVBand="0" w:evenVBand="0" w:oddHBand="0" w:evenHBand="0" w:firstRowFirstColumn="0" w:firstRowLastColumn="0" w:lastRowFirstColumn="0" w:lastRowLastColumn="0"/>
            <w:tcW w:w="2484" w:type="dxa"/>
          </w:tcPr>
          <w:p w14:paraId="7479456C" w14:textId="77777777" w:rsidR="00C220BF" w:rsidRPr="00F44630" w:rsidRDefault="00C220BF">
            <w:r w:rsidRPr="00F44630">
              <w:t>National Benchmark</w:t>
            </w:r>
          </w:p>
        </w:tc>
        <w:tc>
          <w:tcPr>
            <w:tcW w:w="6860" w:type="dxa"/>
          </w:tcPr>
          <w:p w14:paraId="6B692CBA"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2021 Medicaid HMO: 83.5%</w:t>
            </w:r>
          </w:p>
          <w:p w14:paraId="3CE5DC5F" w14:textId="5FD276E5"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 xml:space="preserve">Source: </w:t>
            </w:r>
            <w:hyperlink r:id="rId68" w:history="1">
              <w:r w:rsidR="005F5CC3" w:rsidRPr="009348BF">
                <w:rPr>
                  <w:rStyle w:val="Hyperlink"/>
                </w:rPr>
                <w:t>https://www.ncqa.org/hedis/measures/prenatal-and-postpartum-care-ppc/</w:t>
              </w:r>
            </w:hyperlink>
            <w:r w:rsidR="005F5CC3">
              <w:t xml:space="preserve"> </w:t>
            </w:r>
          </w:p>
        </w:tc>
      </w:tr>
    </w:tbl>
    <w:p w14:paraId="4E604EAF" w14:textId="77777777" w:rsidR="00C220BF" w:rsidRDefault="00C220BF" w:rsidP="009122F2">
      <w:pPr>
        <w:pStyle w:val="NoSpacing"/>
      </w:pPr>
    </w:p>
    <w:tbl>
      <w:tblPr>
        <w:tblStyle w:val="FHCclean10pt"/>
        <w:tblW w:w="0" w:type="auto"/>
        <w:tblLook w:val="04A0" w:firstRow="1" w:lastRow="0" w:firstColumn="1" w:lastColumn="0" w:noHBand="0" w:noVBand="1"/>
      </w:tblPr>
      <w:tblGrid>
        <w:gridCol w:w="2484"/>
        <w:gridCol w:w="6860"/>
      </w:tblGrid>
      <w:tr w:rsidR="00C220BF" w:rsidRPr="00F44630" w14:paraId="7BF4C1E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0F3821FC" w14:textId="77777777" w:rsidR="00C220BF" w:rsidRPr="00F44630" w:rsidRDefault="00C220BF">
            <w:r w:rsidRPr="00DB3492">
              <w:lastRenderedPageBreak/>
              <w:t>Measure:</w:t>
            </w:r>
          </w:p>
        </w:tc>
        <w:tc>
          <w:tcPr>
            <w:tcW w:w="6860" w:type="dxa"/>
          </w:tcPr>
          <w:p w14:paraId="777C707F" w14:textId="022DB32D" w:rsidR="00C220BF" w:rsidRPr="00F44630" w:rsidRDefault="00C220BF">
            <w:pPr>
              <w:cnfStyle w:val="100000000000" w:firstRow="1" w:lastRow="0" w:firstColumn="0" w:lastColumn="0" w:oddVBand="0" w:evenVBand="0" w:oddHBand="0" w:evenHBand="0" w:firstRowFirstColumn="0" w:firstRowLastColumn="0" w:lastRowFirstColumn="0" w:lastRowLastColumn="0"/>
            </w:pPr>
            <w:r w:rsidRPr="0024116A">
              <w:t>Preventive Care and Screening: Screening for Depression and Follow-Up Plan</w:t>
            </w:r>
            <w:r>
              <w:br/>
            </w:r>
            <w:r w:rsidRPr="000036C8">
              <w:t xml:space="preserve">*MassHealth ACO </w:t>
            </w:r>
            <w:r>
              <w:t>Q</w:t>
            </w:r>
            <w:r w:rsidRPr="000036C8">
              <w:t xml:space="preserve">uality </w:t>
            </w:r>
            <w:r>
              <w:t>M</w:t>
            </w:r>
            <w:r w:rsidRPr="000036C8">
              <w:t>easure</w:t>
            </w:r>
          </w:p>
        </w:tc>
      </w:tr>
      <w:tr w:rsidR="00C220BF" w:rsidRPr="00F44630" w14:paraId="0A1F3118" w14:textId="77777777">
        <w:tc>
          <w:tcPr>
            <w:cnfStyle w:val="001000000000" w:firstRow="0" w:lastRow="0" w:firstColumn="1" w:lastColumn="0" w:oddVBand="0" w:evenVBand="0" w:oddHBand="0" w:evenHBand="0" w:firstRowFirstColumn="0" w:firstRowLastColumn="0" w:lastRowFirstColumn="0" w:lastRowLastColumn="0"/>
            <w:tcW w:w="2484" w:type="dxa"/>
          </w:tcPr>
          <w:p w14:paraId="77C0A2CC" w14:textId="77777777" w:rsidR="00C220BF" w:rsidRPr="00F44630" w:rsidRDefault="00C220BF">
            <w:r w:rsidRPr="00DB3492">
              <w:t>Steward:</w:t>
            </w:r>
          </w:p>
        </w:tc>
        <w:tc>
          <w:tcPr>
            <w:tcW w:w="6860" w:type="dxa"/>
          </w:tcPr>
          <w:p w14:paraId="34325622"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24116A">
              <w:t>Centers for Medicare &amp; Medicaid Services (#0418)</w:t>
            </w:r>
          </w:p>
        </w:tc>
      </w:tr>
      <w:tr w:rsidR="00C220BF" w:rsidRPr="00F44630" w14:paraId="126636FE" w14:textId="77777777">
        <w:tc>
          <w:tcPr>
            <w:cnfStyle w:val="001000000000" w:firstRow="0" w:lastRow="0" w:firstColumn="1" w:lastColumn="0" w:oddVBand="0" w:evenVBand="0" w:oddHBand="0" w:evenHBand="0" w:firstRowFirstColumn="0" w:firstRowLastColumn="0" w:lastRowFirstColumn="0" w:lastRowLastColumn="0"/>
            <w:tcW w:w="2484" w:type="dxa"/>
          </w:tcPr>
          <w:p w14:paraId="69AB17EB" w14:textId="77777777" w:rsidR="00C220BF" w:rsidRPr="00F44630" w:rsidRDefault="00C220BF">
            <w:r w:rsidRPr="00DB3492">
              <w:t>NQF Endorsed:</w:t>
            </w:r>
          </w:p>
        </w:tc>
        <w:tc>
          <w:tcPr>
            <w:tcW w:w="6860" w:type="dxa"/>
          </w:tcPr>
          <w:p w14:paraId="63C18708"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t>Endorsement Removed</w:t>
            </w:r>
          </w:p>
        </w:tc>
      </w:tr>
      <w:tr w:rsidR="00C220BF" w:rsidRPr="00F44630" w14:paraId="5A748F08" w14:textId="77777777">
        <w:tc>
          <w:tcPr>
            <w:cnfStyle w:val="001000000000" w:firstRow="0" w:lastRow="0" w:firstColumn="1" w:lastColumn="0" w:oddVBand="0" w:evenVBand="0" w:oddHBand="0" w:evenHBand="0" w:firstRowFirstColumn="0" w:firstRowLastColumn="0" w:lastRowFirstColumn="0" w:lastRowLastColumn="0"/>
            <w:tcW w:w="2484" w:type="dxa"/>
          </w:tcPr>
          <w:p w14:paraId="76587620" w14:textId="77777777" w:rsidR="00C220BF" w:rsidRPr="00F44630" w:rsidRDefault="00C220BF">
            <w:r w:rsidRPr="00F44630">
              <w:t>Description</w:t>
            </w:r>
          </w:p>
        </w:tc>
        <w:tc>
          <w:tcPr>
            <w:tcW w:w="6860" w:type="dxa"/>
          </w:tcPr>
          <w:p w14:paraId="3AB8B13F" w14:textId="2E3F759A"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 xml:space="preserve">Percentage of patients aged 12 years and older screened for depression on the date of the encounter or 14 days prior to the date of the encounter using an </w:t>
            </w:r>
            <w:r w:rsidR="00D35236" w:rsidRPr="00F44630">
              <w:t>age</w:t>
            </w:r>
            <w:r w:rsidR="00D35236">
              <w:t>-</w:t>
            </w:r>
            <w:r w:rsidRPr="00F44630">
              <w:t>appropriate standardized depression screening tool AND</w:t>
            </w:r>
            <w:r w:rsidR="00D35236">
              <w:t>,</w:t>
            </w:r>
            <w:r w:rsidRPr="00F44630">
              <w:t xml:space="preserve"> if positive, a follow-up plan is documented on the date of the eligible encounter</w:t>
            </w:r>
            <w:r w:rsidR="00D35236">
              <w:t>.</w:t>
            </w:r>
          </w:p>
        </w:tc>
      </w:tr>
      <w:tr w:rsidR="00C220BF" w:rsidRPr="00F44630" w14:paraId="78B72AB5" w14:textId="77777777">
        <w:tc>
          <w:tcPr>
            <w:cnfStyle w:val="001000000000" w:firstRow="0" w:lastRow="0" w:firstColumn="1" w:lastColumn="0" w:oddVBand="0" w:evenVBand="0" w:oddHBand="0" w:evenHBand="0" w:firstRowFirstColumn="0" w:firstRowLastColumn="0" w:lastRowFirstColumn="0" w:lastRowLastColumn="0"/>
            <w:tcW w:w="2484" w:type="dxa"/>
          </w:tcPr>
          <w:p w14:paraId="44A01B3E" w14:textId="77777777" w:rsidR="00C220BF" w:rsidRPr="00F44630" w:rsidRDefault="00C220BF">
            <w:r w:rsidRPr="00F44630">
              <w:t>Numerator</w:t>
            </w:r>
          </w:p>
        </w:tc>
        <w:tc>
          <w:tcPr>
            <w:tcW w:w="6860" w:type="dxa"/>
          </w:tcPr>
          <w:p w14:paraId="4D420498" w14:textId="538F6DE3"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 xml:space="preserve">Patients screened for depression on the date of the encounter or up to 14 days prior to the date of the encounter using an </w:t>
            </w:r>
            <w:r w:rsidR="00D35236" w:rsidRPr="00F44630">
              <w:t>age</w:t>
            </w:r>
            <w:r w:rsidR="00D35236">
              <w:t>-</w:t>
            </w:r>
            <w:r w:rsidRPr="00F44630">
              <w:t>appropriate standardized tool AND, if positive, a follow-up plan is documented on the date of the eligible encounter</w:t>
            </w:r>
            <w:r w:rsidR="00D35236">
              <w:t>.</w:t>
            </w:r>
          </w:p>
        </w:tc>
      </w:tr>
      <w:tr w:rsidR="00C220BF" w:rsidRPr="00F44630" w14:paraId="02BAC75E" w14:textId="77777777">
        <w:tc>
          <w:tcPr>
            <w:cnfStyle w:val="001000000000" w:firstRow="0" w:lastRow="0" w:firstColumn="1" w:lastColumn="0" w:oddVBand="0" w:evenVBand="0" w:oddHBand="0" w:evenHBand="0" w:firstRowFirstColumn="0" w:firstRowLastColumn="0" w:lastRowFirstColumn="0" w:lastRowLastColumn="0"/>
            <w:tcW w:w="2484" w:type="dxa"/>
          </w:tcPr>
          <w:p w14:paraId="25EE6CBF" w14:textId="77777777" w:rsidR="00C220BF" w:rsidRPr="00F44630" w:rsidRDefault="00C220BF">
            <w:r w:rsidRPr="00F44630">
              <w:t>Denominator</w:t>
            </w:r>
          </w:p>
        </w:tc>
        <w:tc>
          <w:tcPr>
            <w:tcW w:w="6860" w:type="dxa"/>
          </w:tcPr>
          <w:p w14:paraId="46CEB321" w14:textId="40777F3F"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 xml:space="preserve">All patients 12 years </w:t>
            </w:r>
            <w:r w:rsidR="00D35236">
              <w:t xml:space="preserve">of age </w:t>
            </w:r>
            <w:r w:rsidRPr="00F44630">
              <w:t>and older at the beginning of the measurement period with at least one eligible encounter during the measurement period</w:t>
            </w:r>
            <w:r w:rsidR="00D35236">
              <w:t>.</w:t>
            </w:r>
          </w:p>
        </w:tc>
      </w:tr>
      <w:tr w:rsidR="00C220BF" w:rsidRPr="00F44630" w14:paraId="14A921B9" w14:textId="77777777">
        <w:tc>
          <w:tcPr>
            <w:cnfStyle w:val="001000000000" w:firstRow="0" w:lastRow="0" w:firstColumn="1" w:lastColumn="0" w:oddVBand="0" w:evenVBand="0" w:oddHBand="0" w:evenHBand="0" w:firstRowFirstColumn="0" w:firstRowLastColumn="0" w:lastRowFirstColumn="0" w:lastRowLastColumn="0"/>
            <w:tcW w:w="2484" w:type="dxa"/>
          </w:tcPr>
          <w:p w14:paraId="527F1479" w14:textId="77777777" w:rsidR="00C220BF" w:rsidRPr="00F44630" w:rsidRDefault="00C220BF">
            <w:r w:rsidRPr="00F44630">
              <w:t>Data Sources</w:t>
            </w:r>
          </w:p>
        </w:tc>
        <w:tc>
          <w:tcPr>
            <w:tcW w:w="6860" w:type="dxa"/>
          </w:tcPr>
          <w:p w14:paraId="7041500E"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Hybrid</w:t>
            </w:r>
          </w:p>
        </w:tc>
      </w:tr>
      <w:tr w:rsidR="00C220BF" w:rsidRPr="00F44630" w14:paraId="752C0958" w14:textId="77777777">
        <w:tc>
          <w:tcPr>
            <w:cnfStyle w:val="001000000000" w:firstRow="0" w:lastRow="0" w:firstColumn="1" w:lastColumn="0" w:oddVBand="0" w:evenVBand="0" w:oddHBand="0" w:evenHBand="0" w:firstRowFirstColumn="0" w:firstRowLastColumn="0" w:lastRowFirstColumn="0" w:lastRowLastColumn="0"/>
            <w:tcW w:w="2484" w:type="dxa"/>
          </w:tcPr>
          <w:p w14:paraId="377F7AC4" w14:textId="77777777" w:rsidR="00C220BF" w:rsidRPr="00F44630" w:rsidRDefault="00C220BF">
            <w:r w:rsidRPr="00F44630">
              <w:t>National Benchmark</w:t>
            </w:r>
          </w:p>
        </w:tc>
        <w:tc>
          <w:tcPr>
            <w:tcW w:w="6860" w:type="dxa"/>
          </w:tcPr>
          <w:p w14:paraId="309592C3"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None</w:t>
            </w:r>
          </w:p>
        </w:tc>
      </w:tr>
    </w:tbl>
    <w:p w14:paraId="356F7240" w14:textId="77777777" w:rsidR="00C220BF" w:rsidRDefault="00C220BF" w:rsidP="009122F2">
      <w:pPr>
        <w:pStyle w:val="NoSpacing"/>
      </w:pPr>
    </w:p>
    <w:tbl>
      <w:tblPr>
        <w:tblStyle w:val="FHCclean10pt"/>
        <w:tblW w:w="0" w:type="auto"/>
        <w:tblLook w:val="04A0" w:firstRow="1" w:lastRow="0" w:firstColumn="1" w:lastColumn="0" w:noHBand="0" w:noVBand="1"/>
      </w:tblPr>
      <w:tblGrid>
        <w:gridCol w:w="2484"/>
        <w:gridCol w:w="6860"/>
      </w:tblGrid>
      <w:tr w:rsidR="00C220BF" w:rsidRPr="00F44630" w14:paraId="1788AD8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0F7ECFB4" w14:textId="77777777" w:rsidR="00C220BF" w:rsidRPr="00F44630" w:rsidRDefault="00C220BF">
            <w:r w:rsidRPr="00DB3492">
              <w:t>Measure:</w:t>
            </w:r>
          </w:p>
        </w:tc>
        <w:tc>
          <w:tcPr>
            <w:tcW w:w="6860" w:type="dxa"/>
          </w:tcPr>
          <w:p w14:paraId="0EF2E6B0" w14:textId="489AB59E" w:rsidR="00C220BF" w:rsidRPr="00F44630" w:rsidRDefault="00C220BF">
            <w:pPr>
              <w:cnfStyle w:val="100000000000" w:firstRow="1" w:lastRow="0" w:firstColumn="0" w:lastColumn="0" w:oddVBand="0" w:evenVBand="0" w:oddHBand="0" w:evenHBand="0" w:firstRowFirstColumn="0" w:firstRowLastColumn="0" w:lastRowFirstColumn="0" w:lastRowLastColumn="0"/>
            </w:pPr>
            <w:r w:rsidRPr="0024116A">
              <w:t>Health</w:t>
            </w:r>
            <w:r>
              <w:t>-</w:t>
            </w:r>
            <w:r w:rsidRPr="0024116A">
              <w:t>Related Social Needs Screening</w:t>
            </w:r>
            <w:r>
              <w:br/>
            </w:r>
            <w:r w:rsidRPr="000036C8">
              <w:t xml:space="preserve">*MassHealth ACO </w:t>
            </w:r>
            <w:r>
              <w:t>Q</w:t>
            </w:r>
            <w:r w:rsidRPr="000036C8">
              <w:t xml:space="preserve">uality </w:t>
            </w:r>
            <w:r>
              <w:t>M</w:t>
            </w:r>
            <w:r w:rsidRPr="000036C8">
              <w:t>easure</w:t>
            </w:r>
          </w:p>
        </w:tc>
      </w:tr>
      <w:tr w:rsidR="00C220BF" w:rsidRPr="00F44630" w14:paraId="229BF398" w14:textId="77777777">
        <w:tc>
          <w:tcPr>
            <w:cnfStyle w:val="001000000000" w:firstRow="0" w:lastRow="0" w:firstColumn="1" w:lastColumn="0" w:oddVBand="0" w:evenVBand="0" w:oddHBand="0" w:evenHBand="0" w:firstRowFirstColumn="0" w:firstRowLastColumn="0" w:lastRowFirstColumn="0" w:lastRowLastColumn="0"/>
            <w:tcW w:w="2484" w:type="dxa"/>
          </w:tcPr>
          <w:p w14:paraId="7176DC3A" w14:textId="77777777" w:rsidR="00C220BF" w:rsidRPr="00F44630" w:rsidRDefault="00C220BF">
            <w:r w:rsidRPr="00DB3492">
              <w:t>Steward:</w:t>
            </w:r>
          </w:p>
        </w:tc>
        <w:tc>
          <w:tcPr>
            <w:tcW w:w="6860" w:type="dxa"/>
          </w:tcPr>
          <w:p w14:paraId="77EB8D62"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t>MassHealth</w:t>
            </w:r>
          </w:p>
        </w:tc>
      </w:tr>
      <w:tr w:rsidR="00C220BF" w:rsidRPr="00F44630" w14:paraId="24173EB7" w14:textId="77777777">
        <w:tc>
          <w:tcPr>
            <w:cnfStyle w:val="001000000000" w:firstRow="0" w:lastRow="0" w:firstColumn="1" w:lastColumn="0" w:oddVBand="0" w:evenVBand="0" w:oddHBand="0" w:evenHBand="0" w:firstRowFirstColumn="0" w:firstRowLastColumn="0" w:lastRowFirstColumn="0" w:lastRowLastColumn="0"/>
            <w:tcW w:w="2484" w:type="dxa"/>
          </w:tcPr>
          <w:p w14:paraId="53DCE5F5" w14:textId="77777777" w:rsidR="00C220BF" w:rsidRPr="00F44630" w:rsidRDefault="00C220BF">
            <w:r w:rsidRPr="00DB3492">
              <w:t>NQF Endorsed:</w:t>
            </w:r>
          </w:p>
        </w:tc>
        <w:tc>
          <w:tcPr>
            <w:tcW w:w="6860" w:type="dxa"/>
          </w:tcPr>
          <w:p w14:paraId="5C6EDCBE"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t>No</w:t>
            </w:r>
          </w:p>
        </w:tc>
      </w:tr>
      <w:tr w:rsidR="00C220BF" w:rsidRPr="00F44630" w14:paraId="594C7D83" w14:textId="77777777">
        <w:tc>
          <w:tcPr>
            <w:cnfStyle w:val="001000000000" w:firstRow="0" w:lastRow="0" w:firstColumn="1" w:lastColumn="0" w:oddVBand="0" w:evenVBand="0" w:oddHBand="0" w:evenHBand="0" w:firstRowFirstColumn="0" w:firstRowLastColumn="0" w:lastRowFirstColumn="0" w:lastRowLastColumn="0"/>
            <w:tcW w:w="2484" w:type="dxa"/>
          </w:tcPr>
          <w:p w14:paraId="2ACDB638" w14:textId="77777777" w:rsidR="00C220BF" w:rsidRPr="00F44630" w:rsidRDefault="00C220BF">
            <w:r w:rsidRPr="00F44630">
              <w:t>Description</w:t>
            </w:r>
          </w:p>
        </w:tc>
        <w:tc>
          <w:tcPr>
            <w:tcW w:w="6860" w:type="dxa"/>
          </w:tcPr>
          <w:p w14:paraId="30D43D9D" w14:textId="7236447D"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Percentage of members who were screened for health-related social needs in the measurement year</w:t>
            </w:r>
            <w:r w:rsidR="00D35236">
              <w:t>.</w:t>
            </w:r>
          </w:p>
        </w:tc>
      </w:tr>
      <w:tr w:rsidR="00C220BF" w:rsidRPr="00F44630" w14:paraId="63D33B84" w14:textId="77777777">
        <w:tc>
          <w:tcPr>
            <w:cnfStyle w:val="001000000000" w:firstRow="0" w:lastRow="0" w:firstColumn="1" w:lastColumn="0" w:oddVBand="0" w:evenVBand="0" w:oddHBand="0" w:evenHBand="0" w:firstRowFirstColumn="0" w:firstRowLastColumn="0" w:lastRowFirstColumn="0" w:lastRowLastColumn="0"/>
            <w:tcW w:w="2484" w:type="dxa"/>
          </w:tcPr>
          <w:p w14:paraId="6677DD62" w14:textId="77777777" w:rsidR="00C220BF" w:rsidRPr="00F44630" w:rsidRDefault="00C220BF">
            <w:r w:rsidRPr="00F44630">
              <w:t>Numerator</w:t>
            </w:r>
          </w:p>
        </w:tc>
        <w:tc>
          <w:tcPr>
            <w:tcW w:w="6860" w:type="dxa"/>
          </w:tcPr>
          <w:p w14:paraId="1F74EDCB"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Specification pending</w:t>
            </w:r>
          </w:p>
        </w:tc>
      </w:tr>
      <w:tr w:rsidR="00C220BF" w:rsidRPr="00F44630" w14:paraId="6152A5A2" w14:textId="77777777">
        <w:tc>
          <w:tcPr>
            <w:cnfStyle w:val="001000000000" w:firstRow="0" w:lastRow="0" w:firstColumn="1" w:lastColumn="0" w:oddVBand="0" w:evenVBand="0" w:oddHBand="0" w:evenHBand="0" w:firstRowFirstColumn="0" w:firstRowLastColumn="0" w:lastRowFirstColumn="0" w:lastRowLastColumn="0"/>
            <w:tcW w:w="2484" w:type="dxa"/>
          </w:tcPr>
          <w:p w14:paraId="399F2EB0" w14:textId="77777777" w:rsidR="00C220BF" w:rsidRPr="00F44630" w:rsidRDefault="00C220BF">
            <w:r w:rsidRPr="00F44630">
              <w:t>Denominator</w:t>
            </w:r>
          </w:p>
        </w:tc>
        <w:tc>
          <w:tcPr>
            <w:tcW w:w="6860" w:type="dxa"/>
          </w:tcPr>
          <w:p w14:paraId="2ACEF9D2"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Specification pending</w:t>
            </w:r>
          </w:p>
        </w:tc>
      </w:tr>
      <w:tr w:rsidR="00C220BF" w:rsidRPr="00F44630" w14:paraId="524FDC9B" w14:textId="77777777">
        <w:tc>
          <w:tcPr>
            <w:cnfStyle w:val="001000000000" w:firstRow="0" w:lastRow="0" w:firstColumn="1" w:lastColumn="0" w:oddVBand="0" w:evenVBand="0" w:oddHBand="0" w:evenHBand="0" w:firstRowFirstColumn="0" w:firstRowLastColumn="0" w:lastRowFirstColumn="0" w:lastRowLastColumn="0"/>
            <w:tcW w:w="2484" w:type="dxa"/>
          </w:tcPr>
          <w:p w14:paraId="3AA92878" w14:textId="77777777" w:rsidR="00C220BF" w:rsidRPr="00F44630" w:rsidRDefault="00C220BF">
            <w:r w:rsidRPr="00F44630">
              <w:t>Data Sources</w:t>
            </w:r>
          </w:p>
        </w:tc>
        <w:tc>
          <w:tcPr>
            <w:tcW w:w="6860" w:type="dxa"/>
          </w:tcPr>
          <w:p w14:paraId="06825DA9"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Medicaid claims/encounters data</w:t>
            </w:r>
          </w:p>
        </w:tc>
      </w:tr>
      <w:tr w:rsidR="00C220BF" w:rsidRPr="00F44630" w14:paraId="459CC56D" w14:textId="77777777">
        <w:tc>
          <w:tcPr>
            <w:cnfStyle w:val="001000000000" w:firstRow="0" w:lastRow="0" w:firstColumn="1" w:lastColumn="0" w:oddVBand="0" w:evenVBand="0" w:oddHBand="0" w:evenHBand="0" w:firstRowFirstColumn="0" w:firstRowLastColumn="0" w:lastRowFirstColumn="0" w:lastRowLastColumn="0"/>
            <w:tcW w:w="2484" w:type="dxa"/>
          </w:tcPr>
          <w:p w14:paraId="5CCF19B2" w14:textId="77777777" w:rsidR="00C220BF" w:rsidRPr="00F44630" w:rsidRDefault="00C220BF">
            <w:r w:rsidRPr="00F44630">
              <w:t>National Benchmark</w:t>
            </w:r>
          </w:p>
        </w:tc>
        <w:tc>
          <w:tcPr>
            <w:tcW w:w="6860" w:type="dxa"/>
          </w:tcPr>
          <w:p w14:paraId="1019B761"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None</w:t>
            </w:r>
          </w:p>
        </w:tc>
      </w:tr>
    </w:tbl>
    <w:p w14:paraId="2A4EC17D" w14:textId="77777777" w:rsidR="00C220BF" w:rsidRDefault="00C220BF" w:rsidP="009122F2">
      <w:pPr>
        <w:pStyle w:val="NoSpacing"/>
      </w:pPr>
    </w:p>
    <w:tbl>
      <w:tblPr>
        <w:tblStyle w:val="FHCclean10pt"/>
        <w:tblW w:w="0" w:type="auto"/>
        <w:tblLook w:val="04A0" w:firstRow="1" w:lastRow="0" w:firstColumn="1" w:lastColumn="0" w:noHBand="0" w:noVBand="1"/>
      </w:tblPr>
      <w:tblGrid>
        <w:gridCol w:w="2484"/>
        <w:gridCol w:w="6860"/>
      </w:tblGrid>
      <w:tr w:rsidR="00C220BF" w:rsidRPr="00F44630" w14:paraId="3A8AE0A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2A61988D" w14:textId="77777777" w:rsidR="00C220BF" w:rsidRPr="00F44630" w:rsidRDefault="00C220BF">
            <w:r w:rsidRPr="00DB3492">
              <w:t>Measure:</w:t>
            </w:r>
          </w:p>
        </w:tc>
        <w:tc>
          <w:tcPr>
            <w:tcW w:w="6860" w:type="dxa"/>
          </w:tcPr>
          <w:p w14:paraId="7D261F47" w14:textId="77777777" w:rsidR="00C220BF" w:rsidRPr="00F44630" w:rsidRDefault="00C220BF">
            <w:pPr>
              <w:cnfStyle w:val="100000000000" w:firstRow="1" w:lastRow="0" w:firstColumn="0" w:lastColumn="0" w:oddVBand="0" w:evenVBand="0" w:oddHBand="0" w:evenHBand="0" w:firstRowFirstColumn="0" w:firstRowLastColumn="0" w:lastRowFirstColumn="0" w:lastRowLastColumn="0"/>
            </w:pPr>
            <w:bookmarkStart w:id="288" w:name="_Hlk151293681"/>
            <w:r w:rsidRPr="0024116A">
              <w:t>Emergency Department Visits for Individuals with Mental Illness, Addiction, or Co-occurring Conditions</w:t>
            </w:r>
            <w:r>
              <w:br/>
            </w:r>
            <w:r w:rsidRPr="000036C8">
              <w:t>*MassHealth ACO Quality Measure</w:t>
            </w:r>
            <w:bookmarkEnd w:id="288"/>
          </w:p>
        </w:tc>
      </w:tr>
      <w:tr w:rsidR="00C220BF" w:rsidRPr="00F44630" w14:paraId="1BBE2947" w14:textId="77777777">
        <w:tc>
          <w:tcPr>
            <w:cnfStyle w:val="001000000000" w:firstRow="0" w:lastRow="0" w:firstColumn="1" w:lastColumn="0" w:oddVBand="0" w:evenVBand="0" w:oddHBand="0" w:evenHBand="0" w:firstRowFirstColumn="0" w:firstRowLastColumn="0" w:lastRowFirstColumn="0" w:lastRowLastColumn="0"/>
            <w:tcW w:w="2484" w:type="dxa"/>
          </w:tcPr>
          <w:p w14:paraId="7CD84173" w14:textId="77777777" w:rsidR="00C220BF" w:rsidRPr="00F44630" w:rsidRDefault="00C220BF">
            <w:r w:rsidRPr="00DB3492">
              <w:t>Steward:</w:t>
            </w:r>
          </w:p>
        </w:tc>
        <w:tc>
          <w:tcPr>
            <w:tcW w:w="6860" w:type="dxa"/>
          </w:tcPr>
          <w:p w14:paraId="0F53C521"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t>MassHealth</w:t>
            </w:r>
          </w:p>
        </w:tc>
      </w:tr>
      <w:tr w:rsidR="00C220BF" w:rsidRPr="00F44630" w14:paraId="2F0F203D" w14:textId="77777777">
        <w:tc>
          <w:tcPr>
            <w:cnfStyle w:val="001000000000" w:firstRow="0" w:lastRow="0" w:firstColumn="1" w:lastColumn="0" w:oddVBand="0" w:evenVBand="0" w:oddHBand="0" w:evenHBand="0" w:firstRowFirstColumn="0" w:firstRowLastColumn="0" w:lastRowFirstColumn="0" w:lastRowLastColumn="0"/>
            <w:tcW w:w="2484" w:type="dxa"/>
          </w:tcPr>
          <w:p w14:paraId="69425BA9" w14:textId="77777777" w:rsidR="00C220BF" w:rsidRPr="00F44630" w:rsidRDefault="00C220BF">
            <w:r w:rsidRPr="00DB3492">
              <w:t>NQF Endorsed:</w:t>
            </w:r>
          </w:p>
        </w:tc>
        <w:tc>
          <w:tcPr>
            <w:tcW w:w="6860" w:type="dxa"/>
          </w:tcPr>
          <w:p w14:paraId="31C35E8D"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t>No</w:t>
            </w:r>
          </w:p>
        </w:tc>
      </w:tr>
      <w:tr w:rsidR="00C220BF" w:rsidRPr="00F44630" w14:paraId="6F35EED4" w14:textId="77777777">
        <w:tc>
          <w:tcPr>
            <w:cnfStyle w:val="001000000000" w:firstRow="0" w:lastRow="0" w:firstColumn="1" w:lastColumn="0" w:oddVBand="0" w:evenVBand="0" w:oddHBand="0" w:evenHBand="0" w:firstRowFirstColumn="0" w:firstRowLastColumn="0" w:lastRowFirstColumn="0" w:lastRowLastColumn="0"/>
            <w:tcW w:w="2484" w:type="dxa"/>
          </w:tcPr>
          <w:p w14:paraId="725495E7" w14:textId="77777777" w:rsidR="00C220BF" w:rsidRPr="00F44630" w:rsidRDefault="00C220BF">
            <w:r w:rsidRPr="00F44630">
              <w:t>Description</w:t>
            </w:r>
          </w:p>
        </w:tc>
        <w:tc>
          <w:tcPr>
            <w:tcW w:w="6860" w:type="dxa"/>
          </w:tcPr>
          <w:p w14:paraId="3207C5A4" w14:textId="26EE644D"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 xml:space="preserve">Rate of ED visits for members 18 to 64 years of age identified with a diagnosis of </w:t>
            </w:r>
            <w:r w:rsidR="00BE35B0">
              <w:t>SMI</w:t>
            </w:r>
            <w:r w:rsidRPr="00F44630">
              <w:t xml:space="preserve"> and/or substance addiction</w:t>
            </w:r>
            <w:r w:rsidR="00D35236">
              <w:t>.</w:t>
            </w:r>
          </w:p>
        </w:tc>
      </w:tr>
      <w:tr w:rsidR="00C220BF" w:rsidRPr="00F44630" w14:paraId="39346142" w14:textId="77777777">
        <w:tc>
          <w:tcPr>
            <w:cnfStyle w:val="001000000000" w:firstRow="0" w:lastRow="0" w:firstColumn="1" w:lastColumn="0" w:oddVBand="0" w:evenVBand="0" w:oddHBand="0" w:evenHBand="0" w:firstRowFirstColumn="0" w:firstRowLastColumn="0" w:lastRowFirstColumn="0" w:lastRowLastColumn="0"/>
            <w:tcW w:w="2484" w:type="dxa"/>
          </w:tcPr>
          <w:p w14:paraId="03183B72" w14:textId="77777777" w:rsidR="00C220BF" w:rsidRPr="00F44630" w:rsidRDefault="00C220BF">
            <w:r w:rsidRPr="00F44630">
              <w:t>Numerator</w:t>
            </w:r>
          </w:p>
        </w:tc>
        <w:tc>
          <w:tcPr>
            <w:tcW w:w="6860" w:type="dxa"/>
          </w:tcPr>
          <w:p w14:paraId="53AD44C7" w14:textId="3B0BA2A7" w:rsidR="00C220BF" w:rsidRPr="00F44630" w:rsidRDefault="00AB34CA">
            <w:pPr>
              <w:cnfStyle w:val="000000000000" w:firstRow="0" w:lastRow="0" w:firstColumn="0" w:lastColumn="0" w:oddVBand="0" w:evenVBand="0" w:oddHBand="0" w:evenHBand="0" w:firstRowFirstColumn="0" w:firstRowLastColumn="0" w:lastRowFirstColumn="0" w:lastRowLastColumn="0"/>
            </w:pPr>
            <w:r w:rsidRPr="00AB34CA">
              <w:t>Number of emergency department visits</w:t>
            </w:r>
            <w:r w:rsidR="00550F7A">
              <w:t xml:space="preserve"> </w:t>
            </w:r>
          </w:p>
        </w:tc>
      </w:tr>
      <w:tr w:rsidR="00C220BF" w:rsidRPr="00F44630" w14:paraId="233D5BBE" w14:textId="77777777">
        <w:tc>
          <w:tcPr>
            <w:cnfStyle w:val="001000000000" w:firstRow="0" w:lastRow="0" w:firstColumn="1" w:lastColumn="0" w:oddVBand="0" w:evenVBand="0" w:oddHBand="0" w:evenHBand="0" w:firstRowFirstColumn="0" w:firstRowLastColumn="0" w:lastRowFirstColumn="0" w:lastRowLastColumn="0"/>
            <w:tcW w:w="2484" w:type="dxa"/>
          </w:tcPr>
          <w:p w14:paraId="2983FF17" w14:textId="77777777" w:rsidR="00C220BF" w:rsidRPr="00F44630" w:rsidRDefault="00C220BF">
            <w:r w:rsidRPr="00F44630">
              <w:t>Denominator</w:t>
            </w:r>
          </w:p>
        </w:tc>
        <w:tc>
          <w:tcPr>
            <w:tcW w:w="6860" w:type="dxa"/>
          </w:tcPr>
          <w:p w14:paraId="47DDCE3A" w14:textId="69269027" w:rsidR="00C220BF" w:rsidRPr="00F44630" w:rsidRDefault="00AB34CA">
            <w:pPr>
              <w:cnfStyle w:val="000000000000" w:firstRow="0" w:lastRow="0" w:firstColumn="0" w:lastColumn="0" w:oddVBand="0" w:evenVBand="0" w:oddHBand="0" w:evenHBand="0" w:firstRowFirstColumn="0" w:firstRowLastColumn="0" w:lastRowFirstColumn="0" w:lastRowLastColumn="0"/>
            </w:pPr>
            <w:r w:rsidRPr="00AB34CA">
              <w:t>Enrollees 18 to 64 years of age as of December 31 of the measurement year with a diagnosis of serious mental illness and/or substance use disorder</w:t>
            </w:r>
          </w:p>
        </w:tc>
      </w:tr>
      <w:tr w:rsidR="00C220BF" w:rsidRPr="00F44630" w14:paraId="628F8A29" w14:textId="77777777">
        <w:tc>
          <w:tcPr>
            <w:cnfStyle w:val="001000000000" w:firstRow="0" w:lastRow="0" w:firstColumn="1" w:lastColumn="0" w:oddVBand="0" w:evenVBand="0" w:oddHBand="0" w:evenHBand="0" w:firstRowFirstColumn="0" w:firstRowLastColumn="0" w:lastRowFirstColumn="0" w:lastRowLastColumn="0"/>
            <w:tcW w:w="2484" w:type="dxa"/>
          </w:tcPr>
          <w:p w14:paraId="03F5453E" w14:textId="77777777" w:rsidR="00C220BF" w:rsidRPr="00F44630" w:rsidRDefault="00C220BF">
            <w:r w:rsidRPr="00F44630">
              <w:t>Data Sources</w:t>
            </w:r>
          </w:p>
        </w:tc>
        <w:tc>
          <w:tcPr>
            <w:tcW w:w="6860" w:type="dxa"/>
          </w:tcPr>
          <w:p w14:paraId="736E1E5B"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Medicaid claims/encounters data</w:t>
            </w:r>
          </w:p>
        </w:tc>
      </w:tr>
      <w:tr w:rsidR="00C220BF" w:rsidRPr="00F44630" w14:paraId="424A6E3C" w14:textId="77777777">
        <w:tc>
          <w:tcPr>
            <w:cnfStyle w:val="001000000000" w:firstRow="0" w:lastRow="0" w:firstColumn="1" w:lastColumn="0" w:oddVBand="0" w:evenVBand="0" w:oddHBand="0" w:evenHBand="0" w:firstRowFirstColumn="0" w:firstRowLastColumn="0" w:lastRowFirstColumn="0" w:lastRowLastColumn="0"/>
            <w:tcW w:w="2484" w:type="dxa"/>
          </w:tcPr>
          <w:p w14:paraId="37B41F89" w14:textId="77777777" w:rsidR="00C220BF" w:rsidRPr="00F44630" w:rsidRDefault="00C220BF">
            <w:r w:rsidRPr="00F44630">
              <w:lastRenderedPageBreak/>
              <w:t>National Benchmark</w:t>
            </w:r>
          </w:p>
        </w:tc>
        <w:tc>
          <w:tcPr>
            <w:tcW w:w="6860" w:type="dxa"/>
          </w:tcPr>
          <w:p w14:paraId="142AA00A"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None</w:t>
            </w:r>
          </w:p>
        </w:tc>
      </w:tr>
    </w:tbl>
    <w:p w14:paraId="3C73BC07" w14:textId="77777777" w:rsidR="00C220BF" w:rsidRDefault="00C220BF" w:rsidP="009122F2">
      <w:pPr>
        <w:pStyle w:val="NoSpacing"/>
      </w:pPr>
    </w:p>
    <w:tbl>
      <w:tblPr>
        <w:tblStyle w:val="FHCclean10pt"/>
        <w:tblW w:w="0" w:type="auto"/>
        <w:tblLook w:val="04A0" w:firstRow="1" w:lastRow="0" w:firstColumn="1" w:lastColumn="0" w:noHBand="0" w:noVBand="1"/>
      </w:tblPr>
      <w:tblGrid>
        <w:gridCol w:w="2484"/>
        <w:gridCol w:w="6860"/>
      </w:tblGrid>
      <w:tr w:rsidR="00C220BF" w:rsidRPr="00F44630" w14:paraId="1762F82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3F013647" w14:textId="77777777" w:rsidR="00C220BF" w:rsidRPr="00F44630" w:rsidRDefault="00C220BF">
            <w:r w:rsidRPr="00DB3492">
              <w:t>Measure:</w:t>
            </w:r>
          </w:p>
        </w:tc>
        <w:tc>
          <w:tcPr>
            <w:tcW w:w="6860" w:type="dxa"/>
          </w:tcPr>
          <w:p w14:paraId="2C8C248D" w14:textId="77777777" w:rsidR="00C220BF" w:rsidRPr="00F44630" w:rsidRDefault="00C220BF">
            <w:pPr>
              <w:cnfStyle w:val="100000000000" w:firstRow="1" w:lastRow="0" w:firstColumn="0" w:lastColumn="0" w:oddVBand="0" w:evenVBand="0" w:oddHBand="0" w:evenHBand="0" w:firstRowFirstColumn="0" w:firstRowLastColumn="0" w:lastRowFirstColumn="0" w:lastRowLastColumn="0"/>
            </w:pPr>
            <w:r w:rsidRPr="00D14179">
              <w:t>Follow-Up After Hospitalization for Mental Illness (FUH)</w:t>
            </w:r>
            <w:r>
              <w:br/>
            </w:r>
            <w:r w:rsidRPr="000036C8">
              <w:t>*MassHealth ACO Quality Measure</w:t>
            </w:r>
          </w:p>
        </w:tc>
      </w:tr>
      <w:tr w:rsidR="00C220BF" w:rsidRPr="00F44630" w14:paraId="67D928DD" w14:textId="77777777">
        <w:tc>
          <w:tcPr>
            <w:cnfStyle w:val="001000000000" w:firstRow="0" w:lastRow="0" w:firstColumn="1" w:lastColumn="0" w:oddVBand="0" w:evenVBand="0" w:oddHBand="0" w:evenHBand="0" w:firstRowFirstColumn="0" w:firstRowLastColumn="0" w:lastRowFirstColumn="0" w:lastRowLastColumn="0"/>
            <w:tcW w:w="2484" w:type="dxa"/>
          </w:tcPr>
          <w:p w14:paraId="4AD6120F" w14:textId="77777777" w:rsidR="00C220BF" w:rsidRPr="00F44630" w:rsidRDefault="00C220BF">
            <w:r w:rsidRPr="00DB3492">
              <w:t>Steward:</w:t>
            </w:r>
          </w:p>
        </w:tc>
        <w:tc>
          <w:tcPr>
            <w:tcW w:w="6860" w:type="dxa"/>
          </w:tcPr>
          <w:p w14:paraId="117F9DE6"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D14179">
              <w:t>National Committee for Quality Assurance (#0576)</w:t>
            </w:r>
          </w:p>
        </w:tc>
      </w:tr>
      <w:tr w:rsidR="00C220BF" w:rsidRPr="00F44630" w14:paraId="653ED18B" w14:textId="77777777">
        <w:tc>
          <w:tcPr>
            <w:cnfStyle w:val="001000000000" w:firstRow="0" w:lastRow="0" w:firstColumn="1" w:lastColumn="0" w:oddVBand="0" w:evenVBand="0" w:oddHBand="0" w:evenHBand="0" w:firstRowFirstColumn="0" w:firstRowLastColumn="0" w:lastRowFirstColumn="0" w:lastRowLastColumn="0"/>
            <w:tcW w:w="2484" w:type="dxa"/>
          </w:tcPr>
          <w:p w14:paraId="11019BDA" w14:textId="77777777" w:rsidR="00C220BF" w:rsidRPr="00F44630" w:rsidRDefault="00C220BF">
            <w:r w:rsidRPr="00DB3492">
              <w:t>NQF Endorsed:</w:t>
            </w:r>
          </w:p>
        </w:tc>
        <w:tc>
          <w:tcPr>
            <w:tcW w:w="6860" w:type="dxa"/>
          </w:tcPr>
          <w:p w14:paraId="05C4AD73"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t>Yes</w:t>
            </w:r>
          </w:p>
        </w:tc>
      </w:tr>
      <w:tr w:rsidR="00C220BF" w:rsidRPr="00F44630" w14:paraId="62417D94" w14:textId="77777777">
        <w:tc>
          <w:tcPr>
            <w:cnfStyle w:val="001000000000" w:firstRow="0" w:lastRow="0" w:firstColumn="1" w:lastColumn="0" w:oddVBand="0" w:evenVBand="0" w:oddHBand="0" w:evenHBand="0" w:firstRowFirstColumn="0" w:firstRowLastColumn="0" w:lastRowFirstColumn="0" w:lastRowLastColumn="0"/>
            <w:tcW w:w="2484" w:type="dxa"/>
          </w:tcPr>
          <w:p w14:paraId="35F9A740" w14:textId="77777777" w:rsidR="00C220BF" w:rsidRPr="00F44630" w:rsidRDefault="00C220BF">
            <w:r w:rsidRPr="00F44630">
              <w:t>Description</w:t>
            </w:r>
          </w:p>
        </w:tc>
        <w:tc>
          <w:tcPr>
            <w:tcW w:w="6860" w:type="dxa"/>
          </w:tcPr>
          <w:p w14:paraId="45920F5A"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The percentage of discharges for members 6 years of age and older who were hospitalized for treatment of selected mental illness or intentional self-harm diagnoses and who had a follow-up visit with a mental health provider. Two rates are reported:</w:t>
            </w:r>
          </w:p>
          <w:p w14:paraId="0F63C604" w14:textId="6F62ECC2" w:rsidR="00C220BF" w:rsidRPr="00F44630"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t>Rate 1</w:t>
            </w:r>
            <w:r w:rsidR="00430786">
              <w:t xml:space="preserve">: </w:t>
            </w:r>
            <w:r w:rsidR="007E287D">
              <w:t xml:space="preserve"> </w:t>
            </w:r>
            <w:r w:rsidRPr="00F44630">
              <w:t>The percentage of discharges for which the member received follow-up within 30 days after discharge.</w:t>
            </w:r>
          </w:p>
          <w:p w14:paraId="01B04486" w14:textId="4121C743" w:rsidR="00C220BF" w:rsidRPr="00F44630"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t xml:space="preserve">Rate </w:t>
            </w:r>
            <w:r w:rsidRPr="00F44630">
              <w:t>2</w:t>
            </w:r>
            <w:r w:rsidR="00430786">
              <w:t xml:space="preserve">: </w:t>
            </w:r>
            <w:r w:rsidRPr="00F44630">
              <w:t xml:space="preserve"> The percentage of discharges for which the member received follow-up within </w:t>
            </w:r>
            <w:r w:rsidR="007E287D">
              <w:t>seven</w:t>
            </w:r>
            <w:r w:rsidR="007E287D" w:rsidRPr="00F44630">
              <w:t xml:space="preserve"> </w:t>
            </w:r>
            <w:r w:rsidRPr="00F44630">
              <w:t>days after discharge.</w:t>
            </w:r>
          </w:p>
        </w:tc>
      </w:tr>
      <w:tr w:rsidR="00C220BF" w:rsidRPr="00F44630" w14:paraId="461FBBF3" w14:textId="77777777">
        <w:tc>
          <w:tcPr>
            <w:cnfStyle w:val="001000000000" w:firstRow="0" w:lastRow="0" w:firstColumn="1" w:lastColumn="0" w:oddVBand="0" w:evenVBand="0" w:oddHBand="0" w:evenHBand="0" w:firstRowFirstColumn="0" w:firstRowLastColumn="0" w:lastRowFirstColumn="0" w:lastRowLastColumn="0"/>
            <w:tcW w:w="2484" w:type="dxa"/>
          </w:tcPr>
          <w:p w14:paraId="057B79C1" w14:textId="77777777" w:rsidR="00C220BF" w:rsidRPr="00F44630" w:rsidRDefault="00C220BF">
            <w:r w:rsidRPr="00F44630">
              <w:t>Numerator</w:t>
            </w:r>
          </w:p>
        </w:tc>
        <w:tc>
          <w:tcPr>
            <w:tcW w:w="6860" w:type="dxa"/>
          </w:tcPr>
          <w:p w14:paraId="6CFA8334"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30-Day Follow-Up: A follow-up visit with a mental health provider within 30 days after discharge.</w:t>
            </w:r>
          </w:p>
          <w:p w14:paraId="61885487" w14:textId="331F2741"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 xml:space="preserve">7-Day Follow-Up: A follow-up visit with a mental health provider within </w:t>
            </w:r>
            <w:r w:rsidR="007E287D">
              <w:t>seven</w:t>
            </w:r>
            <w:r w:rsidRPr="00F44630">
              <w:t xml:space="preserve"> days after discharge</w:t>
            </w:r>
            <w:r w:rsidR="007E287D">
              <w:t>.</w:t>
            </w:r>
          </w:p>
        </w:tc>
      </w:tr>
      <w:tr w:rsidR="00C220BF" w:rsidRPr="00F44630" w14:paraId="060466EA" w14:textId="77777777">
        <w:tc>
          <w:tcPr>
            <w:cnfStyle w:val="001000000000" w:firstRow="0" w:lastRow="0" w:firstColumn="1" w:lastColumn="0" w:oddVBand="0" w:evenVBand="0" w:oddHBand="0" w:evenHBand="0" w:firstRowFirstColumn="0" w:firstRowLastColumn="0" w:lastRowFirstColumn="0" w:lastRowLastColumn="0"/>
            <w:tcW w:w="2484" w:type="dxa"/>
          </w:tcPr>
          <w:p w14:paraId="4A7A2B40" w14:textId="77777777" w:rsidR="00C220BF" w:rsidRPr="00F44630" w:rsidRDefault="00C220BF">
            <w:r w:rsidRPr="00F44630">
              <w:t>Denominator</w:t>
            </w:r>
          </w:p>
        </w:tc>
        <w:tc>
          <w:tcPr>
            <w:tcW w:w="6860" w:type="dxa"/>
          </w:tcPr>
          <w:p w14:paraId="4BDA0526" w14:textId="135E7B9E"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Discharges from an acute inpatient setting with a principal diagnosis of mental illness or intentional self-harm on the discharge claim during the first 11 months of the measurement year (i.e.</w:t>
            </w:r>
            <w:r w:rsidR="007E287D">
              <w:t>,</w:t>
            </w:r>
            <w:r w:rsidRPr="00F44630">
              <w:t xml:space="preserve"> January 1 to December 1) for members 6 years and older.</w:t>
            </w:r>
          </w:p>
        </w:tc>
      </w:tr>
      <w:tr w:rsidR="00C220BF" w:rsidRPr="00F44630" w14:paraId="3879DEC1" w14:textId="77777777">
        <w:tc>
          <w:tcPr>
            <w:cnfStyle w:val="001000000000" w:firstRow="0" w:lastRow="0" w:firstColumn="1" w:lastColumn="0" w:oddVBand="0" w:evenVBand="0" w:oddHBand="0" w:evenHBand="0" w:firstRowFirstColumn="0" w:firstRowLastColumn="0" w:lastRowFirstColumn="0" w:lastRowLastColumn="0"/>
            <w:tcW w:w="2484" w:type="dxa"/>
          </w:tcPr>
          <w:p w14:paraId="71ECC5E5" w14:textId="77777777" w:rsidR="00C220BF" w:rsidRPr="00F44630" w:rsidRDefault="00C220BF">
            <w:r w:rsidRPr="00F44630">
              <w:t>Data Sources</w:t>
            </w:r>
          </w:p>
        </w:tc>
        <w:tc>
          <w:tcPr>
            <w:tcW w:w="6860" w:type="dxa"/>
          </w:tcPr>
          <w:p w14:paraId="2370C673"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Medicaid claims/encounters data</w:t>
            </w:r>
          </w:p>
        </w:tc>
      </w:tr>
      <w:tr w:rsidR="00C220BF" w:rsidRPr="00786BB0" w14:paraId="2FD4C04F" w14:textId="77777777">
        <w:tc>
          <w:tcPr>
            <w:cnfStyle w:val="001000000000" w:firstRow="0" w:lastRow="0" w:firstColumn="1" w:lastColumn="0" w:oddVBand="0" w:evenVBand="0" w:oddHBand="0" w:evenHBand="0" w:firstRowFirstColumn="0" w:firstRowLastColumn="0" w:lastRowFirstColumn="0" w:lastRowLastColumn="0"/>
            <w:tcW w:w="2484" w:type="dxa"/>
          </w:tcPr>
          <w:p w14:paraId="366355B3" w14:textId="77777777" w:rsidR="00C220BF" w:rsidRPr="00F44630" w:rsidRDefault="00C220BF">
            <w:r w:rsidRPr="00F44630">
              <w:t>National Benchmark</w:t>
            </w:r>
          </w:p>
        </w:tc>
        <w:tc>
          <w:tcPr>
            <w:tcW w:w="6860" w:type="dxa"/>
          </w:tcPr>
          <w:p w14:paraId="1BDB87BA" w14:textId="4D31C8E5"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 xml:space="preserve">2021 Medicaid HMO for follow-up within </w:t>
            </w:r>
            <w:r w:rsidR="005B47F7">
              <w:t>seven days</w:t>
            </w:r>
            <w:r w:rsidRPr="00F44630">
              <w:t xml:space="preserve"> post-discharge= 38.4%</w:t>
            </w:r>
          </w:p>
          <w:p w14:paraId="4FF299ED"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2021 Medicaid HMO for follow-up within 30 days post-discharge = 58.7%</w:t>
            </w:r>
          </w:p>
          <w:p w14:paraId="2907EB25" w14:textId="77777777" w:rsidR="00C220BF" w:rsidRPr="00EC21C0" w:rsidRDefault="00C220BF">
            <w:pPr>
              <w:cnfStyle w:val="000000000000" w:firstRow="0" w:lastRow="0" w:firstColumn="0" w:lastColumn="0" w:oddVBand="0" w:evenVBand="0" w:oddHBand="0" w:evenHBand="0" w:firstRowFirstColumn="0" w:firstRowLastColumn="0" w:lastRowFirstColumn="0" w:lastRowLastColumn="0"/>
              <w:rPr>
                <w:lang w:val="fr-FR"/>
              </w:rPr>
            </w:pPr>
            <w:r w:rsidRPr="00EC21C0">
              <w:rPr>
                <w:lang w:val="fr-FR"/>
              </w:rPr>
              <w:t xml:space="preserve">Source: </w:t>
            </w:r>
            <w:hyperlink r:id="rId69" w:history="1">
              <w:r w:rsidRPr="00EC21C0">
                <w:rPr>
                  <w:rStyle w:val="Hyperlink"/>
                  <w:lang w:val="fr-FR"/>
                </w:rPr>
                <w:t>https://www.ncqa.org/hedis/measures/follow-up-after-hospitalization-for-mental-illness/</w:t>
              </w:r>
            </w:hyperlink>
            <w:r w:rsidRPr="00EC21C0">
              <w:rPr>
                <w:lang w:val="fr-FR"/>
              </w:rPr>
              <w:t xml:space="preserve"> </w:t>
            </w:r>
          </w:p>
        </w:tc>
      </w:tr>
    </w:tbl>
    <w:p w14:paraId="0FE276B0" w14:textId="77777777" w:rsidR="00C220BF" w:rsidRPr="00EC21C0" w:rsidRDefault="00C220BF" w:rsidP="009122F2">
      <w:pPr>
        <w:pStyle w:val="NoSpacing"/>
        <w:rPr>
          <w:lang w:val="fr-FR"/>
        </w:rPr>
      </w:pPr>
    </w:p>
    <w:tbl>
      <w:tblPr>
        <w:tblStyle w:val="FHCclean10pt"/>
        <w:tblW w:w="0" w:type="auto"/>
        <w:tblLook w:val="04A0" w:firstRow="1" w:lastRow="0" w:firstColumn="1" w:lastColumn="0" w:noHBand="0" w:noVBand="1"/>
      </w:tblPr>
      <w:tblGrid>
        <w:gridCol w:w="2484"/>
        <w:gridCol w:w="6860"/>
      </w:tblGrid>
      <w:tr w:rsidR="00C220BF" w:rsidRPr="00F44630" w14:paraId="55B4EEF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7DEFE532" w14:textId="77777777" w:rsidR="00C220BF" w:rsidRPr="00F44630" w:rsidRDefault="00C220BF">
            <w:r w:rsidRPr="00DB3492">
              <w:t>Measure:</w:t>
            </w:r>
          </w:p>
        </w:tc>
        <w:tc>
          <w:tcPr>
            <w:tcW w:w="6860" w:type="dxa"/>
          </w:tcPr>
          <w:p w14:paraId="7738B642" w14:textId="12A9708D" w:rsidR="00C220BF" w:rsidRPr="00F44630" w:rsidRDefault="00C220BF">
            <w:pPr>
              <w:cnfStyle w:val="100000000000" w:firstRow="1" w:lastRow="0" w:firstColumn="0" w:lastColumn="0" w:oddVBand="0" w:evenVBand="0" w:oddHBand="0" w:evenHBand="0" w:firstRowFirstColumn="0" w:firstRowLastColumn="0" w:lastRowFirstColumn="0" w:lastRowLastColumn="0"/>
            </w:pPr>
            <w:r w:rsidRPr="00D14179">
              <w:t>Controlling High Blood Pressure (CBP-AD)</w:t>
            </w:r>
            <w:r>
              <w:br/>
              <w:t>*MassHealth Monitoring Measure</w:t>
            </w:r>
          </w:p>
        </w:tc>
      </w:tr>
      <w:tr w:rsidR="00C220BF" w:rsidRPr="00F44630" w14:paraId="024A6C7C" w14:textId="77777777">
        <w:tc>
          <w:tcPr>
            <w:cnfStyle w:val="001000000000" w:firstRow="0" w:lastRow="0" w:firstColumn="1" w:lastColumn="0" w:oddVBand="0" w:evenVBand="0" w:oddHBand="0" w:evenHBand="0" w:firstRowFirstColumn="0" w:firstRowLastColumn="0" w:lastRowFirstColumn="0" w:lastRowLastColumn="0"/>
            <w:tcW w:w="2484" w:type="dxa"/>
          </w:tcPr>
          <w:p w14:paraId="19419191" w14:textId="77777777" w:rsidR="00C220BF" w:rsidRPr="00F44630" w:rsidRDefault="00C220BF">
            <w:r w:rsidRPr="00DB3492">
              <w:t>Steward:</w:t>
            </w:r>
          </w:p>
        </w:tc>
        <w:tc>
          <w:tcPr>
            <w:tcW w:w="6860" w:type="dxa"/>
          </w:tcPr>
          <w:p w14:paraId="037A34DB"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D14179">
              <w:t>National Committee for Quality Assurance (#0018)</w:t>
            </w:r>
          </w:p>
        </w:tc>
      </w:tr>
      <w:tr w:rsidR="00C220BF" w:rsidRPr="00F44630" w14:paraId="19D1D11C" w14:textId="77777777">
        <w:tc>
          <w:tcPr>
            <w:cnfStyle w:val="001000000000" w:firstRow="0" w:lastRow="0" w:firstColumn="1" w:lastColumn="0" w:oddVBand="0" w:evenVBand="0" w:oddHBand="0" w:evenHBand="0" w:firstRowFirstColumn="0" w:firstRowLastColumn="0" w:lastRowFirstColumn="0" w:lastRowLastColumn="0"/>
            <w:tcW w:w="2484" w:type="dxa"/>
          </w:tcPr>
          <w:p w14:paraId="7C3089FD" w14:textId="77777777" w:rsidR="00C220BF" w:rsidRPr="00F44630" w:rsidRDefault="00C220BF">
            <w:r w:rsidRPr="00DB3492">
              <w:t>NQF Endorsed:</w:t>
            </w:r>
          </w:p>
        </w:tc>
        <w:tc>
          <w:tcPr>
            <w:tcW w:w="6860" w:type="dxa"/>
          </w:tcPr>
          <w:p w14:paraId="6D2AB0E9"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t>Yes</w:t>
            </w:r>
          </w:p>
        </w:tc>
      </w:tr>
      <w:tr w:rsidR="00C220BF" w:rsidRPr="00F44630" w14:paraId="18A0B95F" w14:textId="77777777">
        <w:tc>
          <w:tcPr>
            <w:cnfStyle w:val="001000000000" w:firstRow="0" w:lastRow="0" w:firstColumn="1" w:lastColumn="0" w:oddVBand="0" w:evenVBand="0" w:oddHBand="0" w:evenHBand="0" w:firstRowFirstColumn="0" w:firstRowLastColumn="0" w:lastRowFirstColumn="0" w:lastRowLastColumn="0"/>
            <w:tcW w:w="2484" w:type="dxa"/>
          </w:tcPr>
          <w:p w14:paraId="214FD965" w14:textId="77777777" w:rsidR="00C220BF" w:rsidRPr="00F44630" w:rsidRDefault="00C220BF">
            <w:r w:rsidRPr="00F44630">
              <w:t>Description</w:t>
            </w:r>
          </w:p>
        </w:tc>
        <w:tc>
          <w:tcPr>
            <w:tcW w:w="6860" w:type="dxa"/>
          </w:tcPr>
          <w:p w14:paraId="0F53B057" w14:textId="094F994F"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The percentage of adults 18</w:t>
            </w:r>
            <w:r w:rsidR="000408C9">
              <w:t xml:space="preserve"> to </w:t>
            </w:r>
            <w:r w:rsidRPr="00F44630">
              <w:t>85 years of age who had a diagnosis of hypertension (HTN) and whose blood pressure was adequately controlled (&lt;140/90 mm Hg) during the measurement year.</w:t>
            </w:r>
          </w:p>
        </w:tc>
      </w:tr>
      <w:tr w:rsidR="00C220BF" w:rsidRPr="00F44630" w14:paraId="19BB6644" w14:textId="77777777">
        <w:tc>
          <w:tcPr>
            <w:cnfStyle w:val="001000000000" w:firstRow="0" w:lastRow="0" w:firstColumn="1" w:lastColumn="0" w:oddVBand="0" w:evenVBand="0" w:oddHBand="0" w:evenHBand="0" w:firstRowFirstColumn="0" w:firstRowLastColumn="0" w:lastRowFirstColumn="0" w:lastRowLastColumn="0"/>
            <w:tcW w:w="2484" w:type="dxa"/>
          </w:tcPr>
          <w:p w14:paraId="68F43B17" w14:textId="77777777" w:rsidR="00C220BF" w:rsidRPr="00F44630" w:rsidRDefault="00C220BF">
            <w:r w:rsidRPr="00F44630">
              <w:t>Numerator</w:t>
            </w:r>
          </w:p>
        </w:tc>
        <w:tc>
          <w:tcPr>
            <w:tcW w:w="6860" w:type="dxa"/>
          </w:tcPr>
          <w:p w14:paraId="7C8BC96D" w14:textId="6E30B8D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Patients whose most recent blood pressure level was &lt;140/90 mm Hg during the measurement year</w:t>
            </w:r>
            <w:r w:rsidR="000408C9">
              <w:t>.</w:t>
            </w:r>
          </w:p>
        </w:tc>
      </w:tr>
      <w:tr w:rsidR="00C220BF" w:rsidRPr="00F44630" w14:paraId="215918A1" w14:textId="77777777">
        <w:tc>
          <w:tcPr>
            <w:cnfStyle w:val="001000000000" w:firstRow="0" w:lastRow="0" w:firstColumn="1" w:lastColumn="0" w:oddVBand="0" w:evenVBand="0" w:oddHBand="0" w:evenHBand="0" w:firstRowFirstColumn="0" w:firstRowLastColumn="0" w:lastRowFirstColumn="0" w:lastRowLastColumn="0"/>
            <w:tcW w:w="2484" w:type="dxa"/>
          </w:tcPr>
          <w:p w14:paraId="454F085C" w14:textId="77777777" w:rsidR="00C220BF" w:rsidRPr="00F44630" w:rsidRDefault="00C220BF">
            <w:r w:rsidRPr="00F44630">
              <w:t>Denominator</w:t>
            </w:r>
          </w:p>
        </w:tc>
        <w:tc>
          <w:tcPr>
            <w:tcW w:w="6860" w:type="dxa"/>
          </w:tcPr>
          <w:p w14:paraId="04007A1B" w14:textId="4DB91522"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Patients 18</w:t>
            </w:r>
            <w:r w:rsidR="000408C9">
              <w:t xml:space="preserve"> to </w:t>
            </w:r>
            <w:r w:rsidRPr="00F44630">
              <w:t>85 years of age who had at least two visits on different dates of service with a diagnosis of hypertension during the measurement year or the year prior to the measurement year</w:t>
            </w:r>
            <w:r w:rsidR="000408C9">
              <w:t>.</w:t>
            </w:r>
          </w:p>
        </w:tc>
      </w:tr>
      <w:tr w:rsidR="00C220BF" w:rsidRPr="00F44630" w14:paraId="00CD4DFA" w14:textId="77777777">
        <w:tc>
          <w:tcPr>
            <w:cnfStyle w:val="001000000000" w:firstRow="0" w:lastRow="0" w:firstColumn="1" w:lastColumn="0" w:oddVBand="0" w:evenVBand="0" w:oddHBand="0" w:evenHBand="0" w:firstRowFirstColumn="0" w:firstRowLastColumn="0" w:lastRowFirstColumn="0" w:lastRowLastColumn="0"/>
            <w:tcW w:w="2484" w:type="dxa"/>
          </w:tcPr>
          <w:p w14:paraId="7212A284" w14:textId="77777777" w:rsidR="00C220BF" w:rsidRPr="00F44630" w:rsidRDefault="00C220BF">
            <w:r w:rsidRPr="00F44630">
              <w:t>Data Sources</w:t>
            </w:r>
          </w:p>
        </w:tc>
        <w:tc>
          <w:tcPr>
            <w:tcW w:w="6860" w:type="dxa"/>
          </w:tcPr>
          <w:p w14:paraId="4FF18D79"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Hybrid</w:t>
            </w:r>
          </w:p>
        </w:tc>
      </w:tr>
      <w:tr w:rsidR="00C220BF" w:rsidRPr="00F44630" w14:paraId="2C6CF571" w14:textId="77777777">
        <w:tc>
          <w:tcPr>
            <w:cnfStyle w:val="001000000000" w:firstRow="0" w:lastRow="0" w:firstColumn="1" w:lastColumn="0" w:oddVBand="0" w:evenVBand="0" w:oddHBand="0" w:evenHBand="0" w:firstRowFirstColumn="0" w:firstRowLastColumn="0" w:lastRowFirstColumn="0" w:lastRowLastColumn="0"/>
            <w:tcW w:w="2484" w:type="dxa"/>
          </w:tcPr>
          <w:p w14:paraId="5F351C53" w14:textId="77777777" w:rsidR="00C220BF" w:rsidRPr="00F44630" w:rsidRDefault="00C220BF">
            <w:r w:rsidRPr="00F44630">
              <w:t>National Benchmark</w:t>
            </w:r>
          </w:p>
        </w:tc>
        <w:tc>
          <w:tcPr>
            <w:tcW w:w="6860" w:type="dxa"/>
          </w:tcPr>
          <w:p w14:paraId="138C9850"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2021 Medicaid HMO = 58.6%</w:t>
            </w:r>
          </w:p>
          <w:p w14:paraId="13BBF32E"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lastRenderedPageBreak/>
              <w:t xml:space="preserve">Source: </w:t>
            </w:r>
            <w:hyperlink r:id="rId70" w:history="1">
              <w:r w:rsidRPr="00897566">
                <w:rPr>
                  <w:rStyle w:val="Hyperlink"/>
                </w:rPr>
                <w:t>https://www.ncqa.org/hedis/measures/controlling-high-blood-pressure/</w:t>
              </w:r>
            </w:hyperlink>
            <w:r>
              <w:t xml:space="preserve"> </w:t>
            </w:r>
          </w:p>
        </w:tc>
      </w:tr>
    </w:tbl>
    <w:p w14:paraId="6B10BFB2" w14:textId="77777777" w:rsidR="00C220BF" w:rsidRDefault="00C220BF" w:rsidP="009122F2">
      <w:pPr>
        <w:pStyle w:val="NoSpacing"/>
      </w:pPr>
    </w:p>
    <w:tbl>
      <w:tblPr>
        <w:tblStyle w:val="FHCclean10pt"/>
        <w:tblW w:w="0" w:type="auto"/>
        <w:tblLook w:val="04A0" w:firstRow="1" w:lastRow="0" w:firstColumn="1" w:lastColumn="0" w:noHBand="0" w:noVBand="1"/>
      </w:tblPr>
      <w:tblGrid>
        <w:gridCol w:w="2484"/>
        <w:gridCol w:w="6860"/>
      </w:tblGrid>
      <w:tr w:rsidR="00C220BF" w:rsidRPr="00F44630" w14:paraId="61A2714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7C971316" w14:textId="77777777" w:rsidR="00C220BF" w:rsidRPr="00F44630" w:rsidRDefault="00C220BF">
            <w:r w:rsidRPr="00DB3492">
              <w:t>Measure:</w:t>
            </w:r>
          </w:p>
        </w:tc>
        <w:tc>
          <w:tcPr>
            <w:tcW w:w="6860" w:type="dxa"/>
          </w:tcPr>
          <w:p w14:paraId="4AC423E9" w14:textId="77777777" w:rsidR="00C220BF" w:rsidRPr="00F44630" w:rsidRDefault="00C220BF">
            <w:pPr>
              <w:cnfStyle w:val="100000000000" w:firstRow="1" w:lastRow="0" w:firstColumn="0" w:lastColumn="0" w:oddVBand="0" w:evenVBand="0" w:oddHBand="0" w:evenHBand="0" w:firstRowFirstColumn="0" w:firstRowLastColumn="0" w:lastRowFirstColumn="0" w:lastRowLastColumn="0"/>
            </w:pPr>
            <w:r w:rsidRPr="007443FE">
              <w:t>Comprehensive Diabetes Care: Hemoglobin A1c (HbA1c) Poor Control (&gt;9.0%)</w:t>
            </w:r>
            <w:r>
              <w:br/>
            </w:r>
            <w:r w:rsidRPr="000036C8">
              <w:t>* MassHealth ACO Quality Measure</w:t>
            </w:r>
          </w:p>
        </w:tc>
      </w:tr>
      <w:tr w:rsidR="00C220BF" w:rsidRPr="00F44630" w14:paraId="057BE973" w14:textId="77777777">
        <w:tc>
          <w:tcPr>
            <w:cnfStyle w:val="001000000000" w:firstRow="0" w:lastRow="0" w:firstColumn="1" w:lastColumn="0" w:oddVBand="0" w:evenVBand="0" w:oddHBand="0" w:evenHBand="0" w:firstRowFirstColumn="0" w:firstRowLastColumn="0" w:lastRowFirstColumn="0" w:lastRowLastColumn="0"/>
            <w:tcW w:w="2484" w:type="dxa"/>
          </w:tcPr>
          <w:p w14:paraId="2FE1274F" w14:textId="77777777" w:rsidR="00C220BF" w:rsidRPr="00F44630" w:rsidRDefault="00C220BF">
            <w:r w:rsidRPr="00DB3492">
              <w:t>Steward:</w:t>
            </w:r>
          </w:p>
        </w:tc>
        <w:tc>
          <w:tcPr>
            <w:tcW w:w="6860" w:type="dxa"/>
          </w:tcPr>
          <w:p w14:paraId="6BADCC1A"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7443FE">
              <w:t>National Committee for Quality Assurance (#0059)</w:t>
            </w:r>
          </w:p>
        </w:tc>
      </w:tr>
      <w:tr w:rsidR="00C220BF" w:rsidRPr="00F44630" w14:paraId="4D6BC280" w14:textId="77777777">
        <w:tc>
          <w:tcPr>
            <w:cnfStyle w:val="001000000000" w:firstRow="0" w:lastRow="0" w:firstColumn="1" w:lastColumn="0" w:oddVBand="0" w:evenVBand="0" w:oddHBand="0" w:evenHBand="0" w:firstRowFirstColumn="0" w:firstRowLastColumn="0" w:lastRowFirstColumn="0" w:lastRowLastColumn="0"/>
            <w:tcW w:w="2484" w:type="dxa"/>
          </w:tcPr>
          <w:p w14:paraId="7DB798BF" w14:textId="77777777" w:rsidR="00C220BF" w:rsidRPr="00F44630" w:rsidRDefault="00C220BF">
            <w:r w:rsidRPr="00DB3492">
              <w:t>NQF Endorsed:</w:t>
            </w:r>
          </w:p>
        </w:tc>
        <w:tc>
          <w:tcPr>
            <w:tcW w:w="6860" w:type="dxa"/>
          </w:tcPr>
          <w:p w14:paraId="076BCB88"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t>Endorsement Removed</w:t>
            </w:r>
          </w:p>
        </w:tc>
      </w:tr>
      <w:tr w:rsidR="00C220BF" w:rsidRPr="00F44630" w14:paraId="54EE3FF9" w14:textId="77777777">
        <w:tc>
          <w:tcPr>
            <w:cnfStyle w:val="001000000000" w:firstRow="0" w:lastRow="0" w:firstColumn="1" w:lastColumn="0" w:oddVBand="0" w:evenVBand="0" w:oddHBand="0" w:evenHBand="0" w:firstRowFirstColumn="0" w:firstRowLastColumn="0" w:lastRowFirstColumn="0" w:lastRowLastColumn="0"/>
            <w:tcW w:w="2484" w:type="dxa"/>
          </w:tcPr>
          <w:p w14:paraId="3A1174C7" w14:textId="77777777" w:rsidR="00C220BF" w:rsidRPr="00F44630" w:rsidRDefault="00C220BF">
            <w:r w:rsidRPr="00F44630">
              <w:t>Description</w:t>
            </w:r>
          </w:p>
        </w:tc>
        <w:tc>
          <w:tcPr>
            <w:tcW w:w="6860" w:type="dxa"/>
          </w:tcPr>
          <w:p w14:paraId="4AB9CCAF" w14:textId="506CA459"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The percentage of patients 18</w:t>
            </w:r>
            <w:r w:rsidR="000408C9">
              <w:t xml:space="preserve"> to </w:t>
            </w:r>
            <w:r w:rsidRPr="00F44630">
              <w:t>75 years of age with diabetes (type 1 and type 2) whose most recent HbA1c level is &gt;9.0% during the measurement year</w:t>
            </w:r>
          </w:p>
        </w:tc>
      </w:tr>
      <w:tr w:rsidR="00C220BF" w:rsidRPr="00F44630" w14:paraId="791E357B" w14:textId="77777777">
        <w:tc>
          <w:tcPr>
            <w:cnfStyle w:val="001000000000" w:firstRow="0" w:lastRow="0" w:firstColumn="1" w:lastColumn="0" w:oddVBand="0" w:evenVBand="0" w:oddHBand="0" w:evenHBand="0" w:firstRowFirstColumn="0" w:firstRowLastColumn="0" w:lastRowFirstColumn="0" w:lastRowLastColumn="0"/>
            <w:tcW w:w="2484" w:type="dxa"/>
          </w:tcPr>
          <w:p w14:paraId="53190A99" w14:textId="77777777" w:rsidR="00C220BF" w:rsidRPr="00F44630" w:rsidRDefault="00C220BF">
            <w:r w:rsidRPr="00F44630">
              <w:t>Numerator</w:t>
            </w:r>
          </w:p>
        </w:tc>
        <w:tc>
          <w:tcPr>
            <w:tcW w:w="6860" w:type="dxa"/>
          </w:tcPr>
          <w:p w14:paraId="02B872F1" w14:textId="36E7FBCF"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Patients whose most recent HbA1c level is greater than 9.0% or is missing a result, or for whom an HbA1c test was not done during the measurement year</w:t>
            </w:r>
            <w:r w:rsidR="006432F2">
              <w:t>.</w:t>
            </w:r>
          </w:p>
        </w:tc>
      </w:tr>
      <w:tr w:rsidR="00C220BF" w:rsidRPr="00F44630" w14:paraId="5C0D03E6" w14:textId="77777777">
        <w:tc>
          <w:tcPr>
            <w:cnfStyle w:val="001000000000" w:firstRow="0" w:lastRow="0" w:firstColumn="1" w:lastColumn="0" w:oddVBand="0" w:evenVBand="0" w:oddHBand="0" w:evenHBand="0" w:firstRowFirstColumn="0" w:firstRowLastColumn="0" w:lastRowFirstColumn="0" w:lastRowLastColumn="0"/>
            <w:tcW w:w="2484" w:type="dxa"/>
          </w:tcPr>
          <w:p w14:paraId="16F696CA" w14:textId="77777777" w:rsidR="00C220BF" w:rsidRPr="00F44630" w:rsidRDefault="00C220BF">
            <w:r w:rsidRPr="00F44630">
              <w:t>Denominator</w:t>
            </w:r>
          </w:p>
        </w:tc>
        <w:tc>
          <w:tcPr>
            <w:tcW w:w="6860" w:type="dxa"/>
          </w:tcPr>
          <w:p w14:paraId="0D038B8B" w14:textId="344005C2"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Patients 18-75 years of age by the end of the measurement year who had a diagnosis of diabetes (type 1 and type 2) during the measurement year or the year prior to the measurement year</w:t>
            </w:r>
            <w:r w:rsidR="006432F2">
              <w:t>.</w:t>
            </w:r>
          </w:p>
        </w:tc>
      </w:tr>
      <w:tr w:rsidR="00C220BF" w:rsidRPr="00F44630" w14:paraId="33E30E27" w14:textId="77777777">
        <w:tc>
          <w:tcPr>
            <w:cnfStyle w:val="001000000000" w:firstRow="0" w:lastRow="0" w:firstColumn="1" w:lastColumn="0" w:oddVBand="0" w:evenVBand="0" w:oddHBand="0" w:evenHBand="0" w:firstRowFirstColumn="0" w:firstRowLastColumn="0" w:lastRowFirstColumn="0" w:lastRowLastColumn="0"/>
            <w:tcW w:w="2484" w:type="dxa"/>
          </w:tcPr>
          <w:p w14:paraId="7A5B756E" w14:textId="77777777" w:rsidR="00C220BF" w:rsidRPr="00F44630" w:rsidRDefault="00C220BF">
            <w:r w:rsidRPr="00F44630">
              <w:t>Data Sources</w:t>
            </w:r>
          </w:p>
        </w:tc>
        <w:tc>
          <w:tcPr>
            <w:tcW w:w="6860" w:type="dxa"/>
          </w:tcPr>
          <w:p w14:paraId="21B4E5DD"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Hybrid</w:t>
            </w:r>
          </w:p>
        </w:tc>
      </w:tr>
      <w:tr w:rsidR="00C220BF" w:rsidRPr="00F44630" w14:paraId="7CCE714F" w14:textId="77777777">
        <w:tc>
          <w:tcPr>
            <w:cnfStyle w:val="001000000000" w:firstRow="0" w:lastRow="0" w:firstColumn="1" w:lastColumn="0" w:oddVBand="0" w:evenVBand="0" w:oddHBand="0" w:evenHBand="0" w:firstRowFirstColumn="0" w:firstRowLastColumn="0" w:lastRowFirstColumn="0" w:lastRowLastColumn="0"/>
            <w:tcW w:w="2484" w:type="dxa"/>
          </w:tcPr>
          <w:p w14:paraId="28A2B0DB" w14:textId="77777777" w:rsidR="00C220BF" w:rsidRPr="00F44630" w:rsidRDefault="00C220BF">
            <w:r w:rsidRPr="00F44630">
              <w:t>National Benchmark</w:t>
            </w:r>
          </w:p>
        </w:tc>
        <w:tc>
          <w:tcPr>
            <w:tcW w:w="6860" w:type="dxa"/>
          </w:tcPr>
          <w:p w14:paraId="04678E5D"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2021 Medicaid HMO = 42.3%</w:t>
            </w:r>
          </w:p>
          <w:p w14:paraId="13CD403B"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 xml:space="preserve">Source: </w:t>
            </w:r>
            <w:hyperlink r:id="rId71" w:history="1">
              <w:r w:rsidRPr="00F44630">
                <w:rPr>
                  <w:rStyle w:val="Hyperlink"/>
                </w:rPr>
                <w:t>https://www.ncqa.org/hedis/measures/comprehensive-diabetes-care/</w:t>
              </w:r>
            </w:hyperlink>
          </w:p>
          <w:p w14:paraId="4425E4FC"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 Lower rates signify better performance</w:t>
            </w:r>
          </w:p>
        </w:tc>
      </w:tr>
    </w:tbl>
    <w:p w14:paraId="16DDD4C5" w14:textId="77777777" w:rsidR="00C220BF" w:rsidRDefault="00C220BF" w:rsidP="009122F2">
      <w:pPr>
        <w:pStyle w:val="NoSpacing"/>
      </w:pPr>
    </w:p>
    <w:tbl>
      <w:tblPr>
        <w:tblStyle w:val="FHCclean10pt"/>
        <w:tblW w:w="0" w:type="auto"/>
        <w:tblLook w:val="04A0" w:firstRow="1" w:lastRow="0" w:firstColumn="1" w:lastColumn="0" w:noHBand="0" w:noVBand="1"/>
      </w:tblPr>
      <w:tblGrid>
        <w:gridCol w:w="2484"/>
        <w:gridCol w:w="6860"/>
      </w:tblGrid>
      <w:tr w:rsidR="00C220BF" w:rsidRPr="00F44630" w14:paraId="2203480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573840CA" w14:textId="77777777" w:rsidR="00C220BF" w:rsidRPr="00F44630" w:rsidRDefault="00C220BF">
            <w:r w:rsidRPr="00DB3492">
              <w:t>Measure:</w:t>
            </w:r>
          </w:p>
        </w:tc>
        <w:tc>
          <w:tcPr>
            <w:tcW w:w="6860" w:type="dxa"/>
          </w:tcPr>
          <w:p w14:paraId="241A5A34" w14:textId="0F4B0450" w:rsidR="00C220BF" w:rsidRPr="00F44630" w:rsidRDefault="00C220BF">
            <w:pPr>
              <w:cnfStyle w:val="100000000000" w:firstRow="1" w:lastRow="0" w:firstColumn="0" w:lastColumn="0" w:oddVBand="0" w:evenVBand="0" w:oddHBand="0" w:evenHBand="0" w:firstRowFirstColumn="0" w:firstRowLastColumn="0" w:lastRowFirstColumn="0" w:lastRowLastColumn="0"/>
            </w:pPr>
            <w:r w:rsidRPr="007443FE">
              <w:t>Asthma Medication Ratio</w:t>
            </w:r>
            <w:r>
              <w:br/>
            </w:r>
            <w:r w:rsidRPr="000036C8">
              <w:t xml:space="preserve">*MassHealth ACO </w:t>
            </w:r>
            <w:r>
              <w:t>Q</w:t>
            </w:r>
            <w:r w:rsidRPr="000036C8">
              <w:t xml:space="preserve">uality </w:t>
            </w:r>
            <w:r>
              <w:t>M</w:t>
            </w:r>
            <w:r w:rsidRPr="000036C8">
              <w:t>easure</w:t>
            </w:r>
          </w:p>
        </w:tc>
      </w:tr>
      <w:tr w:rsidR="00C220BF" w:rsidRPr="00F44630" w14:paraId="55B39D96" w14:textId="77777777">
        <w:tc>
          <w:tcPr>
            <w:cnfStyle w:val="001000000000" w:firstRow="0" w:lastRow="0" w:firstColumn="1" w:lastColumn="0" w:oddVBand="0" w:evenVBand="0" w:oddHBand="0" w:evenHBand="0" w:firstRowFirstColumn="0" w:firstRowLastColumn="0" w:lastRowFirstColumn="0" w:lastRowLastColumn="0"/>
            <w:tcW w:w="2484" w:type="dxa"/>
          </w:tcPr>
          <w:p w14:paraId="72EFAEF3" w14:textId="77777777" w:rsidR="00C220BF" w:rsidRPr="00F44630" w:rsidRDefault="00C220BF">
            <w:r w:rsidRPr="00DB3492">
              <w:t>Steward:</w:t>
            </w:r>
          </w:p>
        </w:tc>
        <w:tc>
          <w:tcPr>
            <w:tcW w:w="6860" w:type="dxa"/>
          </w:tcPr>
          <w:p w14:paraId="7017A220"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7443FE">
              <w:t>National Committee for Quality Assurance</w:t>
            </w:r>
            <w:r>
              <w:t xml:space="preserve"> </w:t>
            </w:r>
            <w:r w:rsidRPr="007443FE">
              <w:t>(#1800)</w:t>
            </w:r>
          </w:p>
        </w:tc>
      </w:tr>
      <w:tr w:rsidR="00C220BF" w:rsidRPr="00F44630" w14:paraId="7D750C53" w14:textId="77777777">
        <w:tc>
          <w:tcPr>
            <w:cnfStyle w:val="001000000000" w:firstRow="0" w:lastRow="0" w:firstColumn="1" w:lastColumn="0" w:oddVBand="0" w:evenVBand="0" w:oddHBand="0" w:evenHBand="0" w:firstRowFirstColumn="0" w:firstRowLastColumn="0" w:lastRowFirstColumn="0" w:lastRowLastColumn="0"/>
            <w:tcW w:w="2484" w:type="dxa"/>
          </w:tcPr>
          <w:p w14:paraId="66B155FC" w14:textId="77777777" w:rsidR="00C220BF" w:rsidRPr="00F44630" w:rsidRDefault="00C220BF">
            <w:r w:rsidRPr="00DB3492">
              <w:t>NQF Endorsed:</w:t>
            </w:r>
          </w:p>
        </w:tc>
        <w:tc>
          <w:tcPr>
            <w:tcW w:w="6860" w:type="dxa"/>
          </w:tcPr>
          <w:p w14:paraId="3C3CA43A"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t>Yes</w:t>
            </w:r>
          </w:p>
        </w:tc>
      </w:tr>
      <w:tr w:rsidR="00C220BF" w:rsidRPr="00F44630" w14:paraId="7DBFEB9A" w14:textId="77777777">
        <w:tc>
          <w:tcPr>
            <w:cnfStyle w:val="001000000000" w:firstRow="0" w:lastRow="0" w:firstColumn="1" w:lastColumn="0" w:oddVBand="0" w:evenVBand="0" w:oddHBand="0" w:evenHBand="0" w:firstRowFirstColumn="0" w:firstRowLastColumn="0" w:lastRowFirstColumn="0" w:lastRowLastColumn="0"/>
            <w:tcW w:w="2484" w:type="dxa"/>
          </w:tcPr>
          <w:p w14:paraId="0E66C264" w14:textId="77777777" w:rsidR="00C220BF" w:rsidRPr="00F44630" w:rsidRDefault="00C220BF">
            <w:r w:rsidRPr="00F44630">
              <w:t>Description</w:t>
            </w:r>
          </w:p>
        </w:tc>
        <w:tc>
          <w:tcPr>
            <w:tcW w:w="6860" w:type="dxa"/>
          </w:tcPr>
          <w:p w14:paraId="173C4215" w14:textId="4BF12224"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The percentage of patients 5</w:t>
            </w:r>
            <w:r w:rsidR="006432F2">
              <w:t xml:space="preserve"> to </w:t>
            </w:r>
            <w:r w:rsidRPr="00F44630">
              <w:t>64 years of age who were identified as having persistent asthma and had a ratio of controller medications to total asthma medications of 0.50 or greater during the measurement year</w:t>
            </w:r>
            <w:r w:rsidR="006432F2">
              <w:t>.</w:t>
            </w:r>
          </w:p>
        </w:tc>
      </w:tr>
      <w:tr w:rsidR="00C220BF" w:rsidRPr="00F44630" w14:paraId="2197C54E" w14:textId="77777777">
        <w:tc>
          <w:tcPr>
            <w:cnfStyle w:val="001000000000" w:firstRow="0" w:lastRow="0" w:firstColumn="1" w:lastColumn="0" w:oddVBand="0" w:evenVBand="0" w:oddHBand="0" w:evenHBand="0" w:firstRowFirstColumn="0" w:firstRowLastColumn="0" w:lastRowFirstColumn="0" w:lastRowLastColumn="0"/>
            <w:tcW w:w="2484" w:type="dxa"/>
          </w:tcPr>
          <w:p w14:paraId="46BE7A31" w14:textId="77777777" w:rsidR="00C220BF" w:rsidRPr="00F44630" w:rsidRDefault="00C220BF">
            <w:r w:rsidRPr="00F44630">
              <w:t>Numerator</w:t>
            </w:r>
          </w:p>
        </w:tc>
        <w:tc>
          <w:tcPr>
            <w:tcW w:w="6860" w:type="dxa"/>
          </w:tcPr>
          <w:p w14:paraId="14627E66" w14:textId="2F3D1435"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The number of patients who have a ratio of controller medications to total asthma medications of 0.50 or greater during the measurement year</w:t>
            </w:r>
            <w:r w:rsidR="006432F2">
              <w:t>.</w:t>
            </w:r>
          </w:p>
        </w:tc>
      </w:tr>
      <w:tr w:rsidR="00C220BF" w:rsidRPr="00F44630" w14:paraId="58FB68EB" w14:textId="77777777">
        <w:tc>
          <w:tcPr>
            <w:cnfStyle w:val="001000000000" w:firstRow="0" w:lastRow="0" w:firstColumn="1" w:lastColumn="0" w:oddVBand="0" w:evenVBand="0" w:oddHBand="0" w:evenHBand="0" w:firstRowFirstColumn="0" w:firstRowLastColumn="0" w:lastRowFirstColumn="0" w:lastRowLastColumn="0"/>
            <w:tcW w:w="2484" w:type="dxa"/>
          </w:tcPr>
          <w:p w14:paraId="5679084B" w14:textId="77777777" w:rsidR="00C220BF" w:rsidRPr="00F44630" w:rsidRDefault="00C220BF">
            <w:r w:rsidRPr="00F44630">
              <w:t>Denominator</w:t>
            </w:r>
          </w:p>
        </w:tc>
        <w:tc>
          <w:tcPr>
            <w:tcW w:w="6860" w:type="dxa"/>
          </w:tcPr>
          <w:p w14:paraId="7C3FFF9B" w14:textId="7CB797F1"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All patients 5</w:t>
            </w:r>
            <w:r w:rsidR="006432F2">
              <w:t xml:space="preserve"> to </w:t>
            </w:r>
            <w:r w:rsidRPr="00F44630">
              <w:t>64 years of age as of December 31 of the measurement year who have persistent asthma by meeting at least one of the following criteria during both the measurement year and the year prior to the measurement year:</w:t>
            </w:r>
          </w:p>
          <w:p w14:paraId="3E3DDFC2" w14:textId="2A4CE2BA" w:rsidR="00C220BF" w:rsidRPr="00F44630"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F44630">
              <w:t xml:space="preserve">At least one </w:t>
            </w:r>
            <w:r w:rsidR="00781071">
              <w:t>ED</w:t>
            </w:r>
            <w:r w:rsidRPr="00F44630">
              <w:t xml:space="preserve"> visit with asthma as the principal diagnosis</w:t>
            </w:r>
            <w:r w:rsidR="006432F2">
              <w:t>.</w:t>
            </w:r>
            <w:r w:rsidRPr="00F44630">
              <w:t xml:space="preserve"> </w:t>
            </w:r>
          </w:p>
          <w:p w14:paraId="66BDF874" w14:textId="18E9B78B" w:rsidR="00C220BF" w:rsidRPr="00F44630"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F44630">
              <w:t>At least one acute inpatient encounter with asthma as the principal diagnosis</w:t>
            </w:r>
            <w:r w:rsidR="006432F2">
              <w:t>.</w:t>
            </w:r>
            <w:r w:rsidRPr="00F44630">
              <w:t xml:space="preserve"> </w:t>
            </w:r>
          </w:p>
          <w:p w14:paraId="20F17852" w14:textId="62A2BBE1" w:rsidR="00C220BF" w:rsidRPr="00F44630"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F44630">
              <w:t xml:space="preserve">At least four outpatient visits or observation visits on different dates of service, with any diagnosis of asthma AND at least two asthma medication dispensing events. </w:t>
            </w:r>
            <w:r w:rsidR="006432F2">
              <w:t>The v</w:t>
            </w:r>
            <w:r w:rsidR="006432F2" w:rsidRPr="00F44630">
              <w:t xml:space="preserve">isit </w:t>
            </w:r>
            <w:r w:rsidRPr="00F44630">
              <w:t>type need not be the same for the four visits.</w:t>
            </w:r>
          </w:p>
          <w:p w14:paraId="6AA1B721" w14:textId="610C8589" w:rsidR="00C220BF" w:rsidRPr="00F44630"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F44630">
              <w:t>At least four asthma medication dispensing events for any controller medication or reliever medication</w:t>
            </w:r>
            <w:r w:rsidR="006432F2">
              <w:t>.</w:t>
            </w:r>
          </w:p>
        </w:tc>
      </w:tr>
      <w:tr w:rsidR="00C220BF" w:rsidRPr="00F44630" w14:paraId="0FC9CA01" w14:textId="77777777">
        <w:tc>
          <w:tcPr>
            <w:cnfStyle w:val="001000000000" w:firstRow="0" w:lastRow="0" w:firstColumn="1" w:lastColumn="0" w:oddVBand="0" w:evenVBand="0" w:oddHBand="0" w:evenHBand="0" w:firstRowFirstColumn="0" w:firstRowLastColumn="0" w:lastRowFirstColumn="0" w:lastRowLastColumn="0"/>
            <w:tcW w:w="2484" w:type="dxa"/>
          </w:tcPr>
          <w:p w14:paraId="3FF4E9D8" w14:textId="77777777" w:rsidR="00C220BF" w:rsidRPr="00F44630" w:rsidRDefault="00C220BF">
            <w:r w:rsidRPr="00F44630">
              <w:lastRenderedPageBreak/>
              <w:t>Data Sources</w:t>
            </w:r>
          </w:p>
        </w:tc>
        <w:tc>
          <w:tcPr>
            <w:tcW w:w="6860" w:type="dxa"/>
          </w:tcPr>
          <w:p w14:paraId="31BBE194"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Medicaid claims/encounters</w:t>
            </w:r>
          </w:p>
        </w:tc>
      </w:tr>
      <w:tr w:rsidR="00C220BF" w:rsidRPr="00F44630" w14:paraId="7844C0CE" w14:textId="77777777">
        <w:tc>
          <w:tcPr>
            <w:cnfStyle w:val="001000000000" w:firstRow="0" w:lastRow="0" w:firstColumn="1" w:lastColumn="0" w:oddVBand="0" w:evenVBand="0" w:oddHBand="0" w:evenHBand="0" w:firstRowFirstColumn="0" w:firstRowLastColumn="0" w:lastRowFirstColumn="0" w:lastRowLastColumn="0"/>
            <w:tcW w:w="2484" w:type="dxa"/>
          </w:tcPr>
          <w:p w14:paraId="4B5736AB" w14:textId="77777777" w:rsidR="00C220BF" w:rsidRPr="00F44630" w:rsidRDefault="00C220BF">
            <w:r w:rsidRPr="00F44630">
              <w:t>National Benchmark</w:t>
            </w:r>
          </w:p>
        </w:tc>
        <w:tc>
          <w:tcPr>
            <w:tcW w:w="6860" w:type="dxa"/>
          </w:tcPr>
          <w:p w14:paraId="6BD921B3"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2021 Medicaid HMO=64.9%</w:t>
            </w:r>
          </w:p>
          <w:p w14:paraId="03EEB93B" w14:textId="33945783"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 xml:space="preserve">Source: </w:t>
            </w:r>
            <w:hyperlink r:id="rId72" w:history="1">
              <w:r w:rsidR="005F5CC3" w:rsidRPr="009348BF">
                <w:rPr>
                  <w:rStyle w:val="Hyperlink"/>
                </w:rPr>
                <w:t>https://www.ncqa.org/hedis/measures/medication-management-for-people-with-asthma-and-asthma-medication-ratio/</w:t>
              </w:r>
            </w:hyperlink>
            <w:r w:rsidR="005F5CC3">
              <w:t xml:space="preserve"> </w:t>
            </w:r>
          </w:p>
        </w:tc>
      </w:tr>
    </w:tbl>
    <w:p w14:paraId="00A59DC5" w14:textId="77777777" w:rsidR="00C220BF" w:rsidRDefault="00C220BF" w:rsidP="009122F2">
      <w:pPr>
        <w:pStyle w:val="NoSpacing"/>
      </w:pPr>
    </w:p>
    <w:tbl>
      <w:tblPr>
        <w:tblStyle w:val="FHCclean10pt"/>
        <w:tblW w:w="0" w:type="auto"/>
        <w:tblLook w:val="04A0" w:firstRow="1" w:lastRow="0" w:firstColumn="1" w:lastColumn="0" w:noHBand="0" w:noVBand="1"/>
      </w:tblPr>
      <w:tblGrid>
        <w:gridCol w:w="2484"/>
        <w:gridCol w:w="6860"/>
      </w:tblGrid>
      <w:tr w:rsidR="00C220BF" w:rsidRPr="00F44630" w14:paraId="6F62B2A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6CA236A7" w14:textId="77777777" w:rsidR="00C220BF" w:rsidRPr="00F44630" w:rsidRDefault="00C220BF">
            <w:r w:rsidRPr="00DB3492">
              <w:t>Measure:</w:t>
            </w:r>
          </w:p>
        </w:tc>
        <w:tc>
          <w:tcPr>
            <w:tcW w:w="6860" w:type="dxa"/>
          </w:tcPr>
          <w:p w14:paraId="26178554" w14:textId="77777777" w:rsidR="00C220BF" w:rsidRPr="00F44630" w:rsidRDefault="00C220BF">
            <w:pPr>
              <w:cnfStyle w:val="100000000000" w:firstRow="1" w:lastRow="0" w:firstColumn="0" w:lastColumn="0" w:oddVBand="0" w:evenVBand="0" w:oddHBand="0" w:evenHBand="0" w:firstRowFirstColumn="0" w:firstRowLastColumn="0" w:lastRowFirstColumn="0" w:lastRowLastColumn="0"/>
            </w:pPr>
            <w:r>
              <w:t>I</w:t>
            </w:r>
            <w:r w:rsidRPr="007443FE">
              <w:t>nitiation and Engagement of Alcohol and Other Drug Dependence Treatment (IET</w:t>
            </w:r>
            <w:r>
              <w:br/>
            </w:r>
            <w:r w:rsidRPr="00E83E65">
              <w:t>* MassHealth ACO and BH CP Quality Measure</w:t>
            </w:r>
          </w:p>
        </w:tc>
      </w:tr>
      <w:tr w:rsidR="00C220BF" w:rsidRPr="00F44630" w14:paraId="45C37260" w14:textId="77777777">
        <w:tc>
          <w:tcPr>
            <w:cnfStyle w:val="001000000000" w:firstRow="0" w:lastRow="0" w:firstColumn="1" w:lastColumn="0" w:oddVBand="0" w:evenVBand="0" w:oddHBand="0" w:evenHBand="0" w:firstRowFirstColumn="0" w:firstRowLastColumn="0" w:lastRowFirstColumn="0" w:lastRowLastColumn="0"/>
            <w:tcW w:w="2484" w:type="dxa"/>
          </w:tcPr>
          <w:p w14:paraId="386D2B14" w14:textId="77777777" w:rsidR="00C220BF" w:rsidRPr="00F44630" w:rsidRDefault="00C220BF">
            <w:r w:rsidRPr="00DB3492">
              <w:t>Steward:</w:t>
            </w:r>
          </w:p>
        </w:tc>
        <w:tc>
          <w:tcPr>
            <w:tcW w:w="6860" w:type="dxa"/>
          </w:tcPr>
          <w:p w14:paraId="4F1A79E7"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7443FE">
              <w:t>National Committee for Quality Assurance (#0004)</w:t>
            </w:r>
          </w:p>
        </w:tc>
      </w:tr>
      <w:tr w:rsidR="00C220BF" w:rsidRPr="00F44630" w14:paraId="13376A9A" w14:textId="77777777">
        <w:tc>
          <w:tcPr>
            <w:cnfStyle w:val="001000000000" w:firstRow="0" w:lastRow="0" w:firstColumn="1" w:lastColumn="0" w:oddVBand="0" w:evenVBand="0" w:oddHBand="0" w:evenHBand="0" w:firstRowFirstColumn="0" w:firstRowLastColumn="0" w:lastRowFirstColumn="0" w:lastRowLastColumn="0"/>
            <w:tcW w:w="2484" w:type="dxa"/>
          </w:tcPr>
          <w:p w14:paraId="7607B672" w14:textId="77777777" w:rsidR="00C220BF" w:rsidRPr="00F44630" w:rsidRDefault="00C220BF">
            <w:r w:rsidRPr="00DB3492">
              <w:t>NQF Endorsed:</w:t>
            </w:r>
          </w:p>
        </w:tc>
        <w:tc>
          <w:tcPr>
            <w:tcW w:w="6860" w:type="dxa"/>
          </w:tcPr>
          <w:p w14:paraId="20EF30FF"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t>Yes</w:t>
            </w:r>
          </w:p>
        </w:tc>
      </w:tr>
      <w:tr w:rsidR="00C220BF" w:rsidRPr="00F44630" w14:paraId="225F2D59" w14:textId="77777777">
        <w:tc>
          <w:tcPr>
            <w:cnfStyle w:val="001000000000" w:firstRow="0" w:lastRow="0" w:firstColumn="1" w:lastColumn="0" w:oddVBand="0" w:evenVBand="0" w:oddHBand="0" w:evenHBand="0" w:firstRowFirstColumn="0" w:firstRowLastColumn="0" w:lastRowFirstColumn="0" w:lastRowLastColumn="0"/>
            <w:tcW w:w="2484" w:type="dxa"/>
          </w:tcPr>
          <w:p w14:paraId="50013FC1" w14:textId="77777777" w:rsidR="00C220BF" w:rsidRPr="00F44630" w:rsidRDefault="00C220BF">
            <w:r w:rsidRPr="00F44630">
              <w:t>Description</w:t>
            </w:r>
          </w:p>
        </w:tc>
        <w:tc>
          <w:tcPr>
            <w:tcW w:w="6860" w:type="dxa"/>
          </w:tcPr>
          <w:p w14:paraId="5AF7B697"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 xml:space="preserve">The percentage of adolescent and adult patients with a new episode of alcohol or other drug (AOD) dependence who received the following. </w:t>
            </w:r>
          </w:p>
          <w:p w14:paraId="6C2492C6" w14:textId="29CB8D66" w:rsidR="00C220BF" w:rsidRPr="00F44630"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F44630">
              <w:t>Initiation of AOD Treatment: The percentage of patients who initiate treatment through an inpatient AOD admission, outpatient visit, intensive outpatient encounter</w:t>
            </w:r>
            <w:r w:rsidR="006432F2">
              <w:t>,</w:t>
            </w:r>
            <w:r w:rsidRPr="00F44630">
              <w:t xml:space="preserve"> or partial hospitalization within 14 days of the diagnosis.</w:t>
            </w:r>
          </w:p>
          <w:p w14:paraId="521FA08D" w14:textId="77777777" w:rsidR="00C220BF" w:rsidRPr="00F44630"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F44630">
              <w:t>Engagement of AOD Treatment: The percentage of patients who initiated treatment and who had two or more additional services with a diagnosis of AOD within 30 days of the initiation visit.</w:t>
            </w:r>
          </w:p>
        </w:tc>
      </w:tr>
      <w:tr w:rsidR="00C220BF" w:rsidRPr="00F44630" w14:paraId="2F2A1CCC" w14:textId="77777777">
        <w:tc>
          <w:tcPr>
            <w:cnfStyle w:val="001000000000" w:firstRow="0" w:lastRow="0" w:firstColumn="1" w:lastColumn="0" w:oddVBand="0" w:evenVBand="0" w:oddHBand="0" w:evenHBand="0" w:firstRowFirstColumn="0" w:firstRowLastColumn="0" w:lastRowFirstColumn="0" w:lastRowLastColumn="0"/>
            <w:tcW w:w="2484" w:type="dxa"/>
          </w:tcPr>
          <w:p w14:paraId="385B66EE" w14:textId="77777777" w:rsidR="00C220BF" w:rsidRPr="00F44630" w:rsidRDefault="00C220BF">
            <w:r w:rsidRPr="00F44630">
              <w:t>Numerator</w:t>
            </w:r>
          </w:p>
        </w:tc>
        <w:tc>
          <w:tcPr>
            <w:tcW w:w="6860" w:type="dxa"/>
          </w:tcPr>
          <w:p w14:paraId="258889C3" w14:textId="7E53C736" w:rsidR="00C220BF" w:rsidRPr="00F44630"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F44630">
              <w:t>Initiation of AOD Dependence Treatment: Initiation of AOD treatment through an inpatient admission, outpatient visit, intensive outpatient encounter</w:t>
            </w:r>
            <w:r w:rsidR="006432F2">
              <w:t>,</w:t>
            </w:r>
            <w:r w:rsidRPr="00F44630">
              <w:t xml:space="preserve"> or partial hospitalization within 14 days of the index episode start date.</w:t>
            </w:r>
          </w:p>
          <w:p w14:paraId="0219B464" w14:textId="180E9D6D" w:rsidR="00C220BF" w:rsidRPr="00F44630"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F44630">
              <w:t>Engagement of AOD Treatment:</w:t>
            </w:r>
            <w:r>
              <w:t xml:space="preserve"> </w:t>
            </w:r>
            <w:r w:rsidRPr="00F44630">
              <w:t>Initiation of AOD treatment and two or more inpatient admissions, outpatient visits, intensive outpatient encounters</w:t>
            </w:r>
            <w:r w:rsidR="005424E8">
              <w:t>,</w:t>
            </w:r>
            <w:r w:rsidRPr="00F44630">
              <w:t xml:space="preserve"> or partial hospitalizations with any AOD diagnosis within 30 days after the date of the </w:t>
            </w:r>
            <w:r w:rsidR="005424E8">
              <w:t>i</w:t>
            </w:r>
            <w:r w:rsidRPr="00F44630">
              <w:t>nitiation encounter (inclusive).</w:t>
            </w:r>
          </w:p>
        </w:tc>
      </w:tr>
      <w:tr w:rsidR="00C220BF" w:rsidRPr="00F44630" w14:paraId="2B7A9F41" w14:textId="77777777">
        <w:tc>
          <w:tcPr>
            <w:cnfStyle w:val="001000000000" w:firstRow="0" w:lastRow="0" w:firstColumn="1" w:lastColumn="0" w:oddVBand="0" w:evenVBand="0" w:oddHBand="0" w:evenHBand="0" w:firstRowFirstColumn="0" w:firstRowLastColumn="0" w:lastRowFirstColumn="0" w:lastRowLastColumn="0"/>
            <w:tcW w:w="2484" w:type="dxa"/>
          </w:tcPr>
          <w:p w14:paraId="7D9F87FD" w14:textId="77777777" w:rsidR="00C220BF" w:rsidRPr="00F44630" w:rsidRDefault="00C220BF">
            <w:r w:rsidRPr="00F44630">
              <w:t>Denominator</w:t>
            </w:r>
          </w:p>
        </w:tc>
        <w:tc>
          <w:tcPr>
            <w:tcW w:w="6860" w:type="dxa"/>
          </w:tcPr>
          <w:p w14:paraId="6C30E97F" w14:textId="02A9FC8F"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 xml:space="preserve">Patients 13 years of age and older who were diagnosed with a new episode of </w:t>
            </w:r>
            <w:r w:rsidR="005424E8">
              <w:t>AOD</w:t>
            </w:r>
            <w:r w:rsidRPr="00F44630">
              <w:t xml:space="preserve"> dependency during the first 10 and ½ months of the measurement year (e.g., January 1-November 15).</w:t>
            </w:r>
          </w:p>
        </w:tc>
      </w:tr>
      <w:tr w:rsidR="00C220BF" w:rsidRPr="00F44630" w14:paraId="7BEF1A11" w14:textId="77777777">
        <w:tc>
          <w:tcPr>
            <w:cnfStyle w:val="001000000000" w:firstRow="0" w:lastRow="0" w:firstColumn="1" w:lastColumn="0" w:oddVBand="0" w:evenVBand="0" w:oddHBand="0" w:evenHBand="0" w:firstRowFirstColumn="0" w:firstRowLastColumn="0" w:lastRowFirstColumn="0" w:lastRowLastColumn="0"/>
            <w:tcW w:w="2484" w:type="dxa"/>
          </w:tcPr>
          <w:p w14:paraId="1A3C4CAB" w14:textId="77777777" w:rsidR="00C220BF" w:rsidRPr="00F44630" w:rsidRDefault="00C220BF">
            <w:r w:rsidRPr="00F44630">
              <w:t>Data Sources</w:t>
            </w:r>
          </w:p>
        </w:tc>
        <w:tc>
          <w:tcPr>
            <w:tcW w:w="6860" w:type="dxa"/>
          </w:tcPr>
          <w:p w14:paraId="1655FD9C"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MMIS claims/encounter data</w:t>
            </w:r>
          </w:p>
        </w:tc>
      </w:tr>
      <w:tr w:rsidR="00C220BF" w:rsidRPr="00786BB0" w14:paraId="7B8EDACF" w14:textId="77777777">
        <w:tc>
          <w:tcPr>
            <w:cnfStyle w:val="001000000000" w:firstRow="0" w:lastRow="0" w:firstColumn="1" w:lastColumn="0" w:oddVBand="0" w:evenVBand="0" w:oddHBand="0" w:evenHBand="0" w:firstRowFirstColumn="0" w:firstRowLastColumn="0" w:lastRowFirstColumn="0" w:lastRowLastColumn="0"/>
            <w:tcW w:w="2484" w:type="dxa"/>
          </w:tcPr>
          <w:p w14:paraId="1EC7FA8F" w14:textId="77777777" w:rsidR="00C220BF" w:rsidRPr="00F44630" w:rsidRDefault="00C220BF">
            <w:r w:rsidRPr="00F44630">
              <w:t>National Benchmark</w:t>
            </w:r>
          </w:p>
        </w:tc>
        <w:tc>
          <w:tcPr>
            <w:tcW w:w="6860" w:type="dxa"/>
          </w:tcPr>
          <w:p w14:paraId="78E40781"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Initiation: 2021 Medicaid HMO = 43.1%</w:t>
            </w:r>
          </w:p>
          <w:p w14:paraId="5F00CB9C"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Engagement: 2016 Medicaid HMO = 28.4%</w:t>
            </w:r>
          </w:p>
          <w:p w14:paraId="3C90014E" w14:textId="486D86B9" w:rsidR="00C220BF" w:rsidRPr="00EC21C0" w:rsidRDefault="00C220BF">
            <w:pPr>
              <w:cnfStyle w:val="000000000000" w:firstRow="0" w:lastRow="0" w:firstColumn="0" w:lastColumn="0" w:oddVBand="0" w:evenVBand="0" w:oddHBand="0" w:evenHBand="0" w:firstRowFirstColumn="0" w:firstRowLastColumn="0" w:lastRowFirstColumn="0" w:lastRowLastColumn="0"/>
              <w:rPr>
                <w:lang w:val="fr-FR"/>
              </w:rPr>
            </w:pPr>
            <w:r w:rsidRPr="00EC21C0">
              <w:rPr>
                <w:lang w:val="fr-FR"/>
              </w:rPr>
              <w:t xml:space="preserve">Source: </w:t>
            </w:r>
            <w:hyperlink r:id="rId73" w:history="1">
              <w:r w:rsidR="005F5CC3" w:rsidRPr="00EC21C0">
                <w:rPr>
                  <w:rStyle w:val="Hyperlink"/>
                  <w:lang w:val="fr-FR"/>
                </w:rPr>
                <w:t>https://www.ncqa.org/hedis/measures/initiation-and-engagement-of-alcohol-and-other-drug-abuse-or-dependence-treatment/</w:t>
              </w:r>
            </w:hyperlink>
            <w:r w:rsidR="005F5CC3" w:rsidRPr="00EC21C0">
              <w:rPr>
                <w:lang w:val="fr-FR"/>
              </w:rPr>
              <w:t xml:space="preserve"> </w:t>
            </w:r>
          </w:p>
        </w:tc>
      </w:tr>
    </w:tbl>
    <w:p w14:paraId="326D305C" w14:textId="77777777" w:rsidR="00C220BF" w:rsidRPr="00EC21C0" w:rsidRDefault="00C220BF" w:rsidP="009122F2">
      <w:pPr>
        <w:pStyle w:val="NoSpacing"/>
        <w:rPr>
          <w:lang w:val="fr-FR"/>
        </w:rPr>
      </w:pPr>
    </w:p>
    <w:tbl>
      <w:tblPr>
        <w:tblStyle w:val="FHCclean10pt"/>
        <w:tblW w:w="0" w:type="auto"/>
        <w:tblLook w:val="04A0" w:firstRow="1" w:lastRow="0" w:firstColumn="1" w:lastColumn="0" w:noHBand="0" w:noVBand="1"/>
      </w:tblPr>
      <w:tblGrid>
        <w:gridCol w:w="2484"/>
        <w:gridCol w:w="6860"/>
      </w:tblGrid>
      <w:tr w:rsidR="00C220BF" w:rsidRPr="00F44630" w14:paraId="5BBDBF7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21E50853" w14:textId="77777777" w:rsidR="00C220BF" w:rsidRPr="00F44630" w:rsidRDefault="00C220BF">
            <w:r w:rsidRPr="00DB3492">
              <w:t>Measure:</w:t>
            </w:r>
          </w:p>
        </w:tc>
        <w:tc>
          <w:tcPr>
            <w:tcW w:w="6860" w:type="dxa"/>
          </w:tcPr>
          <w:p w14:paraId="6A7D15E4" w14:textId="31CC958A" w:rsidR="00C220BF" w:rsidRPr="00F44630" w:rsidRDefault="00C220BF">
            <w:pPr>
              <w:cnfStyle w:val="100000000000" w:firstRow="1" w:lastRow="0" w:firstColumn="0" w:lastColumn="0" w:oddVBand="0" w:evenVBand="0" w:oddHBand="0" w:evenHBand="0" w:firstRowFirstColumn="0" w:firstRowLastColumn="0" w:lastRowFirstColumn="0" w:lastRowLastColumn="0"/>
            </w:pPr>
            <w:r w:rsidRPr="007443FE">
              <w:t>Childhood Immunization Status (CIS)</w:t>
            </w:r>
            <w:r>
              <w:br/>
            </w:r>
            <w:r w:rsidRPr="00E83E65">
              <w:t xml:space="preserve">*MassHealth ACO </w:t>
            </w:r>
            <w:r>
              <w:t>Q</w:t>
            </w:r>
            <w:r w:rsidRPr="00E83E65">
              <w:t xml:space="preserve">uality </w:t>
            </w:r>
            <w:r>
              <w:t>M</w:t>
            </w:r>
            <w:r w:rsidRPr="00E83E65">
              <w:t>easure (</w:t>
            </w:r>
            <w:r>
              <w:t>P</w:t>
            </w:r>
            <w:r w:rsidRPr="00E83E65">
              <w:t>ediatric ACOs)</w:t>
            </w:r>
          </w:p>
        </w:tc>
      </w:tr>
      <w:tr w:rsidR="00C220BF" w:rsidRPr="00F44630" w14:paraId="48CBD5B1" w14:textId="77777777">
        <w:tc>
          <w:tcPr>
            <w:cnfStyle w:val="001000000000" w:firstRow="0" w:lastRow="0" w:firstColumn="1" w:lastColumn="0" w:oddVBand="0" w:evenVBand="0" w:oddHBand="0" w:evenHBand="0" w:firstRowFirstColumn="0" w:firstRowLastColumn="0" w:lastRowFirstColumn="0" w:lastRowLastColumn="0"/>
            <w:tcW w:w="2484" w:type="dxa"/>
          </w:tcPr>
          <w:p w14:paraId="1966364F" w14:textId="77777777" w:rsidR="00C220BF" w:rsidRPr="00F44630" w:rsidRDefault="00C220BF">
            <w:r w:rsidRPr="00DB3492">
              <w:t>Steward:</w:t>
            </w:r>
          </w:p>
        </w:tc>
        <w:tc>
          <w:tcPr>
            <w:tcW w:w="6860" w:type="dxa"/>
          </w:tcPr>
          <w:p w14:paraId="013E2987"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7443FE">
              <w:t>National Committee on Quality Assurance (#0038)</w:t>
            </w:r>
          </w:p>
        </w:tc>
      </w:tr>
      <w:tr w:rsidR="00C220BF" w:rsidRPr="00F44630" w14:paraId="7364274A" w14:textId="77777777">
        <w:tc>
          <w:tcPr>
            <w:cnfStyle w:val="001000000000" w:firstRow="0" w:lastRow="0" w:firstColumn="1" w:lastColumn="0" w:oddVBand="0" w:evenVBand="0" w:oddHBand="0" w:evenHBand="0" w:firstRowFirstColumn="0" w:firstRowLastColumn="0" w:lastRowFirstColumn="0" w:lastRowLastColumn="0"/>
            <w:tcW w:w="2484" w:type="dxa"/>
          </w:tcPr>
          <w:p w14:paraId="4ED1C33D" w14:textId="77777777" w:rsidR="00C220BF" w:rsidRPr="00F44630" w:rsidRDefault="00C220BF">
            <w:r w:rsidRPr="00DB3492">
              <w:t>NQF Endorsed:</w:t>
            </w:r>
          </w:p>
        </w:tc>
        <w:tc>
          <w:tcPr>
            <w:tcW w:w="6860" w:type="dxa"/>
          </w:tcPr>
          <w:p w14:paraId="603BDB97"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t>Yes</w:t>
            </w:r>
          </w:p>
        </w:tc>
      </w:tr>
      <w:tr w:rsidR="00C220BF" w:rsidRPr="00F44630" w14:paraId="2B2D1C0B" w14:textId="77777777">
        <w:tc>
          <w:tcPr>
            <w:cnfStyle w:val="001000000000" w:firstRow="0" w:lastRow="0" w:firstColumn="1" w:lastColumn="0" w:oddVBand="0" w:evenVBand="0" w:oddHBand="0" w:evenHBand="0" w:firstRowFirstColumn="0" w:firstRowLastColumn="0" w:lastRowFirstColumn="0" w:lastRowLastColumn="0"/>
            <w:tcW w:w="2484" w:type="dxa"/>
          </w:tcPr>
          <w:p w14:paraId="64443040" w14:textId="77777777" w:rsidR="00C220BF" w:rsidRPr="00F44630" w:rsidRDefault="00C220BF">
            <w:bookmarkStart w:id="289" w:name="_Hlk129958022"/>
            <w:r w:rsidRPr="00F44630">
              <w:t>Description</w:t>
            </w:r>
          </w:p>
        </w:tc>
        <w:tc>
          <w:tcPr>
            <w:tcW w:w="6860" w:type="dxa"/>
          </w:tcPr>
          <w:p w14:paraId="26FBF685" w14:textId="23984D01"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Percentage of children 2 years of age who had four diphtheria, tetanus and acellular pertussis (</w:t>
            </w:r>
            <w:r w:rsidR="000F757F" w:rsidRPr="00F44630">
              <w:t>D</w:t>
            </w:r>
            <w:r w:rsidR="000F757F">
              <w:t>T</w:t>
            </w:r>
            <w:r w:rsidR="000F757F" w:rsidRPr="00F44630">
              <w:t>aP</w:t>
            </w:r>
            <w:r w:rsidRPr="00F44630">
              <w:t>); three polio (IPV); one measles, mumps</w:t>
            </w:r>
            <w:r w:rsidR="000F757F">
              <w:t>,</w:t>
            </w:r>
            <w:r w:rsidRPr="00F44630">
              <w:t xml:space="preserve"> and rubella (MMR); three haemophilus influenza type B (HiB); three hepatitis B (HepB); one chickenpox (VZV); four pneumococcal conjugate (PCV); one hepatitis A (HepA); two or three rotavirus (RV); and two influenza (flu) </w:t>
            </w:r>
            <w:r w:rsidRPr="00F44630">
              <w:lastRenderedPageBreak/>
              <w:t>vaccines by their second birthday. The measure calculates a rate for each vaccine.</w:t>
            </w:r>
          </w:p>
        </w:tc>
      </w:tr>
      <w:tr w:rsidR="00C220BF" w:rsidRPr="00F44630" w14:paraId="0997EF29" w14:textId="77777777">
        <w:tc>
          <w:tcPr>
            <w:cnfStyle w:val="001000000000" w:firstRow="0" w:lastRow="0" w:firstColumn="1" w:lastColumn="0" w:oddVBand="0" w:evenVBand="0" w:oddHBand="0" w:evenHBand="0" w:firstRowFirstColumn="0" w:firstRowLastColumn="0" w:lastRowFirstColumn="0" w:lastRowLastColumn="0"/>
            <w:tcW w:w="2484" w:type="dxa"/>
          </w:tcPr>
          <w:p w14:paraId="7C998FA9" w14:textId="77777777" w:rsidR="00C220BF" w:rsidRPr="00F44630" w:rsidRDefault="00C220BF">
            <w:r w:rsidRPr="00F44630">
              <w:lastRenderedPageBreak/>
              <w:t>Numerator</w:t>
            </w:r>
          </w:p>
        </w:tc>
        <w:tc>
          <w:tcPr>
            <w:tcW w:w="6860" w:type="dxa"/>
          </w:tcPr>
          <w:p w14:paraId="2A29330B" w14:textId="5E17B8F1"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Children who received the recommended vaccines by their second birthday</w:t>
            </w:r>
            <w:r w:rsidR="000F757F">
              <w:t>.</w:t>
            </w:r>
          </w:p>
        </w:tc>
      </w:tr>
      <w:tr w:rsidR="00C220BF" w:rsidRPr="00F44630" w14:paraId="63AB8DB4" w14:textId="77777777">
        <w:tc>
          <w:tcPr>
            <w:cnfStyle w:val="001000000000" w:firstRow="0" w:lastRow="0" w:firstColumn="1" w:lastColumn="0" w:oddVBand="0" w:evenVBand="0" w:oddHBand="0" w:evenHBand="0" w:firstRowFirstColumn="0" w:firstRowLastColumn="0" w:lastRowFirstColumn="0" w:lastRowLastColumn="0"/>
            <w:tcW w:w="2484" w:type="dxa"/>
          </w:tcPr>
          <w:p w14:paraId="24BEBA48" w14:textId="77777777" w:rsidR="00C220BF" w:rsidRPr="00F44630" w:rsidRDefault="00C220BF">
            <w:r w:rsidRPr="00F44630">
              <w:t>Denominator</w:t>
            </w:r>
          </w:p>
        </w:tc>
        <w:tc>
          <w:tcPr>
            <w:tcW w:w="6860" w:type="dxa"/>
          </w:tcPr>
          <w:p w14:paraId="43FD3373"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Children who turn 2 years of age during the measurement year.</w:t>
            </w:r>
          </w:p>
        </w:tc>
      </w:tr>
      <w:tr w:rsidR="00C220BF" w:rsidRPr="00F44630" w14:paraId="48CA6256" w14:textId="77777777">
        <w:tc>
          <w:tcPr>
            <w:cnfStyle w:val="001000000000" w:firstRow="0" w:lastRow="0" w:firstColumn="1" w:lastColumn="0" w:oddVBand="0" w:evenVBand="0" w:oddHBand="0" w:evenHBand="0" w:firstRowFirstColumn="0" w:firstRowLastColumn="0" w:lastRowFirstColumn="0" w:lastRowLastColumn="0"/>
            <w:tcW w:w="2484" w:type="dxa"/>
          </w:tcPr>
          <w:p w14:paraId="476824CE" w14:textId="77777777" w:rsidR="00C220BF" w:rsidRPr="00F44630" w:rsidRDefault="00C220BF">
            <w:r w:rsidRPr="00F44630">
              <w:t>Data Sources</w:t>
            </w:r>
          </w:p>
        </w:tc>
        <w:tc>
          <w:tcPr>
            <w:tcW w:w="6860" w:type="dxa"/>
          </w:tcPr>
          <w:p w14:paraId="0158DAB1"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Hybrid</w:t>
            </w:r>
          </w:p>
        </w:tc>
      </w:tr>
      <w:tr w:rsidR="00C220BF" w:rsidRPr="00786BB0" w14:paraId="1E295F00" w14:textId="77777777">
        <w:tc>
          <w:tcPr>
            <w:cnfStyle w:val="001000000000" w:firstRow="0" w:lastRow="0" w:firstColumn="1" w:lastColumn="0" w:oddVBand="0" w:evenVBand="0" w:oddHBand="0" w:evenHBand="0" w:firstRowFirstColumn="0" w:firstRowLastColumn="0" w:lastRowFirstColumn="0" w:lastRowLastColumn="0"/>
            <w:tcW w:w="2484" w:type="dxa"/>
          </w:tcPr>
          <w:p w14:paraId="172B5344" w14:textId="77777777" w:rsidR="00C220BF" w:rsidRPr="00F44630" w:rsidRDefault="00C220BF">
            <w:r w:rsidRPr="00F44630">
              <w:t>National Benchmark</w:t>
            </w:r>
          </w:p>
        </w:tc>
        <w:tc>
          <w:tcPr>
            <w:tcW w:w="6860" w:type="dxa"/>
          </w:tcPr>
          <w:p w14:paraId="7426045C"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2021 Medicaid HMO for Influenza: 47.6%</w:t>
            </w:r>
          </w:p>
          <w:p w14:paraId="71822126"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2021 Medicaid HMO for Combination 10: 35.9%</w:t>
            </w:r>
          </w:p>
          <w:p w14:paraId="283EA604"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2021 Medicaid HMO for Combination 2: 70.4%</w:t>
            </w:r>
          </w:p>
          <w:p w14:paraId="0673C0FF"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2021 Medicaid HMO for Combination 2: 63%</w:t>
            </w:r>
          </w:p>
          <w:p w14:paraId="21BFAC70" w14:textId="30D3ED3D"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 xml:space="preserve">2021 Medicaid HMO for </w:t>
            </w:r>
            <w:r w:rsidR="008023A0" w:rsidRPr="00F44630">
              <w:t>Diphtheria</w:t>
            </w:r>
            <w:r w:rsidRPr="00F44630">
              <w:t>, Tetanus, Acellular Pertussis (</w:t>
            </w:r>
            <w:r w:rsidR="00781B9E" w:rsidRPr="00F44630">
              <w:t>DT</w:t>
            </w:r>
            <w:r w:rsidR="00781B9E">
              <w:t>a</w:t>
            </w:r>
            <w:r w:rsidR="00781B9E" w:rsidRPr="00F44630">
              <w:t>P</w:t>
            </w:r>
            <w:r w:rsidRPr="00F44630">
              <w:t>/DT): 69.7%</w:t>
            </w:r>
          </w:p>
          <w:p w14:paraId="51470832"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2021 Medicaid HMO for Hepatitis B (HEP B): 84.9%</w:t>
            </w:r>
          </w:p>
          <w:p w14:paraId="2D125941"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2021 Medicaid HMO for Haemophilis Influenza Type B (HIB B): 82.6%</w:t>
            </w:r>
          </w:p>
          <w:p w14:paraId="33F6EC74"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2021 Medicaid HMO for Inactivated Polio Virus (IPV): 84.7%</w:t>
            </w:r>
          </w:p>
          <w:p w14:paraId="22D9EFD1"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2021 Medicaid HMO for Measles, Mumps, Rubella (MMR): 83.1%</w:t>
            </w:r>
          </w:p>
          <w:p w14:paraId="1DD1D7F4"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2021 Medicaid HMO for Pneumococcal Conjugate (PCV): 70.7%</w:t>
            </w:r>
          </w:p>
          <w:p w14:paraId="165679DE"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2021 Medicaid HMO for Varicella (VZV): 82.9%</w:t>
            </w:r>
          </w:p>
          <w:p w14:paraId="0E8E0567"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2021 Medicaid HMO for Hepatitis A (Hep A): 79.9%</w:t>
            </w:r>
          </w:p>
          <w:p w14:paraId="79720C64"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2021 Medicaid HMO for Rotavirus (RV): 68.4%</w:t>
            </w:r>
          </w:p>
          <w:p w14:paraId="27525F93" w14:textId="77777777" w:rsidR="00C220BF" w:rsidRPr="00EC21C0" w:rsidRDefault="00C220BF">
            <w:pPr>
              <w:cnfStyle w:val="000000000000" w:firstRow="0" w:lastRow="0" w:firstColumn="0" w:lastColumn="0" w:oddVBand="0" w:evenVBand="0" w:oddHBand="0" w:evenHBand="0" w:firstRowFirstColumn="0" w:firstRowLastColumn="0" w:lastRowFirstColumn="0" w:lastRowLastColumn="0"/>
              <w:rPr>
                <w:lang w:val="fr-FR"/>
              </w:rPr>
            </w:pPr>
            <w:r w:rsidRPr="00EC21C0">
              <w:rPr>
                <w:lang w:val="fr-FR"/>
              </w:rPr>
              <w:t xml:space="preserve">Sources: </w:t>
            </w:r>
            <w:hyperlink r:id="rId74" w:history="1">
              <w:r w:rsidRPr="00EC21C0">
                <w:rPr>
                  <w:rStyle w:val="Hyperlink"/>
                  <w:lang w:val="fr-FR"/>
                </w:rPr>
                <w:t>https://www.ncqa.org/hedis/measures/childhood-immunization-status/</w:t>
              </w:r>
            </w:hyperlink>
            <w:r w:rsidRPr="00EC21C0">
              <w:rPr>
                <w:lang w:val="fr-FR"/>
              </w:rPr>
              <w:t xml:space="preserve">; </w:t>
            </w:r>
            <w:hyperlink r:id="rId75" w:anchor="qpsPageState=%7B%22TabType%22%3A1,%22TabContentType%22%3A2,%22SearchCriteriaForStandard%22%3A%7B%22TaxonomyIDs%22%3A%5B%5D,%22SelectedTypeAheadFilterOption%22%3A%7B%22FilterOptionLabel%22%3A%22childhood+immunization+status+(cis)%22,%22SearchType%22%3A0,%22TaxonomyId%22%3A0,%22SortWeight%22%3A0,%22TypeOfTypeAheadFilterOption%22%3A1,%22AssociatedStandardCount%22%3A0,%22FilterOptions%22%3A%5B%5D,%22ID%22%3A53779,%22IsNew%22%3Afalse,%22IsActive%22%3Afalse,%22IsDeleted%22%3Afalse,%22IsLocked%22%3Afalse,%22IsLoading%22%3Afalse%7D,%22Keyword%22%3A%22childhood+immunization+status+(cis)%22,%22PageSize%22%3A%2225%22,%22OrderType%22%3A3,%22OrderBy%22%3A%22ASC%22,%22PageNo%22%3A%222%22,%22IsExactMatch%22%3Afalse,%22QueryStringType%22%3A%22%22,%22ProjectActivityId%22%3A%220%22,%22FederalProgramYear%22%3A%220%22,%22FederalFiscalYear%22%3A%220%22,%22FilterTypes%22%3A0,%22EndorsementStatus%22%3A%22%22,%22MSAIDs%22%3A%5B%5D%7D,%22SearchCriteriaForForPortfolio%22%3A%7B%22Tags%22%3A%5B%5D,%22FilterTypes%22%3A0,%22PageStartIndex%22%3A1,%22PageEndIndex%22%3A25,%22PageNumber%22%3Anull,%22PageSize%22%3A%2225%22,%22SortBy%22%3A%22Title%22,%22SortOrder%22%3A%22ASC%22,%22SearchTerm%22%3A%22%22%7D,%22ItemsToCompare%22%3A%5B%5D,%22SelectedStandardIdList%22%3A%5B%5D,%22StandardID%22%3A240,%22EntityTypeID%22%3A1%7D" w:history="1">
              <w:r w:rsidRPr="00EC21C0">
                <w:rPr>
                  <w:rStyle w:val="Hyperlink"/>
                  <w:lang w:val="fr-FR"/>
                </w:rPr>
                <w:t>NQF</w:t>
              </w:r>
            </w:hyperlink>
            <w:r w:rsidRPr="00EC21C0">
              <w:rPr>
                <w:lang w:val="fr-FR"/>
              </w:rPr>
              <w:t xml:space="preserve">. </w:t>
            </w:r>
          </w:p>
        </w:tc>
      </w:tr>
    </w:tbl>
    <w:p w14:paraId="27E01DC2" w14:textId="77777777" w:rsidR="00C220BF" w:rsidRPr="00EC21C0" w:rsidRDefault="00C220BF" w:rsidP="009122F2">
      <w:pPr>
        <w:pStyle w:val="NoSpacing"/>
        <w:rPr>
          <w:lang w:val="fr-FR"/>
        </w:rPr>
      </w:pPr>
    </w:p>
    <w:tbl>
      <w:tblPr>
        <w:tblStyle w:val="FHCclean10pt"/>
        <w:tblW w:w="0" w:type="auto"/>
        <w:tblLook w:val="04A0" w:firstRow="1" w:lastRow="0" w:firstColumn="1" w:lastColumn="0" w:noHBand="0" w:noVBand="1"/>
      </w:tblPr>
      <w:tblGrid>
        <w:gridCol w:w="2484"/>
        <w:gridCol w:w="6860"/>
      </w:tblGrid>
      <w:tr w:rsidR="00C220BF" w:rsidRPr="00F44630" w14:paraId="0E3933A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6C571334" w14:textId="77777777" w:rsidR="00C220BF" w:rsidRPr="00F44630" w:rsidRDefault="00C220BF">
            <w:bookmarkStart w:id="290" w:name="_Hlk129958515"/>
            <w:r w:rsidRPr="00DB3492">
              <w:t>Measure:</w:t>
            </w:r>
          </w:p>
        </w:tc>
        <w:tc>
          <w:tcPr>
            <w:tcW w:w="6860" w:type="dxa"/>
          </w:tcPr>
          <w:p w14:paraId="6388B29E" w14:textId="67AD9604" w:rsidR="00C220BF" w:rsidRPr="00F44630" w:rsidRDefault="00C220BF">
            <w:pPr>
              <w:cnfStyle w:val="100000000000" w:firstRow="1" w:lastRow="0" w:firstColumn="0" w:lastColumn="0" w:oddVBand="0" w:evenVBand="0" w:oddHBand="0" w:evenHBand="0" w:firstRowFirstColumn="0" w:firstRowLastColumn="0" w:lastRowFirstColumn="0" w:lastRowLastColumn="0"/>
            </w:pPr>
            <w:r w:rsidRPr="007443FE">
              <w:t>Emergency Department Visits</w:t>
            </w:r>
            <w:r>
              <w:br/>
            </w:r>
            <w:r w:rsidRPr="0024116A">
              <w:t xml:space="preserve">*MassHealth ACO </w:t>
            </w:r>
            <w:r>
              <w:t>M</w:t>
            </w:r>
            <w:r w:rsidRPr="0024116A">
              <w:t xml:space="preserve">onitoring </w:t>
            </w:r>
            <w:r>
              <w:t>M</w:t>
            </w:r>
            <w:r w:rsidRPr="0024116A">
              <w:t>easure</w:t>
            </w:r>
          </w:p>
        </w:tc>
      </w:tr>
      <w:tr w:rsidR="00C220BF" w:rsidRPr="00F44630" w14:paraId="2693E048" w14:textId="77777777">
        <w:tc>
          <w:tcPr>
            <w:cnfStyle w:val="001000000000" w:firstRow="0" w:lastRow="0" w:firstColumn="1" w:lastColumn="0" w:oddVBand="0" w:evenVBand="0" w:oddHBand="0" w:evenHBand="0" w:firstRowFirstColumn="0" w:firstRowLastColumn="0" w:lastRowFirstColumn="0" w:lastRowLastColumn="0"/>
            <w:tcW w:w="2484" w:type="dxa"/>
          </w:tcPr>
          <w:p w14:paraId="437EBEB2" w14:textId="77777777" w:rsidR="00C220BF" w:rsidRPr="00F44630" w:rsidRDefault="00C220BF">
            <w:r w:rsidRPr="00DB3492">
              <w:t>Steward:</w:t>
            </w:r>
          </w:p>
        </w:tc>
        <w:tc>
          <w:tcPr>
            <w:tcW w:w="6860" w:type="dxa"/>
          </w:tcPr>
          <w:p w14:paraId="70667B44"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7443FE">
              <w:t>National Committee for Quality Assurance</w:t>
            </w:r>
          </w:p>
        </w:tc>
      </w:tr>
      <w:tr w:rsidR="00C220BF" w:rsidRPr="00F44630" w14:paraId="1AB36C26" w14:textId="77777777">
        <w:tc>
          <w:tcPr>
            <w:cnfStyle w:val="001000000000" w:firstRow="0" w:lastRow="0" w:firstColumn="1" w:lastColumn="0" w:oddVBand="0" w:evenVBand="0" w:oddHBand="0" w:evenHBand="0" w:firstRowFirstColumn="0" w:firstRowLastColumn="0" w:lastRowFirstColumn="0" w:lastRowLastColumn="0"/>
            <w:tcW w:w="2484" w:type="dxa"/>
          </w:tcPr>
          <w:p w14:paraId="120FF84F" w14:textId="77777777" w:rsidR="00C220BF" w:rsidRPr="00891A54" w:rsidRDefault="00C220BF">
            <w:r w:rsidRPr="00891A54">
              <w:t>NQF Endorsed:</w:t>
            </w:r>
          </w:p>
        </w:tc>
        <w:tc>
          <w:tcPr>
            <w:tcW w:w="6860" w:type="dxa"/>
          </w:tcPr>
          <w:p w14:paraId="09B5B37D" w14:textId="0C989B00" w:rsidR="00C220BF" w:rsidRPr="00F44630" w:rsidRDefault="00891A54">
            <w:pPr>
              <w:cnfStyle w:val="000000000000" w:firstRow="0" w:lastRow="0" w:firstColumn="0" w:lastColumn="0" w:oddVBand="0" w:evenVBand="0" w:oddHBand="0" w:evenHBand="0" w:firstRowFirstColumn="0" w:firstRowLastColumn="0" w:lastRowFirstColumn="0" w:lastRowLastColumn="0"/>
            </w:pPr>
            <w:r>
              <w:t>No</w:t>
            </w:r>
          </w:p>
        </w:tc>
      </w:tr>
      <w:tr w:rsidR="00C220BF" w:rsidRPr="00F44630" w14:paraId="312026C0" w14:textId="77777777">
        <w:tc>
          <w:tcPr>
            <w:cnfStyle w:val="001000000000" w:firstRow="0" w:lastRow="0" w:firstColumn="1" w:lastColumn="0" w:oddVBand="0" w:evenVBand="0" w:oddHBand="0" w:evenHBand="0" w:firstRowFirstColumn="0" w:firstRowLastColumn="0" w:lastRowFirstColumn="0" w:lastRowLastColumn="0"/>
            <w:tcW w:w="2484" w:type="dxa"/>
          </w:tcPr>
          <w:p w14:paraId="7048A7F2" w14:textId="77777777" w:rsidR="00C220BF" w:rsidRPr="00F44630" w:rsidRDefault="00C220BF">
            <w:r w:rsidRPr="00F44630">
              <w:t>Description</w:t>
            </w:r>
          </w:p>
        </w:tc>
        <w:tc>
          <w:tcPr>
            <w:tcW w:w="6860" w:type="dxa"/>
          </w:tcPr>
          <w:p w14:paraId="2E5FED52" w14:textId="54F9AE39"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Rate of ED visits per 1,000 beneficiary months among children up to age 19</w:t>
            </w:r>
            <w:r w:rsidR="002D4BBF">
              <w:t>.</w:t>
            </w:r>
          </w:p>
        </w:tc>
      </w:tr>
      <w:tr w:rsidR="00C220BF" w:rsidRPr="00F44630" w14:paraId="3CD3B78A" w14:textId="77777777">
        <w:tc>
          <w:tcPr>
            <w:cnfStyle w:val="001000000000" w:firstRow="0" w:lastRow="0" w:firstColumn="1" w:lastColumn="0" w:oddVBand="0" w:evenVBand="0" w:oddHBand="0" w:evenHBand="0" w:firstRowFirstColumn="0" w:firstRowLastColumn="0" w:lastRowFirstColumn="0" w:lastRowLastColumn="0"/>
            <w:tcW w:w="2484" w:type="dxa"/>
          </w:tcPr>
          <w:p w14:paraId="397B63ED" w14:textId="77777777" w:rsidR="00C220BF" w:rsidRPr="00F44630" w:rsidRDefault="00C220BF">
            <w:r w:rsidRPr="00F44630">
              <w:t>Numerator</w:t>
            </w:r>
          </w:p>
        </w:tc>
        <w:tc>
          <w:tcPr>
            <w:tcW w:w="6860" w:type="dxa"/>
          </w:tcPr>
          <w:p w14:paraId="4DB53C36" w14:textId="099DA531"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Total number of children up to age 19 who had at least one ED service</w:t>
            </w:r>
            <w:r w:rsidR="002D4BBF">
              <w:t>.</w:t>
            </w:r>
          </w:p>
        </w:tc>
      </w:tr>
      <w:tr w:rsidR="00C220BF" w:rsidRPr="00F44630" w14:paraId="113596DF" w14:textId="77777777">
        <w:tc>
          <w:tcPr>
            <w:cnfStyle w:val="001000000000" w:firstRow="0" w:lastRow="0" w:firstColumn="1" w:lastColumn="0" w:oddVBand="0" w:evenVBand="0" w:oddHBand="0" w:evenHBand="0" w:firstRowFirstColumn="0" w:firstRowLastColumn="0" w:lastRowFirstColumn="0" w:lastRowLastColumn="0"/>
            <w:tcW w:w="2484" w:type="dxa"/>
          </w:tcPr>
          <w:p w14:paraId="2134ED65" w14:textId="77777777" w:rsidR="00C220BF" w:rsidRPr="00F44630" w:rsidRDefault="00C220BF">
            <w:r w:rsidRPr="00F44630">
              <w:t>Denominator</w:t>
            </w:r>
          </w:p>
        </w:tc>
        <w:tc>
          <w:tcPr>
            <w:tcW w:w="6860" w:type="dxa"/>
          </w:tcPr>
          <w:p w14:paraId="06840161" w14:textId="0EFCDBE4"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1,000 member months among members up to age 19 years of age</w:t>
            </w:r>
            <w:r w:rsidR="002D4BBF">
              <w:t>.</w:t>
            </w:r>
          </w:p>
        </w:tc>
      </w:tr>
      <w:tr w:rsidR="00C220BF" w:rsidRPr="00F44630" w14:paraId="54D14C78" w14:textId="77777777">
        <w:tc>
          <w:tcPr>
            <w:cnfStyle w:val="001000000000" w:firstRow="0" w:lastRow="0" w:firstColumn="1" w:lastColumn="0" w:oddVBand="0" w:evenVBand="0" w:oddHBand="0" w:evenHBand="0" w:firstRowFirstColumn="0" w:firstRowLastColumn="0" w:lastRowFirstColumn="0" w:lastRowLastColumn="0"/>
            <w:tcW w:w="2484" w:type="dxa"/>
          </w:tcPr>
          <w:p w14:paraId="4FE99811" w14:textId="77777777" w:rsidR="00C220BF" w:rsidRPr="00F44630" w:rsidRDefault="00C220BF">
            <w:r w:rsidRPr="00F44630">
              <w:t>Data Sources</w:t>
            </w:r>
          </w:p>
        </w:tc>
        <w:tc>
          <w:tcPr>
            <w:tcW w:w="6860" w:type="dxa"/>
          </w:tcPr>
          <w:p w14:paraId="4F7BA0B6"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Medicaid claims/encounters data</w:t>
            </w:r>
          </w:p>
        </w:tc>
      </w:tr>
      <w:tr w:rsidR="00C220BF" w:rsidRPr="00F44630" w14:paraId="51F2353F" w14:textId="77777777">
        <w:tc>
          <w:tcPr>
            <w:cnfStyle w:val="001000000000" w:firstRow="0" w:lastRow="0" w:firstColumn="1" w:lastColumn="0" w:oddVBand="0" w:evenVBand="0" w:oddHBand="0" w:evenHBand="0" w:firstRowFirstColumn="0" w:firstRowLastColumn="0" w:lastRowFirstColumn="0" w:lastRowLastColumn="0"/>
            <w:tcW w:w="2484" w:type="dxa"/>
          </w:tcPr>
          <w:p w14:paraId="7C6F7613" w14:textId="77777777" w:rsidR="00C220BF" w:rsidRPr="00F44630" w:rsidRDefault="00C220BF">
            <w:r w:rsidRPr="00F44630">
              <w:t>National Benchmark</w:t>
            </w:r>
          </w:p>
        </w:tc>
        <w:tc>
          <w:tcPr>
            <w:tcW w:w="6860" w:type="dxa"/>
          </w:tcPr>
          <w:p w14:paraId="5B11B8FA"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None</w:t>
            </w:r>
          </w:p>
        </w:tc>
      </w:tr>
    </w:tbl>
    <w:p w14:paraId="53F19757" w14:textId="77777777" w:rsidR="00C220BF" w:rsidRDefault="00C220BF" w:rsidP="009122F2">
      <w:pPr>
        <w:pStyle w:val="NoSpacing"/>
      </w:pPr>
    </w:p>
    <w:tbl>
      <w:tblPr>
        <w:tblStyle w:val="FHCclean10pt"/>
        <w:tblW w:w="0" w:type="auto"/>
        <w:tblLook w:val="04A0" w:firstRow="1" w:lastRow="0" w:firstColumn="1" w:lastColumn="0" w:noHBand="0" w:noVBand="1"/>
      </w:tblPr>
      <w:tblGrid>
        <w:gridCol w:w="2484"/>
        <w:gridCol w:w="6860"/>
      </w:tblGrid>
      <w:tr w:rsidR="00C220BF" w:rsidRPr="00F44630" w14:paraId="1090D5A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bookmarkEnd w:id="289"/>
          <w:bookmarkEnd w:id="290"/>
          <w:p w14:paraId="7647BC32" w14:textId="77777777" w:rsidR="00C220BF" w:rsidRPr="00F44630" w:rsidRDefault="00C220BF">
            <w:r w:rsidRPr="00DB3492">
              <w:t>Measure:</w:t>
            </w:r>
          </w:p>
        </w:tc>
        <w:tc>
          <w:tcPr>
            <w:tcW w:w="6860" w:type="dxa"/>
          </w:tcPr>
          <w:p w14:paraId="390BB0F7" w14:textId="3B9D0FD1" w:rsidR="00C220BF" w:rsidRPr="00F44630" w:rsidRDefault="00C220BF">
            <w:pPr>
              <w:cnfStyle w:val="100000000000" w:firstRow="1" w:lastRow="0" w:firstColumn="0" w:lastColumn="0" w:oddVBand="0" w:evenVBand="0" w:oddHBand="0" w:evenHBand="0" w:firstRowFirstColumn="0" w:firstRowLastColumn="0" w:lastRowFirstColumn="0" w:lastRowLastColumn="0"/>
            </w:pPr>
            <w:r w:rsidRPr="007443FE">
              <w:t>Metabolic Monitoring for Children and Adolescents on Antipsychotics (APM)</w:t>
            </w:r>
            <w:r>
              <w:br/>
            </w:r>
            <w:r w:rsidRPr="0024116A">
              <w:t xml:space="preserve">* MassHealth ACO </w:t>
            </w:r>
            <w:r>
              <w:t>Q</w:t>
            </w:r>
            <w:r w:rsidRPr="0024116A">
              <w:t xml:space="preserve">uality </w:t>
            </w:r>
            <w:r>
              <w:t>M</w:t>
            </w:r>
            <w:r w:rsidRPr="0024116A">
              <w:t>easure (</w:t>
            </w:r>
            <w:r>
              <w:t>P</w:t>
            </w:r>
            <w:r w:rsidRPr="0024116A">
              <w:t>ediatric ACOs)</w:t>
            </w:r>
          </w:p>
        </w:tc>
      </w:tr>
      <w:tr w:rsidR="00C220BF" w:rsidRPr="00F44630" w14:paraId="75232559" w14:textId="77777777">
        <w:tc>
          <w:tcPr>
            <w:cnfStyle w:val="001000000000" w:firstRow="0" w:lastRow="0" w:firstColumn="1" w:lastColumn="0" w:oddVBand="0" w:evenVBand="0" w:oddHBand="0" w:evenHBand="0" w:firstRowFirstColumn="0" w:firstRowLastColumn="0" w:lastRowFirstColumn="0" w:lastRowLastColumn="0"/>
            <w:tcW w:w="2484" w:type="dxa"/>
          </w:tcPr>
          <w:p w14:paraId="1F619DBF" w14:textId="77777777" w:rsidR="00C220BF" w:rsidRPr="00F44630" w:rsidRDefault="00C220BF">
            <w:r w:rsidRPr="00DB3492">
              <w:t>Steward:</w:t>
            </w:r>
          </w:p>
        </w:tc>
        <w:tc>
          <w:tcPr>
            <w:tcW w:w="6860" w:type="dxa"/>
          </w:tcPr>
          <w:p w14:paraId="7EED6AB2"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7443FE">
              <w:t>National Committee on Quality Assurance (#2800)</w:t>
            </w:r>
          </w:p>
        </w:tc>
      </w:tr>
      <w:tr w:rsidR="00C220BF" w:rsidRPr="00F44630" w14:paraId="029BAC0F" w14:textId="77777777">
        <w:tc>
          <w:tcPr>
            <w:cnfStyle w:val="001000000000" w:firstRow="0" w:lastRow="0" w:firstColumn="1" w:lastColumn="0" w:oddVBand="0" w:evenVBand="0" w:oddHBand="0" w:evenHBand="0" w:firstRowFirstColumn="0" w:firstRowLastColumn="0" w:lastRowFirstColumn="0" w:lastRowLastColumn="0"/>
            <w:tcW w:w="2484" w:type="dxa"/>
          </w:tcPr>
          <w:p w14:paraId="605CBCBE" w14:textId="77777777" w:rsidR="00C220BF" w:rsidRPr="00F44630" w:rsidRDefault="00C220BF">
            <w:r w:rsidRPr="00DB3492">
              <w:t>NQF Endorsed:</w:t>
            </w:r>
          </w:p>
        </w:tc>
        <w:tc>
          <w:tcPr>
            <w:tcW w:w="6860" w:type="dxa"/>
          </w:tcPr>
          <w:p w14:paraId="60C1B723"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t>Yes</w:t>
            </w:r>
          </w:p>
        </w:tc>
      </w:tr>
      <w:tr w:rsidR="00C220BF" w:rsidRPr="00F44630" w14:paraId="6B0296AE" w14:textId="77777777">
        <w:tc>
          <w:tcPr>
            <w:cnfStyle w:val="001000000000" w:firstRow="0" w:lastRow="0" w:firstColumn="1" w:lastColumn="0" w:oddVBand="0" w:evenVBand="0" w:oddHBand="0" w:evenHBand="0" w:firstRowFirstColumn="0" w:firstRowLastColumn="0" w:lastRowFirstColumn="0" w:lastRowLastColumn="0"/>
            <w:tcW w:w="2484" w:type="dxa"/>
          </w:tcPr>
          <w:p w14:paraId="292475F8" w14:textId="77777777" w:rsidR="00C220BF" w:rsidRPr="00F44630" w:rsidRDefault="00C220BF">
            <w:r w:rsidRPr="00F44630">
              <w:t>Description</w:t>
            </w:r>
          </w:p>
        </w:tc>
        <w:tc>
          <w:tcPr>
            <w:tcW w:w="6860" w:type="dxa"/>
          </w:tcPr>
          <w:p w14:paraId="76CE7F9D" w14:textId="13748B70"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The percentage of children and adolescents 1</w:t>
            </w:r>
            <w:r w:rsidR="002D4BBF">
              <w:t xml:space="preserve"> to </w:t>
            </w:r>
            <w:r w:rsidRPr="00F44630">
              <w:t>17 years of age who had two or more antipsychotic prescriptions and had metabolic testing.</w:t>
            </w:r>
          </w:p>
        </w:tc>
      </w:tr>
      <w:tr w:rsidR="00C220BF" w:rsidRPr="00F44630" w14:paraId="2E432586" w14:textId="77777777">
        <w:tc>
          <w:tcPr>
            <w:cnfStyle w:val="001000000000" w:firstRow="0" w:lastRow="0" w:firstColumn="1" w:lastColumn="0" w:oddVBand="0" w:evenVBand="0" w:oddHBand="0" w:evenHBand="0" w:firstRowFirstColumn="0" w:firstRowLastColumn="0" w:lastRowFirstColumn="0" w:lastRowLastColumn="0"/>
            <w:tcW w:w="2484" w:type="dxa"/>
          </w:tcPr>
          <w:p w14:paraId="5D5B79BC" w14:textId="77777777" w:rsidR="00C220BF" w:rsidRPr="00F44630" w:rsidRDefault="00C220BF">
            <w:r w:rsidRPr="00F44630">
              <w:lastRenderedPageBreak/>
              <w:t>Numerator</w:t>
            </w:r>
          </w:p>
        </w:tc>
        <w:tc>
          <w:tcPr>
            <w:tcW w:w="6860" w:type="dxa"/>
          </w:tcPr>
          <w:p w14:paraId="195A0A20"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Children and adolescents who received glucose and cholesterol tests during the measurement year.</w:t>
            </w:r>
          </w:p>
        </w:tc>
      </w:tr>
      <w:tr w:rsidR="00C220BF" w:rsidRPr="00F44630" w14:paraId="725DAD12" w14:textId="77777777">
        <w:tc>
          <w:tcPr>
            <w:cnfStyle w:val="001000000000" w:firstRow="0" w:lastRow="0" w:firstColumn="1" w:lastColumn="0" w:oddVBand="0" w:evenVBand="0" w:oddHBand="0" w:evenHBand="0" w:firstRowFirstColumn="0" w:firstRowLastColumn="0" w:lastRowFirstColumn="0" w:lastRowLastColumn="0"/>
            <w:tcW w:w="2484" w:type="dxa"/>
          </w:tcPr>
          <w:p w14:paraId="61034C7C" w14:textId="77777777" w:rsidR="00C220BF" w:rsidRPr="00F44630" w:rsidRDefault="00C220BF">
            <w:r w:rsidRPr="00F44630">
              <w:t>Denominator</w:t>
            </w:r>
          </w:p>
        </w:tc>
        <w:tc>
          <w:tcPr>
            <w:tcW w:w="6860" w:type="dxa"/>
          </w:tcPr>
          <w:p w14:paraId="569A23D6" w14:textId="6F41964B"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Children and adolescents who had ongoing use of antipsychotic medication (at least two prescriptions).</w:t>
            </w:r>
          </w:p>
        </w:tc>
      </w:tr>
      <w:tr w:rsidR="00C220BF" w:rsidRPr="00F44630" w14:paraId="03966CA5" w14:textId="77777777">
        <w:tc>
          <w:tcPr>
            <w:cnfStyle w:val="001000000000" w:firstRow="0" w:lastRow="0" w:firstColumn="1" w:lastColumn="0" w:oddVBand="0" w:evenVBand="0" w:oddHBand="0" w:evenHBand="0" w:firstRowFirstColumn="0" w:firstRowLastColumn="0" w:lastRowFirstColumn="0" w:lastRowLastColumn="0"/>
            <w:tcW w:w="2484" w:type="dxa"/>
          </w:tcPr>
          <w:p w14:paraId="0EC56DB3" w14:textId="77777777" w:rsidR="00C220BF" w:rsidRPr="00F44630" w:rsidRDefault="00C220BF">
            <w:r w:rsidRPr="00F44630">
              <w:t>Data Sources</w:t>
            </w:r>
          </w:p>
        </w:tc>
        <w:tc>
          <w:tcPr>
            <w:tcW w:w="6860" w:type="dxa"/>
          </w:tcPr>
          <w:p w14:paraId="470E1DB4"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Medicaid claims/encounters data</w:t>
            </w:r>
          </w:p>
        </w:tc>
      </w:tr>
      <w:tr w:rsidR="00C220BF" w:rsidRPr="00F44630" w14:paraId="65A995C0" w14:textId="77777777">
        <w:tc>
          <w:tcPr>
            <w:cnfStyle w:val="001000000000" w:firstRow="0" w:lastRow="0" w:firstColumn="1" w:lastColumn="0" w:oddVBand="0" w:evenVBand="0" w:oddHBand="0" w:evenHBand="0" w:firstRowFirstColumn="0" w:firstRowLastColumn="0" w:lastRowFirstColumn="0" w:lastRowLastColumn="0"/>
            <w:tcW w:w="2484" w:type="dxa"/>
          </w:tcPr>
          <w:p w14:paraId="3CD298C9" w14:textId="77777777" w:rsidR="00C220BF" w:rsidRPr="00F44630" w:rsidRDefault="00C220BF">
            <w:r w:rsidRPr="00F44630">
              <w:t>National Benchmark</w:t>
            </w:r>
          </w:p>
        </w:tc>
        <w:tc>
          <w:tcPr>
            <w:tcW w:w="6860" w:type="dxa"/>
          </w:tcPr>
          <w:p w14:paraId="763C1C40"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2021 Medicaid HMO = 36.6%</w:t>
            </w:r>
          </w:p>
          <w:p w14:paraId="7B14BD28" w14:textId="29C2DA9E"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 xml:space="preserve">Source: </w:t>
            </w:r>
            <w:hyperlink r:id="rId76" w:history="1">
              <w:r w:rsidR="005F5CC3" w:rsidRPr="009348BF">
                <w:rPr>
                  <w:rStyle w:val="Hyperlink"/>
                </w:rPr>
                <w:t>https://www.ncqa.org/hedis/measures/metabolic-monitoring-for-children-and-adolescents-on-antipsychotics/</w:t>
              </w:r>
            </w:hyperlink>
            <w:r w:rsidR="005F5CC3">
              <w:t xml:space="preserve"> </w:t>
            </w:r>
          </w:p>
        </w:tc>
      </w:tr>
    </w:tbl>
    <w:p w14:paraId="580DEC9A" w14:textId="77777777" w:rsidR="005139D7" w:rsidRDefault="005139D7" w:rsidP="00EC21C0">
      <w:pPr>
        <w:pStyle w:val="Heading5"/>
      </w:pPr>
    </w:p>
    <w:p w14:paraId="5822A598" w14:textId="0EB742CC" w:rsidR="00C220BF" w:rsidRPr="0030061F" w:rsidRDefault="00C220BF" w:rsidP="00EC21C0">
      <w:pPr>
        <w:pStyle w:val="Heading5"/>
        <w:rPr>
          <w:b/>
          <w:bCs/>
        </w:rPr>
      </w:pPr>
      <w:r w:rsidRPr="0030061F">
        <w:rPr>
          <w:b/>
          <w:bCs/>
        </w:rPr>
        <w:t xml:space="preserve">Chapter 6: </w:t>
      </w:r>
      <w:r w:rsidR="00614FFB" w:rsidRPr="0030061F">
        <w:rPr>
          <w:b/>
          <w:bCs/>
        </w:rPr>
        <w:fldChar w:fldCharType="begin"/>
      </w:r>
      <w:r w:rsidR="00614FFB" w:rsidRPr="0030061F">
        <w:rPr>
          <w:b/>
          <w:bCs/>
        </w:rPr>
        <w:instrText xml:space="preserve"> REF _Ref142920853 \h </w:instrText>
      </w:r>
      <w:r w:rsidR="0030061F">
        <w:rPr>
          <w:b/>
          <w:bCs/>
        </w:rPr>
        <w:instrText xml:space="preserve"> \* MERGEFORMAT </w:instrText>
      </w:r>
      <w:r w:rsidR="00614FFB" w:rsidRPr="0030061F">
        <w:rPr>
          <w:b/>
          <w:bCs/>
        </w:rPr>
      </w:r>
      <w:r w:rsidR="00614FFB" w:rsidRPr="0030061F">
        <w:rPr>
          <w:b/>
          <w:bCs/>
        </w:rPr>
        <w:fldChar w:fldCharType="separate"/>
      </w:r>
      <w:r w:rsidR="00EB7B05" w:rsidRPr="0030061F">
        <w:rPr>
          <w:b/>
          <w:bCs/>
        </w:rPr>
        <w:t>Workforce Initiatives</w:t>
      </w:r>
      <w:r w:rsidR="00614FFB" w:rsidRPr="0030061F">
        <w:rPr>
          <w:b/>
          <w:bCs/>
        </w:rPr>
        <w:fldChar w:fldCharType="end"/>
      </w:r>
    </w:p>
    <w:tbl>
      <w:tblPr>
        <w:tblStyle w:val="FHCclean10pt"/>
        <w:tblW w:w="0" w:type="auto"/>
        <w:tblLook w:val="04A0" w:firstRow="1" w:lastRow="0" w:firstColumn="1" w:lastColumn="0" w:noHBand="0" w:noVBand="1"/>
      </w:tblPr>
      <w:tblGrid>
        <w:gridCol w:w="2484"/>
        <w:gridCol w:w="6860"/>
      </w:tblGrid>
      <w:tr w:rsidR="00962026" w:rsidRPr="00F44630" w14:paraId="714ABCC8" w14:textId="77777777" w:rsidTr="00B946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3FA3BD4E" w14:textId="77777777" w:rsidR="00962026" w:rsidRPr="00F44630" w:rsidRDefault="00962026" w:rsidP="00B94692">
            <w:r w:rsidRPr="00DB3492">
              <w:t>Measure:</w:t>
            </w:r>
          </w:p>
        </w:tc>
        <w:tc>
          <w:tcPr>
            <w:tcW w:w="6860" w:type="dxa"/>
          </w:tcPr>
          <w:p w14:paraId="07A21D4D" w14:textId="77777777" w:rsidR="00962026" w:rsidRPr="00F44630" w:rsidRDefault="00962026" w:rsidP="00B94692">
            <w:pPr>
              <w:cnfStyle w:val="100000000000" w:firstRow="1" w:lastRow="0" w:firstColumn="0" w:lastColumn="0" w:oddVBand="0" w:evenVBand="0" w:oddHBand="0" w:evenHBand="0" w:firstRowFirstColumn="0" w:firstRowLastColumn="0" w:lastRowFirstColumn="0" w:lastRowLastColumn="0"/>
            </w:pPr>
            <w:r w:rsidRPr="007443FE">
              <w:t>Adult Access to Preventive/Ambulatory Health Services (AAP)</w:t>
            </w:r>
          </w:p>
        </w:tc>
      </w:tr>
      <w:tr w:rsidR="00962026" w:rsidRPr="00F44630" w14:paraId="4304698F" w14:textId="77777777" w:rsidTr="00B94692">
        <w:tc>
          <w:tcPr>
            <w:cnfStyle w:val="001000000000" w:firstRow="0" w:lastRow="0" w:firstColumn="1" w:lastColumn="0" w:oddVBand="0" w:evenVBand="0" w:oddHBand="0" w:evenHBand="0" w:firstRowFirstColumn="0" w:firstRowLastColumn="0" w:lastRowFirstColumn="0" w:lastRowLastColumn="0"/>
            <w:tcW w:w="2484" w:type="dxa"/>
          </w:tcPr>
          <w:p w14:paraId="5B392C22" w14:textId="77777777" w:rsidR="00962026" w:rsidRPr="00F44630" w:rsidRDefault="00962026" w:rsidP="00B94692">
            <w:r w:rsidRPr="00DB3492">
              <w:t>Steward:</w:t>
            </w:r>
          </w:p>
        </w:tc>
        <w:tc>
          <w:tcPr>
            <w:tcW w:w="6860" w:type="dxa"/>
          </w:tcPr>
          <w:p w14:paraId="3B5EE859" w14:textId="77777777" w:rsidR="00962026" w:rsidRPr="00F44630" w:rsidRDefault="00962026" w:rsidP="00B94692">
            <w:pPr>
              <w:cnfStyle w:val="000000000000" w:firstRow="0" w:lastRow="0" w:firstColumn="0" w:lastColumn="0" w:oddVBand="0" w:evenVBand="0" w:oddHBand="0" w:evenHBand="0" w:firstRowFirstColumn="0" w:firstRowLastColumn="0" w:lastRowFirstColumn="0" w:lastRowLastColumn="0"/>
            </w:pPr>
            <w:r w:rsidRPr="007443FE">
              <w:t>National Committee on Quality Assurance</w:t>
            </w:r>
          </w:p>
        </w:tc>
      </w:tr>
      <w:tr w:rsidR="00962026" w:rsidRPr="00F44630" w14:paraId="3C48DCEC" w14:textId="77777777" w:rsidTr="00B94692">
        <w:tc>
          <w:tcPr>
            <w:cnfStyle w:val="001000000000" w:firstRow="0" w:lastRow="0" w:firstColumn="1" w:lastColumn="0" w:oddVBand="0" w:evenVBand="0" w:oddHBand="0" w:evenHBand="0" w:firstRowFirstColumn="0" w:firstRowLastColumn="0" w:lastRowFirstColumn="0" w:lastRowLastColumn="0"/>
            <w:tcW w:w="2484" w:type="dxa"/>
          </w:tcPr>
          <w:p w14:paraId="1B527AE1" w14:textId="77777777" w:rsidR="00962026" w:rsidRPr="00F44630" w:rsidRDefault="00962026" w:rsidP="00B94692">
            <w:r w:rsidRPr="00DB3492">
              <w:t>NQF Endorsed:</w:t>
            </w:r>
          </w:p>
        </w:tc>
        <w:tc>
          <w:tcPr>
            <w:tcW w:w="6860" w:type="dxa"/>
          </w:tcPr>
          <w:p w14:paraId="4640BABE" w14:textId="77777777" w:rsidR="00962026" w:rsidRPr="00F44630" w:rsidRDefault="00962026" w:rsidP="00B94692">
            <w:pPr>
              <w:cnfStyle w:val="000000000000" w:firstRow="0" w:lastRow="0" w:firstColumn="0" w:lastColumn="0" w:oddVBand="0" w:evenVBand="0" w:oddHBand="0" w:evenHBand="0" w:firstRowFirstColumn="0" w:firstRowLastColumn="0" w:lastRowFirstColumn="0" w:lastRowLastColumn="0"/>
            </w:pPr>
            <w:r>
              <w:t>No</w:t>
            </w:r>
          </w:p>
        </w:tc>
      </w:tr>
      <w:tr w:rsidR="00962026" w:rsidRPr="00F44630" w14:paraId="2F72E503" w14:textId="77777777" w:rsidTr="00B94692">
        <w:tc>
          <w:tcPr>
            <w:cnfStyle w:val="001000000000" w:firstRow="0" w:lastRow="0" w:firstColumn="1" w:lastColumn="0" w:oddVBand="0" w:evenVBand="0" w:oddHBand="0" w:evenHBand="0" w:firstRowFirstColumn="0" w:firstRowLastColumn="0" w:lastRowFirstColumn="0" w:lastRowLastColumn="0"/>
            <w:tcW w:w="2484" w:type="dxa"/>
          </w:tcPr>
          <w:p w14:paraId="525011AA" w14:textId="77777777" w:rsidR="00962026" w:rsidRPr="00F44630" w:rsidRDefault="00962026" w:rsidP="00B94692">
            <w:r w:rsidRPr="00F44630">
              <w:t>Description</w:t>
            </w:r>
          </w:p>
        </w:tc>
        <w:tc>
          <w:tcPr>
            <w:tcW w:w="6860" w:type="dxa"/>
          </w:tcPr>
          <w:p w14:paraId="64C28EFB" w14:textId="77777777" w:rsidR="00962026" w:rsidRPr="00F44630" w:rsidRDefault="00962026" w:rsidP="00B94692">
            <w:pPr>
              <w:cnfStyle w:val="000000000000" w:firstRow="0" w:lastRow="0" w:firstColumn="0" w:lastColumn="0" w:oddVBand="0" w:evenVBand="0" w:oddHBand="0" w:evenHBand="0" w:firstRowFirstColumn="0" w:firstRowLastColumn="0" w:lastRowFirstColumn="0" w:lastRowLastColumn="0"/>
            </w:pPr>
            <w:r w:rsidRPr="00F44630">
              <w:t xml:space="preserve">This measure is used to assess the percentage of members 20 years </w:t>
            </w:r>
            <w:r>
              <w:t xml:space="preserve">of age </w:t>
            </w:r>
            <w:r w:rsidRPr="00F44630">
              <w:t xml:space="preserve">and older who had an ambulatory or preventive care visit. </w:t>
            </w:r>
          </w:p>
          <w:p w14:paraId="16F4266D" w14:textId="77777777" w:rsidR="00962026" w:rsidRPr="00F44630" w:rsidRDefault="00962026" w:rsidP="00B94692">
            <w:pPr>
              <w:cnfStyle w:val="000000000000" w:firstRow="0" w:lastRow="0" w:firstColumn="0" w:lastColumn="0" w:oddVBand="0" w:evenVBand="0" w:oddHBand="0" w:evenHBand="0" w:firstRowFirstColumn="0" w:firstRowLastColumn="0" w:lastRowFirstColumn="0" w:lastRowLastColumn="0"/>
            </w:pPr>
            <w:r w:rsidRPr="00F44630">
              <w:t>Medicaid members who had an ambulatory or preventive care visit during the measurement year</w:t>
            </w:r>
            <w:r>
              <w:t>.</w:t>
            </w:r>
          </w:p>
        </w:tc>
      </w:tr>
      <w:tr w:rsidR="00962026" w:rsidRPr="00F44630" w14:paraId="098D8CB0" w14:textId="77777777" w:rsidTr="00B94692">
        <w:tc>
          <w:tcPr>
            <w:cnfStyle w:val="001000000000" w:firstRow="0" w:lastRow="0" w:firstColumn="1" w:lastColumn="0" w:oddVBand="0" w:evenVBand="0" w:oddHBand="0" w:evenHBand="0" w:firstRowFirstColumn="0" w:firstRowLastColumn="0" w:lastRowFirstColumn="0" w:lastRowLastColumn="0"/>
            <w:tcW w:w="2484" w:type="dxa"/>
          </w:tcPr>
          <w:p w14:paraId="65C86D85" w14:textId="77777777" w:rsidR="00962026" w:rsidRPr="00F44630" w:rsidRDefault="00962026" w:rsidP="00B94692">
            <w:r w:rsidRPr="00F44630">
              <w:t>Numerator</w:t>
            </w:r>
          </w:p>
        </w:tc>
        <w:tc>
          <w:tcPr>
            <w:tcW w:w="6860" w:type="dxa"/>
          </w:tcPr>
          <w:p w14:paraId="551E6174" w14:textId="77777777" w:rsidR="00962026" w:rsidRPr="00F44630" w:rsidRDefault="00962026" w:rsidP="00B94692">
            <w:pPr>
              <w:cnfStyle w:val="000000000000" w:firstRow="0" w:lastRow="0" w:firstColumn="0" w:lastColumn="0" w:oddVBand="0" w:evenVBand="0" w:oddHBand="0" w:evenHBand="0" w:firstRowFirstColumn="0" w:firstRowLastColumn="0" w:lastRowFirstColumn="0" w:lastRowLastColumn="0"/>
            </w:pPr>
            <w:r w:rsidRPr="00F44630">
              <w:t>One or more ambulatory or preventive care visits during the measurement year</w:t>
            </w:r>
            <w:r>
              <w:t>.</w:t>
            </w:r>
          </w:p>
        </w:tc>
      </w:tr>
      <w:tr w:rsidR="00962026" w:rsidRPr="00F44630" w14:paraId="6ABC15D4" w14:textId="77777777" w:rsidTr="00B94692">
        <w:tc>
          <w:tcPr>
            <w:cnfStyle w:val="001000000000" w:firstRow="0" w:lastRow="0" w:firstColumn="1" w:lastColumn="0" w:oddVBand="0" w:evenVBand="0" w:oddHBand="0" w:evenHBand="0" w:firstRowFirstColumn="0" w:firstRowLastColumn="0" w:lastRowFirstColumn="0" w:lastRowLastColumn="0"/>
            <w:tcW w:w="2484" w:type="dxa"/>
          </w:tcPr>
          <w:p w14:paraId="165B04D8" w14:textId="77777777" w:rsidR="00962026" w:rsidRPr="00F44630" w:rsidRDefault="00962026" w:rsidP="00B94692">
            <w:r w:rsidRPr="00F44630">
              <w:t>Denominator</w:t>
            </w:r>
          </w:p>
        </w:tc>
        <w:tc>
          <w:tcPr>
            <w:tcW w:w="6860" w:type="dxa"/>
          </w:tcPr>
          <w:p w14:paraId="3CD5A231" w14:textId="77777777" w:rsidR="00962026" w:rsidRPr="00F44630" w:rsidRDefault="00962026" w:rsidP="00B94692">
            <w:pPr>
              <w:cnfStyle w:val="000000000000" w:firstRow="0" w:lastRow="0" w:firstColumn="0" w:lastColumn="0" w:oddVBand="0" w:evenVBand="0" w:oddHBand="0" w:evenHBand="0" w:firstRowFirstColumn="0" w:firstRowLastColumn="0" w:lastRowFirstColumn="0" w:lastRowLastColumn="0"/>
            </w:pPr>
            <w:r w:rsidRPr="00F44630">
              <w:t xml:space="preserve">Members 20 years </w:t>
            </w:r>
            <w:r>
              <w:t xml:space="preserve">of age </w:t>
            </w:r>
            <w:r w:rsidRPr="00F44630">
              <w:t>and older as of December 31 of the measurement year</w:t>
            </w:r>
            <w:r>
              <w:t>.</w:t>
            </w:r>
          </w:p>
        </w:tc>
      </w:tr>
      <w:tr w:rsidR="00962026" w:rsidRPr="00F44630" w14:paraId="5DA83161" w14:textId="77777777" w:rsidTr="00B94692">
        <w:tc>
          <w:tcPr>
            <w:cnfStyle w:val="001000000000" w:firstRow="0" w:lastRow="0" w:firstColumn="1" w:lastColumn="0" w:oddVBand="0" w:evenVBand="0" w:oddHBand="0" w:evenHBand="0" w:firstRowFirstColumn="0" w:firstRowLastColumn="0" w:lastRowFirstColumn="0" w:lastRowLastColumn="0"/>
            <w:tcW w:w="2484" w:type="dxa"/>
          </w:tcPr>
          <w:p w14:paraId="4C9E52A9" w14:textId="77777777" w:rsidR="00962026" w:rsidRPr="00F44630" w:rsidRDefault="00962026" w:rsidP="00B94692">
            <w:r w:rsidRPr="00F44630">
              <w:t>Data Sources</w:t>
            </w:r>
          </w:p>
        </w:tc>
        <w:tc>
          <w:tcPr>
            <w:tcW w:w="6860" w:type="dxa"/>
          </w:tcPr>
          <w:p w14:paraId="70D605C4" w14:textId="77777777" w:rsidR="00962026" w:rsidRPr="00F44630" w:rsidRDefault="00962026" w:rsidP="00B94692">
            <w:pPr>
              <w:cnfStyle w:val="000000000000" w:firstRow="0" w:lastRow="0" w:firstColumn="0" w:lastColumn="0" w:oddVBand="0" w:evenVBand="0" w:oddHBand="0" w:evenHBand="0" w:firstRowFirstColumn="0" w:firstRowLastColumn="0" w:lastRowFirstColumn="0" w:lastRowLastColumn="0"/>
            </w:pPr>
            <w:r w:rsidRPr="00F44630">
              <w:t>Medicaid claims/encounters data</w:t>
            </w:r>
          </w:p>
        </w:tc>
      </w:tr>
      <w:tr w:rsidR="00962026" w:rsidRPr="00F44630" w14:paraId="00DF8046" w14:textId="77777777" w:rsidTr="00B94692">
        <w:tc>
          <w:tcPr>
            <w:cnfStyle w:val="001000000000" w:firstRow="0" w:lastRow="0" w:firstColumn="1" w:lastColumn="0" w:oddVBand="0" w:evenVBand="0" w:oddHBand="0" w:evenHBand="0" w:firstRowFirstColumn="0" w:firstRowLastColumn="0" w:lastRowFirstColumn="0" w:lastRowLastColumn="0"/>
            <w:tcW w:w="2484" w:type="dxa"/>
          </w:tcPr>
          <w:p w14:paraId="187B35C6" w14:textId="77777777" w:rsidR="00962026" w:rsidRPr="00F44630" w:rsidRDefault="00962026" w:rsidP="00B94692">
            <w:r w:rsidRPr="00F44630">
              <w:t>National Benchmark</w:t>
            </w:r>
          </w:p>
        </w:tc>
        <w:tc>
          <w:tcPr>
            <w:tcW w:w="6860" w:type="dxa"/>
          </w:tcPr>
          <w:p w14:paraId="49CAB71C" w14:textId="77777777" w:rsidR="00962026" w:rsidRPr="00F44630" w:rsidRDefault="00962026" w:rsidP="00B94692">
            <w:pPr>
              <w:cnfStyle w:val="000000000000" w:firstRow="0" w:lastRow="0" w:firstColumn="0" w:lastColumn="0" w:oddVBand="0" w:evenVBand="0" w:oddHBand="0" w:evenHBand="0" w:firstRowFirstColumn="0" w:firstRowLastColumn="0" w:lastRowFirstColumn="0" w:lastRowLastColumn="0"/>
            </w:pPr>
            <w:r w:rsidRPr="00F44630">
              <w:t>None</w:t>
            </w:r>
          </w:p>
        </w:tc>
      </w:tr>
    </w:tbl>
    <w:p w14:paraId="3D03B052" w14:textId="77777777" w:rsidR="00C220BF" w:rsidRDefault="00C220BF" w:rsidP="009122F2">
      <w:pPr>
        <w:pStyle w:val="NoSpacing"/>
      </w:pPr>
    </w:p>
    <w:tbl>
      <w:tblPr>
        <w:tblStyle w:val="FHCclean10pt"/>
        <w:tblW w:w="0" w:type="auto"/>
        <w:tblLook w:val="04A0" w:firstRow="1" w:lastRow="0" w:firstColumn="1" w:lastColumn="0" w:noHBand="0" w:noVBand="1"/>
      </w:tblPr>
      <w:tblGrid>
        <w:gridCol w:w="2484"/>
        <w:gridCol w:w="6860"/>
      </w:tblGrid>
      <w:tr w:rsidR="00CE6476" w:rsidRPr="00F44630" w14:paraId="703ED630" w14:textId="77777777" w:rsidTr="00B946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3754153F" w14:textId="77777777" w:rsidR="00CE6476" w:rsidRPr="00F44630" w:rsidRDefault="00CE6476" w:rsidP="00B94692">
            <w:r w:rsidRPr="00DB3492">
              <w:t>Measure:</w:t>
            </w:r>
          </w:p>
        </w:tc>
        <w:tc>
          <w:tcPr>
            <w:tcW w:w="6860" w:type="dxa"/>
          </w:tcPr>
          <w:p w14:paraId="2FBFE848" w14:textId="77777777" w:rsidR="00CE6476" w:rsidRPr="00F44630" w:rsidRDefault="00CE6476" w:rsidP="00B94692">
            <w:pPr>
              <w:cnfStyle w:val="100000000000" w:firstRow="1" w:lastRow="0" w:firstColumn="0" w:lastColumn="0" w:oddVBand="0" w:evenVBand="0" w:oddHBand="0" w:evenHBand="0" w:firstRowFirstColumn="0" w:firstRowLastColumn="0" w:lastRowFirstColumn="0" w:lastRowLastColumn="0"/>
            </w:pPr>
            <w:r w:rsidRPr="007443FE">
              <w:t>Hospital Admissions for Ambulatory Care Sensitive Conditions (Chronic ACSCs)</w:t>
            </w:r>
          </w:p>
        </w:tc>
      </w:tr>
      <w:tr w:rsidR="00CE6476" w:rsidRPr="00F44630" w14:paraId="6737C472" w14:textId="77777777" w:rsidTr="00B94692">
        <w:tc>
          <w:tcPr>
            <w:cnfStyle w:val="001000000000" w:firstRow="0" w:lastRow="0" w:firstColumn="1" w:lastColumn="0" w:oddVBand="0" w:evenVBand="0" w:oddHBand="0" w:evenHBand="0" w:firstRowFirstColumn="0" w:firstRowLastColumn="0" w:lastRowFirstColumn="0" w:lastRowLastColumn="0"/>
            <w:tcW w:w="2484" w:type="dxa"/>
          </w:tcPr>
          <w:p w14:paraId="35ABECF1" w14:textId="77777777" w:rsidR="00CE6476" w:rsidRPr="00110861" w:rsidRDefault="00CE6476" w:rsidP="00B94692">
            <w:r w:rsidRPr="00110861">
              <w:t>Steward:</w:t>
            </w:r>
          </w:p>
        </w:tc>
        <w:tc>
          <w:tcPr>
            <w:tcW w:w="6860" w:type="dxa"/>
          </w:tcPr>
          <w:p w14:paraId="1FADBCFC" w14:textId="77777777" w:rsidR="00CE6476" w:rsidRPr="00110861" w:rsidRDefault="00CE6476" w:rsidP="00B94692">
            <w:pPr>
              <w:cnfStyle w:val="000000000000" w:firstRow="0" w:lastRow="0" w:firstColumn="0" w:lastColumn="0" w:oddVBand="0" w:evenVBand="0" w:oddHBand="0" w:evenHBand="0" w:firstRowFirstColumn="0" w:firstRowLastColumn="0" w:lastRowFirstColumn="0" w:lastRowLastColumn="0"/>
            </w:pPr>
            <w:r w:rsidRPr="00110861">
              <w:t>AHRQ</w:t>
            </w:r>
          </w:p>
        </w:tc>
      </w:tr>
      <w:tr w:rsidR="00CE6476" w:rsidRPr="002D33A5" w14:paraId="2F3CAE92" w14:textId="77777777" w:rsidTr="00B94692">
        <w:tc>
          <w:tcPr>
            <w:cnfStyle w:val="001000000000" w:firstRow="0" w:lastRow="0" w:firstColumn="1" w:lastColumn="0" w:oddVBand="0" w:evenVBand="0" w:oddHBand="0" w:evenHBand="0" w:firstRowFirstColumn="0" w:firstRowLastColumn="0" w:lastRowFirstColumn="0" w:lastRowLastColumn="0"/>
            <w:tcW w:w="2484" w:type="dxa"/>
          </w:tcPr>
          <w:p w14:paraId="61782C65" w14:textId="77777777" w:rsidR="00CE6476" w:rsidRPr="00110861" w:rsidRDefault="00CE6476" w:rsidP="00B94692">
            <w:r w:rsidRPr="00110861">
              <w:t>NQF Endorsed:</w:t>
            </w:r>
          </w:p>
        </w:tc>
        <w:tc>
          <w:tcPr>
            <w:tcW w:w="6860" w:type="dxa"/>
          </w:tcPr>
          <w:p w14:paraId="5A4BF682" w14:textId="778CB4B5" w:rsidR="00CE6476" w:rsidRPr="00110861" w:rsidRDefault="00110861" w:rsidP="00B94692">
            <w:pPr>
              <w:cnfStyle w:val="000000000000" w:firstRow="0" w:lastRow="0" w:firstColumn="0" w:lastColumn="0" w:oddVBand="0" w:evenVBand="0" w:oddHBand="0" w:evenHBand="0" w:firstRowFirstColumn="0" w:firstRowLastColumn="0" w:lastRowFirstColumn="0" w:lastRowLastColumn="0"/>
            </w:pPr>
            <w:r w:rsidRPr="00110861">
              <w:t>No</w:t>
            </w:r>
          </w:p>
        </w:tc>
      </w:tr>
      <w:tr w:rsidR="00CE6476" w:rsidRPr="00F44630" w14:paraId="4B6236C4" w14:textId="77777777" w:rsidTr="00B94692">
        <w:tc>
          <w:tcPr>
            <w:cnfStyle w:val="001000000000" w:firstRow="0" w:lastRow="0" w:firstColumn="1" w:lastColumn="0" w:oddVBand="0" w:evenVBand="0" w:oddHBand="0" w:evenHBand="0" w:firstRowFirstColumn="0" w:firstRowLastColumn="0" w:lastRowFirstColumn="0" w:lastRowLastColumn="0"/>
            <w:tcW w:w="2484" w:type="dxa"/>
          </w:tcPr>
          <w:p w14:paraId="4601EC9B" w14:textId="77777777" w:rsidR="00CE6476" w:rsidRPr="00F44630" w:rsidRDefault="00CE6476" w:rsidP="00B94692">
            <w:r w:rsidRPr="00F44630">
              <w:t>Description</w:t>
            </w:r>
          </w:p>
        </w:tc>
        <w:tc>
          <w:tcPr>
            <w:tcW w:w="6860" w:type="dxa"/>
          </w:tcPr>
          <w:p w14:paraId="52DEE0C8" w14:textId="77777777" w:rsidR="00CE6476" w:rsidRPr="00F44630" w:rsidRDefault="00CE6476" w:rsidP="00B94692">
            <w:pPr>
              <w:cnfStyle w:val="000000000000" w:firstRow="0" w:lastRow="0" w:firstColumn="0" w:lastColumn="0" w:oddVBand="0" w:evenVBand="0" w:oddHBand="0" w:evenHBand="0" w:firstRowFirstColumn="0" w:firstRowLastColumn="0" w:lastRowFirstColumn="0" w:lastRowLastColumn="0"/>
            </w:pPr>
            <w:r w:rsidRPr="00F44630">
              <w:t>Rate of admissions for members with chronic ACSCs</w:t>
            </w:r>
            <w:r>
              <w:t>.</w:t>
            </w:r>
          </w:p>
        </w:tc>
      </w:tr>
      <w:tr w:rsidR="00CE6476" w:rsidRPr="00F44630" w14:paraId="55364BA3" w14:textId="77777777" w:rsidTr="00B94692">
        <w:tc>
          <w:tcPr>
            <w:cnfStyle w:val="001000000000" w:firstRow="0" w:lastRow="0" w:firstColumn="1" w:lastColumn="0" w:oddVBand="0" w:evenVBand="0" w:oddHBand="0" w:evenHBand="0" w:firstRowFirstColumn="0" w:firstRowLastColumn="0" w:lastRowFirstColumn="0" w:lastRowLastColumn="0"/>
            <w:tcW w:w="2484" w:type="dxa"/>
          </w:tcPr>
          <w:p w14:paraId="11DBDC71" w14:textId="77777777" w:rsidR="00CE6476" w:rsidRPr="00F44630" w:rsidRDefault="00CE6476" w:rsidP="00B94692">
            <w:r w:rsidRPr="00F44630">
              <w:t>Numerator</w:t>
            </w:r>
          </w:p>
        </w:tc>
        <w:tc>
          <w:tcPr>
            <w:tcW w:w="6860" w:type="dxa"/>
          </w:tcPr>
          <w:p w14:paraId="3AA4895B" w14:textId="77777777" w:rsidR="00CE6476" w:rsidRPr="00F44630" w:rsidRDefault="00CE6476" w:rsidP="00B94692">
            <w:pPr>
              <w:cnfStyle w:val="000000000000" w:firstRow="0" w:lastRow="0" w:firstColumn="0" w:lastColumn="0" w:oddVBand="0" w:evenVBand="0" w:oddHBand="0" w:evenHBand="0" w:firstRowFirstColumn="0" w:firstRowLastColumn="0" w:lastRowFirstColumn="0" w:lastRowLastColumn="0"/>
            </w:pPr>
            <w:r w:rsidRPr="00F44630">
              <w:t>The number of acute unplanned hospital admissions for adults with chronic ACSCs (or observation stays)</w:t>
            </w:r>
            <w:r>
              <w:t>.</w:t>
            </w:r>
          </w:p>
        </w:tc>
      </w:tr>
      <w:tr w:rsidR="00CE6476" w:rsidRPr="00F44630" w14:paraId="290AEF74" w14:textId="77777777" w:rsidTr="00B94692">
        <w:tc>
          <w:tcPr>
            <w:cnfStyle w:val="001000000000" w:firstRow="0" w:lastRow="0" w:firstColumn="1" w:lastColumn="0" w:oddVBand="0" w:evenVBand="0" w:oddHBand="0" w:evenHBand="0" w:firstRowFirstColumn="0" w:firstRowLastColumn="0" w:lastRowFirstColumn="0" w:lastRowLastColumn="0"/>
            <w:tcW w:w="2484" w:type="dxa"/>
          </w:tcPr>
          <w:p w14:paraId="1F00956B" w14:textId="77777777" w:rsidR="00CE6476" w:rsidRPr="00F44630" w:rsidRDefault="00CE6476" w:rsidP="00B94692">
            <w:r w:rsidRPr="00F44630">
              <w:t>Denominator</w:t>
            </w:r>
          </w:p>
        </w:tc>
        <w:tc>
          <w:tcPr>
            <w:tcW w:w="6860" w:type="dxa"/>
          </w:tcPr>
          <w:p w14:paraId="7470DE3E" w14:textId="77777777" w:rsidR="00CE6476" w:rsidRPr="00F44630" w:rsidRDefault="00CE6476" w:rsidP="00B94692">
            <w:pPr>
              <w:cnfStyle w:val="000000000000" w:firstRow="0" w:lastRow="0" w:firstColumn="0" w:lastColumn="0" w:oddVBand="0" w:evenVBand="0" w:oddHBand="0" w:evenHBand="0" w:firstRowFirstColumn="0" w:firstRowLastColumn="0" w:lastRowFirstColumn="0" w:lastRowLastColumn="0"/>
            </w:pPr>
            <w:r w:rsidRPr="00F44630">
              <w:t>The person-time contributed by members in the population of interest during the measurement period</w:t>
            </w:r>
            <w:r>
              <w:t>.</w:t>
            </w:r>
          </w:p>
        </w:tc>
      </w:tr>
      <w:tr w:rsidR="00CE6476" w:rsidRPr="00F44630" w14:paraId="753EBF90" w14:textId="77777777" w:rsidTr="00B94692">
        <w:tc>
          <w:tcPr>
            <w:cnfStyle w:val="001000000000" w:firstRow="0" w:lastRow="0" w:firstColumn="1" w:lastColumn="0" w:oddVBand="0" w:evenVBand="0" w:oddHBand="0" w:evenHBand="0" w:firstRowFirstColumn="0" w:firstRowLastColumn="0" w:lastRowFirstColumn="0" w:lastRowLastColumn="0"/>
            <w:tcW w:w="2484" w:type="dxa"/>
          </w:tcPr>
          <w:p w14:paraId="23910398" w14:textId="77777777" w:rsidR="00CE6476" w:rsidRPr="00F44630" w:rsidRDefault="00CE6476" w:rsidP="00B94692">
            <w:r w:rsidRPr="00F44630">
              <w:t>Data Sources</w:t>
            </w:r>
          </w:p>
        </w:tc>
        <w:tc>
          <w:tcPr>
            <w:tcW w:w="6860" w:type="dxa"/>
          </w:tcPr>
          <w:p w14:paraId="0D439884" w14:textId="77777777" w:rsidR="00CE6476" w:rsidRPr="00F44630" w:rsidRDefault="00CE6476" w:rsidP="00B94692">
            <w:pPr>
              <w:cnfStyle w:val="000000000000" w:firstRow="0" w:lastRow="0" w:firstColumn="0" w:lastColumn="0" w:oddVBand="0" w:evenVBand="0" w:oddHBand="0" w:evenHBand="0" w:firstRowFirstColumn="0" w:firstRowLastColumn="0" w:lastRowFirstColumn="0" w:lastRowLastColumn="0"/>
            </w:pPr>
            <w:r w:rsidRPr="00F44630">
              <w:t>Medicaid claims/encounters data</w:t>
            </w:r>
          </w:p>
        </w:tc>
      </w:tr>
      <w:tr w:rsidR="00CE6476" w:rsidRPr="00F44630" w14:paraId="3E896D99" w14:textId="77777777" w:rsidTr="00B94692">
        <w:tc>
          <w:tcPr>
            <w:cnfStyle w:val="001000000000" w:firstRow="0" w:lastRow="0" w:firstColumn="1" w:lastColumn="0" w:oddVBand="0" w:evenVBand="0" w:oddHBand="0" w:evenHBand="0" w:firstRowFirstColumn="0" w:firstRowLastColumn="0" w:lastRowFirstColumn="0" w:lastRowLastColumn="0"/>
            <w:tcW w:w="2484" w:type="dxa"/>
          </w:tcPr>
          <w:p w14:paraId="0347FFB0" w14:textId="77777777" w:rsidR="00CE6476" w:rsidRPr="00F44630" w:rsidRDefault="00CE6476" w:rsidP="00B94692">
            <w:r w:rsidRPr="00F44630">
              <w:t>National Benchmark</w:t>
            </w:r>
          </w:p>
        </w:tc>
        <w:tc>
          <w:tcPr>
            <w:tcW w:w="6860" w:type="dxa"/>
          </w:tcPr>
          <w:p w14:paraId="7C28A686" w14:textId="77777777" w:rsidR="00CE6476" w:rsidRPr="00F44630" w:rsidRDefault="00CE6476" w:rsidP="00B94692">
            <w:pPr>
              <w:cnfStyle w:val="000000000000" w:firstRow="0" w:lastRow="0" w:firstColumn="0" w:lastColumn="0" w:oddVBand="0" w:evenVBand="0" w:oddHBand="0" w:evenHBand="0" w:firstRowFirstColumn="0" w:firstRowLastColumn="0" w:lastRowFirstColumn="0" w:lastRowLastColumn="0"/>
            </w:pPr>
            <w:r w:rsidRPr="00F44630">
              <w:t>None</w:t>
            </w:r>
          </w:p>
        </w:tc>
      </w:tr>
    </w:tbl>
    <w:p w14:paraId="294CC750" w14:textId="77777777" w:rsidR="004A24EB" w:rsidRDefault="004A24EB" w:rsidP="009122F2">
      <w:pPr>
        <w:pStyle w:val="NoSpacing"/>
      </w:pPr>
    </w:p>
    <w:tbl>
      <w:tblPr>
        <w:tblStyle w:val="FHCclean10pt"/>
        <w:tblW w:w="0" w:type="auto"/>
        <w:tblLook w:val="04A0" w:firstRow="1" w:lastRow="0" w:firstColumn="1" w:lastColumn="0" w:noHBand="0" w:noVBand="1"/>
      </w:tblPr>
      <w:tblGrid>
        <w:gridCol w:w="2484"/>
        <w:gridCol w:w="6860"/>
      </w:tblGrid>
      <w:tr w:rsidR="00C220BF" w:rsidRPr="00F44630" w14:paraId="3992762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51901C9E" w14:textId="77777777" w:rsidR="00C220BF" w:rsidRPr="00F44630" w:rsidRDefault="00C220BF">
            <w:r w:rsidRPr="00DB3492">
              <w:t>Measure:</w:t>
            </w:r>
          </w:p>
        </w:tc>
        <w:tc>
          <w:tcPr>
            <w:tcW w:w="6860" w:type="dxa"/>
          </w:tcPr>
          <w:p w14:paraId="20A6C9A5" w14:textId="77777777" w:rsidR="00C220BF" w:rsidRPr="00F44630" w:rsidRDefault="00C220BF">
            <w:pPr>
              <w:cnfStyle w:val="100000000000" w:firstRow="1" w:lastRow="0" w:firstColumn="0" w:lastColumn="0" w:oddVBand="0" w:evenVBand="0" w:oddHBand="0" w:evenHBand="0" w:firstRowFirstColumn="0" w:firstRowLastColumn="0" w:lastRowFirstColumn="0" w:lastRowLastColumn="0"/>
            </w:pPr>
            <w:r w:rsidRPr="007443FE">
              <w:t>Hospital Admissions for Ambulatory Care Sensitive Conditions (Acute ACSCs)</w:t>
            </w:r>
          </w:p>
        </w:tc>
      </w:tr>
      <w:tr w:rsidR="00C220BF" w:rsidRPr="00F44630" w14:paraId="5685B9D4" w14:textId="77777777">
        <w:tc>
          <w:tcPr>
            <w:cnfStyle w:val="001000000000" w:firstRow="0" w:lastRow="0" w:firstColumn="1" w:lastColumn="0" w:oddVBand="0" w:evenVBand="0" w:oddHBand="0" w:evenHBand="0" w:firstRowFirstColumn="0" w:firstRowLastColumn="0" w:lastRowFirstColumn="0" w:lastRowLastColumn="0"/>
            <w:tcW w:w="2484" w:type="dxa"/>
          </w:tcPr>
          <w:p w14:paraId="42CBFE14" w14:textId="77777777" w:rsidR="00C220BF" w:rsidRPr="00110861" w:rsidRDefault="00C220BF">
            <w:r w:rsidRPr="00110861">
              <w:t>Steward:</w:t>
            </w:r>
          </w:p>
        </w:tc>
        <w:tc>
          <w:tcPr>
            <w:tcW w:w="6860" w:type="dxa"/>
          </w:tcPr>
          <w:p w14:paraId="26DF106C" w14:textId="77777777" w:rsidR="00C220BF" w:rsidRPr="00110861" w:rsidRDefault="00C220BF">
            <w:pPr>
              <w:cnfStyle w:val="000000000000" w:firstRow="0" w:lastRow="0" w:firstColumn="0" w:lastColumn="0" w:oddVBand="0" w:evenVBand="0" w:oddHBand="0" w:evenHBand="0" w:firstRowFirstColumn="0" w:firstRowLastColumn="0" w:lastRowFirstColumn="0" w:lastRowLastColumn="0"/>
            </w:pPr>
            <w:r w:rsidRPr="00110861">
              <w:t>AHRQ</w:t>
            </w:r>
          </w:p>
        </w:tc>
      </w:tr>
      <w:tr w:rsidR="00C220BF" w:rsidRPr="00F44630" w14:paraId="07BBAC6C" w14:textId="77777777">
        <w:tc>
          <w:tcPr>
            <w:cnfStyle w:val="001000000000" w:firstRow="0" w:lastRow="0" w:firstColumn="1" w:lastColumn="0" w:oddVBand="0" w:evenVBand="0" w:oddHBand="0" w:evenHBand="0" w:firstRowFirstColumn="0" w:firstRowLastColumn="0" w:lastRowFirstColumn="0" w:lastRowLastColumn="0"/>
            <w:tcW w:w="2484" w:type="dxa"/>
          </w:tcPr>
          <w:p w14:paraId="6336D580" w14:textId="77777777" w:rsidR="00C220BF" w:rsidRPr="00110861" w:rsidRDefault="00C220BF">
            <w:r w:rsidRPr="00110861">
              <w:t>NQF Endorsed:</w:t>
            </w:r>
          </w:p>
        </w:tc>
        <w:tc>
          <w:tcPr>
            <w:tcW w:w="6860" w:type="dxa"/>
          </w:tcPr>
          <w:p w14:paraId="49A98763" w14:textId="6FFBF000" w:rsidR="00C220BF" w:rsidRPr="00110861" w:rsidRDefault="00110861">
            <w:pPr>
              <w:cnfStyle w:val="000000000000" w:firstRow="0" w:lastRow="0" w:firstColumn="0" w:lastColumn="0" w:oddVBand="0" w:evenVBand="0" w:oddHBand="0" w:evenHBand="0" w:firstRowFirstColumn="0" w:firstRowLastColumn="0" w:lastRowFirstColumn="0" w:lastRowLastColumn="0"/>
            </w:pPr>
            <w:r w:rsidRPr="00110861">
              <w:t>No</w:t>
            </w:r>
          </w:p>
        </w:tc>
      </w:tr>
      <w:tr w:rsidR="00C220BF" w:rsidRPr="00F44630" w14:paraId="4D56AAB1" w14:textId="77777777">
        <w:tc>
          <w:tcPr>
            <w:cnfStyle w:val="001000000000" w:firstRow="0" w:lastRow="0" w:firstColumn="1" w:lastColumn="0" w:oddVBand="0" w:evenVBand="0" w:oddHBand="0" w:evenHBand="0" w:firstRowFirstColumn="0" w:firstRowLastColumn="0" w:lastRowFirstColumn="0" w:lastRowLastColumn="0"/>
            <w:tcW w:w="2484" w:type="dxa"/>
          </w:tcPr>
          <w:p w14:paraId="45D25B57" w14:textId="77777777" w:rsidR="00C220BF" w:rsidRPr="00F44630" w:rsidRDefault="00C220BF">
            <w:r w:rsidRPr="00F44630">
              <w:lastRenderedPageBreak/>
              <w:t>Description</w:t>
            </w:r>
          </w:p>
        </w:tc>
        <w:tc>
          <w:tcPr>
            <w:tcW w:w="6860" w:type="dxa"/>
          </w:tcPr>
          <w:p w14:paraId="3206E39C" w14:textId="6509B35F"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Rate of admissions for members with acute ACSCs</w:t>
            </w:r>
            <w:r w:rsidR="00AB223C">
              <w:t>.</w:t>
            </w:r>
          </w:p>
        </w:tc>
      </w:tr>
      <w:tr w:rsidR="00C220BF" w:rsidRPr="00F44630" w14:paraId="5A6588B5" w14:textId="77777777">
        <w:tc>
          <w:tcPr>
            <w:cnfStyle w:val="001000000000" w:firstRow="0" w:lastRow="0" w:firstColumn="1" w:lastColumn="0" w:oddVBand="0" w:evenVBand="0" w:oddHBand="0" w:evenHBand="0" w:firstRowFirstColumn="0" w:firstRowLastColumn="0" w:lastRowFirstColumn="0" w:lastRowLastColumn="0"/>
            <w:tcW w:w="2484" w:type="dxa"/>
          </w:tcPr>
          <w:p w14:paraId="10DF2C09" w14:textId="77777777" w:rsidR="00C220BF" w:rsidRPr="00F44630" w:rsidRDefault="00C220BF">
            <w:r w:rsidRPr="00F44630">
              <w:t>Numerator</w:t>
            </w:r>
          </w:p>
        </w:tc>
        <w:tc>
          <w:tcPr>
            <w:tcW w:w="6860" w:type="dxa"/>
          </w:tcPr>
          <w:p w14:paraId="5CA8FFAD" w14:textId="4A8D3AF4"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The outcome measure is the observed number of acute unplanned hospital admissions for adults with acute ACSCs (or observation stays) per 1,000-member months at risk for admissions</w:t>
            </w:r>
            <w:r w:rsidR="00AB223C">
              <w:t>.</w:t>
            </w:r>
          </w:p>
        </w:tc>
      </w:tr>
      <w:tr w:rsidR="00C220BF" w:rsidRPr="00F44630" w14:paraId="06337FFD" w14:textId="77777777">
        <w:tc>
          <w:tcPr>
            <w:cnfStyle w:val="001000000000" w:firstRow="0" w:lastRow="0" w:firstColumn="1" w:lastColumn="0" w:oddVBand="0" w:evenVBand="0" w:oddHBand="0" w:evenHBand="0" w:firstRowFirstColumn="0" w:firstRowLastColumn="0" w:lastRowFirstColumn="0" w:lastRowLastColumn="0"/>
            <w:tcW w:w="2484" w:type="dxa"/>
          </w:tcPr>
          <w:p w14:paraId="043A6113" w14:textId="77777777" w:rsidR="00C220BF" w:rsidRPr="00F44630" w:rsidRDefault="00C220BF">
            <w:r w:rsidRPr="00F44630">
              <w:t>Denominator</w:t>
            </w:r>
          </w:p>
        </w:tc>
        <w:tc>
          <w:tcPr>
            <w:tcW w:w="6860" w:type="dxa"/>
          </w:tcPr>
          <w:p w14:paraId="4EAAB6CC" w14:textId="769835E4"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The person-time contributed by members in the population of interest during the measurement period</w:t>
            </w:r>
            <w:r w:rsidR="00AB223C">
              <w:t>.</w:t>
            </w:r>
          </w:p>
        </w:tc>
      </w:tr>
      <w:tr w:rsidR="00C220BF" w:rsidRPr="00F44630" w14:paraId="19981A62" w14:textId="77777777">
        <w:tc>
          <w:tcPr>
            <w:cnfStyle w:val="001000000000" w:firstRow="0" w:lastRow="0" w:firstColumn="1" w:lastColumn="0" w:oddVBand="0" w:evenVBand="0" w:oddHBand="0" w:evenHBand="0" w:firstRowFirstColumn="0" w:firstRowLastColumn="0" w:lastRowFirstColumn="0" w:lastRowLastColumn="0"/>
            <w:tcW w:w="2484" w:type="dxa"/>
          </w:tcPr>
          <w:p w14:paraId="00C1B227" w14:textId="77777777" w:rsidR="00C220BF" w:rsidRPr="00F44630" w:rsidRDefault="00C220BF">
            <w:r w:rsidRPr="00F44630">
              <w:t>Data Sources</w:t>
            </w:r>
          </w:p>
        </w:tc>
        <w:tc>
          <w:tcPr>
            <w:tcW w:w="6860" w:type="dxa"/>
          </w:tcPr>
          <w:p w14:paraId="21DC4036"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Medicaid claims/encounters data</w:t>
            </w:r>
          </w:p>
        </w:tc>
      </w:tr>
      <w:tr w:rsidR="00C220BF" w:rsidRPr="00F44630" w14:paraId="23A09AC4" w14:textId="77777777">
        <w:tc>
          <w:tcPr>
            <w:cnfStyle w:val="001000000000" w:firstRow="0" w:lastRow="0" w:firstColumn="1" w:lastColumn="0" w:oddVBand="0" w:evenVBand="0" w:oddHBand="0" w:evenHBand="0" w:firstRowFirstColumn="0" w:firstRowLastColumn="0" w:lastRowFirstColumn="0" w:lastRowLastColumn="0"/>
            <w:tcW w:w="2484" w:type="dxa"/>
          </w:tcPr>
          <w:p w14:paraId="7B38DA82" w14:textId="77777777" w:rsidR="00C220BF" w:rsidRPr="00F44630" w:rsidRDefault="00C220BF">
            <w:r w:rsidRPr="00F44630">
              <w:t>National Benchmark</w:t>
            </w:r>
          </w:p>
        </w:tc>
        <w:tc>
          <w:tcPr>
            <w:tcW w:w="6860" w:type="dxa"/>
          </w:tcPr>
          <w:p w14:paraId="4F239890"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 xml:space="preserve">None </w:t>
            </w:r>
          </w:p>
        </w:tc>
      </w:tr>
    </w:tbl>
    <w:p w14:paraId="635E0B7F" w14:textId="77777777" w:rsidR="00C220BF" w:rsidRDefault="00C220BF" w:rsidP="009122F2">
      <w:pPr>
        <w:pStyle w:val="NoSpacing"/>
      </w:pPr>
    </w:p>
    <w:tbl>
      <w:tblPr>
        <w:tblStyle w:val="FHCclean10pt"/>
        <w:tblW w:w="0" w:type="auto"/>
        <w:tblLook w:val="04A0" w:firstRow="1" w:lastRow="0" w:firstColumn="1" w:lastColumn="0" w:noHBand="0" w:noVBand="1"/>
      </w:tblPr>
      <w:tblGrid>
        <w:gridCol w:w="2484"/>
        <w:gridCol w:w="6860"/>
      </w:tblGrid>
      <w:tr w:rsidR="00C220BF" w:rsidRPr="00F44630" w14:paraId="6A35C57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29EBED1E" w14:textId="77777777" w:rsidR="00C220BF" w:rsidRPr="00F44630" w:rsidRDefault="00C220BF">
            <w:r w:rsidRPr="00DB3492">
              <w:t>Measure:</w:t>
            </w:r>
          </w:p>
        </w:tc>
        <w:tc>
          <w:tcPr>
            <w:tcW w:w="6860" w:type="dxa"/>
          </w:tcPr>
          <w:p w14:paraId="5AF4538A" w14:textId="77777777" w:rsidR="00C220BF" w:rsidRPr="00F44630" w:rsidRDefault="00C220BF">
            <w:pPr>
              <w:cnfStyle w:val="100000000000" w:firstRow="1" w:lastRow="0" w:firstColumn="0" w:lastColumn="0" w:oddVBand="0" w:evenVBand="0" w:oddHBand="0" w:evenHBand="0" w:firstRowFirstColumn="0" w:firstRowLastColumn="0" w:lastRowFirstColumn="0" w:lastRowLastColumn="0"/>
            </w:pPr>
            <w:r w:rsidRPr="007443FE">
              <w:t>Plan All-Cause Readmissions (PCR)</w:t>
            </w:r>
          </w:p>
        </w:tc>
      </w:tr>
      <w:tr w:rsidR="00C220BF" w:rsidRPr="00F44630" w14:paraId="1A952B4C" w14:textId="77777777">
        <w:tc>
          <w:tcPr>
            <w:cnfStyle w:val="001000000000" w:firstRow="0" w:lastRow="0" w:firstColumn="1" w:lastColumn="0" w:oddVBand="0" w:evenVBand="0" w:oddHBand="0" w:evenHBand="0" w:firstRowFirstColumn="0" w:firstRowLastColumn="0" w:lastRowFirstColumn="0" w:lastRowLastColumn="0"/>
            <w:tcW w:w="2484" w:type="dxa"/>
          </w:tcPr>
          <w:p w14:paraId="2BE4B155" w14:textId="77777777" w:rsidR="00C220BF" w:rsidRPr="00F44630" w:rsidRDefault="00C220BF">
            <w:r w:rsidRPr="00DB3492">
              <w:t>Steward:</w:t>
            </w:r>
          </w:p>
        </w:tc>
        <w:tc>
          <w:tcPr>
            <w:tcW w:w="6860" w:type="dxa"/>
          </w:tcPr>
          <w:p w14:paraId="7F73DA93"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7443FE">
              <w:t>National Committee for Quality Assurance (#1768)</w:t>
            </w:r>
          </w:p>
        </w:tc>
      </w:tr>
      <w:tr w:rsidR="00C220BF" w:rsidRPr="00F44630" w14:paraId="38E99CE6" w14:textId="77777777">
        <w:tc>
          <w:tcPr>
            <w:cnfStyle w:val="001000000000" w:firstRow="0" w:lastRow="0" w:firstColumn="1" w:lastColumn="0" w:oddVBand="0" w:evenVBand="0" w:oddHBand="0" w:evenHBand="0" w:firstRowFirstColumn="0" w:firstRowLastColumn="0" w:lastRowFirstColumn="0" w:lastRowLastColumn="0"/>
            <w:tcW w:w="2484" w:type="dxa"/>
          </w:tcPr>
          <w:p w14:paraId="67AAB9AE" w14:textId="77777777" w:rsidR="00C220BF" w:rsidRPr="00F44630" w:rsidRDefault="00C220BF">
            <w:r w:rsidRPr="00DB3492">
              <w:t>NQF Endorsed:</w:t>
            </w:r>
          </w:p>
        </w:tc>
        <w:tc>
          <w:tcPr>
            <w:tcW w:w="6860" w:type="dxa"/>
          </w:tcPr>
          <w:p w14:paraId="1BA23575"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t>Endorsement Removed</w:t>
            </w:r>
          </w:p>
        </w:tc>
      </w:tr>
      <w:tr w:rsidR="00C220BF" w:rsidRPr="00F44630" w14:paraId="203F3AF5" w14:textId="77777777">
        <w:tc>
          <w:tcPr>
            <w:cnfStyle w:val="001000000000" w:firstRow="0" w:lastRow="0" w:firstColumn="1" w:lastColumn="0" w:oddVBand="0" w:evenVBand="0" w:oddHBand="0" w:evenHBand="0" w:firstRowFirstColumn="0" w:firstRowLastColumn="0" w:lastRowFirstColumn="0" w:lastRowLastColumn="0"/>
            <w:tcW w:w="2484" w:type="dxa"/>
          </w:tcPr>
          <w:p w14:paraId="753503C2" w14:textId="77777777" w:rsidR="00C220BF" w:rsidRPr="00F44630" w:rsidRDefault="00C220BF">
            <w:r w:rsidRPr="00F44630">
              <w:t>Description</w:t>
            </w:r>
          </w:p>
        </w:tc>
        <w:tc>
          <w:tcPr>
            <w:tcW w:w="6860" w:type="dxa"/>
          </w:tcPr>
          <w:p w14:paraId="0DDE3260" w14:textId="7B7F458B"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The rate of adult acute inpatient and observation stays that were followed by an unplanned acute readmission for any diagnosis within 30 days after discharge</w:t>
            </w:r>
            <w:r w:rsidR="003C5C91">
              <w:t>.</w:t>
            </w:r>
          </w:p>
        </w:tc>
      </w:tr>
      <w:tr w:rsidR="00C220BF" w:rsidRPr="00F44630" w14:paraId="36673EC2" w14:textId="77777777">
        <w:tc>
          <w:tcPr>
            <w:cnfStyle w:val="001000000000" w:firstRow="0" w:lastRow="0" w:firstColumn="1" w:lastColumn="0" w:oddVBand="0" w:evenVBand="0" w:oddHBand="0" w:evenHBand="0" w:firstRowFirstColumn="0" w:firstRowLastColumn="0" w:lastRowFirstColumn="0" w:lastRowLastColumn="0"/>
            <w:tcW w:w="2484" w:type="dxa"/>
          </w:tcPr>
          <w:p w14:paraId="34C597AE" w14:textId="77777777" w:rsidR="00C220BF" w:rsidRPr="00F44630" w:rsidRDefault="00C220BF">
            <w:r w:rsidRPr="00F44630">
              <w:t>Numerator</w:t>
            </w:r>
          </w:p>
        </w:tc>
        <w:tc>
          <w:tcPr>
            <w:tcW w:w="6860" w:type="dxa"/>
          </w:tcPr>
          <w:p w14:paraId="1B58BD6A"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At least one acute unplanned readmission for any diagnosis within 30 days of the date of discharge from the Index Hospital Stay, that is on or between the second day of the measurement year and the end of the measurement year.</w:t>
            </w:r>
          </w:p>
        </w:tc>
      </w:tr>
      <w:tr w:rsidR="00C220BF" w:rsidRPr="00F44630" w14:paraId="3F3565EA" w14:textId="77777777">
        <w:tc>
          <w:tcPr>
            <w:cnfStyle w:val="001000000000" w:firstRow="0" w:lastRow="0" w:firstColumn="1" w:lastColumn="0" w:oddVBand="0" w:evenVBand="0" w:oddHBand="0" w:evenHBand="0" w:firstRowFirstColumn="0" w:firstRowLastColumn="0" w:lastRowFirstColumn="0" w:lastRowLastColumn="0"/>
            <w:tcW w:w="2484" w:type="dxa"/>
          </w:tcPr>
          <w:p w14:paraId="31DF7B9C" w14:textId="77777777" w:rsidR="00C220BF" w:rsidRPr="00F44630" w:rsidRDefault="00C220BF">
            <w:r w:rsidRPr="00F44630">
              <w:t>Denominator</w:t>
            </w:r>
          </w:p>
        </w:tc>
        <w:tc>
          <w:tcPr>
            <w:tcW w:w="6860" w:type="dxa"/>
          </w:tcPr>
          <w:p w14:paraId="6595CF0F" w14:textId="4D53C7BF"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 xml:space="preserve">Patients 18 </w:t>
            </w:r>
            <w:r w:rsidR="003C5C91">
              <w:t xml:space="preserve">years of age </w:t>
            </w:r>
            <w:r w:rsidRPr="00F44630">
              <w:t>and older with a discharge from an acute inpatient stay (Index Hospital Stay) on or between January 1 and December 1 of the measurement year.</w:t>
            </w:r>
          </w:p>
        </w:tc>
      </w:tr>
      <w:tr w:rsidR="00C220BF" w:rsidRPr="00F44630" w14:paraId="76C2AE77" w14:textId="77777777">
        <w:tc>
          <w:tcPr>
            <w:cnfStyle w:val="001000000000" w:firstRow="0" w:lastRow="0" w:firstColumn="1" w:lastColumn="0" w:oddVBand="0" w:evenVBand="0" w:oddHBand="0" w:evenHBand="0" w:firstRowFirstColumn="0" w:firstRowLastColumn="0" w:lastRowFirstColumn="0" w:lastRowLastColumn="0"/>
            <w:tcW w:w="2484" w:type="dxa"/>
          </w:tcPr>
          <w:p w14:paraId="7E939852" w14:textId="77777777" w:rsidR="00C220BF" w:rsidRPr="00F44630" w:rsidRDefault="00C220BF">
            <w:r w:rsidRPr="00F44630">
              <w:t>Data Sources</w:t>
            </w:r>
          </w:p>
        </w:tc>
        <w:tc>
          <w:tcPr>
            <w:tcW w:w="6860" w:type="dxa"/>
          </w:tcPr>
          <w:p w14:paraId="7F478B94"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Medicaid claims/encounters data</w:t>
            </w:r>
          </w:p>
        </w:tc>
      </w:tr>
      <w:tr w:rsidR="00C220BF" w:rsidRPr="00F44630" w14:paraId="39FEDAA4" w14:textId="77777777">
        <w:tc>
          <w:tcPr>
            <w:cnfStyle w:val="001000000000" w:firstRow="0" w:lastRow="0" w:firstColumn="1" w:lastColumn="0" w:oddVBand="0" w:evenVBand="0" w:oddHBand="0" w:evenHBand="0" w:firstRowFirstColumn="0" w:firstRowLastColumn="0" w:lastRowFirstColumn="0" w:lastRowLastColumn="0"/>
            <w:tcW w:w="2484" w:type="dxa"/>
          </w:tcPr>
          <w:p w14:paraId="25ABF542" w14:textId="77777777" w:rsidR="00C220BF" w:rsidRPr="00F44630" w:rsidRDefault="00C220BF">
            <w:r w:rsidRPr="00F44630">
              <w:t>National Benchmark</w:t>
            </w:r>
          </w:p>
        </w:tc>
        <w:tc>
          <w:tcPr>
            <w:tcW w:w="6860" w:type="dxa"/>
          </w:tcPr>
          <w:p w14:paraId="50EC995A"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2021 Medicaid HMO = 10%</w:t>
            </w:r>
          </w:p>
          <w:p w14:paraId="1FC3EA43" w14:textId="4817FF8B"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 xml:space="preserve">Source: </w:t>
            </w:r>
            <w:hyperlink r:id="rId77" w:history="1">
              <w:r w:rsidR="005F5CC3" w:rsidRPr="009348BF">
                <w:rPr>
                  <w:rStyle w:val="Hyperlink"/>
                </w:rPr>
                <w:t>https://www.ncqa.org/hedis/measures/plan-all-cause-readmissions/</w:t>
              </w:r>
            </w:hyperlink>
            <w:r w:rsidR="005F5CC3">
              <w:t xml:space="preserve"> </w:t>
            </w:r>
          </w:p>
        </w:tc>
      </w:tr>
    </w:tbl>
    <w:p w14:paraId="0116984E" w14:textId="77777777" w:rsidR="00C220BF" w:rsidRDefault="00C220BF" w:rsidP="009122F2">
      <w:pPr>
        <w:pStyle w:val="NoSpacing"/>
      </w:pPr>
    </w:p>
    <w:tbl>
      <w:tblPr>
        <w:tblStyle w:val="FHCclean10pt"/>
        <w:tblW w:w="0" w:type="auto"/>
        <w:tblLook w:val="04A0" w:firstRow="1" w:lastRow="0" w:firstColumn="1" w:lastColumn="0" w:noHBand="0" w:noVBand="1"/>
      </w:tblPr>
      <w:tblGrid>
        <w:gridCol w:w="2484"/>
        <w:gridCol w:w="6860"/>
      </w:tblGrid>
      <w:tr w:rsidR="00C220BF" w:rsidRPr="00F44630" w14:paraId="380938E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5ADD89D4" w14:textId="77777777" w:rsidR="00C220BF" w:rsidRPr="00F44630" w:rsidRDefault="00C220BF">
            <w:r w:rsidRPr="00DB3492">
              <w:t>Measure:</w:t>
            </w:r>
          </w:p>
        </w:tc>
        <w:tc>
          <w:tcPr>
            <w:tcW w:w="6860" w:type="dxa"/>
          </w:tcPr>
          <w:p w14:paraId="7FFD6B45" w14:textId="77777777" w:rsidR="00C220BF" w:rsidRPr="00F44630" w:rsidRDefault="00C220BF">
            <w:pPr>
              <w:cnfStyle w:val="100000000000" w:firstRow="1" w:lastRow="0" w:firstColumn="0" w:lastColumn="0" w:oddVBand="0" w:evenVBand="0" w:oddHBand="0" w:evenHBand="0" w:firstRowFirstColumn="0" w:firstRowLastColumn="0" w:lastRowFirstColumn="0" w:lastRowLastColumn="0"/>
            </w:pPr>
            <w:r w:rsidRPr="007443FE">
              <w:t>Emergency Department Visits for Individuals with Mental Illness, Addiction, or Co-occurring Conditions</w:t>
            </w:r>
            <w:r>
              <w:br/>
            </w:r>
            <w:r w:rsidRPr="00B834ED">
              <w:t>*MassHealth ACO Quality Measure</w:t>
            </w:r>
          </w:p>
        </w:tc>
      </w:tr>
      <w:tr w:rsidR="00C220BF" w:rsidRPr="00F44630" w14:paraId="679BFDD3" w14:textId="77777777">
        <w:tc>
          <w:tcPr>
            <w:cnfStyle w:val="001000000000" w:firstRow="0" w:lastRow="0" w:firstColumn="1" w:lastColumn="0" w:oddVBand="0" w:evenVBand="0" w:oddHBand="0" w:evenHBand="0" w:firstRowFirstColumn="0" w:firstRowLastColumn="0" w:lastRowFirstColumn="0" w:lastRowLastColumn="0"/>
            <w:tcW w:w="2484" w:type="dxa"/>
          </w:tcPr>
          <w:p w14:paraId="54D8625C" w14:textId="77777777" w:rsidR="00C220BF" w:rsidRPr="00F44630" w:rsidRDefault="00C220BF">
            <w:r w:rsidRPr="00DB3492">
              <w:t>Steward:</w:t>
            </w:r>
          </w:p>
        </w:tc>
        <w:tc>
          <w:tcPr>
            <w:tcW w:w="6860" w:type="dxa"/>
          </w:tcPr>
          <w:p w14:paraId="0C4253F8"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t>MassHealth</w:t>
            </w:r>
          </w:p>
        </w:tc>
      </w:tr>
      <w:tr w:rsidR="00C220BF" w:rsidRPr="00F44630" w14:paraId="334D3034" w14:textId="77777777">
        <w:tc>
          <w:tcPr>
            <w:cnfStyle w:val="001000000000" w:firstRow="0" w:lastRow="0" w:firstColumn="1" w:lastColumn="0" w:oddVBand="0" w:evenVBand="0" w:oddHBand="0" w:evenHBand="0" w:firstRowFirstColumn="0" w:firstRowLastColumn="0" w:lastRowFirstColumn="0" w:lastRowLastColumn="0"/>
            <w:tcW w:w="2484" w:type="dxa"/>
          </w:tcPr>
          <w:p w14:paraId="66657259" w14:textId="77777777" w:rsidR="00C220BF" w:rsidRPr="00F44630" w:rsidRDefault="00C220BF">
            <w:r w:rsidRPr="00DB3492">
              <w:t>NQF Endorsed:</w:t>
            </w:r>
          </w:p>
        </w:tc>
        <w:tc>
          <w:tcPr>
            <w:tcW w:w="6860" w:type="dxa"/>
          </w:tcPr>
          <w:p w14:paraId="5CE0B358"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t>No</w:t>
            </w:r>
          </w:p>
        </w:tc>
      </w:tr>
      <w:tr w:rsidR="00C220BF" w:rsidRPr="00F44630" w14:paraId="00548C9B" w14:textId="77777777">
        <w:tc>
          <w:tcPr>
            <w:cnfStyle w:val="001000000000" w:firstRow="0" w:lastRow="0" w:firstColumn="1" w:lastColumn="0" w:oddVBand="0" w:evenVBand="0" w:oddHBand="0" w:evenHBand="0" w:firstRowFirstColumn="0" w:firstRowLastColumn="0" w:lastRowFirstColumn="0" w:lastRowLastColumn="0"/>
            <w:tcW w:w="2484" w:type="dxa"/>
          </w:tcPr>
          <w:p w14:paraId="333F10AF" w14:textId="77777777" w:rsidR="00C220BF" w:rsidRPr="00F44630" w:rsidRDefault="00C220BF">
            <w:r w:rsidRPr="00F44630">
              <w:t>Description</w:t>
            </w:r>
          </w:p>
        </w:tc>
        <w:tc>
          <w:tcPr>
            <w:tcW w:w="6860" w:type="dxa"/>
          </w:tcPr>
          <w:p w14:paraId="156FE298" w14:textId="2222D875"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 xml:space="preserve">Rate of ED visits for members 18 to 64 years of age identified with a diagnosis of </w:t>
            </w:r>
            <w:r w:rsidR="00BE35B0">
              <w:t>SMI</w:t>
            </w:r>
            <w:r w:rsidRPr="00F44630">
              <w:t xml:space="preserve"> and/or substance addiction</w:t>
            </w:r>
            <w:r w:rsidR="00FC577E">
              <w:t>.</w:t>
            </w:r>
          </w:p>
        </w:tc>
      </w:tr>
      <w:tr w:rsidR="00C220BF" w:rsidRPr="00F44630" w14:paraId="6E836B90" w14:textId="77777777">
        <w:tc>
          <w:tcPr>
            <w:cnfStyle w:val="001000000000" w:firstRow="0" w:lastRow="0" w:firstColumn="1" w:lastColumn="0" w:oddVBand="0" w:evenVBand="0" w:oddHBand="0" w:evenHBand="0" w:firstRowFirstColumn="0" w:firstRowLastColumn="0" w:lastRowFirstColumn="0" w:lastRowLastColumn="0"/>
            <w:tcW w:w="2484" w:type="dxa"/>
          </w:tcPr>
          <w:p w14:paraId="46A2D04E" w14:textId="77777777" w:rsidR="00C220BF" w:rsidRPr="00F44630" w:rsidRDefault="00C220BF">
            <w:r w:rsidRPr="00F44630">
              <w:t>Numerator</w:t>
            </w:r>
          </w:p>
        </w:tc>
        <w:tc>
          <w:tcPr>
            <w:tcW w:w="6860" w:type="dxa"/>
          </w:tcPr>
          <w:p w14:paraId="6F1E0A70" w14:textId="649E0252"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The expected number of admissions (or observation stays) for members with mental illness and/or SUD and/or co-occurring conditions when adjusting for the ACO case mix</w:t>
            </w:r>
            <w:r w:rsidR="00FC577E">
              <w:t>.</w:t>
            </w:r>
          </w:p>
        </w:tc>
      </w:tr>
      <w:tr w:rsidR="00C220BF" w:rsidRPr="00F44630" w14:paraId="11DE23C1" w14:textId="77777777">
        <w:tc>
          <w:tcPr>
            <w:cnfStyle w:val="001000000000" w:firstRow="0" w:lastRow="0" w:firstColumn="1" w:lastColumn="0" w:oddVBand="0" w:evenVBand="0" w:oddHBand="0" w:evenHBand="0" w:firstRowFirstColumn="0" w:firstRowLastColumn="0" w:lastRowFirstColumn="0" w:lastRowLastColumn="0"/>
            <w:tcW w:w="2484" w:type="dxa"/>
          </w:tcPr>
          <w:p w14:paraId="42C25D56" w14:textId="77777777" w:rsidR="00C220BF" w:rsidRPr="00F44630" w:rsidRDefault="00C220BF">
            <w:r w:rsidRPr="00F44630">
              <w:t>Denominator</w:t>
            </w:r>
          </w:p>
        </w:tc>
        <w:tc>
          <w:tcPr>
            <w:tcW w:w="6860" w:type="dxa"/>
          </w:tcPr>
          <w:p w14:paraId="358386FB" w14:textId="052293E1"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The expected number of admissions (or observation stays) for members with mental illness and/or SUD and/or co-occurring conditions when adjusting for the ACO case mix</w:t>
            </w:r>
            <w:r w:rsidR="00FC577E">
              <w:t>.</w:t>
            </w:r>
          </w:p>
        </w:tc>
      </w:tr>
      <w:tr w:rsidR="00C220BF" w:rsidRPr="00F44630" w14:paraId="50515145" w14:textId="77777777">
        <w:tc>
          <w:tcPr>
            <w:cnfStyle w:val="001000000000" w:firstRow="0" w:lastRow="0" w:firstColumn="1" w:lastColumn="0" w:oddVBand="0" w:evenVBand="0" w:oddHBand="0" w:evenHBand="0" w:firstRowFirstColumn="0" w:firstRowLastColumn="0" w:lastRowFirstColumn="0" w:lastRowLastColumn="0"/>
            <w:tcW w:w="2484" w:type="dxa"/>
          </w:tcPr>
          <w:p w14:paraId="120E4B0E" w14:textId="77777777" w:rsidR="00C220BF" w:rsidRPr="00F44630" w:rsidRDefault="00C220BF">
            <w:r w:rsidRPr="00F44630">
              <w:t>Data Sources</w:t>
            </w:r>
          </w:p>
        </w:tc>
        <w:tc>
          <w:tcPr>
            <w:tcW w:w="6860" w:type="dxa"/>
          </w:tcPr>
          <w:p w14:paraId="49620471"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Medicaid claims/encounters data</w:t>
            </w:r>
          </w:p>
        </w:tc>
      </w:tr>
      <w:tr w:rsidR="00C220BF" w:rsidRPr="00F44630" w14:paraId="4056C335" w14:textId="77777777">
        <w:tc>
          <w:tcPr>
            <w:cnfStyle w:val="001000000000" w:firstRow="0" w:lastRow="0" w:firstColumn="1" w:lastColumn="0" w:oddVBand="0" w:evenVBand="0" w:oddHBand="0" w:evenHBand="0" w:firstRowFirstColumn="0" w:firstRowLastColumn="0" w:lastRowFirstColumn="0" w:lastRowLastColumn="0"/>
            <w:tcW w:w="2484" w:type="dxa"/>
          </w:tcPr>
          <w:p w14:paraId="5AA7A552" w14:textId="77777777" w:rsidR="00C220BF" w:rsidRPr="00F44630" w:rsidRDefault="00C220BF">
            <w:r w:rsidRPr="00F44630">
              <w:t>National Benchmark</w:t>
            </w:r>
          </w:p>
        </w:tc>
        <w:tc>
          <w:tcPr>
            <w:tcW w:w="6860" w:type="dxa"/>
          </w:tcPr>
          <w:p w14:paraId="6C7E3226"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None</w:t>
            </w:r>
          </w:p>
        </w:tc>
      </w:tr>
    </w:tbl>
    <w:p w14:paraId="32320CCF" w14:textId="77777777" w:rsidR="00C220BF" w:rsidRDefault="00C220BF" w:rsidP="009122F2">
      <w:pPr>
        <w:pStyle w:val="NoSpacing"/>
      </w:pPr>
    </w:p>
    <w:p w14:paraId="44BE5C6D" w14:textId="77777777" w:rsidR="00430786" w:rsidRDefault="00430786" w:rsidP="009122F2">
      <w:pPr>
        <w:pStyle w:val="NoSpacing"/>
      </w:pPr>
    </w:p>
    <w:tbl>
      <w:tblPr>
        <w:tblStyle w:val="FHCclean10pt"/>
        <w:tblW w:w="0" w:type="auto"/>
        <w:tblLook w:val="04A0" w:firstRow="1" w:lastRow="0" w:firstColumn="1" w:lastColumn="0" w:noHBand="0" w:noVBand="1"/>
      </w:tblPr>
      <w:tblGrid>
        <w:gridCol w:w="2484"/>
        <w:gridCol w:w="6860"/>
      </w:tblGrid>
      <w:tr w:rsidR="00C220BF" w:rsidRPr="00F44630" w14:paraId="390C433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14E7DAA3" w14:textId="77777777" w:rsidR="00C220BF" w:rsidRPr="00F44630" w:rsidRDefault="00C220BF">
            <w:r w:rsidRPr="00DB3492">
              <w:lastRenderedPageBreak/>
              <w:t>Measure:</w:t>
            </w:r>
          </w:p>
        </w:tc>
        <w:tc>
          <w:tcPr>
            <w:tcW w:w="6860" w:type="dxa"/>
          </w:tcPr>
          <w:p w14:paraId="1DBB6487" w14:textId="25891EE5" w:rsidR="00C220BF" w:rsidRPr="00F44630" w:rsidRDefault="00C220BF">
            <w:pPr>
              <w:cnfStyle w:val="100000000000" w:firstRow="1" w:lastRow="0" w:firstColumn="0" w:lastColumn="0" w:oddVBand="0" w:evenVBand="0" w:oddHBand="0" w:evenHBand="0" w:firstRowFirstColumn="0" w:firstRowLastColumn="0" w:lastRowFirstColumn="0" w:lastRowLastColumn="0"/>
            </w:pPr>
            <w:r w:rsidRPr="00B834ED">
              <w:t>Emergency Department Visits</w:t>
            </w:r>
            <w:r>
              <w:br/>
            </w:r>
            <w:r w:rsidRPr="00B834ED">
              <w:t xml:space="preserve">*MassHealth ACO </w:t>
            </w:r>
            <w:r>
              <w:t>M</w:t>
            </w:r>
            <w:r w:rsidRPr="00B834ED">
              <w:t xml:space="preserve">onitoring </w:t>
            </w:r>
            <w:r>
              <w:t>M</w:t>
            </w:r>
            <w:r w:rsidRPr="00B834ED">
              <w:t>easure</w:t>
            </w:r>
          </w:p>
        </w:tc>
      </w:tr>
      <w:tr w:rsidR="00C220BF" w:rsidRPr="00F44630" w14:paraId="34B04206" w14:textId="77777777">
        <w:tc>
          <w:tcPr>
            <w:cnfStyle w:val="001000000000" w:firstRow="0" w:lastRow="0" w:firstColumn="1" w:lastColumn="0" w:oddVBand="0" w:evenVBand="0" w:oddHBand="0" w:evenHBand="0" w:firstRowFirstColumn="0" w:firstRowLastColumn="0" w:lastRowFirstColumn="0" w:lastRowLastColumn="0"/>
            <w:tcW w:w="2484" w:type="dxa"/>
          </w:tcPr>
          <w:p w14:paraId="267A98D4" w14:textId="77777777" w:rsidR="00C220BF" w:rsidRPr="00F44630" w:rsidRDefault="00C220BF">
            <w:r w:rsidRPr="00DB3492">
              <w:t>Steward:</w:t>
            </w:r>
          </w:p>
        </w:tc>
        <w:tc>
          <w:tcPr>
            <w:tcW w:w="6860" w:type="dxa"/>
          </w:tcPr>
          <w:p w14:paraId="4845B151"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B834ED">
              <w:t>National Committee for Quality Assurance</w:t>
            </w:r>
          </w:p>
        </w:tc>
      </w:tr>
      <w:tr w:rsidR="00C220BF" w:rsidRPr="003169FF" w14:paraId="12E558A1" w14:textId="77777777">
        <w:tc>
          <w:tcPr>
            <w:cnfStyle w:val="001000000000" w:firstRow="0" w:lastRow="0" w:firstColumn="1" w:lastColumn="0" w:oddVBand="0" w:evenVBand="0" w:oddHBand="0" w:evenHBand="0" w:firstRowFirstColumn="0" w:firstRowLastColumn="0" w:lastRowFirstColumn="0" w:lastRowLastColumn="0"/>
            <w:tcW w:w="2484" w:type="dxa"/>
          </w:tcPr>
          <w:p w14:paraId="68E1B299" w14:textId="77777777" w:rsidR="00C220BF" w:rsidRPr="003169FF" w:rsidRDefault="00C220BF">
            <w:r w:rsidRPr="003169FF">
              <w:t>NQF Endorsed:</w:t>
            </w:r>
          </w:p>
        </w:tc>
        <w:tc>
          <w:tcPr>
            <w:tcW w:w="6860" w:type="dxa"/>
          </w:tcPr>
          <w:p w14:paraId="358D904B" w14:textId="311A9D39" w:rsidR="00C220BF" w:rsidRPr="003169FF" w:rsidRDefault="003169FF">
            <w:pPr>
              <w:cnfStyle w:val="000000000000" w:firstRow="0" w:lastRow="0" w:firstColumn="0" w:lastColumn="0" w:oddVBand="0" w:evenVBand="0" w:oddHBand="0" w:evenHBand="0" w:firstRowFirstColumn="0" w:firstRowLastColumn="0" w:lastRowFirstColumn="0" w:lastRowLastColumn="0"/>
            </w:pPr>
            <w:r w:rsidRPr="003169FF">
              <w:t>No</w:t>
            </w:r>
          </w:p>
        </w:tc>
      </w:tr>
      <w:tr w:rsidR="00C220BF" w:rsidRPr="003169FF" w14:paraId="6FCAF7E5" w14:textId="77777777">
        <w:tc>
          <w:tcPr>
            <w:cnfStyle w:val="001000000000" w:firstRow="0" w:lastRow="0" w:firstColumn="1" w:lastColumn="0" w:oddVBand="0" w:evenVBand="0" w:oddHBand="0" w:evenHBand="0" w:firstRowFirstColumn="0" w:firstRowLastColumn="0" w:lastRowFirstColumn="0" w:lastRowLastColumn="0"/>
            <w:tcW w:w="2484" w:type="dxa"/>
          </w:tcPr>
          <w:p w14:paraId="0385C1A1" w14:textId="77777777" w:rsidR="00C220BF" w:rsidRPr="003169FF" w:rsidRDefault="00C220BF">
            <w:r w:rsidRPr="003169FF">
              <w:t>Description</w:t>
            </w:r>
          </w:p>
        </w:tc>
        <w:tc>
          <w:tcPr>
            <w:tcW w:w="6860" w:type="dxa"/>
          </w:tcPr>
          <w:p w14:paraId="3D61E640" w14:textId="74ECC770" w:rsidR="00C220BF" w:rsidRPr="003169FF" w:rsidRDefault="00C220BF">
            <w:pPr>
              <w:cnfStyle w:val="000000000000" w:firstRow="0" w:lastRow="0" w:firstColumn="0" w:lastColumn="0" w:oddVBand="0" w:evenVBand="0" w:oddHBand="0" w:evenHBand="0" w:firstRowFirstColumn="0" w:firstRowLastColumn="0" w:lastRowFirstColumn="0" w:lastRowLastColumn="0"/>
            </w:pPr>
            <w:r w:rsidRPr="003169FF">
              <w:t>Rate of ED visits per 1,000 beneficiary months among children up to 19</w:t>
            </w:r>
            <w:r w:rsidR="00FC577E" w:rsidRPr="003169FF">
              <w:t xml:space="preserve"> years of age.</w:t>
            </w:r>
          </w:p>
        </w:tc>
      </w:tr>
      <w:tr w:rsidR="00C220BF" w:rsidRPr="003169FF" w14:paraId="33CADB54" w14:textId="77777777">
        <w:tc>
          <w:tcPr>
            <w:cnfStyle w:val="001000000000" w:firstRow="0" w:lastRow="0" w:firstColumn="1" w:lastColumn="0" w:oddVBand="0" w:evenVBand="0" w:oddHBand="0" w:evenHBand="0" w:firstRowFirstColumn="0" w:firstRowLastColumn="0" w:lastRowFirstColumn="0" w:lastRowLastColumn="0"/>
            <w:tcW w:w="2484" w:type="dxa"/>
          </w:tcPr>
          <w:p w14:paraId="5894F371" w14:textId="77777777" w:rsidR="00C220BF" w:rsidRPr="003169FF" w:rsidRDefault="00C220BF">
            <w:r w:rsidRPr="003169FF">
              <w:t>Numerator</w:t>
            </w:r>
          </w:p>
        </w:tc>
        <w:tc>
          <w:tcPr>
            <w:tcW w:w="6860" w:type="dxa"/>
          </w:tcPr>
          <w:p w14:paraId="654C1B94" w14:textId="72E08D79" w:rsidR="00C220BF" w:rsidRPr="003169FF" w:rsidRDefault="00C220BF">
            <w:pPr>
              <w:cnfStyle w:val="000000000000" w:firstRow="0" w:lastRow="0" w:firstColumn="0" w:lastColumn="0" w:oddVBand="0" w:evenVBand="0" w:oddHBand="0" w:evenHBand="0" w:firstRowFirstColumn="0" w:firstRowLastColumn="0" w:lastRowFirstColumn="0" w:lastRowLastColumn="0"/>
            </w:pPr>
            <w:r w:rsidRPr="003169FF">
              <w:t xml:space="preserve">Total number of children up to 19 </w:t>
            </w:r>
            <w:r w:rsidR="00FC577E" w:rsidRPr="003169FF">
              <w:t xml:space="preserve">years of age </w:t>
            </w:r>
            <w:r w:rsidRPr="003169FF">
              <w:t>who had at least one ED service</w:t>
            </w:r>
            <w:r w:rsidR="00FC577E" w:rsidRPr="003169FF">
              <w:t>.</w:t>
            </w:r>
          </w:p>
        </w:tc>
      </w:tr>
      <w:tr w:rsidR="00C220BF" w:rsidRPr="003169FF" w14:paraId="46554167" w14:textId="77777777">
        <w:tc>
          <w:tcPr>
            <w:cnfStyle w:val="001000000000" w:firstRow="0" w:lastRow="0" w:firstColumn="1" w:lastColumn="0" w:oddVBand="0" w:evenVBand="0" w:oddHBand="0" w:evenHBand="0" w:firstRowFirstColumn="0" w:firstRowLastColumn="0" w:lastRowFirstColumn="0" w:lastRowLastColumn="0"/>
            <w:tcW w:w="2484" w:type="dxa"/>
          </w:tcPr>
          <w:p w14:paraId="084CE1D6" w14:textId="77777777" w:rsidR="00C220BF" w:rsidRPr="003169FF" w:rsidRDefault="00C220BF">
            <w:r w:rsidRPr="003169FF">
              <w:t>Denominator</w:t>
            </w:r>
          </w:p>
        </w:tc>
        <w:tc>
          <w:tcPr>
            <w:tcW w:w="6860" w:type="dxa"/>
          </w:tcPr>
          <w:p w14:paraId="08808AB0" w14:textId="2BA05A30" w:rsidR="00C220BF" w:rsidRPr="003169FF" w:rsidRDefault="00C220BF">
            <w:pPr>
              <w:cnfStyle w:val="000000000000" w:firstRow="0" w:lastRow="0" w:firstColumn="0" w:lastColumn="0" w:oddVBand="0" w:evenVBand="0" w:oddHBand="0" w:evenHBand="0" w:firstRowFirstColumn="0" w:firstRowLastColumn="0" w:lastRowFirstColumn="0" w:lastRowLastColumn="0"/>
            </w:pPr>
            <w:r w:rsidRPr="003169FF">
              <w:t>1,000 member months among members up to 19 years of age</w:t>
            </w:r>
            <w:r w:rsidR="00C826D3" w:rsidRPr="003169FF">
              <w:t>.</w:t>
            </w:r>
          </w:p>
        </w:tc>
      </w:tr>
      <w:tr w:rsidR="00C220BF" w:rsidRPr="003169FF" w14:paraId="55A2371D" w14:textId="77777777">
        <w:tc>
          <w:tcPr>
            <w:cnfStyle w:val="001000000000" w:firstRow="0" w:lastRow="0" w:firstColumn="1" w:lastColumn="0" w:oddVBand="0" w:evenVBand="0" w:oddHBand="0" w:evenHBand="0" w:firstRowFirstColumn="0" w:firstRowLastColumn="0" w:lastRowFirstColumn="0" w:lastRowLastColumn="0"/>
            <w:tcW w:w="2484" w:type="dxa"/>
          </w:tcPr>
          <w:p w14:paraId="4FBAE07D" w14:textId="77777777" w:rsidR="00C220BF" w:rsidRPr="003169FF" w:rsidRDefault="00C220BF">
            <w:r w:rsidRPr="003169FF">
              <w:t>Data Sources</w:t>
            </w:r>
          </w:p>
        </w:tc>
        <w:tc>
          <w:tcPr>
            <w:tcW w:w="6860" w:type="dxa"/>
          </w:tcPr>
          <w:p w14:paraId="4F42ED9B" w14:textId="77777777" w:rsidR="00C220BF" w:rsidRPr="003169FF" w:rsidRDefault="00C220BF">
            <w:pPr>
              <w:cnfStyle w:val="000000000000" w:firstRow="0" w:lastRow="0" w:firstColumn="0" w:lastColumn="0" w:oddVBand="0" w:evenVBand="0" w:oddHBand="0" w:evenHBand="0" w:firstRowFirstColumn="0" w:firstRowLastColumn="0" w:lastRowFirstColumn="0" w:lastRowLastColumn="0"/>
            </w:pPr>
            <w:r w:rsidRPr="003169FF">
              <w:t>Medicaid claims/encounters data</w:t>
            </w:r>
          </w:p>
        </w:tc>
      </w:tr>
      <w:tr w:rsidR="00C220BF" w:rsidRPr="003169FF" w14:paraId="6A95784F" w14:textId="77777777">
        <w:tc>
          <w:tcPr>
            <w:cnfStyle w:val="001000000000" w:firstRow="0" w:lastRow="0" w:firstColumn="1" w:lastColumn="0" w:oddVBand="0" w:evenVBand="0" w:oddHBand="0" w:evenHBand="0" w:firstRowFirstColumn="0" w:firstRowLastColumn="0" w:lastRowFirstColumn="0" w:lastRowLastColumn="0"/>
            <w:tcW w:w="2484" w:type="dxa"/>
          </w:tcPr>
          <w:p w14:paraId="4B292B47" w14:textId="77777777" w:rsidR="00C220BF" w:rsidRPr="003169FF" w:rsidRDefault="00C220BF">
            <w:r w:rsidRPr="003169FF">
              <w:t>National Benchmark</w:t>
            </w:r>
          </w:p>
        </w:tc>
        <w:tc>
          <w:tcPr>
            <w:tcW w:w="6860" w:type="dxa"/>
          </w:tcPr>
          <w:p w14:paraId="056E112C" w14:textId="77777777" w:rsidR="00C220BF" w:rsidRPr="003169FF" w:rsidRDefault="00C220BF">
            <w:pPr>
              <w:cnfStyle w:val="000000000000" w:firstRow="0" w:lastRow="0" w:firstColumn="0" w:lastColumn="0" w:oddVBand="0" w:evenVBand="0" w:oddHBand="0" w:evenHBand="0" w:firstRowFirstColumn="0" w:firstRowLastColumn="0" w:lastRowFirstColumn="0" w:lastRowLastColumn="0"/>
            </w:pPr>
            <w:r w:rsidRPr="003169FF">
              <w:t>None</w:t>
            </w:r>
          </w:p>
        </w:tc>
      </w:tr>
    </w:tbl>
    <w:p w14:paraId="033558CD" w14:textId="77777777" w:rsidR="00C220BF" w:rsidRPr="003169FF" w:rsidRDefault="00C220BF" w:rsidP="009122F2">
      <w:pPr>
        <w:pStyle w:val="NoSpacing"/>
      </w:pPr>
    </w:p>
    <w:tbl>
      <w:tblPr>
        <w:tblStyle w:val="FHCclean10pt"/>
        <w:tblW w:w="0" w:type="auto"/>
        <w:tblLook w:val="04A0" w:firstRow="1" w:lastRow="0" w:firstColumn="1" w:lastColumn="0" w:noHBand="0" w:noVBand="1"/>
      </w:tblPr>
      <w:tblGrid>
        <w:gridCol w:w="2484"/>
        <w:gridCol w:w="6860"/>
      </w:tblGrid>
      <w:tr w:rsidR="00C220BF" w:rsidRPr="003169FF" w14:paraId="1451894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309C6BBE" w14:textId="77777777" w:rsidR="00C220BF" w:rsidRPr="003169FF" w:rsidRDefault="00C220BF">
            <w:r w:rsidRPr="003169FF">
              <w:t>Measure:</w:t>
            </w:r>
          </w:p>
        </w:tc>
        <w:tc>
          <w:tcPr>
            <w:tcW w:w="6860" w:type="dxa"/>
          </w:tcPr>
          <w:p w14:paraId="7BDE2580" w14:textId="41B0A766" w:rsidR="00C220BF" w:rsidRPr="003169FF" w:rsidRDefault="00C220BF">
            <w:pPr>
              <w:cnfStyle w:val="100000000000" w:firstRow="1" w:lastRow="0" w:firstColumn="0" w:lastColumn="0" w:oddVBand="0" w:evenVBand="0" w:oddHBand="0" w:evenHBand="0" w:firstRowFirstColumn="0" w:firstRowLastColumn="0" w:lastRowFirstColumn="0" w:lastRowLastColumn="0"/>
            </w:pPr>
            <w:r w:rsidRPr="003169FF">
              <w:t>Hospital Admissions for Adults with Mental Illness and/or Substance Addiction</w:t>
            </w:r>
          </w:p>
        </w:tc>
      </w:tr>
      <w:tr w:rsidR="00C220BF" w:rsidRPr="003169FF" w14:paraId="37C44D7D" w14:textId="77777777">
        <w:tc>
          <w:tcPr>
            <w:cnfStyle w:val="001000000000" w:firstRow="0" w:lastRow="0" w:firstColumn="1" w:lastColumn="0" w:oddVBand="0" w:evenVBand="0" w:oddHBand="0" w:evenHBand="0" w:firstRowFirstColumn="0" w:firstRowLastColumn="0" w:lastRowFirstColumn="0" w:lastRowLastColumn="0"/>
            <w:tcW w:w="2484" w:type="dxa"/>
          </w:tcPr>
          <w:p w14:paraId="170D14BC" w14:textId="77777777" w:rsidR="00C220BF" w:rsidRPr="003169FF" w:rsidRDefault="00C220BF">
            <w:r w:rsidRPr="003169FF">
              <w:t>Steward:</w:t>
            </w:r>
          </w:p>
        </w:tc>
        <w:tc>
          <w:tcPr>
            <w:tcW w:w="6860" w:type="dxa"/>
          </w:tcPr>
          <w:p w14:paraId="6BE127E4" w14:textId="487B34CF" w:rsidR="00C220BF" w:rsidRPr="003169FF" w:rsidRDefault="003169FF">
            <w:pPr>
              <w:cnfStyle w:val="000000000000" w:firstRow="0" w:lastRow="0" w:firstColumn="0" w:lastColumn="0" w:oddVBand="0" w:evenVBand="0" w:oddHBand="0" w:evenHBand="0" w:firstRowFirstColumn="0" w:firstRowLastColumn="0" w:lastRowFirstColumn="0" w:lastRowLastColumn="0"/>
            </w:pPr>
            <w:r w:rsidRPr="003169FF">
              <w:t>None</w:t>
            </w:r>
          </w:p>
        </w:tc>
      </w:tr>
      <w:tr w:rsidR="00C220BF" w:rsidRPr="00F44630" w14:paraId="0F1BDC89" w14:textId="77777777">
        <w:tc>
          <w:tcPr>
            <w:cnfStyle w:val="001000000000" w:firstRow="0" w:lastRow="0" w:firstColumn="1" w:lastColumn="0" w:oddVBand="0" w:evenVBand="0" w:oddHBand="0" w:evenHBand="0" w:firstRowFirstColumn="0" w:firstRowLastColumn="0" w:lastRowFirstColumn="0" w:lastRowLastColumn="0"/>
            <w:tcW w:w="2484" w:type="dxa"/>
          </w:tcPr>
          <w:p w14:paraId="00DD9166" w14:textId="77777777" w:rsidR="00C220BF" w:rsidRPr="003169FF" w:rsidRDefault="00C220BF">
            <w:r w:rsidRPr="003169FF">
              <w:t>NQF Endorsed:</w:t>
            </w:r>
          </w:p>
        </w:tc>
        <w:tc>
          <w:tcPr>
            <w:tcW w:w="6860" w:type="dxa"/>
          </w:tcPr>
          <w:p w14:paraId="4F1FB97D"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3169FF">
              <w:t>No</w:t>
            </w:r>
          </w:p>
        </w:tc>
      </w:tr>
      <w:tr w:rsidR="00C220BF" w:rsidRPr="00F44630" w14:paraId="174BE999" w14:textId="77777777">
        <w:tc>
          <w:tcPr>
            <w:cnfStyle w:val="001000000000" w:firstRow="0" w:lastRow="0" w:firstColumn="1" w:lastColumn="0" w:oddVBand="0" w:evenVBand="0" w:oddHBand="0" w:evenHBand="0" w:firstRowFirstColumn="0" w:firstRowLastColumn="0" w:lastRowFirstColumn="0" w:lastRowLastColumn="0"/>
            <w:tcW w:w="2484" w:type="dxa"/>
          </w:tcPr>
          <w:p w14:paraId="3AE836D5" w14:textId="77777777" w:rsidR="00C220BF" w:rsidRPr="00F44630" w:rsidRDefault="00C220BF">
            <w:r w:rsidRPr="00F44630">
              <w:t>Description</w:t>
            </w:r>
          </w:p>
        </w:tc>
        <w:tc>
          <w:tcPr>
            <w:tcW w:w="6860" w:type="dxa"/>
          </w:tcPr>
          <w:p w14:paraId="798C52A8" w14:textId="3112C43B"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 xml:space="preserve">Rate of acute hospital admissions (or observation stays) for members 18 to 64 years of age identified with a diagnosis of </w:t>
            </w:r>
            <w:r w:rsidR="00BE35B0">
              <w:t>SMI</w:t>
            </w:r>
            <w:r w:rsidRPr="00F44630">
              <w:t xml:space="preserve"> and/or substance addiction</w:t>
            </w:r>
            <w:r w:rsidR="00C826D3">
              <w:t>.</w:t>
            </w:r>
          </w:p>
        </w:tc>
      </w:tr>
      <w:tr w:rsidR="00C220BF" w:rsidRPr="00F44630" w14:paraId="504954C2" w14:textId="77777777">
        <w:tc>
          <w:tcPr>
            <w:cnfStyle w:val="001000000000" w:firstRow="0" w:lastRow="0" w:firstColumn="1" w:lastColumn="0" w:oddVBand="0" w:evenVBand="0" w:oddHBand="0" w:evenHBand="0" w:firstRowFirstColumn="0" w:firstRowLastColumn="0" w:lastRowFirstColumn="0" w:lastRowLastColumn="0"/>
            <w:tcW w:w="2484" w:type="dxa"/>
          </w:tcPr>
          <w:p w14:paraId="564D6214" w14:textId="77777777" w:rsidR="00C220BF" w:rsidRPr="00F44630" w:rsidRDefault="00C220BF">
            <w:r w:rsidRPr="00F44630">
              <w:t>Numerator</w:t>
            </w:r>
          </w:p>
        </w:tc>
        <w:tc>
          <w:tcPr>
            <w:tcW w:w="6860" w:type="dxa"/>
          </w:tcPr>
          <w:p w14:paraId="71B88EC0" w14:textId="37FECC8C"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The number of hospital admissions for adults with SMI and/or SUD</w:t>
            </w:r>
            <w:r w:rsidR="00C826D3">
              <w:t>.</w:t>
            </w:r>
          </w:p>
        </w:tc>
      </w:tr>
      <w:tr w:rsidR="00C220BF" w:rsidRPr="00F44630" w14:paraId="2336FDCB" w14:textId="77777777">
        <w:tc>
          <w:tcPr>
            <w:cnfStyle w:val="001000000000" w:firstRow="0" w:lastRow="0" w:firstColumn="1" w:lastColumn="0" w:oddVBand="0" w:evenVBand="0" w:oddHBand="0" w:evenHBand="0" w:firstRowFirstColumn="0" w:firstRowLastColumn="0" w:lastRowFirstColumn="0" w:lastRowLastColumn="0"/>
            <w:tcW w:w="2484" w:type="dxa"/>
          </w:tcPr>
          <w:p w14:paraId="28457DCE" w14:textId="77777777" w:rsidR="00C220BF" w:rsidRPr="00F44630" w:rsidRDefault="00C220BF">
            <w:r w:rsidRPr="00F44630">
              <w:t>Denominator</w:t>
            </w:r>
          </w:p>
        </w:tc>
        <w:tc>
          <w:tcPr>
            <w:tcW w:w="6860" w:type="dxa"/>
          </w:tcPr>
          <w:p w14:paraId="0CF80DD3" w14:textId="19E5209B"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The person-time contributed by members in the population of interest during the measurement period</w:t>
            </w:r>
            <w:r w:rsidR="00C826D3">
              <w:t>.</w:t>
            </w:r>
          </w:p>
        </w:tc>
      </w:tr>
      <w:tr w:rsidR="00C220BF" w:rsidRPr="00F44630" w14:paraId="74157726" w14:textId="77777777">
        <w:tc>
          <w:tcPr>
            <w:cnfStyle w:val="001000000000" w:firstRow="0" w:lastRow="0" w:firstColumn="1" w:lastColumn="0" w:oddVBand="0" w:evenVBand="0" w:oddHBand="0" w:evenHBand="0" w:firstRowFirstColumn="0" w:firstRowLastColumn="0" w:lastRowFirstColumn="0" w:lastRowLastColumn="0"/>
            <w:tcW w:w="2484" w:type="dxa"/>
          </w:tcPr>
          <w:p w14:paraId="0FB319AF" w14:textId="77777777" w:rsidR="00C220BF" w:rsidRPr="00F44630" w:rsidRDefault="00C220BF">
            <w:r w:rsidRPr="00F44630">
              <w:t>Data Sources</w:t>
            </w:r>
          </w:p>
        </w:tc>
        <w:tc>
          <w:tcPr>
            <w:tcW w:w="6860" w:type="dxa"/>
          </w:tcPr>
          <w:p w14:paraId="64ED063E"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Medicaid claims/encounters data</w:t>
            </w:r>
          </w:p>
        </w:tc>
      </w:tr>
      <w:tr w:rsidR="00C220BF" w:rsidRPr="00F44630" w14:paraId="54F832EB" w14:textId="77777777">
        <w:trPr>
          <w:trHeight w:val="251"/>
        </w:trPr>
        <w:tc>
          <w:tcPr>
            <w:cnfStyle w:val="001000000000" w:firstRow="0" w:lastRow="0" w:firstColumn="1" w:lastColumn="0" w:oddVBand="0" w:evenVBand="0" w:oddHBand="0" w:evenHBand="0" w:firstRowFirstColumn="0" w:firstRowLastColumn="0" w:lastRowFirstColumn="0" w:lastRowLastColumn="0"/>
            <w:tcW w:w="2484" w:type="dxa"/>
          </w:tcPr>
          <w:p w14:paraId="7688EBF4" w14:textId="77777777" w:rsidR="00C220BF" w:rsidRPr="00F44630" w:rsidRDefault="00C220BF">
            <w:r w:rsidRPr="00F44630">
              <w:t>National Benchmark</w:t>
            </w:r>
          </w:p>
        </w:tc>
        <w:tc>
          <w:tcPr>
            <w:tcW w:w="6860" w:type="dxa"/>
          </w:tcPr>
          <w:p w14:paraId="7DD0F948"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None</w:t>
            </w:r>
          </w:p>
        </w:tc>
      </w:tr>
    </w:tbl>
    <w:p w14:paraId="50C653A3" w14:textId="77777777" w:rsidR="00C220BF" w:rsidRDefault="00C220BF" w:rsidP="009122F2">
      <w:pPr>
        <w:pStyle w:val="NoSpacing"/>
      </w:pPr>
    </w:p>
    <w:tbl>
      <w:tblPr>
        <w:tblStyle w:val="FHCclean10pt"/>
        <w:tblW w:w="0" w:type="auto"/>
        <w:tblLook w:val="04A0" w:firstRow="1" w:lastRow="0" w:firstColumn="1" w:lastColumn="0" w:noHBand="0" w:noVBand="1"/>
      </w:tblPr>
      <w:tblGrid>
        <w:gridCol w:w="2484"/>
        <w:gridCol w:w="6860"/>
      </w:tblGrid>
      <w:tr w:rsidR="00C220BF" w:rsidRPr="00F44630" w14:paraId="50FEB5C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63836E20" w14:textId="77777777" w:rsidR="00C220BF" w:rsidRPr="00F44630" w:rsidRDefault="00C220BF">
            <w:r w:rsidRPr="00DB3492">
              <w:t>Measure:</w:t>
            </w:r>
          </w:p>
        </w:tc>
        <w:tc>
          <w:tcPr>
            <w:tcW w:w="6860" w:type="dxa"/>
          </w:tcPr>
          <w:p w14:paraId="4424C0A1" w14:textId="3164AD86" w:rsidR="00C220BF" w:rsidRPr="00F44630" w:rsidRDefault="00C220BF">
            <w:pPr>
              <w:cnfStyle w:val="100000000000" w:firstRow="1" w:lastRow="0" w:firstColumn="0" w:lastColumn="0" w:oddVBand="0" w:evenVBand="0" w:oddHBand="0" w:evenHBand="0" w:firstRowFirstColumn="0" w:firstRowLastColumn="0" w:lastRowFirstColumn="0" w:lastRowLastColumn="0"/>
            </w:pPr>
            <w:bookmarkStart w:id="291" w:name="_Hlk151293834"/>
            <w:r w:rsidRPr="00B834ED">
              <w:t xml:space="preserve">Total Cost of Care (All Covered Services) </w:t>
            </w:r>
            <w:r>
              <w:t>B</w:t>
            </w:r>
            <w:r w:rsidRPr="00B834ED">
              <w:t xml:space="preserve">roken </w:t>
            </w:r>
            <w:r>
              <w:t>D</w:t>
            </w:r>
            <w:r w:rsidRPr="00B834ED">
              <w:t xml:space="preserve">own by </w:t>
            </w:r>
            <w:r>
              <w:t>I</w:t>
            </w:r>
            <w:r w:rsidRPr="00B834ED">
              <w:t xml:space="preserve">ndividuals with </w:t>
            </w:r>
            <w:r>
              <w:t>A</w:t>
            </w:r>
            <w:r w:rsidRPr="00B834ED">
              <w:t xml:space="preserve">ny SUD-related </w:t>
            </w:r>
            <w:r>
              <w:t>D</w:t>
            </w:r>
            <w:r w:rsidRPr="00B834ED">
              <w:t xml:space="preserve">iagnosis, OUD </w:t>
            </w:r>
            <w:r>
              <w:t>D</w:t>
            </w:r>
            <w:r w:rsidRPr="00B834ED">
              <w:t xml:space="preserve">iagnosis, or SMI/SED </w:t>
            </w:r>
            <w:r>
              <w:t>D</w:t>
            </w:r>
            <w:r w:rsidRPr="00B834ED">
              <w:t>iagnosis</w:t>
            </w:r>
            <w:bookmarkEnd w:id="291"/>
          </w:p>
        </w:tc>
      </w:tr>
      <w:tr w:rsidR="00C220BF" w:rsidRPr="00F44630" w14:paraId="26C562E0" w14:textId="77777777">
        <w:tc>
          <w:tcPr>
            <w:cnfStyle w:val="001000000000" w:firstRow="0" w:lastRow="0" w:firstColumn="1" w:lastColumn="0" w:oddVBand="0" w:evenVBand="0" w:oddHBand="0" w:evenHBand="0" w:firstRowFirstColumn="0" w:firstRowLastColumn="0" w:lastRowFirstColumn="0" w:lastRowLastColumn="0"/>
            <w:tcW w:w="2484" w:type="dxa"/>
          </w:tcPr>
          <w:p w14:paraId="568FA213" w14:textId="77777777" w:rsidR="00C220BF" w:rsidRPr="00F44630" w:rsidRDefault="00C220BF">
            <w:r w:rsidRPr="00DB3492">
              <w:t>Steward:</w:t>
            </w:r>
          </w:p>
        </w:tc>
        <w:tc>
          <w:tcPr>
            <w:tcW w:w="6860" w:type="dxa"/>
          </w:tcPr>
          <w:p w14:paraId="5F49A17F"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t>None</w:t>
            </w:r>
          </w:p>
        </w:tc>
      </w:tr>
      <w:tr w:rsidR="00C220BF" w:rsidRPr="00F44630" w14:paraId="75C9B119" w14:textId="77777777">
        <w:tc>
          <w:tcPr>
            <w:cnfStyle w:val="001000000000" w:firstRow="0" w:lastRow="0" w:firstColumn="1" w:lastColumn="0" w:oddVBand="0" w:evenVBand="0" w:oddHBand="0" w:evenHBand="0" w:firstRowFirstColumn="0" w:firstRowLastColumn="0" w:lastRowFirstColumn="0" w:lastRowLastColumn="0"/>
            <w:tcW w:w="2484" w:type="dxa"/>
          </w:tcPr>
          <w:p w14:paraId="7D6EE7C4" w14:textId="77777777" w:rsidR="00C220BF" w:rsidRPr="00F44630" w:rsidRDefault="00C220BF">
            <w:r w:rsidRPr="00DB3492">
              <w:t>NQF Endorsed:</w:t>
            </w:r>
          </w:p>
        </w:tc>
        <w:tc>
          <w:tcPr>
            <w:tcW w:w="6860" w:type="dxa"/>
          </w:tcPr>
          <w:p w14:paraId="22BE337B"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t>No</w:t>
            </w:r>
          </w:p>
        </w:tc>
      </w:tr>
      <w:tr w:rsidR="00C220BF" w:rsidRPr="00F44630" w14:paraId="65A9C6E4" w14:textId="77777777">
        <w:tc>
          <w:tcPr>
            <w:cnfStyle w:val="001000000000" w:firstRow="0" w:lastRow="0" w:firstColumn="1" w:lastColumn="0" w:oddVBand="0" w:evenVBand="0" w:oddHBand="0" w:evenHBand="0" w:firstRowFirstColumn="0" w:firstRowLastColumn="0" w:lastRowFirstColumn="0" w:lastRowLastColumn="0"/>
            <w:tcW w:w="2484" w:type="dxa"/>
          </w:tcPr>
          <w:p w14:paraId="559C0DDB" w14:textId="77777777" w:rsidR="00C220BF" w:rsidRPr="00F44630" w:rsidRDefault="00C220BF">
            <w:r w:rsidRPr="00F44630">
              <w:t>Description</w:t>
            </w:r>
          </w:p>
        </w:tc>
        <w:tc>
          <w:tcPr>
            <w:tcW w:w="6860" w:type="dxa"/>
          </w:tcPr>
          <w:p w14:paraId="5ECC7B79" w14:textId="30278701"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Costs of all MassHealth covered services</w:t>
            </w:r>
            <w:r w:rsidR="00C826D3">
              <w:t>.</w:t>
            </w:r>
            <w:r w:rsidRPr="00F44630">
              <w:t xml:space="preserve"> </w:t>
            </w:r>
          </w:p>
        </w:tc>
      </w:tr>
      <w:tr w:rsidR="00C220BF" w:rsidRPr="00F44630" w14:paraId="0ADA6DA0" w14:textId="77777777">
        <w:tc>
          <w:tcPr>
            <w:cnfStyle w:val="001000000000" w:firstRow="0" w:lastRow="0" w:firstColumn="1" w:lastColumn="0" w:oddVBand="0" w:evenVBand="0" w:oddHBand="0" w:evenHBand="0" w:firstRowFirstColumn="0" w:firstRowLastColumn="0" w:lastRowFirstColumn="0" w:lastRowLastColumn="0"/>
            <w:tcW w:w="2484" w:type="dxa"/>
          </w:tcPr>
          <w:p w14:paraId="3D401549" w14:textId="77777777" w:rsidR="00C220BF" w:rsidRPr="00F44630" w:rsidRDefault="00C220BF">
            <w:r w:rsidRPr="00F44630">
              <w:t>Numerator</w:t>
            </w:r>
          </w:p>
        </w:tc>
        <w:tc>
          <w:tcPr>
            <w:tcW w:w="6860" w:type="dxa"/>
          </w:tcPr>
          <w:p w14:paraId="5E7D600B" w14:textId="38D210C3"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 xml:space="preserve">Costs of all MassHealth covered services (excludes cosmetic surgery, treatment for infertility, experimental treatment, personal comfort items, non-covered laboratory services, </w:t>
            </w:r>
            <w:r w:rsidR="00C826D3">
              <w:t xml:space="preserve">and </w:t>
            </w:r>
            <w:r w:rsidRPr="00F44630">
              <w:t>other services specified as not covered by MassHealth)</w:t>
            </w:r>
            <w:r w:rsidR="00C826D3">
              <w:t>.</w:t>
            </w:r>
          </w:p>
        </w:tc>
      </w:tr>
      <w:tr w:rsidR="00C220BF" w:rsidRPr="00F44630" w14:paraId="0B8BF02B" w14:textId="77777777">
        <w:tc>
          <w:tcPr>
            <w:cnfStyle w:val="001000000000" w:firstRow="0" w:lastRow="0" w:firstColumn="1" w:lastColumn="0" w:oddVBand="0" w:evenVBand="0" w:oddHBand="0" w:evenHBand="0" w:firstRowFirstColumn="0" w:firstRowLastColumn="0" w:lastRowFirstColumn="0" w:lastRowLastColumn="0"/>
            <w:tcW w:w="2484" w:type="dxa"/>
          </w:tcPr>
          <w:p w14:paraId="78AC4E9D" w14:textId="77777777" w:rsidR="00C220BF" w:rsidRPr="00F44630" w:rsidRDefault="00C220BF">
            <w:r w:rsidRPr="00F44630">
              <w:t>Denominator</w:t>
            </w:r>
          </w:p>
        </w:tc>
        <w:tc>
          <w:tcPr>
            <w:tcW w:w="6860" w:type="dxa"/>
          </w:tcPr>
          <w:p w14:paraId="0550E5C8" w14:textId="20D93C6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The person-time contributed by members in the population of interest during the measurement period</w:t>
            </w:r>
            <w:r w:rsidR="00C826D3">
              <w:t>.</w:t>
            </w:r>
          </w:p>
        </w:tc>
      </w:tr>
      <w:tr w:rsidR="00C220BF" w:rsidRPr="00F44630" w14:paraId="7568B0C4" w14:textId="77777777">
        <w:tc>
          <w:tcPr>
            <w:cnfStyle w:val="001000000000" w:firstRow="0" w:lastRow="0" w:firstColumn="1" w:lastColumn="0" w:oddVBand="0" w:evenVBand="0" w:oddHBand="0" w:evenHBand="0" w:firstRowFirstColumn="0" w:firstRowLastColumn="0" w:lastRowFirstColumn="0" w:lastRowLastColumn="0"/>
            <w:tcW w:w="2484" w:type="dxa"/>
          </w:tcPr>
          <w:p w14:paraId="1289522D" w14:textId="77777777" w:rsidR="00C220BF" w:rsidRPr="00F44630" w:rsidRDefault="00C220BF">
            <w:r w:rsidRPr="00F44630">
              <w:t>Data Sources</w:t>
            </w:r>
          </w:p>
        </w:tc>
        <w:tc>
          <w:tcPr>
            <w:tcW w:w="6860" w:type="dxa"/>
          </w:tcPr>
          <w:p w14:paraId="392256CC"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Medicaid claims/encounters data</w:t>
            </w:r>
          </w:p>
        </w:tc>
      </w:tr>
      <w:tr w:rsidR="00C220BF" w:rsidRPr="00F44630" w14:paraId="096AC7AC" w14:textId="77777777">
        <w:tc>
          <w:tcPr>
            <w:cnfStyle w:val="001000000000" w:firstRow="0" w:lastRow="0" w:firstColumn="1" w:lastColumn="0" w:oddVBand="0" w:evenVBand="0" w:oddHBand="0" w:evenHBand="0" w:firstRowFirstColumn="0" w:firstRowLastColumn="0" w:lastRowFirstColumn="0" w:lastRowLastColumn="0"/>
            <w:tcW w:w="2484" w:type="dxa"/>
          </w:tcPr>
          <w:p w14:paraId="4C52352E" w14:textId="77777777" w:rsidR="00C220BF" w:rsidRPr="00F44630" w:rsidRDefault="00C220BF">
            <w:r w:rsidRPr="00F44630">
              <w:t>National Benchmark</w:t>
            </w:r>
          </w:p>
        </w:tc>
        <w:tc>
          <w:tcPr>
            <w:tcW w:w="6860" w:type="dxa"/>
          </w:tcPr>
          <w:p w14:paraId="08CF07CC"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 xml:space="preserve">None </w:t>
            </w:r>
          </w:p>
        </w:tc>
      </w:tr>
    </w:tbl>
    <w:p w14:paraId="607ACB8D" w14:textId="77777777" w:rsidR="00C220BF" w:rsidRDefault="00C220BF" w:rsidP="009122F2">
      <w:pPr>
        <w:pStyle w:val="NoSpacing"/>
      </w:pPr>
    </w:p>
    <w:tbl>
      <w:tblPr>
        <w:tblStyle w:val="FHCclean10pt"/>
        <w:tblW w:w="0" w:type="auto"/>
        <w:tblLook w:val="04A0" w:firstRow="1" w:lastRow="0" w:firstColumn="1" w:lastColumn="0" w:noHBand="0" w:noVBand="1"/>
      </w:tblPr>
      <w:tblGrid>
        <w:gridCol w:w="2484"/>
        <w:gridCol w:w="6860"/>
      </w:tblGrid>
      <w:tr w:rsidR="00C220BF" w:rsidRPr="00F44630" w14:paraId="2370D64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61DFD7A8" w14:textId="77777777" w:rsidR="00C220BF" w:rsidRPr="00F44630" w:rsidRDefault="00C220BF">
            <w:r w:rsidRPr="00DB3492">
              <w:lastRenderedPageBreak/>
              <w:t>Measure:</w:t>
            </w:r>
          </w:p>
        </w:tc>
        <w:tc>
          <w:tcPr>
            <w:tcW w:w="6860" w:type="dxa"/>
          </w:tcPr>
          <w:p w14:paraId="63613666" w14:textId="52E2F0A1" w:rsidR="00C220BF" w:rsidRPr="00F44630" w:rsidRDefault="00C220BF">
            <w:pPr>
              <w:cnfStyle w:val="100000000000" w:firstRow="1" w:lastRow="0" w:firstColumn="0" w:lastColumn="0" w:oddVBand="0" w:evenVBand="0" w:oddHBand="0" w:evenHBand="0" w:firstRowFirstColumn="0" w:firstRowLastColumn="0" w:lastRowFirstColumn="0" w:lastRowLastColumn="0"/>
            </w:pPr>
            <w:r w:rsidRPr="00B834ED">
              <w:t xml:space="preserve">Expenditures by Service Category </w:t>
            </w:r>
            <w:r>
              <w:t>B</w:t>
            </w:r>
            <w:r w:rsidRPr="00B834ED">
              <w:t xml:space="preserve">roken </w:t>
            </w:r>
            <w:r>
              <w:t>D</w:t>
            </w:r>
            <w:r w:rsidRPr="00B834ED">
              <w:t xml:space="preserve">own by </w:t>
            </w:r>
            <w:r>
              <w:t>I</w:t>
            </w:r>
            <w:r w:rsidRPr="00B834ED">
              <w:t xml:space="preserve">ndividuals with </w:t>
            </w:r>
            <w:r>
              <w:t>A</w:t>
            </w:r>
            <w:r w:rsidRPr="00B834ED">
              <w:t xml:space="preserve">ny SUD-related </w:t>
            </w:r>
            <w:r>
              <w:t>D</w:t>
            </w:r>
            <w:r w:rsidRPr="00B834ED">
              <w:t xml:space="preserve">iagnosis, OUD </w:t>
            </w:r>
            <w:r>
              <w:t>D</w:t>
            </w:r>
            <w:r w:rsidRPr="00B834ED">
              <w:t xml:space="preserve">iagnosis, or SMI/SED </w:t>
            </w:r>
            <w:r>
              <w:t>D</w:t>
            </w:r>
            <w:r w:rsidRPr="00B834ED">
              <w:t>iagnosis</w:t>
            </w:r>
          </w:p>
        </w:tc>
      </w:tr>
      <w:tr w:rsidR="00C220BF" w:rsidRPr="00F44630" w14:paraId="02C831DE" w14:textId="77777777">
        <w:tc>
          <w:tcPr>
            <w:cnfStyle w:val="001000000000" w:firstRow="0" w:lastRow="0" w:firstColumn="1" w:lastColumn="0" w:oddVBand="0" w:evenVBand="0" w:oddHBand="0" w:evenHBand="0" w:firstRowFirstColumn="0" w:firstRowLastColumn="0" w:lastRowFirstColumn="0" w:lastRowLastColumn="0"/>
            <w:tcW w:w="2484" w:type="dxa"/>
          </w:tcPr>
          <w:p w14:paraId="3AD81E02" w14:textId="77777777" w:rsidR="00C220BF" w:rsidRPr="00F44630" w:rsidRDefault="00C220BF">
            <w:r w:rsidRPr="00DB3492">
              <w:t>Steward:</w:t>
            </w:r>
          </w:p>
        </w:tc>
        <w:tc>
          <w:tcPr>
            <w:tcW w:w="6860" w:type="dxa"/>
          </w:tcPr>
          <w:p w14:paraId="1003F484"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t>None</w:t>
            </w:r>
          </w:p>
        </w:tc>
      </w:tr>
      <w:tr w:rsidR="00C220BF" w:rsidRPr="00F44630" w14:paraId="77A2F1A1" w14:textId="77777777">
        <w:tc>
          <w:tcPr>
            <w:cnfStyle w:val="001000000000" w:firstRow="0" w:lastRow="0" w:firstColumn="1" w:lastColumn="0" w:oddVBand="0" w:evenVBand="0" w:oddHBand="0" w:evenHBand="0" w:firstRowFirstColumn="0" w:firstRowLastColumn="0" w:lastRowFirstColumn="0" w:lastRowLastColumn="0"/>
            <w:tcW w:w="2484" w:type="dxa"/>
          </w:tcPr>
          <w:p w14:paraId="552DB0D1" w14:textId="77777777" w:rsidR="00C220BF" w:rsidRPr="00F44630" w:rsidRDefault="00C220BF">
            <w:r w:rsidRPr="00DB3492">
              <w:t>NQF Endorsed:</w:t>
            </w:r>
          </w:p>
        </w:tc>
        <w:tc>
          <w:tcPr>
            <w:tcW w:w="6860" w:type="dxa"/>
          </w:tcPr>
          <w:p w14:paraId="54E53158"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t>No</w:t>
            </w:r>
          </w:p>
        </w:tc>
      </w:tr>
      <w:tr w:rsidR="00C220BF" w:rsidRPr="00F44630" w14:paraId="41824E3C" w14:textId="77777777">
        <w:tc>
          <w:tcPr>
            <w:cnfStyle w:val="001000000000" w:firstRow="0" w:lastRow="0" w:firstColumn="1" w:lastColumn="0" w:oddVBand="0" w:evenVBand="0" w:oddHBand="0" w:evenHBand="0" w:firstRowFirstColumn="0" w:firstRowLastColumn="0" w:lastRowFirstColumn="0" w:lastRowLastColumn="0"/>
            <w:tcW w:w="2484" w:type="dxa"/>
          </w:tcPr>
          <w:p w14:paraId="411CA693" w14:textId="77777777" w:rsidR="00C220BF" w:rsidRPr="00F44630" w:rsidRDefault="00C220BF">
            <w:r w:rsidRPr="00F44630">
              <w:t>Description</w:t>
            </w:r>
          </w:p>
        </w:tc>
        <w:tc>
          <w:tcPr>
            <w:tcW w:w="6860" w:type="dxa"/>
          </w:tcPr>
          <w:p w14:paraId="032F1D43" w14:textId="272785FA"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 xml:space="preserve">Costs for specific categories (e.g., services included in ACO medical risk corridors) and sub-categories of services including inpatient (e.g., non-maternity physical health, maternity, </w:t>
            </w:r>
            <w:r w:rsidR="004515F4">
              <w:t>BH</w:t>
            </w:r>
            <w:r w:rsidRPr="00F44630">
              <w:t xml:space="preserve">), ED visits, outpatient non-BH ((lab and radiology, non-BH outpatient hospital), outpatient BH (e.g., Emergency Services Program, diversionary services), professional services, pharmacy, home health, durable medical equipment, emergency transportation, long-term care, other medical services, and services excluded from the TCOC (e.g., applied behavioral analysis, Children’s Behavioral Health Initiative, </w:t>
            </w:r>
            <w:r w:rsidR="005B47F7">
              <w:t>LTSS</w:t>
            </w:r>
            <w:r w:rsidRPr="00F44630">
              <w:t>).</w:t>
            </w:r>
          </w:p>
        </w:tc>
      </w:tr>
      <w:tr w:rsidR="00C220BF" w:rsidRPr="00F44630" w14:paraId="5944620D" w14:textId="77777777">
        <w:tc>
          <w:tcPr>
            <w:cnfStyle w:val="001000000000" w:firstRow="0" w:lastRow="0" w:firstColumn="1" w:lastColumn="0" w:oddVBand="0" w:evenVBand="0" w:oddHBand="0" w:evenHBand="0" w:firstRowFirstColumn="0" w:firstRowLastColumn="0" w:lastRowFirstColumn="0" w:lastRowLastColumn="0"/>
            <w:tcW w:w="2484" w:type="dxa"/>
          </w:tcPr>
          <w:p w14:paraId="3F0024CC" w14:textId="77777777" w:rsidR="00C220BF" w:rsidRPr="00F44630" w:rsidRDefault="00C220BF">
            <w:r w:rsidRPr="00F44630">
              <w:t>Numerator</w:t>
            </w:r>
          </w:p>
        </w:tc>
        <w:tc>
          <w:tcPr>
            <w:tcW w:w="6860" w:type="dxa"/>
          </w:tcPr>
          <w:p w14:paraId="03907E27" w14:textId="4A095A24"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Costs for specific categories and sub-categories of services (calculated separately for each category of service)</w:t>
            </w:r>
            <w:r w:rsidR="002539D4">
              <w:t>.</w:t>
            </w:r>
          </w:p>
        </w:tc>
      </w:tr>
      <w:tr w:rsidR="00C220BF" w:rsidRPr="00F44630" w14:paraId="4D93583A" w14:textId="77777777">
        <w:tc>
          <w:tcPr>
            <w:cnfStyle w:val="001000000000" w:firstRow="0" w:lastRow="0" w:firstColumn="1" w:lastColumn="0" w:oddVBand="0" w:evenVBand="0" w:oddHBand="0" w:evenHBand="0" w:firstRowFirstColumn="0" w:firstRowLastColumn="0" w:lastRowFirstColumn="0" w:lastRowLastColumn="0"/>
            <w:tcW w:w="2484" w:type="dxa"/>
          </w:tcPr>
          <w:p w14:paraId="2F727C4B" w14:textId="77777777" w:rsidR="00C220BF" w:rsidRPr="00F44630" w:rsidRDefault="00C220BF">
            <w:r w:rsidRPr="00F44630">
              <w:t>Denominator</w:t>
            </w:r>
          </w:p>
        </w:tc>
        <w:tc>
          <w:tcPr>
            <w:tcW w:w="6860" w:type="dxa"/>
          </w:tcPr>
          <w:p w14:paraId="56170E7B" w14:textId="0AAA8525"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The person-time contributed by members in the population of interest during the measurement period</w:t>
            </w:r>
            <w:r w:rsidR="002539D4">
              <w:t>.</w:t>
            </w:r>
          </w:p>
        </w:tc>
      </w:tr>
      <w:tr w:rsidR="00C220BF" w:rsidRPr="00F44630" w14:paraId="174E7330" w14:textId="77777777">
        <w:tc>
          <w:tcPr>
            <w:cnfStyle w:val="001000000000" w:firstRow="0" w:lastRow="0" w:firstColumn="1" w:lastColumn="0" w:oddVBand="0" w:evenVBand="0" w:oddHBand="0" w:evenHBand="0" w:firstRowFirstColumn="0" w:firstRowLastColumn="0" w:lastRowFirstColumn="0" w:lastRowLastColumn="0"/>
            <w:tcW w:w="2484" w:type="dxa"/>
          </w:tcPr>
          <w:p w14:paraId="28AC9737" w14:textId="77777777" w:rsidR="00C220BF" w:rsidRPr="00F44630" w:rsidRDefault="00C220BF">
            <w:r w:rsidRPr="00F44630">
              <w:t>Data Sources</w:t>
            </w:r>
          </w:p>
        </w:tc>
        <w:tc>
          <w:tcPr>
            <w:tcW w:w="6860" w:type="dxa"/>
          </w:tcPr>
          <w:p w14:paraId="0031F346"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Medicaid claims/encounters data</w:t>
            </w:r>
          </w:p>
        </w:tc>
      </w:tr>
      <w:tr w:rsidR="00C220BF" w:rsidRPr="00F44630" w14:paraId="7EFA4593" w14:textId="77777777">
        <w:tc>
          <w:tcPr>
            <w:cnfStyle w:val="001000000000" w:firstRow="0" w:lastRow="0" w:firstColumn="1" w:lastColumn="0" w:oddVBand="0" w:evenVBand="0" w:oddHBand="0" w:evenHBand="0" w:firstRowFirstColumn="0" w:firstRowLastColumn="0" w:lastRowFirstColumn="0" w:lastRowLastColumn="0"/>
            <w:tcW w:w="2484" w:type="dxa"/>
          </w:tcPr>
          <w:p w14:paraId="37A5B91A" w14:textId="77777777" w:rsidR="00C220BF" w:rsidRPr="00F44630" w:rsidRDefault="00C220BF">
            <w:r w:rsidRPr="00F44630">
              <w:t>National Benchmark</w:t>
            </w:r>
          </w:p>
        </w:tc>
        <w:tc>
          <w:tcPr>
            <w:tcW w:w="6860" w:type="dxa"/>
          </w:tcPr>
          <w:p w14:paraId="6BBAF949"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None</w:t>
            </w:r>
          </w:p>
        </w:tc>
      </w:tr>
    </w:tbl>
    <w:p w14:paraId="0BC733B9" w14:textId="77777777" w:rsidR="005139D7" w:rsidRDefault="005139D7" w:rsidP="00D35F44">
      <w:pPr>
        <w:pStyle w:val="Heading5"/>
      </w:pPr>
    </w:p>
    <w:p w14:paraId="1B954CDA" w14:textId="43BCBD6C" w:rsidR="00C220BF" w:rsidRPr="0030061F" w:rsidRDefault="00C220BF" w:rsidP="00D35F44">
      <w:pPr>
        <w:pStyle w:val="Heading5"/>
        <w:rPr>
          <w:b/>
          <w:bCs/>
        </w:rPr>
      </w:pPr>
      <w:r w:rsidRPr="0030061F">
        <w:rPr>
          <w:b/>
          <w:bCs/>
        </w:rPr>
        <w:t xml:space="preserve">Chapter 7: </w:t>
      </w:r>
      <w:r w:rsidR="00614FFB" w:rsidRPr="0030061F">
        <w:rPr>
          <w:b/>
          <w:bCs/>
        </w:rPr>
        <w:fldChar w:fldCharType="begin"/>
      </w:r>
      <w:r w:rsidR="00614FFB" w:rsidRPr="0030061F">
        <w:rPr>
          <w:b/>
          <w:bCs/>
        </w:rPr>
        <w:instrText xml:space="preserve"> REF _Ref142920879 \h </w:instrText>
      </w:r>
      <w:r w:rsidR="0030061F">
        <w:rPr>
          <w:b/>
          <w:bCs/>
        </w:rPr>
        <w:instrText xml:space="preserve"> \* MERGEFORMAT </w:instrText>
      </w:r>
      <w:r w:rsidR="00614FFB" w:rsidRPr="0030061F">
        <w:rPr>
          <w:b/>
          <w:bCs/>
        </w:rPr>
      </w:r>
      <w:r w:rsidR="00614FFB" w:rsidRPr="0030061F">
        <w:rPr>
          <w:b/>
          <w:bCs/>
        </w:rPr>
        <w:fldChar w:fldCharType="separate"/>
      </w:r>
      <w:r w:rsidR="00EB7B05" w:rsidRPr="0030061F">
        <w:rPr>
          <w:b/>
          <w:bCs/>
        </w:rPr>
        <w:t>Hospital Quality and Equity Initiative</w:t>
      </w:r>
      <w:r w:rsidR="00614FFB" w:rsidRPr="0030061F">
        <w:rPr>
          <w:b/>
          <w:bCs/>
        </w:rPr>
        <w:fldChar w:fldCharType="end"/>
      </w:r>
    </w:p>
    <w:tbl>
      <w:tblPr>
        <w:tblStyle w:val="FHCclean10pt"/>
        <w:tblW w:w="0" w:type="auto"/>
        <w:tblLook w:val="04A0" w:firstRow="1" w:lastRow="0" w:firstColumn="1" w:lastColumn="0" w:noHBand="0" w:noVBand="1"/>
      </w:tblPr>
      <w:tblGrid>
        <w:gridCol w:w="2484"/>
        <w:gridCol w:w="6860"/>
      </w:tblGrid>
      <w:tr w:rsidR="00C220BF" w:rsidRPr="00F44630" w14:paraId="27CDDD5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49B20CE1" w14:textId="77777777" w:rsidR="00C220BF" w:rsidRPr="00F44630" w:rsidRDefault="00C220BF">
            <w:r w:rsidRPr="00DB3492">
              <w:t>Measure:</w:t>
            </w:r>
          </w:p>
        </w:tc>
        <w:tc>
          <w:tcPr>
            <w:tcW w:w="6860" w:type="dxa"/>
          </w:tcPr>
          <w:p w14:paraId="4EA4EABB" w14:textId="43003898" w:rsidR="00C220BF" w:rsidRPr="00F44630" w:rsidRDefault="00C220BF">
            <w:pPr>
              <w:cnfStyle w:val="100000000000" w:firstRow="1" w:lastRow="0" w:firstColumn="0" w:lastColumn="0" w:oddVBand="0" w:evenVBand="0" w:oddHBand="0" w:evenHBand="0" w:firstRowFirstColumn="0" w:firstRowLastColumn="0" w:lastRowFirstColumn="0" w:lastRowLastColumn="0"/>
            </w:pPr>
            <w:r w:rsidRPr="00B834ED">
              <w:t>Health</w:t>
            </w:r>
            <w:r>
              <w:t>-</w:t>
            </w:r>
            <w:r w:rsidRPr="00B834ED">
              <w:t>Related Social Needs Screening</w:t>
            </w:r>
            <w:r>
              <w:br/>
            </w:r>
            <w:r w:rsidRPr="00B834ED">
              <w:t xml:space="preserve">*MassHealth ACO </w:t>
            </w:r>
            <w:r>
              <w:t>M</w:t>
            </w:r>
            <w:r w:rsidRPr="00B834ED">
              <w:t xml:space="preserve">onitoring </w:t>
            </w:r>
            <w:r>
              <w:t>M</w:t>
            </w:r>
            <w:r w:rsidRPr="00B834ED">
              <w:t>easure</w:t>
            </w:r>
          </w:p>
        </w:tc>
      </w:tr>
      <w:tr w:rsidR="00C220BF" w:rsidRPr="00F44630" w14:paraId="1130D882" w14:textId="77777777">
        <w:tc>
          <w:tcPr>
            <w:cnfStyle w:val="001000000000" w:firstRow="0" w:lastRow="0" w:firstColumn="1" w:lastColumn="0" w:oddVBand="0" w:evenVBand="0" w:oddHBand="0" w:evenHBand="0" w:firstRowFirstColumn="0" w:firstRowLastColumn="0" w:lastRowFirstColumn="0" w:lastRowLastColumn="0"/>
            <w:tcW w:w="2484" w:type="dxa"/>
          </w:tcPr>
          <w:p w14:paraId="1FB1A23C" w14:textId="77777777" w:rsidR="00C220BF" w:rsidRPr="00F44630" w:rsidRDefault="00C220BF">
            <w:r w:rsidRPr="00DB3492">
              <w:t>Steward:</w:t>
            </w:r>
          </w:p>
        </w:tc>
        <w:tc>
          <w:tcPr>
            <w:tcW w:w="6860" w:type="dxa"/>
          </w:tcPr>
          <w:p w14:paraId="7CA997C8"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t>MassHealth</w:t>
            </w:r>
          </w:p>
        </w:tc>
      </w:tr>
      <w:tr w:rsidR="00C220BF" w:rsidRPr="00F44630" w14:paraId="7ABB155B" w14:textId="77777777">
        <w:tc>
          <w:tcPr>
            <w:cnfStyle w:val="001000000000" w:firstRow="0" w:lastRow="0" w:firstColumn="1" w:lastColumn="0" w:oddVBand="0" w:evenVBand="0" w:oddHBand="0" w:evenHBand="0" w:firstRowFirstColumn="0" w:firstRowLastColumn="0" w:lastRowFirstColumn="0" w:lastRowLastColumn="0"/>
            <w:tcW w:w="2484" w:type="dxa"/>
          </w:tcPr>
          <w:p w14:paraId="19EEA8A7" w14:textId="77777777" w:rsidR="00C220BF" w:rsidRPr="00F44630" w:rsidRDefault="00C220BF">
            <w:r w:rsidRPr="00DB3492">
              <w:t>NQF Endorsed:</w:t>
            </w:r>
          </w:p>
        </w:tc>
        <w:tc>
          <w:tcPr>
            <w:tcW w:w="6860" w:type="dxa"/>
          </w:tcPr>
          <w:p w14:paraId="73C8D5B2"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t>No</w:t>
            </w:r>
          </w:p>
        </w:tc>
      </w:tr>
      <w:tr w:rsidR="00C220BF" w:rsidRPr="00F44630" w14:paraId="6CBC8F0C" w14:textId="77777777">
        <w:tc>
          <w:tcPr>
            <w:cnfStyle w:val="001000000000" w:firstRow="0" w:lastRow="0" w:firstColumn="1" w:lastColumn="0" w:oddVBand="0" w:evenVBand="0" w:oddHBand="0" w:evenHBand="0" w:firstRowFirstColumn="0" w:firstRowLastColumn="0" w:lastRowFirstColumn="0" w:lastRowLastColumn="0"/>
            <w:tcW w:w="2484" w:type="dxa"/>
          </w:tcPr>
          <w:p w14:paraId="762F4276" w14:textId="77777777" w:rsidR="00C220BF" w:rsidRPr="00F44630" w:rsidRDefault="00C220BF">
            <w:r w:rsidRPr="00F44630">
              <w:t>Description</w:t>
            </w:r>
          </w:p>
        </w:tc>
        <w:tc>
          <w:tcPr>
            <w:tcW w:w="6860" w:type="dxa"/>
          </w:tcPr>
          <w:p w14:paraId="0E159332" w14:textId="7B159E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Percentage of members who were screened for health-related social needs in the measurement year</w:t>
            </w:r>
            <w:r w:rsidR="002539D4">
              <w:t>.</w:t>
            </w:r>
            <w:r w:rsidRPr="00F44630">
              <w:t xml:space="preserve"> </w:t>
            </w:r>
          </w:p>
        </w:tc>
      </w:tr>
      <w:tr w:rsidR="00C220BF" w:rsidRPr="00F44630" w14:paraId="2625FC98" w14:textId="77777777">
        <w:tc>
          <w:tcPr>
            <w:cnfStyle w:val="001000000000" w:firstRow="0" w:lastRow="0" w:firstColumn="1" w:lastColumn="0" w:oddVBand="0" w:evenVBand="0" w:oddHBand="0" w:evenHBand="0" w:firstRowFirstColumn="0" w:firstRowLastColumn="0" w:lastRowFirstColumn="0" w:lastRowLastColumn="0"/>
            <w:tcW w:w="2484" w:type="dxa"/>
          </w:tcPr>
          <w:p w14:paraId="18C8ADCE" w14:textId="77777777" w:rsidR="00C220BF" w:rsidRPr="00F44630" w:rsidRDefault="00C220BF">
            <w:r w:rsidRPr="00F44630">
              <w:t>Numerator</w:t>
            </w:r>
          </w:p>
        </w:tc>
        <w:tc>
          <w:tcPr>
            <w:tcW w:w="6860" w:type="dxa"/>
          </w:tcPr>
          <w:p w14:paraId="65C087C8"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Specification pending</w:t>
            </w:r>
          </w:p>
        </w:tc>
      </w:tr>
      <w:tr w:rsidR="00C220BF" w:rsidRPr="00F44630" w14:paraId="0658CB3C" w14:textId="77777777">
        <w:tc>
          <w:tcPr>
            <w:cnfStyle w:val="001000000000" w:firstRow="0" w:lastRow="0" w:firstColumn="1" w:lastColumn="0" w:oddVBand="0" w:evenVBand="0" w:oddHBand="0" w:evenHBand="0" w:firstRowFirstColumn="0" w:firstRowLastColumn="0" w:lastRowFirstColumn="0" w:lastRowLastColumn="0"/>
            <w:tcW w:w="2484" w:type="dxa"/>
          </w:tcPr>
          <w:p w14:paraId="1A580D24" w14:textId="77777777" w:rsidR="00C220BF" w:rsidRPr="00F44630" w:rsidRDefault="00C220BF">
            <w:r w:rsidRPr="00F44630">
              <w:t>Denominator</w:t>
            </w:r>
          </w:p>
        </w:tc>
        <w:tc>
          <w:tcPr>
            <w:tcW w:w="6860" w:type="dxa"/>
          </w:tcPr>
          <w:p w14:paraId="3EFCE137"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Specification pending</w:t>
            </w:r>
          </w:p>
        </w:tc>
      </w:tr>
      <w:tr w:rsidR="00C220BF" w:rsidRPr="00F44630" w14:paraId="771B59BF" w14:textId="77777777">
        <w:tc>
          <w:tcPr>
            <w:cnfStyle w:val="001000000000" w:firstRow="0" w:lastRow="0" w:firstColumn="1" w:lastColumn="0" w:oddVBand="0" w:evenVBand="0" w:oddHBand="0" w:evenHBand="0" w:firstRowFirstColumn="0" w:firstRowLastColumn="0" w:lastRowFirstColumn="0" w:lastRowLastColumn="0"/>
            <w:tcW w:w="2484" w:type="dxa"/>
          </w:tcPr>
          <w:p w14:paraId="17795E84" w14:textId="77777777" w:rsidR="00C220BF" w:rsidRPr="00F44630" w:rsidRDefault="00C220BF">
            <w:r w:rsidRPr="00F44630">
              <w:t>Data Sources</w:t>
            </w:r>
          </w:p>
        </w:tc>
        <w:tc>
          <w:tcPr>
            <w:tcW w:w="6860" w:type="dxa"/>
          </w:tcPr>
          <w:p w14:paraId="262BBDC1"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Medicaid claims/encounters data</w:t>
            </w:r>
          </w:p>
        </w:tc>
      </w:tr>
      <w:tr w:rsidR="00C220BF" w:rsidRPr="00F44630" w14:paraId="56273CED" w14:textId="77777777">
        <w:tc>
          <w:tcPr>
            <w:cnfStyle w:val="001000000000" w:firstRow="0" w:lastRow="0" w:firstColumn="1" w:lastColumn="0" w:oddVBand="0" w:evenVBand="0" w:oddHBand="0" w:evenHBand="0" w:firstRowFirstColumn="0" w:firstRowLastColumn="0" w:lastRowFirstColumn="0" w:lastRowLastColumn="0"/>
            <w:tcW w:w="2484" w:type="dxa"/>
          </w:tcPr>
          <w:p w14:paraId="6F4EDCE9" w14:textId="77777777" w:rsidR="00C220BF" w:rsidRPr="00F44630" w:rsidRDefault="00C220BF">
            <w:r w:rsidRPr="00F44630">
              <w:t>National Benchmark</w:t>
            </w:r>
          </w:p>
        </w:tc>
        <w:tc>
          <w:tcPr>
            <w:tcW w:w="6860" w:type="dxa"/>
          </w:tcPr>
          <w:p w14:paraId="3F7DBF78"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None</w:t>
            </w:r>
          </w:p>
        </w:tc>
      </w:tr>
    </w:tbl>
    <w:p w14:paraId="3A59443D" w14:textId="77777777" w:rsidR="00C220BF" w:rsidRDefault="00C220BF" w:rsidP="009122F2">
      <w:pPr>
        <w:pStyle w:val="NoSpacing"/>
      </w:pPr>
    </w:p>
    <w:tbl>
      <w:tblPr>
        <w:tblStyle w:val="FHCclean10pt"/>
        <w:tblW w:w="0" w:type="auto"/>
        <w:tblLook w:val="04A0" w:firstRow="1" w:lastRow="0" w:firstColumn="1" w:lastColumn="0" w:noHBand="0" w:noVBand="1"/>
      </w:tblPr>
      <w:tblGrid>
        <w:gridCol w:w="2484"/>
        <w:gridCol w:w="6860"/>
      </w:tblGrid>
      <w:tr w:rsidR="00C220BF" w:rsidRPr="00F44630" w14:paraId="7920847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0D9BA078" w14:textId="77777777" w:rsidR="00C220BF" w:rsidRPr="00F44630" w:rsidRDefault="00C220BF">
            <w:r w:rsidRPr="00DB3492">
              <w:t>Measure:</w:t>
            </w:r>
          </w:p>
        </w:tc>
        <w:tc>
          <w:tcPr>
            <w:tcW w:w="6860" w:type="dxa"/>
          </w:tcPr>
          <w:p w14:paraId="2667D9F0" w14:textId="3F96B4D7" w:rsidR="00C220BF" w:rsidRPr="00F44630" w:rsidRDefault="00C220BF">
            <w:pPr>
              <w:cnfStyle w:val="100000000000" w:firstRow="1" w:lastRow="0" w:firstColumn="0" w:lastColumn="0" w:oddVBand="0" w:evenVBand="0" w:oddHBand="0" w:evenHBand="0" w:firstRowFirstColumn="0" w:firstRowLastColumn="0" w:lastRowFirstColumn="0" w:lastRowLastColumn="0"/>
            </w:pPr>
            <w:r w:rsidRPr="00B834ED">
              <w:t>Childhood Immunization Status (CIS)</w:t>
            </w:r>
            <w:r>
              <w:br/>
            </w:r>
            <w:r w:rsidRPr="00B834ED">
              <w:t xml:space="preserve">*MassHealth ACO </w:t>
            </w:r>
            <w:r>
              <w:t>Q</w:t>
            </w:r>
            <w:r w:rsidRPr="00B834ED">
              <w:t xml:space="preserve">uality </w:t>
            </w:r>
            <w:r>
              <w:t>M</w:t>
            </w:r>
            <w:r w:rsidRPr="00B834ED">
              <w:t>easure (</w:t>
            </w:r>
            <w:r>
              <w:t>P</w:t>
            </w:r>
            <w:r w:rsidRPr="00B834ED">
              <w:t>ediatric ACOs)</w:t>
            </w:r>
          </w:p>
        </w:tc>
      </w:tr>
      <w:tr w:rsidR="00C220BF" w:rsidRPr="00F44630" w14:paraId="1BC456B7" w14:textId="77777777">
        <w:tc>
          <w:tcPr>
            <w:cnfStyle w:val="001000000000" w:firstRow="0" w:lastRow="0" w:firstColumn="1" w:lastColumn="0" w:oddVBand="0" w:evenVBand="0" w:oddHBand="0" w:evenHBand="0" w:firstRowFirstColumn="0" w:firstRowLastColumn="0" w:lastRowFirstColumn="0" w:lastRowLastColumn="0"/>
            <w:tcW w:w="2484" w:type="dxa"/>
          </w:tcPr>
          <w:p w14:paraId="6F866626" w14:textId="77777777" w:rsidR="00C220BF" w:rsidRPr="00F44630" w:rsidRDefault="00C220BF">
            <w:r w:rsidRPr="00DB3492">
              <w:t>Steward:</w:t>
            </w:r>
          </w:p>
        </w:tc>
        <w:tc>
          <w:tcPr>
            <w:tcW w:w="6860" w:type="dxa"/>
          </w:tcPr>
          <w:p w14:paraId="1209C481"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B834ED">
              <w:t>National Committee on Quality Assurance (#0038)</w:t>
            </w:r>
          </w:p>
        </w:tc>
      </w:tr>
      <w:tr w:rsidR="00C220BF" w:rsidRPr="00F44630" w14:paraId="08C9A8AD" w14:textId="77777777">
        <w:tc>
          <w:tcPr>
            <w:cnfStyle w:val="001000000000" w:firstRow="0" w:lastRow="0" w:firstColumn="1" w:lastColumn="0" w:oddVBand="0" w:evenVBand="0" w:oddHBand="0" w:evenHBand="0" w:firstRowFirstColumn="0" w:firstRowLastColumn="0" w:lastRowFirstColumn="0" w:lastRowLastColumn="0"/>
            <w:tcW w:w="2484" w:type="dxa"/>
          </w:tcPr>
          <w:p w14:paraId="563F79C1" w14:textId="77777777" w:rsidR="00C220BF" w:rsidRPr="00F44630" w:rsidRDefault="00C220BF">
            <w:r w:rsidRPr="00DB3492">
              <w:t>NQF Endorsed:</w:t>
            </w:r>
          </w:p>
        </w:tc>
        <w:tc>
          <w:tcPr>
            <w:tcW w:w="6860" w:type="dxa"/>
          </w:tcPr>
          <w:p w14:paraId="5C2EC1B2"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t>Yes</w:t>
            </w:r>
          </w:p>
        </w:tc>
      </w:tr>
      <w:tr w:rsidR="00C220BF" w:rsidRPr="00F44630" w14:paraId="3CBED31C" w14:textId="77777777">
        <w:tc>
          <w:tcPr>
            <w:cnfStyle w:val="001000000000" w:firstRow="0" w:lastRow="0" w:firstColumn="1" w:lastColumn="0" w:oddVBand="0" w:evenVBand="0" w:oddHBand="0" w:evenHBand="0" w:firstRowFirstColumn="0" w:firstRowLastColumn="0" w:lastRowFirstColumn="0" w:lastRowLastColumn="0"/>
            <w:tcW w:w="2484" w:type="dxa"/>
          </w:tcPr>
          <w:p w14:paraId="3B58B49D" w14:textId="77777777" w:rsidR="00C220BF" w:rsidRPr="00F44630" w:rsidRDefault="00C220BF">
            <w:r w:rsidRPr="00F44630">
              <w:t>Description</w:t>
            </w:r>
          </w:p>
        </w:tc>
        <w:tc>
          <w:tcPr>
            <w:tcW w:w="6860" w:type="dxa"/>
          </w:tcPr>
          <w:p w14:paraId="5515B49D" w14:textId="27FCEEB3"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Percentage of children 2 years of age who had four diphtheria, tetanus and acellular pertussis (</w:t>
            </w:r>
            <w:r w:rsidR="008A3549" w:rsidRPr="00F44630">
              <w:t>D</w:t>
            </w:r>
            <w:r w:rsidR="008A3549">
              <w:t>T</w:t>
            </w:r>
            <w:r w:rsidR="008A3549" w:rsidRPr="00F44630">
              <w:t>aP</w:t>
            </w:r>
            <w:r w:rsidRPr="00F44630">
              <w:t>); three polio (IPV); one measles, mumps and rubella (MMR); three haemophilus influenza type B (HiB); three hepatitis B (HepB); one chickenpox (VZV); four pneumococcal conjugate (PCV); one hepatitis A (HepA); two or three rotavirus (RV); and two influenza (flu) vaccines by their second birthday. The measure calculates a rate for each vaccine.</w:t>
            </w:r>
          </w:p>
        </w:tc>
      </w:tr>
      <w:tr w:rsidR="00C220BF" w:rsidRPr="00F44630" w14:paraId="46F99A93" w14:textId="77777777">
        <w:tc>
          <w:tcPr>
            <w:cnfStyle w:val="001000000000" w:firstRow="0" w:lastRow="0" w:firstColumn="1" w:lastColumn="0" w:oddVBand="0" w:evenVBand="0" w:oddHBand="0" w:evenHBand="0" w:firstRowFirstColumn="0" w:firstRowLastColumn="0" w:lastRowFirstColumn="0" w:lastRowLastColumn="0"/>
            <w:tcW w:w="2484" w:type="dxa"/>
          </w:tcPr>
          <w:p w14:paraId="7FB5BE79" w14:textId="77777777" w:rsidR="00C220BF" w:rsidRPr="00F44630" w:rsidRDefault="00C220BF">
            <w:r w:rsidRPr="00F44630">
              <w:lastRenderedPageBreak/>
              <w:t>Numerator</w:t>
            </w:r>
          </w:p>
        </w:tc>
        <w:tc>
          <w:tcPr>
            <w:tcW w:w="6860" w:type="dxa"/>
          </w:tcPr>
          <w:p w14:paraId="7A5917F9" w14:textId="35C00C41"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Children who received the recommended vaccines by their second birthday</w:t>
            </w:r>
            <w:r w:rsidR="002539D4">
              <w:t>.</w:t>
            </w:r>
          </w:p>
        </w:tc>
      </w:tr>
      <w:tr w:rsidR="00C220BF" w:rsidRPr="00F44630" w14:paraId="2DC399B6" w14:textId="77777777">
        <w:tc>
          <w:tcPr>
            <w:cnfStyle w:val="001000000000" w:firstRow="0" w:lastRow="0" w:firstColumn="1" w:lastColumn="0" w:oddVBand="0" w:evenVBand="0" w:oddHBand="0" w:evenHBand="0" w:firstRowFirstColumn="0" w:firstRowLastColumn="0" w:lastRowFirstColumn="0" w:lastRowLastColumn="0"/>
            <w:tcW w:w="2484" w:type="dxa"/>
          </w:tcPr>
          <w:p w14:paraId="70ABE1A0" w14:textId="77777777" w:rsidR="00C220BF" w:rsidRPr="00F44630" w:rsidRDefault="00C220BF">
            <w:r w:rsidRPr="00F44630">
              <w:t>Denominator</w:t>
            </w:r>
          </w:p>
        </w:tc>
        <w:tc>
          <w:tcPr>
            <w:tcW w:w="6860" w:type="dxa"/>
          </w:tcPr>
          <w:p w14:paraId="0CFBAA5E"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Children who turn 2 years of age during the measurement year.</w:t>
            </w:r>
          </w:p>
        </w:tc>
      </w:tr>
      <w:tr w:rsidR="00C220BF" w:rsidRPr="00F44630" w14:paraId="00FEDBD9" w14:textId="77777777">
        <w:tc>
          <w:tcPr>
            <w:cnfStyle w:val="001000000000" w:firstRow="0" w:lastRow="0" w:firstColumn="1" w:lastColumn="0" w:oddVBand="0" w:evenVBand="0" w:oddHBand="0" w:evenHBand="0" w:firstRowFirstColumn="0" w:firstRowLastColumn="0" w:lastRowFirstColumn="0" w:lastRowLastColumn="0"/>
            <w:tcW w:w="2484" w:type="dxa"/>
          </w:tcPr>
          <w:p w14:paraId="43ECB27C" w14:textId="77777777" w:rsidR="00C220BF" w:rsidRPr="00F44630" w:rsidRDefault="00C220BF">
            <w:r w:rsidRPr="00F44630">
              <w:t>Data Sources</w:t>
            </w:r>
          </w:p>
        </w:tc>
        <w:tc>
          <w:tcPr>
            <w:tcW w:w="6860" w:type="dxa"/>
          </w:tcPr>
          <w:p w14:paraId="6A8810F1"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Hybrid</w:t>
            </w:r>
          </w:p>
        </w:tc>
      </w:tr>
      <w:tr w:rsidR="00C220BF" w:rsidRPr="00786BB0" w14:paraId="0C427C4C" w14:textId="77777777">
        <w:tc>
          <w:tcPr>
            <w:cnfStyle w:val="001000000000" w:firstRow="0" w:lastRow="0" w:firstColumn="1" w:lastColumn="0" w:oddVBand="0" w:evenVBand="0" w:oddHBand="0" w:evenHBand="0" w:firstRowFirstColumn="0" w:firstRowLastColumn="0" w:lastRowFirstColumn="0" w:lastRowLastColumn="0"/>
            <w:tcW w:w="2484" w:type="dxa"/>
          </w:tcPr>
          <w:p w14:paraId="4C44D5B2" w14:textId="77777777" w:rsidR="00C220BF" w:rsidRPr="00F44630" w:rsidRDefault="00C220BF">
            <w:r w:rsidRPr="00F44630">
              <w:t>National Benchmark</w:t>
            </w:r>
          </w:p>
        </w:tc>
        <w:tc>
          <w:tcPr>
            <w:tcW w:w="6860" w:type="dxa"/>
          </w:tcPr>
          <w:p w14:paraId="07C6DA8C"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2021 Medicaid HMO for Influenza: 47.6%</w:t>
            </w:r>
          </w:p>
          <w:p w14:paraId="72BAD35F"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2021 Medicaid HMO for Combination 10: 35.9%</w:t>
            </w:r>
          </w:p>
          <w:p w14:paraId="044BCB4B"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2021 Medicaid HMO for Combination 2: 70.4%</w:t>
            </w:r>
          </w:p>
          <w:p w14:paraId="6AC29F63"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2021 Medicaid HMO for Combination 2: 63%</w:t>
            </w:r>
          </w:p>
          <w:p w14:paraId="47697A12" w14:textId="0C2DB5B3"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 xml:space="preserve">2021 Medicaid HMO for </w:t>
            </w:r>
            <w:r w:rsidR="008023A0" w:rsidRPr="00F44630">
              <w:t>Diphtheria</w:t>
            </w:r>
            <w:r w:rsidRPr="00F44630">
              <w:t>, Tetanus, Acellular Pertussis (</w:t>
            </w:r>
            <w:r w:rsidR="00781B9E" w:rsidRPr="00F44630">
              <w:t>DT</w:t>
            </w:r>
            <w:r w:rsidR="00781B9E">
              <w:t>a</w:t>
            </w:r>
            <w:r w:rsidR="00781B9E" w:rsidRPr="00F44630">
              <w:t>P</w:t>
            </w:r>
            <w:r w:rsidRPr="00F44630">
              <w:t>/DT): 69.7%</w:t>
            </w:r>
          </w:p>
          <w:p w14:paraId="347CEDF7"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2021 Medicaid HMO for Hepatitis B (HEP B): 84.9%</w:t>
            </w:r>
          </w:p>
          <w:p w14:paraId="37C1E603"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2021 Medicaid HMO for Haemophilis Influenza Type B (HIB B): 82.6%</w:t>
            </w:r>
          </w:p>
          <w:p w14:paraId="24A1CD4B"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2021 Medicaid HMO for Inactivated Polio Virus (IPV): 84.7%</w:t>
            </w:r>
          </w:p>
          <w:p w14:paraId="6E4D85AB"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2021 Medicaid HMO for Measles, Mumps, Rubella (MMR): 83.1%</w:t>
            </w:r>
          </w:p>
          <w:p w14:paraId="2F0DDFA4"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2021 Medicaid HMO for Pneumococcal Conjugate (PCV): 70.7%</w:t>
            </w:r>
          </w:p>
          <w:p w14:paraId="42496D6C"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2021 Medicaid HMO for Varicella (VZV): 82.9%</w:t>
            </w:r>
          </w:p>
          <w:p w14:paraId="15F78FB8"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2021 Medicaid HMO for Hepatitis A (Hep A): 79.9%</w:t>
            </w:r>
          </w:p>
          <w:p w14:paraId="55514442"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2021 Medicaid HMO for Rotavirus (RV): 68.4%</w:t>
            </w:r>
          </w:p>
          <w:p w14:paraId="29B47D95" w14:textId="77777777" w:rsidR="00C220BF" w:rsidRPr="00EC21C0" w:rsidRDefault="00C220BF">
            <w:pPr>
              <w:cnfStyle w:val="000000000000" w:firstRow="0" w:lastRow="0" w:firstColumn="0" w:lastColumn="0" w:oddVBand="0" w:evenVBand="0" w:oddHBand="0" w:evenHBand="0" w:firstRowFirstColumn="0" w:firstRowLastColumn="0" w:lastRowFirstColumn="0" w:lastRowLastColumn="0"/>
              <w:rPr>
                <w:lang w:val="fr-FR"/>
              </w:rPr>
            </w:pPr>
            <w:r w:rsidRPr="00EC21C0">
              <w:rPr>
                <w:lang w:val="fr-FR"/>
              </w:rPr>
              <w:t xml:space="preserve">Sources: </w:t>
            </w:r>
            <w:hyperlink r:id="rId78" w:history="1">
              <w:r w:rsidRPr="00EC21C0">
                <w:rPr>
                  <w:rStyle w:val="Hyperlink"/>
                  <w:lang w:val="fr-FR"/>
                </w:rPr>
                <w:t>https://www.ncqa.org/hedis/measures/childhood-immunization-status/</w:t>
              </w:r>
            </w:hyperlink>
            <w:r w:rsidRPr="00EC21C0">
              <w:rPr>
                <w:lang w:val="fr-FR"/>
              </w:rPr>
              <w:t xml:space="preserve">; </w:t>
            </w:r>
            <w:hyperlink r:id="rId79" w:anchor="qpsPageState=%7B%22TabType%22%3A1,%22TabContentType%22%3A2,%22SearchCriteriaForStandard%22%3A%7B%22TaxonomyIDs%22%3A%5B%5D,%22SelectedTypeAheadFilterOption%22%3A%7B%22FilterOptionLabel%22%3A%22childhood+immunization+status+(cis)%22,%22SearchType%22%3A0,%22TaxonomyId%22%3A0,%22SortWeight%22%3A0,%22TypeOfTypeAheadFilterOption%22%3A1,%22AssociatedStandardCount%22%3A0,%22FilterOptions%22%3A%5B%5D,%22ID%22%3A53779,%22IsNew%22%3Afalse,%22IsActive%22%3Afalse,%22IsDeleted%22%3Afalse,%22IsLocked%22%3Afalse,%22IsLoading%22%3Afalse%7D,%22Keyword%22%3A%22childhood+immunization+status+(cis)%22,%22PageSize%22%3A%2225%22,%22OrderType%22%3A3,%22OrderBy%22%3A%22ASC%22,%22PageNo%22%3A%222%22,%22IsExactMatch%22%3Afalse,%22QueryStringType%22%3A%22%22,%22ProjectActivityId%22%3A%220%22,%22FederalProgramYear%22%3A%220%22,%22FederalFiscalYear%22%3A%220%22,%22FilterTypes%22%3A0,%22EndorsementStatus%22%3A%22%22,%22MSAIDs%22%3A%5B%5D%7D,%22SearchCriteriaForForPortfolio%22%3A%7B%22Tags%22%3A%5B%5D,%22FilterTypes%22%3A0,%22PageStartIndex%22%3A1,%22PageEndIndex%22%3A25,%22PageNumber%22%3Anull,%22PageSize%22%3A%2225%22,%22SortBy%22%3A%22Title%22,%22SortOrder%22%3A%22ASC%22,%22SearchTerm%22%3A%22%22%7D,%22ItemsToCompare%22%3A%5B%5D,%22SelectedStandardIdList%22%3A%5B%5D,%22StandardID%22%3A240,%22EntityTypeID%22%3A1%7D" w:history="1">
              <w:r w:rsidRPr="00EC21C0">
                <w:rPr>
                  <w:rStyle w:val="Hyperlink"/>
                  <w:lang w:val="fr-FR"/>
                </w:rPr>
                <w:t>NQF</w:t>
              </w:r>
            </w:hyperlink>
            <w:r w:rsidRPr="00EC21C0">
              <w:rPr>
                <w:lang w:val="fr-FR"/>
              </w:rPr>
              <w:t xml:space="preserve">. </w:t>
            </w:r>
          </w:p>
        </w:tc>
      </w:tr>
    </w:tbl>
    <w:p w14:paraId="6DA727CE" w14:textId="77777777" w:rsidR="00C220BF" w:rsidRPr="00EC21C0" w:rsidRDefault="00C220BF" w:rsidP="00F527EA">
      <w:pPr>
        <w:pStyle w:val="NoSpacing"/>
        <w:rPr>
          <w:lang w:val="fr-FR"/>
        </w:rPr>
      </w:pPr>
    </w:p>
    <w:tbl>
      <w:tblPr>
        <w:tblStyle w:val="FHCclean10pt"/>
        <w:tblW w:w="0" w:type="auto"/>
        <w:tblLook w:val="04A0" w:firstRow="1" w:lastRow="0" w:firstColumn="1" w:lastColumn="0" w:noHBand="0" w:noVBand="1"/>
      </w:tblPr>
      <w:tblGrid>
        <w:gridCol w:w="2484"/>
        <w:gridCol w:w="6860"/>
      </w:tblGrid>
      <w:tr w:rsidR="00C220BF" w:rsidRPr="00F44630" w14:paraId="50C6B7A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40AEEC84" w14:textId="77777777" w:rsidR="00C220BF" w:rsidRPr="00F44630" w:rsidRDefault="00C220BF">
            <w:r w:rsidRPr="00DB3492">
              <w:t>Measure:</w:t>
            </w:r>
          </w:p>
        </w:tc>
        <w:tc>
          <w:tcPr>
            <w:tcW w:w="6860" w:type="dxa"/>
          </w:tcPr>
          <w:p w14:paraId="11B46656" w14:textId="77777777" w:rsidR="00C220BF" w:rsidRPr="00F44630" w:rsidRDefault="00C220BF">
            <w:pPr>
              <w:cnfStyle w:val="100000000000" w:firstRow="1" w:lastRow="0" w:firstColumn="0" w:lastColumn="0" w:oddVBand="0" w:evenVBand="0" w:oddHBand="0" w:evenHBand="0" w:firstRowFirstColumn="0" w:firstRowLastColumn="0" w:lastRowFirstColumn="0" w:lastRowLastColumn="0"/>
            </w:pPr>
            <w:r w:rsidRPr="00B834ED">
              <w:t>Comprehensive Diabetes Care: Hemoglobin A1c (HbA1c) Poor Control (&gt;9.0%)</w:t>
            </w:r>
            <w:r>
              <w:br/>
            </w:r>
            <w:r w:rsidRPr="00B834ED">
              <w:t>* MassHealth ACO Quality Measure</w:t>
            </w:r>
          </w:p>
        </w:tc>
      </w:tr>
      <w:tr w:rsidR="00C220BF" w:rsidRPr="00F44630" w14:paraId="40D176A5" w14:textId="77777777">
        <w:tc>
          <w:tcPr>
            <w:cnfStyle w:val="001000000000" w:firstRow="0" w:lastRow="0" w:firstColumn="1" w:lastColumn="0" w:oddVBand="0" w:evenVBand="0" w:oddHBand="0" w:evenHBand="0" w:firstRowFirstColumn="0" w:firstRowLastColumn="0" w:lastRowFirstColumn="0" w:lastRowLastColumn="0"/>
            <w:tcW w:w="2484" w:type="dxa"/>
          </w:tcPr>
          <w:p w14:paraId="728137CB" w14:textId="77777777" w:rsidR="00C220BF" w:rsidRPr="00F44630" w:rsidRDefault="00C220BF">
            <w:r w:rsidRPr="00DB3492">
              <w:t>Steward:</w:t>
            </w:r>
          </w:p>
        </w:tc>
        <w:tc>
          <w:tcPr>
            <w:tcW w:w="6860" w:type="dxa"/>
          </w:tcPr>
          <w:p w14:paraId="62465FAE"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B834ED">
              <w:t>National Committee for Quality Assurance (#0059)</w:t>
            </w:r>
          </w:p>
        </w:tc>
      </w:tr>
      <w:tr w:rsidR="00C220BF" w:rsidRPr="00F44630" w14:paraId="52C125B2" w14:textId="77777777">
        <w:tc>
          <w:tcPr>
            <w:cnfStyle w:val="001000000000" w:firstRow="0" w:lastRow="0" w:firstColumn="1" w:lastColumn="0" w:oddVBand="0" w:evenVBand="0" w:oddHBand="0" w:evenHBand="0" w:firstRowFirstColumn="0" w:firstRowLastColumn="0" w:lastRowFirstColumn="0" w:lastRowLastColumn="0"/>
            <w:tcW w:w="2484" w:type="dxa"/>
          </w:tcPr>
          <w:p w14:paraId="3EC16904" w14:textId="77777777" w:rsidR="00C220BF" w:rsidRPr="00F44630" w:rsidRDefault="00C220BF">
            <w:r w:rsidRPr="00DB3492">
              <w:t>NQF Endorsed:</w:t>
            </w:r>
          </w:p>
        </w:tc>
        <w:tc>
          <w:tcPr>
            <w:tcW w:w="6860" w:type="dxa"/>
          </w:tcPr>
          <w:p w14:paraId="1CE68676"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B834ED">
              <w:t>Endorsement Removed</w:t>
            </w:r>
          </w:p>
        </w:tc>
      </w:tr>
      <w:tr w:rsidR="00C220BF" w:rsidRPr="00F44630" w14:paraId="0D34971C" w14:textId="77777777">
        <w:tc>
          <w:tcPr>
            <w:cnfStyle w:val="001000000000" w:firstRow="0" w:lastRow="0" w:firstColumn="1" w:lastColumn="0" w:oddVBand="0" w:evenVBand="0" w:oddHBand="0" w:evenHBand="0" w:firstRowFirstColumn="0" w:firstRowLastColumn="0" w:lastRowFirstColumn="0" w:lastRowLastColumn="0"/>
            <w:tcW w:w="2484" w:type="dxa"/>
          </w:tcPr>
          <w:p w14:paraId="56D00CC8" w14:textId="77777777" w:rsidR="00C220BF" w:rsidRPr="00F44630" w:rsidRDefault="00C220BF">
            <w:r w:rsidRPr="00F44630">
              <w:t>Description</w:t>
            </w:r>
          </w:p>
        </w:tc>
        <w:tc>
          <w:tcPr>
            <w:tcW w:w="6860" w:type="dxa"/>
          </w:tcPr>
          <w:p w14:paraId="06873CCF" w14:textId="50A048C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The percentage of patients 18</w:t>
            </w:r>
            <w:r w:rsidR="007540D8">
              <w:t xml:space="preserve"> to </w:t>
            </w:r>
            <w:r w:rsidRPr="00F44630">
              <w:t>75 years of age with diabetes (type 1 and type 2) whose most recent HbA1c level is &gt;9.0% during the measurement year</w:t>
            </w:r>
            <w:r w:rsidR="007540D8">
              <w:t>.</w:t>
            </w:r>
          </w:p>
        </w:tc>
      </w:tr>
      <w:tr w:rsidR="00C220BF" w:rsidRPr="00F44630" w14:paraId="41C70CDC" w14:textId="77777777">
        <w:tc>
          <w:tcPr>
            <w:cnfStyle w:val="001000000000" w:firstRow="0" w:lastRow="0" w:firstColumn="1" w:lastColumn="0" w:oddVBand="0" w:evenVBand="0" w:oddHBand="0" w:evenHBand="0" w:firstRowFirstColumn="0" w:firstRowLastColumn="0" w:lastRowFirstColumn="0" w:lastRowLastColumn="0"/>
            <w:tcW w:w="2484" w:type="dxa"/>
          </w:tcPr>
          <w:p w14:paraId="3595D2B5" w14:textId="77777777" w:rsidR="00C220BF" w:rsidRPr="00F44630" w:rsidRDefault="00C220BF">
            <w:r w:rsidRPr="00F44630">
              <w:t>Numerator</w:t>
            </w:r>
          </w:p>
        </w:tc>
        <w:tc>
          <w:tcPr>
            <w:tcW w:w="6860" w:type="dxa"/>
          </w:tcPr>
          <w:p w14:paraId="4FC132CF" w14:textId="45EEAF5C"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Patients whose most recent HbA1c level is greater than 9.0% or is missing a result, or for whom an HbA1c test was not done during the measurement year</w:t>
            </w:r>
            <w:r w:rsidR="007540D8">
              <w:t>.</w:t>
            </w:r>
          </w:p>
        </w:tc>
      </w:tr>
      <w:tr w:rsidR="00C220BF" w:rsidRPr="00F44630" w14:paraId="31923323" w14:textId="77777777">
        <w:tc>
          <w:tcPr>
            <w:cnfStyle w:val="001000000000" w:firstRow="0" w:lastRow="0" w:firstColumn="1" w:lastColumn="0" w:oddVBand="0" w:evenVBand="0" w:oddHBand="0" w:evenHBand="0" w:firstRowFirstColumn="0" w:firstRowLastColumn="0" w:lastRowFirstColumn="0" w:lastRowLastColumn="0"/>
            <w:tcW w:w="2484" w:type="dxa"/>
          </w:tcPr>
          <w:p w14:paraId="0C452FB6" w14:textId="77777777" w:rsidR="00C220BF" w:rsidRPr="00F44630" w:rsidRDefault="00C220BF">
            <w:r w:rsidRPr="00F44630">
              <w:t>Denominator</w:t>
            </w:r>
          </w:p>
        </w:tc>
        <w:tc>
          <w:tcPr>
            <w:tcW w:w="6860" w:type="dxa"/>
          </w:tcPr>
          <w:p w14:paraId="55442026" w14:textId="3014CF56"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Patients 18</w:t>
            </w:r>
            <w:r w:rsidR="007540D8">
              <w:t xml:space="preserve"> to </w:t>
            </w:r>
            <w:r w:rsidRPr="00F44630">
              <w:t>75 years of age by the end of the measurement year who had a diagnosis of diabetes (type 1 and type 2) during the measurement year or the year prior to the measurement year</w:t>
            </w:r>
            <w:r w:rsidR="007540D8">
              <w:t>.</w:t>
            </w:r>
          </w:p>
        </w:tc>
      </w:tr>
      <w:tr w:rsidR="00C220BF" w:rsidRPr="00F44630" w14:paraId="7EEF5219" w14:textId="77777777">
        <w:tc>
          <w:tcPr>
            <w:cnfStyle w:val="001000000000" w:firstRow="0" w:lastRow="0" w:firstColumn="1" w:lastColumn="0" w:oddVBand="0" w:evenVBand="0" w:oddHBand="0" w:evenHBand="0" w:firstRowFirstColumn="0" w:firstRowLastColumn="0" w:lastRowFirstColumn="0" w:lastRowLastColumn="0"/>
            <w:tcW w:w="2484" w:type="dxa"/>
          </w:tcPr>
          <w:p w14:paraId="50C09DAE" w14:textId="77777777" w:rsidR="00C220BF" w:rsidRPr="00F44630" w:rsidRDefault="00C220BF">
            <w:r w:rsidRPr="00F44630">
              <w:t>Data Sources</w:t>
            </w:r>
          </w:p>
        </w:tc>
        <w:tc>
          <w:tcPr>
            <w:tcW w:w="6860" w:type="dxa"/>
          </w:tcPr>
          <w:p w14:paraId="086DFF7F"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Hybrid</w:t>
            </w:r>
          </w:p>
        </w:tc>
      </w:tr>
      <w:tr w:rsidR="00C220BF" w:rsidRPr="00F44630" w14:paraId="1EC442EC" w14:textId="77777777">
        <w:tc>
          <w:tcPr>
            <w:cnfStyle w:val="001000000000" w:firstRow="0" w:lastRow="0" w:firstColumn="1" w:lastColumn="0" w:oddVBand="0" w:evenVBand="0" w:oddHBand="0" w:evenHBand="0" w:firstRowFirstColumn="0" w:firstRowLastColumn="0" w:lastRowFirstColumn="0" w:lastRowLastColumn="0"/>
            <w:tcW w:w="2484" w:type="dxa"/>
          </w:tcPr>
          <w:p w14:paraId="3E2D744E" w14:textId="77777777" w:rsidR="00C220BF" w:rsidRPr="00F44630" w:rsidRDefault="00C220BF">
            <w:r w:rsidRPr="00F44630">
              <w:t>National Benchmark</w:t>
            </w:r>
          </w:p>
        </w:tc>
        <w:tc>
          <w:tcPr>
            <w:tcW w:w="6860" w:type="dxa"/>
          </w:tcPr>
          <w:p w14:paraId="70D3AB7A"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2021 Medicaid HMO = 42.3%</w:t>
            </w:r>
          </w:p>
          <w:p w14:paraId="03664AAE"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 xml:space="preserve">Source: </w:t>
            </w:r>
            <w:hyperlink r:id="rId80" w:history="1">
              <w:r w:rsidRPr="00F44630">
                <w:rPr>
                  <w:rStyle w:val="Hyperlink"/>
                </w:rPr>
                <w:t>https://www.ncqa.org/hedis/measures/comprehensive-diabetes-care/</w:t>
              </w:r>
            </w:hyperlink>
          </w:p>
          <w:p w14:paraId="064BA34C"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 Lower rates signify better performance</w:t>
            </w:r>
          </w:p>
        </w:tc>
      </w:tr>
    </w:tbl>
    <w:p w14:paraId="2B826B2A" w14:textId="77777777" w:rsidR="00C220BF" w:rsidRDefault="00C220BF" w:rsidP="00F527EA">
      <w:pPr>
        <w:pStyle w:val="NoSpacing"/>
      </w:pPr>
    </w:p>
    <w:p w14:paraId="3DA30761" w14:textId="77777777" w:rsidR="00430786" w:rsidRDefault="00430786" w:rsidP="00F527EA">
      <w:pPr>
        <w:pStyle w:val="NoSpacing"/>
      </w:pPr>
    </w:p>
    <w:p w14:paraId="2C15DF61" w14:textId="77777777" w:rsidR="00430786" w:rsidRDefault="00430786" w:rsidP="00F527EA">
      <w:pPr>
        <w:pStyle w:val="NoSpacing"/>
      </w:pPr>
    </w:p>
    <w:tbl>
      <w:tblPr>
        <w:tblStyle w:val="FHCclean10pt"/>
        <w:tblW w:w="0" w:type="auto"/>
        <w:tblLook w:val="04A0" w:firstRow="1" w:lastRow="0" w:firstColumn="1" w:lastColumn="0" w:noHBand="0" w:noVBand="1"/>
      </w:tblPr>
      <w:tblGrid>
        <w:gridCol w:w="2484"/>
        <w:gridCol w:w="6860"/>
      </w:tblGrid>
      <w:tr w:rsidR="00C220BF" w:rsidRPr="00F44630" w14:paraId="3C258EC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6D0A7870" w14:textId="77777777" w:rsidR="00C220BF" w:rsidRPr="00F44630" w:rsidRDefault="00C220BF">
            <w:r w:rsidRPr="00DB3492">
              <w:lastRenderedPageBreak/>
              <w:t>Measure:</w:t>
            </w:r>
          </w:p>
        </w:tc>
        <w:tc>
          <w:tcPr>
            <w:tcW w:w="6860" w:type="dxa"/>
          </w:tcPr>
          <w:p w14:paraId="45BB43D1" w14:textId="548FBC91" w:rsidR="00C220BF" w:rsidRPr="00F44630" w:rsidRDefault="00C220BF">
            <w:pPr>
              <w:cnfStyle w:val="100000000000" w:firstRow="1" w:lastRow="0" w:firstColumn="0" w:lastColumn="0" w:oddVBand="0" w:evenVBand="0" w:oddHBand="0" w:evenHBand="0" w:firstRowFirstColumn="0" w:firstRowLastColumn="0" w:lastRowFirstColumn="0" w:lastRowLastColumn="0"/>
            </w:pPr>
            <w:r w:rsidRPr="00B834ED">
              <w:t>Prenatal &amp; Postpartum Care (PPC)/ Timeliness of Prenatal Care</w:t>
            </w:r>
            <w:r>
              <w:br/>
            </w:r>
            <w:r w:rsidRPr="00B834ED">
              <w:t xml:space="preserve">*MassHealth ACO </w:t>
            </w:r>
            <w:r>
              <w:t>Q</w:t>
            </w:r>
            <w:r w:rsidRPr="00B834ED">
              <w:t xml:space="preserve">uality </w:t>
            </w:r>
            <w:r>
              <w:t>M</w:t>
            </w:r>
            <w:r w:rsidRPr="00B834ED">
              <w:t>easure</w:t>
            </w:r>
          </w:p>
        </w:tc>
      </w:tr>
      <w:tr w:rsidR="00C220BF" w:rsidRPr="00F44630" w14:paraId="585009DF" w14:textId="77777777">
        <w:tc>
          <w:tcPr>
            <w:cnfStyle w:val="001000000000" w:firstRow="0" w:lastRow="0" w:firstColumn="1" w:lastColumn="0" w:oddVBand="0" w:evenVBand="0" w:oddHBand="0" w:evenHBand="0" w:firstRowFirstColumn="0" w:firstRowLastColumn="0" w:lastRowFirstColumn="0" w:lastRowLastColumn="0"/>
            <w:tcW w:w="2484" w:type="dxa"/>
          </w:tcPr>
          <w:p w14:paraId="07E25630" w14:textId="77777777" w:rsidR="00C220BF" w:rsidRPr="00F44630" w:rsidRDefault="00C220BF">
            <w:r w:rsidRPr="00DB3492">
              <w:t>Steward:</w:t>
            </w:r>
          </w:p>
        </w:tc>
        <w:tc>
          <w:tcPr>
            <w:tcW w:w="6860" w:type="dxa"/>
          </w:tcPr>
          <w:p w14:paraId="11111B46"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B834ED">
              <w:t>National Committee on Quality Assurance (#1517)</w:t>
            </w:r>
          </w:p>
        </w:tc>
      </w:tr>
      <w:tr w:rsidR="00C220BF" w:rsidRPr="00F44630" w14:paraId="1288261A" w14:textId="77777777">
        <w:tc>
          <w:tcPr>
            <w:cnfStyle w:val="001000000000" w:firstRow="0" w:lastRow="0" w:firstColumn="1" w:lastColumn="0" w:oddVBand="0" w:evenVBand="0" w:oddHBand="0" w:evenHBand="0" w:firstRowFirstColumn="0" w:firstRowLastColumn="0" w:lastRowFirstColumn="0" w:lastRowLastColumn="0"/>
            <w:tcW w:w="2484" w:type="dxa"/>
          </w:tcPr>
          <w:p w14:paraId="119787C2" w14:textId="77777777" w:rsidR="00C220BF" w:rsidRPr="00F44630" w:rsidRDefault="00C220BF">
            <w:r w:rsidRPr="00DB3492">
              <w:t>NQF Endorsed:</w:t>
            </w:r>
          </w:p>
        </w:tc>
        <w:tc>
          <w:tcPr>
            <w:tcW w:w="6860" w:type="dxa"/>
          </w:tcPr>
          <w:p w14:paraId="7D3FC57C"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B834ED">
              <w:t>Measure Retired and Endorsement Removed</w:t>
            </w:r>
          </w:p>
        </w:tc>
      </w:tr>
      <w:tr w:rsidR="00C220BF" w:rsidRPr="00F44630" w14:paraId="36D2AFF6" w14:textId="77777777">
        <w:tc>
          <w:tcPr>
            <w:cnfStyle w:val="001000000000" w:firstRow="0" w:lastRow="0" w:firstColumn="1" w:lastColumn="0" w:oddVBand="0" w:evenVBand="0" w:oddHBand="0" w:evenHBand="0" w:firstRowFirstColumn="0" w:firstRowLastColumn="0" w:lastRowFirstColumn="0" w:lastRowLastColumn="0"/>
            <w:tcW w:w="2484" w:type="dxa"/>
          </w:tcPr>
          <w:p w14:paraId="0C2A7742" w14:textId="77777777" w:rsidR="00C220BF" w:rsidRPr="00F44630" w:rsidRDefault="00C220BF">
            <w:r w:rsidRPr="00F44630">
              <w:t>Description</w:t>
            </w:r>
          </w:p>
        </w:tc>
        <w:tc>
          <w:tcPr>
            <w:tcW w:w="6860" w:type="dxa"/>
          </w:tcPr>
          <w:p w14:paraId="542DE136"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The percentage of deliveries of live births between November 6 of the year prior to the measurement year and November 5 of the measurement year. For these women, the measure assesses the following facets of prenatal and postpartum care:</w:t>
            </w:r>
          </w:p>
          <w:p w14:paraId="7F25C455" w14:textId="77777777" w:rsidR="00C220BF" w:rsidRPr="00F44630"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F44630">
              <w:t>Rate 1: Timeliness of Prenatal Care. The percentage of deliveries that received a prenatal care visit as a member of the organization in the first trimester or within 42 days of enrollment in the organization.</w:t>
            </w:r>
          </w:p>
          <w:p w14:paraId="66E9EA69" w14:textId="77777777" w:rsidR="00C220BF" w:rsidRPr="00F44630"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F44630">
              <w:t>Rate 2: Postpartum Care. The percentage of deliveries that had a postpartum visit on or between 21 and 56 days after delivery.</w:t>
            </w:r>
          </w:p>
        </w:tc>
      </w:tr>
      <w:tr w:rsidR="00C220BF" w:rsidRPr="00F44630" w14:paraId="231F5469" w14:textId="77777777">
        <w:tc>
          <w:tcPr>
            <w:cnfStyle w:val="001000000000" w:firstRow="0" w:lastRow="0" w:firstColumn="1" w:lastColumn="0" w:oddVBand="0" w:evenVBand="0" w:oddHBand="0" w:evenHBand="0" w:firstRowFirstColumn="0" w:firstRowLastColumn="0" w:lastRowFirstColumn="0" w:lastRowLastColumn="0"/>
            <w:tcW w:w="2484" w:type="dxa"/>
          </w:tcPr>
          <w:p w14:paraId="4BB546D6" w14:textId="77777777" w:rsidR="00C220BF" w:rsidRPr="00F44630" w:rsidRDefault="00C220BF">
            <w:r w:rsidRPr="00F44630">
              <w:t>Numerator</w:t>
            </w:r>
          </w:p>
        </w:tc>
        <w:tc>
          <w:tcPr>
            <w:tcW w:w="6860" w:type="dxa"/>
          </w:tcPr>
          <w:p w14:paraId="046B4AC0"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This measure assesses whether pregnant women had timely prenatal and postpartum care visits. It has two rates, one assessing the timeliness of prenatal visits, and one assessing the timeliness of postpartum visits.</w:t>
            </w:r>
          </w:p>
        </w:tc>
      </w:tr>
      <w:tr w:rsidR="00C220BF" w:rsidRPr="00F44630" w14:paraId="41BCD148" w14:textId="77777777">
        <w:tc>
          <w:tcPr>
            <w:cnfStyle w:val="001000000000" w:firstRow="0" w:lastRow="0" w:firstColumn="1" w:lastColumn="0" w:oddVBand="0" w:evenVBand="0" w:oddHBand="0" w:evenHBand="0" w:firstRowFirstColumn="0" w:firstRowLastColumn="0" w:lastRowFirstColumn="0" w:lastRowLastColumn="0"/>
            <w:tcW w:w="2484" w:type="dxa"/>
          </w:tcPr>
          <w:p w14:paraId="03F5FD84" w14:textId="77777777" w:rsidR="00C220BF" w:rsidRPr="00F44630" w:rsidRDefault="00C220BF">
            <w:r w:rsidRPr="00F44630">
              <w:t>Denominator</w:t>
            </w:r>
          </w:p>
        </w:tc>
        <w:tc>
          <w:tcPr>
            <w:tcW w:w="6860" w:type="dxa"/>
          </w:tcPr>
          <w:p w14:paraId="0F0B5B5E"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The percentage of deliveries of live births between November 6 of the year prior to the measurement year and November 5 of the measurement year.</w:t>
            </w:r>
          </w:p>
        </w:tc>
      </w:tr>
      <w:tr w:rsidR="00C220BF" w:rsidRPr="00F44630" w14:paraId="70C3C2DA" w14:textId="77777777">
        <w:tc>
          <w:tcPr>
            <w:cnfStyle w:val="001000000000" w:firstRow="0" w:lastRow="0" w:firstColumn="1" w:lastColumn="0" w:oddVBand="0" w:evenVBand="0" w:oddHBand="0" w:evenHBand="0" w:firstRowFirstColumn="0" w:firstRowLastColumn="0" w:lastRowFirstColumn="0" w:lastRowLastColumn="0"/>
            <w:tcW w:w="2484" w:type="dxa"/>
          </w:tcPr>
          <w:p w14:paraId="03B5907A" w14:textId="77777777" w:rsidR="00C220BF" w:rsidRPr="00F44630" w:rsidRDefault="00C220BF">
            <w:r w:rsidRPr="00F44630">
              <w:t>Data Sources</w:t>
            </w:r>
          </w:p>
        </w:tc>
        <w:tc>
          <w:tcPr>
            <w:tcW w:w="6860" w:type="dxa"/>
          </w:tcPr>
          <w:p w14:paraId="67743936"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Hybrid</w:t>
            </w:r>
          </w:p>
        </w:tc>
      </w:tr>
      <w:tr w:rsidR="00C220BF" w:rsidRPr="00F44630" w14:paraId="278D89F6" w14:textId="77777777">
        <w:tc>
          <w:tcPr>
            <w:cnfStyle w:val="001000000000" w:firstRow="0" w:lastRow="0" w:firstColumn="1" w:lastColumn="0" w:oddVBand="0" w:evenVBand="0" w:oddHBand="0" w:evenHBand="0" w:firstRowFirstColumn="0" w:firstRowLastColumn="0" w:lastRowFirstColumn="0" w:lastRowLastColumn="0"/>
            <w:tcW w:w="2484" w:type="dxa"/>
          </w:tcPr>
          <w:p w14:paraId="2117172A" w14:textId="77777777" w:rsidR="00C220BF" w:rsidRPr="00F44630" w:rsidRDefault="00C220BF">
            <w:r w:rsidRPr="00F44630">
              <w:t>National Benchmark</w:t>
            </w:r>
          </w:p>
        </w:tc>
        <w:tc>
          <w:tcPr>
            <w:tcW w:w="6860" w:type="dxa"/>
          </w:tcPr>
          <w:p w14:paraId="0DE06460"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2021 Medicaid HMO: 83.5%</w:t>
            </w:r>
          </w:p>
          <w:p w14:paraId="7477809A"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 xml:space="preserve">Source: </w:t>
            </w:r>
            <w:hyperlink r:id="rId81" w:history="1">
              <w:r w:rsidRPr="00897566">
                <w:rPr>
                  <w:rStyle w:val="Hyperlink"/>
                </w:rPr>
                <w:t>https://www.ncqa.org/hedis/measures/prenatal-and-postpartum-care-ppc/</w:t>
              </w:r>
            </w:hyperlink>
            <w:r>
              <w:t xml:space="preserve"> </w:t>
            </w:r>
          </w:p>
        </w:tc>
      </w:tr>
    </w:tbl>
    <w:p w14:paraId="7BF25923" w14:textId="77777777" w:rsidR="00C220BF" w:rsidRDefault="00C220BF" w:rsidP="00F527EA">
      <w:pPr>
        <w:pStyle w:val="NoSpacing"/>
      </w:pPr>
    </w:p>
    <w:tbl>
      <w:tblPr>
        <w:tblStyle w:val="FHCclean10pt"/>
        <w:tblW w:w="0" w:type="auto"/>
        <w:tblLook w:val="04A0" w:firstRow="1" w:lastRow="0" w:firstColumn="1" w:lastColumn="0" w:noHBand="0" w:noVBand="1"/>
      </w:tblPr>
      <w:tblGrid>
        <w:gridCol w:w="2484"/>
        <w:gridCol w:w="6860"/>
      </w:tblGrid>
      <w:tr w:rsidR="00C220BF" w:rsidRPr="00F44630" w14:paraId="0725317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1B528B74" w14:textId="77777777" w:rsidR="00C220BF" w:rsidRPr="00F44630" w:rsidRDefault="00C220BF">
            <w:r w:rsidRPr="00DB3492">
              <w:t>Measure:</w:t>
            </w:r>
          </w:p>
        </w:tc>
        <w:tc>
          <w:tcPr>
            <w:tcW w:w="6860" w:type="dxa"/>
          </w:tcPr>
          <w:p w14:paraId="48BC9ECE" w14:textId="77777777" w:rsidR="00C220BF" w:rsidRPr="00F44630" w:rsidRDefault="00C220BF">
            <w:pPr>
              <w:cnfStyle w:val="100000000000" w:firstRow="1" w:lastRow="0" w:firstColumn="0" w:lastColumn="0" w:oddVBand="0" w:evenVBand="0" w:oddHBand="0" w:evenHBand="0" w:firstRowFirstColumn="0" w:firstRowLastColumn="0" w:lastRowFirstColumn="0" w:lastRowLastColumn="0"/>
            </w:pPr>
            <w:bookmarkStart w:id="292" w:name="_Hlk151293934"/>
            <w:r w:rsidRPr="00B834ED">
              <w:t>Follow-Up After Emergency Department Visit for Alcohol and Other Drug Abuse or Dependence (FUA-AD and FUA-CH)</w:t>
            </w:r>
            <w:bookmarkEnd w:id="292"/>
          </w:p>
        </w:tc>
      </w:tr>
      <w:tr w:rsidR="00C220BF" w:rsidRPr="00F44630" w14:paraId="1A479FE0" w14:textId="77777777">
        <w:tc>
          <w:tcPr>
            <w:cnfStyle w:val="001000000000" w:firstRow="0" w:lastRow="0" w:firstColumn="1" w:lastColumn="0" w:oddVBand="0" w:evenVBand="0" w:oddHBand="0" w:evenHBand="0" w:firstRowFirstColumn="0" w:firstRowLastColumn="0" w:lastRowFirstColumn="0" w:lastRowLastColumn="0"/>
            <w:tcW w:w="2484" w:type="dxa"/>
          </w:tcPr>
          <w:p w14:paraId="38E8240F" w14:textId="77777777" w:rsidR="00C220BF" w:rsidRPr="00F44630" w:rsidRDefault="00C220BF">
            <w:r w:rsidRPr="00DB3492">
              <w:t>Steward:</w:t>
            </w:r>
          </w:p>
        </w:tc>
        <w:tc>
          <w:tcPr>
            <w:tcW w:w="6860" w:type="dxa"/>
          </w:tcPr>
          <w:p w14:paraId="3CBC2E43"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B834ED">
              <w:t>National Committee for Quality Assurance (#3488)</w:t>
            </w:r>
          </w:p>
        </w:tc>
      </w:tr>
      <w:tr w:rsidR="00C220BF" w:rsidRPr="00F44630" w14:paraId="0098FDEA" w14:textId="77777777">
        <w:tc>
          <w:tcPr>
            <w:cnfStyle w:val="001000000000" w:firstRow="0" w:lastRow="0" w:firstColumn="1" w:lastColumn="0" w:oddVBand="0" w:evenVBand="0" w:oddHBand="0" w:evenHBand="0" w:firstRowFirstColumn="0" w:firstRowLastColumn="0" w:lastRowFirstColumn="0" w:lastRowLastColumn="0"/>
            <w:tcW w:w="2484" w:type="dxa"/>
          </w:tcPr>
          <w:p w14:paraId="48CD1E8E" w14:textId="77777777" w:rsidR="00C220BF" w:rsidRPr="00F44630" w:rsidRDefault="00C220BF">
            <w:r w:rsidRPr="00DB3492">
              <w:t>NQF Endorsed:</w:t>
            </w:r>
          </w:p>
        </w:tc>
        <w:tc>
          <w:tcPr>
            <w:tcW w:w="6860" w:type="dxa"/>
          </w:tcPr>
          <w:p w14:paraId="001A00B0"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t>Yes</w:t>
            </w:r>
          </w:p>
        </w:tc>
      </w:tr>
      <w:tr w:rsidR="00C220BF" w:rsidRPr="00F44630" w14:paraId="1FADB37C" w14:textId="77777777">
        <w:tc>
          <w:tcPr>
            <w:cnfStyle w:val="001000000000" w:firstRow="0" w:lastRow="0" w:firstColumn="1" w:lastColumn="0" w:oddVBand="0" w:evenVBand="0" w:oddHBand="0" w:evenHBand="0" w:firstRowFirstColumn="0" w:firstRowLastColumn="0" w:lastRowFirstColumn="0" w:lastRowLastColumn="0"/>
            <w:tcW w:w="2484" w:type="dxa"/>
          </w:tcPr>
          <w:p w14:paraId="0851A04D" w14:textId="77777777" w:rsidR="00C220BF" w:rsidRPr="00F44630" w:rsidRDefault="00C220BF">
            <w:r w:rsidRPr="00F44630">
              <w:t>Description</w:t>
            </w:r>
          </w:p>
        </w:tc>
        <w:tc>
          <w:tcPr>
            <w:tcW w:w="6860" w:type="dxa"/>
          </w:tcPr>
          <w:p w14:paraId="3E7F64DB" w14:textId="52B155AE"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 xml:space="preserve">The percentage of ED visits for members 13 years of age and older with a principal diagnosis of alcohol or other drug (AOD) abuse or dependence </w:t>
            </w:r>
            <w:r w:rsidR="00A4634E">
              <w:t xml:space="preserve">and </w:t>
            </w:r>
            <w:r w:rsidRPr="00F44630">
              <w:t xml:space="preserve">who had a </w:t>
            </w:r>
            <w:r w:rsidR="00A4634E" w:rsidRPr="00F44630">
              <w:t>follow</w:t>
            </w:r>
            <w:r w:rsidR="00A4634E">
              <w:t>-</w:t>
            </w:r>
            <w:r w:rsidRPr="00F44630">
              <w:t>up visit for AOD. Two rates are reported:</w:t>
            </w:r>
          </w:p>
          <w:p w14:paraId="384CEB2B" w14:textId="77777777" w:rsidR="00C220BF" w:rsidRPr="00F44630"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F44630">
              <w:t>The percentage of ED visits for which the member received follow-up within 30 days of the ED visit (31 total days).</w:t>
            </w:r>
          </w:p>
          <w:p w14:paraId="79E6A0A4" w14:textId="04B96AC0" w:rsidR="00C220BF" w:rsidRPr="00F44630"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F44630">
              <w:t xml:space="preserve">The percentage of ED visits for which the member received follow-up within </w:t>
            </w:r>
            <w:r w:rsidR="00A4634E">
              <w:t>seven</w:t>
            </w:r>
            <w:r w:rsidR="00A4634E" w:rsidRPr="00F44630">
              <w:t xml:space="preserve"> </w:t>
            </w:r>
            <w:r w:rsidRPr="00F44630">
              <w:t>days of the ED visit (</w:t>
            </w:r>
            <w:r w:rsidR="00A4634E">
              <w:t>eight</w:t>
            </w:r>
            <w:r w:rsidR="00A4634E" w:rsidRPr="00F44630">
              <w:t xml:space="preserve"> </w:t>
            </w:r>
            <w:r w:rsidRPr="00F44630">
              <w:t>total days).</w:t>
            </w:r>
          </w:p>
        </w:tc>
      </w:tr>
      <w:tr w:rsidR="00C220BF" w:rsidRPr="00F44630" w14:paraId="08D75912" w14:textId="77777777">
        <w:tc>
          <w:tcPr>
            <w:cnfStyle w:val="001000000000" w:firstRow="0" w:lastRow="0" w:firstColumn="1" w:lastColumn="0" w:oddVBand="0" w:evenVBand="0" w:oddHBand="0" w:evenHBand="0" w:firstRowFirstColumn="0" w:firstRowLastColumn="0" w:lastRowFirstColumn="0" w:lastRowLastColumn="0"/>
            <w:tcW w:w="2484" w:type="dxa"/>
          </w:tcPr>
          <w:p w14:paraId="65CB51EB" w14:textId="77777777" w:rsidR="00C220BF" w:rsidRPr="00F44630" w:rsidRDefault="00C220BF">
            <w:r w:rsidRPr="00F44630">
              <w:t>Numerator</w:t>
            </w:r>
          </w:p>
        </w:tc>
        <w:tc>
          <w:tcPr>
            <w:tcW w:w="6860" w:type="dxa"/>
          </w:tcPr>
          <w:p w14:paraId="44129537"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The numerator consists of two rates:</w:t>
            </w:r>
          </w:p>
          <w:p w14:paraId="17F32797" w14:textId="09838967" w:rsidR="00C220BF" w:rsidRPr="00F44630"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F44630">
              <w:t>30-day follow-up: A follow-up visit with any practitioner, with a principal diagnosis of AOD</w:t>
            </w:r>
            <w:r w:rsidR="00A4634E">
              <w:t>,</w:t>
            </w:r>
            <w:r w:rsidRPr="00F44630">
              <w:t xml:space="preserve"> within 30 days after the ED visit (31 total days). Include visits that occur on the date of the ED visit.</w:t>
            </w:r>
          </w:p>
          <w:p w14:paraId="66427FB4" w14:textId="4FE73242" w:rsidR="00C220BF" w:rsidRPr="00F44630"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F44630">
              <w:t>7-day follow-up: A follow-up visit with any practitioner, with a principal diagnosis of AOD</w:t>
            </w:r>
            <w:r w:rsidR="00A4634E">
              <w:t>,</w:t>
            </w:r>
            <w:r w:rsidRPr="00F44630">
              <w:t xml:space="preserve"> within </w:t>
            </w:r>
            <w:r w:rsidR="002577B0">
              <w:t>seven</w:t>
            </w:r>
            <w:r w:rsidR="002577B0" w:rsidRPr="00F44630">
              <w:t xml:space="preserve"> </w:t>
            </w:r>
            <w:r w:rsidRPr="00F44630">
              <w:t>days after the ED visit (</w:t>
            </w:r>
            <w:r w:rsidR="002577B0">
              <w:t>eight</w:t>
            </w:r>
            <w:r w:rsidR="002577B0" w:rsidRPr="00F44630">
              <w:t xml:space="preserve"> </w:t>
            </w:r>
            <w:r w:rsidRPr="00F44630">
              <w:t>total days). Include visits that occur on the date of the ED visit.</w:t>
            </w:r>
          </w:p>
          <w:p w14:paraId="202A10E8" w14:textId="13922C7C"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These rates are stratified by age (13–17, 18 and older, total)</w:t>
            </w:r>
            <w:r w:rsidR="001A65D4">
              <w:t>.</w:t>
            </w:r>
          </w:p>
        </w:tc>
      </w:tr>
      <w:tr w:rsidR="00C220BF" w:rsidRPr="00F44630" w14:paraId="6933913A" w14:textId="77777777">
        <w:tc>
          <w:tcPr>
            <w:cnfStyle w:val="001000000000" w:firstRow="0" w:lastRow="0" w:firstColumn="1" w:lastColumn="0" w:oddVBand="0" w:evenVBand="0" w:oddHBand="0" w:evenHBand="0" w:firstRowFirstColumn="0" w:firstRowLastColumn="0" w:lastRowFirstColumn="0" w:lastRowLastColumn="0"/>
            <w:tcW w:w="2484" w:type="dxa"/>
          </w:tcPr>
          <w:p w14:paraId="4880B146" w14:textId="77777777" w:rsidR="00C220BF" w:rsidRPr="00F44630" w:rsidRDefault="00C220BF">
            <w:r w:rsidRPr="00F44630">
              <w:t>Denominator</w:t>
            </w:r>
          </w:p>
        </w:tc>
        <w:tc>
          <w:tcPr>
            <w:tcW w:w="6860" w:type="dxa"/>
          </w:tcPr>
          <w:p w14:paraId="0C1DAAF1" w14:textId="0F5432ED"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 xml:space="preserve">ED visits with a primary diagnosis of alcohol or other drug abuse or dependence on or between January 1 and December 1 of the </w:t>
            </w:r>
            <w:r w:rsidRPr="00F44630">
              <w:lastRenderedPageBreak/>
              <w:t>measurement year</w:t>
            </w:r>
            <w:r w:rsidR="005B5BAC">
              <w:t>,</w:t>
            </w:r>
            <w:r w:rsidRPr="00F44630">
              <w:t xml:space="preserve"> where the member was 13 years or older on the date of the visit.</w:t>
            </w:r>
          </w:p>
        </w:tc>
      </w:tr>
      <w:tr w:rsidR="00C220BF" w:rsidRPr="00F44630" w14:paraId="62AA0DF2" w14:textId="77777777">
        <w:tc>
          <w:tcPr>
            <w:cnfStyle w:val="001000000000" w:firstRow="0" w:lastRow="0" w:firstColumn="1" w:lastColumn="0" w:oddVBand="0" w:evenVBand="0" w:oddHBand="0" w:evenHBand="0" w:firstRowFirstColumn="0" w:firstRowLastColumn="0" w:lastRowFirstColumn="0" w:lastRowLastColumn="0"/>
            <w:tcW w:w="2484" w:type="dxa"/>
          </w:tcPr>
          <w:p w14:paraId="7A574851" w14:textId="77777777" w:rsidR="00C220BF" w:rsidRPr="00F44630" w:rsidRDefault="00C220BF">
            <w:r w:rsidRPr="00F44630">
              <w:lastRenderedPageBreak/>
              <w:t>Data Sources</w:t>
            </w:r>
          </w:p>
        </w:tc>
        <w:tc>
          <w:tcPr>
            <w:tcW w:w="6860" w:type="dxa"/>
          </w:tcPr>
          <w:p w14:paraId="017E3B00"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Medicaid claims/encounters data</w:t>
            </w:r>
          </w:p>
        </w:tc>
      </w:tr>
      <w:tr w:rsidR="00C220BF" w:rsidRPr="00786BB0" w14:paraId="0A46AA7C" w14:textId="77777777">
        <w:tc>
          <w:tcPr>
            <w:cnfStyle w:val="001000000000" w:firstRow="0" w:lastRow="0" w:firstColumn="1" w:lastColumn="0" w:oddVBand="0" w:evenVBand="0" w:oddHBand="0" w:evenHBand="0" w:firstRowFirstColumn="0" w:firstRowLastColumn="0" w:lastRowFirstColumn="0" w:lastRowLastColumn="0"/>
            <w:tcW w:w="2484" w:type="dxa"/>
          </w:tcPr>
          <w:p w14:paraId="30E5D76E" w14:textId="77777777" w:rsidR="00C220BF" w:rsidRPr="00F44630" w:rsidRDefault="00C220BF">
            <w:r w:rsidRPr="00F44630">
              <w:t>National Benchmark</w:t>
            </w:r>
          </w:p>
        </w:tc>
        <w:tc>
          <w:tcPr>
            <w:tcW w:w="6860" w:type="dxa"/>
          </w:tcPr>
          <w:p w14:paraId="7C866615" w14:textId="2C326193"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 xml:space="preserve">2021 Medicaid HMO for follow-up within </w:t>
            </w:r>
            <w:r w:rsidR="001A65D4">
              <w:t>seven</w:t>
            </w:r>
            <w:r w:rsidR="001A65D4" w:rsidRPr="00F44630">
              <w:t xml:space="preserve"> </w:t>
            </w:r>
            <w:r w:rsidRPr="00F44630">
              <w:t>days of ED visit= 11%</w:t>
            </w:r>
          </w:p>
          <w:p w14:paraId="4B072CA3"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2021 Medicaid HMO for follow-up within 30 days of ED visit= 15.9%</w:t>
            </w:r>
          </w:p>
          <w:p w14:paraId="6D48508A" w14:textId="6B8944EA" w:rsidR="00C220BF" w:rsidRPr="00EC21C0" w:rsidRDefault="00C220BF">
            <w:pPr>
              <w:cnfStyle w:val="000000000000" w:firstRow="0" w:lastRow="0" w:firstColumn="0" w:lastColumn="0" w:oddVBand="0" w:evenVBand="0" w:oddHBand="0" w:evenHBand="0" w:firstRowFirstColumn="0" w:firstRowLastColumn="0" w:lastRowFirstColumn="0" w:lastRowLastColumn="0"/>
              <w:rPr>
                <w:lang w:val="fr-FR"/>
              </w:rPr>
            </w:pPr>
            <w:r w:rsidRPr="00EC21C0">
              <w:rPr>
                <w:lang w:val="fr-FR"/>
              </w:rPr>
              <w:t xml:space="preserve">Source: </w:t>
            </w:r>
            <w:hyperlink r:id="rId82" w:history="1">
              <w:r w:rsidR="005F5CC3" w:rsidRPr="00EC21C0">
                <w:rPr>
                  <w:rStyle w:val="Hyperlink"/>
                  <w:lang w:val="fr-FR"/>
                </w:rPr>
                <w:t>https://www.ncqa.org/hedis/measures/follow-up-after-emergency-department-visit-for-alcohol-and-other-drug-abuse-or-dependence/</w:t>
              </w:r>
            </w:hyperlink>
            <w:r w:rsidR="005F5CC3" w:rsidRPr="00EC21C0">
              <w:rPr>
                <w:lang w:val="fr-FR"/>
              </w:rPr>
              <w:t xml:space="preserve"> </w:t>
            </w:r>
          </w:p>
        </w:tc>
      </w:tr>
    </w:tbl>
    <w:p w14:paraId="5406FD56" w14:textId="77777777" w:rsidR="00C220BF" w:rsidRPr="00EC21C0" w:rsidRDefault="00C220BF" w:rsidP="00F527EA">
      <w:pPr>
        <w:pStyle w:val="NoSpacing"/>
        <w:rPr>
          <w:lang w:val="fr-FR"/>
        </w:rPr>
      </w:pPr>
    </w:p>
    <w:tbl>
      <w:tblPr>
        <w:tblStyle w:val="FHCclean10pt"/>
        <w:tblW w:w="0" w:type="auto"/>
        <w:tblLook w:val="04A0" w:firstRow="1" w:lastRow="0" w:firstColumn="1" w:lastColumn="0" w:noHBand="0" w:noVBand="1"/>
      </w:tblPr>
      <w:tblGrid>
        <w:gridCol w:w="2484"/>
        <w:gridCol w:w="6860"/>
      </w:tblGrid>
      <w:tr w:rsidR="00C220BF" w:rsidRPr="00F44630" w14:paraId="5A11764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3A69D426" w14:textId="77777777" w:rsidR="00C220BF" w:rsidRPr="00F44630" w:rsidRDefault="00C220BF">
            <w:r w:rsidRPr="00DB3492">
              <w:t>Measure:</w:t>
            </w:r>
          </w:p>
        </w:tc>
        <w:tc>
          <w:tcPr>
            <w:tcW w:w="6860" w:type="dxa"/>
          </w:tcPr>
          <w:p w14:paraId="08FC81EF" w14:textId="18A9B530" w:rsidR="00C220BF" w:rsidRPr="00F44630" w:rsidRDefault="00C220BF">
            <w:pPr>
              <w:cnfStyle w:val="100000000000" w:firstRow="1" w:lastRow="0" w:firstColumn="0" w:lastColumn="0" w:oddVBand="0" w:evenVBand="0" w:oddHBand="0" w:evenHBand="0" w:firstRowFirstColumn="0" w:firstRowLastColumn="0" w:lastRowFirstColumn="0" w:lastRowLastColumn="0"/>
            </w:pPr>
            <w:r w:rsidRPr="00B834ED">
              <w:t>Follow-Up After Hospitalization for Mental Illness (FUH)</w:t>
            </w:r>
            <w:r>
              <w:br/>
            </w:r>
            <w:r w:rsidRPr="00B834ED">
              <w:t>*MassHealth ACO Quality Measure</w:t>
            </w:r>
          </w:p>
        </w:tc>
      </w:tr>
      <w:tr w:rsidR="00C220BF" w:rsidRPr="00F44630" w14:paraId="167702F5" w14:textId="77777777">
        <w:tc>
          <w:tcPr>
            <w:cnfStyle w:val="001000000000" w:firstRow="0" w:lastRow="0" w:firstColumn="1" w:lastColumn="0" w:oddVBand="0" w:evenVBand="0" w:oddHBand="0" w:evenHBand="0" w:firstRowFirstColumn="0" w:firstRowLastColumn="0" w:lastRowFirstColumn="0" w:lastRowLastColumn="0"/>
            <w:tcW w:w="2484" w:type="dxa"/>
          </w:tcPr>
          <w:p w14:paraId="6AF3746E" w14:textId="77777777" w:rsidR="00C220BF" w:rsidRPr="00F44630" w:rsidRDefault="00C220BF">
            <w:r w:rsidRPr="00DB3492">
              <w:t>Steward:</w:t>
            </w:r>
          </w:p>
        </w:tc>
        <w:tc>
          <w:tcPr>
            <w:tcW w:w="6860" w:type="dxa"/>
          </w:tcPr>
          <w:p w14:paraId="18C69CB8"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B834ED">
              <w:t>National Committee for Quality Assurance (#0576)</w:t>
            </w:r>
          </w:p>
        </w:tc>
      </w:tr>
      <w:tr w:rsidR="00C220BF" w:rsidRPr="00F44630" w14:paraId="2193944B" w14:textId="77777777">
        <w:tc>
          <w:tcPr>
            <w:cnfStyle w:val="001000000000" w:firstRow="0" w:lastRow="0" w:firstColumn="1" w:lastColumn="0" w:oddVBand="0" w:evenVBand="0" w:oddHBand="0" w:evenHBand="0" w:firstRowFirstColumn="0" w:firstRowLastColumn="0" w:lastRowFirstColumn="0" w:lastRowLastColumn="0"/>
            <w:tcW w:w="2484" w:type="dxa"/>
          </w:tcPr>
          <w:p w14:paraId="6EB928BF" w14:textId="77777777" w:rsidR="00C220BF" w:rsidRPr="00F44630" w:rsidRDefault="00C220BF">
            <w:r w:rsidRPr="00DB3492">
              <w:t>NQF Endorsed:</w:t>
            </w:r>
          </w:p>
        </w:tc>
        <w:tc>
          <w:tcPr>
            <w:tcW w:w="6860" w:type="dxa"/>
          </w:tcPr>
          <w:p w14:paraId="505D2CFC"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t>Yes</w:t>
            </w:r>
          </w:p>
        </w:tc>
      </w:tr>
      <w:tr w:rsidR="00C220BF" w:rsidRPr="00F44630" w14:paraId="00C5E419" w14:textId="77777777">
        <w:tc>
          <w:tcPr>
            <w:cnfStyle w:val="001000000000" w:firstRow="0" w:lastRow="0" w:firstColumn="1" w:lastColumn="0" w:oddVBand="0" w:evenVBand="0" w:oddHBand="0" w:evenHBand="0" w:firstRowFirstColumn="0" w:firstRowLastColumn="0" w:lastRowFirstColumn="0" w:lastRowLastColumn="0"/>
            <w:tcW w:w="2484" w:type="dxa"/>
          </w:tcPr>
          <w:p w14:paraId="35ACC56F" w14:textId="77777777" w:rsidR="00C220BF" w:rsidRPr="00F44630" w:rsidRDefault="00C220BF">
            <w:r w:rsidRPr="00F44630">
              <w:t>Description</w:t>
            </w:r>
          </w:p>
        </w:tc>
        <w:tc>
          <w:tcPr>
            <w:tcW w:w="6860" w:type="dxa"/>
          </w:tcPr>
          <w:p w14:paraId="401EF20A"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The percentage of discharges for members 6 years of age and older who were hospitalized for treatment of selected mental illness or intentional self-harm diagnoses and who had a follow-up visit with a mental health provider. Two rates are reported:</w:t>
            </w:r>
          </w:p>
          <w:p w14:paraId="7E3844BE" w14:textId="77777777" w:rsidR="00C220BF" w:rsidRPr="00F44630"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F44630">
              <w:t>The percentage of discharges for which the member received follow-up within 30 days after discharge.</w:t>
            </w:r>
          </w:p>
          <w:p w14:paraId="4FB2286E" w14:textId="23D61614" w:rsidR="00C220BF" w:rsidRPr="00F44630"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F44630">
              <w:t xml:space="preserve">The percentage of discharges for which the member received follow-up within </w:t>
            </w:r>
            <w:r w:rsidR="001A65D4">
              <w:t>seven</w:t>
            </w:r>
            <w:r w:rsidR="001A65D4" w:rsidRPr="00F44630">
              <w:t xml:space="preserve"> </w:t>
            </w:r>
            <w:r w:rsidRPr="00F44630">
              <w:t>days after discharge.</w:t>
            </w:r>
          </w:p>
        </w:tc>
      </w:tr>
      <w:tr w:rsidR="00C220BF" w:rsidRPr="00F44630" w14:paraId="64BA5545" w14:textId="77777777">
        <w:tc>
          <w:tcPr>
            <w:cnfStyle w:val="001000000000" w:firstRow="0" w:lastRow="0" w:firstColumn="1" w:lastColumn="0" w:oddVBand="0" w:evenVBand="0" w:oddHBand="0" w:evenHBand="0" w:firstRowFirstColumn="0" w:firstRowLastColumn="0" w:lastRowFirstColumn="0" w:lastRowLastColumn="0"/>
            <w:tcW w:w="2484" w:type="dxa"/>
          </w:tcPr>
          <w:p w14:paraId="42CC4848" w14:textId="77777777" w:rsidR="00C220BF" w:rsidRPr="00F44630" w:rsidRDefault="00C220BF">
            <w:r w:rsidRPr="00F44630">
              <w:t>Numerator</w:t>
            </w:r>
          </w:p>
        </w:tc>
        <w:tc>
          <w:tcPr>
            <w:tcW w:w="6860" w:type="dxa"/>
          </w:tcPr>
          <w:p w14:paraId="31FDCAA6"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30-Day Follow-Up: A follow-up visit with a mental health provider within 30 days after discharge.</w:t>
            </w:r>
          </w:p>
          <w:p w14:paraId="70541519" w14:textId="6719B04A"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 xml:space="preserve">7-Day Follow-Up: A follow-up visit with a mental health provider within </w:t>
            </w:r>
            <w:r w:rsidR="001A65D4">
              <w:t>seven</w:t>
            </w:r>
            <w:r w:rsidR="001A65D4" w:rsidRPr="00F44630">
              <w:t xml:space="preserve"> </w:t>
            </w:r>
            <w:r w:rsidRPr="00F44630">
              <w:t>days after discharge</w:t>
            </w:r>
            <w:r w:rsidR="001A65D4">
              <w:t>.</w:t>
            </w:r>
          </w:p>
        </w:tc>
      </w:tr>
      <w:tr w:rsidR="00C220BF" w:rsidRPr="00F44630" w14:paraId="4C631738" w14:textId="77777777">
        <w:tc>
          <w:tcPr>
            <w:cnfStyle w:val="001000000000" w:firstRow="0" w:lastRow="0" w:firstColumn="1" w:lastColumn="0" w:oddVBand="0" w:evenVBand="0" w:oddHBand="0" w:evenHBand="0" w:firstRowFirstColumn="0" w:firstRowLastColumn="0" w:lastRowFirstColumn="0" w:lastRowLastColumn="0"/>
            <w:tcW w:w="2484" w:type="dxa"/>
          </w:tcPr>
          <w:p w14:paraId="5B661533" w14:textId="77777777" w:rsidR="00C220BF" w:rsidRPr="00F44630" w:rsidRDefault="00C220BF">
            <w:r w:rsidRPr="00F44630">
              <w:t>Denominator</w:t>
            </w:r>
          </w:p>
        </w:tc>
        <w:tc>
          <w:tcPr>
            <w:tcW w:w="6860" w:type="dxa"/>
          </w:tcPr>
          <w:p w14:paraId="76483D42" w14:textId="5A973726"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Discharges from an acute inpatient setting with a principal diagnosis of mental illness or intentional self-harm on the discharge claim during the first 11 months of the measurement year (i.e.</w:t>
            </w:r>
            <w:r w:rsidR="005B5BAC">
              <w:t>,</w:t>
            </w:r>
            <w:r w:rsidRPr="00F44630">
              <w:t xml:space="preserve"> January 1 to December 1) for members 6 years and older.</w:t>
            </w:r>
          </w:p>
        </w:tc>
      </w:tr>
      <w:tr w:rsidR="00C220BF" w:rsidRPr="00F44630" w14:paraId="638AD28F" w14:textId="77777777">
        <w:tc>
          <w:tcPr>
            <w:cnfStyle w:val="001000000000" w:firstRow="0" w:lastRow="0" w:firstColumn="1" w:lastColumn="0" w:oddVBand="0" w:evenVBand="0" w:oddHBand="0" w:evenHBand="0" w:firstRowFirstColumn="0" w:firstRowLastColumn="0" w:lastRowFirstColumn="0" w:lastRowLastColumn="0"/>
            <w:tcW w:w="2484" w:type="dxa"/>
          </w:tcPr>
          <w:p w14:paraId="107E9E22" w14:textId="77777777" w:rsidR="00C220BF" w:rsidRPr="00F44630" w:rsidRDefault="00C220BF">
            <w:r w:rsidRPr="00F44630">
              <w:t>Data Sources</w:t>
            </w:r>
          </w:p>
        </w:tc>
        <w:tc>
          <w:tcPr>
            <w:tcW w:w="6860" w:type="dxa"/>
          </w:tcPr>
          <w:p w14:paraId="64852935"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Medicaid claims/encounters data</w:t>
            </w:r>
          </w:p>
        </w:tc>
      </w:tr>
      <w:tr w:rsidR="00C220BF" w:rsidRPr="00786BB0" w14:paraId="3E22D430" w14:textId="77777777">
        <w:tc>
          <w:tcPr>
            <w:cnfStyle w:val="001000000000" w:firstRow="0" w:lastRow="0" w:firstColumn="1" w:lastColumn="0" w:oddVBand="0" w:evenVBand="0" w:oddHBand="0" w:evenHBand="0" w:firstRowFirstColumn="0" w:firstRowLastColumn="0" w:lastRowFirstColumn="0" w:lastRowLastColumn="0"/>
            <w:tcW w:w="2484" w:type="dxa"/>
          </w:tcPr>
          <w:p w14:paraId="5FBC9EE6" w14:textId="77777777" w:rsidR="00C220BF" w:rsidRPr="00F44630" w:rsidRDefault="00C220BF">
            <w:r w:rsidRPr="00F44630">
              <w:t>National Benchmark</w:t>
            </w:r>
          </w:p>
        </w:tc>
        <w:tc>
          <w:tcPr>
            <w:tcW w:w="6860" w:type="dxa"/>
          </w:tcPr>
          <w:p w14:paraId="6228CD6C" w14:textId="5F8CFB78"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 xml:space="preserve">2021 Medicaid HMO for follow-up within </w:t>
            </w:r>
            <w:r w:rsidR="005B47F7">
              <w:t>seven days</w:t>
            </w:r>
            <w:r w:rsidRPr="00F44630">
              <w:t xml:space="preserve"> post-discharge= 38.4%</w:t>
            </w:r>
          </w:p>
          <w:p w14:paraId="525D8957"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2021 Medicaid HMO for follow-up within 30 days post-discharge = 58.7%</w:t>
            </w:r>
          </w:p>
          <w:p w14:paraId="696AB807" w14:textId="77777777" w:rsidR="00C220BF" w:rsidRPr="00EC21C0" w:rsidRDefault="00C220BF">
            <w:pPr>
              <w:cnfStyle w:val="000000000000" w:firstRow="0" w:lastRow="0" w:firstColumn="0" w:lastColumn="0" w:oddVBand="0" w:evenVBand="0" w:oddHBand="0" w:evenHBand="0" w:firstRowFirstColumn="0" w:firstRowLastColumn="0" w:lastRowFirstColumn="0" w:lastRowLastColumn="0"/>
              <w:rPr>
                <w:lang w:val="fr-FR"/>
              </w:rPr>
            </w:pPr>
            <w:r w:rsidRPr="00EC21C0">
              <w:rPr>
                <w:lang w:val="fr-FR"/>
              </w:rPr>
              <w:t xml:space="preserve">Source: </w:t>
            </w:r>
            <w:hyperlink r:id="rId83" w:history="1">
              <w:r w:rsidRPr="00EC21C0">
                <w:rPr>
                  <w:rStyle w:val="Hyperlink"/>
                  <w:lang w:val="fr-FR"/>
                </w:rPr>
                <w:t>https://www.ncqa.org/hedis/measures/follow-up-after-hospitalization-for-mental-illness/</w:t>
              </w:r>
            </w:hyperlink>
            <w:r w:rsidRPr="00EC21C0">
              <w:rPr>
                <w:lang w:val="fr-FR"/>
              </w:rPr>
              <w:t xml:space="preserve"> </w:t>
            </w:r>
          </w:p>
        </w:tc>
      </w:tr>
    </w:tbl>
    <w:p w14:paraId="3D5CF864" w14:textId="77777777" w:rsidR="00C220BF" w:rsidRDefault="00C220BF" w:rsidP="00F527EA">
      <w:pPr>
        <w:pStyle w:val="NoSpacing"/>
      </w:pPr>
    </w:p>
    <w:tbl>
      <w:tblPr>
        <w:tblStyle w:val="FHCclean10pt"/>
        <w:tblW w:w="0" w:type="auto"/>
        <w:tblLook w:val="04A0" w:firstRow="1" w:lastRow="0" w:firstColumn="1" w:lastColumn="0" w:noHBand="0" w:noVBand="1"/>
      </w:tblPr>
      <w:tblGrid>
        <w:gridCol w:w="2484"/>
        <w:gridCol w:w="6860"/>
      </w:tblGrid>
      <w:tr w:rsidR="00D768CE" w:rsidRPr="00F44630" w14:paraId="53D53129" w14:textId="77777777" w:rsidTr="00B946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61541BAA" w14:textId="77777777" w:rsidR="00D768CE" w:rsidRPr="00EE41A9" w:rsidRDefault="00D768CE" w:rsidP="00B94692">
            <w:r w:rsidRPr="00EE41A9">
              <w:t>Measure:</w:t>
            </w:r>
          </w:p>
        </w:tc>
        <w:tc>
          <w:tcPr>
            <w:tcW w:w="6860" w:type="dxa"/>
          </w:tcPr>
          <w:p w14:paraId="72B639D2" w14:textId="77777777" w:rsidR="00D768CE" w:rsidRPr="00EE41A9" w:rsidRDefault="00D768CE" w:rsidP="00B94692">
            <w:pPr>
              <w:cnfStyle w:val="100000000000" w:firstRow="1" w:lastRow="0" w:firstColumn="0" w:lastColumn="0" w:oddVBand="0" w:evenVBand="0" w:oddHBand="0" w:evenHBand="0" w:firstRowFirstColumn="0" w:firstRowLastColumn="0" w:lastRowFirstColumn="0" w:lastRowLastColumn="0"/>
            </w:pPr>
            <w:r w:rsidRPr="00EE41A9">
              <w:t>Maternal Morbidity</w:t>
            </w:r>
          </w:p>
        </w:tc>
      </w:tr>
      <w:tr w:rsidR="00D768CE" w:rsidRPr="00F44630" w14:paraId="0D56E900" w14:textId="77777777" w:rsidTr="00B94692">
        <w:tc>
          <w:tcPr>
            <w:cnfStyle w:val="001000000000" w:firstRow="0" w:lastRow="0" w:firstColumn="1" w:lastColumn="0" w:oddVBand="0" w:evenVBand="0" w:oddHBand="0" w:evenHBand="0" w:firstRowFirstColumn="0" w:firstRowLastColumn="0" w:lastRowFirstColumn="0" w:lastRowLastColumn="0"/>
            <w:tcW w:w="2484" w:type="dxa"/>
          </w:tcPr>
          <w:p w14:paraId="34CBE61C" w14:textId="77777777" w:rsidR="00D768CE" w:rsidRPr="00EE41A9" w:rsidRDefault="00D768CE" w:rsidP="00B94692">
            <w:r w:rsidRPr="00EE41A9">
              <w:t>Steward:</w:t>
            </w:r>
          </w:p>
        </w:tc>
        <w:tc>
          <w:tcPr>
            <w:tcW w:w="6860" w:type="dxa"/>
          </w:tcPr>
          <w:p w14:paraId="0D478F73" w14:textId="77777777" w:rsidR="00D768CE" w:rsidRPr="00EE41A9" w:rsidRDefault="00D768CE" w:rsidP="00B94692">
            <w:pPr>
              <w:cnfStyle w:val="000000000000" w:firstRow="0" w:lastRow="0" w:firstColumn="0" w:lastColumn="0" w:oddVBand="0" w:evenVBand="0" w:oddHBand="0" w:evenHBand="0" w:firstRowFirstColumn="0" w:firstRowLastColumn="0" w:lastRowFirstColumn="0" w:lastRowLastColumn="0"/>
            </w:pPr>
            <w:r w:rsidRPr="00EE41A9">
              <w:t>MassHealth</w:t>
            </w:r>
          </w:p>
        </w:tc>
      </w:tr>
      <w:tr w:rsidR="00D768CE" w:rsidRPr="00F44630" w14:paraId="2A09A11F" w14:textId="77777777" w:rsidTr="00B94692">
        <w:tc>
          <w:tcPr>
            <w:cnfStyle w:val="001000000000" w:firstRow="0" w:lastRow="0" w:firstColumn="1" w:lastColumn="0" w:oddVBand="0" w:evenVBand="0" w:oddHBand="0" w:evenHBand="0" w:firstRowFirstColumn="0" w:firstRowLastColumn="0" w:lastRowFirstColumn="0" w:lastRowLastColumn="0"/>
            <w:tcW w:w="2484" w:type="dxa"/>
          </w:tcPr>
          <w:p w14:paraId="5A355DA5" w14:textId="77777777" w:rsidR="00D768CE" w:rsidRPr="00EE41A9" w:rsidRDefault="00D768CE" w:rsidP="00B94692">
            <w:r w:rsidRPr="00EE41A9">
              <w:t>NQF Endorsed:</w:t>
            </w:r>
          </w:p>
        </w:tc>
        <w:tc>
          <w:tcPr>
            <w:tcW w:w="6860" w:type="dxa"/>
          </w:tcPr>
          <w:p w14:paraId="4C566911" w14:textId="77777777" w:rsidR="00D768CE" w:rsidRPr="00EE41A9" w:rsidRDefault="00D768CE" w:rsidP="00B94692">
            <w:pPr>
              <w:cnfStyle w:val="000000000000" w:firstRow="0" w:lastRow="0" w:firstColumn="0" w:lastColumn="0" w:oddVBand="0" w:evenVBand="0" w:oddHBand="0" w:evenHBand="0" w:firstRowFirstColumn="0" w:firstRowLastColumn="0" w:lastRowFirstColumn="0" w:lastRowLastColumn="0"/>
            </w:pPr>
            <w:r w:rsidRPr="00EE41A9">
              <w:t>No</w:t>
            </w:r>
          </w:p>
        </w:tc>
      </w:tr>
      <w:tr w:rsidR="00D768CE" w:rsidRPr="00F44630" w14:paraId="2E347E7F" w14:textId="77777777" w:rsidTr="00B94692">
        <w:tc>
          <w:tcPr>
            <w:cnfStyle w:val="001000000000" w:firstRow="0" w:lastRow="0" w:firstColumn="1" w:lastColumn="0" w:oddVBand="0" w:evenVBand="0" w:oddHBand="0" w:evenHBand="0" w:firstRowFirstColumn="0" w:firstRowLastColumn="0" w:lastRowFirstColumn="0" w:lastRowLastColumn="0"/>
            <w:tcW w:w="2484" w:type="dxa"/>
          </w:tcPr>
          <w:p w14:paraId="4E76E3F9" w14:textId="77777777" w:rsidR="00D768CE" w:rsidRPr="00EE41A9" w:rsidRDefault="00D768CE" w:rsidP="00B94692">
            <w:r w:rsidRPr="00EE41A9">
              <w:t>Description</w:t>
            </w:r>
          </w:p>
        </w:tc>
        <w:tc>
          <w:tcPr>
            <w:tcW w:w="6860" w:type="dxa"/>
          </w:tcPr>
          <w:p w14:paraId="4214ACC3" w14:textId="77777777" w:rsidR="00D768CE" w:rsidRPr="00EE41A9" w:rsidRDefault="00D768CE" w:rsidP="00B94692">
            <w:pPr>
              <w:cnfStyle w:val="000000000000" w:firstRow="0" w:lastRow="0" w:firstColumn="0" w:lastColumn="0" w:oddVBand="0" w:evenVBand="0" w:oddHBand="0" w:evenHBand="0" w:firstRowFirstColumn="0" w:firstRowLastColumn="0" w:lastRowFirstColumn="0" w:lastRowLastColumn="0"/>
            </w:pPr>
            <w:r w:rsidRPr="00EE41A9">
              <w:t>Specification pending.</w:t>
            </w:r>
          </w:p>
        </w:tc>
      </w:tr>
    </w:tbl>
    <w:p w14:paraId="05BF3409" w14:textId="77777777" w:rsidR="00D768CE" w:rsidRDefault="00D768CE" w:rsidP="00F527EA">
      <w:pPr>
        <w:pStyle w:val="NoSpacing"/>
      </w:pPr>
    </w:p>
    <w:tbl>
      <w:tblPr>
        <w:tblStyle w:val="FHCclean10pt"/>
        <w:tblW w:w="0" w:type="auto"/>
        <w:tblLook w:val="04A0" w:firstRow="1" w:lastRow="0" w:firstColumn="1" w:lastColumn="0" w:noHBand="0" w:noVBand="1"/>
      </w:tblPr>
      <w:tblGrid>
        <w:gridCol w:w="2484"/>
        <w:gridCol w:w="6860"/>
      </w:tblGrid>
      <w:tr w:rsidR="00C220BF" w:rsidRPr="00F44630" w14:paraId="21F336F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0BC93EBC" w14:textId="77777777" w:rsidR="00C220BF" w:rsidRPr="00F44630" w:rsidRDefault="00C220BF">
            <w:r w:rsidRPr="00DB3492">
              <w:t>Measure:</w:t>
            </w:r>
          </w:p>
        </w:tc>
        <w:tc>
          <w:tcPr>
            <w:tcW w:w="6860" w:type="dxa"/>
          </w:tcPr>
          <w:p w14:paraId="4278737C" w14:textId="77777777" w:rsidR="00C220BF" w:rsidRPr="00F44630" w:rsidRDefault="00C220BF">
            <w:pPr>
              <w:cnfStyle w:val="100000000000" w:firstRow="1" w:lastRow="0" w:firstColumn="0" w:lastColumn="0" w:oddVBand="0" w:evenVBand="0" w:oddHBand="0" w:evenHBand="0" w:firstRowFirstColumn="0" w:firstRowLastColumn="0" w:lastRowFirstColumn="0" w:lastRowLastColumn="0"/>
            </w:pPr>
            <w:r w:rsidRPr="00945C1D">
              <w:t>Controlling High Blood Pressure (CBP-AD)</w:t>
            </w:r>
          </w:p>
        </w:tc>
      </w:tr>
      <w:tr w:rsidR="00C220BF" w:rsidRPr="00F44630" w14:paraId="3E4C03DF" w14:textId="77777777">
        <w:tc>
          <w:tcPr>
            <w:cnfStyle w:val="001000000000" w:firstRow="0" w:lastRow="0" w:firstColumn="1" w:lastColumn="0" w:oddVBand="0" w:evenVBand="0" w:oddHBand="0" w:evenHBand="0" w:firstRowFirstColumn="0" w:firstRowLastColumn="0" w:lastRowFirstColumn="0" w:lastRowLastColumn="0"/>
            <w:tcW w:w="2484" w:type="dxa"/>
          </w:tcPr>
          <w:p w14:paraId="0A8F5554" w14:textId="77777777" w:rsidR="00C220BF" w:rsidRPr="00F44630" w:rsidRDefault="00C220BF">
            <w:r w:rsidRPr="00DB3492">
              <w:t>Steward:</w:t>
            </w:r>
          </w:p>
        </w:tc>
        <w:tc>
          <w:tcPr>
            <w:tcW w:w="6860" w:type="dxa"/>
          </w:tcPr>
          <w:p w14:paraId="37C93D93" w14:textId="5AAE8B8A"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945C1D">
              <w:t>National Committee for Quality Assurance (#0018)</w:t>
            </w:r>
            <w:r>
              <w:br/>
            </w:r>
            <w:r w:rsidRPr="00945C1D">
              <w:t xml:space="preserve">*MassHealth </w:t>
            </w:r>
            <w:r>
              <w:t>M</w:t>
            </w:r>
            <w:r w:rsidRPr="00945C1D">
              <w:t xml:space="preserve">onitoring </w:t>
            </w:r>
            <w:r>
              <w:t>M</w:t>
            </w:r>
            <w:r w:rsidRPr="00945C1D">
              <w:t>easure</w:t>
            </w:r>
          </w:p>
        </w:tc>
      </w:tr>
      <w:tr w:rsidR="00C220BF" w:rsidRPr="00F44630" w14:paraId="366D3D94" w14:textId="77777777">
        <w:tc>
          <w:tcPr>
            <w:cnfStyle w:val="001000000000" w:firstRow="0" w:lastRow="0" w:firstColumn="1" w:lastColumn="0" w:oddVBand="0" w:evenVBand="0" w:oddHBand="0" w:evenHBand="0" w:firstRowFirstColumn="0" w:firstRowLastColumn="0" w:lastRowFirstColumn="0" w:lastRowLastColumn="0"/>
            <w:tcW w:w="2484" w:type="dxa"/>
          </w:tcPr>
          <w:p w14:paraId="053D6931" w14:textId="77777777" w:rsidR="00C220BF" w:rsidRPr="00F44630" w:rsidRDefault="00C220BF">
            <w:r w:rsidRPr="00DB3492">
              <w:lastRenderedPageBreak/>
              <w:t>NQF Endorsed:</w:t>
            </w:r>
          </w:p>
        </w:tc>
        <w:tc>
          <w:tcPr>
            <w:tcW w:w="6860" w:type="dxa"/>
          </w:tcPr>
          <w:p w14:paraId="1FF934D9"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t>Yes</w:t>
            </w:r>
          </w:p>
        </w:tc>
      </w:tr>
      <w:tr w:rsidR="00C220BF" w:rsidRPr="00F44630" w14:paraId="65E49B2B" w14:textId="77777777">
        <w:tc>
          <w:tcPr>
            <w:cnfStyle w:val="001000000000" w:firstRow="0" w:lastRow="0" w:firstColumn="1" w:lastColumn="0" w:oddVBand="0" w:evenVBand="0" w:oddHBand="0" w:evenHBand="0" w:firstRowFirstColumn="0" w:firstRowLastColumn="0" w:lastRowFirstColumn="0" w:lastRowLastColumn="0"/>
            <w:tcW w:w="2484" w:type="dxa"/>
          </w:tcPr>
          <w:p w14:paraId="17E01AF4" w14:textId="77777777" w:rsidR="00C220BF" w:rsidRPr="00F44630" w:rsidRDefault="00C220BF">
            <w:r w:rsidRPr="00F44630">
              <w:t>Description</w:t>
            </w:r>
          </w:p>
        </w:tc>
        <w:tc>
          <w:tcPr>
            <w:tcW w:w="6860" w:type="dxa"/>
          </w:tcPr>
          <w:p w14:paraId="0B76C15C" w14:textId="752C09BE"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The percentage of adults 18</w:t>
            </w:r>
            <w:r w:rsidR="001A65D4">
              <w:t xml:space="preserve"> to </w:t>
            </w:r>
            <w:r w:rsidRPr="00F44630">
              <w:t>85 years of age who had a diagnosis of hypertension (HTN) and whose blood pressure was adequately controlled (&lt;140/90 mm Hg) during the measurement year.</w:t>
            </w:r>
          </w:p>
        </w:tc>
      </w:tr>
      <w:tr w:rsidR="00C220BF" w:rsidRPr="00F44630" w14:paraId="4483408A" w14:textId="77777777">
        <w:tc>
          <w:tcPr>
            <w:cnfStyle w:val="001000000000" w:firstRow="0" w:lastRow="0" w:firstColumn="1" w:lastColumn="0" w:oddVBand="0" w:evenVBand="0" w:oddHBand="0" w:evenHBand="0" w:firstRowFirstColumn="0" w:firstRowLastColumn="0" w:lastRowFirstColumn="0" w:lastRowLastColumn="0"/>
            <w:tcW w:w="2484" w:type="dxa"/>
          </w:tcPr>
          <w:p w14:paraId="0E21BC08" w14:textId="77777777" w:rsidR="00C220BF" w:rsidRPr="00F44630" w:rsidRDefault="00C220BF">
            <w:r w:rsidRPr="00F44630">
              <w:t>Numerator</w:t>
            </w:r>
          </w:p>
        </w:tc>
        <w:tc>
          <w:tcPr>
            <w:tcW w:w="6860" w:type="dxa"/>
          </w:tcPr>
          <w:p w14:paraId="3F37389A" w14:textId="2F7F8F8A"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Patients whose most recent blood pressure level was &lt;140/90 mm Hg during the measurement year</w:t>
            </w:r>
            <w:r w:rsidR="001A65D4">
              <w:t>.</w:t>
            </w:r>
          </w:p>
        </w:tc>
      </w:tr>
      <w:tr w:rsidR="00C220BF" w:rsidRPr="00F44630" w14:paraId="450FB268" w14:textId="77777777">
        <w:tc>
          <w:tcPr>
            <w:cnfStyle w:val="001000000000" w:firstRow="0" w:lastRow="0" w:firstColumn="1" w:lastColumn="0" w:oddVBand="0" w:evenVBand="0" w:oddHBand="0" w:evenHBand="0" w:firstRowFirstColumn="0" w:firstRowLastColumn="0" w:lastRowFirstColumn="0" w:lastRowLastColumn="0"/>
            <w:tcW w:w="2484" w:type="dxa"/>
          </w:tcPr>
          <w:p w14:paraId="7A4FCABE" w14:textId="77777777" w:rsidR="00C220BF" w:rsidRPr="00F44630" w:rsidRDefault="00C220BF">
            <w:r w:rsidRPr="00F44630">
              <w:t>Denominator</w:t>
            </w:r>
          </w:p>
        </w:tc>
        <w:tc>
          <w:tcPr>
            <w:tcW w:w="6860" w:type="dxa"/>
          </w:tcPr>
          <w:p w14:paraId="6221C858" w14:textId="357EAB58"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Patients 18</w:t>
            </w:r>
            <w:r w:rsidR="001A65D4">
              <w:t xml:space="preserve"> to </w:t>
            </w:r>
            <w:r w:rsidRPr="00F44630">
              <w:t>85 years of age who had at least two visits on different dates of service with a diagnosis of hypertension during the measurement year or the year prior to the measurement year</w:t>
            </w:r>
            <w:r w:rsidR="001A65D4">
              <w:t>.</w:t>
            </w:r>
          </w:p>
        </w:tc>
      </w:tr>
      <w:tr w:rsidR="00C220BF" w:rsidRPr="00F44630" w14:paraId="4E64EE44" w14:textId="77777777">
        <w:tc>
          <w:tcPr>
            <w:cnfStyle w:val="001000000000" w:firstRow="0" w:lastRow="0" w:firstColumn="1" w:lastColumn="0" w:oddVBand="0" w:evenVBand="0" w:oddHBand="0" w:evenHBand="0" w:firstRowFirstColumn="0" w:firstRowLastColumn="0" w:lastRowFirstColumn="0" w:lastRowLastColumn="0"/>
            <w:tcW w:w="2484" w:type="dxa"/>
          </w:tcPr>
          <w:p w14:paraId="063C22D7" w14:textId="77777777" w:rsidR="00C220BF" w:rsidRPr="00F44630" w:rsidRDefault="00C220BF">
            <w:r w:rsidRPr="00F44630">
              <w:t>Data Sources</w:t>
            </w:r>
          </w:p>
        </w:tc>
        <w:tc>
          <w:tcPr>
            <w:tcW w:w="6860" w:type="dxa"/>
          </w:tcPr>
          <w:p w14:paraId="4C114A87"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Hybrid</w:t>
            </w:r>
          </w:p>
        </w:tc>
      </w:tr>
      <w:tr w:rsidR="00C220BF" w:rsidRPr="00F44630" w14:paraId="43160BC6" w14:textId="77777777">
        <w:tc>
          <w:tcPr>
            <w:cnfStyle w:val="001000000000" w:firstRow="0" w:lastRow="0" w:firstColumn="1" w:lastColumn="0" w:oddVBand="0" w:evenVBand="0" w:oddHBand="0" w:evenHBand="0" w:firstRowFirstColumn="0" w:firstRowLastColumn="0" w:lastRowFirstColumn="0" w:lastRowLastColumn="0"/>
            <w:tcW w:w="2484" w:type="dxa"/>
          </w:tcPr>
          <w:p w14:paraId="11157CA6" w14:textId="77777777" w:rsidR="00C220BF" w:rsidRPr="00F44630" w:rsidRDefault="00C220BF">
            <w:r w:rsidRPr="00F44630">
              <w:t>National Benchmark</w:t>
            </w:r>
          </w:p>
        </w:tc>
        <w:tc>
          <w:tcPr>
            <w:tcW w:w="6860" w:type="dxa"/>
          </w:tcPr>
          <w:p w14:paraId="005BACE6"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2021 Medicaid HMO = 58.6%</w:t>
            </w:r>
          </w:p>
          <w:p w14:paraId="580496B2" w14:textId="7225635A"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 xml:space="preserve">Source: </w:t>
            </w:r>
            <w:hyperlink r:id="rId84" w:history="1">
              <w:r w:rsidR="005F5CC3" w:rsidRPr="009348BF">
                <w:rPr>
                  <w:rStyle w:val="Hyperlink"/>
                </w:rPr>
                <w:t>https://www.ncqa.org/hedis/measures/controlling-high-blood-pressure/</w:t>
              </w:r>
            </w:hyperlink>
            <w:r w:rsidR="005F5CC3">
              <w:t xml:space="preserve"> </w:t>
            </w:r>
          </w:p>
        </w:tc>
      </w:tr>
    </w:tbl>
    <w:p w14:paraId="3FCE7C61" w14:textId="77777777" w:rsidR="00C220BF" w:rsidRDefault="00C220BF" w:rsidP="00F527EA">
      <w:pPr>
        <w:pStyle w:val="NoSpacing"/>
      </w:pPr>
    </w:p>
    <w:tbl>
      <w:tblPr>
        <w:tblStyle w:val="FHCclean10pt"/>
        <w:tblW w:w="0" w:type="auto"/>
        <w:tblLook w:val="04A0" w:firstRow="1" w:lastRow="0" w:firstColumn="1" w:lastColumn="0" w:noHBand="0" w:noVBand="1"/>
      </w:tblPr>
      <w:tblGrid>
        <w:gridCol w:w="2484"/>
        <w:gridCol w:w="6860"/>
      </w:tblGrid>
      <w:tr w:rsidR="00C220BF" w:rsidRPr="00F44630" w14:paraId="25EBA4D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6F8659B8" w14:textId="77777777" w:rsidR="00C220BF" w:rsidRPr="00F44630" w:rsidRDefault="00C220BF">
            <w:r w:rsidRPr="00DB3492">
              <w:t>Measure:</w:t>
            </w:r>
          </w:p>
        </w:tc>
        <w:tc>
          <w:tcPr>
            <w:tcW w:w="6860" w:type="dxa"/>
          </w:tcPr>
          <w:p w14:paraId="102CE8CC" w14:textId="77777777" w:rsidR="00C220BF" w:rsidRPr="00F44630" w:rsidRDefault="00C220BF">
            <w:pPr>
              <w:cnfStyle w:val="100000000000" w:firstRow="1" w:lastRow="0" w:firstColumn="0" w:lastColumn="0" w:oddVBand="0" w:evenVBand="0" w:oddHBand="0" w:evenHBand="0" w:firstRowFirstColumn="0" w:firstRowLastColumn="0" w:lastRowFirstColumn="0" w:lastRowLastColumn="0"/>
            </w:pPr>
            <w:r w:rsidRPr="00937727">
              <w:t>Unnecessary C-Section</w:t>
            </w:r>
          </w:p>
        </w:tc>
      </w:tr>
      <w:tr w:rsidR="00C220BF" w:rsidRPr="00F44630" w14:paraId="536F4E63" w14:textId="77777777">
        <w:tc>
          <w:tcPr>
            <w:cnfStyle w:val="001000000000" w:firstRow="0" w:lastRow="0" w:firstColumn="1" w:lastColumn="0" w:oddVBand="0" w:evenVBand="0" w:oddHBand="0" w:evenHBand="0" w:firstRowFirstColumn="0" w:firstRowLastColumn="0" w:lastRowFirstColumn="0" w:lastRowLastColumn="0"/>
            <w:tcW w:w="2484" w:type="dxa"/>
          </w:tcPr>
          <w:p w14:paraId="5C1E9D12" w14:textId="77777777" w:rsidR="00C220BF" w:rsidRPr="00F44630" w:rsidRDefault="00C220BF">
            <w:r w:rsidRPr="00DB3492">
              <w:t>Steward:</w:t>
            </w:r>
          </w:p>
        </w:tc>
        <w:tc>
          <w:tcPr>
            <w:tcW w:w="6860" w:type="dxa"/>
          </w:tcPr>
          <w:p w14:paraId="1D7CAFC1"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937727">
              <w:t>Joint Commission National Quality Measures (#PC-02)</w:t>
            </w:r>
          </w:p>
        </w:tc>
      </w:tr>
      <w:tr w:rsidR="00C220BF" w:rsidRPr="00F44630" w14:paraId="64EC6BC6" w14:textId="77777777">
        <w:tc>
          <w:tcPr>
            <w:cnfStyle w:val="001000000000" w:firstRow="0" w:lastRow="0" w:firstColumn="1" w:lastColumn="0" w:oddVBand="0" w:evenVBand="0" w:oddHBand="0" w:evenHBand="0" w:firstRowFirstColumn="0" w:firstRowLastColumn="0" w:lastRowFirstColumn="0" w:lastRowLastColumn="0"/>
            <w:tcW w:w="2484" w:type="dxa"/>
          </w:tcPr>
          <w:p w14:paraId="701F0C8B" w14:textId="77777777" w:rsidR="00C220BF" w:rsidRPr="00F44630" w:rsidRDefault="00C220BF">
            <w:r w:rsidRPr="00DB3492">
              <w:t>NQF Endorsed:</w:t>
            </w:r>
          </w:p>
        </w:tc>
        <w:tc>
          <w:tcPr>
            <w:tcW w:w="6860" w:type="dxa"/>
          </w:tcPr>
          <w:p w14:paraId="723135DE"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t>No</w:t>
            </w:r>
          </w:p>
        </w:tc>
      </w:tr>
      <w:tr w:rsidR="00C220BF" w:rsidRPr="00F44630" w14:paraId="14958C30" w14:textId="77777777">
        <w:tc>
          <w:tcPr>
            <w:cnfStyle w:val="001000000000" w:firstRow="0" w:lastRow="0" w:firstColumn="1" w:lastColumn="0" w:oddVBand="0" w:evenVBand="0" w:oddHBand="0" w:evenHBand="0" w:firstRowFirstColumn="0" w:firstRowLastColumn="0" w:lastRowFirstColumn="0" w:lastRowLastColumn="0"/>
            <w:tcW w:w="2484" w:type="dxa"/>
          </w:tcPr>
          <w:p w14:paraId="5CEF7AF2" w14:textId="77777777" w:rsidR="00C220BF" w:rsidRPr="00F44630" w:rsidRDefault="00C220BF">
            <w:r w:rsidRPr="00F44630">
              <w:t>Description</w:t>
            </w:r>
          </w:p>
        </w:tc>
        <w:tc>
          <w:tcPr>
            <w:tcW w:w="6860" w:type="dxa"/>
          </w:tcPr>
          <w:p w14:paraId="6A4C84F5" w14:textId="57802968"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 xml:space="preserve">Nulliparous women with a term, singleton baby in a vertex position delivered by </w:t>
            </w:r>
            <w:r w:rsidR="001A65D4">
              <w:t>C</w:t>
            </w:r>
            <w:r w:rsidR="001A65D4" w:rsidRPr="00F44630">
              <w:t xml:space="preserve">esarean </w:t>
            </w:r>
            <w:r w:rsidRPr="00F44630">
              <w:t>birth</w:t>
            </w:r>
            <w:r w:rsidR="001A65D4">
              <w:t>.</w:t>
            </w:r>
          </w:p>
        </w:tc>
      </w:tr>
      <w:tr w:rsidR="00C220BF" w:rsidRPr="00F44630" w14:paraId="6E2047B0" w14:textId="77777777">
        <w:tc>
          <w:tcPr>
            <w:cnfStyle w:val="001000000000" w:firstRow="0" w:lastRow="0" w:firstColumn="1" w:lastColumn="0" w:oddVBand="0" w:evenVBand="0" w:oddHBand="0" w:evenHBand="0" w:firstRowFirstColumn="0" w:firstRowLastColumn="0" w:lastRowFirstColumn="0" w:lastRowLastColumn="0"/>
            <w:tcW w:w="2484" w:type="dxa"/>
          </w:tcPr>
          <w:p w14:paraId="482FD777" w14:textId="77777777" w:rsidR="00C220BF" w:rsidRPr="00F44630" w:rsidRDefault="00C220BF">
            <w:r w:rsidRPr="00F44630">
              <w:t>Numerator</w:t>
            </w:r>
          </w:p>
        </w:tc>
        <w:tc>
          <w:tcPr>
            <w:tcW w:w="6860" w:type="dxa"/>
          </w:tcPr>
          <w:p w14:paraId="6E69DBC0" w14:textId="6AC15DD6"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 xml:space="preserve">Patients with </w:t>
            </w:r>
            <w:r w:rsidR="001A65D4">
              <w:t>C</w:t>
            </w:r>
            <w:r w:rsidR="001A65D4" w:rsidRPr="00F44630">
              <w:t xml:space="preserve">esarean </w:t>
            </w:r>
            <w:r w:rsidRPr="00F44630">
              <w:t>births</w:t>
            </w:r>
          </w:p>
        </w:tc>
      </w:tr>
      <w:tr w:rsidR="00C220BF" w:rsidRPr="00F44630" w14:paraId="4915C421" w14:textId="77777777">
        <w:tc>
          <w:tcPr>
            <w:cnfStyle w:val="001000000000" w:firstRow="0" w:lastRow="0" w:firstColumn="1" w:lastColumn="0" w:oddVBand="0" w:evenVBand="0" w:oddHBand="0" w:evenHBand="0" w:firstRowFirstColumn="0" w:firstRowLastColumn="0" w:lastRowFirstColumn="0" w:lastRowLastColumn="0"/>
            <w:tcW w:w="2484" w:type="dxa"/>
          </w:tcPr>
          <w:p w14:paraId="676B1D5A" w14:textId="77777777" w:rsidR="00C220BF" w:rsidRPr="00F44630" w:rsidRDefault="00C220BF">
            <w:r w:rsidRPr="00F44630">
              <w:t>Denominator</w:t>
            </w:r>
          </w:p>
        </w:tc>
        <w:tc>
          <w:tcPr>
            <w:tcW w:w="6860" w:type="dxa"/>
          </w:tcPr>
          <w:p w14:paraId="1351EDA0" w14:textId="1739B98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 xml:space="preserve">Nulliparous patients delivered of a </w:t>
            </w:r>
            <w:r w:rsidR="00B06AAA" w:rsidRPr="00F44630">
              <w:t>live</w:t>
            </w:r>
            <w:r w:rsidR="00B06AAA">
              <w:t>-</w:t>
            </w:r>
            <w:r w:rsidRPr="00F44630">
              <w:t>term singleton newborn in vertex presentation</w:t>
            </w:r>
            <w:r w:rsidR="00B06AAA">
              <w:t>.</w:t>
            </w:r>
          </w:p>
        </w:tc>
      </w:tr>
      <w:tr w:rsidR="00C220BF" w:rsidRPr="00F44630" w14:paraId="42DA15EB" w14:textId="77777777">
        <w:tc>
          <w:tcPr>
            <w:cnfStyle w:val="001000000000" w:firstRow="0" w:lastRow="0" w:firstColumn="1" w:lastColumn="0" w:oddVBand="0" w:evenVBand="0" w:oddHBand="0" w:evenHBand="0" w:firstRowFirstColumn="0" w:firstRowLastColumn="0" w:lastRowFirstColumn="0" w:lastRowLastColumn="0"/>
            <w:tcW w:w="2484" w:type="dxa"/>
          </w:tcPr>
          <w:p w14:paraId="6311F7E2" w14:textId="77777777" w:rsidR="00C220BF" w:rsidRPr="00F44630" w:rsidRDefault="00C220BF">
            <w:r w:rsidRPr="00F44630">
              <w:t>Data Sources</w:t>
            </w:r>
          </w:p>
        </w:tc>
        <w:tc>
          <w:tcPr>
            <w:tcW w:w="6860" w:type="dxa"/>
          </w:tcPr>
          <w:p w14:paraId="435F8765"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Medicaid claims/encounters data</w:t>
            </w:r>
          </w:p>
        </w:tc>
      </w:tr>
      <w:tr w:rsidR="00C220BF" w:rsidRPr="00F44630" w14:paraId="08A5C831" w14:textId="77777777">
        <w:tc>
          <w:tcPr>
            <w:cnfStyle w:val="001000000000" w:firstRow="0" w:lastRow="0" w:firstColumn="1" w:lastColumn="0" w:oddVBand="0" w:evenVBand="0" w:oddHBand="0" w:evenHBand="0" w:firstRowFirstColumn="0" w:firstRowLastColumn="0" w:lastRowFirstColumn="0" w:lastRowLastColumn="0"/>
            <w:tcW w:w="2484" w:type="dxa"/>
          </w:tcPr>
          <w:p w14:paraId="4387A53F" w14:textId="77777777" w:rsidR="00C220BF" w:rsidRPr="00F44630" w:rsidRDefault="00C220BF">
            <w:r w:rsidRPr="00F44630">
              <w:t>National Benchmark</w:t>
            </w:r>
          </w:p>
        </w:tc>
        <w:tc>
          <w:tcPr>
            <w:tcW w:w="6860" w:type="dxa"/>
          </w:tcPr>
          <w:p w14:paraId="45DB49AA"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None</w:t>
            </w:r>
          </w:p>
        </w:tc>
      </w:tr>
    </w:tbl>
    <w:p w14:paraId="5AFDB393" w14:textId="77777777" w:rsidR="00C220BF" w:rsidRDefault="00C220BF" w:rsidP="00F527EA">
      <w:pPr>
        <w:pStyle w:val="NoSpacing"/>
      </w:pPr>
    </w:p>
    <w:tbl>
      <w:tblPr>
        <w:tblStyle w:val="FHCclean10pt"/>
        <w:tblW w:w="0" w:type="auto"/>
        <w:tblLook w:val="04A0" w:firstRow="1" w:lastRow="0" w:firstColumn="1" w:lastColumn="0" w:noHBand="0" w:noVBand="1"/>
      </w:tblPr>
      <w:tblGrid>
        <w:gridCol w:w="2484"/>
        <w:gridCol w:w="6860"/>
      </w:tblGrid>
      <w:tr w:rsidR="00C220BF" w:rsidRPr="00F44630" w14:paraId="75E774C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51DEFBF2" w14:textId="77777777" w:rsidR="00C220BF" w:rsidRPr="00F44630" w:rsidRDefault="00C220BF">
            <w:r w:rsidRPr="00DB3492">
              <w:t>Measure:</w:t>
            </w:r>
          </w:p>
        </w:tc>
        <w:tc>
          <w:tcPr>
            <w:tcW w:w="6860" w:type="dxa"/>
          </w:tcPr>
          <w:p w14:paraId="7274622E" w14:textId="487EDA71" w:rsidR="00C220BF" w:rsidRPr="00F44630" w:rsidRDefault="00C220BF">
            <w:pPr>
              <w:cnfStyle w:val="100000000000" w:firstRow="1" w:lastRow="0" w:firstColumn="0" w:lastColumn="0" w:oddVBand="0" w:evenVBand="0" w:oddHBand="0" w:evenHBand="0" w:firstRowFirstColumn="0" w:firstRowLastColumn="0" w:lastRowFirstColumn="0" w:lastRowLastColumn="0"/>
            </w:pPr>
            <w:bookmarkStart w:id="293" w:name="_Hlk151294108"/>
            <w:r w:rsidRPr="00937727">
              <w:t>Emergency Department Visits for Individuals with Mental Illness, Addiction, or Co-occurring Conditions</w:t>
            </w:r>
            <w:r>
              <w:br/>
            </w:r>
            <w:r w:rsidRPr="00937727">
              <w:t>*</w:t>
            </w:r>
            <w:r w:rsidR="005B47F7">
              <w:t xml:space="preserve"> </w:t>
            </w:r>
            <w:r w:rsidRPr="00937727">
              <w:t>MassHealth ACO Quality Measure</w:t>
            </w:r>
            <w:bookmarkEnd w:id="293"/>
          </w:p>
        </w:tc>
      </w:tr>
      <w:tr w:rsidR="00C220BF" w:rsidRPr="00F44630" w14:paraId="547C1AAB" w14:textId="77777777">
        <w:tc>
          <w:tcPr>
            <w:cnfStyle w:val="001000000000" w:firstRow="0" w:lastRow="0" w:firstColumn="1" w:lastColumn="0" w:oddVBand="0" w:evenVBand="0" w:oddHBand="0" w:evenHBand="0" w:firstRowFirstColumn="0" w:firstRowLastColumn="0" w:lastRowFirstColumn="0" w:lastRowLastColumn="0"/>
            <w:tcW w:w="2484" w:type="dxa"/>
          </w:tcPr>
          <w:p w14:paraId="4B789A23" w14:textId="77777777" w:rsidR="00C220BF" w:rsidRPr="00F44630" w:rsidRDefault="00C220BF">
            <w:r w:rsidRPr="00DB3492">
              <w:t>Steward:</w:t>
            </w:r>
          </w:p>
        </w:tc>
        <w:tc>
          <w:tcPr>
            <w:tcW w:w="6860" w:type="dxa"/>
          </w:tcPr>
          <w:p w14:paraId="6CBE1D6F"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t>MassHealth</w:t>
            </w:r>
          </w:p>
        </w:tc>
      </w:tr>
      <w:tr w:rsidR="00C220BF" w:rsidRPr="00F44630" w14:paraId="295AE366" w14:textId="77777777">
        <w:tc>
          <w:tcPr>
            <w:cnfStyle w:val="001000000000" w:firstRow="0" w:lastRow="0" w:firstColumn="1" w:lastColumn="0" w:oddVBand="0" w:evenVBand="0" w:oddHBand="0" w:evenHBand="0" w:firstRowFirstColumn="0" w:firstRowLastColumn="0" w:lastRowFirstColumn="0" w:lastRowLastColumn="0"/>
            <w:tcW w:w="2484" w:type="dxa"/>
          </w:tcPr>
          <w:p w14:paraId="3817E8F7" w14:textId="77777777" w:rsidR="00C220BF" w:rsidRPr="00F44630" w:rsidRDefault="00C220BF">
            <w:r w:rsidRPr="00DB3492">
              <w:t>NQF Endorsed:</w:t>
            </w:r>
          </w:p>
        </w:tc>
        <w:tc>
          <w:tcPr>
            <w:tcW w:w="6860" w:type="dxa"/>
          </w:tcPr>
          <w:p w14:paraId="08511337"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t>No</w:t>
            </w:r>
          </w:p>
        </w:tc>
      </w:tr>
      <w:tr w:rsidR="00C220BF" w:rsidRPr="00F44630" w14:paraId="64039B7D" w14:textId="77777777">
        <w:tc>
          <w:tcPr>
            <w:cnfStyle w:val="001000000000" w:firstRow="0" w:lastRow="0" w:firstColumn="1" w:lastColumn="0" w:oddVBand="0" w:evenVBand="0" w:oddHBand="0" w:evenHBand="0" w:firstRowFirstColumn="0" w:firstRowLastColumn="0" w:lastRowFirstColumn="0" w:lastRowLastColumn="0"/>
            <w:tcW w:w="2484" w:type="dxa"/>
          </w:tcPr>
          <w:p w14:paraId="1ED27F4C" w14:textId="77777777" w:rsidR="00C220BF" w:rsidRPr="00F44630" w:rsidRDefault="00C220BF">
            <w:r w:rsidRPr="00F44630">
              <w:t>Description</w:t>
            </w:r>
          </w:p>
        </w:tc>
        <w:tc>
          <w:tcPr>
            <w:tcW w:w="6860" w:type="dxa"/>
          </w:tcPr>
          <w:p w14:paraId="0C6A45C7" w14:textId="58B035B2"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 xml:space="preserve">Rate of ED visits for members 18 to 64 years of age identified with a diagnosis of </w:t>
            </w:r>
            <w:r w:rsidR="00BE35B0">
              <w:t>SMI</w:t>
            </w:r>
            <w:r w:rsidRPr="00F44630">
              <w:t xml:space="preserve"> and/or substance addiction</w:t>
            </w:r>
            <w:r w:rsidR="00B06AAA">
              <w:t>.</w:t>
            </w:r>
          </w:p>
        </w:tc>
      </w:tr>
      <w:tr w:rsidR="00C220BF" w:rsidRPr="00F44630" w14:paraId="682FD238" w14:textId="77777777">
        <w:tc>
          <w:tcPr>
            <w:cnfStyle w:val="001000000000" w:firstRow="0" w:lastRow="0" w:firstColumn="1" w:lastColumn="0" w:oddVBand="0" w:evenVBand="0" w:oddHBand="0" w:evenHBand="0" w:firstRowFirstColumn="0" w:firstRowLastColumn="0" w:lastRowFirstColumn="0" w:lastRowLastColumn="0"/>
            <w:tcW w:w="2484" w:type="dxa"/>
          </w:tcPr>
          <w:p w14:paraId="7970ED16" w14:textId="77777777" w:rsidR="00C220BF" w:rsidRPr="00F44630" w:rsidRDefault="00C220BF">
            <w:r w:rsidRPr="00F44630">
              <w:t>Numerator</w:t>
            </w:r>
          </w:p>
        </w:tc>
        <w:tc>
          <w:tcPr>
            <w:tcW w:w="6860" w:type="dxa"/>
          </w:tcPr>
          <w:p w14:paraId="7C446DA8" w14:textId="1BF144FE" w:rsidR="00C220BF" w:rsidRPr="00F44630" w:rsidRDefault="00550F7A">
            <w:pPr>
              <w:cnfStyle w:val="000000000000" w:firstRow="0" w:lastRow="0" w:firstColumn="0" w:lastColumn="0" w:oddVBand="0" w:evenVBand="0" w:oddHBand="0" w:evenHBand="0" w:firstRowFirstColumn="0" w:firstRowLastColumn="0" w:lastRowFirstColumn="0" w:lastRowLastColumn="0"/>
            </w:pPr>
            <w:r w:rsidRPr="00AB34CA">
              <w:t>Number of emergency department visits</w:t>
            </w:r>
            <w:r w:rsidR="00B06AAA">
              <w:t>.</w:t>
            </w:r>
          </w:p>
        </w:tc>
      </w:tr>
      <w:tr w:rsidR="00C220BF" w:rsidRPr="00F44630" w14:paraId="6367851A" w14:textId="77777777">
        <w:tc>
          <w:tcPr>
            <w:cnfStyle w:val="001000000000" w:firstRow="0" w:lastRow="0" w:firstColumn="1" w:lastColumn="0" w:oddVBand="0" w:evenVBand="0" w:oddHBand="0" w:evenHBand="0" w:firstRowFirstColumn="0" w:firstRowLastColumn="0" w:lastRowFirstColumn="0" w:lastRowLastColumn="0"/>
            <w:tcW w:w="2484" w:type="dxa"/>
          </w:tcPr>
          <w:p w14:paraId="0DA0A8DB" w14:textId="77777777" w:rsidR="00C220BF" w:rsidRPr="00F44630" w:rsidRDefault="00C220BF">
            <w:r w:rsidRPr="00F44630">
              <w:t>Denominator</w:t>
            </w:r>
          </w:p>
        </w:tc>
        <w:tc>
          <w:tcPr>
            <w:tcW w:w="6860" w:type="dxa"/>
          </w:tcPr>
          <w:p w14:paraId="677A8C5C" w14:textId="11F08DA2" w:rsidR="00C220BF" w:rsidRPr="00F44630" w:rsidRDefault="00550F7A">
            <w:pPr>
              <w:cnfStyle w:val="000000000000" w:firstRow="0" w:lastRow="0" w:firstColumn="0" w:lastColumn="0" w:oddVBand="0" w:evenVBand="0" w:oddHBand="0" w:evenHBand="0" w:firstRowFirstColumn="0" w:firstRowLastColumn="0" w:lastRowFirstColumn="0" w:lastRowLastColumn="0"/>
            </w:pPr>
            <w:r w:rsidRPr="00AB34CA">
              <w:t>Enrollees 18 to 64 years of age as of December 31 of the measurement year with a diagnosis of serious mental illness and/or substance use disorder</w:t>
            </w:r>
            <w:r w:rsidR="00B06AAA">
              <w:t>.</w:t>
            </w:r>
          </w:p>
        </w:tc>
      </w:tr>
      <w:tr w:rsidR="00C220BF" w:rsidRPr="00F44630" w14:paraId="2C187FBA" w14:textId="77777777">
        <w:tc>
          <w:tcPr>
            <w:cnfStyle w:val="001000000000" w:firstRow="0" w:lastRow="0" w:firstColumn="1" w:lastColumn="0" w:oddVBand="0" w:evenVBand="0" w:oddHBand="0" w:evenHBand="0" w:firstRowFirstColumn="0" w:firstRowLastColumn="0" w:lastRowFirstColumn="0" w:lastRowLastColumn="0"/>
            <w:tcW w:w="2484" w:type="dxa"/>
          </w:tcPr>
          <w:p w14:paraId="156A34ED" w14:textId="77777777" w:rsidR="00C220BF" w:rsidRPr="00F44630" w:rsidRDefault="00C220BF">
            <w:r w:rsidRPr="00F44630">
              <w:t>Data Sources</w:t>
            </w:r>
          </w:p>
        </w:tc>
        <w:tc>
          <w:tcPr>
            <w:tcW w:w="6860" w:type="dxa"/>
          </w:tcPr>
          <w:p w14:paraId="267D32F4"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Medicaid claims/encounters data</w:t>
            </w:r>
          </w:p>
        </w:tc>
      </w:tr>
      <w:tr w:rsidR="00C220BF" w:rsidRPr="00F44630" w14:paraId="7A7671D5" w14:textId="77777777">
        <w:tc>
          <w:tcPr>
            <w:cnfStyle w:val="001000000000" w:firstRow="0" w:lastRow="0" w:firstColumn="1" w:lastColumn="0" w:oddVBand="0" w:evenVBand="0" w:oddHBand="0" w:evenHBand="0" w:firstRowFirstColumn="0" w:firstRowLastColumn="0" w:lastRowFirstColumn="0" w:lastRowLastColumn="0"/>
            <w:tcW w:w="2484" w:type="dxa"/>
          </w:tcPr>
          <w:p w14:paraId="42E8C82E" w14:textId="77777777" w:rsidR="00C220BF" w:rsidRPr="00F44630" w:rsidRDefault="00C220BF">
            <w:r w:rsidRPr="00F44630">
              <w:t>National Benchmark</w:t>
            </w:r>
          </w:p>
        </w:tc>
        <w:tc>
          <w:tcPr>
            <w:tcW w:w="6860" w:type="dxa"/>
          </w:tcPr>
          <w:p w14:paraId="77545CBB"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None</w:t>
            </w:r>
          </w:p>
        </w:tc>
      </w:tr>
    </w:tbl>
    <w:p w14:paraId="2CF9FAFB" w14:textId="77777777" w:rsidR="00C220BF" w:rsidRDefault="00C220BF" w:rsidP="00F527EA">
      <w:pPr>
        <w:pStyle w:val="NoSpacing"/>
      </w:pPr>
    </w:p>
    <w:tbl>
      <w:tblPr>
        <w:tblStyle w:val="FHCclean10pt"/>
        <w:tblW w:w="0" w:type="auto"/>
        <w:tblLook w:val="04A0" w:firstRow="1" w:lastRow="0" w:firstColumn="1" w:lastColumn="0" w:noHBand="0" w:noVBand="1"/>
      </w:tblPr>
      <w:tblGrid>
        <w:gridCol w:w="2484"/>
        <w:gridCol w:w="6860"/>
      </w:tblGrid>
      <w:tr w:rsidR="00C220BF" w:rsidRPr="00F44630" w14:paraId="37E2EEE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0D1E39BE" w14:textId="77777777" w:rsidR="00C220BF" w:rsidRPr="00F44630" w:rsidRDefault="00C220BF">
            <w:r w:rsidRPr="00DB3492">
              <w:t>Measure:</w:t>
            </w:r>
          </w:p>
        </w:tc>
        <w:tc>
          <w:tcPr>
            <w:tcW w:w="6860" w:type="dxa"/>
          </w:tcPr>
          <w:p w14:paraId="5B99D73C" w14:textId="6805E73F" w:rsidR="00C220BF" w:rsidRPr="00F44630" w:rsidRDefault="00C220BF">
            <w:pPr>
              <w:cnfStyle w:val="100000000000" w:firstRow="1" w:lastRow="0" w:firstColumn="0" w:lastColumn="0" w:oddVBand="0" w:evenVBand="0" w:oddHBand="0" w:evenHBand="0" w:firstRowFirstColumn="0" w:firstRowLastColumn="0" w:lastRowFirstColumn="0" w:lastRowLastColumn="0"/>
            </w:pPr>
            <w:r w:rsidRPr="00937727">
              <w:t xml:space="preserve">Emergency Department Visits by </w:t>
            </w:r>
            <w:r>
              <w:t>A</w:t>
            </w:r>
            <w:r w:rsidRPr="00937727">
              <w:t>ge (</w:t>
            </w:r>
            <w:r>
              <w:t>P</w:t>
            </w:r>
            <w:r w:rsidRPr="00937727">
              <w:t xml:space="preserve">ediatric, </w:t>
            </w:r>
            <w:r>
              <w:t>A</w:t>
            </w:r>
            <w:r w:rsidRPr="00937727">
              <w:t>dult)</w:t>
            </w:r>
            <w:r>
              <w:br/>
            </w:r>
            <w:r w:rsidRPr="00937727">
              <w:t xml:space="preserve">*MassHealth ACO </w:t>
            </w:r>
            <w:r>
              <w:t>M</w:t>
            </w:r>
            <w:r w:rsidRPr="00937727">
              <w:t xml:space="preserve">onitoring </w:t>
            </w:r>
            <w:r>
              <w:t>M</w:t>
            </w:r>
            <w:r w:rsidRPr="00937727">
              <w:t>easure</w:t>
            </w:r>
          </w:p>
        </w:tc>
      </w:tr>
      <w:tr w:rsidR="00C220BF" w:rsidRPr="00F44630" w14:paraId="369CA6A5" w14:textId="77777777">
        <w:tc>
          <w:tcPr>
            <w:cnfStyle w:val="001000000000" w:firstRow="0" w:lastRow="0" w:firstColumn="1" w:lastColumn="0" w:oddVBand="0" w:evenVBand="0" w:oddHBand="0" w:evenHBand="0" w:firstRowFirstColumn="0" w:firstRowLastColumn="0" w:lastRowFirstColumn="0" w:lastRowLastColumn="0"/>
            <w:tcW w:w="2484" w:type="dxa"/>
          </w:tcPr>
          <w:p w14:paraId="17F36F5B" w14:textId="77777777" w:rsidR="00C220BF" w:rsidRPr="00F44630" w:rsidRDefault="00C220BF">
            <w:r w:rsidRPr="00DB3492">
              <w:t>Steward:</w:t>
            </w:r>
          </w:p>
        </w:tc>
        <w:tc>
          <w:tcPr>
            <w:tcW w:w="6860" w:type="dxa"/>
          </w:tcPr>
          <w:p w14:paraId="7103B752"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937727">
              <w:t>National Committee for Quality Assurance</w:t>
            </w:r>
          </w:p>
        </w:tc>
      </w:tr>
      <w:tr w:rsidR="00C220BF" w:rsidRPr="00F44630" w14:paraId="4B4F7639" w14:textId="77777777">
        <w:tc>
          <w:tcPr>
            <w:cnfStyle w:val="001000000000" w:firstRow="0" w:lastRow="0" w:firstColumn="1" w:lastColumn="0" w:oddVBand="0" w:evenVBand="0" w:oddHBand="0" w:evenHBand="0" w:firstRowFirstColumn="0" w:firstRowLastColumn="0" w:lastRowFirstColumn="0" w:lastRowLastColumn="0"/>
            <w:tcW w:w="2484" w:type="dxa"/>
          </w:tcPr>
          <w:p w14:paraId="32B1EA79" w14:textId="77777777" w:rsidR="00C220BF" w:rsidRPr="00D768CE" w:rsidRDefault="00C220BF">
            <w:r w:rsidRPr="00D768CE">
              <w:lastRenderedPageBreak/>
              <w:t>NQF Endorsed:</w:t>
            </w:r>
          </w:p>
        </w:tc>
        <w:tc>
          <w:tcPr>
            <w:tcW w:w="6860" w:type="dxa"/>
          </w:tcPr>
          <w:p w14:paraId="6E7CF853" w14:textId="34055EBD" w:rsidR="00C220BF" w:rsidRPr="00D768CE" w:rsidRDefault="00D768CE">
            <w:pPr>
              <w:cnfStyle w:val="000000000000" w:firstRow="0" w:lastRow="0" w:firstColumn="0" w:lastColumn="0" w:oddVBand="0" w:evenVBand="0" w:oddHBand="0" w:evenHBand="0" w:firstRowFirstColumn="0" w:firstRowLastColumn="0" w:lastRowFirstColumn="0" w:lastRowLastColumn="0"/>
            </w:pPr>
            <w:r w:rsidRPr="00D768CE">
              <w:t>No</w:t>
            </w:r>
          </w:p>
        </w:tc>
      </w:tr>
      <w:tr w:rsidR="00C220BF" w:rsidRPr="00F44630" w14:paraId="68659632" w14:textId="77777777">
        <w:tc>
          <w:tcPr>
            <w:cnfStyle w:val="001000000000" w:firstRow="0" w:lastRow="0" w:firstColumn="1" w:lastColumn="0" w:oddVBand="0" w:evenVBand="0" w:oddHBand="0" w:evenHBand="0" w:firstRowFirstColumn="0" w:firstRowLastColumn="0" w:lastRowFirstColumn="0" w:lastRowLastColumn="0"/>
            <w:tcW w:w="2484" w:type="dxa"/>
          </w:tcPr>
          <w:p w14:paraId="42773C1A" w14:textId="77777777" w:rsidR="00C220BF" w:rsidRPr="00F44630" w:rsidRDefault="00C220BF">
            <w:r w:rsidRPr="00F44630">
              <w:t>Description</w:t>
            </w:r>
          </w:p>
        </w:tc>
        <w:tc>
          <w:tcPr>
            <w:tcW w:w="6860" w:type="dxa"/>
          </w:tcPr>
          <w:p w14:paraId="734991A7" w14:textId="17C2DD1F"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Rate of ED visits per 1,000 beneficiary months among children up to 19</w:t>
            </w:r>
            <w:r w:rsidR="005F695F">
              <w:t xml:space="preserve"> years of age.</w:t>
            </w:r>
          </w:p>
        </w:tc>
      </w:tr>
      <w:tr w:rsidR="00C220BF" w:rsidRPr="00F44630" w14:paraId="5DB7508D" w14:textId="77777777">
        <w:tc>
          <w:tcPr>
            <w:cnfStyle w:val="001000000000" w:firstRow="0" w:lastRow="0" w:firstColumn="1" w:lastColumn="0" w:oddVBand="0" w:evenVBand="0" w:oddHBand="0" w:evenHBand="0" w:firstRowFirstColumn="0" w:firstRowLastColumn="0" w:lastRowFirstColumn="0" w:lastRowLastColumn="0"/>
            <w:tcW w:w="2484" w:type="dxa"/>
          </w:tcPr>
          <w:p w14:paraId="1C3FF6F9" w14:textId="77777777" w:rsidR="00C220BF" w:rsidRPr="00F44630" w:rsidRDefault="00C220BF">
            <w:r w:rsidRPr="00F44630">
              <w:t>Numerator</w:t>
            </w:r>
          </w:p>
        </w:tc>
        <w:tc>
          <w:tcPr>
            <w:tcW w:w="6860" w:type="dxa"/>
          </w:tcPr>
          <w:p w14:paraId="5CF27D21" w14:textId="6CB43590"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 xml:space="preserve">Total number of children up to 19 </w:t>
            </w:r>
            <w:r w:rsidR="005F695F">
              <w:t xml:space="preserve">years of age </w:t>
            </w:r>
            <w:r w:rsidRPr="00F44630">
              <w:t>who had at least one ED service</w:t>
            </w:r>
            <w:r w:rsidR="005F695F">
              <w:t>.</w:t>
            </w:r>
          </w:p>
        </w:tc>
      </w:tr>
      <w:tr w:rsidR="00C220BF" w:rsidRPr="00F44630" w14:paraId="0B0ECEC5" w14:textId="77777777">
        <w:tc>
          <w:tcPr>
            <w:cnfStyle w:val="001000000000" w:firstRow="0" w:lastRow="0" w:firstColumn="1" w:lastColumn="0" w:oddVBand="0" w:evenVBand="0" w:oddHBand="0" w:evenHBand="0" w:firstRowFirstColumn="0" w:firstRowLastColumn="0" w:lastRowFirstColumn="0" w:lastRowLastColumn="0"/>
            <w:tcW w:w="2484" w:type="dxa"/>
          </w:tcPr>
          <w:p w14:paraId="5C9A0AD6" w14:textId="77777777" w:rsidR="00C220BF" w:rsidRPr="00F44630" w:rsidRDefault="00C220BF">
            <w:r w:rsidRPr="00F44630">
              <w:t>Denominator</w:t>
            </w:r>
          </w:p>
        </w:tc>
        <w:tc>
          <w:tcPr>
            <w:tcW w:w="6860" w:type="dxa"/>
          </w:tcPr>
          <w:p w14:paraId="1C9E96E0" w14:textId="5877B751"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1,000 member months among members up to 19 years of age</w:t>
            </w:r>
            <w:r w:rsidR="005F695F">
              <w:t>.</w:t>
            </w:r>
          </w:p>
        </w:tc>
      </w:tr>
      <w:tr w:rsidR="00C220BF" w:rsidRPr="00F44630" w14:paraId="73C52A18" w14:textId="77777777">
        <w:tc>
          <w:tcPr>
            <w:cnfStyle w:val="001000000000" w:firstRow="0" w:lastRow="0" w:firstColumn="1" w:lastColumn="0" w:oddVBand="0" w:evenVBand="0" w:oddHBand="0" w:evenHBand="0" w:firstRowFirstColumn="0" w:firstRowLastColumn="0" w:lastRowFirstColumn="0" w:lastRowLastColumn="0"/>
            <w:tcW w:w="2484" w:type="dxa"/>
          </w:tcPr>
          <w:p w14:paraId="521F024E" w14:textId="77777777" w:rsidR="00C220BF" w:rsidRPr="00F44630" w:rsidRDefault="00C220BF">
            <w:r w:rsidRPr="00F44630">
              <w:t>Data Sources</w:t>
            </w:r>
          </w:p>
        </w:tc>
        <w:tc>
          <w:tcPr>
            <w:tcW w:w="6860" w:type="dxa"/>
          </w:tcPr>
          <w:p w14:paraId="0AA840A8"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Medicaid claims/encounters data</w:t>
            </w:r>
          </w:p>
        </w:tc>
      </w:tr>
      <w:tr w:rsidR="00C220BF" w:rsidRPr="00F44630" w14:paraId="23C047E9" w14:textId="77777777">
        <w:tc>
          <w:tcPr>
            <w:cnfStyle w:val="001000000000" w:firstRow="0" w:lastRow="0" w:firstColumn="1" w:lastColumn="0" w:oddVBand="0" w:evenVBand="0" w:oddHBand="0" w:evenHBand="0" w:firstRowFirstColumn="0" w:firstRowLastColumn="0" w:lastRowFirstColumn="0" w:lastRowLastColumn="0"/>
            <w:tcW w:w="2484" w:type="dxa"/>
          </w:tcPr>
          <w:p w14:paraId="6DECDC58" w14:textId="77777777" w:rsidR="00C220BF" w:rsidRPr="00F44630" w:rsidRDefault="00C220BF">
            <w:r w:rsidRPr="00F44630">
              <w:t>National Benchmark</w:t>
            </w:r>
          </w:p>
        </w:tc>
        <w:tc>
          <w:tcPr>
            <w:tcW w:w="6860" w:type="dxa"/>
          </w:tcPr>
          <w:p w14:paraId="32CDFF1A"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None</w:t>
            </w:r>
          </w:p>
        </w:tc>
      </w:tr>
    </w:tbl>
    <w:p w14:paraId="229389B7" w14:textId="77777777" w:rsidR="00C220BF" w:rsidRDefault="00C220BF" w:rsidP="00F527EA">
      <w:pPr>
        <w:pStyle w:val="NoSpacing"/>
      </w:pPr>
    </w:p>
    <w:tbl>
      <w:tblPr>
        <w:tblStyle w:val="FHCclean10pt"/>
        <w:tblW w:w="0" w:type="auto"/>
        <w:tblLook w:val="04A0" w:firstRow="1" w:lastRow="0" w:firstColumn="1" w:lastColumn="0" w:noHBand="0" w:noVBand="1"/>
      </w:tblPr>
      <w:tblGrid>
        <w:gridCol w:w="2484"/>
        <w:gridCol w:w="6860"/>
      </w:tblGrid>
      <w:tr w:rsidR="00C220BF" w:rsidRPr="00F44630" w14:paraId="6067C96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111703AE" w14:textId="77777777" w:rsidR="00C220BF" w:rsidRPr="00F44630" w:rsidRDefault="00C220BF">
            <w:r w:rsidRPr="00DB3492">
              <w:t>Measure:</w:t>
            </w:r>
          </w:p>
        </w:tc>
        <w:tc>
          <w:tcPr>
            <w:tcW w:w="6860" w:type="dxa"/>
          </w:tcPr>
          <w:p w14:paraId="3AF4E7A7" w14:textId="77777777" w:rsidR="00C220BF" w:rsidRPr="00F44630" w:rsidRDefault="00C220BF">
            <w:pPr>
              <w:cnfStyle w:val="100000000000" w:firstRow="1" w:lastRow="0" w:firstColumn="0" w:lastColumn="0" w:oddVBand="0" w:evenVBand="0" w:oddHBand="0" w:evenHBand="0" w:firstRowFirstColumn="0" w:firstRowLastColumn="0" w:lastRowFirstColumn="0" w:lastRowLastColumn="0"/>
            </w:pPr>
            <w:r w:rsidRPr="00937727">
              <w:t>Plan All-Cause Readmissions (PCR)</w:t>
            </w:r>
          </w:p>
        </w:tc>
      </w:tr>
      <w:tr w:rsidR="00C220BF" w:rsidRPr="00F44630" w14:paraId="46FEFF76" w14:textId="77777777">
        <w:tc>
          <w:tcPr>
            <w:cnfStyle w:val="001000000000" w:firstRow="0" w:lastRow="0" w:firstColumn="1" w:lastColumn="0" w:oddVBand="0" w:evenVBand="0" w:oddHBand="0" w:evenHBand="0" w:firstRowFirstColumn="0" w:firstRowLastColumn="0" w:lastRowFirstColumn="0" w:lastRowLastColumn="0"/>
            <w:tcW w:w="2484" w:type="dxa"/>
          </w:tcPr>
          <w:p w14:paraId="08A68F86" w14:textId="77777777" w:rsidR="00C220BF" w:rsidRPr="00F44630" w:rsidRDefault="00C220BF">
            <w:r w:rsidRPr="00DB3492">
              <w:t>Steward:</w:t>
            </w:r>
          </w:p>
        </w:tc>
        <w:tc>
          <w:tcPr>
            <w:tcW w:w="6860" w:type="dxa"/>
          </w:tcPr>
          <w:p w14:paraId="78DCBB01"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937727">
              <w:t>National Committee for Quality Assurance (#1768)</w:t>
            </w:r>
          </w:p>
        </w:tc>
      </w:tr>
      <w:tr w:rsidR="00C220BF" w:rsidRPr="00F44630" w14:paraId="4794839E" w14:textId="77777777">
        <w:tc>
          <w:tcPr>
            <w:cnfStyle w:val="001000000000" w:firstRow="0" w:lastRow="0" w:firstColumn="1" w:lastColumn="0" w:oddVBand="0" w:evenVBand="0" w:oddHBand="0" w:evenHBand="0" w:firstRowFirstColumn="0" w:firstRowLastColumn="0" w:lastRowFirstColumn="0" w:lastRowLastColumn="0"/>
            <w:tcW w:w="2484" w:type="dxa"/>
          </w:tcPr>
          <w:p w14:paraId="3F9B3380" w14:textId="77777777" w:rsidR="00C220BF" w:rsidRPr="00F44630" w:rsidRDefault="00C220BF">
            <w:r w:rsidRPr="00DB3492">
              <w:t>NQF Endorsed:</w:t>
            </w:r>
          </w:p>
        </w:tc>
        <w:tc>
          <w:tcPr>
            <w:tcW w:w="6860" w:type="dxa"/>
          </w:tcPr>
          <w:p w14:paraId="401382FA"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937727">
              <w:t>Endorsement Removed</w:t>
            </w:r>
          </w:p>
        </w:tc>
      </w:tr>
      <w:tr w:rsidR="00C220BF" w:rsidRPr="00F44630" w14:paraId="47AD85D7" w14:textId="77777777">
        <w:tc>
          <w:tcPr>
            <w:cnfStyle w:val="001000000000" w:firstRow="0" w:lastRow="0" w:firstColumn="1" w:lastColumn="0" w:oddVBand="0" w:evenVBand="0" w:oddHBand="0" w:evenHBand="0" w:firstRowFirstColumn="0" w:firstRowLastColumn="0" w:lastRowFirstColumn="0" w:lastRowLastColumn="0"/>
            <w:tcW w:w="2484" w:type="dxa"/>
          </w:tcPr>
          <w:p w14:paraId="278A133A" w14:textId="77777777" w:rsidR="00C220BF" w:rsidRPr="00F44630" w:rsidRDefault="00C220BF">
            <w:r w:rsidRPr="00F44630">
              <w:t>Description</w:t>
            </w:r>
          </w:p>
        </w:tc>
        <w:tc>
          <w:tcPr>
            <w:tcW w:w="6860" w:type="dxa"/>
          </w:tcPr>
          <w:p w14:paraId="77104ED7" w14:textId="543B891E"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The rate of adult acute inpatient and observation stays that were followed by an unplanned acute readmission for any diagnosis within 30 days after discharge</w:t>
            </w:r>
            <w:r w:rsidR="006B0671">
              <w:t>.</w:t>
            </w:r>
          </w:p>
        </w:tc>
      </w:tr>
      <w:tr w:rsidR="00C220BF" w:rsidRPr="00F44630" w14:paraId="3AB92803" w14:textId="77777777">
        <w:tc>
          <w:tcPr>
            <w:cnfStyle w:val="001000000000" w:firstRow="0" w:lastRow="0" w:firstColumn="1" w:lastColumn="0" w:oddVBand="0" w:evenVBand="0" w:oddHBand="0" w:evenHBand="0" w:firstRowFirstColumn="0" w:firstRowLastColumn="0" w:lastRowFirstColumn="0" w:lastRowLastColumn="0"/>
            <w:tcW w:w="2484" w:type="dxa"/>
          </w:tcPr>
          <w:p w14:paraId="66F46D22" w14:textId="77777777" w:rsidR="00C220BF" w:rsidRPr="00F44630" w:rsidRDefault="00C220BF">
            <w:r w:rsidRPr="00F44630">
              <w:t>Numerator</w:t>
            </w:r>
          </w:p>
        </w:tc>
        <w:tc>
          <w:tcPr>
            <w:tcW w:w="6860" w:type="dxa"/>
          </w:tcPr>
          <w:p w14:paraId="4A0B9DFF"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At least one acute unplanned readmission for any diagnosis within 30 days of the date of discharge from the Index Hospital Stay, that is on or between the second day of the measurement year and the end of the measurement year.</w:t>
            </w:r>
          </w:p>
        </w:tc>
      </w:tr>
      <w:tr w:rsidR="00C220BF" w:rsidRPr="00F44630" w14:paraId="4F14D265" w14:textId="77777777">
        <w:tc>
          <w:tcPr>
            <w:cnfStyle w:val="001000000000" w:firstRow="0" w:lastRow="0" w:firstColumn="1" w:lastColumn="0" w:oddVBand="0" w:evenVBand="0" w:oddHBand="0" w:evenHBand="0" w:firstRowFirstColumn="0" w:firstRowLastColumn="0" w:lastRowFirstColumn="0" w:lastRowLastColumn="0"/>
            <w:tcW w:w="2484" w:type="dxa"/>
          </w:tcPr>
          <w:p w14:paraId="6C40D5E7" w14:textId="77777777" w:rsidR="00C220BF" w:rsidRPr="00F44630" w:rsidRDefault="00C220BF">
            <w:r w:rsidRPr="00F44630">
              <w:t>Denominator</w:t>
            </w:r>
          </w:p>
        </w:tc>
        <w:tc>
          <w:tcPr>
            <w:tcW w:w="6860" w:type="dxa"/>
          </w:tcPr>
          <w:p w14:paraId="0E5ADE74" w14:textId="03C08EBF"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 xml:space="preserve">Patients 18 </w:t>
            </w:r>
            <w:r w:rsidR="006B0671">
              <w:t xml:space="preserve">years of age </w:t>
            </w:r>
            <w:r w:rsidRPr="00F44630">
              <w:t>and older with a discharge from an acute inpatient stay (Index Hospital Stay) on or between January 1 and December 1 of the measurement year.</w:t>
            </w:r>
          </w:p>
        </w:tc>
      </w:tr>
      <w:tr w:rsidR="00C220BF" w:rsidRPr="00F44630" w14:paraId="0A019368" w14:textId="77777777">
        <w:tc>
          <w:tcPr>
            <w:cnfStyle w:val="001000000000" w:firstRow="0" w:lastRow="0" w:firstColumn="1" w:lastColumn="0" w:oddVBand="0" w:evenVBand="0" w:oddHBand="0" w:evenHBand="0" w:firstRowFirstColumn="0" w:firstRowLastColumn="0" w:lastRowFirstColumn="0" w:lastRowLastColumn="0"/>
            <w:tcW w:w="2484" w:type="dxa"/>
          </w:tcPr>
          <w:p w14:paraId="6CD846C1" w14:textId="77777777" w:rsidR="00C220BF" w:rsidRPr="00F44630" w:rsidRDefault="00C220BF">
            <w:r w:rsidRPr="00F44630">
              <w:t>Data Sources</w:t>
            </w:r>
          </w:p>
        </w:tc>
        <w:tc>
          <w:tcPr>
            <w:tcW w:w="6860" w:type="dxa"/>
          </w:tcPr>
          <w:p w14:paraId="401F40B1"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Medicaid claims/encounters data</w:t>
            </w:r>
          </w:p>
        </w:tc>
      </w:tr>
      <w:tr w:rsidR="00C220BF" w:rsidRPr="00F44630" w14:paraId="02CA633C" w14:textId="77777777">
        <w:tc>
          <w:tcPr>
            <w:cnfStyle w:val="001000000000" w:firstRow="0" w:lastRow="0" w:firstColumn="1" w:lastColumn="0" w:oddVBand="0" w:evenVBand="0" w:oddHBand="0" w:evenHBand="0" w:firstRowFirstColumn="0" w:firstRowLastColumn="0" w:lastRowFirstColumn="0" w:lastRowLastColumn="0"/>
            <w:tcW w:w="2484" w:type="dxa"/>
          </w:tcPr>
          <w:p w14:paraId="7980ACBB" w14:textId="77777777" w:rsidR="00C220BF" w:rsidRPr="00F44630" w:rsidRDefault="00C220BF">
            <w:r w:rsidRPr="00F44630">
              <w:t>National Benchmark</w:t>
            </w:r>
          </w:p>
        </w:tc>
        <w:tc>
          <w:tcPr>
            <w:tcW w:w="6860" w:type="dxa"/>
          </w:tcPr>
          <w:p w14:paraId="586F8BBA"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2021 Medicaid HMO = 10%</w:t>
            </w:r>
          </w:p>
          <w:p w14:paraId="4A5039E8" w14:textId="01FAD268"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 xml:space="preserve">Source: </w:t>
            </w:r>
            <w:hyperlink r:id="rId85" w:history="1">
              <w:r w:rsidR="005F5CC3" w:rsidRPr="009348BF">
                <w:rPr>
                  <w:rStyle w:val="Hyperlink"/>
                </w:rPr>
                <w:t>https://www.ncqa.org/hedis/measures/plan-all-cause-readmissions/</w:t>
              </w:r>
            </w:hyperlink>
            <w:r w:rsidR="005F5CC3">
              <w:t xml:space="preserve"> </w:t>
            </w:r>
          </w:p>
        </w:tc>
      </w:tr>
    </w:tbl>
    <w:p w14:paraId="5440937C" w14:textId="3C1BB1DA" w:rsidR="005B47F7" w:rsidRDefault="005B47F7">
      <w:pPr>
        <w:rPr>
          <w:rFonts w:asciiTheme="majorHAnsi" w:hAnsiTheme="majorHAnsi"/>
          <w:u w:val="single"/>
        </w:rPr>
      </w:pPr>
    </w:p>
    <w:p w14:paraId="2251A1B6" w14:textId="5656F89A" w:rsidR="00C220BF" w:rsidRPr="002E17DF" w:rsidRDefault="00C220BF" w:rsidP="00D35F44">
      <w:pPr>
        <w:pStyle w:val="Heading5"/>
        <w:rPr>
          <w:b/>
          <w:bCs/>
        </w:rPr>
      </w:pPr>
      <w:r w:rsidRPr="002E17DF">
        <w:rPr>
          <w:b/>
          <w:bCs/>
        </w:rPr>
        <w:t xml:space="preserve">Chapter 8: </w:t>
      </w:r>
      <w:r w:rsidR="00614FFB" w:rsidRPr="002E17DF">
        <w:rPr>
          <w:b/>
          <w:bCs/>
        </w:rPr>
        <w:fldChar w:fldCharType="begin"/>
      </w:r>
      <w:r w:rsidR="00614FFB" w:rsidRPr="002E17DF">
        <w:rPr>
          <w:b/>
          <w:bCs/>
        </w:rPr>
        <w:instrText xml:space="preserve"> REF _Ref142920903 \h </w:instrText>
      </w:r>
      <w:r w:rsidR="002E17DF">
        <w:rPr>
          <w:b/>
          <w:bCs/>
        </w:rPr>
        <w:instrText xml:space="preserve"> \* MERGEFORMAT </w:instrText>
      </w:r>
      <w:r w:rsidR="00614FFB" w:rsidRPr="002E17DF">
        <w:rPr>
          <w:b/>
          <w:bCs/>
        </w:rPr>
      </w:r>
      <w:r w:rsidR="00614FFB" w:rsidRPr="002E17DF">
        <w:rPr>
          <w:b/>
          <w:bCs/>
        </w:rPr>
        <w:fldChar w:fldCharType="separate"/>
      </w:r>
      <w:r w:rsidR="00220470" w:rsidRPr="00220470">
        <w:rPr>
          <w:b/>
          <w:bCs/>
        </w:rPr>
        <w:t>Health-Related Social Needs</w:t>
      </w:r>
      <w:r w:rsidR="00614FFB" w:rsidRPr="002E17DF">
        <w:rPr>
          <w:b/>
          <w:bCs/>
        </w:rPr>
        <w:fldChar w:fldCharType="end"/>
      </w:r>
    </w:p>
    <w:tbl>
      <w:tblPr>
        <w:tblStyle w:val="FHCclean10pt"/>
        <w:tblW w:w="0" w:type="auto"/>
        <w:tblLook w:val="04A0" w:firstRow="1" w:lastRow="0" w:firstColumn="1" w:lastColumn="0" w:noHBand="0" w:noVBand="1"/>
      </w:tblPr>
      <w:tblGrid>
        <w:gridCol w:w="2484"/>
        <w:gridCol w:w="6860"/>
      </w:tblGrid>
      <w:tr w:rsidR="00C220BF" w:rsidRPr="00F44630" w14:paraId="721ADA0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30B585CE" w14:textId="77777777" w:rsidR="00C220BF" w:rsidRPr="00F44630" w:rsidRDefault="00C220BF">
            <w:r w:rsidRPr="00DB3492">
              <w:t>Measure:</w:t>
            </w:r>
          </w:p>
        </w:tc>
        <w:tc>
          <w:tcPr>
            <w:tcW w:w="6860" w:type="dxa"/>
          </w:tcPr>
          <w:p w14:paraId="3EDAFCA3" w14:textId="745EB1C1" w:rsidR="00C220BF" w:rsidRPr="00F44630" w:rsidRDefault="00C220BF">
            <w:pPr>
              <w:cnfStyle w:val="100000000000" w:firstRow="1" w:lastRow="0" w:firstColumn="0" w:lastColumn="0" w:oddVBand="0" w:evenVBand="0" w:oddHBand="0" w:evenHBand="0" w:firstRowFirstColumn="0" w:firstRowLastColumn="0" w:lastRowFirstColumn="0" w:lastRowLastColumn="0"/>
            </w:pPr>
            <w:r w:rsidRPr="00937727">
              <w:t>Health</w:t>
            </w:r>
            <w:r>
              <w:t>-</w:t>
            </w:r>
            <w:r w:rsidRPr="00937727">
              <w:t>Related Social Needs Screening</w:t>
            </w:r>
            <w:r>
              <w:br/>
            </w:r>
            <w:r w:rsidRPr="00937727">
              <w:t xml:space="preserve">*MassHealth ACO </w:t>
            </w:r>
            <w:r>
              <w:t>M</w:t>
            </w:r>
            <w:r w:rsidRPr="00937727">
              <w:t xml:space="preserve">onitoring </w:t>
            </w:r>
            <w:r>
              <w:t>M</w:t>
            </w:r>
            <w:r w:rsidRPr="00937727">
              <w:t>easure</w:t>
            </w:r>
          </w:p>
        </w:tc>
      </w:tr>
      <w:tr w:rsidR="00C220BF" w:rsidRPr="00F44630" w14:paraId="54DC4D9A" w14:textId="77777777">
        <w:tc>
          <w:tcPr>
            <w:cnfStyle w:val="001000000000" w:firstRow="0" w:lastRow="0" w:firstColumn="1" w:lastColumn="0" w:oddVBand="0" w:evenVBand="0" w:oddHBand="0" w:evenHBand="0" w:firstRowFirstColumn="0" w:firstRowLastColumn="0" w:lastRowFirstColumn="0" w:lastRowLastColumn="0"/>
            <w:tcW w:w="2484" w:type="dxa"/>
          </w:tcPr>
          <w:p w14:paraId="0B2AE5BC" w14:textId="77777777" w:rsidR="00C220BF" w:rsidRPr="00F44630" w:rsidRDefault="00C220BF">
            <w:r w:rsidRPr="00DB3492">
              <w:t>Steward:</w:t>
            </w:r>
          </w:p>
        </w:tc>
        <w:tc>
          <w:tcPr>
            <w:tcW w:w="6860" w:type="dxa"/>
          </w:tcPr>
          <w:p w14:paraId="07BC10C7"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t>MassHealth</w:t>
            </w:r>
          </w:p>
        </w:tc>
      </w:tr>
      <w:tr w:rsidR="00C220BF" w:rsidRPr="00F44630" w14:paraId="275DAA59" w14:textId="77777777">
        <w:tc>
          <w:tcPr>
            <w:cnfStyle w:val="001000000000" w:firstRow="0" w:lastRow="0" w:firstColumn="1" w:lastColumn="0" w:oddVBand="0" w:evenVBand="0" w:oddHBand="0" w:evenHBand="0" w:firstRowFirstColumn="0" w:firstRowLastColumn="0" w:lastRowFirstColumn="0" w:lastRowLastColumn="0"/>
            <w:tcW w:w="2484" w:type="dxa"/>
          </w:tcPr>
          <w:p w14:paraId="2299E656" w14:textId="77777777" w:rsidR="00C220BF" w:rsidRPr="00F44630" w:rsidRDefault="00C220BF">
            <w:r w:rsidRPr="00DB3492">
              <w:t>NQF Endorsed:</w:t>
            </w:r>
          </w:p>
        </w:tc>
        <w:tc>
          <w:tcPr>
            <w:tcW w:w="6860" w:type="dxa"/>
          </w:tcPr>
          <w:p w14:paraId="05263F79"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t>No</w:t>
            </w:r>
          </w:p>
        </w:tc>
      </w:tr>
      <w:tr w:rsidR="00C220BF" w:rsidRPr="00F44630" w14:paraId="1E8AA7A6" w14:textId="77777777">
        <w:tc>
          <w:tcPr>
            <w:cnfStyle w:val="001000000000" w:firstRow="0" w:lastRow="0" w:firstColumn="1" w:lastColumn="0" w:oddVBand="0" w:evenVBand="0" w:oddHBand="0" w:evenHBand="0" w:firstRowFirstColumn="0" w:firstRowLastColumn="0" w:lastRowFirstColumn="0" w:lastRowLastColumn="0"/>
            <w:tcW w:w="2484" w:type="dxa"/>
          </w:tcPr>
          <w:p w14:paraId="4F5CE44F" w14:textId="77777777" w:rsidR="00C220BF" w:rsidRPr="00F44630" w:rsidRDefault="00C220BF">
            <w:r w:rsidRPr="00F44630">
              <w:t>Description</w:t>
            </w:r>
          </w:p>
        </w:tc>
        <w:tc>
          <w:tcPr>
            <w:tcW w:w="6860" w:type="dxa"/>
          </w:tcPr>
          <w:p w14:paraId="39AF8B95" w14:textId="6FD63CE9"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Percentage of members who were screened for health-related social needs in the measurement year</w:t>
            </w:r>
            <w:r w:rsidR="006B0671">
              <w:t>.</w:t>
            </w:r>
          </w:p>
        </w:tc>
      </w:tr>
      <w:tr w:rsidR="00C220BF" w:rsidRPr="00F44630" w14:paraId="0C421E0D" w14:textId="77777777">
        <w:tc>
          <w:tcPr>
            <w:cnfStyle w:val="001000000000" w:firstRow="0" w:lastRow="0" w:firstColumn="1" w:lastColumn="0" w:oddVBand="0" w:evenVBand="0" w:oddHBand="0" w:evenHBand="0" w:firstRowFirstColumn="0" w:firstRowLastColumn="0" w:lastRowFirstColumn="0" w:lastRowLastColumn="0"/>
            <w:tcW w:w="2484" w:type="dxa"/>
          </w:tcPr>
          <w:p w14:paraId="484E60F3" w14:textId="77777777" w:rsidR="00C220BF" w:rsidRPr="00F44630" w:rsidRDefault="00C220BF">
            <w:r w:rsidRPr="00F44630">
              <w:t>Numerator</w:t>
            </w:r>
          </w:p>
        </w:tc>
        <w:tc>
          <w:tcPr>
            <w:tcW w:w="6860" w:type="dxa"/>
          </w:tcPr>
          <w:p w14:paraId="01EA155C"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Specification pending</w:t>
            </w:r>
          </w:p>
        </w:tc>
      </w:tr>
      <w:tr w:rsidR="00C220BF" w:rsidRPr="00F44630" w14:paraId="31703DC9" w14:textId="77777777">
        <w:tc>
          <w:tcPr>
            <w:cnfStyle w:val="001000000000" w:firstRow="0" w:lastRow="0" w:firstColumn="1" w:lastColumn="0" w:oddVBand="0" w:evenVBand="0" w:oddHBand="0" w:evenHBand="0" w:firstRowFirstColumn="0" w:firstRowLastColumn="0" w:lastRowFirstColumn="0" w:lastRowLastColumn="0"/>
            <w:tcW w:w="2484" w:type="dxa"/>
          </w:tcPr>
          <w:p w14:paraId="5F8791F8" w14:textId="77777777" w:rsidR="00C220BF" w:rsidRPr="00F44630" w:rsidRDefault="00C220BF">
            <w:r w:rsidRPr="00F44630">
              <w:t>Denominator</w:t>
            </w:r>
          </w:p>
        </w:tc>
        <w:tc>
          <w:tcPr>
            <w:tcW w:w="6860" w:type="dxa"/>
          </w:tcPr>
          <w:p w14:paraId="6EF7BF3B"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Specification pending</w:t>
            </w:r>
          </w:p>
        </w:tc>
      </w:tr>
      <w:tr w:rsidR="00C220BF" w:rsidRPr="00F44630" w14:paraId="6C524B30" w14:textId="77777777">
        <w:tc>
          <w:tcPr>
            <w:cnfStyle w:val="001000000000" w:firstRow="0" w:lastRow="0" w:firstColumn="1" w:lastColumn="0" w:oddVBand="0" w:evenVBand="0" w:oddHBand="0" w:evenHBand="0" w:firstRowFirstColumn="0" w:firstRowLastColumn="0" w:lastRowFirstColumn="0" w:lastRowLastColumn="0"/>
            <w:tcW w:w="2484" w:type="dxa"/>
          </w:tcPr>
          <w:p w14:paraId="39FF0B88" w14:textId="77777777" w:rsidR="00C220BF" w:rsidRPr="00F44630" w:rsidRDefault="00C220BF">
            <w:r w:rsidRPr="00F44630">
              <w:t>Data Sources</w:t>
            </w:r>
          </w:p>
        </w:tc>
        <w:tc>
          <w:tcPr>
            <w:tcW w:w="6860" w:type="dxa"/>
          </w:tcPr>
          <w:p w14:paraId="086A2D23"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Medicaid claims/encounters data</w:t>
            </w:r>
          </w:p>
        </w:tc>
      </w:tr>
      <w:tr w:rsidR="00C220BF" w:rsidRPr="00F44630" w14:paraId="03EFBB4D" w14:textId="77777777">
        <w:trPr>
          <w:trHeight w:val="269"/>
        </w:trPr>
        <w:tc>
          <w:tcPr>
            <w:cnfStyle w:val="001000000000" w:firstRow="0" w:lastRow="0" w:firstColumn="1" w:lastColumn="0" w:oddVBand="0" w:evenVBand="0" w:oddHBand="0" w:evenHBand="0" w:firstRowFirstColumn="0" w:firstRowLastColumn="0" w:lastRowFirstColumn="0" w:lastRowLastColumn="0"/>
            <w:tcW w:w="2484" w:type="dxa"/>
          </w:tcPr>
          <w:p w14:paraId="2C1B6879" w14:textId="77777777" w:rsidR="00C220BF" w:rsidRPr="00F44630" w:rsidRDefault="00C220BF">
            <w:r w:rsidRPr="00F44630">
              <w:t>National Benchmark</w:t>
            </w:r>
          </w:p>
        </w:tc>
        <w:tc>
          <w:tcPr>
            <w:tcW w:w="6860" w:type="dxa"/>
          </w:tcPr>
          <w:p w14:paraId="3283C37F"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None</w:t>
            </w:r>
          </w:p>
        </w:tc>
      </w:tr>
    </w:tbl>
    <w:p w14:paraId="1EF13C7C" w14:textId="77777777" w:rsidR="00C220BF" w:rsidRDefault="00C220BF" w:rsidP="00F527EA">
      <w:pPr>
        <w:pStyle w:val="NoSpacing"/>
      </w:pPr>
    </w:p>
    <w:tbl>
      <w:tblPr>
        <w:tblStyle w:val="FHCclean10pt"/>
        <w:tblW w:w="0" w:type="auto"/>
        <w:tblLook w:val="04A0" w:firstRow="1" w:lastRow="0" w:firstColumn="1" w:lastColumn="0" w:noHBand="0" w:noVBand="1"/>
      </w:tblPr>
      <w:tblGrid>
        <w:gridCol w:w="2484"/>
        <w:gridCol w:w="6860"/>
      </w:tblGrid>
      <w:tr w:rsidR="00C220BF" w:rsidRPr="00F44630" w14:paraId="2430FD3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27AA2DC6" w14:textId="77777777" w:rsidR="00C220BF" w:rsidRPr="00F44630" w:rsidRDefault="00C220BF">
            <w:r w:rsidRPr="00DB3492">
              <w:t>Measure:</w:t>
            </w:r>
          </w:p>
        </w:tc>
        <w:tc>
          <w:tcPr>
            <w:tcW w:w="6860" w:type="dxa"/>
          </w:tcPr>
          <w:p w14:paraId="46AADEC5" w14:textId="52FE152B" w:rsidR="00C220BF" w:rsidRPr="00F44630" w:rsidRDefault="00C220BF">
            <w:pPr>
              <w:cnfStyle w:val="100000000000" w:firstRow="1" w:lastRow="0" w:firstColumn="0" w:lastColumn="0" w:oddVBand="0" w:evenVBand="0" w:oddHBand="0" w:evenHBand="0" w:firstRowFirstColumn="0" w:firstRowLastColumn="0" w:lastRowFirstColumn="0" w:lastRowLastColumn="0"/>
            </w:pPr>
            <w:r w:rsidRPr="003A753C">
              <w:t>Controlling High Blood Pressure (CBP-AD)</w:t>
            </w:r>
            <w:r>
              <w:br/>
            </w:r>
            <w:r w:rsidRPr="003A753C">
              <w:t xml:space="preserve">* MassHealth </w:t>
            </w:r>
            <w:r>
              <w:t>M</w:t>
            </w:r>
            <w:r w:rsidRPr="003A753C">
              <w:t xml:space="preserve">onitoring </w:t>
            </w:r>
            <w:r>
              <w:t>M</w:t>
            </w:r>
            <w:r w:rsidRPr="003A753C">
              <w:t>easure</w:t>
            </w:r>
          </w:p>
        </w:tc>
      </w:tr>
      <w:tr w:rsidR="00C220BF" w:rsidRPr="00F44630" w14:paraId="44957088" w14:textId="77777777">
        <w:tc>
          <w:tcPr>
            <w:cnfStyle w:val="001000000000" w:firstRow="0" w:lastRow="0" w:firstColumn="1" w:lastColumn="0" w:oddVBand="0" w:evenVBand="0" w:oddHBand="0" w:evenHBand="0" w:firstRowFirstColumn="0" w:firstRowLastColumn="0" w:lastRowFirstColumn="0" w:lastRowLastColumn="0"/>
            <w:tcW w:w="2484" w:type="dxa"/>
          </w:tcPr>
          <w:p w14:paraId="066FE68E" w14:textId="77777777" w:rsidR="00C220BF" w:rsidRPr="00F44630" w:rsidRDefault="00C220BF">
            <w:r w:rsidRPr="00DB3492">
              <w:lastRenderedPageBreak/>
              <w:t>Steward:</w:t>
            </w:r>
          </w:p>
        </w:tc>
        <w:tc>
          <w:tcPr>
            <w:tcW w:w="6860" w:type="dxa"/>
          </w:tcPr>
          <w:p w14:paraId="0DEC7D74"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3A753C">
              <w:t>National Committee for Quality Assurance (#0018)</w:t>
            </w:r>
          </w:p>
        </w:tc>
      </w:tr>
      <w:tr w:rsidR="00C220BF" w:rsidRPr="00F44630" w14:paraId="50333E91" w14:textId="77777777">
        <w:tc>
          <w:tcPr>
            <w:cnfStyle w:val="001000000000" w:firstRow="0" w:lastRow="0" w:firstColumn="1" w:lastColumn="0" w:oddVBand="0" w:evenVBand="0" w:oddHBand="0" w:evenHBand="0" w:firstRowFirstColumn="0" w:firstRowLastColumn="0" w:lastRowFirstColumn="0" w:lastRowLastColumn="0"/>
            <w:tcW w:w="2484" w:type="dxa"/>
          </w:tcPr>
          <w:p w14:paraId="340ADD62" w14:textId="77777777" w:rsidR="00C220BF" w:rsidRPr="00F44630" w:rsidRDefault="00C220BF">
            <w:r w:rsidRPr="00DB3492">
              <w:t>NQF Endorsed:</w:t>
            </w:r>
          </w:p>
        </w:tc>
        <w:tc>
          <w:tcPr>
            <w:tcW w:w="6860" w:type="dxa"/>
          </w:tcPr>
          <w:p w14:paraId="1FDBD97C"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t>Yes</w:t>
            </w:r>
          </w:p>
        </w:tc>
      </w:tr>
      <w:tr w:rsidR="00C220BF" w:rsidRPr="00F44630" w14:paraId="2225A8A4" w14:textId="77777777">
        <w:tc>
          <w:tcPr>
            <w:cnfStyle w:val="001000000000" w:firstRow="0" w:lastRow="0" w:firstColumn="1" w:lastColumn="0" w:oddVBand="0" w:evenVBand="0" w:oddHBand="0" w:evenHBand="0" w:firstRowFirstColumn="0" w:firstRowLastColumn="0" w:lastRowFirstColumn="0" w:lastRowLastColumn="0"/>
            <w:tcW w:w="2484" w:type="dxa"/>
          </w:tcPr>
          <w:p w14:paraId="58F41651" w14:textId="77777777" w:rsidR="00C220BF" w:rsidRPr="00F44630" w:rsidRDefault="00C220BF">
            <w:r w:rsidRPr="00F44630">
              <w:t>Description</w:t>
            </w:r>
          </w:p>
        </w:tc>
        <w:tc>
          <w:tcPr>
            <w:tcW w:w="6860" w:type="dxa"/>
          </w:tcPr>
          <w:p w14:paraId="270912DE" w14:textId="787EF5AC"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The percentage of adults 18</w:t>
            </w:r>
            <w:r w:rsidR="006B0671">
              <w:t xml:space="preserve"> to </w:t>
            </w:r>
            <w:r w:rsidRPr="00F44630">
              <w:t>85 years of age who had a diagnosis of hypertension (HTN) and whose blood pressure was adequately controlled (&lt;140/90 mm Hg) during the measurement year.</w:t>
            </w:r>
          </w:p>
        </w:tc>
      </w:tr>
      <w:tr w:rsidR="00C220BF" w:rsidRPr="00F44630" w14:paraId="2E2ACE73" w14:textId="77777777">
        <w:tc>
          <w:tcPr>
            <w:cnfStyle w:val="001000000000" w:firstRow="0" w:lastRow="0" w:firstColumn="1" w:lastColumn="0" w:oddVBand="0" w:evenVBand="0" w:oddHBand="0" w:evenHBand="0" w:firstRowFirstColumn="0" w:firstRowLastColumn="0" w:lastRowFirstColumn="0" w:lastRowLastColumn="0"/>
            <w:tcW w:w="2484" w:type="dxa"/>
          </w:tcPr>
          <w:p w14:paraId="19C354D3" w14:textId="77777777" w:rsidR="00C220BF" w:rsidRPr="00F44630" w:rsidRDefault="00C220BF">
            <w:r w:rsidRPr="00F44630">
              <w:t>Numerator</w:t>
            </w:r>
          </w:p>
        </w:tc>
        <w:tc>
          <w:tcPr>
            <w:tcW w:w="6860" w:type="dxa"/>
          </w:tcPr>
          <w:p w14:paraId="7599F3CC" w14:textId="0AAF2D4A"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Patients whose most recent blood pressure level was &lt;140/90 mm Hg during the measurement year</w:t>
            </w:r>
            <w:r w:rsidR="006B0671">
              <w:t>.</w:t>
            </w:r>
          </w:p>
        </w:tc>
      </w:tr>
      <w:tr w:rsidR="00C220BF" w:rsidRPr="00F44630" w14:paraId="120D608C" w14:textId="77777777">
        <w:tc>
          <w:tcPr>
            <w:cnfStyle w:val="001000000000" w:firstRow="0" w:lastRow="0" w:firstColumn="1" w:lastColumn="0" w:oddVBand="0" w:evenVBand="0" w:oddHBand="0" w:evenHBand="0" w:firstRowFirstColumn="0" w:firstRowLastColumn="0" w:lastRowFirstColumn="0" w:lastRowLastColumn="0"/>
            <w:tcW w:w="2484" w:type="dxa"/>
          </w:tcPr>
          <w:p w14:paraId="3B3ED6A3" w14:textId="77777777" w:rsidR="00C220BF" w:rsidRPr="00F44630" w:rsidRDefault="00C220BF">
            <w:r w:rsidRPr="00F44630">
              <w:t>Denominator</w:t>
            </w:r>
          </w:p>
        </w:tc>
        <w:tc>
          <w:tcPr>
            <w:tcW w:w="6860" w:type="dxa"/>
          </w:tcPr>
          <w:p w14:paraId="74BD0247" w14:textId="39A3CCA2"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Patients 18</w:t>
            </w:r>
            <w:r w:rsidR="006B0671">
              <w:t xml:space="preserve"> to </w:t>
            </w:r>
            <w:r w:rsidRPr="00F44630">
              <w:t>85 years of age who had at least two visits on different dates of service with a diagnosis of hypertension during the measurement year or the year prior to the measurement year</w:t>
            </w:r>
            <w:r w:rsidR="006B0671">
              <w:t>.</w:t>
            </w:r>
          </w:p>
        </w:tc>
      </w:tr>
      <w:tr w:rsidR="00C220BF" w:rsidRPr="00F44630" w14:paraId="6D755A5D" w14:textId="77777777">
        <w:tc>
          <w:tcPr>
            <w:cnfStyle w:val="001000000000" w:firstRow="0" w:lastRow="0" w:firstColumn="1" w:lastColumn="0" w:oddVBand="0" w:evenVBand="0" w:oddHBand="0" w:evenHBand="0" w:firstRowFirstColumn="0" w:firstRowLastColumn="0" w:lastRowFirstColumn="0" w:lastRowLastColumn="0"/>
            <w:tcW w:w="2484" w:type="dxa"/>
          </w:tcPr>
          <w:p w14:paraId="263D8CFD" w14:textId="77777777" w:rsidR="00C220BF" w:rsidRPr="00F44630" w:rsidRDefault="00C220BF">
            <w:r w:rsidRPr="00F44630">
              <w:t>Data Sources</w:t>
            </w:r>
          </w:p>
        </w:tc>
        <w:tc>
          <w:tcPr>
            <w:tcW w:w="6860" w:type="dxa"/>
          </w:tcPr>
          <w:p w14:paraId="22568D3E"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Hybrid</w:t>
            </w:r>
          </w:p>
        </w:tc>
      </w:tr>
      <w:tr w:rsidR="00C220BF" w:rsidRPr="00F44630" w14:paraId="1B411FA6" w14:textId="77777777">
        <w:tc>
          <w:tcPr>
            <w:cnfStyle w:val="001000000000" w:firstRow="0" w:lastRow="0" w:firstColumn="1" w:lastColumn="0" w:oddVBand="0" w:evenVBand="0" w:oddHBand="0" w:evenHBand="0" w:firstRowFirstColumn="0" w:firstRowLastColumn="0" w:lastRowFirstColumn="0" w:lastRowLastColumn="0"/>
            <w:tcW w:w="2484" w:type="dxa"/>
          </w:tcPr>
          <w:p w14:paraId="4A188FA1" w14:textId="77777777" w:rsidR="00C220BF" w:rsidRPr="00F44630" w:rsidRDefault="00C220BF">
            <w:r w:rsidRPr="00F44630">
              <w:t>National Benchmark</w:t>
            </w:r>
          </w:p>
        </w:tc>
        <w:tc>
          <w:tcPr>
            <w:tcW w:w="6860" w:type="dxa"/>
          </w:tcPr>
          <w:p w14:paraId="2B4AF86B"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2021 Medicaid HMO = 58.6%</w:t>
            </w:r>
          </w:p>
          <w:p w14:paraId="7628EE0B" w14:textId="0026C8A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 xml:space="preserve">Source: </w:t>
            </w:r>
            <w:hyperlink r:id="rId86" w:history="1">
              <w:r w:rsidR="005F5CC3" w:rsidRPr="009348BF">
                <w:rPr>
                  <w:rStyle w:val="Hyperlink"/>
                </w:rPr>
                <w:t>https://www.ncqa.org/hedis/measures/controlling-high-blood-pressure/</w:t>
              </w:r>
            </w:hyperlink>
            <w:r w:rsidR="005F5CC3">
              <w:t xml:space="preserve"> </w:t>
            </w:r>
          </w:p>
        </w:tc>
      </w:tr>
    </w:tbl>
    <w:p w14:paraId="2C67DC54" w14:textId="77777777" w:rsidR="00C220BF" w:rsidRDefault="00C220BF" w:rsidP="00F527EA">
      <w:pPr>
        <w:pStyle w:val="NoSpacing"/>
      </w:pPr>
    </w:p>
    <w:tbl>
      <w:tblPr>
        <w:tblStyle w:val="FHCclean10pt"/>
        <w:tblW w:w="0" w:type="auto"/>
        <w:tblLook w:val="04A0" w:firstRow="1" w:lastRow="0" w:firstColumn="1" w:lastColumn="0" w:noHBand="0" w:noVBand="1"/>
      </w:tblPr>
      <w:tblGrid>
        <w:gridCol w:w="2484"/>
        <w:gridCol w:w="6860"/>
      </w:tblGrid>
      <w:tr w:rsidR="00C220BF" w:rsidRPr="00F44630" w14:paraId="2EE7DC8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277C3EC3" w14:textId="77777777" w:rsidR="00C220BF" w:rsidRPr="00F44630" w:rsidRDefault="00C220BF">
            <w:r w:rsidRPr="00DB3492">
              <w:t>Measure:</w:t>
            </w:r>
          </w:p>
        </w:tc>
        <w:tc>
          <w:tcPr>
            <w:tcW w:w="6860" w:type="dxa"/>
          </w:tcPr>
          <w:p w14:paraId="648073D0" w14:textId="77777777" w:rsidR="00C220BF" w:rsidRPr="00F44630" w:rsidRDefault="00C220BF">
            <w:pPr>
              <w:cnfStyle w:val="100000000000" w:firstRow="1" w:lastRow="0" w:firstColumn="0" w:lastColumn="0" w:oddVBand="0" w:evenVBand="0" w:oddHBand="0" w:evenHBand="0" w:firstRowFirstColumn="0" w:firstRowLastColumn="0" w:lastRowFirstColumn="0" w:lastRowLastColumn="0"/>
            </w:pPr>
            <w:r w:rsidRPr="003A753C">
              <w:t>Comprehensive Diabetes Care: Hemoglobin A1c (HbA1c) Poor Control (&gt;9.0%)</w:t>
            </w:r>
            <w:r>
              <w:br/>
            </w:r>
            <w:r w:rsidRPr="003A753C">
              <w:t>*MassHealth ACO Quality Measure</w:t>
            </w:r>
          </w:p>
        </w:tc>
      </w:tr>
      <w:tr w:rsidR="00C220BF" w:rsidRPr="00F44630" w14:paraId="6A610D34" w14:textId="77777777">
        <w:tc>
          <w:tcPr>
            <w:cnfStyle w:val="001000000000" w:firstRow="0" w:lastRow="0" w:firstColumn="1" w:lastColumn="0" w:oddVBand="0" w:evenVBand="0" w:oddHBand="0" w:evenHBand="0" w:firstRowFirstColumn="0" w:firstRowLastColumn="0" w:lastRowFirstColumn="0" w:lastRowLastColumn="0"/>
            <w:tcW w:w="2484" w:type="dxa"/>
          </w:tcPr>
          <w:p w14:paraId="1003614A" w14:textId="77777777" w:rsidR="00C220BF" w:rsidRPr="00F44630" w:rsidRDefault="00C220BF">
            <w:r w:rsidRPr="00DB3492">
              <w:t>Steward:</w:t>
            </w:r>
          </w:p>
        </w:tc>
        <w:tc>
          <w:tcPr>
            <w:tcW w:w="6860" w:type="dxa"/>
          </w:tcPr>
          <w:p w14:paraId="6CB8033C"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3A753C">
              <w:t>National Committee for Quality Assurance (#0059)</w:t>
            </w:r>
          </w:p>
        </w:tc>
      </w:tr>
      <w:tr w:rsidR="00C220BF" w:rsidRPr="00F44630" w14:paraId="28C07968" w14:textId="77777777">
        <w:tc>
          <w:tcPr>
            <w:cnfStyle w:val="001000000000" w:firstRow="0" w:lastRow="0" w:firstColumn="1" w:lastColumn="0" w:oddVBand="0" w:evenVBand="0" w:oddHBand="0" w:evenHBand="0" w:firstRowFirstColumn="0" w:firstRowLastColumn="0" w:lastRowFirstColumn="0" w:lastRowLastColumn="0"/>
            <w:tcW w:w="2484" w:type="dxa"/>
          </w:tcPr>
          <w:p w14:paraId="28448033" w14:textId="77777777" w:rsidR="00C220BF" w:rsidRPr="00F44630" w:rsidRDefault="00C220BF">
            <w:r w:rsidRPr="00DB3492">
              <w:t>NQF Endorsed:</w:t>
            </w:r>
          </w:p>
        </w:tc>
        <w:tc>
          <w:tcPr>
            <w:tcW w:w="6860" w:type="dxa"/>
          </w:tcPr>
          <w:p w14:paraId="66F6E51D"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t>Endorsement Removed</w:t>
            </w:r>
          </w:p>
        </w:tc>
      </w:tr>
      <w:tr w:rsidR="00C220BF" w:rsidRPr="00F44630" w14:paraId="2156482A" w14:textId="77777777">
        <w:tc>
          <w:tcPr>
            <w:cnfStyle w:val="001000000000" w:firstRow="0" w:lastRow="0" w:firstColumn="1" w:lastColumn="0" w:oddVBand="0" w:evenVBand="0" w:oddHBand="0" w:evenHBand="0" w:firstRowFirstColumn="0" w:firstRowLastColumn="0" w:lastRowFirstColumn="0" w:lastRowLastColumn="0"/>
            <w:tcW w:w="2484" w:type="dxa"/>
          </w:tcPr>
          <w:p w14:paraId="7AFE4586" w14:textId="77777777" w:rsidR="00C220BF" w:rsidRPr="00F44630" w:rsidRDefault="00C220BF">
            <w:r w:rsidRPr="00F44630">
              <w:t>Description</w:t>
            </w:r>
          </w:p>
        </w:tc>
        <w:tc>
          <w:tcPr>
            <w:tcW w:w="6860" w:type="dxa"/>
          </w:tcPr>
          <w:p w14:paraId="07BE0F1C"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The percentage of patients 18-75 years of age with diabetes (type 1 and type 2) whose most recent HbA1c level is &gt;9.0% during the measurement year</w:t>
            </w:r>
          </w:p>
        </w:tc>
      </w:tr>
      <w:tr w:rsidR="00C220BF" w:rsidRPr="00F44630" w14:paraId="755BBA3B" w14:textId="77777777">
        <w:tc>
          <w:tcPr>
            <w:cnfStyle w:val="001000000000" w:firstRow="0" w:lastRow="0" w:firstColumn="1" w:lastColumn="0" w:oddVBand="0" w:evenVBand="0" w:oddHBand="0" w:evenHBand="0" w:firstRowFirstColumn="0" w:firstRowLastColumn="0" w:lastRowFirstColumn="0" w:lastRowLastColumn="0"/>
            <w:tcW w:w="2484" w:type="dxa"/>
          </w:tcPr>
          <w:p w14:paraId="061B466F" w14:textId="77777777" w:rsidR="00C220BF" w:rsidRPr="00F44630" w:rsidRDefault="00C220BF">
            <w:r w:rsidRPr="00F44630">
              <w:t>Numerator</w:t>
            </w:r>
          </w:p>
        </w:tc>
        <w:tc>
          <w:tcPr>
            <w:tcW w:w="6860" w:type="dxa"/>
          </w:tcPr>
          <w:p w14:paraId="5F69B543" w14:textId="5BEE3426"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Patients whose most recent HbA1c level is greater than 9.0%</w:t>
            </w:r>
            <w:r w:rsidR="00910373">
              <w:t>,</w:t>
            </w:r>
            <w:r w:rsidRPr="00F44630">
              <w:t xml:space="preserve"> is missing a result, or for whom an HbA1c test was not done during the measurement year</w:t>
            </w:r>
            <w:r w:rsidR="00A45F66">
              <w:t>.</w:t>
            </w:r>
          </w:p>
        </w:tc>
      </w:tr>
      <w:tr w:rsidR="00C220BF" w:rsidRPr="00F44630" w14:paraId="25B44E59" w14:textId="77777777">
        <w:tc>
          <w:tcPr>
            <w:cnfStyle w:val="001000000000" w:firstRow="0" w:lastRow="0" w:firstColumn="1" w:lastColumn="0" w:oddVBand="0" w:evenVBand="0" w:oddHBand="0" w:evenHBand="0" w:firstRowFirstColumn="0" w:firstRowLastColumn="0" w:lastRowFirstColumn="0" w:lastRowLastColumn="0"/>
            <w:tcW w:w="2484" w:type="dxa"/>
          </w:tcPr>
          <w:p w14:paraId="5B04630A" w14:textId="77777777" w:rsidR="00C220BF" w:rsidRPr="00F44630" w:rsidRDefault="00C220BF">
            <w:r w:rsidRPr="00F44630">
              <w:t>Denominator</w:t>
            </w:r>
          </w:p>
        </w:tc>
        <w:tc>
          <w:tcPr>
            <w:tcW w:w="6860" w:type="dxa"/>
          </w:tcPr>
          <w:p w14:paraId="52586F57"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Patients 18-75 years of age by the end of the measurement year who had a diagnosis of diabetes (type 1 and type 2) during the measurement year or the year prior to the measurement year</w:t>
            </w:r>
          </w:p>
        </w:tc>
      </w:tr>
      <w:tr w:rsidR="00C220BF" w:rsidRPr="00F44630" w14:paraId="31494C83" w14:textId="77777777">
        <w:tc>
          <w:tcPr>
            <w:cnfStyle w:val="001000000000" w:firstRow="0" w:lastRow="0" w:firstColumn="1" w:lastColumn="0" w:oddVBand="0" w:evenVBand="0" w:oddHBand="0" w:evenHBand="0" w:firstRowFirstColumn="0" w:firstRowLastColumn="0" w:lastRowFirstColumn="0" w:lastRowLastColumn="0"/>
            <w:tcW w:w="2484" w:type="dxa"/>
          </w:tcPr>
          <w:p w14:paraId="112E7BD6" w14:textId="77777777" w:rsidR="00C220BF" w:rsidRPr="00F44630" w:rsidRDefault="00C220BF">
            <w:r w:rsidRPr="00F44630">
              <w:t>Data Sources</w:t>
            </w:r>
          </w:p>
        </w:tc>
        <w:tc>
          <w:tcPr>
            <w:tcW w:w="6860" w:type="dxa"/>
          </w:tcPr>
          <w:p w14:paraId="3F516981"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Hybrid</w:t>
            </w:r>
          </w:p>
        </w:tc>
      </w:tr>
      <w:tr w:rsidR="00C220BF" w:rsidRPr="00F44630" w14:paraId="49B58BA0" w14:textId="77777777">
        <w:tc>
          <w:tcPr>
            <w:cnfStyle w:val="001000000000" w:firstRow="0" w:lastRow="0" w:firstColumn="1" w:lastColumn="0" w:oddVBand="0" w:evenVBand="0" w:oddHBand="0" w:evenHBand="0" w:firstRowFirstColumn="0" w:firstRowLastColumn="0" w:lastRowFirstColumn="0" w:lastRowLastColumn="0"/>
            <w:tcW w:w="2484" w:type="dxa"/>
          </w:tcPr>
          <w:p w14:paraId="6408FE7A" w14:textId="77777777" w:rsidR="00C220BF" w:rsidRPr="00F44630" w:rsidRDefault="00C220BF">
            <w:r w:rsidRPr="00F44630">
              <w:t>National Benchmark</w:t>
            </w:r>
          </w:p>
        </w:tc>
        <w:tc>
          <w:tcPr>
            <w:tcW w:w="6860" w:type="dxa"/>
          </w:tcPr>
          <w:p w14:paraId="481773B3"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2021 Medicaid HMO = 42.3%</w:t>
            </w:r>
          </w:p>
          <w:p w14:paraId="46BE6AA6"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 xml:space="preserve">Source: </w:t>
            </w:r>
            <w:hyperlink r:id="rId87" w:history="1">
              <w:r w:rsidRPr="00F44630">
                <w:rPr>
                  <w:rStyle w:val="Hyperlink"/>
                </w:rPr>
                <w:t>https://www.ncqa.org/hedis/measures/comprehensive-diabetes-care/</w:t>
              </w:r>
            </w:hyperlink>
          </w:p>
          <w:p w14:paraId="120E4D3B" w14:textId="77777777" w:rsidR="00C220BF" w:rsidRPr="00F44630" w:rsidRDefault="00C220BF">
            <w:pPr>
              <w:cnfStyle w:val="000000000000" w:firstRow="0" w:lastRow="0" w:firstColumn="0" w:lastColumn="0" w:oddVBand="0" w:evenVBand="0" w:oddHBand="0" w:evenHBand="0" w:firstRowFirstColumn="0" w:firstRowLastColumn="0" w:lastRowFirstColumn="0" w:lastRowLastColumn="0"/>
            </w:pPr>
            <w:r w:rsidRPr="00F44630">
              <w:t>* Lower rates signify better performance</w:t>
            </w:r>
          </w:p>
        </w:tc>
      </w:tr>
    </w:tbl>
    <w:p w14:paraId="66CE25A8" w14:textId="6ECB6CD2" w:rsidR="007846F7" w:rsidRPr="007846F7" w:rsidRDefault="007846F7" w:rsidP="007846F7"/>
    <w:p w14:paraId="39247199" w14:textId="6A3973CB" w:rsidR="00311D75" w:rsidRPr="0009132C" w:rsidRDefault="00311D75" w:rsidP="007846F7">
      <w:pPr>
        <w:sectPr w:rsidR="00311D75" w:rsidRPr="0009132C" w:rsidSect="00744E1B">
          <w:footerReference w:type="default" r:id="rId88"/>
          <w:pgSz w:w="12240" w:h="15840"/>
          <w:pgMar w:top="1440" w:right="1440" w:bottom="1440" w:left="1440" w:header="720" w:footer="576" w:gutter="0"/>
          <w:cols w:space="720"/>
          <w:docGrid w:linePitch="360"/>
        </w:sectPr>
      </w:pPr>
    </w:p>
    <w:p w14:paraId="0C79C87E" w14:textId="1A9D2EFE" w:rsidR="00180497" w:rsidRDefault="001210FC" w:rsidP="00430786">
      <w:pPr>
        <w:pStyle w:val="FHCAppendixH2"/>
      </w:pPr>
      <w:bookmarkStart w:id="294" w:name="Appendix_C"/>
      <w:bookmarkStart w:id="295" w:name="_Toc129619753"/>
      <w:bookmarkStart w:id="296" w:name="_Toc130209741"/>
      <w:bookmarkStart w:id="297" w:name="_Toc151976450"/>
      <w:bookmarkEnd w:id="294"/>
      <w:r w:rsidRPr="0009132C">
        <w:lastRenderedPageBreak/>
        <w:t>Appendix C: MassHealth Algorithm for Determining Serious Mental Illness (SMI)/</w:t>
      </w:r>
      <w:r w:rsidR="00100582">
        <w:t xml:space="preserve"> </w:t>
      </w:r>
      <w:r w:rsidRPr="0009132C">
        <w:t>Serious Emotional Disturbance (SEDs)</w:t>
      </w:r>
      <w:bookmarkEnd w:id="295"/>
      <w:bookmarkEnd w:id="296"/>
      <w:bookmarkEnd w:id="297"/>
    </w:p>
    <w:tbl>
      <w:tblPr>
        <w:tblStyle w:val="FHCTablestyle9"/>
        <w:tblW w:w="9216" w:type="dxa"/>
        <w:tblLook w:val="0420" w:firstRow="1" w:lastRow="0" w:firstColumn="0" w:lastColumn="0" w:noHBand="0" w:noVBand="1"/>
      </w:tblPr>
      <w:tblGrid>
        <w:gridCol w:w="4608"/>
        <w:gridCol w:w="4608"/>
      </w:tblGrid>
      <w:tr w:rsidR="00F527EA" w:rsidRPr="00F527EA" w14:paraId="30FD6B65" w14:textId="77777777" w:rsidTr="001E3DCB">
        <w:trPr>
          <w:cnfStyle w:val="100000000000" w:firstRow="1" w:lastRow="0" w:firstColumn="0" w:lastColumn="0" w:oddVBand="0" w:evenVBand="0" w:oddHBand="0" w:evenHBand="0" w:firstRowFirstColumn="0" w:firstRowLastColumn="0" w:lastRowFirstColumn="0" w:lastRowLastColumn="0"/>
          <w:trHeight w:val="22"/>
        </w:trPr>
        <w:tc>
          <w:tcPr>
            <w:tcW w:w="0" w:type="dxa"/>
          </w:tcPr>
          <w:p w14:paraId="09A04159" w14:textId="364E0A16" w:rsidR="00F527EA" w:rsidRPr="00BC0E12" w:rsidRDefault="00F527EA" w:rsidP="00F527EA">
            <w:pPr>
              <w:rPr>
                <w:b w:val="0"/>
              </w:rPr>
            </w:pPr>
            <w:r w:rsidRPr="00F527EA">
              <w:t>SMI Algorithm</w:t>
            </w:r>
            <w:r w:rsidR="00EB7E8C">
              <w:t xml:space="preserve"> f</w:t>
            </w:r>
            <w:r w:rsidR="00EB7E8C" w:rsidRPr="00EB7E8C">
              <w:t>or Adults (18+)</w:t>
            </w:r>
          </w:p>
        </w:tc>
        <w:tc>
          <w:tcPr>
            <w:tcW w:w="0" w:type="dxa"/>
          </w:tcPr>
          <w:p w14:paraId="63F7B591" w14:textId="3F2864F0" w:rsidR="00F527EA" w:rsidRPr="00BC0E12" w:rsidRDefault="00F527EA" w:rsidP="00F527EA">
            <w:pPr>
              <w:rPr>
                <w:b w:val="0"/>
              </w:rPr>
            </w:pPr>
            <w:r w:rsidRPr="00F527EA">
              <w:t>SED Algorithm</w:t>
            </w:r>
            <w:r w:rsidR="00EB7E8C">
              <w:t xml:space="preserve"> f</w:t>
            </w:r>
            <w:r w:rsidR="00EB7E8C" w:rsidRPr="00EB7E8C">
              <w:t>or Youth (0-17):</w:t>
            </w:r>
          </w:p>
        </w:tc>
      </w:tr>
      <w:tr w:rsidR="00F527EA" w:rsidRPr="00F527EA" w14:paraId="11D69E6E" w14:textId="77777777" w:rsidTr="001E3DCB">
        <w:trPr>
          <w:cnfStyle w:val="000000100000" w:firstRow="0" w:lastRow="0" w:firstColumn="0" w:lastColumn="0" w:oddVBand="0" w:evenVBand="0" w:oddHBand="1" w:evenHBand="0" w:firstRowFirstColumn="0" w:firstRowLastColumn="0" w:lastRowFirstColumn="0" w:lastRowLastColumn="0"/>
        </w:trPr>
        <w:tc>
          <w:tcPr>
            <w:tcW w:w="0" w:type="dxa"/>
          </w:tcPr>
          <w:p w14:paraId="7EABED96" w14:textId="77777777" w:rsidR="00F527EA" w:rsidRPr="00F527EA" w:rsidRDefault="00F527EA" w:rsidP="00F527EA">
            <w:r w:rsidRPr="00F527EA">
              <w:t xml:space="preserve">At least one acute psychiatric inpatient claim/encounter with any diagnosis of psychotic disorder, bipolar disorder, major depression, or PTSD </w:t>
            </w:r>
          </w:p>
          <w:p w14:paraId="24C68263" w14:textId="77777777" w:rsidR="00F527EA" w:rsidRPr="00F527EA" w:rsidRDefault="00F527EA" w:rsidP="00F527EA">
            <w:r w:rsidRPr="00F527EA">
              <w:t>OR</w:t>
            </w:r>
          </w:p>
          <w:p w14:paraId="6E84E335" w14:textId="00064C75" w:rsidR="00F527EA" w:rsidRPr="00F527EA" w:rsidRDefault="00F527EA" w:rsidP="00F527EA">
            <w:r w:rsidRPr="00F527EA">
              <w:t>At least two visits to outpatient, IOP, PH, ED, AMCI</w:t>
            </w:r>
            <w:r w:rsidR="00910373">
              <w:t>,</w:t>
            </w:r>
            <w:r w:rsidRPr="00F527EA">
              <w:t xml:space="preserve"> or ACCS (different dates of services) with a diagnosis of psychotic disorder, bipolar disorder, or PTSD, with or without a hospitalization</w:t>
            </w:r>
          </w:p>
          <w:p w14:paraId="7B0D60E3" w14:textId="77777777" w:rsidR="00F527EA" w:rsidRPr="00F527EA" w:rsidRDefault="00F527EA" w:rsidP="00F527EA">
            <w:r w:rsidRPr="00F527EA">
              <w:t>OR</w:t>
            </w:r>
          </w:p>
          <w:p w14:paraId="4B4ACF63" w14:textId="15C68738" w:rsidR="00F527EA" w:rsidRPr="00F527EA" w:rsidRDefault="00F527EA" w:rsidP="00F527EA">
            <w:r w:rsidRPr="00F527EA">
              <w:t>At least two visits to IOP, Psych Day Treatment PH, ED, AMCI</w:t>
            </w:r>
            <w:r w:rsidR="00910373">
              <w:t>,</w:t>
            </w:r>
            <w:r w:rsidRPr="00F527EA">
              <w:t xml:space="preserve"> or ACCS (different dates of services) with a diagnosis of major depression, with or without a hospitalization</w:t>
            </w:r>
          </w:p>
        </w:tc>
        <w:tc>
          <w:tcPr>
            <w:tcW w:w="0" w:type="dxa"/>
          </w:tcPr>
          <w:p w14:paraId="5AEEBD0E" w14:textId="77777777" w:rsidR="00F527EA" w:rsidRPr="00F527EA" w:rsidRDefault="00F527EA" w:rsidP="00F527EA">
            <w:r w:rsidRPr="00F527EA">
              <w:t>At least one acute psychiatric inpatient or CBAT claim/encounter with any diagnosis of psychotic disorder, bipolar disorder, major depression, PTSD, Autism Spectrum Disorder, ADHD, or Conduct Disorder/Oppositional Defiance Disorder</w:t>
            </w:r>
          </w:p>
          <w:p w14:paraId="13D7BB3F" w14:textId="77777777" w:rsidR="00F527EA" w:rsidRPr="00F527EA" w:rsidRDefault="00F527EA" w:rsidP="00F527EA">
            <w:r w:rsidRPr="00F527EA">
              <w:t>OR</w:t>
            </w:r>
          </w:p>
          <w:p w14:paraId="56372EB6" w14:textId="77777777" w:rsidR="00F527EA" w:rsidRPr="00F527EA" w:rsidRDefault="00F527EA" w:rsidP="00F527EA">
            <w:r w:rsidRPr="00F527EA">
              <w:t xml:space="preserve">At least two visits (different dates of service) outpatient, IOP, PH, ED, YMCI, YCCS, or CBHI with a diagnosis of psychotic disorder, bipolar disorder, or PTSD </w:t>
            </w:r>
          </w:p>
          <w:p w14:paraId="1E07D941" w14:textId="77777777" w:rsidR="00F527EA" w:rsidRPr="00F527EA" w:rsidRDefault="00F527EA" w:rsidP="00F527EA">
            <w:r w:rsidRPr="00F527EA">
              <w:t>OR</w:t>
            </w:r>
          </w:p>
          <w:p w14:paraId="2E2663FD" w14:textId="77777777" w:rsidR="00F527EA" w:rsidRPr="00F527EA" w:rsidRDefault="00F527EA" w:rsidP="00F527EA">
            <w:r w:rsidRPr="00F527EA">
              <w:t xml:space="preserve">At least two visits (different dates of service) IOP, PH, ED, YMCI, YCCS, or CBHI with a diagnosis of major depression, Autism Spectrum Disorder, ADHD, or Conduct Disorder/Oppositional Defiance Disorder </w:t>
            </w:r>
          </w:p>
        </w:tc>
      </w:tr>
      <w:tr w:rsidR="00F527EA" w:rsidRPr="00F527EA" w14:paraId="7ED674C7" w14:textId="77777777" w:rsidTr="001E3DCB">
        <w:trPr>
          <w:trHeight w:val="22"/>
        </w:trPr>
        <w:tc>
          <w:tcPr>
            <w:tcW w:w="0" w:type="dxa"/>
            <w:shd w:val="clear" w:color="auto" w:fill="CDC7C2" w:themeFill="background2" w:themeFillTint="99"/>
          </w:tcPr>
          <w:p w14:paraId="71889A4E" w14:textId="77777777" w:rsidR="00F527EA" w:rsidRPr="00EB7E8C" w:rsidRDefault="00F527EA" w:rsidP="00F527EA">
            <w:pPr>
              <w:rPr>
                <w:b/>
                <w:bCs/>
              </w:rPr>
            </w:pPr>
            <w:r w:rsidRPr="00EB7E8C">
              <w:rPr>
                <w:b/>
                <w:bCs/>
              </w:rPr>
              <w:t>SMI ICD-10 Codes</w:t>
            </w:r>
          </w:p>
        </w:tc>
        <w:tc>
          <w:tcPr>
            <w:tcW w:w="0" w:type="dxa"/>
            <w:shd w:val="clear" w:color="auto" w:fill="CDC7C2" w:themeFill="background2" w:themeFillTint="99"/>
          </w:tcPr>
          <w:p w14:paraId="209492F5" w14:textId="77777777" w:rsidR="00F527EA" w:rsidRPr="00EB7E8C" w:rsidRDefault="00F527EA" w:rsidP="00F527EA">
            <w:pPr>
              <w:rPr>
                <w:b/>
                <w:bCs/>
              </w:rPr>
            </w:pPr>
            <w:r w:rsidRPr="00EB7E8C">
              <w:rPr>
                <w:b/>
                <w:bCs/>
              </w:rPr>
              <w:t>SED ICD-10 Codes</w:t>
            </w:r>
          </w:p>
        </w:tc>
      </w:tr>
      <w:tr w:rsidR="00F527EA" w:rsidRPr="00F527EA" w14:paraId="78664AB7" w14:textId="77777777" w:rsidTr="001E3DCB">
        <w:trPr>
          <w:cnfStyle w:val="000000100000" w:firstRow="0" w:lastRow="0" w:firstColumn="0" w:lastColumn="0" w:oddVBand="0" w:evenVBand="0" w:oddHBand="1" w:evenHBand="0" w:firstRowFirstColumn="0" w:firstRowLastColumn="0" w:lastRowFirstColumn="0" w:lastRowLastColumn="0"/>
        </w:trPr>
        <w:tc>
          <w:tcPr>
            <w:tcW w:w="0" w:type="dxa"/>
          </w:tcPr>
          <w:p w14:paraId="044AE3D8" w14:textId="6269D895" w:rsidR="00F527EA" w:rsidRPr="00F527EA" w:rsidRDefault="00F527EA" w:rsidP="00F527EA">
            <w:r w:rsidRPr="00F527EA">
              <w:t>Psychotic Disorders:</w:t>
            </w:r>
            <w:r w:rsidR="00D9032A">
              <w:t xml:space="preserve"> </w:t>
            </w:r>
            <w:r w:rsidRPr="00F527EA">
              <w:t xml:space="preserve">F20, F200-F205, F208, F2081,F2089, F209, F21-F25, F250, F251, F258, F259, F28, F29, </w:t>
            </w:r>
          </w:p>
          <w:p w14:paraId="48137829" w14:textId="77777777" w:rsidR="00F527EA" w:rsidRPr="00F527EA" w:rsidRDefault="00F527EA" w:rsidP="00F527EA">
            <w:r w:rsidRPr="00F527EA">
              <w:t>Bipolar Disorders: F30, F301, F3010-F3013, F302-F304, F308, F309, F31, F310, F311, F3110-F3113, F312, F313, F3130- F3132, F314-F316, F3160 -F3164, F317, F3170-F3178, F318, F3181, F3189, F319</w:t>
            </w:r>
          </w:p>
          <w:p w14:paraId="2DF59A8E" w14:textId="77777777" w:rsidR="00F527EA" w:rsidRPr="00F527EA" w:rsidRDefault="00F527EA" w:rsidP="00F527EA">
            <w:r w:rsidRPr="00F527EA">
              <w:t xml:space="preserve">Depressive Disorders: F32, F321-F325, F328, F3281, F3289, F329, F33, F331-F334, F3340, F3341, F338-F341, </w:t>
            </w:r>
          </w:p>
          <w:p w14:paraId="42371560" w14:textId="77777777" w:rsidR="00F527EA" w:rsidRPr="00F527EA" w:rsidRDefault="00F527EA" w:rsidP="00F527EA">
            <w:r w:rsidRPr="00F527EA">
              <w:t>PTSD: F43, F430, F431, F4310 – F4312</w:t>
            </w:r>
          </w:p>
        </w:tc>
        <w:tc>
          <w:tcPr>
            <w:tcW w:w="0" w:type="dxa"/>
          </w:tcPr>
          <w:p w14:paraId="563BCAE8" w14:textId="3E0DADBF" w:rsidR="00F527EA" w:rsidRPr="00F527EA" w:rsidRDefault="00F527EA" w:rsidP="00F527EA">
            <w:r w:rsidRPr="00F527EA">
              <w:t xml:space="preserve">Psychotic Disorders: F20, F200-F205, F208, F2081, F2089, F209, F21-F25, F250, F251, F258, F259, F28, F29 </w:t>
            </w:r>
          </w:p>
          <w:p w14:paraId="4EE4079D" w14:textId="77777777" w:rsidR="00F527EA" w:rsidRPr="00F527EA" w:rsidRDefault="00F527EA" w:rsidP="00F527EA">
            <w:r w:rsidRPr="00F527EA">
              <w:t>Bipolar Disorders: F30, F301, F3010-F3013, F302-F304, F308, F309, F31, F310, F311, F3110-F3113, F312, F313, F3130- F3132, F314-F316, F3160 -F3164, F317, F3170-F3178, F318, F3181, F3189, F319</w:t>
            </w:r>
          </w:p>
          <w:p w14:paraId="1D04EA01" w14:textId="77777777" w:rsidR="00F527EA" w:rsidRPr="00F527EA" w:rsidRDefault="00F527EA" w:rsidP="00F527EA">
            <w:r w:rsidRPr="00F527EA">
              <w:t xml:space="preserve">Depressive Disorders: F32, F321-F325, F328, F3281, F3289, F329, F33, F331-F334, F3340, F3341, F338-F341, </w:t>
            </w:r>
          </w:p>
          <w:p w14:paraId="6091E547" w14:textId="77777777" w:rsidR="00F527EA" w:rsidRPr="00F527EA" w:rsidRDefault="00F527EA" w:rsidP="00F527EA">
            <w:r w:rsidRPr="00F527EA">
              <w:t>PTSD: F43, F430, F431, F4310 – F4312</w:t>
            </w:r>
          </w:p>
          <w:p w14:paraId="5815C87B" w14:textId="77777777" w:rsidR="00F527EA" w:rsidRPr="00F527EA" w:rsidRDefault="00F527EA" w:rsidP="00F527EA">
            <w:r w:rsidRPr="00F527EA">
              <w:t>Conduct Disorders: F630-F632, F638, F6381, F6389, F639, F91, F910-F913, F918, F919, Z72810, Z72811</w:t>
            </w:r>
          </w:p>
          <w:p w14:paraId="56B901E8" w14:textId="77777777" w:rsidR="00F527EA" w:rsidRPr="00F527EA" w:rsidRDefault="00F527EA" w:rsidP="00F527EA">
            <w:r w:rsidRPr="00F527EA">
              <w:t>ADHD: F90, F900 – F902, F908, F909</w:t>
            </w:r>
          </w:p>
          <w:p w14:paraId="128AF85A" w14:textId="77777777" w:rsidR="00F527EA" w:rsidRPr="00F527EA" w:rsidRDefault="00F527EA" w:rsidP="00F527EA">
            <w:r w:rsidRPr="00F527EA">
              <w:t>Autism Spectrum Disorder: F84, F840, F842, F843, F845, F848, F849"</w:t>
            </w:r>
          </w:p>
        </w:tc>
      </w:tr>
      <w:tr w:rsidR="00F527EA" w:rsidRPr="00F527EA" w14:paraId="77AAA886" w14:textId="77777777" w:rsidTr="001E3DCB">
        <w:trPr>
          <w:trHeight w:val="406"/>
        </w:trPr>
        <w:tc>
          <w:tcPr>
            <w:tcW w:w="0" w:type="dxa"/>
          </w:tcPr>
          <w:p w14:paraId="074D4D43" w14:textId="77777777" w:rsidR="00F527EA" w:rsidRPr="00F527EA" w:rsidRDefault="00F527EA" w:rsidP="00F527EA">
            <w:r w:rsidRPr="00F527EA">
              <w:t>Inpatient: Revenue code between 100 and 219;</w:t>
            </w:r>
          </w:p>
          <w:p w14:paraId="3B99C3B4" w14:textId="77777777" w:rsidR="00F527EA" w:rsidRPr="00F527EA" w:rsidRDefault="00F527EA" w:rsidP="00F527EA">
            <w:r w:rsidRPr="00F527EA">
              <w:t xml:space="preserve">ED: 99281, 99282, 99283, 99284, 99285, 99288 Or revenue code 450, 451, 452, 456, 459, 981; </w:t>
            </w:r>
          </w:p>
          <w:p w14:paraId="14F5AB5B" w14:textId="77777777" w:rsidR="00F527EA" w:rsidRPr="00F527EA" w:rsidRDefault="00F527EA" w:rsidP="00F527EA">
            <w:r w:rsidRPr="00F527EA">
              <w:t xml:space="preserve">Outpatient:  95004-95199, 96900-96922, 96999, 99201-99215, 99241-99245, 99341-99350, 99354-99355, 99357-99360, 99366-99368, 99374-99397, 99432, 99450, 99455, 99460, 99499,99401-99405, 99408-99429, 99606, 99607, T1015, 99050-99058, 0500F-0503F, 90918-90925, 97802-97804, 99024, 99078, 99170-99175, 99195-99199, 99500-99599, T1502, T1023-T1026, T1028-T1030, 0001F, G0101-G0122, G0127, G0166-G0168, G0179, G0180-G0182, G0246-G0250, G0257, G0317-G0327, G0344, G0372, G0402, G0438, G0439, G0466-G0470, M0064, M0076, M1204, Q0081-Q0085, S0220, S0265, S0302, S0315-S0320, S0390, S0395, S0601-S0630, S0812, S0820, S2260, S0199, S8110, S9075, S9083-S9090, S9381-S9401, </w:t>
            </w:r>
            <w:r w:rsidRPr="00F527EA">
              <w:lastRenderedPageBreak/>
              <w:t>S9436-S9474, S9490-S9562, 90791, 90792, 90801-90802, 90804-90824, 90826-90829, 90832-90834, 90836-90847, 90849, 90853, 90855, 90857, 90862-90899, H0001-H0009, H0012-H0014, H0016-H0019, H0021-H0030, H0033-H0034, H0036, H0037, H0041-H0042, H0046-H2010, H2013-H2014, H2016-H2019, H2020-H2037, G0177, 96150-96155, T1007-T1010, H2104, H5300, HIVE2, HJ201, HOOO4, S9475-S9479, S9481-S9483, G0396, G0397, G0410-G0411, G0473, G8466, G8477, G8128, G8467, Q4094, T1006, T1012, 0359T, 0360T, 0361T, 0362T, 0363T, 0364T, 0365T, 0366T, 0367T, 0368T, 0369T, 0370T, 0371T, 0373T, 0374T; Revenue codes 900-904,910,911,914-919,931,932,944,945,961,1003-1004;</w:t>
            </w:r>
          </w:p>
          <w:p w14:paraId="2FBB892B" w14:textId="77777777" w:rsidR="00F527EA" w:rsidRPr="00F527EA" w:rsidRDefault="00F527EA" w:rsidP="00F527EA">
            <w:r w:rsidRPr="00F527EA">
              <w:t>Outpatient Diversionary Including Intensive Outpatient, PH, Community Support Services and Psych Day Treatment: H2015 or H2016 with modifier SE or +, S9480, H2012, H0015 H0035, Revenue codes 905, 906, 907;</w:t>
            </w:r>
          </w:p>
          <w:p w14:paraId="4889F88F" w14:textId="77777777" w:rsidR="00F527EA" w:rsidRPr="00F527EA" w:rsidRDefault="00F527EA" w:rsidP="00F527EA">
            <w:r w:rsidRPr="00F527EA">
              <w:t xml:space="preserve">ESP/AMCI: H2011 with or without modifier HO, HN, HB, S9484, S9485 with modifier HB, HE, U1 or plan submits claim as ESP service; </w:t>
            </w:r>
          </w:p>
          <w:p w14:paraId="701159CB" w14:textId="2D9D5BE1" w:rsidR="00F527EA" w:rsidRPr="00F527EA" w:rsidRDefault="00F527EA" w:rsidP="00F527EA">
            <w:r w:rsidRPr="00F527EA">
              <w:t>ACCS S9485 with modifier ET</w:t>
            </w:r>
            <w:r w:rsidR="00EB7E8C">
              <w:t>;</w:t>
            </w:r>
          </w:p>
          <w:p w14:paraId="64AEA466" w14:textId="77777777" w:rsidR="00F527EA" w:rsidRPr="00EC21C0" w:rsidRDefault="00F527EA" w:rsidP="00F527EA">
            <w:pPr>
              <w:rPr>
                <w:lang w:val="fr-FR"/>
              </w:rPr>
            </w:pPr>
            <w:r w:rsidRPr="00EC21C0">
              <w:rPr>
                <w:lang w:val="fr-FR"/>
              </w:rPr>
              <w:t xml:space="preserve">PACT: H0039, H0040, Revenue codes 912, 913; </w:t>
            </w:r>
          </w:p>
          <w:p w14:paraId="1AE5CD60" w14:textId="77777777" w:rsidR="00F527EA" w:rsidRPr="00F527EA" w:rsidRDefault="00F527EA" w:rsidP="00F527EA">
            <w:r w:rsidRPr="00F527EA">
              <w:t>Psych Day Treatment: H2012</w:t>
            </w:r>
          </w:p>
        </w:tc>
        <w:tc>
          <w:tcPr>
            <w:tcW w:w="0" w:type="dxa"/>
          </w:tcPr>
          <w:p w14:paraId="7D049A10" w14:textId="77777777" w:rsidR="00F527EA" w:rsidRPr="00F527EA" w:rsidRDefault="00F527EA" w:rsidP="00F527EA">
            <w:r w:rsidRPr="00F527EA">
              <w:lastRenderedPageBreak/>
              <w:t>Inpatient: Revenue code between 100 and 219;</w:t>
            </w:r>
          </w:p>
          <w:p w14:paraId="34974EE0" w14:textId="77777777" w:rsidR="00F527EA" w:rsidRPr="00F527EA" w:rsidRDefault="00F527EA" w:rsidP="00F527EA">
            <w:r w:rsidRPr="00F527EA">
              <w:t xml:space="preserve">ED: 99281, 99282, 99283, 99284, 99285, 99288 Or revenue code 450, 451, 452, 456, 459, 981; </w:t>
            </w:r>
          </w:p>
          <w:p w14:paraId="2BB9B2FB" w14:textId="77777777" w:rsidR="00F527EA" w:rsidRPr="00F527EA" w:rsidRDefault="00F527EA" w:rsidP="00F527EA">
            <w:r w:rsidRPr="00F527EA">
              <w:t>CBAT: H0037 or Revenue Code 1001</w:t>
            </w:r>
          </w:p>
          <w:p w14:paraId="0E14053A" w14:textId="77777777" w:rsidR="00F527EA" w:rsidRPr="00F527EA" w:rsidRDefault="00F527EA" w:rsidP="00F527EA">
            <w:r w:rsidRPr="00F527EA">
              <w:t>Outpatient:  95004-95199, 96900-96922, 96999, 99201-99215, 99241-99245, 99341-99350, 99354-99355, 99357-99360, 99366-99368, 99374-99397, 99432, 99450, 99455, 99460, 99499,99401-99405, 99408-99429, 99606, 99607, T1015, 99050-99058, 0500F-0503F, 90918-90925, 97802-97804, 99024, 99078, 99170-99175, 99195-99199, 99500-99599, T1502, T1023-T1026, T1028-T1030, 0001F, G0101-G0122, G0127, G0166-G0168, G0179, G0180-G0182, G0246-G0250, G0257, G0317-G0327, G0344, G0372, G0402, G0438, G0439, G0466-G0470, M0064, M0076, M1204, Q0081-Q0085, S0220, S0265, S0302, S0315-</w:t>
            </w:r>
            <w:r w:rsidRPr="00F527EA">
              <w:lastRenderedPageBreak/>
              <w:t>S0320, S0390, S0395, S0601-S0630, S0812, S0820, S2260, S0199, S8110, S9075, S9083-S9090, S9381-S9401, S9436-S9474, S9490-S9562, 90791, 90792, 90801-90802, 90804-90824, 90826-90829, 90832-90834, 90836-90847, 90849, 90853, 90855, 90857, 90862-90899, H0001-H0009, H0012-H0014, H0016-H0019, H0021-H0030, H0033-H0034, H0036, H0037, H0041-H0042, H0046-H2010, H2013-H2014, H2016-H2019, H2020-H2037, G0177, 96150-96155, T1007-T1010, H2104, H5300, HIVE2, HJ201, HOOO4, S9475-S9479, S9481-S9483, G0396, G0397, G0410-G0411, G0473, G8466, G8477, G8128, G8467, Q4094, T1006, T1012, 0359T, 0360T, 0361T, 0362T, 0363T, 0364T, 0365T, 0366T, 0367T, 0368T, 0369T, 0370T, 0371T, 0373T, 0374T; Revenue codes 900-904,910,911,914-919,931,932,944,945,961,1003-1004;</w:t>
            </w:r>
          </w:p>
          <w:p w14:paraId="311944D5" w14:textId="77777777" w:rsidR="00F527EA" w:rsidRPr="00F527EA" w:rsidRDefault="00F527EA" w:rsidP="00F527EA">
            <w:r w:rsidRPr="00F527EA">
              <w:t>Outpatient Diversionary Including Intensive Outpatient, PH:  S9480, H0015 H0035, Revenue codes 905, 906, 907</w:t>
            </w:r>
          </w:p>
          <w:p w14:paraId="31727326" w14:textId="77777777" w:rsidR="00F527EA" w:rsidRPr="00F527EA" w:rsidRDefault="00F527EA" w:rsidP="00F527EA">
            <w:r w:rsidRPr="00F527EA">
              <w:t>CBHI: 90791 or 90801 and modifier HA as 1st or 2nd modifier, H0038, H0023 with modifier HT, T1017 with modifier HN or HO, H2014 with modifier HN or HO, H2019 with modifier HN or HO, H2011 with modifier HN or HO, 96110, H0038; H2011, H2014, H2019, T1017 with modifier HN or HO; T1027 with modifier EP, H0023 with modifier HT</w:t>
            </w:r>
          </w:p>
          <w:p w14:paraId="0EB8557F" w14:textId="77777777" w:rsidR="00F527EA" w:rsidRPr="00F527EA" w:rsidRDefault="00F527EA" w:rsidP="00F527EA">
            <w:r w:rsidRPr="00F527EA">
              <w:t>Outpatient ABA: H0031, H0032, H2012,or  H2019 and modifier U2</w:t>
            </w:r>
          </w:p>
          <w:p w14:paraId="50B490B3" w14:textId="12095130" w:rsidR="00F527EA" w:rsidRPr="00F527EA" w:rsidRDefault="00F527EA" w:rsidP="00F527EA">
            <w:r w:rsidRPr="00F527EA">
              <w:t>YMCI: S9485 with modifiers HA HE, HA U1; H2011 with modifier HA, HE, HO, HN, HO</w:t>
            </w:r>
            <w:r w:rsidR="00910373">
              <w:t>,</w:t>
            </w:r>
            <w:r w:rsidRPr="00F527EA">
              <w:t xml:space="preserve"> and HA, or HA U1, HN</w:t>
            </w:r>
            <w:r w:rsidR="00182DB7">
              <w:t>,</w:t>
            </w:r>
            <w:r w:rsidRPr="00F527EA">
              <w:t xml:space="preserve"> and HA</w:t>
            </w:r>
          </w:p>
          <w:p w14:paraId="3A1FF945" w14:textId="77777777" w:rsidR="00F527EA" w:rsidRPr="00F527EA" w:rsidRDefault="00F527EA" w:rsidP="00F527EA">
            <w:r w:rsidRPr="00F527EA">
              <w:t>YCCS: S9485 with modifier HA ET, EF, TG</w:t>
            </w:r>
          </w:p>
        </w:tc>
      </w:tr>
      <w:bookmarkEnd w:id="262"/>
    </w:tbl>
    <w:p w14:paraId="219374BF" w14:textId="3DC56C93" w:rsidR="00BF73A5" w:rsidRPr="00466D8A" w:rsidRDefault="00BF73A5" w:rsidP="00466D8A"/>
    <w:sectPr w:rsidR="00BF73A5" w:rsidRPr="00466D8A" w:rsidSect="00744E1B">
      <w:footerReference w:type="default" r:id="rId89"/>
      <w:pgSz w:w="12240" w:h="15840"/>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FE332" w14:textId="77777777" w:rsidR="00744E1B" w:rsidRDefault="00744E1B" w:rsidP="00BF73A5">
      <w:r>
        <w:separator/>
      </w:r>
    </w:p>
    <w:p w14:paraId="13ABCA5C" w14:textId="77777777" w:rsidR="00744E1B" w:rsidRDefault="00744E1B" w:rsidP="00BF73A5"/>
    <w:p w14:paraId="407EF30E" w14:textId="77777777" w:rsidR="00744E1B" w:rsidRDefault="00744E1B"/>
    <w:p w14:paraId="613F2C70" w14:textId="77777777" w:rsidR="00744E1B" w:rsidRDefault="00744E1B"/>
    <w:p w14:paraId="4F98A20C" w14:textId="77777777" w:rsidR="00744E1B" w:rsidRDefault="00744E1B"/>
    <w:p w14:paraId="2D8D8CA3" w14:textId="77777777" w:rsidR="00744E1B" w:rsidRDefault="00744E1B"/>
    <w:p w14:paraId="2A5920BC" w14:textId="77777777" w:rsidR="00744E1B" w:rsidRDefault="00744E1B"/>
  </w:endnote>
  <w:endnote w:type="continuationSeparator" w:id="0">
    <w:p w14:paraId="779D9641" w14:textId="77777777" w:rsidR="00744E1B" w:rsidRDefault="00744E1B" w:rsidP="00BF73A5">
      <w:r>
        <w:continuationSeparator/>
      </w:r>
    </w:p>
    <w:p w14:paraId="739A2496" w14:textId="77777777" w:rsidR="00744E1B" w:rsidRDefault="00744E1B" w:rsidP="00BF73A5"/>
    <w:p w14:paraId="7B7A7AC3" w14:textId="77777777" w:rsidR="00744E1B" w:rsidRDefault="00744E1B"/>
    <w:p w14:paraId="24C476D0" w14:textId="77777777" w:rsidR="00744E1B" w:rsidRDefault="00744E1B"/>
    <w:p w14:paraId="200ED9AA" w14:textId="77777777" w:rsidR="00744E1B" w:rsidRDefault="00744E1B"/>
    <w:p w14:paraId="74C108E6" w14:textId="77777777" w:rsidR="00744E1B" w:rsidRDefault="00744E1B"/>
    <w:p w14:paraId="2C7F5DF6" w14:textId="77777777" w:rsidR="00744E1B" w:rsidRDefault="00744E1B"/>
  </w:endnote>
  <w:endnote w:type="continuationNotice" w:id="1">
    <w:p w14:paraId="34AFE8B1" w14:textId="77777777" w:rsidR="00744E1B" w:rsidRDefault="00744E1B">
      <w:pPr>
        <w:spacing w:after="0"/>
      </w:pPr>
    </w:p>
    <w:p w14:paraId="5B7E8F6A" w14:textId="77777777" w:rsidR="00744E1B" w:rsidRDefault="00744E1B"/>
    <w:p w14:paraId="2150A96E" w14:textId="77777777" w:rsidR="00744E1B" w:rsidRDefault="00744E1B"/>
    <w:p w14:paraId="2E80A539" w14:textId="77777777" w:rsidR="00744E1B" w:rsidRDefault="00744E1B"/>
    <w:p w14:paraId="184F4165" w14:textId="77777777" w:rsidR="00744E1B" w:rsidRDefault="00744E1B"/>
    <w:p w14:paraId="338C7052" w14:textId="77777777" w:rsidR="00744E1B" w:rsidRDefault="00744E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Body)">
    <w:altName w:val="Arial"/>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Montserra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New Roman (Body CS)">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9C043" w14:textId="65BFE775" w:rsidR="00E76A23" w:rsidRPr="00F703C7" w:rsidRDefault="00E76A23" w:rsidP="00F703C7">
    <w:pPr>
      <w:pStyle w:val="Footer"/>
      <w:pBdr>
        <w:top w:val="single" w:sz="4" w:space="8" w:color="auto"/>
      </w:pBdr>
      <w:spacing w:before="120"/>
      <w:rPr>
        <w:b/>
        <w:bCs/>
        <w:noProof/>
      </w:rPr>
    </w:pPr>
    <w:r>
      <w:rPr>
        <w:bCs/>
        <w:noProof/>
      </w:rPr>
      <w:ptab w:relativeTo="margin" w:alignment="left" w:leader="none"/>
    </w:r>
    <w:r w:rsidRPr="00630755">
      <w:rPr>
        <w:bCs/>
        <w:noProof/>
      </w:rPr>
      <w:t>Confidential</w:t>
    </w:r>
    <w:r>
      <w:rPr>
        <w:bCs/>
        <w:noProof/>
      </w:rPr>
      <w:t xml:space="preserve"> </w:t>
    </w:r>
    <w:r w:rsidRPr="00630755">
      <w:rPr>
        <w:bCs/>
        <w:noProof/>
      </w:rPr>
      <w:t>/</w:t>
    </w:r>
    <w:r>
      <w:rPr>
        <w:bCs/>
        <w:noProof/>
      </w:rPr>
      <w:t xml:space="preserve"> </w:t>
    </w:r>
    <w:r w:rsidRPr="00630755">
      <w:rPr>
        <w:bCs/>
        <w:noProof/>
      </w:rPr>
      <w:t>Policy Under Development | UMass Chan Medical School</w:t>
    </w:r>
    <w:r w:rsidRPr="00630755">
      <w:rPr>
        <w:bCs/>
        <w:noProof/>
      </w:rPr>
      <w:tab/>
    </w:r>
    <w:r w:rsidRPr="00630755">
      <w:rPr>
        <w:bCs/>
        <w:noProof/>
      </w:rPr>
      <w:tab/>
    </w:r>
    <w:r>
      <w:rPr>
        <w:bCs/>
        <w:noProof/>
      </w:rPr>
      <w:ptab w:relativeTo="margin" w:alignment="right" w:leader="none"/>
    </w:r>
    <w:r>
      <w:rPr>
        <w:b/>
        <w:bCs/>
        <w:noProof/>
      </w:rPr>
      <w:fldChar w:fldCharType="begin"/>
    </w:r>
    <w:r>
      <w:rPr>
        <w:bCs/>
        <w:noProof/>
      </w:rPr>
      <w:instrText xml:space="preserve"> PAGE  \* roman  \* MERGEFORMAT </w:instrText>
    </w:r>
    <w:r>
      <w:rPr>
        <w:b/>
        <w:bCs/>
        <w:noProof/>
      </w:rPr>
      <w:fldChar w:fldCharType="separate"/>
    </w:r>
    <w:r>
      <w:rPr>
        <w:bCs/>
        <w:noProof/>
      </w:rPr>
      <w:t>xi</w:t>
    </w:r>
    <w:r>
      <w:rPr>
        <w:b/>
        <w:bCs/>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20D44" w14:textId="682BC2FD" w:rsidR="00E76A23" w:rsidRPr="00772A49" w:rsidRDefault="00E76A23" w:rsidP="00772A49">
    <w:pPr>
      <w:pStyle w:val="Footer"/>
      <w:pBdr>
        <w:top w:val="single" w:sz="4" w:space="8" w:color="auto"/>
      </w:pBdr>
      <w:spacing w:before="120"/>
      <w:rPr>
        <w:b/>
        <w:bCs/>
        <w:noProof/>
      </w:rPr>
    </w:pPr>
    <w:r>
      <w:rPr>
        <w:bCs/>
        <w:noProof/>
      </w:rPr>
      <w:ptab w:relativeTo="margin" w:alignment="left" w:leader="none"/>
    </w:r>
    <w:r w:rsidRPr="00630755">
      <w:rPr>
        <w:bCs/>
        <w:noProof/>
      </w:rPr>
      <w:t>Confidential</w:t>
    </w:r>
    <w:r>
      <w:rPr>
        <w:bCs/>
        <w:noProof/>
      </w:rPr>
      <w:t xml:space="preserve"> </w:t>
    </w:r>
    <w:r w:rsidRPr="00630755">
      <w:rPr>
        <w:bCs/>
        <w:noProof/>
      </w:rPr>
      <w:t>/</w:t>
    </w:r>
    <w:r>
      <w:rPr>
        <w:bCs/>
        <w:noProof/>
      </w:rPr>
      <w:t xml:space="preserve"> </w:t>
    </w:r>
    <w:r w:rsidRPr="00630755">
      <w:rPr>
        <w:bCs/>
        <w:noProof/>
      </w:rPr>
      <w:t>Policy Under Development | UMass Chan Medical School</w:t>
    </w:r>
    <w:r w:rsidRPr="00630755">
      <w:rPr>
        <w:bCs/>
        <w:noProof/>
      </w:rPr>
      <w:tab/>
    </w:r>
    <w:r>
      <w:rPr>
        <w:bCs/>
        <w:noProof/>
      </w:rPr>
      <w:ptab w:relativeTo="margin" w:alignment="right" w:leader="none"/>
    </w:r>
    <w:r>
      <w:rPr>
        <w:bCs/>
        <w:noProof/>
      </w:rPr>
      <w:t xml:space="preserve">(Acronyms) pg. </w:t>
    </w:r>
    <w:r>
      <w:rPr>
        <w:b/>
        <w:bCs/>
        <w:noProof/>
      </w:rPr>
      <w:fldChar w:fldCharType="begin"/>
    </w:r>
    <w:r>
      <w:rPr>
        <w:bCs/>
        <w:noProof/>
      </w:rPr>
      <w:instrText xml:space="preserve"> PAGE  \* Arabic  \* MERGEFORMAT </w:instrText>
    </w:r>
    <w:r>
      <w:rPr>
        <w:b/>
        <w:bCs/>
        <w:noProof/>
      </w:rPr>
      <w:fldChar w:fldCharType="separate"/>
    </w:r>
    <w:r>
      <w:rPr>
        <w:bCs/>
        <w:noProof/>
      </w:rPr>
      <w:t>1</w:t>
    </w:r>
    <w:r>
      <w:rPr>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C2598" w14:textId="1D2037D7" w:rsidR="00E76A23" w:rsidRPr="008563FB" w:rsidRDefault="00E76A23" w:rsidP="003B0EB7">
    <w:pPr>
      <w:pStyle w:val="Footer"/>
      <w:pBdr>
        <w:top w:val="single" w:sz="4" w:space="8" w:color="auto"/>
      </w:pBdr>
      <w:spacing w:before="120"/>
      <w:ind w:right="-72"/>
      <w:rPr>
        <w:b/>
        <w:bCs/>
        <w:noProof/>
      </w:rPr>
    </w:pPr>
    <w:r>
      <w:rPr>
        <w:bCs/>
        <w:noProof/>
      </w:rPr>
      <w:ptab w:relativeTo="margin" w:alignment="left" w:leader="none"/>
    </w:r>
    <w:r w:rsidRPr="00630755">
      <w:rPr>
        <w:bCs/>
        <w:noProof/>
      </w:rPr>
      <w:t>Confidential</w:t>
    </w:r>
    <w:r>
      <w:rPr>
        <w:bCs/>
        <w:noProof/>
      </w:rPr>
      <w:t xml:space="preserve"> </w:t>
    </w:r>
    <w:r w:rsidRPr="00630755">
      <w:rPr>
        <w:bCs/>
        <w:noProof/>
      </w:rPr>
      <w:t>/</w:t>
    </w:r>
    <w:r>
      <w:rPr>
        <w:bCs/>
        <w:noProof/>
      </w:rPr>
      <w:t xml:space="preserve"> </w:t>
    </w:r>
    <w:r w:rsidRPr="00630755">
      <w:rPr>
        <w:bCs/>
        <w:noProof/>
      </w:rPr>
      <w:t>Policy Under Development | UMass Chan Medical School</w:t>
    </w:r>
    <w:r w:rsidRPr="00630755">
      <w:rPr>
        <w:bCs/>
        <w:noProof/>
      </w:rPr>
      <w:tab/>
    </w:r>
    <w:r>
      <w:rPr>
        <w:bCs/>
        <w:noProof/>
      </w:rPr>
      <w:ptab w:relativeTo="margin" w:alignment="right" w:leader="none"/>
    </w:r>
    <w:r>
      <w:rPr>
        <w:bCs/>
        <w:noProof/>
      </w:rPr>
      <w:t xml:space="preserve">(Ch. </w:t>
    </w:r>
    <w:r w:rsidR="00692841">
      <w:rPr>
        <w:b/>
        <w:bCs/>
        <w:noProof/>
      </w:rPr>
      <w:fldChar w:fldCharType="begin"/>
    </w:r>
    <w:r w:rsidR="00692841">
      <w:rPr>
        <w:b/>
        <w:bCs/>
        <w:noProof/>
      </w:rPr>
      <w:instrText xml:space="preserve"> STYLEREF  "Heading 1" \n </w:instrText>
    </w:r>
    <w:r w:rsidR="00692841">
      <w:rPr>
        <w:b/>
        <w:bCs/>
        <w:noProof/>
      </w:rPr>
      <w:fldChar w:fldCharType="separate"/>
    </w:r>
    <w:r w:rsidR="0020559B">
      <w:rPr>
        <w:b/>
        <w:bCs/>
        <w:noProof/>
      </w:rPr>
      <w:t>7</w:t>
    </w:r>
    <w:r w:rsidR="00692841">
      <w:rPr>
        <w:b/>
        <w:bCs/>
        <w:noProof/>
      </w:rPr>
      <w:fldChar w:fldCharType="end"/>
    </w:r>
    <w:r>
      <w:rPr>
        <w:bCs/>
        <w:noProof/>
      </w:rPr>
      <w:t xml:space="preserve">)  pg. </w:t>
    </w:r>
    <w:r>
      <w:rPr>
        <w:b/>
        <w:bCs/>
        <w:noProof/>
      </w:rPr>
      <w:fldChar w:fldCharType="begin"/>
    </w:r>
    <w:r>
      <w:rPr>
        <w:bCs/>
        <w:noProof/>
      </w:rPr>
      <w:instrText xml:space="preserve"> PAGE  \* Arabic  \* MERGEFORMAT </w:instrText>
    </w:r>
    <w:r>
      <w:rPr>
        <w:b/>
        <w:bCs/>
        <w:noProof/>
      </w:rPr>
      <w:fldChar w:fldCharType="separate"/>
    </w:r>
    <w:r>
      <w:rPr>
        <w:bCs/>
        <w:noProof/>
      </w:rPr>
      <w:t>1</w:t>
    </w:r>
    <w:r>
      <w:rPr>
        <w:b/>
        <w:bCs/>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63218" w14:textId="046C8847" w:rsidR="00E76A23" w:rsidRPr="00DD1166" w:rsidRDefault="00E76A23" w:rsidP="00D86753">
    <w:pPr>
      <w:pStyle w:val="Footer"/>
      <w:pBdr>
        <w:top w:val="single" w:sz="4" w:space="8" w:color="auto"/>
      </w:pBdr>
      <w:spacing w:before="120"/>
      <w:rPr>
        <w:b/>
        <w:bCs/>
        <w:noProof/>
      </w:rPr>
    </w:pPr>
    <w:r>
      <w:rPr>
        <w:bCs/>
        <w:noProof/>
      </w:rPr>
      <w:ptab w:relativeTo="margin" w:alignment="left" w:leader="none"/>
    </w:r>
    <w:r w:rsidRPr="00630755">
      <w:rPr>
        <w:bCs/>
        <w:noProof/>
      </w:rPr>
      <w:t>Confidential</w:t>
    </w:r>
    <w:r>
      <w:rPr>
        <w:bCs/>
        <w:noProof/>
      </w:rPr>
      <w:t xml:space="preserve"> </w:t>
    </w:r>
    <w:r w:rsidRPr="00630755">
      <w:rPr>
        <w:bCs/>
        <w:noProof/>
      </w:rPr>
      <w:t>/</w:t>
    </w:r>
    <w:r>
      <w:rPr>
        <w:bCs/>
        <w:noProof/>
      </w:rPr>
      <w:t xml:space="preserve"> </w:t>
    </w:r>
    <w:r w:rsidRPr="00630755">
      <w:rPr>
        <w:bCs/>
        <w:noProof/>
      </w:rPr>
      <w:t>Policy Under Development | UMass Chan Medical School</w:t>
    </w:r>
    <w:r w:rsidRPr="00630755">
      <w:rPr>
        <w:bCs/>
        <w:noProof/>
      </w:rPr>
      <w:tab/>
    </w:r>
    <w:r>
      <w:rPr>
        <w:bCs/>
        <w:noProof/>
      </w:rPr>
      <w:ptab w:relativeTo="margin" w:alignment="right" w:leader="none"/>
    </w:r>
    <w:r>
      <w:rPr>
        <w:bCs/>
        <w:noProof/>
      </w:rPr>
      <w:t>(Appx. A</w:t>
    </w:r>
    <w:r>
      <w:rPr>
        <w:b/>
        <w:bCs/>
        <w:noProof/>
      </w:rPr>
      <w:fldChar w:fldCharType="begin"/>
    </w:r>
    <w:r>
      <w:rPr>
        <w:bCs/>
        <w:noProof/>
      </w:rPr>
      <w:instrText xml:space="preserve"> AUTOTEXTLIST  \* Upper \s A  \* MERGEFORMAT </w:instrText>
    </w:r>
    <w:r w:rsidR="0020559B">
      <w:rPr>
        <w:b/>
        <w:bCs/>
        <w:noProof/>
      </w:rPr>
      <w:fldChar w:fldCharType="separate"/>
    </w:r>
    <w:r>
      <w:rPr>
        <w:b/>
        <w:bCs/>
        <w:noProof/>
      </w:rPr>
      <w:fldChar w:fldCharType="end"/>
    </w:r>
    <w:r>
      <w:rPr>
        <w:bCs/>
        <w:noProof/>
      </w:rPr>
      <w:t xml:space="preserve">)  pg. </w:t>
    </w:r>
    <w:r>
      <w:rPr>
        <w:b/>
        <w:bCs/>
        <w:noProof/>
      </w:rPr>
      <w:fldChar w:fldCharType="begin"/>
    </w:r>
    <w:r>
      <w:rPr>
        <w:bCs/>
        <w:noProof/>
      </w:rPr>
      <w:instrText xml:space="preserve"> PAGE  \* Arabic  \* MERGEFORMAT </w:instrText>
    </w:r>
    <w:r>
      <w:rPr>
        <w:b/>
        <w:bCs/>
        <w:noProof/>
      </w:rPr>
      <w:fldChar w:fldCharType="separate"/>
    </w:r>
    <w:r>
      <w:rPr>
        <w:bCs/>
        <w:noProof/>
      </w:rPr>
      <w:t>10</w:t>
    </w:r>
    <w:r>
      <w:rPr>
        <w:b/>
        <w:bCs/>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7291C" w14:textId="52B4AEC9" w:rsidR="00E76A23" w:rsidRPr="00DD1166" w:rsidRDefault="00E76A23" w:rsidP="00D86753">
    <w:pPr>
      <w:pStyle w:val="Footer"/>
      <w:pBdr>
        <w:top w:val="single" w:sz="4" w:space="8" w:color="auto"/>
      </w:pBdr>
      <w:spacing w:before="120"/>
      <w:rPr>
        <w:b/>
        <w:bCs/>
        <w:noProof/>
      </w:rPr>
    </w:pPr>
    <w:r>
      <w:rPr>
        <w:bCs/>
        <w:noProof/>
      </w:rPr>
      <w:ptab w:relativeTo="margin" w:alignment="left" w:leader="none"/>
    </w:r>
    <w:r w:rsidRPr="00630755">
      <w:rPr>
        <w:bCs/>
        <w:noProof/>
      </w:rPr>
      <w:t>Confidential</w:t>
    </w:r>
    <w:r>
      <w:rPr>
        <w:bCs/>
        <w:noProof/>
      </w:rPr>
      <w:t xml:space="preserve"> </w:t>
    </w:r>
    <w:r w:rsidRPr="00630755">
      <w:rPr>
        <w:bCs/>
        <w:noProof/>
      </w:rPr>
      <w:t>/</w:t>
    </w:r>
    <w:r>
      <w:rPr>
        <w:bCs/>
        <w:noProof/>
      </w:rPr>
      <w:t xml:space="preserve"> </w:t>
    </w:r>
    <w:r w:rsidRPr="00630755">
      <w:rPr>
        <w:bCs/>
        <w:noProof/>
      </w:rPr>
      <w:t>Policy Under Development | UMass Chan Medical School</w:t>
    </w:r>
    <w:r w:rsidRPr="00630755">
      <w:rPr>
        <w:bCs/>
        <w:noProof/>
      </w:rPr>
      <w:tab/>
    </w:r>
    <w:r>
      <w:rPr>
        <w:bCs/>
        <w:noProof/>
      </w:rPr>
      <w:ptab w:relativeTo="margin" w:alignment="right" w:leader="none"/>
    </w:r>
    <w:r>
      <w:rPr>
        <w:bCs/>
        <w:noProof/>
      </w:rPr>
      <w:t>(Appx. B</w:t>
    </w:r>
    <w:r>
      <w:rPr>
        <w:b/>
        <w:bCs/>
        <w:noProof/>
      </w:rPr>
      <w:fldChar w:fldCharType="begin"/>
    </w:r>
    <w:r>
      <w:rPr>
        <w:bCs/>
        <w:noProof/>
      </w:rPr>
      <w:instrText xml:space="preserve"> AUTOTEXTLIST  \* Upper \s A  \* MERGEFORMAT </w:instrText>
    </w:r>
    <w:r w:rsidR="0020559B">
      <w:rPr>
        <w:b/>
        <w:bCs/>
        <w:noProof/>
      </w:rPr>
      <w:fldChar w:fldCharType="separate"/>
    </w:r>
    <w:r>
      <w:rPr>
        <w:b/>
        <w:bCs/>
        <w:noProof/>
      </w:rPr>
      <w:fldChar w:fldCharType="end"/>
    </w:r>
    <w:r>
      <w:rPr>
        <w:bCs/>
        <w:noProof/>
      </w:rPr>
      <w:t xml:space="preserve">)  pg. </w:t>
    </w:r>
    <w:r>
      <w:rPr>
        <w:b/>
        <w:bCs/>
        <w:noProof/>
      </w:rPr>
      <w:fldChar w:fldCharType="begin"/>
    </w:r>
    <w:r>
      <w:rPr>
        <w:bCs/>
        <w:noProof/>
      </w:rPr>
      <w:instrText xml:space="preserve"> PAGE  \* Arabic  \* MERGEFORMAT </w:instrText>
    </w:r>
    <w:r>
      <w:rPr>
        <w:b/>
        <w:bCs/>
        <w:noProof/>
      </w:rPr>
      <w:fldChar w:fldCharType="separate"/>
    </w:r>
    <w:r>
      <w:rPr>
        <w:bCs/>
        <w:noProof/>
      </w:rPr>
      <w:t>10</w:t>
    </w:r>
    <w:r>
      <w:rPr>
        <w:b/>
        <w:bC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86C6C" w14:textId="0D2CD15E" w:rsidR="00462347" w:rsidRDefault="00E76A23" w:rsidP="00DC4303">
    <w:pPr>
      <w:pStyle w:val="Footer"/>
      <w:pBdr>
        <w:top w:val="single" w:sz="4" w:space="8" w:color="auto"/>
      </w:pBdr>
      <w:spacing w:before="120"/>
    </w:pPr>
    <w:r>
      <w:rPr>
        <w:bCs/>
        <w:noProof/>
      </w:rPr>
      <w:ptab w:relativeTo="margin" w:alignment="left" w:leader="none"/>
    </w:r>
    <w:r w:rsidRPr="00630755">
      <w:rPr>
        <w:bCs/>
        <w:noProof/>
      </w:rPr>
      <w:t>Confidential</w:t>
    </w:r>
    <w:r>
      <w:rPr>
        <w:bCs/>
        <w:noProof/>
      </w:rPr>
      <w:t xml:space="preserve"> </w:t>
    </w:r>
    <w:r w:rsidRPr="00630755">
      <w:rPr>
        <w:bCs/>
        <w:noProof/>
      </w:rPr>
      <w:t>/</w:t>
    </w:r>
    <w:r>
      <w:rPr>
        <w:bCs/>
        <w:noProof/>
      </w:rPr>
      <w:t xml:space="preserve"> </w:t>
    </w:r>
    <w:r w:rsidRPr="00630755">
      <w:rPr>
        <w:bCs/>
        <w:noProof/>
      </w:rPr>
      <w:t>Policy Under Development | UMass Chan Medical School</w:t>
    </w:r>
    <w:r w:rsidRPr="00630755">
      <w:rPr>
        <w:bCs/>
        <w:noProof/>
      </w:rPr>
      <w:tab/>
    </w:r>
    <w:r>
      <w:rPr>
        <w:bCs/>
        <w:noProof/>
      </w:rPr>
      <w:ptab w:relativeTo="margin" w:alignment="right" w:leader="none"/>
    </w:r>
    <w:r>
      <w:rPr>
        <w:bCs/>
        <w:noProof/>
      </w:rPr>
      <w:t>(Appx. C</w:t>
    </w:r>
    <w:r>
      <w:rPr>
        <w:b/>
        <w:bCs/>
        <w:noProof/>
      </w:rPr>
      <w:fldChar w:fldCharType="begin"/>
    </w:r>
    <w:r>
      <w:rPr>
        <w:bCs/>
        <w:noProof/>
      </w:rPr>
      <w:instrText xml:space="preserve"> AUTOTEXTLIST  \* Upper \s A  \* MERGEFORMAT </w:instrText>
    </w:r>
    <w:r w:rsidR="0020559B">
      <w:rPr>
        <w:b/>
        <w:bCs/>
        <w:noProof/>
      </w:rPr>
      <w:fldChar w:fldCharType="separate"/>
    </w:r>
    <w:r>
      <w:rPr>
        <w:b/>
        <w:bCs/>
        <w:noProof/>
      </w:rPr>
      <w:fldChar w:fldCharType="end"/>
    </w:r>
    <w:r>
      <w:rPr>
        <w:bCs/>
        <w:noProof/>
      </w:rPr>
      <w:t xml:space="preserve">)  pg. </w:t>
    </w:r>
    <w:r>
      <w:rPr>
        <w:b/>
        <w:bCs/>
        <w:noProof/>
      </w:rPr>
      <w:fldChar w:fldCharType="begin"/>
    </w:r>
    <w:r>
      <w:rPr>
        <w:bCs/>
        <w:noProof/>
      </w:rPr>
      <w:instrText xml:space="preserve"> PAGE  \* Arabic  \* MERGEFORMAT </w:instrText>
    </w:r>
    <w:r>
      <w:rPr>
        <w:b/>
        <w:bCs/>
        <w:noProof/>
      </w:rPr>
      <w:fldChar w:fldCharType="separate"/>
    </w:r>
    <w:r>
      <w:rPr>
        <w:bCs/>
        <w:noProof/>
      </w:rPr>
      <w:t>10</w:t>
    </w:r>
    <w:r>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53962" w14:textId="77777777" w:rsidR="00744E1B" w:rsidRDefault="00744E1B" w:rsidP="00BC3AFF">
      <w:pPr>
        <w:spacing w:after="120"/>
      </w:pPr>
      <w:r w:rsidRPr="002873BF">
        <w:separator/>
      </w:r>
    </w:p>
  </w:footnote>
  <w:footnote w:type="continuationSeparator" w:id="0">
    <w:p w14:paraId="3ABEE750" w14:textId="77777777" w:rsidR="00744E1B" w:rsidRDefault="00744E1B">
      <w:r>
        <w:continuationSeparator/>
      </w:r>
    </w:p>
  </w:footnote>
  <w:footnote w:type="continuationNotice" w:id="1">
    <w:p w14:paraId="0CBDC8B7" w14:textId="77777777" w:rsidR="00744E1B" w:rsidRDefault="00744E1B"/>
  </w:footnote>
  <w:footnote w:id="2">
    <w:p w14:paraId="77666F85" w14:textId="7DB3EA8F" w:rsidR="00E76A23" w:rsidRPr="00E112E8" w:rsidRDefault="00E76A23" w:rsidP="00FC4E44">
      <w:pPr>
        <w:pStyle w:val="Footnote"/>
        <w:rPr>
          <w:rStyle w:val="FootnoteTextChar"/>
        </w:rPr>
      </w:pPr>
      <w:r w:rsidRPr="006F578C">
        <w:rPr>
          <w:rStyle w:val="footnotemark"/>
          <w:rFonts w:ascii="Arial" w:eastAsiaTheme="minorHAnsi" w:hAnsi="Arial" w:cs="Arial"/>
          <w:sz w:val="18"/>
        </w:rPr>
        <w:footnoteRef/>
      </w:r>
      <w:r w:rsidRPr="006F578C">
        <w:t xml:space="preserve"> </w:t>
      </w:r>
      <w:r w:rsidR="00572357" w:rsidRPr="00B64043">
        <w:t xml:space="preserve">Commonwealth of Massachusetts. (2022, September 29). </w:t>
      </w:r>
      <w:r w:rsidR="00572357" w:rsidRPr="00FC4E44">
        <w:t>Revised Draft Independent Evaluation Interim Report. Massachusetts Medicaid 1115 Demonstration Extension 2017-2022</w:t>
      </w:r>
      <w:r w:rsidR="00572357" w:rsidRPr="00B64043">
        <w:t xml:space="preserve">. Mass.gov. </w:t>
      </w:r>
      <w:hyperlink r:id="rId1" w:history="1">
        <w:r w:rsidR="00572357" w:rsidRPr="00B2691D">
          <w:rPr>
            <w:rStyle w:val="Hyperlink"/>
          </w:rPr>
          <w:t>https://www.mass.gov/doc/cms-approved-interim-evaluation-report/download</w:t>
        </w:r>
      </w:hyperlink>
      <w:r w:rsidR="00572357" w:rsidRPr="00572357">
        <w:t xml:space="preserve"> </w:t>
      </w:r>
    </w:p>
  </w:footnote>
  <w:footnote w:id="3">
    <w:p w14:paraId="06E83542" w14:textId="00274E1D" w:rsidR="00E76A23" w:rsidRPr="00B52AD1" w:rsidRDefault="00E76A23" w:rsidP="00FC4E44">
      <w:pPr>
        <w:pStyle w:val="Footnote"/>
      </w:pPr>
      <w:r w:rsidRPr="00B52AD1">
        <w:rPr>
          <w:rStyle w:val="FootnoteReference"/>
        </w:rPr>
        <w:footnoteRef/>
      </w:r>
      <w:r w:rsidRPr="00B52AD1">
        <w:t xml:space="preserve"> </w:t>
      </w:r>
      <w:r w:rsidR="00572357" w:rsidRPr="00B52AD1">
        <w:t xml:space="preserve">Centers for Medicare &amp; Medicaid Services. (2022, </w:t>
      </w:r>
      <w:r w:rsidR="00CC3F7A" w:rsidRPr="00B52AD1">
        <w:t>September 28</w:t>
      </w:r>
      <w:r w:rsidR="00572357" w:rsidRPr="00B52AD1">
        <w:t>). Technical Assistance on MassHealth Section 1115 Demonstration</w:t>
      </w:r>
      <w:r w:rsidR="00B52AD1">
        <w:t xml:space="preserve">; </w:t>
      </w:r>
      <w:hyperlink r:id="rId2" w:history="1">
        <w:r w:rsidR="00B52AD1" w:rsidRPr="00B52AD1">
          <w:rPr>
            <w:rStyle w:val="Hyperlink"/>
          </w:rPr>
          <w:t>1115 MassHealth Demonstration ("Waiver") | Mass.gov</w:t>
        </w:r>
      </w:hyperlink>
      <w:r w:rsidR="00B52AD1">
        <w:t xml:space="preserve"> and </w:t>
      </w:r>
      <w:hyperlink r:id="rId3" w:history="1">
        <w:r w:rsidR="00B52AD1" w:rsidRPr="00B52AD1">
          <w:rPr>
            <w:rStyle w:val="Hyperlink"/>
          </w:rPr>
          <w:t>https://www.medicaid.gov/medicaid/section-1115-demonstrations/1115-demonstration-monitoring-evaluation/1115-demonstration-state-monitoring-evaluation-resources/index.html</w:t>
        </w:r>
      </w:hyperlink>
    </w:p>
  </w:footnote>
  <w:footnote w:id="4">
    <w:p w14:paraId="75F5F396" w14:textId="06638908" w:rsidR="00E76A23" w:rsidRDefault="00E76A23" w:rsidP="00FC4E44">
      <w:pPr>
        <w:pStyle w:val="Footnote"/>
      </w:pPr>
      <w:r>
        <w:rPr>
          <w:rStyle w:val="FootnoteReference"/>
        </w:rPr>
        <w:footnoteRef/>
      </w:r>
      <w:r>
        <w:t xml:space="preserve"> </w:t>
      </w:r>
      <w:r w:rsidRPr="00B64043">
        <w:t xml:space="preserve">Bridges, J.F.P., Hauber, A.B., Marshall, D., Lloyd, A., Prosser, L.A., Regier, D.A., Hood, F.R., &amp; Mauskopf, J. (2011). Conjoint Analysis Applications in Health – a Checklist: A Report of the ISPOR Good Research Practices for Conjoint Analysis Task Force. </w:t>
      </w:r>
      <w:r w:rsidRPr="00FC4E44">
        <w:t>Value in Health</w:t>
      </w:r>
      <w:r w:rsidRPr="00B64043">
        <w:t>. 14: 403-413</w:t>
      </w:r>
    </w:p>
  </w:footnote>
  <w:footnote w:id="5">
    <w:p w14:paraId="23E8332B" w14:textId="5A0A4B3B" w:rsidR="008839C8" w:rsidRDefault="008839C8" w:rsidP="00FC4E44">
      <w:pPr>
        <w:pStyle w:val="Footnote"/>
      </w:pPr>
      <w:r>
        <w:rPr>
          <w:rStyle w:val="FootnoteReference"/>
        </w:rPr>
        <w:footnoteRef/>
      </w:r>
      <w:r>
        <w:t xml:space="preserve"> </w:t>
      </w:r>
      <w:r w:rsidRPr="00B64043">
        <w:t xml:space="preserve">Abadie, Diamond, and Hainmueller: Synthetic Control Methods for Comparative Case Studies. Journal of the American Statistical Association </w:t>
      </w:r>
      <w:r w:rsidR="00B7079A" w:rsidRPr="00B64043">
        <w:t>(</w:t>
      </w:r>
      <w:r w:rsidRPr="00B64043">
        <w:t>June 2010</w:t>
      </w:r>
      <w:r w:rsidR="00B7079A" w:rsidRPr="00B64043">
        <w:t>).</w:t>
      </w:r>
      <w:r w:rsidRPr="00B64043">
        <w:t xml:space="preserve"> Vol. 105, No. 490</w:t>
      </w:r>
      <w:r w:rsidR="005543B5" w:rsidRPr="00B64043">
        <w:t xml:space="preserve"> </w:t>
      </w:r>
      <w:r w:rsidRPr="00B64043">
        <w:t>McClelland R, Gault S. The Synthetic Control Method a Tool to Understand State Policy.</w:t>
      </w:r>
      <w:r w:rsidRPr="00FC4E44">
        <w:t xml:space="preserve"> Urban Institute.</w:t>
      </w:r>
      <w:r w:rsidRPr="00B64043">
        <w:t xml:space="preserve"> March, 2017.</w:t>
      </w:r>
    </w:p>
  </w:footnote>
  <w:footnote w:id="6">
    <w:p w14:paraId="2852C18B" w14:textId="2F30D54F" w:rsidR="00E76A23" w:rsidRPr="00D07FFA" w:rsidRDefault="00E76A23" w:rsidP="00FC4E44">
      <w:pPr>
        <w:pStyle w:val="Footnote"/>
      </w:pPr>
      <w:r w:rsidRPr="00BF7591">
        <w:rPr>
          <w:rStyle w:val="FootnoteReference"/>
        </w:rPr>
        <w:footnoteRef/>
      </w:r>
      <w:r w:rsidRPr="00BF7591">
        <w:t xml:space="preserve"> </w:t>
      </w:r>
      <w:r>
        <w:t>CHIA.</w:t>
      </w:r>
      <w:r w:rsidRPr="00BF7591">
        <w:t xml:space="preserve"> </w:t>
      </w:r>
      <w:r w:rsidRPr="004425D1">
        <w:rPr>
          <w:i/>
          <w:iCs/>
        </w:rPr>
        <w:t>Massachusetts Health Insurance Survey</w:t>
      </w:r>
      <w:r w:rsidRPr="004425D1">
        <w:t xml:space="preserve">. (n.d.). </w:t>
      </w:r>
      <w:r w:rsidRPr="004425D1">
        <w:rPr>
          <w:i/>
          <w:iCs/>
        </w:rPr>
        <w:t>Massachusetts Health Insurance Survey</w:t>
      </w:r>
      <w:r w:rsidRPr="004425D1">
        <w:t xml:space="preserve">. </w:t>
      </w:r>
      <w:r>
        <w:t xml:space="preserve">Chiamass.gov. </w:t>
      </w:r>
      <w:r w:rsidRPr="004425D1">
        <w:t xml:space="preserve">Retrieved January 01, 2023, </w:t>
      </w:r>
      <w:r>
        <w:t>f</w:t>
      </w:r>
      <w:r w:rsidRPr="00D07FFA">
        <w:t>rom </w:t>
      </w:r>
      <w:hyperlink r:id="rId4" w:history="1">
        <w:r w:rsidRPr="00D07FFA">
          <w:rPr>
            <w:rStyle w:val="Hyperlink"/>
          </w:rPr>
          <w:t>https://www.chiamass.gov/massachusetts-health-insurance-survey/</w:t>
        </w:r>
      </w:hyperlink>
    </w:p>
  </w:footnote>
  <w:footnote w:id="7">
    <w:p w14:paraId="5E7C694C" w14:textId="63004DFB" w:rsidR="00E76A23" w:rsidRDefault="00E76A23" w:rsidP="00FC4E44">
      <w:pPr>
        <w:pStyle w:val="Footnote"/>
      </w:pPr>
      <w:r>
        <w:rPr>
          <w:rStyle w:val="FootnoteReference"/>
        </w:rPr>
        <w:footnoteRef/>
      </w:r>
      <w:r>
        <w:t xml:space="preserve"> </w:t>
      </w:r>
      <w:r w:rsidRPr="00736B77">
        <w:t>Commonwealth of Massachusetts</w:t>
      </w:r>
      <w:r>
        <w:t xml:space="preserve">. (2020, August) </w:t>
      </w:r>
      <w:r w:rsidRPr="002219D5">
        <w:rPr>
          <w:i/>
        </w:rPr>
        <w:t>MassHealth Eligibility Flexibilities for COVID-19</w:t>
      </w:r>
      <w:r>
        <w:t xml:space="preserve">. Mass.gov. Retrieved February 20, 2023, from </w:t>
      </w:r>
      <w:hyperlink r:id="rId5" w:history="1">
        <w:r>
          <w:rPr>
            <w:rStyle w:val="Hyperlink"/>
          </w:rPr>
          <w:t>download (mass.gov)</w:t>
        </w:r>
      </w:hyperlink>
      <w:r>
        <w:t xml:space="preserve"> </w:t>
      </w:r>
    </w:p>
  </w:footnote>
  <w:footnote w:id="8">
    <w:p w14:paraId="65E05F60" w14:textId="597044B4" w:rsidR="00E76A23" w:rsidRDefault="00E76A23" w:rsidP="00FC4E44">
      <w:pPr>
        <w:pStyle w:val="Footnote"/>
      </w:pPr>
      <w:r>
        <w:rPr>
          <w:rStyle w:val="FootnoteReference"/>
        </w:rPr>
        <w:footnoteRef/>
      </w:r>
      <w:r>
        <w:t xml:space="preserve"> </w:t>
      </w:r>
      <w:r w:rsidRPr="00BF7591">
        <w:t xml:space="preserve">Attachment O. </w:t>
      </w:r>
      <w:r>
        <w:t>Continuous Eligibility Implementation Plan</w:t>
      </w:r>
      <w:r w:rsidR="00F659C4">
        <w:t xml:space="preserve">; </w:t>
      </w:r>
      <w:hyperlink r:id="rId6" w:history="1">
        <w:r w:rsidR="00F659C4" w:rsidRPr="00760276">
          <w:rPr>
            <w:rStyle w:val="Hyperlink"/>
            <w:rFonts w:eastAsia="Times New Roman"/>
          </w:rPr>
          <w:t>1115 MassHealth Demonstration ("Waiver") | Mass.gov</w:t>
        </w:r>
      </w:hyperlink>
    </w:p>
  </w:footnote>
  <w:footnote w:id="9">
    <w:p w14:paraId="6BB7CCC0" w14:textId="19A6EB7A" w:rsidR="00E76A23" w:rsidRPr="00D07FFA" w:rsidRDefault="00E76A23" w:rsidP="00FC4E44">
      <w:pPr>
        <w:pStyle w:val="Footnote"/>
      </w:pPr>
      <w:r w:rsidRPr="00D07FFA">
        <w:rPr>
          <w:rStyle w:val="FootnoteReference"/>
        </w:rPr>
        <w:footnoteRef/>
      </w:r>
      <w:r w:rsidRPr="00D07FFA">
        <w:t xml:space="preserve"> STC Table 3 “CommonHealth Adults”</w:t>
      </w:r>
      <w:r w:rsidR="00B71634" w:rsidRPr="00B71634">
        <w:t xml:space="preserve"> </w:t>
      </w:r>
      <w:r w:rsidR="00B71634" w:rsidRPr="004B3FAB">
        <w:t xml:space="preserve">; </w:t>
      </w:r>
      <w:hyperlink r:id="rId7" w:history="1">
        <w:r w:rsidR="00B71634" w:rsidRPr="004B3FAB">
          <w:rPr>
            <w:rStyle w:val="Hyperlink"/>
          </w:rPr>
          <w:t>1115 MassHealth Demonstration ("Waiver") | Mass.gov</w:t>
        </w:r>
      </w:hyperlink>
    </w:p>
  </w:footnote>
  <w:footnote w:id="10">
    <w:p w14:paraId="22092789" w14:textId="6B95144C" w:rsidR="00E76A23" w:rsidRPr="00D07FFA" w:rsidRDefault="00E76A23" w:rsidP="00FC4E44">
      <w:pPr>
        <w:pStyle w:val="Footnote"/>
      </w:pPr>
      <w:r w:rsidRPr="00D07FFA">
        <w:rPr>
          <w:rStyle w:val="FootnoteReference"/>
        </w:rPr>
        <w:footnoteRef/>
      </w:r>
      <w:r w:rsidRPr="00D07FFA">
        <w:t xml:space="preserve"> STC 4.6</w:t>
      </w:r>
      <w:r w:rsidR="00B71634" w:rsidRPr="004B3FAB">
        <w:t xml:space="preserve">; </w:t>
      </w:r>
      <w:hyperlink r:id="rId8" w:history="1">
        <w:r w:rsidR="00B71634" w:rsidRPr="004B3FAB">
          <w:rPr>
            <w:rStyle w:val="Hyperlink"/>
          </w:rPr>
          <w:t>1115 MassHealth Demonstration ("Waiver") | Mass.gov</w:t>
        </w:r>
      </w:hyperlink>
    </w:p>
  </w:footnote>
  <w:footnote w:id="11">
    <w:p w14:paraId="543E7574" w14:textId="50332C94" w:rsidR="00E76A23" w:rsidRPr="00D07FFA" w:rsidRDefault="00E76A23" w:rsidP="00FC4E44">
      <w:pPr>
        <w:pStyle w:val="Footnote"/>
      </w:pPr>
      <w:r w:rsidRPr="00D07FFA">
        <w:rPr>
          <w:rStyle w:val="FootnoteReference"/>
        </w:rPr>
        <w:footnoteRef/>
      </w:r>
      <w:r w:rsidRPr="00D07FFA">
        <w:t xml:space="preserve"> STC 4.7, 4.8</w:t>
      </w:r>
      <w:r w:rsidR="00B71634" w:rsidRPr="004B3FAB">
        <w:t xml:space="preserve">; </w:t>
      </w:r>
      <w:hyperlink r:id="rId9" w:history="1">
        <w:r w:rsidR="00B71634" w:rsidRPr="004B3FAB">
          <w:rPr>
            <w:rStyle w:val="Hyperlink"/>
          </w:rPr>
          <w:t>1115 MassHealth Demonstration ("Waiver") | Mass.gov</w:t>
        </w:r>
      </w:hyperlink>
    </w:p>
  </w:footnote>
  <w:footnote w:id="12">
    <w:p w14:paraId="02264F26" w14:textId="3DEB2498" w:rsidR="00E76A23" w:rsidRPr="00D07FFA" w:rsidRDefault="00E76A23" w:rsidP="00FC4E44">
      <w:pPr>
        <w:pStyle w:val="Footnote"/>
      </w:pPr>
      <w:r w:rsidRPr="00D07FFA">
        <w:rPr>
          <w:rStyle w:val="FootnoteReference"/>
        </w:rPr>
        <w:footnoteRef/>
      </w:r>
      <w:r w:rsidRPr="00D07FFA">
        <w:t xml:space="preserve"> STC 4.8</w:t>
      </w:r>
      <w:r w:rsidR="00B71634" w:rsidRPr="004B3FAB">
        <w:t xml:space="preserve">; </w:t>
      </w:r>
      <w:hyperlink r:id="rId10" w:history="1">
        <w:r w:rsidR="00B71634" w:rsidRPr="004B3FAB">
          <w:rPr>
            <w:rStyle w:val="Hyperlink"/>
          </w:rPr>
          <w:t>1115 MassHealth Demonstration ("Waiver") | Mass.gov</w:t>
        </w:r>
      </w:hyperlink>
    </w:p>
  </w:footnote>
  <w:footnote w:id="13">
    <w:p w14:paraId="12B70BFF" w14:textId="74C5A7E1" w:rsidR="00E76A23" w:rsidRPr="00440C3B" w:rsidRDefault="00E76A23" w:rsidP="00FC4E44">
      <w:pPr>
        <w:pStyle w:val="Footnote"/>
      </w:pPr>
      <w:r w:rsidRPr="00D07FFA">
        <w:rPr>
          <w:rStyle w:val="FootnoteReference"/>
        </w:rPr>
        <w:footnoteRef/>
      </w:r>
      <w:r w:rsidRPr="00440C3B">
        <w:t xml:space="preserve"> STC 5.7, 5.7.a, 5.7.b</w:t>
      </w:r>
      <w:r w:rsidR="00B71634" w:rsidRPr="004B3FAB">
        <w:t xml:space="preserve">; </w:t>
      </w:r>
      <w:hyperlink r:id="rId11" w:history="1">
        <w:r w:rsidR="00B71634" w:rsidRPr="004B3FAB">
          <w:rPr>
            <w:rStyle w:val="Hyperlink"/>
          </w:rPr>
          <w:t>1115 MassHealth Demonstration ("Waiver") | Mass.gov</w:t>
        </w:r>
      </w:hyperlink>
    </w:p>
  </w:footnote>
  <w:footnote w:id="14">
    <w:p w14:paraId="1353E90B" w14:textId="657344AA" w:rsidR="00E76A23" w:rsidRPr="009F1A86" w:rsidRDefault="00E76A23" w:rsidP="00FC4E44">
      <w:pPr>
        <w:pStyle w:val="Footnote"/>
      </w:pPr>
      <w:r>
        <w:rPr>
          <w:rStyle w:val="FootnoteReference"/>
        </w:rPr>
        <w:footnoteRef/>
      </w:r>
      <w:r w:rsidRPr="00440C3B">
        <w:t xml:space="preserve"> </w:t>
      </w:r>
      <w:r w:rsidRPr="00C70E4C">
        <w:t>Centers for Medicare &amp; Medicaid Services.</w:t>
      </w:r>
      <w:r>
        <w:t xml:space="preserve"> </w:t>
      </w:r>
      <w:r w:rsidRPr="008D058B">
        <w:t xml:space="preserve">(August 11, 2022). </w:t>
      </w:r>
      <w:r w:rsidRPr="008D51B6">
        <w:rPr>
          <w:i/>
        </w:rPr>
        <w:t>Amendment of 1115 MassHealth Demonstration</w:t>
      </w:r>
      <w:r>
        <w:rPr>
          <w:i/>
        </w:rPr>
        <w:t xml:space="preserve">: </w:t>
      </w:r>
      <w:r w:rsidRPr="002219D5">
        <w:rPr>
          <w:i/>
          <w:iCs/>
        </w:rPr>
        <w:t>STC, page 106.</w:t>
      </w:r>
      <w:r>
        <w:rPr>
          <w:i/>
        </w:rPr>
        <w:t xml:space="preserve"> </w:t>
      </w:r>
      <w:r w:rsidRPr="002219D5">
        <w:rPr>
          <w:iCs/>
        </w:rPr>
        <w:t>Mass.gov</w:t>
      </w:r>
      <w:r>
        <w:rPr>
          <w:i/>
        </w:rPr>
        <w:t>.</w:t>
      </w:r>
      <w:r>
        <w:t xml:space="preserve">: </w:t>
      </w:r>
      <w:hyperlink r:id="rId12" w:history="1">
        <w:r w:rsidRPr="009F1A86">
          <w:rPr>
            <w:rStyle w:val="Hyperlink"/>
          </w:rPr>
          <w:t>download (mass.gov)</w:t>
        </w:r>
      </w:hyperlink>
      <w:r w:rsidRPr="009F1A86">
        <w:t xml:space="preserve"> </w:t>
      </w:r>
    </w:p>
  </w:footnote>
  <w:footnote w:id="15">
    <w:p w14:paraId="15200658" w14:textId="1CED6F7F" w:rsidR="00E76A23" w:rsidRPr="00B71634" w:rsidRDefault="00E76A23" w:rsidP="00FC4E44">
      <w:pPr>
        <w:pStyle w:val="Footnote"/>
      </w:pPr>
      <w:r w:rsidRPr="00D07FFA">
        <w:rPr>
          <w:rStyle w:val="FootnoteReference"/>
        </w:rPr>
        <w:footnoteRef/>
      </w:r>
      <w:r w:rsidRPr="00EE76B4">
        <w:t xml:space="preserve"> STC 9.1, page 76</w:t>
      </w:r>
      <w:r w:rsidR="00F659C4">
        <w:t xml:space="preserve">; </w:t>
      </w:r>
      <w:hyperlink r:id="rId13" w:history="1">
        <w:r w:rsidR="00F659C4" w:rsidRPr="00B71634">
          <w:rPr>
            <w:rStyle w:val="Hyperlink"/>
            <w:rFonts w:eastAsia="Times New Roman"/>
          </w:rPr>
          <w:t>1115 MassHealth Demonstration ("Waiver") | Mass.gov</w:t>
        </w:r>
      </w:hyperlink>
    </w:p>
  </w:footnote>
  <w:footnote w:id="16">
    <w:p w14:paraId="08A00C0E" w14:textId="31824AD5" w:rsidR="00E76A23" w:rsidRPr="00B71634" w:rsidRDefault="00E76A23" w:rsidP="00FC4E44">
      <w:pPr>
        <w:pStyle w:val="Footnote"/>
      </w:pPr>
      <w:r w:rsidRPr="00B71634">
        <w:rPr>
          <w:rStyle w:val="FootnoteReference"/>
        </w:rPr>
        <w:footnoteRef/>
      </w:r>
      <w:r w:rsidRPr="00B71634">
        <w:t xml:space="preserve"> STC 10.1</w:t>
      </w:r>
      <w:r w:rsidR="00F659C4" w:rsidRPr="00B71634">
        <w:t xml:space="preserve">; </w:t>
      </w:r>
      <w:hyperlink r:id="rId14" w:history="1">
        <w:r w:rsidR="00F659C4" w:rsidRPr="00B71634">
          <w:rPr>
            <w:rStyle w:val="Hyperlink"/>
            <w:rFonts w:eastAsia="Times New Roman"/>
          </w:rPr>
          <w:t>1115 MassHealth Demonstration ("Waiver") | Mass.gov</w:t>
        </w:r>
      </w:hyperlink>
    </w:p>
  </w:footnote>
  <w:footnote w:id="17">
    <w:p w14:paraId="7EFB1D65" w14:textId="05E5EE26" w:rsidR="00E76A23" w:rsidRPr="00EE76B4" w:rsidRDefault="00E76A23" w:rsidP="00FC4E44">
      <w:pPr>
        <w:pStyle w:val="Footnote"/>
      </w:pPr>
      <w:r w:rsidRPr="00B71634">
        <w:rPr>
          <w:rStyle w:val="FootnoteReference"/>
        </w:rPr>
        <w:footnoteRef/>
      </w:r>
      <w:r w:rsidRPr="00B71634">
        <w:t xml:space="preserve"> STC 4.2, </w:t>
      </w:r>
      <w:r w:rsidRPr="00B71634" w:rsidDel="00BC0912">
        <w:t xml:space="preserve">STC </w:t>
      </w:r>
      <w:r w:rsidRPr="00B71634">
        <w:t>8.13 Table 9</w:t>
      </w:r>
      <w:r w:rsidR="00F659C4" w:rsidRPr="00B71634">
        <w:t xml:space="preserve">; </w:t>
      </w:r>
      <w:hyperlink r:id="rId15" w:history="1">
        <w:r w:rsidR="00F659C4" w:rsidRPr="00B71634">
          <w:rPr>
            <w:rStyle w:val="Hyperlink"/>
            <w:rFonts w:eastAsia="Times New Roman"/>
          </w:rPr>
          <w:t>1115 MassHealth Demonstration ("Waiver") | Mass.gov</w:t>
        </w:r>
      </w:hyperlink>
    </w:p>
  </w:footnote>
  <w:footnote w:id="18">
    <w:p w14:paraId="02A3A142" w14:textId="25B27446" w:rsidR="00E76A23" w:rsidRDefault="00E76A23" w:rsidP="00FC4E44">
      <w:pPr>
        <w:pStyle w:val="Footnote"/>
      </w:pPr>
      <w:r w:rsidRPr="00D07FFA">
        <w:rPr>
          <w:rStyle w:val="FootnoteReference"/>
        </w:rPr>
        <w:footnoteRef/>
      </w:r>
      <w:r w:rsidRPr="00D07FFA">
        <w:t xml:space="preserve"> STC 4.4</w:t>
      </w:r>
      <w:r w:rsidR="00B71634" w:rsidRPr="004B3FAB">
        <w:t xml:space="preserve">; </w:t>
      </w:r>
      <w:hyperlink r:id="rId16" w:history="1">
        <w:r w:rsidR="00B71634" w:rsidRPr="004B3FAB">
          <w:rPr>
            <w:rStyle w:val="Hyperlink"/>
          </w:rPr>
          <w:t>1115 MassHealth Demonstration ("Waiver") | Mass.gov</w:t>
        </w:r>
      </w:hyperlink>
    </w:p>
  </w:footnote>
  <w:footnote w:id="19">
    <w:p w14:paraId="455B832C" w14:textId="44CC907C" w:rsidR="00E76A23" w:rsidRPr="00B71634" w:rsidRDefault="00E76A23" w:rsidP="00FC4E44">
      <w:pPr>
        <w:pStyle w:val="Footnote"/>
        <w:rPr>
          <w:szCs w:val="18"/>
        </w:rPr>
      </w:pPr>
      <w:r w:rsidRPr="002F6EC5">
        <w:rPr>
          <w:rStyle w:val="FootnoteReference"/>
          <w:szCs w:val="16"/>
        </w:rPr>
        <w:footnoteRef/>
      </w:r>
      <w:r w:rsidRPr="002F6EC5">
        <w:rPr>
          <w:szCs w:val="16"/>
        </w:rPr>
        <w:t xml:space="preserve"> </w:t>
      </w:r>
      <w:bookmarkStart w:id="53" w:name="_Hlk129596185"/>
      <w:bookmarkStart w:id="54" w:name="_Hlk129596168"/>
      <w:r w:rsidRPr="008D51B6">
        <w:t>Attachment O. Continuous Eligibility Implementation Plan</w:t>
      </w:r>
      <w:r>
        <w:t>, page</w:t>
      </w:r>
      <w:r w:rsidRPr="008D51B6">
        <w:t xml:space="preserve"> 3</w:t>
      </w:r>
      <w:bookmarkEnd w:id="53"/>
      <w:r w:rsidR="00B80B71">
        <w:t xml:space="preserve">; </w:t>
      </w:r>
      <w:hyperlink r:id="rId17" w:history="1">
        <w:r w:rsidR="00B80B71" w:rsidRPr="00B71634">
          <w:rPr>
            <w:rStyle w:val="Hyperlink"/>
            <w:rFonts w:eastAsia="Times New Roman"/>
          </w:rPr>
          <w:t>1115 MassHealth Demonstration ("Waiver") | Mass.gov</w:t>
        </w:r>
      </w:hyperlink>
    </w:p>
    <w:bookmarkEnd w:id="54"/>
  </w:footnote>
  <w:footnote w:id="20">
    <w:p w14:paraId="62C419C1" w14:textId="486F50BA" w:rsidR="00E76A23" w:rsidRPr="007D09E0" w:rsidRDefault="00E76A23" w:rsidP="00FC4E44">
      <w:pPr>
        <w:pStyle w:val="Footnote"/>
      </w:pPr>
      <w:r w:rsidRPr="00B71634">
        <w:rPr>
          <w:rStyle w:val="FootnoteReference"/>
        </w:rPr>
        <w:footnoteRef/>
      </w:r>
      <w:r w:rsidRPr="00B71634">
        <w:t xml:space="preserve"> Attachment O. Continuous Eligibility Implementation Plan, page 4</w:t>
      </w:r>
      <w:r w:rsidR="00B80B71" w:rsidRPr="00B71634">
        <w:t xml:space="preserve">; </w:t>
      </w:r>
      <w:hyperlink r:id="rId18" w:history="1">
        <w:r w:rsidR="00B80B71" w:rsidRPr="00B71634">
          <w:rPr>
            <w:rStyle w:val="Hyperlink"/>
            <w:rFonts w:eastAsia="Times New Roman"/>
          </w:rPr>
          <w:t>1115 MassHealth Demonstration ("Waiver") | Mass.gov</w:t>
        </w:r>
      </w:hyperlink>
    </w:p>
  </w:footnote>
  <w:footnote w:id="21">
    <w:p w14:paraId="181CFB19" w14:textId="77777777" w:rsidR="00E76A23" w:rsidRDefault="00E76A23" w:rsidP="00FC4E44">
      <w:pPr>
        <w:pStyle w:val="Footnote"/>
      </w:pPr>
      <w:r>
        <w:rPr>
          <w:rStyle w:val="FootnoteReference"/>
        </w:rPr>
        <w:footnoteRef/>
      </w:r>
      <w:r>
        <w:t xml:space="preserve"> </w:t>
      </w:r>
      <w:r w:rsidRPr="00967E31">
        <w:t>While the ACS is considered an appropriate data source for comparing insurance coverage by state, the validity of the ACS in identifying health insurance coverage will be assessed by comparing estimates of MassHealth coverage via ACS and MassHealth enrollment numbers. If there is a measurable discrepancy, the evaluation will describe and discuss the extent to which the estimates of overall insurance coverage in Massachusetts may be under or overestimated by survey data.</w:t>
      </w:r>
    </w:p>
  </w:footnote>
  <w:footnote w:id="22">
    <w:p w14:paraId="3EC1B79C" w14:textId="77777777" w:rsidR="00E76A23" w:rsidRDefault="00E76A23" w:rsidP="00FC4E44">
      <w:pPr>
        <w:pStyle w:val="Footnote"/>
      </w:pPr>
      <w:r>
        <w:rPr>
          <w:rStyle w:val="FootnoteReference"/>
        </w:rPr>
        <w:footnoteRef/>
      </w:r>
      <w:r>
        <w:t xml:space="preserve"> The race and language information are not always complete; The analyses by these demographic characteristics will be limited. </w:t>
      </w:r>
    </w:p>
  </w:footnote>
  <w:footnote w:id="23">
    <w:p w14:paraId="7E2E0D8B" w14:textId="30E823A0" w:rsidR="00E76A23" w:rsidRDefault="00E76A23" w:rsidP="00FC4E44">
      <w:pPr>
        <w:pStyle w:val="Footnote"/>
      </w:pPr>
      <w:r>
        <w:rPr>
          <w:rStyle w:val="FootnoteReference"/>
        </w:rPr>
        <w:footnoteRef/>
      </w:r>
      <w:r w:rsidRPr="002D2515">
        <w:t xml:space="preserve"> Cook</w:t>
      </w:r>
      <w:r w:rsidRPr="005F3C64">
        <w:t>, T. D.,</w:t>
      </w:r>
      <w:r w:rsidRPr="002D2515">
        <w:t xml:space="preserve"> Campbell</w:t>
      </w:r>
      <w:r w:rsidRPr="005F3C64">
        <w:t>, D. T., &amp; Shadish, W. (2002).</w:t>
      </w:r>
      <w:r w:rsidRPr="002D2515">
        <w:t xml:space="preserve"> </w:t>
      </w:r>
      <w:r w:rsidRPr="003F35BE">
        <w:rPr>
          <w:i/>
        </w:rPr>
        <w:t>Experimental and quasi-experimental designs for</w:t>
      </w:r>
      <w:r w:rsidRPr="003F35BE">
        <w:rPr>
          <w:i/>
          <w:iCs/>
        </w:rPr>
        <w:t xml:space="preserve"> </w:t>
      </w:r>
      <w:r w:rsidRPr="003F35BE">
        <w:rPr>
          <w:i/>
        </w:rPr>
        <w:t>generalized causal inference</w:t>
      </w:r>
      <w:r w:rsidRPr="005F3C64">
        <w:t xml:space="preserve"> (pp. 103-134). Boston, MA: Houghton Mifflin.</w:t>
      </w:r>
    </w:p>
  </w:footnote>
  <w:footnote w:id="24">
    <w:p w14:paraId="7B58358A" w14:textId="027F4228" w:rsidR="00713052" w:rsidRPr="00010674" w:rsidRDefault="00713052" w:rsidP="00FC4E44">
      <w:pPr>
        <w:pStyle w:val="Footnote"/>
        <w:rPr>
          <w:rFonts w:ascii="Arial" w:hAnsi="Arial" w:cs="Arial"/>
        </w:rPr>
      </w:pPr>
      <w:r w:rsidRPr="00010674">
        <w:rPr>
          <w:rStyle w:val="FootnoteReference"/>
          <w:rFonts w:ascii="Arial" w:hAnsi="Arial" w:cs="Arial"/>
          <w:szCs w:val="16"/>
        </w:rPr>
        <w:footnoteRef/>
      </w:r>
      <w:r w:rsidRPr="00010674">
        <w:rPr>
          <w:rFonts w:ascii="Arial" w:hAnsi="Arial" w:cs="Arial"/>
        </w:rPr>
        <w:t xml:space="preserve"> </w:t>
      </w:r>
      <w:r w:rsidR="00B06865" w:rsidRPr="00B06865">
        <w:t xml:space="preserve">Creswell, J. W., &amp; Clark, V. L. P. (2007). Designing and Conducting Mixed Methods Research. Thousand Oaks, CA: </w:t>
      </w:r>
      <w:r w:rsidR="00B06865" w:rsidRPr="00B06865">
        <w:rPr>
          <w:i/>
        </w:rPr>
        <w:t>Sage Publications.</w:t>
      </w:r>
    </w:p>
  </w:footnote>
  <w:footnote w:id="25">
    <w:p w14:paraId="25E4E2FA" w14:textId="45000BD7" w:rsidR="00E76A23" w:rsidRPr="00736B77" w:rsidRDefault="00E76A23" w:rsidP="00FC4E44">
      <w:pPr>
        <w:pStyle w:val="Footnote"/>
      </w:pPr>
      <w:r w:rsidRPr="00736B77">
        <w:rPr>
          <w:rStyle w:val="FootnoteReference"/>
        </w:rPr>
        <w:footnoteRef/>
      </w:r>
      <w:r w:rsidRPr="00736B77">
        <w:t xml:space="preserve"> STCs Section 5.2, 5.8, 8.1 – 8.13, 12.1, 17.6</w:t>
      </w:r>
      <w:r w:rsidRPr="00DA7A47">
        <w:t>i</w:t>
      </w:r>
      <w:r w:rsidR="005A2475" w:rsidRPr="00DA7A47">
        <w:t xml:space="preserve">; </w:t>
      </w:r>
      <w:hyperlink r:id="rId19" w:history="1">
        <w:r w:rsidR="005A2475" w:rsidRPr="00B52AD1">
          <w:rPr>
            <w:rStyle w:val="Hyperlink"/>
            <w:rFonts w:eastAsia="Times New Roman"/>
          </w:rPr>
          <w:t>1115 MassHealth Demonstration ("Waiver") | Mass.gov</w:t>
        </w:r>
      </w:hyperlink>
    </w:p>
  </w:footnote>
  <w:footnote w:id="26">
    <w:p w14:paraId="58E450A8" w14:textId="77777777" w:rsidR="00E76A23" w:rsidRPr="00736B77" w:rsidRDefault="00E76A23" w:rsidP="00FC4E44">
      <w:pPr>
        <w:pStyle w:val="Footnote"/>
      </w:pPr>
      <w:r w:rsidRPr="00736B77">
        <w:rPr>
          <w:rStyle w:val="FootnoteReference"/>
        </w:rPr>
        <w:footnoteRef/>
      </w:r>
      <w:r w:rsidRPr="00736B77">
        <w:t xml:space="preserve"> Centers for Medicare &amp; Medicaid Services. (2022, September 28). </w:t>
      </w:r>
      <w:r w:rsidRPr="00736B77">
        <w:rPr>
          <w:i/>
          <w:iCs/>
        </w:rPr>
        <w:t>CMS Guidance, Approval Letter,</w:t>
      </w:r>
      <w:r w:rsidRPr="00736B77">
        <w:t xml:space="preserve"> </w:t>
      </w:r>
      <w:r w:rsidRPr="00736B77">
        <w:rPr>
          <w:i/>
          <w:iCs/>
        </w:rPr>
        <w:t>Waiver Authority,</w:t>
      </w:r>
      <w:r w:rsidRPr="00736B77">
        <w:t xml:space="preserve"> </w:t>
      </w:r>
      <w:r w:rsidRPr="00736B77">
        <w:rPr>
          <w:i/>
          <w:iCs/>
        </w:rPr>
        <w:t>Expenditure Authority,</w:t>
      </w:r>
      <w:r w:rsidRPr="00736B77">
        <w:t xml:space="preserve"> </w:t>
      </w:r>
      <w:r w:rsidRPr="00736B77">
        <w:rPr>
          <w:i/>
          <w:iCs/>
        </w:rPr>
        <w:t>Special Terms and Conditions</w:t>
      </w:r>
      <w:r w:rsidRPr="00736B77">
        <w:t>. Mass.gov. </w:t>
      </w:r>
      <w:hyperlink r:id="rId20" w:history="1">
        <w:r w:rsidRPr="00736B77">
          <w:rPr>
            <w:rStyle w:val="Hyperlink"/>
          </w:rPr>
          <w:t>https://www.mass.gov/doc/masshealth-extension-approval/download</w:t>
        </w:r>
      </w:hyperlink>
      <w:r w:rsidRPr="00736B77">
        <w:t xml:space="preserve"> </w:t>
      </w:r>
    </w:p>
  </w:footnote>
  <w:footnote w:id="27">
    <w:p w14:paraId="49F733F1" w14:textId="77777777" w:rsidR="00E76A23" w:rsidRPr="00736B77" w:rsidRDefault="00E76A23" w:rsidP="00FC4E44">
      <w:pPr>
        <w:pStyle w:val="Footnote"/>
      </w:pPr>
      <w:r w:rsidRPr="00736B77">
        <w:rPr>
          <w:rStyle w:val="FootnoteReference"/>
        </w:rPr>
        <w:footnoteRef/>
      </w:r>
      <w:r w:rsidRPr="00736B77">
        <w:t xml:space="preserve"> Centers for Medicare &amp; Medicaid Services. (2017, December 14).</w:t>
      </w:r>
      <w:r w:rsidRPr="008D51B6">
        <w:rPr>
          <w:i/>
        </w:rPr>
        <w:t xml:space="preserve"> MassHealth Section 1115 Waiver Demonstration Approval 2017-2022</w:t>
      </w:r>
      <w:r w:rsidRPr="00736B77">
        <w:t xml:space="preserve">. Mass.gov. </w:t>
      </w:r>
      <w:hyperlink r:id="rId21" w:history="1">
        <w:r w:rsidRPr="00736B77">
          <w:rPr>
            <w:rStyle w:val="Hyperlink"/>
          </w:rPr>
          <w:t>download (mass.gov)</w:t>
        </w:r>
      </w:hyperlink>
    </w:p>
  </w:footnote>
  <w:footnote w:id="28">
    <w:p w14:paraId="2B908882" w14:textId="7A7EA39D" w:rsidR="00E76A23" w:rsidRPr="00B52AD1" w:rsidRDefault="00E76A23" w:rsidP="00FC4E44">
      <w:pPr>
        <w:pStyle w:val="Footnote"/>
      </w:pPr>
      <w:r w:rsidRPr="00B52AD1">
        <w:rPr>
          <w:rStyle w:val="FootnoteReference"/>
        </w:rPr>
        <w:footnoteRef/>
      </w:r>
      <w:r w:rsidRPr="00B52AD1">
        <w:t xml:space="preserve"> Massachusetts Delivery System Reform Incentive Payment (DSRIP) Protocol</w:t>
      </w:r>
      <w:r w:rsidR="00B52AD1">
        <w:t xml:space="preserve">; </w:t>
      </w:r>
      <w:hyperlink r:id="rId22" w:history="1">
        <w:r w:rsidR="00B52AD1" w:rsidRPr="00B52AD1">
          <w:rPr>
            <w:rStyle w:val="Hyperlink"/>
          </w:rPr>
          <w:t>https://www.mass.gov/doc/dsrip-protocol-amended-january-10-2018/download</w:t>
        </w:r>
      </w:hyperlink>
    </w:p>
  </w:footnote>
  <w:footnote w:id="29">
    <w:p w14:paraId="4277D988" w14:textId="27638D68" w:rsidR="00E76A23" w:rsidRDefault="00E76A23" w:rsidP="00FC4E44">
      <w:pPr>
        <w:pStyle w:val="Footnote"/>
      </w:pPr>
      <w:r>
        <w:rPr>
          <w:rStyle w:val="FootnoteReference"/>
        </w:rPr>
        <w:footnoteRef/>
      </w:r>
      <w:r>
        <w:t xml:space="preserve"> </w:t>
      </w:r>
      <w:r w:rsidRPr="006D6AAF">
        <w:t xml:space="preserve">Centers for Medicare &amp; Medicaid Services. (2022, September 28). </w:t>
      </w:r>
      <w:r w:rsidRPr="008D51B6">
        <w:rPr>
          <w:i/>
        </w:rPr>
        <w:t>CMS Guidance, Approval Letter, Waiver Authority, Expenditure Authority, Special Terms and Conditions</w:t>
      </w:r>
      <w:r w:rsidRPr="006D6AAF">
        <w:t xml:space="preserve">. Mass.gov. </w:t>
      </w:r>
      <w:hyperlink r:id="rId23" w:history="1">
        <w:r w:rsidRPr="000927F0">
          <w:rPr>
            <w:rStyle w:val="Hyperlink"/>
          </w:rPr>
          <w:t>https://www.mass.gov/doc/masshealth-extension-approval/download</w:t>
        </w:r>
      </w:hyperlink>
      <w:r>
        <w:t xml:space="preserve"> </w:t>
      </w:r>
    </w:p>
  </w:footnote>
  <w:footnote w:id="30">
    <w:p w14:paraId="68894C47" w14:textId="5152373F" w:rsidR="00E76A23" w:rsidRPr="00736B77" w:rsidRDefault="00E76A23" w:rsidP="00FC4E44">
      <w:pPr>
        <w:pStyle w:val="Footnote"/>
      </w:pPr>
      <w:r w:rsidRPr="00736B77">
        <w:rPr>
          <w:rStyle w:val="FootnoteReference"/>
        </w:rPr>
        <w:footnoteRef/>
      </w:r>
      <w:r w:rsidRPr="00736B77">
        <w:t xml:space="preserve"> MassHealth ACO RFR Section 1.4, page 7</w:t>
      </w:r>
      <w:r w:rsidR="00535A54">
        <w:t xml:space="preserve">; </w:t>
      </w:r>
      <w:hyperlink r:id="rId24" w:history="1">
        <w:r w:rsidR="00535A54">
          <w:rPr>
            <w:rStyle w:val="Hyperlink"/>
          </w:rPr>
          <w:t>https://www.commbuys.com/bso/external/bidDetail.sdo?docId=BD-22-1039-EHS01-ASHWA-71410&amp;external=true&amp;parentUrl=bid</w:t>
        </w:r>
      </w:hyperlink>
    </w:p>
  </w:footnote>
  <w:footnote w:id="31">
    <w:p w14:paraId="76401C8D" w14:textId="180A9553" w:rsidR="00E76A23" w:rsidRPr="00736B77" w:rsidRDefault="00E76A23" w:rsidP="00FC4E44">
      <w:pPr>
        <w:pStyle w:val="Footnote"/>
      </w:pPr>
      <w:r w:rsidRPr="00736B77">
        <w:rPr>
          <w:rStyle w:val="FootnoteReference"/>
        </w:rPr>
        <w:footnoteRef/>
      </w:r>
      <w:r w:rsidRPr="00736B77">
        <w:t xml:space="preserve"> STCs 8.5-8.6, page 64-67</w:t>
      </w:r>
      <w:r w:rsidR="00DA7A47" w:rsidRPr="00DA7A47">
        <w:t xml:space="preserve">; </w:t>
      </w:r>
      <w:hyperlink r:id="rId25" w:history="1">
        <w:r w:rsidR="00DA7A47" w:rsidRPr="00502CDF">
          <w:rPr>
            <w:rStyle w:val="Hyperlink"/>
            <w:rFonts w:eastAsia="Times New Roman"/>
          </w:rPr>
          <w:t>1115 MassHealth Demonstration ("Waiver") | Mass.gov</w:t>
        </w:r>
      </w:hyperlink>
    </w:p>
  </w:footnote>
  <w:footnote w:id="32">
    <w:p w14:paraId="1494487C" w14:textId="77777777" w:rsidR="00E76A23" w:rsidRPr="00736B77" w:rsidRDefault="00E76A23" w:rsidP="00FC4E44">
      <w:pPr>
        <w:pStyle w:val="Footnote"/>
      </w:pPr>
      <w:r w:rsidRPr="00736B77">
        <w:rPr>
          <w:rStyle w:val="FootnoteReference"/>
        </w:rPr>
        <w:footnoteRef/>
      </w:r>
      <w:r w:rsidRPr="00736B77">
        <w:t xml:space="preserve"> Commonwealth of Massachusetts. (2021, August 18). </w:t>
      </w:r>
      <w:r w:rsidRPr="008D51B6">
        <w:rPr>
          <w:i/>
        </w:rPr>
        <w:t>1115 Waiver Demonstration Extension Request 2022-2027</w:t>
      </w:r>
      <w:r w:rsidRPr="00736B77">
        <w:t xml:space="preserve">, page 18. Mass.gov. </w:t>
      </w:r>
      <w:hyperlink r:id="rId26" w:history="1">
        <w:r w:rsidRPr="00736B77">
          <w:rPr>
            <w:rStyle w:val="Hyperlink"/>
          </w:rPr>
          <w:t>download (mass.gov)</w:t>
        </w:r>
      </w:hyperlink>
    </w:p>
  </w:footnote>
  <w:footnote w:id="33">
    <w:p w14:paraId="17AD68E2" w14:textId="0DC7D00B" w:rsidR="00E76A23" w:rsidRPr="00736B77" w:rsidRDefault="00E76A23" w:rsidP="00FC4E44">
      <w:pPr>
        <w:pStyle w:val="Footnote"/>
      </w:pPr>
      <w:r w:rsidRPr="00736B77">
        <w:rPr>
          <w:rStyle w:val="FootnoteReference"/>
        </w:rPr>
        <w:footnoteRef/>
      </w:r>
      <w:r w:rsidRPr="00736B77">
        <w:t xml:space="preserve"> ACO RFR Attachment A, ACPP Contract</w:t>
      </w:r>
      <w:r w:rsidR="00535A54">
        <w:t xml:space="preserve">; </w:t>
      </w:r>
      <w:hyperlink r:id="rId27" w:history="1">
        <w:r w:rsidR="00535A54">
          <w:rPr>
            <w:rStyle w:val="Hyperlink"/>
          </w:rPr>
          <w:t>https://www.commbuys.com/bso/external/bidDetail.sdo?docId=BD-22-1039-EHS01-ASHWA-71410&amp;external=true&amp;parentUrl=bid</w:t>
        </w:r>
      </w:hyperlink>
    </w:p>
  </w:footnote>
  <w:footnote w:id="34">
    <w:p w14:paraId="729D638A" w14:textId="0B6C14F3" w:rsidR="00E76A23" w:rsidRPr="00736B77" w:rsidRDefault="00E76A23" w:rsidP="00FC4E44">
      <w:pPr>
        <w:pStyle w:val="Footnote"/>
      </w:pPr>
      <w:r w:rsidRPr="00736B77">
        <w:rPr>
          <w:rStyle w:val="FootnoteReference"/>
        </w:rPr>
        <w:footnoteRef/>
      </w:r>
      <w:r w:rsidRPr="00736B77">
        <w:t xml:space="preserve"> ACO RFR Attachment B, Primary Care ACO Contract</w:t>
      </w:r>
      <w:r w:rsidR="00535A54">
        <w:t xml:space="preserve">; </w:t>
      </w:r>
      <w:hyperlink r:id="rId28" w:history="1">
        <w:r w:rsidR="00535A54">
          <w:rPr>
            <w:rStyle w:val="Hyperlink"/>
          </w:rPr>
          <w:t>https://www.commbuys.com/bso/external/bidDetail.sdo?docId=BD-22-1039-EHS01-ASHWA-71410&amp;external=true&amp;parentUrl=bid</w:t>
        </w:r>
      </w:hyperlink>
    </w:p>
  </w:footnote>
  <w:footnote w:id="35">
    <w:p w14:paraId="1B00A33D" w14:textId="05A04C18" w:rsidR="00E76A23" w:rsidRPr="00736B77" w:rsidRDefault="00E76A23" w:rsidP="00FC4E44">
      <w:pPr>
        <w:pStyle w:val="Footnote"/>
      </w:pPr>
      <w:r w:rsidRPr="00736B77">
        <w:rPr>
          <w:rStyle w:val="FootnoteReference"/>
        </w:rPr>
        <w:footnoteRef/>
      </w:r>
      <w:r w:rsidRPr="00736B77">
        <w:t xml:space="preserve"> STCs Section 8.8, pages 68-69</w:t>
      </w:r>
      <w:r w:rsidR="00B52AD1" w:rsidRPr="00B52AD1">
        <w:t xml:space="preserve">; </w:t>
      </w:r>
      <w:hyperlink r:id="rId29" w:history="1">
        <w:r w:rsidR="00B52AD1" w:rsidRPr="00B52AD1">
          <w:rPr>
            <w:rStyle w:val="Hyperlink"/>
          </w:rPr>
          <w:t>1115 MassHealth Demonstration ("Waiver") | Mass.gov</w:t>
        </w:r>
      </w:hyperlink>
    </w:p>
  </w:footnote>
  <w:footnote w:id="36">
    <w:p w14:paraId="0283299D" w14:textId="77777777" w:rsidR="00E76A23" w:rsidRPr="00736B77" w:rsidRDefault="00E76A23" w:rsidP="00FC4E44">
      <w:pPr>
        <w:pStyle w:val="Footnote"/>
      </w:pPr>
      <w:r w:rsidRPr="00736B77">
        <w:rPr>
          <w:rStyle w:val="FootnoteReference"/>
        </w:rPr>
        <w:footnoteRef/>
      </w:r>
      <w:r w:rsidRPr="00736B77">
        <w:t xml:space="preserve"> Commonwealth of Massachusetts. (2021, August 18). </w:t>
      </w:r>
      <w:r w:rsidRPr="008D51B6">
        <w:rPr>
          <w:i/>
        </w:rPr>
        <w:t>1115 Waiver Demonstration Extension Request 2022-2027</w:t>
      </w:r>
      <w:r w:rsidRPr="00736B77">
        <w:t xml:space="preserve">, </w:t>
      </w:r>
      <w:r w:rsidRPr="00D04771">
        <w:rPr>
          <w:i/>
        </w:rPr>
        <w:t>page 32</w:t>
      </w:r>
      <w:r w:rsidRPr="00736B77">
        <w:t xml:space="preserve">. Mass.gov. </w:t>
      </w:r>
      <w:hyperlink r:id="rId30" w:history="1">
        <w:r w:rsidRPr="00736B77">
          <w:rPr>
            <w:rStyle w:val="Hyperlink"/>
          </w:rPr>
          <w:t>download (mass.gov)</w:t>
        </w:r>
      </w:hyperlink>
    </w:p>
  </w:footnote>
  <w:footnote w:id="37">
    <w:p w14:paraId="7CE02653" w14:textId="0DB951E7" w:rsidR="00E76A23" w:rsidRPr="00736B77" w:rsidRDefault="00E76A23" w:rsidP="00FC4E44">
      <w:pPr>
        <w:pStyle w:val="Footnote"/>
      </w:pPr>
      <w:r w:rsidRPr="00736B77">
        <w:rPr>
          <w:rStyle w:val="FootnoteReference"/>
        </w:rPr>
        <w:footnoteRef/>
      </w:r>
      <w:r w:rsidRPr="00736B77">
        <w:t xml:space="preserve"> STCs Section 8.8</w:t>
      </w:r>
      <w:r w:rsidR="00DA7A47" w:rsidRPr="00DA7A47">
        <w:t xml:space="preserve">; </w:t>
      </w:r>
      <w:hyperlink r:id="rId31" w:history="1">
        <w:r w:rsidR="00DA7A47" w:rsidRPr="00502CDF">
          <w:rPr>
            <w:rStyle w:val="Hyperlink"/>
            <w:rFonts w:eastAsia="Times New Roman"/>
          </w:rPr>
          <w:t>1115 MassHealth Demonstration ("Waiver") | Mass.gov</w:t>
        </w:r>
      </w:hyperlink>
    </w:p>
  </w:footnote>
  <w:footnote w:id="38">
    <w:p w14:paraId="3E2B4A7F" w14:textId="77777777" w:rsidR="00E76A23" w:rsidRPr="00736B77" w:rsidRDefault="00E76A23" w:rsidP="00FC4E44">
      <w:pPr>
        <w:pStyle w:val="Footnote"/>
      </w:pPr>
      <w:r w:rsidRPr="00736B77">
        <w:rPr>
          <w:rStyle w:val="FootnoteReference"/>
        </w:rPr>
        <w:footnoteRef/>
      </w:r>
      <w:r w:rsidRPr="00736B77">
        <w:t xml:space="preserve"> Commonwealth of Massachusetts. (2021, August 18). </w:t>
      </w:r>
      <w:r w:rsidRPr="008D51B6">
        <w:rPr>
          <w:i/>
        </w:rPr>
        <w:t>1115 Waiver Demonstration Extension Request 2022-2027</w:t>
      </w:r>
      <w:r w:rsidRPr="00736B77">
        <w:t xml:space="preserve">, </w:t>
      </w:r>
      <w:r w:rsidRPr="00D04771">
        <w:rPr>
          <w:i/>
        </w:rPr>
        <w:t>page 26.</w:t>
      </w:r>
      <w:r w:rsidRPr="00736B77">
        <w:t xml:space="preserve"> Mass.gov. </w:t>
      </w:r>
      <w:hyperlink r:id="rId32" w:history="1">
        <w:r w:rsidRPr="00736B77">
          <w:rPr>
            <w:rStyle w:val="Hyperlink"/>
          </w:rPr>
          <w:t>download (mass.gov)</w:t>
        </w:r>
      </w:hyperlink>
    </w:p>
  </w:footnote>
  <w:footnote w:id="39">
    <w:p w14:paraId="1DD5BCC9" w14:textId="77777777" w:rsidR="00E76A23" w:rsidRPr="00736B77" w:rsidRDefault="00E76A23" w:rsidP="00FC4E44">
      <w:pPr>
        <w:pStyle w:val="Footnote"/>
      </w:pPr>
      <w:r w:rsidRPr="00736B77">
        <w:rPr>
          <w:rStyle w:val="FootnoteReference"/>
        </w:rPr>
        <w:footnoteRef/>
      </w:r>
      <w:r w:rsidRPr="00736B77">
        <w:t xml:space="preserve"> Commonwealth of Massachusetts. (2021, August 18). </w:t>
      </w:r>
      <w:r w:rsidRPr="008D51B6">
        <w:rPr>
          <w:i/>
        </w:rPr>
        <w:t>1115 Waiver Demonstration Extension Request 2022-2027</w:t>
      </w:r>
      <w:r w:rsidRPr="00736B77">
        <w:t xml:space="preserve">, </w:t>
      </w:r>
      <w:r w:rsidRPr="00D04771">
        <w:rPr>
          <w:i/>
        </w:rPr>
        <w:t>page 32.</w:t>
      </w:r>
      <w:r w:rsidRPr="00736B77">
        <w:t xml:space="preserve"> Mass.gov. </w:t>
      </w:r>
      <w:hyperlink r:id="rId33" w:history="1">
        <w:r w:rsidRPr="00736B77">
          <w:rPr>
            <w:rStyle w:val="Hyperlink"/>
          </w:rPr>
          <w:t>download (mass.gov)</w:t>
        </w:r>
      </w:hyperlink>
    </w:p>
  </w:footnote>
  <w:footnote w:id="40">
    <w:p w14:paraId="27D9A034" w14:textId="63082B31" w:rsidR="00922461" w:rsidRPr="00736B77" w:rsidRDefault="00922461" w:rsidP="00FC4E44">
      <w:pPr>
        <w:pStyle w:val="Footnote"/>
      </w:pPr>
      <w:r w:rsidRPr="00736B77">
        <w:rPr>
          <w:rStyle w:val="FootnoteReference"/>
        </w:rPr>
        <w:footnoteRef/>
      </w:r>
      <w:r w:rsidRPr="00736B77">
        <w:t xml:space="preserve"> ACO RFR Attachment A, ACPP Contract</w:t>
      </w:r>
      <w:r w:rsidR="00CE3128">
        <w:t xml:space="preserve">; </w:t>
      </w:r>
      <w:hyperlink r:id="rId34" w:history="1">
        <w:r w:rsidR="00CE3128">
          <w:rPr>
            <w:rStyle w:val="Hyperlink"/>
          </w:rPr>
          <w:t>https://www.commbuys.com/bso/external/bidDetail.sdo?docId=BD-22-1039-EHS01-ASHWA-71410&amp;external=true&amp;parentUrl=bid</w:t>
        </w:r>
      </w:hyperlink>
    </w:p>
  </w:footnote>
  <w:footnote w:id="41">
    <w:p w14:paraId="62E3BAB0" w14:textId="0C731490" w:rsidR="00922461" w:rsidRPr="00736B77" w:rsidRDefault="00922461" w:rsidP="00FC4E44">
      <w:pPr>
        <w:pStyle w:val="Footnote"/>
      </w:pPr>
      <w:r w:rsidRPr="00736B77">
        <w:rPr>
          <w:rStyle w:val="FootnoteReference"/>
        </w:rPr>
        <w:footnoteRef/>
      </w:r>
      <w:r w:rsidRPr="00736B77">
        <w:t xml:space="preserve"> ACO RFR Attachment B, Primary Care ACO Contract</w:t>
      </w:r>
      <w:r w:rsidR="00CE3128">
        <w:t xml:space="preserve">; </w:t>
      </w:r>
      <w:hyperlink r:id="rId35" w:history="1">
        <w:r w:rsidR="00CE3128">
          <w:rPr>
            <w:rStyle w:val="Hyperlink"/>
          </w:rPr>
          <w:t>https://www.commbuys.com/bso/external/bidDetail.sdo?docId=BD-22-1039-EHS01-ASHWA-71410&amp;external=true&amp;parentUrl=bid</w:t>
        </w:r>
      </w:hyperlink>
    </w:p>
  </w:footnote>
  <w:footnote w:id="42">
    <w:p w14:paraId="6EE54C04" w14:textId="1FF7D635" w:rsidR="00E76A23" w:rsidRPr="00EE76B4" w:rsidRDefault="00E76A23" w:rsidP="00FC4E44">
      <w:pPr>
        <w:pStyle w:val="Footnote"/>
        <w:rPr>
          <w:lang w:val="fr-FR"/>
        </w:rPr>
      </w:pPr>
      <w:r w:rsidRPr="008D51B6">
        <w:rPr>
          <w:rStyle w:val="FootnoteReference"/>
        </w:rPr>
        <w:footnoteRef/>
      </w:r>
      <w:r w:rsidRPr="00EE76B4">
        <w:rPr>
          <w:lang w:val="fr-FR"/>
        </w:rPr>
        <w:t xml:space="preserve"> STCs Section 11 STCs</w:t>
      </w:r>
      <w:r w:rsidR="00DA7A47" w:rsidRPr="00DA7A47">
        <w:t xml:space="preserve">; </w:t>
      </w:r>
      <w:hyperlink r:id="rId36" w:history="1">
        <w:r w:rsidR="00DA7A47" w:rsidRPr="00502CDF">
          <w:rPr>
            <w:rStyle w:val="Hyperlink"/>
            <w:rFonts w:eastAsia="Times New Roman"/>
          </w:rPr>
          <w:t>1115 MassHealth Demonstration ("Waiver") | Mass.gov</w:t>
        </w:r>
      </w:hyperlink>
    </w:p>
  </w:footnote>
  <w:footnote w:id="43">
    <w:p w14:paraId="19F4C76E" w14:textId="54A988BD" w:rsidR="00E76A23" w:rsidRPr="00EE76B4" w:rsidRDefault="00E76A23" w:rsidP="00B52AD1">
      <w:pPr>
        <w:pStyle w:val="Footnote"/>
        <w:rPr>
          <w:lang w:val="fr-FR"/>
        </w:rPr>
      </w:pPr>
      <w:r w:rsidRPr="00B52AD1">
        <w:rPr>
          <w:rStyle w:val="FootnoteReference"/>
        </w:rPr>
        <w:footnoteRef/>
      </w:r>
      <w:r w:rsidRPr="00B52AD1">
        <w:rPr>
          <w:lang w:val="fr-FR"/>
        </w:rPr>
        <w:t xml:space="preserve"> Section 13, pages 99-102</w:t>
      </w:r>
      <w:r w:rsidR="00B52AD1" w:rsidRPr="00DA7A47">
        <w:t xml:space="preserve">; </w:t>
      </w:r>
      <w:hyperlink r:id="rId37" w:history="1">
        <w:r w:rsidR="00B52AD1" w:rsidRPr="00502CDF">
          <w:rPr>
            <w:rStyle w:val="Hyperlink"/>
            <w:rFonts w:eastAsia="Times New Roman"/>
          </w:rPr>
          <w:t>1115 MassHealth Demonstration ("Waiver") | Mass.gov</w:t>
        </w:r>
      </w:hyperlink>
    </w:p>
  </w:footnote>
  <w:footnote w:id="44">
    <w:p w14:paraId="7FC0E481" w14:textId="35023534" w:rsidR="00E76A23" w:rsidRPr="00736B77" w:rsidRDefault="00E76A23" w:rsidP="00FC4E44">
      <w:pPr>
        <w:pStyle w:val="Footnote"/>
      </w:pPr>
      <w:r w:rsidRPr="00B52AD1">
        <w:rPr>
          <w:rStyle w:val="FootnoteReference"/>
        </w:rPr>
        <w:footnoteRef/>
      </w:r>
      <w:r w:rsidRPr="00B52AD1">
        <w:t xml:space="preserve"> MassHealth Snapshot Enrollment Summary of December 2022 Caseload. Unpublished report</w:t>
      </w:r>
      <w:r w:rsidR="00B52AD1">
        <w:t xml:space="preserve">; </w:t>
      </w:r>
      <w:hyperlink r:id="rId38" w:history="1">
        <w:r w:rsidR="00B52AD1" w:rsidRPr="00B52AD1">
          <w:rPr>
            <w:rStyle w:val="Hyperlink"/>
          </w:rPr>
          <w:t>https://www.mass.gov/doc/masshealth-caseload-snapshot-and-enrollment-summary-december-2022-0/download</w:t>
        </w:r>
      </w:hyperlink>
    </w:p>
  </w:footnote>
  <w:footnote w:id="45">
    <w:p w14:paraId="260B1CC7" w14:textId="02DC4C1D" w:rsidR="00E76A23" w:rsidRPr="00736B77" w:rsidRDefault="00E76A23" w:rsidP="00FC4E44">
      <w:pPr>
        <w:pStyle w:val="Footnote"/>
      </w:pPr>
      <w:r w:rsidRPr="00736B77">
        <w:rPr>
          <w:rStyle w:val="FootnoteReference"/>
        </w:rPr>
        <w:footnoteRef/>
      </w:r>
      <w:r w:rsidRPr="00736B77">
        <w:t xml:space="preserve"> Reschovsky, J., Heeringa, J., &amp; Colby, M. (2018, June). </w:t>
      </w:r>
      <w:r w:rsidRPr="005E7298">
        <w:t xml:space="preserve">Selecting the Best Comparison Group and Evaluation Design: A Guidance Document for State Section 1115 Demonstration Evaluations </w:t>
      </w:r>
      <w:r w:rsidRPr="005E7298">
        <w:rPr>
          <w:i/>
        </w:rPr>
        <w:t>(White Paper).</w:t>
      </w:r>
      <w:r>
        <w:t xml:space="preserve"> </w:t>
      </w:r>
      <w:hyperlink r:id="rId39" w:history="1">
        <w:r w:rsidRPr="00AB7975">
          <w:rPr>
            <w:rStyle w:val="Hyperlink"/>
          </w:rPr>
          <w:t>https://www.medicaid.gov/medicaid/section-1115-demo/downloads/evaluation-reports/comparison-grp-eval-dsgn.pdf</w:t>
        </w:r>
      </w:hyperlink>
      <w:r>
        <w:t xml:space="preserve"> </w:t>
      </w:r>
    </w:p>
  </w:footnote>
  <w:footnote w:id="46">
    <w:p w14:paraId="135BD823" w14:textId="4C2C1EDF" w:rsidR="00E76A23" w:rsidRPr="00736B77" w:rsidRDefault="00E76A23" w:rsidP="00FC4E44">
      <w:pPr>
        <w:pStyle w:val="Footnote"/>
      </w:pPr>
      <w:r w:rsidRPr="00736B77">
        <w:rPr>
          <w:rStyle w:val="FootnoteReference"/>
        </w:rPr>
        <w:footnoteRef/>
      </w:r>
      <w:r w:rsidRPr="00B770B5">
        <w:t xml:space="preserve"> </w:t>
      </w:r>
      <w:r w:rsidRPr="00A510E9">
        <w:t xml:space="preserve">Damschroder, L. J., Aron, D. C., Keith, R. E., Kirsh, S. R., Alexander, J. A., &amp; Lowery, J. C. (2009). Fostering implementation of health services research findings into practice: a consolidated framework for advancing implementation science. </w:t>
      </w:r>
      <w:r w:rsidRPr="00381CB1">
        <w:rPr>
          <w:i/>
          <w:iCs/>
        </w:rPr>
        <w:t>Implementation science, 4(1), 1-15.</w:t>
      </w:r>
      <w:r w:rsidRPr="00736B77">
        <w:t xml:space="preserve"> PMID: 19664226; PMCID: PMC2736161.</w:t>
      </w:r>
    </w:p>
  </w:footnote>
  <w:footnote w:id="47">
    <w:p w14:paraId="457F6206" w14:textId="53A9315E" w:rsidR="00E76A23" w:rsidRPr="00736B77" w:rsidRDefault="00E76A23" w:rsidP="00FC4E44">
      <w:pPr>
        <w:pStyle w:val="Footnote"/>
      </w:pPr>
      <w:r w:rsidRPr="00736B77">
        <w:rPr>
          <w:rStyle w:val="FootnoteReference"/>
        </w:rPr>
        <w:footnoteRef/>
      </w:r>
      <w:r w:rsidRPr="00736B77">
        <w:t xml:space="preserve"> </w:t>
      </w:r>
      <w:r w:rsidRPr="00860166">
        <w:t xml:space="preserve">Kirk, M. A., Kelley, C., Yankey, N., Birken, S. A., Abadie, B., &amp; Damschroder, L. (2015). A systematic review of the use of the Consolidated Framework for Implementation Research. </w:t>
      </w:r>
      <w:r w:rsidRPr="00381CB1">
        <w:rPr>
          <w:i/>
          <w:iCs/>
        </w:rPr>
        <w:t>Implementation Science, 11(1), 1-13.</w:t>
      </w:r>
      <w:r w:rsidRPr="00736B77">
        <w:t xml:space="preserve"> doi: 10.1186/s13012-016-0437-z. PMID: 27189233; PMCID: PMC4869309.</w:t>
      </w:r>
    </w:p>
  </w:footnote>
  <w:footnote w:id="48">
    <w:p w14:paraId="0E4A1CC4" w14:textId="3E72FE4C" w:rsidR="00E76A23" w:rsidRPr="009C4ECF" w:rsidRDefault="00E76A23" w:rsidP="00FC4E44">
      <w:pPr>
        <w:pStyle w:val="Footnote"/>
        <w:rPr>
          <w:highlight w:val="magenta"/>
        </w:rPr>
      </w:pPr>
      <w:r w:rsidRPr="0097224F">
        <w:rPr>
          <w:rStyle w:val="FootnoteReference"/>
        </w:rPr>
        <w:footnoteRef/>
      </w:r>
      <w:r w:rsidRPr="0097224F">
        <w:t xml:space="preserve"> Singer, S. J., Burgers, J., Friedberg, M., Rosenthal, M. B., Leape, L., &amp; Schneider, E. (2011). Defining and measuring integrated patient care: promoting the next frontier in health care delivery. </w:t>
      </w:r>
      <w:r w:rsidRPr="0097224F">
        <w:rPr>
          <w:i/>
          <w:iCs/>
        </w:rPr>
        <w:t>Medical Care Research and Review, 68</w:t>
      </w:r>
      <w:r w:rsidRPr="0097224F">
        <w:t>(1), 112-127.</w:t>
      </w:r>
    </w:p>
  </w:footnote>
  <w:footnote w:id="49">
    <w:p w14:paraId="7AA013BD" w14:textId="3E1EA7DC" w:rsidR="00E76A23" w:rsidRPr="00AA3671" w:rsidRDefault="00E76A23" w:rsidP="00FC4E44">
      <w:pPr>
        <w:pStyle w:val="Footnote"/>
      </w:pPr>
      <w:r w:rsidRPr="00AA3671">
        <w:rPr>
          <w:rStyle w:val="FootnoteReference"/>
        </w:rPr>
        <w:footnoteRef/>
      </w:r>
      <w:r w:rsidRPr="00AA3671">
        <w:t xml:space="preserve"> </w:t>
      </w:r>
      <w:r w:rsidRPr="00AA3671">
        <w:rPr>
          <w:shd w:val="clear" w:color="auto" w:fill="FFFFFF"/>
        </w:rPr>
        <w:t>Singer, S. J., Kerrissey, M., Friedberg, M., &amp; Phillips, R. (2020). A comprehensive theory of integration. </w:t>
      </w:r>
      <w:r w:rsidRPr="00AA3671">
        <w:rPr>
          <w:i/>
          <w:iCs/>
          <w:shd w:val="clear" w:color="auto" w:fill="FFFFFF"/>
        </w:rPr>
        <w:t>Medical Care Research and Review</w:t>
      </w:r>
      <w:r w:rsidRPr="00AA3671">
        <w:rPr>
          <w:shd w:val="clear" w:color="auto" w:fill="FFFFFF"/>
        </w:rPr>
        <w:t>, </w:t>
      </w:r>
      <w:r w:rsidRPr="00AA3671">
        <w:rPr>
          <w:i/>
          <w:iCs/>
          <w:shd w:val="clear" w:color="auto" w:fill="FFFFFF"/>
        </w:rPr>
        <w:t>77</w:t>
      </w:r>
      <w:r w:rsidRPr="00AA3671">
        <w:rPr>
          <w:shd w:val="clear" w:color="auto" w:fill="FFFFFF"/>
        </w:rPr>
        <w:t>(2), 196-207.</w:t>
      </w:r>
    </w:p>
  </w:footnote>
  <w:footnote w:id="50">
    <w:p w14:paraId="0ECD77AA" w14:textId="715E9E18" w:rsidR="00E76A23" w:rsidRDefault="00E76A23" w:rsidP="00FC4E44">
      <w:pPr>
        <w:pStyle w:val="Footnote"/>
      </w:pPr>
      <w:r w:rsidRPr="00AA3671">
        <w:rPr>
          <w:rStyle w:val="FootnoteReference"/>
        </w:rPr>
        <w:footnoteRef/>
      </w:r>
      <w:r w:rsidRPr="00AA3671">
        <w:t xml:space="preserve"> </w:t>
      </w:r>
      <w:r w:rsidRPr="000226E4">
        <w:rPr>
          <w:shd w:val="clear" w:color="auto" w:fill="FFFFFF"/>
        </w:rPr>
        <w:t>Kerrissey, M., Tietschert, M., Novikov, Z., Bahadurzada, H., Sinaiko, A. D., Martin, V., &amp; Singer, S. J. (2022). Social features of integration in health systems and their relationship to provider experience, care quality and clinical integration. </w:t>
      </w:r>
      <w:r w:rsidRPr="000226E4">
        <w:rPr>
          <w:i/>
          <w:iCs/>
          <w:shd w:val="clear" w:color="auto" w:fill="FFFFFF"/>
        </w:rPr>
        <w:t>Medical Care Research and Review</w:t>
      </w:r>
      <w:r w:rsidRPr="000226E4">
        <w:rPr>
          <w:shd w:val="clear" w:color="auto" w:fill="FFFFFF"/>
        </w:rPr>
        <w:t>, </w:t>
      </w:r>
      <w:r w:rsidRPr="000226E4">
        <w:rPr>
          <w:i/>
          <w:iCs/>
          <w:shd w:val="clear" w:color="auto" w:fill="FFFFFF"/>
        </w:rPr>
        <w:t>79</w:t>
      </w:r>
      <w:r w:rsidRPr="000226E4">
        <w:rPr>
          <w:shd w:val="clear" w:color="auto" w:fill="FFFFFF"/>
        </w:rPr>
        <w:t>(3), 359-370.</w:t>
      </w:r>
    </w:p>
  </w:footnote>
  <w:footnote w:id="51">
    <w:p w14:paraId="42E05992" w14:textId="4A92A380" w:rsidR="00E76A23" w:rsidRPr="00736B77" w:rsidRDefault="00E76A23" w:rsidP="00FC4E44">
      <w:pPr>
        <w:pStyle w:val="Footnote"/>
      </w:pPr>
      <w:r w:rsidRPr="00736B77">
        <w:rPr>
          <w:rStyle w:val="FootnoteReference"/>
        </w:rPr>
        <w:footnoteRef/>
      </w:r>
      <w:r w:rsidRPr="00736B77">
        <w:t xml:space="preserve"> </w:t>
      </w:r>
      <w:r w:rsidRPr="00FE681D">
        <w:t xml:space="preserve">Singer, S. J., Kerrissey, M., Friedberg, M., &amp; Phillips, R. (2020). A comprehensive theory of integration. </w:t>
      </w:r>
      <w:r w:rsidRPr="00381CB1">
        <w:rPr>
          <w:i/>
          <w:iCs/>
        </w:rPr>
        <w:t>Medical Care Research and Review, 77(2), 196-207</w:t>
      </w:r>
      <w:r>
        <w:t>.</w:t>
      </w:r>
      <w:r w:rsidRPr="00736B77">
        <w:t xml:space="preserve"> doi: 10.1177/1077558718767000. PMID: 29606036.</w:t>
      </w:r>
      <w:r w:rsidRPr="00736B77">
        <w:rPr>
          <w:color w:val="212121"/>
          <w:shd w:val="clear" w:color="auto" w:fill="FFFFFF"/>
        </w:rPr>
        <w:t>.</w:t>
      </w:r>
    </w:p>
  </w:footnote>
  <w:footnote w:id="52">
    <w:p w14:paraId="33D90444" w14:textId="769731C6" w:rsidR="00E76A23" w:rsidRPr="00736B77" w:rsidRDefault="00E76A23" w:rsidP="00FC4E44">
      <w:pPr>
        <w:pStyle w:val="Footnote"/>
      </w:pPr>
      <w:r w:rsidRPr="00736B77">
        <w:rPr>
          <w:rStyle w:val="FootnoteReference"/>
        </w:rPr>
        <w:footnoteRef/>
      </w:r>
      <w:r w:rsidRPr="00736B77">
        <w:rPr>
          <w:rStyle w:val="FootnoteReference"/>
        </w:rPr>
        <w:t xml:space="preserve"> </w:t>
      </w:r>
      <w:r w:rsidRPr="003078A5">
        <w:t xml:space="preserve">Singer, S. J., Sinaiko, A. D., Tietschert, M. V., Kerrissey, M., Phillips, R. S., Martin, V., ... &amp; Agniel, D. (2020). Care integration within and outside health system boundaries. </w:t>
      </w:r>
      <w:r w:rsidRPr="00381CB1">
        <w:rPr>
          <w:i/>
          <w:iCs/>
        </w:rPr>
        <w:t>Health Services Research, 55,</w:t>
      </w:r>
      <w:r w:rsidRPr="003078A5">
        <w:t xml:space="preserve"> 1033-1048.</w:t>
      </w:r>
      <w:r w:rsidRPr="00736B77">
        <w:t>doi: 10.1111/1475-6773.13578. PMID: 33284521; PMCID: PMC7720712.</w:t>
      </w:r>
    </w:p>
  </w:footnote>
  <w:footnote w:id="53">
    <w:p w14:paraId="27857075" w14:textId="5EFA350A" w:rsidR="00E76A23" w:rsidRPr="00736B77" w:rsidRDefault="00E76A23" w:rsidP="00FC4E44">
      <w:pPr>
        <w:pStyle w:val="Footnote"/>
      </w:pPr>
      <w:r w:rsidRPr="00736B77">
        <w:rPr>
          <w:rStyle w:val="FootnoteReference"/>
        </w:rPr>
        <w:footnoteRef/>
      </w:r>
      <w:r w:rsidRPr="00736B77">
        <w:t xml:space="preserve"> </w:t>
      </w:r>
      <w:r w:rsidRPr="00A539B6">
        <w:t xml:space="preserve">Commonwealth of Massachusetts. (2022, June 2). </w:t>
      </w:r>
      <w:r w:rsidRPr="004E1636">
        <w:rPr>
          <w:i/>
        </w:rPr>
        <w:t>Comprehensive Quality Strategy</w:t>
      </w:r>
      <w:r w:rsidRPr="00A539B6">
        <w:t xml:space="preserve">. Mass.gov. </w:t>
      </w:r>
      <w:hyperlink r:id="rId40" w:history="1">
        <w:r w:rsidRPr="00230422">
          <w:rPr>
            <w:rStyle w:val="Hyperlink"/>
          </w:rPr>
          <w:t>https://www.mass.gov/doc/masshealth-2022-comprehensive-quality-strategy-2/download</w:t>
        </w:r>
      </w:hyperlink>
      <w:r>
        <w:t xml:space="preserve"> </w:t>
      </w:r>
    </w:p>
  </w:footnote>
  <w:footnote w:id="54">
    <w:p w14:paraId="4538047B" w14:textId="6AB4FAED" w:rsidR="00E76A23" w:rsidRPr="00736B77" w:rsidRDefault="00E76A23" w:rsidP="00FC4E44">
      <w:pPr>
        <w:pStyle w:val="Footnote"/>
      </w:pPr>
      <w:r w:rsidRPr="00736B77">
        <w:rPr>
          <w:rStyle w:val="FootnoteReference"/>
        </w:rPr>
        <w:footnoteRef/>
      </w:r>
      <w:r w:rsidRPr="00736B77">
        <w:t xml:space="preserve"> </w:t>
      </w:r>
      <w:r w:rsidRPr="001E2C78">
        <w:t xml:space="preserve">Etz, R. S., Zyzanski, S. J., Gonzalez, M. M., Reves, S. R., O’Neal, J. P., &amp; Stange, K. C. (2019). A new comprehensive measure of high-value aspects of primary care. </w:t>
      </w:r>
      <w:r w:rsidRPr="004E1636">
        <w:rPr>
          <w:i/>
          <w:iCs/>
        </w:rPr>
        <w:t>The Annals of Family Medicine, 17</w:t>
      </w:r>
      <w:r w:rsidRPr="001E2C78">
        <w:t>(3), 221-230.</w:t>
      </w:r>
      <w:r w:rsidRPr="00736B77">
        <w:t xml:space="preserve"> </w:t>
      </w:r>
    </w:p>
  </w:footnote>
  <w:footnote w:id="55">
    <w:p w14:paraId="5AFC61CE" w14:textId="7A139E0B" w:rsidR="00E76A23" w:rsidRPr="007964B7" w:rsidRDefault="00E76A23" w:rsidP="00FC4E44">
      <w:pPr>
        <w:pStyle w:val="Footnote"/>
        <w:rPr>
          <w:szCs w:val="18"/>
        </w:rPr>
      </w:pPr>
      <w:r w:rsidRPr="005E7298">
        <w:rPr>
          <w:rStyle w:val="FootnoteReference"/>
          <w:szCs w:val="16"/>
        </w:rPr>
        <w:footnoteRef/>
      </w:r>
      <w:r w:rsidRPr="005E7298">
        <w:t xml:space="preserve"> Mick, E. O., Alcusky, M. J., Li, N. C., Eanet, F. E., Allison, J. J., Kiefe, C. I., &amp; Ash, A. S. (2021). Complex patients have more emergency visits: don’t punish the systems that serve them. </w:t>
      </w:r>
      <w:r w:rsidRPr="005E7298">
        <w:rPr>
          <w:i/>
          <w:iCs/>
        </w:rPr>
        <w:t>Medical care, 59</w:t>
      </w:r>
      <w:r w:rsidRPr="005E7298">
        <w:t>(4), 362.</w:t>
      </w:r>
    </w:p>
  </w:footnote>
  <w:footnote w:id="56">
    <w:p w14:paraId="6BA2D90C" w14:textId="5020F46A" w:rsidR="00E76A23" w:rsidRDefault="00E76A23" w:rsidP="00FC4E44">
      <w:pPr>
        <w:pStyle w:val="Footnote"/>
      </w:pPr>
      <w:r>
        <w:rPr>
          <w:rStyle w:val="FootnoteReference"/>
        </w:rPr>
        <w:footnoteRef/>
      </w:r>
      <w:r>
        <w:t xml:space="preserve"> </w:t>
      </w:r>
      <w:r w:rsidRPr="00B133C1">
        <w:t xml:space="preserve">Alcusky, M., Mick, E. O., Clark, M. A., &amp; Ash, A. S. (2020). Calibrating Medicaid payment to need for long-term services and supports. </w:t>
      </w:r>
      <w:r w:rsidRPr="007964B7">
        <w:rPr>
          <w:i/>
          <w:iCs/>
        </w:rPr>
        <w:t>The American Journal of Managed Care, 26</w:t>
      </w:r>
      <w:r w:rsidRPr="00B133C1">
        <w:t>(12), e388-e394.</w:t>
      </w:r>
    </w:p>
  </w:footnote>
  <w:footnote w:id="57">
    <w:p w14:paraId="1E8A3059" w14:textId="058104F6" w:rsidR="00E76A23" w:rsidRDefault="00E76A23" w:rsidP="00FC4E44">
      <w:pPr>
        <w:pStyle w:val="Footnote"/>
      </w:pPr>
      <w:r>
        <w:rPr>
          <w:rStyle w:val="FootnoteReference"/>
        </w:rPr>
        <w:footnoteRef/>
      </w:r>
      <w:r>
        <w:t xml:space="preserve"> </w:t>
      </w:r>
      <w:r w:rsidRPr="00DE211C">
        <w:t xml:space="preserve">Ash, A. S., Mick, E. O., Ellis, R. P., Kiefe, C. I., Allison, J. J., &amp; Clark, M. A. (2017). Social determinants of health in managed care payment formulas. </w:t>
      </w:r>
      <w:r w:rsidRPr="007964B7">
        <w:rPr>
          <w:i/>
          <w:iCs/>
        </w:rPr>
        <w:t>JAMA Internal Medicine, 177</w:t>
      </w:r>
      <w:r w:rsidRPr="00DE211C">
        <w:t>(10), 1424-1430.</w:t>
      </w:r>
    </w:p>
  </w:footnote>
  <w:footnote w:id="58">
    <w:p w14:paraId="1F410D48" w14:textId="7187ECCA" w:rsidR="00E76A23" w:rsidRPr="00736B77" w:rsidRDefault="00E76A23" w:rsidP="00FC4E44">
      <w:pPr>
        <w:pStyle w:val="Footnote"/>
      </w:pPr>
      <w:r w:rsidRPr="00736B77">
        <w:rPr>
          <w:rStyle w:val="FootnoteReference"/>
        </w:rPr>
        <w:footnoteRef/>
      </w:r>
      <w:r w:rsidRPr="00736B77">
        <w:t xml:space="preserve"> </w:t>
      </w:r>
      <w:r w:rsidRPr="00915481">
        <w:t xml:space="preserve">Etz, R. S., Zyzanski, S. J., Gonzalez, M. M., Reves, S. R., O’Neal, J. P., &amp; Stange, K. C. (2019). A new comprehensive measure of high-value aspects of primary care. </w:t>
      </w:r>
      <w:r w:rsidRPr="007964B7">
        <w:rPr>
          <w:i/>
          <w:iCs/>
        </w:rPr>
        <w:t>The Annals of Family Medicine, 17</w:t>
      </w:r>
      <w:r w:rsidRPr="00915481">
        <w:t>(3), 221-230.</w:t>
      </w:r>
    </w:p>
  </w:footnote>
  <w:footnote w:id="59">
    <w:p w14:paraId="1DA736C9" w14:textId="0718D92F" w:rsidR="00E76A23" w:rsidRPr="005E7298" w:rsidRDefault="00E76A23" w:rsidP="00FC4E44">
      <w:pPr>
        <w:pStyle w:val="Footnote"/>
      </w:pPr>
      <w:r w:rsidRPr="00736B77">
        <w:rPr>
          <w:rStyle w:val="FootnoteReference"/>
          <w:sz w:val="18"/>
          <w:szCs w:val="18"/>
        </w:rPr>
        <w:footnoteRef/>
      </w:r>
      <w:r w:rsidRPr="00736B77">
        <w:rPr>
          <w:sz w:val="18"/>
          <w:szCs w:val="18"/>
        </w:rPr>
        <w:t xml:space="preserve"> </w:t>
      </w:r>
      <w:r w:rsidRPr="005E7298">
        <w:t xml:space="preserve">Rosenbaum, P. R., &amp; Rubin, D. B. (1983). The central role of the propensity score in observational studies for causal effects. </w:t>
      </w:r>
      <w:r w:rsidRPr="005E7298">
        <w:rPr>
          <w:i/>
          <w:iCs/>
        </w:rPr>
        <w:t>Biometrika, 70</w:t>
      </w:r>
      <w:r w:rsidRPr="005E7298">
        <w:t>(1), 41-55.</w:t>
      </w:r>
    </w:p>
  </w:footnote>
  <w:footnote w:id="60">
    <w:p w14:paraId="32ED7644" w14:textId="2865212E" w:rsidR="00E76A23" w:rsidRPr="00736B77" w:rsidRDefault="00E76A23" w:rsidP="00FC4E44">
      <w:pPr>
        <w:pStyle w:val="Footnote"/>
        <w:rPr>
          <w:sz w:val="18"/>
          <w:szCs w:val="18"/>
        </w:rPr>
      </w:pPr>
      <w:r w:rsidRPr="005E7298">
        <w:rPr>
          <w:rStyle w:val="FootnoteReference"/>
          <w:szCs w:val="16"/>
        </w:rPr>
        <w:footnoteRef/>
      </w:r>
      <w:r w:rsidRPr="005E7298">
        <w:t xml:space="preserve"> D'Agostino Jr</w:t>
      </w:r>
      <w:r w:rsidRPr="005E7298">
        <w:rPr>
          <w:rFonts w:hint="eastAsia"/>
        </w:rPr>
        <w:t>, R. B. (1998).</w:t>
      </w:r>
      <w:r w:rsidRPr="005E7298">
        <w:t xml:space="preserve"> Propensity score methods for bias reduction in the comparison of a treatment to a non</w:t>
      </w:r>
      <w:r w:rsidRPr="005E7298">
        <w:rPr>
          <w:rFonts w:ascii="Cambria Math" w:hAnsi="Cambria Math" w:cs="Cambria Math"/>
        </w:rPr>
        <w:t>‐</w:t>
      </w:r>
      <w:r w:rsidRPr="005E7298">
        <w:rPr>
          <w:rFonts w:hint="eastAsia"/>
        </w:rPr>
        <w:t xml:space="preserve">randomized control group. </w:t>
      </w:r>
      <w:r w:rsidRPr="005E7298">
        <w:rPr>
          <w:i/>
          <w:iCs/>
        </w:rPr>
        <w:t>Statistics in medicine, 17</w:t>
      </w:r>
      <w:r w:rsidRPr="005E7298">
        <w:rPr>
          <w:rFonts w:hint="eastAsia"/>
        </w:rPr>
        <w:t>(19), 2265-2281.</w:t>
      </w:r>
    </w:p>
  </w:footnote>
  <w:footnote w:id="61">
    <w:p w14:paraId="5ADEDFD9" w14:textId="5D0CBB80" w:rsidR="00E76A23" w:rsidRPr="00736B77" w:rsidRDefault="00E76A23" w:rsidP="00FC4E44">
      <w:pPr>
        <w:pStyle w:val="Footnote"/>
      </w:pPr>
      <w:r w:rsidRPr="00736B77">
        <w:rPr>
          <w:rStyle w:val="FootnoteReference"/>
        </w:rPr>
        <w:footnoteRef/>
      </w:r>
      <w:r w:rsidRPr="00736B77">
        <w:t xml:space="preserve"> </w:t>
      </w:r>
      <w:r w:rsidRPr="00D71E16">
        <w:t xml:space="preserve">Li, F., Morgan, K. L., &amp; Zaslavsky, A. M. (2018). Balancing covariates via propensity score weighting. </w:t>
      </w:r>
      <w:r w:rsidRPr="0011257C">
        <w:rPr>
          <w:i/>
          <w:iCs/>
        </w:rPr>
        <w:t>Journal of the American Statistical Association, 113</w:t>
      </w:r>
      <w:r w:rsidRPr="00D71E16">
        <w:t>(521), 390-400.</w:t>
      </w:r>
    </w:p>
  </w:footnote>
  <w:footnote w:id="62">
    <w:p w14:paraId="333E7D2C" w14:textId="74B294BF" w:rsidR="00E76A23" w:rsidRPr="00736B77" w:rsidRDefault="00E76A23" w:rsidP="00FC4E44">
      <w:pPr>
        <w:pStyle w:val="Footnote"/>
      </w:pPr>
      <w:r w:rsidRPr="00736B77">
        <w:rPr>
          <w:rStyle w:val="FootnoteReference"/>
        </w:rPr>
        <w:footnoteRef/>
      </w:r>
      <w:r w:rsidRPr="00736B77">
        <w:t xml:space="preserve"> </w:t>
      </w:r>
      <w:r w:rsidRPr="00883F9B">
        <w:t xml:space="preserve">Vats, S., Ash, A. S., &amp; Ellis, R. P. (2013). Bending the cost curve? Results from a comprehensive primary care payment pilot. </w:t>
      </w:r>
      <w:r w:rsidRPr="0011257C">
        <w:rPr>
          <w:i/>
          <w:iCs/>
        </w:rPr>
        <w:t>Medical Care, 51</w:t>
      </w:r>
      <w:r w:rsidRPr="00883F9B">
        <w:t>(11).</w:t>
      </w:r>
    </w:p>
  </w:footnote>
  <w:footnote w:id="63">
    <w:p w14:paraId="7F54C5B1" w14:textId="2C2E5434" w:rsidR="00E76A23" w:rsidRPr="00736B77" w:rsidRDefault="00E76A23" w:rsidP="00FC4E44">
      <w:pPr>
        <w:pStyle w:val="Footnote"/>
      </w:pPr>
      <w:r w:rsidRPr="00736B77">
        <w:rPr>
          <w:rStyle w:val="FootnoteReference"/>
        </w:rPr>
        <w:footnoteRef/>
      </w:r>
      <w:r w:rsidRPr="00736B77">
        <w:t xml:space="preserve"> </w:t>
      </w:r>
      <w:r w:rsidRPr="00E758DE">
        <w:t xml:space="preserve">Lechner, M. (2011). The estimation of causal effects by difference-in-difference methods. </w:t>
      </w:r>
      <w:r w:rsidRPr="0011257C">
        <w:rPr>
          <w:i/>
          <w:iCs/>
        </w:rPr>
        <w:t>Foundations and Trends in Econometrics, 4</w:t>
      </w:r>
      <w:r w:rsidRPr="00E758DE">
        <w:t>(3), 165-224.</w:t>
      </w:r>
      <w:r>
        <w:t xml:space="preserve"> Retrieved from:</w:t>
      </w:r>
      <w:r w:rsidRPr="00736B77">
        <w:t xml:space="preserve"> </w:t>
      </w:r>
      <w:hyperlink r:id="rId41" w:history="1">
        <w:r w:rsidRPr="00230422">
          <w:rPr>
            <w:rStyle w:val="Hyperlink"/>
          </w:rPr>
          <w:t>https://EconPapers.repec.org/RePEc:now:fnteco:0800000014</w:t>
        </w:r>
      </w:hyperlink>
      <w:r w:rsidRPr="00736B77">
        <w:t>.</w:t>
      </w:r>
      <w:r>
        <w:t xml:space="preserve"> </w:t>
      </w:r>
    </w:p>
  </w:footnote>
  <w:footnote w:id="64">
    <w:p w14:paraId="723106CB" w14:textId="0DF496B8" w:rsidR="00E76A23" w:rsidRPr="005E7298" w:rsidRDefault="00E76A23" w:rsidP="00FC4E44">
      <w:pPr>
        <w:pStyle w:val="Footnote"/>
      </w:pPr>
      <w:r w:rsidRPr="005E7298">
        <w:rPr>
          <w:rStyle w:val="FootnoteReference"/>
          <w:szCs w:val="16"/>
        </w:rPr>
        <w:footnoteRef/>
      </w:r>
      <w:r w:rsidRPr="005E7298">
        <w:rPr>
          <w:lang w:val="nb-NO"/>
        </w:rPr>
        <w:t xml:space="preserve"> Penfold, R. B., &amp; Zhang, F. (2013). </w:t>
      </w:r>
      <w:r w:rsidRPr="005E7298">
        <w:t xml:space="preserve">Use of interrupted time series analysis in evaluating health care quality improvements. </w:t>
      </w:r>
      <w:r w:rsidRPr="005E7298">
        <w:rPr>
          <w:i/>
          <w:iCs/>
        </w:rPr>
        <w:t>Academic pediatrics, 13</w:t>
      </w:r>
      <w:r w:rsidRPr="005E7298">
        <w:t>(6), S38-S44.</w:t>
      </w:r>
    </w:p>
  </w:footnote>
  <w:footnote w:id="65">
    <w:p w14:paraId="5DDE7E60" w14:textId="64A5A25E" w:rsidR="00E76A23" w:rsidRPr="00736B77" w:rsidRDefault="00E76A23" w:rsidP="00FC4E44">
      <w:pPr>
        <w:pStyle w:val="Footnote"/>
        <w:rPr>
          <w:sz w:val="18"/>
          <w:szCs w:val="18"/>
        </w:rPr>
      </w:pPr>
      <w:r w:rsidRPr="005E7298">
        <w:rPr>
          <w:rStyle w:val="FootnoteReference"/>
          <w:szCs w:val="16"/>
        </w:rPr>
        <w:footnoteRef/>
      </w:r>
      <w:r w:rsidRPr="005E7298">
        <w:t xml:space="preserve"> Cook, T. D., Campbell, D. T., &amp; Shadish, W. (2002). Experimental and quasi-experimental designs for generalized causal inference. </w:t>
      </w:r>
      <w:r w:rsidRPr="005E7298">
        <w:rPr>
          <w:i/>
          <w:iCs/>
        </w:rPr>
        <w:t>Boston, MA: Houghton Mifflin</w:t>
      </w:r>
      <w:r w:rsidRPr="005E7298">
        <w:t xml:space="preserve"> (pp. 103-134). </w:t>
      </w:r>
    </w:p>
  </w:footnote>
  <w:footnote w:id="66">
    <w:p w14:paraId="3BA3009E" w14:textId="4089C34D" w:rsidR="00E76A23" w:rsidRDefault="00E76A23" w:rsidP="00FC4E44">
      <w:pPr>
        <w:pStyle w:val="Footnote"/>
      </w:pPr>
      <w:r w:rsidRPr="00736B77">
        <w:rPr>
          <w:rStyle w:val="FootnoteReference"/>
        </w:rPr>
        <w:footnoteRef/>
      </w:r>
      <w:r w:rsidRPr="00736B77">
        <w:t xml:space="preserve"> McWilliams</w:t>
      </w:r>
      <w:r w:rsidRPr="000765E9">
        <w:t>, J. M.,</w:t>
      </w:r>
      <w:r w:rsidRPr="00736B77">
        <w:t xml:space="preserve"> Hatfield</w:t>
      </w:r>
      <w:r w:rsidRPr="000765E9">
        <w:t>, L. A.,</w:t>
      </w:r>
      <w:r w:rsidRPr="00736B77">
        <w:t xml:space="preserve"> Landon</w:t>
      </w:r>
      <w:r w:rsidRPr="000765E9">
        <w:t>, B. E.,</w:t>
      </w:r>
      <w:r w:rsidRPr="00736B77">
        <w:t xml:space="preserve"> Hamed</w:t>
      </w:r>
      <w:r w:rsidRPr="000765E9">
        <w:t>,</w:t>
      </w:r>
      <w:r w:rsidRPr="00736B77">
        <w:t xml:space="preserve"> P</w:t>
      </w:r>
      <w:r w:rsidRPr="000765E9">
        <w:t>., &amp;</w:t>
      </w:r>
      <w:r w:rsidRPr="00736B77">
        <w:t xml:space="preserve"> Chernew</w:t>
      </w:r>
      <w:r w:rsidRPr="000765E9">
        <w:t>, M. E. (2018).</w:t>
      </w:r>
      <w:r w:rsidRPr="00736B77">
        <w:t xml:space="preserve"> Medicare </w:t>
      </w:r>
      <w:r w:rsidRPr="000765E9">
        <w:t>spending</w:t>
      </w:r>
      <w:r w:rsidRPr="00736B77">
        <w:t xml:space="preserve"> after 3 </w:t>
      </w:r>
      <w:r w:rsidRPr="000765E9">
        <w:t>years</w:t>
      </w:r>
      <w:r w:rsidRPr="00736B77">
        <w:t xml:space="preserve"> of the Medicare Shared Savings Program. </w:t>
      </w:r>
      <w:r w:rsidRPr="000765E9">
        <w:rPr>
          <w:i/>
          <w:iCs/>
        </w:rPr>
        <w:t>New England Journal of Medicine, 379</w:t>
      </w:r>
      <w:r w:rsidRPr="000765E9">
        <w:t>(12), 1139-1149.</w:t>
      </w:r>
      <w:r>
        <w:t xml:space="preserve"> </w:t>
      </w:r>
    </w:p>
  </w:footnote>
  <w:footnote w:id="67">
    <w:p w14:paraId="5DF843A2" w14:textId="7F25E829" w:rsidR="00994183" w:rsidRDefault="00994183" w:rsidP="00FC4E44">
      <w:pPr>
        <w:pStyle w:val="Footnote"/>
      </w:pPr>
      <w:r>
        <w:rPr>
          <w:rStyle w:val="FootnoteReference"/>
        </w:rPr>
        <w:footnoteRef/>
      </w:r>
      <w:r>
        <w:t xml:space="preserve"> </w:t>
      </w:r>
      <w:r w:rsidR="00B06865" w:rsidRPr="00CB0891">
        <w:t xml:space="preserve">Creswell, J. W., &amp; Clark, V. L. P. (2007). </w:t>
      </w:r>
      <w:r w:rsidR="00B06865" w:rsidRPr="002F4674">
        <w:t>Designing and Conducting Mixed Methods Research.</w:t>
      </w:r>
      <w:r w:rsidR="00B06865" w:rsidRPr="00CB0891">
        <w:t xml:space="preserve"> Thousand Oaks, CA: </w:t>
      </w:r>
      <w:r w:rsidR="00B06865" w:rsidRPr="002F4674">
        <w:rPr>
          <w:i/>
        </w:rPr>
        <w:t>Sage Publications.</w:t>
      </w:r>
    </w:p>
  </w:footnote>
  <w:footnote w:id="68">
    <w:p w14:paraId="55927E24" w14:textId="1E0CB609" w:rsidR="00E76A23" w:rsidRDefault="00E76A23" w:rsidP="00FC4E44">
      <w:pPr>
        <w:pStyle w:val="Footnote"/>
      </w:pPr>
      <w:r>
        <w:rPr>
          <w:rStyle w:val="FootnoteReference"/>
        </w:rPr>
        <w:footnoteRef/>
      </w:r>
      <w:r>
        <w:t xml:space="preserve"> The Commonwealth’s Roadmap for Behavioral Health is a multi-year blueprint, based on listening sessions and feedback from nearly 700 individuals, families, providers, and other stakeholders who identified the need for expanded access to treatment, more effective </w:t>
      </w:r>
      <w:r w:rsidRPr="00402D80">
        <w:t xml:space="preserve">treatment, and improved health equity. See more details here: Commonwealth of Massachusetts. (2021). </w:t>
      </w:r>
      <w:r w:rsidRPr="00402D80">
        <w:rPr>
          <w:i/>
          <w:iCs/>
        </w:rPr>
        <w:t>Roadmap for Behavioral Health Reform</w:t>
      </w:r>
      <w:r w:rsidRPr="00402D80">
        <w:t xml:space="preserve">. </w:t>
      </w:r>
      <w:r>
        <w:t>Mass.gov.</w:t>
      </w:r>
      <w:r w:rsidRPr="00402D80">
        <w:t xml:space="preserve"> </w:t>
      </w:r>
      <w:hyperlink r:id="rId42" w:history="1">
        <w:r w:rsidRPr="00402D80">
          <w:rPr>
            <w:rStyle w:val="Hyperlink"/>
          </w:rPr>
          <w:t>https://www.mass.gov/service-details/roadmap-for-behavioralhealth-reform</w:t>
        </w:r>
      </w:hyperlink>
    </w:p>
  </w:footnote>
  <w:footnote w:id="69">
    <w:p w14:paraId="6FFE02AB" w14:textId="6B670B53" w:rsidR="00E76A23" w:rsidRDefault="00E76A23" w:rsidP="00FC4E44">
      <w:pPr>
        <w:pStyle w:val="Footnote"/>
      </w:pPr>
      <w:r w:rsidRPr="00A865CC">
        <w:rPr>
          <w:rStyle w:val="FootnoteReference"/>
          <w:szCs w:val="22"/>
        </w:rPr>
        <w:footnoteRef/>
      </w:r>
      <w:r w:rsidRPr="00A865CC">
        <w:rPr>
          <w:szCs w:val="22"/>
        </w:rPr>
        <w:t xml:space="preserve"> </w:t>
      </w:r>
      <w:r>
        <w:rPr>
          <w:szCs w:val="22"/>
        </w:rPr>
        <w:t xml:space="preserve">Social Security. (n.d.). </w:t>
      </w:r>
      <w:r w:rsidRPr="00D84EC6">
        <w:rPr>
          <w:i/>
          <w:color w:val="212121"/>
        </w:rPr>
        <w:t>Payment to the States</w:t>
      </w:r>
      <w:r>
        <w:rPr>
          <w:color w:val="212121"/>
          <w:szCs w:val="22"/>
        </w:rPr>
        <w:t>:</w:t>
      </w:r>
      <w:r w:rsidRPr="00291F8E">
        <w:rPr>
          <w:color w:val="212121"/>
          <w:szCs w:val="22"/>
        </w:rPr>
        <w:t xml:space="preserve"> </w:t>
      </w:r>
      <w:r w:rsidRPr="000765E9">
        <w:rPr>
          <w:i/>
          <w:color w:val="212121"/>
          <w:szCs w:val="22"/>
        </w:rPr>
        <w:t>Compilation Of The Social Security Laws.</w:t>
      </w:r>
      <w:r>
        <w:rPr>
          <w:i/>
          <w:color w:val="212121"/>
          <w:szCs w:val="22"/>
        </w:rPr>
        <w:t xml:space="preserve"> </w:t>
      </w:r>
      <w:r>
        <w:rPr>
          <w:i/>
          <w:iCs/>
          <w:color w:val="212121"/>
          <w:szCs w:val="22"/>
        </w:rPr>
        <w:t xml:space="preserve">Ssa.gov. </w:t>
      </w:r>
      <w:r w:rsidRPr="000765E9">
        <w:rPr>
          <w:i/>
          <w:iCs/>
          <w:color w:val="212121"/>
          <w:szCs w:val="22"/>
        </w:rPr>
        <w:t xml:space="preserve"> </w:t>
      </w:r>
      <w:hyperlink r:id="rId43" w:history="1">
        <w:r>
          <w:rPr>
            <w:rStyle w:val="Hyperlink"/>
          </w:rPr>
          <w:t>Social Security Act §1903 (ssa.gov)</w:t>
        </w:r>
      </w:hyperlink>
    </w:p>
  </w:footnote>
  <w:footnote w:id="70">
    <w:p w14:paraId="7EB940EB" w14:textId="0EF589EA" w:rsidR="00E76A23" w:rsidRDefault="00E76A23" w:rsidP="00FC4E44">
      <w:pPr>
        <w:pStyle w:val="Footnote"/>
      </w:pPr>
      <w:r>
        <w:rPr>
          <w:rStyle w:val="FootnoteReference"/>
        </w:rPr>
        <w:footnoteRef/>
      </w:r>
      <w:r>
        <w:t xml:space="preserve"> </w:t>
      </w:r>
      <w:bookmarkStart w:id="114" w:name="_Hlk124239821"/>
      <w:r w:rsidRPr="00E50821">
        <w:t>STCs Sections 5.11; 6.- and 7-7.10</w:t>
      </w:r>
      <w:bookmarkEnd w:id="114"/>
      <w:r w:rsidR="00C44D7E" w:rsidRPr="00DA7A47">
        <w:t xml:space="preserve">; </w:t>
      </w:r>
      <w:hyperlink r:id="rId44" w:history="1">
        <w:r w:rsidR="00C44D7E" w:rsidRPr="00502CDF">
          <w:rPr>
            <w:rStyle w:val="Hyperlink"/>
            <w:rFonts w:eastAsia="Times New Roman"/>
          </w:rPr>
          <w:t>1115 MassHealth Demonstration ("Waiver") | Mass.gov</w:t>
        </w:r>
      </w:hyperlink>
    </w:p>
  </w:footnote>
  <w:footnote w:id="71">
    <w:p w14:paraId="2EDA2EBD" w14:textId="73FD1C44" w:rsidR="00E76A23" w:rsidRDefault="00E76A23" w:rsidP="00FC4E44">
      <w:pPr>
        <w:pStyle w:val="Footnote"/>
      </w:pPr>
      <w:r>
        <w:rPr>
          <w:rStyle w:val="FootnoteReference"/>
        </w:rPr>
        <w:footnoteRef/>
      </w:r>
      <w:r>
        <w:t xml:space="preserve"> Does not include specialized CSPs outlined </w:t>
      </w:r>
      <w:r w:rsidRPr="006D78AA">
        <w:t>in STC 15</w:t>
      </w:r>
      <w:r w:rsidR="00C30804">
        <w:t>, HSRN</w:t>
      </w:r>
      <w:r w:rsidR="00266755" w:rsidRPr="00DA7A47">
        <w:t xml:space="preserve">; </w:t>
      </w:r>
      <w:hyperlink r:id="rId45" w:history="1">
        <w:r w:rsidR="00266755" w:rsidRPr="00502CDF">
          <w:rPr>
            <w:rStyle w:val="Hyperlink"/>
            <w:rFonts w:eastAsia="Times New Roman"/>
          </w:rPr>
          <w:t>1115 MassHealth Demonstration ("Waiver") | Mass.gov</w:t>
        </w:r>
      </w:hyperlink>
    </w:p>
  </w:footnote>
  <w:footnote w:id="72">
    <w:p w14:paraId="033FD0D2" w14:textId="53F57CDC" w:rsidR="00E76A23" w:rsidRDefault="00E76A23" w:rsidP="00FC4E44">
      <w:pPr>
        <w:pStyle w:val="Footnote"/>
      </w:pPr>
      <w:r>
        <w:rPr>
          <w:rStyle w:val="FootnoteReference"/>
        </w:rPr>
        <w:footnoteRef/>
      </w:r>
      <w:r>
        <w:t xml:space="preserve"> </w:t>
      </w:r>
      <w:r w:rsidRPr="0063311F">
        <w:t>Services provided under the Medicaid state plan. Definition may change pursuant to any state plan amendment.</w:t>
      </w:r>
      <w:r>
        <w:t xml:space="preserve"> </w:t>
      </w:r>
    </w:p>
  </w:footnote>
  <w:footnote w:id="73">
    <w:p w14:paraId="52463F86" w14:textId="3C846120" w:rsidR="00E76A23" w:rsidRPr="005E7298" w:rsidRDefault="00E76A23" w:rsidP="00FC4E44">
      <w:pPr>
        <w:pStyle w:val="Footnote"/>
      </w:pPr>
      <w:r w:rsidRPr="00FD49E0">
        <w:rPr>
          <w:rStyle w:val="FootnoteReference"/>
          <w:szCs w:val="16"/>
        </w:rPr>
        <w:footnoteRef/>
      </w:r>
      <w:r w:rsidRPr="00FD49E0">
        <w:t xml:space="preserve"> </w:t>
      </w:r>
      <w:r w:rsidR="002665A2" w:rsidRPr="005E7298">
        <w:rPr>
          <w:rStyle w:val="contentpasted01"/>
          <w:szCs w:val="16"/>
        </w:rPr>
        <w:t xml:space="preserve">New to the waiver </w:t>
      </w:r>
      <w:r w:rsidR="00FD49E0" w:rsidRPr="005E7298">
        <w:t xml:space="preserve">(as of 8/1/22, </w:t>
      </w:r>
      <w:r w:rsidR="002665A2" w:rsidRPr="005E7298">
        <w:rPr>
          <w:rStyle w:val="contentpasted01"/>
          <w:szCs w:val="16"/>
        </w:rPr>
        <w:t xml:space="preserve">under the prior demonstration) for IMD authority. </w:t>
      </w:r>
      <w:r w:rsidR="00FD49E0" w:rsidRPr="005E7298">
        <w:t>Otherwise, s</w:t>
      </w:r>
      <w:r w:rsidR="002665A2" w:rsidRPr="005E7298">
        <w:t xml:space="preserve">ervices provided under the Medicaid state plan. Definition may change pursuant to any state plan amendment. </w:t>
      </w:r>
    </w:p>
  </w:footnote>
  <w:footnote w:id="74">
    <w:p w14:paraId="0C27A944" w14:textId="7429D6B7" w:rsidR="00E76A23" w:rsidRDefault="00E76A23" w:rsidP="00FC4E44">
      <w:pPr>
        <w:pStyle w:val="Footnote"/>
      </w:pPr>
      <w:r w:rsidRPr="005E7298">
        <w:rPr>
          <w:rStyle w:val="FootnoteReference"/>
        </w:rPr>
        <w:footnoteRef/>
      </w:r>
      <w:r w:rsidRPr="005E7298">
        <w:t xml:space="preserve"> These services are available for all members, except for those in MassHealth Limited.</w:t>
      </w:r>
      <w:r w:rsidR="004B005A" w:rsidRPr="005E7298">
        <w:t xml:space="preserve"> Moved u</w:t>
      </w:r>
      <w:r w:rsidR="00E25997" w:rsidRPr="005E7298">
        <w:rPr>
          <w:rStyle w:val="contentpasted01"/>
          <w:szCs w:val="16"/>
        </w:rPr>
        <w:t>nder IMD authority in the prior demonstration</w:t>
      </w:r>
      <w:r w:rsidR="004B005A" w:rsidRPr="005E7298">
        <w:rPr>
          <w:rStyle w:val="contentpasted01"/>
          <w:szCs w:val="16"/>
        </w:rPr>
        <w:t xml:space="preserve"> (as of 8/1/22). </w:t>
      </w:r>
    </w:p>
  </w:footnote>
  <w:footnote w:id="75">
    <w:p w14:paraId="1B646FA5" w14:textId="51C3EA17" w:rsidR="00E76A23" w:rsidRDefault="00E76A23" w:rsidP="00FC4E44">
      <w:pPr>
        <w:pStyle w:val="Footnote"/>
      </w:pPr>
      <w:r>
        <w:rPr>
          <w:rStyle w:val="FootnoteReference"/>
        </w:rPr>
        <w:footnoteRef/>
      </w:r>
      <w:r>
        <w:t xml:space="preserve"> </w:t>
      </w:r>
      <w:r w:rsidRPr="00354FDF">
        <w:t xml:space="preserve">This will be available </w:t>
      </w:r>
      <w:r w:rsidRPr="00B442EB">
        <w:t>for children and adolescents enrolled in managed care.</w:t>
      </w:r>
      <w:r w:rsidR="00E66C67" w:rsidRPr="00B442EB">
        <w:t xml:space="preserve"> Moved u</w:t>
      </w:r>
      <w:r w:rsidR="00E66C67" w:rsidRPr="00105DE3">
        <w:rPr>
          <w:rStyle w:val="contentpasted01"/>
          <w:szCs w:val="16"/>
        </w:rPr>
        <w:t>nder IMD authority in the prior demonstration (as of 8/1/22).</w:t>
      </w:r>
    </w:p>
  </w:footnote>
  <w:footnote w:id="76">
    <w:p w14:paraId="68953EC3" w14:textId="2DFBFE68" w:rsidR="00E76A23" w:rsidRDefault="00E76A23" w:rsidP="00FC4E44">
      <w:pPr>
        <w:pStyle w:val="Footnote"/>
      </w:pPr>
      <w:r>
        <w:rPr>
          <w:rStyle w:val="FootnoteReference"/>
        </w:rPr>
        <w:footnoteRef/>
      </w:r>
      <w:r>
        <w:t xml:space="preserve"> </w:t>
      </w:r>
      <w:r w:rsidRPr="005570D5">
        <w:t>STCs Sections 5.11; 6.- and 7-7.10</w:t>
      </w:r>
      <w:r w:rsidR="00266755" w:rsidRPr="00DA7A47">
        <w:t xml:space="preserve">; </w:t>
      </w:r>
      <w:hyperlink r:id="rId46" w:history="1">
        <w:r w:rsidR="00266755" w:rsidRPr="00502CDF">
          <w:rPr>
            <w:rStyle w:val="Hyperlink"/>
            <w:rFonts w:eastAsia="Times New Roman"/>
          </w:rPr>
          <w:t>1115 MassHealth Demonstration ("Waiver") | Mass.gov</w:t>
        </w:r>
      </w:hyperlink>
    </w:p>
  </w:footnote>
  <w:footnote w:id="77">
    <w:p w14:paraId="4095AD5C" w14:textId="1542E23D" w:rsidR="00E76A23" w:rsidRDefault="00E76A23" w:rsidP="00FC4E44">
      <w:pPr>
        <w:pStyle w:val="Footnote"/>
      </w:pPr>
      <w:r>
        <w:rPr>
          <w:rStyle w:val="FootnoteReference"/>
        </w:rPr>
        <w:footnoteRef/>
      </w:r>
      <w:r>
        <w:t xml:space="preserve"> STC 7.2, SMI/SED Implementation Plan</w:t>
      </w:r>
      <w:r w:rsidR="00266755" w:rsidRPr="00DA7A47">
        <w:t xml:space="preserve">; </w:t>
      </w:r>
      <w:hyperlink r:id="rId47" w:history="1">
        <w:r w:rsidR="00266755" w:rsidRPr="00502CDF">
          <w:rPr>
            <w:rStyle w:val="Hyperlink"/>
            <w:rFonts w:eastAsia="Times New Roman"/>
          </w:rPr>
          <w:t>1115 MassHealth Demonstration ("Waiver") | Mass.gov</w:t>
        </w:r>
      </w:hyperlink>
    </w:p>
  </w:footnote>
  <w:footnote w:id="78">
    <w:p w14:paraId="7F9CFF94" w14:textId="7680ADEF" w:rsidR="002A497C" w:rsidRDefault="002A497C" w:rsidP="00FC4E44">
      <w:pPr>
        <w:pStyle w:val="Footnote"/>
      </w:pPr>
      <w:r>
        <w:rPr>
          <w:rStyle w:val="FootnoteReference"/>
        </w:rPr>
        <w:footnoteRef/>
      </w:r>
      <w:r>
        <w:t xml:space="preserve"> Please refer to </w:t>
      </w:r>
      <w:r w:rsidRPr="00E07C5D">
        <w:t>4.</w:t>
      </w:r>
      <w:r w:rsidR="00E07C5D">
        <w:t>4</w:t>
      </w:r>
      <w:r w:rsidRPr="00E07C5D">
        <w:t>.1</w:t>
      </w:r>
      <w:r>
        <w:t xml:space="preserve"> </w:t>
      </w:r>
      <w:r w:rsidR="00E1565E">
        <w:t>“</w:t>
      </w:r>
      <w:r>
        <w:t>Study Population</w:t>
      </w:r>
      <w:r w:rsidR="00E1565E">
        <w:t>”</w:t>
      </w:r>
      <w:r>
        <w:t xml:space="preserve"> for a detailed description of the study populations.</w:t>
      </w:r>
    </w:p>
  </w:footnote>
  <w:footnote w:id="79">
    <w:p w14:paraId="06C9645B" w14:textId="5C3F78A6" w:rsidR="002A497C" w:rsidRDefault="002A497C" w:rsidP="00FC4E44">
      <w:pPr>
        <w:pStyle w:val="Footnote"/>
      </w:pPr>
      <w:r>
        <w:rPr>
          <w:rStyle w:val="FootnoteReference"/>
        </w:rPr>
        <w:footnoteRef/>
      </w:r>
      <w:r>
        <w:t xml:space="preserve"> STC 17.6, Evaluation Questions and Hypotheses</w:t>
      </w:r>
      <w:r w:rsidR="005F2E1B" w:rsidRPr="00DA7A47">
        <w:t xml:space="preserve">; </w:t>
      </w:r>
      <w:hyperlink r:id="rId48" w:history="1">
        <w:r w:rsidR="005F2E1B" w:rsidRPr="00502CDF">
          <w:rPr>
            <w:rStyle w:val="Hyperlink"/>
            <w:rFonts w:eastAsia="Times New Roman"/>
          </w:rPr>
          <w:t>1115 MassHealth Demonstration ("Waiver") | Mass.gov</w:t>
        </w:r>
      </w:hyperlink>
    </w:p>
  </w:footnote>
  <w:footnote w:id="80">
    <w:p w14:paraId="771BA37D" w14:textId="77777777" w:rsidR="002A497C" w:rsidRDefault="002A497C" w:rsidP="00FC4E44">
      <w:pPr>
        <w:pStyle w:val="Footnote"/>
      </w:pPr>
      <w:r>
        <w:rPr>
          <w:rStyle w:val="FootnoteReference"/>
        </w:rPr>
        <w:footnoteRef/>
      </w:r>
      <w:r>
        <w:t xml:space="preserve"> </w:t>
      </w:r>
      <w:r w:rsidRPr="002B4B8D">
        <w:t>Centers for Medicare &amp; Medicaid Services. (n.d.). </w:t>
      </w:r>
      <w:hyperlink r:id="rId49" w:anchor=":~:text=The%20purpose%20of%20this%20document%20is%20to%20support,of%20demonstration%20evaluations%2C%20including%20assessments%20of%20cost%20implications" w:history="1">
        <w:r w:rsidRPr="002B4B8D">
          <w:rPr>
            <w:rStyle w:val="Hyperlink"/>
            <w:i/>
            <w:iCs/>
          </w:rPr>
          <w:t>Evaluation design guidance for section 1115 demonstrations for beneficiaries with serious mental illness/serious emotional disturbance and substance use disorders: SMI/SED and SUD Evaluation Guidance</w:t>
        </w:r>
      </w:hyperlink>
      <w:r w:rsidRPr="002B4B8D">
        <w:t xml:space="preserve">.  </w:t>
      </w:r>
    </w:p>
  </w:footnote>
  <w:footnote w:id="81">
    <w:p w14:paraId="7A5BE798" w14:textId="77777777" w:rsidR="002A497C" w:rsidRDefault="002A497C" w:rsidP="00FC4E44">
      <w:pPr>
        <w:pStyle w:val="Footnote"/>
      </w:pPr>
      <w:r>
        <w:rPr>
          <w:rStyle w:val="FootnoteReference"/>
        </w:rPr>
        <w:footnoteRef/>
      </w:r>
      <w:r>
        <w:t xml:space="preserve"> </w:t>
      </w:r>
      <w:r w:rsidRPr="000F01E5">
        <w:t xml:space="preserve">Centers for Medicare &amp; Medicaid services. (n.d.). </w:t>
      </w:r>
      <w:r w:rsidRPr="008D51B6">
        <w:t>Goals, research questions, and analytic approaches  for evaluating section 1115 serious mental illness/serious  emotional disturbance demonstrations. SMI/</w:t>
      </w:r>
      <w:r w:rsidRPr="008D51B6">
        <w:rPr>
          <w:iCs/>
        </w:rPr>
        <w:t>SED</w:t>
      </w:r>
      <w:r w:rsidRPr="008D51B6">
        <w:t xml:space="preserve"> and SUD evaluation design guidance</w:t>
      </w:r>
      <w:r w:rsidRPr="000F01E5">
        <w:t xml:space="preserve">: </w:t>
      </w:r>
      <w:hyperlink r:id="rId50" w:history="1">
        <w:r w:rsidRPr="000F01E5">
          <w:rPr>
            <w:rStyle w:val="Hyperlink"/>
            <w:i/>
            <w:iCs/>
          </w:rPr>
          <w:t>Appendix A</w:t>
        </w:r>
      </w:hyperlink>
      <w:r w:rsidRPr="000F01E5">
        <w:t xml:space="preserve">.  </w:t>
      </w:r>
    </w:p>
  </w:footnote>
  <w:footnote w:id="82">
    <w:p w14:paraId="32D0B5B8" w14:textId="77777777" w:rsidR="002A497C" w:rsidRDefault="002A497C" w:rsidP="00FC4E44">
      <w:pPr>
        <w:pStyle w:val="Footnote"/>
      </w:pPr>
      <w:r>
        <w:rPr>
          <w:rStyle w:val="FootnoteReference"/>
        </w:rPr>
        <w:footnoteRef/>
      </w:r>
      <w:r>
        <w:t xml:space="preserve"> </w:t>
      </w:r>
      <w:r w:rsidRPr="004E7B74">
        <w:t>Centers for Medicare &amp; Medicaid services. (n.d.). </w:t>
      </w:r>
      <w:r w:rsidRPr="004E7B74">
        <w:rPr>
          <w:i/>
          <w:iCs/>
        </w:rPr>
        <w:t xml:space="preserve">SMI/SED and SUD Evaluation Design Guidance: </w:t>
      </w:r>
      <w:hyperlink r:id="rId51" w:history="1">
        <w:r w:rsidRPr="004E7B74">
          <w:rPr>
            <w:rStyle w:val="Hyperlink"/>
            <w:i/>
            <w:iCs/>
          </w:rPr>
          <w:t>Appendix B</w:t>
        </w:r>
      </w:hyperlink>
    </w:p>
  </w:footnote>
  <w:footnote w:id="83">
    <w:p w14:paraId="33417C05" w14:textId="2480743A" w:rsidR="00E76A23" w:rsidRDefault="00E76A23" w:rsidP="00FC4E44">
      <w:pPr>
        <w:pStyle w:val="Footnote"/>
      </w:pPr>
      <w:r>
        <w:rPr>
          <w:rStyle w:val="FootnoteReference"/>
        </w:rPr>
        <w:footnoteRef/>
      </w:r>
      <w:r>
        <w:t xml:space="preserve"> </w:t>
      </w:r>
      <w:r w:rsidRPr="00F8268A">
        <w:t xml:space="preserve">Commonwealth of Massachusetts. (2019, May). </w:t>
      </w:r>
      <w:r w:rsidRPr="00322388">
        <w:rPr>
          <w:i/>
        </w:rPr>
        <w:t>Acute Inpatient Hospital Bulletin 169</w:t>
      </w:r>
      <w:r w:rsidRPr="00F8268A">
        <w:t xml:space="preserve">. Mass.gov. </w:t>
      </w:r>
      <w:hyperlink r:id="rId52" w:history="1">
        <w:r w:rsidRPr="00AB7975">
          <w:rPr>
            <w:rStyle w:val="Hyperlink"/>
          </w:rPr>
          <w:t>https://www.mass.gov/doc/acute-inpatient-hospital-bulletin-169-in-state-acute-hospital-30-day-readmissions-policy-0/download</w:t>
        </w:r>
      </w:hyperlink>
      <w:r>
        <w:t xml:space="preserve"> </w:t>
      </w:r>
    </w:p>
  </w:footnote>
  <w:footnote w:id="84">
    <w:p w14:paraId="5D75F0F7" w14:textId="5D4562B3" w:rsidR="00045BAC" w:rsidRDefault="00045BAC" w:rsidP="00FC4E44">
      <w:pPr>
        <w:pStyle w:val="Footnote"/>
      </w:pPr>
      <w:r>
        <w:rPr>
          <w:rStyle w:val="FootnoteReference"/>
        </w:rPr>
        <w:footnoteRef/>
      </w:r>
      <w:r>
        <w:t xml:space="preserve"> </w:t>
      </w:r>
      <w:r w:rsidR="00B2019E">
        <w:t>2540 opioid-related deaths in 2019.</w:t>
      </w:r>
    </w:p>
  </w:footnote>
  <w:footnote w:id="85">
    <w:p w14:paraId="723F9432" w14:textId="088D9B2D" w:rsidR="00E76A23" w:rsidRDefault="00E76A23" w:rsidP="00FC4E44">
      <w:pPr>
        <w:pStyle w:val="Footnote"/>
      </w:pPr>
      <w:r>
        <w:rPr>
          <w:rStyle w:val="FootnoteReference"/>
        </w:rPr>
        <w:footnoteRef/>
      </w:r>
      <w:r>
        <w:t xml:space="preserve"> CHIA. </w:t>
      </w:r>
      <w:r w:rsidRPr="0007717C">
        <w:t>(n.d.).</w:t>
      </w:r>
      <w:r>
        <w:t xml:space="preserve"> </w:t>
      </w:r>
      <w:bookmarkStart w:id="133" w:name="_Hlk126251597"/>
      <w:r w:rsidRPr="0007717C">
        <w:rPr>
          <w:i/>
          <w:iCs/>
        </w:rPr>
        <w:t>Massachusetts All-Payer Claims Database</w:t>
      </w:r>
      <w:r w:rsidRPr="0007717C">
        <w:t xml:space="preserve">. </w:t>
      </w:r>
      <w:r>
        <w:t>Chiamass.gov.</w:t>
      </w:r>
      <w:r w:rsidRPr="0007717C">
        <w:t xml:space="preserve"> </w:t>
      </w:r>
      <w:bookmarkEnd w:id="133"/>
      <w:r w:rsidR="0060767D">
        <w:fldChar w:fldCharType="begin"/>
      </w:r>
      <w:r w:rsidR="0060767D">
        <w:instrText xml:space="preserve"> HYPERLINK "https://www.chiamass.gov/ma-apcd/" </w:instrText>
      </w:r>
      <w:r w:rsidR="0060767D">
        <w:fldChar w:fldCharType="separate"/>
      </w:r>
      <w:r w:rsidRPr="0007717C">
        <w:rPr>
          <w:rStyle w:val="Hyperlink"/>
        </w:rPr>
        <w:t>https://www.chiamass.gov/ma-apcd/</w:t>
      </w:r>
      <w:r w:rsidR="0060767D">
        <w:rPr>
          <w:rStyle w:val="Hyperlink"/>
        </w:rPr>
        <w:fldChar w:fldCharType="end"/>
      </w:r>
      <w:r w:rsidRPr="0007717C">
        <w:t xml:space="preserve"> </w:t>
      </w:r>
    </w:p>
  </w:footnote>
  <w:footnote w:id="86">
    <w:p w14:paraId="0C252DD7" w14:textId="77777777" w:rsidR="00E76A23" w:rsidRDefault="00E76A23" w:rsidP="00FC4E44">
      <w:pPr>
        <w:pStyle w:val="Footnote"/>
      </w:pPr>
      <w:r>
        <w:rPr>
          <w:rStyle w:val="FootnoteReference"/>
        </w:rPr>
        <w:footnoteRef/>
      </w:r>
      <w:r>
        <w:t xml:space="preserve"> </w:t>
      </w:r>
      <w:r w:rsidRPr="00F5083A">
        <w:t>Cowling, B. J., Hutton, J. L., &amp; Shaw, J. E. H. (2006). Joint modelling of event counts and survival times. </w:t>
      </w:r>
      <w:r w:rsidRPr="00F5083A">
        <w:rPr>
          <w:i/>
          <w:iCs/>
        </w:rPr>
        <w:t>Journal of the Royal Statistical Society: Series C (Applied Statistics)</w:t>
      </w:r>
      <w:r w:rsidRPr="00F5083A">
        <w:t>, </w:t>
      </w:r>
      <w:r w:rsidRPr="00F5083A">
        <w:rPr>
          <w:i/>
          <w:iCs/>
        </w:rPr>
        <w:t>55</w:t>
      </w:r>
      <w:r w:rsidRPr="00F5083A">
        <w:t>(1), 31–39. </w:t>
      </w:r>
      <w:hyperlink r:id="rId53" w:history="1">
        <w:r w:rsidRPr="00FD71CA">
          <w:rPr>
            <w:rStyle w:val="Hyperlink"/>
          </w:rPr>
          <w:t>https://doi.org/10.1111/j.1467-9876.2005.00529.x</w:t>
        </w:r>
      </w:hyperlink>
      <w:r>
        <w:t xml:space="preserve"> </w:t>
      </w:r>
    </w:p>
  </w:footnote>
  <w:footnote w:id="87">
    <w:p w14:paraId="7AB2E17A" w14:textId="1B420860" w:rsidR="00E76A23" w:rsidRDefault="00E76A23" w:rsidP="00FC4E44">
      <w:pPr>
        <w:pStyle w:val="Footnote"/>
      </w:pPr>
      <w:r>
        <w:rPr>
          <w:rStyle w:val="FootnoteReference"/>
        </w:rPr>
        <w:footnoteRef/>
      </w:r>
      <w:r>
        <w:t xml:space="preserve"> </w:t>
      </w:r>
      <w:r>
        <w:rPr>
          <w:shd w:val="clear" w:color="auto" w:fill="FFFFFF"/>
        </w:rPr>
        <w:t>Lines, L. M., Li, N. C., Mick, E. O., &amp; Ash, A. S. (2019). Emergency department and primary care use in Massachusetts 5 years after health reform. </w:t>
      </w:r>
      <w:r>
        <w:rPr>
          <w:i/>
          <w:iCs/>
          <w:shd w:val="clear" w:color="auto" w:fill="FFFFFF"/>
        </w:rPr>
        <w:t>Medical care</w:t>
      </w:r>
      <w:r>
        <w:rPr>
          <w:shd w:val="clear" w:color="auto" w:fill="FFFFFF"/>
        </w:rPr>
        <w:t>, </w:t>
      </w:r>
      <w:r>
        <w:rPr>
          <w:i/>
          <w:iCs/>
          <w:shd w:val="clear" w:color="auto" w:fill="FFFFFF"/>
        </w:rPr>
        <w:t>57</w:t>
      </w:r>
      <w:r>
        <w:rPr>
          <w:shd w:val="clear" w:color="auto" w:fill="FFFFFF"/>
        </w:rPr>
        <w:t>(2), 101-108.</w:t>
      </w:r>
    </w:p>
  </w:footnote>
  <w:footnote w:id="88">
    <w:p w14:paraId="099326F8" w14:textId="1483DB63" w:rsidR="00E76A23" w:rsidRDefault="00E76A23" w:rsidP="00FC4E44">
      <w:pPr>
        <w:pStyle w:val="Footnote"/>
      </w:pPr>
      <w:r>
        <w:rPr>
          <w:rStyle w:val="FootnoteReference"/>
        </w:rPr>
        <w:footnoteRef/>
      </w:r>
      <w:r>
        <w:t xml:space="preserve"> </w:t>
      </w:r>
      <w:r w:rsidRPr="000C12E5">
        <w:t xml:space="preserve">CHIA. (n.d.). Massachusetts All-Payer Claims Database. Chiamass.gov. </w:t>
      </w:r>
      <w:hyperlink r:id="rId54" w:history="1">
        <w:r w:rsidRPr="00230422">
          <w:rPr>
            <w:rStyle w:val="Hyperlink"/>
          </w:rPr>
          <w:t>https://www.chiamass.gov/ma-apcd/</w:t>
        </w:r>
      </w:hyperlink>
    </w:p>
  </w:footnote>
  <w:footnote w:id="89">
    <w:p w14:paraId="30D389C5" w14:textId="0FB3E8D1" w:rsidR="00E76A23" w:rsidRDefault="00E76A23" w:rsidP="00FC4E44">
      <w:pPr>
        <w:pStyle w:val="Footnote"/>
      </w:pPr>
      <w:r>
        <w:rPr>
          <w:rStyle w:val="FootnoteReference"/>
        </w:rPr>
        <w:footnoteRef/>
      </w:r>
      <w:r>
        <w:t xml:space="preserve"> </w:t>
      </w:r>
      <w:r w:rsidRPr="0019693B">
        <w:t xml:space="preserve">Department of Public Health. (n.d.). </w:t>
      </w:r>
      <w:r w:rsidRPr="008D51B6">
        <w:rPr>
          <w:i/>
        </w:rPr>
        <w:t>Current Opioid Statistics</w:t>
      </w:r>
      <w:r w:rsidRPr="0019693B">
        <w:t>. Mass.gov.</w:t>
      </w:r>
      <w:r>
        <w:t xml:space="preserve"> </w:t>
      </w:r>
      <w:r w:rsidRPr="00105FFD">
        <w:t>https://www.mass.gov/lists/current-opioid-statistics</w:t>
      </w:r>
      <w:r w:rsidRPr="0019693B" w:rsidDel="0019693B">
        <w:t xml:space="preserve">  </w:t>
      </w:r>
    </w:p>
  </w:footnote>
  <w:footnote w:id="90">
    <w:p w14:paraId="3E591C8A" w14:textId="38AF9513" w:rsidR="00E76A23" w:rsidRDefault="00E76A23" w:rsidP="00FC4E44">
      <w:pPr>
        <w:pStyle w:val="Footnote"/>
      </w:pPr>
      <w:r>
        <w:rPr>
          <w:rStyle w:val="FootnoteReference"/>
        </w:rPr>
        <w:footnoteRef/>
      </w:r>
      <w:r>
        <w:t xml:space="preserve"> CAHPS Mental Health Care Surveys. </w:t>
      </w:r>
      <w:r w:rsidRPr="00630B7E">
        <w:t>(n.d.). </w:t>
      </w:r>
      <w:r w:rsidRPr="00630B7E">
        <w:rPr>
          <w:i/>
          <w:iCs/>
        </w:rPr>
        <w:t>CAHPS Experience of Care &amp; Health Outcomes (ECHO) Survey</w:t>
      </w:r>
      <w:r w:rsidRPr="00630B7E">
        <w:t xml:space="preserve">. </w:t>
      </w:r>
      <w:r>
        <w:t xml:space="preserve">Ahrq.gov. </w:t>
      </w:r>
      <w:hyperlink r:id="rId55" w:history="1">
        <w:r w:rsidRPr="00FD71CA">
          <w:rPr>
            <w:rStyle w:val="Hyperlink"/>
          </w:rPr>
          <w:t>https://www.ahrq.gov/cahps/surveys-guidance/echo/index.html</w:t>
        </w:r>
      </w:hyperlink>
      <w:r>
        <w:t xml:space="preserve"> </w:t>
      </w:r>
    </w:p>
  </w:footnote>
  <w:footnote w:id="91">
    <w:p w14:paraId="7BA8A907" w14:textId="5ACE7034" w:rsidR="00E76A23" w:rsidRDefault="00E76A23" w:rsidP="00FC4E44">
      <w:pPr>
        <w:pStyle w:val="Footnote"/>
      </w:pPr>
      <w:r>
        <w:rPr>
          <w:rStyle w:val="FootnoteReference"/>
        </w:rPr>
        <w:footnoteRef/>
      </w:r>
      <w:r>
        <w:t xml:space="preserve"> Qualitative data collection and analysis will be conducted by the </w:t>
      </w:r>
      <w:r w:rsidR="00065537">
        <w:t xml:space="preserve">IE </w:t>
      </w:r>
      <w:r>
        <w:t>qualitative team.</w:t>
      </w:r>
    </w:p>
  </w:footnote>
  <w:footnote w:id="92">
    <w:p w14:paraId="10697C04" w14:textId="77777777" w:rsidR="00E76A23" w:rsidRDefault="00E76A23" w:rsidP="00FC4E44">
      <w:pPr>
        <w:pStyle w:val="Footnote"/>
      </w:pPr>
      <w:r>
        <w:rPr>
          <w:rStyle w:val="FootnoteReference"/>
        </w:rPr>
        <w:footnoteRef/>
      </w:r>
      <w:r>
        <w:t xml:space="preserve"> </w:t>
      </w:r>
      <w:r w:rsidRPr="007B2EDE">
        <w:t xml:space="preserve">Cowling, B. J., Hutton, J. L., &amp; Shaw, J. E. H. (2006). Joint </w:t>
      </w:r>
      <w:r>
        <w:t>modeling</w:t>
      </w:r>
      <w:r w:rsidRPr="007B2EDE">
        <w:t xml:space="preserve"> of event counts and survival times. Journal of the Royal Statistical Society: Series C (Applied Statistics), 55(1), 31–39. doi:10.1111/j.1467-9876.2005.00529.x</w:t>
      </w:r>
    </w:p>
  </w:footnote>
  <w:footnote w:id="93">
    <w:p w14:paraId="39C74C57" w14:textId="77777777" w:rsidR="00E76A23" w:rsidRPr="006F578C" w:rsidRDefault="00E76A23" w:rsidP="00FC4E44">
      <w:pPr>
        <w:pStyle w:val="Footnote"/>
      </w:pPr>
      <w:r w:rsidRPr="00950356">
        <w:rPr>
          <w:rStyle w:val="FootnoteReference"/>
        </w:rPr>
        <w:footnoteRef/>
      </w:r>
      <w:r w:rsidRPr="00950356">
        <w:t xml:space="preserve"> </w:t>
      </w:r>
      <w:r w:rsidRPr="00FF0963">
        <w:t>Fleming, T.R., &amp; Harrington, D. P. (</w:t>
      </w:r>
      <w:r>
        <w:t>1991</w:t>
      </w:r>
      <w:r w:rsidRPr="00FF0963">
        <w:t xml:space="preserve">). Counting Processes and Survival Analysis. Wiley Series in Probability and Statistics. </w:t>
      </w:r>
      <w:hyperlink r:id="rId56" w:history="1">
        <w:r w:rsidRPr="00FD71CA">
          <w:rPr>
            <w:rStyle w:val="Hyperlink"/>
          </w:rPr>
          <w:t>https://doi.org/10.1002/9781118150672</w:t>
        </w:r>
      </w:hyperlink>
      <w:r>
        <w:t xml:space="preserve"> </w:t>
      </w:r>
    </w:p>
  </w:footnote>
  <w:footnote w:id="94">
    <w:p w14:paraId="2DC889DC" w14:textId="77777777" w:rsidR="00E76A23" w:rsidRDefault="00E76A23" w:rsidP="00FC4E44">
      <w:pPr>
        <w:pStyle w:val="Footnote"/>
      </w:pPr>
      <w:r>
        <w:rPr>
          <w:rStyle w:val="FootnoteReference"/>
        </w:rPr>
        <w:footnoteRef/>
      </w:r>
      <w:r>
        <w:t xml:space="preserve"> </w:t>
      </w:r>
      <w:r w:rsidRPr="00F75141">
        <w:t>Wu, L., Meng, Y., Kong, X., &amp; Zou, Y. (202</w:t>
      </w:r>
      <w:r>
        <w:t>2</w:t>
      </w:r>
      <w:r w:rsidRPr="00F75141">
        <w:t xml:space="preserve">). Incorporating survival analysis into the safety effectiveness evaluation of treatments: Jointly modeling crash counts and time intervals between crashes. Journal of Transportation Safety &amp;Amp; Security, 14(2), 338–358. </w:t>
      </w:r>
      <w:hyperlink r:id="rId57" w:history="1">
        <w:r w:rsidRPr="00FD71CA">
          <w:rPr>
            <w:rStyle w:val="Hyperlink"/>
          </w:rPr>
          <w:t>https://doi.org/10.1080/19439962.2020.1786871</w:t>
        </w:r>
      </w:hyperlink>
      <w:r>
        <w:t xml:space="preserve"> </w:t>
      </w:r>
    </w:p>
  </w:footnote>
  <w:footnote w:id="95">
    <w:p w14:paraId="3AEE78B6" w14:textId="306D1C7B" w:rsidR="00D730C8" w:rsidRDefault="00D730C8" w:rsidP="00FC4E44">
      <w:pPr>
        <w:pStyle w:val="Footnote"/>
      </w:pPr>
      <w:r>
        <w:rPr>
          <w:rStyle w:val="FootnoteReference"/>
        </w:rPr>
        <w:footnoteRef/>
      </w:r>
      <w:r>
        <w:t xml:space="preserve"> </w:t>
      </w:r>
      <w:r w:rsidR="00B06865" w:rsidRPr="00CB0891">
        <w:t xml:space="preserve">Creswell, J. W., &amp; Clark, V. L. P. (2007). </w:t>
      </w:r>
      <w:r w:rsidR="00B06865" w:rsidRPr="002F4674">
        <w:rPr>
          <w:iCs/>
        </w:rPr>
        <w:t>Designing and Conducting Mixed Methods Research.</w:t>
      </w:r>
      <w:r w:rsidR="00B06865" w:rsidRPr="00CB0891">
        <w:t xml:space="preserve"> Thousand Oaks, CA: </w:t>
      </w:r>
      <w:r w:rsidR="00B06865" w:rsidRPr="002F4674">
        <w:rPr>
          <w:i/>
          <w:iCs/>
        </w:rPr>
        <w:t>Sage Publications.</w:t>
      </w:r>
    </w:p>
  </w:footnote>
  <w:footnote w:id="96">
    <w:p w14:paraId="6FBE70FB" w14:textId="7315336E" w:rsidR="00E76A23" w:rsidRPr="008B7472" w:rsidRDefault="00E76A23" w:rsidP="00FC4E44">
      <w:pPr>
        <w:pStyle w:val="Footnote"/>
      </w:pPr>
      <w:r w:rsidRPr="008B7472">
        <w:rPr>
          <w:rStyle w:val="FootnoteReference"/>
        </w:rPr>
        <w:footnoteRef/>
      </w:r>
      <w:r w:rsidRPr="008B7472">
        <w:t xml:space="preserve"> Text imported with modifications from </w:t>
      </w:r>
      <w:r>
        <w:t>page 2:</w:t>
      </w:r>
      <w:r w:rsidRPr="008B7472">
        <w:t xml:space="preserve"> </w:t>
      </w:r>
      <w:r w:rsidRPr="00D2710A">
        <w:t xml:space="preserve">Centers for Medicare &amp; Medicaid Services. (2022, September 28). </w:t>
      </w:r>
      <w:r w:rsidRPr="008D51B6">
        <w:rPr>
          <w:i/>
        </w:rPr>
        <w:t>CMS Guidance, Approval Letter, Waiver Authority, Expenditure Authority, Special Terms and Conditions.</w:t>
      </w:r>
      <w:r w:rsidRPr="00D2710A">
        <w:t xml:space="preserve"> Mass.gov. </w:t>
      </w:r>
      <w:hyperlink r:id="rId58" w:history="1">
        <w:r w:rsidRPr="00230422">
          <w:rPr>
            <w:rStyle w:val="Hyperlink"/>
          </w:rPr>
          <w:t>https://www.mass.gov/doc/masshealth-extension-approval/download</w:t>
        </w:r>
      </w:hyperlink>
      <w:r>
        <w:t xml:space="preserve"> </w:t>
      </w:r>
      <w:r w:rsidRPr="00D2710A">
        <w:t xml:space="preserve"> </w:t>
      </w:r>
    </w:p>
  </w:footnote>
  <w:footnote w:id="97">
    <w:p w14:paraId="780140DF" w14:textId="3811D979" w:rsidR="00E76A23" w:rsidRPr="008B7472" w:rsidRDefault="00E76A23" w:rsidP="00FC4E44">
      <w:pPr>
        <w:pStyle w:val="Footnote"/>
      </w:pPr>
      <w:r w:rsidRPr="008B7472">
        <w:rPr>
          <w:rStyle w:val="FootnoteReference"/>
        </w:rPr>
        <w:footnoteRef/>
      </w:r>
      <w:r w:rsidR="3383C28C" w:rsidRPr="008B7472">
        <w:t xml:space="preserve"> See STC 11.1</w:t>
      </w:r>
      <w:r w:rsidR="3383C28C">
        <w:t>,</w:t>
      </w:r>
      <w:r w:rsidR="3383C28C" w:rsidRPr="008B7472">
        <w:t xml:space="preserve"> page 77-78</w:t>
      </w:r>
      <w:r w:rsidR="00643FEF" w:rsidRPr="00643FEF">
        <w:t xml:space="preserve">; </w:t>
      </w:r>
      <w:hyperlink r:id="rId59" w:history="1">
        <w:r w:rsidR="00643FEF" w:rsidRPr="00643FEF">
          <w:rPr>
            <w:rStyle w:val="Hyperlink"/>
          </w:rPr>
          <w:t>1115 MassHealth Demonstration ("Waiver") | Mass.gov</w:t>
        </w:r>
      </w:hyperlink>
    </w:p>
  </w:footnote>
  <w:footnote w:id="98">
    <w:p w14:paraId="6322963B" w14:textId="43C53172" w:rsidR="00E76A23" w:rsidRPr="008B7472" w:rsidRDefault="00E76A23" w:rsidP="00FC4E44">
      <w:pPr>
        <w:pStyle w:val="Footnote"/>
      </w:pPr>
      <w:r w:rsidRPr="008B7472">
        <w:rPr>
          <w:rStyle w:val="FootnoteReference"/>
        </w:rPr>
        <w:footnoteRef/>
      </w:r>
      <w:r w:rsidRPr="008B7472">
        <w:t xml:space="preserve"> </w:t>
      </w:r>
      <w:r w:rsidR="00E45A79" w:rsidRPr="00F13F06">
        <w:t>See 2017-2022 Demonstration STC 63-64 (as included in final STC amendments approved August 11, 2022).</w:t>
      </w:r>
      <w:r w:rsidR="00643FEF" w:rsidRPr="00643FEF">
        <w:rPr>
          <w:sz w:val="24"/>
          <w:szCs w:val="24"/>
        </w:rPr>
        <w:t xml:space="preserve"> </w:t>
      </w:r>
      <w:r w:rsidR="00643FEF" w:rsidRPr="00643FEF">
        <w:t xml:space="preserve">; </w:t>
      </w:r>
      <w:hyperlink r:id="rId60" w:history="1">
        <w:r w:rsidR="00643FEF" w:rsidRPr="00643FEF">
          <w:rPr>
            <w:rStyle w:val="Hyperlink"/>
          </w:rPr>
          <w:t>1115 MassHealth Demonstration ("Waiver") | Mass.gov</w:t>
        </w:r>
      </w:hyperlink>
    </w:p>
  </w:footnote>
  <w:footnote w:id="99">
    <w:p w14:paraId="2819D8B6" w14:textId="65827622" w:rsidR="000C28A0" w:rsidRDefault="000C28A0" w:rsidP="00FC4E44">
      <w:pPr>
        <w:pStyle w:val="Footnote"/>
      </w:pPr>
      <w:r>
        <w:rPr>
          <w:rStyle w:val="FootnoteReference"/>
        </w:rPr>
        <w:footnoteRef/>
      </w:r>
      <w:r>
        <w:t xml:space="preserve"> </w:t>
      </w:r>
      <w:r w:rsidR="00E45A79" w:rsidRPr="008B7472">
        <w:t>See STC 11.1.(a) – 11.1.(e)</w:t>
      </w:r>
      <w:r w:rsidR="00E45A79">
        <w:t>,</w:t>
      </w:r>
      <w:r w:rsidR="00E45A79" w:rsidRPr="008B7472">
        <w:t xml:space="preserve"> page 78</w:t>
      </w:r>
      <w:r w:rsidR="00643FEF" w:rsidRPr="00643FEF">
        <w:t xml:space="preserve">; </w:t>
      </w:r>
      <w:hyperlink r:id="rId61" w:history="1">
        <w:r w:rsidR="00643FEF" w:rsidRPr="00643FEF">
          <w:rPr>
            <w:rStyle w:val="Hyperlink"/>
          </w:rPr>
          <w:t>1115 MassHealth Demonstration ("Waiver") | Mass.gov</w:t>
        </w:r>
      </w:hyperlink>
    </w:p>
  </w:footnote>
  <w:footnote w:id="100">
    <w:p w14:paraId="40EA52F0" w14:textId="5FA2653B" w:rsidR="00E76A23" w:rsidRDefault="00E76A23" w:rsidP="00FC4E44">
      <w:pPr>
        <w:pStyle w:val="Footnote"/>
      </w:pPr>
      <w:r w:rsidRPr="008B7472">
        <w:rPr>
          <w:rStyle w:val="FootnoteReference"/>
        </w:rPr>
        <w:footnoteRef/>
      </w:r>
      <w:r w:rsidRPr="008B7472">
        <w:t xml:space="preserve"> See STC </w:t>
      </w:r>
      <w:r>
        <w:t>2</w:t>
      </w:r>
      <w:r w:rsidRPr="008B7472">
        <w:t xml:space="preserve"> on page 3</w:t>
      </w:r>
      <w:r w:rsidR="00643FEF" w:rsidRPr="00643FEF">
        <w:t xml:space="preserve">; </w:t>
      </w:r>
      <w:hyperlink r:id="rId62" w:history="1">
        <w:r w:rsidR="00643FEF" w:rsidRPr="00643FEF">
          <w:rPr>
            <w:rStyle w:val="Hyperlink"/>
          </w:rPr>
          <w:t>1115 MassHealth Demonstration ("Waiver") | Mass.gov</w:t>
        </w:r>
      </w:hyperlink>
    </w:p>
  </w:footnote>
  <w:footnote w:id="101">
    <w:p w14:paraId="787CA48A" w14:textId="77777777" w:rsidR="00E76A23" w:rsidRPr="00482DCB" w:rsidRDefault="00E76A23" w:rsidP="00FC4E44">
      <w:pPr>
        <w:pStyle w:val="Footnote"/>
      </w:pPr>
      <w:r w:rsidRPr="00482DCB">
        <w:rPr>
          <w:rStyle w:val="FootnoteReference"/>
        </w:rPr>
        <w:footnoteRef/>
      </w:r>
      <w:r w:rsidRPr="00482DCB">
        <w:t xml:space="preserve"> This number was increased from 14 in the 2017-2022 </w:t>
      </w:r>
      <w:r>
        <w:t>Demonstration</w:t>
      </w:r>
      <w:r w:rsidRPr="00482DCB">
        <w:t>. Pay eligibility will be extended to 9 additional hospitals as Safety Net Provider funding increases by $125M annually.</w:t>
      </w:r>
    </w:p>
  </w:footnote>
  <w:footnote w:id="102">
    <w:p w14:paraId="60C13CCA" w14:textId="7C23E9A4" w:rsidR="00E76A23" w:rsidRPr="008B7472" w:rsidRDefault="00E76A23" w:rsidP="00FC4E44">
      <w:pPr>
        <w:pStyle w:val="Footnote"/>
      </w:pPr>
      <w:r w:rsidRPr="008B7472">
        <w:rPr>
          <w:rStyle w:val="FootnoteReference"/>
        </w:rPr>
        <w:footnoteRef/>
      </w:r>
      <w:r w:rsidRPr="008B7472">
        <w:t xml:space="preserve"> See STC 11.2.(a)</w:t>
      </w:r>
      <w:r>
        <w:t>,</w:t>
      </w:r>
      <w:r w:rsidRPr="008B7472">
        <w:t xml:space="preserve"> page 78</w:t>
      </w:r>
      <w:r w:rsidR="00555C97" w:rsidRPr="00555C97">
        <w:t xml:space="preserve">; </w:t>
      </w:r>
      <w:hyperlink r:id="rId63" w:history="1">
        <w:r w:rsidR="00555C97" w:rsidRPr="00555C97">
          <w:rPr>
            <w:rStyle w:val="Hyperlink"/>
          </w:rPr>
          <w:t>1115 MassHealth Demonstration ("Waiver") | Mass.gov</w:t>
        </w:r>
      </w:hyperlink>
    </w:p>
  </w:footnote>
  <w:footnote w:id="103">
    <w:p w14:paraId="7045F88E" w14:textId="08C7308B" w:rsidR="00E76A23" w:rsidRDefault="00E76A23" w:rsidP="00FC4E44">
      <w:pPr>
        <w:pStyle w:val="Footnote"/>
      </w:pPr>
      <w:r w:rsidRPr="008B7472">
        <w:rPr>
          <w:rStyle w:val="FootnoteReference"/>
        </w:rPr>
        <w:footnoteRef/>
      </w:r>
      <w:r w:rsidRPr="008B7472">
        <w:t xml:space="preserve"> See STC 11.2.(a</w:t>
      </w:r>
      <w:r>
        <w:t>),</w:t>
      </w:r>
      <w:r w:rsidRPr="008B7472">
        <w:t xml:space="preserve"> page 79</w:t>
      </w:r>
      <w:r w:rsidR="00555C97" w:rsidRPr="00555C97">
        <w:t xml:space="preserve">; </w:t>
      </w:r>
      <w:hyperlink r:id="rId64" w:history="1">
        <w:r w:rsidR="00555C97" w:rsidRPr="00555C97">
          <w:rPr>
            <w:rStyle w:val="Hyperlink"/>
          </w:rPr>
          <w:t>1115 MassHealth Demonstration ("Waiver") | Mass.gov</w:t>
        </w:r>
      </w:hyperlink>
    </w:p>
  </w:footnote>
  <w:footnote w:id="104">
    <w:p w14:paraId="475D645C" w14:textId="67F25BEA" w:rsidR="00E76A23" w:rsidRPr="008B7472" w:rsidRDefault="00E76A23" w:rsidP="00FC4E44">
      <w:pPr>
        <w:pStyle w:val="Footnote"/>
      </w:pPr>
      <w:r w:rsidRPr="008B7472">
        <w:rPr>
          <w:rStyle w:val="FootnoteReference"/>
        </w:rPr>
        <w:footnoteRef/>
      </w:r>
      <w:r w:rsidRPr="008B7472">
        <w:t xml:space="preserve"> See STC 11.2.(b)</w:t>
      </w:r>
      <w:r>
        <w:t>,</w:t>
      </w:r>
      <w:r w:rsidRPr="008B7472">
        <w:t xml:space="preserve"> page 79</w:t>
      </w:r>
      <w:r w:rsidR="00555C97" w:rsidRPr="00555C97">
        <w:t xml:space="preserve">; </w:t>
      </w:r>
      <w:hyperlink r:id="rId65" w:history="1">
        <w:r w:rsidR="00555C97" w:rsidRPr="00555C97">
          <w:rPr>
            <w:rStyle w:val="Hyperlink"/>
          </w:rPr>
          <w:t>1115 MassHealth Demonstration ("Waiver") | Mass.gov</w:t>
        </w:r>
      </w:hyperlink>
    </w:p>
  </w:footnote>
  <w:footnote w:id="105">
    <w:p w14:paraId="64DFF22A" w14:textId="668AB003" w:rsidR="00E76A23" w:rsidRPr="008B7472" w:rsidRDefault="00E76A23" w:rsidP="00FC4E44">
      <w:pPr>
        <w:pStyle w:val="Footnote"/>
      </w:pPr>
      <w:r w:rsidRPr="008B7472">
        <w:rPr>
          <w:rStyle w:val="FootnoteReference"/>
        </w:rPr>
        <w:footnoteRef/>
      </w:r>
      <w:r w:rsidRPr="008B7472">
        <w:t xml:space="preserve"> See STC 11.3</w:t>
      </w:r>
      <w:r>
        <w:t>,</w:t>
      </w:r>
      <w:r w:rsidRPr="008B7472">
        <w:t xml:space="preserve"> page 80</w:t>
      </w:r>
      <w:r w:rsidR="00555C97" w:rsidRPr="00555C97">
        <w:t xml:space="preserve">; </w:t>
      </w:r>
      <w:hyperlink r:id="rId66" w:history="1">
        <w:r w:rsidR="00555C97" w:rsidRPr="00555C97">
          <w:rPr>
            <w:rStyle w:val="Hyperlink"/>
          </w:rPr>
          <w:t>1115 MassHealth Demonstration ("Waiver") | Mass.gov</w:t>
        </w:r>
      </w:hyperlink>
    </w:p>
  </w:footnote>
  <w:footnote w:id="106">
    <w:p w14:paraId="698F12F8" w14:textId="77777777" w:rsidR="00E76A23" w:rsidRDefault="00E76A23" w:rsidP="00FC4E44">
      <w:pPr>
        <w:pStyle w:val="Footnote"/>
      </w:pPr>
      <w:r>
        <w:rPr>
          <w:rStyle w:val="FootnoteReference"/>
        </w:rPr>
        <w:footnoteRef/>
      </w:r>
      <w:r>
        <w:t xml:space="preserve"> Again, if MassHealth does not use UC, the UCCR report data will not be analyzed. </w:t>
      </w:r>
    </w:p>
  </w:footnote>
  <w:footnote w:id="107">
    <w:p w14:paraId="681C388B" w14:textId="4FF31FDC" w:rsidR="00E76A23" w:rsidRPr="007F7C38" w:rsidRDefault="00E76A23" w:rsidP="00FC4E44">
      <w:pPr>
        <w:pStyle w:val="Footnote"/>
      </w:pPr>
      <w:r w:rsidRPr="007F7C38">
        <w:rPr>
          <w:rStyle w:val="FootnoteReference"/>
        </w:rPr>
        <w:footnoteRef/>
      </w:r>
      <w:r w:rsidRPr="007F7C38">
        <w:t xml:space="preserve"> </w:t>
      </w:r>
      <w:r w:rsidRPr="00C9167B">
        <w:t>Part of Section 6.1 is verbatim from the STC and extension request</w:t>
      </w:r>
      <w:r w:rsidR="004435B5" w:rsidRPr="004435B5">
        <w:t xml:space="preserve">; </w:t>
      </w:r>
      <w:hyperlink r:id="rId67" w:history="1">
        <w:r w:rsidR="004435B5" w:rsidRPr="004435B5">
          <w:rPr>
            <w:rStyle w:val="Hyperlink"/>
          </w:rPr>
          <w:t>1115 MassHealth Demonstration ("Waiver") | Mass.gov</w:t>
        </w:r>
      </w:hyperlink>
    </w:p>
  </w:footnote>
  <w:footnote w:id="108">
    <w:p w14:paraId="1DB20BE2" w14:textId="6009E434" w:rsidR="00E76A23" w:rsidRPr="00C9167B" w:rsidRDefault="00E76A23" w:rsidP="00FC4E44">
      <w:pPr>
        <w:pStyle w:val="Footnote"/>
      </w:pPr>
      <w:r w:rsidRPr="00C9167B">
        <w:rPr>
          <w:rStyle w:val="FootnoteReference"/>
        </w:rPr>
        <w:footnoteRef/>
      </w:r>
      <w:r w:rsidRPr="00C9167B">
        <w:t xml:space="preserve"> Petterson, Stephen M; Cai, Angela; Moore, Miranda; Bazemore, Andrew. </w:t>
      </w:r>
      <w:r>
        <w:t>(</w:t>
      </w:r>
      <w:r w:rsidRPr="00C9167B">
        <w:t>2013</w:t>
      </w:r>
      <w:r>
        <w:t>, September).</w:t>
      </w:r>
      <w:r w:rsidRPr="00C9167B">
        <w:t xml:space="preserve"> </w:t>
      </w:r>
      <w:r w:rsidRPr="000C12E5">
        <w:rPr>
          <w:i/>
        </w:rPr>
        <w:t>State-level projections of primary care workforce, 2010-2030.</w:t>
      </w:r>
      <w:r w:rsidRPr="00C9167B">
        <w:t xml:space="preserve"> Graham</w:t>
      </w:r>
      <w:r>
        <w:t>-</w:t>
      </w:r>
      <w:r w:rsidRPr="00C9167B">
        <w:t>Center</w:t>
      </w:r>
      <w:r>
        <w:t xml:space="preserve">.org. </w:t>
      </w:r>
      <w:hyperlink r:id="rId68" w:history="1">
        <w:r w:rsidRPr="00C9167B">
          <w:rPr>
            <w:rStyle w:val="Hyperlink"/>
          </w:rPr>
          <w:t>https://www.graham-center.org/content/dam/rgc/documents/maps-data-tools/state-collections/workforce-projections/Massachusetts.pdf</w:t>
        </w:r>
      </w:hyperlink>
      <w:r w:rsidRPr="00C9167B">
        <w:t xml:space="preserve"> </w:t>
      </w:r>
    </w:p>
  </w:footnote>
  <w:footnote w:id="109">
    <w:p w14:paraId="0980519E" w14:textId="715422F0" w:rsidR="00E76A23" w:rsidRDefault="00E76A23" w:rsidP="00FC4E44">
      <w:pPr>
        <w:pStyle w:val="Footnote"/>
      </w:pPr>
      <w:r>
        <w:rPr>
          <w:rStyle w:val="FootnoteReference"/>
        </w:rPr>
        <w:footnoteRef/>
      </w:r>
      <w:r>
        <w:t xml:space="preserve"> Blue Cross Blue Shield Foundation of Massachusetts. (2018). </w:t>
      </w:r>
      <w:r w:rsidRPr="0011257C">
        <w:rPr>
          <w:i/>
          <w:iCs/>
        </w:rPr>
        <w:t>Access to Care or Mental Health and Substance Use Disorders is a Challenge for Many in Massachusetts.</w:t>
      </w:r>
      <w:r w:rsidRPr="009D1843">
        <w:t xml:space="preserve"> </w:t>
      </w:r>
      <w:hyperlink r:id="rId69" w:history="1">
        <w:r>
          <w:rPr>
            <w:rStyle w:val="Hyperlink"/>
          </w:rPr>
          <w:t>MHRS_2018_MH SUD Summary_final.pdf (bluecrossmafoundation.org)</w:t>
        </w:r>
      </w:hyperlink>
      <w:r>
        <w:t xml:space="preserve"> </w:t>
      </w:r>
    </w:p>
  </w:footnote>
  <w:footnote w:id="110">
    <w:p w14:paraId="527E9958" w14:textId="3A81B8C0" w:rsidR="00E76A23" w:rsidRPr="0011257C" w:rsidRDefault="00E76A23" w:rsidP="00FC4E44">
      <w:pPr>
        <w:pStyle w:val="Footnote"/>
      </w:pPr>
      <w:r w:rsidRPr="007F7C38">
        <w:rPr>
          <w:rStyle w:val="FootnoteReference"/>
        </w:rPr>
        <w:footnoteRef/>
      </w:r>
      <w:r w:rsidRPr="0011257C">
        <w:t xml:space="preserve"> </w:t>
      </w:r>
      <w:r w:rsidRPr="00062F42">
        <w:t xml:space="preserve">Commonwealth of Massachusetts. (2021, December 27). </w:t>
      </w:r>
      <w:r w:rsidRPr="0011257C">
        <w:rPr>
          <w:i/>
          <w:iCs/>
        </w:rPr>
        <w:t>MA 1115 Extension Request Updated, page 7</w:t>
      </w:r>
      <w:r w:rsidRPr="00062F42">
        <w:t xml:space="preserve">. Mass.gov. </w:t>
      </w:r>
      <w:hyperlink r:id="rId70" w:history="1">
        <w:r w:rsidRPr="00FD7402">
          <w:rPr>
            <w:rStyle w:val="Hyperlink"/>
          </w:rPr>
          <w:t>https://www.mass.gov/doc/1115-waiver-extension-request/download</w:t>
        </w:r>
      </w:hyperlink>
      <w:r>
        <w:t xml:space="preserve">. </w:t>
      </w:r>
    </w:p>
  </w:footnote>
  <w:footnote w:id="111">
    <w:p w14:paraId="5DCDA04E" w14:textId="5E38AD60" w:rsidR="00E76A23" w:rsidRPr="0011257C" w:rsidRDefault="00E76A23" w:rsidP="00FC4E44">
      <w:pPr>
        <w:pStyle w:val="Footnote"/>
      </w:pPr>
      <w:r w:rsidRPr="00C9167B">
        <w:rPr>
          <w:rStyle w:val="FootnoteReference"/>
        </w:rPr>
        <w:footnoteRef/>
      </w:r>
      <w:r w:rsidRPr="0011257C">
        <w:t xml:space="preserve"> Commonwealth of Massachusetts. (</w:t>
      </w:r>
      <w:r w:rsidRPr="0037741C">
        <w:t>2021, December 27</w:t>
      </w:r>
      <w:r w:rsidRPr="0011257C">
        <w:t>)</w:t>
      </w:r>
      <w:r>
        <w:t>.</w:t>
      </w:r>
      <w:r w:rsidRPr="0011257C">
        <w:t xml:space="preserve"> </w:t>
      </w:r>
      <w:r w:rsidRPr="0011257C">
        <w:rPr>
          <w:i/>
        </w:rPr>
        <w:t>MA 1115 Extension Request Updated.</w:t>
      </w:r>
      <w:r w:rsidRPr="0011257C">
        <w:t xml:space="preserve"> Mass.gov. </w:t>
      </w:r>
      <w:hyperlink r:id="rId71" w:history="1">
        <w:r w:rsidRPr="0011257C">
          <w:rPr>
            <w:rStyle w:val="Hyperlink"/>
          </w:rPr>
          <w:t>https://www.mass.gov/doc/1115-waiver-extension-request/download</w:t>
        </w:r>
      </w:hyperlink>
      <w:r w:rsidRPr="0011257C">
        <w:t>.</w:t>
      </w:r>
    </w:p>
  </w:footnote>
  <w:footnote w:id="112">
    <w:p w14:paraId="348BBA49" w14:textId="41FA3E6B" w:rsidR="00E76A23" w:rsidRDefault="00E76A23" w:rsidP="00FC4E44">
      <w:pPr>
        <w:pStyle w:val="Footnote"/>
      </w:pPr>
      <w:r w:rsidRPr="007F7C38">
        <w:rPr>
          <w:rStyle w:val="FootnoteReference"/>
        </w:rPr>
        <w:footnoteRef/>
      </w:r>
      <w:r w:rsidRPr="00E66C6C">
        <w:rPr>
          <w:lang w:val="es-CL"/>
        </w:rPr>
        <w:t xml:space="preserve"> Garcia, A. N., Kuo, T., Arangua, L., &amp; Pérez-Stable, E. J. (2018). </w:t>
      </w:r>
      <w:r w:rsidRPr="00004821">
        <w:t xml:space="preserve">Factors associated with medical school graduates’ intention to work with underserved populations: policy implications for advancing workforce diversity. </w:t>
      </w:r>
      <w:r w:rsidRPr="00004821">
        <w:rPr>
          <w:i/>
          <w:iCs/>
        </w:rPr>
        <w:t>Academic medicine: journal of the Association of American Medical Colleges,</w:t>
      </w:r>
      <w:r w:rsidRPr="00004821">
        <w:rPr>
          <w:i/>
        </w:rPr>
        <w:t xml:space="preserve"> 93</w:t>
      </w:r>
      <w:r w:rsidRPr="00004821">
        <w:t>(</w:t>
      </w:r>
      <w:r w:rsidRPr="007F7C38">
        <w:t>1</w:t>
      </w:r>
      <w:r w:rsidRPr="00004821">
        <w:t>),</w:t>
      </w:r>
      <w:r w:rsidRPr="007F7C38">
        <w:t xml:space="preserve"> 82</w:t>
      </w:r>
      <w:r w:rsidRPr="00004821">
        <w:t>.</w:t>
      </w:r>
      <w:r>
        <w:t xml:space="preserve"> Retrieved from: </w:t>
      </w:r>
      <w:hyperlink r:id="rId72" w:history="1">
        <w:r w:rsidRPr="007F7C38">
          <w:rPr>
            <w:rStyle w:val="Hyperlink"/>
          </w:rPr>
          <w:t>Factors Associated With Medical School Graduates’ Intention to Work With Underserved Populations: Policy Implications for Advancing Workforce Diversity - PMC (nih.gov)</w:t>
        </w:r>
      </w:hyperlink>
    </w:p>
  </w:footnote>
  <w:footnote w:id="113">
    <w:p w14:paraId="0478A360" w14:textId="297CCDDA" w:rsidR="00E76A23" w:rsidRPr="00A60B5D" w:rsidRDefault="00E76A23" w:rsidP="00FC4E44">
      <w:pPr>
        <w:pStyle w:val="Footnote"/>
        <w:rPr>
          <w:lang w:val="nb-NO"/>
        </w:rPr>
      </w:pPr>
      <w:r>
        <w:rPr>
          <w:rStyle w:val="FootnoteReference"/>
        </w:rPr>
        <w:footnoteRef/>
      </w:r>
      <w:r>
        <w:t xml:space="preserve"> </w:t>
      </w:r>
      <w:bookmarkStart w:id="165" w:name="_Hlk130200420"/>
      <w:r w:rsidRPr="00C5384C">
        <w:t xml:space="preserve">Commonwealth of Massachusetts. (2021, December 27). </w:t>
      </w:r>
      <w:r w:rsidRPr="0011257C">
        <w:rPr>
          <w:i/>
          <w:iCs/>
        </w:rPr>
        <w:t>MA 1115 Extension Request Updated, page 38 Internal MassHealth data.</w:t>
      </w:r>
      <w:r w:rsidRPr="00C5384C">
        <w:t xml:space="preserve"> </w:t>
      </w:r>
      <w:r w:rsidRPr="00A60B5D">
        <w:rPr>
          <w:lang w:val="nb-NO"/>
        </w:rPr>
        <w:t xml:space="preserve">Mass.gov. </w:t>
      </w:r>
      <w:bookmarkEnd w:id="165"/>
      <w:r w:rsidR="002A399D">
        <w:fldChar w:fldCharType="begin"/>
      </w:r>
      <w:r w:rsidR="002A399D" w:rsidRPr="00E66C6C">
        <w:rPr>
          <w:lang w:val="nb-NO"/>
        </w:rPr>
        <w:instrText>HYPERLINK "https://www.mass.gov/doc/1115-waiver-extension-request/download"</w:instrText>
      </w:r>
      <w:r w:rsidR="002A399D">
        <w:fldChar w:fldCharType="separate"/>
      </w:r>
      <w:r w:rsidRPr="00A60B5D">
        <w:rPr>
          <w:rStyle w:val="Hyperlink"/>
          <w:lang w:val="nb-NO"/>
        </w:rPr>
        <w:t>https://www.mass.gov/doc/1115-waiver-extension-request/download</w:t>
      </w:r>
      <w:r w:rsidR="002A399D">
        <w:rPr>
          <w:rStyle w:val="Hyperlink"/>
          <w:lang w:val="nb-NO"/>
        </w:rPr>
        <w:fldChar w:fldCharType="end"/>
      </w:r>
      <w:r w:rsidRPr="00A60B5D">
        <w:rPr>
          <w:lang w:val="nb-NO"/>
        </w:rPr>
        <w:t xml:space="preserve">. </w:t>
      </w:r>
    </w:p>
  </w:footnote>
  <w:footnote w:id="114">
    <w:p w14:paraId="6F765636" w14:textId="69F8E1EC" w:rsidR="00E76A23" w:rsidRPr="007F7C38" w:rsidRDefault="00E76A23" w:rsidP="00FC4E44">
      <w:pPr>
        <w:pStyle w:val="Footnote"/>
      </w:pPr>
      <w:r w:rsidRPr="007F7C38">
        <w:rPr>
          <w:rStyle w:val="FootnoteReference"/>
        </w:rPr>
        <w:footnoteRef/>
      </w:r>
      <w:r w:rsidRPr="00A60B5D">
        <w:rPr>
          <w:lang w:val="nb-NO"/>
        </w:rPr>
        <w:t xml:space="preserve"> Flinter, M. M., &amp; Bamrick, K. (2017). </w:t>
      </w:r>
      <w:r w:rsidRPr="00004821">
        <w:rPr>
          <w:i/>
        </w:rPr>
        <w:t xml:space="preserve">Training the </w:t>
      </w:r>
      <w:r w:rsidRPr="00004821">
        <w:rPr>
          <w:i/>
          <w:iCs/>
        </w:rPr>
        <w:t>next generation</w:t>
      </w:r>
      <w:r w:rsidRPr="00004821">
        <w:rPr>
          <w:i/>
        </w:rPr>
        <w:t xml:space="preserve">: Residency and </w:t>
      </w:r>
      <w:r w:rsidRPr="00004821">
        <w:rPr>
          <w:i/>
          <w:iCs/>
        </w:rPr>
        <w:t>fellowship programs</w:t>
      </w:r>
      <w:r w:rsidRPr="00004821">
        <w:rPr>
          <w:i/>
        </w:rPr>
        <w:t xml:space="preserve"> for </w:t>
      </w:r>
      <w:r w:rsidRPr="00004821">
        <w:rPr>
          <w:i/>
          <w:iCs/>
        </w:rPr>
        <w:t>nurse practitioners</w:t>
      </w:r>
      <w:r w:rsidRPr="00004821">
        <w:rPr>
          <w:i/>
        </w:rPr>
        <w:t xml:space="preserve"> in </w:t>
      </w:r>
      <w:r w:rsidRPr="00004821">
        <w:rPr>
          <w:i/>
          <w:iCs/>
        </w:rPr>
        <w:t>community health centers.</w:t>
      </w:r>
      <w:r w:rsidRPr="00004821">
        <w:t xml:space="preserve"> </w:t>
      </w:r>
      <w:r w:rsidRPr="007F7C38">
        <w:t xml:space="preserve">Community Health </w:t>
      </w:r>
      <w:r w:rsidRPr="00004821">
        <w:t>Center, Incorporated, and the Weitzman Institute.</w:t>
      </w:r>
      <w:r w:rsidRPr="007F7C38">
        <w:t xml:space="preserve"> </w:t>
      </w:r>
      <w:hyperlink r:id="rId73" w:history="1">
        <w:r w:rsidRPr="007F7C38">
          <w:rPr>
            <w:rStyle w:val="Hyperlink"/>
          </w:rPr>
          <w:t>https://www.weitzmaninstitute.org/sites/default/files/NPResidencyBook/NPResidencyBook.pdf</w:t>
        </w:r>
      </w:hyperlink>
      <w:r w:rsidRPr="007F7C38">
        <w:t xml:space="preserve"> </w:t>
      </w:r>
    </w:p>
  </w:footnote>
  <w:footnote w:id="115">
    <w:p w14:paraId="29D651B3" w14:textId="5984AF75" w:rsidR="00E76A23" w:rsidRPr="0011257C" w:rsidRDefault="00E76A23" w:rsidP="00FC4E44">
      <w:pPr>
        <w:pStyle w:val="Footnote"/>
        <w:rPr>
          <w:lang w:val="nb-NO"/>
        </w:rPr>
      </w:pPr>
      <w:r w:rsidRPr="007F7C38">
        <w:rPr>
          <w:rStyle w:val="FootnoteReference"/>
        </w:rPr>
        <w:footnoteRef/>
      </w:r>
      <w:r w:rsidRPr="007F7C38">
        <w:t xml:space="preserve"> </w:t>
      </w:r>
      <w:r w:rsidRPr="008D51B6">
        <w:t>Commonwealth of Massachusetts.</w:t>
      </w:r>
      <w:r w:rsidRPr="00A036B1">
        <w:t xml:space="preserve"> </w:t>
      </w:r>
      <w:r w:rsidRPr="009161E4">
        <w:t xml:space="preserve">(2021, December 27). </w:t>
      </w:r>
      <w:r w:rsidRPr="008D51B6">
        <w:rPr>
          <w:i/>
        </w:rPr>
        <w:t>Internal MassHealth Data, MA 1115 Extension Request</w:t>
      </w:r>
      <w:r w:rsidRPr="009161E4">
        <w:t xml:space="preserve">, </w:t>
      </w:r>
      <w:r w:rsidRPr="00004821">
        <w:rPr>
          <w:i/>
        </w:rPr>
        <w:t>page 38</w:t>
      </w:r>
      <w:r>
        <w:t xml:space="preserve">. </w:t>
      </w:r>
      <w:r w:rsidRPr="00A60B5D">
        <w:rPr>
          <w:lang w:val="nb-NO"/>
        </w:rPr>
        <w:t xml:space="preserve">Mass.gov.  </w:t>
      </w:r>
      <w:hyperlink r:id="rId74" w:history="1">
        <w:r w:rsidRPr="0011257C">
          <w:rPr>
            <w:rStyle w:val="Hyperlink"/>
            <w:lang w:val="nb-NO"/>
          </w:rPr>
          <w:t>https://www.mass.gov/doc/1115-waiver-extension-request/download</w:t>
        </w:r>
      </w:hyperlink>
      <w:r w:rsidRPr="0011257C">
        <w:rPr>
          <w:lang w:val="nb-NO"/>
        </w:rPr>
        <w:t xml:space="preserve"> </w:t>
      </w:r>
    </w:p>
  </w:footnote>
  <w:footnote w:id="116">
    <w:p w14:paraId="1E091214" w14:textId="00B0597A" w:rsidR="00E76A23" w:rsidRDefault="00E76A23" w:rsidP="00FC4E44">
      <w:pPr>
        <w:pStyle w:val="Footnote"/>
      </w:pPr>
      <w:r>
        <w:rPr>
          <w:rStyle w:val="FootnoteReference"/>
        </w:rPr>
        <w:footnoteRef/>
      </w:r>
      <w:r w:rsidRPr="00A60B5D">
        <w:rPr>
          <w:lang w:val="nb-NO"/>
        </w:rPr>
        <w:t xml:space="preserve"> Markit, I. H. S. (2017). </w:t>
      </w:r>
      <w:r w:rsidRPr="003E6A2E">
        <w:rPr>
          <w:i/>
        </w:rPr>
        <w:t xml:space="preserve">The </w:t>
      </w:r>
      <w:r w:rsidRPr="003E6A2E">
        <w:rPr>
          <w:i/>
          <w:iCs/>
        </w:rPr>
        <w:t>complexities</w:t>
      </w:r>
      <w:r w:rsidRPr="003E6A2E">
        <w:rPr>
          <w:i/>
        </w:rPr>
        <w:t xml:space="preserve"> of </w:t>
      </w:r>
      <w:r w:rsidRPr="003E6A2E">
        <w:rPr>
          <w:i/>
          <w:iCs/>
        </w:rPr>
        <w:t>physician supply</w:t>
      </w:r>
      <w:r w:rsidRPr="003E6A2E">
        <w:rPr>
          <w:i/>
        </w:rPr>
        <w:t xml:space="preserve"> and </w:t>
      </w:r>
      <w:r w:rsidRPr="003E6A2E">
        <w:rPr>
          <w:i/>
          <w:iCs/>
        </w:rPr>
        <w:t>demand</w:t>
      </w:r>
      <w:r w:rsidRPr="003E6A2E">
        <w:rPr>
          <w:i/>
        </w:rPr>
        <w:t xml:space="preserve">: Projections from </w:t>
      </w:r>
      <w:r w:rsidRPr="003E6A2E">
        <w:rPr>
          <w:i/>
          <w:iCs/>
        </w:rPr>
        <w:t>2015</w:t>
      </w:r>
      <w:r w:rsidRPr="003E6A2E">
        <w:rPr>
          <w:i/>
        </w:rPr>
        <w:t xml:space="preserve"> to </w:t>
      </w:r>
      <w:r w:rsidRPr="003E6A2E">
        <w:rPr>
          <w:i/>
          <w:iCs/>
        </w:rPr>
        <w:t>2030.</w:t>
      </w:r>
      <w:r w:rsidRPr="003E6A2E">
        <w:t xml:space="preserve"> Association of American Medical Colleges</w:t>
      </w:r>
      <w:r>
        <w:t xml:space="preserve">. Retrieved Feb 20, 2023, from </w:t>
      </w:r>
      <w:hyperlink r:id="rId75" w:history="1">
        <w:r>
          <w:rPr>
            <w:rStyle w:val="Hyperlink"/>
          </w:rPr>
          <w:t>The Complexities of Physician Supply and Demand: Projections From 2019 to 2034 (aamc.org)</w:t>
        </w:r>
      </w:hyperlink>
      <w:r>
        <w:t xml:space="preserve"> </w:t>
      </w:r>
    </w:p>
  </w:footnote>
  <w:footnote w:id="117">
    <w:p w14:paraId="5D0738C5" w14:textId="19DC632E" w:rsidR="00E76A23" w:rsidRDefault="00E76A23" w:rsidP="00FC4E44">
      <w:pPr>
        <w:pStyle w:val="Footnote"/>
      </w:pPr>
      <w:r>
        <w:rPr>
          <w:rStyle w:val="FootnoteReference"/>
        </w:rPr>
        <w:footnoteRef/>
      </w:r>
      <w:r>
        <w:t xml:space="preserve"> </w:t>
      </w:r>
      <w:r w:rsidRPr="00E23E5D">
        <w:t xml:space="preserve">Commonwealth of Massachusetts. (2021). Roadmap for Behavioral Health Reform. Mass.gov. </w:t>
      </w:r>
      <w:hyperlink r:id="rId76" w:history="1">
        <w:r w:rsidRPr="00230422">
          <w:rPr>
            <w:rStyle w:val="Hyperlink"/>
          </w:rPr>
          <w:t>https://www.mass.gov/service-details/roadmap-for-behavioralhealth-reform</w:t>
        </w:r>
      </w:hyperlink>
      <w:r>
        <w:t xml:space="preserve"> </w:t>
      </w:r>
    </w:p>
  </w:footnote>
  <w:footnote w:id="118">
    <w:p w14:paraId="4ADBA4AD" w14:textId="77777777" w:rsidR="00B64043" w:rsidRDefault="00B64043" w:rsidP="00FC4E44">
      <w:pPr>
        <w:pStyle w:val="Footnote"/>
      </w:pPr>
      <w:r>
        <w:rPr>
          <w:rStyle w:val="FootnoteReference"/>
        </w:rPr>
        <w:footnoteRef/>
      </w:r>
      <w:r w:rsidRPr="006F578C">
        <w:rPr>
          <w:lang w:val="fr-FR"/>
        </w:rPr>
        <w:t xml:space="preserve"> Yalamanchi, P., &amp; Blythe, M. et al. </w:t>
      </w:r>
      <w:r>
        <w:t xml:space="preserve">(2022). </w:t>
      </w:r>
      <w:r w:rsidRPr="00763045">
        <w:t>The Evolving Role of Advanced Practice Providers in Otolaryngology: Improving Patient Access and Patient Satisfaction</w:t>
      </w:r>
      <w:r>
        <w:t xml:space="preserve">. </w:t>
      </w:r>
      <w:r w:rsidRPr="00763045">
        <w:rPr>
          <w:i/>
          <w:iCs/>
        </w:rPr>
        <w:t>O</w:t>
      </w:r>
      <w:r>
        <w:rPr>
          <w:i/>
          <w:iCs/>
        </w:rPr>
        <w:t>t</w:t>
      </w:r>
      <w:r w:rsidRPr="00763045">
        <w:rPr>
          <w:i/>
          <w:iCs/>
        </w:rPr>
        <w:t>olaryngology-Head and Neck Surgery.</w:t>
      </w:r>
      <w:r>
        <w:t xml:space="preserve"> 166(10), 6-9</w:t>
      </w:r>
    </w:p>
  </w:footnote>
  <w:footnote w:id="119">
    <w:p w14:paraId="6749652D" w14:textId="77777777" w:rsidR="00B64043" w:rsidRDefault="00B64043" w:rsidP="00FC4E44">
      <w:pPr>
        <w:pStyle w:val="Footnote"/>
      </w:pPr>
      <w:r>
        <w:rPr>
          <w:rStyle w:val="FootnoteReference"/>
        </w:rPr>
        <w:footnoteRef/>
      </w:r>
      <w:r>
        <w:t xml:space="preserve"> Chen, M. &amp; Kiechle, J. et al (2019). Use of Advanced Practice Providers to Improve Patient Access in Urology. </w:t>
      </w:r>
      <w:r w:rsidRPr="00E23E5D">
        <w:rPr>
          <w:i/>
        </w:rPr>
        <w:t>Urology Practice. 6</w:t>
      </w:r>
      <w:r>
        <w:t>(3), 151-14</w:t>
      </w:r>
    </w:p>
  </w:footnote>
  <w:footnote w:id="120">
    <w:p w14:paraId="3E40EC6A" w14:textId="77777777" w:rsidR="00E76A23" w:rsidRDefault="00E76A23" w:rsidP="00FC4E44">
      <w:pPr>
        <w:pStyle w:val="Footnote"/>
      </w:pPr>
      <w:r>
        <w:rPr>
          <w:rStyle w:val="FootnoteReference"/>
        </w:rPr>
        <w:footnoteRef/>
      </w:r>
      <w:r>
        <w:t xml:space="preserve"> These time points may be adjusted to account for the actual implementation schedule of these award programs. </w:t>
      </w:r>
    </w:p>
  </w:footnote>
  <w:footnote w:id="121">
    <w:p w14:paraId="5BBA6A09" w14:textId="5E496584" w:rsidR="00E76A23" w:rsidRDefault="00E76A23" w:rsidP="00FC4E44">
      <w:pPr>
        <w:pStyle w:val="Footnote"/>
      </w:pPr>
      <w:r>
        <w:rPr>
          <w:rStyle w:val="FootnoteReference"/>
        </w:rPr>
        <w:footnoteRef/>
      </w:r>
      <w:r w:rsidRPr="00242751">
        <w:rPr>
          <w:lang w:val="fr-FR"/>
        </w:rPr>
        <w:t xml:space="preserve"> Mangham, L.J.; Hanson, K.; &amp; McPake, B. (2008). </w:t>
      </w:r>
      <w:r w:rsidRPr="008A2E06">
        <w:t>How to do (or not to do)</w:t>
      </w:r>
      <w:r w:rsidR="00E9530A">
        <w:t xml:space="preserve"> </w:t>
      </w:r>
      <w:r w:rsidRPr="008A2E06">
        <w:t xml:space="preserve">Designing a </w:t>
      </w:r>
      <w:r w:rsidRPr="00520671">
        <w:t>discret</w:t>
      </w:r>
      <w:r w:rsidR="00C844B9">
        <w:t>e</w:t>
      </w:r>
      <w:r w:rsidRPr="008A2E06">
        <w:t xml:space="preserve"> choice experiment for application in a low-income country. </w:t>
      </w:r>
      <w:r w:rsidRPr="00E23E5D">
        <w:rPr>
          <w:i/>
        </w:rPr>
        <w:t>Health Policy and Planning, 4</w:t>
      </w:r>
      <w:r w:rsidRPr="008A2E06">
        <w:t>(2), 151-158</w:t>
      </w:r>
    </w:p>
  </w:footnote>
  <w:footnote w:id="122">
    <w:p w14:paraId="57A5BEBB" w14:textId="3CFF6822" w:rsidR="00E76A23" w:rsidRPr="001B2050" w:rsidRDefault="00E76A23" w:rsidP="00FC4E44">
      <w:pPr>
        <w:pStyle w:val="Footnote"/>
      </w:pPr>
      <w:r w:rsidRPr="001B2050">
        <w:rPr>
          <w:rStyle w:val="FootnoteReference"/>
        </w:rPr>
        <w:footnoteRef/>
      </w:r>
      <w:r w:rsidRPr="00A60B5D">
        <w:t xml:space="preserve"> Hu, W., Sun, S., Penn, J., &amp; Qing, P. (2022). </w:t>
      </w:r>
      <w:r w:rsidRPr="00B14687">
        <w:t xml:space="preserve">Dummy and effects coding variables in discrete choice analysis. </w:t>
      </w:r>
      <w:r w:rsidRPr="0011257C">
        <w:rPr>
          <w:i/>
        </w:rPr>
        <w:t>American Journal of Agricultural Economics, 104</w:t>
      </w:r>
      <w:r w:rsidRPr="0011257C">
        <w:t xml:space="preserve">(5), 1770-1788. </w:t>
      </w:r>
      <w:hyperlink r:id="rId77" w:history="1">
        <w:r w:rsidRPr="0011257C">
          <w:t>https://doi.org/10.1111/ajae.12311</w:t>
        </w:r>
      </w:hyperlink>
      <w:r>
        <w:t xml:space="preserve"> </w:t>
      </w:r>
    </w:p>
  </w:footnote>
  <w:footnote w:id="123">
    <w:p w14:paraId="5D8B5BE4" w14:textId="77777777" w:rsidR="00663FC2" w:rsidRPr="001B2050" w:rsidRDefault="00663FC2" w:rsidP="00FC4E44">
      <w:pPr>
        <w:pStyle w:val="Footnote"/>
      </w:pPr>
      <w:r w:rsidRPr="001B2050">
        <w:rPr>
          <w:rStyle w:val="FootnoteReference"/>
        </w:rPr>
        <w:footnoteRef/>
      </w:r>
      <w:r w:rsidRPr="001B2050">
        <w:t xml:space="preserve"> Baier, D., Gaul, W. (2001). Market Simulation Using a Probabilistic Ideal Vector Model for Conjoint Data. In: Gustafsson, A., Herrmann, A., Huber, F. (eds) Conjoint Measurement. Springer, Berlin, Heidelberg. </w:t>
      </w:r>
      <w:hyperlink r:id="rId78" w:history="1">
        <w:r w:rsidRPr="00230422">
          <w:rPr>
            <w:rStyle w:val="Hyperlink"/>
          </w:rPr>
          <w:t>https://doi.org/10.1007/978-3-662-06392-7_4</w:t>
        </w:r>
      </w:hyperlink>
      <w:r w:rsidRPr="001B2050">
        <w:t>.</w:t>
      </w:r>
      <w:r>
        <w:t xml:space="preserve"> </w:t>
      </w:r>
    </w:p>
  </w:footnote>
  <w:footnote w:id="124">
    <w:p w14:paraId="117A7979" w14:textId="77777777" w:rsidR="00663FC2" w:rsidRPr="001B2050" w:rsidRDefault="00663FC2" w:rsidP="00FC4E44">
      <w:pPr>
        <w:pStyle w:val="Footnote"/>
      </w:pPr>
      <w:r w:rsidRPr="001B2050">
        <w:rPr>
          <w:rStyle w:val="FootnoteReference"/>
        </w:rPr>
        <w:footnoteRef/>
      </w:r>
      <w:r w:rsidRPr="001B2050">
        <w:t xml:space="preserve"> </w:t>
      </w:r>
      <w:r w:rsidRPr="007A0914">
        <w:t xml:space="preserve">Rao, V. R., &amp; Rao, V. R. (2014). Beyond Conjoint Analysis: Advances in Preference Measurement. </w:t>
      </w:r>
      <w:r w:rsidRPr="007A0914">
        <w:rPr>
          <w:i/>
          <w:iCs/>
        </w:rPr>
        <w:t>Applied Conjoint Analysis,</w:t>
      </w:r>
      <w:r w:rsidRPr="007A0914">
        <w:t xml:space="preserve"> 1-36; Orme, B.K. (2010) Getting Started with Conjoint Analysis: Strategies for product design and pricing research. Madison, WI: </w:t>
      </w:r>
      <w:r w:rsidRPr="007A0914">
        <w:rPr>
          <w:i/>
          <w:iCs/>
        </w:rPr>
        <w:t>Research Publishers LLC.</w:t>
      </w:r>
    </w:p>
  </w:footnote>
  <w:footnote w:id="125">
    <w:p w14:paraId="2292C4AA" w14:textId="77777777" w:rsidR="00083895" w:rsidRPr="003E7115" w:rsidRDefault="00083895" w:rsidP="00FC4E44">
      <w:pPr>
        <w:pStyle w:val="Footnote"/>
        <w:rPr>
          <w:i/>
        </w:rPr>
      </w:pPr>
      <w:r>
        <w:rPr>
          <w:rStyle w:val="FootnoteReference"/>
        </w:rPr>
        <w:footnoteRef/>
      </w:r>
      <w:r w:rsidR="00663FC2" w:rsidRPr="001B2050">
        <w:t xml:space="preserve"> Pearmain, D., et al</w:t>
      </w:r>
      <w:r w:rsidR="00663FC2" w:rsidRPr="008C15CE">
        <w:t>. (199</w:t>
      </w:r>
      <w:r w:rsidR="00663FC2">
        <w:t>1</w:t>
      </w:r>
      <w:r w:rsidR="00663FC2" w:rsidRPr="008C15CE">
        <w:t>).</w:t>
      </w:r>
      <w:r w:rsidR="00663FC2" w:rsidRPr="001B2050">
        <w:t xml:space="preserve"> Stated </w:t>
      </w:r>
      <w:r w:rsidR="00663FC2" w:rsidRPr="008C15CE">
        <w:t>preference techniques</w:t>
      </w:r>
      <w:r w:rsidR="00663FC2" w:rsidRPr="001B2050">
        <w:t xml:space="preserve">: a </w:t>
      </w:r>
      <w:r w:rsidR="00663FC2" w:rsidRPr="008C15CE">
        <w:t>guide</w:t>
      </w:r>
      <w:r w:rsidR="00663FC2" w:rsidRPr="001B2050">
        <w:t xml:space="preserve"> to </w:t>
      </w:r>
      <w:r w:rsidR="00663FC2" w:rsidRPr="008C15CE">
        <w:t>practice.</w:t>
      </w:r>
      <w:r w:rsidR="00663FC2" w:rsidRPr="001B2050">
        <w:t xml:space="preserve"> </w:t>
      </w:r>
      <w:r w:rsidR="00663FC2" w:rsidRPr="003E7115">
        <w:rPr>
          <w:i/>
        </w:rPr>
        <w:t>Steer Davis Gleave and Hague Consulting Group, Hague.</w:t>
      </w:r>
    </w:p>
  </w:footnote>
  <w:footnote w:id="126">
    <w:p w14:paraId="3B46BB3C" w14:textId="064252DC" w:rsidR="00E76A23" w:rsidRPr="001B2050" w:rsidRDefault="00E76A23" w:rsidP="00FC4E44">
      <w:pPr>
        <w:pStyle w:val="Footnote"/>
      </w:pPr>
      <w:r w:rsidRPr="001B2050">
        <w:rPr>
          <w:rStyle w:val="FootnoteReference"/>
        </w:rPr>
        <w:footnoteRef/>
      </w:r>
      <w:r w:rsidRPr="001B2050">
        <w:t xml:space="preserve"> Penfold RB, Zhang F. </w:t>
      </w:r>
      <w:r>
        <w:t xml:space="preserve">(2013). </w:t>
      </w:r>
      <w:r w:rsidRPr="001B2050">
        <w:t xml:space="preserve">Use of interrupted time series analysis in evaluating health care quality improvements. </w:t>
      </w:r>
      <w:r w:rsidRPr="004E0E23">
        <w:rPr>
          <w:i/>
        </w:rPr>
        <w:t>Academic Pediatrics</w:t>
      </w:r>
      <w:r w:rsidRPr="004E0E23">
        <w:rPr>
          <w:i/>
          <w:iCs/>
        </w:rPr>
        <w:t xml:space="preserve">, </w:t>
      </w:r>
      <w:r w:rsidRPr="004E0E23">
        <w:rPr>
          <w:i/>
        </w:rPr>
        <w:t>13</w:t>
      </w:r>
      <w:r w:rsidRPr="001B2050">
        <w:t>(6 Suppl):S38-44.</w:t>
      </w:r>
    </w:p>
  </w:footnote>
  <w:footnote w:id="127">
    <w:p w14:paraId="2389C178" w14:textId="525031EB" w:rsidR="00E76A23" w:rsidRPr="001B2050" w:rsidRDefault="00E76A23" w:rsidP="00FC4E44">
      <w:pPr>
        <w:pStyle w:val="Footnote"/>
      </w:pPr>
      <w:r w:rsidRPr="001B2050">
        <w:rPr>
          <w:rStyle w:val="FootnoteReference"/>
        </w:rPr>
        <w:footnoteRef/>
      </w:r>
      <w:r w:rsidRPr="001B2050">
        <w:t xml:space="preserve"> Cook</w:t>
      </w:r>
      <w:r w:rsidRPr="00D46BF0">
        <w:t>, T. D.,</w:t>
      </w:r>
      <w:r w:rsidRPr="001B2050">
        <w:t xml:space="preserve"> Campbell</w:t>
      </w:r>
      <w:r w:rsidRPr="00D46BF0">
        <w:t>, D. T., &amp; Shadish, W. (2002).</w:t>
      </w:r>
      <w:r w:rsidRPr="001B2050">
        <w:t xml:space="preserve"> Experimental and quasi-experimental designs for generalized causal inference. </w:t>
      </w:r>
      <w:r w:rsidRPr="00D46BF0">
        <w:rPr>
          <w:i/>
        </w:rPr>
        <w:t>Boston</w:t>
      </w:r>
      <w:r w:rsidRPr="00D46BF0">
        <w:rPr>
          <w:i/>
          <w:iCs/>
        </w:rPr>
        <w:t>, MA</w:t>
      </w:r>
      <w:r w:rsidRPr="00D46BF0">
        <w:rPr>
          <w:i/>
        </w:rPr>
        <w:t>: Houghton Mifflin</w:t>
      </w:r>
      <w:r w:rsidRPr="00D46BF0">
        <w:t xml:space="preserve">. (pp. 103-134). </w:t>
      </w:r>
    </w:p>
  </w:footnote>
  <w:footnote w:id="128">
    <w:p w14:paraId="76CFD5CF" w14:textId="774B8778" w:rsidR="00E76A23" w:rsidRPr="007F7C38" w:rsidRDefault="00E76A23" w:rsidP="00FC4E44">
      <w:pPr>
        <w:pStyle w:val="Footnote"/>
      </w:pPr>
      <w:r w:rsidRPr="00A005C8">
        <w:rPr>
          <w:rStyle w:val="FootnoteReference"/>
        </w:rPr>
        <w:footnoteRef/>
      </w:r>
      <w:r w:rsidRPr="00A005C8">
        <w:t xml:space="preserve"> </w:t>
      </w:r>
      <w:r w:rsidR="00CC51A2">
        <w:t>B</w:t>
      </w:r>
      <w:r w:rsidR="00CC51A2" w:rsidRPr="00A005C8">
        <w:t>ased on the current federal guidelines</w:t>
      </w:r>
      <w:r w:rsidR="00CC51A2">
        <w:t>, the</w:t>
      </w:r>
      <w:r w:rsidR="00CC51A2" w:rsidRPr="00A005C8">
        <w:t xml:space="preserve"> </w:t>
      </w:r>
      <w:r w:rsidRPr="00A005C8">
        <w:t>PHE is estimated to end in May 2023,. It is possible that it will extend again and overlap with the WI implementation period.</w:t>
      </w:r>
      <w:r w:rsidRPr="007F7C38">
        <w:t xml:space="preserve"> </w:t>
      </w:r>
    </w:p>
  </w:footnote>
  <w:footnote w:id="129">
    <w:p w14:paraId="302A64CC" w14:textId="5F95E51B" w:rsidR="000F2B53" w:rsidRDefault="000F2B53" w:rsidP="00FC4E44">
      <w:pPr>
        <w:pStyle w:val="Footnote"/>
      </w:pPr>
      <w:r>
        <w:rPr>
          <w:rStyle w:val="FootnoteReference"/>
        </w:rPr>
        <w:footnoteRef/>
      </w:r>
      <w:r>
        <w:t xml:space="preserve"> </w:t>
      </w:r>
      <w:r w:rsidR="00255E6E" w:rsidRPr="00B33DD0">
        <w:rPr>
          <w:rStyle w:val="cf01"/>
          <w:rFonts w:ascii="Arial" w:hAnsi="Arial" w:cs="Arial"/>
          <w:sz w:val="16"/>
          <w:szCs w:val="16"/>
        </w:rPr>
        <w:t xml:space="preserve">Creswell, J. W., &amp; Plano Clark, V. L. (2007). Designing and conducting mixed methods research. </w:t>
      </w:r>
      <w:r w:rsidR="00255E6E" w:rsidRPr="00B33DD0">
        <w:rPr>
          <w:rStyle w:val="cf01"/>
          <w:rFonts w:ascii="Arial" w:hAnsi="Arial" w:cs="Arial"/>
          <w:i/>
          <w:iCs/>
          <w:sz w:val="16"/>
          <w:szCs w:val="16"/>
        </w:rPr>
        <w:t>Sage Publications</w:t>
      </w:r>
      <w:r w:rsidR="00255E6E" w:rsidRPr="00B33DD0">
        <w:rPr>
          <w:rStyle w:val="cf01"/>
          <w:rFonts w:ascii="Arial" w:hAnsi="Arial" w:cs="Arial"/>
          <w:sz w:val="16"/>
          <w:szCs w:val="16"/>
        </w:rPr>
        <w:t>, Thousand Oaks, CA.</w:t>
      </w:r>
    </w:p>
  </w:footnote>
  <w:footnote w:id="130">
    <w:p w14:paraId="793B2A11" w14:textId="144F238C" w:rsidR="00E76A23" w:rsidRPr="00FD5CF6" w:rsidRDefault="00E76A23" w:rsidP="00FC4E44">
      <w:pPr>
        <w:pStyle w:val="Footnote"/>
      </w:pPr>
      <w:r w:rsidRPr="009871C7">
        <w:rPr>
          <w:rStyle w:val="FootnoteReference"/>
        </w:rPr>
        <w:footnoteRef/>
      </w:r>
      <w:r w:rsidRPr="00FD5CF6">
        <w:t xml:space="preserve"> STC 14.1, pages 102-103</w:t>
      </w:r>
      <w:r w:rsidR="00EF261A" w:rsidRPr="004B3FAB">
        <w:t xml:space="preserve">; </w:t>
      </w:r>
      <w:hyperlink r:id="rId79" w:history="1">
        <w:r w:rsidR="00EF261A" w:rsidRPr="004B3FAB">
          <w:rPr>
            <w:rStyle w:val="Hyperlink"/>
          </w:rPr>
          <w:t>1115 MassHealth Demonstration ("Waiver") | Mass.gov</w:t>
        </w:r>
      </w:hyperlink>
    </w:p>
  </w:footnote>
  <w:footnote w:id="131">
    <w:p w14:paraId="6DC9D26C" w14:textId="56AD3ED1" w:rsidR="00E76A23" w:rsidRPr="006F578C" w:rsidRDefault="00E76A23" w:rsidP="00E66C6C">
      <w:pPr>
        <w:pStyle w:val="Footnote"/>
        <w:rPr>
          <w:rFonts w:ascii="Arial" w:hAnsi="Arial" w:cs="Arial"/>
          <w:sz w:val="18"/>
          <w:szCs w:val="18"/>
        </w:rPr>
      </w:pPr>
      <w:r w:rsidRPr="00E0688D">
        <w:rPr>
          <w:rStyle w:val="FootnoteReference"/>
          <w:rFonts w:ascii="Arial" w:hAnsi="Arial" w:cs="Arial"/>
          <w:szCs w:val="16"/>
        </w:rPr>
        <w:footnoteRef/>
      </w:r>
      <w:r w:rsidRPr="00E0688D">
        <w:rPr>
          <w:rFonts w:ascii="Arial" w:hAnsi="Arial" w:cs="Arial"/>
          <w:szCs w:val="16"/>
        </w:rPr>
        <w:t xml:space="preserve"> </w:t>
      </w:r>
      <w:r w:rsidRPr="00E0688D">
        <w:rPr>
          <w:rFonts w:ascii="Arial" w:eastAsiaTheme="minorEastAsia" w:hAnsi="Arial" w:cs="Arial"/>
          <w:szCs w:val="16"/>
        </w:rPr>
        <w:t xml:space="preserve">HQEI Performance Year 1 </w:t>
      </w:r>
      <w:r w:rsidRPr="00E0688D">
        <w:rPr>
          <w:rFonts w:ascii="Arial" w:hAnsi="Arial" w:cs="Arial"/>
          <w:szCs w:val="16"/>
        </w:rPr>
        <w:t xml:space="preserve">Section 1.A of the Implementation </w:t>
      </w:r>
      <w:r w:rsidR="00122DCC" w:rsidRPr="00E0688D">
        <w:rPr>
          <w:rFonts w:ascii="Arial" w:hAnsi="Arial" w:cs="Arial"/>
          <w:szCs w:val="16"/>
        </w:rPr>
        <w:t>Plan</w:t>
      </w:r>
      <w:r w:rsidR="00927EE9" w:rsidRPr="004B3FAB">
        <w:t xml:space="preserve">; </w:t>
      </w:r>
      <w:hyperlink r:id="rId80" w:history="1">
        <w:r w:rsidR="00927EE9" w:rsidRPr="004B3FAB">
          <w:rPr>
            <w:rStyle w:val="Hyperlink"/>
          </w:rPr>
          <w:t>1115 MassHealth Demonstration ("Waiver") | Mass.gov</w:t>
        </w:r>
      </w:hyperlink>
    </w:p>
  </w:footnote>
  <w:footnote w:id="132">
    <w:p w14:paraId="729A6A00" w14:textId="0716F16E" w:rsidR="00E76A23" w:rsidRPr="005A787D" w:rsidRDefault="00E76A23" w:rsidP="00E66C6C">
      <w:pPr>
        <w:pStyle w:val="Footnote"/>
        <w:rPr>
          <w:lang w:val="fr-FR"/>
        </w:rPr>
      </w:pPr>
      <w:r w:rsidRPr="005A2171">
        <w:rPr>
          <w:rStyle w:val="FootnoteReference"/>
        </w:rPr>
        <w:footnoteRef/>
      </w:r>
      <w:r w:rsidRPr="005A787D">
        <w:rPr>
          <w:lang w:val="fr-FR"/>
        </w:rPr>
        <w:t xml:space="preserve"> STC 14.7, pages 107-108</w:t>
      </w:r>
      <w:r w:rsidR="00EF261A" w:rsidRPr="004B3FAB">
        <w:t xml:space="preserve">; </w:t>
      </w:r>
      <w:hyperlink r:id="rId81" w:history="1">
        <w:r w:rsidR="00EF261A" w:rsidRPr="004B3FAB">
          <w:rPr>
            <w:rStyle w:val="Hyperlink"/>
          </w:rPr>
          <w:t>1115 MassHealth Demonstration ("Waiver") | Mass.gov</w:t>
        </w:r>
      </w:hyperlink>
    </w:p>
  </w:footnote>
  <w:footnote w:id="133">
    <w:p w14:paraId="28E16A14" w14:textId="0039097A" w:rsidR="00E76A23" w:rsidRPr="004C0CB2" w:rsidRDefault="00E76A23" w:rsidP="00E66C6C">
      <w:pPr>
        <w:pStyle w:val="Footnote"/>
        <w:rPr>
          <w:lang w:val="fr-FR"/>
        </w:rPr>
      </w:pPr>
      <w:r w:rsidRPr="004C0CB2">
        <w:rPr>
          <w:rStyle w:val="FootnoteReference"/>
          <w:szCs w:val="16"/>
        </w:rPr>
        <w:footnoteRef/>
      </w:r>
      <w:r w:rsidRPr="004C0CB2">
        <w:rPr>
          <w:lang w:val="fr-FR"/>
        </w:rPr>
        <w:t xml:space="preserve"> STC 14.2, page 103</w:t>
      </w:r>
      <w:r w:rsidR="004774A6" w:rsidRPr="004B3FAB">
        <w:t xml:space="preserve">; </w:t>
      </w:r>
      <w:hyperlink r:id="rId82" w:history="1">
        <w:r w:rsidR="004774A6" w:rsidRPr="004B3FAB">
          <w:rPr>
            <w:rStyle w:val="Hyperlink"/>
          </w:rPr>
          <w:t>1115 MassHealth Demonstration ("Waiver") | Mass.gov</w:t>
        </w:r>
      </w:hyperlink>
    </w:p>
  </w:footnote>
  <w:footnote w:id="134">
    <w:p w14:paraId="6AAF4047" w14:textId="79E35218" w:rsidR="00E76A23" w:rsidRPr="004C0CB2" w:rsidRDefault="00E76A23" w:rsidP="00E66C6C">
      <w:pPr>
        <w:pStyle w:val="Footnote"/>
        <w:rPr>
          <w:lang w:val="fr-FR"/>
        </w:rPr>
      </w:pPr>
      <w:r w:rsidRPr="004C0CB2">
        <w:rPr>
          <w:rStyle w:val="FootnoteReference"/>
          <w:szCs w:val="16"/>
        </w:rPr>
        <w:footnoteRef/>
      </w:r>
      <w:r w:rsidRPr="004C0CB2">
        <w:rPr>
          <w:lang w:val="fr-FR"/>
        </w:rPr>
        <w:t xml:space="preserve"> STC 14.3, page 104</w:t>
      </w:r>
      <w:r w:rsidR="004774A6" w:rsidRPr="004B3FAB">
        <w:t xml:space="preserve">; </w:t>
      </w:r>
      <w:hyperlink r:id="rId83" w:history="1">
        <w:r w:rsidR="004774A6" w:rsidRPr="004B3FAB">
          <w:rPr>
            <w:rStyle w:val="Hyperlink"/>
          </w:rPr>
          <w:t>1115 MassHealth Demonstration ("Waiver") | Mass.gov</w:t>
        </w:r>
      </w:hyperlink>
    </w:p>
  </w:footnote>
  <w:footnote w:id="135">
    <w:p w14:paraId="6041DAC7" w14:textId="1C425A56" w:rsidR="00E76A23" w:rsidRPr="004C0CB2" w:rsidRDefault="00E76A23" w:rsidP="00E66C6C">
      <w:pPr>
        <w:pStyle w:val="Footnote"/>
        <w:rPr>
          <w:rStyle w:val="FootnoteTextChar"/>
          <w:szCs w:val="16"/>
        </w:rPr>
      </w:pPr>
      <w:r w:rsidRPr="004C0CB2">
        <w:rPr>
          <w:rStyle w:val="FootnoteReference"/>
          <w:rFonts w:ascii="Arial" w:hAnsi="Arial" w:cs="Arial"/>
          <w:szCs w:val="16"/>
        </w:rPr>
        <w:footnoteRef/>
      </w:r>
      <w:r w:rsidRPr="004C0CB2">
        <w:rPr>
          <w:rFonts w:ascii="Arial" w:hAnsi="Arial" w:cs="Arial"/>
        </w:rPr>
        <w:t xml:space="preserve"> </w:t>
      </w:r>
      <w:r w:rsidRPr="004C0CB2">
        <w:rPr>
          <w:rStyle w:val="FootnoteTextChar"/>
          <w:szCs w:val="16"/>
        </w:rPr>
        <w:t>HQEI Performance Year 1 Implementation Plan, Figure 2</w:t>
      </w:r>
      <w:r w:rsidR="00E5149E" w:rsidRPr="004B3FAB">
        <w:t xml:space="preserve">; </w:t>
      </w:r>
      <w:hyperlink r:id="rId84" w:history="1">
        <w:r w:rsidR="00E5149E" w:rsidRPr="004B3FAB">
          <w:rPr>
            <w:rStyle w:val="Hyperlink"/>
          </w:rPr>
          <w:t>1115 MassHealth Demonstration ("Waiver") | Mass.gov</w:t>
        </w:r>
      </w:hyperlink>
    </w:p>
  </w:footnote>
  <w:footnote w:id="136">
    <w:p w14:paraId="5972EF37" w14:textId="286BB6B0" w:rsidR="00E76A23" w:rsidRPr="004C0CB2" w:rsidRDefault="00E76A23" w:rsidP="00E66C6C">
      <w:pPr>
        <w:pStyle w:val="Footnote"/>
      </w:pPr>
      <w:r w:rsidRPr="004C0CB2">
        <w:rPr>
          <w:rStyle w:val="FootnoteReference"/>
          <w:szCs w:val="16"/>
        </w:rPr>
        <w:footnoteRef/>
      </w:r>
      <w:r w:rsidRPr="004C0CB2">
        <w:t xml:space="preserve"> STC 14.4, page 105</w:t>
      </w:r>
      <w:r w:rsidR="00CA2961" w:rsidRPr="004B3FAB">
        <w:t xml:space="preserve">; </w:t>
      </w:r>
      <w:hyperlink r:id="rId85" w:history="1">
        <w:r w:rsidR="00CA2961" w:rsidRPr="004B3FAB">
          <w:rPr>
            <w:rStyle w:val="Hyperlink"/>
          </w:rPr>
          <w:t>1115 MassHealth Demonstration ("Waiver") | Mass.gov</w:t>
        </w:r>
      </w:hyperlink>
    </w:p>
  </w:footnote>
  <w:footnote w:id="137">
    <w:p w14:paraId="11E4D4E2" w14:textId="5A698B74" w:rsidR="00DA26ED" w:rsidRPr="00EE76B4" w:rsidRDefault="00DA26ED" w:rsidP="00E66C6C">
      <w:pPr>
        <w:pStyle w:val="Footnote"/>
      </w:pPr>
      <w:r w:rsidRPr="006F578C">
        <w:rPr>
          <w:rStyle w:val="FootnoteReference"/>
        </w:rPr>
        <w:footnoteRef/>
      </w:r>
      <w:r w:rsidRPr="00EE76B4">
        <w:t xml:space="preserve"> STC 14.4, pages 105-106</w:t>
      </w:r>
      <w:r w:rsidR="00CA2961" w:rsidRPr="004B3FAB">
        <w:t xml:space="preserve">; </w:t>
      </w:r>
      <w:hyperlink r:id="rId86" w:history="1">
        <w:r w:rsidR="00CA2961" w:rsidRPr="004B3FAB">
          <w:rPr>
            <w:rStyle w:val="Hyperlink"/>
          </w:rPr>
          <w:t>1115 MassHealth Demonstration ("Waiver") | Mass.gov</w:t>
        </w:r>
      </w:hyperlink>
    </w:p>
  </w:footnote>
  <w:footnote w:id="138">
    <w:p w14:paraId="7B185EA3" w14:textId="129B5DD5" w:rsidR="00E76A23" w:rsidRPr="00EE76B4" w:rsidRDefault="00E76A23" w:rsidP="00E66C6C">
      <w:pPr>
        <w:pStyle w:val="Footnote"/>
      </w:pPr>
      <w:r w:rsidRPr="007F018D">
        <w:rPr>
          <w:rStyle w:val="FootnoteReference"/>
        </w:rPr>
        <w:footnoteRef/>
      </w:r>
      <w:r w:rsidRPr="00EE76B4">
        <w:t xml:space="preserve"> HQEI Performance Year 1 Implementation Plan, Figure 3</w:t>
      </w:r>
      <w:r w:rsidR="00E5149E" w:rsidRPr="004B3FAB">
        <w:t xml:space="preserve">; </w:t>
      </w:r>
      <w:hyperlink r:id="rId87" w:history="1">
        <w:r w:rsidR="00E5149E" w:rsidRPr="004B3FAB">
          <w:rPr>
            <w:rStyle w:val="Hyperlink"/>
          </w:rPr>
          <w:t>1115 MassHealth Demonstration ("Waiver") | Mass.gov</w:t>
        </w:r>
      </w:hyperlink>
    </w:p>
  </w:footnote>
  <w:footnote w:id="139">
    <w:p w14:paraId="70F3907E" w14:textId="785F95FA" w:rsidR="00E76A23" w:rsidRPr="00EE76B4" w:rsidRDefault="00E76A23" w:rsidP="00E66C6C">
      <w:pPr>
        <w:pStyle w:val="Footnote"/>
      </w:pPr>
      <w:r w:rsidRPr="007F018D">
        <w:rPr>
          <w:rStyle w:val="FootnoteReference"/>
        </w:rPr>
        <w:footnoteRef/>
      </w:r>
      <w:r w:rsidRPr="00EE76B4">
        <w:t xml:space="preserve"> STC 14.2, page 104</w:t>
      </w:r>
      <w:r w:rsidR="00CA2961" w:rsidRPr="004B3FAB">
        <w:t xml:space="preserve">; </w:t>
      </w:r>
      <w:hyperlink r:id="rId88" w:history="1">
        <w:r w:rsidR="00CA2961" w:rsidRPr="004B3FAB">
          <w:rPr>
            <w:rStyle w:val="Hyperlink"/>
          </w:rPr>
          <w:t>1115 MassHealth Demonstration ("Waiver") | Mass.gov</w:t>
        </w:r>
      </w:hyperlink>
    </w:p>
  </w:footnote>
  <w:footnote w:id="140">
    <w:p w14:paraId="4AFB2696" w14:textId="08D29EC2" w:rsidR="00E76A23" w:rsidRPr="00EE76B4" w:rsidRDefault="00E76A23" w:rsidP="00E66C6C">
      <w:pPr>
        <w:pStyle w:val="Footnote"/>
      </w:pPr>
      <w:r w:rsidRPr="007F018D">
        <w:rPr>
          <w:rStyle w:val="FootnoteReference"/>
        </w:rPr>
        <w:footnoteRef/>
      </w:r>
      <w:r w:rsidRPr="00EE76B4">
        <w:t xml:space="preserve"> HQEI Performance Year 1 Implementation Plan, Table 4</w:t>
      </w:r>
      <w:r w:rsidR="00E5149E" w:rsidRPr="004B3FAB">
        <w:t xml:space="preserve">; </w:t>
      </w:r>
      <w:hyperlink r:id="rId89" w:history="1">
        <w:r w:rsidR="00E5149E" w:rsidRPr="004B3FAB">
          <w:rPr>
            <w:rStyle w:val="Hyperlink"/>
          </w:rPr>
          <w:t>1115 MassHealth Demonstration ("Waiver") | Mass.gov</w:t>
        </w:r>
      </w:hyperlink>
    </w:p>
  </w:footnote>
  <w:footnote w:id="141">
    <w:p w14:paraId="2004293A" w14:textId="70307B9F" w:rsidR="00E76A23" w:rsidRPr="00FD5CF6" w:rsidRDefault="00E76A23" w:rsidP="00E66C6C">
      <w:pPr>
        <w:pStyle w:val="Footnote"/>
      </w:pPr>
      <w:r w:rsidRPr="007F018D">
        <w:rPr>
          <w:rStyle w:val="FootnoteReference"/>
        </w:rPr>
        <w:footnoteRef/>
      </w:r>
      <w:r w:rsidRPr="00FD5CF6">
        <w:t xml:space="preserve"> STC 14.5, page 107</w:t>
      </w:r>
      <w:r w:rsidR="00402CF1" w:rsidRPr="004B3FAB">
        <w:t xml:space="preserve">; </w:t>
      </w:r>
      <w:hyperlink r:id="rId90" w:history="1">
        <w:r w:rsidR="00402CF1" w:rsidRPr="004B3FAB">
          <w:rPr>
            <w:rStyle w:val="Hyperlink"/>
          </w:rPr>
          <w:t>1115 MassHealth Demonstration ("Waiver") | Mass.gov</w:t>
        </w:r>
      </w:hyperlink>
    </w:p>
  </w:footnote>
  <w:footnote w:id="142">
    <w:p w14:paraId="5AAE5CA7" w14:textId="5234CD2A" w:rsidR="00E76A23" w:rsidRPr="00FD5CF6" w:rsidRDefault="00E76A23" w:rsidP="00E66C6C">
      <w:pPr>
        <w:pStyle w:val="Footnote"/>
      </w:pPr>
      <w:r w:rsidRPr="006E6691">
        <w:rPr>
          <w:rStyle w:val="FootnoteReference"/>
        </w:rPr>
        <w:footnoteRef/>
      </w:r>
      <w:r w:rsidRPr="00FD5CF6">
        <w:t xml:space="preserve"> HQEI Performance Year 1 Implementation Plan, Figure 4</w:t>
      </w:r>
      <w:r w:rsidR="00E5149E" w:rsidRPr="004B3FAB">
        <w:t xml:space="preserve">; </w:t>
      </w:r>
      <w:hyperlink r:id="rId91" w:history="1">
        <w:r w:rsidR="00E5149E" w:rsidRPr="004B3FAB">
          <w:rPr>
            <w:rStyle w:val="Hyperlink"/>
          </w:rPr>
          <w:t>1115 MassHealth Demonstration ("Waiver") | Mass.gov</w:t>
        </w:r>
      </w:hyperlink>
    </w:p>
  </w:footnote>
  <w:footnote w:id="143">
    <w:p w14:paraId="6E25508D" w14:textId="4EA66052" w:rsidR="00E76A23" w:rsidRPr="00FD5CF6" w:rsidRDefault="00E76A23" w:rsidP="00E66C6C">
      <w:pPr>
        <w:pStyle w:val="Footnote"/>
      </w:pPr>
      <w:r w:rsidRPr="006E6691">
        <w:rPr>
          <w:rStyle w:val="FootnoteReference"/>
        </w:rPr>
        <w:footnoteRef/>
      </w:r>
      <w:r w:rsidRPr="00FD5CF6">
        <w:t xml:space="preserve"> STC 14.1, page 102</w:t>
      </w:r>
      <w:r w:rsidR="00402CF1" w:rsidRPr="004B3FAB">
        <w:t xml:space="preserve">; </w:t>
      </w:r>
      <w:hyperlink r:id="rId92" w:history="1">
        <w:r w:rsidR="00402CF1" w:rsidRPr="004B3FAB">
          <w:rPr>
            <w:rStyle w:val="Hyperlink"/>
          </w:rPr>
          <w:t>1115 MassHealth Demonstration ("Waiver") | Mass.gov</w:t>
        </w:r>
      </w:hyperlink>
    </w:p>
  </w:footnote>
  <w:footnote w:id="144">
    <w:p w14:paraId="60D8CE5B" w14:textId="7DE6D039" w:rsidR="0039108C" w:rsidRDefault="0095727C" w:rsidP="00E66C6C">
      <w:pPr>
        <w:pStyle w:val="Footnote"/>
      </w:pPr>
      <w:r>
        <w:rPr>
          <w:rStyle w:val="FootnoteReference"/>
        </w:rPr>
        <w:footnoteRef/>
      </w:r>
      <w:r>
        <w:t xml:space="preserve"> </w:t>
      </w:r>
      <w:r w:rsidRPr="0095727C">
        <w:t>Abadie, Diamond, and Hainmueller: Synthetic Control Methods for Comparative Case Studies. Journal of the American Statistical Association June 2010, Vol. 105, No. 490</w:t>
      </w:r>
      <w:r w:rsidR="000B1803">
        <w:t xml:space="preserve"> </w:t>
      </w:r>
      <w:r w:rsidR="0039108C">
        <w:t xml:space="preserve">McClelland R, Gault S. The Synthetic Control Method a Tool to Understand State Policy. </w:t>
      </w:r>
      <w:r w:rsidR="0039108C" w:rsidRPr="000B1803">
        <w:rPr>
          <w:i/>
          <w:iCs/>
        </w:rPr>
        <w:t>Urban Institute</w:t>
      </w:r>
      <w:r w:rsidR="0039108C">
        <w:t xml:space="preserve">. </w:t>
      </w:r>
      <w:r w:rsidR="00256035">
        <w:t xml:space="preserve">March, </w:t>
      </w:r>
      <w:r w:rsidR="0039108C">
        <w:t>2017.</w:t>
      </w:r>
    </w:p>
  </w:footnote>
  <w:footnote w:id="145">
    <w:p w14:paraId="289021EB" w14:textId="6DB5BC77" w:rsidR="00E76A23" w:rsidRDefault="00E76A23" w:rsidP="00E66C6C">
      <w:pPr>
        <w:pStyle w:val="Footnote"/>
      </w:pPr>
      <w:r>
        <w:rPr>
          <w:rStyle w:val="FootnoteReference"/>
        </w:rPr>
        <w:footnoteRef/>
      </w:r>
      <w:r>
        <w:t xml:space="preserve"> </w:t>
      </w:r>
      <w:r w:rsidRPr="00236E34">
        <w:t>Singer</w:t>
      </w:r>
      <w:r w:rsidRPr="002A577A">
        <w:t>, S. J.,</w:t>
      </w:r>
      <w:r w:rsidRPr="00236E34">
        <w:t xml:space="preserve"> Kerrissey</w:t>
      </w:r>
      <w:r w:rsidRPr="002A577A">
        <w:t>,</w:t>
      </w:r>
      <w:r w:rsidRPr="00236E34">
        <w:t xml:space="preserve"> M</w:t>
      </w:r>
      <w:r w:rsidRPr="002A577A">
        <w:t>.,</w:t>
      </w:r>
      <w:r w:rsidRPr="00236E34">
        <w:t xml:space="preserve"> Friedberg</w:t>
      </w:r>
      <w:r w:rsidRPr="002A577A">
        <w:t>,</w:t>
      </w:r>
      <w:r w:rsidRPr="00236E34">
        <w:t xml:space="preserve"> M</w:t>
      </w:r>
      <w:r w:rsidRPr="002A577A">
        <w:t>., &amp;</w:t>
      </w:r>
      <w:r w:rsidRPr="00236E34">
        <w:t xml:space="preserve"> Phillips</w:t>
      </w:r>
      <w:r w:rsidRPr="002A577A">
        <w:t>,</w:t>
      </w:r>
      <w:r w:rsidRPr="00236E34">
        <w:t xml:space="preserve"> R. </w:t>
      </w:r>
      <w:r w:rsidRPr="002A577A">
        <w:t xml:space="preserve">(2020). A comprehensive theory of integration. </w:t>
      </w:r>
      <w:r w:rsidRPr="002A577A">
        <w:rPr>
          <w:i/>
          <w:iCs/>
        </w:rPr>
        <w:t>Medical</w:t>
      </w:r>
      <w:r w:rsidRPr="002A577A">
        <w:rPr>
          <w:i/>
        </w:rPr>
        <w:t xml:space="preserve"> Care </w:t>
      </w:r>
      <w:r w:rsidRPr="002A577A">
        <w:rPr>
          <w:i/>
          <w:iCs/>
        </w:rPr>
        <w:t xml:space="preserve">Research and Review, </w:t>
      </w:r>
      <w:r w:rsidRPr="002A577A">
        <w:rPr>
          <w:i/>
        </w:rPr>
        <w:t>77</w:t>
      </w:r>
      <w:r w:rsidRPr="00236E34">
        <w:t>(2</w:t>
      </w:r>
      <w:r w:rsidRPr="002A577A">
        <w:t xml:space="preserve">), </w:t>
      </w:r>
      <w:r w:rsidRPr="00236E34">
        <w:t>196-207.doi: 10.1177/1077558718767000. Epub 2018 Apr 2. PMID: 29606036..</w:t>
      </w:r>
    </w:p>
  </w:footnote>
  <w:footnote w:id="146">
    <w:p w14:paraId="3C71EF0A" w14:textId="1D44CD35" w:rsidR="00E76A23" w:rsidRDefault="00E76A23" w:rsidP="00E66C6C">
      <w:pPr>
        <w:pStyle w:val="Footnote"/>
      </w:pPr>
      <w:r>
        <w:rPr>
          <w:rStyle w:val="FootnoteReference"/>
        </w:rPr>
        <w:footnoteRef/>
      </w:r>
      <w:r>
        <w:t xml:space="preserve"> </w:t>
      </w:r>
      <w:r w:rsidRPr="00274EE9">
        <w:t>Damschroder</w:t>
      </w:r>
      <w:r w:rsidRPr="006606FA">
        <w:t>, L. J.,</w:t>
      </w:r>
      <w:r w:rsidRPr="00274EE9">
        <w:t xml:space="preserve"> Reardon</w:t>
      </w:r>
      <w:r w:rsidRPr="006606FA">
        <w:t>, C. M.,</w:t>
      </w:r>
      <w:r w:rsidRPr="00274EE9">
        <w:t xml:space="preserve"> Widerquist</w:t>
      </w:r>
      <w:r w:rsidRPr="006606FA">
        <w:t>, M. A. O., &amp;</w:t>
      </w:r>
      <w:r w:rsidRPr="00274EE9">
        <w:t xml:space="preserve"> Lowery</w:t>
      </w:r>
      <w:r w:rsidRPr="006606FA">
        <w:t>,</w:t>
      </w:r>
      <w:r w:rsidRPr="00274EE9">
        <w:t xml:space="preserve"> J.</w:t>
      </w:r>
      <w:r w:rsidRPr="006606FA">
        <w:t xml:space="preserve"> (2022).</w:t>
      </w:r>
      <w:r w:rsidRPr="00274EE9">
        <w:t xml:space="preserve"> The updated Consolidated Framework for Implementation Research based on user feedback. </w:t>
      </w:r>
      <w:r w:rsidRPr="006606FA">
        <w:rPr>
          <w:i/>
          <w:iCs/>
        </w:rPr>
        <w:t>Implementation Science, 17</w:t>
      </w:r>
      <w:r w:rsidRPr="006606FA">
        <w:t>(1), 1-16.</w:t>
      </w:r>
    </w:p>
  </w:footnote>
  <w:footnote w:id="147">
    <w:p w14:paraId="79EC3516" w14:textId="2448F6FA" w:rsidR="00E76A23" w:rsidRPr="008910DF" w:rsidRDefault="00E76A23" w:rsidP="00572357">
      <w:pPr>
        <w:pStyle w:val="FootnoteText"/>
      </w:pPr>
      <w:r w:rsidRPr="00796C75">
        <w:rPr>
          <w:rStyle w:val="FootnoteReference"/>
        </w:rPr>
        <w:footnoteRef/>
      </w:r>
      <w:r w:rsidRPr="00796C75">
        <w:t xml:space="preserve"> HQEI Performance Year 1 Implementation Plan</w:t>
      </w:r>
      <w:r w:rsidR="008910DF" w:rsidRPr="004B3FAB">
        <w:t xml:space="preserve">; </w:t>
      </w:r>
      <w:hyperlink r:id="rId93" w:history="1">
        <w:r w:rsidR="008910DF" w:rsidRPr="004B3FAB">
          <w:rPr>
            <w:rStyle w:val="Hyperlink"/>
          </w:rPr>
          <w:t>1115 MassHealth Demonstration ("Waiver") | Mass.gov</w:t>
        </w:r>
      </w:hyperlink>
      <w:r w:rsidRPr="00796C75">
        <w:t xml:space="preserve"> </w:t>
      </w:r>
    </w:p>
  </w:footnote>
  <w:footnote w:id="148">
    <w:p w14:paraId="73331A08" w14:textId="77777777" w:rsidR="001B6A82" w:rsidRPr="00B06865" w:rsidRDefault="001B6A82" w:rsidP="001B6A82">
      <w:pPr>
        <w:pStyle w:val="Footnote"/>
      </w:pPr>
      <w:r w:rsidRPr="00B06865">
        <w:rPr>
          <w:rStyle w:val="FootnoteReference"/>
          <w:szCs w:val="16"/>
        </w:rPr>
        <w:footnoteRef/>
      </w:r>
      <w:r w:rsidRPr="00B06865">
        <w:t xml:space="preserve"> Rosenbaum, P. R., &amp; Rubin, D. B. (1983). The central role of the propensity score in observational studies for causal effects. </w:t>
      </w:r>
      <w:r w:rsidRPr="00B06865">
        <w:rPr>
          <w:i/>
          <w:iCs/>
        </w:rPr>
        <w:t>Biometrika,</w:t>
      </w:r>
      <w:r w:rsidRPr="00B06865">
        <w:rPr>
          <w:i/>
        </w:rPr>
        <w:t xml:space="preserve"> 70</w:t>
      </w:r>
      <w:r w:rsidRPr="00B06865">
        <w:t>(1), 41-55.</w:t>
      </w:r>
    </w:p>
  </w:footnote>
  <w:footnote w:id="149">
    <w:p w14:paraId="0A7AA350" w14:textId="77777777" w:rsidR="001B6A82" w:rsidRPr="00B06865" w:rsidRDefault="001B6A82" w:rsidP="001B6A82">
      <w:pPr>
        <w:pStyle w:val="Footnote"/>
      </w:pPr>
      <w:r w:rsidRPr="00B06865">
        <w:rPr>
          <w:rStyle w:val="FootnoteReference"/>
          <w:szCs w:val="16"/>
        </w:rPr>
        <w:footnoteRef/>
      </w:r>
      <w:r w:rsidRPr="00B06865">
        <w:t xml:space="preserve"> D'Agostino Jr</w:t>
      </w:r>
      <w:r w:rsidRPr="00B06865">
        <w:rPr>
          <w:rFonts w:hint="eastAsia"/>
        </w:rPr>
        <w:t>, R. B. (1998).</w:t>
      </w:r>
      <w:r w:rsidRPr="00B06865">
        <w:t xml:space="preserve"> Propensity score methods for bias reduction in the comparison of a treatment to a non</w:t>
      </w:r>
      <w:r w:rsidRPr="00B06865">
        <w:rPr>
          <w:rFonts w:ascii="Cambria Math" w:hAnsi="Cambria Math" w:cs="Cambria Math"/>
        </w:rPr>
        <w:t>‐</w:t>
      </w:r>
      <w:r w:rsidRPr="00B06865">
        <w:t xml:space="preserve">randomized control group. </w:t>
      </w:r>
      <w:r w:rsidRPr="00B06865">
        <w:rPr>
          <w:rFonts w:hint="eastAsia"/>
          <w:i/>
          <w:iCs/>
        </w:rPr>
        <w:t>Statistics in medicine, 17</w:t>
      </w:r>
      <w:r w:rsidRPr="00B06865">
        <w:rPr>
          <w:rFonts w:hint="eastAsia"/>
        </w:rPr>
        <w:t>(19), 2265-2281.</w:t>
      </w:r>
    </w:p>
  </w:footnote>
  <w:footnote w:id="150">
    <w:p w14:paraId="1DD7F806" w14:textId="77777777" w:rsidR="001B6A82" w:rsidRDefault="001B6A82" w:rsidP="001B6A82">
      <w:pPr>
        <w:pStyle w:val="Footnote"/>
      </w:pPr>
      <w:r>
        <w:rPr>
          <w:rStyle w:val="FootnoteReference"/>
        </w:rPr>
        <w:footnoteRef/>
      </w:r>
      <w:r>
        <w:t xml:space="preserve"> </w:t>
      </w:r>
      <w:r w:rsidRPr="00871791">
        <w:t xml:space="preserve">Li, F., Morgan, K. L., &amp; </w:t>
      </w:r>
      <w:r w:rsidRPr="00C86241">
        <w:t>Zaslavsky</w:t>
      </w:r>
      <w:r w:rsidRPr="00871791">
        <w:t>, A. M.</w:t>
      </w:r>
      <w:r w:rsidRPr="00C86241">
        <w:t xml:space="preserve"> (2018</w:t>
      </w:r>
      <w:r w:rsidRPr="00871791">
        <w:t>).</w:t>
      </w:r>
      <w:r w:rsidRPr="00C86241">
        <w:t xml:space="preserve"> Balancing </w:t>
      </w:r>
      <w:r w:rsidRPr="00871791">
        <w:t>covariates</w:t>
      </w:r>
      <w:r w:rsidRPr="00C86241">
        <w:t xml:space="preserve"> via </w:t>
      </w:r>
      <w:r w:rsidRPr="00871791">
        <w:t>propensity score weighting.</w:t>
      </w:r>
      <w:r w:rsidRPr="00C86241">
        <w:t xml:space="preserve"> </w:t>
      </w:r>
      <w:r w:rsidRPr="00871791">
        <w:rPr>
          <w:i/>
        </w:rPr>
        <w:t>Journal of the American Statistical Association, 113</w:t>
      </w:r>
      <w:r w:rsidRPr="00871791">
        <w:t>(</w:t>
      </w:r>
      <w:r w:rsidRPr="00C86241">
        <w:t>521</w:t>
      </w:r>
      <w:r w:rsidRPr="00871791">
        <w:t>),</w:t>
      </w:r>
      <w:r w:rsidRPr="00C86241">
        <w:t xml:space="preserve"> 390-400</w:t>
      </w:r>
      <w:r w:rsidRPr="00871791">
        <w:t>.</w:t>
      </w:r>
    </w:p>
  </w:footnote>
  <w:footnote w:id="151">
    <w:p w14:paraId="0152CE5B" w14:textId="77777777" w:rsidR="001B6A82" w:rsidRPr="002E29A6" w:rsidRDefault="001B6A82" w:rsidP="001B6A82">
      <w:pPr>
        <w:pStyle w:val="Footnote"/>
      </w:pPr>
      <w:r w:rsidRPr="002E29A6">
        <w:rPr>
          <w:rStyle w:val="FootnoteReference"/>
        </w:rPr>
        <w:footnoteRef/>
      </w:r>
      <w:r w:rsidRPr="002E29A6">
        <w:t xml:space="preserve"> V</w:t>
      </w:r>
      <w:r w:rsidRPr="00871791">
        <w:t xml:space="preserve">ats, S., Ash, A. S., &amp; Ellis, R. P. (2013). Bending the cost curve? Results from a comprehensive primary care payment pilot. </w:t>
      </w:r>
      <w:r w:rsidRPr="00871791">
        <w:rPr>
          <w:i/>
          <w:iCs/>
        </w:rPr>
        <w:t>Medical</w:t>
      </w:r>
      <w:r w:rsidRPr="00871791">
        <w:rPr>
          <w:i/>
        </w:rPr>
        <w:t xml:space="preserve"> Care</w:t>
      </w:r>
      <w:r w:rsidRPr="00871791">
        <w:rPr>
          <w:i/>
          <w:iCs/>
        </w:rPr>
        <w:t xml:space="preserve">, </w:t>
      </w:r>
      <w:r w:rsidRPr="00871791">
        <w:rPr>
          <w:i/>
        </w:rPr>
        <w:t>51</w:t>
      </w:r>
      <w:r w:rsidRPr="00871791">
        <w:t>(11).</w:t>
      </w:r>
    </w:p>
  </w:footnote>
  <w:footnote w:id="152">
    <w:p w14:paraId="60C33A2B" w14:textId="77777777" w:rsidR="001B6A82" w:rsidRPr="002E29A6" w:rsidRDefault="001B6A82" w:rsidP="001B6A82">
      <w:pPr>
        <w:pStyle w:val="Footnote"/>
      </w:pPr>
      <w:r w:rsidRPr="002E29A6">
        <w:rPr>
          <w:rStyle w:val="FootnoteReference"/>
        </w:rPr>
        <w:footnoteRef/>
      </w:r>
      <w:r w:rsidRPr="002E29A6">
        <w:t xml:space="preserve"> Lechner, </w:t>
      </w:r>
      <w:r w:rsidRPr="00871791">
        <w:t>M.</w:t>
      </w:r>
      <w:r w:rsidRPr="002E29A6">
        <w:t xml:space="preserve"> (2011</w:t>
      </w:r>
      <w:r w:rsidRPr="00871791">
        <w:t>).</w:t>
      </w:r>
      <w:r w:rsidRPr="002E29A6">
        <w:t xml:space="preserve"> The </w:t>
      </w:r>
      <w:r w:rsidRPr="00871791">
        <w:t>estimation</w:t>
      </w:r>
      <w:r w:rsidRPr="002E29A6">
        <w:t xml:space="preserve"> of </w:t>
      </w:r>
      <w:r w:rsidRPr="00871791">
        <w:t>causal effects</w:t>
      </w:r>
      <w:r w:rsidRPr="002E29A6">
        <w:t xml:space="preserve"> by </w:t>
      </w:r>
      <w:r w:rsidRPr="00871791">
        <w:t>difference</w:t>
      </w:r>
      <w:r w:rsidRPr="002E29A6">
        <w:t>-in-</w:t>
      </w:r>
      <w:r w:rsidRPr="00871791">
        <w:t>difference methods.</w:t>
      </w:r>
      <w:r w:rsidRPr="002E29A6">
        <w:t xml:space="preserve"> </w:t>
      </w:r>
      <w:r w:rsidRPr="00C739FA">
        <w:rPr>
          <w:i/>
        </w:rPr>
        <w:t>Foundations and Trends in Econometrics, 4</w:t>
      </w:r>
      <w:r w:rsidRPr="00871791">
        <w:t>(</w:t>
      </w:r>
      <w:r w:rsidRPr="002E29A6">
        <w:t>3</w:t>
      </w:r>
      <w:r w:rsidRPr="00871791">
        <w:t>),</w:t>
      </w:r>
      <w:r w:rsidRPr="002E29A6">
        <w:t xml:space="preserve"> 165-224</w:t>
      </w:r>
      <w:r w:rsidRPr="00871791">
        <w:t>.</w:t>
      </w:r>
      <w:r>
        <w:t xml:space="preserve"> Retrieved from:</w:t>
      </w:r>
      <w:r w:rsidRPr="002E29A6">
        <w:t xml:space="preserve"> https://EconPapers.repec.org/RePEc:now:fnteco:0800000014.</w:t>
      </w:r>
    </w:p>
  </w:footnote>
  <w:footnote w:id="153">
    <w:p w14:paraId="3C9B7DE8" w14:textId="77777777" w:rsidR="001B6A82" w:rsidRDefault="001B6A82" w:rsidP="001B6A82">
      <w:pPr>
        <w:pStyle w:val="Footnote"/>
      </w:pPr>
      <w:r>
        <w:rPr>
          <w:rStyle w:val="FootnoteReference"/>
        </w:rPr>
        <w:footnoteRef/>
      </w:r>
      <w:r>
        <w:t xml:space="preserve"> </w:t>
      </w:r>
      <w:r w:rsidRPr="00524EF3">
        <w:t>McWilliams</w:t>
      </w:r>
      <w:r w:rsidRPr="00C739FA">
        <w:t>, J. M.,</w:t>
      </w:r>
      <w:r w:rsidRPr="00524EF3">
        <w:t xml:space="preserve"> Hatfield</w:t>
      </w:r>
      <w:r w:rsidRPr="00C739FA">
        <w:t>, L. A.,</w:t>
      </w:r>
      <w:r w:rsidRPr="00524EF3">
        <w:t xml:space="preserve"> Landon</w:t>
      </w:r>
      <w:r w:rsidRPr="00C739FA">
        <w:t>, B. E.,</w:t>
      </w:r>
      <w:r w:rsidRPr="00524EF3">
        <w:t xml:space="preserve"> Hamed</w:t>
      </w:r>
      <w:r w:rsidRPr="00C739FA">
        <w:t>,</w:t>
      </w:r>
      <w:r w:rsidRPr="00524EF3">
        <w:t xml:space="preserve"> P</w:t>
      </w:r>
      <w:r w:rsidRPr="00C739FA">
        <w:t>., &amp;</w:t>
      </w:r>
      <w:r w:rsidRPr="00524EF3">
        <w:t xml:space="preserve"> Chernew</w:t>
      </w:r>
      <w:r w:rsidRPr="00C739FA">
        <w:t>, M. E. (2018).</w:t>
      </w:r>
      <w:r w:rsidRPr="00524EF3">
        <w:t xml:space="preserve"> Medicare </w:t>
      </w:r>
      <w:r w:rsidRPr="00C739FA">
        <w:t>spending</w:t>
      </w:r>
      <w:r w:rsidRPr="00524EF3">
        <w:t xml:space="preserve"> after 3 </w:t>
      </w:r>
      <w:r w:rsidRPr="00C739FA">
        <w:t>years</w:t>
      </w:r>
      <w:r w:rsidRPr="00524EF3">
        <w:t xml:space="preserve"> of the Medicare Shared Savings Program. </w:t>
      </w:r>
      <w:r w:rsidRPr="00C739FA">
        <w:rPr>
          <w:i/>
          <w:iCs/>
        </w:rPr>
        <w:t>New England Journal of Medicine, 379</w:t>
      </w:r>
      <w:r w:rsidRPr="00C739FA">
        <w:t>(12), 1139-1149.</w:t>
      </w:r>
    </w:p>
  </w:footnote>
  <w:footnote w:id="154">
    <w:p w14:paraId="3439FD02" w14:textId="77777777" w:rsidR="001B6A82" w:rsidRDefault="001B6A82" w:rsidP="001B6A82">
      <w:pPr>
        <w:pStyle w:val="Footnote"/>
      </w:pPr>
      <w:r>
        <w:rPr>
          <w:rStyle w:val="FootnoteReference"/>
        </w:rPr>
        <w:footnoteRef/>
      </w:r>
      <w:r>
        <w:t xml:space="preserve"> </w:t>
      </w:r>
      <w:r w:rsidRPr="00CB0891">
        <w:t xml:space="preserve">Creswell, J. W., &amp; Clark, V. L. P. (2007). </w:t>
      </w:r>
      <w:r w:rsidRPr="002F4674">
        <w:rPr>
          <w:iCs/>
        </w:rPr>
        <w:t>Designing and Conducting Mixed Methods Research.</w:t>
      </w:r>
      <w:r w:rsidRPr="00CB0891">
        <w:t xml:space="preserve"> Thousand Oaks, CA: </w:t>
      </w:r>
      <w:r w:rsidRPr="002F4674">
        <w:rPr>
          <w:i/>
          <w:iCs/>
        </w:rPr>
        <w:t>Sage Publications.</w:t>
      </w:r>
    </w:p>
  </w:footnote>
  <w:footnote w:id="155">
    <w:p w14:paraId="75BD80C1" w14:textId="77777777" w:rsidR="00E76A23" w:rsidRPr="002F4674" w:rsidRDefault="00E76A23" w:rsidP="00E66C6C">
      <w:pPr>
        <w:pStyle w:val="Footnote"/>
        <w:rPr>
          <w:i/>
        </w:rPr>
      </w:pPr>
      <w:r>
        <w:rPr>
          <w:rStyle w:val="FootnoteReference"/>
        </w:rPr>
        <w:footnoteRef/>
      </w:r>
      <w:r>
        <w:t xml:space="preserve"> </w:t>
      </w:r>
      <w:r w:rsidRPr="00CB0891">
        <w:t xml:space="preserve">Creswell, J. W., &amp; Clark, V. L. P. (2007). </w:t>
      </w:r>
      <w:r w:rsidRPr="002F4674">
        <w:t>Designing and Conducting Mixed Methods Research.</w:t>
      </w:r>
      <w:r w:rsidRPr="00CB0891">
        <w:t xml:space="preserve"> Thousand Oaks, CA: </w:t>
      </w:r>
      <w:r w:rsidRPr="002F4674">
        <w:rPr>
          <w:i/>
        </w:rPr>
        <w:t>Sage Publications.</w:t>
      </w:r>
    </w:p>
  </w:footnote>
  <w:footnote w:id="156">
    <w:p w14:paraId="4FE912B5" w14:textId="2D4F3610" w:rsidR="00E76A23" w:rsidRPr="007D5D1F" w:rsidRDefault="00E76A23" w:rsidP="00E66C6C">
      <w:pPr>
        <w:pStyle w:val="Footnote"/>
      </w:pPr>
      <w:r w:rsidRPr="007D5D1F">
        <w:rPr>
          <w:rStyle w:val="FootnoteReference"/>
        </w:rPr>
        <w:footnoteRef/>
      </w:r>
      <w:r w:rsidRPr="007D5D1F">
        <w:t xml:space="preserve"> STC 15, page 115, verbatim</w:t>
      </w:r>
      <w:r w:rsidR="00A6517A" w:rsidRPr="004B3FAB">
        <w:t xml:space="preserve">; </w:t>
      </w:r>
      <w:hyperlink r:id="rId94" w:history="1">
        <w:r w:rsidR="00A6517A" w:rsidRPr="004B3FAB">
          <w:rPr>
            <w:rStyle w:val="Hyperlink"/>
          </w:rPr>
          <w:t>1115 MassHealth Demonstration ("Waiver") | Mass.gov</w:t>
        </w:r>
      </w:hyperlink>
    </w:p>
  </w:footnote>
  <w:footnote w:id="157">
    <w:p w14:paraId="3B7F9A12" w14:textId="7F7E0965" w:rsidR="00E76A23" w:rsidRPr="007D5D1F" w:rsidRDefault="00E76A23" w:rsidP="00E66C6C">
      <w:pPr>
        <w:pStyle w:val="Footnote"/>
      </w:pPr>
      <w:r w:rsidRPr="007D5D1F">
        <w:rPr>
          <w:rStyle w:val="FootnoteReference"/>
        </w:rPr>
        <w:footnoteRef/>
      </w:r>
      <w:r w:rsidRPr="007D5D1F">
        <w:t xml:space="preserve"> STC 2, page 3, from Commonwealth’s goals</w:t>
      </w:r>
      <w:r w:rsidR="00A6517A" w:rsidRPr="004B3FAB">
        <w:t xml:space="preserve">; </w:t>
      </w:r>
      <w:hyperlink r:id="rId95" w:history="1">
        <w:r w:rsidR="00A6517A" w:rsidRPr="004B3FAB">
          <w:rPr>
            <w:rStyle w:val="Hyperlink"/>
          </w:rPr>
          <w:t>1115 MassHealth Demonstration ("Waiver") | Mass.gov</w:t>
        </w:r>
      </w:hyperlink>
    </w:p>
  </w:footnote>
  <w:footnote w:id="158">
    <w:p w14:paraId="29468918" w14:textId="4E9DC24E" w:rsidR="00E76A23" w:rsidRPr="007D5D1F" w:rsidRDefault="00E76A23" w:rsidP="00E66C6C">
      <w:pPr>
        <w:pStyle w:val="Footnote"/>
      </w:pPr>
      <w:r w:rsidRPr="007D5D1F">
        <w:rPr>
          <w:rStyle w:val="FootnoteReference"/>
        </w:rPr>
        <w:footnoteRef/>
      </w:r>
      <w:r w:rsidRPr="007D5D1F">
        <w:t xml:space="preserve"> STC 15.5, page 119, verbatim</w:t>
      </w:r>
      <w:r w:rsidR="00A6517A" w:rsidRPr="004B3FAB">
        <w:t xml:space="preserve">; </w:t>
      </w:r>
      <w:hyperlink r:id="rId96" w:history="1">
        <w:r w:rsidR="00A6517A" w:rsidRPr="004B3FAB">
          <w:rPr>
            <w:rStyle w:val="Hyperlink"/>
          </w:rPr>
          <w:t>1115 MassHealth Demonstration ("Waiver") | Mass.gov</w:t>
        </w:r>
      </w:hyperlink>
    </w:p>
  </w:footnote>
  <w:footnote w:id="159">
    <w:p w14:paraId="12062E6B" w14:textId="28156353" w:rsidR="00E76A23" w:rsidRPr="007D5D1F" w:rsidRDefault="00E76A23" w:rsidP="00E66C6C">
      <w:pPr>
        <w:pStyle w:val="Footnote"/>
      </w:pPr>
      <w:r w:rsidRPr="007D5D1F">
        <w:rPr>
          <w:rStyle w:val="FootnoteReference"/>
        </w:rPr>
        <w:footnoteRef/>
      </w:r>
      <w:r w:rsidRPr="007D5D1F">
        <w:t xml:space="preserve"> STC 15.5.a, page 119, nearly verbatim, minor modifications</w:t>
      </w:r>
      <w:r w:rsidR="00A6517A" w:rsidRPr="004B3FAB">
        <w:t xml:space="preserve">; </w:t>
      </w:r>
      <w:hyperlink r:id="rId97" w:history="1">
        <w:r w:rsidR="00A6517A" w:rsidRPr="004B3FAB">
          <w:rPr>
            <w:rStyle w:val="Hyperlink"/>
          </w:rPr>
          <w:t>1115 MassHealth Demonstration ("Waiver") | Mass.gov</w:t>
        </w:r>
      </w:hyperlink>
    </w:p>
  </w:footnote>
  <w:footnote w:id="160">
    <w:p w14:paraId="122F8A67" w14:textId="4C0699FD" w:rsidR="00E76A23" w:rsidRPr="0058683C" w:rsidRDefault="00E76A23" w:rsidP="00E66C6C">
      <w:pPr>
        <w:pStyle w:val="Footnote"/>
      </w:pPr>
      <w:r w:rsidRPr="007D5D1F">
        <w:rPr>
          <w:rStyle w:val="FootnoteReference"/>
        </w:rPr>
        <w:footnoteRef/>
      </w:r>
      <w:r w:rsidRPr="007D5D1F">
        <w:t xml:space="preserve"> STC 15.3.a, b, d, page 118, nearly verbatim, minor modifications. For a more detailed list of Tenancy Preservation Supports, see Attachment P, Protocol for Assessment of Beneficiary Eligibility and Needs and Provider. Qualifications for HRSN Services</w:t>
      </w:r>
      <w:r w:rsidR="00A6517A" w:rsidRPr="00A6517A">
        <w:t xml:space="preserve"> </w:t>
      </w:r>
      <w:r w:rsidR="00A6517A" w:rsidRPr="004B3FAB">
        <w:t xml:space="preserve">; </w:t>
      </w:r>
      <w:hyperlink r:id="rId98" w:history="1">
        <w:r w:rsidR="00A6517A" w:rsidRPr="004B3FAB">
          <w:rPr>
            <w:rStyle w:val="Hyperlink"/>
          </w:rPr>
          <w:t>1115 MassHealth Demonstration ("Waiver") | Mass.gov</w:t>
        </w:r>
      </w:hyperlink>
    </w:p>
  </w:footnote>
  <w:footnote w:id="161">
    <w:p w14:paraId="44DD487E" w14:textId="344E62CA" w:rsidR="00E76A23" w:rsidRPr="006029C1" w:rsidRDefault="00E76A23" w:rsidP="00E66C6C">
      <w:pPr>
        <w:pStyle w:val="Footnote"/>
      </w:pPr>
      <w:r w:rsidRPr="006029C1">
        <w:rPr>
          <w:rStyle w:val="FootnoteReference"/>
        </w:rPr>
        <w:footnoteRef/>
      </w:r>
      <w:r w:rsidRPr="006029C1">
        <w:t xml:space="preserve"> STC 15.3.b, c &amp; d, page 118,  nearly verbatim, minor modifications</w:t>
      </w:r>
      <w:r w:rsidR="00A6517A" w:rsidRPr="004B3FAB">
        <w:t xml:space="preserve">; </w:t>
      </w:r>
      <w:hyperlink r:id="rId99" w:history="1">
        <w:r w:rsidR="00A6517A" w:rsidRPr="004B3FAB">
          <w:rPr>
            <w:rStyle w:val="Hyperlink"/>
          </w:rPr>
          <w:t>1115 MassHealth Demonstration ("Waiver") | Mass.gov</w:t>
        </w:r>
      </w:hyperlink>
    </w:p>
  </w:footnote>
  <w:footnote w:id="162">
    <w:p w14:paraId="7832D0A7" w14:textId="58EDBDF0" w:rsidR="00E76A23" w:rsidRPr="00EE76B4" w:rsidRDefault="00E76A23" w:rsidP="00E66C6C">
      <w:pPr>
        <w:pStyle w:val="Footnote"/>
      </w:pPr>
      <w:r w:rsidRPr="006029C1">
        <w:rPr>
          <w:rStyle w:val="FootnoteReference"/>
        </w:rPr>
        <w:footnoteRef/>
      </w:r>
      <w:r w:rsidRPr="00EE76B4">
        <w:t xml:space="preserve"> STC 15.5.b, page 119, verbatim</w:t>
      </w:r>
      <w:r w:rsidR="00A6517A" w:rsidRPr="004B3FAB">
        <w:t xml:space="preserve">; </w:t>
      </w:r>
      <w:hyperlink r:id="rId100" w:history="1">
        <w:r w:rsidR="00A6517A" w:rsidRPr="004B3FAB">
          <w:rPr>
            <w:rStyle w:val="Hyperlink"/>
          </w:rPr>
          <w:t>1115 MassHealth Demonstration ("Waiver") | Mass.gov</w:t>
        </w:r>
      </w:hyperlink>
    </w:p>
  </w:footnote>
  <w:footnote w:id="163">
    <w:p w14:paraId="507B906D" w14:textId="77777777" w:rsidR="00E76A23" w:rsidRPr="003A3B7D" w:rsidRDefault="00E76A23" w:rsidP="00E66C6C">
      <w:pPr>
        <w:pStyle w:val="Footnote"/>
      </w:pPr>
      <w:r w:rsidRPr="003A3B7D">
        <w:rPr>
          <w:rStyle w:val="FootnoteReference"/>
        </w:rPr>
        <w:footnoteRef/>
      </w:r>
      <w:r w:rsidRPr="003A3B7D">
        <w:t xml:space="preserve"> 103 CMR 461.402 Proposed</w:t>
      </w:r>
    </w:p>
  </w:footnote>
  <w:footnote w:id="164">
    <w:p w14:paraId="2F6085E2" w14:textId="34EBB0B4" w:rsidR="00E76A23" w:rsidRPr="003A3B7D" w:rsidRDefault="00E76A23" w:rsidP="00E66C6C">
      <w:pPr>
        <w:pStyle w:val="Footnote"/>
      </w:pPr>
      <w:r w:rsidRPr="003A3B7D">
        <w:rPr>
          <w:rStyle w:val="FootnoteReference"/>
        </w:rPr>
        <w:footnoteRef/>
      </w:r>
      <w:r w:rsidRPr="003A3B7D">
        <w:t xml:space="preserve"> 130 CMR 461.410.B.4 Proposed</w:t>
      </w:r>
    </w:p>
  </w:footnote>
  <w:footnote w:id="165">
    <w:p w14:paraId="24FCF23D" w14:textId="77777777" w:rsidR="00E76A23" w:rsidRPr="003A3B7D" w:rsidRDefault="00E76A23" w:rsidP="00E66C6C">
      <w:pPr>
        <w:pStyle w:val="Footnote"/>
      </w:pPr>
      <w:r w:rsidRPr="003A3B7D">
        <w:rPr>
          <w:rStyle w:val="FootnoteReference"/>
        </w:rPr>
        <w:footnoteRef/>
      </w:r>
      <w:r w:rsidRPr="003A3B7D">
        <w:t xml:space="preserve"> 103 CMR 461.410.C.1 Proposed, nearly verbatim, minor modification to reference core CSP services</w:t>
      </w:r>
    </w:p>
  </w:footnote>
  <w:footnote w:id="166">
    <w:p w14:paraId="16E5DE69" w14:textId="4209E5E9" w:rsidR="00E76A23" w:rsidRPr="00EE76B4" w:rsidRDefault="00E76A23" w:rsidP="00E66C6C">
      <w:pPr>
        <w:pStyle w:val="Footnote"/>
        <w:rPr>
          <w:lang w:val="fr-FR"/>
        </w:rPr>
      </w:pPr>
      <w:r w:rsidRPr="006029C1">
        <w:rPr>
          <w:rStyle w:val="FootnoteReference"/>
        </w:rPr>
        <w:footnoteRef/>
      </w:r>
      <w:r w:rsidRPr="00EE76B4">
        <w:rPr>
          <w:lang w:val="fr-FR"/>
        </w:rPr>
        <w:t xml:space="preserve"> STC 15.5.b.ii, page 119, verbatim</w:t>
      </w:r>
      <w:r w:rsidR="00A6517A" w:rsidRPr="004B3FAB">
        <w:t xml:space="preserve">; </w:t>
      </w:r>
      <w:hyperlink r:id="rId101" w:history="1">
        <w:r w:rsidR="00A6517A" w:rsidRPr="004B3FAB">
          <w:rPr>
            <w:rStyle w:val="Hyperlink"/>
          </w:rPr>
          <w:t>1115 MassHealth Demonstration ("Waiver") | Mass.gov</w:t>
        </w:r>
      </w:hyperlink>
    </w:p>
  </w:footnote>
  <w:footnote w:id="167">
    <w:p w14:paraId="0B922A3B" w14:textId="50E6B5AB" w:rsidR="00E76A23" w:rsidRPr="003A3B7D" w:rsidRDefault="00E76A23" w:rsidP="00E66C6C">
      <w:pPr>
        <w:pStyle w:val="Footnote"/>
        <w:rPr>
          <w:lang w:val="fr-FR"/>
        </w:rPr>
      </w:pPr>
      <w:r w:rsidRPr="003A3B7D">
        <w:rPr>
          <w:rStyle w:val="FootnoteReference"/>
        </w:rPr>
        <w:footnoteRef/>
      </w:r>
      <w:r w:rsidRPr="003A3B7D">
        <w:rPr>
          <w:lang w:val="fr-FR"/>
        </w:rPr>
        <w:t xml:space="preserve"> 130 CMR 461.410.B.4 Proposed</w:t>
      </w:r>
    </w:p>
  </w:footnote>
  <w:footnote w:id="168">
    <w:p w14:paraId="016AC2E0" w14:textId="77777777" w:rsidR="00E76A23" w:rsidRPr="006029C1" w:rsidRDefault="00E76A23" w:rsidP="00E66C6C">
      <w:pPr>
        <w:pStyle w:val="Footnote"/>
      </w:pPr>
      <w:r w:rsidRPr="003A3B7D">
        <w:rPr>
          <w:rStyle w:val="FootnoteReference"/>
        </w:rPr>
        <w:footnoteRef/>
      </w:r>
      <w:r w:rsidRPr="003A3B7D">
        <w:t xml:space="preserve"> 103 CMR 461.410.C.3 Proposed, nearly verbatim, minor modification to reference core CSP services</w:t>
      </w:r>
    </w:p>
  </w:footnote>
  <w:footnote w:id="169">
    <w:p w14:paraId="77C2A9A5" w14:textId="77777777" w:rsidR="00E76A23" w:rsidRPr="003A3B7D" w:rsidRDefault="00E76A23" w:rsidP="00E66C6C">
      <w:pPr>
        <w:pStyle w:val="Footnote"/>
      </w:pPr>
      <w:r w:rsidRPr="003A3B7D">
        <w:rPr>
          <w:rStyle w:val="FootnoteReference"/>
        </w:rPr>
        <w:footnoteRef/>
      </w:r>
      <w:r w:rsidRPr="003A3B7D">
        <w:t xml:space="preserve"> 103 CMR 461.402 Proposed, verbatim</w:t>
      </w:r>
    </w:p>
  </w:footnote>
  <w:footnote w:id="170">
    <w:p w14:paraId="01F30779" w14:textId="3DD43784" w:rsidR="00E76A23" w:rsidRPr="003A3B7D" w:rsidRDefault="00E76A23" w:rsidP="00E66C6C">
      <w:pPr>
        <w:pStyle w:val="Footnote"/>
      </w:pPr>
      <w:r w:rsidRPr="003A3B7D">
        <w:rPr>
          <w:rStyle w:val="FootnoteReference"/>
        </w:rPr>
        <w:footnoteRef/>
      </w:r>
      <w:r w:rsidRPr="003A3B7D">
        <w:t xml:space="preserve"> 130 CMR 461.410.B.4 Proposed</w:t>
      </w:r>
    </w:p>
  </w:footnote>
  <w:footnote w:id="171">
    <w:p w14:paraId="63725498" w14:textId="77777777" w:rsidR="00E76A23" w:rsidRPr="002C3A88" w:rsidRDefault="00E76A23" w:rsidP="00E66C6C">
      <w:pPr>
        <w:pStyle w:val="Footnote"/>
      </w:pPr>
      <w:r w:rsidRPr="003A3B7D">
        <w:rPr>
          <w:rStyle w:val="FootnoteReference"/>
        </w:rPr>
        <w:footnoteRef/>
      </w:r>
      <w:r w:rsidRPr="003A3B7D">
        <w:t xml:space="preserve"> 103 CMR 461.410.C.2, nearly verbatim, minor modification to reference core CSP services</w:t>
      </w:r>
    </w:p>
  </w:footnote>
  <w:footnote w:id="172">
    <w:p w14:paraId="3424286F" w14:textId="2C261162" w:rsidR="00E76A23" w:rsidRPr="00940CFC" w:rsidRDefault="00E76A23" w:rsidP="00E66C6C">
      <w:pPr>
        <w:pStyle w:val="Footnote"/>
        <w:rPr>
          <w:lang w:val="fr-FR"/>
        </w:rPr>
      </w:pPr>
      <w:r w:rsidRPr="002C3A88">
        <w:rPr>
          <w:rStyle w:val="FootnoteReference"/>
        </w:rPr>
        <w:footnoteRef/>
      </w:r>
      <w:r w:rsidRPr="002C3A88">
        <w:rPr>
          <w:lang w:val="fr-FR"/>
        </w:rPr>
        <w:t xml:space="preserve"> </w:t>
      </w:r>
      <w:r w:rsidRPr="003433B3">
        <w:rPr>
          <w:lang w:val="fr-FR"/>
        </w:rPr>
        <w:t>Attachment</w:t>
      </w:r>
      <w:r w:rsidRPr="002C3A88">
        <w:rPr>
          <w:lang w:val="fr-FR"/>
        </w:rPr>
        <w:t xml:space="preserve"> T: HRSN Partial Implementation Plan, verbatim</w:t>
      </w:r>
      <w:r w:rsidR="009B57B2" w:rsidRPr="004B3FAB">
        <w:t xml:space="preserve">; </w:t>
      </w:r>
      <w:hyperlink r:id="rId102" w:history="1">
        <w:r w:rsidR="009B57B2" w:rsidRPr="004B3FAB">
          <w:rPr>
            <w:rStyle w:val="Hyperlink"/>
          </w:rPr>
          <w:t>1115 MassHealth Demonstration ("Waiver") | Mass.gov</w:t>
        </w:r>
      </w:hyperlink>
    </w:p>
  </w:footnote>
  <w:footnote w:id="173">
    <w:p w14:paraId="6A2FF34D" w14:textId="6B48B724" w:rsidR="00E76A23" w:rsidRPr="0058683C" w:rsidRDefault="00E76A23" w:rsidP="00E66C6C">
      <w:pPr>
        <w:pStyle w:val="Footnote"/>
      </w:pPr>
      <w:r w:rsidRPr="0058683C">
        <w:rPr>
          <w:rStyle w:val="FootnoteReference"/>
        </w:rPr>
        <w:footnoteRef/>
      </w:r>
      <w:r w:rsidRPr="0058683C">
        <w:t xml:space="preserve"> STC 17.6 and STC is the basis for narrative of this section</w:t>
      </w:r>
      <w:r w:rsidR="009B57B2" w:rsidRPr="004B3FAB">
        <w:t xml:space="preserve">; </w:t>
      </w:r>
      <w:hyperlink r:id="rId103" w:history="1">
        <w:r w:rsidR="009B57B2" w:rsidRPr="004B3FAB">
          <w:rPr>
            <w:rStyle w:val="Hyperlink"/>
          </w:rPr>
          <w:t>1115 MassHealth Demonstration ("Waiver") | Mass.gov</w:t>
        </w:r>
      </w:hyperlink>
    </w:p>
  </w:footnote>
  <w:footnote w:id="174">
    <w:p w14:paraId="4C95CE07" w14:textId="0BE16F0E" w:rsidR="00E76A23" w:rsidRPr="006F578C" w:rsidRDefault="00E76A23" w:rsidP="00E66C6C">
      <w:pPr>
        <w:pStyle w:val="Footnote"/>
      </w:pPr>
      <w:r w:rsidRPr="006F578C">
        <w:rPr>
          <w:rStyle w:val="FootnoteReference"/>
        </w:rPr>
        <w:footnoteRef/>
      </w:r>
      <w:r w:rsidRPr="006F578C">
        <w:t xml:space="preserve"> </w:t>
      </w:r>
      <w:r w:rsidRPr="00512026">
        <w:t xml:space="preserve">Commonwealth of Massachusetts. (2022, September 29). </w:t>
      </w:r>
      <w:r w:rsidRPr="008D51B6">
        <w:rPr>
          <w:i/>
        </w:rPr>
        <w:t>Revised Draft Independent Evaluation Interim Report. Massachusetts Medicaid 1115 Demonstration Extension 2017-2022.</w:t>
      </w:r>
      <w:r w:rsidRPr="00512026">
        <w:t xml:space="preserve"> Mass.gov. </w:t>
      </w:r>
      <w:r w:rsidRPr="00190615">
        <w:rPr>
          <w:rStyle w:val="Hyperlink"/>
        </w:rPr>
        <w:t>https://www.mass.gov/doc/cms-approved-interim-evaluation-report/download</w:t>
      </w:r>
    </w:p>
  </w:footnote>
  <w:footnote w:id="175">
    <w:p w14:paraId="7276D2DC" w14:textId="66FBE251" w:rsidR="00BB3392" w:rsidRDefault="00BB3392" w:rsidP="00E66C6C">
      <w:pPr>
        <w:pStyle w:val="Footnote"/>
      </w:pPr>
      <w:r>
        <w:rPr>
          <w:rStyle w:val="FootnoteReference"/>
        </w:rPr>
        <w:footnoteRef/>
      </w:r>
      <w:r>
        <w:t xml:space="preserve"> </w:t>
      </w:r>
      <w:r w:rsidR="00B06865" w:rsidRPr="00CB0891">
        <w:t xml:space="preserve">Creswell, J. W., &amp; Clark, V. L. P. (2007). </w:t>
      </w:r>
      <w:r w:rsidR="00B06865" w:rsidRPr="002F4674">
        <w:t>Designing and Conducting Mixed Methods Research.</w:t>
      </w:r>
      <w:r w:rsidR="00B06865" w:rsidRPr="00CB0891">
        <w:t xml:space="preserve"> Thousand Oaks, CA: </w:t>
      </w:r>
      <w:r w:rsidR="00B06865" w:rsidRPr="002F4674">
        <w:rPr>
          <w:i/>
        </w:rPr>
        <w:t>Sage Publications.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36BE2" w14:textId="77777777" w:rsidR="000E3A16" w:rsidRDefault="000E3A16">
    <w:pPr>
      <w:pStyle w:val="Header"/>
    </w:pPr>
    <w:r w:rsidRPr="00646B90">
      <w:rPr>
        <w:noProof/>
      </w:rPr>
      <mc:AlternateContent>
        <mc:Choice Requires="wpg">
          <w:drawing>
            <wp:anchor distT="0" distB="0" distL="114300" distR="114300" simplePos="0" relativeHeight="251659264" behindDoc="1" locked="1" layoutInCell="1" allowOverlap="1" wp14:anchorId="2470F61C" wp14:editId="1C9E6585">
              <wp:simplePos x="0" y="0"/>
              <wp:positionH relativeFrom="page">
                <wp:posOffset>914400</wp:posOffset>
              </wp:positionH>
              <wp:positionV relativeFrom="page">
                <wp:posOffset>914400</wp:posOffset>
              </wp:positionV>
              <wp:extent cx="5970905" cy="8355965"/>
              <wp:effectExtent l="0" t="0" r="10795" b="635"/>
              <wp:wrapNone/>
              <wp:docPr id="7" name="Group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0905" cy="8355965"/>
                        <a:chOff x="1455" y="1155"/>
                        <a:chExt cx="9400" cy="13305"/>
                      </a:xfrm>
                    </wpg:grpSpPr>
                    <wps:wsp>
                      <wps:cNvPr id="9" name="docshape2"/>
                      <wps:cNvSpPr>
                        <a:spLocks noChangeArrowheads="1"/>
                      </wps:cNvSpPr>
                      <wps:spPr bwMode="auto">
                        <a:xfrm>
                          <a:off x="1485" y="1185"/>
                          <a:ext cx="9340" cy="13245"/>
                        </a:xfrm>
                        <a:prstGeom prst="rect">
                          <a:avLst/>
                        </a:prstGeom>
                        <a:noFill/>
                        <a:ln w="38100">
                          <a:solidFill>
                            <a:srgbClr val="006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Line 10"/>
                      <wps:cNvCnPr>
                        <a:cxnSpLocks noChangeShapeType="1"/>
                      </wps:cNvCnPr>
                      <wps:spPr bwMode="auto">
                        <a:xfrm>
                          <a:off x="1485" y="3240"/>
                          <a:ext cx="9340" cy="0"/>
                        </a:xfrm>
                        <a:prstGeom prst="line">
                          <a:avLst/>
                        </a:prstGeom>
                        <a:noFill/>
                        <a:ln w="25400">
                          <a:solidFill>
                            <a:srgbClr val="006F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A0DE64" id="Group 7" o:spid="_x0000_s1026" alt="&quot;&quot;" style="position:absolute;margin-left:1in;margin-top:1in;width:470.15pt;height:657.95pt;z-index:-251657216;mso-position-horizontal-relative:page;mso-position-vertical-relative:page" coordorigin="1455,1155" coordsize="9400,13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s+F2gIAAC8HAAAOAAAAZHJzL2Uyb0RvYy54bWy8Vdtu2zAMfR+wfxD0vtpO4i4x6hRFesGA&#10;bivQ7gMUWbaFyZImKXGyrx8l2WnSPgztgPXBIEOJIs85ZC8ud51AW2YsV7LE2VmKEZNUVVw2Jf7x&#10;dPtpjpF1RFZEKMlKvGcWXy4/frjodcEmqlWiYgZBEmmLXpe4dU4XSWJpyzpiz5RmEoK1Mh1x4Jom&#10;qQzpIXsnkkmanie9MpU2ijJr4dfrGMTLkL+uGXXf69oyh0SJoTYXviZ81/6bLC9I0RiiW06HMsg7&#10;qugIl/DoIdU1cQRtDH+VquPUKKtqd0ZVl6i65pSFHqCbLH3RzZ1RGx16aYq+0QeYANoXOL07Lf22&#10;vTP6UT+YWD2Y94r+tIBL0uumOI57v4mH0br/qirgk2ycCo3vatP5FNAS2gV89wd82c4hCj/mi8/p&#10;Is0xohCbT/N8cZ5HBmgLNPl72SyHOISzDIzADm1vhvuLWQoc+svZdAp5fJGkiC+HaofqPPsgJ/uM&#10;mP03xB5bolkgwnpEHgziVYkXGEnSAQiVotafmPiK/NNwZoTURjyRVKuWyIZdGaP6lpEKSspCBycX&#10;vGOBjb8CnM3mI1BgBKBGmBfT2QGmyewUJlJoY90dUx3yRokNjEggkGzvrYuIjkc8n1LdciFCfiFR&#10;X+LpPAMWfMgqwSsfDY5p1ith0Jb4SUvPb1dhuICfk2MddzDvgncggNT/xdI9IDeyCs84wkW04bKQ&#10;QYgRlAjuWlV7AMioOMywfMBolfmNUQ+DXGL7a0MMw0h8kQDyIpt5OFxwZvnnCTjmOLI+jhBJIVWJ&#10;HUbRXLm4LTba8KaFl7LQu1RXoPyaB8Q8abGqoViQ3n/SYAbdRBHec8kQuIDhoKiVjFNNd3KY6oMK&#10;g6Cf9hrEeyLCeOXtIpxOAOPA3msRjjoYN8SorkGAAup+kwAnuV8D7xUgrNRBZ2/XHDQIayZslmCF&#10;rQzWydo/9sOp5/9zyz8AAAD//wMAUEsDBBQABgAIAAAAIQAFnJ9S3wAAAA0BAAAPAAAAZHJzL2Rv&#10;d25yZXYueG1sTI9BS8NAEIXvgv9hGcGb3cSm0sZsSinqqQi2gnibZqdJaHY2ZLdJ+u/dHERv82Ye&#10;b76XrUfTiJ46V1tWEM8iEMSF1TWXCj4Prw9LEM4ja2wsk4IrOVjntzcZptoO/EH93pcihLBLUUHl&#10;fZtK6YqKDLqZbYnD7WQ7gz7IrpS6wyGEm0Y+RtGTNFhz+FBhS9uKivP+YhS8DThs5vFLvzufttfv&#10;w+L9axeTUvd34+YZhKfR/5lhwg/okAemo72wdqIJOklCF/87TI5omcxBHKfVYrUCmWfyf4v8BwAA&#10;//8DAFBLAQItABQABgAIAAAAIQC2gziS/gAAAOEBAAATAAAAAAAAAAAAAAAAAAAAAABbQ29udGVu&#10;dF9UeXBlc10ueG1sUEsBAi0AFAAGAAgAAAAhADj9If/WAAAAlAEAAAsAAAAAAAAAAAAAAAAALwEA&#10;AF9yZWxzLy5yZWxzUEsBAi0AFAAGAAgAAAAhALUyz4XaAgAALwcAAA4AAAAAAAAAAAAAAAAALgIA&#10;AGRycy9lMm9Eb2MueG1sUEsBAi0AFAAGAAgAAAAhAAWcn1LfAAAADQEAAA8AAAAAAAAAAAAAAAAA&#10;NAUAAGRycy9kb3ducmV2LnhtbFBLBQYAAAAABAAEAPMAAABABgAAAAA=&#10;">
              <v:rect id="docshape2" o:spid="_x0000_s1027" style="position:absolute;left:1485;top:1185;width:9340;height:1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ustwgAAANoAAAAPAAAAZHJzL2Rvd25yZXYueG1sRI9Ra8JA&#10;EITfC/6HY4W+1Y0tSE1zikiNfSqY5gcsuTWJ5vZC7mrSf+8VCn0cZuYbJttOtlM3HnzrRMNykYBi&#10;qZxppdZQfh2eXkH5QGKoc8IaftjDdjN7yCg1bpQT34pQqwgRn5KGJoQ+RfRVw5b8wvUs0Tu7wVKI&#10;cqjRDDRGuO3wOUlWaKmVuNBQz/uGq2vxbTVcDi9HKexp3b5/rnIuesxLRK0f59PuDVTgKfyH/9of&#10;RsMafq/EG4CbOwAAAP//AwBQSwECLQAUAAYACAAAACEA2+H2y+4AAACFAQAAEwAAAAAAAAAAAAAA&#10;AAAAAAAAW0NvbnRlbnRfVHlwZXNdLnhtbFBLAQItABQABgAIAAAAIQBa9CxbvwAAABUBAAALAAAA&#10;AAAAAAAAAAAAAB8BAABfcmVscy8ucmVsc1BLAQItABQABgAIAAAAIQCY2ustwgAAANoAAAAPAAAA&#10;AAAAAAAAAAAAAAcCAABkcnMvZG93bnJldi54bWxQSwUGAAAAAAMAAwC3AAAA9gIAAAAA&#10;" filled="f" strokecolor="#006fc0" strokeweight="3pt"/>
              <v:line id="Line 10" o:spid="_x0000_s1028" style="position:absolute;visibility:visible;mso-wrap-style:square" from="1485,3240" to="10825,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9MxQAAANsAAAAPAAAAZHJzL2Rvd25yZXYueG1sRI/dSsRA&#10;DIXvBd9hiOCdO13/0LqzyyqIIgru2geIndgWO5kyE9vq05sLwbuEc3LOl9VmDr0ZKeUusoPlogBD&#10;XEffceOgers/uQKTBdljH5kcfFOGzfrwYIWljxPvaNxLYzSEc4kOWpGhtDbXLQXMizgQq/YRU0DR&#10;NTXWJ5w0PPT2tCgubcCOtaHFge5aqj/3X8HBT7rYvSxvn5+28j6NVfV6ffZwLs4dH83bGzBCs/yb&#10;/64fveIrvf6iA9j1LwAAAP//AwBQSwECLQAUAAYACAAAACEA2+H2y+4AAACFAQAAEwAAAAAAAAAA&#10;AAAAAAAAAAAAW0NvbnRlbnRfVHlwZXNdLnhtbFBLAQItABQABgAIAAAAIQBa9CxbvwAAABUBAAAL&#10;AAAAAAAAAAAAAAAAAB8BAABfcmVscy8ucmVsc1BLAQItABQABgAIAAAAIQDo+n9MxQAAANsAAAAP&#10;AAAAAAAAAAAAAAAAAAcCAABkcnMvZG93bnJldi54bWxQSwUGAAAAAAMAAwC3AAAA+QIAAAAA&#10;" strokecolor="#006fc0" strokeweight="2p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A534E" w14:textId="77777777" w:rsidR="000E3A16" w:rsidRPr="0040370D" w:rsidRDefault="000E3A16" w:rsidP="009A3378">
    <w:pPr>
      <w:pStyle w:val="Footer"/>
    </w:pPr>
  </w:p>
  <w:p w14:paraId="39FA8C3C" w14:textId="77777777" w:rsidR="000E3A16" w:rsidRDefault="000E3A16" w:rsidP="009476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4E68D" w14:textId="12431EAD" w:rsidR="00E76A23" w:rsidRDefault="0020559B" w:rsidP="00445EBF">
    <w:pPr>
      <w:pStyle w:val="Header1"/>
      <w:pBdr>
        <w:bottom w:val="single" w:sz="4" w:space="1" w:color="auto"/>
      </w:pBdr>
      <w:spacing w:after="120"/>
      <w:contextualSpacing w:val="0"/>
    </w:pPr>
    <w:sdt>
      <w:sdtPr>
        <w:alias w:val="Title"/>
        <w:tag w:val=""/>
        <w:id w:val="1725097512"/>
        <w:dataBinding w:prefixMappings="xmlns:ns0='http://purl.org/dc/elements/1.1/' xmlns:ns1='http://schemas.openxmlformats.org/package/2006/metadata/core-properties' " w:xpath="/ns1:coreProperties[1]/ns0:title[1]" w:storeItemID="{6C3C8BC8-F283-45AE-878A-BAB7291924A1}"/>
        <w:text/>
      </w:sdtPr>
      <w:sdtEndPr/>
      <w:sdtContent>
        <w:r w:rsidR="006D626B">
          <w:t>2022-2027 MA 1115 Demonstration | Draft Evaluation Design Document (EDD) December 2023</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F3A87" w14:textId="77777777" w:rsidR="00E76A23" w:rsidRPr="0040370D" w:rsidRDefault="00E76A23" w:rsidP="009A3378">
    <w:pPr>
      <w:pStyle w:val="Footer"/>
    </w:pPr>
  </w:p>
  <w:p w14:paraId="63050876" w14:textId="77777777" w:rsidR="00E76A23" w:rsidRDefault="00E76A23" w:rsidP="00BF73A5">
    <w:pPr>
      <w:pStyle w:val="Header"/>
    </w:pPr>
  </w:p>
  <w:p w14:paraId="6E08257A" w14:textId="77777777" w:rsidR="00E76A23" w:rsidRDefault="00E76A2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77B92" w14:textId="77777777" w:rsidR="00E76A23" w:rsidRPr="0040370D" w:rsidRDefault="00E76A23" w:rsidP="009A3378">
    <w:pPr>
      <w:pStyle w:val="Footer"/>
    </w:pPr>
  </w:p>
  <w:p w14:paraId="074C78A5" w14:textId="77777777" w:rsidR="00E76A23" w:rsidRDefault="00E76A23" w:rsidP="0094761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E5504" w14:textId="77777777" w:rsidR="00E76A23" w:rsidRPr="0040370D" w:rsidRDefault="00E76A23" w:rsidP="009A3378">
    <w:pPr>
      <w:pStyle w:val="Footer"/>
    </w:pPr>
  </w:p>
  <w:p w14:paraId="1CE034AD" w14:textId="77777777" w:rsidR="00E76A23" w:rsidRDefault="00E76A23" w:rsidP="0094761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D1A32" w14:textId="77777777" w:rsidR="00E76A23" w:rsidRPr="0040370D" w:rsidRDefault="00E76A23" w:rsidP="009A3378">
    <w:pPr>
      <w:pStyle w:val="Footer"/>
    </w:pPr>
  </w:p>
  <w:p w14:paraId="26D2CC2E" w14:textId="77777777" w:rsidR="00E76A23" w:rsidRDefault="00E76A23" w:rsidP="0094761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A4F67" w14:textId="77777777" w:rsidR="00E76A23" w:rsidRPr="0040370D" w:rsidRDefault="00E76A23" w:rsidP="009A3378">
    <w:pPr>
      <w:pStyle w:val="Footer"/>
    </w:pPr>
  </w:p>
  <w:p w14:paraId="23D4D6CB" w14:textId="77777777" w:rsidR="00E76A23" w:rsidRDefault="00E76A23" w:rsidP="009476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A2E22FC2"/>
    <w:lvl w:ilvl="0">
      <w:start w:val="1"/>
      <w:numFmt w:val="bullet"/>
      <w:pStyle w:val="ListNumber3"/>
      <w:lvlText w:val=""/>
      <w:lvlJc w:val="left"/>
      <w:pPr>
        <w:ind w:left="1170" w:hanging="360"/>
      </w:pPr>
      <w:rPr>
        <w:rFonts w:ascii="Symbol" w:hAnsi="Symbol" w:hint="default"/>
      </w:rPr>
    </w:lvl>
  </w:abstractNum>
  <w:abstractNum w:abstractNumId="1" w15:restartNumberingAfterBreak="0">
    <w:nsid w:val="FFFFFF82"/>
    <w:multiLevelType w:val="singleLevel"/>
    <w:tmpl w:val="80F81FDA"/>
    <w:lvl w:ilvl="0">
      <w:start w:val="1"/>
      <w:numFmt w:val="bullet"/>
      <w:pStyle w:val="ListBullet3"/>
      <w:lvlText w:val="–"/>
      <w:lvlJc w:val="left"/>
      <w:pPr>
        <w:ind w:left="1080" w:hanging="360"/>
      </w:pPr>
      <w:rPr>
        <w:rFonts w:ascii="Arial" w:hAnsi="Arial" w:hint="default"/>
      </w:rPr>
    </w:lvl>
  </w:abstractNum>
  <w:abstractNum w:abstractNumId="2" w15:restartNumberingAfterBreak="0">
    <w:nsid w:val="FFFFFF88"/>
    <w:multiLevelType w:val="singleLevel"/>
    <w:tmpl w:val="2C401A20"/>
    <w:lvl w:ilvl="0">
      <w:start w:val="1"/>
      <w:numFmt w:val="decimal"/>
      <w:lvlText w:val="%1."/>
      <w:lvlJc w:val="left"/>
      <w:pPr>
        <w:tabs>
          <w:tab w:val="num" w:pos="360"/>
        </w:tabs>
        <w:ind w:left="360" w:hanging="360"/>
      </w:pPr>
      <w:rPr>
        <w:b w:val="0"/>
        <w:bCs w:val="0"/>
      </w:rPr>
    </w:lvl>
  </w:abstractNum>
  <w:abstractNum w:abstractNumId="3" w15:restartNumberingAfterBreak="0">
    <w:nsid w:val="FFFFFF89"/>
    <w:multiLevelType w:val="singleLevel"/>
    <w:tmpl w:val="83CA6B70"/>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1BF32C3"/>
    <w:multiLevelType w:val="hybridMultilevel"/>
    <w:tmpl w:val="5EAEB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B140F4"/>
    <w:multiLevelType w:val="hybridMultilevel"/>
    <w:tmpl w:val="4810DB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3BA2FDE"/>
    <w:multiLevelType w:val="hybridMultilevel"/>
    <w:tmpl w:val="418ACB3E"/>
    <w:lvl w:ilvl="0" w:tplc="A1F005C4">
      <w:start w:val="1"/>
      <w:numFmt w:val="bullet"/>
      <w:lvlText w:val="•"/>
      <w:lvlJc w:val="left"/>
      <w:pPr>
        <w:tabs>
          <w:tab w:val="num" w:pos="720"/>
        </w:tabs>
        <w:ind w:left="720" w:hanging="360"/>
      </w:pPr>
      <w:rPr>
        <w:rFonts w:ascii="Arial" w:hAnsi="Arial" w:hint="default"/>
      </w:rPr>
    </w:lvl>
    <w:lvl w:ilvl="1" w:tplc="7B806698" w:tentative="1">
      <w:start w:val="1"/>
      <w:numFmt w:val="bullet"/>
      <w:lvlText w:val="•"/>
      <w:lvlJc w:val="left"/>
      <w:pPr>
        <w:tabs>
          <w:tab w:val="num" w:pos="1440"/>
        </w:tabs>
        <w:ind w:left="1440" w:hanging="360"/>
      </w:pPr>
      <w:rPr>
        <w:rFonts w:ascii="Arial" w:hAnsi="Arial" w:hint="default"/>
      </w:rPr>
    </w:lvl>
    <w:lvl w:ilvl="2" w:tplc="9FC4BF98">
      <w:start w:val="1"/>
      <w:numFmt w:val="bullet"/>
      <w:pStyle w:val="LMbullet"/>
      <w:lvlText w:val="•"/>
      <w:lvlJc w:val="left"/>
      <w:pPr>
        <w:tabs>
          <w:tab w:val="num" w:pos="2160"/>
        </w:tabs>
        <w:ind w:left="2160" w:hanging="360"/>
      </w:pPr>
      <w:rPr>
        <w:rFonts w:ascii="Arial" w:hAnsi="Arial" w:hint="default"/>
      </w:rPr>
    </w:lvl>
    <w:lvl w:ilvl="3" w:tplc="4B961CB8" w:tentative="1">
      <w:start w:val="1"/>
      <w:numFmt w:val="bullet"/>
      <w:lvlText w:val="•"/>
      <w:lvlJc w:val="left"/>
      <w:pPr>
        <w:tabs>
          <w:tab w:val="num" w:pos="2880"/>
        </w:tabs>
        <w:ind w:left="2880" w:hanging="360"/>
      </w:pPr>
      <w:rPr>
        <w:rFonts w:ascii="Arial" w:hAnsi="Arial" w:hint="default"/>
      </w:rPr>
    </w:lvl>
    <w:lvl w:ilvl="4" w:tplc="05FC0E34" w:tentative="1">
      <w:start w:val="1"/>
      <w:numFmt w:val="bullet"/>
      <w:lvlText w:val="•"/>
      <w:lvlJc w:val="left"/>
      <w:pPr>
        <w:tabs>
          <w:tab w:val="num" w:pos="3600"/>
        </w:tabs>
        <w:ind w:left="3600" w:hanging="360"/>
      </w:pPr>
      <w:rPr>
        <w:rFonts w:ascii="Arial" w:hAnsi="Arial" w:hint="default"/>
      </w:rPr>
    </w:lvl>
    <w:lvl w:ilvl="5" w:tplc="2FB83242" w:tentative="1">
      <w:start w:val="1"/>
      <w:numFmt w:val="bullet"/>
      <w:lvlText w:val="•"/>
      <w:lvlJc w:val="left"/>
      <w:pPr>
        <w:tabs>
          <w:tab w:val="num" w:pos="4320"/>
        </w:tabs>
        <w:ind w:left="4320" w:hanging="360"/>
      </w:pPr>
      <w:rPr>
        <w:rFonts w:ascii="Arial" w:hAnsi="Arial" w:hint="default"/>
      </w:rPr>
    </w:lvl>
    <w:lvl w:ilvl="6" w:tplc="5FC21530" w:tentative="1">
      <w:start w:val="1"/>
      <w:numFmt w:val="bullet"/>
      <w:lvlText w:val="•"/>
      <w:lvlJc w:val="left"/>
      <w:pPr>
        <w:tabs>
          <w:tab w:val="num" w:pos="5040"/>
        </w:tabs>
        <w:ind w:left="5040" w:hanging="360"/>
      </w:pPr>
      <w:rPr>
        <w:rFonts w:ascii="Arial" w:hAnsi="Arial" w:hint="default"/>
      </w:rPr>
    </w:lvl>
    <w:lvl w:ilvl="7" w:tplc="50E25B70" w:tentative="1">
      <w:start w:val="1"/>
      <w:numFmt w:val="bullet"/>
      <w:lvlText w:val="•"/>
      <w:lvlJc w:val="left"/>
      <w:pPr>
        <w:tabs>
          <w:tab w:val="num" w:pos="5760"/>
        </w:tabs>
        <w:ind w:left="5760" w:hanging="360"/>
      </w:pPr>
      <w:rPr>
        <w:rFonts w:ascii="Arial" w:hAnsi="Arial" w:hint="default"/>
      </w:rPr>
    </w:lvl>
    <w:lvl w:ilvl="8" w:tplc="617EB53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4085C18"/>
    <w:multiLevelType w:val="hybridMultilevel"/>
    <w:tmpl w:val="20E07C9C"/>
    <w:lvl w:ilvl="0" w:tplc="B54843E6">
      <w:start w:val="1"/>
      <w:numFmt w:val="bullet"/>
      <w:pStyle w:val="Bullet2"/>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043A4B27"/>
    <w:multiLevelType w:val="hybridMultilevel"/>
    <w:tmpl w:val="AFF244C8"/>
    <w:lvl w:ilvl="0" w:tplc="153E6A50">
      <w:start w:val="1"/>
      <w:numFmt w:val="bullet"/>
      <w:pStyle w:val="LogicMode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3A52AD"/>
    <w:multiLevelType w:val="hybridMultilevel"/>
    <w:tmpl w:val="8D1E48D4"/>
    <w:lvl w:ilvl="0" w:tplc="4B60276C">
      <w:start w:val="1"/>
      <w:numFmt w:val="bullet"/>
      <w:pStyle w:val="ListBullet2"/>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5913D2C"/>
    <w:multiLevelType w:val="hybridMultilevel"/>
    <w:tmpl w:val="E8022810"/>
    <w:lvl w:ilvl="0" w:tplc="5854E3C0">
      <w:start w:val="1"/>
      <w:numFmt w:val="bullet"/>
      <w:lvlText w:val="•"/>
      <w:lvlJc w:val="left"/>
      <w:pPr>
        <w:tabs>
          <w:tab w:val="num" w:pos="720"/>
        </w:tabs>
        <w:ind w:left="720" w:hanging="360"/>
      </w:pPr>
      <w:rPr>
        <w:rFonts w:ascii="Arial" w:hAnsi="Arial" w:hint="default"/>
      </w:rPr>
    </w:lvl>
    <w:lvl w:ilvl="1" w:tplc="F604AFA6" w:tentative="1">
      <w:start w:val="1"/>
      <w:numFmt w:val="bullet"/>
      <w:lvlText w:val="•"/>
      <w:lvlJc w:val="left"/>
      <w:pPr>
        <w:tabs>
          <w:tab w:val="num" w:pos="1440"/>
        </w:tabs>
        <w:ind w:left="1440" w:hanging="360"/>
      </w:pPr>
      <w:rPr>
        <w:rFonts w:ascii="Arial" w:hAnsi="Arial" w:hint="default"/>
      </w:rPr>
    </w:lvl>
    <w:lvl w:ilvl="2" w:tplc="058E9CA4">
      <w:start w:val="1"/>
      <w:numFmt w:val="bullet"/>
      <w:lvlText w:val="•"/>
      <w:lvlJc w:val="left"/>
      <w:pPr>
        <w:tabs>
          <w:tab w:val="num" w:pos="2160"/>
        </w:tabs>
        <w:ind w:left="2160" w:hanging="360"/>
      </w:pPr>
      <w:rPr>
        <w:rFonts w:ascii="Arial" w:hAnsi="Arial" w:hint="default"/>
      </w:rPr>
    </w:lvl>
    <w:lvl w:ilvl="3" w:tplc="C1F8B9D4" w:tentative="1">
      <w:start w:val="1"/>
      <w:numFmt w:val="bullet"/>
      <w:lvlText w:val="•"/>
      <w:lvlJc w:val="left"/>
      <w:pPr>
        <w:tabs>
          <w:tab w:val="num" w:pos="2880"/>
        </w:tabs>
        <w:ind w:left="2880" w:hanging="360"/>
      </w:pPr>
      <w:rPr>
        <w:rFonts w:ascii="Arial" w:hAnsi="Arial" w:hint="default"/>
      </w:rPr>
    </w:lvl>
    <w:lvl w:ilvl="4" w:tplc="7C680D5A" w:tentative="1">
      <w:start w:val="1"/>
      <w:numFmt w:val="bullet"/>
      <w:lvlText w:val="•"/>
      <w:lvlJc w:val="left"/>
      <w:pPr>
        <w:tabs>
          <w:tab w:val="num" w:pos="3600"/>
        </w:tabs>
        <w:ind w:left="3600" w:hanging="360"/>
      </w:pPr>
      <w:rPr>
        <w:rFonts w:ascii="Arial" w:hAnsi="Arial" w:hint="default"/>
      </w:rPr>
    </w:lvl>
    <w:lvl w:ilvl="5" w:tplc="B3F67C78" w:tentative="1">
      <w:start w:val="1"/>
      <w:numFmt w:val="bullet"/>
      <w:lvlText w:val="•"/>
      <w:lvlJc w:val="left"/>
      <w:pPr>
        <w:tabs>
          <w:tab w:val="num" w:pos="4320"/>
        </w:tabs>
        <w:ind w:left="4320" w:hanging="360"/>
      </w:pPr>
      <w:rPr>
        <w:rFonts w:ascii="Arial" w:hAnsi="Arial" w:hint="default"/>
      </w:rPr>
    </w:lvl>
    <w:lvl w:ilvl="6" w:tplc="8B86018A" w:tentative="1">
      <w:start w:val="1"/>
      <w:numFmt w:val="bullet"/>
      <w:lvlText w:val="•"/>
      <w:lvlJc w:val="left"/>
      <w:pPr>
        <w:tabs>
          <w:tab w:val="num" w:pos="5040"/>
        </w:tabs>
        <w:ind w:left="5040" w:hanging="360"/>
      </w:pPr>
      <w:rPr>
        <w:rFonts w:ascii="Arial" w:hAnsi="Arial" w:hint="default"/>
      </w:rPr>
    </w:lvl>
    <w:lvl w:ilvl="7" w:tplc="5D7A97E2" w:tentative="1">
      <w:start w:val="1"/>
      <w:numFmt w:val="bullet"/>
      <w:lvlText w:val="•"/>
      <w:lvlJc w:val="left"/>
      <w:pPr>
        <w:tabs>
          <w:tab w:val="num" w:pos="5760"/>
        </w:tabs>
        <w:ind w:left="5760" w:hanging="360"/>
      </w:pPr>
      <w:rPr>
        <w:rFonts w:ascii="Arial" w:hAnsi="Arial" w:hint="default"/>
      </w:rPr>
    </w:lvl>
    <w:lvl w:ilvl="8" w:tplc="5ECE576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5E8578F"/>
    <w:multiLevelType w:val="hybridMultilevel"/>
    <w:tmpl w:val="A774AE4C"/>
    <w:lvl w:ilvl="0" w:tplc="424E215A">
      <w:start w:val="1"/>
      <w:numFmt w:val="bullet"/>
      <w:lvlText w:val="•"/>
      <w:lvlJc w:val="left"/>
      <w:pPr>
        <w:tabs>
          <w:tab w:val="num" w:pos="360"/>
        </w:tabs>
        <w:ind w:left="360" w:hanging="360"/>
      </w:pPr>
      <w:rPr>
        <w:rFonts w:ascii="Arial" w:hAnsi="Arial" w:hint="default"/>
      </w:rPr>
    </w:lvl>
    <w:lvl w:ilvl="1" w:tplc="D666A2C0" w:tentative="1">
      <w:start w:val="1"/>
      <w:numFmt w:val="bullet"/>
      <w:lvlText w:val="•"/>
      <w:lvlJc w:val="left"/>
      <w:pPr>
        <w:tabs>
          <w:tab w:val="num" w:pos="1080"/>
        </w:tabs>
        <w:ind w:left="1080" w:hanging="360"/>
      </w:pPr>
      <w:rPr>
        <w:rFonts w:ascii="Arial" w:hAnsi="Arial" w:hint="default"/>
      </w:rPr>
    </w:lvl>
    <w:lvl w:ilvl="2" w:tplc="30BAA09A" w:tentative="1">
      <w:start w:val="1"/>
      <w:numFmt w:val="bullet"/>
      <w:lvlText w:val="•"/>
      <w:lvlJc w:val="left"/>
      <w:pPr>
        <w:tabs>
          <w:tab w:val="num" w:pos="1800"/>
        </w:tabs>
        <w:ind w:left="1800" w:hanging="360"/>
      </w:pPr>
      <w:rPr>
        <w:rFonts w:ascii="Arial" w:hAnsi="Arial" w:hint="default"/>
      </w:rPr>
    </w:lvl>
    <w:lvl w:ilvl="3" w:tplc="A202A77A" w:tentative="1">
      <w:start w:val="1"/>
      <w:numFmt w:val="bullet"/>
      <w:lvlText w:val="•"/>
      <w:lvlJc w:val="left"/>
      <w:pPr>
        <w:tabs>
          <w:tab w:val="num" w:pos="2520"/>
        </w:tabs>
        <w:ind w:left="2520" w:hanging="360"/>
      </w:pPr>
      <w:rPr>
        <w:rFonts w:ascii="Arial" w:hAnsi="Arial" w:hint="default"/>
      </w:rPr>
    </w:lvl>
    <w:lvl w:ilvl="4" w:tplc="6CDCBD4C" w:tentative="1">
      <w:start w:val="1"/>
      <w:numFmt w:val="bullet"/>
      <w:lvlText w:val="•"/>
      <w:lvlJc w:val="left"/>
      <w:pPr>
        <w:tabs>
          <w:tab w:val="num" w:pos="3240"/>
        </w:tabs>
        <w:ind w:left="3240" w:hanging="360"/>
      </w:pPr>
      <w:rPr>
        <w:rFonts w:ascii="Arial" w:hAnsi="Arial" w:hint="default"/>
      </w:rPr>
    </w:lvl>
    <w:lvl w:ilvl="5" w:tplc="8B6E8E7E" w:tentative="1">
      <w:start w:val="1"/>
      <w:numFmt w:val="bullet"/>
      <w:lvlText w:val="•"/>
      <w:lvlJc w:val="left"/>
      <w:pPr>
        <w:tabs>
          <w:tab w:val="num" w:pos="3960"/>
        </w:tabs>
        <w:ind w:left="3960" w:hanging="360"/>
      </w:pPr>
      <w:rPr>
        <w:rFonts w:ascii="Arial" w:hAnsi="Arial" w:hint="default"/>
      </w:rPr>
    </w:lvl>
    <w:lvl w:ilvl="6" w:tplc="E3502580" w:tentative="1">
      <w:start w:val="1"/>
      <w:numFmt w:val="bullet"/>
      <w:lvlText w:val="•"/>
      <w:lvlJc w:val="left"/>
      <w:pPr>
        <w:tabs>
          <w:tab w:val="num" w:pos="4680"/>
        </w:tabs>
        <w:ind w:left="4680" w:hanging="360"/>
      </w:pPr>
      <w:rPr>
        <w:rFonts w:ascii="Arial" w:hAnsi="Arial" w:hint="default"/>
      </w:rPr>
    </w:lvl>
    <w:lvl w:ilvl="7" w:tplc="FE48BC06" w:tentative="1">
      <w:start w:val="1"/>
      <w:numFmt w:val="bullet"/>
      <w:lvlText w:val="•"/>
      <w:lvlJc w:val="left"/>
      <w:pPr>
        <w:tabs>
          <w:tab w:val="num" w:pos="5400"/>
        </w:tabs>
        <w:ind w:left="5400" w:hanging="360"/>
      </w:pPr>
      <w:rPr>
        <w:rFonts w:ascii="Arial" w:hAnsi="Arial" w:hint="default"/>
      </w:rPr>
    </w:lvl>
    <w:lvl w:ilvl="8" w:tplc="EB26C4CC"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07C65632"/>
    <w:multiLevelType w:val="hybridMultilevel"/>
    <w:tmpl w:val="1444C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2F1BF0"/>
    <w:multiLevelType w:val="multilevel"/>
    <w:tmpl w:val="3676DC1E"/>
    <w:lvl w:ilvl="0">
      <w:start w:val="1"/>
      <w:numFmt w:val="decimal"/>
      <w:pStyle w:val="List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87108DF"/>
    <w:multiLevelType w:val="hybridMultilevel"/>
    <w:tmpl w:val="0BFC0F9C"/>
    <w:lvl w:ilvl="0" w:tplc="5986F1FE">
      <w:start w:val="1"/>
      <w:numFmt w:val="bullet"/>
      <w:lvlText w:val="•"/>
      <w:lvlJc w:val="left"/>
      <w:pPr>
        <w:tabs>
          <w:tab w:val="num" w:pos="720"/>
        </w:tabs>
        <w:ind w:left="720" w:hanging="360"/>
      </w:pPr>
      <w:rPr>
        <w:rFonts w:ascii="Arial" w:hAnsi="Arial" w:hint="default"/>
      </w:rPr>
    </w:lvl>
    <w:lvl w:ilvl="1" w:tplc="25602C52" w:tentative="1">
      <w:start w:val="1"/>
      <w:numFmt w:val="bullet"/>
      <w:lvlText w:val="•"/>
      <w:lvlJc w:val="left"/>
      <w:pPr>
        <w:tabs>
          <w:tab w:val="num" w:pos="1440"/>
        </w:tabs>
        <w:ind w:left="1440" w:hanging="360"/>
      </w:pPr>
      <w:rPr>
        <w:rFonts w:ascii="Arial" w:hAnsi="Arial" w:hint="default"/>
      </w:rPr>
    </w:lvl>
    <w:lvl w:ilvl="2" w:tplc="926C9FB4">
      <w:start w:val="1"/>
      <w:numFmt w:val="bullet"/>
      <w:lvlText w:val="•"/>
      <w:lvlJc w:val="left"/>
      <w:pPr>
        <w:tabs>
          <w:tab w:val="num" w:pos="2160"/>
        </w:tabs>
        <w:ind w:left="2160" w:hanging="360"/>
      </w:pPr>
      <w:rPr>
        <w:rFonts w:ascii="Arial" w:hAnsi="Arial" w:hint="default"/>
      </w:rPr>
    </w:lvl>
    <w:lvl w:ilvl="3" w:tplc="5C4C6CF2" w:tentative="1">
      <w:start w:val="1"/>
      <w:numFmt w:val="bullet"/>
      <w:lvlText w:val="•"/>
      <w:lvlJc w:val="left"/>
      <w:pPr>
        <w:tabs>
          <w:tab w:val="num" w:pos="2880"/>
        </w:tabs>
        <w:ind w:left="2880" w:hanging="360"/>
      </w:pPr>
      <w:rPr>
        <w:rFonts w:ascii="Arial" w:hAnsi="Arial" w:hint="default"/>
      </w:rPr>
    </w:lvl>
    <w:lvl w:ilvl="4" w:tplc="DD36DDFA" w:tentative="1">
      <w:start w:val="1"/>
      <w:numFmt w:val="bullet"/>
      <w:lvlText w:val="•"/>
      <w:lvlJc w:val="left"/>
      <w:pPr>
        <w:tabs>
          <w:tab w:val="num" w:pos="3600"/>
        </w:tabs>
        <w:ind w:left="3600" w:hanging="360"/>
      </w:pPr>
      <w:rPr>
        <w:rFonts w:ascii="Arial" w:hAnsi="Arial" w:hint="default"/>
      </w:rPr>
    </w:lvl>
    <w:lvl w:ilvl="5" w:tplc="81423E12" w:tentative="1">
      <w:start w:val="1"/>
      <w:numFmt w:val="bullet"/>
      <w:lvlText w:val="•"/>
      <w:lvlJc w:val="left"/>
      <w:pPr>
        <w:tabs>
          <w:tab w:val="num" w:pos="4320"/>
        </w:tabs>
        <w:ind w:left="4320" w:hanging="360"/>
      </w:pPr>
      <w:rPr>
        <w:rFonts w:ascii="Arial" w:hAnsi="Arial" w:hint="default"/>
      </w:rPr>
    </w:lvl>
    <w:lvl w:ilvl="6" w:tplc="9FB67046" w:tentative="1">
      <w:start w:val="1"/>
      <w:numFmt w:val="bullet"/>
      <w:lvlText w:val="•"/>
      <w:lvlJc w:val="left"/>
      <w:pPr>
        <w:tabs>
          <w:tab w:val="num" w:pos="5040"/>
        </w:tabs>
        <w:ind w:left="5040" w:hanging="360"/>
      </w:pPr>
      <w:rPr>
        <w:rFonts w:ascii="Arial" w:hAnsi="Arial" w:hint="default"/>
      </w:rPr>
    </w:lvl>
    <w:lvl w:ilvl="7" w:tplc="CF84B052" w:tentative="1">
      <w:start w:val="1"/>
      <w:numFmt w:val="bullet"/>
      <w:lvlText w:val="•"/>
      <w:lvlJc w:val="left"/>
      <w:pPr>
        <w:tabs>
          <w:tab w:val="num" w:pos="5760"/>
        </w:tabs>
        <w:ind w:left="5760" w:hanging="360"/>
      </w:pPr>
      <w:rPr>
        <w:rFonts w:ascii="Arial" w:hAnsi="Arial" w:hint="default"/>
      </w:rPr>
    </w:lvl>
    <w:lvl w:ilvl="8" w:tplc="EFD2CFB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B112CA7"/>
    <w:multiLevelType w:val="hybridMultilevel"/>
    <w:tmpl w:val="A1E6A13A"/>
    <w:lvl w:ilvl="0" w:tplc="956A9F30">
      <w:start w:val="1"/>
      <w:numFmt w:val="bullet"/>
      <w:lvlText w:val="•"/>
      <w:lvlJc w:val="left"/>
      <w:pPr>
        <w:tabs>
          <w:tab w:val="num" w:pos="720"/>
        </w:tabs>
        <w:ind w:left="720" w:hanging="360"/>
      </w:pPr>
      <w:rPr>
        <w:rFonts w:ascii="Arial" w:hAnsi="Arial" w:hint="default"/>
      </w:rPr>
    </w:lvl>
    <w:lvl w:ilvl="1" w:tplc="8AC2BBAE">
      <w:start w:val="1"/>
      <w:numFmt w:val="bullet"/>
      <w:lvlText w:val="•"/>
      <w:lvlJc w:val="left"/>
      <w:pPr>
        <w:tabs>
          <w:tab w:val="num" w:pos="1440"/>
        </w:tabs>
        <w:ind w:left="1440" w:hanging="360"/>
      </w:pPr>
      <w:rPr>
        <w:rFonts w:ascii="Arial" w:hAnsi="Arial" w:hint="default"/>
      </w:rPr>
    </w:lvl>
    <w:lvl w:ilvl="2" w:tplc="8940DDE4" w:tentative="1">
      <w:start w:val="1"/>
      <w:numFmt w:val="bullet"/>
      <w:lvlText w:val="•"/>
      <w:lvlJc w:val="left"/>
      <w:pPr>
        <w:tabs>
          <w:tab w:val="num" w:pos="2160"/>
        </w:tabs>
        <w:ind w:left="2160" w:hanging="360"/>
      </w:pPr>
      <w:rPr>
        <w:rFonts w:ascii="Arial" w:hAnsi="Arial" w:hint="default"/>
      </w:rPr>
    </w:lvl>
    <w:lvl w:ilvl="3" w:tplc="F4E0F3E2" w:tentative="1">
      <w:start w:val="1"/>
      <w:numFmt w:val="bullet"/>
      <w:lvlText w:val="•"/>
      <w:lvlJc w:val="left"/>
      <w:pPr>
        <w:tabs>
          <w:tab w:val="num" w:pos="2880"/>
        </w:tabs>
        <w:ind w:left="2880" w:hanging="360"/>
      </w:pPr>
      <w:rPr>
        <w:rFonts w:ascii="Arial" w:hAnsi="Arial" w:hint="default"/>
      </w:rPr>
    </w:lvl>
    <w:lvl w:ilvl="4" w:tplc="B7027DEA" w:tentative="1">
      <w:start w:val="1"/>
      <w:numFmt w:val="bullet"/>
      <w:lvlText w:val="•"/>
      <w:lvlJc w:val="left"/>
      <w:pPr>
        <w:tabs>
          <w:tab w:val="num" w:pos="3600"/>
        </w:tabs>
        <w:ind w:left="3600" w:hanging="360"/>
      </w:pPr>
      <w:rPr>
        <w:rFonts w:ascii="Arial" w:hAnsi="Arial" w:hint="default"/>
      </w:rPr>
    </w:lvl>
    <w:lvl w:ilvl="5" w:tplc="017E7BB0" w:tentative="1">
      <w:start w:val="1"/>
      <w:numFmt w:val="bullet"/>
      <w:lvlText w:val="•"/>
      <w:lvlJc w:val="left"/>
      <w:pPr>
        <w:tabs>
          <w:tab w:val="num" w:pos="4320"/>
        </w:tabs>
        <w:ind w:left="4320" w:hanging="360"/>
      </w:pPr>
      <w:rPr>
        <w:rFonts w:ascii="Arial" w:hAnsi="Arial" w:hint="default"/>
      </w:rPr>
    </w:lvl>
    <w:lvl w:ilvl="6" w:tplc="AFC6B99A" w:tentative="1">
      <w:start w:val="1"/>
      <w:numFmt w:val="bullet"/>
      <w:lvlText w:val="•"/>
      <w:lvlJc w:val="left"/>
      <w:pPr>
        <w:tabs>
          <w:tab w:val="num" w:pos="5040"/>
        </w:tabs>
        <w:ind w:left="5040" w:hanging="360"/>
      </w:pPr>
      <w:rPr>
        <w:rFonts w:ascii="Arial" w:hAnsi="Arial" w:hint="default"/>
      </w:rPr>
    </w:lvl>
    <w:lvl w:ilvl="7" w:tplc="C750E1FC" w:tentative="1">
      <w:start w:val="1"/>
      <w:numFmt w:val="bullet"/>
      <w:lvlText w:val="•"/>
      <w:lvlJc w:val="left"/>
      <w:pPr>
        <w:tabs>
          <w:tab w:val="num" w:pos="5760"/>
        </w:tabs>
        <w:ind w:left="5760" w:hanging="360"/>
      </w:pPr>
      <w:rPr>
        <w:rFonts w:ascii="Arial" w:hAnsi="Arial" w:hint="default"/>
      </w:rPr>
    </w:lvl>
    <w:lvl w:ilvl="8" w:tplc="22DEE8C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0DA92E5A"/>
    <w:multiLevelType w:val="hybridMultilevel"/>
    <w:tmpl w:val="F0C2CFA4"/>
    <w:lvl w:ilvl="0" w:tplc="84309AAC">
      <w:start w:val="1"/>
      <w:numFmt w:val="bullet"/>
      <w:lvlText w:val="•"/>
      <w:lvlJc w:val="left"/>
      <w:pPr>
        <w:tabs>
          <w:tab w:val="num" w:pos="360"/>
        </w:tabs>
        <w:ind w:left="360" w:hanging="360"/>
      </w:pPr>
      <w:rPr>
        <w:rFonts w:ascii="Arial" w:hAnsi="Arial" w:hint="default"/>
      </w:rPr>
    </w:lvl>
    <w:lvl w:ilvl="1" w:tplc="3F6EDA2E">
      <w:start w:val="1"/>
      <w:numFmt w:val="bullet"/>
      <w:lvlText w:val="•"/>
      <w:lvlJc w:val="left"/>
      <w:pPr>
        <w:tabs>
          <w:tab w:val="num" w:pos="1080"/>
        </w:tabs>
        <w:ind w:left="1080" w:hanging="360"/>
      </w:pPr>
      <w:rPr>
        <w:rFonts w:ascii="Arial" w:hAnsi="Arial" w:hint="default"/>
      </w:rPr>
    </w:lvl>
    <w:lvl w:ilvl="2" w:tplc="BCB26F3C">
      <w:start w:val="1"/>
      <w:numFmt w:val="bullet"/>
      <w:lvlText w:val="•"/>
      <w:lvlJc w:val="left"/>
      <w:pPr>
        <w:tabs>
          <w:tab w:val="num" w:pos="1800"/>
        </w:tabs>
        <w:ind w:left="1800" w:hanging="360"/>
      </w:pPr>
      <w:rPr>
        <w:rFonts w:ascii="Arial" w:hAnsi="Arial" w:hint="default"/>
      </w:rPr>
    </w:lvl>
    <w:lvl w:ilvl="3" w:tplc="CE8A20DE" w:tentative="1">
      <w:start w:val="1"/>
      <w:numFmt w:val="bullet"/>
      <w:lvlText w:val="•"/>
      <w:lvlJc w:val="left"/>
      <w:pPr>
        <w:tabs>
          <w:tab w:val="num" w:pos="2520"/>
        </w:tabs>
        <w:ind w:left="2520" w:hanging="360"/>
      </w:pPr>
      <w:rPr>
        <w:rFonts w:ascii="Arial" w:hAnsi="Arial" w:hint="default"/>
      </w:rPr>
    </w:lvl>
    <w:lvl w:ilvl="4" w:tplc="5846EB12" w:tentative="1">
      <w:start w:val="1"/>
      <w:numFmt w:val="bullet"/>
      <w:lvlText w:val="•"/>
      <w:lvlJc w:val="left"/>
      <w:pPr>
        <w:tabs>
          <w:tab w:val="num" w:pos="3240"/>
        </w:tabs>
        <w:ind w:left="3240" w:hanging="360"/>
      </w:pPr>
      <w:rPr>
        <w:rFonts w:ascii="Arial" w:hAnsi="Arial" w:hint="default"/>
      </w:rPr>
    </w:lvl>
    <w:lvl w:ilvl="5" w:tplc="C206E9E2" w:tentative="1">
      <w:start w:val="1"/>
      <w:numFmt w:val="bullet"/>
      <w:lvlText w:val="•"/>
      <w:lvlJc w:val="left"/>
      <w:pPr>
        <w:tabs>
          <w:tab w:val="num" w:pos="3960"/>
        </w:tabs>
        <w:ind w:left="3960" w:hanging="360"/>
      </w:pPr>
      <w:rPr>
        <w:rFonts w:ascii="Arial" w:hAnsi="Arial" w:hint="default"/>
      </w:rPr>
    </w:lvl>
    <w:lvl w:ilvl="6" w:tplc="23E0BEB4" w:tentative="1">
      <w:start w:val="1"/>
      <w:numFmt w:val="bullet"/>
      <w:lvlText w:val="•"/>
      <w:lvlJc w:val="left"/>
      <w:pPr>
        <w:tabs>
          <w:tab w:val="num" w:pos="4680"/>
        </w:tabs>
        <w:ind w:left="4680" w:hanging="360"/>
      </w:pPr>
      <w:rPr>
        <w:rFonts w:ascii="Arial" w:hAnsi="Arial" w:hint="default"/>
      </w:rPr>
    </w:lvl>
    <w:lvl w:ilvl="7" w:tplc="ACAAA0CE" w:tentative="1">
      <w:start w:val="1"/>
      <w:numFmt w:val="bullet"/>
      <w:lvlText w:val="•"/>
      <w:lvlJc w:val="left"/>
      <w:pPr>
        <w:tabs>
          <w:tab w:val="num" w:pos="5400"/>
        </w:tabs>
        <w:ind w:left="5400" w:hanging="360"/>
      </w:pPr>
      <w:rPr>
        <w:rFonts w:ascii="Arial" w:hAnsi="Arial" w:hint="default"/>
      </w:rPr>
    </w:lvl>
    <w:lvl w:ilvl="8" w:tplc="96B632F2"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0E337CB1"/>
    <w:multiLevelType w:val="hybridMultilevel"/>
    <w:tmpl w:val="E4F89CA0"/>
    <w:lvl w:ilvl="0" w:tplc="4D4494CC">
      <w:start w:val="1"/>
      <w:numFmt w:val="bullet"/>
      <w:lvlText w:val="•"/>
      <w:lvlJc w:val="left"/>
      <w:pPr>
        <w:tabs>
          <w:tab w:val="num" w:pos="360"/>
        </w:tabs>
        <w:ind w:left="360" w:hanging="360"/>
      </w:pPr>
      <w:rPr>
        <w:rFonts w:ascii="Arial" w:hAnsi="Arial" w:hint="default"/>
      </w:rPr>
    </w:lvl>
    <w:lvl w:ilvl="1" w:tplc="FEDAAC36">
      <w:start w:val="1"/>
      <w:numFmt w:val="bullet"/>
      <w:lvlText w:val="•"/>
      <w:lvlJc w:val="left"/>
      <w:pPr>
        <w:tabs>
          <w:tab w:val="num" w:pos="1080"/>
        </w:tabs>
        <w:ind w:left="1080" w:hanging="360"/>
      </w:pPr>
      <w:rPr>
        <w:rFonts w:ascii="Arial" w:hAnsi="Arial" w:hint="default"/>
      </w:rPr>
    </w:lvl>
    <w:lvl w:ilvl="2" w:tplc="45D08C96" w:tentative="1">
      <w:start w:val="1"/>
      <w:numFmt w:val="bullet"/>
      <w:lvlText w:val="•"/>
      <w:lvlJc w:val="left"/>
      <w:pPr>
        <w:tabs>
          <w:tab w:val="num" w:pos="1800"/>
        </w:tabs>
        <w:ind w:left="1800" w:hanging="360"/>
      </w:pPr>
      <w:rPr>
        <w:rFonts w:ascii="Arial" w:hAnsi="Arial" w:hint="default"/>
      </w:rPr>
    </w:lvl>
    <w:lvl w:ilvl="3" w:tplc="F1DC0FFA" w:tentative="1">
      <w:start w:val="1"/>
      <w:numFmt w:val="bullet"/>
      <w:lvlText w:val="•"/>
      <w:lvlJc w:val="left"/>
      <w:pPr>
        <w:tabs>
          <w:tab w:val="num" w:pos="2520"/>
        </w:tabs>
        <w:ind w:left="2520" w:hanging="360"/>
      </w:pPr>
      <w:rPr>
        <w:rFonts w:ascii="Arial" w:hAnsi="Arial" w:hint="default"/>
      </w:rPr>
    </w:lvl>
    <w:lvl w:ilvl="4" w:tplc="27A2C222" w:tentative="1">
      <w:start w:val="1"/>
      <w:numFmt w:val="bullet"/>
      <w:lvlText w:val="•"/>
      <w:lvlJc w:val="left"/>
      <w:pPr>
        <w:tabs>
          <w:tab w:val="num" w:pos="3240"/>
        </w:tabs>
        <w:ind w:left="3240" w:hanging="360"/>
      </w:pPr>
      <w:rPr>
        <w:rFonts w:ascii="Arial" w:hAnsi="Arial" w:hint="default"/>
      </w:rPr>
    </w:lvl>
    <w:lvl w:ilvl="5" w:tplc="129AE7F4" w:tentative="1">
      <w:start w:val="1"/>
      <w:numFmt w:val="bullet"/>
      <w:lvlText w:val="•"/>
      <w:lvlJc w:val="left"/>
      <w:pPr>
        <w:tabs>
          <w:tab w:val="num" w:pos="3960"/>
        </w:tabs>
        <w:ind w:left="3960" w:hanging="360"/>
      </w:pPr>
      <w:rPr>
        <w:rFonts w:ascii="Arial" w:hAnsi="Arial" w:hint="default"/>
      </w:rPr>
    </w:lvl>
    <w:lvl w:ilvl="6" w:tplc="FDF2F7A4" w:tentative="1">
      <w:start w:val="1"/>
      <w:numFmt w:val="bullet"/>
      <w:lvlText w:val="•"/>
      <w:lvlJc w:val="left"/>
      <w:pPr>
        <w:tabs>
          <w:tab w:val="num" w:pos="4680"/>
        </w:tabs>
        <w:ind w:left="4680" w:hanging="360"/>
      </w:pPr>
      <w:rPr>
        <w:rFonts w:ascii="Arial" w:hAnsi="Arial" w:hint="default"/>
      </w:rPr>
    </w:lvl>
    <w:lvl w:ilvl="7" w:tplc="1750B2F4" w:tentative="1">
      <w:start w:val="1"/>
      <w:numFmt w:val="bullet"/>
      <w:lvlText w:val="•"/>
      <w:lvlJc w:val="left"/>
      <w:pPr>
        <w:tabs>
          <w:tab w:val="num" w:pos="5400"/>
        </w:tabs>
        <w:ind w:left="5400" w:hanging="360"/>
      </w:pPr>
      <w:rPr>
        <w:rFonts w:ascii="Arial" w:hAnsi="Arial" w:hint="default"/>
      </w:rPr>
    </w:lvl>
    <w:lvl w:ilvl="8" w:tplc="E9E6D32E"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100E1262"/>
    <w:multiLevelType w:val="multilevel"/>
    <w:tmpl w:val="E718FFEC"/>
    <w:lvl w:ilvl="0">
      <w:start w:val="1"/>
      <w:numFmt w:val="decimal"/>
      <w:pStyle w:val="Heading1"/>
      <w:lvlText w:val="%1."/>
      <w:lvlJc w:val="left"/>
      <w:pPr>
        <w:ind w:left="360" w:hanging="360"/>
      </w:pPr>
      <w:rPr>
        <w:rFonts w:asciiTheme="majorHAnsi" w:hAnsiTheme="majorHAnsi" w:hint="default"/>
        <w:i w:val="0"/>
        <w:iCs w:val="0"/>
      </w:rPr>
    </w:lvl>
    <w:lvl w:ilvl="1">
      <w:start w:val="1"/>
      <w:numFmt w:val="decimal"/>
      <w:pStyle w:val="Heading2"/>
      <w:lvlText w:val="%1.%2."/>
      <w:lvlJc w:val="left"/>
      <w:pPr>
        <w:ind w:left="792" w:hanging="432"/>
      </w:pPr>
      <w:rPr>
        <w:rFonts w:asciiTheme="majorHAnsi" w:hAnsiTheme="majorHAnsi" w:hint="default"/>
      </w:rPr>
    </w:lvl>
    <w:lvl w:ilvl="2">
      <w:start w:val="1"/>
      <w:numFmt w:val="decimal"/>
      <w:pStyle w:val="Heading3"/>
      <w:lvlText w:val="%1.%2.%3."/>
      <w:lvlJc w:val="left"/>
      <w:pPr>
        <w:ind w:left="1854" w:hanging="504"/>
      </w:pPr>
      <w:rPr>
        <w:rFonts w:asciiTheme="majorHAnsi" w:hAnsiTheme="majorHAnsi" w:hint="default"/>
      </w:rPr>
    </w:lvl>
    <w:lvl w:ilvl="3">
      <w:start w:val="1"/>
      <w:numFmt w:val="decimal"/>
      <w:lvlText w:val="%1.%2.%3.%4."/>
      <w:lvlJc w:val="left"/>
      <w:pPr>
        <w:ind w:left="1728" w:hanging="648"/>
      </w:pPr>
      <w:rPr>
        <w:rFonts w:ascii="Arial" w:hAnsi="Arial" w:hint="default"/>
      </w:rPr>
    </w:lvl>
    <w:lvl w:ilvl="4">
      <w:start w:val="1"/>
      <w:numFmt w:val="decimal"/>
      <w:lvlText w:val="%1.%2.%3.%4.%5."/>
      <w:lvlJc w:val="left"/>
      <w:pPr>
        <w:ind w:left="2232" w:hanging="792"/>
      </w:pPr>
      <w:rPr>
        <w:rFonts w:ascii="Arial" w:hAnsi="Arial" w:hint="default"/>
      </w:rPr>
    </w:lvl>
    <w:lvl w:ilvl="5">
      <w:start w:val="1"/>
      <w:numFmt w:val="decimal"/>
      <w:lvlText w:val="%1.%2.%3.%4.%5.%6."/>
      <w:lvlJc w:val="left"/>
      <w:pPr>
        <w:ind w:left="2736" w:hanging="936"/>
      </w:pPr>
      <w:rPr>
        <w:rFonts w:ascii="Arial" w:hAnsi="Arial" w:hint="default"/>
      </w:rPr>
    </w:lvl>
    <w:lvl w:ilvl="6">
      <w:start w:val="1"/>
      <w:numFmt w:val="decimal"/>
      <w:lvlText w:val="%1.%2.%3.%4.%5.%6.%7."/>
      <w:lvlJc w:val="left"/>
      <w:pPr>
        <w:ind w:left="3240" w:hanging="1080"/>
      </w:pPr>
      <w:rPr>
        <w:rFonts w:ascii="Arial" w:hAnsi="Arial" w:hint="default"/>
      </w:rPr>
    </w:lvl>
    <w:lvl w:ilvl="7">
      <w:start w:val="1"/>
      <w:numFmt w:val="decimal"/>
      <w:lvlText w:val="%1.%2.%3.%4.%5.%6.%7.%8."/>
      <w:lvlJc w:val="left"/>
      <w:pPr>
        <w:ind w:left="3744" w:hanging="1224"/>
      </w:pPr>
      <w:rPr>
        <w:rFonts w:ascii="Arial" w:hAnsi="Arial" w:hint="default"/>
      </w:rPr>
    </w:lvl>
    <w:lvl w:ilvl="8">
      <w:start w:val="1"/>
      <w:numFmt w:val="decimal"/>
      <w:lvlText w:val="%1.%2.%3.%4.%5.%6.%7.%8.%9."/>
      <w:lvlJc w:val="left"/>
      <w:pPr>
        <w:ind w:left="4320" w:hanging="1440"/>
      </w:pPr>
      <w:rPr>
        <w:rFonts w:ascii="Arial" w:hAnsi="Arial" w:hint="default"/>
      </w:rPr>
    </w:lvl>
  </w:abstractNum>
  <w:abstractNum w:abstractNumId="19" w15:restartNumberingAfterBreak="0">
    <w:nsid w:val="10B22223"/>
    <w:multiLevelType w:val="hybridMultilevel"/>
    <w:tmpl w:val="B766628A"/>
    <w:lvl w:ilvl="0" w:tplc="A7A020E8">
      <w:start w:val="1"/>
      <w:numFmt w:val="bullet"/>
      <w:lvlText w:val="•"/>
      <w:lvlJc w:val="left"/>
      <w:pPr>
        <w:tabs>
          <w:tab w:val="num" w:pos="360"/>
        </w:tabs>
        <w:ind w:left="360" w:hanging="360"/>
      </w:pPr>
      <w:rPr>
        <w:rFonts w:ascii="Arial" w:hAnsi="Arial" w:hint="default"/>
      </w:rPr>
    </w:lvl>
    <w:lvl w:ilvl="1" w:tplc="C8307D40">
      <w:start w:val="1"/>
      <w:numFmt w:val="bullet"/>
      <w:lvlText w:val="•"/>
      <w:lvlJc w:val="left"/>
      <w:pPr>
        <w:tabs>
          <w:tab w:val="num" w:pos="1080"/>
        </w:tabs>
        <w:ind w:left="1080" w:hanging="360"/>
      </w:pPr>
      <w:rPr>
        <w:rFonts w:ascii="Arial" w:hAnsi="Arial" w:hint="default"/>
      </w:rPr>
    </w:lvl>
    <w:lvl w:ilvl="2" w:tplc="96F49454" w:tentative="1">
      <w:start w:val="1"/>
      <w:numFmt w:val="bullet"/>
      <w:lvlText w:val="•"/>
      <w:lvlJc w:val="left"/>
      <w:pPr>
        <w:tabs>
          <w:tab w:val="num" w:pos="1800"/>
        </w:tabs>
        <w:ind w:left="1800" w:hanging="360"/>
      </w:pPr>
      <w:rPr>
        <w:rFonts w:ascii="Arial" w:hAnsi="Arial" w:hint="default"/>
      </w:rPr>
    </w:lvl>
    <w:lvl w:ilvl="3" w:tplc="F1B0803C" w:tentative="1">
      <w:start w:val="1"/>
      <w:numFmt w:val="bullet"/>
      <w:lvlText w:val="•"/>
      <w:lvlJc w:val="left"/>
      <w:pPr>
        <w:tabs>
          <w:tab w:val="num" w:pos="2520"/>
        </w:tabs>
        <w:ind w:left="2520" w:hanging="360"/>
      </w:pPr>
      <w:rPr>
        <w:rFonts w:ascii="Arial" w:hAnsi="Arial" w:hint="default"/>
      </w:rPr>
    </w:lvl>
    <w:lvl w:ilvl="4" w:tplc="0C160302" w:tentative="1">
      <w:start w:val="1"/>
      <w:numFmt w:val="bullet"/>
      <w:lvlText w:val="•"/>
      <w:lvlJc w:val="left"/>
      <w:pPr>
        <w:tabs>
          <w:tab w:val="num" w:pos="3240"/>
        </w:tabs>
        <w:ind w:left="3240" w:hanging="360"/>
      </w:pPr>
      <w:rPr>
        <w:rFonts w:ascii="Arial" w:hAnsi="Arial" w:hint="default"/>
      </w:rPr>
    </w:lvl>
    <w:lvl w:ilvl="5" w:tplc="BFFA4D6E" w:tentative="1">
      <w:start w:val="1"/>
      <w:numFmt w:val="bullet"/>
      <w:lvlText w:val="•"/>
      <w:lvlJc w:val="left"/>
      <w:pPr>
        <w:tabs>
          <w:tab w:val="num" w:pos="3960"/>
        </w:tabs>
        <w:ind w:left="3960" w:hanging="360"/>
      </w:pPr>
      <w:rPr>
        <w:rFonts w:ascii="Arial" w:hAnsi="Arial" w:hint="default"/>
      </w:rPr>
    </w:lvl>
    <w:lvl w:ilvl="6" w:tplc="E04C85A2" w:tentative="1">
      <w:start w:val="1"/>
      <w:numFmt w:val="bullet"/>
      <w:lvlText w:val="•"/>
      <w:lvlJc w:val="left"/>
      <w:pPr>
        <w:tabs>
          <w:tab w:val="num" w:pos="4680"/>
        </w:tabs>
        <w:ind w:left="4680" w:hanging="360"/>
      </w:pPr>
      <w:rPr>
        <w:rFonts w:ascii="Arial" w:hAnsi="Arial" w:hint="default"/>
      </w:rPr>
    </w:lvl>
    <w:lvl w:ilvl="7" w:tplc="0072571C" w:tentative="1">
      <w:start w:val="1"/>
      <w:numFmt w:val="bullet"/>
      <w:lvlText w:val="•"/>
      <w:lvlJc w:val="left"/>
      <w:pPr>
        <w:tabs>
          <w:tab w:val="num" w:pos="5400"/>
        </w:tabs>
        <w:ind w:left="5400" w:hanging="360"/>
      </w:pPr>
      <w:rPr>
        <w:rFonts w:ascii="Arial" w:hAnsi="Arial" w:hint="default"/>
      </w:rPr>
    </w:lvl>
    <w:lvl w:ilvl="8" w:tplc="4F8C289E"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112F597D"/>
    <w:multiLevelType w:val="multilevel"/>
    <w:tmpl w:val="8FD20EC6"/>
    <w:styleLink w:val="List9"/>
    <w:lvl w:ilvl="0">
      <w:start w:val="1"/>
      <w:numFmt w:val="bullet"/>
      <w:pStyle w:val="FHCTableBullet9p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28241AA"/>
    <w:multiLevelType w:val="hybridMultilevel"/>
    <w:tmpl w:val="9D507286"/>
    <w:lvl w:ilvl="0" w:tplc="3A9A71FE">
      <w:start w:val="1"/>
      <w:numFmt w:val="lowerLetter"/>
      <w:lvlText w:val="%1)"/>
      <w:lvlJc w:val="left"/>
      <w:pPr>
        <w:ind w:left="72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AD1ACC"/>
    <w:multiLevelType w:val="hybridMultilevel"/>
    <w:tmpl w:val="6DFE16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32B1213"/>
    <w:multiLevelType w:val="hybridMultilevel"/>
    <w:tmpl w:val="27845F8A"/>
    <w:lvl w:ilvl="0" w:tplc="B46E6574">
      <w:start w:val="1"/>
      <w:numFmt w:val="bullet"/>
      <w:lvlText w:val="•"/>
      <w:lvlJc w:val="left"/>
      <w:pPr>
        <w:tabs>
          <w:tab w:val="num" w:pos="360"/>
        </w:tabs>
        <w:ind w:left="360" w:hanging="360"/>
      </w:pPr>
      <w:rPr>
        <w:rFonts w:ascii="Arial" w:hAnsi="Arial" w:hint="default"/>
      </w:rPr>
    </w:lvl>
    <w:lvl w:ilvl="1" w:tplc="A0DCA0AC">
      <w:start w:val="1"/>
      <w:numFmt w:val="bullet"/>
      <w:lvlText w:val="•"/>
      <w:lvlJc w:val="left"/>
      <w:pPr>
        <w:tabs>
          <w:tab w:val="num" w:pos="1080"/>
        </w:tabs>
        <w:ind w:left="1080" w:hanging="360"/>
      </w:pPr>
      <w:rPr>
        <w:rFonts w:ascii="Arial" w:hAnsi="Arial" w:hint="default"/>
      </w:rPr>
    </w:lvl>
    <w:lvl w:ilvl="2" w:tplc="837801C6">
      <w:start w:val="1"/>
      <w:numFmt w:val="bullet"/>
      <w:lvlText w:val="•"/>
      <w:lvlJc w:val="left"/>
      <w:pPr>
        <w:tabs>
          <w:tab w:val="num" w:pos="1800"/>
        </w:tabs>
        <w:ind w:left="1800" w:hanging="360"/>
      </w:pPr>
      <w:rPr>
        <w:rFonts w:ascii="Arial" w:hAnsi="Arial" w:hint="default"/>
      </w:rPr>
    </w:lvl>
    <w:lvl w:ilvl="3" w:tplc="4484F49C" w:tentative="1">
      <w:start w:val="1"/>
      <w:numFmt w:val="bullet"/>
      <w:lvlText w:val="•"/>
      <w:lvlJc w:val="left"/>
      <w:pPr>
        <w:tabs>
          <w:tab w:val="num" w:pos="2520"/>
        </w:tabs>
        <w:ind w:left="2520" w:hanging="360"/>
      </w:pPr>
      <w:rPr>
        <w:rFonts w:ascii="Arial" w:hAnsi="Arial" w:hint="default"/>
      </w:rPr>
    </w:lvl>
    <w:lvl w:ilvl="4" w:tplc="B4E430D6" w:tentative="1">
      <w:start w:val="1"/>
      <w:numFmt w:val="bullet"/>
      <w:lvlText w:val="•"/>
      <w:lvlJc w:val="left"/>
      <w:pPr>
        <w:tabs>
          <w:tab w:val="num" w:pos="3240"/>
        </w:tabs>
        <w:ind w:left="3240" w:hanging="360"/>
      </w:pPr>
      <w:rPr>
        <w:rFonts w:ascii="Arial" w:hAnsi="Arial" w:hint="default"/>
      </w:rPr>
    </w:lvl>
    <w:lvl w:ilvl="5" w:tplc="D1F2B9BC" w:tentative="1">
      <w:start w:val="1"/>
      <w:numFmt w:val="bullet"/>
      <w:lvlText w:val="•"/>
      <w:lvlJc w:val="left"/>
      <w:pPr>
        <w:tabs>
          <w:tab w:val="num" w:pos="3960"/>
        </w:tabs>
        <w:ind w:left="3960" w:hanging="360"/>
      </w:pPr>
      <w:rPr>
        <w:rFonts w:ascii="Arial" w:hAnsi="Arial" w:hint="default"/>
      </w:rPr>
    </w:lvl>
    <w:lvl w:ilvl="6" w:tplc="FD2AEF76" w:tentative="1">
      <w:start w:val="1"/>
      <w:numFmt w:val="bullet"/>
      <w:lvlText w:val="•"/>
      <w:lvlJc w:val="left"/>
      <w:pPr>
        <w:tabs>
          <w:tab w:val="num" w:pos="4680"/>
        </w:tabs>
        <w:ind w:left="4680" w:hanging="360"/>
      </w:pPr>
      <w:rPr>
        <w:rFonts w:ascii="Arial" w:hAnsi="Arial" w:hint="default"/>
      </w:rPr>
    </w:lvl>
    <w:lvl w:ilvl="7" w:tplc="38BE4EC8" w:tentative="1">
      <w:start w:val="1"/>
      <w:numFmt w:val="bullet"/>
      <w:lvlText w:val="•"/>
      <w:lvlJc w:val="left"/>
      <w:pPr>
        <w:tabs>
          <w:tab w:val="num" w:pos="5400"/>
        </w:tabs>
        <w:ind w:left="5400" w:hanging="360"/>
      </w:pPr>
      <w:rPr>
        <w:rFonts w:ascii="Arial" w:hAnsi="Arial" w:hint="default"/>
      </w:rPr>
    </w:lvl>
    <w:lvl w:ilvl="8" w:tplc="CB5C1A3E"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13747E8C"/>
    <w:multiLevelType w:val="hybridMultilevel"/>
    <w:tmpl w:val="3FE817C6"/>
    <w:lvl w:ilvl="0" w:tplc="550062A2">
      <w:start w:val="1"/>
      <w:numFmt w:val="bullet"/>
      <w:lvlText w:val="•"/>
      <w:lvlJc w:val="left"/>
      <w:pPr>
        <w:tabs>
          <w:tab w:val="num" w:pos="720"/>
        </w:tabs>
        <w:ind w:left="720" w:hanging="360"/>
      </w:pPr>
      <w:rPr>
        <w:rFonts w:ascii="Arial" w:hAnsi="Arial" w:hint="default"/>
      </w:rPr>
    </w:lvl>
    <w:lvl w:ilvl="1" w:tplc="71DCA60C" w:tentative="1">
      <w:start w:val="1"/>
      <w:numFmt w:val="bullet"/>
      <w:lvlText w:val="•"/>
      <w:lvlJc w:val="left"/>
      <w:pPr>
        <w:tabs>
          <w:tab w:val="num" w:pos="1440"/>
        </w:tabs>
        <w:ind w:left="1440" w:hanging="360"/>
      </w:pPr>
      <w:rPr>
        <w:rFonts w:ascii="Arial" w:hAnsi="Arial" w:hint="default"/>
      </w:rPr>
    </w:lvl>
    <w:lvl w:ilvl="2" w:tplc="95684542">
      <w:start w:val="1"/>
      <w:numFmt w:val="bullet"/>
      <w:lvlText w:val="•"/>
      <w:lvlJc w:val="left"/>
      <w:pPr>
        <w:tabs>
          <w:tab w:val="num" w:pos="2160"/>
        </w:tabs>
        <w:ind w:left="2160" w:hanging="360"/>
      </w:pPr>
      <w:rPr>
        <w:rFonts w:ascii="Arial" w:hAnsi="Arial" w:hint="default"/>
      </w:rPr>
    </w:lvl>
    <w:lvl w:ilvl="3" w:tplc="6B9A721A" w:tentative="1">
      <w:start w:val="1"/>
      <w:numFmt w:val="bullet"/>
      <w:lvlText w:val="•"/>
      <w:lvlJc w:val="left"/>
      <w:pPr>
        <w:tabs>
          <w:tab w:val="num" w:pos="2880"/>
        </w:tabs>
        <w:ind w:left="2880" w:hanging="360"/>
      </w:pPr>
      <w:rPr>
        <w:rFonts w:ascii="Arial" w:hAnsi="Arial" w:hint="default"/>
      </w:rPr>
    </w:lvl>
    <w:lvl w:ilvl="4" w:tplc="C6AEA00E" w:tentative="1">
      <w:start w:val="1"/>
      <w:numFmt w:val="bullet"/>
      <w:lvlText w:val="•"/>
      <w:lvlJc w:val="left"/>
      <w:pPr>
        <w:tabs>
          <w:tab w:val="num" w:pos="3600"/>
        </w:tabs>
        <w:ind w:left="3600" w:hanging="360"/>
      </w:pPr>
      <w:rPr>
        <w:rFonts w:ascii="Arial" w:hAnsi="Arial" w:hint="default"/>
      </w:rPr>
    </w:lvl>
    <w:lvl w:ilvl="5" w:tplc="CFBC1D50" w:tentative="1">
      <w:start w:val="1"/>
      <w:numFmt w:val="bullet"/>
      <w:lvlText w:val="•"/>
      <w:lvlJc w:val="left"/>
      <w:pPr>
        <w:tabs>
          <w:tab w:val="num" w:pos="4320"/>
        </w:tabs>
        <w:ind w:left="4320" w:hanging="360"/>
      </w:pPr>
      <w:rPr>
        <w:rFonts w:ascii="Arial" w:hAnsi="Arial" w:hint="default"/>
      </w:rPr>
    </w:lvl>
    <w:lvl w:ilvl="6" w:tplc="0F0A3106" w:tentative="1">
      <w:start w:val="1"/>
      <w:numFmt w:val="bullet"/>
      <w:lvlText w:val="•"/>
      <w:lvlJc w:val="left"/>
      <w:pPr>
        <w:tabs>
          <w:tab w:val="num" w:pos="5040"/>
        </w:tabs>
        <w:ind w:left="5040" w:hanging="360"/>
      </w:pPr>
      <w:rPr>
        <w:rFonts w:ascii="Arial" w:hAnsi="Arial" w:hint="default"/>
      </w:rPr>
    </w:lvl>
    <w:lvl w:ilvl="7" w:tplc="F816F9E2" w:tentative="1">
      <w:start w:val="1"/>
      <w:numFmt w:val="bullet"/>
      <w:lvlText w:val="•"/>
      <w:lvlJc w:val="left"/>
      <w:pPr>
        <w:tabs>
          <w:tab w:val="num" w:pos="5760"/>
        </w:tabs>
        <w:ind w:left="5760" w:hanging="360"/>
      </w:pPr>
      <w:rPr>
        <w:rFonts w:ascii="Arial" w:hAnsi="Arial" w:hint="default"/>
      </w:rPr>
    </w:lvl>
    <w:lvl w:ilvl="8" w:tplc="01CAFCA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13E90658"/>
    <w:multiLevelType w:val="hybridMultilevel"/>
    <w:tmpl w:val="3162C9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50068B3"/>
    <w:multiLevelType w:val="hybridMultilevel"/>
    <w:tmpl w:val="E32A4006"/>
    <w:lvl w:ilvl="0" w:tplc="B5946BC0">
      <w:start w:val="1"/>
      <w:numFmt w:val="bullet"/>
      <w:lvlText w:val="•"/>
      <w:lvlJc w:val="left"/>
      <w:pPr>
        <w:tabs>
          <w:tab w:val="num" w:pos="720"/>
        </w:tabs>
        <w:ind w:left="720" w:hanging="360"/>
      </w:pPr>
      <w:rPr>
        <w:rFonts w:ascii="Arial" w:hAnsi="Arial" w:hint="default"/>
      </w:rPr>
    </w:lvl>
    <w:lvl w:ilvl="1" w:tplc="1F44E2D2" w:tentative="1">
      <w:start w:val="1"/>
      <w:numFmt w:val="bullet"/>
      <w:lvlText w:val="•"/>
      <w:lvlJc w:val="left"/>
      <w:pPr>
        <w:tabs>
          <w:tab w:val="num" w:pos="1440"/>
        </w:tabs>
        <w:ind w:left="1440" w:hanging="360"/>
      </w:pPr>
      <w:rPr>
        <w:rFonts w:ascii="Arial" w:hAnsi="Arial" w:hint="default"/>
      </w:rPr>
    </w:lvl>
    <w:lvl w:ilvl="2" w:tplc="3E7805C6">
      <w:start w:val="1"/>
      <w:numFmt w:val="bullet"/>
      <w:lvlText w:val="•"/>
      <w:lvlJc w:val="left"/>
      <w:pPr>
        <w:tabs>
          <w:tab w:val="num" w:pos="2160"/>
        </w:tabs>
        <w:ind w:left="2160" w:hanging="360"/>
      </w:pPr>
      <w:rPr>
        <w:rFonts w:ascii="Arial" w:hAnsi="Arial" w:hint="default"/>
      </w:rPr>
    </w:lvl>
    <w:lvl w:ilvl="3" w:tplc="E5EC545A" w:tentative="1">
      <w:start w:val="1"/>
      <w:numFmt w:val="bullet"/>
      <w:lvlText w:val="•"/>
      <w:lvlJc w:val="left"/>
      <w:pPr>
        <w:tabs>
          <w:tab w:val="num" w:pos="2880"/>
        </w:tabs>
        <w:ind w:left="2880" w:hanging="360"/>
      </w:pPr>
      <w:rPr>
        <w:rFonts w:ascii="Arial" w:hAnsi="Arial" w:hint="default"/>
      </w:rPr>
    </w:lvl>
    <w:lvl w:ilvl="4" w:tplc="79FC5A9C" w:tentative="1">
      <w:start w:val="1"/>
      <w:numFmt w:val="bullet"/>
      <w:lvlText w:val="•"/>
      <w:lvlJc w:val="left"/>
      <w:pPr>
        <w:tabs>
          <w:tab w:val="num" w:pos="3600"/>
        </w:tabs>
        <w:ind w:left="3600" w:hanging="360"/>
      </w:pPr>
      <w:rPr>
        <w:rFonts w:ascii="Arial" w:hAnsi="Arial" w:hint="default"/>
      </w:rPr>
    </w:lvl>
    <w:lvl w:ilvl="5" w:tplc="78AE11B6" w:tentative="1">
      <w:start w:val="1"/>
      <w:numFmt w:val="bullet"/>
      <w:lvlText w:val="•"/>
      <w:lvlJc w:val="left"/>
      <w:pPr>
        <w:tabs>
          <w:tab w:val="num" w:pos="4320"/>
        </w:tabs>
        <w:ind w:left="4320" w:hanging="360"/>
      </w:pPr>
      <w:rPr>
        <w:rFonts w:ascii="Arial" w:hAnsi="Arial" w:hint="default"/>
      </w:rPr>
    </w:lvl>
    <w:lvl w:ilvl="6" w:tplc="CD54C300" w:tentative="1">
      <w:start w:val="1"/>
      <w:numFmt w:val="bullet"/>
      <w:lvlText w:val="•"/>
      <w:lvlJc w:val="left"/>
      <w:pPr>
        <w:tabs>
          <w:tab w:val="num" w:pos="5040"/>
        </w:tabs>
        <w:ind w:left="5040" w:hanging="360"/>
      </w:pPr>
      <w:rPr>
        <w:rFonts w:ascii="Arial" w:hAnsi="Arial" w:hint="default"/>
      </w:rPr>
    </w:lvl>
    <w:lvl w:ilvl="7" w:tplc="92BA7E42" w:tentative="1">
      <w:start w:val="1"/>
      <w:numFmt w:val="bullet"/>
      <w:lvlText w:val="•"/>
      <w:lvlJc w:val="left"/>
      <w:pPr>
        <w:tabs>
          <w:tab w:val="num" w:pos="5760"/>
        </w:tabs>
        <w:ind w:left="5760" w:hanging="360"/>
      </w:pPr>
      <w:rPr>
        <w:rFonts w:ascii="Arial" w:hAnsi="Arial" w:hint="default"/>
      </w:rPr>
    </w:lvl>
    <w:lvl w:ilvl="8" w:tplc="44AA91D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153F4741"/>
    <w:multiLevelType w:val="hybridMultilevel"/>
    <w:tmpl w:val="832CA726"/>
    <w:lvl w:ilvl="0" w:tplc="CCA21948">
      <w:start w:val="1"/>
      <w:numFmt w:val="bullet"/>
      <w:lvlText w:val="•"/>
      <w:lvlJc w:val="left"/>
      <w:pPr>
        <w:tabs>
          <w:tab w:val="num" w:pos="720"/>
        </w:tabs>
        <w:ind w:left="720" w:hanging="360"/>
      </w:pPr>
      <w:rPr>
        <w:rFonts w:ascii="Arial" w:hAnsi="Arial" w:hint="default"/>
      </w:rPr>
    </w:lvl>
    <w:lvl w:ilvl="1" w:tplc="563491AC" w:tentative="1">
      <w:start w:val="1"/>
      <w:numFmt w:val="bullet"/>
      <w:lvlText w:val="•"/>
      <w:lvlJc w:val="left"/>
      <w:pPr>
        <w:tabs>
          <w:tab w:val="num" w:pos="1440"/>
        </w:tabs>
        <w:ind w:left="1440" w:hanging="360"/>
      </w:pPr>
      <w:rPr>
        <w:rFonts w:ascii="Arial" w:hAnsi="Arial" w:hint="default"/>
      </w:rPr>
    </w:lvl>
    <w:lvl w:ilvl="2" w:tplc="E73EFCCA" w:tentative="1">
      <w:start w:val="1"/>
      <w:numFmt w:val="bullet"/>
      <w:lvlText w:val="•"/>
      <w:lvlJc w:val="left"/>
      <w:pPr>
        <w:tabs>
          <w:tab w:val="num" w:pos="2160"/>
        </w:tabs>
        <w:ind w:left="2160" w:hanging="360"/>
      </w:pPr>
      <w:rPr>
        <w:rFonts w:ascii="Arial" w:hAnsi="Arial" w:hint="default"/>
      </w:rPr>
    </w:lvl>
    <w:lvl w:ilvl="3" w:tplc="90F81DA4" w:tentative="1">
      <w:start w:val="1"/>
      <w:numFmt w:val="bullet"/>
      <w:lvlText w:val="•"/>
      <w:lvlJc w:val="left"/>
      <w:pPr>
        <w:tabs>
          <w:tab w:val="num" w:pos="2880"/>
        </w:tabs>
        <w:ind w:left="2880" w:hanging="360"/>
      </w:pPr>
      <w:rPr>
        <w:rFonts w:ascii="Arial" w:hAnsi="Arial" w:hint="default"/>
      </w:rPr>
    </w:lvl>
    <w:lvl w:ilvl="4" w:tplc="7F987752" w:tentative="1">
      <w:start w:val="1"/>
      <w:numFmt w:val="bullet"/>
      <w:lvlText w:val="•"/>
      <w:lvlJc w:val="left"/>
      <w:pPr>
        <w:tabs>
          <w:tab w:val="num" w:pos="3600"/>
        </w:tabs>
        <w:ind w:left="3600" w:hanging="360"/>
      </w:pPr>
      <w:rPr>
        <w:rFonts w:ascii="Arial" w:hAnsi="Arial" w:hint="default"/>
      </w:rPr>
    </w:lvl>
    <w:lvl w:ilvl="5" w:tplc="E3D2AC44" w:tentative="1">
      <w:start w:val="1"/>
      <w:numFmt w:val="bullet"/>
      <w:lvlText w:val="•"/>
      <w:lvlJc w:val="left"/>
      <w:pPr>
        <w:tabs>
          <w:tab w:val="num" w:pos="4320"/>
        </w:tabs>
        <w:ind w:left="4320" w:hanging="360"/>
      </w:pPr>
      <w:rPr>
        <w:rFonts w:ascii="Arial" w:hAnsi="Arial" w:hint="default"/>
      </w:rPr>
    </w:lvl>
    <w:lvl w:ilvl="6" w:tplc="5322C266" w:tentative="1">
      <w:start w:val="1"/>
      <w:numFmt w:val="bullet"/>
      <w:lvlText w:val="•"/>
      <w:lvlJc w:val="left"/>
      <w:pPr>
        <w:tabs>
          <w:tab w:val="num" w:pos="5040"/>
        </w:tabs>
        <w:ind w:left="5040" w:hanging="360"/>
      </w:pPr>
      <w:rPr>
        <w:rFonts w:ascii="Arial" w:hAnsi="Arial" w:hint="default"/>
      </w:rPr>
    </w:lvl>
    <w:lvl w:ilvl="7" w:tplc="6DDADCDC" w:tentative="1">
      <w:start w:val="1"/>
      <w:numFmt w:val="bullet"/>
      <w:lvlText w:val="•"/>
      <w:lvlJc w:val="left"/>
      <w:pPr>
        <w:tabs>
          <w:tab w:val="num" w:pos="5760"/>
        </w:tabs>
        <w:ind w:left="5760" w:hanging="360"/>
      </w:pPr>
      <w:rPr>
        <w:rFonts w:ascii="Arial" w:hAnsi="Arial" w:hint="default"/>
      </w:rPr>
    </w:lvl>
    <w:lvl w:ilvl="8" w:tplc="632C200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16393793"/>
    <w:multiLevelType w:val="hybridMultilevel"/>
    <w:tmpl w:val="89D085AC"/>
    <w:lvl w:ilvl="0" w:tplc="BABC63E6">
      <w:start w:val="1"/>
      <w:numFmt w:val="bullet"/>
      <w:lvlText w:val="•"/>
      <w:lvlJc w:val="left"/>
      <w:pPr>
        <w:tabs>
          <w:tab w:val="num" w:pos="360"/>
        </w:tabs>
        <w:ind w:left="360" w:hanging="360"/>
      </w:pPr>
      <w:rPr>
        <w:rFonts w:ascii="Arial" w:hAnsi="Arial" w:hint="default"/>
      </w:rPr>
    </w:lvl>
    <w:lvl w:ilvl="1" w:tplc="C9043594">
      <w:start w:val="1"/>
      <w:numFmt w:val="bullet"/>
      <w:lvlText w:val="•"/>
      <w:lvlJc w:val="left"/>
      <w:pPr>
        <w:tabs>
          <w:tab w:val="num" w:pos="1080"/>
        </w:tabs>
        <w:ind w:left="1080" w:hanging="360"/>
      </w:pPr>
      <w:rPr>
        <w:rFonts w:ascii="Arial" w:hAnsi="Arial" w:hint="default"/>
      </w:rPr>
    </w:lvl>
    <w:lvl w:ilvl="2" w:tplc="D6946D54">
      <w:start w:val="1"/>
      <w:numFmt w:val="bullet"/>
      <w:lvlText w:val="•"/>
      <w:lvlJc w:val="left"/>
      <w:pPr>
        <w:tabs>
          <w:tab w:val="num" w:pos="1800"/>
        </w:tabs>
        <w:ind w:left="1800" w:hanging="360"/>
      </w:pPr>
      <w:rPr>
        <w:rFonts w:ascii="Arial" w:hAnsi="Arial" w:hint="default"/>
      </w:rPr>
    </w:lvl>
    <w:lvl w:ilvl="3" w:tplc="BE6019E8" w:tentative="1">
      <w:start w:val="1"/>
      <w:numFmt w:val="bullet"/>
      <w:lvlText w:val="•"/>
      <w:lvlJc w:val="left"/>
      <w:pPr>
        <w:tabs>
          <w:tab w:val="num" w:pos="2520"/>
        </w:tabs>
        <w:ind w:left="2520" w:hanging="360"/>
      </w:pPr>
      <w:rPr>
        <w:rFonts w:ascii="Arial" w:hAnsi="Arial" w:hint="default"/>
      </w:rPr>
    </w:lvl>
    <w:lvl w:ilvl="4" w:tplc="2786A84A" w:tentative="1">
      <w:start w:val="1"/>
      <w:numFmt w:val="bullet"/>
      <w:lvlText w:val="•"/>
      <w:lvlJc w:val="left"/>
      <w:pPr>
        <w:tabs>
          <w:tab w:val="num" w:pos="3240"/>
        </w:tabs>
        <w:ind w:left="3240" w:hanging="360"/>
      </w:pPr>
      <w:rPr>
        <w:rFonts w:ascii="Arial" w:hAnsi="Arial" w:hint="default"/>
      </w:rPr>
    </w:lvl>
    <w:lvl w:ilvl="5" w:tplc="C07618D6" w:tentative="1">
      <w:start w:val="1"/>
      <w:numFmt w:val="bullet"/>
      <w:lvlText w:val="•"/>
      <w:lvlJc w:val="left"/>
      <w:pPr>
        <w:tabs>
          <w:tab w:val="num" w:pos="3960"/>
        </w:tabs>
        <w:ind w:left="3960" w:hanging="360"/>
      </w:pPr>
      <w:rPr>
        <w:rFonts w:ascii="Arial" w:hAnsi="Arial" w:hint="default"/>
      </w:rPr>
    </w:lvl>
    <w:lvl w:ilvl="6" w:tplc="2558E32A" w:tentative="1">
      <w:start w:val="1"/>
      <w:numFmt w:val="bullet"/>
      <w:lvlText w:val="•"/>
      <w:lvlJc w:val="left"/>
      <w:pPr>
        <w:tabs>
          <w:tab w:val="num" w:pos="4680"/>
        </w:tabs>
        <w:ind w:left="4680" w:hanging="360"/>
      </w:pPr>
      <w:rPr>
        <w:rFonts w:ascii="Arial" w:hAnsi="Arial" w:hint="default"/>
      </w:rPr>
    </w:lvl>
    <w:lvl w:ilvl="7" w:tplc="5D1A281E" w:tentative="1">
      <w:start w:val="1"/>
      <w:numFmt w:val="bullet"/>
      <w:lvlText w:val="•"/>
      <w:lvlJc w:val="left"/>
      <w:pPr>
        <w:tabs>
          <w:tab w:val="num" w:pos="5400"/>
        </w:tabs>
        <w:ind w:left="5400" w:hanging="360"/>
      </w:pPr>
      <w:rPr>
        <w:rFonts w:ascii="Arial" w:hAnsi="Arial" w:hint="default"/>
      </w:rPr>
    </w:lvl>
    <w:lvl w:ilvl="8" w:tplc="80C6AB44" w:tentative="1">
      <w:start w:val="1"/>
      <w:numFmt w:val="bullet"/>
      <w:lvlText w:val="•"/>
      <w:lvlJc w:val="left"/>
      <w:pPr>
        <w:tabs>
          <w:tab w:val="num" w:pos="6120"/>
        </w:tabs>
        <w:ind w:left="6120" w:hanging="360"/>
      </w:pPr>
      <w:rPr>
        <w:rFonts w:ascii="Arial" w:hAnsi="Arial" w:hint="default"/>
      </w:rPr>
    </w:lvl>
  </w:abstractNum>
  <w:abstractNum w:abstractNumId="29" w15:restartNumberingAfterBreak="0">
    <w:nsid w:val="164217AE"/>
    <w:multiLevelType w:val="hybridMultilevel"/>
    <w:tmpl w:val="40D6B640"/>
    <w:lvl w:ilvl="0" w:tplc="37949752">
      <w:start w:val="1"/>
      <w:numFmt w:val="bullet"/>
      <w:lvlText w:val="•"/>
      <w:lvlJc w:val="left"/>
      <w:pPr>
        <w:tabs>
          <w:tab w:val="num" w:pos="720"/>
        </w:tabs>
        <w:ind w:left="720" w:hanging="360"/>
      </w:pPr>
      <w:rPr>
        <w:rFonts w:ascii="Arial" w:hAnsi="Arial" w:hint="default"/>
      </w:rPr>
    </w:lvl>
    <w:lvl w:ilvl="1" w:tplc="8F2C2C12" w:tentative="1">
      <w:start w:val="1"/>
      <w:numFmt w:val="bullet"/>
      <w:lvlText w:val="•"/>
      <w:lvlJc w:val="left"/>
      <w:pPr>
        <w:tabs>
          <w:tab w:val="num" w:pos="1440"/>
        </w:tabs>
        <w:ind w:left="1440" w:hanging="360"/>
      </w:pPr>
      <w:rPr>
        <w:rFonts w:ascii="Arial" w:hAnsi="Arial" w:hint="default"/>
      </w:rPr>
    </w:lvl>
    <w:lvl w:ilvl="2" w:tplc="08BC858C">
      <w:start w:val="1"/>
      <w:numFmt w:val="bullet"/>
      <w:lvlText w:val="•"/>
      <w:lvlJc w:val="left"/>
      <w:pPr>
        <w:tabs>
          <w:tab w:val="num" w:pos="2160"/>
        </w:tabs>
        <w:ind w:left="2160" w:hanging="360"/>
      </w:pPr>
      <w:rPr>
        <w:rFonts w:ascii="Arial" w:hAnsi="Arial" w:hint="default"/>
      </w:rPr>
    </w:lvl>
    <w:lvl w:ilvl="3" w:tplc="ACD4F4C4" w:tentative="1">
      <w:start w:val="1"/>
      <w:numFmt w:val="bullet"/>
      <w:lvlText w:val="•"/>
      <w:lvlJc w:val="left"/>
      <w:pPr>
        <w:tabs>
          <w:tab w:val="num" w:pos="2880"/>
        </w:tabs>
        <w:ind w:left="2880" w:hanging="360"/>
      </w:pPr>
      <w:rPr>
        <w:rFonts w:ascii="Arial" w:hAnsi="Arial" w:hint="default"/>
      </w:rPr>
    </w:lvl>
    <w:lvl w:ilvl="4" w:tplc="A2C86D0E" w:tentative="1">
      <w:start w:val="1"/>
      <w:numFmt w:val="bullet"/>
      <w:lvlText w:val="•"/>
      <w:lvlJc w:val="left"/>
      <w:pPr>
        <w:tabs>
          <w:tab w:val="num" w:pos="3600"/>
        </w:tabs>
        <w:ind w:left="3600" w:hanging="360"/>
      </w:pPr>
      <w:rPr>
        <w:rFonts w:ascii="Arial" w:hAnsi="Arial" w:hint="default"/>
      </w:rPr>
    </w:lvl>
    <w:lvl w:ilvl="5" w:tplc="13D4F960" w:tentative="1">
      <w:start w:val="1"/>
      <w:numFmt w:val="bullet"/>
      <w:lvlText w:val="•"/>
      <w:lvlJc w:val="left"/>
      <w:pPr>
        <w:tabs>
          <w:tab w:val="num" w:pos="4320"/>
        </w:tabs>
        <w:ind w:left="4320" w:hanging="360"/>
      </w:pPr>
      <w:rPr>
        <w:rFonts w:ascii="Arial" w:hAnsi="Arial" w:hint="default"/>
      </w:rPr>
    </w:lvl>
    <w:lvl w:ilvl="6" w:tplc="721291C8" w:tentative="1">
      <w:start w:val="1"/>
      <w:numFmt w:val="bullet"/>
      <w:lvlText w:val="•"/>
      <w:lvlJc w:val="left"/>
      <w:pPr>
        <w:tabs>
          <w:tab w:val="num" w:pos="5040"/>
        </w:tabs>
        <w:ind w:left="5040" w:hanging="360"/>
      </w:pPr>
      <w:rPr>
        <w:rFonts w:ascii="Arial" w:hAnsi="Arial" w:hint="default"/>
      </w:rPr>
    </w:lvl>
    <w:lvl w:ilvl="7" w:tplc="3154CED4" w:tentative="1">
      <w:start w:val="1"/>
      <w:numFmt w:val="bullet"/>
      <w:lvlText w:val="•"/>
      <w:lvlJc w:val="left"/>
      <w:pPr>
        <w:tabs>
          <w:tab w:val="num" w:pos="5760"/>
        </w:tabs>
        <w:ind w:left="5760" w:hanging="360"/>
      </w:pPr>
      <w:rPr>
        <w:rFonts w:ascii="Arial" w:hAnsi="Arial" w:hint="default"/>
      </w:rPr>
    </w:lvl>
    <w:lvl w:ilvl="8" w:tplc="549C730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17100416"/>
    <w:multiLevelType w:val="hybridMultilevel"/>
    <w:tmpl w:val="691E0EB4"/>
    <w:lvl w:ilvl="0" w:tplc="8FB23F92">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7170D45"/>
    <w:multiLevelType w:val="hybridMultilevel"/>
    <w:tmpl w:val="9350F2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7D906E9"/>
    <w:multiLevelType w:val="multilevel"/>
    <w:tmpl w:val="FB7EA7A2"/>
    <w:lvl w:ilvl="0">
      <w:start w:val="1"/>
      <w:numFmt w:val="decimal"/>
      <w:lvlText w:val="%1."/>
      <w:lvlJc w:val="left"/>
      <w:pPr>
        <w:ind w:left="288" w:hanging="288"/>
      </w:pPr>
      <w:rPr>
        <w:rFonts w:asciiTheme="majorHAnsi" w:hAnsiTheme="majorHAnsi" w:hint="default"/>
        <w:i w:val="0"/>
        <w:iCs w:val="0"/>
      </w:rPr>
    </w:lvl>
    <w:lvl w:ilvl="1">
      <w:start w:val="1"/>
      <w:numFmt w:val="decimal"/>
      <w:lvlText w:val="%1.%2."/>
      <w:lvlJc w:val="left"/>
      <w:pPr>
        <w:ind w:left="792" w:hanging="432"/>
      </w:pPr>
      <w:rPr>
        <w:rFonts w:asciiTheme="majorHAnsi" w:hAnsiTheme="majorHAnsi" w:hint="default"/>
      </w:rPr>
    </w:lvl>
    <w:lvl w:ilvl="2">
      <w:start w:val="1"/>
      <w:numFmt w:val="decimal"/>
      <w:lvlText w:val="%1.%2.%3."/>
      <w:lvlJc w:val="left"/>
      <w:pPr>
        <w:ind w:left="1224" w:hanging="504"/>
      </w:pPr>
      <w:rPr>
        <w:rFonts w:asciiTheme="majorHAnsi" w:hAnsiTheme="majorHAnsi" w:hint="default"/>
      </w:rPr>
    </w:lvl>
    <w:lvl w:ilvl="3">
      <w:start w:val="1"/>
      <w:numFmt w:val="decimal"/>
      <w:lvlText w:val="%1.%2.%3.%4."/>
      <w:lvlJc w:val="left"/>
      <w:pPr>
        <w:ind w:left="1728" w:hanging="648"/>
      </w:pPr>
      <w:rPr>
        <w:rFonts w:ascii="Arial" w:hAnsi="Arial" w:hint="default"/>
      </w:rPr>
    </w:lvl>
    <w:lvl w:ilvl="4">
      <w:start w:val="1"/>
      <w:numFmt w:val="decimal"/>
      <w:lvlText w:val="%1.%2.%3.%4.%5."/>
      <w:lvlJc w:val="left"/>
      <w:pPr>
        <w:ind w:left="2232" w:hanging="792"/>
      </w:pPr>
      <w:rPr>
        <w:rFonts w:ascii="Arial" w:hAnsi="Arial" w:hint="default"/>
      </w:rPr>
    </w:lvl>
    <w:lvl w:ilvl="5">
      <w:start w:val="1"/>
      <w:numFmt w:val="decimal"/>
      <w:lvlText w:val="%1.%2.%3.%4.%5.%6."/>
      <w:lvlJc w:val="left"/>
      <w:pPr>
        <w:ind w:left="2736" w:hanging="936"/>
      </w:pPr>
      <w:rPr>
        <w:rFonts w:ascii="Arial" w:hAnsi="Arial" w:hint="default"/>
      </w:rPr>
    </w:lvl>
    <w:lvl w:ilvl="6">
      <w:start w:val="1"/>
      <w:numFmt w:val="decimal"/>
      <w:lvlText w:val="%1.%2.%3.%4.%5.%6.%7."/>
      <w:lvlJc w:val="left"/>
      <w:pPr>
        <w:ind w:left="3240" w:hanging="1080"/>
      </w:pPr>
      <w:rPr>
        <w:rFonts w:ascii="Arial" w:hAnsi="Arial" w:hint="default"/>
      </w:rPr>
    </w:lvl>
    <w:lvl w:ilvl="7">
      <w:start w:val="1"/>
      <w:numFmt w:val="decimal"/>
      <w:lvlText w:val="%1.%2.%3.%4.%5.%6.%7.%8."/>
      <w:lvlJc w:val="left"/>
      <w:pPr>
        <w:ind w:left="3744" w:hanging="1224"/>
      </w:pPr>
      <w:rPr>
        <w:rFonts w:ascii="Arial" w:hAnsi="Arial" w:hint="default"/>
      </w:rPr>
    </w:lvl>
    <w:lvl w:ilvl="8">
      <w:start w:val="1"/>
      <w:numFmt w:val="decimal"/>
      <w:lvlText w:val="%1.%2.%3.%4.%5.%6.%7.%8.%9."/>
      <w:lvlJc w:val="left"/>
      <w:pPr>
        <w:ind w:left="4320" w:hanging="1440"/>
      </w:pPr>
      <w:rPr>
        <w:rFonts w:ascii="Arial" w:hAnsi="Arial" w:hint="default"/>
      </w:rPr>
    </w:lvl>
  </w:abstractNum>
  <w:abstractNum w:abstractNumId="33" w15:restartNumberingAfterBreak="0">
    <w:nsid w:val="19080C0F"/>
    <w:multiLevelType w:val="hybridMultilevel"/>
    <w:tmpl w:val="B1E8A86C"/>
    <w:lvl w:ilvl="0" w:tplc="D8D29816">
      <w:start w:val="1"/>
      <w:numFmt w:val="bullet"/>
      <w:lvlText w:val="•"/>
      <w:lvlJc w:val="left"/>
      <w:pPr>
        <w:tabs>
          <w:tab w:val="num" w:pos="360"/>
        </w:tabs>
        <w:ind w:left="360" w:hanging="360"/>
      </w:pPr>
      <w:rPr>
        <w:rFonts w:ascii="Arial" w:hAnsi="Arial" w:hint="default"/>
      </w:rPr>
    </w:lvl>
    <w:lvl w:ilvl="1" w:tplc="F85A3858">
      <w:start w:val="1"/>
      <w:numFmt w:val="bullet"/>
      <w:lvlText w:val="•"/>
      <w:lvlJc w:val="left"/>
      <w:pPr>
        <w:tabs>
          <w:tab w:val="num" w:pos="1080"/>
        </w:tabs>
        <w:ind w:left="1080" w:hanging="360"/>
      </w:pPr>
      <w:rPr>
        <w:rFonts w:ascii="Arial" w:hAnsi="Arial" w:hint="default"/>
      </w:rPr>
    </w:lvl>
    <w:lvl w:ilvl="2" w:tplc="1980B514" w:tentative="1">
      <w:start w:val="1"/>
      <w:numFmt w:val="bullet"/>
      <w:lvlText w:val="•"/>
      <w:lvlJc w:val="left"/>
      <w:pPr>
        <w:tabs>
          <w:tab w:val="num" w:pos="1800"/>
        </w:tabs>
        <w:ind w:left="1800" w:hanging="360"/>
      </w:pPr>
      <w:rPr>
        <w:rFonts w:ascii="Arial" w:hAnsi="Arial" w:hint="default"/>
      </w:rPr>
    </w:lvl>
    <w:lvl w:ilvl="3" w:tplc="3F60A97A" w:tentative="1">
      <w:start w:val="1"/>
      <w:numFmt w:val="bullet"/>
      <w:lvlText w:val="•"/>
      <w:lvlJc w:val="left"/>
      <w:pPr>
        <w:tabs>
          <w:tab w:val="num" w:pos="2520"/>
        </w:tabs>
        <w:ind w:left="2520" w:hanging="360"/>
      </w:pPr>
      <w:rPr>
        <w:rFonts w:ascii="Arial" w:hAnsi="Arial" w:hint="default"/>
      </w:rPr>
    </w:lvl>
    <w:lvl w:ilvl="4" w:tplc="29782738" w:tentative="1">
      <w:start w:val="1"/>
      <w:numFmt w:val="bullet"/>
      <w:lvlText w:val="•"/>
      <w:lvlJc w:val="left"/>
      <w:pPr>
        <w:tabs>
          <w:tab w:val="num" w:pos="3240"/>
        </w:tabs>
        <w:ind w:left="3240" w:hanging="360"/>
      </w:pPr>
      <w:rPr>
        <w:rFonts w:ascii="Arial" w:hAnsi="Arial" w:hint="default"/>
      </w:rPr>
    </w:lvl>
    <w:lvl w:ilvl="5" w:tplc="E946C7E6" w:tentative="1">
      <w:start w:val="1"/>
      <w:numFmt w:val="bullet"/>
      <w:lvlText w:val="•"/>
      <w:lvlJc w:val="left"/>
      <w:pPr>
        <w:tabs>
          <w:tab w:val="num" w:pos="3960"/>
        </w:tabs>
        <w:ind w:left="3960" w:hanging="360"/>
      </w:pPr>
      <w:rPr>
        <w:rFonts w:ascii="Arial" w:hAnsi="Arial" w:hint="default"/>
      </w:rPr>
    </w:lvl>
    <w:lvl w:ilvl="6" w:tplc="41001042" w:tentative="1">
      <w:start w:val="1"/>
      <w:numFmt w:val="bullet"/>
      <w:lvlText w:val="•"/>
      <w:lvlJc w:val="left"/>
      <w:pPr>
        <w:tabs>
          <w:tab w:val="num" w:pos="4680"/>
        </w:tabs>
        <w:ind w:left="4680" w:hanging="360"/>
      </w:pPr>
      <w:rPr>
        <w:rFonts w:ascii="Arial" w:hAnsi="Arial" w:hint="default"/>
      </w:rPr>
    </w:lvl>
    <w:lvl w:ilvl="7" w:tplc="12021FE0" w:tentative="1">
      <w:start w:val="1"/>
      <w:numFmt w:val="bullet"/>
      <w:lvlText w:val="•"/>
      <w:lvlJc w:val="left"/>
      <w:pPr>
        <w:tabs>
          <w:tab w:val="num" w:pos="5400"/>
        </w:tabs>
        <w:ind w:left="5400" w:hanging="360"/>
      </w:pPr>
      <w:rPr>
        <w:rFonts w:ascii="Arial" w:hAnsi="Arial" w:hint="default"/>
      </w:rPr>
    </w:lvl>
    <w:lvl w:ilvl="8" w:tplc="270AFD04" w:tentative="1">
      <w:start w:val="1"/>
      <w:numFmt w:val="bullet"/>
      <w:lvlText w:val="•"/>
      <w:lvlJc w:val="left"/>
      <w:pPr>
        <w:tabs>
          <w:tab w:val="num" w:pos="6120"/>
        </w:tabs>
        <w:ind w:left="6120" w:hanging="360"/>
      </w:pPr>
      <w:rPr>
        <w:rFonts w:ascii="Arial" w:hAnsi="Arial" w:hint="default"/>
      </w:rPr>
    </w:lvl>
  </w:abstractNum>
  <w:abstractNum w:abstractNumId="34" w15:restartNumberingAfterBreak="0">
    <w:nsid w:val="19BF6D5F"/>
    <w:multiLevelType w:val="hybridMultilevel"/>
    <w:tmpl w:val="5A3C1C78"/>
    <w:lvl w:ilvl="0" w:tplc="7158B3C6">
      <w:start w:val="1"/>
      <w:numFmt w:val="bullet"/>
      <w:lvlText w:val="•"/>
      <w:lvlJc w:val="left"/>
      <w:pPr>
        <w:tabs>
          <w:tab w:val="num" w:pos="360"/>
        </w:tabs>
        <w:ind w:left="360" w:hanging="360"/>
      </w:pPr>
      <w:rPr>
        <w:rFonts w:ascii="Arial" w:hAnsi="Arial" w:hint="default"/>
      </w:rPr>
    </w:lvl>
    <w:lvl w:ilvl="1" w:tplc="67EC2A30">
      <w:start w:val="1"/>
      <w:numFmt w:val="bullet"/>
      <w:lvlText w:val="•"/>
      <w:lvlJc w:val="left"/>
      <w:pPr>
        <w:tabs>
          <w:tab w:val="num" w:pos="1080"/>
        </w:tabs>
        <w:ind w:left="1080" w:hanging="360"/>
      </w:pPr>
      <w:rPr>
        <w:rFonts w:ascii="Arial" w:hAnsi="Arial" w:hint="default"/>
      </w:rPr>
    </w:lvl>
    <w:lvl w:ilvl="2" w:tplc="0182281A" w:tentative="1">
      <w:start w:val="1"/>
      <w:numFmt w:val="bullet"/>
      <w:lvlText w:val="•"/>
      <w:lvlJc w:val="left"/>
      <w:pPr>
        <w:tabs>
          <w:tab w:val="num" w:pos="1800"/>
        </w:tabs>
        <w:ind w:left="1800" w:hanging="360"/>
      </w:pPr>
      <w:rPr>
        <w:rFonts w:ascii="Arial" w:hAnsi="Arial" w:hint="default"/>
      </w:rPr>
    </w:lvl>
    <w:lvl w:ilvl="3" w:tplc="B2F280AC" w:tentative="1">
      <w:start w:val="1"/>
      <w:numFmt w:val="bullet"/>
      <w:lvlText w:val="•"/>
      <w:lvlJc w:val="left"/>
      <w:pPr>
        <w:tabs>
          <w:tab w:val="num" w:pos="2520"/>
        </w:tabs>
        <w:ind w:left="2520" w:hanging="360"/>
      </w:pPr>
      <w:rPr>
        <w:rFonts w:ascii="Arial" w:hAnsi="Arial" w:hint="default"/>
      </w:rPr>
    </w:lvl>
    <w:lvl w:ilvl="4" w:tplc="DD5EF0D4" w:tentative="1">
      <w:start w:val="1"/>
      <w:numFmt w:val="bullet"/>
      <w:lvlText w:val="•"/>
      <w:lvlJc w:val="left"/>
      <w:pPr>
        <w:tabs>
          <w:tab w:val="num" w:pos="3240"/>
        </w:tabs>
        <w:ind w:left="3240" w:hanging="360"/>
      </w:pPr>
      <w:rPr>
        <w:rFonts w:ascii="Arial" w:hAnsi="Arial" w:hint="default"/>
      </w:rPr>
    </w:lvl>
    <w:lvl w:ilvl="5" w:tplc="B5064834" w:tentative="1">
      <w:start w:val="1"/>
      <w:numFmt w:val="bullet"/>
      <w:lvlText w:val="•"/>
      <w:lvlJc w:val="left"/>
      <w:pPr>
        <w:tabs>
          <w:tab w:val="num" w:pos="3960"/>
        </w:tabs>
        <w:ind w:left="3960" w:hanging="360"/>
      </w:pPr>
      <w:rPr>
        <w:rFonts w:ascii="Arial" w:hAnsi="Arial" w:hint="default"/>
      </w:rPr>
    </w:lvl>
    <w:lvl w:ilvl="6" w:tplc="4AA2A2C6" w:tentative="1">
      <w:start w:val="1"/>
      <w:numFmt w:val="bullet"/>
      <w:lvlText w:val="•"/>
      <w:lvlJc w:val="left"/>
      <w:pPr>
        <w:tabs>
          <w:tab w:val="num" w:pos="4680"/>
        </w:tabs>
        <w:ind w:left="4680" w:hanging="360"/>
      </w:pPr>
      <w:rPr>
        <w:rFonts w:ascii="Arial" w:hAnsi="Arial" w:hint="default"/>
      </w:rPr>
    </w:lvl>
    <w:lvl w:ilvl="7" w:tplc="34F60CBA" w:tentative="1">
      <w:start w:val="1"/>
      <w:numFmt w:val="bullet"/>
      <w:lvlText w:val="•"/>
      <w:lvlJc w:val="left"/>
      <w:pPr>
        <w:tabs>
          <w:tab w:val="num" w:pos="5400"/>
        </w:tabs>
        <w:ind w:left="5400" w:hanging="360"/>
      </w:pPr>
      <w:rPr>
        <w:rFonts w:ascii="Arial" w:hAnsi="Arial" w:hint="default"/>
      </w:rPr>
    </w:lvl>
    <w:lvl w:ilvl="8" w:tplc="B1326134" w:tentative="1">
      <w:start w:val="1"/>
      <w:numFmt w:val="bullet"/>
      <w:lvlText w:val="•"/>
      <w:lvlJc w:val="left"/>
      <w:pPr>
        <w:tabs>
          <w:tab w:val="num" w:pos="6120"/>
        </w:tabs>
        <w:ind w:left="6120" w:hanging="360"/>
      </w:pPr>
      <w:rPr>
        <w:rFonts w:ascii="Arial" w:hAnsi="Arial" w:hint="default"/>
      </w:rPr>
    </w:lvl>
  </w:abstractNum>
  <w:abstractNum w:abstractNumId="35" w15:restartNumberingAfterBreak="0">
    <w:nsid w:val="1A1260A6"/>
    <w:multiLevelType w:val="hybridMultilevel"/>
    <w:tmpl w:val="1004CF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CB46253"/>
    <w:multiLevelType w:val="multilevel"/>
    <w:tmpl w:val="A4025E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CEC30CE"/>
    <w:multiLevelType w:val="hybridMultilevel"/>
    <w:tmpl w:val="206085D8"/>
    <w:lvl w:ilvl="0" w:tplc="3BD81EBE">
      <w:start w:val="1"/>
      <w:numFmt w:val="bullet"/>
      <w:lvlText w:val="•"/>
      <w:lvlJc w:val="left"/>
      <w:pPr>
        <w:tabs>
          <w:tab w:val="num" w:pos="360"/>
        </w:tabs>
        <w:ind w:left="360" w:hanging="360"/>
      </w:pPr>
      <w:rPr>
        <w:rFonts w:ascii="Arial" w:hAnsi="Arial" w:hint="default"/>
      </w:rPr>
    </w:lvl>
    <w:lvl w:ilvl="1" w:tplc="A54243B6" w:tentative="1">
      <w:start w:val="1"/>
      <w:numFmt w:val="bullet"/>
      <w:lvlText w:val="•"/>
      <w:lvlJc w:val="left"/>
      <w:pPr>
        <w:tabs>
          <w:tab w:val="num" w:pos="1080"/>
        </w:tabs>
        <w:ind w:left="1080" w:hanging="360"/>
      </w:pPr>
      <w:rPr>
        <w:rFonts w:ascii="Arial" w:hAnsi="Arial" w:hint="default"/>
      </w:rPr>
    </w:lvl>
    <w:lvl w:ilvl="2" w:tplc="E8F6D8CA" w:tentative="1">
      <w:start w:val="1"/>
      <w:numFmt w:val="bullet"/>
      <w:lvlText w:val="•"/>
      <w:lvlJc w:val="left"/>
      <w:pPr>
        <w:tabs>
          <w:tab w:val="num" w:pos="1800"/>
        </w:tabs>
        <w:ind w:left="1800" w:hanging="360"/>
      </w:pPr>
      <w:rPr>
        <w:rFonts w:ascii="Arial" w:hAnsi="Arial" w:hint="default"/>
      </w:rPr>
    </w:lvl>
    <w:lvl w:ilvl="3" w:tplc="515CAAB2" w:tentative="1">
      <w:start w:val="1"/>
      <w:numFmt w:val="bullet"/>
      <w:lvlText w:val="•"/>
      <w:lvlJc w:val="left"/>
      <w:pPr>
        <w:tabs>
          <w:tab w:val="num" w:pos="2520"/>
        </w:tabs>
        <w:ind w:left="2520" w:hanging="360"/>
      </w:pPr>
      <w:rPr>
        <w:rFonts w:ascii="Arial" w:hAnsi="Arial" w:hint="default"/>
      </w:rPr>
    </w:lvl>
    <w:lvl w:ilvl="4" w:tplc="FD5AF3F6" w:tentative="1">
      <w:start w:val="1"/>
      <w:numFmt w:val="bullet"/>
      <w:lvlText w:val="•"/>
      <w:lvlJc w:val="left"/>
      <w:pPr>
        <w:tabs>
          <w:tab w:val="num" w:pos="3240"/>
        </w:tabs>
        <w:ind w:left="3240" w:hanging="360"/>
      </w:pPr>
      <w:rPr>
        <w:rFonts w:ascii="Arial" w:hAnsi="Arial" w:hint="default"/>
      </w:rPr>
    </w:lvl>
    <w:lvl w:ilvl="5" w:tplc="B608F5F2" w:tentative="1">
      <w:start w:val="1"/>
      <w:numFmt w:val="bullet"/>
      <w:lvlText w:val="•"/>
      <w:lvlJc w:val="left"/>
      <w:pPr>
        <w:tabs>
          <w:tab w:val="num" w:pos="3960"/>
        </w:tabs>
        <w:ind w:left="3960" w:hanging="360"/>
      </w:pPr>
      <w:rPr>
        <w:rFonts w:ascii="Arial" w:hAnsi="Arial" w:hint="default"/>
      </w:rPr>
    </w:lvl>
    <w:lvl w:ilvl="6" w:tplc="FD9CE2DA" w:tentative="1">
      <w:start w:val="1"/>
      <w:numFmt w:val="bullet"/>
      <w:lvlText w:val="•"/>
      <w:lvlJc w:val="left"/>
      <w:pPr>
        <w:tabs>
          <w:tab w:val="num" w:pos="4680"/>
        </w:tabs>
        <w:ind w:left="4680" w:hanging="360"/>
      </w:pPr>
      <w:rPr>
        <w:rFonts w:ascii="Arial" w:hAnsi="Arial" w:hint="default"/>
      </w:rPr>
    </w:lvl>
    <w:lvl w:ilvl="7" w:tplc="49A4B0BA" w:tentative="1">
      <w:start w:val="1"/>
      <w:numFmt w:val="bullet"/>
      <w:lvlText w:val="•"/>
      <w:lvlJc w:val="left"/>
      <w:pPr>
        <w:tabs>
          <w:tab w:val="num" w:pos="5400"/>
        </w:tabs>
        <w:ind w:left="5400" w:hanging="360"/>
      </w:pPr>
      <w:rPr>
        <w:rFonts w:ascii="Arial" w:hAnsi="Arial" w:hint="default"/>
      </w:rPr>
    </w:lvl>
    <w:lvl w:ilvl="8" w:tplc="5C163542" w:tentative="1">
      <w:start w:val="1"/>
      <w:numFmt w:val="bullet"/>
      <w:lvlText w:val="•"/>
      <w:lvlJc w:val="left"/>
      <w:pPr>
        <w:tabs>
          <w:tab w:val="num" w:pos="6120"/>
        </w:tabs>
        <w:ind w:left="6120" w:hanging="360"/>
      </w:pPr>
      <w:rPr>
        <w:rFonts w:ascii="Arial" w:hAnsi="Arial" w:hint="default"/>
      </w:rPr>
    </w:lvl>
  </w:abstractNum>
  <w:abstractNum w:abstractNumId="38" w15:restartNumberingAfterBreak="0">
    <w:nsid w:val="1E3C1D2C"/>
    <w:multiLevelType w:val="multilevel"/>
    <w:tmpl w:val="A4E6BD38"/>
    <w:lvl w:ilvl="0">
      <w:start w:val="1"/>
      <w:numFmt w:val="decimal"/>
      <w:lvlText w:val="%1."/>
      <w:lvlJc w:val="left"/>
      <w:pPr>
        <w:ind w:left="360" w:hanging="360"/>
      </w:pPr>
      <w:rPr>
        <w:rFonts w:asciiTheme="majorHAnsi" w:hAnsiTheme="majorHAnsi" w:hint="default"/>
        <w:i w:val="0"/>
        <w:iCs w:val="0"/>
      </w:rPr>
    </w:lvl>
    <w:lvl w:ilvl="1">
      <w:start w:val="1"/>
      <w:numFmt w:val="decimal"/>
      <w:lvlText w:val="%1.%2."/>
      <w:lvlJc w:val="left"/>
      <w:pPr>
        <w:ind w:left="792" w:hanging="432"/>
      </w:pPr>
      <w:rPr>
        <w:rFonts w:asciiTheme="majorHAnsi" w:hAnsiTheme="majorHAnsi" w:hint="default"/>
      </w:rPr>
    </w:lvl>
    <w:lvl w:ilvl="2">
      <w:start w:val="1"/>
      <w:numFmt w:val="decimal"/>
      <w:lvlText w:val="%1.%2.%3."/>
      <w:lvlJc w:val="left"/>
      <w:pPr>
        <w:ind w:left="1224" w:hanging="504"/>
      </w:pPr>
      <w:rPr>
        <w:rFonts w:asciiTheme="majorHAnsi" w:hAnsiTheme="majorHAnsi" w:hint="default"/>
      </w:rPr>
    </w:lvl>
    <w:lvl w:ilvl="3">
      <w:start w:val="1"/>
      <w:numFmt w:val="decimal"/>
      <w:lvlText w:val="%1.%2.%3.%4."/>
      <w:lvlJc w:val="left"/>
      <w:pPr>
        <w:ind w:left="1728" w:hanging="648"/>
      </w:pPr>
      <w:rPr>
        <w:rFonts w:ascii="Arial" w:hAnsi="Arial" w:hint="default"/>
      </w:rPr>
    </w:lvl>
    <w:lvl w:ilvl="4">
      <w:start w:val="1"/>
      <w:numFmt w:val="decimal"/>
      <w:lvlText w:val="%1.%2.%3.%4.%5."/>
      <w:lvlJc w:val="left"/>
      <w:pPr>
        <w:ind w:left="2232" w:hanging="792"/>
      </w:pPr>
      <w:rPr>
        <w:rFonts w:ascii="Arial" w:hAnsi="Arial" w:hint="default"/>
      </w:rPr>
    </w:lvl>
    <w:lvl w:ilvl="5">
      <w:start w:val="1"/>
      <w:numFmt w:val="decimal"/>
      <w:lvlText w:val="%1.%2.%3.%4.%5.%6."/>
      <w:lvlJc w:val="left"/>
      <w:pPr>
        <w:ind w:left="2736" w:hanging="936"/>
      </w:pPr>
      <w:rPr>
        <w:rFonts w:ascii="Arial" w:hAnsi="Arial" w:hint="default"/>
      </w:rPr>
    </w:lvl>
    <w:lvl w:ilvl="6">
      <w:start w:val="1"/>
      <w:numFmt w:val="decimal"/>
      <w:lvlText w:val="%1.%2.%3.%4.%5.%6.%7."/>
      <w:lvlJc w:val="left"/>
      <w:pPr>
        <w:ind w:left="3240" w:hanging="1080"/>
      </w:pPr>
      <w:rPr>
        <w:rFonts w:ascii="Arial" w:hAnsi="Arial" w:hint="default"/>
      </w:rPr>
    </w:lvl>
    <w:lvl w:ilvl="7">
      <w:start w:val="1"/>
      <w:numFmt w:val="decimal"/>
      <w:lvlText w:val="%1.%2.%3.%4.%5.%6.%7.%8."/>
      <w:lvlJc w:val="left"/>
      <w:pPr>
        <w:ind w:left="3744" w:hanging="1224"/>
      </w:pPr>
      <w:rPr>
        <w:rFonts w:ascii="Arial" w:hAnsi="Arial" w:hint="default"/>
      </w:rPr>
    </w:lvl>
    <w:lvl w:ilvl="8">
      <w:start w:val="1"/>
      <w:numFmt w:val="decimal"/>
      <w:lvlText w:val="%1.%2.%3.%4.%5.%6.%7.%8.%9."/>
      <w:lvlJc w:val="left"/>
      <w:pPr>
        <w:ind w:left="4320" w:hanging="1440"/>
      </w:pPr>
      <w:rPr>
        <w:rFonts w:ascii="Arial" w:hAnsi="Arial" w:hint="default"/>
      </w:rPr>
    </w:lvl>
  </w:abstractNum>
  <w:abstractNum w:abstractNumId="39" w15:restartNumberingAfterBreak="0">
    <w:nsid w:val="1EF26473"/>
    <w:multiLevelType w:val="hybridMultilevel"/>
    <w:tmpl w:val="A8544638"/>
    <w:lvl w:ilvl="0" w:tplc="2AF46018">
      <w:start w:val="1"/>
      <w:numFmt w:val="bullet"/>
      <w:lvlText w:val="•"/>
      <w:lvlJc w:val="left"/>
      <w:pPr>
        <w:tabs>
          <w:tab w:val="num" w:pos="720"/>
        </w:tabs>
        <w:ind w:left="720" w:hanging="360"/>
      </w:pPr>
      <w:rPr>
        <w:rFonts w:ascii="Arial" w:hAnsi="Arial" w:hint="default"/>
      </w:rPr>
    </w:lvl>
    <w:lvl w:ilvl="1" w:tplc="D92027DA" w:tentative="1">
      <w:start w:val="1"/>
      <w:numFmt w:val="bullet"/>
      <w:lvlText w:val="•"/>
      <w:lvlJc w:val="left"/>
      <w:pPr>
        <w:tabs>
          <w:tab w:val="num" w:pos="1440"/>
        </w:tabs>
        <w:ind w:left="1440" w:hanging="360"/>
      </w:pPr>
      <w:rPr>
        <w:rFonts w:ascii="Arial" w:hAnsi="Arial" w:hint="default"/>
      </w:rPr>
    </w:lvl>
    <w:lvl w:ilvl="2" w:tplc="5134AD7C" w:tentative="1">
      <w:start w:val="1"/>
      <w:numFmt w:val="bullet"/>
      <w:lvlText w:val="•"/>
      <w:lvlJc w:val="left"/>
      <w:pPr>
        <w:tabs>
          <w:tab w:val="num" w:pos="2160"/>
        </w:tabs>
        <w:ind w:left="2160" w:hanging="360"/>
      </w:pPr>
      <w:rPr>
        <w:rFonts w:ascii="Arial" w:hAnsi="Arial" w:hint="default"/>
      </w:rPr>
    </w:lvl>
    <w:lvl w:ilvl="3" w:tplc="E9A295DA" w:tentative="1">
      <w:start w:val="1"/>
      <w:numFmt w:val="bullet"/>
      <w:lvlText w:val="•"/>
      <w:lvlJc w:val="left"/>
      <w:pPr>
        <w:tabs>
          <w:tab w:val="num" w:pos="2880"/>
        </w:tabs>
        <w:ind w:left="2880" w:hanging="360"/>
      </w:pPr>
      <w:rPr>
        <w:rFonts w:ascii="Arial" w:hAnsi="Arial" w:hint="default"/>
      </w:rPr>
    </w:lvl>
    <w:lvl w:ilvl="4" w:tplc="3C167814" w:tentative="1">
      <w:start w:val="1"/>
      <w:numFmt w:val="bullet"/>
      <w:lvlText w:val="•"/>
      <w:lvlJc w:val="left"/>
      <w:pPr>
        <w:tabs>
          <w:tab w:val="num" w:pos="3600"/>
        </w:tabs>
        <w:ind w:left="3600" w:hanging="360"/>
      </w:pPr>
      <w:rPr>
        <w:rFonts w:ascii="Arial" w:hAnsi="Arial" w:hint="default"/>
      </w:rPr>
    </w:lvl>
    <w:lvl w:ilvl="5" w:tplc="18A0121E" w:tentative="1">
      <w:start w:val="1"/>
      <w:numFmt w:val="bullet"/>
      <w:lvlText w:val="•"/>
      <w:lvlJc w:val="left"/>
      <w:pPr>
        <w:tabs>
          <w:tab w:val="num" w:pos="4320"/>
        </w:tabs>
        <w:ind w:left="4320" w:hanging="360"/>
      </w:pPr>
      <w:rPr>
        <w:rFonts w:ascii="Arial" w:hAnsi="Arial" w:hint="default"/>
      </w:rPr>
    </w:lvl>
    <w:lvl w:ilvl="6" w:tplc="5E44D954" w:tentative="1">
      <w:start w:val="1"/>
      <w:numFmt w:val="bullet"/>
      <w:lvlText w:val="•"/>
      <w:lvlJc w:val="left"/>
      <w:pPr>
        <w:tabs>
          <w:tab w:val="num" w:pos="5040"/>
        </w:tabs>
        <w:ind w:left="5040" w:hanging="360"/>
      </w:pPr>
      <w:rPr>
        <w:rFonts w:ascii="Arial" w:hAnsi="Arial" w:hint="default"/>
      </w:rPr>
    </w:lvl>
    <w:lvl w:ilvl="7" w:tplc="117AD93E" w:tentative="1">
      <w:start w:val="1"/>
      <w:numFmt w:val="bullet"/>
      <w:lvlText w:val="•"/>
      <w:lvlJc w:val="left"/>
      <w:pPr>
        <w:tabs>
          <w:tab w:val="num" w:pos="5760"/>
        </w:tabs>
        <w:ind w:left="5760" w:hanging="360"/>
      </w:pPr>
      <w:rPr>
        <w:rFonts w:ascii="Arial" w:hAnsi="Arial" w:hint="default"/>
      </w:rPr>
    </w:lvl>
    <w:lvl w:ilvl="8" w:tplc="CB1A3B06"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1EFC4EBB"/>
    <w:multiLevelType w:val="hybridMultilevel"/>
    <w:tmpl w:val="2F403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056455E"/>
    <w:multiLevelType w:val="multilevel"/>
    <w:tmpl w:val="8FD20EC6"/>
    <w:styleLink w:val="List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20604CB8"/>
    <w:multiLevelType w:val="hybridMultilevel"/>
    <w:tmpl w:val="11EA8DC4"/>
    <w:lvl w:ilvl="0" w:tplc="00F2916A">
      <w:start w:val="1"/>
      <w:numFmt w:val="bullet"/>
      <w:pStyle w:val="TableBullet"/>
      <w:lvlText w:val="•"/>
      <w:lvlJc w:val="left"/>
      <w:pPr>
        <w:ind w:left="360" w:hanging="360"/>
      </w:pPr>
      <w:rPr>
        <w:rFonts w:ascii="Arial" w:hAnsi="Aria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20867C2D"/>
    <w:multiLevelType w:val="hybridMultilevel"/>
    <w:tmpl w:val="2CF8AB2E"/>
    <w:lvl w:ilvl="0" w:tplc="B4E43A6A">
      <w:start w:val="1"/>
      <w:numFmt w:val="bullet"/>
      <w:lvlText w:val="•"/>
      <w:lvlJc w:val="left"/>
      <w:pPr>
        <w:tabs>
          <w:tab w:val="num" w:pos="360"/>
        </w:tabs>
        <w:ind w:left="360" w:hanging="360"/>
      </w:pPr>
      <w:rPr>
        <w:rFonts w:ascii="Arial" w:hAnsi="Arial" w:hint="default"/>
      </w:rPr>
    </w:lvl>
    <w:lvl w:ilvl="1" w:tplc="6546B334">
      <w:start w:val="1"/>
      <w:numFmt w:val="bullet"/>
      <w:lvlText w:val="•"/>
      <w:lvlJc w:val="left"/>
      <w:pPr>
        <w:tabs>
          <w:tab w:val="num" w:pos="1080"/>
        </w:tabs>
        <w:ind w:left="1080" w:hanging="360"/>
      </w:pPr>
      <w:rPr>
        <w:rFonts w:ascii="Arial" w:hAnsi="Arial" w:hint="default"/>
      </w:rPr>
    </w:lvl>
    <w:lvl w:ilvl="2" w:tplc="6586343E">
      <w:start w:val="1"/>
      <w:numFmt w:val="bullet"/>
      <w:lvlText w:val="•"/>
      <w:lvlJc w:val="left"/>
      <w:pPr>
        <w:tabs>
          <w:tab w:val="num" w:pos="1800"/>
        </w:tabs>
        <w:ind w:left="1800" w:hanging="360"/>
      </w:pPr>
      <w:rPr>
        <w:rFonts w:ascii="Arial" w:hAnsi="Arial" w:hint="default"/>
      </w:rPr>
    </w:lvl>
    <w:lvl w:ilvl="3" w:tplc="7F9C058A" w:tentative="1">
      <w:start w:val="1"/>
      <w:numFmt w:val="bullet"/>
      <w:lvlText w:val="•"/>
      <w:lvlJc w:val="left"/>
      <w:pPr>
        <w:tabs>
          <w:tab w:val="num" w:pos="2520"/>
        </w:tabs>
        <w:ind w:left="2520" w:hanging="360"/>
      </w:pPr>
      <w:rPr>
        <w:rFonts w:ascii="Arial" w:hAnsi="Arial" w:hint="default"/>
      </w:rPr>
    </w:lvl>
    <w:lvl w:ilvl="4" w:tplc="EA985C22" w:tentative="1">
      <w:start w:val="1"/>
      <w:numFmt w:val="bullet"/>
      <w:lvlText w:val="•"/>
      <w:lvlJc w:val="left"/>
      <w:pPr>
        <w:tabs>
          <w:tab w:val="num" w:pos="3240"/>
        </w:tabs>
        <w:ind w:left="3240" w:hanging="360"/>
      </w:pPr>
      <w:rPr>
        <w:rFonts w:ascii="Arial" w:hAnsi="Arial" w:hint="default"/>
      </w:rPr>
    </w:lvl>
    <w:lvl w:ilvl="5" w:tplc="0EFE6DC2" w:tentative="1">
      <w:start w:val="1"/>
      <w:numFmt w:val="bullet"/>
      <w:lvlText w:val="•"/>
      <w:lvlJc w:val="left"/>
      <w:pPr>
        <w:tabs>
          <w:tab w:val="num" w:pos="3960"/>
        </w:tabs>
        <w:ind w:left="3960" w:hanging="360"/>
      </w:pPr>
      <w:rPr>
        <w:rFonts w:ascii="Arial" w:hAnsi="Arial" w:hint="default"/>
      </w:rPr>
    </w:lvl>
    <w:lvl w:ilvl="6" w:tplc="19505340" w:tentative="1">
      <w:start w:val="1"/>
      <w:numFmt w:val="bullet"/>
      <w:lvlText w:val="•"/>
      <w:lvlJc w:val="left"/>
      <w:pPr>
        <w:tabs>
          <w:tab w:val="num" w:pos="4680"/>
        </w:tabs>
        <w:ind w:left="4680" w:hanging="360"/>
      </w:pPr>
      <w:rPr>
        <w:rFonts w:ascii="Arial" w:hAnsi="Arial" w:hint="default"/>
      </w:rPr>
    </w:lvl>
    <w:lvl w:ilvl="7" w:tplc="10306B44" w:tentative="1">
      <w:start w:val="1"/>
      <w:numFmt w:val="bullet"/>
      <w:lvlText w:val="•"/>
      <w:lvlJc w:val="left"/>
      <w:pPr>
        <w:tabs>
          <w:tab w:val="num" w:pos="5400"/>
        </w:tabs>
        <w:ind w:left="5400" w:hanging="360"/>
      </w:pPr>
      <w:rPr>
        <w:rFonts w:ascii="Arial" w:hAnsi="Arial" w:hint="default"/>
      </w:rPr>
    </w:lvl>
    <w:lvl w:ilvl="8" w:tplc="7DA48C30" w:tentative="1">
      <w:start w:val="1"/>
      <w:numFmt w:val="bullet"/>
      <w:lvlText w:val="•"/>
      <w:lvlJc w:val="left"/>
      <w:pPr>
        <w:tabs>
          <w:tab w:val="num" w:pos="6120"/>
        </w:tabs>
        <w:ind w:left="6120" w:hanging="360"/>
      </w:pPr>
      <w:rPr>
        <w:rFonts w:ascii="Arial" w:hAnsi="Arial" w:hint="default"/>
      </w:rPr>
    </w:lvl>
  </w:abstractNum>
  <w:abstractNum w:abstractNumId="44" w15:restartNumberingAfterBreak="0">
    <w:nsid w:val="23AC3B6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23B10424"/>
    <w:multiLevelType w:val="hybridMultilevel"/>
    <w:tmpl w:val="FE1871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3E11F3B"/>
    <w:multiLevelType w:val="hybridMultilevel"/>
    <w:tmpl w:val="B73C2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4396285"/>
    <w:multiLevelType w:val="hybridMultilevel"/>
    <w:tmpl w:val="A9387CF8"/>
    <w:lvl w:ilvl="0" w:tplc="93DE2712">
      <w:start w:val="1"/>
      <w:numFmt w:val="bullet"/>
      <w:lvlText w:val="•"/>
      <w:lvlJc w:val="left"/>
      <w:pPr>
        <w:tabs>
          <w:tab w:val="num" w:pos="360"/>
        </w:tabs>
        <w:ind w:left="360" w:hanging="360"/>
      </w:pPr>
      <w:rPr>
        <w:rFonts w:ascii="Arial" w:hAnsi="Arial" w:hint="default"/>
      </w:rPr>
    </w:lvl>
    <w:lvl w:ilvl="1" w:tplc="52DE8C68">
      <w:start w:val="1"/>
      <w:numFmt w:val="bullet"/>
      <w:lvlText w:val="•"/>
      <w:lvlJc w:val="left"/>
      <w:pPr>
        <w:tabs>
          <w:tab w:val="num" w:pos="1080"/>
        </w:tabs>
        <w:ind w:left="1080" w:hanging="360"/>
      </w:pPr>
      <w:rPr>
        <w:rFonts w:ascii="Arial" w:hAnsi="Arial" w:hint="default"/>
      </w:rPr>
    </w:lvl>
    <w:lvl w:ilvl="2" w:tplc="D96C80DC" w:tentative="1">
      <w:start w:val="1"/>
      <w:numFmt w:val="bullet"/>
      <w:lvlText w:val="•"/>
      <w:lvlJc w:val="left"/>
      <w:pPr>
        <w:tabs>
          <w:tab w:val="num" w:pos="1800"/>
        </w:tabs>
        <w:ind w:left="1800" w:hanging="360"/>
      </w:pPr>
      <w:rPr>
        <w:rFonts w:ascii="Arial" w:hAnsi="Arial" w:hint="default"/>
      </w:rPr>
    </w:lvl>
    <w:lvl w:ilvl="3" w:tplc="16BEE2A4" w:tentative="1">
      <w:start w:val="1"/>
      <w:numFmt w:val="bullet"/>
      <w:lvlText w:val="•"/>
      <w:lvlJc w:val="left"/>
      <w:pPr>
        <w:tabs>
          <w:tab w:val="num" w:pos="2520"/>
        </w:tabs>
        <w:ind w:left="2520" w:hanging="360"/>
      </w:pPr>
      <w:rPr>
        <w:rFonts w:ascii="Arial" w:hAnsi="Arial" w:hint="default"/>
      </w:rPr>
    </w:lvl>
    <w:lvl w:ilvl="4" w:tplc="639E1740" w:tentative="1">
      <w:start w:val="1"/>
      <w:numFmt w:val="bullet"/>
      <w:lvlText w:val="•"/>
      <w:lvlJc w:val="left"/>
      <w:pPr>
        <w:tabs>
          <w:tab w:val="num" w:pos="3240"/>
        </w:tabs>
        <w:ind w:left="3240" w:hanging="360"/>
      </w:pPr>
      <w:rPr>
        <w:rFonts w:ascii="Arial" w:hAnsi="Arial" w:hint="default"/>
      </w:rPr>
    </w:lvl>
    <w:lvl w:ilvl="5" w:tplc="562A0B82" w:tentative="1">
      <w:start w:val="1"/>
      <w:numFmt w:val="bullet"/>
      <w:lvlText w:val="•"/>
      <w:lvlJc w:val="left"/>
      <w:pPr>
        <w:tabs>
          <w:tab w:val="num" w:pos="3960"/>
        </w:tabs>
        <w:ind w:left="3960" w:hanging="360"/>
      </w:pPr>
      <w:rPr>
        <w:rFonts w:ascii="Arial" w:hAnsi="Arial" w:hint="default"/>
      </w:rPr>
    </w:lvl>
    <w:lvl w:ilvl="6" w:tplc="FFFAA010" w:tentative="1">
      <w:start w:val="1"/>
      <w:numFmt w:val="bullet"/>
      <w:lvlText w:val="•"/>
      <w:lvlJc w:val="left"/>
      <w:pPr>
        <w:tabs>
          <w:tab w:val="num" w:pos="4680"/>
        </w:tabs>
        <w:ind w:left="4680" w:hanging="360"/>
      </w:pPr>
      <w:rPr>
        <w:rFonts w:ascii="Arial" w:hAnsi="Arial" w:hint="default"/>
      </w:rPr>
    </w:lvl>
    <w:lvl w:ilvl="7" w:tplc="284C2E60" w:tentative="1">
      <w:start w:val="1"/>
      <w:numFmt w:val="bullet"/>
      <w:lvlText w:val="•"/>
      <w:lvlJc w:val="left"/>
      <w:pPr>
        <w:tabs>
          <w:tab w:val="num" w:pos="5400"/>
        </w:tabs>
        <w:ind w:left="5400" w:hanging="360"/>
      </w:pPr>
      <w:rPr>
        <w:rFonts w:ascii="Arial" w:hAnsi="Arial" w:hint="default"/>
      </w:rPr>
    </w:lvl>
    <w:lvl w:ilvl="8" w:tplc="69704E4C" w:tentative="1">
      <w:start w:val="1"/>
      <w:numFmt w:val="bullet"/>
      <w:lvlText w:val="•"/>
      <w:lvlJc w:val="left"/>
      <w:pPr>
        <w:tabs>
          <w:tab w:val="num" w:pos="6120"/>
        </w:tabs>
        <w:ind w:left="6120" w:hanging="360"/>
      </w:pPr>
      <w:rPr>
        <w:rFonts w:ascii="Arial" w:hAnsi="Arial" w:hint="default"/>
      </w:rPr>
    </w:lvl>
  </w:abstractNum>
  <w:abstractNum w:abstractNumId="48" w15:restartNumberingAfterBreak="0">
    <w:nsid w:val="24C83950"/>
    <w:multiLevelType w:val="hybridMultilevel"/>
    <w:tmpl w:val="CB260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5B955CE"/>
    <w:multiLevelType w:val="hybridMultilevel"/>
    <w:tmpl w:val="EED645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6571CC6"/>
    <w:multiLevelType w:val="hybridMultilevel"/>
    <w:tmpl w:val="23028168"/>
    <w:lvl w:ilvl="0" w:tplc="D5023E0E">
      <w:start w:val="1"/>
      <w:numFmt w:val="bullet"/>
      <w:lvlText w:val="•"/>
      <w:lvlJc w:val="left"/>
      <w:pPr>
        <w:tabs>
          <w:tab w:val="num" w:pos="720"/>
        </w:tabs>
        <w:ind w:left="720" w:hanging="360"/>
      </w:pPr>
      <w:rPr>
        <w:rFonts w:ascii="Arial" w:hAnsi="Arial" w:hint="default"/>
      </w:rPr>
    </w:lvl>
    <w:lvl w:ilvl="1" w:tplc="F4C24D10" w:tentative="1">
      <w:start w:val="1"/>
      <w:numFmt w:val="bullet"/>
      <w:lvlText w:val="•"/>
      <w:lvlJc w:val="left"/>
      <w:pPr>
        <w:tabs>
          <w:tab w:val="num" w:pos="1440"/>
        </w:tabs>
        <w:ind w:left="1440" w:hanging="360"/>
      </w:pPr>
      <w:rPr>
        <w:rFonts w:ascii="Arial" w:hAnsi="Arial" w:hint="default"/>
      </w:rPr>
    </w:lvl>
    <w:lvl w:ilvl="2" w:tplc="CA407BCA" w:tentative="1">
      <w:start w:val="1"/>
      <w:numFmt w:val="bullet"/>
      <w:lvlText w:val="•"/>
      <w:lvlJc w:val="left"/>
      <w:pPr>
        <w:tabs>
          <w:tab w:val="num" w:pos="2160"/>
        </w:tabs>
        <w:ind w:left="2160" w:hanging="360"/>
      </w:pPr>
      <w:rPr>
        <w:rFonts w:ascii="Arial" w:hAnsi="Arial" w:hint="default"/>
      </w:rPr>
    </w:lvl>
    <w:lvl w:ilvl="3" w:tplc="78FCD19A" w:tentative="1">
      <w:start w:val="1"/>
      <w:numFmt w:val="bullet"/>
      <w:lvlText w:val="•"/>
      <w:lvlJc w:val="left"/>
      <w:pPr>
        <w:tabs>
          <w:tab w:val="num" w:pos="2880"/>
        </w:tabs>
        <w:ind w:left="2880" w:hanging="360"/>
      </w:pPr>
      <w:rPr>
        <w:rFonts w:ascii="Arial" w:hAnsi="Arial" w:hint="default"/>
      </w:rPr>
    </w:lvl>
    <w:lvl w:ilvl="4" w:tplc="B39052FE" w:tentative="1">
      <w:start w:val="1"/>
      <w:numFmt w:val="bullet"/>
      <w:lvlText w:val="•"/>
      <w:lvlJc w:val="left"/>
      <w:pPr>
        <w:tabs>
          <w:tab w:val="num" w:pos="3600"/>
        </w:tabs>
        <w:ind w:left="3600" w:hanging="360"/>
      </w:pPr>
      <w:rPr>
        <w:rFonts w:ascii="Arial" w:hAnsi="Arial" w:hint="default"/>
      </w:rPr>
    </w:lvl>
    <w:lvl w:ilvl="5" w:tplc="4C908EBA" w:tentative="1">
      <w:start w:val="1"/>
      <w:numFmt w:val="bullet"/>
      <w:lvlText w:val="•"/>
      <w:lvlJc w:val="left"/>
      <w:pPr>
        <w:tabs>
          <w:tab w:val="num" w:pos="4320"/>
        </w:tabs>
        <w:ind w:left="4320" w:hanging="360"/>
      </w:pPr>
      <w:rPr>
        <w:rFonts w:ascii="Arial" w:hAnsi="Arial" w:hint="default"/>
      </w:rPr>
    </w:lvl>
    <w:lvl w:ilvl="6" w:tplc="162855A8" w:tentative="1">
      <w:start w:val="1"/>
      <w:numFmt w:val="bullet"/>
      <w:lvlText w:val="•"/>
      <w:lvlJc w:val="left"/>
      <w:pPr>
        <w:tabs>
          <w:tab w:val="num" w:pos="5040"/>
        </w:tabs>
        <w:ind w:left="5040" w:hanging="360"/>
      </w:pPr>
      <w:rPr>
        <w:rFonts w:ascii="Arial" w:hAnsi="Arial" w:hint="default"/>
      </w:rPr>
    </w:lvl>
    <w:lvl w:ilvl="7" w:tplc="91841364" w:tentative="1">
      <w:start w:val="1"/>
      <w:numFmt w:val="bullet"/>
      <w:lvlText w:val="•"/>
      <w:lvlJc w:val="left"/>
      <w:pPr>
        <w:tabs>
          <w:tab w:val="num" w:pos="5760"/>
        </w:tabs>
        <w:ind w:left="5760" w:hanging="360"/>
      </w:pPr>
      <w:rPr>
        <w:rFonts w:ascii="Arial" w:hAnsi="Arial" w:hint="default"/>
      </w:rPr>
    </w:lvl>
    <w:lvl w:ilvl="8" w:tplc="42400C8E"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26DE403E"/>
    <w:multiLevelType w:val="hybridMultilevel"/>
    <w:tmpl w:val="65D4EC42"/>
    <w:lvl w:ilvl="0" w:tplc="BF7C82A8">
      <w:start w:val="2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75E064A"/>
    <w:multiLevelType w:val="hybridMultilevel"/>
    <w:tmpl w:val="E53E3B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84F2525"/>
    <w:multiLevelType w:val="hybridMultilevel"/>
    <w:tmpl w:val="7158D5E0"/>
    <w:lvl w:ilvl="0" w:tplc="A7E45F12">
      <w:start w:val="1"/>
      <w:numFmt w:val="bullet"/>
      <w:lvlText w:val="•"/>
      <w:lvlJc w:val="left"/>
      <w:pPr>
        <w:tabs>
          <w:tab w:val="num" w:pos="720"/>
        </w:tabs>
        <w:ind w:left="720" w:hanging="360"/>
      </w:pPr>
      <w:rPr>
        <w:rFonts w:ascii="Arial" w:hAnsi="Arial" w:hint="default"/>
      </w:rPr>
    </w:lvl>
    <w:lvl w:ilvl="1" w:tplc="C0D413AC" w:tentative="1">
      <w:start w:val="1"/>
      <w:numFmt w:val="bullet"/>
      <w:lvlText w:val="•"/>
      <w:lvlJc w:val="left"/>
      <w:pPr>
        <w:tabs>
          <w:tab w:val="num" w:pos="1440"/>
        </w:tabs>
        <w:ind w:left="1440" w:hanging="360"/>
      </w:pPr>
      <w:rPr>
        <w:rFonts w:ascii="Arial" w:hAnsi="Arial" w:hint="default"/>
      </w:rPr>
    </w:lvl>
    <w:lvl w:ilvl="2" w:tplc="0964B90E" w:tentative="1">
      <w:start w:val="1"/>
      <w:numFmt w:val="bullet"/>
      <w:lvlText w:val="•"/>
      <w:lvlJc w:val="left"/>
      <w:pPr>
        <w:tabs>
          <w:tab w:val="num" w:pos="2160"/>
        </w:tabs>
        <w:ind w:left="2160" w:hanging="360"/>
      </w:pPr>
      <w:rPr>
        <w:rFonts w:ascii="Arial" w:hAnsi="Arial" w:hint="default"/>
      </w:rPr>
    </w:lvl>
    <w:lvl w:ilvl="3" w:tplc="CAC6C3B4" w:tentative="1">
      <w:start w:val="1"/>
      <w:numFmt w:val="bullet"/>
      <w:lvlText w:val="•"/>
      <w:lvlJc w:val="left"/>
      <w:pPr>
        <w:tabs>
          <w:tab w:val="num" w:pos="2880"/>
        </w:tabs>
        <w:ind w:left="2880" w:hanging="360"/>
      </w:pPr>
      <w:rPr>
        <w:rFonts w:ascii="Arial" w:hAnsi="Arial" w:hint="default"/>
      </w:rPr>
    </w:lvl>
    <w:lvl w:ilvl="4" w:tplc="5310E380" w:tentative="1">
      <w:start w:val="1"/>
      <w:numFmt w:val="bullet"/>
      <w:lvlText w:val="•"/>
      <w:lvlJc w:val="left"/>
      <w:pPr>
        <w:tabs>
          <w:tab w:val="num" w:pos="3600"/>
        </w:tabs>
        <w:ind w:left="3600" w:hanging="360"/>
      </w:pPr>
      <w:rPr>
        <w:rFonts w:ascii="Arial" w:hAnsi="Arial" w:hint="default"/>
      </w:rPr>
    </w:lvl>
    <w:lvl w:ilvl="5" w:tplc="63BEECFE" w:tentative="1">
      <w:start w:val="1"/>
      <w:numFmt w:val="bullet"/>
      <w:lvlText w:val="•"/>
      <w:lvlJc w:val="left"/>
      <w:pPr>
        <w:tabs>
          <w:tab w:val="num" w:pos="4320"/>
        </w:tabs>
        <w:ind w:left="4320" w:hanging="360"/>
      </w:pPr>
      <w:rPr>
        <w:rFonts w:ascii="Arial" w:hAnsi="Arial" w:hint="default"/>
      </w:rPr>
    </w:lvl>
    <w:lvl w:ilvl="6" w:tplc="4B3EE3B0" w:tentative="1">
      <w:start w:val="1"/>
      <w:numFmt w:val="bullet"/>
      <w:lvlText w:val="•"/>
      <w:lvlJc w:val="left"/>
      <w:pPr>
        <w:tabs>
          <w:tab w:val="num" w:pos="5040"/>
        </w:tabs>
        <w:ind w:left="5040" w:hanging="360"/>
      </w:pPr>
      <w:rPr>
        <w:rFonts w:ascii="Arial" w:hAnsi="Arial" w:hint="default"/>
      </w:rPr>
    </w:lvl>
    <w:lvl w:ilvl="7" w:tplc="5F083E66" w:tentative="1">
      <w:start w:val="1"/>
      <w:numFmt w:val="bullet"/>
      <w:lvlText w:val="•"/>
      <w:lvlJc w:val="left"/>
      <w:pPr>
        <w:tabs>
          <w:tab w:val="num" w:pos="5760"/>
        </w:tabs>
        <w:ind w:left="5760" w:hanging="360"/>
      </w:pPr>
      <w:rPr>
        <w:rFonts w:ascii="Arial" w:hAnsi="Arial" w:hint="default"/>
      </w:rPr>
    </w:lvl>
    <w:lvl w:ilvl="8" w:tplc="3070853C"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29EE5D44"/>
    <w:multiLevelType w:val="hybridMultilevel"/>
    <w:tmpl w:val="892868EC"/>
    <w:lvl w:ilvl="0" w:tplc="FFFFFFFF">
      <w:start w:val="1"/>
      <w:numFmt w:val="bullet"/>
      <w:lvlText w:val=""/>
      <w:lvlJc w:val="left"/>
      <w:pPr>
        <w:ind w:left="288" w:hanging="216"/>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2DA43B84"/>
    <w:multiLevelType w:val="hybridMultilevel"/>
    <w:tmpl w:val="892868EC"/>
    <w:lvl w:ilvl="0" w:tplc="2DC4009E">
      <w:start w:val="1"/>
      <w:numFmt w:val="bullet"/>
      <w:pStyle w:val="FHCTableBullet10pt"/>
      <w:lvlText w:val=""/>
      <w:lvlJc w:val="left"/>
      <w:pPr>
        <w:ind w:left="288"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E471D46"/>
    <w:multiLevelType w:val="hybridMultilevel"/>
    <w:tmpl w:val="A0DE0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F8C4D82"/>
    <w:multiLevelType w:val="hybridMultilevel"/>
    <w:tmpl w:val="8AE63EEE"/>
    <w:lvl w:ilvl="0" w:tplc="7A405490">
      <w:start w:val="1"/>
      <w:numFmt w:val="bullet"/>
      <w:lvlText w:val="•"/>
      <w:lvlJc w:val="left"/>
      <w:pPr>
        <w:tabs>
          <w:tab w:val="num" w:pos="360"/>
        </w:tabs>
        <w:ind w:left="360" w:hanging="360"/>
      </w:pPr>
      <w:rPr>
        <w:rFonts w:ascii="Arial" w:hAnsi="Arial" w:hint="default"/>
      </w:rPr>
    </w:lvl>
    <w:lvl w:ilvl="1" w:tplc="940AC01C">
      <w:start w:val="1"/>
      <w:numFmt w:val="bullet"/>
      <w:lvlText w:val="•"/>
      <w:lvlJc w:val="left"/>
      <w:pPr>
        <w:tabs>
          <w:tab w:val="num" w:pos="1080"/>
        </w:tabs>
        <w:ind w:left="1080" w:hanging="360"/>
      </w:pPr>
      <w:rPr>
        <w:rFonts w:ascii="Arial" w:hAnsi="Arial" w:hint="default"/>
      </w:rPr>
    </w:lvl>
    <w:lvl w:ilvl="2" w:tplc="AB684C78">
      <w:start w:val="1"/>
      <w:numFmt w:val="bullet"/>
      <w:lvlText w:val="•"/>
      <w:lvlJc w:val="left"/>
      <w:pPr>
        <w:tabs>
          <w:tab w:val="num" w:pos="1800"/>
        </w:tabs>
        <w:ind w:left="1800" w:hanging="360"/>
      </w:pPr>
      <w:rPr>
        <w:rFonts w:ascii="Arial" w:hAnsi="Arial" w:hint="default"/>
      </w:rPr>
    </w:lvl>
    <w:lvl w:ilvl="3" w:tplc="21063C40" w:tentative="1">
      <w:start w:val="1"/>
      <w:numFmt w:val="bullet"/>
      <w:lvlText w:val="•"/>
      <w:lvlJc w:val="left"/>
      <w:pPr>
        <w:tabs>
          <w:tab w:val="num" w:pos="2520"/>
        </w:tabs>
        <w:ind w:left="2520" w:hanging="360"/>
      </w:pPr>
      <w:rPr>
        <w:rFonts w:ascii="Arial" w:hAnsi="Arial" w:hint="default"/>
      </w:rPr>
    </w:lvl>
    <w:lvl w:ilvl="4" w:tplc="C8282022" w:tentative="1">
      <w:start w:val="1"/>
      <w:numFmt w:val="bullet"/>
      <w:lvlText w:val="•"/>
      <w:lvlJc w:val="left"/>
      <w:pPr>
        <w:tabs>
          <w:tab w:val="num" w:pos="3240"/>
        </w:tabs>
        <w:ind w:left="3240" w:hanging="360"/>
      </w:pPr>
      <w:rPr>
        <w:rFonts w:ascii="Arial" w:hAnsi="Arial" w:hint="default"/>
      </w:rPr>
    </w:lvl>
    <w:lvl w:ilvl="5" w:tplc="20D02870" w:tentative="1">
      <w:start w:val="1"/>
      <w:numFmt w:val="bullet"/>
      <w:lvlText w:val="•"/>
      <w:lvlJc w:val="left"/>
      <w:pPr>
        <w:tabs>
          <w:tab w:val="num" w:pos="3960"/>
        </w:tabs>
        <w:ind w:left="3960" w:hanging="360"/>
      </w:pPr>
      <w:rPr>
        <w:rFonts w:ascii="Arial" w:hAnsi="Arial" w:hint="default"/>
      </w:rPr>
    </w:lvl>
    <w:lvl w:ilvl="6" w:tplc="BE62682A" w:tentative="1">
      <w:start w:val="1"/>
      <w:numFmt w:val="bullet"/>
      <w:lvlText w:val="•"/>
      <w:lvlJc w:val="left"/>
      <w:pPr>
        <w:tabs>
          <w:tab w:val="num" w:pos="4680"/>
        </w:tabs>
        <w:ind w:left="4680" w:hanging="360"/>
      </w:pPr>
      <w:rPr>
        <w:rFonts w:ascii="Arial" w:hAnsi="Arial" w:hint="default"/>
      </w:rPr>
    </w:lvl>
    <w:lvl w:ilvl="7" w:tplc="A01251F8" w:tentative="1">
      <w:start w:val="1"/>
      <w:numFmt w:val="bullet"/>
      <w:lvlText w:val="•"/>
      <w:lvlJc w:val="left"/>
      <w:pPr>
        <w:tabs>
          <w:tab w:val="num" w:pos="5400"/>
        </w:tabs>
        <w:ind w:left="5400" w:hanging="360"/>
      </w:pPr>
      <w:rPr>
        <w:rFonts w:ascii="Arial" w:hAnsi="Arial" w:hint="default"/>
      </w:rPr>
    </w:lvl>
    <w:lvl w:ilvl="8" w:tplc="EB34DC52" w:tentative="1">
      <w:start w:val="1"/>
      <w:numFmt w:val="bullet"/>
      <w:lvlText w:val="•"/>
      <w:lvlJc w:val="left"/>
      <w:pPr>
        <w:tabs>
          <w:tab w:val="num" w:pos="6120"/>
        </w:tabs>
        <w:ind w:left="6120" w:hanging="360"/>
      </w:pPr>
      <w:rPr>
        <w:rFonts w:ascii="Arial" w:hAnsi="Arial" w:hint="default"/>
      </w:rPr>
    </w:lvl>
  </w:abstractNum>
  <w:abstractNum w:abstractNumId="58" w15:restartNumberingAfterBreak="0">
    <w:nsid w:val="2FB7489A"/>
    <w:multiLevelType w:val="hybridMultilevel"/>
    <w:tmpl w:val="E0721BD4"/>
    <w:lvl w:ilvl="0" w:tplc="1F28BDF4">
      <w:start w:val="1"/>
      <w:numFmt w:val="lowerLetter"/>
      <w:lvlText w:val="%1."/>
      <w:lvlJc w:val="left"/>
      <w:pPr>
        <w:ind w:left="1080" w:hanging="360"/>
      </w:pPr>
    </w:lvl>
    <w:lvl w:ilvl="1" w:tplc="E8525528">
      <w:start w:val="1"/>
      <w:numFmt w:val="lowerLetter"/>
      <w:lvlText w:val="%2."/>
      <w:lvlJc w:val="left"/>
      <w:pPr>
        <w:ind w:left="1080" w:hanging="360"/>
      </w:pPr>
    </w:lvl>
    <w:lvl w:ilvl="2" w:tplc="6FA4443E">
      <w:start w:val="1"/>
      <w:numFmt w:val="lowerLetter"/>
      <w:lvlText w:val="%3."/>
      <w:lvlJc w:val="left"/>
      <w:pPr>
        <w:ind w:left="1080" w:hanging="360"/>
      </w:pPr>
    </w:lvl>
    <w:lvl w:ilvl="3" w:tplc="83B4EE46">
      <w:start w:val="1"/>
      <w:numFmt w:val="lowerLetter"/>
      <w:lvlText w:val="%4."/>
      <w:lvlJc w:val="left"/>
      <w:pPr>
        <w:ind w:left="1080" w:hanging="360"/>
      </w:pPr>
    </w:lvl>
    <w:lvl w:ilvl="4" w:tplc="984063A2">
      <w:start w:val="1"/>
      <w:numFmt w:val="lowerLetter"/>
      <w:lvlText w:val="%5."/>
      <w:lvlJc w:val="left"/>
      <w:pPr>
        <w:ind w:left="1080" w:hanging="360"/>
      </w:pPr>
    </w:lvl>
    <w:lvl w:ilvl="5" w:tplc="A89E6784">
      <w:start w:val="1"/>
      <w:numFmt w:val="lowerLetter"/>
      <w:lvlText w:val="%6."/>
      <w:lvlJc w:val="left"/>
      <w:pPr>
        <w:ind w:left="1080" w:hanging="360"/>
      </w:pPr>
    </w:lvl>
    <w:lvl w:ilvl="6" w:tplc="B6CEB298">
      <w:start w:val="1"/>
      <w:numFmt w:val="lowerLetter"/>
      <w:lvlText w:val="%7."/>
      <w:lvlJc w:val="left"/>
      <w:pPr>
        <w:ind w:left="1080" w:hanging="360"/>
      </w:pPr>
    </w:lvl>
    <w:lvl w:ilvl="7" w:tplc="1B387C06">
      <w:start w:val="1"/>
      <w:numFmt w:val="lowerLetter"/>
      <w:lvlText w:val="%8."/>
      <w:lvlJc w:val="left"/>
      <w:pPr>
        <w:ind w:left="1080" w:hanging="360"/>
      </w:pPr>
    </w:lvl>
    <w:lvl w:ilvl="8" w:tplc="5C662680">
      <w:start w:val="1"/>
      <w:numFmt w:val="lowerLetter"/>
      <w:lvlText w:val="%9."/>
      <w:lvlJc w:val="left"/>
      <w:pPr>
        <w:ind w:left="1080" w:hanging="360"/>
      </w:pPr>
    </w:lvl>
  </w:abstractNum>
  <w:abstractNum w:abstractNumId="59" w15:restartNumberingAfterBreak="0">
    <w:nsid w:val="30684CC2"/>
    <w:multiLevelType w:val="hybridMultilevel"/>
    <w:tmpl w:val="FD9E4AF2"/>
    <w:lvl w:ilvl="0" w:tplc="ADE26322">
      <w:start w:val="1"/>
      <w:numFmt w:val="bullet"/>
      <w:lvlText w:val="•"/>
      <w:lvlJc w:val="left"/>
      <w:pPr>
        <w:tabs>
          <w:tab w:val="num" w:pos="720"/>
        </w:tabs>
        <w:ind w:left="720" w:hanging="360"/>
      </w:pPr>
      <w:rPr>
        <w:rFonts w:ascii="Arial" w:hAnsi="Arial" w:hint="default"/>
      </w:rPr>
    </w:lvl>
    <w:lvl w:ilvl="1" w:tplc="7F60E50E" w:tentative="1">
      <w:start w:val="1"/>
      <w:numFmt w:val="bullet"/>
      <w:lvlText w:val="•"/>
      <w:lvlJc w:val="left"/>
      <w:pPr>
        <w:tabs>
          <w:tab w:val="num" w:pos="1440"/>
        </w:tabs>
        <w:ind w:left="1440" w:hanging="360"/>
      </w:pPr>
      <w:rPr>
        <w:rFonts w:ascii="Arial" w:hAnsi="Arial" w:hint="default"/>
      </w:rPr>
    </w:lvl>
    <w:lvl w:ilvl="2" w:tplc="EC4E2A66">
      <w:start w:val="1"/>
      <w:numFmt w:val="bullet"/>
      <w:lvlText w:val="•"/>
      <w:lvlJc w:val="left"/>
      <w:pPr>
        <w:tabs>
          <w:tab w:val="num" w:pos="2160"/>
        </w:tabs>
        <w:ind w:left="2160" w:hanging="360"/>
      </w:pPr>
      <w:rPr>
        <w:rFonts w:ascii="Arial" w:hAnsi="Arial" w:hint="default"/>
      </w:rPr>
    </w:lvl>
    <w:lvl w:ilvl="3" w:tplc="E7EC04AC" w:tentative="1">
      <w:start w:val="1"/>
      <w:numFmt w:val="bullet"/>
      <w:lvlText w:val="•"/>
      <w:lvlJc w:val="left"/>
      <w:pPr>
        <w:tabs>
          <w:tab w:val="num" w:pos="2880"/>
        </w:tabs>
        <w:ind w:left="2880" w:hanging="360"/>
      </w:pPr>
      <w:rPr>
        <w:rFonts w:ascii="Arial" w:hAnsi="Arial" w:hint="default"/>
      </w:rPr>
    </w:lvl>
    <w:lvl w:ilvl="4" w:tplc="80F48786" w:tentative="1">
      <w:start w:val="1"/>
      <w:numFmt w:val="bullet"/>
      <w:lvlText w:val="•"/>
      <w:lvlJc w:val="left"/>
      <w:pPr>
        <w:tabs>
          <w:tab w:val="num" w:pos="3600"/>
        </w:tabs>
        <w:ind w:left="3600" w:hanging="360"/>
      </w:pPr>
      <w:rPr>
        <w:rFonts w:ascii="Arial" w:hAnsi="Arial" w:hint="default"/>
      </w:rPr>
    </w:lvl>
    <w:lvl w:ilvl="5" w:tplc="8B20B478" w:tentative="1">
      <w:start w:val="1"/>
      <w:numFmt w:val="bullet"/>
      <w:lvlText w:val="•"/>
      <w:lvlJc w:val="left"/>
      <w:pPr>
        <w:tabs>
          <w:tab w:val="num" w:pos="4320"/>
        </w:tabs>
        <w:ind w:left="4320" w:hanging="360"/>
      </w:pPr>
      <w:rPr>
        <w:rFonts w:ascii="Arial" w:hAnsi="Arial" w:hint="default"/>
      </w:rPr>
    </w:lvl>
    <w:lvl w:ilvl="6" w:tplc="F3E2B954" w:tentative="1">
      <w:start w:val="1"/>
      <w:numFmt w:val="bullet"/>
      <w:lvlText w:val="•"/>
      <w:lvlJc w:val="left"/>
      <w:pPr>
        <w:tabs>
          <w:tab w:val="num" w:pos="5040"/>
        </w:tabs>
        <w:ind w:left="5040" w:hanging="360"/>
      </w:pPr>
      <w:rPr>
        <w:rFonts w:ascii="Arial" w:hAnsi="Arial" w:hint="default"/>
      </w:rPr>
    </w:lvl>
    <w:lvl w:ilvl="7" w:tplc="764A73A0" w:tentative="1">
      <w:start w:val="1"/>
      <w:numFmt w:val="bullet"/>
      <w:lvlText w:val="•"/>
      <w:lvlJc w:val="left"/>
      <w:pPr>
        <w:tabs>
          <w:tab w:val="num" w:pos="5760"/>
        </w:tabs>
        <w:ind w:left="5760" w:hanging="360"/>
      </w:pPr>
      <w:rPr>
        <w:rFonts w:ascii="Arial" w:hAnsi="Arial" w:hint="default"/>
      </w:rPr>
    </w:lvl>
    <w:lvl w:ilvl="8" w:tplc="5468A34A"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30B12556"/>
    <w:multiLevelType w:val="hybridMultilevel"/>
    <w:tmpl w:val="454CDDD6"/>
    <w:lvl w:ilvl="0" w:tplc="DC600B42">
      <w:start w:val="1"/>
      <w:numFmt w:val="decimal"/>
      <w:pStyle w:val="FHC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0EB61F4"/>
    <w:multiLevelType w:val="hybridMultilevel"/>
    <w:tmpl w:val="4A02A1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1DA3BF3"/>
    <w:multiLevelType w:val="hybridMultilevel"/>
    <w:tmpl w:val="3746E600"/>
    <w:lvl w:ilvl="0" w:tplc="14962D06">
      <w:start w:val="1"/>
      <w:numFmt w:val="bullet"/>
      <w:lvlText w:val="•"/>
      <w:lvlJc w:val="left"/>
      <w:pPr>
        <w:tabs>
          <w:tab w:val="num" w:pos="360"/>
        </w:tabs>
        <w:ind w:left="360" w:hanging="360"/>
      </w:pPr>
      <w:rPr>
        <w:rFonts w:ascii="Arial" w:hAnsi="Arial" w:hint="default"/>
      </w:rPr>
    </w:lvl>
    <w:lvl w:ilvl="1" w:tplc="89A05844">
      <w:start w:val="1"/>
      <w:numFmt w:val="bullet"/>
      <w:lvlText w:val="•"/>
      <w:lvlJc w:val="left"/>
      <w:pPr>
        <w:tabs>
          <w:tab w:val="num" w:pos="1080"/>
        </w:tabs>
        <w:ind w:left="1080" w:hanging="360"/>
      </w:pPr>
      <w:rPr>
        <w:rFonts w:ascii="Arial" w:hAnsi="Arial" w:hint="default"/>
      </w:rPr>
    </w:lvl>
    <w:lvl w:ilvl="2" w:tplc="868C2DAE">
      <w:start w:val="1"/>
      <w:numFmt w:val="bullet"/>
      <w:lvlText w:val="•"/>
      <w:lvlJc w:val="left"/>
      <w:pPr>
        <w:tabs>
          <w:tab w:val="num" w:pos="1800"/>
        </w:tabs>
        <w:ind w:left="1800" w:hanging="360"/>
      </w:pPr>
      <w:rPr>
        <w:rFonts w:ascii="Arial" w:hAnsi="Arial" w:hint="default"/>
      </w:rPr>
    </w:lvl>
    <w:lvl w:ilvl="3" w:tplc="F5123FBE" w:tentative="1">
      <w:start w:val="1"/>
      <w:numFmt w:val="bullet"/>
      <w:lvlText w:val="•"/>
      <w:lvlJc w:val="left"/>
      <w:pPr>
        <w:tabs>
          <w:tab w:val="num" w:pos="2520"/>
        </w:tabs>
        <w:ind w:left="2520" w:hanging="360"/>
      </w:pPr>
      <w:rPr>
        <w:rFonts w:ascii="Arial" w:hAnsi="Arial" w:hint="default"/>
      </w:rPr>
    </w:lvl>
    <w:lvl w:ilvl="4" w:tplc="ABA2EFF2" w:tentative="1">
      <w:start w:val="1"/>
      <w:numFmt w:val="bullet"/>
      <w:lvlText w:val="•"/>
      <w:lvlJc w:val="left"/>
      <w:pPr>
        <w:tabs>
          <w:tab w:val="num" w:pos="3240"/>
        </w:tabs>
        <w:ind w:left="3240" w:hanging="360"/>
      </w:pPr>
      <w:rPr>
        <w:rFonts w:ascii="Arial" w:hAnsi="Arial" w:hint="default"/>
      </w:rPr>
    </w:lvl>
    <w:lvl w:ilvl="5" w:tplc="A14C5D00" w:tentative="1">
      <w:start w:val="1"/>
      <w:numFmt w:val="bullet"/>
      <w:lvlText w:val="•"/>
      <w:lvlJc w:val="left"/>
      <w:pPr>
        <w:tabs>
          <w:tab w:val="num" w:pos="3960"/>
        </w:tabs>
        <w:ind w:left="3960" w:hanging="360"/>
      </w:pPr>
      <w:rPr>
        <w:rFonts w:ascii="Arial" w:hAnsi="Arial" w:hint="default"/>
      </w:rPr>
    </w:lvl>
    <w:lvl w:ilvl="6" w:tplc="2508252A" w:tentative="1">
      <w:start w:val="1"/>
      <w:numFmt w:val="bullet"/>
      <w:lvlText w:val="•"/>
      <w:lvlJc w:val="left"/>
      <w:pPr>
        <w:tabs>
          <w:tab w:val="num" w:pos="4680"/>
        </w:tabs>
        <w:ind w:left="4680" w:hanging="360"/>
      </w:pPr>
      <w:rPr>
        <w:rFonts w:ascii="Arial" w:hAnsi="Arial" w:hint="default"/>
      </w:rPr>
    </w:lvl>
    <w:lvl w:ilvl="7" w:tplc="32CAE5CE" w:tentative="1">
      <w:start w:val="1"/>
      <w:numFmt w:val="bullet"/>
      <w:lvlText w:val="•"/>
      <w:lvlJc w:val="left"/>
      <w:pPr>
        <w:tabs>
          <w:tab w:val="num" w:pos="5400"/>
        </w:tabs>
        <w:ind w:left="5400" w:hanging="360"/>
      </w:pPr>
      <w:rPr>
        <w:rFonts w:ascii="Arial" w:hAnsi="Arial" w:hint="default"/>
      </w:rPr>
    </w:lvl>
    <w:lvl w:ilvl="8" w:tplc="A668590A" w:tentative="1">
      <w:start w:val="1"/>
      <w:numFmt w:val="bullet"/>
      <w:lvlText w:val="•"/>
      <w:lvlJc w:val="left"/>
      <w:pPr>
        <w:tabs>
          <w:tab w:val="num" w:pos="6120"/>
        </w:tabs>
        <w:ind w:left="6120" w:hanging="360"/>
      </w:pPr>
      <w:rPr>
        <w:rFonts w:ascii="Arial" w:hAnsi="Arial" w:hint="default"/>
      </w:rPr>
    </w:lvl>
  </w:abstractNum>
  <w:abstractNum w:abstractNumId="63" w15:restartNumberingAfterBreak="0">
    <w:nsid w:val="32B75207"/>
    <w:multiLevelType w:val="hybridMultilevel"/>
    <w:tmpl w:val="3A902314"/>
    <w:lvl w:ilvl="0" w:tplc="9236A7BA">
      <w:start w:val="1"/>
      <w:numFmt w:val="decimal"/>
      <w:pStyle w:val="ListNumber"/>
      <w:lvlText w:val="%1."/>
      <w:lvlJc w:val="left"/>
      <w:pPr>
        <w:ind w:left="720" w:hanging="360"/>
      </w:pPr>
    </w:lvl>
    <w:lvl w:ilvl="1" w:tplc="06D6B2A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4071E7A"/>
    <w:multiLevelType w:val="hybridMultilevel"/>
    <w:tmpl w:val="DCDA3F2A"/>
    <w:lvl w:ilvl="0" w:tplc="A83A5EC4">
      <w:start w:val="1"/>
      <w:numFmt w:val="bullet"/>
      <w:lvlText w:val="•"/>
      <w:lvlJc w:val="left"/>
      <w:pPr>
        <w:tabs>
          <w:tab w:val="num" w:pos="720"/>
        </w:tabs>
        <w:ind w:left="720" w:hanging="360"/>
      </w:pPr>
      <w:rPr>
        <w:rFonts w:ascii="Arial" w:hAnsi="Arial" w:hint="default"/>
      </w:rPr>
    </w:lvl>
    <w:lvl w:ilvl="1" w:tplc="EBB88A42" w:tentative="1">
      <w:start w:val="1"/>
      <w:numFmt w:val="bullet"/>
      <w:lvlText w:val="•"/>
      <w:lvlJc w:val="left"/>
      <w:pPr>
        <w:tabs>
          <w:tab w:val="num" w:pos="1440"/>
        </w:tabs>
        <w:ind w:left="1440" w:hanging="360"/>
      </w:pPr>
      <w:rPr>
        <w:rFonts w:ascii="Arial" w:hAnsi="Arial" w:hint="default"/>
      </w:rPr>
    </w:lvl>
    <w:lvl w:ilvl="2" w:tplc="A81CB404" w:tentative="1">
      <w:start w:val="1"/>
      <w:numFmt w:val="bullet"/>
      <w:lvlText w:val="•"/>
      <w:lvlJc w:val="left"/>
      <w:pPr>
        <w:tabs>
          <w:tab w:val="num" w:pos="2160"/>
        </w:tabs>
        <w:ind w:left="2160" w:hanging="360"/>
      </w:pPr>
      <w:rPr>
        <w:rFonts w:ascii="Arial" w:hAnsi="Arial" w:hint="default"/>
      </w:rPr>
    </w:lvl>
    <w:lvl w:ilvl="3" w:tplc="A8985200" w:tentative="1">
      <w:start w:val="1"/>
      <w:numFmt w:val="bullet"/>
      <w:lvlText w:val="•"/>
      <w:lvlJc w:val="left"/>
      <w:pPr>
        <w:tabs>
          <w:tab w:val="num" w:pos="2880"/>
        </w:tabs>
        <w:ind w:left="2880" w:hanging="360"/>
      </w:pPr>
      <w:rPr>
        <w:rFonts w:ascii="Arial" w:hAnsi="Arial" w:hint="default"/>
      </w:rPr>
    </w:lvl>
    <w:lvl w:ilvl="4" w:tplc="4CF851B4" w:tentative="1">
      <w:start w:val="1"/>
      <w:numFmt w:val="bullet"/>
      <w:lvlText w:val="•"/>
      <w:lvlJc w:val="left"/>
      <w:pPr>
        <w:tabs>
          <w:tab w:val="num" w:pos="3600"/>
        </w:tabs>
        <w:ind w:left="3600" w:hanging="360"/>
      </w:pPr>
      <w:rPr>
        <w:rFonts w:ascii="Arial" w:hAnsi="Arial" w:hint="default"/>
      </w:rPr>
    </w:lvl>
    <w:lvl w:ilvl="5" w:tplc="CC28A89C" w:tentative="1">
      <w:start w:val="1"/>
      <w:numFmt w:val="bullet"/>
      <w:lvlText w:val="•"/>
      <w:lvlJc w:val="left"/>
      <w:pPr>
        <w:tabs>
          <w:tab w:val="num" w:pos="4320"/>
        </w:tabs>
        <w:ind w:left="4320" w:hanging="360"/>
      </w:pPr>
      <w:rPr>
        <w:rFonts w:ascii="Arial" w:hAnsi="Arial" w:hint="default"/>
      </w:rPr>
    </w:lvl>
    <w:lvl w:ilvl="6" w:tplc="F21A866E" w:tentative="1">
      <w:start w:val="1"/>
      <w:numFmt w:val="bullet"/>
      <w:lvlText w:val="•"/>
      <w:lvlJc w:val="left"/>
      <w:pPr>
        <w:tabs>
          <w:tab w:val="num" w:pos="5040"/>
        </w:tabs>
        <w:ind w:left="5040" w:hanging="360"/>
      </w:pPr>
      <w:rPr>
        <w:rFonts w:ascii="Arial" w:hAnsi="Arial" w:hint="default"/>
      </w:rPr>
    </w:lvl>
    <w:lvl w:ilvl="7" w:tplc="996896DE" w:tentative="1">
      <w:start w:val="1"/>
      <w:numFmt w:val="bullet"/>
      <w:lvlText w:val="•"/>
      <w:lvlJc w:val="left"/>
      <w:pPr>
        <w:tabs>
          <w:tab w:val="num" w:pos="5760"/>
        </w:tabs>
        <w:ind w:left="5760" w:hanging="360"/>
      </w:pPr>
      <w:rPr>
        <w:rFonts w:ascii="Arial" w:hAnsi="Arial" w:hint="default"/>
      </w:rPr>
    </w:lvl>
    <w:lvl w:ilvl="8" w:tplc="263AE236"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34235766"/>
    <w:multiLevelType w:val="hybridMultilevel"/>
    <w:tmpl w:val="5C9E933A"/>
    <w:lvl w:ilvl="0" w:tplc="80F2424C">
      <w:start w:val="1"/>
      <w:numFmt w:val="bullet"/>
      <w:lvlText w:val="•"/>
      <w:lvlJc w:val="left"/>
      <w:pPr>
        <w:tabs>
          <w:tab w:val="num" w:pos="360"/>
        </w:tabs>
        <w:ind w:left="360" w:hanging="360"/>
      </w:pPr>
      <w:rPr>
        <w:rFonts w:ascii="Arial" w:hAnsi="Arial" w:hint="default"/>
      </w:rPr>
    </w:lvl>
    <w:lvl w:ilvl="1" w:tplc="DFE63FC0">
      <w:start w:val="1"/>
      <w:numFmt w:val="bullet"/>
      <w:lvlText w:val="•"/>
      <w:lvlJc w:val="left"/>
      <w:pPr>
        <w:tabs>
          <w:tab w:val="num" w:pos="1080"/>
        </w:tabs>
        <w:ind w:left="1080" w:hanging="360"/>
      </w:pPr>
      <w:rPr>
        <w:rFonts w:ascii="Arial" w:hAnsi="Arial" w:hint="default"/>
      </w:rPr>
    </w:lvl>
    <w:lvl w:ilvl="2" w:tplc="04429332">
      <w:start w:val="1"/>
      <w:numFmt w:val="bullet"/>
      <w:lvlText w:val="•"/>
      <w:lvlJc w:val="left"/>
      <w:pPr>
        <w:tabs>
          <w:tab w:val="num" w:pos="1800"/>
        </w:tabs>
        <w:ind w:left="1800" w:hanging="360"/>
      </w:pPr>
      <w:rPr>
        <w:rFonts w:ascii="Arial" w:hAnsi="Arial" w:hint="default"/>
      </w:rPr>
    </w:lvl>
    <w:lvl w:ilvl="3" w:tplc="62C6AA3C" w:tentative="1">
      <w:start w:val="1"/>
      <w:numFmt w:val="bullet"/>
      <w:lvlText w:val="•"/>
      <w:lvlJc w:val="left"/>
      <w:pPr>
        <w:tabs>
          <w:tab w:val="num" w:pos="2520"/>
        </w:tabs>
        <w:ind w:left="2520" w:hanging="360"/>
      </w:pPr>
      <w:rPr>
        <w:rFonts w:ascii="Arial" w:hAnsi="Arial" w:hint="default"/>
      </w:rPr>
    </w:lvl>
    <w:lvl w:ilvl="4" w:tplc="39446D34" w:tentative="1">
      <w:start w:val="1"/>
      <w:numFmt w:val="bullet"/>
      <w:lvlText w:val="•"/>
      <w:lvlJc w:val="left"/>
      <w:pPr>
        <w:tabs>
          <w:tab w:val="num" w:pos="3240"/>
        </w:tabs>
        <w:ind w:left="3240" w:hanging="360"/>
      </w:pPr>
      <w:rPr>
        <w:rFonts w:ascii="Arial" w:hAnsi="Arial" w:hint="default"/>
      </w:rPr>
    </w:lvl>
    <w:lvl w:ilvl="5" w:tplc="CBC86850" w:tentative="1">
      <w:start w:val="1"/>
      <w:numFmt w:val="bullet"/>
      <w:lvlText w:val="•"/>
      <w:lvlJc w:val="left"/>
      <w:pPr>
        <w:tabs>
          <w:tab w:val="num" w:pos="3960"/>
        </w:tabs>
        <w:ind w:left="3960" w:hanging="360"/>
      </w:pPr>
      <w:rPr>
        <w:rFonts w:ascii="Arial" w:hAnsi="Arial" w:hint="default"/>
      </w:rPr>
    </w:lvl>
    <w:lvl w:ilvl="6" w:tplc="45044170" w:tentative="1">
      <w:start w:val="1"/>
      <w:numFmt w:val="bullet"/>
      <w:lvlText w:val="•"/>
      <w:lvlJc w:val="left"/>
      <w:pPr>
        <w:tabs>
          <w:tab w:val="num" w:pos="4680"/>
        </w:tabs>
        <w:ind w:left="4680" w:hanging="360"/>
      </w:pPr>
      <w:rPr>
        <w:rFonts w:ascii="Arial" w:hAnsi="Arial" w:hint="default"/>
      </w:rPr>
    </w:lvl>
    <w:lvl w:ilvl="7" w:tplc="F9BC320A" w:tentative="1">
      <w:start w:val="1"/>
      <w:numFmt w:val="bullet"/>
      <w:lvlText w:val="•"/>
      <w:lvlJc w:val="left"/>
      <w:pPr>
        <w:tabs>
          <w:tab w:val="num" w:pos="5400"/>
        </w:tabs>
        <w:ind w:left="5400" w:hanging="360"/>
      </w:pPr>
      <w:rPr>
        <w:rFonts w:ascii="Arial" w:hAnsi="Arial" w:hint="default"/>
      </w:rPr>
    </w:lvl>
    <w:lvl w:ilvl="8" w:tplc="2156476C" w:tentative="1">
      <w:start w:val="1"/>
      <w:numFmt w:val="bullet"/>
      <w:lvlText w:val="•"/>
      <w:lvlJc w:val="left"/>
      <w:pPr>
        <w:tabs>
          <w:tab w:val="num" w:pos="6120"/>
        </w:tabs>
        <w:ind w:left="6120" w:hanging="360"/>
      </w:pPr>
      <w:rPr>
        <w:rFonts w:ascii="Arial" w:hAnsi="Arial" w:hint="default"/>
      </w:rPr>
    </w:lvl>
  </w:abstractNum>
  <w:abstractNum w:abstractNumId="66" w15:restartNumberingAfterBreak="0">
    <w:nsid w:val="366F7D7A"/>
    <w:multiLevelType w:val="hybridMultilevel"/>
    <w:tmpl w:val="18AAAE84"/>
    <w:lvl w:ilvl="0" w:tplc="737261EE">
      <w:start w:val="1"/>
      <w:numFmt w:val="bullet"/>
      <w:lvlText w:val="•"/>
      <w:lvlJc w:val="left"/>
      <w:pPr>
        <w:tabs>
          <w:tab w:val="num" w:pos="720"/>
        </w:tabs>
        <w:ind w:left="720" w:hanging="360"/>
      </w:pPr>
      <w:rPr>
        <w:rFonts w:ascii="Arial" w:hAnsi="Arial" w:hint="default"/>
      </w:rPr>
    </w:lvl>
    <w:lvl w:ilvl="1" w:tplc="42088D34">
      <w:start w:val="1"/>
      <w:numFmt w:val="bullet"/>
      <w:lvlText w:val="•"/>
      <w:lvlJc w:val="left"/>
      <w:pPr>
        <w:tabs>
          <w:tab w:val="num" w:pos="1440"/>
        </w:tabs>
        <w:ind w:left="1440" w:hanging="360"/>
      </w:pPr>
      <w:rPr>
        <w:rFonts w:ascii="Arial" w:hAnsi="Arial" w:hint="default"/>
      </w:rPr>
    </w:lvl>
    <w:lvl w:ilvl="2" w:tplc="7A9E99DE" w:tentative="1">
      <w:start w:val="1"/>
      <w:numFmt w:val="bullet"/>
      <w:lvlText w:val="•"/>
      <w:lvlJc w:val="left"/>
      <w:pPr>
        <w:tabs>
          <w:tab w:val="num" w:pos="2160"/>
        </w:tabs>
        <w:ind w:left="2160" w:hanging="360"/>
      </w:pPr>
      <w:rPr>
        <w:rFonts w:ascii="Arial" w:hAnsi="Arial" w:hint="default"/>
      </w:rPr>
    </w:lvl>
    <w:lvl w:ilvl="3" w:tplc="4CE08050" w:tentative="1">
      <w:start w:val="1"/>
      <w:numFmt w:val="bullet"/>
      <w:lvlText w:val="•"/>
      <w:lvlJc w:val="left"/>
      <w:pPr>
        <w:tabs>
          <w:tab w:val="num" w:pos="2880"/>
        </w:tabs>
        <w:ind w:left="2880" w:hanging="360"/>
      </w:pPr>
      <w:rPr>
        <w:rFonts w:ascii="Arial" w:hAnsi="Arial" w:hint="default"/>
      </w:rPr>
    </w:lvl>
    <w:lvl w:ilvl="4" w:tplc="1EB42C1E" w:tentative="1">
      <w:start w:val="1"/>
      <w:numFmt w:val="bullet"/>
      <w:lvlText w:val="•"/>
      <w:lvlJc w:val="left"/>
      <w:pPr>
        <w:tabs>
          <w:tab w:val="num" w:pos="3600"/>
        </w:tabs>
        <w:ind w:left="3600" w:hanging="360"/>
      </w:pPr>
      <w:rPr>
        <w:rFonts w:ascii="Arial" w:hAnsi="Arial" w:hint="default"/>
      </w:rPr>
    </w:lvl>
    <w:lvl w:ilvl="5" w:tplc="097AF484" w:tentative="1">
      <w:start w:val="1"/>
      <w:numFmt w:val="bullet"/>
      <w:lvlText w:val="•"/>
      <w:lvlJc w:val="left"/>
      <w:pPr>
        <w:tabs>
          <w:tab w:val="num" w:pos="4320"/>
        </w:tabs>
        <w:ind w:left="4320" w:hanging="360"/>
      </w:pPr>
      <w:rPr>
        <w:rFonts w:ascii="Arial" w:hAnsi="Arial" w:hint="default"/>
      </w:rPr>
    </w:lvl>
    <w:lvl w:ilvl="6" w:tplc="2744C864" w:tentative="1">
      <w:start w:val="1"/>
      <w:numFmt w:val="bullet"/>
      <w:lvlText w:val="•"/>
      <w:lvlJc w:val="left"/>
      <w:pPr>
        <w:tabs>
          <w:tab w:val="num" w:pos="5040"/>
        </w:tabs>
        <w:ind w:left="5040" w:hanging="360"/>
      </w:pPr>
      <w:rPr>
        <w:rFonts w:ascii="Arial" w:hAnsi="Arial" w:hint="default"/>
      </w:rPr>
    </w:lvl>
    <w:lvl w:ilvl="7" w:tplc="3F366F5A" w:tentative="1">
      <w:start w:val="1"/>
      <w:numFmt w:val="bullet"/>
      <w:lvlText w:val="•"/>
      <w:lvlJc w:val="left"/>
      <w:pPr>
        <w:tabs>
          <w:tab w:val="num" w:pos="5760"/>
        </w:tabs>
        <w:ind w:left="5760" w:hanging="360"/>
      </w:pPr>
      <w:rPr>
        <w:rFonts w:ascii="Arial" w:hAnsi="Arial" w:hint="default"/>
      </w:rPr>
    </w:lvl>
    <w:lvl w:ilvl="8" w:tplc="2B56C8C0"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37685137"/>
    <w:multiLevelType w:val="hybridMultilevel"/>
    <w:tmpl w:val="EDD6D4EC"/>
    <w:lvl w:ilvl="0" w:tplc="F19A40F6">
      <w:start w:val="1"/>
      <w:numFmt w:val="bullet"/>
      <w:lvlText w:val="•"/>
      <w:lvlJc w:val="left"/>
      <w:pPr>
        <w:tabs>
          <w:tab w:val="num" w:pos="720"/>
        </w:tabs>
        <w:ind w:left="720" w:hanging="360"/>
      </w:pPr>
      <w:rPr>
        <w:rFonts w:ascii="Arial" w:hAnsi="Arial" w:hint="default"/>
      </w:rPr>
    </w:lvl>
    <w:lvl w:ilvl="1" w:tplc="A38E30D6" w:tentative="1">
      <w:start w:val="1"/>
      <w:numFmt w:val="bullet"/>
      <w:lvlText w:val="•"/>
      <w:lvlJc w:val="left"/>
      <w:pPr>
        <w:tabs>
          <w:tab w:val="num" w:pos="1440"/>
        </w:tabs>
        <w:ind w:left="1440" w:hanging="360"/>
      </w:pPr>
      <w:rPr>
        <w:rFonts w:ascii="Arial" w:hAnsi="Arial" w:hint="default"/>
      </w:rPr>
    </w:lvl>
    <w:lvl w:ilvl="2" w:tplc="E918DA7C">
      <w:start w:val="1"/>
      <w:numFmt w:val="bullet"/>
      <w:lvlText w:val="•"/>
      <w:lvlJc w:val="left"/>
      <w:pPr>
        <w:tabs>
          <w:tab w:val="num" w:pos="2160"/>
        </w:tabs>
        <w:ind w:left="2160" w:hanging="360"/>
      </w:pPr>
      <w:rPr>
        <w:rFonts w:ascii="Arial" w:hAnsi="Arial" w:hint="default"/>
      </w:rPr>
    </w:lvl>
    <w:lvl w:ilvl="3" w:tplc="66EC05DE" w:tentative="1">
      <w:start w:val="1"/>
      <w:numFmt w:val="bullet"/>
      <w:lvlText w:val="•"/>
      <w:lvlJc w:val="left"/>
      <w:pPr>
        <w:tabs>
          <w:tab w:val="num" w:pos="2880"/>
        </w:tabs>
        <w:ind w:left="2880" w:hanging="360"/>
      </w:pPr>
      <w:rPr>
        <w:rFonts w:ascii="Arial" w:hAnsi="Arial" w:hint="default"/>
      </w:rPr>
    </w:lvl>
    <w:lvl w:ilvl="4" w:tplc="7AB860EC" w:tentative="1">
      <w:start w:val="1"/>
      <w:numFmt w:val="bullet"/>
      <w:lvlText w:val="•"/>
      <w:lvlJc w:val="left"/>
      <w:pPr>
        <w:tabs>
          <w:tab w:val="num" w:pos="3600"/>
        </w:tabs>
        <w:ind w:left="3600" w:hanging="360"/>
      </w:pPr>
      <w:rPr>
        <w:rFonts w:ascii="Arial" w:hAnsi="Arial" w:hint="default"/>
      </w:rPr>
    </w:lvl>
    <w:lvl w:ilvl="5" w:tplc="BF00E77C" w:tentative="1">
      <w:start w:val="1"/>
      <w:numFmt w:val="bullet"/>
      <w:lvlText w:val="•"/>
      <w:lvlJc w:val="left"/>
      <w:pPr>
        <w:tabs>
          <w:tab w:val="num" w:pos="4320"/>
        </w:tabs>
        <w:ind w:left="4320" w:hanging="360"/>
      </w:pPr>
      <w:rPr>
        <w:rFonts w:ascii="Arial" w:hAnsi="Arial" w:hint="default"/>
      </w:rPr>
    </w:lvl>
    <w:lvl w:ilvl="6" w:tplc="069852FE" w:tentative="1">
      <w:start w:val="1"/>
      <w:numFmt w:val="bullet"/>
      <w:lvlText w:val="•"/>
      <w:lvlJc w:val="left"/>
      <w:pPr>
        <w:tabs>
          <w:tab w:val="num" w:pos="5040"/>
        </w:tabs>
        <w:ind w:left="5040" w:hanging="360"/>
      </w:pPr>
      <w:rPr>
        <w:rFonts w:ascii="Arial" w:hAnsi="Arial" w:hint="default"/>
      </w:rPr>
    </w:lvl>
    <w:lvl w:ilvl="7" w:tplc="552E3258" w:tentative="1">
      <w:start w:val="1"/>
      <w:numFmt w:val="bullet"/>
      <w:lvlText w:val="•"/>
      <w:lvlJc w:val="left"/>
      <w:pPr>
        <w:tabs>
          <w:tab w:val="num" w:pos="5760"/>
        </w:tabs>
        <w:ind w:left="5760" w:hanging="360"/>
      </w:pPr>
      <w:rPr>
        <w:rFonts w:ascii="Arial" w:hAnsi="Arial" w:hint="default"/>
      </w:rPr>
    </w:lvl>
    <w:lvl w:ilvl="8" w:tplc="B7360E88"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384C68CF"/>
    <w:multiLevelType w:val="hybridMultilevel"/>
    <w:tmpl w:val="56DED4D2"/>
    <w:lvl w:ilvl="0" w:tplc="FC40EEF2">
      <w:start w:val="1"/>
      <w:numFmt w:val="bullet"/>
      <w:lvlText w:val="•"/>
      <w:lvlJc w:val="left"/>
      <w:pPr>
        <w:tabs>
          <w:tab w:val="num" w:pos="720"/>
        </w:tabs>
        <w:ind w:left="720" w:hanging="360"/>
      </w:pPr>
      <w:rPr>
        <w:rFonts w:ascii="Arial" w:hAnsi="Arial" w:hint="default"/>
      </w:rPr>
    </w:lvl>
    <w:lvl w:ilvl="1" w:tplc="7B169AAC" w:tentative="1">
      <w:start w:val="1"/>
      <w:numFmt w:val="bullet"/>
      <w:lvlText w:val="•"/>
      <w:lvlJc w:val="left"/>
      <w:pPr>
        <w:tabs>
          <w:tab w:val="num" w:pos="1440"/>
        </w:tabs>
        <w:ind w:left="1440" w:hanging="360"/>
      </w:pPr>
      <w:rPr>
        <w:rFonts w:ascii="Arial" w:hAnsi="Arial" w:hint="default"/>
      </w:rPr>
    </w:lvl>
    <w:lvl w:ilvl="2" w:tplc="6524A030">
      <w:start w:val="1"/>
      <w:numFmt w:val="bullet"/>
      <w:lvlText w:val="•"/>
      <w:lvlJc w:val="left"/>
      <w:pPr>
        <w:tabs>
          <w:tab w:val="num" w:pos="2160"/>
        </w:tabs>
        <w:ind w:left="2160" w:hanging="360"/>
      </w:pPr>
      <w:rPr>
        <w:rFonts w:ascii="Arial" w:hAnsi="Arial" w:hint="default"/>
      </w:rPr>
    </w:lvl>
    <w:lvl w:ilvl="3" w:tplc="03C02182" w:tentative="1">
      <w:start w:val="1"/>
      <w:numFmt w:val="bullet"/>
      <w:lvlText w:val="•"/>
      <w:lvlJc w:val="left"/>
      <w:pPr>
        <w:tabs>
          <w:tab w:val="num" w:pos="2880"/>
        </w:tabs>
        <w:ind w:left="2880" w:hanging="360"/>
      </w:pPr>
      <w:rPr>
        <w:rFonts w:ascii="Arial" w:hAnsi="Arial" w:hint="default"/>
      </w:rPr>
    </w:lvl>
    <w:lvl w:ilvl="4" w:tplc="C6006650" w:tentative="1">
      <w:start w:val="1"/>
      <w:numFmt w:val="bullet"/>
      <w:lvlText w:val="•"/>
      <w:lvlJc w:val="left"/>
      <w:pPr>
        <w:tabs>
          <w:tab w:val="num" w:pos="3600"/>
        </w:tabs>
        <w:ind w:left="3600" w:hanging="360"/>
      </w:pPr>
      <w:rPr>
        <w:rFonts w:ascii="Arial" w:hAnsi="Arial" w:hint="default"/>
      </w:rPr>
    </w:lvl>
    <w:lvl w:ilvl="5" w:tplc="8042C110" w:tentative="1">
      <w:start w:val="1"/>
      <w:numFmt w:val="bullet"/>
      <w:lvlText w:val="•"/>
      <w:lvlJc w:val="left"/>
      <w:pPr>
        <w:tabs>
          <w:tab w:val="num" w:pos="4320"/>
        </w:tabs>
        <w:ind w:left="4320" w:hanging="360"/>
      </w:pPr>
      <w:rPr>
        <w:rFonts w:ascii="Arial" w:hAnsi="Arial" w:hint="default"/>
      </w:rPr>
    </w:lvl>
    <w:lvl w:ilvl="6" w:tplc="F9F006AA" w:tentative="1">
      <w:start w:val="1"/>
      <w:numFmt w:val="bullet"/>
      <w:lvlText w:val="•"/>
      <w:lvlJc w:val="left"/>
      <w:pPr>
        <w:tabs>
          <w:tab w:val="num" w:pos="5040"/>
        </w:tabs>
        <w:ind w:left="5040" w:hanging="360"/>
      </w:pPr>
      <w:rPr>
        <w:rFonts w:ascii="Arial" w:hAnsi="Arial" w:hint="default"/>
      </w:rPr>
    </w:lvl>
    <w:lvl w:ilvl="7" w:tplc="2294129E" w:tentative="1">
      <w:start w:val="1"/>
      <w:numFmt w:val="bullet"/>
      <w:lvlText w:val="•"/>
      <w:lvlJc w:val="left"/>
      <w:pPr>
        <w:tabs>
          <w:tab w:val="num" w:pos="5760"/>
        </w:tabs>
        <w:ind w:left="5760" w:hanging="360"/>
      </w:pPr>
      <w:rPr>
        <w:rFonts w:ascii="Arial" w:hAnsi="Arial" w:hint="default"/>
      </w:rPr>
    </w:lvl>
    <w:lvl w:ilvl="8" w:tplc="8878C2A8"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38F7091D"/>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0" w15:restartNumberingAfterBreak="0">
    <w:nsid w:val="39CC0988"/>
    <w:multiLevelType w:val="hybridMultilevel"/>
    <w:tmpl w:val="BF828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9F8313C"/>
    <w:multiLevelType w:val="hybridMultilevel"/>
    <w:tmpl w:val="E9608966"/>
    <w:lvl w:ilvl="0" w:tplc="A2E498C4">
      <w:start w:val="1"/>
      <w:numFmt w:val="bullet"/>
      <w:lvlText w:val="•"/>
      <w:lvlJc w:val="left"/>
      <w:pPr>
        <w:tabs>
          <w:tab w:val="num" w:pos="720"/>
        </w:tabs>
        <w:ind w:left="720" w:hanging="360"/>
      </w:pPr>
      <w:rPr>
        <w:rFonts w:ascii="Arial" w:hAnsi="Arial" w:hint="default"/>
      </w:rPr>
    </w:lvl>
    <w:lvl w:ilvl="1" w:tplc="205E0DF8">
      <w:numFmt w:val="bullet"/>
      <w:lvlText w:val="•"/>
      <w:lvlJc w:val="left"/>
      <w:pPr>
        <w:tabs>
          <w:tab w:val="num" w:pos="1440"/>
        </w:tabs>
        <w:ind w:left="1440" w:hanging="360"/>
      </w:pPr>
      <w:rPr>
        <w:rFonts w:ascii="Arial" w:hAnsi="Arial" w:hint="default"/>
      </w:rPr>
    </w:lvl>
    <w:lvl w:ilvl="2" w:tplc="58426C18" w:tentative="1">
      <w:start w:val="1"/>
      <w:numFmt w:val="bullet"/>
      <w:lvlText w:val="•"/>
      <w:lvlJc w:val="left"/>
      <w:pPr>
        <w:tabs>
          <w:tab w:val="num" w:pos="2160"/>
        </w:tabs>
        <w:ind w:left="2160" w:hanging="360"/>
      </w:pPr>
      <w:rPr>
        <w:rFonts w:ascii="Arial" w:hAnsi="Arial" w:hint="default"/>
      </w:rPr>
    </w:lvl>
    <w:lvl w:ilvl="3" w:tplc="4C50E9BE" w:tentative="1">
      <w:start w:val="1"/>
      <w:numFmt w:val="bullet"/>
      <w:lvlText w:val="•"/>
      <w:lvlJc w:val="left"/>
      <w:pPr>
        <w:tabs>
          <w:tab w:val="num" w:pos="2880"/>
        </w:tabs>
        <w:ind w:left="2880" w:hanging="360"/>
      </w:pPr>
      <w:rPr>
        <w:rFonts w:ascii="Arial" w:hAnsi="Arial" w:hint="default"/>
      </w:rPr>
    </w:lvl>
    <w:lvl w:ilvl="4" w:tplc="B3B8431E" w:tentative="1">
      <w:start w:val="1"/>
      <w:numFmt w:val="bullet"/>
      <w:lvlText w:val="•"/>
      <w:lvlJc w:val="left"/>
      <w:pPr>
        <w:tabs>
          <w:tab w:val="num" w:pos="3600"/>
        </w:tabs>
        <w:ind w:left="3600" w:hanging="360"/>
      </w:pPr>
      <w:rPr>
        <w:rFonts w:ascii="Arial" w:hAnsi="Arial" w:hint="default"/>
      </w:rPr>
    </w:lvl>
    <w:lvl w:ilvl="5" w:tplc="450A2350" w:tentative="1">
      <w:start w:val="1"/>
      <w:numFmt w:val="bullet"/>
      <w:lvlText w:val="•"/>
      <w:lvlJc w:val="left"/>
      <w:pPr>
        <w:tabs>
          <w:tab w:val="num" w:pos="4320"/>
        </w:tabs>
        <w:ind w:left="4320" w:hanging="360"/>
      </w:pPr>
      <w:rPr>
        <w:rFonts w:ascii="Arial" w:hAnsi="Arial" w:hint="default"/>
      </w:rPr>
    </w:lvl>
    <w:lvl w:ilvl="6" w:tplc="F6B2B6A0" w:tentative="1">
      <w:start w:val="1"/>
      <w:numFmt w:val="bullet"/>
      <w:lvlText w:val="•"/>
      <w:lvlJc w:val="left"/>
      <w:pPr>
        <w:tabs>
          <w:tab w:val="num" w:pos="5040"/>
        </w:tabs>
        <w:ind w:left="5040" w:hanging="360"/>
      </w:pPr>
      <w:rPr>
        <w:rFonts w:ascii="Arial" w:hAnsi="Arial" w:hint="default"/>
      </w:rPr>
    </w:lvl>
    <w:lvl w:ilvl="7" w:tplc="B5062508" w:tentative="1">
      <w:start w:val="1"/>
      <w:numFmt w:val="bullet"/>
      <w:lvlText w:val="•"/>
      <w:lvlJc w:val="left"/>
      <w:pPr>
        <w:tabs>
          <w:tab w:val="num" w:pos="5760"/>
        </w:tabs>
        <w:ind w:left="5760" w:hanging="360"/>
      </w:pPr>
      <w:rPr>
        <w:rFonts w:ascii="Arial" w:hAnsi="Arial" w:hint="default"/>
      </w:rPr>
    </w:lvl>
    <w:lvl w:ilvl="8" w:tplc="1B6685D6"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3AF80624"/>
    <w:multiLevelType w:val="hybridMultilevel"/>
    <w:tmpl w:val="D47C2742"/>
    <w:lvl w:ilvl="0" w:tplc="8FB211EA">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3B6722B1"/>
    <w:multiLevelType w:val="hybridMultilevel"/>
    <w:tmpl w:val="6124202A"/>
    <w:lvl w:ilvl="0" w:tplc="4C223D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CCF0AC9"/>
    <w:multiLevelType w:val="hybridMultilevel"/>
    <w:tmpl w:val="C36C92EA"/>
    <w:lvl w:ilvl="0" w:tplc="B6FA3B66">
      <w:start w:val="1"/>
      <w:numFmt w:val="bullet"/>
      <w:lvlText w:val="•"/>
      <w:lvlJc w:val="left"/>
      <w:pPr>
        <w:tabs>
          <w:tab w:val="num" w:pos="360"/>
        </w:tabs>
        <w:ind w:left="360" w:hanging="360"/>
      </w:pPr>
      <w:rPr>
        <w:rFonts w:ascii="Arial" w:hAnsi="Arial" w:hint="default"/>
      </w:rPr>
    </w:lvl>
    <w:lvl w:ilvl="1" w:tplc="1AA0E21E">
      <w:start w:val="1"/>
      <w:numFmt w:val="bullet"/>
      <w:lvlText w:val="•"/>
      <w:lvlJc w:val="left"/>
      <w:pPr>
        <w:tabs>
          <w:tab w:val="num" w:pos="1080"/>
        </w:tabs>
        <w:ind w:left="1080" w:hanging="360"/>
      </w:pPr>
      <w:rPr>
        <w:rFonts w:ascii="Arial" w:hAnsi="Arial" w:hint="default"/>
      </w:rPr>
    </w:lvl>
    <w:lvl w:ilvl="2" w:tplc="33849B12" w:tentative="1">
      <w:start w:val="1"/>
      <w:numFmt w:val="bullet"/>
      <w:lvlText w:val="•"/>
      <w:lvlJc w:val="left"/>
      <w:pPr>
        <w:tabs>
          <w:tab w:val="num" w:pos="1800"/>
        </w:tabs>
        <w:ind w:left="1800" w:hanging="360"/>
      </w:pPr>
      <w:rPr>
        <w:rFonts w:ascii="Arial" w:hAnsi="Arial" w:hint="default"/>
      </w:rPr>
    </w:lvl>
    <w:lvl w:ilvl="3" w:tplc="6E44BEEE" w:tentative="1">
      <w:start w:val="1"/>
      <w:numFmt w:val="bullet"/>
      <w:lvlText w:val="•"/>
      <w:lvlJc w:val="left"/>
      <w:pPr>
        <w:tabs>
          <w:tab w:val="num" w:pos="2520"/>
        </w:tabs>
        <w:ind w:left="2520" w:hanging="360"/>
      </w:pPr>
      <w:rPr>
        <w:rFonts w:ascii="Arial" w:hAnsi="Arial" w:hint="default"/>
      </w:rPr>
    </w:lvl>
    <w:lvl w:ilvl="4" w:tplc="62EEB900" w:tentative="1">
      <w:start w:val="1"/>
      <w:numFmt w:val="bullet"/>
      <w:lvlText w:val="•"/>
      <w:lvlJc w:val="left"/>
      <w:pPr>
        <w:tabs>
          <w:tab w:val="num" w:pos="3240"/>
        </w:tabs>
        <w:ind w:left="3240" w:hanging="360"/>
      </w:pPr>
      <w:rPr>
        <w:rFonts w:ascii="Arial" w:hAnsi="Arial" w:hint="default"/>
      </w:rPr>
    </w:lvl>
    <w:lvl w:ilvl="5" w:tplc="C8367182" w:tentative="1">
      <w:start w:val="1"/>
      <w:numFmt w:val="bullet"/>
      <w:lvlText w:val="•"/>
      <w:lvlJc w:val="left"/>
      <w:pPr>
        <w:tabs>
          <w:tab w:val="num" w:pos="3960"/>
        </w:tabs>
        <w:ind w:left="3960" w:hanging="360"/>
      </w:pPr>
      <w:rPr>
        <w:rFonts w:ascii="Arial" w:hAnsi="Arial" w:hint="default"/>
      </w:rPr>
    </w:lvl>
    <w:lvl w:ilvl="6" w:tplc="215C486A" w:tentative="1">
      <w:start w:val="1"/>
      <w:numFmt w:val="bullet"/>
      <w:lvlText w:val="•"/>
      <w:lvlJc w:val="left"/>
      <w:pPr>
        <w:tabs>
          <w:tab w:val="num" w:pos="4680"/>
        </w:tabs>
        <w:ind w:left="4680" w:hanging="360"/>
      </w:pPr>
      <w:rPr>
        <w:rFonts w:ascii="Arial" w:hAnsi="Arial" w:hint="default"/>
      </w:rPr>
    </w:lvl>
    <w:lvl w:ilvl="7" w:tplc="7F0EA340" w:tentative="1">
      <w:start w:val="1"/>
      <w:numFmt w:val="bullet"/>
      <w:lvlText w:val="•"/>
      <w:lvlJc w:val="left"/>
      <w:pPr>
        <w:tabs>
          <w:tab w:val="num" w:pos="5400"/>
        </w:tabs>
        <w:ind w:left="5400" w:hanging="360"/>
      </w:pPr>
      <w:rPr>
        <w:rFonts w:ascii="Arial" w:hAnsi="Arial" w:hint="default"/>
      </w:rPr>
    </w:lvl>
    <w:lvl w:ilvl="8" w:tplc="5156DD0E" w:tentative="1">
      <w:start w:val="1"/>
      <w:numFmt w:val="bullet"/>
      <w:lvlText w:val="•"/>
      <w:lvlJc w:val="left"/>
      <w:pPr>
        <w:tabs>
          <w:tab w:val="num" w:pos="6120"/>
        </w:tabs>
        <w:ind w:left="6120" w:hanging="360"/>
      </w:pPr>
      <w:rPr>
        <w:rFonts w:ascii="Arial" w:hAnsi="Arial" w:hint="default"/>
      </w:rPr>
    </w:lvl>
  </w:abstractNum>
  <w:abstractNum w:abstractNumId="75" w15:restartNumberingAfterBreak="0">
    <w:nsid w:val="3F6A753F"/>
    <w:multiLevelType w:val="hybridMultilevel"/>
    <w:tmpl w:val="D0444AA4"/>
    <w:lvl w:ilvl="0" w:tplc="0B4CD52E">
      <w:start w:val="1"/>
      <w:numFmt w:val="bullet"/>
      <w:lvlText w:val=""/>
      <w:lvlJc w:val="left"/>
      <w:pPr>
        <w:ind w:left="144" w:hanging="144"/>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3FC8237C"/>
    <w:multiLevelType w:val="hybridMultilevel"/>
    <w:tmpl w:val="88A24E1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40BF279B"/>
    <w:multiLevelType w:val="hybridMultilevel"/>
    <w:tmpl w:val="2076D8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2893146"/>
    <w:multiLevelType w:val="hybridMultilevel"/>
    <w:tmpl w:val="F8906A9E"/>
    <w:lvl w:ilvl="0" w:tplc="B538AD54">
      <w:start w:val="1"/>
      <w:numFmt w:val="bullet"/>
      <w:lvlText w:val="•"/>
      <w:lvlJc w:val="left"/>
      <w:pPr>
        <w:tabs>
          <w:tab w:val="num" w:pos="720"/>
        </w:tabs>
        <w:ind w:left="720" w:hanging="360"/>
      </w:pPr>
      <w:rPr>
        <w:rFonts w:ascii="Arial" w:hAnsi="Arial" w:hint="default"/>
      </w:rPr>
    </w:lvl>
    <w:lvl w:ilvl="1" w:tplc="15FA6530" w:tentative="1">
      <w:start w:val="1"/>
      <w:numFmt w:val="bullet"/>
      <w:lvlText w:val="•"/>
      <w:lvlJc w:val="left"/>
      <w:pPr>
        <w:tabs>
          <w:tab w:val="num" w:pos="1440"/>
        </w:tabs>
        <w:ind w:left="1440" w:hanging="360"/>
      </w:pPr>
      <w:rPr>
        <w:rFonts w:ascii="Arial" w:hAnsi="Arial" w:hint="default"/>
      </w:rPr>
    </w:lvl>
    <w:lvl w:ilvl="2" w:tplc="7E2AB5A4">
      <w:start w:val="1"/>
      <w:numFmt w:val="bullet"/>
      <w:lvlText w:val="•"/>
      <w:lvlJc w:val="left"/>
      <w:pPr>
        <w:tabs>
          <w:tab w:val="num" w:pos="2160"/>
        </w:tabs>
        <w:ind w:left="2160" w:hanging="360"/>
      </w:pPr>
      <w:rPr>
        <w:rFonts w:ascii="Arial" w:hAnsi="Arial" w:hint="default"/>
      </w:rPr>
    </w:lvl>
    <w:lvl w:ilvl="3" w:tplc="081A2B2C" w:tentative="1">
      <w:start w:val="1"/>
      <w:numFmt w:val="bullet"/>
      <w:lvlText w:val="•"/>
      <w:lvlJc w:val="left"/>
      <w:pPr>
        <w:tabs>
          <w:tab w:val="num" w:pos="2880"/>
        </w:tabs>
        <w:ind w:left="2880" w:hanging="360"/>
      </w:pPr>
      <w:rPr>
        <w:rFonts w:ascii="Arial" w:hAnsi="Arial" w:hint="default"/>
      </w:rPr>
    </w:lvl>
    <w:lvl w:ilvl="4" w:tplc="9A8C6D22" w:tentative="1">
      <w:start w:val="1"/>
      <w:numFmt w:val="bullet"/>
      <w:lvlText w:val="•"/>
      <w:lvlJc w:val="left"/>
      <w:pPr>
        <w:tabs>
          <w:tab w:val="num" w:pos="3600"/>
        </w:tabs>
        <w:ind w:left="3600" w:hanging="360"/>
      </w:pPr>
      <w:rPr>
        <w:rFonts w:ascii="Arial" w:hAnsi="Arial" w:hint="default"/>
      </w:rPr>
    </w:lvl>
    <w:lvl w:ilvl="5" w:tplc="3DF411B0" w:tentative="1">
      <w:start w:val="1"/>
      <w:numFmt w:val="bullet"/>
      <w:lvlText w:val="•"/>
      <w:lvlJc w:val="left"/>
      <w:pPr>
        <w:tabs>
          <w:tab w:val="num" w:pos="4320"/>
        </w:tabs>
        <w:ind w:left="4320" w:hanging="360"/>
      </w:pPr>
      <w:rPr>
        <w:rFonts w:ascii="Arial" w:hAnsi="Arial" w:hint="default"/>
      </w:rPr>
    </w:lvl>
    <w:lvl w:ilvl="6" w:tplc="CCF09B06" w:tentative="1">
      <w:start w:val="1"/>
      <w:numFmt w:val="bullet"/>
      <w:lvlText w:val="•"/>
      <w:lvlJc w:val="left"/>
      <w:pPr>
        <w:tabs>
          <w:tab w:val="num" w:pos="5040"/>
        </w:tabs>
        <w:ind w:left="5040" w:hanging="360"/>
      </w:pPr>
      <w:rPr>
        <w:rFonts w:ascii="Arial" w:hAnsi="Arial" w:hint="default"/>
      </w:rPr>
    </w:lvl>
    <w:lvl w:ilvl="7" w:tplc="C66CA5C4" w:tentative="1">
      <w:start w:val="1"/>
      <w:numFmt w:val="bullet"/>
      <w:lvlText w:val="•"/>
      <w:lvlJc w:val="left"/>
      <w:pPr>
        <w:tabs>
          <w:tab w:val="num" w:pos="5760"/>
        </w:tabs>
        <w:ind w:left="5760" w:hanging="360"/>
      </w:pPr>
      <w:rPr>
        <w:rFonts w:ascii="Arial" w:hAnsi="Arial" w:hint="default"/>
      </w:rPr>
    </w:lvl>
    <w:lvl w:ilvl="8" w:tplc="E9D05520"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469866A3"/>
    <w:multiLevelType w:val="hybridMultilevel"/>
    <w:tmpl w:val="8E827618"/>
    <w:lvl w:ilvl="0" w:tplc="E4B47A3A">
      <w:start w:val="1"/>
      <w:numFmt w:val="bullet"/>
      <w:lvlText w:val="•"/>
      <w:lvlJc w:val="left"/>
      <w:pPr>
        <w:tabs>
          <w:tab w:val="num" w:pos="360"/>
        </w:tabs>
        <w:ind w:left="360" w:hanging="360"/>
      </w:pPr>
      <w:rPr>
        <w:rFonts w:ascii="Arial" w:hAnsi="Arial" w:hint="default"/>
      </w:rPr>
    </w:lvl>
    <w:lvl w:ilvl="1" w:tplc="613EF9D4">
      <w:start w:val="1"/>
      <w:numFmt w:val="bullet"/>
      <w:lvlText w:val="•"/>
      <w:lvlJc w:val="left"/>
      <w:pPr>
        <w:tabs>
          <w:tab w:val="num" w:pos="1080"/>
        </w:tabs>
        <w:ind w:left="1080" w:hanging="360"/>
      </w:pPr>
      <w:rPr>
        <w:rFonts w:ascii="Arial" w:hAnsi="Arial" w:hint="default"/>
      </w:rPr>
    </w:lvl>
    <w:lvl w:ilvl="2" w:tplc="003A1EE0" w:tentative="1">
      <w:start w:val="1"/>
      <w:numFmt w:val="bullet"/>
      <w:lvlText w:val="•"/>
      <w:lvlJc w:val="left"/>
      <w:pPr>
        <w:tabs>
          <w:tab w:val="num" w:pos="1800"/>
        </w:tabs>
        <w:ind w:left="1800" w:hanging="360"/>
      </w:pPr>
      <w:rPr>
        <w:rFonts w:ascii="Arial" w:hAnsi="Arial" w:hint="default"/>
      </w:rPr>
    </w:lvl>
    <w:lvl w:ilvl="3" w:tplc="DF5ECD5A" w:tentative="1">
      <w:start w:val="1"/>
      <w:numFmt w:val="bullet"/>
      <w:lvlText w:val="•"/>
      <w:lvlJc w:val="left"/>
      <w:pPr>
        <w:tabs>
          <w:tab w:val="num" w:pos="2520"/>
        </w:tabs>
        <w:ind w:left="2520" w:hanging="360"/>
      </w:pPr>
      <w:rPr>
        <w:rFonts w:ascii="Arial" w:hAnsi="Arial" w:hint="default"/>
      </w:rPr>
    </w:lvl>
    <w:lvl w:ilvl="4" w:tplc="B2223844" w:tentative="1">
      <w:start w:val="1"/>
      <w:numFmt w:val="bullet"/>
      <w:lvlText w:val="•"/>
      <w:lvlJc w:val="left"/>
      <w:pPr>
        <w:tabs>
          <w:tab w:val="num" w:pos="3240"/>
        </w:tabs>
        <w:ind w:left="3240" w:hanging="360"/>
      </w:pPr>
      <w:rPr>
        <w:rFonts w:ascii="Arial" w:hAnsi="Arial" w:hint="default"/>
      </w:rPr>
    </w:lvl>
    <w:lvl w:ilvl="5" w:tplc="E064F658" w:tentative="1">
      <w:start w:val="1"/>
      <w:numFmt w:val="bullet"/>
      <w:lvlText w:val="•"/>
      <w:lvlJc w:val="left"/>
      <w:pPr>
        <w:tabs>
          <w:tab w:val="num" w:pos="3960"/>
        </w:tabs>
        <w:ind w:left="3960" w:hanging="360"/>
      </w:pPr>
      <w:rPr>
        <w:rFonts w:ascii="Arial" w:hAnsi="Arial" w:hint="default"/>
      </w:rPr>
    </w:lvl>
    <w:lvl w:ilvl="6" w:tplc="4F061124" w:tentative="1">
      <w:start w:val="1"/>
      <w:numFmt w:val="bullet"/>
      <w:lvlText w:val="•"/>
      <w:lvlJc w:val="left"/>
      <w:pPr>
        <w:tabs>
          <w:tab w:val="num" w:pos="4680"/>
        </w:tabs>
        <w:ind w:left="4680" w:hanging="360"/>
      </w:pPr>
      <w:rPr>
        <w:rFonts w:ascii="Arial" w:hAnsi="Arial" w:hint="default"/>
      </w:rPr>
    </w:lvl>
    <w:lvl w:ilvl="7" w:tplc="F4969F42" w:tentative="1">
      <w:start w:val="1"/>
      <w:numFmt w:val="bullet"/>
      <w:lvlText w:val="•"/>
      <w:lvlJc w:val="left"/>
      <w:pPr>
        <w:tabs>
          <w:tab w:val="num" w:pos="5400"/>
        </w:tabs>
        <w:ind w:left="5400" w:hanging="360"/>
      </w:pPr>
      <w:rPr>
        <w:rFonts w:ascii="Arial" w:hAnsi="Arial" w:hint="default"/>
      </w:rPr>
    </w:lvl>
    <w:lvl w:ilvl="8" w:tplc="5036A584" w:tentative="1">
      <w:start w:val="1"/>
      <w:numFmt w:val="bullet"/>
      <w:lvlText w:val="•"/>
      <w:lvlJc w:val="left"/>
      <w:pPr>
        <w:tabs>
          <w:tab w:val="num" w:pos="6120"/>
        </w:tabs>
        <w:ind w:left="6120" w:hanging="360"/>
      </w:pPr>
      <w:rPr>
        <w:rFonts w:ascii="Arial" w:hAnsi="Arial" w:hint="default"/>
      </w:rPr>
    </w:lvl>
  </w:abstractNum>
  <w:abstractNum w:abstractNumId="80" w15:restartNumberingAfterBreak="0">
    <w:nsid w:val="47F82BBC"/>
    <w:multiLevelType w:val="hybridMultilevel"/>
    <w:tmpl w:val="CBA634EC"/>
    <w:lvl w:ilvl="0" w:tplc="30FEC942">
      <w:start w:val="1"/>
      <w:numFmt w:val="bullet"/>
      <w:pStyle w:val="Bullet1"/>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1" w15:restartNumberingAfterBreak="0">
    <w:nsid w:val="48250742"/>
    <w:multiLevelType w:val="hybridMultilevel"/>
    <w:tmpl w:val="2318BAEC"/>
    <w:lvl w:ilvl="0" w:tplc="E53497DC">
      <w:start w:val="1"/>
      <w:numFmt w:val="lowerLetter"/>
      <w:pStyle w:val="Subtitle"/>
      <w:lvlText w:val="%1."/>
      <w:lvlJc w:val="left"/>
      <w:pPr>
        <w:ind w:left="720" w:hanging="360"/>
      </w:pPr>
      <w:rPr>
        <w:rFonts w:hint="default"/>
      </w:rPr>
    </w:lvl>
    <w:lvl w:ilvl="1" w:tplc="A51EEBC2">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82A2438"/>
    <w:multiLevelType w:val="hybridMultilevel"/>
    <w:tmpl w:val="72A6C742"/>
    <w:lvl w:ilvl="0" w:tplc="A6A0C802">
      <w:start w:val="1"/>
      <w:numFmt w:val="bullet"/>
      <w:lvlText w:val="•"/>
      <w:lvlJc w:val="left"/>
      <w:pPr>
        <w:tabs>
          <w:tab w:val="num" w:pos="720"/>
        </w:tabs>
        <w:ind w:left="720" w:hanging="360"/>
      </w:pPr>
      <w:rPr>
        <w:rFonts w:ascii="Arial" w:hAnsi="Arial" w:hint="default"/>
      </w:rPr>
    </w:lvl>
    <w:lvl w:ilvl="1" w:tplc="6C38FA44" w:tentative="1">
      <w:start w:val="1"/>
      <w:numFmt w:val="bullet"/>
      <w:lvlText w:val="•"/>
      <w:lvlJc w:val="left"/>
      <w:pPr>
        <w:tabs>
          <w:tab w:val="num" w:pos="1440"/>
        </w:tabs>
        <w:ind w:left="1440" w:hanging="360"/>
      </w:pPr>
      <w:rPr>
        <w:rFonts w:ascii="Arial" w:hAnsi="Arial" w:hint="default"/>
      </w:rPr>
    </w:lvl>
    <w:lvl w:ilvl="2" w:tplc="D068A014">
      <w:start w:val="1"/>
      <w:numFmt w:val="bullet"/>
      <w:lvlText w:val="•"/>
      <w:lvlJc w:val="left"/>
      <w:pPr>
        <w:tabs>
          <w:tab w:val="num" w:pos="2160"/>
        </w:tabs>
        <w:ind w:left="2160" w:hanging="360"/>
      </w:pPr>
      <w:rPr>
        <w:rFonts w:ascii="Arial" w:hAnsi="Arial" w:hint="default"/>
      </w:rPr>
    </w:lvl>
    <w:lvl w:ilvl="3" w:tplc="8674A99E" w:tentative="1">
      <w:start w:val="1"/>
      <w:numFmt w:val="bullet"/>
      <w:lvlText w:val="•"/>
      <w:lvlJc w:val="left"/>
      <w:pPr>
        <w:tabs>
          <w:tab w:val="num" w:pos="2880"/>
        </w:tabs>
        <w:ind w:left="2880" w:hanging="360"/>
      </w:pPr>
      <w:rPr>
        <w:rFonts w:ascii="Arial" w:hAnsi="Arial" w:hint="default"/>
      </w:rPr>
    </w:lvl>
    <w:lvl w:ilvl="4" w:tplc="C13A4FDC" w:tentative="1">
      <w:start w:val="1"/>
      <w:numFmt w:val="bullet"/>
      <w:lvlText w:val="•"/>
      <w:lvlJc w:val="left"/>
      <w:pPr>
        <w:tabs>
          <w:tab w:val="num" w:pos="3600"/>
        </w:tabs>
        <w:ind w:left="3600" w:hanging="360"/>
      </w:pPr>
      <w:rPr>
        <w:rFonts w:ascii="Arial" w:hAnsi="Arial" w:hint="default"/>
      </w:rPr>
    </w:lvl>
    <w:lvl w:ilvl="5" w:tplc="05D0734E" w:tentative="1">
      <w:start w:val="1"/>
      <w:numFmt w:val="bullet"/>
      <w:lvlText w:val="•"/>
      <w:lvlJc w:val="left"/>
      <w:pPr>
        <w:tabs>
          <w:tab w:val="num" w:pos="4320"/>
        </w:tabs>
        <w:ind w:left="4320" w:hanging="360"/>
      </w:pPr>
      <w:rPr>
        <w:rFonts w:ascii="Arial" w:hAnsi="Arial" w:hint="default"/>
      </w:rPr>
    </w:lvl>
    <w:lvl w:ilvl="6" w:tplc="D94CBABA" w:tentative="1">
      <w:start w:val="1"/>
      <w:numFmt w:val="bullet"/>
      <w:lvlText w:val="•"/>
      <w:lvlJc w:val="left"/>
      <w:pPr>
        <w:tabs>
          <w:tab w:val="num" w:pos="5040"/>
        </w:tabs>
        <w:ind w:left="5040" w:hanging="360"/>
      </w:pPr>
      <w:rPr>
        <w:rFonts w:ascii="Arial" w:hAnsi="Arial" w:hint="default"/>
      </w:rPr>
    </w:lvl>
    <w:lvl w:ilvl="7" w:tplc="FE5A60AC" w:tentative="1">
      <w:start w:val="1"/>
      <w:numFmt w:val="bullet"/>
      <w:lvlText w:val="•"/>
      <w:lvlJc w:val="left"/>
      <w:pPr>
        <w:tabs>
          <w:tab w:val="num" w:pos="5760"/>
        </w:tabs>
        <w:ind w:left="5760" w:hanging="360"/>
      </w:pPr>
      <w:rPr>
        <w:rFonts w:ascii="Arial" w:hAnsi="Arial" w:hint="default"/>
      </w:rPr>
    </w:lvl>
    <w:lvl w:ilvl="8" w:tplc="1E6A1F20"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48430952"/>
    <w:multiLevelType w:val="hybridMultilevel"/>
    <w:tmpl w:val="9DC87032"/>
    <w:lvl w:ilvl="0" w:tplc="C27A774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AD10623"/>
    <w:multiLevelType w:val="hybridMultilevel"/>
    <w:tmpl w:val="55D069A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4B36277A"/>
    <w:multiLevelType w:val="hybridMultilevel"/>
    <w:tmpl w:val="4A8089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C314B9F"/>
    <w:multiLevelType w:val="hybridMultilevel"/>
    <w:tmpl w:val="AADE9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ED5095F"/>
    <w:multiLevelType w:val="hybridMultilevel"/>
    <w:tmpl w:val="C388F056"/>
    <w:lvl w:ilvl="0" w:tplc="A9800B8C">
      <w:start w:val="1"/>
      <w:numFmt w:val="bullet"/>
      <w:pStyle w:val="Bullet3"/>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4F2329F3"/>
    <w:multiLevelType w:val="hybridMultilevel"/>
    <w:tmpl w:val="17626348"/>
    <w:lvl w:ilvl="0" w:tplc="42BEDBB6">
      <w:start w:val="1"/>
      <w:numFmt w:val="bullet"/>
      <w:lvlText w:val="•"/>
      <w:lvlJc w:val="left"/>
      <w:pPr>
        <w:tabs>
          <w:tab w:val="num" w:pos="720"/>
        </w:tabs>
        <w:ind w:left="720" w:hanging="360"/>
      </w:pPr>
      <w:rPr>
        <w:rFonts w:ascii="Arial" w:hAnsi="Arial" w:hint="default"/>
      </w:rPr>
    </w:lvl>
    <w:lvl w:ilvl="1" w:tplc="80D4BFF6" w:tentative="1">
      <w:start w:val="1"/>
      <w:numFmt w:val="bullet"/>
      <w:lvlText w:val="•"/>
      <w:lvlJc w:val="left"/>
      <w:pPr>
        <w:tabs>
          <w:tab w:val="num" w:pos="1440"/>
        </w:tabs>
        <w:ind w:left="1440" w:hanging="360"/>
      </w:pPr>
      <w:rPr>
        <w:rFonts w:ascii="Arial" w:hAnsi="Arial" w:hint="default"/>
      </w:rPr>
    </w:lvl>
    <w:lvl w:ilvl="2" w:tplc="DAA0CCC8" w:tentative="1">
      <w:start w:val="1"/>
      <w:numFmt w:val="bullet"/>
      <w:lvlText w:val="•"/>
      <w:lvlJc w:val="left"/>
      <w:pPr>
        <w:tabs>
          <w:tab w:val="num" w:pos="2160"/>
        </w:tabs>
        <w:ind w:left="2160" w:hanging="360"/>
      </w:pPr>
      <w:rPr>
        <w:rFonts w:ascii="Arial" w:hAnsi="Arial" w:hint="default"/>
      </w:rPr>
    </w:lvl>
    <w:lvl w:ilvl="3" w:tplc="9DAC5DA4" w:tentative="1">
      <w:start w:val="1"/>
      <w:numFmt w:val="bullet"/>
      <w:lvlText w:val="•"/>
      <w:lvlJc w:val="left"/>
      <w:pPr>
        <w:tabs>
          <w:tab w:val="num" w:pos="2880"/>
        </w:tabs>
        <w:ind w:left="2880" w:hanging="360"/>
      </w:pPr>
      <w:rPr>
        <w:rFonts w:ascii="Arial" w:hAnsi="Arial" w:hint="default"/>
      </w:rPr>
    </w:lvl>
    <w:lvl w:ilvl="4" w:tplc="B0E03366" w:tentative="1">
      <w:start w:val="1"/>
      <w:numFmt w:val="bullet"/>
      <w:lvlText w:val="•"/>
      <w:lvlJc w:val="left"/>
      <w:pPr>
        <w:tabs>
          <w:tab w:val="num" w:pos="3600"/>
        </w:tabs>
        <w:ind w:left="3600" w:hanging="360"/>
      </w:pPr>
      <w:rPr>
        <w:rFonts w:ascii="Arial" w:hAnsi="Arial" w:hint="default"/>
      </w:rPr>
    </w:lvl>
    <w:lvl w:ilvl="5" w:tplc="21423508" w:tentative="1">
      <w:start w:val="1"/>
      <w:numFmt w:val="bullet"/>
      <w:lvlText w:val="•"/>
      <w:lvlJc w:val="left"/>
      <w:pPr>
        <w:tabs>
          <w:tab w:val="num" w:pos="4320"/>
        </w:tabs>
        <w:ind w:left="4320" w:hanging="360"/>
      </w:pPr>
      <w:rPr>
        <w:rFonts w:ascii="Arial" w:hAnsi="Arial" w:hint="default"/>
      </w:rPr>
    </w:lvl>
    <w:lvl w:ilvl="6" w:tplc="E090B414" w:tentative="1">
      <w:start w:val="1"/>
      <w:numFmt w:val="bullet"/>
      <w:lvlText w:val="•"/>
      <w:lvlJc w:val="left"/>
      <w:pPr>
        <w:tabs>
          <w:tab w:val="num" w:pos="5040"/>
        </w:tabs>
        <w:ind w:left="5040" w:hanging="360"/>
      </w:pPr>
      <w:rPr>
        <w:rFonts w:ascii="Arial" w:hAnsi="Arial" w:hint="default"/>
      </w:rPr>
    </w:lvl>
    <w:lvl w:ilvl="7" w:tplc="DDB273B6" w:tentative="1">
      <w:start w:val="1"/>
      <w:numFmt w:val="bullet"/>
      <w:lvlText w:val="•"/>
      <w:lvlJc w:val="left"/>
      <w:pPr>
        <w:tabs>
          <w:tab w:val="num" w:pos="5760"/>
        </w:tabs>
        <w:ind w:left="5760" w:hanging="360"/>
      </w:pPr>
      <w:rPr>
        <w:rFonts w:ascii="Arial" w:hAnsi="Arial" w:hint="default"/>
      </w:rPr>
    </w:lvl>
    <w:lvl w:ilvl="8" w:tplc="8B469FF8"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501218C0"/>
    <w:multiLevelType w:val="hybridMultilevel"/>
    <w:tmpl w:val="8434230C"/>
    <w:lvl w:ilvl="0" w:tplc="1004EFF8">
      <w:start w:val="1"/>
      <w:numFmt w:val="bullet"/>
      <w:lvlText w:val="•"/>
      <w:lvlJc w:val="left"/>
      <w:pPr>
        <w:tabs>
          <w:tab w:val="num" w:pos="720"/>
        </w:tabs>
        <w:ind w:left="720" w:hanging="360"/>
      </w:pPr>
      <w:rPr>
        <w:rFonts w:ascii="Arial" w:hAnsi="Arial" w:hint="default"/>
      </w:rPr>
    </w:lvl>
    <w:lvl w:ilvl="1" w:tplc="B994D5DA">
      <w:numFmt w:val="bullet"/>
      <w:lvlText w:val="•"/>
      <w:lvlJc w:val="left"/>
      <w:pPr>
        <w:tabs>
          <w:tab w:val="num" w:pos="1440"/>
        </w:tabs>
        <w:ind w:left="1440" w:hanging="360"/>
      </w:pPr>
      <w:rPr>
        <w:rFonts w:ascii="Arial" w:hAnsi="Arial" w:hint="default"/>
      </w:rPr>
    </w:lvl>
    <w:lvl w:ilvl="2" w:tplc="AD5E9ED2" w:tentative="1">
      <w:start w:val="1"/>
      <w:numFmt w:val="bullet"/>
      <w:lvlText w:val="•"/>
      <w:lvlJc w:val="left"/>
      <w:pPr>
        <w:tabs>
          <w:tab w:val="num" w:pos="2160"/>
        </w:tabs>
        <w:ind w:left="2160" w:hanging="360"/>
      </w:pPr>
      <w:rPr>
        <w:rFonts w:ascii="Arial" w:hAnsi="Arial" w:hint="default"/>
      </w:rPr>
    </w:lvl>
    <w:lvl w:ilvl="3" w:tplc="73588E02" w:tentative="1">
      <w:start w:val="1"/>
      <w:numFmt w:val="bullet"/>
      <w:lvlText w:val="•"/>
      <w:lvlJc w:val="left"/>
      <w:pPr>
        <w:tabs>
          <w:tab w:val="num" w:pos="2880"/>
        </w:tabs>
        <w:ind w:left="2880" w:hanging="360"/>
      </w:pPr>
      <w:rPr>
        <w:rFonts w:ascii="Arial" w:hAnsi="Arial" w:hint="default"/>
      </w:rPr>
    </w:lvl>
    <w:lvl w:ilvl="4" w:tplc="7D547EA8" w:tentative="1">
      <w:start w:val="1"/>
      <w:numFmt w:val="bullet"/>
      <w:lvlText w:val="•"/>
      <w:lvlJc w:val="left"/>
      <w:pPr>
        <w:tabs>
          <w:tab w:val="num" w:pos="3600"/>
        </w:tabs>
        <w:ind w:left="3600" w:hanging="360"/>
      </w:pPr>
      <w:rPr>
        <w:rFonts w:ascii="Arial" w:hAnsi="Arial" w:hint="default"/>
      </w:rPr>
    </w:lvl>
    <w:lvl w:ilvl="5" w:tplc="80AA6E44" w:tentative="1">
      <w:start w:val="1"/>
      <w:numFmt w:val="bullet"/>
      <w:lvlText w:val="•"/>
      <w:lvlJc w:val="left"/>
      <w:pPr>
        <w:tabs>
          <w:tab w:val="num" w:pos="4320"/>
        </w:tabs>
        <w:ind w:left="4320" w:hanging="360"/>
      </w:pPr>
      <w:rPr>
        <w:rFonts w:ascii="Arial" w:hAnsi="Arial" w:hint="default"/>
      </w:rPr>
    </w:lvl>
    <w:lvl w:ilvl="6" w:tplc="BF2EE926" w:tentative="1">
      <w:start w:val="1"/>
      <w:numFmt w:val="bullet"/>
      <w:lvlText w:val="•"/>
      <w:lvlJc w:val="left"/>
      <w:pPr>
        <w:tabs>
          <w:tab w:val="num" w:pos="5040"/>
        </w:tabs>
        <w:ind w:left="5040" w:hanging="360"/>
      </w:pPr>
      <w:rPr>
        <w:rFonts w:ascii="Arial" w:hAnsi="Arial" w:hint="default"/>
      </w:rPr>
    </w:lvl>
    <w:lvl w:ilvl="7" w:tplc="F3B6512E" w:tentative="1">
      <w:start w:val="1"/>
      <w:numFmt w:val="bullet"/>
      <w:lvlText w:val="•"/>
      <w:lvlJc w:val="left"/>
      <w:pPr>
        <w:tabs>
          <w:tab w:val="num" w:pos="5760"/>
        </w:tabs>
        <w:ind w:left="5760" w:hanging="360"/>
      </w:pPr>
      <w:rPr>
        <w:rFonts w:ascii="Arial" w:hAnsi="Arial" w:hint="default"/>
      </w:rPr>
    </w:lvl>
    <w:lvl w:ilvl="8" w:tplc="BB68FF46" w:tentative="1">
      <w:start w:val="1"/>
      <w:numFmt w:val="bullet"/>
      <w:lvlText w:val="•"/>
      <w:lvlJc w:val="left"/>
      <w:pPr>
        <w:tabs>
          <w:tab w:val="num" w:pos="6480"/>
        </w:tabs>
        <w:ind w:left="6480" w:hanging="360"/>
      </w:pPr>
      <w:rPr>
        <w:rFonts w:ascii="Arial" w:hAnsi="Arial" w:hint="default"/>
      </w:rPr>
    </w:lvl>
  </w:abstractNum>
  <w:abstractNum w:abstractNumId="90" w15:restartNumberingAfterBreak="0">
    <w:nsid w:val="514D35A0"/>
    <w:multiLevelType w:val="hybridMultilevel"/>
    <w:tmpl w:val="0F186210"/>
    <w:lvl w:ilvl="0" w:tplc="5530A6A2">
      <w:start w:val="1"/>
      <w:numFmt w:val="bullet"/>
      <w:lvlText w:val="•"/>
      <w:lvlJc w:val="left"/>
      <w:pPr>
        <w:tabs>
          <w:tab w:val="num" w:pos="720"/>
        </w:tabs>
        <w:ind w:left="720" w:hanging="360"/>
      </w:pPr>
      <w:rPr>
        <w:rFonts w:ascii="Arial" w:hAnsi="Arial" w:hint="default"/>
      </w:rPr>
    </w:lvl>
    <w:lvl w:ilvl="1" w:tplc="3B1AAD40" w:tentative="1">
      <w:start w:val="1"/>
      <w:numFmt w:val="bullet"/>
      <w:lvlText w:val="•"/>
      <w:lvlJc w:val="left"/>
      <w:pPr>
        <w:tabs>
          <w:tab w:val="num" w:pos="1440"/>
        </w:tabs>
        <w:ind w:left="1440" w:hanging="360"/>
      </w:pPr>
      <w:rPr>
        <w:rFonts w:ascii="Arial" w:hAnsi="Arial" w:hint="default"/>
      </w:rPr>
    </w:lvl>
    <w:lvl w:ilvl="2" w:tplc="F676D7C0" w:tentative="1">
      <w:start w:val="1"/>
      <w:numFmt w:val="bullet"/>
      <w:lvlText w:val="•"/>
      <w:lvlJc w:val="left"/>
      <w:pPr>
        <w:tabs>
          <w:tab w:val="num" w:pos="2160"/>
        </w:tabs>
        <w:ind w:left="2160" w:hanging="360"/>
      </w:pPr>
      <w:rPr>
        <w:rFonts w:ascii="Arial" w:hAnsi="Arial" w:hint="default"/>
      </w:rPr>
    </w:lvl>
    <w:lvl w:ilvl="3" w:tplc="8C9A67FA" w:tentative="1">
      <w:start w:val="1"/>
      <w:numFmt w:val="bullet"/>
      <w:lvlText w:val="•"/>
      <w:lvlJc w:val="left"/>
      <w:pPr>
        <w:tabs>
          <w:tab w:val="num" w:pos="2880"/>
        </w:tabs>
        <w:ind w:left="2880" w:hanging="360"/>
      </w:pPr>
      <w:rPr>
        <w:rFonts w:ascii="Arial" w:hAnsi="Arial" w:hint="default"/>
      </w:rPr>
    </w:lvl>
    <w:lvl w:ilvl="4" w:tplc="7256B58C" w:tentative="1">
      <w:start w:val="1"/>
      <w:numFmt w:val="bullet"/>
      <w:lvlText w:val="•"/>
      <w:lvlJc w:val="left"/>
      <w:pPr>
        <w:tabs>
          <w:tab w:val="num" w:pos="3600"/>
        </w:tabs>
        <w:ind w:left="3600" w:hanging="360"/>
      </w:pPr>
      <w:rPr>
        <w:rFonts w:ascii="Arial" w:hAnsi="Arial" w:hint="default"/>
      </w:rPr>
    </w:lvl>
    <w:lvl w:ilvl="5" w:tplc="3822BC92" w:tentative="1">
      <w:start w:val="1"/>
      <w:numFmt w:val="bullet"/>
      <w:lvlText w:val="•"/>
      <w:lvlJc w:val="left"/>
      <w:pPr>
        <w:tabs>
          <w:tab w:val="num" w:pos="4320"/>
        </w:tabs>
        <w:ind w:left="4320" w:hanging="360"/>
      </w:pPr>
      <w:rPr>
        <w:rFonts w:ascii="Arial" w:hAnsi="Arial" w:hint="default"/>
      </w:rPr>
    </w:lvl>
    <w:lvl w:ilvl="6" w:tplc="CABAD6C8" w:tentative="1">
      <w:start w:val="1"/>
      <w:numFmt w:val="bullet"/>
      <w:lvlText w:val="•"/>
      <w:lvlJc w:val="left"/>
      <w:pPr>
        <w:tabs>
          <w:tab w:val="num" w:pos="5040"/>
        </w:tabs>
        <w:ind w:left="5040" w:hanging="360"/>
      </w:pPr>
      <w:rPr>
        <w:rFonts w:ascii="Arial" w:hAnsi="Arial" w:hint="default"/>
      </w:rPr>
    </w:lvl>
    <w:lvl w:ilvl="7" w:tplc="5658EE86" w:tentative="1">
      <w:start w:val="1"/>
      <w:numFmt w:val="bullet"/>
      <w:lvlText w:val="•"/>
      <w:lvlJc w:val="left"/>
      <w:pPr>
        <w:tabs>
          <w:tab w:val="num" w:pos="5760"/>
        </w:tabs>
        <w:ind w:left="5760" w:hanging="360"/>
      </w:pPr>
      <w:rPr>
        <w:rFonts w:ascii="Arial" w:hAnsi="Arial" w:hint="default"/>
      </w:rPr>
    </w:lvl>
    <w:lvl w:ilvl="8" w:tplc="4606A770" w:tentative="1">
      <w:start w:val="1"/>
      <w:numFmt w:val="bullet"/>
      <w:lvlText w:val="•"/>
      <w:lvlJc w:val="left"/>
      <w:pPr>
        <w:tabs>
          <w:tab w:val="num" w:pos="6480"/>
        </w:tabs>
        <w:ind w:left="6480" w:hanging="360"/>
      </w:pPr>
      <w:rPr>
        <w:rFonts w:ascii="Arial" w:hAnsi="Arial" w:hint="default"/>
      </w:rPr>
    </w:lvl>
  </w:abstractNum>
  <w:abstractNum w:abstractNumId="91" w15:restartNumberingAfterBreak="0">
    <w:nsid w:val="5270474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52BA6CE3"/>
    <w:multiLevelType w:val="hybridMultilevel"/>
    <w:tmpl w:val="FCDE78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354046B"/>
    <w:multiLevelType w:val="hybridMultilevel"/>
    <w:tmpl w:val="550E56B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552C3153"/>
    <w:multiLevelType w:val="hybridMultilevel"/>
    <w:tmpl w:val="D8BC3F7C"/>
    <w:lvl w:ilvl="0" w:tplc="FAF05436">
      <w:start w:val="1"/>
      <w:numFmt w:val="bullet"/>
      <w:lvlText w:val="•"/>
      <w:lvlJc w:val="left"/>
      <w:pPr>
        <w:tabs>
          <w:tab w:val="num" w:pos="720"/>
        </w:tabs>
        <w:ind w:left="720" w:hanging="360"/>
      </w:pPr>
      <w:rPr>
        <w:rFonts w:ascii="Arial" w:hAnsi="Arial" w:hint="default"/>
      </w:rPr>
    </w:lvl>
    <w:lvl w:ilvl="1" w:tplc="16586DB4" w:tentative="1">
      <w:start w:val="1"/>
      <w:numFmt w:val="bullet"/>
      <w:lvlText w:val="•"/>
      <w:lvlJc w:val="left"/>
      <w:pPr>
        <w:tabs>
          <w:tab w:val="num" w:pos="1440"/>
        </w:tabs>
        <w:ind w:left="1440" w:hanging="360"/>
      </w:pPr>
      <w:rPr>
        <w:rFonts w:ascii="Arial" w:hAnsi="Arial" w:hint="default"/>
      </w:rPr>
    </w:lvl>
    <w:lvl w:ilvl="2" w:tplc="0248D02A">
      <w:start w:val="1"/>
      <w:numFmt w:val="bullet"/>
      <w:lvlText w:val="•"/>
      <w:lvlJc w:val="left"/>
      <w:pPr>
        <w:tabs>
          <w:tab w:val="num" w:pos="2160"/>
        </w:tabs>
        <w:ind w:left="2160" w:hanging="360"/>
      </w:pPr>
      <w:rPr>
        <w:rFonts w:ascii="Arial" w:hAnsi="Arial" w:hint="default"/>
      </w:rPr>
    </w:lvl>
    <w:lvl w:ilvl="3" w:tplc="6C16F816" w:tentative="1">
      <w:start w:val="1"/>
      <w:numFmt w:val="bullet"/>
      <w:lvlText w:val="•"/>
      <w:lvlJc w:val="left"/>
      <w:pPr>
        <w:tabs>
          <w:tab w:val="num" w:pos="2880"/>
        </w:tabs>
        <w:ind w:left="2880" w:hanging="360"/>
      </w:pPr>
      <w:rPr>
        <w:rFonts w:ascii="Arial" w:hAnsi="Arial" w:hint="default"/>
      </w:rPr>
    </w:lvl>
    <w:lvl w:ilvl="4" w:tplc="0326338E" w:tentative="1">
      <w:start w:val="1"/>
      <w:numFmt w:val="bullet"/>
      <w:lvlText w:val="•"/>
      <w:lvlJc w:val="left"/>
      <w:pPr>
        <w:tabs>
          <w:tab w:val="num" w:pos="3600"/>
        </w:tabs>
        <w:ind w:left="3600" w:hanging="360"/>
      </w:pPr>
      <w:rPr>
        <w:rFonts w:ascii="Arial" w:hAnsi="Arial" w:hint="default"/>
      </w:rPr>
    </w:lvl>
    <w:lvl w:ilvl="5" w:tplc="58B0ED38" w:tentative="1">
      <w:start w:val="1"/>
      <w:numFmt w:val="bullet"/>
      <w:lvlText w:val="•"/>
      <w:lvlJc w:val="left"/>
      <w:pPr>
        <w:tabs>
          <w:tab w:val="num" w:pos="4320"/>
        </w:tabs>
        <w:ind w:left="4320" w:hanging="360"/>
      </w:pPr>
      <w:rPr>
        <w:rFonts w:ascii="Arial" w:hAnsi="Arial" w:hint="default"/>
      </w:rPr>
    </w:lvl>
    <w:lvl w:ilvl="6" w:tplc="1292D97C" w:tentative="1">
      <w:start w:val="1"/>
      <w:numFmt w:val="bullet"/>
      <w:lvlText w:val="•"/>
      <w:lvlJc w:val="left"/>
      <w:pPr>
        <w:tabs>
          <w:tab w:val="num" w:pos="5040"/>
        </w:tabs>
        <w:ind w:left="5040" w:hanging="360"/>
      </w:pPr>
      <w:rPr>
        <w:rFonts w:ascii="Arial" w:hAnsi="Arial" w:hint="default"/>
      </w:rPr>
    </w:lvl>
    <w:lvl w:ilvl="7" w:tplc="F1C4A0C6" w:tentative="1">
      <w:start w:val="1"/>
      <w:numFmt w:val="bullet"/>
      <w:lvlText w:val="•"/>
      <w:lvlJc w:val="left"/>
      <w:pPr>
        <w:tabs>
          <w:tab w:val="num" w:pos="5760"/>
        </w:tabs>
        <w:ind w:left="5760" w:hanging="360"/>
      </w:pPr>
      <w:rPr>
        <w:rFonts w:ascii="Arial" w:hAnsi="Arial" w:hint="default"/>
      </w:rPr>
    </w:lvl>
    <w:lvl w:ilvl="8" w:tplc="356A836C"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562920B6"/>
    <w:multiLevelType w:val="hybridMultilevel"/>
    <w:tmpl w:val="22EE628E"/>
    <w:lvl w:ilvl="0" w:tplc="3CF29E98">
      <w:start w:val="1"/>
      <w:numFmt w:val="bullet"/>
      <w:lvlText w:val="•"/>
      <w:lvlJc w:val="left"/>
      <w:pPr>
        <w:tabs>
          <w:tab w:val="num" w:pos="720"/>
        </w:tabs>
        <w:ind w:left="720" w:hanging="360"/>
      </w:pPr>
      <w:rPr>
        <w:rFonts w:ascii="Arial" w:hAnsi="Arial" w:hint="default"/>
      </w:rPr>
    </w:lvl>
    <w:lvl w:ilvl="1" w:tplc="9AD215B8" w:tentative="1">
      <w:start w:val="1"/>
      <w:numFmt w:val="bullet"/>
      <w:lvlText w:val="•"/>
      <w:lvlJc w:val="left"/>
      <w:pPr>
        <w:tabs>
          <w:tab w:val="num" w:pos="1440"/>
        </w:tabs>
        <w:ind w:left="1440" w:hanging="360"/>
      </w:pPr>
      <w:rPr>
        <w:rFonts w:ascii="Arial" w:hAnsi="Arial" w:hint="default"/>
      </w:rPr>
    </w:lvl>
    <w:lvl w:ilvl="2" w:tplc="9A1A4986">
      <w:start w:val="1"/>
      <w:numFmt w:val="bullet"/>
      <w:lvlText w:val="•"/>
      <w:lvlJc w:val="left"/>
      <w:pPr>
        <w:tabs>
          <w:tab w:val="num" w:pos="2160"/>
        </w:tabs>
        <w:ind w:left="2160" w:hanging="360"/>
      </w:pPr>
      <w:rPr>
        <w:rFonts w:ascii="Arial" w:hAnsi="Arial" w:hint="default"/>
      </w:rPr>
    </w:lvl>
    <w:lvl w:ilvl="3" w:tplc="24702562">
      <w:numFmt w:val="bullet"/>
      <w:lvlText w:val="•"/>
      <w:lvlJc w:val="left"/>
      <w:pPr>
        <w:tabs>
          <w:tab w:val="num" w:pos="2880"/>
        </w:tabs>
        <w:ind w:left="2880" w:hanging="360"/>
      </w:pPr>
      <w:rPr>
        <w:rFonts w:ascii="Arial" w:hAnsi="Arial" w:hint="default"/>
      </w:rPr>
    </w:lvl>
    <w:lvl w:ilvl="4" w:tplc="9E60429C" w:tentative="1">
      <w:start w:val="1"/>
      <w:numFmt w:val="bullet"/>
      <w:lvlText w:val="•"/>
      <w:lvlJc w:val="left"/>
      <w:pPr>
        <w:tabs>
          <w:tab w:val="num" w:pos="3600"/>
        </w:tabs>
        <w:ind w:left="3600" w:hanging="360"/>
      </w:pPr>
      <w:rPr>
        <w:rFonts w:ascii="Arial" w:hAnsi="Arial" w:hint="default"/>
      </w:rPr>
    </w:lvl>
    <w:lvl w:ilvl="5" w:tplc="EBB4E4DC" w:tentative="1">
      <w:start w:val="1"/>
      <w:numFmt w:val="bullet"/>
      <w:lvlText w:val="•"/>
      <w:lvlJc w:val="left"/>
      <w:pPr>
        <w:tabs>
          <w:tab w:val="num" w:pos="4320"/>
        </w:tabs>
        <w:ind w:left="4320" w:hanging="360"/>
      </w:pPr>
      <w:rPr>
        <w:rFonts w:ascii="Arial" w:hAnsi="Arial" w:hint="default"/>
      </w:rPr>
    </w:lvl>
    <w:lvl w:ilvl="6" w:tplc="49CA1CE8" w:tentative="1">
      <w:start w:val="1"/>
      <w:numFmt w:val="bullet"/>
      <w:lvlText w:val="•"/>
      <w:lvlJc w:val="left"/>
      <w:pPr>
        <w:tabs>
          <w:tab w:val="num" w:pos="5040"/>
        </w:tabs>
        <w:ind w:left="5040" w:hanging="360"/>
      </w:pPr>
      <w:rPr>
        <w:rFonts w:ascii="Arial" w:hAnsi="Arial" w:hint="default"/>
      </w:rPr>
    </w:lvl>
    <w:lvl w:ilvl="7" w:tplc="5E72928E" w:tentative="1">
      <w:start w:val="1"/>
      <w:numFmt w:val="bullet"/>
      <w:lvlText w:val="•"/>
      <w:lvlJc w:val="left"/>
      <w:pPr>
        <w:tabs>
          <w:tab w:val="num" w:pos="5760"/>
        </w:tabs>
        <w:ind w:left="5760" w:hanging="360"/>
      </w:pPr>
      <w:rPr>
        <w:rFonts w:ascii="Arial" w:hAnsi="Arial" w:hint="default"/>
      </w:rPr>
    </w:lvl>
    <w:lvl w:ilvl="8" w:tplc="D4904CF0"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56362DB9"/>
    <w:multiLevelType w:val="hybridMultilevel"/>
    <w:tmpl w:val="892868EC"/>
    <w:lvl w:ilvl="0" w:tplc="FFFFFFFF">
      <w:start w:val="1"/>
      <w:numFmt w:val="bullet"/>
      <w:lvlText w:val=""/>
      <w:lvlJc w:val="left"/>
      <w:pPr>
        <w:ind w:left="288" w:hanging="216"/>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56373FB7"/>
    <w:multiLevelType w:val="hybridMultilevel"/>
    <w:tmpl w:val="43A80784"/>
    <w:lvl w:ilvl="0" w:tplc="D094388C">
      <w:start w:val="1"/>
      <w:numFmt w:val="bullet"/>
      <w:lvlText w:val="•"/>
      <w:lvlJc w:val="left"/>
      <w:pPr>
        <w:tabs>
          <w:tab w:val="num" w:pos="720"/>
        </w:tabs>
        <w:ind w:left="720" w:hanging="360"/>
      </w:pPr>
      <w:rPr>
        <w:rFonts w:ascii="Arial" w:hAnsi="Arial" w:hint="default"/>
      </w:rPr>
    </w:lvl>
    <w:lvl w:ilvl="1" w:tplc="B582BFE0" w:tentative="1">
      <w:start w:val="1"/>
      <w:numFmt w:val="bullet"/>
      <w:lvlText w:val="•"/>
      <w:lvlJc w:val="left"/>
      <w:pPr>
        <w:tabs>
          <w:tab w:val="num" w:pos="1440"/>
        </w:tabs>
        <w:ind w:left="1440" w:hanging="360"/>
      </w:pPr>
      <w:rPr>
        <w:rFonts w:ascii="Arial" w:hAnsi="Arial" w:hint="default"/>
      </w:rPr>
    </w:lvl>
    <w:lvl w:ilvl="2" w:tplc="76A89144" w:tentative="1">
      <w:start w:val="1"/>
      <w:numFmt w:val="bullet"/>
      <w:lvlText w:val="•"/>
      <w:lvlJc w:val="left"/>
      <w:pPr>
        <w:tabs>
          <w:tab w:val="num" w:pos="2160"/>
        </w:tabs>
        <w:ind w:left="2160" w:hanging="360"/>
      </w:pPr>
      <w:rPr>
        <w:rFonts w:ascii="Arial" w:hAnsi="Arial" w:hint="default"/>
      </w:rPr>
    </w:lvl>
    <w:lvl w:ilvl="3" w:tplc="6A7A60A2" w:tentative="1">
      <w:start w:val="1"/>
      <w:numFmt w:val="bullet"/>
      <w:lvlText w:val="•"/>
      <w:lvlJc w:val="left"/>
      <w:pPr>
        <w:tabs>
          <w:tab w:val="num" w:pos="2880"/>
        </w:tabs>
        <w:ind w:left="2880" w:hanging="360"/>
      </w:pPr>
      <w:rPr>
        <w:rFonts w:ascii="Arial" w:hAnsi="Arial" w:hint="default"/>
      </w:rPr>
    </w:lvl>
    <w:lvl w:ilvl="4" w:tplc="83CEF73A" w:tentative="1">
      <w:start w:val="1"/>
      <w:numFmt w:val="bullet"/>
      <w:lvlText w:val="•"/>
      <w:lvlJc w:val="left"/>
      <w:pPr>
        <w:tabs>
          <w:tab w:val="num" w:pos="3600"/>
        </w:tabs>
        <w:ind w:left="3600" w:hanging="360"/>
      </w:pPr>
      <w:rPr>
        <w:rFonts w:ascii="Arial" w:hAnsi="Arial" w:hint="default"/>
      </w:rPr>
    </w:lvl>
    <w:lvl w:ilvl="5" w:tplc="18A82712" w:tentative="1">
      <w:start w:val="1"/>
      <w:numFmt w:val="bullet"/>
      <w:lvlText w:val="•"/>
      <w:lvlJc w:val="left"/>
      <w:pPr>
        <w:tabs>
          <w:tab w:val="num" w:pos="4320"/>
        </w:tabs>
        <w:ind w:left="4320" w:hanging="360"/>
      </w:pPr>
      <w:rPr>
        <w:rFonts w:ascii="Arial" w:hAnsi="Arial" w:hint="default"/>
      </w:rPr>
    </w:lvl>
    <w:lvl w:ilvl="6" w:tplc="457AAFB4" w:tentative="1">
      <w:start w:val="1"/>
      <w:numFmt w:val="bullet"/>
      <w:lvlText w:val="•"/>
      <w:lvlJc w:val="left"/>
      <w:pPr>
        <w:tabs>
          <w:tab w:val="num" w:pos="5040"/>
        </w:tabs>
        <w:ind w:left="5040" w:hanging="360"/>
      </w:pPr>
      <w:rPr>
        <w:rFonts w:ascii="Arial" w:hAnsi="Arial" w:hint="default"/>
      </w:rPr>
    </w:lvl>
    <w:lvl w:ilvl="7" w:tplc="401CF304" w:tentative="1">
      <w:start w:val="1"/>
      <w:numFmt w:val="bullet"/>
      <w:lvlText w:val="•"/>
      <w:lvlJc w:val="left"/>
      <w:pPr>
        <w:tabs>
          <w:tab w:val="num" w:pos="5760"/>
        </w:tabs>
        <w:ind w:left="5760" w:hanging="360"/>
      </w:pPr>
      <w:rPr>
        <w:rFonts w:ascii="Arial" w:hAnsi="Arial" w:hint="default"/>
      </w:rPr>
    </w:lvl>
    <w:lvl w:ilvl="8" w:tplc="789426DE" w:tentative="1">
      <w:start w:val="1"/>
      <w:numFmt w:val="bullet"/>
      <w:lvlText w:val="•"/>
      <w:lvlJc w:val="left"/>
      <w:pPr>
        <w:tabs>
          <w:tab w:val="num" w:pos="6480"/>
        </w:tabs>
        <w:ind w:left="6480" w:hanging="360"/>
      </w:pPr>
      <w:rPr>
        <w:rFonts w:ascii="Arial" w:hAnsi="Arial" w:hint="default"/>
      </w:rPr>
    </w:lvl>
  </w:abstractNum>
  <w:abstractNum w:abstractNumId="98" w15:restartNumberingAfterBreak="0">
    <w:nsid w:val="56B93D3F"/>
    <w:multiLevelType w:val="hybridMultilevel"/>
    <w:tmpl w:val="96941406"/>
    <w:lvl w:ilvl="0" w:tplc="672201DA">
      <w:start w:val="1"/>
      <w:numFmt w:val="bullet"/>
      <w:lvlText w:val="•"/>
      <w:lvlJc w:val="left"/>
      <w:pPr>
        <w:tabs>
          <w:tab w:val="num" w:pos="360"/>
        </w:tabs>
        <w:ind w:left="360" w:hanging="360"/>
      </w:pPr>
      <w:rPr>
        <w:rFonts w:ascii="Arial" w:hAnsi="Arial" w:hint="default"/>
      </w:rPr>
    </w:lvl>
    <w:lvl w:ilvl="1" w:tplc="7A9E622C">
      <w:start w:val="1"/>
      <w:numFmt w:val="bullet"/>
      <w:lvlText w:val="•"/>
      <w:lvlJc w:val="left"/>
      <w:pPr>
        <w:tabs>
          <w:tab w:val="num" w:pos="1080"/>
        </w:tabs>
        <w:ind w:left="1080" w:hanging="360"/>
      </w:pPr>
      <w:rPr>
        <w:rFonts w:ascii="Arial" w:hAnsi="Arial" w:hint="default"/>
      </w:rPr>
    </w:lvl>
    <w:lvl w:ilvl="2" w:tplc="8A742EB8" w:tentative="1">
      <w:start w:val="1"/>
      <w:numFmt w:val="bullet"/>
      <w:lvlText w:val="•"/>
      <w:lvlJc w:val="left"/>
      <w:pPr>
        <w:tabs>
          <w:tab w:val="num" w:pos="1800"/>
        </w:tabs>
        <w:ind w:left="1800" w:hanging="360"/>
      </w:pPr>
      <w:rPr>
        <w:rFonts w:ascii="Arial" w:hAnsi="Arial" w:hint="default"/>
      </w:rPr>
    </w:lvl>
    <w:lvl w:ilvl="3" w:tplc="8F60F5C4" w:tentative="1">
      <w:start w:val="1"/>
      <w:numFmt w:val="bullet"/>
      <w:lvlText w:val="•"/>
      <w:lvlJc w:val="left"/>
      <w:pPr>
        <w:tabs>
          <w:tab w:val="num" w:pos="2520"/>
        </w:tabs>
        <w:ind w:left="2520" w:hanging="360"/>
      </w:pPr>
      <w:rPr>
        <w:rFonts w:ascii="Arial" w:hAnsi="Arial" w:hint="default"/>
      </w:rPr>
    </w:lvl>
    <w:lvl w:ilvl="4" w:tplc="E9E827E6" w:tentative="1">
      <w:start w:val="1"/>
      <w:numFmt w:val="bullet"/>
      <w:lvlText w:val="•"/>
      <w:lvlJc w:val="left"/>
      <w:pPr>
        <w:tabs>
          <w:tab w:val="num" w:pos="3240"/>
        </w:tabs>
        <w:ind w:left="3240" w:hanging="360"/>
      </w:pPr>
      <w:rPr>
        <w:rFonts w:ascii="Arial" w:hAnsi="Arial" w:hint="default"/>
      </w:rPr>
    </w:lvl>
    <w:lvl w:ilvl="5" w:tplc="28849B1C" w:tentative="1">
      <w:start w:val="1"/>
      <w:numFmt w:val="bullet"/>
      <w:lvlText w:val="•"/>
      <w:lvlJc w:val="left"/>
      <w:pPr>
        <w:tabs>
          <w:tab w:val="num" w:pos="3960"/>
        </w:tabs>
        <w:ind w:left="3960" w:hanging="360"/>
      </w:pPr>
      <w:rPr>
        <w:rFonts w:ascii="Arial" w:hAnsi="Arial" w:hint="default"/>
      </w:rPr>
    </w:lvl>
    <w:lvl w:ilvl="6" w:tplc="0524B36E" w:tentative="1">
      <w:start w:val="1"/>
      <w:numFmt w:val="bullet"/>
      <w:lvlText w:val="•"/>
      <w:lvlJc w:val="left"/>
      <w:pPr>
        <w:tabs>
          <w:tab w:val="num" w:pos="4680"/>
        </w:tabs>
        <w:ind w:left="4680" w:hanging="360"/>
      </w:pPr>
      <w:rPr>
        <w:rFonts w:ascii="Arial" w:hAnsi="Arial" w:hint="default"/>
      </w:rPr>
    </w:lvl>
    <w:lvl w:ilvl="7" w:tplc="F3B88A00" w:tentative="1">
      <w:start w:val="1"/>
      <w:numFmt w:val="bullet"/>
      <w:lvlText w:val="•"/>
      <w:lvlJc w:val="left"/>
      <w:pPr>
        <w:tabs>
          <w:tab w:val="num" w:pos="5400"/>
        </w:tabs>
        <w:ind w:left="5400" w:hanging="360"/>
      </w:pPr>
      <w:rPr>
        <w:rFonts w:ascii="Arial" w:hAnsi="Arial" w:hint="default"/>
      </w:rPr>
    </w:lvl>
    <w:lvl w:ilvl="8" w:tplc="8C96D60E" w:tentative="1">
      <w:start w:val="1"/>
      <w:numFmt w:val="bullet"/>
      <w:lvlText w:val="•"/>
      <w:lvlJc w:val="left"/>
      <w:pPr>
        <w:tabs>
          <w:tab w:val="num" w:pos="6120"/>
        </w:tabs>
        <w:ind w:left="6120" w:hanging="360"/>
      </w:pPr>
      <w:rPr>
        <w:rFonts w:ascii="Arial" w:hAnsi="Arial" w:hint="default"/>
      </w:rPr>
    </w:lvl>
  </w:abstractNum>
  <w:abstractNum w:abstractNumId="99" w15:restartNumberingAfterBreak="0">
    <w:nsid w:val="58032277"/>
    <w:multiLevelType w:val="hybridMultilevel"/>
    <w:tmpl w:val="044AE284"/>
    <w:lvl w:ilvl="0" w:tplc="669A9B18">
      <w:start w:val="1"/>
      <w:numFmt w:val="lowerLetter"/>
      <w:pStyle w:val="footnote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881247F"/>
    <w:multiLevelType w:val="hybridMultilevel"/>
    <w:tmpl w:val="A99A276C"/>
    <w:lvl w:ilvl="0" w:tplc="B76AE7D4">
      <w:start w:val="1"/>
      <w:numFmt w:val="bullet"/>
      <w:lvlText w:val="•"/>
      <w:lvlJc w:val="left"/>
      <w:pPr>
        <w:tabs>
          <w:tab w:val="num" w:pos="360"/>
        </w:tabs>
        <w:ind w:left="360" w:hanging="360"/>
      </w:pPr>
      <w:rPr>
        <w:rFonts w:ascii="Arial" w:hAnsi="Arial" w:hint="default"/>
      </w:rPr>
    </w:lvl>
    <w:lvl w:ilvl="1" w:tplc="52A4EF1E">
      <w:start w:val="1"/>
      <w:numFmt w:val="bullet"/>
      <w:lvlText w:val="•"/>
      <w:lvlJc w:val="left"/>
      <w:pPr>
        <w:tabs>
          <w:tab w:val="num" w:pos="1080"/>
        </w:tabs>
        <w:ind w:left="1080" w:hanging="360"/>
      </w:pPr>
      <w:rPr>
        <w:rFonts w:ascii="Arial" w:hAnsi="Arial" w:hint="default"/>
      </w:rPr>
    </w:lvl>
    <w:lvl w:ilvl="2" w:tplc="050AC054" w:tentative="1">
      <w:start w:val="1"/>
      <w:numFmt w:val="bullet"/>
      <w:lvlText w:val="•"/>
      <w:lvlJc w:val="left"/>
      <w:pPr>
        <w:tabs>
          <w:tab w:val="num" w:pos="1800"/>
        </w:tabs>
        <w:ind w:left="1800" w:hanging="360"/>
      </w:pPr>
      <w:rPr>
        <w:rFonts w:ascii="Arial" w:hAnsi="Arial" w:hint="default"/>
      </w:rPr>
    </w:lvl>
    <w:lvl w:ilvl="3" w:tplc="F7122492" w:tentative="1">
      <w:start w:val="1"/>
      <w:numFmt w:val="bullet"/>
      <w:lvlText w:val="•"/>
      <w:lvlJc w:val="left"/>
      <w:pPr>
        <w:tabs>
          <w:tab w:val="num" w:pos="2520"/>
        </w:tabs>
        <w:ind w:left="2520" w:hanging="360"/>
      </w:pPr>
      <w:rPr>
        <w:rFonts w:ascii="Arial" w:hAnsi="Arial" w:hint="default"/>
      </w:rPr>
    </w:lvl>
    <w:lvl w:ilvl="4" w:tplc="52AAA010" w:tentative="1">
      <w:start w:val="1"/>
      <w:numFmt w:val="bullet"/>
      <w:lvlText w:val="•"/>
      <w:lvlJc w:val="left"/>
      <w:pPr>
        <w:tabs>
          <w:tab w:val="num" w:pos="3240"/>
        </w:tabs>
        <w:ind w:left="3240" w:hanging="360"/>
      </w:pPr>
      <w:rPr>
        <w:rFonts w:ascii="Arial" w:hAnsi="Arial" w:hint="default"/>
      </w:rPr>
    </w:lvl>
    <w:lvl w:ilvl="5" w:tplc="044400A4" w:tentative="1">
      <w:start w:val="1"/>
      <w:numFmt w:val="bullet"/>
      <w:lvlText w:val="•"/>
      <w:lvlJc w:val="left"/>
      <w:pPr>
        <w:tabs>
          <w:tab w:val="num" w:pos="3960"/>
        </w:tabs>
        <w:ind w:left="3960" w:hanging="360"/>
      </w:pPr>
      <w:rPr>
        <w:rFonts w:ascii="Arial" w:hAnsi="Arial" w:hint="default"/>
      </w:rPr>
    </w:lvl>
    <w:lvl w:ilvl="6" w:tplc="CEFAC5EA" w:tentative="1">
      <w:start w:val="1"/>
      <w:numFmt w:val="bullet"/>
      <w:lvlText w:val="•"/>
      <w:lvlJc w:val="left"/>
      <w:pPr>
        <w:tabs>
          <w:tab w:val="num" w:pos="4680"/>
        </w:tabs>
        <w:ind w:left="4680" w:hanging="360"/>
      </w:pPr>
      <w:rPr>
        <w:rFonts w:ascii="Arial" w:hAnsi="Arial" w:hint="default"/>
      </w:rPr>
    </w:lvl>
    <w:lvl w:ilvl="7" w:tplc="48F0B174" w:tentative="1">
      <w:start w:val="1"/>
      <w:numFmt w:val="bullet"/>
      <w:lvlText w:val="•"/>
      <w:lvlJc w:val="left"/>
      <w:pPr>
        <w:tabs>
          <w:tab w:val="num" w:pos="5400"/>
        </w:tabs>
        <w:ind w:left="5400" w:hanging="360"/>
      </w:pPr>
      <w:rPr>
        <w:rFonts w:ascii="Arial" w:hAnsi="Arial" w:hint="default"/>
      </w:rPr>
    </w:lvl>
    <w:lvl w:ilvl="8" w:tplc="4276315E" w:tentative="1">
      <w:start w:val="1"/>
      <w:numFmt w:val="bullet"/>
      <w:lvlText w:val="•"/>
      <w:lvlJc w:val="left"/>
      <w:pPr>
        <w:tabs>
          <w:tab w:val="num" w:pos="6120"/>
        </w:tabs>
        <w:ind w:left="6120" w:hanging="360"/>
      </w:pPr>
      <w:rPr>
        <w:rFonts w:ascii="Arial" w:hAnsi="Arial" w:hint="default"/>
      </w:rPr>
    </w:lvl>
  </w:abstractNum>
  <w:abstractNum w:abstractNumId="101" w15:restartNumberingAfterBreak="0">
    <w:nsid w:val="598622FD"/>
    <w:multiLevelType w:val="hybridMultilevel"/>
    <w:tmpl w:val="EA6E17F0"/>
    <w:lvl w:ilvl="0" w:tplc="9B243BE0">
      <w:start w:val="1"/>
      <w:numFmt w:val="bullet"/>
      <w:lvlText w:val="•"/>
      <w:lvlJc w:val="left"/>
      <w:pPr>
        <w:tabs>
          <w:tab w:val="num" w:pos="720"/>
        </w:tabs>
        <w:ind w:left="720" w:hanging="360"/>
      </w:pPr>
      <w:rPr>
        <w:rFonts w:ascii="Arial" w:hAnsi="Arial" w:hint="default"/>
      </w:rPr>
    </w:lvl>
    <w:lvl w:ilvl="1" w:tplc="58DED132">
      <w:start w:val="1"/>
      <w:numFmt w:val="bullet"/>
      <w:lvlText w:val="•"/>
      <w:lvlJc w:val="left"/>
      <w:pPr>
        <w:tabs>
          <w:tab w:val="num" w:pos="1440"/>
        </w:tabs>
        <w:ind w:left="1440" w:hanging="360"/>
      </w:pPr>
      <w:rPr>
        <w:rFonts w:ascii="Arial" w:hAnsi="Arial" w:hint="default"/>
      </w:rPr>
    </w:lvl>
    <w:lvl w:ilvl="2" w:tplc="E6D4F1E0">
      <w:numFmt w:val="bullet"/>
      <w:lvlText w:val="•"/>
      <w:lvlJc w:val="left"/>
      <w:pPr>
        <w:tabs>
          <w:tab w:val="num" w:pos="2160"/>
        </w:tabs>
        <w:ind w:left="2160" w:hanging="360"/>
      </w:pPr>
      <w:rPr>
        <w:rFonts w:ascii="Arial" w:hAnsi="Arial" w:hint="default"/>
      </w:rPr>
    </w:lvl>
    <w:lvl w:ilvl="3" w:tplc="A0BA67AE" w:tentative="1">
      <w:start w:val="1"/>
      <w:numFmt w:val="bullet"/>
      <w:lvlText w:val="•"/>
      <w:lvlJc w:val="left"/>
      <w:pPr>
        <w:tabs>
          <w:tab w:val="num" w:pos="2880"/>
        </w:tabs>
        <w:ind w:left="2880" w:hanging="360"/>
      </w:pPr>
      <w:rPr>
        <w:rFonts w:ascii="Arial" w:hAnsi="Arial" w:hint="default"/>
      </w:rPr>
    </w:lvl>
    <w:lvl w:ilvl="4" w:tplc="160ACC28" w:tentative="1">
      <w:start w:val="1"/>
      <w:numFmt w:val="bullet"/>
      <w:lvlText w:val="•"/>
      <w:lvlJc w:val="left"/>
      <w:pPr>
        <w:tabs>
          <w:tab w:val="num" w:pos="3600"/>
        </w:tabs>
        <w:ind w:left="3600" w:hanging="360"/>
      </w:pPr>
      <w:rPr>
        <w:rFonts w:ascii="Arial" w:hAnsi="Arial" w:hint="default"/>
      </w:rPr>
    </w:lvl>
    <w:lvl w:ilvl="5" w:tplc="ADB0AD08" w:tentative="1">
      <w:start w:val="1"/>
      <w:numFmt w:val="bullet"/>
      <w:lvlText w:val="•"/>
      <w:lvlJc w:val="left"/>
      <w:pPr>
        <w:tabs>
          <w:tab w:val="num" w:pos="4320"/>
        </w:tabs>
        <w:ind w:left="4320" w:hanging="360"/>
      </w:pPr>
      <w:rPr>
        <w:rFonts w:ascii="Arial" w:hAnsi="Arial" w:hint="default"/>
      </w:rPr>
    </w:lvl>
    <w:lvl w:ilvl="6" w:tplc="A2E6E0AC" w:tentative="1">
      <w:start w:val="1"/>
      <w:numFmt w:val="bullet"/>
      <w:lvlText w:val="•"/>
      <w:lvlJc w:val="left"/>
      <w:pPr>
        <w:tabs>
          <w:tab w:val="num" w:pos="5040"/>
        </w:tabs>
        <w:ind w:left="5040" w:hanging="360"/>
      </w:pPr>
      <w:rPr>
        <w:rFonts w:ascii="Arial" w:hAnsi="Arial" w:hint="default"/>
      </w:rPr>
    </w:lvl>
    <w:lvl w:ilvl="7" w:tplc="A4CE08A6" w:tentative="1">
      <w:start w:val="1"/>
      <w:numFmt w:val="bullet"/>
      <w:lvlText w:val="•"/>
      <w:lvlJc w:val="left"/>
      <w:pPr>
        <w:tabs>
          <w:tab w:val="num" w:pos="5760"/>
        </w:tabs>
        <w:ind w:left="5760" w:hanging="360"/>
      </w:pPr>
      <w:rPr>
        <w:rFonts w:ascii="Arial" w:hAnsi="Arial" w:hint="default"/>
      </w:rPr>
    </w:lvl>
    <w:lvl w:ilvl="8" w:tplc="105C1F54" w:tentative="1">
      <w:start w:val="1"/>
      <w:numFmt w:val="bullet"/>
      <w:lvlText w:val="•"/>
      <w:lvlJc w:val="left"/>
      <w:pPr>
        <w:tabs>
          <w:tab w:val="num" w:pos="6480"/>
        </w:tabs>
        <w:ind w:left="6480" w:hanging="360"/>
      </w:pPr>
      <w:rPr>
        <w:rFonts w:ascii="Arial" w:hAnsi="Arial" w:hint="default"/>
      </w:rPr>
    </w:lvl>
  </w:abstractNum>
  <w:abstractNum w:abstractNumId="102" w15:restartNumberingAfterBreak="0">
    <w:nsid w:val="59862CB5"/>
    <w:multiLevelType w:val="hybridMultilevel"/>
    <w:tmpl w:val="A8F0697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5FFB5977"/>
    <w:multiLevelType w:val="hybridMultilevel"/>
    <w:tmpl w:val="F268198A"/>
    <w:lvl w:ilvl="0" w:tplc="24AC642E">
      <w:start w:val="1"/>
      <w:numFmt w:val="bullet"/>
      <w:lvlText w:val=""/>
      <w:lvlJc w:val="left"/>
      <w:pPr>
        <w:ind w:left="860" w:hanging="360"/>
      </w:pPr>
      <w:rPr>
        <w:rFonts w:ascii="Symbol" w:hAnsi="Symbol"/>
      </w:rPr>
    </w:lvl>
    <w:lvl w:ilvl="1" w:tplc="B790A192">
      <w:start w:val="1"/>
      <w:numFmt w:val="bullet"/>
      <w:lvlText w:val=""/>
      <w:lvlJc w:val="left"/>
      <w:pPr>
        <w:ind w:left="860" w:hanging="360"/>
      </w:pPr>
      <w:rPr>
        <w:rFonts w:ascii="Symbol" w:hAnsi="Symbol"/>
      </w:rPr>
    </w:lvl>
    <w:lvl w:ilvl="2" w:tplc="0CB00042">
      <w:start w:val="1"/>
      <w:numFmt w:val="bullet"/>
      <w:lvlText w:val=""/>
      <w:lvlJc w:val="left"/>
      <w:pPr>
        <w:ind w:left="860" w:hanging="360"/>
      </w:pPr>
      <w:rPr>
        <w:rFonts w:ascii="Symbol" w:hAnsi="Symbol"/>
      </w:rPr>
    </w:lvl>
    <w:lvl w:ilvl="3" w:tplc="3B78C150">
      <w:start w:val="1"/>
      <w:numFmt w:val="bullet"/>
      <w:lvlText w:val=""/>
      <w:lvlJc w:val="left"/>
      <w:pPr>
        <w:ind w:left="860" w:hanging="360"/>
      </w:pPr>
      <w:rPr>
        <w:rFonts w:ascii="Symbol" w:hAnsi="Symbol"/>
      </w:rPr>
    </w:lvl>
    <w:lvl w:ilvl="4" w:tplc="9AF67EC0">
      <w:start w:val="1"/>
      <w:numFmt w:val="bullet"/>
      <w:lvlText w:val=""/>
      <w:lvlJc w:val="left"/>
      <w:pPr>
        <w:ind w:left="860" w:hanging="360"/>
      </w:pPr>
      <w:rPr>
        <w:rFonts w:ascii="Symbol" w:hAnsi="Symbol"/>
      </w:rPr>
    </w:lvl>
    <w:lvl w:ilvl="5" w:tplc="0B24E5F4">
      <w:start w:val="1"/>
      <w:numFmt w:val="bullet"/>
      <w:lvlText w:val=""/>
      <w:lvlJc w:val="left"/>
      <w:pPr>
        <w:ind w:left="860" w:hanging="360"/>
      </w:pPr>
      <w:rPr>
        <w:rFonts w:ascii="Symbol" w:hAnsi="Symbol"/>
      </w:rPr>
    </w:lvl>
    <w:lvl w:ilvl="6" w:tplc="855EF36C">
      <w:start w:val="1"/>
      <w:numFmt w:val="bullet"/>
      <w:lvlText w:val=""/>
      <w:lvlJc w:val="left"/>
      <w:pPr>
        <w:ind w:left="860" w:hanging="360"/>
      </w:pPr>
      <w:rPr>
        <w:rFonts w:ascii="Symbol" w:hAnsi="Symbol"/>
      </w:rPr>
    </w:lvl>
    <w:lvl w:ilvl="7" w:tplc="FF4CC45A">
      <w:start w:val="1"/>
      <w:numFmt w:val="bullet"/>
      <w:lvlText w:val=""/>
      <w:lvlJc w:val="left"/>
      <w:pPr>
        <w:ind w:left="860" w:hanging="360"/>
      </w:pPr>
      <w:rPr>
        <w:rFonts w:ascii="Symbol" w:hAnsi="Symbol"/>
      </w:rPr>
    </w:lvl>
    <w:lvl w:ilvl="8" w:tplc="60F28AB4">
      <w:start w:val="1"/>
      <w:numFmt w:val="bullet"/>
      <w:lvlText w:val=""/>
      <w:lvlJc w:val="left"/>
      <w:pPr>
        <w:ind w:left="860" w:hanging="360"/>
      </w:pPr>
      <w:rPr>
        <w:rFonts w:ascii="Symbol" w:hAnsi="Symbol"/>
      </w:rPr>
    </w:lvl>
  </w:abstractNum>
  <w:abstractNum w:abstractNumId="104" w15:restartNumberingAfterBreak="0">
    <w:nsid w:val="60B83068"/>
    <w:multiLevelType w:val="hybridMultilevel"/>
    <w:tmpl w:val="61568E7A"/>
    <w:lvl w:ilvl="0" w:tplc="51080D7A">
      <w:start w:val="1"/>
      <w:numFmt w:val="bullet"/>
      <w:lvlText w:val="•"/>
      <w:lvlJc w:val="left"/>
      <w:pPr>
        <w:tabs>
          <w:tab w:val="num" w:pos="720"/>
        </w:tabs>
        <w:ind w:left="720" w:hanging="360"/>
      </w:pPr>
      <w:rPr>
        <w:rFonts w:ascii="Arial" w:hAnsi="Arial" w:hint="default"/>
      </w:rPr>
    </w:lvl>
    <w:lvl w:ilvl="1" w:tplc="5B5AFA64">
      <w:start w:val="1"/>
      <w:numFmt w:val="bullet"/>
      <w:lvlText w:val="•"/>
      <w:lvlJc w:val="left"/>
      <w:pPr>
        <w:tabs>
          <w:tab w:val="num" w:pos="1440"/>
        </w:tabs>
        <w:ind w:left="1440" w:hanging="360"/>
      </w:pPr>
      <w:rPr>
        <w:rFonts w:ascii="Arial" w:hAnsi="Arial" w:hint="default"/>
      </w:rPr>
    </w:lvl>
    <w:lvl w:ilvl="2" w:tplc="801C32BA" w:tentative="1">
      <w:start w:val="1"/>
      <w:numFmt w:val="bullet"/>
      <w:lvlText w:val="•"/>
      <w:lvlJc w:val="left"/>
      <w:pPr>
        <w:tabs>
          <w:tab w:val="num" w:pos="2160"/>
        </w:tabs>
        <w:ind w:left="2160" w:hanging="360"/>
      </w:pPr>
      <w:rPr>
        <w:rFonts w:ascii="Arial" w:hAnsi="Arial" w:hint="default"/>
      </w:rPr>
    </w:lvl>
    <w:lvl w:ilvl="3" w:tplc="6C404C72" w:tentative="1">
      <w:start w:val="1"/>
      <w:numFmt w:val="bullet"/>
      <w:lvlText w:val="•"/>
      <w:lvlJc w:val="left"/>
      <w:pPr>
        <w:tabs>
          <w:tab w:val="num" w:pos="2880"/>
        </w:tabs>
        <w:ind w:left="2880" w:hanging="360"/>
      </w:pPr>
      <w:rPr>
        <w:rFonts w:ascii="Arial" w:hAnsi="Arial" w:hint="default"/>
      </w:rPr>
    </w:lvl>
    <w:lvl w:ilvl="4" w:tplc="4384773A" w:tentative="1">
      <w:start w:val="1"/>
      <w:numFmt w:val="bullet"/>
      <w:lvlText w:val="•"/>
      <w:lvlJc w:val="left"/>
      <w:pPr>
        <w:tabs>
          <w:tab w:val="num" w:pos="3600"/>
        </w:tabs>
        <w:ind w:left="3600" w:hanging="360"/>
      </w:pPr>
      <w:rPr>
        <w:rFonts w:ascii="Arial" w:hAnsi="Arial" w:hint="default"/>
      </w:rPr>
    </w:lvl>
    <w:lvl w:ilvl="5" w:tplc="6714F19E" w:tentative="1">
      <w:start w:val="1"/>
      <w:numFmt w:val="bullet"/>
      <w:lvlText w:val="•"/>
      <w:lvlJc w:val="left"/>
      <w:pPr>
        <w:tabs>
          <w:tab w:val="num" w:pos="4320"/>
        </w:tabs>
        <w:ind w:left="4320" w:hanging="360"/>
      </w:pPr>
      <w:rPr>
        <w:rFonts w:ascii="Arial" w:hAnsi="Arial" w:hint="default"/>
      </w:rPr>
    </w:lvl>
    <w:lvl w:ilvl="6" w:tplc="EDA464D2" w:tentative="1">
      <w:start w:val="1"/>
      <w:numFmt w:val="bullet"/>
      <w:lvlText w:val="•"/>
      <w:lvlJc w:val="left"/>
      <w:pPr>
        <w:tabs>
          <w:tab w:val="num" w:pos="5040"/>
        </w:tabs>
        <w:ind w:left="5040" w:hanging="360"/>
      </w:pPr>
      <w:rPr>
        <w:rFonts w:ascii="Arial" w:hAnsi="Arial" w:hint="default"/>
      </w:rPr>
    </w:lvl>
    <w:lvl w:ilvl="7" w:tplc="2DE8A06A" w:tentative="1">
      <w:start w:val="1"/>
      <w:numFmt w:val="bullet"/>
      <w:lvlText w:val="•"/>
      <w:lvlJc w:val="left"/>
      <w:pPr>
        <w:tabs>
          <w:tab w:val="num" w:pos="5760"/>
        </w:tabs>
        <w:ind w:left="5760" w:hanging="360"/>
      </w:pPr>
      <w:rPr>
        <w:rFonts w:ascii="Arial" w:hAnsi="Arial" w:hint="default"/>
      </w:rPr>
    </w:lvl>
    <w:lvl w:ilvl="8" w:tplc="B246DEF4" w:tentative="1">
      <w:start w:val="1"/>
      <w:numFmt w:val="bullet"/>
      <w:lvlText w:val="•"/>
      <w:lvlJc w:val="left"/>
      <w:pPr>
        <w:tabs>
          <w:tab w:val="num" w:pos="6480"/>
        </w:tabs>
        <w:ind w:left="6480" w:hanging="360"/>
      </w:pPr>
      <w:rPr>
        <w:rFonts w:ascii="Arial" w:hAnsi="Arial" w:hint="default"/>
      </w:rPr>
    </w:lvl>
  </w:abstractNum>
  <w:abstractNum w:abstractNumId="105" w15:restartNumberingAfterBreak="0">
    <w:nsid w:val="61F3688C"/>
    <w:multiLevelType w:val="hybridMultilevel"/>
    <w:tmpl w:val="FD344096"/>
    <w:lvl w:ilvl="0" w:tplc="41EA1BD6">
      <w:start w:val="1"/>
      <w:numFmt w:val="bullet"/>
      <w:lvlText w:val="•"/>
      <w:lvlJc w:val="left"/>
      <w:pPr>
        <w:tabs>
          <w:tab w:val="num" w:pos="360"/>
        </w:tabs>
        <w:ind w:left="360" w:hanging="360"/>
      </w:pPr>
      <w:rPr>
        <w:rFonts w:ascii="Arial" w:hAnsi="Arial" w:hint="default"/>
      </w:rPr>
    </w:lvl>
    <w:lvl w:ilvl="1" w:tplc="3B34B4AC">
      <w:start w:val="1"/>
      <w:numFmt w:val="bullet"/>
      <w:lvlText w:val="•"/>
      <w:lvlJc w:val="left"/>
      <w:pPr>
        <w:tabs>
          <w:tab w:val="num" w:pos="1080"/>
        </w:tabs>
        <w:ind w:left="1080" w:hanging="360"/>
      </w:pPr>
      <w:rPr>
        <w:rFonts w:ascii="Arial" w:hAnsi="Arial" w:hint="default"/>
      </w:rPr>
    </w:lvl>
    <w:lvl w:ilvl="2" w:tplc="B008A3DE">
      <w:start w:val="1"/>
      <w:numFmt w:val="bullet"/>
      <w:lvlText w:val="•"/>
      <w:lvlJc w:val="left"/>
      <w:pPr>
        <w:tabs>
          <w:tab w:val="num" w:pos="1800"/>
        </w:tabs>
        <w:ind w:left="1800" w:hanging="360"/>
      </w:pPr>
      <w:rPr>
        <w:rFonts w:ascii="Arial" w:hAnsi="Arial" w:hint="default"/>
      </w:rPr>
    </w:lvl>
    <w:lvl w:ilvl="3" w:tplc="EDC4401C" w:tentative="1">
      <w:start w:val="1"/>
      <w:numFmt w:val="bullet"/>
      <w:lvlText w:val="•"/>
      <w:lvlJc w:val="left"/>
      <w:pPr>
        <w:tabs>
          <w:tab w:val="num" w:pos="2520"/>
        </w:tabs>
        <w:ind w:left="2520" w:hanging="360"/>
      </w:pPr>
      <w:rPr>
        <w:rFonts w:ascii="Arial" w:hAnsi="Arial" w:hint="default"/>
      </w:rPr>
    </w:lvl>
    <w:lvl w:ilvl="4" w:tplc="CD9EC7AE" w:tentative="1">
      <w:start w:val="1"/>
      <w:numFmt w:val="bullet"/>
      <w:lvlText w:val="•"/>
      <w:lvlJc w:val="left"/>
      <w:pPr>
        <w:tabs>
          <w:tab w:val="num" w:pos="3240"/>
        </w:tabs>
        <w:ind w:left="3240" w:hanging="360"/>
      </w:pPr>
      <w:rPr>
        <w:rFonts w:ascii="Arial" w:hAnsi="Arial" w:hint="default"/>
      </w:rPr>
    </w:lvl>
    <w:lvl w:ilvl="5" w:tplc="DCBCCF30" w:tentative="1">
      <w:start w:val="1"/>
      <w:numFmt w:val="bullet"/>
      <w:lvlText w:val="•"/>
      <w:lvlJc w:val="left"/>
      <w:pPr>
        <w:tabs>
          <w:tab w:val="num" w:pos="3960"/>
        </w:tabs>
        <w:ind w:left="3960" w:hanging="360"/>
      </w:pPr>
      <w:rPr>
        <w:rFonts w:ascii="Arial" w:hAnsi="Arial" w:hint="default"/>
      </w:rPr>
    </w:lvl>
    <w:lvl w:ilvl="6" w:tplc="0CC65B96" w:tentative="1">
      <w:start w:val="1"/>
      <w:numFmt w:val="bullet"/>
      <w:lvlText w:val="•"/>
      <w:lvlJc w:val="left"/>
      <w:pPr>
        <w:tabs>
          <w:tab w:val="num" w:pos="4680"/>
        </w:tabs>
        <w:ind w:left="4680" w:hanging="360"/>
      </w:pPr>
      <w:rPr>
        <w:rFonts w:ascii="Arial" w:hAnsi="Arial" w:hint="default"/>
      </w:rPr>
    </w:lvl>
    <w:lvl w:ilvl="7" w:tplc="080C1DAE" w:tentative="1">
      <w:start w:val="1"/>
      <w:numFmt w:val="bullet"/>
      <w:lvlText w:val="•"/>
      <w:lvlJc w:val="left"/>
      <w:pPr>
        <w:tabs>
          <w:tab w:val="num" w:pos="5400"/>
        </w:tabs>
        <w:ind w:left="5400" w:hanging="360"/>
      </w:pPr>
      <w:rPr>
        <w:rFonts w:ascii="Arial" w:hAnsi="Arial" w:hint="default"/>
      </w:rPr>
    </w:lvl>
    <w:lvl w:ilvl="8" w:tplc="11FE945C" w:tentative="1">
      <w:start w:val="1"/>
      <w:numFmt w:val="bullet"/>
      <w:lvlText w:val="•"/>
      <w:lvlJc w:val="left"/>
      <w:pPr>
        <w:tabs>
          <w:tab w:val="num" w:pos="6120"/>
        </w:tabs>
        <w:ind w:left="6120" w:hanging="360"/>
      </w:pPr>
      <w:rPr>
        <w:rFonts w:ascii="Arial" w:hAnsi="Arial" w:hint="default"/>
      </w:rPr>
    </w:lvl>
  </w:abstractNum>
  <w:abstractNum w:abstractNumId="106" w15:restartNumberingAfterBreak="0">
    <w:nsid w:val="622E4D7D"/>
    <w:multiLevelType w:val="hybridMultilevel"/>
    <w:tmpl w:val="E35012D0"/>
    <w:lvl w:ilvl="0" w:tplc="26CA75A8">
      <w:start w:val="1"/>
      <w:numFmt w:val="bullet"/>
      <w:lvlText w:val="•"/>
      <w:lvlJc w:val="left"/>
      <w:pPr>
        <w:tabs>
          <w:tab w:val="num" w:pos="360"/>
        </w:tabs>
        <w:ind w:left="360" w:hanging="360"/>
      </w:pPr>
      <w:rPr>
        <w:rFonts w:ascii="Arial" w:hAnsi="Arial" w:hint="default"/>
      </w:rPr>
    </w:lvl>
    <w:lvl w:ilvl="1" w:tplc="207A4CAA">
      <w:start w:val="1"/>
      <w:numFmt w:val="bullet"/>
      <w:lvlText w:val="•"/>
      <w:lvlJc w:val="left"/>
      <w:pPr>
        <w:tabs>
          <w:tab w:val="num" w:pos="1080"/>
        </w:tabs>
        <w:ind w:left="1080" w:hanging="360"/>
      </w:pPr>
      <w:rPr>
        <w:rFonts w:ascii="Arial" w:hAnsi="Arial" w:hint="default"/>
      </w:rPr>
    </w:lvl>
    <w:lvl w:ilvl="2" w:tplc="AA948138" w:tentative="1">
      <w:start w:val="1"/>
      <w:numFmt w:val="bullet"/>
      <w:lvlText w:val="•"/>
      <w:lvlJc w:val="left"/>
      <w:pPr>
        <w:tabs>
          <w:tab w:val="num" w:pos="1800"/>
        </w:tabs>
        <w:ind w:left="1800" w:hanging="360"/>
      </w:pPr>
      <w:rPr>
        <w:rFonts w:ascii="Arial" w:hAnsi="Arial" w:hint="default"/>
      </w:rPr>
    </w:lvl>
    <w:lvl w:ilvl="3" w:tplc="A4C0E87C" w:tentative="1">
      <w:start w:val="1"/>
      <w:numFmt w:val="bullet"/>
      <w:lvlText w:val="•"/>
      <w:lvlJc w:val="left"/>
      <w:pPr>
        <w:tabs>
          <w:tab w:val="num" w:pos="2520"/>
        </w:tabs>
        <w:ind w:left="2520" w:hanging="360"/>
      </w:pPr>
      <w:rPr>
        <w:rFonts w:ascii="Arial" w:hAnsi="Arial" w:hint="default"/>
      </w:rPr>
    </w:lvl>
    <w:lvl w:ilvl="4" w:tplc="7892120E" w:tentative="1">
      <w:start w:val="1"/>
      <w:numFmt w:val="bullet"/>
      <w:lvlText w:val="•"/>
      <w:lvlJc w:val="left"/>
      <w:pPr>
        <w:tabs>
          <w:tab w:val="num" w:pos="3240"/>
        </w:tabs>
        <w:ind w:left="3240" w:hanging="360"/>
      </w:pPr>
      <w:rPr>
        <w:rFonts w:ascii="Arial" w:hAnsi="Arial" w:hint="default"/>
      </w:rPr>
    </w:lvl>
    <w:lvl w:ilvl="5" w:tplc="2730E1AA" w:tentative="1">
      <w:start w:val="1"/>
      <w:numFmt w:val="bullet"/>
      <w:lvlText w:val="•"/>
      <w:lvlJc w:val="left"/>
      <w:pPr>
        <w:tabs>
          <w:tab w:val="num" w:pos="3960"/>
        </w:tabs>
        <w:ind w:left="3960" w:hanging="360"/>
      </w:pPr>
      <w:rPr>
        <w:rFonts w:ascii="Arial" w:hAnsi="Arial" w:hint="default"/>
      </w:rPr>
    </w:lvl>
    <w:lvl w:ilvl="6" w:tplc="C2D29F2E" w:tentative="1">
      <w:start w:val="1"/>
      <w:numFmt w:val="bullet"/>
      <w:lvlText w:val="•"/>
      <w:lvlJc w:val="left"/>
      <w:pPr>
        <w:tabs>
          <w:tab w:val="num" w:pos="4680"/>
        </w:tabs>
        <w:ind w:left="4680" w:hanging="360"/>
      </w:pPr>
      <w:rPr>
        <w:rFonts w:ascii="Arial" w:hAnsi="Arial" w:hint="default"/>
      </w:rPr>
    </w:lvl>
    <w:lvl w:ilvl="7" w:tplc="390A81E4" w:tentative="1">
      <w:start w:val="1"/>
      <w:numFmt w:val="bullet"/>
      <w:lvlText w:val="•"/>
      <w:lvlJc w:val="left"/>
      <w:pPr>
        <w:tabs>
          <w:tab w:val="num" w:pos="5400"/>
        </w:tabs>
        <w:ind w:left="5400" w:hanging="360"/>
      </w:pPr>
      <w:rPr>
        <w:rFonts w:ascii="Arial" w:hAnsi="Arial" w:hint="default"/>
      </w:rPr>
    </w:lvl>
    <w:lvl w:ilvl="8" w:tplc="78F82CB6" w:tentative="1">
      <w:start w:val="1"/>
      <w:numFmt w:val="bullet"/>
      <w:lvlText w:val="•"/>
      <w:lvlJc w:val="left"/>
      <w:pPr>
        <w:tabs>
          <w:tab w:val="num" w:pos="6120"/>
        </w:tabs>
        <w:ind w:left="6120" w:hanging="360"/>
      </w:pPr>
      <w:rPr>
        <w:rFonts w:ascii="Arial" w:hAnsi="Arial" w:hint="default"/>
      </w:rPr>
    </w:lvl>
  </w:abstractNum>
  <w:abstractNum w:abstractNumId="107" w15:restartNumberingAfterBreak="0">
    <w:nsid w:val="6279782B"/>
    <w:multiLevelType w:val="hybridMultilevel"/>
    <w:tmpl w:val="963051B4"/>
    <w:lvl w:ilvl="0" w:tplc="BC582476">
      <w:start w:val="1"/>
      <w:numFmt w:val="bullet"/>
      <w:lvlText w:val="•"/>
      <w:lvlJc w:val="left"/>
      <w:pPr>
        <w:tabs>
          <w:tab w:val="num" w:pos="360"/>
        </w:tabs>
        <w:ind w:left="360" w:hanging="360"/>
      </w:pPr>
      <w:rPr>
        <w:rFonts w:ascii="Arial" w:hAnsi="Arial" w:hint="default"/>
      </w:rPr>
    </w:lvl>
    <w:lvl w:ilvl="1" w:tplc="34EE108E" w:tentative="1">
      <w:start w:val="1"/>
      <w:numFmt w:val="bullet"/>
      <w:lvlText w:val="•"/>
      <w:lvlJc w:val="left"/>
      <w:pPr>
        <w:tabs>
          <w:tab w:val="num" w:pos="1080"/>
        </w:tabs>
        <w:ind w:left="1080" w:hanging="360"/>
      </w:pPr>
      <w:rPr>
        <w:rFonts w:ascii="Arial" w:hAnsi="Arial" w:hint="default"/>
      </w:rPr>
    </w:lvl>
    <w:lvl w:ilvl="2" w:tplc="61F69588" w:tentative="1">
      <w:start w:val="1"/>
      <w:numFmt w:val="bullet"/>
      <w:lvlText w:val="•"/>
      <w:lvlJc w:val="left"/>
      <w:pPr>
        <w:tabs>
          <w:tab w:val="num" w:pos="1800"/>
        </w:tabs>
        <w:ind w:left="1800" w:hanging="360"/>
      </w:pPr>
      <w:rPr>
        <w:rFonts w:ascii="Arial" w:hAnsi="Arial" w:hint="default"/>
      </w:rPr>
    </w:lvl>
    <w:lvl w:ilvl="3" w:tplc="1696F74E" w:tentative="1">
      <w:start w:val="1"/>
      <w:numFmt w:val="bullet"/>
      <w:lvlText w:val="•"/>
      <w:lvlJc w:val="left"/>
      <w:pPr>
        <w:tabs>
          <w:tab w:val="num" w:pos="2520"/>
        </w:tabs>
        <w:ind w:left="2520" w:hanging="360"/>
      </w:pPr>
      <w:rPr>
        <w:rFonts w:ascii="Arial" w:hAnsi="Arial" w:hint="default"/>
      </w:rPr>
    </w:lvl>
    <w:lvl w:ilvl="4" w:tplc="0E1C9792" w:tentative="1">
      <w:start w:val="1"/>
      <w:numFmt w:val="bullet"/>
      <w:lvlText w:val="•"/>
      <w:lvlJc w:val="left"/>
      <w:pPr>
        <w:tabs>
          <w:tab w:val="num" w:pos="3240"/>
        </w:tabs>
        <w:ind w:left="3240" w:hanging="360"/>
      </w:pPr>
      <w:rPr>
        <w:rFonts w:ascii="Arial" w:hAnsi="Arial" w:hint="default"/>
      </w:rPr>
    </w:lvl>
    <w:lvl w:ilvl="5" w:tplc="4492F064" w:tentative="1">
      <w:start w:val="1"/>
      <w:numFmt w:val="bullet"/>
      <w:lvlText w:val="•"/>
      <w:lvlJc w:val="left"/>
      <w:pPr>
        <w:tabs>
          <w:tab w:val="num" w:pos="3960"/>
        </w:tabs>
        <w:ind w:left="3960" w:hanging="360"/>
      </w:pPr>
      <w:rPr>
        <w:rFonts w:ascii="Arial" w:hAnsi="Arial" w:hint="default"/>
      </w:rPr>
    </w:lvl>
    <w:lvl w:ilvl="6" w:tplc="F5F8ADC4" w:tentative="1">
      <w:start w:val="1"/>
      <w:numFmt w:val="bullet"/>
      <w:lvlText w:val="•"/>
      <w:lvlJc w:val="left"/>
      <w:pPr>
        <w:tabs>
          <w:tab w:val="num" w:pos="4680"/>
        </w:tabs>
        <w:ind w:left="4680" w:hanging="360"/>
      </w:pPr>
      <w:rPr>
        <w:rFonts w:ascii="Arial" w:hAnsi="Arial" w:hint="default"/>
      </w:rPr>
    </w:lvl>
    <w:lvl w:ilvl="7" w:tplc="D562D1E0" w:tentative="1">
      <w:start w:val="1"/>
      <w:numFmt w:val="bullet"/>
      <w:lvlText w:val="•"/>
      <w:lvlJc w:val="left"/>
      <w:pPr>
        <w:tabs>
          <w:tab w:val="num" w:pos="5400"/>
        </w:tabs>
        <w:ind w:left="5400" w:hanging="360"/>
      </w:pPr>
      <w:rPr>
        <w:rFonts w:ascii="Arial" w:hAnsi="Arial" w:hint="default"/>
      </w:rPr>
    </w:lvl>
    <w:lvl w:ilvl="8" w:tplc="10865720" w:tentative="1">
      <w:start w:val="1"/>
      <w:numFmt w:val="bullet"/>
      <w:lvlText w:val="•"/>
      <w:lvlJc w:val="left"/>
      <w:pPr>
        <w:tabs>
          <w:tab w:val="num" w:pos="6120"/>
        </w:tabs>
        <w:ind w:left="6120" w:hanging="360"/>
      </w:pPr>
      <w:rPr>
        <w:rFonts w:ascii="Arial" w:hAnsi="Arial" w:hint="default"/>
      </w:rPr>
    </w:lvl>
  </w:abstractNum>
  <w:abstractNum w:abstractNumId="108" w15:restartNumberingAfterBreak="0">
    <w:nsid w:val="62AE00FF"/>
    <w:multiLevelType w:val="hybridMultilevel"/>
    <w:tmpl w:val="D994B866"/>
    <w:lvl w:ilvl="0" w:tplc="CD2CA57C">
      <w:start w:val="1"/>
      <w:numFmt w:val="bullet"/>
      <w:lvlText w:val="•"/>
      <w:lvlJc w:val="left"/>
      <w:pPr>
        <w:tabs>
          <w:tab w:val="num" w:pos="360"/>
        </w:tabs>
        <w:ind w:left="360" w:hanging="360"/>
      </w:pPr>
      <w:rPr>
        <w:rFonts w:ascii="Arial" w:hAnsi="Arial" w:hint="default"/>
      </w:rPr>
    </w:lvl>
    <w:lvl w:ilvl="1" w:tplc="FDA8D732">
      <w:start w:val="1"/>
      <w:numFmt w:val="bullet"/>
      <w:lvlText w:val="•"/>
      <w:lvlJc w:val="left"/>
      <w:pPr>
        <w:tabs>
          <w:tab w:val="num" w:pos="1080"/>
        </w:tabs>
        <w:ind w:left="1080" w:hanging="360"/>
      </w:pPr>
      <w:rPr>
        <w:rFonts w:ascii="Arial" w:hAnsi="Arial" w:hint="default"/>
      </w:rPr>
    </w:lvl>
    <w:lvl w:ilvl="2" w:tplc="1D0A79FA">
      <w:start w:val="1"/>
      <w:numFmt w:val="bullet"/>
      <w:lvlText w:val="•"/>
      <w:lvlJc w:val="left"/>
      <w:pPr>
        <w:tabs>
          <w:tab w:val="num" w:pos="1800"/>
        </w:tabs>
        <w:ind w:left="1800" w:hanging="360"/>
      </w:pPr>
      <w:rPr>
        <w:rFonts w:ascii="Arial" w:hAnsi="Arial" w:hint="default"/>
      </w:rPr>
    </w:lvl>
    <w:lvl w:ilvl="3" w:tplc="C80C200A" w:tentative="1">
      <w:start w:val="1"/>
      <w:numFmt w:val="bullet"/>
      <w:lvlText w:val="•"/>
      <w:lvlJc w:val="left"/>
      <w:pPr>
        <w:tabs>
          <w:tab w:val="num" w:pos="2520"/>
        </w:tabs>
        <w:ind w:left="2520" w:hanging="360"/>
      </w:pPr>
      <w:rPr>
        <w:rFonts w:ascii="Arial" w:hAnsi="Arial" w:hint="default"/>
      </w:rPr>
    </w:lvl>
    <w:lvl w:ilvl="4" w:tplc="8E2CA658" w:tentative="1">
      <w:start w:val="1"/>
      <w:numFmt w:val="bullet"/>
      <w:lvlText w:val="•"/>
      <w:lvlJc w:val="left"/>
      <w:pPr>
        <w:tabs>
          <w:tab w:val="num" w:pos="3240"/>
        </w:tabs>
        <w:ind w:left="3240" w:hanging="360"/>
      </w:pPr>
      <w:rPr>
        <w:rFonts w:ascii="Arial" w:hAnsi="Arial" w:hint="default"/>
      </w:rPr>
    </w:lvl>
    <w:lvl w:ilvl="5" w:tplc="F9A84216" w:tentative="1">
      <w:start w:val="1"/>
      <w:numFmt w:val="bullet"/>
      <w:lvlText w:val="•"/>
      <w:lvlJc w:val="left"/>
      <w:pPr>
        <w:tabs>
          <w:tab w:val="num" w:pos="3960"/>
        </w:tabs>
        <w:ind w:left="3960" w:hanging="360"/>
      </w:pPr>
      <w:rPr>
        <w:rFonts w:ascii="Arial" w:hAnsi="Arial" w:hint="default"/>
      </w:rPr>
    </w:lvl>
    <w:lvl w:ilvl="6" w:tplc="C2362E50" w:tentative="1">
      <w:start w:val="1"/>
      <w:numFmt w:val="bullet"/>
      <w:lvlText w:val="•"/>
      <w:lvlJc w:val="left"/>
      <w:pPr>
        <w:tabs>
          <w:tab w:val="num" w:pos="4680"/>
        </w:tabs>
        <w:ind w:left="4680" w:hanging="360"/>
      </w:pPr>
      <w:rPr>
        <w:rFonts w:ascii="Arial" w:hAnsi="Arial" w:hint="default"/>
      </w:rPr>
    </w:lvl>
    <w:lvl w:ilvl="7" w:tplc="FC1A30F8" w:tentative="1">
      <w:start w:val="1"/>
      <w:numFmt w:val="bullet"/>
      <w:lvlText w:val="•"/>
      <w:lvlJc w:val="left"/>
      <w:pPr>
        <w:tabs>
          <w:tab w:val="num" w:pos="5400"/>
        </w:tabs>
        <w:ind w:left="5400" w:hanging="360"/>
      </w:pPr>
      <w:rPr>
        <w:rFonts w:ascii="Arial" w:hAnsi="Arial" w:hint="default"/>
      </w:rPr>
    </w:lvl>
    <w:lvl w:ilvl="8" w:tplc="E03603AE" w:tentative="1">
      <w:start w:val="1"/>
      <w:numFmt w:val="bullet"/>
      <w:lvlText w:val="•"/>
      <w:lvlJc w:val="left"/>
      <w:pPr>
        <w:tabs>
          <w:tab w:val="num" w:pos="6120"/>
        </w:tabs>
        <w:ind w:left="6120" w:hanging="360"/>
      </w:pPr>
      <w:rPr>
        <w:rFonts w:ascii="Arial" w:hAnsi="Arial" w:hint="default"/>
      </w:rPr>
    </w:lvl>
  </w:abstractNum>
  <w:abstractNum w:abstractNumId="109" w15:restartNumberingAfterBreak="0">
    <w:nsid w:val="639C283F"/>
    <w:multiLevelType w:val="hybridMultilevel"/>
    <w:tmpl w:val="766470FE"/>
    <w:lvl w:ilvl="0" w:tplc="34B8DF70">
      <w:start w:val="1"/>
      <w:numFmt w:val="bullet"/>
      <w:lvlText w:val="•"/>
      <w:lvlJc w:val="left"/>
      <w:pPr>
        <w:tabs>
          <w:tab w:val="num" w:pos="720"/>
        </w:tabs>
        <w:ind w:left="720" w:hanging="360"/>
      </w:pPr>
      <w:rPr>
        <w:rFonts w:ascii="Arial" w:hAnsi="Arial" w:hint="default"/>
      </w:rPr>
    </w:lvl>
    <w:lvl w:ilvl="1" w:tplc="6DE8BF54" w:tentative="1">
      <w:start w:val="1"/>
      <w:numFmt w:val="bullet"/>
      <w:lvlText w:val="•"/>
      <w:lvlJc w:val="left"/>
      <w:pPr>
        <w:tabs>
          <w:tab w:val="num" w:pos="1440"/>
        </w:tabs>
        <w:ind w:left="1440" w:hanging="360"/>
      </w:pPr>
      <w:rPr>
        <w:rFonts w:ascii="Arial" w:hAnsi="Arial" w:hint="default"/>
      </w:rPr>
    </w:lvl>
    <w:lvl w:ilvl="2" w:tplc="B2142896" w:tentative="1">
      <w:start w:val="1"/>
      <w:numFmt w:val="bullet"/>
      <w:lvlText w:val="•"/>
      <w:lvlJc w:val="left"/>
      <w:pPr>
        <w:tabs>
          <w:tab w:val="num" w:pos="2160"/>
        </w:tabs>
        <w:ind w:left="2160" w:hanging="360"/>
      </w:pPr>
      <w:rPr>
        <w:rFonts w:ascii="Arial" w:hAnsi="Arial" w:hint="default"/>
      </w:rPr>
    </w:lvl>
    <w:lvl w:ilvl="3" w:tplc="478C488C" w:tentative="1">
      <w:start w:val="1"/>
      <w:numFmt w:val="bullet"/>
      <w:lvlText w:val="•"/>
      <w:lvlJc w:val="left"/>
      <w:pPr>
        <w:tabs>
          <w:tab w:val="num" w:pos="2880"/>
        </w:tabs>
        <w:ind w:left="2880" w:hanging="360"/>
      </w:pPr>
      <w:rPr>
        <w:rFonts w:ascii="Arial" w:hAnsi="Arial" w:hint="default"/>
      </w:rPr>
    </w:lvl>
    <w:lvl w:ilvl="4" w:tplc="8F6CA1A4" w:tentative="1">
      <w:start w:val="1"/>
      <w:numFmt w:val="bullet"/>
      <w:lvlText w:val="•"/>
      <w:lvlJc w:val="left"/>
      <w:pPr>
        <w:tabs>
          <w:tab w:val="num" w:pos="3600"/>
        </w:tabs>
        <w:ind w:left="3600" w:hanging="360"/>
      </w:pPr>
      <w:rPr>
        <w:rFonts w:ascii="Arial" w:hAnsi="Arial" w:hint="default"/>
      </w:rPr>
    </w:lvl>
    <w:lvl w:ilvl="5" w:tplc="A0DA403A" w:tentative="1">
      <w:start w:val="1"/>
      <w:numFmt w:val="bullet"/>
      <w:lvlText w:val="•"/>
      <w:lvlJc w:val="left"/>
      <w:pPr>
        <w:tabs>
          <w:tab w:val="num" w:pos="4320"/>
        </w:tabs>
        <w:ind w:left="4320" w:hanging="360"/>
      </w:pPr>
      <w:rPr>
        <w:rFonts w:ascii="Arial" w:hAnsi="Arial" w:hint="default"/>
      </w:rPr>
    </w:lvl>
    <w:lvl w:ilvl="6" w:tplc="57D4C622" w:tentative="1">
      <w:start w:val="1"/>
      <w:numFmt w:val="bullet"/>
      <w:lvlText w:val="•"/>
      <w:lvlJc w:val="left"/>
      <w:pPr>
        <w:tabs>
          <w:tab w:val="num" w:pos="5040"/>
        </w:tabs>
        <w:ind w:left="5040" w:hanging="360"/>
      </w:pPr>
      <w:rPr>
        <w:rFonts w:ascii="Arial" w:hAnsi="Arial" w:hint="default"/>
      </w:rPr>
    </w:lvl>
    <w:lvl w:ilvl="7" w:tplc="BBB49418" w:tentative="1">
      <w:start w:val="1"/>
      <w:numFmt w:val="bullet"/>
      <w:lvlText w:val="•"/>
      <w:lvlJc w:val="left"/>
      <w:pPr>
        <w:tabs>
          <w:tab w:val="num" w:pos="5760"/>
        </w:tabs>
        <w:ind w:left="5760" w:hanging="360"/>
      </w:pPr>
      <w:rPr>
        <w:rFonts w:ascii="Arial" w:hAnsi="Arial" w:hint="default"/>
      </w:rPr>
    </w:lvl>
    <w:lvl w:ilvl="8" w:tplc="F8E4E508" w:tentative="1">
      <w:start w:val="1"/>
      <w:numFmt w:val="bullet"/>
      <w:lvlText w:val="•"/>
      <w:lvlJc w:val="left"/>
      <w:pPr>
        <w:tabs>
          <w:tab w:val="num" w:pos="6480"/>
        </w:tabs>
        <w:ind w:left="6480" w:hanging="360"/>
      </w:pPr>
      <w:rPr>
        <w:rFonts w:ascii="Arial" w:hAnsi="Arial" w:hint="default"/>
      </w:rPr>
    </w:lvl>
  </w:abstractNum>
  <w:abstractNum w:abstractNumId="110" w15:restartNumberingAfterBreak="0">
    <w:nsid w:val="64460BCE"/>
    <w:multiLevelType w:val="hybridMultilevel"/>
    <w:tmpl w:val="2A08F5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64EA2ED4"/>
    <w:multiLevelType w:val="hybridMultilevel"/>
    <w:tmpl w:val="74E25F46"/>
    <w:lvl w:ilvl="0" w:tplc="979CD970">
      <w:start w:val="1"/>
      <w:numFmt w:val="bullet"/>
      <w:lvlText w:val="•"/>
      <w:lvlJc w:val="left"/>
      <w:pPr>
        <w:tabs>
          <w:tab w:val="num" w:pos="360"/>
        </w:tabs>
        <w:ind w:left="360" w:hanging="360"/>
      </w:pPr>
      <w:rPr>
        <w:rFonts w:ascii="Arial" w:hAnsi="Arial" w:hint="default"/>
      </w:rPr>
    </w:lvl>
    <w:lvl w:ilvl="1" w:tplc="5EE01D98">
      <w:start w:val="1"/>
      <w:numFmt w:val="bullet"/>
      <w:lvlText w:val="•"/>
      <w:lvlJc w:val="left"/>
      <w:pPr>
        <w:tabs>
          <w:tab w:val="num" w:pos="1080"/>
        </w:tabs>
        <w:ind w:left="1080" w:hanging="360"/>
      </w:pPr>
      <w:rPr>
        <w:rFonts w:ascii="Arial" w:hAnsi="Arial" w:hint="default"/>
      </w:rPr>
    </w:lvl>
    <w:lvl w:ilvl="2" w:tplc="90C2E334">
      <w:start w:val="1"/>
      <w:numFmt w:val="bullet"/>
      <w:lvlText w:val="•"/>
      <w:lvlJc w:val="left"/>
      <w:pPr>
        <w:tabs>
          <w:tab w:val="num" w:pos="1800"/>
        </w:tabs>
        <w:ind w:left="1800" w:hanging="360"/>
      </w:pPr>
      <w:rPr>
        <w:rFonts w:ascii="Arial" w:hAnsi="Arial" w:hint="default"/>
      </w:rPr>
    </w:lvl>
    <w:lvl w:ilvl="3" w:tplc="F4FADE60" w:tentative="1">
      <w:start w:val="1"/>
      <w:numFmt w:val="bullet"/>
      <w:lvlText w:val="•"/>
      <w:lvlJc w:val="left"/>
      <w:pPr>
        <w:tabs>
          <w:tab w:val="num" w:pos="2520"/>
        </w:tabs>
        <w:ind w:left="2520" w:hanging="360"/>
      </w:pPr>
      <w:rPr>
        <w:rFonts w:ascii="Arial" w:hAnsi="Arial" w:hint="default"/>
      </w:rPr>
    </w:lvl>
    <w:lvl w:ilvl="4" w:tplc="A53686FE" w:tentative="1">
      <w:start w:val="1"/>
      <w:numFmt w:val="bullet"/>
      <w:lvlText w:val="•"/>
      <w:lvlJc w:val="left"/>
      <w:pPr>
        <w:tabs>
          <w:tab w:val="num" w:pos="3240"/>
        </w:tabs>
        <w:ind w:left="3240" w:hanging="360"/>
      </w:pPr>
      <w:rPr>
        <w:rFonts w:ascii="Arial" w:hAnsi="Arial" w:hint="default"/>
      </w:rPr>
    </w:lvl>
    <w:lvl w:ilvl="5" w:tplc="235E463A" w:tentative="1">
      <w:start w:val="1"/>
      <w:numFmt w:val="bullet"/>
      <w:lvlText w:val="•"/>
      <w:lvlJc w:val="left"/>
      <w:pPr>
        <w:tabs>
          <w:tab w:val="num" w:pos="3960"/>
        </w:tabs>
        <w:ind w:left="3960" w:hanging="360"/>
      </w:pPr>
      <w:rPr>
        <w:rFonts w:ascii="Arial" w:hAnsi="Arial" w:hint="default"/>
      </w:rPr>
    </w:lvl>
    <w:lvl w:ilvl="6" w:tplc="7180D2DA" w:tentative="1">
      <w:start w:val="1"/>
      <w:numFmt w:val="bullet"/>
      <w:lvlText w:val="•"/>
      <w:lvlJc w:val="left"/>
      <w:pPr>
        <w:tabs>
          <w:tab w:val="num" w:pos="4680"/>
        </w:tabs>
        <w:ind w:left="4680" w:hanging="360"/>
      </w:pPr>
      <w:rPr>
        <w:rFonts w:ascii="Arial" w:hAnsi="Arial" w:hint="default"/>
      </w:rPr>
    </w:lvl>
    <w:lvl w:ilvl="7" w:tplc="6BD2D7EC" w:tentative="1">
      <w:start w:val="1"/>
      <w:numFmt w:val="bullet"/>
      <w:lvlText w:val="•"/>
      <w:lvlJc w:val="left"/>
      <w:pPr>
        <w:tabs>
          <w:tab w:val="num" w:pos="5400"/>
        </w:tabs>
        <w:ind w:left="5400" w:hanging="360"/>
      </w:pPr>
      <w:rPr>
        <w:rFonts w:ascii="Arial" w:hAnsi="Arial" w:hint="default"/>
      </w:rPr>
    </w:lvl>
    <w:lvl w:ilvl="8" w:tplc="26F61480" w:tentative="1">
      <w:start w:val="1"/>
      <w:numFmt w:val="bullet"/>
      <w:lvlText w:val="•"/>
      <w:lvlJc w:val="left"/>
      <w:pPr>
        <w:tabs>
          <w:tab w:val="num" w:pos="6120"/>
        </w:tabs>
        <w:ind w:left="6120" w:hanging="360"/>
      </w:pPr>
      <w:rPr>
        <w:rFonts w:ascii="Arial" w:hAnsi="Arial" w:hint="default"/>
      </w:rPr>
    </w:lvl>
  </w:abstractNum>
  <w:abstractNum w:abstractNumId="112" w15:restartNumberingAfterBreak="0">
    <w:nsid w:val="662262A2"/>
    <w:multiLevelType w:val="hybridMultilevel"/>
    <w:tmpl w:val="5E9874FC"/>
    <w:lvl w:ilvl="0" w:tplc="7C08CE0A">
      <w:start w:val="1"/>
      <w:numFmt w:val="bullet"/>
      <w:lvlText w:val="•"/>
      <w:lvlJc w:val="left"/>
      <w:pPr>
        <w:tabs>
          <w:tab w:val="num" w:pos="360"/>
        </w:tabs>
        <w:ind w:left="360" w:hanging="360"/>
      </w:pPr>
      <w:rPr>
        <w:rFonts w:ascii="Arial" w:hAnsi="Arial" w:hint="default"/>
      </w:rPr>
    </w:lvl>
    <w:lvl w:ilvl="1" w:tplc="D756B840">
      <w:start w:val="1"/>
      <w:numFmt w:val="bullet"/>
      <w:lvlText w:val="•"/>
      <w:lvlJc w:val="left"/>
      <w:pPr>
        <w:tabs>
          <w:tab w:val="num" w:pos="1080"/>
        </w:tabs>
        <w:ind w:left="1080" w:hanging="360"/>
      </w:pPr>
      <w:rPr>
        <w:rFonts w:ascii="Arial" w:hAnsi="Arial" w:hint="default"/>
      </w:rPr>
    </w:lvl>
    <w:lvl w:ilvl="2" w:tplc="F6F6C3BA">
      <w:start w:val="1"/>
      <w:numFmt w:val="bullet"/>
      <w:lvlText w:val="•"/>
      <w:lvlJc w:val="left"/>
      <w:pPr>
        <w:tabs>
          <w:tab w:val="num" w:pos="1800"/>
        </w:tabs>
        <w:ind w:left="1800" w:hanging="360"/>
      </w:pPr>
      <w:rPr>
        <w:rFonts w:ascii="Arial" w:hAnsi="Arial" w:hint="default"/>
      </w:rPr>
    </w:lvl>
    <w:lvl w:ilvl="3" w:tplc="60EA7CF0" w:tentative="1">
      <w:start w:val="1"/>
      <w:numFmt w:val="bullet"/>
      <w:lvlText w:val="•"/>
      <w:lvlJc w:val="left"/>
      <w:pPr>
        <w:tabs>
          <w:tab w:val="num" w:pos="2520"/>
        </w:tabs>
        <w:ind w:left="2520" w:hanging="360"/>
      </w:pPr>
      <w:rPr>
        <w:rFonts w:ascii="Arial" w:hAnsi="Arial" w:hint="default"/>
      </w:rPr>
    </w:lvl>
    <w:lvl w:ilvl="4" w:tplc="67267340" w:tentative="1">
      <w:start w:val="1"/>
      <w:numFmt w:val="bullet"/>
      <w:lvlText w:val="•"/>
      <w:lvlJc w:val="left"/>
      <w:pPr>
        <w:tabs>
          <w:tab w:val="num" w:pos="3240"/>
        </w:tabs>
        <w:ind w:left="3240" w:hanging="360"/>
      </w:pPr>
      <w:rPr>
        <w:rFonts w:ascii="Arial" w:hAnsi="Arial" w:hint="default"/>
      </w:rPr>
    </w:lvl>
    <w:lvl w:ilvl="5" w:tplc="E45665A0" w:tentative="1">
      <w:start w:val="1"/>
      <w:numFmt w:val="bullet"/>
      <w:lvlText w:val="•"/>
      <w:lvlJc w:val="left"/>
      <w:pPr>
        <w:tabs>
          <w:tab w:val="num" w:pos="3960"/>
        </w:tabs>
        <w:ind w:left="3960" w:hanging="360"/>
      </w:pPr>
      <w:rPr>
        <w:rFonts w:ascii="Arial" w:hAnsi="Arial" w:hint="default"/>
      </w:rPr>
    </w:lvl>
    <w:lvl w:ilvl="6" w:tplc="1466CFB0" w:tentative="1">
      <w:start w:val="1"/>
      <w:numFmt w:val="bullet"/>
      <w:lvlText w:val="•"/>
      <w:lvlJc w:val="left"/>
      <w:pPr>
        <w:tabs>
          <w:tab w:val="num" w:pos="4680"/>
        </w:tabs>
        <w:ind w:left="4680" w:hanging="360"/>
      </w:pPr>
      <w:rPr>
        <w:rFonts w:ascii="Arial" w:hAnsi="Arial" w:hint="default"/>
      </w:rPr>
    </w:lvl>
    <w:lvl w:ilvl="7" w:tplc="1A7A362E" w:tentative="1">
      <w:start w:val="1"/>
      <w:numFmt w:val="bullet"/>
      <w:lvlText w:val="•"/>
      <w:lvlJc w:val="left"/>
      <w:pPr>
        <w:tabs>
          <w:tab w:val="num" w:pos="5400"/>
        </w:tabs>
        <w:ind w:left="5400" w:hanging="360"/>
      </w:pPr>
      <w:rPr>
        <w:rFonts w:ascii="Arial" w:hAnsi="Arial" w:hint="default"/>
      </w:rPr>
    </w:lvl>
    <w:lvl w:ilvl="8" w:tplc="06F09A0E" w:tentative="1">
      <w:start w:val="1"/>
      <w:numFmt w:val="bullet"/>
      <w:lvlText w:val="•"/>
      <w:lvlJc w:val="left"/>
      <w:pPr>
        <w:tabs>
          <w:tab w:val="num" w:pos="6120"/>
        </w:tabs>
        <w:ind w:left="6120" w:hanging="360"/>
      </w:pPr>
      <w:rPr>
        <w:rFonts w:ascii="Arial" w:hAnsi="Arial" w:hint="default"/>
      </w:rPr>
    </w:lvl>
  </w:abstractNum>
  <w:abstractNum w:abstractNumId="113" w15:restartNumberingAfterBreak="0">
    <w:nsid w:val="66516BF0"/>
    <w:multiLevelType w:val="hybridMultilevel"/>
    <w:tmpl w:val="93803B28"/>
    <w:lvl w:ilvl="0" w:tplc="FFC60FE0">
      <w:start w:val="1"/>
      <w:numFmt w:val="bullet"/>
      <w:lvlText w:val="•"/>
      <w:lvlJc w:val="left"/>
      <w:pPr>
        <w:tabs>
          <w:tab w:val="num" w:pos="720"/>
        </w:tabs>
        <w:ind w:left="720" w:hanging="360"/>
      </w:pPr>
      <w:rPr>
        <w:rFonts w:ascii="Arial" w:hAnsi="Arial" w:hint="default"/>
      </w:rPr>
    </w:lvl>
    <w:lvl w:ilvl="1" w:tplc="BFCA5B2E">
      <w:start w:val="1"/>
      <w:numFmt w:val="bullet"/>
      <w:pStyle w:val="Logicdiagram8ptbullet"/>
      <w:lvlText w:val="•"/>
      <w:lvlJc w:val="left"/>
      <w:pPr>
        <w:tabs>
          <w:tab w:val="num" w:pos="1440"/>
        </w:tabs>
        <w:ind w:left="1440" w:hanging="360"/>
      </w:pPr>
      <w:rPr>
        <w:rFonts w:ascii="Arial" w:hAnsi="Arial" w:hint="default"/>
      </w:rPr>
    </w:lvl>
    <w:lvl w:ilvl="2" w:tplc="390CCEAE">
      <w:start w:val="1"/>
      <w:numFmt w:val="bullet"/>
      <w:lvlText w:val="•"/>
      <w:lvlJc w:val="left"/>
      <w:pPr>
        <w:tabs>
          <w:tab w:val="num" w:pos="576"/>
        </w:tabs>
        <w:ind w:left="576" w:firstLine="0"/>
      </w:pPr>
      <w:rPr>
        <w:rFonts w:ascii="Arial" w:hAnsi="Arial" w:hint="default"/>
      </w:rPr>
    </w:lvl>
    <w:lvl w:ilvl="3" w:tplc="A0FED5AC" w:tentative="1">
      <w:start w:val="1"/>
      <w:numFmt w:val="bullet"/>
      <w:lvlText w:val="•"/>
      <w:lvlJc w:val="left"/>
      <w:pPr>
        <w:tabs>
          <w:tab w:val="num" w:pos="2880"/>
        </w:tabs>
        <w:ind w:left="2880" w:hanging="360"/>
      </w:pPr>
      <w:rPr>
        <w:rFonts w:ascii="Arial" w:hAnsi="Arial" w:hint="default"/>
      </w:rPr>
    </w:lvl>
    <w:lvl w:ilvl="4" w:tplc="D81A0C90" w:tentative="1">
      <w:start w:val="1"/>
      <w:numFmt w:val="bullet"/>
      <w:lvlText w:val="•"/>
      <w:lvlJc w:val="left"/>
      <w:pPr>
        <w:tabs>
          <w:tab w:val="num" w:pos="3600"/>
        </w:tabs>
        <w:ind w:left="3600" w:hanging="360"/>
      </w:pPr>
      <w:rPr>
        <w:rFonts w:ascii="Arial" w:hAnsi="Arial" w:hint="default"/>
      </w:rPr>
    </w:lvl>
    <w:lvl w:ilvl="5" w:tplc="5CA6BA12" w:tentative="1">
      <w:start w:val="1"/>
      <w:numFmt w:val="bullet"/>
      <w:lvlText w:val="•"/>
      <w:lvlJc w:val="left"/>
      <w:pPr>
        <w:tabs>
          <w:tab w:val="num" w:pos="4320"/>
        </w:tabs>
        <w:ind w:left="4320" w:hanging="360"/>
      </w:pPr>
      <w:rPr>
        <w:rFonts w:ascii="Arial" w:hAnsi="Arial" w:hint="default"/>
      </w:rPr>
    </w:lvl>
    <w:lvl w:ilvl="6" w:tplc="C770AD06" w:tentative="1">
      <w:start w:val="1"/>
      <w:numFmt w:val="bullet"/>
      <w:lvlText w:val="•"/>
      <w:lvlJc w:val="left"/>
      <w:pPr>
        <w:tabs>
          <w:tab w:val="num" w:pos="5040"/>
        </w:tabs>
        <w:ind w:left="5040" w:hanging="360"/>
      </w:pPr>
      <w:rPr>
        <w:rFonts w:ascii="Arial" w:hAnsi="Arial" w:hint="default"/>
      </w:rPr>
    </w:lvl>
    <w:lvl w:ilvl="7" w:tplc="4966511A" w:tentative="1">
      <w:start w:val="1"/>
      <w:numFmt w:val="bullet"/>
      <w:lvlText w:val="•"/>
      <w:lvlJc w:val="left"/>
      <w:pPr>
        <w:tabs>
          <w:tab w:val="num" w:pos="5760"/>
        </w:tabs>
        <w:ind w:left="5760" w:hanging="360"/>
      </w:pPr>
      <w:rPr>
        <w:rFonts w:ascii="Arial" w:hAnsi="Arial" w:hint="default"/>
      </w:rPr>
    </w:lvl>
    <w:lvl w:ilvl="8" w:tplc="DC30A26E" w:tentative="1">
      <w:start w:val="1"/>
      <w:numFmt w:val="bullet"/>
      <w:lvlText w:val="•"/>
      <w:lvlJc w:val="left"/>
      <w:pPr>
        <w:tabs>
          <w:tab w:val="num" w:pos="6480"/>
        </w:tabs>
        <w:ind w:left="6480" w:hanging="360"/>
      </w:pPr>
      <w:rPr>
        <w:rFonts w:ascii="Arial" w:hAnsi="Arial" w:hint="default"/>
      </w:rPr>
    </w:lvl>
  </w:abstractNum>
  <w:abstractNum w:abstractNumId="114" w15:restartNumberingAfterBreak="0">
    <w:nsid w:val="66BE4DF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69093BE5"/>
    <w:multiLevelType w:val="hybridMultilevel"/>
    <w:tmpl w:val="0CEAE6EC"/>
    <w:lvl w:ilvl="0" w:tplc="B47A231A">
      <w:start w:val="1"/>
      <w:numFmt w:val="decimal"/>
      <w:lvlText w:val="%1.1"/>
      <w:lvlJc w:val="left"/>
      <w:pPr>
        <w:ind w:left="1458" w:hanging="360"/>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2178" w:hanging="360"/>
      </w:pPr>
    </w:lvl>
    <w:lvl w:ilvl="2" w:tplc="0409001B" w:tentative="1">
      <w:start w:val="1"/>
      <w:numFmt w:val="lowerRoman"/>
      <w:lvlText w:val="%3."/>
      <w:lvlJc w:val="right"/>
      <w:pPr>
        <w:ind w:left="2898" w:hanging="180"/>
      </w:pPr>
    </w:lvl>
    <w:lvl w:ilvl="3" w:tplc="0409000F" w:tentative="1">
      <w:start w:val="1"/>
      <w:numFmt w:val="decimal"/>
      <w:lvlText w:val="%4."/>
      <w:lvlJc w:val="left"/>
      <w:pPr>
        <w:ind w:left="3618" w:hanging="360"/>
      </w:pPr>
    </w:lvl>
    <w:lvl w:ilvl="4" w:tplc="04090019" w:tentative="1">
      <w:start w:val="1"/>
      <w:numFmt w:val="lowerLetter"/>
      <w:lvlText w:val="%5."/>
      <w:lvlJc w:val="left"/>
      <w:pPr>
        <w:ind w:left="4338" w:hanging="360"/>
      </w:pPr>
    </w:lvl>
    <w:lvl w:ilvl="5" w:tplc="0409001B" w:tentative="1">
      <w:start w:val="1"/>
      <w:numFmt w:val="lowerRoman"/>
      <w:lvlText w:val="%6."/>
      <w:lvlJc w:val="right"/>
      <w:pPr>
        <w:ind w:left="5058" w:hanging="180"/>
      </w:pPr>
    </w:lvl>
    <w:lvl w:ilvl="6" w:tplc="0409000F" w:tentative="1">
      <w:start w:val="1"/>
      <w:numFmt w:val="decimal"/>
      <w:lvlText w:val="%7."/>
      <w:lvlJc w:val="left"/>
      <w:pPr>
        <w:ind w:left="5778" w:hanging="360"/>
      </w:pPr>
    </w:lvl>
    <w:lvl w:ilvl="7" w:tplc="04090019" w:tentative="1">
      <w:start w:val="1"/>
      <w:numFmt w:val="lowerLetter"/>
      <w:lvlText w:val="%8."/>
      <w:lvlJc w:val="left"/>
      <w:pPr>
        <w:ind w:left="6498" w:hanging="360"/>
      </w:pPr>
    </w:lvl>
    <w:lvl w:ilvl="8" w:tplc="0409001B" w:tentative="1">
      <w:start w:val="1"/>
      <w:numFmt w:val="lowerRoman"/>
      <w:lvlText w:val="%9."/>
      <w:lvlJc w:val="right"/>
      <w:pPr>
        <w:ind w:left="7218" w:hanging="180"/>
      </w:pPr>
    </w:lvl>
  </w:abstractNum>
  <w:abstractNum w:abstractNumId="116" w15:restartNumberingAfterBreak="0">
    <w:nsid w:val="6AAF7FA6"/>
    <w:multiLevelType w:val="hybridMultilevel"/>
    <w:tmpl w:val="BD6C6002"/>
    <w:lvl w:ilvl="0" w:tplc="7FCE7D6E">
      <w:start w:val="1"/>
      <w:numFmt w:val="bullet"/>
      <w:lvlText w:val="•"/>
      <w:lvlJc w:val="left"/>
      <w:pPr>
        <w:tabs>
          <w:tab w:val="num" w:pos="360"/>
        </w:tabs>
        <w:ind w:left="360" w:hanging="360"/>
      </w:pPr>
      <w:rPr>
        <w:rFonts w:ascii="Arial" w:hAnsi="Arial" w:hint="default"/>
      </w:rPr>
    </w:lvl>
    <w:lvl w:ilvl="1" w:tplc="8AE84BD4">
      <w:start w:val="1"/>
      <w:numFmt w:val="bullet"/>
      <w:lvlText w:val="•"/>
      <w:lvlJc w:val="left"/>
      <w:pPr>
        <w:tabs>
          <w:tab w:val="num" w:pos="1080"/>
        </w:tabs>
        <w:ind w:left="1080" w:hanging="360"/>
      </w:pPr>
      <w:rPr>
        <w:rFonts w:ascii="Arial" w:hAnsi="Arial" w:hint="default"/>
      </w:rPr>
    </w:lvl>
    <w:lvl w:ilvl="2" w:tplc="8C5298CE" w:tentative="1">
      <w:start w:val="1"/>
      <w:numFmt w:val="bullet"/>
      <w:lvlText w:val="•"/>
      <w:lvlJc w:val="left"/>
      <w:pPr>
        <w:tabs>
          <w:tab w:val="num" w:pos="1800"/>
        </w:tabs>
        <w:ind w:left="1800" w:hanging="360"/>
      </w:pPr>
      <w:rPr>
        <w:rFonts w:ascii="Arial" w:hAnsi="Arial" w:hint="default"/>
      </w:rPr>
    </w:lvl>
    <w:lvl w:ilvl="3" w:tplc="956A9198" w:tentative="1">
      <w:start w:val="1"/>
      <w:numFmt w:val="bullet"/>
      <w:lvlText w:val="•"/>
      <w:lvlJc w:val="left"/>
      <w:pPr>
        <w:tabs>
          <w:tab w:val="num" w:pos="2520"/>
        </w:tabs>
        <w:ind w:left="2520" w:hanging="360"/>
      </w:pPr>
      <w:rPr>
        <w:rFonts w:ascii="Arial" w:hAnsi="Arial" w:hint="default"/>
      </w:rPr>
    </w:lvl>
    <w:lvl w:ilvl="4" w:tplc="F3326016" w:tentative="1">
      <w:start w:val="1"/>
      <w:numFmt w:val="bullet"/>
      <w:lvlText w:val="•"/>
      <w:lvlJc w:val="left"/>
      <w:pPr>
        <w:tabs>
          <w:tab w:val="num" w:pos="3240"/>
        </w:tabs>
        <w:ind w:left="3240" w:hanging="360"/>
      </w:pPr>
      <w:rPr>
        <w:rFonts w:ascii="Arial" w:hAnsi="Arial" w:hint="default"/>
      </w:rPr>
    </w:lvl>
    <w:lvl w:ilvl="5" w:tplc="7FAA3118" w:tentative="1">
      <w:start w:val="1"/>
      <w:numFmt w:val="bullet"/>
      <w:lvlText w:val="•"/>
      <w:lvlJc w:val="left"/>
      <w:pPr>
        <w:tabs>
          <w:tab w:val="num" w:pos="3960"/>
        </w:tabs>
        <w:ind w:left="3960" w:hanging="360"/>
      </w:pPr>
      <w:rPr>
        <w:rFonts w:ascii="Arial" w:hAnsi="Arial" w:hint="default"/>
      </w:rPr>
    </w:lvl>
    <w:lvl w:ilvl="6" w:tplc="B6B8546E" w:tentative="1">
      <w:start w:val="1"/>
      <w:numFmt w:val="bullet"/>
      <w:lvlText w:val="•"/>
      <w:lvlJc w:val="left"/>
      <w:pPr>
        <w:tabs>
          <w:tab w:val="num" w:pos="4680"/>
        </w:tabs>
        <w:ind w:left="4680" w:hanging="360"/>
      </w:pPr>
      <w:rPr>
        <w:rFonts w:ascii="Arial" w:hAnsi="Arial" w:hint="default"/>
      </w:rPr>
    </w:lvl>
    <w:lvl w:ilvl="7" w:tplc="8676D2B4" w:tentative="1">
      <w:start w:val="1"/>
      <w:numFmt w:val="bullet"/>
      <w:lvlText w:val="•"/>
      <w:lvlJc w:val="left"/>
      <w:pPr>
        <w:tabs>
          <w:tab w:val="num" w:pos="5400"/>
        </w:tabs>
        <w:ind w:left="5400" w:hanging="360"/>
      </w:pPr>
      <w:rPr>
        <w:rFonts w:ascii="Arial" w:hAnsi="Arial" w:hint="default"/>
      </w:rPr>
    </w:lvl>
    <w:lvl w:ilvl="8" w:tplc="D6680E70" w:tentative="1">
      <w:start w:val="1"/>
      <w:numFmt w:val="bullet"/>
      <w:lvlText w:val="•"/>
      <w:lvlJc w:val="left"/>
      <w:pPr>
        <w:tabs>
          <w:tab w:val="num" w:pos="6120"/>
        </w:tabs>
        <w:ind w:left="6120" w:hanging="360"/>
      </w:pPr>
      <w:rPr>
        <w:rFonts w:ascii="Arial" w:hAnsi="Arial" w:hint="default"/>
      </w:rPr>
    </w:lvl>
  </w:abstractNum>
  <w:abstractNum w:abstractNumId="117" w15:restartNumberingAfterBreak="0">
    <w:nsid w:val="6BAF5C80"/>
    <w:multiLevelType w:val="hybridMultilevel"/>
    <w:tmpl w:val="E5F20D92"/>
    <w:lvl w:ilvl="0" w:tplc="FDD0BFFE">
      <w:start w:val="1"/>
      <w:numFmt w:val="bullet"/>
      <w:lvlText w:val="•"/>
      <w:lvlJc w:val="left"/>
      <w:pPr>
        <w:tabs>
          <w:tab w:val="num" w:pos="360"/>
        </w:tabs>
        <w:ind w:left="360" w:hanging="360"/>
      </w:pPr>
      <w:rPr>
        <w:rFonts w:ascii="Arial" w:hAnsi="Arial" w:hint="default"/>
      </w:rPr>
    </w:lvl>
    <w:lvl w:ilvl="1" w:tplc="0D7A5CEE">
      <w:start w:val="1"/>
      <w:numFmt w:val="bullet"/>
      <w:lvlText w:val="•"/>
      <w:lvlJc w:val="left"/>
      <w:pPr>
        <w:tabs>
          <w:tab w:val="num" w:pos="1080"/>
        </w:tabs>
        <w:ind w:left="1080" w:hanging="360"/>
      </w:pPr>
      <w:rPr>
        <w:rFonts w:ascii="Arial" w:hAnsi="Arial" w:hint="default"/>
      </w:rPr>
    </w:lvl>
    <w:lvl w:ilvl="2" w:tplc="79E8262E">
      <w:start w:val="1"/>
      <w:numFmt w:val="bullet"/>
      <w:lvlText w:val="•"/>
      <w:lvlJc w:val="left"/>
      <w:pPr>
        <w:tabs>
          <w:tab w:val="num" w:pos="1800"/>
        </w:tabs>
        <w:ind w:left="1800" w:hanging="360"/>
      </w:pPr>
      <w:rPr>
        <w:rFonts w:ascii="Arial" w:hAnsi="Arial" w:hint="default"/>
      </w:rPr>
    </w:lvl>
    <w:lvl w:ilvl="3" w:tplc="0B980204" w:tentative="1">
      <w:start w:val="1"/>
      <w:numFmt w:val="bullet"/>
      <w:lvlText w:val="•"/>
      <w:lvlJc w:val="left"/>
      <w:pPr>
        <w:tabs>
          <w:tab w:val="num" w:pos="2520"/>
        </w:tabs>
        <w:ind w:left="2520" w:hanging="360"/>
      </w:pPr>
      <w:rPr>
        <w:rFonts w:ascii="Arial" w:hAnsi="Arial" w:hint="default"/>
      </w:rPr>
    </w:lvl>
    <w:lvl w:ilvl="4" w:tplc="CB0875D2" w:tentative="1">
      <w:start w:val="1"/>
      <w:numFmt w:val="bullet"/>
      <w:lvlText w:val="•"/>
      <w:lvlJc w:val="left"/>
      <w:pPr>
        <w:tabs>
          <w:tab w:val="num" w:pos="3240"/>
        </w:tabs>
        <w:ind w:left="3240" w:hanging="360"/>
      </w:pPr>
      <w:rPr>
        <w:rFonts w:ascii="Arial" w:hAnsi="Arial" w:hint="default"/>
      </w:rPr>
    </w:lvl>
    <w:lvl w:ilvl="5" w:tplc="59405656" w:tentative="1">
      <w:start w:val="1"/>
      <w:numFmt w:val="bullet"/>
      <w:lvlText w:val="•"/>
      <w:lvlJc w:val="left"/>
      <w:pPr>
        <w:tabs>
          <w:tab w:val="num" w:pos="3960"/>
        </w:tabs>
        <w:ind w:left="3960" w:hanging="360"/>
      </w:pPr>
      <w:rPr>
        <w:rFonts w:ascii="Arial" w:hAnsi="Arial" w:hint="default"/>
      </w:rPr>
    </w:lvl>
    <w:lvl w:ilvl="6" w:tplc="78C0E75A" w:tentative="1">
      <w:start w:val="1"/>
      <w:numFmt w:val="bullet"/>
      <w:lvlText w:val="•"/>
      <w:lvlJc w:val="left"/>
      <w:pPr>
        <w:tabs>
          <w:tab w:val="num" w:pos="4680"/>
        </w:tabs>
        <w:ind w:left="4680" w:hanging="360"/>
      </w:pPr>
      <w:rPr>
        <w:rFonts w:ascii="Arial" w:hAnsi="Arial" w:hint="default"/>
      </w:rPr>
    </w:lvl>
    <w:lvl w:ilvl="7" w:tplc="EAC63F92" w:tentative="1">
      <w:start w:val="1"/>
      <w:numFmt w:val="bullet"/>
      <w:lvlText w:val="•"/>
      <w:lvlJc w:val="left"/>
      <w:pPr>
        <w:tabs>
          <w:tab w:val="num" w:pos="5400"/>
        </w:tabs>
        <w:ind w:left="5400" w:hanging="360"/>
      </w:pPr>
      <w:rPr>
        <w:rFonts w:ascii="Arial" w:hAnsi="Arial" w:hint="default"/>
      </w:rPr>
    </w:lvl>
    <w:lvl w:ilvl="8" w:tplc="2F9830D0" w:tentative="1">
      <w:start w:val="1"/>
      <w:numFmt w:val="bullet"/>
      <w:lvlText w:val="•"/>
      <w:lvlJc w:val="left"/>
      <w:pPr>
        <w:tabs>
          <w:tab w:val="num" w:pos="6120"/>
        </w:tabs>
        <w:ind w:left="6120" w:hanging="360"/>
      </w:pPr>
      <w:rPr>
        <w:rFonts w:ascii="Arial" w:hAnsi="Arial" w:hint="default"/>
      </w:rPr>
    </w:lvl>
  </w:abstractNum>
  <w:abstractNum w:abstractNumId="118" w15:restartNumberingAfterBreak="0">
    <w:nsid w:val="6BD342A0"/>
    <w:multiLevelType w:val="hybridMultilevel"/>
    <w:tmpl w:val="8ABCF136"/>
    <w:lvl w:ilvl="0" w:tplc="6EEE0F68">
      <w:start w:val="1"/>
      <w:numFmt w:val="bullet"/>
      <w:lvlText w:val="•"/>
      <w:lvlJc w:val="left"/>
      <w:pPr>
        <w:tabs>
          <w:tab w:val="num" w:pos="360"/>
        </w:tabs>
        <w:ind w:left="360" w:hanging="360"/>
      </w:pPr>
      <w:rPr>
        <w:rFonts w:ascii="Arial" w:hAnsi="Arial" w:hint="default"/>
      </w:rPr>
    </w:lvl>
    <w:lvl w:ilvl="1" w:tplc="76AC1558">
      <w:start w:val="1"/>
      <w:numFmt w:val="bullet"/>
      <w:lvlText w:val="•"/>
      <w:lvlJc w:val="left"/>
      <w:pPr>
        <w:tabs>
          <w:tab w:val="num" w:pos="1080"/>
        </w:tabs>
        <w:ind w:left="1080" w:hanging="360"/>
      </w:pPr>
      <w:rPr>
        <w:rFonts w:ascii="Arial" w:hAnsi="Arial" w:hint="default"/>
      </w:rPr>
    </w:lvl>
    <w:lvl w:ilvl="2" w:tplc="20A81C2E">
      <w:start w:val="1"/>
      <w:numFmt w:val="bullet"/>
      <w:lvlText w:val="•"/>
      <w:lvlJc w:val="left"/>
      <w:pPr>
        <w:tabs>
          <w:tab w:val="num" w:pos="1800"/>
        </w:tabs>
        <w:ind w:left="1800" w:hanging="360"/>
      </w:pPr>
      <w:rPr>
        <w:rFonts w:ascii="Arial" w:hAnsi="Arial" w:hint="default"/>
      </w:rPr>
    </w:lvl>
    <w:lvl w:ilvl="3" w:tplc="70366864" w:tentative="1">
      <w:start w:val="1"/>
      <w:numFmt w:val="bullet"/>
      <w:lvlText w:val="•"/>
      <w:lvlJc w:val="left"/>
      <w:pPr>
        <w:tabs>
          <w:tab w:val="num" w:pos="2520"/>
        </w:tabs>
        <w:ind w:left="2520" w:hanging="360"/>
      </w:pPr>
      <w:rPr>
        <w:rFonts w:ascii="Arial" w:hAnsi="Arial" w:hint="default"/>
      </w:rPr>
    </w:lvl>
    <w:lvl w:ilvl="4" w:tplc="4A22834A" w:tentative="1">
      <w:start w:val="1"/>
      <w:numFmt w:val="bullet"/>
      <w:lvlText w:val="•"/>
      <w:lvlJc w:val="left"/>
      <w:pPr>
        <w:tabs>
          <w:tab w:val="num" w:pos="3240"/>
        </w:tabs>
        <w:ind w:left="3240" w:hanging="360"/>
      </w:pPr>
      <w:rPr>
        <w:rFonts w:ascii="Arial" w:hAnsi="Arial" w:hint="default"/>
      </w:rPr>
    </w:lvl>
    <w:lvl w:ilvl="5" w:tplc="1F124310" w:tentative="1">
      <w:start w:val="1"/>
      <w:numFmt w:val="bullet"/>
      <w:lvlText w:val="•"/>
      <w:lvlJc w:val="left"/>
      <w:pPr>
        <w:tabs>
          <w:tab w:val="num" w:pos="3960"/>
        </w:tabs>
        <w:ind w:left="3960" w:hanging="360"/>
      </w:pPr>
      <w:rPr>
        <w:rFonts w:ascii="Arial" w:hAnsi="Arial" w:hint="default"/>
      </w:rPr>
    </w:lvl>
    <w:lvl w:ilvl="6" w:tplc="2D183C8A" w:tentative="1">
      <w:start w:val="1"/>
      <w:numFmt w:val="bullet"/>
      <w:lvlText w:val="•"/>
      <w:lvlJc w:val="left"/>
      <w:pPr>
        <w:tabs>
          <w:tab w:val="num" w:pos="4680"/>
        </w:tabs>
        <w:ind w:left="4680" w:hanging="360"/>
      </w:pPr>
      <w:rPr>
        <w:rFonts w:ascii="Arial" w:hAnsi="Arial" w:hint="default"/>
      </w:rPr>
    </w:lvl>
    <w:lvl w:ilvl="7" w:tplc="EC6C7B08" w:tentative="1">
      <w:start w:val="1"/>
      <w:numFmt w:val="bullet"/>
      <w:lvlText w:val="•"/>
      <w:lvlJc w:val="left"/>
      <w:pPr>
        <w:tabs>
          <w:tab w:val="num" w:pos="5400"/>
        </w:tabs>
        <w:ind w:left="5400" w:hanging="360"/>
      </w:pPr>
      <w:rPr>
        <w:rFonts w:ascii="Arial" w:hAnsi="Arial" w:hint="default"/>
      </w:rPr>
    </w:lvl>
    <w:lvl w:ilvl="8" w:tplc="8392FE02" w:tentative="1">
      <w:start w:val="1"/>
      <w:numFmt w:val="bullet"/>
      <w:lvlText w:val="•"/>
      <w:lvlJc w:val="left"/>
      <w:pPr>
        <w:tabs>
          <w:tab w:val="num" w:pos="6120"/>
        </w:tabs>
        <w:ind w:left="6120" w:hanging="360"/>
      </w:pPr>
      <w:rPr>
        <w:rFonts w:ascii="Arial" w:hAnsi="Arial" w:hint="default"/>
      </w:rPr>
    </w:lvl>
  </w:abstractNum>
  <w:abstractNum w:abstractNumId="119" w15:restartNumberingAfterBreak="0">
    <w:nsid w:val="6C8A30E0"/>
    <w:multiLevelType w:val="hybridMultilevel"/>
    <w:tmpl w:val="9E5EFADC"/>
    <w:lvl w:ilvl="0" w:tplc="6B249AFC">
      <w:start w:val="1"/>
      <w:numFmt w:val="bullet"/>
      <w:lvlText w:val="•"/>
      <w:lvlJc w:val="left"/>
      <w:pPr>
        <w:tabs>
          <w:tab w:val="num" w:pos="720"/>
        </w:tabs>
        <w:ind w:left="720" w:hanging="360"/>
      </w:pPr>
      <w:rPr>
        <w:rFonts w:ascii="Arial" w:hAnsi="Arial" w:hint="default"/>
      </w:rPr>
    </w:lvl>
    <w:lvl w:ilvl="1" w:tplc="5EFA1160">
      <w:numFmt w:val="bullet"/>
      <w:lvlText w:val="•"/>
      <w:lvlJc w:val="left"/>
      <w:pPr>
        <w:tabs>
          <w:tab w:val="num" w:pos="1440"/>
        </w:tabs>
        <w:ind w:left="1440" w:hanging="360"/>
      </w:pPr>
      <w:rPr>
        <w:rFonts w:ascii="Arial" w:hAnsi="Arial" w:hint="default"/>
      </w:rPr>
    </w:lvl>
    <w:lvl w:ilvl="2" w:tplc="0E180246" w:tentative="1">
      <w:start w:val="1"/>
      <w:numFmt w:val="bullet"/>
      <w:lvlText w:val="•"/>
      <w:lvlJc w:val="left"/>
      <w:pPr>
        <w:tabs>
          <w:tab w:val="num" w:pos="2160"/>
        </w:tabs>
        <w:ind w:left="2160" w:hanging="360"/>
      </w:pPr>
      <w:rPr>
        <w:rFonts w:ascii="Arial" w:hAnsi="Arial" w:hint="default"/>
      </w:rPr>
    </w:lvl>
    <w:lvl w:ilvl="3" w:tplc="B388DAC8" w:tentative="1">
      <w:start w:val="1"/>
      <w:numFmt w:val="bullet"/>
      <w:lvlText w:val="•"/>
      <w:lvlJc w:val="left"/>
      <w:pPr>
        <w:tabs>
          <w:tab w:val="num" w:pos="2880"/>
        </w:tabs>
        <w:ind w:left="2880" w:hanging="360"/>
      </w:pPr>
      <w:rPr>
        <w:rFonts w:ascii="Arial" w:hAnsi="Arial" w:hint="default"/>
      </w:rPr>
    </w:lvl>
    <w:lvl w:ilvl="4" w:tplc="E43C5FD2" w:tentative="1">
      <w:start w:val="1"/>
      <w:numFmt w:val="bullet"/>
      <w:lvlText w:val="•"/>
      <w:lvlJc w:val="left"/>
      <w:pPr>
        <w:tabs>
          <w:tab w:val="num" w:pos="3600"/>
        </w:tabs>
        <w:ind w:left="3600" w:hanging="360"/>
      </w:pPr>
      <w:rPr>
        <w:rFonts w:ascii="Arial" w:hAnsi="Arial" w:hint="default"/>
      </w:rPr>
    </w:lvl>
    <w:lvl w:ilvl="5" w:tplc="735E7542" w:tentative="1">
      <w:start w:val="1"/>
      <w:numFmt w:val="bullet"/>
      <w:lvlText w:val="•"/>
      <w:lvlJc w:val="left"/>
      <w:pPr>
        <w:tabs>
          <w:tab w:val="num" w:pos="4320"/>
        </w:tabs>
        <w:ind w:left="4320" w:hanging="360"/>
      </w:pPr>
      <w:rPr>
        <w:rFonts w:ascii="Arial" w:hAnsi="Arial" w:hint="default"/>
      </w:rPr>
    </w:lvl>
    <w:lvl w:ilvl="6" w:tplc="04C41C6A" w:tentative="1">
      <w:start w:val="1"/>
      <w:numFmt w:val="bullet"/>
      <w:lvlText w:val="•"/>
      <w:lvlJc w:val="left"/>
      <w:pPr>
        <w:tabs>
          <w:tab w:val="num" w:pos="5040"/>
        </w:tabs>
        <w:ind w:left="5040" w:hanging="360"/>
      </w:pPr>
      <w:rPr>
        <w:rFonts w:ascii="Arial" w:hAnsi="Arial" w:hint="default"/>
      </w:rPr>
    </w:lvl>
    <w:lvl w:ilvl="7" w:tplc="77E05308" w:tentative="1">
      <w:start w:val="1"/>
      <w:numFmt w:val="bullet"/>
      <w:lvlText w:val="•"/>
      <w:lvlJc w:val="left"/>
      <w:pPr>
        <w:tabs>
          <w:tab w:val="num" w:pos="5760"/>
        </w:tabs>
        <w:ind w:left="5760" w:hanging="360"/>
      </w:pPr>
      <w:rPr>
        <w:rFonts w:ascii="Arial" w:hAnsi="Arial" w:hint="default"/>
      </w:rPr>
    </w:lvl>
    <w:lvl w:ilvl="8" w:tplc="AF68A55C"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6DF522DC"/>
    <w:multiLevelType w:val="hybridMultilevel"/>
    <w:tmpl w:val="3A32E35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F032871"/>
    <w:multiLevelType w:val="hybridMultilevel"/>
    <w:tmpl w:val="4B8EED6C"/>
    <w:lvl w:ilvl="0" w:tplc="FF10B85E">
      <w:start w:val="1"/>
      <w:numFmt w:val="bullet"/>
      <w:lvlText w:val="•"/>
      <w:lvlJc w:val="left"/>
      <w:pPr>
        <w:tabs>
          <w:tab w:val="num" w:pos="360"/>
        </w:tabs>
        <w:ind w:left="360" w:hanging="360"/>
      </w:pPr>
      <w:rPr>
        <w:rFonts w:ascii="Arial" w:hAnsi="Arial" w:hint="default"/>
      </w:rPr>
    </w:lvl>
    <w:lvl w:ilvl="1" w:tplc="901E5A6A">
      <w:start w:val="1"/>
      <w:numFmt w:val="bullet"/>
      <w:lvlText w:val="•"/>
      <w:lvlJc w:val="left"/>
      <w:pPr>
        <w:tabs>
          <w:tab w:val="num" w:pos="1080"/>
        </w:tabs>
        <w:ind w:left="1080" w:hanging="360"/>
      </w:pPr>
      <w:rPr>
        <w:rFonts w:ascii="Arial" w:hAnsi="Arial" w:hint="default"/>
      </w:rPr>
    </w:lvl>
    <w:lvl w:ilvl="2" w:tplc="FA7ACB7C">
      <w:start w:val="1"/>
      <w:numFmt w:val="bullet"/>
      <w:lvlText w:val="•"/>
      <w:lvlJc w:val="left"/>
      <w:pPr>
        <w:tabs>
          <w:tab w:val="num" w:pos="1800"/>
        </w:tabs>
        <w:ind w:left="1800" w:hanging="360"/>
      </w:pPr>
      <w:rPr>
        <w:rFonts w:ascii="Arial" w:hAnsi="Arial" w:hint="default"/>
      </w:rPr>
    </w:lvl>
    <w:lvl w:ilvl="3" w:tplc="E3FCFDBE" w:tentative="1">
      <w:start w:val="1"/>
      <w:numFmt w:val="bullet"/>
      <w:lvlText w:val="•"/>
      <w:lvlJc w:val="left"/>
      <w:pPr>
        <w:tabs>
          <w:tab w:val="num" w:pos="2520"/>
        </w:tabs>
        <w:ind w:left="2520" w:hanging="360"/>
      </w:pPr>
      <w:rPr>
        <w:rFonts w:ascii="Arial" w:hAnsi="Arial" w:hint="default"/>
      </w:rPr>
    </w:lvl>
    <w:lvl w:ilvl="4" w:tplc="F59C171E" w:tentative="1">
      <w:start w:val="1"/>
      <w:numFmt w:val="bullet"/>
      <w:lvlText w:val="•"/>
      <w:lvlJc w:val="left"/>
      <w:pPr>
        <w:tabs>
          <w:tab w:val="num" w:pos="3240"/>
        </w:tabs>
        <w:ind w:left="3240" w:hanging="360"/>
      </w:pPr>
      <w:rPr>
        <w:rFonts w:ascii="Arial" w:hAnsi="Arial" w:hint="default"/>
      </w:rPr>
    </w:lvl>
    <w:lvl w:ilvl="5" w:tplc="5BD464EC" w:tentative="1">
      <w:start w:val="1"/>
      <w:numFmt w:val="bullet"/>
      <w:lvlText w:val="•"/>
      <w:lvlJc w:val="left"/>
      <w:pPr>
        <w:tabs>
          <w:tab w:val="num" w:pos="3960"/>
        </w:tabs>
        <w:ind w:left="3960" w:hanging="360"/>
      </w:pPr>
      <w:rPr>
        <w:rFonts w:ascii="Arial" w:hAnsi="Arial" w:hint="default"/>
      </w:rPr>
    </w:lvl>
    <w:lvl w:ilvl="6" w:tplc="12C447DA" w:tentative="1">
      <w:start w:val="1"/>
      <w:numFmt w:val="bullet"/>
      <w:lvlText w:val="•"/>
      <w:lvlJc w:val="left"/>
      <w:pPr>
        <w:tabs>
          <w:tab w:val="num" w:pos="4680"/>
        </w:tabs>
        <w:ind w:left="4680" w:hanging="360"/>
      </w:pPr>
      <w:rPr>
        <w:rFonts w:ascii="Arial" w:hAnsi="Arial" w:hint="default"/>
      </w:rPr>
    </w:lvl>
    <w:lvl w:ilvl="7" w:tplc="DAD008B6" w:tentative="1">
      <w:start w:val="1"/>
      <w:numFmt w:val="bullet"/>
      <w:lvlText w:val="•"/>
      <w:lvlJc w:val="left"/>
      <w:pPr>
        <w:tabs>
          <w:tab w:val="num" w:pos="5400"/>
        </w:tabs>
        <w:ind w:left="5400" w:hanging="360"/>
      </w:pPr>
      <w:rPr>
        <w:rFonts w:ascii="Arial" w:hAnsi="Arial" w:hint="default"/>
      </w:rPr>
    </w:lvl>
    <w:lvl w:ilvl="8" w:tplc="833032B2" w:tentative="1">
      <w:start w:val="1"/>
      <w:numFmt w:val="bullet"/>
      <w:lvlText w:val="•"/>
      <w:lvlJc w:val="left"/>
      <w:pPr>
        <w:tabs>
          <w:tab w:val="num" w:pos="6120"/>
        </w:tabs>
        <w:ind w:left="6120" w:hanging="360"/>
      </w:pPr>
      <w:rPr>
        <w:rFonts w:ascii="Arial" w:hAnsi="Arial" w:hint="default"/>
      </w:rPr>
    </w:lvl>
  </w:abstractNum>
  <w:abstractNum w:abstractNumId="122" w15:restartNumberingAfterBreak="0">
    <w:nsid w:val="6F067D74"/>
    <w:multiLevelType w:val="hybridMultilevel"/>
    <w:tmpl w:val="1E8E7D7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23" w15:restartNumberingAfterBreak="0">
    <w:nsid w:val="719C3E36"/>
    <w:multiLevelType w:val="hybridMultilevel"/>
    <w:tmpl w:val="AE428E86"/>
    <w:lvl w:ilvl="0" w:tplc="4BECF520">
      <w:start w:val="1"/>
      <w:numFmt w:val="bullet"/>
      <w:lvlText w:val="•"/>
      <w:lvlJc w:val="left"/>
      <w:pPr>
        <w:tabs>
          <w:tab w:val="num" w:pos="720"/>
        </w:tabs>
        <w:ind w:left="720" w:hanging="360"/>
      </w:pPr>
      <w:rPr>
        <w:rFonts w:ascii="Arial" w:hAnsi="Arial" w:hint="default"/>
      </w:rPr>
    </w:lvl>
    <w:lvl w:ilvl="1" w:tplc="8C2CF6FC" w:tentative="1">
      <w:start w:val="1"/>
      <w:numFmt w:val="bullet"/>
      <w:lvlText w:val="•"/>
      <w:lvlJc w:val="left"/>
      <w:pPr>
        <w:tabs>
          <w:tab w:val="num" w:pos="1440"/>
        </w:tabs>
        <w:ind w:left="1440" w:hanging="360"/>
      </w:pPr>
      <w:rPr>
        <w:rFonts w:ascii="Arial" w:hAnsi="Arial" w:hint="default"/>
      </w:rPr>
    </w:lvl>
    <w:lvl w:ilvl="2" w:tplc="C6B24ECC">
      <w:start w:val="1"/>
      <w:numFmt w:val="bullet"/>
      <w:lvlText w:val="•"/>
      <w:lvlJc w:val="left"/>
      <w:pPr>
        <w:tabs>
          <w:tab w:val="num" w:pos="2160"/>
        </w:tabs>
        <w:ind w:left="2160" w:hanging="360"/>
      </w:pPr>
      <w:rPr>
        <w:rFonts w:ascii="Arial" w:hAnsi="Arial" w:hint="default"/>
      </w:rPr>
    </w:lvl>
    <w:lvl w:ilvl="3" w:tplc="4CB0703E" w:tentative="1">
      <w:start w:val="1"/>
      <w:numFmt w:val="bullet"/>
      <w:lvlText w:val="•"/>
      <w:lvlJc w:val="left"/>
      <w:pPr>
        <w:tabs>
          <w:tab w:val="num" w:pos="2880"/>
        </w:tabs>
        <w:ind w:left="2880" w:hanging="360"/>
      </w:pPr>
      <w:rPr>
        <w:rFonts w:ascii="Arial" w:hAnsi="Arial" w:hint="default"/>
      </w:rPr>
    </w:lvl>
    <w:lvl w:ilvl="4" w:tplc="75142578" w:tentative="1">
      <w:start w:val="1"/>
      <w:numFmt w:val="bullet"/>
      <w:lvlText w:val="•"/>
      <w:lvlJc w:val="left"/>
      <w:pPr>
        <w:tabs>
          <w:tab w:val="num" w:pos="3600"/>
        </w:tabs>
        <w:ind w:left="3600" w:hanging="360"/>
      </w:pPr>
      <w:rPr>
        <w:rFonts w:ascii="Arial" w:hAnsi="Arial" w:hint="default"/>
      </w:rPr>
    </w:lvl>
    <w:lvl w:ilvl="5" w:tplc="BB0E9920" w:tentative="1">
      <w:start w:val="1"/>
      <w:numFmt w:val="bullet"/>
      <w:lvlText w:val="•"/>
      <w:lvlJc w:val="left"/>
      <w:pPr>
        <w:tabs>
          <w:tab w:val="num" w:pos="4320"/>
        </w:tabs>
        <w:ind w:left="4320" w:hanging="360"/>
      </w:pPr>
      <w:rPr>
        <w:rFonts w:ascii="Arial" w:hAnsi="Arial" w:hint="default"/>
      </w:rPr>
    </w:lvl>
    <w:lvl w:ilvl="6" w:tplc="E668CBCA" w:tentative="1">
      <w:start w:val="1"/>
      <w:numFmt w:val="bullet"/>
      <w:lvlText w:val="•"/>
      <w:lvlJc w:val="left"/>
      <w:pPr>
        <w:tabs>
          <w:tab w:val="num" w:pos="5040"/>
        </w:tabs>
        <w:ind w:left="5040" w:hanging="360"/>
      </w:pPr>
      <w:rPr>
        <w:rFonts w:ascii="Arial" w:hAnsi="Arial" w:hint="default"/>
      </w:rPr>
    </w:lvl>
    <w:lvl w:ilvl="7" w:tplc="AD7E3EAE" w:tentative="1">
      <w:start w:val="1"/>
      <w:numFmt w:val="bullet"/>
      <w:lvlText w:val="•"/>
      <w:lvlJc w:val="left"/>
      <w:pPr>
        <w:tabs>
          <w:tab w:val="num" w:pos="5760"/>
        </w:tabs>
        <w:ind w:left="5760" w:hanging="360"/>
      </w:pPr>
      <w:rPr>
        <w:rFonts w:ascii="Arial" w:hAnsi="Arial" w:hint="default"/>
      </w:rPr>
    </w:lvl>
    <w:lvl w:ilvl="8" w:tplc="1AEAFA4A" w:tentative="1">
      <w:start w:val="1"/>
      <w:numFmt w:val="bullet"/>
      <w:lvlText w:val="•"/>
      <w:lvlJc w:val="left"/>
      <w:pPr>
        <w:tabs>
          <w:tab w:val="num" w:pos="6480"/>
        </w:tabs>
        <w:ind w:left="6480" w:hanging="360"/>
      </w:pPr>
      <w:rPr>
        <w:rFonts w:ascii="Arial" w:hAnsi="Arial" w:hint="default"/>
      </w:rPr>
    </w:lvl>
  </w:abstractNum>
  <w:abstractNum w:abstractNumId="124" w15:restartNumberingAfterBreak="0">
    <w:nsid w:val="73B93F67"/>
    <w:multiLevelType w:val="hybridMultilevel"/>
    <w:tmpl w:val="742E62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8047DB2"/>
    <w:multiLevelType w:val="hybridMultilevel"/>
    <w:tmpl w:val="97BA4CA2"/>
    <w:lvl w:ilvl="0" w:tplc="3ECA23B0">
      <w:start w:val="1"/>
      <w:numFmt w:val="lowerLetter"/>
      <w:pStyle w:val="ListNumber2"/>
      <w:lvlText w:val="%1."/>
      <w:lvlJc w:val="left"/>
      <w:pPr>
        <w:ind w:left="5400" w:hanging="360"/>
      </w:pPr>
      <w:rPr>
        <w:rFonts w:hint="default"/>
      </w:rPr>
    </w:lvl>
    <w:lvl w:ilvl="1" w:tplc="FFFFFFFF">
      <w:start w:val="1"/>
      <w:numFmt w:val="bullet"/>
      <w:lvlText w:val="o"/>
      <w:lvlJc w:val="left"/>
      <w:pPr>
        <w:ind w:left="6120" w:hanging="360"/>
      </w:pPr>
      <w:rPr>
        <w:rFonts w:ascii="Courier New" w:hAnsi="Courier New" w:cs="Courier New" w:hint="default"/>
      </w:rPr>
    </w:lvl>
    <w:lvl w:ilvl="2" w:tplc="FFFFFFFF" w:tentative="1">
      <w:start w:val="1"/>
      <w:numFmt w:val="bullet"/>
      <w:lvlText w:val=""/>
      <w:lvlJc w:val="left"/>
      <w:pPr>
        <w:ind w:left="6840" w:hanging="360"/>
      </w:pPr>
      <w:rPr>
        <w:rFonts w:ascii="Wingdings" w:hAnsi="Wingdings" w:hint="default"/>
      </w:rPr>
    </w:lvl>
    <w:lvl w:ilvl="3" w:tplc="FFFFFFFF" w:tentative="1">
      <w:start w:val="1"/>
      <w:numFmt w:val="bullet"/>
      <w:lvlText w:val=""/>
      <w:lvlJc w:val="left"/>
      <w:pPr>
        <w:ind w:left="7560" w:hanging="360"/>
      </w:pPr>
      <w:rPr>
        <w:rFonts w:ascii="Symbol" w:hAnsi="Symbol" w:hint="default"/>
      </w:rPr>
    </w:lvl>
    <w:lvl w:ilvl="4" w:tplc="FFFFFFFF" w:tentative="1">
      <w:start w:val="1"/>
      <w:numFmt w:val="bullet"/>
      <w:lvlText w:val="o"/>
      <w:lvlJc w:val="left"/>
      <w:pPr>
        <w:ind w:left="8280" w:hanging="360"/>
      </w:pPr>
      <w:rPr>
        <w:rFonts w:ascii="Courier New" w:hAnsi="Courier New" w:cs="Courier New" w:hint="default"/>
      </w:rPr>
    </w:lvl>
    <w:lvl w:ilvl="5" w:tplc="FFFFFFFF" w:tentative="1">
      <w:start w:val="1"/>
      <w:numFmt w:val="bullet"/>
      <w:lvlText w:val=""/>
      <w:lvlJc w:val="left"/>
      <w:pPr>
        <w:ind w:left="9000" w:hanging="360"/>
      </w:pPr>
      <w:rPr>
        <w:rFonts w:ascii="Wingdings" w:hAnsi="Wingdings" w:hint="default"/>
      </w:rPr>
    </w:lvl>
    <w:lvl w:ilvl="6" w:tplc="FFFFFFFF" w:tentative="1">
      <w:start w:val="1"/>
      <w:numFmt w:val="bullet"/>
      <w:lvlText w:val=""/>
      <w:lvlJc w:val="left"/>
      <w:pPr>
        <w:ind w:left="9720" w:hanging="360"/>
      </w:pPr>
      <w:rPr>
        <w:rFonts w:ascii="Symbol" w:hAnsi="Symbol" w:hint="default"/>
      </w:rPr>
    </w:lvl>
    <w:lvl w:ilvl="7" w:tplc="FFFFFFFF" w:tentative="1">
      <w:start w:val="1"/>
      <w:numFmt w:val="bullet"/>
      <w:lvlText w:val="o"/>
      <w:lvlJc w:val="left"/>
      <w:pPr>
        <w:ind w:left="10440" w:hanging="360"/>
      </w:pPr>
      <w:rPr>
        <w:rFonts w:ascii="Courier New" w:hAnsi="Courier New" w:cs="Courier New" w:hint="default"/>
      </w:rPr>
    </w:lvl>
    <w:lvl w:ilvl="8" w:tplc="FFFFFFFF" w:tentative="1">
      <w:start w:val="1"/>
      <w:numFmt w:val="bullet"/>
      <w:lvlText w:val=""/>
      <w:lvlJc w:val="left"/>
      <w:pPr>
        <w:ind w:left="11160" w:hanging="360"/>
      </w:pPr>
      <w:rPr>
        <w:rFonts w:ascii="Wingdings" w:hAnsi="Wingdings" w:hint="default"/>
      </w:rPr>
    </w:lvl>
  </w:abstractNum>
  <w:abstractNum w:abstractNumId="126" w15:restartNumberingAfterBreak="0">
    <w:nsid w:val="78EA0CC5"/>
    <w:multiLevelType w:val="hybridMultilevel"/>
    <w:tmpl w:val="0338DE6C"/>
    <w:lvl w:ilvl="0" w:tplc="93D0F7A8">
      <w:start w:val="1"/>
      <w:numFmt w:val="bullet"/>
      <w:lvlText w:val="•"/>
      <w:lvlJc w:val="left"/>
      <w:pPr>
        <w:tabs>
          <w:tab w:val="num" w:pos="720"/>
        </w:tabs>
        <w:ind w:left="720" w:hanging="360"/>
      </w:pPr>
      <w:rPr>
        <w:rFonts w:ascii="Arial" w:hAnsi="Arial" w:hint="default"/>
      </w:rPr>
    </w:lvl>
    <w:lvl w:ilvl="1" w:tplc="B2DE908A" w:tentative="1">
      <w:start w:val="1"/>
      <w:numFmt w:val="bullet"/>
      <w:lvlText w:val="•"/>
      <w:lvlJc w:val="left"/>
      <w:pPr>
        <w:tabs>
          <w:tab w:val="num" w:pos="1440"/>
        </w:tabs>
        <w:ind w:left="1440" w:hanging="360"/>
      </w:pPr>
      <w:rPr>
        <w:rFonts w:ascii="Arial" w:hAnsi="Arial" w:hint="default"/>
      </w:rPr>
    </w:lvl>
    <w:lvl w:ilvl="2" w:tplc="9918C684">
      <w:start w:val="1"/>
      <w:numFmt w:val="bullet"/>
      <w:lvlText w:val="•"/>
      <w:lvlJc w:val="left"/>
      <w:pPr>
        <w:tabs>
          <w:tab w:val="num" w:pos="2160"/>
        </w:tabs>
        <w:ind w:left="2160" w:hanging="360"/>
      </w:pPr>
      <w:rPr>
        <w:rFonts w:ascii="Arial" w:hAnsi="Arial" w:hint="default"/>
      </w:rPr>
    </w:lvl>
    <w:lvl w:ilvl="3" w:tplc="327C30F6" w:tentative="1">
      <w:start w:val="1"/>
      <w:numFmt w:val="bullet"/>
      <w:lvlText w:val="•"/>
      <w:lvlJc w:val="left"/>
      <w:pPr>
        <w:tabs>
          <w:tab w:val="num" w:pos="2880"/>
        </w:tabs>
        <w:ind w:left="2880" w:hanging="360"/>
      </w:pPr>
      <w:rPr>
        <w:rFonts w:ascii="Arial" w:hAnsi="Arial" w:hint="default"/>
      </w:rPr>
    </w:lvl>
    <w:lvl w:ilvl="4" w:tplc="9A10D1C2" w:tentative="1">
      <w:start w:val="1"/>
      <w:numFmt w:val="bullet"/>
      <w:lvlText w:val="•"/>
      <w:lvlJc w:val="left"/>
      <w:pPr>
        <w:tabs>
          <w:tab w:val="num" w:pos="3600"/>
        </w:tabs>
        <w:ind w:left="3600" w:hanging="360"/>
      </w:pPr>
      <w:rPr>
        <w:rFonts w:ascii="Arial" w:hAnsi="Arial" w:hint="default"/>
      </w:rPr>
    </w:lvl>
    <w:lvl w:ilvl="5" w:tplc="8C82CF9A" w:tentative="1">
      <w:start w:val="1"/>
      <w:numFmt w:val="bullet"/>
      <w:lvlText w:val="•"/>
      <w:lvlJc w:val="left"/>
      <w:pPr>
        <w:tabs>
          <w:tab w:val="num" w:pos="4320"/>
        </w:tabs>
        <w:ind w:left="4320" w:hanging="360"/>
      </w:pPr>
      <w:rPr>
        <w:rFonts w:ascii="Arial" w:hAnsi="Arial" w:hint="default"/>
      </w:rPr>
    </w:lvl>
    <w:lvl w:ilvl="6" w:tplc="E4621374" w:tentative="1">
      <w:start w:val="1"/>
      <w:numFmt w:val="bullet"/>
      <w:lvlText w:val="•"/>
      <w:lvlJc w:val="left"/>
      <w:pPr>
        <w:tabs>
          <w:tab w:val="num" w:pos="5040"/>
        </w:tabs>
        <w:ind w:left="5040" w:hanging="360"/>
      </w:pPr>
      <w:rPr>
        <w:rFonts w:ascii="Arial" w:hAnsi="Arial" w:hint="default"/>
      </w:rPr>
    </w:lvl>
    <w:lvl w:ilvl="7" w:tplc="CA5476B6" w:tentative="1">
      <w:start w:val="1"/>
      <w:numFmt w:val="bullet"/>
      <w:lvlText w:val="•"/>
      <w:lvlJc w:val="left"/>
      <w:pPr>
        <w:tabs>
          <w:tab w:val="num" w:pos="5760"/>
        </w:tabs>
        <w:ind w:left="5760" w:hanging="360"/>
      </w:pPr>
      <w:rPr>
        <w:rFonts w:ascii="Arial" w:hAnsi="Arial" w:hint="default"/>
      </w:rPr>
    </w:lvl>
    <w:lvl w:ilvl="8" w:tplc="B6463F66" w:tentative="1">
      <w:start w:val="1"/>
      <w:numFmt w:val="bullet"/>
      <w:lvlText w:val="•"/>
      <w:lvlJc w:val="left"/>
      <w:pPr>
        <w:tabs>
          <w:tab w:val="num" w:pos="6480"/>
        </w:tabs>
        <w:ind w:left="6480" w:hanging="360"/>
      </w:pPr>
      <w:rPr>
        <w:rFonts w:ascii="Arial" w:hAnsi="Arial" w:hint="default"/>
      </w:rPr>
    </w:lvl>
  </w:abstractNum>
  <w:abstractNum w:abstractNumId="127" w15:restartNumberingAfterBreak="0">
    <w:nsid w:val="79074730"/>
    <w:multiLevelType w:val="hybridMultilevel"/>
    <w:tmpl w:val="8948FB38"/>
    <w:lvl w:ilvl="0" w:tplc="1F4CF816">
      <w:start w:val="1"/>
      <w:numFmt w:val="bullet"/>
      <w:lvlText w:val="•"/>
      <w:lvlJc w:val="left"/>
      <w:pPr>
        <w:tabs>
          <w:tab w:val="num" w:pos="360"/>
        </w:tabs>
        <w:ind w:left="360" w:hanging="360"/>
      </w:pPr>
      <w:rPr>
        <w:rFonts w:ascii="Arial" w:hAnsi="Arial" w:hint="default"/>
      </w:rPr>
    </w:lvl>
    <w:lvl w:ilvl="1" w:tplc="FCA602EE">
      <w:start w:val="1"/>
      <w:numFmt w:val="bullet"/>
      <w:lvlText w:val="•"/>
      <w:lvlJc w:val="left"/>
      <w:pPr>
        <w:tabs>
          <w:tab w:val="num" w:pos="1080"/>
        </w:tabs>
        <w:ind w:left="1080" w:hanging="360"/>
      </w:pPr>
      <w:rPr>
        <w:rFonts w:ascii="Arial" w:hAnsi="Arial" w:hint="default"/>
      </w:rPr>
    </w:lvl>
    <w:lvl w:ilvl="2" w:tplc="B824AEAC" w:tentative="1">
      <w:start w:val="1"/>
      <w:numFmt w:val="bullet"/>
      <w:lvlText w:val="•"/>
      <w:lvlJc w:val="left"/>
      <w:pPr>
        <w:tabs>
          <w:tab w:val="num" w:pos="1800"/>
        </w:tabs>
        <w:ind w:left="1800" w:hanging="360"/>
      </w:pPr>
      <w:rPr>
        <w:rFonts w:ascii="Arial" w:hAnsi="Arial" w:hint="default"/>
      </w:rPr>
    </w:lvl>
    <w:lvl w:ilvl="3" w:tplc="B1A4611A" w:tentative="1">
      <w:start w:val="1"/>
      <w:numFmt w:val="bullet"/>
      <w:lvlText w:val="•"/>
      <w:lvlJc w:val="left"/>
      <w:pPr>
        <w:tabs>
          <w:tab w:val="num" w:pos="2520"/>
        </w:tabs>
        <w:ind w:left="2520" w:hanging="360"/>
      </w:pPr>
      <w:rPr>
        <w:rFonts w:ascii="Arial" w:hAnsi="Arial" w:hint="default"/>
      </w:rPr>
    </w:lvl>
    <w:lvl w:ilvl="4" w:tplc="8E62E0FC" w:tentative="1">
      <w:start w:val="1"/>
      <w:numFmt w:val="bullet"/>
      <w:lvlText w:val="•"/>
      <w:lvlJc w:val="left"/>
      <w:pPr>
        <w:tabs>
          <w:tab w:val="num" w:pos="3240"/>
        </w:tabs>
        <w:ind w:left="3240" w:hanging="360"/>
      </w:pPr>
      <w:rPr>
        <w:rFonts w:ascii="Arial" w:hAnsi="Arial" w:hint="default"/>
      </w:rPr>
    </w:lvl>
    <w:lvl w:ilvl="5" w:tplc="E98ADB84" w:tentative="1">
      <w:start w:val="1"/>
      <w:numFmt w:val="bullet"/>
      <w:lvlText w:val="•"/>
      <w:lvlJc w:val="left"/>
      <w:pPr>
        <w:tabs>
          <w:tab w:val="num" w:pos="3960"/>
        </w:tabs>
        <w:ind w:left="3960" w:hanging="360"/>
      </w:pPr>
      <w:rPr>
        <w:rFonts w:ascii="Arial" w:hAnsi="Arial" w:hint="default"/>
      </w:rPr>
    </w:lvl>
    <w:lvl w:ilvl="6" w:tplc="00900A3E" w:tentative="1">
      <w:start w:val="1"/>
      <w:numFmt w:val="bullet"/>
      <w:lvlText w:val="•"/>
      <w:lvlJc w:val="left"/>
      <w:pPr>
        <w:tabs>
          <w:tab w:val="num" w:pos="4680"/>
        </w:tabs>
        <w:ind w:left="4680" w:hanging="360"/>
      </w:pPr>
      <w:rPr>
        <w:rFonts w:ascii="Arial" w:hAnsi="Arial" w:hint="default"/>
      </w:rPr>
    </w:lvl>
    <w:lvl w:ilvl="7" w:tplc="62CC9E9E" w:tentative="1">
      <w:start w:val="1"/>
      <w:numFmt w:val="bullet"/>
      <w:lvlText w:val="•"/>
      <w:lvlJc w:val="left"/>
      <w:pPr>
        <w:tabs>
          <w:tab w:val="num" w:pos="5400"/>
        </w:tabs>
        <w:ind w:left="5400" w:hanging="360"/>
      </w:pPr>
      <w:rPr>
        <w:rFonts w:ascii="Arial" w:hAnsi="Arial" w:hint="default"/>
      </w:rPr>
    </w:lvl>
    <w:lvl w:ilvl="8" w:tplc="C4F812D0" w:tentative="1">
      <w:start w:val="1"/>
      <w:numFmt w:val="bullet"/>
      <w:lvlText w:val="•"/>
      <w:lvlJc w:val="left"/>
      <w:pPr>
        <w:tabs>
          <w:tab w:val="num" w:pos="6120"/>
        </w:tabs>
        <w:ind w:left="6120" w:hanging="360"/>
      </w:pPr>
      <w:rPr>
        <w:rFonts w:ascii="Arial" w:hAnsi="Arial" w:hint="default"/>
      </w:rPr>
    </w:lvl>
  </w:abstractNum>
  <w:abstractNum w:abstractNumId="128" w15:restartNumberingAfterBreak="0">
    <w:nsid w:val="79E75D4F"/>
    <w:multiLevelType w:val="hybridMultilevel"/>
    <w:tmpl w:val="E0BE9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A666C0E"/>
    <w:multiLevelType w:val="hybridMultilevel"/>
    <w:tmpl w:val="68804F52"/>
    <w:lvl w:ilvl="0" w:tplc="8B3E6384">
      <w:start w:val="1"/>
      <w:numFmt w:val="bullet"/>
      <w:lvlText w:val="•"/>
      <w:lvlJc w:val="left"/>
      <w:pPr>
        <w:tabs>
          <w:tab w:val="num" w:pos="720"/>
        </w:tabs>
        <w:ind w:left="720" w:hanging="360"/>
      </w:pPr>
      <w:rPr>
        <w:rFonts w:ascii="Arial" w:hAnsi="Arial" w:hint="default"/>
      </w:rPr>
    </w:lvl>
    <w:lvl w:ilvl="1" w:tplc="2B802EB6" w:tentative="1">
      <w:start w:val="1"/>
      <w:numFmt w:val="bullet"/>
      <w:lvlText w:val="•"/>
      <w:lvlJc w:val="left"/>
      <w:pPr>
        <w:tabs>
          <w:tab w:val="num" w:pos="1440"/>
        </w:tabs>
        <w:ind w:left="1440" w:hanging="360"/>
      </w:pPr>
      <w:rPr>
        <w:rFonts w:ascii="Arial" w:hAnsi="Arial" w:hint="default"/>
      </w:rPr>
    </w:lvl>
    <w:lvl w:ilvl="2" w:tplc="5CEC54FE">
      <w:start w:val="1"/>
      <w:numFmt w:val="bullet"/>
      <w:lvlText w:val="•"/>
      <w:lvlJc w:val="left"/>
      <w:pPr>
        <w:tabs>
          <w:tab w:val="num" w:pos="2160"/>
        </w:tabs>
        <w:ind w:left="2160" w:hanging="360"/>
      </w:pPr>
      <w:rPr>
        <w:rFonts w:ascii="Arial" w:hAnsi="Arial" w:hint="default"/>
      </w:rPr>
    </w:lvl>
    <w:lvl w:ilvl="3" w:tplc="F32A42D2" w:tentative="1">
      <w:start w:val="1"/>
      <w:numFmt w:val="bullet"/>
      <w:lvlText w:val="•"/>
      <w:lvlJc w:val="left"/>
      <w:pPr>
        <w:tabs>
          <w:tab w:val="num" w:pos="2880"/>
        </w:tabs>
        <w:ind w:left="2880" w:hanging="360"/>
      </w:pPr>
      <w:rPr>
        <w:rFonts w:ascii="Arial" w:hAnsi="Arial" w:hint="default"/>
      </w:rPr>
    </w:lvl>
    <w:lvl w:ilvl="4" w:tplc="C0481494" w:tentative="1">
      <w:start w:val="1"/>
      <w:numFmt w:val="bullet"/>
      <w:lvlText w:val="•"/>
      <w:lvlJc w:val="left"/>
      <w:pPr>
        <w:tabs>
          <w:tab w:val="num" w:pos="3600"/>
        </w:tabs>
        <w:ind w:left="3600" w:hanging="360"/>
      </w:pPr>
      <w:rPr>
        <w:rFonts w:ascii="Arial" w:hAnsi="Arial" w:hint="default"/>
      </w:rPr>
    </w:lvl>
    <w:lvl w:ilvl="5" w:tplc="B1405C46" w:tentative="1">
      <w:start w:val="1"/>
      <w:numFmt w:val="bullet"/>
      <w:lvlText w:val="•"/>
      <w:lvlJc w:val="left"/>
      <w:pPr>
        <w:tabs>
          <w:tab w:val="num" w:pos="4320"/>
        </w:tabs>
        <w:ind w:left="4320" w:hanging="360"/>
      </w:pPr>
      <w:rPr>
        <w:rFonts w:ascii="Arial" w:hAnsi="Arial" w:hint="default"/>
      </w:rPr>
    </w:lvl>
    <w:lvl w:ilvl="6" w:tplc="42C86204" w:tentative="1">
      <w:start w:val="1"/>
      <w:numFmt w:val="bullet"/>
      <w:lvlText w:val="•"/>
      <w:lvlJc w:val="left"/>
      <w:pPr>
        <w:tabs>
          <w:tab w:val="num" w:pos="5040"/>
        </w:tabs>
        <w:ind w:left="5040" w:hanging="360"/>
      </w:pPr>
      <w:rPr>
        <w:rFonts w:ascii="Arial" w:hAnsi="Arial" w:hint="default"/>
      </w:rPr>
    </w:lvl>
    <w:lvl w:ilvl="7" w:tplc="9A2E7268" w:tentative="1">
      <w:start w:val="1"/>
      <w:numFmt w:val="bullet"/>
      <w:lvlText w:val="•"/>
      <w:lvlJc w:val="left"/>
      <w:pPr>
        <w:tabs>
          <w:tab w:val="num" w:pos="5760"/>
        </w:tabs>
        <w:ind w:left="5760" w:hanging="360"/>
      </w:pPr>
      <w:rPr>
        <w:rFonts w:ascii="Arial" w:hAnsi="Arial" w:hint="default"/>
      </w:rPr>
    </w:lvl>
    <w:lvl w:ilvl="8" w:tplc="5AE6C44E" w:tentative="1">
      <w:start w:val="1"/>
      <w:numFmt w:val="bullet"/>
      <w:lvlText w:val="•"/>
      <w:lvlJc w:val="left"/>
      <w:pPr>
        <w:tabs>
          <w:tab w:val="num" w:pos="6480"/>
        </w:tabs>
        <w:ind w:left="6480" w:hanging="360"/>
      </w:pPr>
      <w:rPr>
        <w:rFonts w:ascii="Arial" w:hAnsi="Arial" w:hint="default"/>
      </w:rPr>
    </w:lvl>
  </w:abstractNum>
  <w:abstractNum w:abstractNumId="130" w15:restartNumberingAfterBreak="0">
    <w:nsid w:val="7C6D39FB"/>
    <w:multiLevelType w:val="multilevel"/>
    <w:tmpl w:val="96EEA30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1" w15:restartNumberingAfterBreak="0">
    <w:nsid w:val="7D516A7A"/>
    <w:multiLevelType w:val="hybridMultilevel"/>
    <w:tmpl w:val="10D65280"/>
    <w:lvl w:ilvl="0" w:tplc="87D8E904">
      <w:start w:val="1"/>
      <w:numFmt w:val="bullet"/>
      <w:lvlText w:val="•"/>
      <w:lvlJc w:val="left"/>
      <w:pPr>
        <w:tabs>
          <w:tab w:val="num" w:pos="720"/>
        </w:tabs>
        <w:ind w:left="720" w:hanging="360"/>
      </w:pPr>
      <w:rPr>
        <w:rFonts w:ascii="Arial" w:hAnsi="Arial" w:hint="default"/>
      </w:rPr>
    </w:lvl>
    <w:lvl w:ilvl="1" w:tplc="CE02C3BA" w:tentative="1">
      <w:start w:val="1"/>
      <w:numFmt w:val="bullet"/>
      <w:lvlText w:val="•"/>
      <w:lvlJc w:val="left"/>
      <w:pPr>
        <w:tabs>
          <w:tab w:val="num" w:pos="1440"/>
        </w:tabs>
        <w:ind w:left="1440" w:hanging="360"/>
      </w:pPr>
      <w:rPr>
        <w:rFonts w:ascii="Arial" w:hAnsi="Arial" w:hint="default"/>
      </w:rPr>
    </w:lvl>
    <w:lvl w:ilvl="2" w:tplc="6480E86A" w:tentative="1">
      <w:start w:val="1"/>
      <w:numFmt w:val="bullet"/>
      <w:lvlText w:val="•"/>
      <w:lvlJc w:val="left"/>
      <w:pPr>
        <w:tabs>
          <w:tab w:val="num" w:pos="2160"/>
        </w:tabs>
        <w:ind w:left="2160" w:hanging="360"/>
      </w:pPr>
      <w:rPr>
        <w:rFonts w:ascii="Arial" w:hAnsi="Arial" w:hint="default"/>
      </w:rPr>
    </w:lvl>
    <w:lvl w:ilvl="3" w:tplc="C7DE34E2" w:tentative="1">
      <w:start w:val="1"/>
      <w:numFmt w:val="bullet"/>
      <w:lvlText w:val="•"/>
      <w:lvlJc w:val="left"/>
      <w:pPr>
        <w:tabs>
          <w:tab w:val="num" w:pos="2880"/>
        </w:tabs>
        <w:ind w:left="2880" w:hanging="360"/>
      </w:pPr>
      <w:rPr>
        <w:rFonts w:ascii="Arial" w:hAnsi="Arial" w:hint="default"/>
      </w:rPr>
    </w:lvl>
    <w:lvl w:ilvl="4" w:tplc="1F289A66" w:tentative="1">
      <w:start w:val="1"/>
      <w:numFmt w:val="bullet"/>
      <w:lvlText w:val="•"/>
      <w:lvlJc w:val="left"/>
      <w:pPr>
        <w:tabs>
          <w:tab w:val="num" w:pos="3600"/>
        </w:tabs>
        <w:ind w:left="3600" w:hanging="360"/>
      </w:pPr>
      <w:rPr>
        <w:rFonts w:ascii="Arial" w:hAnsi="Arial" w:hint="default"/>
      </w:rPr>
    </w:lvl>
    <w:lvl w:ilvl="5" w:tplc="A27C1DE6" w:tentative="1">
      <w:start w:val="1"/>
      <w:numFmt w:val="bullet"/>
      <w:lvlText w:val="•"/>
      <w:lvlJc w:val="left"/>
      <w:pPr>
        <w:tabs>
          <w:tab w:val="num" w:pos="4320"/>
        </w:tabs>
        <w:ind w:left="4320" w:hanging="360"/>
      </w:pPr>
      <w:rPr>
        <w:rFonts w:ascii="Arial" w:hAnsi="Arial" w:hint="default"/>
      </w:rPr>
    </w:lvl>
    <w:lvl w:ilvl="6" w:tplc="5084380E" w:tentative="1">
      <w:start w:val="1"/>
      <w:numFmt w:val="bullet"/>
      <w:lvlText w:val="•"/>
      <w:lvlJc w:val="left"/>
      <w:pPr>
        <w:tabs>
          <w:tab w:val="num" w:pos="5040"/>
        </w:tabs>
        <w:ind w:left="5040" w:hanging="360"/>
      </w:pPr>
      <w:rPr>
        <w:rFonts w:ascii="Arial" w:hAnsi="Arial" w:hint="default"/>
      </w:rPr>
    </w:lvl>
    <w:lvl w:ilvl="7" w:tplc="E09A265C" w:tentative="1">
      <w:start w:val="1"/>
      <w:numFmt w:val="bullet"/>
      <w:lvlText w:val="•"/>
      <w:lvlJc w:val="left"/>
      <w:pPr>
        <w:tabs>
          <w:tab w:val="num" w:pos="5760"/>
        </w:tabs>
        <w:ind w:left="5760" w:hanging="360"/>
      </w:pPr>
      <w:rPr>
        <w:rFonts w:ascii="Arial" w:hAnsi="Arial" w:hint="default"/>
      </w:rPr>
    </w:lvl>
    <w:lvl w:ilvl="8" w:tplc="E88243A2" w:tentative="1">
      <w:start w:val="1"/>
      <w:numFmt w:val="bullet"/>
      <w:lvlText w:val="•"/>
      <w:lvlJc w:val="left"/>
      <w:pPr>
        <w:tabs>
          <w:tab w:val="num" w:pos="6480"/>
        </w:tabs>
        <w:ind w:left="6480" w:hanging="360"/>
      </w:pPr>
      <w:rPr>
        <w:rFonts w:ascii="Arial" w:hAnsi="Arial" w:hint="default"/>
      </w:rPr>
    </w:lvl>
  </w:abstractNum>
  <w:abstractNum w:abstractNumId="132" w15:restartNumberingAfterBreak="0">
    <w:nsid w:val="7F216802"/>
    <w:multiLevelType w:val="hybridMultilevel"/>
    <w:tmpl w:val="C4381E0E"/>
    <w:lvl w:ilvl="0" w:tplc="64EE5C92">
      <w:start w:val="1"/>
      <w:numFmt w:val="bullet"/>
      <w:lvlText w:val="•"/>
      <w:lvlJc w:val="left"/>
      <w:pPr>
        <w:tabs>
          <w:tab w:val="num" w:pos="720"/>
        </w:tabs>
        <w:ind w:left="720" w:hanging="360"/>
      </w:pPr>
      <w:rPr>
        <w:rFonts w:ascii="Arial" w:hAnsi="Arial" w:hint="default"/>
      </w:rPr>
    </w:lvl>
    <w:lvl w:ilvl="1" w:tplc="DBC6DE1C" w:tentative="1">
      <w:start w:val="1"/>
      <w:numFmt w:val="bullet"/>
      <w:lvlText w:val="•"/>
      <w:lvlJc w:val="left"/>
      <w:pPr>
        <w:tabs>
          <w:tab w:val="num" w:pos="1440"/>
        </w:tabs>
        <w:ind w:left="1440" w:hanging="360"/>
      </w:pPr>
      <w:rPr>
        <w:rFonts w:ascii="Arial" w:hAnsi="Arial" w:hint="default"/>
      </w:rPr>
    </w:lvl>
    <w:lvl w:ilvl="2" w:tplc="80BE80EA">
      <w:start w:val="1"/>
      <w:numFmt w:val="bullet"/>
      <w:lvlText w:val="•"/>
      <w:lvlJc w:val="left"/>
      <w:pPr>
        <w:tabs>
          <w:tab w:val="num" w:pos="2160"/>
        </w:tabs>
        <w:ind w:left="2160" w:hanging="360"/>
      </w:pPr>
      <w:rPr>
        <w:rFonts w:ascii="Arial" w:hAnsi="Arial" w:hint="default"/>
      </w:rPr>
    </w:lvl>
    <w:lvl w:ilvl="3" w:tplc="130C0CB8" w:tentative="1">
      <w:start w:val="1"/>
      <w:numFmt w:val="bullet"/>
      <w:lvlText w:val="•"/>
      <w:lvlJc w:val="left"/>
      <w:pPr>
        <w:tabs>
          <w:tab w:val="num" w:pos="2880"/>
        </w:tabs>
        <w:ind w:left="2880" w:hanging="360"/>
      </w:pPr>
      <w:rPr>
        <w:rFonts w:ascii="Arial" w:hAnsi="Arial" w:hint="default"/>
      </w:rPr>
    </w:lvl>
    <w:lvl w:ilvl="4" w:tplc="60087852" w:tentative="1">
      <w:start w:val="1"/>
      <w:numFmt w:val="bullet"/>
      <w:lvlText w:val="•"/>
      <w:lvlJc w:val="left"/>
      <w:pPr>
        <w:tabs>
          <w:tab w:val="num" w:pos="3600"/>
        </w:tabs>
        <w:ind w:left="3600" w:hanging="360"/>
      </w:pPr>
      <w:rPr>
        <w:rFonts w:ascii="Arial" w:hAnsi="Arial" w:hint="default"/>
      </w:rPr>
    </w:lvl>
    <w:lvl w:ilvl="5" w:tplc="758C1BB4" w:tentative="1">
      <w:start w:val="1"/>
      <w:numFmt w:val="bullet"/>
      <w:lvlText w:val="•"/>
      <w:lvlJc w:val="left"/>
      <w:pPr>
        <w:tabs>
          <w:tab w:val="num" w:pos="4320"/>
        </w:tabs>
        <w:ind w:left="4320" w:hanging="360"/>
      </w:pPr>
      <w:rPr>
        <w:rFonts w:ascii="Arial" w:hAnsi="Arial" w:hint="default"/>
      </w:rPr>
    </w:lvl>
    <w:lvl w:ilvl="6" w:tplc="084218D4" w:tentative="1">
      <w:start w:val="1"/>
      <w:numFmt w:val="bullet"/>
      <w:lvlText w:val="•"/>
      <w:lvlJc w:val="left"/>
      <w:pPr>
        <w:tabs>
          <w:tab w:val="num" w:pos="5040"/>
        </w:tabs>
        <w:ind w:left="5040" w:hanging="360"/>
      </w:pPr>
      <w:rPr>
        <w:rFonts w:ascii="Arial" w:hAnsi="Arial" w:hint="default"/>
      </w:rPr>
    </w:lvl>
    <w:lvl w:ilvl="7" w:tplc="D8142E7A" w:tentative="1">
      <w:start w:val="1"/>
      <w:numFmt w:val="bullet"/>
      <w:lvlText w:val="•"/>
      <w:lvlJc w:val="left"/>
      <w:pPr>
        <w:tabs>
          <w:tab w:val="num" w:pos="5760"/>
        </w:tabs>
        <w:ind w:left="5760" w:hanging="360"/>
      </w:pPr>
      <w:rPr>
        <w:rFonts w:ascii="Arial" w:hAnsi="Arial" w:hint="default"/>
      </w:rPr>
    </w:lvl>
    <w:lvl w:ilvl="8" w:tplc="66424A18" w:tentative="1">
      <w:start w:val="1"/>
      <w:numFmt w:val="bullet"/>
      <w:lvlText w:val="•"/>
      <w:lvlJc w:val="left"/>
      <w:pPr>
        <w:tabs>
          <w:tab w:val="num" w:pos="6480"/>
        </w:tabs>
        <w:ind w:left="6480" w:hanging="360"/>
      </w:pPr>
      <w:rPr>
        <w:rFonts w:ascii="Arial" w:hAnsi="Arial" w:hint="default"/>
      </w:rPr>
    </w:lvl>
  </w:abstractNum>
  <w:num w:numId="1" w16cid:durableId="1652831486">
    <w:abstractNumId w:val="0"/>
  </w:num>
  <w:num w:numId="2" w16cid:durableId="39715020">
    <w:abstractNumId w:val="1"/>
  </w:num>
  <w:num w:numId="3" w16cid:durableId="139730556">
    <w:abstractNumId w:val="3"/>
  </w:num>
  <w:num w:numId="4" w16cid:durableId="20712120">
    <w:abstractNumId w:val="41"/>
  </w:num>
  <w:num w:numId="5" w16cid:durableId="1692995537">
    <w:abstractNumId w:val="20"/>
  </w:num>
  <w:num w:numId="6" w16cid:durableId="681737212">
    <w:abstractNumId w:val="9"/>
  </w:num>
  <w:num w:numId="7" w16cid:durableId="1339963368">
    <w:abstractNumId w:val="125"/>
  </w:num>
  <w:num w:numId="8" w16cid:durableId="1700735400">
    <w:abstractNumId w:val="18"/>
  </w:num>
  <w:num w:numId="9" w16cid:durableId="814105309">
    <w:abstractNumId w:val="18"/>
  </w:num>
  <w:num w:numId="10" w16cid:durableId="908006408">
    <w:abstractNumId w:val="7"/>
  </w:num>
  <w:num w:numId="11" w16cid:durableId="336855272">
    <w:abstractNumId w:val="42"/>
  </w:num>
  <w:num w:numId="12" w16cid:durableId="819619367">
    <w:abstractNumId w:val="81"/>
  </w:num>
  <w:num w:numId="13" w16cid:durableId="214044920">
    <w:abstractNumId w:val="80"/>
  </w:num>
  <w:num w:numId="14" w16cid:durableId="264966661">
    <w:abstractNumId w:val="75"/>
  </w:num>
  <w:num w:numId="15" w16cid:durableId="1341271851">
    <w:abstractNumId w:val="51"/>
  </w:num>
  <w:num w:numId="16" w16cid:durableId="815993542">
    <w:abstractNumId w:val="81"/>
    <w:lvlOverride w:ilvl="0">
      <w:startOverride w:val="1"/>
    </w:lvlOverride>
  </w:num>
  <w:num w:numId="17" w16cid:durableId="1802309530">
    <w:abstractNumId w:val="81"/>
    <w:lvlOverride w:ilvl="0">
      <w:startOverride w:val="1"/>
    </w:lvlOverride>
  </w:num>
  <w:num w:numId="18" w16cid:durableId="1041706587">
    <w:abstractNumId w:val="6"/>
  </w:num>
  <w:num w:numId="19" w16cid:durableId="2067607844">
    <w:abstractNumId w:val="2"/>
  </w:num>
  <w:num w:numId="20" w16cid:durableId="1850103051">
    <w:abstractNumId w:val="30"/>
  </w:num>
  <w:num w:numId="21" w16cid:durableId="2123919923">
    <w:abstractNumId w:val="2"/>
    <w:lvlOverride w:ilvl="0">
      <w:startOverride w:val="1"/>
    </w:lvlOverride>
  </w:num>
  <w:num w:numId="22" w16cid:durableId="401490551">
    <w:abstractNumId w:val="2"/>
    <w:lvlOverride w:ilvl="0">
      <w:startOverride w:val="1"/>
    </w:lvlOverride>
  </w:num>
  <w:num w:numId="23" w16cid:durableId="2027972874">
    <w:abstractNumId w:val="2"/>
    <w:lvlOverride w:ilvl="0">
      <w:startOverride w:val="1"/>
    </w:lvlOverride>
  </w:num>
  <w:num w:numId="24" w16cid:durableId="1777090226">
    <w:abstractNumId w:val="2"/>
    <w:lvlOverride w:ilvl="0">
      <w:startOverride w:val="1"/>
    </w:lvlOverride>
  </w:num>
  <w:num w:numId="25" w16cid:durableId="1388802470">
    <w:abstractNumId w:val="87"/>
  </w:num>
  <w:num w:numId="26" w16cid:durableId="1015690719">
    <w:abstractNumId w:val="2"/>
    <w:lvlOverride w:ilvl="0">
      <w:startOverride w:val="1"/>
    </w:lvlOverride>
  </w:num>
  <w:num w:numId="27" w16cid:durableId="1313951251">
    <w:abstractNumId w:val="2"/>
    <w:lvlOverride w:ilvl="0">
      <w:startOverride w:val="1"/>
    </w:lvlOverride>
  </w:num>
  <w:num w:numId="28" w16cid:durableId="881789364">
    <w:abstractNumId w:val="2"/>
    <w:lvlOverride w:ilvl="0">
      <w:startOverride w:val="1"/>
    </w:lvlOverride>
  </w:num>
  <w:num w:numId="29" w16cid:durableId="266159901">
    <w:abstractNumId w:val="2"/>
    <w:lvlOverride w:ilvl="0">
      <w:startOverride w:val="1"/>
    </w:lvlOverride>
  </w:num>
  <w:num w:numId="30" w16cid:durableId="1955866769">
    <w:abstractNumId w:val="2"/>
    <w:lvlOverride w:ilvl="0">
      <w:startOverride w:val="1"/>
    </w:lvlOverride>
  </w:num>
  <w:num w:numId="31" w16cid:durableId="1919899407">
    <w:abstractNumId w:val="2"/>
    <w:lvlOverride w:ilvl="0">
      <w:startOverride w:val="1"/>
    </w:lvlOverride>
  </w:num>
  <w:num w:numId="32" w16cid:durableId="1042289120">
    <w:abstractNumId w:val="2"/>
    <w:lvlOverride w:ilvl="0">
      <w:startOverride w:val="1"/>
    </w:lvlOverride>
  </w:num>
  <w:num w:numId="33" w16cid:durableId="1062751057">
    <w:abstractNumId w:val="2"/>
    <w:lvlOverride w:ilvl="0">
      <w:startOverride w:val="1"/>
    </w:lvlOverride>
  </w:num>
  <w:num w:numId="34" w16cid:durableId="1577058526">
    <w:abstractNumId w:val="2"/>
    <w:lvlOverride w:ilvl="0">
      <w:startOverride w:val="1"/>
    </w:lvlOverride>
  </w:num>
  <w:num w:numId="35" w16cid:durableId="261838826">
    <w:abstractNumId w:val="2"/>
    <w:lvlOverride w:ilvl="0">
      <w:startOverride w:val="1"/>
    </w:lvlOverride>
  </w:num>
  <w:num w:numId="36" w16cid:durableId="804853743">
    <w:abstractNumId w:val="72"/>
    <w:lvlOverride w:ilvl="0">
      <w:startOverride w:val="1"/>
    </w:lvlOverride>
  </w:num>
  <w:num w:numId="37" w16cid:durableId="61294368">
    <w:abstractNumId w:val="115"/>
  </w:num>
  <w:num w:numId="38" w16cid:durableId="687877979">
    <w:abstractNumId w:val="2"/>
    <w:lvlOverride w:ilvl="0">
      <w:startOverride w:val="1"/>
    </w:lvlOverride>
  </w:num>
  <w:num w:numId="39" w16cid:durableId="1816215660">
    <w:abstractNumId w:val="2"/>
    <w:lvlOverride w:ilvl="0">
      <w:startOverride w:val="1"/>
    </w:lvlOverride>
  </w:num>
  <w:num w:numId="40" w16cid:durableId="825130017">
    <w:abstractNumId w:val="2"/>
    <w:lvlOverride w:ilvl="0">
      <w:startOverride w:val="1"/>
    </w:lvlOverride>
  </w:num>
  <w:num w:numId="41" w16cid:durableId="89354609">
    <w:abstractNumId w:val="2"/>
    <w:lvlOverride w:ilvl="0">
      <w:startOverride w:val="1"/>
    </w:lvlOverride>
  </w:num>
  <w:num w:numId="42" w16cid:durableId="388654793">
    <w:abstractNumId w:val="128"/>
  </w:num>
  <w:num w:numId="43" w16cid:durableId="1607034691">
    <w:abstractNumId w:val="91"/>
  </w:num>
  <w:num w:numId="44" w16cid:durableId="231818486">
    <w:abstractNumId w:val="114"/>
  </w:num>
  <w:num w:numId="45" w16cid:durableId="2119330519">
    <w:abstractNumId w:val="13"/>
  </w:num>
  <w:num w:numId="46" w16cid:durableId="531114073">
    <w:abstractNumId w:val="40"/>
  </w:num>
  <w:num w:numId="47" w16cid:durableId="1001392332">
    <w:abstractNumId w:val="44"/>
  </w:num>
  <w:num w:numId="48" w16cid:durableId="84771360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459758597">
    <w:abstractNumId w:val="92"/>
  </w:num>
  <w:num w:numId="50" w16cid:durableId="1097404905">
    <w:abstractNumId w:val="73"/>
  </w:num>
  <w:num w:numId="51" w16cid:durableId="1298535693">
    <w:abstractNumId w:val="86"/>
  </w:num>
  <w:num w:numId="52" w16cid:durableId="1070500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724866560">
    <w:abstractNumId w:val="48"/>
  </w:num>
  <w:num w:numId="54" w16cid:durableId="19296573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954553627">
    <w:abstractNumId w:val="5"/>
  </w:num>
  <w:num w:numId="56" w16cid:durableId="1673948361">
    <w:abstractNumId w:val="55"/>
  </w:num>
  <w:num w:numId="57" w16cid:durableId="43647533">
    <w:abstractNumId w:val="55"/>
    <w:lvlOverride w:ilvl="0">
      <w:startOverride w:val="1"/>
    </w:lvlOverride>
  </w:num>
  <w:num w:numId="58" w16cid:durableId="1861165771">
    <w:abstractNumId w:val="55"/>
    <w:lvlOverride w:ilvl="0">
      <w:startOverride w:val="1"/>
    </w:lvlOverride>
  </w:num>
  <w:num w:numId="59" w16cid:durableId="1340503738">
    <w:abstractNumId w:val="55"/>
    <w:lvlOverride w:ilvl="0">
      <w:startOverride w:val="1"/>
    </w:lvlOverride>
  </w:num>
  <w:num w:numId="60" w16cid:durableId="1127964742">
    <w:abstractNumId w:val="38"/>
  </w:num>
  <w:num w:numId="61" w16cid:durableId="931399437">
    <w:abstractNumId w:val="32"/>
  </w:num>
  <w:num w:numId="62" w16cid:durableId="1137146281">
    <w:abstractNumId w:val="54"/>
  </w:num>
  <w:num w:numId="63" w16cid:durableId="1435591063">
    <w:abstractNumId w:val="96"/>
  </w:num>
  <w:num w:numId="64" w16cid:durableId="683946897">
    <w:abstractNumId w:val="122"/>
  </w:num>
  <w:num w:numId="65" w16cid:durableId="1017468498">
    <w:abstractNumId w:val="93"/>
  </w:num>
  <w:num w:numId="66" w16cid:durableId="1649552937">
    <w:abstractNumId w:val="21"/>
  </w:num>
  <w:num w:numId="67" w16cid:durableId="424617493">
    <w:abstractNumId w:val="2"/>
    <w:lvlOverride w:ilvl="0">
      <w:startOverride w:val="1"/>
    </w:lvlOverride>
  </w:num>
  <w:num w:numId="68" w16cid:durableId="330448828">
    <w:abstractNumId w:val="2"/>
    <w:lvlOverride w:ilvl="0">
      <w:startOverride w:val="1"/>
    </w:lvlOverride>
  </w:num>
  <w:num w:numId="69" w16cid:durableId="1146775149">
    <w:abstractNumId w:val="63"/>
  </w:num>
  <w:num w:numId="70" w16cid:durableId="1286037986">
    <w:abstractNumId w:val="63"/>
    <w:lvlOverride w:ilvl="0">
      <w:startOverride w:val="1"/>
    </w:lvlOverride>
  </w:num>
  <w:num w:numId="71" w16cid:durableId="2008484111">
    <w:abstractNumId w:val="63"/>
    <w:lvlOverride w:ilvl="0">
      <w:startOverride w:val="1"/>
    </w:lvlOverride>
  </w:num>
  <w:num w:numId="72" w16cid:durableId="1311865019">
    <w:abstractNumId w:val="120"/>
  </w:num>
  <w:num w:numId="73" w16cid:durableId="1235819481">
    <w:abstractNumId w:val="63"/>
    <w:lvlOverride w:ilvl="0">
      <w:startOverride w:val="1"/>
    </w:lvlOverride>
  </w:num>
  <w:num w:numId="74" w16cid:durableId="700017062">
    <w:abstractNumId w:val="83"/>
  </w:num>
  <w:num w:numId="75" w16cid:durableId="1908421403">
    <w:abstractNumId w:val="63"/>
    <w:lvlOverride w:ilvl="0">
      <w:startOverride w:val="1"/>
    </w:lvlOverride>
  </w:num>
  <w:num w:numId="76" w16cid:durableId="424422919">
    <w:abstractNumId w:val="63"/>
    <w:lvlOverride w:ilvl="0">
      <w:startOverride w:val="1"/>
    </w:lvlOverride>
  </w:num>
  <w:num w:numId="77" w16cid:durableId="343092702">
    <w:abstractNumId w:val="130"/>
  </w:num>
  <w:num w:numId="78" w16cid:durableId="578102351">
    <w:abstractNumId w:val="63"/>
    <w:lvlOverride w:ilvl="0">
      <w:startOverride w:val="1"/>
    </w:lvlOverride>
  </w:num>
  <w:num w:numId="79" w16cid:durableId="667752235">
    <w:abstractNumId w:val="23"/>
  </w:num>
  <w:num w:numId="80" w16cid:durableId="1908802334">
    <w:abstractNumId w:val="117"/>
  </w:num>
  <w:num w:numId="81" w16cid:durableId="1186869003">
    <w:abstractNumId w:val="121"/>
  </w:num>
  <w:num w:numId="82" w16cid:durableId="74594135">
    <w:abstractNumId w:val="28"/>
  </w:num>
  <w:num w:numId="83" w16cid:durableId="1211072313">
    <w:abstractNumId w:val="118"/>
  </w:num>
  <w:num w:numId="84" w16cid:durableId="2074889085">
    <w:abstractNumId w:val="111"/>
  </w:num>
  <w:num w:numId="85" w16cid:durableId="1140341454">
    <w:abstractNumId w:val="43"/>
  </w:num>
  <w:num w:numId="86" w16cid:durableId="864289202">
    <w:abstractNumId w:val="108"/>
  </w:num>
  <w:num w:numId="87" w16cid:durableId="985628580">
    <w:abstractNumId w:val="62"/>
  </w:num>
  <w:num w:numId="88" w16cid:durableId="1841239934">
    <w:abstractNumId w:val="34"/>
  </w:num>
  <w:num w:numId="89" w16cid:durableId="2097745454">
    <w:abstractNumId w:val="74"/>
  </w:num>
  <w:num w:numId="90" w16cid:durableId="1062174642">
    <w:abstractNumId w:val="37"/>
  </w:num>
  <w:num w:numId="91" w16cid:durableId="926351922">
    <w:abstractNumId w:val="100"/>
  </w:num>
  <w:num w:numId="92" w16cid:durableId="1649554281">
    <w:abstractNumId w:val="107"/>
  </w:num>
  <w:num w:numId="93" w16cid:durableId="871302035">
    <w:abstractNumId w:val="104"/>
  </w:num>
  <w:num w:numId="94" w16cid:durableId="1371758131">
    <w:abstractNumId w:val="50"/>
  </w:num>
  <w:num w:numId="95" w16cid:durableId="411515564">
    <w:abstractNumId w:val="52"/>
  </w:num>
  <w:num w:numId="96" w16cid:durableId="1872912588">
    <w:abstractNumId w:val="89"/>
  </w:num>
  <w:num w:numId="97" w16cid:durableId="1292395254">
    <w:abstractNumId w:val="57"/>
  </w:num>
  <w:num w:numId="98" w16cid:durableId="1019088147">
    <w:abstractNumId w:val="112"/>
  </w:num>
  <w:num w:numId="99" w16cid:durableId="1191141451">
    <w:abstractNumId w:val="65"/>
  </w:num>
  <w:num w:numId="100" w16cid:durableId="1546284733">
    <w:abstractNumId w:val="11"/>
  </w:num>
  <w:num w:numId="101" w16cid:durableId="165558017">
    <w:abstractNumId w:val="14"/>
  </w:num>
  <w:num w:numId="102" w16cid:durableId="1507360617">
    <w:abstractNumId w:val="82"/>
  </w:num>
  <w:num w:numId="103" w16cid:durableId="796794741">
    <w:abstractNumId w:val="59"/>
  </w:num>
  <w:num w:numId="104" w16cid:durableId="91900694">
    <w:abstractNumId w:val="85"/>
  </w:num>
  <w:num w:numId="105" w16cid:durableId="2077701247">
    <w:abstractNumId w:val="35"/>
  </w:num>
  <w:num w:numId="106" w16cid:durableId="1054501825">
    <w:abstractNumId w:val="22"/>
  </w:num>
  <w:num w:numId="107" w16cid:durableId="1281572151">
    <w:abstractNumId w:val="61"/>
  </w:num>
  <w:num w:numId="108" w16cid:durableId="1993366516">
    <w:abstractNumId w:val="110"/>
  </w:num>
  <w:num w:numId="109" w16cid:durableId="286202434">
    <w:abstractNumId w:val="12"/>
  </w:num>
  <w:num w:numId="110" w16cid:durableId="1354963329">
    <w:abstractNumId w:val="46"/>
  </w:num>
  <w:num w:numId="111" w16cid:durableId="1040013914">
    <w:abstractNumId w:val="63"/>
    <w:lvlOverride w:ilvl="0">
      <w:startOverride w:val="1"/>
    </w:lvlOverride>
  </w:num>
  <w:num w:numId="112" w16cid:durableId="806170100">
    <w:abstractNumId w:val="98"/>
  </w:num>
  <w:num w:numId="113" w16cid:durableId="404062191">
    <w:abstractNumId w:val="127"/>
  </w:num>
  <w:num w:numId="114" w16cid:durableId="1179923818">
    <w:abstractNumId w:val="33"/>
  </w:num>
  <w:num w:numId="115" w16cid:durableId="1790007422">
    <w:abstractNumId w:val="106"/>
  </w:num>
  <w:num w:numId="116" w16cid:durableId="328561774">
    <w:abstractNumId w:val="19"/>
  </w:num>
  <w:num w:numId="117" w16cid:durableId="1884295000">
    <w:abstractNumId w:val="17"/>
  </w:num>
  <w:num w:numId="118" w16cid:durableId="1411780084">
    <w:abstractNumId w:val="116"/>
  </w:num>
  <w:num w:numId="119" w16cid:durableId="250050326">
    <w:abstractNumId w:val="47"/>
  </w:num>
  <w:num w:numId="120" w16cid:durableId="1505826320">
    <w:abstractNumId w:val="113"/>
  </w:num>
  <w:num w:numId="121" w16cid:durableId="214583121">
    <w:abstractNumId w:val="79"/>
  </w:num>
  <w:num w:numId="122" w16cid:durableId="89470250">
    <w:abstractNumId w:val="63"/>
    <w:lvlOverride w:ilvl="0">
      <w:startOverride w:val="1"/>
    </w:lvlOverride>
  </w:num>
  <w:num w:numId="123" w16cid:durableId="1584608350">
    <w:abstractNumId w:val="63"/>
    <w:lvlOverride w:ilvl="0">
      <w:startOverride w:val="1"/>
    </w:lvlOverride>
  </w:num>
  <w:num w:numId="124" w16cid:durableId="1986615918">
    <w:abstractNumId w:val="71"/>
  </w:num>
  <w:num w:numId="125" w16cid:durableId="129593761">
    <w:abstractNumId w:val="66"/>
  </w:num>
  <w:num w:numId="126" w16cid:durableId="136118982">
    <w:abstractNumId w:val="78"/>
  </w:num>
  <w:num w:numId="127" w16cid:durableId="33389112">
    <w:abstractNumId w:val="126"/>
  </w:num>
  <w:num w:numId="128" w16cid:durableId="2066755804">
    <w:abstractNumId w:val="26"/>
  </w:num>
  <w:num w:numId="129" w16cid:durableId="602222840">
    <w:abstractNumId w:val="123"/>
  </w:num>
  <w:num w:numId="130" w16cid:durableId="1732531914">
    <w:abstractNumId w:val="94"/>
  </w:num>
  <w:num w:numId="131" w16cid:durableId="1588881613">
    <w:abstractNumId w:val="132"/>
  </w:num>
  <w:num w:numId="132" w16cid:durableId="2104954800">
    <w:abstractNumId w:val="124"/>
  </w:num>
  <w:num w:numId="133" w16cid:durableId="96682248">
    <w:abstractNumId w:val="24"/>
  </w:num>
  <w:num w:numId="134" w16cid:durableId="183179775">
    <w:abstractNumId w:val="10"/>
  </w:num>
  <w:num w:numId="135" w16cid:durableId="108625051">
    <w:abstractNumId w:val="67"/>
  </w:num>
  <w:num w:numId="136" w16cid:durableId="224219941">
    <w:abstractNumId w:val="129"/>
  </w:num>
  <w:num w:numId="137" w16cid:durableId="1999651679">
    <w:abstractNumId w:val="105"/>
  </w:num>
  <w:num w:numId="138" w16cid:durableId="1598177755">
    <w:abstractNumId w:val="16"/>
  </w:num>
  <w:num w:numId="139" w16cid:durableId="633289990">
    <w:abstractNumId w:val="95"/>
  </w:num>
  <w:num w:numId="140" w16cid:durableId="1224099914">
    <w:abstractNumId w:val="4"/>
  </w:num>
  <w:num w:numId="141" w16cid:durableId="1128861770">
    <w:abstractNumId w:val="63"/>
    <w:lvlOverride w:ilvl="0">
      <w:startOverride w:val="1"/>
    </w:lvlOverride>
  </w:num>
  <w:num w:numId="142" w16cid:durableId="985399800">
    <w:abstractNumId w:val="63"/>
    <w:lvlOverride w:ilvl="0">
      <w:startOverride w:val="1"/>
    </w:lvlOverride>
  </w:num>
  <w:num w:numId="143" w16cid:durableId="1773436278">
    <w:abstractNumId w:val="63"/>
    <w:lvlOverride w:ilvl="0">
      <w:startOverride w:val="1"/>
    </w:lvlOverride>
  </w:num>
  <w:num w:numId="144" w16cid:durableId="1280451317">
    <w:abstractNumId w:val="70"/>
  </w:num>
  <w:num w:numId="145" w16cid:durableId="482234345">
    <w:abstractNumId w:val="63"/>
    <w:lvlOverride w:ilvl="0">
      <w:startOverride w:val="1"/>
    </w:lvlOverride>
  </w:num>
  <w:num w:numId="146" w16cid:durableId="246305348">
    <w:abstractNumId w:val="63"/>
    <w:lvlOverride w:ilvl="0">
      <w:startOverride w:val="1"/>
    </w:lvlOverride>
  </w:num>
  <w:num w:numId="147" w16cid:durableId="1670912917">
    <w:abstractNumId w:val="63"/>
    <w:lvlOverride w:ilvl="0">
      <w:startOverride w:val="1"/>
    </w:lvlOverride>
  </w:num>
  <w:num w:numId="148" w16cid:durableId="74522196">
    <w:abstractNumId w:val="60"/>
  </w:num>
  <w:num w:numId="149" w16cid:durableId="723674082">
    <w:abstractNumId w:val="60"/>
    <w:lvlOverride w:ilvl="0">
      <w:startOverride w:val="1"/>
    </w:lvlOverride>
  </w:num>
  <w:num w:numId="150" w16cid:durableId="393891216">
    <w:abstractNumId w:val="60"/>
    <w:lvlOverride w:ilvl="0">
      <w:startOverride w:val="1"/>
    </w:lvlOverride>
  </w:num>
  <w:num w:numId="151" w16cid:durableId="2082017458">
    <w:abstractNumId w:val="60"/>
    <w:lvlOverride w:ilvl="0">
      <w:startOverride w:val="1"/>
    </w:lvlOverride>
  </w:num>
  <w:num w:numId="152" w16cid:durableId="1143737960">
    <w:abstractNumId w:val="63"/>
    <w:lvlOverride w:ilvl="0">
      <w:startOverride w:val="1"/>
    </w:lvlOverride>
  </w:num>
  <w:num w:numId="153" w16cid:durableId="1888031690">
    <w:abstractNumId w:val="99"/>
  </w:num>
  <w:num w:numId="154" w16cid:durableId="2498951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057358892">
    <w:abstractNumId w:val="103"/>
  </w:num>
  <w:num w:numId="156" w16cid:durableId="17721679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159196577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581525309">
    <w:abstractNumId w:val="69"/>
  </w:num>
  <w:num w:numId="159" w16cid:durableId="17727896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770778545">
    <w:abstractNumId w:val="58"/>
  </w:num>
  <w:num w:numId="161" w16cid:durableId="87775755">
    <w:abstractNumId w:val="15"/>
  </w:num>
  <w:num w:numId="162" w16cid:durableId="225920075">
    <w:abstractNumId w:val="68"/>
  </w:num>
  <w:num w:numId="163" w16cid:durableId="362942956">
    <w:abstractNumId w:val="29"/>
  </w:num>
  <w:num w:numId="164" w16cid:durableId="842352166">
    <w:abstractNumId w:val="101"/>
  </w:num>
  <w:num w:numId="165" w16cid:durableId="917327905">
    <w:abstractNumId w:val="119"/>
  </w:num>
  <w:num w:numId="166" w16cid:durableId="205606164">
    <w:abstractNumId w:val="56"/>
  </w:num>
  <w:num w:numId="167" w16cid:durableId="756832258">
    <w:abstractNumId w:val="8"/>
  </w:num>
  <w:num w:numId="168" w16cid:durableId="179779062">
    <w:abstractNumId w:val="131"/>
  </w:num>
  <w:num w:numId="169" w16cid:durableId="1506824421">
    <w:abstractNumId w:val="39"/>
  </w:num>
  <w:num w:numId="170" w16cid:durableId="1948342491">
    <w:abstractNumId w:val="27"/>
  </w:num>
  <w:num w:numId="171" w16cid:durableId="69927786">
    <w:abstractNumId w:val="90"/>
  </w:num>
  <w:num w:numId="172" w16cid:durableId="2049448687">
    <w:abstractNumId w:val="109"/>
  </w:num>
  <w:num w:numId="173" w16cid:durableId="1577399343">
    <w:abstractNumId w:val="53"/>
  </w:num>
  <w:num w:numId="174" w16cid:durableId="1129324389">
    <w:abstractNumId w:val="88"/>
  </w:num>
  <w:num w:numId="175" w16cid:durableId="1226329885">
    <w:abstractNumId w:val="97"/>
  </w:num>
  <w:num w:numId="176" w16cid:durableId="1726488647">
    <w:abstractNumId w:val="64"/>
  </w:num>
  <w:num w:numId="177" w16cid:durableId="1429883158">
    <w:abstractNumId w:val="25"/>
  </w:num>
  <w:num w:numId="178" w16cid:durableId="127090633">
    <w:abstractNumId w:val="99"/>
    <w:lvlOverride w:ilvl="0">
      <w:startOverride w:val="1"/>
    </w:lvlOverride>
  </w:num>
  <w:num w:numId="179" w16cid:durableId="1870877295">
    <w:abstractNumId w:val="99"/>
    <w:lvlOverride w:ilvl="0">
      <w:startOverride w:val="1"/>
    </w:lvlOverride>
  </w:num>
  <w:num w:numId="180" w16cid:durableId="2002000487">
    <w:abstractNumId w:val="31"/>
  </w:num>
  <w:num w:numId="181" w16cid:durableId="1346320945">
    <w:abstractNumId w:val="45"/>
  </w:num>
  <w:num w:numId="182" w16cid:durableId="348873388">
    <w:abstractNumId w:val="49"/>
  </w:num>
  <w:num w:numId="183" w16cid:durableId="619801150">
    <w:abstractNumId w:val="63"/>
    <w:lvlOverride w:ilvl="0">
      <w:startOverride w:val="1"/>
    </w:lvlOverride>
  </w:num>
  <w:num w:numId="184" w16cid:durableId="682823114">
    <w:abstractNumId w:val="77"/>
  </w:num>
  <w:num w:numId="185" w16cid:durableId="1334917662">
    <w:abstractNumId w:val="102"/>
  </w:num>
  <w:num w:numId="186" w16cid:durableId="272978550">
    <w:abstractNumId w:val="76"/>
  </w:num>
  <w:num w:numId="187" w16cid:durableId="13410094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109551889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124665249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19583720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12973696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13802836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1723401253">
    <w:abstractNumId w:val="60"/>
    <w:lvlOverride w:ilvl="0">
      <w:startOverride w:val="1"/>
    </w:lvlOverride>
  </w:num>
  <w:num w:numId="194" w16cid:durableId="634919344">
    <w:abstractNumId w:val="84"/>
  </w:num>
  <w:num w:numId="195" w16cid:durableId="196799985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145821573">
    <w:abstractNumId w:val="36"/>
  </w:num>
  <w:numIdMacAtCleanup w:val="2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revisionView w:markup="0"/>
  <w:documentProtection w:edit="readOnly" w:enforcement="0"/>
  <w:defaultTabStop w:val="720"/>
  <w:drawingGridHorizontalSpacing w:val="187"/>
  <w:drawingGridVerticalSpacing w:val="18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awMDGxsDA0NDSzMDFQ0lEKTi0uzszPAykwsqgFAL6Ted4tAAAA"/>
  </w:docVars>
  <w:rsids>
    <w:rsidRoot w:val="00D317F4"/>
    <w:rsid w:val="000001A2"/>
    <w:rsid w:val="000002B5"/>
    <w:rsid w:val="000002D2"/>
    <w:rsid w:val="00000499"/>
    <w:rsid w:val="00000808"/>
    <w:rsid w:val="000009A2"/>
    <w:rsid w:val="00000DC3"/>
    <w:rsid w:val="00000F84"/>
    <w:rsid w:val="000011B8"/>
    <w:rsid w:val="000011BF"/>
    <w:rsid w:val="000012A4"/>
    <w:rsid w:val="000012D9"/>
    <w:rsid w:val="000016F7"/>
    <w:rsid w:val="000019A8"/>
    <w:rsid w:val="00001EC4"/>
    <w:rsid w:val="0000265E"/>
    <w:rsid w:val="00002A05"/>
    <w:rsid w:val="00003122"/>
    <w:rsid w:val="00003154"/>
    <w:rsid w:val="0000344F"/>
    <w:rsid w:val="00003725"/>
    <w:rsid w:val="0000387D"/>
    <w:rsid w:val="00003E90"/>
    <w:rsid w:val="00003F21"/>
    <w:rsid w:val="0000443B"/>
    <w:rsid w:val="00004821"/>
    <w:rsid w:val="000048AF"/>
    <w:rsid w:val="000048F4"/>
    <w:rsid w:val="00004AFC"/>
    <w:rsid w:val="00004F99"/>
    <w:rsid w:val="0000521D"/>
    <w:rsid w:val="0000524A"/>
    <w:rsid w:val="00005424"/>
    <w:rsid w:val="00005AC0"/>
    <w:rsid w:val="000060A7"/>
    <w:rsid w:val="000061E0"/>
    <w:rsid w:val="000063A3"/>
    <w:rsid w:val="000063A4"/>
    <w:rsid w:val="000065E2"/>
    <w:rsid w:val="00006881"/>
    <w:rsid w:val="00006E44"/>
    <w:rsid w:val="00006F10"/>
    <w:rsid w:val="00007262"/>
    <w:rsid w:val="000072BD"/>
    <w:rsid w:val="0000758B"/>
    <w:rsid w:val="000077A4"/>
    <w:rsid w:val="00007837"/>
    <w:rsid w:val="00007852"/>
    <w:rsid w:val="000101B8"/>
    <w:rsid w:val="00010210"/>
    <w:rsid w:val="000102AB"/>
    <w:rsid w:val="000102D8"/>
    <w:rsid w:val="000104A6"/>
    <w:rsid w:val="00010674"/>
    <w:rsid w:val="000106B0"/>
    <w:rsid w:val="00010B91"/>
    <w:rsid w:val="00010C84"/>
    <w:rsid w:val="00010D89"/>
    <w:rsid w:val="00010DC5"/>
    <w:rsid w:val="00010FEA"/>
    <w:rsid w:val="000111B5"/>
    <w:rsid w:val="000112E2"/>
    <w:rsid w:val="00011446"/>
    <w:rsid w:val="000115E6"/>
    <w:rsid w:val="000117B2"/>
    <w:rsid w:val="00011A1A"/>
    <w:rsid w:val="00011DCB"/>
    <w:rsid w:val="00011FD8"/>
    <w:rsid w:val="0001232E"/>
    <w:rsid w:val="00012446"/>
    <w:rsid w:val="000132FC"/>
    <w:rsid w:val="0001339F"/>
    <w:rsid w:val="0001350D"/>
    <w:rsid w:val="000137E5"/>
    <w:rsid w:val="000139B2"/>
    <w:rsid w:val="000139B4"/>
    <w:rsid w:val="00013B63"/>
    <w:rsid w:val="0001412A"/>
    <w:rsid w:val="00014292"/>
    <w:rsid w:val="00014825"/>
    <w:rsid w:val="00014872"/>
    <w:rsid w:val="00014D02"/>
    <w:rsid w:val="00014DEE"/>
    <w:rsid w:val="00015760"/>
    <w:rsid w:val="000159D0"/>
    <w:rsid w:val="00015F9C"/>
    <w:rsid w:val="00016D90"/>
    <w:rsid w:val="00016E20"/>
    <w:rsid w:val="00016E4E"/>
    <w:rsid w:val="00016E4F"/>
    <w:rsid w:val="0001731A"/>
    <w:rsid w:val="000173BB"/>
    <w:rsid w:val="000176DA"/>
    <w:rsid w:val="0001795F"/>
    <w:rsid w:val="00017A96"/>
    <w:rsid w:val="00017EDA"/>
    <w:rsid w:val="00017FBB"/>
    <w:rsid w:val="000202BA"/>
    <w:rsid w:val="000202BC"/>
    <w:rsid w:val="000202C9"/>
    <w:rsid w:val="00020632"/>
    <w:rsid w:val="000207E9"/>
    <w:rsid w:val="00020806"/>
    <w:rsid w:val="000208D6"/>
    <w:rsid w:val="0002094D"/>
    <w:rsid w:val="00020E81"/>
    <w:rsid w:val="00021005"/>
    <w:rsid w:val="0002129A"/>
    <w:rsid w:val="0002134C"/>
    <w:rsid w:val="00021D13"/>
    <w:rsid w:val="00021F12"/>
    <w:rsid w:val="000220D8"/>
    <w:rsid w:val="000220EE"/>
    <w:rsid w:val="000224F5"/>
    <w:rsid w:val="00022621"/>
    <w:rsid w:val="000226E4"/>
    <w:rsid w:val="00022918"/>
    <w:rsid w:val="0002304A"/>
    <w:rsid w:val="0002314F"/>
    <w:rsid w:val="00023514"/>
    <w:rsid w:val="00023624"/>
    <w:rsid w:val="0002374B"/>
    <w:rsid w:val="000240DF"/>
    <w:rsid w:val="00024414"/>
    <w:rsid w:val="0002494D"/>
    <w:rsid w:val="00024D20"/>
    <w:rsid w:val="000252A5"/>
    <w:rsid w:val="00025338"/>
    <w:rsid w:val="00025347"/>
    <w:rsid w:val="0002567E"/>
    <w:rsid w:val="000258CF"/>
    <w:rsid w:val="000258E7"/>
    <w:rsid w:val="0002594D"/>
    <w:rsid w:val="00025BAF"/>
    <w:rsid w:val="0002608C"/>
    <w:rsid w:val="000261EC"/>
    <w:rsid w:val="00026540"/>
    <w:rsid w:val="00026674"/>
    <w:rsid w:val="00026851"/>
    <w:rsid w:val="00026BFC"/>
    <w:rsid w:val="00026CC2"/>
    <w:rsid w:val="00027013"/>
    <w:rsid w:val="00027159"/>
    <w:rsid w:val="000271B8"/>
    <w:rsid w:val="000274D0"/>
    <w:rsid w:val="00027729"/>
    <w:rsid w:val="000278D1"/>
    <w:rsid w:val="000278E2"/>
    <w:rsid w:val="00027A4D"/>
    <w:rsid w:val="00027D8F"/>
    <w:rsid w:val="000307D5"/>
    <w:rsid w:val="0003089C"/>
    <w:rsid w:val="00030A3D"/>
    <w:rsid w:val="00030A51"/>
    <w:rsid w:val="00030D1A"/>
    <w:rsid w:val="00030D25"/>
    <w:rsid w:val="00030D3D"/>
    <w:rsid w:val="00030DFC"/>
    <w:rsid w:val="000310D4"/>
    <w:rsid w:val="000313FB"/>
    <w:rsid w:val="00031784"/>
    <w:rsid w:val="00031DA1"/>
    <w:rsid w:val="00031F6E"/>
    <w:rsid w:val="000322B0"/>
    <w:rsid w:val="00032422"/>
    <w:rsid w:val="00032577"/>
    <w:rsid w:val="000325BF"/>
    <w:rsid w:val="0003269A"/>
    <w:rsid w:val="00032BA7"/>
    <w:rsid w:val="0003323D"/>
    <w:rsid w:val="000336E7"/>
    <w:rsid w:val="00033777"/>
    <w:rsid w:val="00033AB8"/>
    <w:rsid w:val="00033E4A"/>
    <w:rsid w:val="000340E6"/>
    <w:rsid w:val="00034192"/>
    <w:rsid w:val="000341A2"/>
    <w:rsid w:val="000342EF"/>
    <w:rsid w:val="00034311"/>
    <w:rsid w:val="00034F2C"/>
    <w:rsid w:val="00034F59"/>
    <w:rsid w:val="000354EA"/>
    <w:rsid w:val="000355EA"/>
    <w:rsid w:val="000357F3"/>
    <w:rsid w:val="00035AD6"/>
    <w:rsid w:val="00035AFF"/>
    <w:rsid w:val="00035D8F"/>
    <w:rsid w:val="0003646E"/>
    <w:rsid w:val="000365EB"/>
    <w:rsid w:val="000366E2"/>
    <w:rsid w:val="000367B7"/>
    <w:rsid w:val="00036887"/>
    <w:rsid w:val="000368C8"/>
    <w:rsid w:val="00036C42"/>
    <w:rsid w:val="00036FF8"/>
    <w:rsid w:val="000370E4"/>
    <w:rsid w:val="000371FF"/>
    <w:rsid w:val="000375B9"/>
    <w:rsid w:val="0003760E"/>
    <w:rsid w:val="00037733"/>
    <w:rsid w:val="0003780C"/>
    <w:rsid w:val="00037B80"/>
    <w:rsid w:val="00037B92"/>
    <w:rsid w:val="00037BD2"/>
    <w:rsid w:val="00037DE6"/>
    <w:rsid w:val="000381B9"/>
    <w:rsid w:val="000400DC"/>
    <w:rsid w:val="00040210"/>
    <w:rsid w:val="00040218"/>
    <w:rsid w:val="000403D8"/>
    <w:rsid w:val="000408C9"/>
    <w:rsid w:val="00040A0E"/>
    <w:rsid w:val="00040D11"/>
    <w:rsid w:val="00040DC4"/>
    <w:rsid w:val="00040DF8"/>
    <w:rsid w:val="00041261"/>
    <w:rsid w:val="0004137F"/>
    <w:rsid w:val="00041398"/>
    <w:rsid w:val="00041699"/>
    <w:rsid w:val="00041764"/>
    <w:rsid w:val="00041852"/>
    <w:rsid w:val="00041986"/>
    <w:rsid w:val="00041A92"/>
    <w:rsid w:val="00041D5B"/>
    <w:rsid w:val="00041E39"/>
    <w:rsid w:val="00041EE2"/>
    <w:rsid w:val="000422CB"/>
    <w:rsid w:val="000425BE"/>
    <w:rsid w:val="0004273D"/>
    <w:rsid w:val="00042872"/>
    <w:rsid w:val="000429FB"/>
    <w:rsid w:val="00042ABB"/>
    <w:rsid w:val="00042ADE"/>
    <w:rsid w:val="00042AE1"/>
    <w:rsid w:val="000433DE"/>
    <w:rsid w:val="00043551"/>
    <w:rsid w:val="000436E5"/>
    <w:rsid w:val="000437D0"/>
    <w:rsid w:val="00043A97"/>
    <w:rsid w:val="00043B45"/>
    <w:rsid w:val="00043CFA"/>
    <w:rsid w:val="00044467"/>
    <w:rsid w:val="0004493D"/>
    <w:rsid w:val="000449DD"/>
    <w:rsid w:val="00044CC9"/>
    <w:rsid w:val="000450B4"/>
    <w:rsid w:val="0004521B"/>
    <w:rsid w:val="00045357"/>
    <w:rsid w:val="0004575A"/>
    <w:rsid w:val="0004577A"/>
    <w:rsid w:val="000459BA"/>
    <w:rsid w:val="00045A37"/>
    <w:rsid w:val="00045A83"/>
    <w:rsid w:val="00045BAC"/>
    <w:rsid w:val="00045F97"/>
    <w:rsid w:val="000464A2"/>
    <w:rsid w:val="0004685C"/>
    <w:rsid w:val="00046BA6"/>
    <w:rsid w:val="00046C1D"/>
    <w:rsid w:val="00046D36"/>
    <w:rsid w:val="00046F5B"/>
    <w:rsid w:val="00047084"/>
    <w:rsid w:val="00047A45"/>
    <w:rsid w:val="00047A55"/>
    <w:rsid w:val="000508B1"/>
    <w:rsid w:val="00050FAC"/>
    <w:rsid w:val="000516C9"/>
    <w:rsid w:val="000518B9"/>
    <w:rsid w:val="00051B77"/>
    <w:rsid w:val="00051C00"/>
    <w:rsid w:val="000520E1"/>
    <w:rsid w:val="00052274"/>
    <w:rsid w:val="00052664"/>
    <w:rsid w:val="00052852"/>
    <w:rsid w:val="00052A4E"/>
    <w:rsid w:val="00052B2A"/>
    <w:rsid w:val="00052E93"/>
    <w:rsid w:val="0005308C"/>
    <w:rsid w:val="00053455"/>
    <w:rsid w:val="00053A78"/>
    <w:rsid w:val="00053D42"/>
    <w:rsid w:val="00053EE7"/>
    <w:rsid w:val="0005406A"/>
    <w:rsid w:val="000543C1"/>
    <w:rsid w:val="000543F6"/>
    <w:rsid w:val="000546C6"/>
    <w:rsid w:val="0005474E"/>
    <w:rsid w:val="00054B2B"/>
    <w:rsid w:val="00054B7F"/>
    <w:rsid w:val="00054FFF"/>
    <w:rsid w:val="000550B3"/>
    <w:rsid w:val="000551A4"/>
    <w:rsid w:val="000552D7"/>
    <w:rsid w:val="0005553E"/>
    <w:rsid w:val="00055B1B"/>
    <w:rsid w:val="00055C50"/>
    <w:rsid w:val="00055CFB"/>
    <w:rsid w:val="00055FCF"/>
    <w:rsid w:val="000562E0"/>
    <w:rsid w:val="00056774"/>
    <w:rsid w:val="00056BC8"/>
    <w:rsid w:val="000572A7"/>
    <w:rsid w:val="0005740E"/>
    <w:rsid w:val="000577D8"/>
    <w:rsid w:val="00057915"/>
    <w:rsid w:val="0005793B"/>
    <w:rsid w:val="00057966"/>
    <w:rsid w:val="00057986"/>
    <w:rsid w:val="00057A2A"/>
    <w:rsid w:val="00057BD0"/>
    <w:rsid w:val="00057E6C"/>
    <w:rsid w:val="00057FAA"/>
    <w:rsid w:val="00060235"/>
    <w:rsid w:val="000604A0"/>
    <w:rsid w:val="00060711"/>
    <w:rsid w:val="00060945"/>
    <w:rsid w:val="00060A2A"/>
    <w:rsid w:val="00060CE6"/>
    <w:rsid w:val="00061284"/>
    <w:rsid w:val="000612AA"/>
    <w:rsid w:val="000615C2"/>
    <w:rsid w:val="00061994"/>
    <w:rsid w:val="00061BF7"/>
    <w:rsid w:val="00061C37"/>
    <w:rsid w:val="00061ED0"/>
    <w:rsid w:val="00062162"/>
    <w:rsid w:val="000623DD"/>
    <w:rsid w:val="00062977"/>
    <w:rsid w:val="00062B81"/>
    <w:rsid w:val="00062C71"/>
    <w:rsid w:val="00062CBF"/>
    <w:rsid w:val="00062D77"/>
    <w:rsid w:val="00062F42"/>
    <w:rsid w:val="00063062"/>
    <w:rsid w:val="00063606"/>
    <w:rsid w:val="000637A6"/>
    <w:rsid w:val="000639A7"/>
    <w:rsid w:val="00063A18"/>
    <w:rsid w:val="00063AE6"/>
    <w:rsid w:val="000640D2"/>
    <w:rsid w:val="00064759"/>
    <w:rsid w:val="0006483A"/>
    <w:rsid w:val="00064AB9"/>
    <w:rsid w:val="00064B25"/>
    <w:rsid w:val="00064B42"/>
    <w:rsid w:val="00064BFD"/>
    <w:rsid w:val="00064E06"/>
    <w:rsid w:val="00064E7D"/>
    <w:rsid w:val="00065070"/>
    <w:rsid w:val="000650A8"/>
    <w:rsid w:val="00065132"/>
    <w:rsid w:val="00065240"/>
    <w:rsid w:val="0006531E"/>
    <w:rsid w:val="000653A9"/>
    <w:rsid w:val="00065537"/>
    <w:rsid w:val="000656B2"/>
    <w:rsid w:val="000656C9"/>
    <w:rsid w:val="000656F5"/>
    <w:rsid w:val="00065975"/>
    <w:rsid w:val="00065BA8"/>
    <w:rsid w:val="00065BD2"/>
    <w:rsid w:val="00065D02"/>
    <w:rsid w:val="00065E10"/>
    <w:rsid w:val="000660F7"/>
    <w:rsid w:val="00066100"/>
    <w:rsid w:val="0006645F"/>
    <w:rsid w:val="0006650D"/>
    <w:rsid w:val="000665C0"/>
    <w:rsid w:val="00066671"/>
    <w:rsid w:val="00066C0B"/>
    <w:rsid w:val="00066C23"/>
    <w:rsid w:val="00066E07"/>
    <w:rsid w:val="00066EC0"/>
    <w:rsid w:val="00066EE5"/>
    <w:rsid w:val="00067CE9"/>
    <w:rsid w:val="00067E04"/>
    <w:rsid w:val="0007046F"/>
    <w:rsid w:val="000705CA"/>
    <w:rsid w:val="00070672"/>
    <w:rsid w:val="0007096A"/>
    <w:rsid w:val="00070A1B"/>
    <w:rsid w:val="00070A91"/>
    <w:rsid w:val="00070F1F"/>
    <w:rsid w:val="00070F56"/>
    <w:rsid w:val="00070FA9"/>
    <w:rsid w:val="00070FBE"/>
    <w:rsid w:val="0007116F"/>
    <w:rsid w:val="00071283"/>
    <w:rsid w:val="000712A8"/>
    <w:rsid w:val="000718F2"/>
    <w:rsid w:val="00071BD0"/>
    <w:rsid w:val="00071DCB"/>
    <w:rsid w:val="000721C4"/>
    <w:rsid w:val="0007272D"/>
    <w:rsid w:val="000728BD"/>
    <w:rsid w:val="0007292A"/>
    <w:rsid w:val="00072AAD"/>
    <w:rsid w:val="00072B31"/>
    <w:rsid w:val="00072F0F"/>
    <w:rsid w:val="0007307F"/>
    <w:rsid w:val="000732C0"/>
    <w:rsid w:val="00073425"/>
    <w:rsid w:val="00073814"/>
    <w:rsid w:val="00073850"/>
    <w:rsid w:val="00074140"/>
    <w:rsid w:val="000743B2"/>
    <w:rsid w:val="0007471D"/>
    <w:rsid w:val="000748AD"/>
    <w:rsid w:val="00074A6E"/>
    <w:rsid w:val="00074B41"/>
    <w:rsid w:val="00074F27"/>
    <w:rsid w:val="00075046"/>
    <w:rsid w:val="00075067"/>
    <w:rsid w:val="00075269"/>
    <w:rsid w:val="00075658"/>
    <w:rsid w:val="000756A9"/>
    <w:rsid w:val="00075959"/>
    <w:rsid w:val="00075989"/>
    <w:rsid w:val="000759AA"/>
    <w:rsid w:val="000759DE"/>
    <w:rsid w:val="00075A2C"/>
    <w:rsid w:val="00075DEC"/>
    <w:rsid w:val="0007650D"/>
    <w:rsid w:val="0007653A"/>
    <w:rsid w:val="000765E9"/>
    <w:rsid w:val="00076682"/>
    <w:rsid w:val="00076858"/>
    <w:rsid w:val="00076B51"/>
    <w:rsid w:val="00076CD3"/>
    <w:rsid w:val="0007738E"/>
    <w:rsid w:val="000773E6"/>
    <w:rsid w:val="00077456"/>
    <w:rsid w:val="00077BCE"/>
    <w:rsid w:val="00077E2B"/>
    <w:rsid w:val="00080040"/>
    <w:rsid w:val="000802C4"/>
    <w:rsid w:val="00080556"/>
    <w:rsid w:val="000808F2"/>
    <w:rsid w:val="00080AD1"/>
    <w:rsid w:val="00080AE2"/>
    <w:rsid w:val="00080AF2"/>
    <w:rsid w:val="00080BE3"/>
    <w:rsid w:val="000810D4"/>
    <w:rsid w:val="000811B9"/>
    <w:rsid w:val="0008133C"/>
    <w:rsid w:val="00081811"/>
    <w:rsid w:val="00081A8E"/>
    <w:rsid w:val="00081D43"/>
    <w:rsid w:val="00082165"/>
    <w:rsid w:val="0008219D"/>
    <w:rsid w:val="00082382"/>
    <w:rsid w:val="00082890"/>
    <w:rsid w:val="00082AA4"/>
    <w:rsid w:val="0008316F"/>
    <w:rsid w:val="000833A8"/>
    <w:rsid w:val="000833D8"/>
    <w:rsid w:val="00083701"/>
    <w:rsid w:val="00083895"/>
    <w:rsid w:val="00083912"/>
    <w:rsid w:val="00083A8F"/>
    <w:rsid w:val="00083E66"/>
    <w:rsid w:val="00083E95"/>
    <w:rsid w:val="00084A35"/>
    <w:rsid w:val="00085062"/>
    <w:rsid w:val="000851E4"/>
    <w:rsid w:val="000851E7"/>
    <w:rsid w:val="0008579B"/>
    <w:rsid w:val="00085D67"/>
    <w:rsid w:val="00086300"/>
    <w:rsid w:val="000867B8"/>
    <w:rsid w:val="0008684A"/>
    <w:rsid w:val="000870B9"/>
    <w:rsid w:val="00087106"/>
    <w:rsid w:val="000874CF"/>
    <w:rsid w:val="0008759D"/>
    <w:rsid w:val="000878A2"/>
    <w:rsid w:val="00087A49"/>
    <w:rsid w:val="00087AE0"/>
    <w:rsid w:val="0009033B"/>
    <w:rsid w:val="000903A6"/>
    <w:rsid w:val="0009064C"/>
    <w:rsid w:val="000906BA"/>
    <w:rsid w:val="00090859"/>
    <w:rsid w:val="0009089D"/>
    <w:rsid w:val="000909B3"/>
    <w:rsid w:val="00090BB2"/>
    <w:rsid w:val="00090D39"/>
    <w:rsid w:val="00090D5E"/>
    <w:rsid w:val="00090F9A"/>
    <w:rsid w:val="0009115C"/>
    <w:rsid w:val="0009132C"/>
    <w:rsid w:val="0009133A"/>
    <w:rsid w:val="000918AF"/>
    <w:rsid w:val="00091CF5"/>
    <w:rsid w:val="00091F56"/>
    <w:rsid w:val="000921BD"/>
    <w:rsid w:val="00092457"/>
    <w:rsid w:val="000928B2"/>
    <w:rsid w:val="000928FB"/>
    <w:rsid w:val="00092E9F"/>
    <w:rsid w:val="00092F47"/>
    <w:rsid w:val="000934D7"/>
    <w:rsid w:val="00093697"/>
    <w:rsid w:val="000938F8"/>
    <w:rsid w:val="000939DC"/>
    <w:rsid w:val="000939FF"/>
    <w:rsid w:val="00093B91"/>
    <w:rsid w:val="00093C00"/>
    <w:rsid w:val="00093C10"/>
    <w:rsid w:val="00093C75"/>
    <w:rsid w:val="00093DAC"/>
    <w:rsid w:val="00093F3C"/>
    <w:rsid w:val="000940E1"/>
    <w:rsid w:val="000940EC"/>
    <w:rsid w:val="00094290"/>
    <w:rsid w:val="0009453C"/>
    <w:rsid w:val="00094BD1"/>
    <w:rsid w:val="00094C22"/>
    <w:rsid w:val="000951FF"/>
    <w:rsid w:val="000958EF"/>
    <w:rsid w:val="00095FA6"/>
    <w:rsid w:val="00096277"/>
    <w:rsid w:val="00096326"/>
    <w:rsid w:val="000968A3"/>
    <w:rsid w:val="00096A36"/>
    <w:rsid w:val="00096B12"/>
    <w:rsid w:val="00096D32"/>
    <w:rsid w:val="00096F00"/>
    <w:rsid w:val="000976D0"/>
    <w:rsid w:val="00097E22"/>
    <w:rsid w:val="00097E2F"/>
    <w:rsid w:val="00097E71"/>
    <w:rsid w:val="00097F64"/>
    <w:rsid w:val="000A020E"/>
    <w:rsid w:val="000A023F"/>
    <w:rsid w:val="000A028F"/>
    <w:rsid w:val="000A061A"/>
    <w:rsid w:val="000A0779"/>
    <w:rsid w:val="000A0C10"/>
    <w:rsid w:val="000A0C8F"/>
    <w:rsid w:val="000A0DEF"/>
    <w:rsid w:val="000A0E3E"/>
    <w:rsid w:val="000A0E4D"/>
    <w:rsid w:val="000A10A9"/>
    <w:rsid w:val="000A10D6"/>
    <w:rsid w:val="000A16A2"/>
    <w:rsid w:val="000A1B0A"/>
    <w:rsid w:val="000A2182"/>
    <w:rsid w:val="000A2506"/>
    <w:rsid w:val="000A2600"/>
    <w:rsid w:val="000A2657"/>
    <w:rsid w:val="000A2981"/>
    <w:rsid w:val="000A2C83"/>
    <w:rsid w:val="000A2D49"/>
    <w:rsid w:val="000A2D6F"/>
    <w:rsid w:val="000A3659"/>
    <w:rsid w:val="000A372F"/>
    <w:rsid w:val="000A37F0"/>
    <w:rsid w:val="000A3936"/>
    <w:rsid w:val="000A3A3F"/>
    <w:rsid w:val="000A3D26"/>
    <w:rsid w:val="000A417B"/>
    <w:rsid w:val="000A41EB"/>
    <w:rsid w:val="000A4293"/>
    <w:rsid w:val="000A4CBB"/>
    <w:rsid w:val="000A50A4"/>
    <w:rsid w:val="000A589D"/>
    <w:rsid w:val="000A598D"/>
    <w:rsid w:val="000A5B83"/>
    <w:rsid w:val="000A5B87"/>
    <w:rsid w:val="000A62F4"/>
    <w:rsid w:val="000A665B"/>
    <w:rsid w:val="000A6AB8"/>
    <w:rsid w:val="000A6B2A"/>
    <w:rsid w:val="000A6CB7"/>
    <w:rsid w:val="000A7772"/>
    <w:rsid w:val="000A7B2E"/>
    <w:rsid w:val="000A7D37"/>
    <w:rsid w:val="000A7F99"/>
    <w:rsid w:val="000B0078"/>
    <w:rsid w:val="000B00BF"/>
    <w:rsid w:val="000B038E"/>
    <w:rsid w:val="000B04EA"/>
    <w:rsid w:val="000B0596"/>
    <w:rsid w:val="000B0B4D"/>
    <w:rsid w:val="000B0CCE"/>
    <w:rsid w:val="000B1058"/>
    <w:rsid w:val="000B1211"/>
    <w:rsid w:val="000B15B8"/>
    <w:rsid w:val="000B1803"/>
    <w:rsid w:val="000B1D42"/>
    <w:rsid w:val="000B2462"/>
    <w:rsid w:val="000B24A5"/>
    <w:rsid w:val="000B294F"/>
    <w:rsid w:val="000B2C85"/>
    <w:rsid w:val="000B2CDB"/>
    <w:rsid w:val="000B31DC"/>
    <w:rsid w:val="000B31E0"/>
    <w:rsid w:val="000B388E"/>
    <w:rsid w:val="000B3923"/>
    <w:rsid w:val="000B3E0C"/>
    <w:rsid w:val="000B3F79"/>
    <w:rsid w:val="000B42C6"/>
    <w:rsid w:val="000B461A"/>
    <w:rsid w:val="000B47BD"/>
    <w:rsid w:val="000B4A1B"/>
    <w:rsid w:val="000B54FC"/>
    <w:rsid w:val="000B55BB"/>
    <w:rsid w:val="000B563D"/>
    <w:rsid w:val="000B5654"/>
    <w:rsid w:val="000B5B91"/>
    <w:rsid w:val="000B6309"/>
    <w:rsid w:val="000B63C8"/>
    <w:rsid w:val="000B649A"/>
    <w:rsid w:val="000B6738"/>
    <w:rsid w:val="000B6999"/>
    <w:rsid w:val="000B6B2E"/>
    <w:rsid w:val="000B6E75"/>
    <w:rsid w:val="000B709D"/>
    <w:rsid w:val="000B7108"/>
    <w:rsid w:val="000B7407"/>
    <w:rsid w:val="000B74BC"/>
    <w:rsid w:val="000B7897"/>
    <w:rsid w:val="000B7FB4"/>
    <w:rsid w:val="000C0189"/>
    <w:rsid w:val="000C0258"/>
    <w:rsid w:val="000C04C8"/>
    <w:rsid w:val="000C0682"/>
    <w:rsid w:val="000C06AA"/>
    <w:rsid w:val="000C086E"/>
    <w:rsid w:val="000C09DF"/>
    <w:rsid w:val="000C0B92"/>
    <w:rsid w:val="000C0E24"/>
    <w:rsid w:val="000C0E3C"/>
    <w:rsid w:val="000C0EDC"/>
    <w:rsid w:val="000C0FAF"/>
    <w:rsid w:val="000C12E5"/>
    <w:rsid w:val="000C12FC"/>
    <w:rsid w:val="000C1CD5"/>
    <w:rsid w:val="000C1F67"/>
    <w:rsid w:val="000C1FF3"/>
    <w:rsid w:val="000C246C"/>
    <w:rsid w:val="000C24DF"/>
    <w:rsid w:val="000C2568"/>
    <w:rsid w:val="000C25AC"/>
    <w:rsid w:val="000C28A0"/>
    <w:rsid w:val="000C2EEE"/>
    <w:rsid w:val="000C307E"/>
    <w:rsid w:val="000C3371"/>
    <w:rsid w:val="000C35D2"/>
    <w:rsid w:val="000C3699"/>
    <w:rsid w:val="000C36DB"/>
    <w:rsid w:val="000C370E"/>
    <w:rsid w:val="000C41FD"/>
    <w:rsid w:val="000C42FC"/>
    <w:rsid w:val="000C4621"/>
    <w:rsid w:val="000C4BEB"/>
    <w:rsid w:val="000C4DC2"/>
    <w:rsid w:val="000C4FCD"/>
    <w:rsid w:val="000C51A3"/>
    <w:rsid w:val="000C569E"/>
    <w:rsid w:val="000C5919"/>
    <w:rsid w:val="000C5BA2"/>
    <w:rsid w:val="000C627E"/>
    <w:rsid w:val="000C6485"/>
    <w:rsid w:val="000C6A9C"/>
    <w:rsid w:val="000C6ACD"/>
    <w:rsid w:val="000C6AE5"/>
    <w:rsid w:val="000C6B40"/>
    <w:rsid w:val="000C6C74"/>
    <w:rsid w:val="000C6DE9"/>
    <w:rsid w:val="000C7157"/>
    <w:rsid w:val="000C7599"/>
    <w:rsid w:val="000C769B"/>
    <w:rsid w:val="000C76D3"/>
    <w:rsid w:val="000C7957"/>
    <w:rsid w:val="000C7DB3"/>
    <w:rsid w:val="000D0286"/>
    <w:rsid w:val="000D06FA"/>
    <w:rsid w:val="000D08AB"/>
    <w:rsid w:val="000D08E3"/>
    <w:rsid w:val="000D0AFD"/>
    <w:rsid w:val="000D0B3C"/>
    <w:rsid w:val="000D16A4"/>
    <w:rsid w:val="000D1734"/>
    <w:rsid w:val="000D1D0C"/>
    <w:rsid w:val="000D1F4B"/>
    <w:rsid w:val="000D1F68"/>
    <w:rsid w:val="000D1F8F"/>
    <w:rsid w:val="000D25C5"/>
    <w:rsid w:val="000D270C"/>
    <w:rsid w:val="000D28EE"/>
    <w:rsid w:val="000D2931"/>
    <w:rsid w:val="000D299A"/>
    <w:rsid w:val="000D2C26"/>
    <w:rsid w:val="000D2C32"/>
    <w:rsid w:val="000D2D90"/>
    <w:rsid w:val="000D2FBC"/>
    <w:rsid w:val="000D2FF0"/>
    <w:rsid w:val="000D3473"/>
    <w:rsid w:val="000D366C"/>
    <w:rsid w:val="000D419F"/>
    <w:rsid w:val="000D42E2"/>
    <w:rsid w:val="000D4521"/>
    <w:rsid w:val="000D4559"/>
    <w:rsid w:val="000D4B45"/>
    <w:rsid w:val="000D5149"/>
    <w:rsid w:val="000D5413"/>
    <w:rsid w:val="000D5520"/>
    <w:rsid w:val="000D556D"/>
    <w:rsid w:val="000D563B"/>
    <w:rsid w:val="000D57ED"/>
    <w:rsid w:val="000D5BE3"/>
    <w:rsid w:val="000D5C89"/>
    <w:rsid w:val="000D5D09"/>
    <w:rsid w:val="000D5DEB"/>
    <w:rsid w:val="000D619F"/>
    <w:rsid w:val="000D629E"/>
    <w:rsid w:val="000D6A5C"/>
    <w:rsid w:val="000D70DC"/>
    <w:rsid w:val="000D71F5"/>
    <w:rsid w:val="000D72DB"/>
    <w:rsid w:val="000D7712"/>
    <w:rsid w:val="000D7A62"/>
    <w:rsid w:val="000D7F9E"/>
    <w:rsid w:val="000E002E"/>
    <w:rsid w:val="000E003D"/>
    <w:rsid w:val="000E029A"/>
    <w:rsid w:val="000E02FA"/>
    <w:rsid w:val="000E032E"/>
    <w:rsid w:val="000E05D6"/>
    <w:rsid w:val="000E0601"/>
    <w:rsid w:val="000E0971"/>
    <w:rsid w:val="000E0E8B"/>
    <w:rsid w:val="000E0FCE"/>
    <w:rsid w:val="000E138A"/>
    <w:rsid w:val="000E1512"/>
    <w:rsid w:val="000E1715"/>
    <w:rsid w:val="000E177F"/>
    <w:rsid w:val="000E17E9"/>
    <w:rsid w:val="000E1A76"/>
    <w:rsid w:val="000E1C16"/>
    <w:rsid w:val="000E1F91"/>
    <w:rsid w:val="000E20C6"/>
    <w:rsid w:val="000E230A"/>
    <w:rsid w:val="000E23FE"/>
    <w:rsid w:val="000E2933"/>
    <w:rsid w:val="000E29C3"/>
    <w:rsid w:val="000E2AB6"/>
    <w:rsid w:val="000E2C6F"/>
    <w:rsid w:val="000E2D72"/>
    <w:rsid w:val="000E33DB"/>
    <w:rsid w:val="000E3581"/>
    <w:rsid w:val="000E3A16"/>
    <w:rsid w:val="000E3AC7"/>
    <w:rsid w:val="000E3D16"/>
    <w:rsid w:val="000E3E40"/>
    <w:rsid w:val="000E3E7B"/>
    <w:rsid w:val="000E405C"/>
    <w:rsid w:val="000E406A"/>
    <w:rsid w:val="000E4246"/>
    <w:rsid w:val="000E45E1"/>
    <w:rsid w:val="000E4BC2"/>
    <w:rsid w:val="000E4C25"/>
    <w:rsid w:val="000E4EDB"/>
    <w:rsid w:val="000E5007"/>
    <w:rsid w:val="000E5A34"/>
    <w:rsid w:val="000E5BAB"/>
    <w:rsid w:val="000E5F0F"/>
    <w:rsid w:val="000E6098"/>
    <w:rsid w:val="000E6116"/>
    <w:rsid w:val="000E61B0"/>
    <w:rsid w:val="000E643D"/>
    <w:rsid w:val="000E64F2"/>
    <w:rsid w:val="000E666D"/>
    <w:rsid w:val="000E6696"/>
    <w:rsid w:val="000E673A"/>
    <w:rsid w:val="000E6805"/>
    <w:rsid w:val="000E6B44"/>
    <w:rsid w:val="000E6CCD"/>
    <w:rsid w:val="000E6EB8"/>
    <w:rsid w:val="000E7077"/>
    <w:rsid w:val="000E70E5"/>
    <w:rsid w:val="000E7660"/>
    <w:rsid w:val="000E79F2"/>
    <w:rsid w:val="000E7C59"/>
    <w:rsid w:val="000F09C5"/>
    <w:rsid w:val="000F0A09"/>
    <w:rsid w:val="000F0A17"/>
    <w:rsid w:val="000F0A48"/>
    <w:rsid w:val="000F0D4E"/>
    <w:rsid w:val="000F0DF2"/>
    <w:rsid w:val="000F0F56"/>
    <w:rsid w:val="000F1049"/>
    <w:rsid w:val="000F169F"/>
    <w:rsid w:val="000F16BB"/>
    <w:rsid w:val="000F176C"/>
    <w:rsid w:val="000F1E69"/>
    <w:rsid w:val="000F256C"/>
    <w:rsid w:val="000F25ED"/>
    <w:rsid w:val="000F279D"/>
    <w:rsid w:val="000F27B4"/>
    <w:rsid w:val="000F29EA"/>
    <w:rsid w:val="000F2B53"/>
    <w:rsid w:val="000F2C23"/>
    <w:rsid w:val="000F2C95"/>
    <w:rsid w:val="000F2D75"/>
    <w:rsid w:val="000F30F7"/>
    <w:rsid w:val="000F31C4"/>
    <w:rsid w:val="000F3422"/>
    <w:rsid w:val="000F3449"/>
    <w:rsid w:val="000F3EB2"/>
    <w:rsid w:val="000F3F39"/>
    <w:rsid w:val="000F4050"/>
    <w:rsid w:val="000F4051"/>
    <w:rsid w:val="000F4594"/>
    <w:rsid w:val="000F47BD"/>
    <w:rsid w:val="000F4CAE"/>
    <w:rsid w:val="000F4CBF"/>
    <w:rsid w:val="000F4E68"/>
    <w:rsid w:val="000F4F23"/>
    <w:rsid w:val="000F5185"/>
    <w:rsid w:val="000F5525"/>
    <w:rsid w:val="000F5530"/>
    <w:rsid w:val="000F5813"/>
    <w:rsid w:val="000F5B9D"/>
    <w:rsid w:val="000F608B"/>
    <w:rsid w:val="000F632A"/>
    <w:rsid w:val="000F643D"/>
    <w:rsid w:val="000F6444"/>
    <w:rsid w:val="000F6DC1"/>
    <w:rsid w:val="000F6F58"/>
    <w:rsid w:val="000F73B5"/>
    <w:rsid w:val="000F73D1"/>
    <w:rsid w:val="000F757F"/>
    <w:rsid w:val="000F76B9"/>
    <w:rsid w:val="000F7BD5"/>
    <w:rsid w:val="000F7CFB"/>
    <w:rsid w:val="000F7E4A"/>
    <w:rsid w:val="001002D8"/>
    <w:rsid w:val="001004B3"/>
    <w:rsid w:val="001004E9"/>
    <w:rsid w:val="00100582"/>
    <w:rsid w:val="0010079C"/>
    <w:rsid w:val="0010087F"/>
    <w:rsid w:val="0010120E"/>
    <w:rsid w:val="001012DA"/>
    <w:rsid w:val="001014F4"/>
    <w:rsid w:val="001015CD"/>
    <w:rsid w:val="00101A0A"/>
    <w:rsid w:val="00101C89"/>
    <w:rsid w:val="00101E9F"/>
    <w:rsid w:val="001022E6"/>
    <w:rsid w:val="0010239A"/>
    <w:rsid w:val="001024BB"/>
    <w:rsid w:val="001025E3"/>
    <w:rsid w:val="0010281E"/>
    <w:rsid w:val="00102C39"/>
    <w:rsid w:val="00102C75"/>
    <w:rsid w:val="001030FB"/>
    <w:rsid w:val="0010310B"/>
    <w:rsid w:val="001031A2"/>
    <w:rsid w:val="001033B4"/>
    <w:rsid w:val="001037ED"/>
    <w:rsid w:val="0010387E"/>
    <w:rsid w:val="00103997"/>
    <w:rsid w:val="00103B3A"/>
    <w:rsid w:val="00103CD8"/>
    <w:rsid w:val="00103FA7"/>
    <w:rsid w:val="001041C6"/>
    <w:rsid w:val="001047DB"/>
    <w:rsid w:val="00104804"/>
    <w:rsid w:val="00104B92"/>
    <w:rsid w:val="00104DAE"/>
    <w:rsid w:val="001059F7"/>
    <w:rsid w:val="00105A8B"/>
    <w:rsid w:val="00105B57"/>
    <w:rsid w:val="00105C34"/>
    <w:rsid w:val="00105DE3"/>
    <w:rsid w:val="00105E11"/>
    <w:rsid w:val="0010629C"/>
    <w:rsid w:val="001068CE"/>
    <w:rsid w:val="0010694D"/>
    <w:rsid w:val="001069BD"/>
    <w:rsid w:val="00106C60"/>
    <w:rsid w:val="00106CD2"/>
    <w:rsid w:val="00106D1A"/>
    <w:rsid w:val="00106E34"/>
    <w:rsid w:val="00106E72"/>
    <w:rsid w:val="00106FE8"/>
    <w:rsid w:val="0010726C"/>
    <w:rsid w:val="00107545"/>
    <w:rsid w:val="0010770D"/>
    <w:rsid w:val="001078EF"/>
    <w:rsid w:val="00107BA5"/>
    <w:rsid w:val="00107CD5"/>
    <w:rsid w:val="00107F31"/>
    <w:rsid w:val="00110098"/>
    <w:rsid w:val="00110324"/>
    <w:rsid w:val="00110824"/>
    <w:rsid w:val="00110861"/>
    <w:rsid w:val="00110BC5"/>
    <w:rsid w:val="00111087"/>
    <w:rsid w:val="0011126B"/>
    <w:rsid w:val="00111339"/>
    <w:rsid w:val="001114A7"/>
    <w:rsid w:val="001115DD"/>
    <w:rsid w:val="00111722"/>
    <w:rsid w:val="00111724"/>
    <w:rsid w:val="00111B11"/>
    <w:rsid w:val="00111E9B"/>
    <w:rsid w:val="00112123"/>
    <w:rsid w:val="00112161"/>
    <w:rsid w:val="0011216D"/>
    <w:rsid w:val="00112342"/>
    <w:rsid w:val="001123BD"/>
    <w:rsid w:val="0011257C"/>
    <w:rsid w:val="00112591"/>
    <w:rsid w:val="00112599"/>
    <w:rsid w:val="00112960"/>
    <w:rsid w:val="00112BDA"/>
    <w:rsid w:val="00112E13"/>
    <w:rsid w:val="00112F0A"/>
    <w:rsid w:val="00112F28"/>
    <w:rsid w:val="0011311D"/>
    <w:rsid w:val="0011342C"/>
    <w:rsid w:val="001136EC"/>
    <w:rsid w:val="00113742"/>
    <w:rsid w:val="001138D1"/>
    <w:rsid w:val="00113B02"/>
    <w:rsid w:val="00113B1E"/>
    <w:rsid w:val="00114322"/>
    <w:rsid w:val="0011470B"/>
    <w:rsid w:val="001148B8"/>
    <w:rsid w:val="00114BF8"/>
    <w:rsid w:val="00114C6B"/>
    <w:rsid w:val="00114EB1"/>
    <w:rsid w:val="00114FCE"/>
    <w:rsid w:val="00115043"/>
    <w:rsid w:val="00115138"/>
    <w:rsid w:val="00115597"/>
    <w:rsid w:val="0011562A"/>
    <w:rsid w:val="00115A4C"/>
    <w:rsid w:val="00115D04"/>
    <w:rsid w:val="00116061"/>
    <w:rsid w:val="00116640"/>
    <w:rsid w:val="00116737"/>
    <w:rsid w:val="001167DB"/>
    <w:rsid w:val="0011686F"/>
    <w:rsid w:val="001168B9"/>
    <w:rsid w:val="00116C00"/>
    <w:rsid w:val="00116E42"/>
    <w:rsid w:val="001174BE"/>
    <w:rsid w:val="0011781E"/>
    <w:rsid w:val="00117A25"/>
    <w:rsid w:val="00117A8C"/>
    <w:rsid w:val="00117BE3"/>
    <w:rsid w:val="00117E32"/>
    <w:rsid w:val="00117FE1"/>
    <w:rsid w:val="00120064"/>
    <w:rsid w:val="00120263"/>
    <w:rsid w:val="0012038E"/>
    <w:rsid w:val="0012041A"/>
    <w:rsid w:val="0012047C"/>
    <w:rsid w:val="001204CF"/>
    <w:rsid w:val="001206EE"/>
    <w:rsid w:val="00120779"/>
    <w:rsid w:val="001207FE"/>
    <w:rsid w:val="00120A19"/>
    <w:rsid w:val="00120AA7"/>
    <w:rsid w:val="00120B58"/>
    <w:rsid w:val="00120BB2"/>
    <w:rsid w:val="00120BDE"/>
    <w:rsid w:val="00120D6A"/>
    <w:rsid w:val="00120E3C"/>
    <w:rsid w:val="001210FC"/>
    <w:rsid w:val="0012111E"/>
    <w:rsid w:val="00121130"/>
    <w:rsid w:val="00121182"/>
    <w:rsid w:val="00121184"/>
    <w:rsid w:val="0012120B"/>
    <w:rsid w:val="00121450"/>
    <w:rsid w:val="001214F8"/>
    <w:rsid w:val="00121526"/>
    <w:rsid w:val="0012155C"/>
    <w:rsid w:val="0012176A"/>
    <w:rsid w:val="0012191C"/>
    <w:rsid w:val="00121ADF"/>
    <w:rsid w:val="00121CB6"/>
    <w:rsid w:val="00121CD9"/>
    <w:rsid w:val="00121DFE"/>
    <w:rsid w:val="00121EBD"/>
    <w:rsid w:val="001225C5"/>
    <w:rsid w:val="0012274E"/>
    <w:rsid w:val="00122764"/>
    <w:rsid w:val="00122DCC"/>
    <w:rsid w:val="00122DDD"/>
    <w:rsid w:val="00123129"/>
    <w:rsid w:val="00123A04"/>
    <w:rsid w:val="00124029"/>
    <w:rsid w:val="00124055"/>
    <w:rsid w:val="00124105"/>
    <w:rsid w:val="0012440D"/>
    <w:rsid w:val="00124A9C"/>
    <w:rsid w:val="00124B58"/>
    <w:rsid w:val="00124C60"/>
    <w:rsid w:val="00124DBE"/>
    <w:rsid w:val="0012539F"/>
    <w:rsid w:val="0012557D"/>
    <w:rsid w:val="001257A2"/>
    <w:rsid w:val="00125F60"/>
    <w:rsid w:val="00125FF7"/>
    <w:rsid w:val="0012620C"/>
    <w:rsid w:val="00126428"/>
    <w:rsid w:val="0012644D"/>
    <w:rsid w:val="0012669A"/>
    <w:rsid w:val="001267C6"/>
    <w:rsid w:val="00126ED2"/>
    <w:rsid w:val="00126FAC"/>
    <w:rsid w:val="001275B9"/>
    <w:rsid w:val="00127867"/>
    <w:rsid w:val="001278D6"/>
    <w:rsid w:val="00127935"/>
    <w:rsid w:val="00127DB8"/>
    <w:rsid w:val="0013080A"/>
    <w:rsid w:val="00130C80"/>
    <w:rsid w:val="00130CB9"/>
    <w:rsid w:val="00130F3B"/>
    <w:rsid w:val="00131051"/>
    <w:rsid w:val="0013107F"/>
    <w:rsid w:val="00131089"/>
    <w:rsid w:val="0013119F"/>
    <w:rsid w:val="0013127F"/>
    <w:rsid w:val="0013133D"/>
    <w:rsid w:val="00131434"/>
    <w:rsid w:val="001316B4"/>
    <w:rsid w:val="00131B4F"/>
    <w:rsid w:val="00131BC7"/>
    <w:rsid w:val="00131CA3"/>
    <w:rsid w:val="00131E31"/>
    <w:rsid w:val="0013239D"/>
    <w:rsid w:val="00132497"/>
    <w:rsid w:val="001326E7"/>
    <w:rsid w:val="00132A6E"/>
    <w:rsid w:val="00132A71"/>
    <w:rsid w:val="00132B5D"/>
    <w:rsid w:val="001333A2"/>
    <w:rsid w:val="00133436"/>
    <w:rsid w:val="001334B4"/>
    <w:rsid w:val="0013375B"/>
    <w:rsid w:val="001337F2"/>
    <w:rsid w:val="00133AEF"/>
    <w:rsid w:val="00133C4E"/>
    <w:rsid w:val="00133D61"/>
    <w:rsid w:val="00133EE4"/>
    <w:rsid w:val="00134115"/>
    <w:rsid w:val="0013444F"/>
    <w:rsid w:val="00134B28"/>
    <w:rsid w:val="00134D33"/>
    <w:rsid w:val="00134E27"/>
    <w:rsid w:val="00134F55"/>
    <w:rsid w:val="0013514D"/>
    <w:rsid w:val="001351E8"/>
    <w:rsid w:val="0013526F"/>
    <w:rsid w:val="00135393"/>
    <w:rsid w:val="00135966"/>
    <w:rsid w:val="00135B56"/>
    <w:rsid w:val="00136643"/>
    <w:rsid w:val="001368E1"/>
    <w:rsid w:val="0013690C"/>
    <w:rsid w:val="001369B0"/>
    <w:rsid w:val="0013731B"/>
    <w:rsid w:val="001373D3"/>
    <w:rsid w:val="001375D2"/>
    <w:rsid w:val="00137890"/>
    <w:rsid w:val="00137A4D"/>
    <w:rsid w:val="00137F59"/>
    <w:rsid w:val="00137F75"/>
    <w:rsid w:val="001401BE"/>
    <w:rsid w:val="00140217"/>
    <w:rsid w:val="00140A75"/>
    <w:rsid w:val="00140E2E"/>
    <w:rsid w:val="00140EB8"/>
    <w:rsid w:val="00141049"/>
    <w:rsid w:val="0014122B"/>
    <w:rsid w:val="00141380"/>
    <w:rsid w:val="001415CC"/>
    <w:rsid w:val="001417D8"/>
    <w:rsid w:val="001417FE"/>
    <w:rsid w:val="00141A90"/>
    <w:rsid w:val="00141B30"/>
    <w:rsid w:val="00141BDB"/>
    <w:rsid w:val="00141F39"/>
    <w:rsid w:val="00142418"/>
    <w:rsid w:val="001425FB"/>
    <w:rsid w:val="001427FF"/>
    <w:rsid w:val="00142830"/>
    <w:rsid w:val="00142901"/>
    <w:rsid w:val="00142CA6"/>
    <w:rsid w:val="00142F0B"/>
    <w:rsid w:val="00143200"/>
    <w:rsid w:val="0014338B"/>
    <w:rsid w:val="00143559"/>
    <w:rsid w:val="00143B92"/>
    <w:rsid w:val="00143B9B"/>
    <w:rsid w:val="001442B7"/>
    <w:rsid w:val="00144D32"/>
    <w:rsid w:val="00144DB3"/>
    <w:rsid w:val="00144E4A"/>
    <w:rsid w:val="001450AB"/>
    <w:rsid w:val="00145519"/>
    <w:rsid w:val="00145905"/>
    <w:rsid w:val="00145911"/>
    <w:rsid w:val="00145B49"/>
    <w:rsid w:val="00145B79"/>
    <w:rsid w:val="00145D02"/>
    <w:rsid w:val="00145F3F"/>
    <w:rsid w:val="00145FF9"/>
    <w:rsid w:val="00146105"/>
    <w:rsid w:val="001463B0"/>
    <w:rsid w:val="001466A0"/>
    <w:rsid w:val="00146A43"/>
    <w:rsid w:val="00146CAA"/>
    <w:rsid w:val="00146DA5"/>
    <w:rsid w:val="00147141"/>
    <w:rsid w:val="001477F0"/>
    <w:rsid w:val="00147E76"/>
    <w:rsid w:val="00147F6D"/>
    <w:rsid w:val="00147F81"/>
    <w:rsid w:val="00150290"/>
    <w:rsid w:val="00150367"/>
    <w:rsid w:val="00150669"/>
    <w:rsid w:val="00150876"/>
    <w:rsid w:val="001509C2"/>
    <w:rsid w:val="001509F0"/>
    <w:rsid w:val="00150B30"/>
    <w:rsid w:val="00150D11"/>
    <w:rsid w:val="0015148F"/>
    <w:rsid w:val="00151698"/>
    <w:rsid w:val="00151820"/>
    <w:rsid w:val="001518DA"/>
    <w:rsid w:val="00151A70"/>
    <w:rsid w:val="00151D32"/>
    <w:rsid w:val="00151E30"/>
    <w:rsid w:val="001523E9"/>
    <w:rsid w:val="00152422"/>
    <w:rsid w:val="001525A6"/>
    <w:rsid w:val="00152667"/>
    <w:rsid w:val="001526BE"/>
    <w:rsid w:val="00152884"/>
    <w:rsid w:val="001528A7"/>
    <w:rsid w:val="00152C90"/>
    <w:rsid w:val="00152F21"/>
    <w:rsid w:val="001532F4"/>
    <w:rsid w:val="001533C0"/>
    <w:rsid w:val="0015349F"/>
    <w:rsid w:val="00153516"/>
    <w:rsid w:val="00153778"/>
    <w:rsid w:val="0015397C"/>
    <w:rsid w:val="00153B87"/>
    <w:rsid w:val="00153C74"/>
    <w:rsid w:val="00153D0F"/>
    <w:rsid w:val="00153D29"/>
    <w:rsid w:val="00153E91"/>
    <w:rsid w:val="00154070"/>
    <w:rsid w:val="001540F2"/>
    <w:rsid w:val="00154125"/>
    <w:rsid w:val="0015440A"/>
    <w:rsid w:val="00154496"/>
    <w:rsid w:val="0015492F"/>
    <w:rsid w:val="00154BEF"/>
    <w:rsid w:val="00154CA6"/>
    <w:rsid w:val="00154E56"/>
    <w:rsid w:val="00154FB4"/>
    <w:rsid w:val="00155110"/>
    <w:rsid w:val="001551B8"/>
    <w:rsid w:val="001551CA"/>
    <w:rsid w:val="001552B7"/>
    <w:rsid w:val="00155352"/>
    <w:rsid w:val="001554B7"/>
    <w:rsid w:val="001556EE"/>
    <w:rsid w:val="00155B6E"/>
    <w:rsid w:val="00156189"/>
    <w:rsid w:val="001567EB"/>
    <w:rsid w:val="00156C85"/>
    <w:rsid w:val="00156DF0"/>
    <w:rsid w:val="00156F92"/>
    <w:rsid w:val="0015725C"/>
    <w:rsid w:val="001572D1"/>
    <w:rsid w:val="00157987"/>
    <w:rsid w:val="00157A47"/>
    <w:rsid w:val="00157BC6"/>
    <w:rsid w:val="00157C83"/>
    <w:rsid w:val="00160400"/>
    <w:rsid w:val="00160468"/>
    <w:rsid w:val="001607A4"/>
    <w:rsid w:val="00160F37"/>
    <w:rsid w:val="00161230"/>
    <w:rsid w:val="001613D2"/>
    <w:rsid w:val="00161749"/>
    <w:rsid w:val="0016175D"/>
    <w:rsid w:val="001620BE"/>
    <w:rsid w:val="001624C7"/>
    <w:rsid w:val="00162A23"/>
    <w:rsid w:val="00163470"/>
    <w:rsid w:val="001635B0"/>
    <w:rsid w:val="00163A25"/>
    <w:rsid w:val="00163C75"/>
    <w:rsid w:val="0016413B"/>
    <w:rsid w:val="00164283"/>
    <w:rsid w:val="001647A4"/>
    <w:rsid w:val="001647FA"/>
    <w:rsid w:val="0016489C"/>
    <w:rsid w:val="00164A54"/>
    <w:rsid w:val="00164E12"/>
    <w:rsid w:val="00164E51"/>
    <w:rsid w:val="00165321"/>
    <w:rsid w:val="001655D9"/>
    <w:rsid w:val="00165710"/>
    <w:rsid w:val="00165A7F"/>
    <w:rsid w:val="00165B01"/>
    <w:rsid w:val="00165CBE"/>
    <w:rsid w:val="00165D18"/>
    <w:rsid w:val="00165D1A"/>
    <w:rsid w:val="001661A7"/>
    <w:rsid w:val="001665DB"/>
    <w:rsid w:val="0016670D"/>
    <w:rsid w:val="0016695A"/>
    <w:rsid w:val="00166AD0"/>
    <w:rsid w:val="00166CFC"/>
    <w:rsid w:val="001670A0"/>
    <w:rsid w:val="00167142"/>
    <w:rsid w:val="00167389"/>
    <w:rsid w:val="00167699"/>
    <w:rsid w:val="00167C47"/>
    <w:rsid w:val="00167F00"/>
    <w:rsid w:val="00170111"/>
    <w:rsid w:val="0017080B"/>
    <w:rsid w:val="00170848"/>
    <w:rsid w:val="00170E25"/>
    <w:rsid w:val="00170E59"/>
    <w:rsid w:val="00170F4D"/>
    <w:rsid w:val="00170FF7"/>
    <w:rsid w:val="001715F1"/>
    <w:rsid w:val="001716F7"/>
    <w:rsid w:val="0017198C"/>
    <w:rsid w:val="00172272"/>
    <w:rsid w:val="001725C8"/>
    <w:rsid w:val="00172628"/>
    <w:rsid w:val="00172630"/>
    <w:rsid w:val="001727C2"/>
    <w:rsid w:val="00172B54"/>
    <w:rsid w:val="00172E81"/>
    <w:rsid w:val="00172FC5"/>
    <w:rsid w:val="00173BC5"/>
    <w:rsid w:val="00174054"/>
    <w:rsid w:val="00174154"/>
    <w:rsid w:val="001742A9"/>
    <w:rsid w:val="0017437F"/>
    <w:rsid w:val="00174477"/>
    <w:rsid w:val="001744D5"/>
    <w:rsid w:val="0017453A"/>
    <w:rsid w:val="0017461F"/>
    <w:rsid w:val="001746AB"/>
    <w:rsid w:val="00174870"/>
    <w:rsid w:val="00174FE6"/>
    <w:rsid w:val="00175383"/>
    <w:rsid w:val="00175561"/>
    <w:rsid w:val="001757A6"/>
    <w:rsid w:val="00175A52"/>
    <w:rsid w:val="00175FE4"/>
    <w:rsid w:val="00176250"/>
    <w:rsid w:val="001763C8"/>
    <w:rsid w:val="00176552"/>
    <w:rsid w:val="00176734"/>
    <w:rsid w:val="00176AB0"/>
    <w:rsid w:val="00176B00"/>
    <w:rsid w:val="00176CA1"/>
    <w:rsid w:val="00176DB2"/>
    <w:rsid w:val="00176E51"/>
    <w:rsid w:val="00176F5D"/>
    <w:rsid w:val="00177175"/>
    <w:rsid w:val="001774ED"/>
    <w:rsid w:val="0017783B"/>
    <w:rsid w:val="00177EAF"/>
    <w:rsid w:val="00180202"/>
    <w:rsid w:val="0018027B"/>
    <w:rsid w:val="001802A3"/>
    <w:rsid w:val="00180497"/>
    <w:rsid w:val="00180552"/>
    <w:rsid w:val="0018069E"/>
    <w:rsid w:val="001806F2"/>
    <w:rsid w:val="00180792"/>
    <w:rsid w:val="0018079D"/>
    <w:rsid w:val="001807E4"/>
    <w:rsid w:val="001809D3"/>
    <w:rsid w:val="00180D70"/>
    <w:rsid w:val="00181193"/>
    <w:rsid w:val="001815A0"/>
    <w:rsid w:val="001815CE"/>
    <w:rsid w:val="00181979"/>
    <w:rsid w:val="00181CDD"/>
    <w:rsid w:val="001821F6"/>
    <w:rsid w:val="00182224"/>
    <w:rsid w:val="001823F5"/>
    <w:rsid w:val="0018277E"/>
    <w:rsid w:val="00182DB7"/>
    <w:rsid w:val="001831B0"/>
    <w:rsid w:val="00183686"/>
    <w:rsid w:val="0018389B"/>
    <w:rsid w:val="001838BC"/>
    <w:rsid w:val="00183AD9"/>
    <w:rsid w:val="00183BD8"/>
    <w:rsid w:val="00183E55"/>
    <w:rsid w:val="00183F12"/>
    <w:rsid w:val="0018411B"/>
    <w:rsid w:val="00184149"/>
    <w:rsid w:val="0018422E"/>
    <w:rsid w:val="00184499"/>
    <w:rsid w:val="001847ED"/>
    <w:rsid w:val="00184801"/>
    <w:rsid w:val="001849D9"/>
    <w:rsid w:val="00184B8A"/>
    <w:rsid w:val="0018522C"/>
    <w:rsid w:val="00185443"/>
    <w:rsid w:val="00185612"/>
    <w:rsid w:val="001856DB"/>
    <w:rsid w:val="001856EB"/>
    <w:rsid w:val="00185931"/>
    <w:rsid w:val="001861DC"/>
    <w:rsid w:val="0018634E"/>
    <w:rsid w:val="00186387"/>
    <w:rsid w:val="00186886"/>
    <w:rsid w:val="00186C81"/>
    <w:rsid w:val="00186F82"/>
    <w:rsid w:val="00187677"/>
    <w:rsid w:val="00187ED2"/>
    <w:rsid w:val="00187F06"/>
    <w:rsid w:val="001900F7"/>
    <w:rsid w:val="00190615"/>
    <w:rsid w:val="001907DA"/>
    <w:rsid w:val="00190A2B"/>
    <w:rsid w:val="00190E11"/>
    <w:rsid w:val="0019120E"/>
    <w:rsid w:val="00191278"/>
    <w:rsid w:val="00191642"/>
    <w:rsid w:val="001918F7"/>
    <w:rsid w:val="00191AB5"/>
    <w:rsid w:val="00191F3F"/>
    <w:rsid w:val="001922DD"/>
    <w:rsid w:val="00192510"/>
    <w:rsid w:val="0019257D"/>
    <w:rsid w:val="00192605"/>
    <w:rsid w:val="001928CB"/>
    <w:rsid w:val="00192FEF"/>
    <w:rsid w:val="0019343C"/>
    <w:rsid w:val="00193636"/>
    <w:rsid w:val="0019365B"/>
    <w:rsid w:val="0019379C"/>
    <w:rsid w:val="0019382C"/>
    <w:rsid w:val="001938EA"/>
    <w:rsid w:val="00193A84"/>
    <w:rsid w:val="00193BA1"/>
    <w:rsid w:val="00193CBE"/>
    <w:rsid w:val="00193D88"/>
    <w:rsid w:val="00193E77"/>
    <w:rsid w:val="00194270"/>
    <w:rsid w:val="00194331"/>
    <w:rsid w:val="00194742"/>
    <w:rsid w:val="00194EDB"/>
    <w:rsid w:val="001956F5"/>
    <w:rsid w:val="00196033"/>
    <w:rsid w:val="001964F8"/>
    <w:rsid w:val="001964FC"/>
    <w:rsid w:val="0019693B"/>
    <w:rsid w:val="00196CB1"/>
    <w:rsid w:val="00196CEF"/>
    <w:rsid w:val="00196F56"/>
    <w:rsid w:val="001978E4"/>
    <w:rsid w:val="00197AAB"/>
    <w:rsid w:val="00197AD1"/>
    <w:rsid w:val="00197B3D"/>
    <w:rsid w:val="00197B58"/>
    <w:rsid w:val="001A0445"/>
    <w:rsid w:val="001A04B3"/>
    <w:rsid w:val="001A0B40"/>
    <w:rsid w:val="001A121E"/>
    <w:rsid w:val="001A1500"/>
    <w:rsid w:val="001A15F2"/>
    <w:rsid w:val="001A1846"/>
    <w:rsid w:val="001A1A03"/>
    <w:rsid w:val="001A1D89"/>
    <w:rsid w:val="001A1ED9"/>
    <w:rsid w:val="001A1FE9"/>
    <w:rsid w:val="001A20F2"/>
    <w:rsid w:val="001A254D"/>
    <w:rsid w:val="001A3038"/>
    <w:rsid w:val="001A38AA"/>
    <w:rsid w:val="001A3B0E"/>
    <w:rsid w:val="001A3C5E"/>
    <w:rsid w:val="001A3D93"/>
    <w:rsid w:val="001A3D9A"/>
    <w:rsid w:val="001A3E84"/>
    <w:rsid w:val="001A3F5B"/>
    <w:rsid w:val="001A4085"/>
    <w:rsid w:val="001A4126"/>
    <w:rsid w:val="001A42EE"/>
    <w:rsid w:val="001A4535"/>
    <w:rsid w:val="001A4946"/>
    <w:rsid w:val="001A4B50"/>
    <w:rsid w:val="001A4E11"/>
    <w:rsid w:val="001A4EFF"/>
    <w:rsid w:val="001A55F6"/>
    <w:rsid w:val="001A5799"/>
    <w:rsid w:val="001A5919"/>
    <w:rsid w:val="001A5A38"/>
    <w:rsid w:val="001A5A75"/>
    <w:rsid w:val="001A60C6"/>
    <w:rsid w:val="001A6240"/>
    <w:rsid w:val="001A65D4"/>
    <w:rsid w:val="001A663D"/>
    <w:rsid w:val="001A66F0"/>
    <w:rsid w:val="001A67F7"/>
    <w:rsid w:val="001A6A9D"/>
    <w:rsid w:val="001A6D58"/>
    <w:rsid w:val="001A6D66"/>
    <w:rsid w:val="001A6E31"/>
    <w:rsid w:val="001A75D8"/>
    <w:rsid w:val="001A76FD"/>
    <w:rsid w:val="001A7731"/>
    <w:rsid w:val="001A78EF"/>
    <w:rsid w:val="001A7A59"/>
    <w:rsid w:val="001A7BB2"/>
    <w:rsid w:val="001A7F4F"/>
    <w:rsid w:val="001A7F80"/>
    <w:rsid w:val="001B0016"/>
    <w:rsid w:val="001B0036"/>
    <w:rsid w:val="001B018B"/>
    <w:rsid w:val="001B061A"/>
    <w:rsid w:val="001B066F"/>
    <w:rsid w:val="001B0D0F"/>
    <w:rsid w:val="001B0E23"/>
    <w:rsid w:val="001B0ED8"/>
    <w:rsid w:val="001B130B"/>
    <w:rsid w:val="001B1356"/>
    <w:rsid w:val="001B13D7"/>
    <w:rsid w:val="001B18BF"/>
    <w:rsid w:val="001B1F96"/>
    <w:rsid w:val="001B2317"/>
    <w:rsid w:val="001B23DC"/>
    <w:rsid w:val="001B26A2"/>
    <w:rsid w:val="001B27A3"/>
    <w:rsid w:val="001B27BB"/>
    <w:rsid w:val="001B2B4F"/>
    <w:rsid w:val="001B30B8"/>
    <w:rsid w:val="001B37D1"/>
    <w:rsid w:val="001B3CF4"/>
    <w:rsid w:val="001B3CFD"/>
    <w:rsid w:val="001B3F7E"/>
    <w:rsid w:val="001B42A2"/>
    <w:rsid w:val="001B45EE"/>
    <w:rsid w:val="001B4976"/>
    <w:rsid w:val="001B4B50"/>
    <w:rsid w:val="001B4B7D"/>
    <w:rsid w:val="001B4C49"/>
    <w:rsid w:val="001B4DF9"/>
    <w:rsid w:val="001B4F08"/>
    <w:rsid w:val="001B4FF4"/>
    <w:rsid w:val="001B516B"/>
    <w:rsid w:val="001B51E9"/>
    <w:rsid w:val="001B5247"/>
    <w:rsid w:val="001B52EF"/>
    <w:rsid w:val="001B56C1"/>
    <w:rsid w:val="001B5ED2"/>
    <w:rsid w:val="001B602B"/>
    <w:rsid w:val="001B603C"/>
    <w:rsid w:val="001B620F"/>
    <w:rsid w:val="001B62CD"/>
    <w:rsid w:val="001B6A82"/>
    <w:rsid w:val="001B6C66"/>
    <w:rsid w:val="001B6C7D"/>
    <w:rsid w:val="001B715C"/>
    <w:rsid w:val="001B729C"/>
    <w:rsid w:val="001B739C"/>
    <w:rsid w:val="001B760D"/>
    <w:rsid w:val="001B78B9"/>
    <w:rsid w:val="001B799F"/>
    <w:rsid w:val="001B7DB8"/>
    <w:rsid w:val="001C011F"/>
    <w:rsid w:val="001C0518"/>
    <w:rsid w:val="001C0650"/>
    <w:rsid w:val="001C06B5"/>
    <w:rsid w:val="001C0832"/>
    <w:rsid w:val="001C0880"/>
    <w:rsid w:val="001C08AA"/>
    <w:rsid w:val="001C0919"/>
    <w:rsid w:val="001C0B48"/>
    <w:rsid w:val="001C0B70"/>
    <w:rsid w:val="001C0E05"/>
    <w:rsid w:val="001C1420"/>
    <w:rsid w:val="001C16D2"/>
    <w:rsid w:val="001C1C70"/>
    <w:rsid w:val="001C1E61"/>
    <w:rsid w:val="001C22F9"/>
    <w:rsid w:val="001C26D1"/>
    <w:rsid w:val="001C2905"/>
    <w:rsid w:val="001C2B06"/>
    <w:rsid w:val="001C2BB8"/>
    <w:rsid w:val="001C2DBC"/>
    <w:rsid w:val="001C2ECF"/>
    <w:rsid w:val="001C2F8D"/>
    <w:rsid w:val="001C304F"/>
    <w:rsid w:val="001C333F"/>
    <w:rsid w:val="001C3651"/>
    <w:rsid w:val="001C36A4"/>
    <w:rsid w:val="001C36C4"/>
    <w:rsid w:val="001C375D"/>
    <w:rsid w:val="001C378A"/>
    <w:rsid w:val="001C3A23"/>
    <w:rsid w:val="001C4235"/>
    <w:rsid w:val="001C427D"/>
    <w:rsid w:val="001C43F2"/>
    <w:rsid w:val="001C48D3"/>
    <w:rsid w:val="001C4948"/>
    <w:rsid w:val="001C505E"/>
    <w:rsid w:val="001C50BE"/>
    <w:rsid w:val="001C53A7"/>
    <w:rsid w:val="001C53DD"/>
    <w:rsid w:val="001C56DC"/>
    <w:rsid w:val="001C57B4"/>
    <w:rsid w:val="001C5A86"/>
    <w:rsid w:val="001C5B82"/>
    <w:rsid w:val="001C5F4F"/>
    <w:rsid w:val="001C64D6"/>
    <w:rsid w:val="001C6694"/>
    <w:rsid w:val="001C66C4"/>
    <w:rsid w:val="001C68BF"/>
    <w:rsid w:val="001C69D4"/>
    <w:rsid w:val="001C7316"/>
    <w:rsid w:val="001C7337"/>
    <w:rsid w:val="001C772C"/>
    <w:rsid w:val="001C787C"/>
    <w:rsid w:val="001C7978"/>
    <w:rsid w:val="001C7A4E"/>
    <w:rsid w:val="001D029B"/>
    <w:rsid w:val="001D03C1"/>
    <w:rsid w:val="001D04A7"/>
    <w:rsid w:val="001D0501"/>
    <w:rsid w:val="001D0AE2"/>
    <w:rsid w:val="001D1144"/>
    <w:rsid w:val="001D13C4"/>
    <w:rsid w:val="001D15EC"/>
    <w:rsid w:val="001D1CDC"/>
    <w:rsid w:val="001D2108"/>
    <w:rsid w:val="001D22D5"/>
    <w:rsid w:val="001D2528"/>
    <w:rsid w:val="001D26B5"/>
    <w:rsid w:val="001D2733"/>
    <w:rsid w:val="001D27CF"/>
    <w:rsid w:val="001D2A7D"/>
    <w:rsid w:val="001D2D82"/>
    <w:rsid w:val="001D2FF9"/>
    <w:rsid w:val="001D3009"/>
    <w:rsid w:val="001D3236"/>
    <w:rsid w:val="001D3281"/>
    <w:rsid w:val="001D38BF"/>
    <w:rsid w:val="001D40D9"/>
    <w:rsid w:val="001D41B8"/>
    <w:rsid w:val="001D4487"/>
    <w:rsid w:val="001D487B"/>
    <w:rsid w:val="001D4A48"/>
    <w:rsid w:val="001D511D"/>
    <w:rsid w:val="001D53FF"/>
    <w:rsid w:val="001D5468"/>
    <w:rsid w:val="001D56C2"/>
    <w:rsid w:val="001D5718"/>
    <w:rsid w:val="001D58BE"/>
    <w:rsid w:val="001D5B20"/>
    <w:rsid w:val="001D5B8A"/>
    <w:rsid w:val="001D5BF2"/>
    <w:rsid w:val="001D5C13"/>
    <w:rsid w:val="001D5EAA"/>
    <w:rsid w:val="001D6037"/>
    <w:rsid w:val="001D6890"/>
    <w:rsid w:val="001D68A1"/>
    <w:rsid w:val="001D6CD2"/>
    <w:rsid w:val="001D7012"/>
    <w:rsid w:val="001D71D6"/>
    <w:rsid w:val="001D76BB"/>
    <w:rsid w:val="001D7AA0"/>
    <w:rsid w:val="001D7D5B"/>
    <w:rsid w:val="001D7F2A"/>
    <w:rsid w:val="001E0133"/>
    <w:rsid w:val="001E04E2"/>
    <w:rsid w:val="001E05F0"/>
    <w:rsid w:val="001E0669"/>
    <w:rsid w:val="001E0AFA"/>
    <w:rsid w:val="001E18F0"/>
    <w:rsid w:val="001E1AA8"/>
    <w:rsid w:val="001E1BEA"/>
    <w:rsid w:val="001E1D39"/>
    <w:rsid w:val="001E1F9F"/>
    <w:rsid w:val="001E1FB4"/>
    <w:rsid w:val="001E2175"/>
    <w:rsid w:val="001E219D"/>
    <w:rsid w:val="001E2232"/>
    <w:rsid w:val="001E2326"/>
    <w:rsid w:val="001E2428"/>
    <w:rsid w:val="001E26EE"/>
    <w:rsid w:val="001E2B8E"/>
    <w:rsid w:val="001E2C78"/>
    <w:rsid w:val="001E3373"/>
    <w:rsid w:val="001E351A"/>
    <w:rsid w:val="001E3684"/>
    <w:rsid w:val="001E37E0"/>
    <w:rsid w:val="001E39DB"/>
    <w:rsid w:val="001E3DCB"/>
    <w:rsid w:val="001E3E47"/>
    <w:rsid w:val="001E414F"/>
    <w:rsid w:val="001E4196"/>
    <w:rsid w:val="001E49F8"/>
    <w:rsid w:val="001E4E12"/>
    <w:rsid w:val="001E4E26"/>
    <w:rsid w:val="001E4EBA"/>
    <w:rsid w:val="001E5212"/>
    <w:rsid w:val="001E5407"/>
    <w:rsid w:val="001E54A3"/>
    <w:rsid w:val="001E553D"/>
    <w:rsid w:val="001E586E"/>
    <w:rsid w:val="001E5B0F"/>
    <w:rsid w:val="001E5C30"/>
    <w:rsid w:val="001E5CCE"/>
    <w:rsid w:val="001E5E4F"/>
    <w:rsid w:val="001E6217"/>
    <w:rsid w:val="001E6DA8"/>
    <w:rsid w:val="001E6EFC"/>
    <w:rsid w:val="001E70E5"/>
    <w:rsid w:val="001E77E8"/>
    <w:rsid w:val="001E7F8E"/>
    <w:rsid w:val="001F00E0"/>
    <w:rsid w:val="001F02EC"/>
    <w:rsid w:val="001F0EE3"/>
    <w:rsid w:val="001F0F3F"/>
    <w:rsid w:val="001F11B5"/>
    <w:rsid w:val="001F12FB"/>
    <w:rsid w:val="001F153B"/>
    <w:rsid w:val="001F16D1"/>
    <w:rsid w:val="001F1763"/>
    <w:rsid w:val="001F1B08"/>
    <w:rsid w:val="001F1B5B"/>
    <w:rsid w:val="001F1DCD"/>
    <w:rsid w:val="001F2079"/>
    <w:rsid w:val="001F2192"/>
    <w:rsid w:val="001F22B6"/>
    <w:rsid w:val="001F23DB"/>
    <w:rsid w:val="001F254D"/>
    <w:rsid w:val="001F28A9"/>
    <w:rsid w:val="001F299C"/>
    <w:rsid w:val="001F29E4"/>
    <w:rsid w:val="001F2C62"/>
    <w:rsid w:val="001F2DFB"/>
    <w:rsid w:val="001F30A5"/>
    <w:rsid w:val="001F3168"/>
    <w:rsid w:val="001F3195"/>
    <w:rsid w:val="001F3398"/>
    <w:rsid w:val="001F3701"/>
    <w:rsid w:val="001F3D02"/>
    <w:rsid w:val="001F3F3E"/>
    <w:rsid w:val="001F3FCC"/>
    <w:rsid w:val="001F42FA"/>
    <w:rsid w:val="001F467C"/>
    <w:rsid w:val="001F46B9"/>
    <w:rsid w:val="001F4A60"/>
    <w:rsid w:val="001F4C71"/>
    <w:rsid w:val="001F4D24"/>
    <w:rsid w:val="001F4EA1"/>
    <w:rsid w:val="001F4EC7"/>
    <w:rsid w:val="001F50F7"/>
    <w:rsid w:val="001F55D1"/>
    <w:rsid w:val="001F5908"/>
    <w:rsid w:val="001F5D81"/>
    <w:rsid w:val="001F5FF3"/>
    <w:rsid w:val="001F60EC"/>
    <w:rsid w:val="001F61B3"/>
    <w:rsid w:val="001F6521"/>
    <w:rsid w:val="001F65DD"/>
    <w:rsid w:val="001F65F8"/>
    <w:rsid w:val="001F66BB"/>
    <w:rsid w:val="001F6803"/>
    <w:rsid w:val="001F6ACF"/>
    <w:rsid w:val="001F6B27"/>
    <w:rsid w:val="001F6C89"/>
    <w:rsid w:val="001F6D34"/>
    <w:rsid w:val="001F6F33"/>
    <w:rsid w:val="001F71E2"/>
    <w:rsid w:val="001F7228"/>
    <w:rsid w:val="001F7370"/>
    <w:rsid w:val="001F7B22"/>
    <w:rsid w:val="001F7C6F"/>
    <w:rsid w:val="001F7DC9"/>
    <w:rsid w:val="001F7E30"/>
    <w:rsid w:val="001F7EE4"/>
    <w:rsid w:val="0020015F"/>
    <w:rsid w:val="002004BA"/>
    <w:rsid w:val="002005C1"/>
    <w:rsid w:val="0020079E"/>
    <w:rsid w:val="00200932"/>
    <w:rsid w:val="00200A8F"/>
    <w:rsid w:val="00200F78"/>
    <w:rsid w:val="00200F7E"/>
    <w:rsid w:val="00201116"/>
    <w:rsid w:val="00201253"/>
    <w:rsid w:val="002012D7"/>
    <w:rsid w:val="0020139F"/>
    <w:rsid w:val="002013C4"/>
    <w:rsid w:val="0020140B"/>
    <w:rsid w:val="002016B1"/>
    <w:rsid w:val="0020192D"/>
    <w:rsid w:val="00201FFD"/>
    <w:rsid w:val="0020233C"/>
    <w:rsid w:val="002023C9"/>
    <w:rsid w:val="002028C8"/>
    <w:rsid w:val="0020291D"/>
    <w:rsid w:val="00202E55"/>
    <w:rsid w:val="00202F07"/>
    <w:rsid w:val="00202F66"/>
    <w:rsid w:val="002030FE"/>
    <w:rsid w:val="00203156"/>
    <w:rsid w:val="00203381"/>
    <w:rsid w:val="002033FA"/>
    <w:rsid w:val="00203439"/>
    <w:rsid w:val="00203851"/>
    <w:rsid w:val="00203970"/>
    <w:rsid w:val="00203988"/>
    <w:rsid w:val="00203B8F"/>
    <w:rsid w:val="00204013"/>
    <w:rsid w:val="00204420"/>
    <w:rsid w:val="002047E6"/>
    <w:rsid w:val="002048F3"/>
    <w:rsid w:val="00204949"/>
    <w:rsid w:val="00204D7C"/>
    <w:rsid w:val="0020559B"/>
    <w:rsid w:val="00205870"/>
    <w:rsid w:val="00205C64"/>
    <w:rsid w:val="00205EA2"/>
    <w:rsid w:val="00205F0A"/>
    <w:rsid w:val="00205F74"/>
    <w:rsid w:val="002063D3"/>
    <w:rsid w:val="002066AF"/>
    <w:rsid w:val="0020677E"/>
    <w:rsid w:val="00206929"/>
    <w:rsid w:val="00206986"/>
    <w:rsid w:val="00206A8C"/>
    <w:rsid w:val="00206DBE"/>
    <w:rsid w:val="00206F9C"/>
    <w:rsid w:val="002070C0"/>
    <w:rsid w:val="00207214"/>
    <w:rsid w:val="0020725D"/>
    <w:rsid w:val="002073DD"/>
    <w:rsid w:val="002074EE"/>
    <w:rsid w:val="00207BAD"/>
    <w:rsid w:val="00207ED3"/>
    <w:rsid w:val="002100B7"/>
    <w:rsid w:val="002104DB"/>
    <w:rsid w:val="002107D1"/>
    <w:rsid w:val="00210E51"/>
    <w:rsid w:val="002110B5"/>
    <w:rsid w:val="002110ED"/>
    <w:rsid w:val="0021136C"/>
    <w:rsid w:val="00211A4A"/>
    <w:rsid w:val="00211DA3"/>
    <w:rsid w:val="002120AA"/>
    <w:rsid w:val="00212716"/>
    <w:rsid w:val="00212A72"/>
    <w:rsid w:val="00212AEB"/>
    <w:rsid w:val="00212B5B"/>
    <w:rsid w:val="00212CF3"/>
    <w:rsid w:val="00212EE9"/>
    <w:rsid w:val="00212F9B"/>
    <w:rsid w:val="0021321F"/>
    <w:rsid w:val="00213AAB"/>
    <w:rsid w:val="00213B7D"/>
    <w:rsid w:val="00213F5A"/>
    <w:rsid w:val="00213FBF"/>
    <w:rsid w:val="002140C7"/>
    <w:rsid w:val="002141B0"/>
    <w:rsid w:val="00214541"/>
    <w:rsid w:val="002146FF"/>
    <w:rsid w:val="00214774"/>
    <w:rsid w:val="00214B73"/>
    <w:rsid w:val="0021540F"/>
    <w:rsid w:val="002157A9"/>
    <w:rsid w:val="00215873"/>
    <w:rsid w:val="002158C8"/>
    <w:rsid w:val="00215BCD"/>
    <w:rsid w:val="00215EB0"/>
    <w:rsid w:val="00215F03"/>
    <w:rsid w:val="00216313"/>
    <w:rsid w:val="0021674F"/>
    <w:rsid w:val="00216799"/>
    <w:rsid w:val="002168A3"/>
    <w:rsid w:val="00216A28"/>
    <w:rsid w:val="00217087"/>
    <w:rsid w:val="0021714F"/>
    <w:rsid w:val="002174AE"/>
    <w:rsid w:val="002174EB"/>
    <w:rsid w:val="002175C8"/>
    <w:rsid w:val="00217964"/>
    <w:rsid w:val="00217CC0"/>
    <w:rsid w:val="00217E48"/>
    <w:rsid w:val="0022007D"/>
    <w:rsid w:val="00220111"/>
    <w:rsid w:val="00220470"/>
    <w:rsid w:val="0022076E"/>
    <w:rsid w:val="002209B4"/>
    <w:rsid w:val="00220A1B"/>
    <w:rsid w:val="00220C4F"/>
    <w:rsid w:val="00221028"/>
    <w:rsid w:val="002214E9"/>
    <w:rsid w:val="002214F8"/>
    <w:rsid w:val="002215F7"/>
    <w:rsid w:val="002217DA"/>
    <w:rsid w:val="002218EA"/>
    <w:rsid w:val="002219D5"/>
    <w:rsid w:val="00221A0F"/>
    <w:rsid w:val="00222366"/>
    <w:rsid w:val="002229D7"/>
    <w:rsid w:val="00222B3E"/>
    <w:rsid w:val="00222D9E"/>
    <w:rsid w:val="00222DD3"/>
    <w:rsid w:val="002232D5"/>
    <w:rsid w:val="00223A25"/>
    <w:rsid w:val="00223A55"/>
    <w:rsid w:val="00223AA4"/>
    <w:rsid w:val="00223CA2"/>
    <w:rsid w:val="00223E3E"/>
    <w:rsid w:val="0022406A"/>
    <w:rsid w:val="002240A8"/>
    <w:rsid w:val="0022413D"/>
    <w:rsid w:val="00224392"/>
    <w:rsid w:val="002243C7"/>
    <w:rsid w:val="002246B0"/>
    <w:rsid w:val="002247B0"/>
    <w:rsid w:val="00224AA2"/>
    <w:rsid w:val="0022546D"/>
    <w:rsid w:val="00225489"/>
    <w:rsid w:val="002256CE"/>
    <w:rsid w:val="002256E5"/>
    <w:rsid w:val="002259CA"/>
    <w:rsid w:val="00225AEC"/>
    <w:rsid w:val="00226117"/>
    <w:rsid w:val="00226659"/>
    <w:rsid w:val="002266E2"/>
    <w:rsid w:val="00226735"/>
    <w:rsid w:val="00226889"/>
    <w:rsid w:val="00226B9B"/>
    <w:rsid w:val="00226F55"/>
    <w:rsid w:val="00227691"/>
    <w:rsid w:val="0022770B"/>
    <w:rsid w:val="00230157"/>
    <w:rsid w:val="00230192"/>
    <w:rsid w:val="00230BC2"/>
    <w:rsid w:val="0023113E"/>
    <w:rsid w:val="00231698"/>
    <w:rsid w:val="002317A9"/>
    <w:rsid w:val="002320B7"/>
    <w:rsid w:val="002322AE"/>
    <w:rsid w:val="00232365"/>
    <w:rsid w:val="00232BB9"/>
    <w:rsid w:val="00232D2A"/>
    <w:rsid w:val="00232DD9"/>
    <w:rsid w:val="002331FA"/>
    <w:rsid w:val="0023341C"/>
    <w:rsid w:val="00233676"/>
    <w:rsid w:val="00233E61"/>
    <w:rsid w:val="002344A8"/>
    <w:rsid w:val="00234585"/>
    <w:rsid w:val="00234812"/>
    <w:rsid w:val="0023492E"/>
    <w:rsid w:val="002349F3"/>
    <w:rsid w:val="00234CEC"/>
    <w:rsid w:val="00234E43"/>
    <w:rsid w:val="00234E9A"/>
    <w:rsid w:val="00235071"/>
    <w:rsid w:val="0023512A"/>
    <w:rsid w:val="00235D1C"/>
    <w:rsid w:val="00235E2C"/>
    <w:rsid w:val="00235F25"/>
    <w:rsid w:val="00236200"/>
    <w:rsid w:val="00236646"/>
    <w:rsid w:val="0023677C"/>
    <w:rsid w:val="00236870"/>
    <w:rsid w:val="00236A41"/>
    <w:rsid w:val="00236C59"/>
    <w:rsid w:val="00236FA9"/>
    <w:rsid w:val="002374AE"/>
    <w:rsid w:val="0023755B"/>
    <w:rsid w:val="002376B2"/>
    <w:rsid w:val="00237773"/>
    <w:rsid w:val="0023782E"/>
    <w:rsid w:val="00237A42"/>
    <w:rsid w:val="00237CD3"/>
    <w:rsid w:val="00237D17"/>
    <w:rsid w:val="00237E7F"/>
    <w:rsid w:val="00237F96"/>
    <w:rsid w:val="00237FE0"/>
    <w:rsid w:val="002400C8"/>
    <w:rsid w:val="00240151"/>
    <w:rsid w:val="002401E0"/>
    <w:rsid w:val="0024021B"/>
    <w:rsid w:val="00240394"/>
    <w:rsid w:val="00240402"/>
    <w:rsid w:val="002405F8"/>
    <w:rsid w:val="0024065F"/>
    <w:rsid w:val="002406BE"/>
    <w:rsid w:val="002406CF"/>
    <w:rsid w:val="00240B30"/>
    <w:rsid w:val="00240C03"/>
    <w:rsid w:val="00240CBF"/>
    <w:rsid w:val="00240FA6"/>
    <w:rsid w:val="00240FDA"/>
    <w:rsid w:val="00241392"/>
    <w:rsid w:val="0024142E"/>
    <w:rsid w:val="00241474"/>
    <w:rsid w:val="0024159C"/>
    <w:rsid w:val="00241CA1"/>
    <w:rsid w:val="00241E18"/>
    <w:rsid w:val="002420FB"/>
    <w:rsid w:val="002421E7"/>
    <w:rsid w:val="002426CE"/>
    <w:rsid w:val="002427E2"/>
    <w:rsid w:val="00242CA9"/>
    <w:rsid w:val="00242D11"/>
    <w:rsid w:val="00243039"/>
    <w:rsid w:val="002432CB"/>
    <w:rsid w:val="00243457"/>
    <w:rsid w:val="002437E0"/>
    <w:rsid w:val="002441ED"/>
    <w:rsid w:val="00244429"/>
    <w:rsid w:val="002445FB"/>
    <w:rsid w:val="0024485C"/>
    <w:rsid w:val="00244BEB"/>
    <w:rsid w:val="00244C85"/>
    <w:rsid w:val="002450CC"/>
    <w:rsid w:val="002453FD"/>
    <w:rsid w:val="002454DB"/>
    <w:rsid w:val="002455E7"/>
    <w:rsid w:val="002457D6"/>
    <w:rsid w:val="002457E7"/>
    <w:rsid w:val="00245801"/>
    <w:rsid w:val="00245A08"/>
    <w:rsid w:val="00245B73"/>
    <w:rsid w:val="00245D42"/>
    <w:rsid w:val="00246087"/>
    <w:rsid w:val="00246100"/>
    <w:rsid w:val="002465B9"/>
    <w:rsid w:val="00246A2D"/>
    <w:rsid w:val="00246C03"/>
    <w:rsid w:val="00246CDC"/>
    <w:rsid w:val="00246DBB"/>
    <w:rsid w:val="00247828"/>
    <w:rsid w:val="0024796D"/>
    <w:rsid w:val="0024797B"/>
    <w:rsid w:val="00247999"/>
    <w:rsid w:val="00247BB7"/>
    <w:rsid w:val="00247C23"/>
    <w:rsid w:val="00250639"/>
    <w:rsid w:val="002507BE"/>
    <w:rsid w:val="0025142A"/>
    <w:rsid w:val="00251490"/>
    <w:rsid w:val="0025180A"/>
    <w:rsid w:val="00251864"/>
    <w:rsid w:val="00251DCF"/>
    <w:rsid w:val="00252CE3"/>
    <w:rsid w:val="00252CF6"/>
    <w:rsid w:val="00252D80"/>
    <w:rsid w:val="002531AE"/>
    <w:rsid w:val="00253225"/>
    <w:rsid w:val="002536E8"/>
    <w:rsid w:val="00253717"/>
    <w:rsid w:val="00253836"/>
    <w:rsid w:val="002539D4"/>
    <w:rsid w:val="00253A31"/>
    <w:rsid w:val="00253D33"/>
    <w:rsid w:val="00254399"/>
    <w:rsid w:val="0025471E"/>
    <w:rsid w:val="00254943"/>
    <w:rsid w:val="00254990"/>
    <w:rsid w:val="00254ACB"/>
    <w:rsid w:val="00254CF7"/>
    <w:rsid w:val="00254DB5"/>
    <w:rsid w:val="00254FA1"/>
    <w:rsid w:val="0025537B"/>
    <w:rsid w:val="0025545C"/>
    <w:rsid w:val="00255938"/>
    <w:rsid w:val="00255E6E"/>
    <w:rsid w:val="00256035"/>
    <w:rsid w:val="002560EE"/>
    <w:rsid w:val="002565E1"/>
    <w:rsid w:val="0025692A"/>
    <w:rsid w:val="00256E26"/>
    <w:rsid w:val="00257125"/>
    <w:rsid w:val="002572E4"/>
    <w:rsid w:val="00257532"/>
    <w:rsid w:val="00257695"/>
    <w:rsid w:val="002576EA"/>
    <w:rsid w:val="002577B0"/>
    <w:rsid w:val="00257B4E"/>
    <w:rsid w:val="00257BC5"/>
    <w:rsid w:val="00257CDC"/>
    <w:rsid w:val="00257E9E"/>
    <w:rsid w:val="00257EC9"/>
    <w:rsid w:val="00257FEB"/>
    <w:rsid w:val="00260052"/>
    <w:rsid w:val="002606C0"/>
    <w:rsid w:val="002608B5"/>
    <w:rsid w:val="00260A24"/>
    <w:rsid w:val="00260A84"/>
    <w:rsid w:val="00260B03"/>
    <w:rsid w:val="00260CA8"/>
    <w:rsid w:val="00260F81"/>
    <w:rsid w:val="00260FFE"/>
    <w:rsid w:val="0026112A"/>
    <w:rsid w:val="00261729"/>
    <w:rsid w:val="00261938"/>
    <w:rsid w:val="00261EDA"/>
    <w:rsid w:val="00262537"/>
    <w:rsid w:val="002625AA"/>
    <w:rsid w:val="00262A67"/>
    <w:rsid w:val="00262C48"/>
    <w:rsid w:val="00262CF7"/>
    <w:rsid w:val="00262DC9"/>
    <w:rsid w:val="00262EED"/>
    <w:rsid w:val="00263486"/>
    <w:rsid w:val="00263B85"/>
    <w:rsid w:val="00263BFE"/>
    <w:rsid w:val="00263E86"/>
    <w:rsid w:val="0026407C"/>
    <w:rsid w:val="002640C3"/>
    <w:rsid w:val="002641E6"/>
    <w:rsid w:val="002645FC"/>
    <w:rsid w:val="002647BE"/>
    <w:rsid w:val="00264852"/>
    <w:rsid w:val="0026497C"/>
    <w:rsid w:val="00264A50"/>
    <w:rsid w:val="00264CCD"/>
    <w:rsid w:val="00264D3E"/>
    <w:rsid w:val="00264F34"/>
    <w:rsid w:val="00265248"/>
    <w:rsid w:val="00265364"/>
    <w:rsid w:val="00265367"/>
    <w:rsid w:val="00265481"/>
    <w:rsid w:val="00265831"/>
    <w:rsid w:val="00265A26"/>
    <w:rsid w:val="00265B06"/>
    <w:rsid w:val="00265E2C"/>
    <w:rsid w:val="0026615A"/>
    <w:rsid w:val="00266353"/>
    <w:rsid w:val="002663F7"/>
    <w:rsid w:val="00266531"/>
    <w:rsid w:val="002665A2"/>
    <w:rsid w:val="00266755"/>
    <w:rsid w:val="00266BA6"/>
    <w:rsid w:val="002670B9"/>
    <w:rsid w:val="002670EE"/>
    <w:rsid w:val="002673B6"/>
    <w:rsid w:val="002673FB"/>
    <w:rsid w:val="002674E8"/>
    <w:rsid w:val="0026778A"/>
    <w:rsid w:val="00267C53"/>
    <w:rsid w:val="00270364"/>
    <w:rsid w:val="0027088A"/>
    <w:rsid w:val="002708DC"/>
    <w:rsid w:val="00270E9E"/>
    <w:rsid w:val="0027108C"/>
    <w:rsid w:val="002718C3"/>
    <w:rsid w:val="0027197A"/>
    <w:rsid w:val="002719C5"/>
    <w:rsid w:val="00271B49"/>
    <w:rsid w:val="00271C59"/>
    <w:rsid w:val="00271DD0"/>
    <w:rsid w:val="00272228"/>
    <w:rsid w:val="002723BB"/>
    <w:rsid w:val="002724DE"/>
    <w:rsid w:val="002727A4"/>
    <w:rsid w:val="00272F5C"/>
    <w:rsid w:val="00273115"/>
    <w:rsid w:val="0027327E"/>
    <w:rsid w:val="0027348D"/>
    <w:rsid w:val="00273837"/>
    <w:rsid w:val="00273843"/>
    <w:rsid w:val="002739A1"/>
    <w:rsid w:val="00273A89"/>
    <w:rsid w:val="00273A8E"/>
    <w:rsid w:val="00273C21"/>
    <w:rsid w:val="00273EFB"/>
    <w:rsid w:val="0027419B"/>
    <w:rsid w:val="00274300"/>
    <w:rsid w:val="0027434E"/>
    <w:rsid w:val="002743AE"/>
    <w:rsid w:val="00274508"/>
    <w:rsid w:val="00274613"/>
    <w:rsid w:val="002746A6"/>
    <w:rsid w:val="00274751"/>
    <w:rsid w:val="00274947"/>
    <w:rsid w:val="00274C12"/>
    <w:rsid w:val="00274C43"/>
    <w:rsid w:val="00275067"/>
    <w:rsid w:val="002751E9"/>
    <w:rsid w:val="002752D0"/>
    <w:rsid w:val="00275395"/>
    <w:rsid w:val="0027549F"/>
    <w:rsid w:val="002754E4"/>
    <w:rsid w:val="0027579D"/>
    <w:rsid w:val="002758F9"/>
    <w:rsid w:val="0027591A"/>
    <w:rsid w:val="00275BDF"/>
    <w:rsid w:val="00276033"/>
    <w:rsid w:val="00276141"/>
    <w:rsid w:val="00276442"/>
    <w:rsid w:val="002764B7"/>
    <w:rsid w:val="0027675C"/>
    <w:rsid w:val="00276884"/>
    <w:rsid w:val="0027694A"/>
    <w:rsid w:val="0027696C"/>
    <w:rsid w:val="00276CA0"/>
    <w:rsid w:val="00277410"/>
    <w:rsid w:val="00277601"/>
    <w:rsid w:val="002778CE"/>
    <w:rsid w:val="00277FA7"/>
    <w:rsid w:val="002803BC"/>
    <w:rsid w:val="0028043C"/>
    <w:rsid w:val="00280E3B"/>
    <w:rsid w:val="00280F6E"/>
    <w:rsid w:val="00281071"/>
    <w:rsid w:val="00281489"/>
    <w:rsid w:val="00281518"/>
    <w:rsid w:val="00281734"/>
    <w:rsid w:val="0028194D"/>
    <w:rsid w:val="00281EC2"/>
    <w:rsid w:val="00281FAA"/>
    <w:rsid w:val="0028211A"/>
    <w:rsid w:val="00282300"/>
    <w:rsid w:val="0028231F"/>
    <w:rsid w:val="0028260A"/>
    <w:rsid w:val="0028283F"/>
    <w:rsid w:val="00282874"/>
    <w:rsid w:val="00282B68"/>
    <w:rsid w:val="00282C62"/>
    <w:rsid w:val="00282C70"/>
    <w:rsid w:val="00282E62"/>
    <w:rsid w:val="00282F03"/>
    <w:rsid w:val="0028329F"/>
    <w:rsid w:val="00283452"/>
    <w:rsid w:val="00283DEB"/>
    <w:rsid w:val="00283DF8"/>
    <w:rsid w:val="0028489E"/>
    <w:rsid w:val="00284DE2"/>
    <w:rsid w:val="00285434"/>
    <w:rsid w:val="00285626"/>
    <w:rsid w:val="00285794"/>
    <w:rsid w:val="002857A4"/>
    <w:rsid w:val="002857A5"/>
    <w:rsid w:val="002858BE"/>
    <w:rsid w:val="00285A43"/>
    <w:rsid w:val="0028628E"/>
    <w:rsid w:val="0028629D"/>
    <w:rsid w:val="00286703"/>
    <w:rsid w:val="0028671D"/>
    <w:rsid w:val="00286D84"/>
    <w:rsid w:val="0028705A"/>
    <w:rsid w:val="002872AD"/>
    <w:rsid w:val="002873BF"/>
    <w:rsid w:val="00287538"/>
    <w:rsid w:val="00287564"/>
    <w:rsid w:val="00287768"/>
    <w:rsid w:val="0028791A"/>
    <w:rsid w:val="00287A0E"/>
    <w:rsid w:val="00287C57"/>
    <w:rsid w:val="00287CEE"/>
    <w:rsid w:val="00287D5B"/>
    <w:rsid w:val="00287EBB"/>
    <w:rsid w:val="0029057E"/>
    <w:rsid w:val="002907C5"/>
    <w:rsid w:val="00290A2B"/>
    <w:rsid w:val="00290C02"/>
    <w:rsid w:val="00290C83"/>
    <w:rsid w:val="00290E8D"/>
    <w:rsid w:val="00290EC0"/>
    <w:rsid w:val="00290F20"/>
    <w:rsid w:val="0029122B"/>
    <w:rsid w:val="002912D3"/>
    <w:rsid w:val="0029165C"/>
    <w:rsid w:val="00291910"/>
    <w:rsid w:val="00291A03"/>
    <w:rsid w:val="00291C24"/>
    <w:rsid w:val="00291D01"/>
    <w:rsid w:val="00291D13"/>
    <w:rsid w:val="00291DAF"/>
    <w:rsid w:val="00291E7B"/>
    <w:rsid w:val="0029247A"/>
    <w:rsid w:val="0029273F"/>
    <w:rsid w:val="00292785"/>
    <w:rsid w:val="00292A52"/>
    <w:rsid w:val="00292ACE"/>
    <w:rsid w:val="00292E14"/>
    <w:rsid w:val="002931BF"/>
    <w:rsid w:val="002933FD"/>
    <w:rsid w:val="00293ACE"/>
    <w:rsid w:val="00293BBA"/>
    <w:rsid w:val="0029418F"/>
    <w:rsid w:val="002942C2"/>
    <w:rsid w:val="0029464A"/>
    <w:rsid w:val="00294783"/>
    <w:rsid w:val="002947E0"/>
    <w:rsid w:val="00294AF0"/>
    <w:rsid w:val="00294E2E"/>
    <w:rsid w:val="00294E39"/>
    <w:rsid w:val="00294F74"/>
    <w:rsid w:val="0029516C"/>
    <w:rsid w:val="002952EB"/>
    <w:rsid w:val="00295405"/>
    <w:rsid w:val="002959B8"/>
    <w:rsid w:val="00295A10"/>
    <w:rsid w:val="00295BB7"/>
    <w:rsid w:val="00296188"/>
    <w:rsid w:val="00296388"/>
    <w:rsid w:val="00296510"/>
    <w:rsid w:val="00296649"/>
    <w:rsid w:val="00296DE2"/>
    <w:rsid w:val="00296F23"/>
    <w:rsid w:val="00297050"/>
    <w:rsid w:val="0029789D"/>
    <w:rsid w:val="002978E2"/>
    <w:rsid w:val="002A00D8"/>
    <w:rsid w:val="002A0336"/>
    <w:rsid w:val="002A0854"/>
    <w:rsid w:val="002A09DB"/>
    <w:rsid w:val="002A0AA3"/>
    <w:rsid w:val="002A0D58"/>
    <w:rsid w:val="002A0D8C"/>
    <w:rsid w:val="002A0DAD"/>
    <w:rsid w:val="002A1156"/>
    <w:rsid w:val="002A1300"/>
    <w:rsid w:val="002A151B"/>
    <w:rsid w:val="002A1795"/>
    <w:rsid w:val="002A1BA0"/>
    <w:rsid w:val="002A1D41"/>
    <w:rsid w:val="002A1FE7"/>
    <w:rsid w:val="002A21A0"/>
    <w:rsid w:val="002A270A"/>
    <w:rsid w:val="002A276F"/>
    <w:rsid w:val="002A2B44"/>
    <w:rsid w:val="002A2B5F"/>
    <w:rsid w:val="002A2FE9"/>
    <w:rsid w:val="002A3484"/>
    <w:rsid w:val="002A34F5"/>
    <w:rsid w:val="002A375F"/>
    <w:rsid w:val="002A377A"/>
    <w:rsid w:val="002A37B2"/>
    <w:rsid w:val="002A38B3"/>
    <w:rsid w:val="002A38B9"/>
    <w:rsid w:val="002A38C8"/>
    <w:rsid w:val="002A399D"/>
    <w:rsid w:val="002A3B07"/>
    <w:rsid w:val="002A3E25"/>
    <w:rsid w:val="002A3EEB"/>
    <w:rsid w:val="002A3FDE"/>
    <w:rsid w:val="002A4090"/>
    <w:rsid w:val="002A4297"/>
    <w:rsid w:val="002A42E3"/>
    <w:rsid w:val="002A46F0"/>
    <w:rsid w:val="002A4819"/>
    <w:rsid w:val="002A497C"/>
    <w:rsid w:val="002A4EB5"/>
    <w:rsid w:val="002A507B"/>
    <w:rsid w:val="002A5117"/>
    <w:rsid w:val="002A51DE"/>
    <w:rsid w:val="002A520C"/>
    <w:rsid w:val="002A5632"/>
    <w:rsid w:val="002A569A"/>
    <w:rsid w:val="002A577A"/>
    <w:rsid w:val="002A57F7"/>
    <w:rsid w:val="002A58D6"/>
    <w:rsid w:val="002A58DC"/>
    <w:rsid w:val="002A5A53"/>
    <w:rsid w:val="002A5B82"/>
    <w:rsid w:val="002A6055"/>
    <w:rsid w:val="002A6AA9"/>
    <w:rsid w:val="002A6B9D"/>
    <w:rsid w:val="002A6BB6"/>
    <w:rsid w:val="002A6D55"/>
    <w:rsid w:val="002A6E17"/>
    <w:rsid w:val="002A6FDF"/>
    <w:rsid w:val="002A7037"/>
    <w:rsid w:val="002A70F4"/>
    <w:rsid w:val="002A7136"/>
    <w:rsid w:val="002A7298"/>
    <w:rsid w:val="002A74E6"/>
    <w:rsid w:val="002A76A8"/>
    <w:rsid w:val="002B042E"/>
    <w:rsid w:val="002B045F"/>
    <w:rsid w:val="002B04CC"/>
    <w:rsid w:val="002B09C3"/>
    <w:rsid w:val="002B0A38"/>
    <w:rsid w:val="002B0A93"/>
    <w:rsid w:val="002B0BF8"/>
    <w:rsid w:val="002B0D6D"/>
    <w:rsid w:val="002B15D6"/>
    <w:rsid w:val="002B1672"/>
    <w:rsid w:val="002B1698"/>
    <w:rsid w:val="002B1721"/>
    <w:rsid w:val="002B18D5"/>
    <w:rsid w:val="002B190C"/>
    <w:rsid w:val="002B1B5D"/>
    <w:rsid w:val="002B1FC4"/>
    <w:rsid w:val="002B1FFC"/>
    <w:rsid w:val="002B214C"/>
    <w:rsid w:val="002B2733"/>
    <w:rsid w:val="002B30A3"/>
    <w:rsid w:val="002B3250"/>
    <w:rsid w:val="002B330E"/>
    <w:rsid w:val="002B38AB"/>
    <w:rsid w:val="002B3D0F"/>
    <w:rsid w:val="002B3E43"/>
    <w:rsid w:val="002B3FF5"/>
    <w:rsid w:val="002B4364"/>
    <w:rsid w:val="002B44C5"/>
    <w:rsid w:val="002B4685"/>
    <w:rsid w:val="002B475F"/>
    <w:rsid w:val="002B52FA"/>
    <w:rsid w:val="002B5985"/>
    <w:rsid w:val="002B5BC5"/>
    <w:rsid w:val="002B60FF"/>
    <w:rsid w:val="002B67F1"/>
    <w:rsid w:val="002B68DB"/>
    <w:rsid w:val="002B6EFE"/>
    <w:rsid w:val="002B7045"/>
    <w:rsid w:val="002B7418"/>
    <w:rsid w:val="002B7B5E"/>
    <w:rsid w:val="002B7D5F"/>
    <w:rsid w:val="002B7EA8"/>
    <w:rsid w:val="002B7F3F"/>
    <w:rsid w:val="002C0204"/>
    <w:rsid w:val="002C06D0"/>
    <w:rsid w:val="002C0C97"/>
    <w:rsid w:val="002C11B2"/>
    <w:rsid w:val="002C13E9"/>
    <w:rsid w:val="002C1453"/>
    <w:rsid w:val="002C14C5"/>
    <w:rsid w:val="002C153B"/>
    <w:rsid w:val="002C1599"/>
    <w:rsid w:val="002C17BF"/>
    <w:rsid w:val="002C1A09"/>
    <w:rsid w:val="002C1B70"/>
    <w:rsid w:val="002C26D8"/>
    <w:rsid w:val="002C2AD6"/>
    <w:rsid w:val="002C2B2C"/>
    <w:rsid w:val="002C2DA8"/>
    <w:rsid w:val="002C31E6"/>
    <w:rsid w:val="002C3B0B"/>
    <w:rsid w:val="002C3E5A"/>
    <w:rsid w:val="002C47A2"/>
    <w:rsid w:val="002C4BE4"/>
    <w:rsid w:val="002C4C66"/>
    <w:rsid w:val="002C4D32"/>
    <w:rsid w:val="002C50E5"/>
    <w:rsid w:val="002C5105"/>
    <w:rsid w:val="002C5202"/>
    <w:rsid w:val="002C5822"/>
    <w:rsid w:val="002C5909"/>
    <w:rsid w:val="002C59F2"/>
    <w:rsid w:val="002C5A96"/>
    <w:rsid w:val="002C5E4D"/>
    <w:rsid w:val="002C5F50"/>
    <w:rsid w:val="002C61B1"/>
    <w:rsid w:val="002C6432"/>
    <w:rsid w:val="002C64B6"/>
    <w:rsid w:val="002C66D5"/>
    <w:rsid w:val="002C66F2"/>
    <w:rsid w:val="002C6757"/>
    <w:rsid w:val="002C6986"/>
    <w:rsid w:val="002C737E"/>
    <w:rsid w:val="002C7EC9"/>
    <w:rsid w:val="002D007D"/>
    <w:rsid w:val="002D00A0"/>
    <w:rsid w:val="002D0513"/>
    <w:rsid w:val="002D0A53"/>
    <w:rsid w:val="002D0A70"/>
    <w:rsid w:val="002D0BAC"/>
    <w:rsid w:val="002D0DB7"/>
    <w:rsid w:val="002D1C8D"/>
    <w:rsid w:val="002D1D25"/>
    <w:rsid w:val="002D20AA"/>
    <w:rsid w:val="002D20DC"/>
    <w:rsid w:val="002D2671"/>
    <w:rsid w:val="002D289A"/>
    <w:rsid w:val="002D2B1B"/>
    <w:rsid w:val="002D2CE0"/>
    <w:rsid w:val="002D2E5A"/>
    <w:rsid w:val="002D306C"/>
    <w:rsid w:val="002D3899"/>
    <w:rsid w:val="002D3C97"/>
    <w:rsid w:val="002D3CB5"/>
    <w:rsid w:val="002D3E62"/>
    <w:rsid w:val="002D3E94"/>
    <w:rsid w:val="002D3F3E"/>
    <w:rsid w:val="002D43F3"/>
    <w:rsid w:val="002D4BBF"/>
    <w:rsid w:val="002D4C50"/>
    <w:rsid w:val="002D4F21"/>
    <w:rsid w:val="002D4F3A"/>
    <w:rsid w:val="002D50E5"/>
    <w:rsid w:val="002D53BE"/>
    <w:rsid w:val="002D5403"/>
    <w:rsid w:val="002D54A1"/>
    <w:rsid w:val="002D593C"/>
    <w:rsid w:val="002D5CF0"/>
    <w:rsid w:val="002D607E"/>
    <w:rsid w:val="002D6997"/>
    <w:rsid w:val="002D6ECA"/>
    <w:rsid w:val="002D7C35"/>
    <w:rsid w:val="002D7F00"/>
    <w:rsid w:val="002D7FCB"/>
    <w:rsid w:val="002E0294"/>
    <w:rsid w:val="002E115A"/>
    <w:rsid w:val="002E165F"/>
    <w:rsid w:val="002E16B4"/>
    <w:rsid w:val="002E1712"/>
    <w:rsid w:val="002E17DF"/>
    <w:rsid w:val="002E1908"/>
    <w:rsid w:val="002E1985"/>
    <w:rsid w:val="002E1B5E"/>
    <w:rsid w:val="002E230A"/>
    <w:rsid w:val="002E2318"/>
    <w:rsid w:val="002E24C5"/>
    <w:rsid w:val="002E278D"/>
    <w:rsid w:val="002E283B"/>
    <w:rsid w:val="002E2E86"/>
    <w:rsid w:val="002E2EBA"/>
    <w:rsid w:val="002E36BF"/>
    <w:rsid w:val="002E37A8"/>
    <w:rsid w:val="002E387D"/>
    <w:rsid w:val="002E3997"/>
    <w:rsid w:val="002E3F18"/>
    <w:rsid w:val="002E420D"/>
    <w:rsid w:val="002E4285"/>
    <w:rsid w:val="002E4493"/>
    <w:rsid w:val="002E46BB"/>
    <w:rsid w:val="002E4785"/>
    <w:rsid w:val="002E4983"/>
    <w:rsid w:val="002E4E17"/>
    <w:rsid w:val="002E574F"/>
    <w:rsid w:val="002E59E4"/>
    <w:rsid w:val="002E5C83"/>
    <w:rsid w:val="002E5F36"/>
    <w:rsid w:val="002E5F4B"/>
    <w:rsid w:val="002E6064"/>
    <w:rsid w:val="002E606D"/>
    <w:rsid w:val="002E64C5"/>
    <w:rsid w:val="002E67B8"/>
    <w:rsid w:val="002E6A4F"/>
    <w:rsid w:val="002E6A79"/>
    <w:rsid w:val="002E6E1B"/>
    <w:rsid w:val="002E6E28"/>
    <w:rsid w:val="002E706E"/>
    <w:rsid w:val="002E72A4"/>
    <w:rsid w:val="002E7368"/>
    <w:rsid w:val="002E79FD"/>
    <w:rsid w:val="002E7B05"/>
    <w:rsid w:val="002E7D0A"/>
    <w:rsid w:val="002E7F4F"/>
    <w:rsid w:val="002F0416"/>
    <w:rsid w:val="002F0492"/>
    <w:rsid w:val="002F0549"/>
    <w:rsid w:val="002F076B"/>
    <w:rsid w:val="002F0816"/>
    <w:rsid w:val="002F0B20"/>
    <w:rsid w:val="002F0CF7"/>
    <w:rsid w:val="002F0DCF"/>
    <w:rsid w:val="002F0E49"/>
    <w:rsid w:val="002F1052"/>
    <w:rsid w:val="002F169D"/>
    <w:rsid w:val="002F1CA3"/>
    <w:rsid w:val="002F1E2E"/>
    <w:rsid w:val="002F1F8B"/>
    <w:rsid w:val="002F1FA1"/>
    <w:rsid w:val="002F2232"/>
    <w:rsid w:val="002F23DA"/>
    <w:rsid w:val="002F2593"/>
    <w:rsid w:val="002F27D6"/>
    <w:rsid w:val="002F27F2"/>
    <w:rsid w:val="002F293C"/>
    <w:rsid w:val="002F29F5"/>
    <w:rsid w:val="002F3053"/>
    <w:rsid w:val="002F326A"/>
    <w:rsid w:val="002F33F0"/>
    <w:rsid w:val="002F34FB"/>
    <w:rsid w:val="002F3621"/>
    <w:rsid w:val="002F3A43"/>
    <w:rsid w:val="002F424A"/>
    <w:rsid w:val="002F443E"/>
    <w:rsid w:val="002F4674"/>
    <w:rsid w:val="002F4DF0"/>
    <w:rsid w:val="002F531E"/>
    <w:rsid w:val="002F5673"/>
    <w:rsid w:val="002F56BE"/>
    <w:rsid w:val="002F5744"/>
    <w:rsid w:val="002F5BDF"/>
    <w:rsid w:val="002F5C22"/>
    <w:rsid w:val="002F5CA3"/>
    <w:rsid w:val="002F60B2"/>
    <w:rsid w:val="002F65EA"/>
    <w:rsid w:val="002F662B"/>
    <w:rsid w:val="002F67F7"/>
    <w:rsid w:val="002F6808"/>
    <w:rsid w:val="002F6BB9"/>
    <w:rsid w:val="002F6CC7"/>
    <w:rsid w:val="002F6D0E"/>
    <w:rsid w:val="002F6EC5"/>
    <w:rsid w:val="002F71D7"/>
    <w:rsid w:val="002F764E"/>
    <w:rsid w:val="002F78EA"/>
    <w:rsid w:val="002F7C56"/>
    <w:rsid w:val="002F7D0A"/>
    <w:rsid w:val="002F7EF2"/>
    <w:rsid w:val="002F7FF6"/>
    <w:rsid w:val="003001DD"/>
    <w:rsid w:val="00300274"/>
    <w:rsid w:val="003005CF"/>
    <w:rsid w:val="0030061F"/>
    <w:rsid w:val="00300EA3"/>
    <w:rsid w:val="00300F07"/>
    <w:rsid w:val="00301275"/>
    <w:rsid w:val="00301386"/>
    <w:rsid w:val="003013CE"/>
    <w:rsid w:val="00301663"/>
    <w:rsid w:val="003017A4"/>
    <w:rsid w:val="00301CD9"/>
    <w:rsid w:val="00301DAB"/>
    <w:rsid w:val="0030268E"/>
    <w:rsid w:val="00302BA1"/>
    <w:rsid w:val="003032B2"/>
    <w:rsid w:val="003032DC"/>
    <w:rsid w:val="003035C2"/>
    <w:rsid w:val="003036BE"/>
    <w:rsid w:val="0030376D"/>
    <w:rsid w:val="00303D3B"/>
    <w:rsid w:val="00303EA2"/>
    <w:rsid w:val="00304136"/>
    <w:rsid w:val="0030430A"/>
    <w:rsid w:val="00304637"/>
    <w:rsid w:val="003046B7"/>
    <w:rsid w:val="00305101"/>
    <w:rsid w:val="0030527C"/>
    <w:rsid w:val="00305418"/>
    <w:rsid w:val="0030562F"/>
    <w:rsid w:val="00305A89"/>
    <w:rsid w:val="0030607F"/>
    <w:rsid w:val="003060B6"/>
    <w:rsid w:val="003061F1"/>
    <w:rsid w:val="00306436"/>
    <w:rsid w:val="003064C8"/>
    <w:rsid w:val="003066F6"/>
    <w:rsid w:val="003075E6"/>
    <w:rsid w:val="00307735"/>
    <w:rsid w:val="00307736"/>
    <w:rsid w:val="003077C9"/>
    <w:rsid w:val="003078A5"/>
    <w:rsid w:val="0031020D"/>
    <w:rsid w:val="003103AF"/>
    <w:rsid w:val="003106D6"/>
    <w:rsid w:val="0031128D"/>
    <w:rsid w:val="003112E5"/>
    <w:rsid w:val="0031150D"/>
    <w:rsid w:val="0031158A"/>
    <w:rsid w:val="0031160E"/>
    <w:rsid w:val="0031163A"/>
    <w:rsid w:val="003116BB"/>
    <w:rsid w:val="003116DE"/>
    <w:rsid w:val="00311C7E"/>
    <w:rsid w:val="00311D75"/>
    <w:rsid w:val="00311F31"/>
    <w:rsid w:val="00312081"/>
    <w:rsid w:val="00312351"/>
    <w:rsid w:val="0031237E"/>
    <w:rsid w:val="0031265F"/>
    <w:rsid w:val="0031276F"/>
    <w:rsid w:val="003127EB"/>
    <w:rsid w:val="0031293D"/>
    <w:rsid w:val="00312ADE"/>
    <w:rsid w:val="00312D9A"/>
    <w:rsid w:val="00312DE0"/>
    <w:rsid w:val="00312DF6"/>
    <w:rsid w:val="00312FEC"/>
    <w:rsid w:val="00313032"/>
    <w:rsid w:val="003132F0"/>
    <w:rsid w:val="00313324"/>
    <w:rsid w:val="0031349D"/>
    <w:rsid w:val="003135F3"/>
    <w:rsid w:val="0031369C"/>
    <w:rsid w:val="00313A40"/>
    <w:rsid w:val="00313F34"/>
    <w:rsid w:val="00313F55"/>
    <w:rsid w:val="0031481B"/>
    <w:rsid w:val="0031485C"/>
    <w:rsid w:val="00314AF3"/>
    <w:rsid w:val="00314BAC"/>
    <w:rsid w:val="00314F27"/>
    <w:rsid w:val="0031503F"/>
    <w:rsid w:val="00315066"/>
    <w:rsid w:val="0031529C"/>
    <w:rsid w:val="0031594B"/>
    <w:rsid w:val="00315D4B"/>
    <w:rsid w:val="003161B4"/>
    <w:rsid w:val="0031638A"/>
    <w:rsid w:val="003163F1"/>
    <w:rsid w:val="003163FD"/>
    <w:rsid w:val="0031654A"/>
    <w:rsid w:val="003169FF"/>
    <w:rsid w:val="00316CCE"/>
    <w:rsid w:val="0031708D"/>
    <w:rsid w:val="00317CE7"/>
    <w:rsid w:val="003184BF"/>
    <w:rsid w:val="00320005"/>
    <w:rsid w:val="003202AC"/>
    <w:rsid w:val="003203BD"/>
    <w:rsid w:val="003209A4"/>
    <w:rsid w:val="00320C71"/>
    <w:rsid w:val="0032123B"/>
    <w:rsid w:val="00321275"/>
    <w:rsid w:val="003213CE"/>
    <w:rsid w:val="0032146C"/>
    <w:rsid w:val="00321856"/>
    <w:rsid w:val="00321AEE"/>
    <w:rsid w:val="00321DC8"/>
    <w:rsid w:val="00322388"/>
    <w:rsid w:val="00322938"/>
    <w:rsid w:val="00322A5D"/>
    <w:rsid w:val="00322AF2"/>
    <w:rsid w:val="00322EA0"/>
    <w:rsid w:val="00322F20"/>
    <w:rsid w:val="00322F84"/>
    <w:rsid w:val="0032300A"/>
    <w:rsid w:val="003237FE"/>
    <w:rsid w:val="003238D3"/>
    <w:rsid w:val="00323965"/>
    <w:rsid w:val="00323B04"/>
    <w:rsid w:val="00323D98"/>
    <w:rsid w:val="00323EF1"/>
    <w:rsid w:val="00323F7E"/>
    <w:rsid w:val="00324032"/>
    <w:rsid w:val="0032426F"/>
    <w:rsid w:val="00324446"/>
    <w:rsid w:val="0032459B"/>
    <w:rsid w:val="00324907"/>
    <w:rsid w:val="00324CBD"/>
    <w:rsid w:val="00324DE9"/>
    <w:rsid w:val="00324F78"/>
    <w:rsid w:val="00325697"/>
    <w:rsid w:val="00325871"/>
    <w:rsid w:val="003259F3"/>
    <w:rsid w:val="00325EF8"/>
    <w:rsid w:val="00325FCB"/>
    <w:rsid w:val="00326781"/>
    <w:rsid w:val="0032687F"/>
    <w:rsid w:val="00326885"/>
    <w:rsid w:val="0032688F"/>
    <w:rsid w:val="00326A49"/>
    <w:rsid w:val="00326F13"/>
    <w:rsid w:val="00326F71"/>
    <w:rsid w:val="003275B1"/>
    <w:rsid w:val="00327AFD"/>
    <w:rsid w:val="00327C0B"/>
    <w:rsid w:val="00327C63"/>
    <w:rsid w:val="00327CCE"/>
    <w:rsid w:val="00327DE8"/>
    <w:rsid w:val="003304EA"/>
    <w:rsid w:val="00330558"/>
    <w:rsid w:val="00330693"/>
    <w:rsid w:val="00330A72"/>
    <w:rsid w:val="00330B7B"/>
    <w:rsid w:val="00331099"/>
    <w:rsid w:val="003315FE"/>
    <w:rsid w:val="00331714"/>
    <w:rsid w:val="003317D4"/>
    <w:rsid w:val="003319E0"/>
    <w:rsid w:val="00331AFB"/>
    <w:rsid w:val="00331BD7"/>
    <w:rsid w:val="00331C35"/>
    <w:rsid w:val="003320A8"/>
    <w:rsid w:val="003321A1"/>
    <w:rsid w:val="003321B3"/>
    <w:rsid w:val="003322AE"/>
    <w:rsid w:val="003323EC"/>
    <w:rsid w:val="0033247C"/>
    <w:rsid w:val="0033266D"/>
    <w:rsid w:val="00332713"/>
    <w:rsid w:val="00332D8D"/>
    <w:rsid w:val="00332ED3"/>
    <w:rsid w:val="0033319F"/>
    <w:rsid w:val="00333222"/>
    <w:rsid w:val="00333963"/>
    <w:rsid w:val="00333B16"/>
    <w:rsid w:val="00333F16"/>
    <w:rsid w:val="0033401B"/>
    <w:rsid w:val="0033438D"/>
    <w:rsid w:val="00334427"/>
    <w:rsid w:val="003344B8"/>
    <w:rsid w:val="0033459B"/>
    <w:rsid w:val="0033468B"/>
    <w:rsid w:val="0033484F"/>
    <w:rsid w:val="00334A88"/>
    <w:rsid w:val="00334B27"/>
    <w:rsid w:val="00334B53"/>
    <w:rsid w:val="00334F86"/>
    <w:rsid w:val="00335073"/>
    <w:rsid w:val="0033523B"/>
    <w:rsid w:val="003353A3"/>
    <w:rsid w:val="003353AE"/>
    <w:rsid w:val="00335486"/>
    <w:rsid w:val="003354F9"/>
    <w:rsid w:val="00335B1D"/>
    <w:rsid w:val="00335D78"/>
    <w:rsid w:val="003361FB"/>
    <w:rsid w:val="0033626A"/>
    <w:rsid w:val="003363EB"/>
    <w:rsid w:val="003366A0"/>
    <w:rsid w:val="0033681F"/>
    <w:rsid w:val="0033688F"/>
    <w:rsid w:val="003368C4"/>
    <w:rsid w:val="00336981"/>
    <w:rsid w:val="00336A63"/>
    <w:rsid w:val="00336B45"/>
    <w:rsid w:val="00336DBD"/>
    <w:rsid w:val="003373B5"/>
    <w:rsid w:val="003377EC"/>
    <w:rsid w:val="00337EBA"/>
    <w:rsid w:val="00337F35"/>
    <w:rsid w:val="00340016"/>
    <w:rsid w:val="003407EC"/>
    <w:rsid w:val="00340921"/>
    <w:rsid w:val="00340D5F"/>
    <w:rsid w:val="00340D71"/>
    <w:rsid w:val="0034116D"/>
    <w:rsid w:val="00341360"/>
    <w:rsid w:val="003417FC"/>
    <w:rsid w:val="00341D2E"/>
    <w:rsid w:val="00342208"/>
    <w:rsid w:val="003424CC"/>
    <w:rsid w:val="0034267F"/>
    <w:rsid w:val="00342696"/>
    <w:rsid w:val="00342FFF"/>
    <w:rsid w:val="003433B3"/>
    <w:rsid w:val="003433C3"/>
    <w:rsid w:val="00343454"/>
    <w:rsid w:val="003434A9"/>
    <w:rsid w:val="003436F4"/>
    <w:rsid w:val="003438F4"/>
    <w:rsid w:val="00343B97"/>
    <w:rsid w:val="00343BF4"/>
    <w:rsid w:val="00343FB7"/>
    <w:rsid w:val="0034454D"/>
    <w:rsid w:val="00344648"/>
    <w:rsid w:val="003447D9"/>
    <w:rsid w:val="0034482E"/>
    <w:rsid w:val="00344B3B"/>
    <w:rsid w:val="00345ED5"/>
    <w:rsid w:val="00346222"/>
    <w:rsid w:val="00346404"/>
    <w:rsid w:val="0034654A"/>
    <w:rsid w:val="00346AB4"/>
    <w:rsid w:val="00346B5E"/>
    <w:rsid w:val="00346E44"/>
    <w:rsid w:val="00346E74"/>
    <w:rsid w:val="0034707A"/>
    <w:rsid w:val="0034776C"/>
    <w:rsid w:val="0034783F"/>
    <w:rsid w:val="00347DB6"/>
    <w:rsid w:val="00347F88"/>
    <w:rsid w:val="0035028B"/>
    <w:rsid w:val="00350370"/>
    <w:rsid w:val="00350B37"/>
    <w:rsid w:val="00350CC5"/>
    <w:rsid w:val="00350D4B"/>
    <w:rsid w:val="00350D8E"/>
    <w:rsid w:val="00351011"/>
    <w:rsid w:val="003511ED"/>
    <w:rsid w:val="00351248"/>
    <w:rsid w:val="003514CD"/>
    <w:rsid w:val="00351625"/>
    <w:rsid w:val="003517B1"/>
    <w:rsid w:val="003517CC"/>
    <w:rsid w:val="00351864"/>
    <w:rsid w:val="00351DD5"/>
    <w:rsid w:val="00351FA4"/>
    <w:rsid w:val="00352575"/>
    <w:rsid w:val="003526A6"/>
    <w:rsid w:val="003529D2"/>
    <w:rsid w:val="00352CC1"/>
    <w:rsid w:val="00353174"/>
    <w:rsid w:val="00353361"/>
    <w:rsid w:val="0035357C"/>
    <w:rsid w:val="003539E4"/>
    <w:rsid w:val="00353A39"/>
    <w:rsid w:val="00354026"/>
    <w:rsid w:val="003540FE"/>
    <w:rsid w:val="00354498"/>
    <w:rsid w:val="003545BD"/>
    <w:rsid w:val="00354879"/>
    <w:rsid w:val="00354BFA"/>
    <w:rsid w:val="00354D4D"/>
    <w:rsid w:val="00354FBB"/>
    <w:rsid w:val="0035509D"/>
    <w:rsid w:val="0035520F"/>
    <w:rsid w:val="003555B3"/>
    <w:rsid w:val="003555F7"/>
    <w:rsid w:val="00355AC6"/>
    <w:rsid w:val="00355E36"/>
    <w:rsid w:val="00355F5B"/>
    <w:rsid w:val="003562B7"/>
    <w:rsid w:val="003564B6"/>
    <w:rsid w:val="0035676A"/>
    <w:rsid w:val="003569EF"/>
    <w:rsid w:val="00356C9B"/>
    <w:rsid w:val="00356CF6"/>
    <w:rsid w:val="003572A8"/>
    <w:rsid w:val="0035742F"/>
    <w:rsid w:val="003574F4"/>
    <w:rsid w:val="00357721"/>
    <w:rsid w:val="00357806"/>
    <w:rsid w:val="00357839"/>
    <w:rsid w:val="00357B77"/>
    <w:rsid w:val="00357CAD"/>
    <w:rsid w:val="00357CE7"/>
    <w:rsid w:val="00357F78"/>
    <w:rsid w:val="00357FAD"/>
    <w:rsid w:val="003600E4"/>
    <w:rsid w:val="003600E6"/>
    <w:rsid w:val="0036026F"/>
    <w:rsid w:val="003604C8"/>
    <w:rsid w:val="003608A8"/>
    <w:rsid w:val="00360D6D"/>
    <w:rsid w:val="00360FD0"/>
    <w:rsid w:val="00361865"/>
    <w:rsid w:val="00361D53"/>
    <w:rsid w:val="00361E9A"/>
    <w:rsid w:val="00362126"/>
    <w:rsid w:val="003628A6"/>
    <w:rsid w:val="00362D11"/>
    <w:rsid w:val="00362D4E"/>
    <w:rsid w:val="00362E16"/>
    <w:rsid w:val="003630A8"/>
    <w:rsid w:val="00363188"/>
    <w:rsid w:val="0036331B"/>
    <w:rsid w:val="003633CE"/>
    <w:rsid w:val="003635AD"/>
    <w:rsid w:val="00363841"/>
    <w:rsid w:val="00363AC5"/>
    <w:rsid w:val="00363CC0"/>
    <w:rsid w:val="00363D01"/>
    <w:rsid w:val="00363FC3"/>
    <w:rsid w:val="00364082"/>
    <w:rsid w:val="00364232"/>
    <w:rsid w:val="00364533"/>
    <w:rsid w:val="00364895"/>
    <w:rsid w:val="00364B5F"/>
    <w:rsid w:val="00364B6C"/>
    <w:rsid w:val="00364BA5"/>
    <w:rsid w:val="00364E32"/>
    <w:rsid w:val="003651E2"/>
    <w:rsid w:val="00365CF4"/>
    <w:rsid w:val="00365D5D"/>
    <w:rsid w:val="00365FA8"/>
    <w:rsid w:val="00365FD3"/>
    <w:rsid w:val="003664ED"/>
    <w:rsid w:val="00366575"/>
    <w:rsid w:val="00366727"/>
    <w:rsid w:val="003668EB"/>
    <w:rsid w:val="00366BEE"/>
    <w:rsid w:val="00366DFB"/>
    <w:rsid w:val="003672E4"/>
    <w:rsid w:val="003673F1"/>
    <w:rsid w:val="0036752C"/>
    <w:rsid w:val="00367AE2"/>
    <w:rsid w:val="00367CBE"/>
    <w:rsid w:val="00370222"/>
    <w:rsid w:val="00370444"/>
    <w:rsid w:val="003705BE"/>
    <w:rsid w:val="003705EF"/>
    <w:rsid w:val="003706C3"/>
    <w:rsid w:val="00371054"/>
    <w:rsid w:val="003711C2"/>
    <w:rsid w:val="00371462"/>
    <w:rsid w:val="00371464"/>
    <w:rsid w:val="00371945"/>
    <w:rsid w:val="00371B4C"/>
    <w:rsid w:val="0037201A"/>
    <w:rsid w:val="0037231B"/>
    <w:rsid w:val="003723B7"/>
    <w:rsid w:val="003723F2"/>
    <w:rsid w:val="00372ADE"/>
    <w:rsid w:val="00372C46"/>
    <w:rsid w:val="00372F5E"/>
    <w:rsid w:val="00372F9A"/>
    <w:rsid w:val="00373185"/>
    <w:rsid w:val="003734B9"/>
    <w:rsid w:val="0037361D"/>
    <w:rsid w:val="0037372E"/>
    <w:rsid w:val="00373D42"/>
    <w:rsid w:val="0037412D"/>
    <w:rsid w:val="00374305"/>
    <w:rsid w:val="00375211"/>
    <w:rsid w:val="00375636"/>
    <w:rsid w:val="00375684"/>
    <w:rsid w:val="003756EB"/>
    <w:rsid w:val="003758D7"/>
    <w:rsid w:val="00375A84"/>
    <w:rsid w:val="00375B90"/>
    <w:rsid w:val="00375BD8"/>
    <w:rsid w:val="00375D5F"/>
    <w:rsid w:val="00375FED"/>
    <w:rsid w:val="00375FFC"/>
    <w:rsid w:val="003762AA"/>
    <w:rsid w:val="003763D9"/>
    <w:rsid w:val="00376420"/>
    <w:rsid w:val="0037666C"/>
    <w:rsid w:val="003768E1"/>
    <w:rsid w:val="00376D47"/>
    <w:rsid w:val="003770C1"/>
    <w:rsid w:val="003772E9"/>
    <w:rsid w:val="003773B4"/>
    <w:rsid w:val="0037741C"/>
    <w:rsid w:val="003774D8"/>
    <w:rsid w:val="0037785F"/>
    <w:rsid w:val="00377B2A"/>
    <w:rsid w:val="00377ECF"/>
    <w:rsid w:val="003805AF"/>
    <w:rsid w:val="003808D1"/>
    <w:rsid w:val="003810D2"/>
    <w:rsid w:val="00381200"/>
    <w:rsid w:val="003816BD"/>
    <w:rsid w:val="003817A3"/>
    <w:rsid w:val="00381875"/>
    <w:rsid w:val="003819C7"/>
    <w:rsid w:val="00381C81"/>
    <w:rsid w:val="00381CB1"/>
    <w:rsid w:val="00381D99"/>
    <w:rsid w:val="00381E1C"/>
    <w:rsid w:val="00381E85"/>
    <w:rsid w:val="00381ED8"/>
    <w:rsid w:val="003821F4"/>
    <w:rsid w:val="003825F9"/>
    <w:rsid w:val="00382830"/>
    <w:rsid w:val="00382924"/>
    <w:rsid w:val="0038299F"/>
    <w:rsid w:val="00382A26"/>
    <w:rsid w:val="00382E09"/>
    <w:rsid w:val="00383733"/>
    <w:rsid w:val="0038378B"/>
    <w:rsid w:val="003838EB"/>
    <w:rsid w:val="00383901"/>
    <w:rsid w:val="00383AAF"/>
    <w:rsid w:val="00383AB8"/>
    <w:rsid w:val="00383EE1"/>
    <w:rsid w:val="00383F72"/>
    <w:rsid w:val="00384205"/>
    <w:rsid w:val="00384273"/>
    <w:rsid w:val="0038427A"/>
    <w:rsid w:val="003845C5"/>
    <w:rsid w:val="00384606"/>
    <w:rsid w:val="003846CA"/>
    <w:rsid w:val="0038478B"/>
    <w:rsid w:val="003848B2"/>
    <w:rsid w:val="003848D4"/>
    <w:rsid w:val="003848F8"/>
    <w:rsid w:val="00384A08"/>
    <w:rsid w:val="00384B45"/>
    <w:rsid w:val="00384DD0"/>
    <w:rsid w:val="00384F25"/>
    <w:rsid w:val="00385752"/>
    <w:rsid w:val="003859B9"/>
    <w:rsid w:val="00385D75"/>
    <w:rsid w:val="00386614"/>
    <w:rsid w:val="0038661B"/>
    <w:rsid w:val="00386AA4"/>
    <w:rsid w:val="00386BAB"/>
    <w:rsid w:val="00386D07"/>
    <w:rsid w:val="00386F93"/>
    <w:rsid w:val="00386FF7"/>
    <w:rsid w:val="003873C4"/>
    <w:rsid w:val="003875C3"/>
    <w:rsid w:val="00387700"/>
    <w:rsid w:val="00387B46"/>
    <w:rsid w:val="00387BA5"/>
    <w:rsid w:val="00390323"/>
    <w:rsid w:val="003904EB"/>
    <w:rsid w:val="003905B9"/>
    <w:rsid w:val="0039090F"/>
    <w:rsid w:val="00390A9E"/>
    <w:rsid w:val="00390C21"/>
    <w:rsid w:val="00390CDE"/>
    <w:rsid w:val="00390EF4"/>
    <w:rsid w:val="0039108C"/>
    <w:rsid w:val="003910A8"/>
    <w:rsid w:val="003913CD"/>
    <w:rsid w:val="00391448"/>
    <w:rsid w:val="00391535"/>
    <w:rsid w:val="00391F08"/>
    <w:rsid w:val="00391F63"/>
    <w:rsid w:val="0039201C"/>
    <w:rsid w:val="0039230C"/>
    <w:rsid w:val="003923C0"/>
    <w:rsid w:val="00392854"/>
    <w:rsid w:val="00392D4C"/>
    <w:rsid w:val="00392E5D"/>
    <w:rsid w:val="00393073"/>
    <w:rsid w:val="003932DE"/>
    <w:rsid w:val="003932F7"/>
    <w:rsid w:val="00393397"/>
    <w:rsid w:val="003939FB"/>
    <w:rsid w:val="00393A7A"/>
    <w:rsid w:val="00393A97"/>
    <w:rsid w:val="00393F84"/>
    <w:rsid w:val="00394096"/>
    <w:rsid w:val="0039457C"/>
    <w:rsid w:val="003947E7"/>
    <w:rsid w:val="00394994"/>
    <w:rsid w:val="00394F34"/>
    <w:rsid w:val="0039501F"/>
    <w:rsid w:val="00395821"/>
    <w:rsid w:val="00395A7D"/>
    <w:rsid w:val="00395B72"/>
    <w:rsid w:val="00395CF8"/>
    <w:rsid w:val="00395E65"/>
    <w:rsid w:val="00395F99"/>
    <w:rsid w:val="00396073"/>
    <w:rsid w:val="00396984"/>
    <w:rsid w:val="00396D7F"/>
    <w:rsid w:val="00396DF6"/>
    <w:rsid w:val="00396E3C"/>
    <w:rsid w:val="00396E60"/>
    <w:rsid w:val="00397564"/>
    <w:rsid w:val="0039756C"/>
    <w:rsid w:val="00397791"/>
    <w:rsid w:val="00397A41"/>
    <w:rsid w:val="00397D10"/>
    <w:rsid w:val="00397DCF"/>
    <w:rsid w:val="003A00F9"/>
    <w:rsid w:val="003A0222"/>
    <w:rsid w:val="003A06F7"/>
    <w:rsid w:val="003A0844"/>
    <w:rsid w:val="003A09ED"/>
    <w:rsid w:val="003A0EB8"/>
    <w:rsid w:val="003A10F1"/>
    <w:rsid w:val="003A119F"/>
    <w:rsid w:val="003A1512"/>
    <w:rsid w:val="003A194C"/>
    <w:rsid w:val="003A2954"/>
    <w:rsid w:val="003A2F28"/>
    <w:rsid w:val="003A3192"/>
    <w:rsid w:val="003A332D"/>
    <w:rsid w:val="003A3718"/>
    <w:rsid w:val="003A39ED"/>
    <w:rsid w:val="003A3B7D"/>
    <w:rsid w:val="003A3D7C"/>
    <w:rsid w:val="003A3E29"/>
    <w:rsid w:val="003A3F26"/>
    <w:rsid w:val="003A4041"/>
    <w:rsid w:val="003A414E"/>
    <w:rsid w:val="003A435F"/>
    <w:rsid w:val="003A4560"/>
    <w:rsid w:val="003A4862"/>
    <w:rsid w:val="003A48CE"/>
    <w:rsid w:val="003A4A14"/>
    <w:rsid w:val="003A4E4C"/>
    <w:rsid w:val="003A4F09"/>
    <w:rsid w:val="003A4FE6"/>
    <w:rsid w:val="003A51A0"/>
    <w:rsid w:val="003A51BF"/>
    <w:rsid w:val="003A558E"/>
    <w:rsid w:val="003A5802"/>
    <w:rsid w:val="003A5B58"/>
    <w:rsid w:val="003A5BB1"/>
    <w:rsid w:val="003A5FDA"/>
    <w:rsid w:val="003A604C"/>
    <w:rsid w:val="003A6070"/>
    <w:rsid w:val="003A610E"/>
    <w:rsid w:val="003A6123"/>
    <w:rsid w:val="003A6819"/>
    <w:rsid w:val="003A6B29"/>
    <w:rsid w:val="003A6B2B"/>
    <w:rsid w:val="003A6CD9"/>
    <w:rsid w:val="003A6EEE"/>
    <w:rsid w:val="003A703C"/>
    <w:rsid w:val="003A7694"/>
    <w:rsid w:val="003A790B"/>
    <w:rsid w:val="003A7F7F"/>
    <w:rsid w:val="003B01CC"/>
    <w:rsid w:val="003B01F5"/>
    <w:rsid w:val="003B02CC"/>
    <w:rsid w:val="003B06D2"/>
    <w:rsid w:val="003B0AD0"/>
    <w:rsid w:val="003B0ADA"/>
    <w:rsid w:val="003B0D6B"/>
    <w:rsid w:val="003B0EB7"/>
    <w:rsid w:val="003B0F49"/>
    <w:rsid w:val="003B1064"/>
    <w:rsid w:val="003B170A"/>
    <w:rsid w:val="003B1969"/>
    <w:rsid w:val="003B1983"/>
    <w:rsid w:val="003B1B33"/>
    <w:rsid w:val="003B1C63"/>
    <w:rsid w:val="003B1D26"/>
    <w:rsid w:val="003B1F88"/>
    <w:rsid w:val="003B208F"/>
    <w:rsid w:val="003B22EE"/>
    <w:rsid w:val="003B270D"/>
    <w:rsid w:val="003B2852"/>
    <w:rsid w:val="003B288D"/>
    <w:rsid w:val="003B2CD1"/>
    <w:rsid w:val="003B2E94"/>
    <w:rsid w:val="003B2EDF"/>
    <w:rsid w:val="003B2FAD"/>
    <w:rsid w:val="003B36BA"/>
    <w:rsid w:val="003B3B7E"/>
    <w:rsid w:val="003B3CBB"/>
    <w:rsid w:val="003B4098"/>
    <w:rsid w:val="003B443E"/>
    <w:rsid w:val="003B48F4"/>
    <w:rsid w:val="003B499F"/>
    <w:rsid w:val="003B4D09"/>
    <w:rsid w:val="003B4DFE"/>
    <w:rsid w:val="003B5335"/>
    <w:rsid w:val="003B56E9"/>
    <w:rsid w:val="003B572F"/>
    <w:rsid w:val="003B5746"/>
    <w:rsid w:val="003B5DF9"/>
    <w:rsid w:val="003B5E3F"/>
    <w:rsid w:val="003B61B5"/>
    <w:rsid w:val="003B6292"/>
    <w:rsid w:val="003B62A3"/>
    <w:rsid w:val="003B6929"/>
    <w:rsid w:val="003B6991"/>
    <w:rsid w:val="003B69C4"/>
    <w:rsid w:val="003B6BA8"/>
    <w:rsid w:val="003B6D52"/>
    <w:rsid w:val="003B730A"/>
    <w:rsid w:val="003B74F6"/>
    <w:rsid w:val="003B7A39"/>
    <w:rsid w:val="003B7F7E"/>
    <w:rsid w:val="003C0133"/>
    <w:rsid w:val="003C0161"/>
    <w:rsid w:val="003C0244"/>
    <w:rsid w:val="003C0335"/>
    <w:rsid w:val="003C085E"/>
    <w:rsid w:val="003C10FA"/>
    <w:rsid w:val="003C113D"/>
    <w:rsid w:val="003C142A"/>
    <w:rsid w:val="003C1E3D"/>
    <w:rsid w:val="003C20BD"/>
    <w:rsid w:val="003C27C3"/>
    <w:rsid w:val="003C2C1C"/>
    <w:rsid w:val="003C2EAD"/>
    <w:rsid w:val="003C314D"/>
    <w:rsid w:val="003C3197"/>
    <w:rsid w:val="003C335F"/>
    <w:rsid w:val="003C3446"/>
    <w:rsid w:val="003C344F"/>
    <w:rsid w:val="003C39F8"/>
    <w:rsid w:val="003C3E89"/>
    <w:rsid w:val="003C3FA8"/>
    <w:rsid w:val="003C4270"/>
    <w:rsid w:val="003C47A2"/>
    <w:rsid w:val="003C4C85"/>
    <w:rsid w:val="003C4F50"/>
    <w:rsid w:val="003C5606"/>
    <w:rsid w:val="003C5721"/>
    <w:rsid w:val="003C5C7D"/>
    <w:rsid w:val="003C5C91"/>
    <w:rsid w:val="003C6119"/>
    <w:rsid w:val="003C6308"/>
    <w:rsid w:val="003C6586"/>
    <w:rsid w:val="003C6701"/>
    <w:rsid w:val="003C6774"/>
    <w:rsid w:val="003C6A58"/>
    <w:rsid w:val="003C6AE2"/>
    <w:rsid w:val="003C6BC9"/>
    <w:rsid w:val="003C6C8F"/>
    <w:rsid w:val="003C6CE2"/>
    <w:rsid w:val="003C6CEC"/>
    <w:rsid w:val="003C6D3E"/>
    <w:rsid w:val="003C6E01"/>
    <w:rsid w:val="003C73DC"/>
    <w:rsid w:val="003C7A88"/>
    <w:rsid w:val="003C7CAC"/>
    <w:rsid w:val="003D01B7"/>
    <w:rsid w:val="003D0380"/>
    <w:rsid w:val="003D053C"/>
    <w:rsid w:val="003D11F4"/>
    <w:rsid w:val="003D12E4"/>
    <w:rsid w:val="003D1606"/>
    <w:rsid w:val="003D1615"/>
    <w:rsid w:val="003D1A5A"/>
    <w:rsid w:val="003D26CF"/>
    <w:rsid w:val="003D2702"/>
    <w:rsid w:val="003D278C"/>
    <w:rsid w:val="003D3276"/>
    <w:rsid w:val="003D34E6"/>
    <w:rsid w:val="003D3866"/>
    <w:rsid w:val="003D390C"/>
    <w:rsid w:val="003D3A56"/>
    <w:rsid w:val="003D3C57"/>
    <w:rsid w:val="003D3CF3"/>
    <w:rsid w:val="003D3FFB"/>
    <w:rsid w:val="003D4638"/>
    <w:rsid w:val="003D4676"/>
    <w:rsid w:val="003D4775"/>
    <w:rsid w:val="003D49B5"/>
    <w:rsid w:val="003D4AFC"/>
    <w:rsid w:val="003D51BB"/>
    <w:rsid w:val="003D5AB6"/>
    <w:rsid w:val="003D5BCA"/>
    <w:rsid w:val="003D63DA"/>
    <w:rsid w:val="003D6480"/>
    <w:rsid w:val="003D661C"/>
    <w:rsid w:val="003D66D0"/>
    <w:rsid w:val="003D673C"/>
    <w:rsid w:val="003D6C3D"/>
    <w:rsid w:val="003D6DA4"/>
    <w:rsid w:val="003D6FF7"/>
    <w:rsid w:val="003D7393"/>
    <w:rsid w:val="003D75A6"/>
    <w:rsid w:val="003D77BB"/>
    <w:rsid w:val="003D7AD2"/>
    <w:rsid w:val="003D7BEE"/>
    <w:rsid w:val="003D7E71"/>
    <w:rsid w:val="003E0131"/>
    <w:rsid w:val="003E03F5"/>
    <w:rsid w:val="003E0452"/>
    <w:rsid w:val="003E0A64"/>
    <w:rsid w:val="003E1171"/>
    <w:rsid w:val="003E1332"/>
    <w:rsid w:val="003E15DB"/>
    <w:rsid w:val="003E188B"/>
    <w:rsid w:val="003E22A7"/>
    <w:rsid w:val="003E23BB"/>
    <w:rsid w:val="003E264F"/>
    <w:rsid w:val="003E29F2"/>
    <w:rsid w:val="003E2A9D"/>
    <w:rsid w:val="003E2F18"/>
    <w:rsid w:val="003E2F40"/>
    <w:rsid w:val="003E2F42"/>
    <w:rsid w:val="003E351F"/>
    <w:rsid w:val="003E35E2"/>
    <w:rsid w:val="003E36B4"/>
    <w:rsid w:val="003E399E"/>
    <w:rsid w:val="003E3CCA"/>
    <w:rsid w:val="003E46E6"/>
    <w:rsid w:val="003E4CB8"/>
    <w:rsid w:val="003E5120"/>
    <w:rsid w:val="003E5205"/>
    <w:rsid w:val="003E5773"/>
    <w:rsid w:val="003E59F1"/>
    <w:rsid w:val="003E6157"/>
    <w:rsid w:val="003E61C6"/>
    <w:rsid w:val="003E62ED"/>
    <w:rsid w:val="003E63B2"/>
    <w:rsid w:val="003E6526"/>
    <w:rsid w:val="003E68CE"/>
    <w:rsid w:val="003E69DA"/>
    <w:rsid w:val="003E6A2E"/>
    <w:rsid w:val="003E6CB0"/>
    <w:rsid w:val="003E6CE5"/>
    <w:rsid w:val="003E6E61"/>
    <w:rsid w:val="003E70EF"/>
    <w:rsid w:val="003E7115"/>
    <w:rsid w:val="003E712A"/>
    <w:rsid w:val="003E71EA"/>
    <w:rsid w:val="003E72B3"/>
    <w:rsid w:val="003E7989"/>
    <w:rsid w:val="003E9420"/>
    <w:rsid w:val="003F00CD"/>
    <w:rsid w:val="003F0194"/>
    <w:rsid w:val="003F0261"/>
    <w:rsid w:val="003F02B2"/>
    <w:rsid w:val="003F097E"/>
    <w:rsid w:val="003F0FCE"/>
    <w:rsid w:val="003F12C3"/>
    <w:rsid w:val="003F15BE"/>
    <w:rsid w:val="003F186B"/>
    <w:rsid w:val="003F20D6"/>
    <w:rsid w:val="003F2124"/>
    <w:rsid w:val="003F2370"/>
    <w:rsid w:val="003F2686"/>
    <w:rsid w:val="003F275F"/>
    <w:rsid w:val="003F284D"/>
    <w:rsid w:val="003F349C"/>
    <w:rsid w:val="003F35BE"/>
    <w:rsid w:val="003F3754"/>
    <w:rsid w:val="003F37CB"/>
    <w:rsid w:val="003F3884"/>
    <w:rsid w:val="003F3AD9"/>
    <w:rsid w:val="003F42F2"/>
    <w:rsid w:val="003F4DFE"/>
    <w:rsid w:val="003F5558"/>
    <w:rsid w:val="003F5592"/>
    <w:rsid w:val="003F567F"/>
    <w:rsid w:val="003F58AE"/>
    <w:rsid w:val="003F5913"/>
    <w:rsid w:val="003F5A3D"/>
    <w:rsid w:val="003F5B59"/>
    <w:rsid w:val="003F5B73"/>
    <w:rsid w:val="003F5C0A"/>
    <w:rsid w:val="003F5E9B"/>
    <w:rsid w:val="003F61A2"/>
    <w:rsid w:val="003F6297"/>
    <w:rsid w:val="003F68B2"/>
    <w:rsid w:val="003F6907"/>
    <w:rsid w:val="003F6C8D"/>
    <w:rsid w:val="003F7300"/>
    <w:rsid w:val="003F7398"/>
    <w:rsid w:val="003F74A4"/>
    <w:rsid w:val="003F7519"/>
    <w:rsid w:val="003F7548"/>
    <w:rsid w:val="003F757B"/>
    <w:rsid w:val="003F766D"/>
    <w:rsid w:val="003F7756"/>
    <w:rsid w:val="003F796E"/>
    <w:rsid w:val="003F7FA1"/>
    <w:rsid w:val="004000A1"/>
    <w:rsid w:val="004000F3"/>
    <w:rsid w:val="00400489"/>
    <w:rsid w:val="00400B46"/>
    <w:rsid w:val="00400C4A"/>
    <w:rsid w:val="00400E9C"/>
    <w:rsid w:val="00400F30"/>
    <w:rsid w:val="0040116F"/>
    <w:rsid w:val="004022E0"/>
    <w:rsid w:val="00402956"/>
    <w:rsid w:val="00402977"/>
    <w:rsid w:val="00402AF8"/>
    <w:rsid w:val="00402B14"/>
    <w:rsid w:val="00402CF1"/>
    <w:rsid w:val="0040306E"/>
    <w:rsid w:val="0040334C"/>
    <w:rsid w:val="004036C0"/>
    <w:rsid w:val="0040370D"/>
    <w:rsid w:val="00403BCA"/>
    <w:rsid w:val="0040406B"/>
    <w:rsid w:val="004041F1"/>
    <w:rsid w:val="0040452E"/>
    <w:rsid w:val="00404586"/>
    <w:rsid w:val="00404639"/>
    <w:rsid w:val="0040466C"/>
    <w:rsid w:val="004049D2"/>
    <w:rsid w:val="00404A95"/>
    <w:rsid w:val="00404B33"/>
    <w:rsid w:val="00404F9F"/>
    <w:rsid w:val="00405431"/>
    <w:rsid w:val="004057E6"/>
    <w:rsid w:val="00405B3A"/>
    <w:rsid w:val="00405C65"/>
    <w:rsid w:val="004060AA"/>
    <w:rsid w:val="004066D6"/>
    <w:rsid w:val="004066DA"/>
    <w:rsid w:val="004066F3"/>
    <w:rsid w:val="004067B4"/>
    <w:rsid w:val="004068A5"/>
    <w:rsid w:val="00406ACA"/>
    <w:rsid w:val="00406B72"/>
    <w:rsid w:val="00406F65"/>
    <w:rsid w:val="00407233"/>
    <w:rsid w:val="004073CD"/>
    <w:rsid w:val="00407501"/>
    <w:rsid w:val="00407599"/>
    <w:rsid w:val="0040766E"/>
    <w:rsid w:val="004076B0"/>
    <w:rsid w:val="00407AE3"/>
    <w:rsid w:val="0041005C"/>
    <w:rsid w:val="00410439"/>
    <w:rsid w:val="004105D9"/>
    <w:rsid w:val="0041061E"/>
    <w:rsid w:val="004107B9"/>
    <w:rsid w:val="00410855"/>
    <w:rsid w:val="00410E39"/>
    <w:rsid w:val="00410FA2"/>
    <w:rsid w:val="00411063"/>
    <w:rsid w:val="004114BC"/>
    <w:rsid w:val="00412253"/>
    <w:rsid w:val="004122E2"/>
    <w:rsid w:val="00412315"/>
    <w:rsid w:val="00412BD1"/>
    <w:rsid w:val="00412C31"/>
    <w:rsid w:val="00412DA6"/>
    <w:rsid w:val="00412E5D"/>
    <w:rsid w:val="00412F3F"/>
    <w:rsid w:val="0041311B"/>
    <w:rsid w:val="004133CD"/>
    <w:rsid w:val="004135EB"/>
    <w:rsid w:val="004136C3"/>
    <w:rsid w:val="00413707"/>
    <w:rsid w:val="0041379A"/>
    <w:rsid w:val="00413A9C"/>
    <w:rsid w:val="0041414F"/>
    <w:rsid w:val="004144A0"/>
    <w:rsid w:val="00415056"/>
    <w:rsid w:val="004150C3"/>
    <w:rsid w:val="0041529F"/>
    <w:rsid w:val="004154EB"/>
    <w:rsid w:val="00415667"/>
    <w:rsid w:val="0041575B"/>
    <w:rsid w:val="0041576F"/>
    <w:rsid w:val="00415BD3"/>
    <w:rsid w:val="00415C87"/>
    <w:rsid w:val="00415E66"/>
    <w:rsid w:val="00416054"/>
    <w:rsid w:val="004161BF"/>
    <w:rsid w:val="004164DF"/>
    <w:rsid w:val="00416B0C"/>
    <w:rsid w:val="00416C4A"/>
    <w:rsid w:val="00417161"/>
    <w:rsid w:val="00417337"/>
    <w:rsid w:val="00417AAC"/>
    <w:rsid w:val="00417AF4"/>
    <w:rsid w:val="00417C01"/>
    <w:rsid w:val="00417E01"/>
    <w:rsid w:val="00417EDF"/>
    <w:rsid w:val="00420379"/>
    <w:rsid w:val="00420408"/>
    <w:rsid w:val="0042054E"/>
    <w:rsid w:val="00420A9E"/>
    <w:rsid w:val="00420D00"/>
    <w:rsid w:val="004215A7"/>
    <w:rsid w:val="00421600"/>
    <w:rsid w:val="00421628"/>
    <w:rsid w:val="004219E6"/>
    <w:rsid w:val="00421C56"/>
    <w:rsid w:val="00421DE1"/>
    <w:rsid w:val="00421F16"/>
    <w:rsid w:val="00421FFB"/>
    <w:rsid w:val="0042212D"/>
    <w:rsid w:val="0042229C"/>
    <w:rsid w:val="00422521"/>
    <w:rsid w:val="0042298D"/>
    <w:rsid w:val="00422D03"/>
    <w:rsid w:val="004231D3"/>
    <w:rsid w:val="00423495"/>
    <w:rsid w:val="004234CD"/>
    <w:rsid w:val="00423710"/>
    <w:rsid w:val="0042371D"/>
    <w:rsid w:val="00423EAA"/>
    <w:rsid w:val="004245BE"/>
    <w:rsid w:val="00424777"/>
    <w:rsid w:val="00424877"/>
    <w:rsid w:val="00424A38"/>
    <w:rsid w:val="00424DA7"/>
    <w:rsid w:val="004250D7"/>
    <w:rsid w:val="004251A4"/>
    <w:rsid w:val="004253EC"/>
    <w:rsid w:val="00425748"/>
    <w:rsid w:val="00425967"/>
    <w:rsid w:val="00425988"/>
    <w:rsid w:val="00425ED3"/>
    <w:rsid w:val="00426126"/>
    <w:rsid w:val="00426266"/>
    <w:rsid w:val="00426484"/>
    <w:rsid w:val="004266BE"/>
    <w:rsid w:val="00426A96"/>
    <w:rsid w:val="00426C01"/>
    <w:rsid w:val="00426C2C"/>
    <w:rsid w:val="00426D1C"/>
    <w:rsid w:val="00426E8F"/>
    <w:rsid w:val="00426FF7"/>
    <w:rsid w:val="004274F2"/>
    <w:rsid w:val="00427854"/>
    <w:rsid w:val="00427ADD"/>
    <w:rsid w:val="00427D5D"/>
    <w:rsid w:val="00427E48"/>
    <w:rsid w:val="00427F4F"/>
    <w:rsid w:val="00427FE5"/>
    <w:rsid w:val="00427FFD"/>
    <w:rsid w:val="0043016B"/>
    <w:rsid w:val="00430786"/>
    <w:rsid w:val="00430963"/>
    <w:rsid w:val="00430CED"/>
    <w:rsid w:val="00430D07"/>
    <w:rsid w:val="004311B4"/>
    <w:rsid w:val="00431517"/>
    <w:rsid w:val="00431679"/>
    <w:rsid w:val="004317EA"/>
    <w:rsid w:val="0043192D"/>
    <w:rsid w:val="00431A1D"/>
    <w:rsid w:val="00431C90"/>
    <w:rsid w:val="00431E7B"/>
    <w:rsid w:val="00432A77"/>
    <w:rsid w:val="00432A81"/>
    <w:rsid w:val="0043302F"/>
    <w:rsid w:val="004330ED"/>
    <w:rsid w:val="00433106"/>
    <w:rsid w:val="00433675"/>
    <w:rsid w:val="00434325"/>
    <w:rsid w:val="00434B92"/>
    <w:rsid w:val="00434F19"/>
    <w:rsid w:val="0043529D"/>
    <w:rsid w:val="00435363"/>
    <w:rsid w:val="0043539A"/>
    <w:rsid w:val="00435428"/>
    <w:rsid w:val="004357C2"/>
    <w:rsid w:val="00435F61"/>
    <w:rsid w:val="004361DE"/>
    <w:rsid w:val="0043639F"/>
    <w:rsid w:val="00436A1D"/>
    <w:rsid w:val="00436C1A"/>
    <w:rsid w:val="00436C88"/>
    <w:rsid w:val="00436CBC"/>
    <w:rsid w:val="00436E57"/>
    <w:rsid w:val="00436F46"/>
    <w:rsid w:val="0043763A"/>
    <w:rsid w:val="00437BA8"/>
    <w:rsid w:val="00440086"/>
    <w:rsid w:val="00440450"/>
    <w:rsid w:val="00440A1F"/>
    <w:rsid w:val="00440C3B"/>
    <w:rsid w:val="00440D25"/>
    <w:rsid w:val="0044129E"/>
    <w:rsid w:val="0044159C"/>
    <w:rsid w:val="00441783"/>
    <w:rsid w:val="0044182D"/>
    <w:rsid w:val="00441C2E"/>
    <w:rsid w:val="004421CD"/>
    <w:rsid w:val="0044238D"/>
    <w:rsid w:val="004425F1"/>
    <w:rsid w:val="004426EB"/>
    <w:rsid w:val="00442BED"/>
    <w:rsid w:val="00442D16"/>
    <w:rsid w:val="00442EBA"/>
    <w:rsid w:val="00442F1C"/>
    <w:rsid w:val="004431DE"/>
    <w:rsid w:val="00443227"/>
    <w:rsid w:val="004432C5"/>
    <w:rsid w:val="004435B5"/>
    <w:rsid w:val="0044375F"/>
    <w:rsid w:val="00443AAF"/>
    <w:rsid w:val="00443ACF"/>
    <w:rsid w:val="00443C14"/>
    <w:rsid w:val="00443CA2"/>
    <w:rsid w:val="00443E16"/>
    <w:rsid w:val="00444055"/>
    <w:rsid w:val="00444326"/>
    <w:rsid w:val="004448E8"/>
    <w:rsid w:val="00444FC3"/>
    <w:rsid w:val="00445013"/>
    <w:rsid w:val="004452FF"/>
    <w:rsid w:val="0044532B"/>
    <w:rsid w:val="004454AA"/>
    <w:rsid w:val="004455E2"/>
    <w:rsid w:val="00445689"/>
    <w:rsid w:val="00445821"/>
    <w:rsid w:val="0044585F"/>
    <w:rsid w:val="00445D3A"/>
    <w:rsid w:val="00445EBF"/>
    <w:rsid w:val="004463D6"/>
    <w:rsid w:val="0044654C"/>
    <w:rsid w:val="0044659B"/>
    <w:rsid w:val="0044688C"/>
    <w:rsid w:val="00446AFC"/>
    <w:rsid w:val="004471F0"/>
    <w:rsid w:val="004475AF"/>
    <w:rsid w:val="004477ED"/>
    <w:rsid w:val="00447A44"/>
    <w:rsid w:val="00447C91"/>
    <w:rsid w:val="0045015E"/>
    <w:rsid w:val="004506BE"/>
    <w:rsid w:val="00450766"/>
    <w:rsid w:val="004507AE"/>
    <w:rsid w:val="00450AA0"/>
    <w:rsid w:val="00450B3B"/>
    <w:rsid w:val="00450C38"/>
    <w:rsid w:val="00450C43"/>
    <w:rsid w:val="00450CB5"/>
    <w:rsid w:val="004510C6"/>
    <w:rsid w:val="004512FE"/>
    <w:rsid w:val="004514F0"/>
    <w:rsid w:val="004515F4"/>
    <w:rsid w:val="00451D00"/>
    <w:rsid w:val="00451D75"/>
    <w:rsid w:val="00451EEA"/>
    <w:rsid w:val="00451F75"/>
    <w:rsid w:val="004524E5"/>
    <w:rsid w:val="00452531"/>
    <w:rsid w:val="00452608"/>
    <w:rsid w:val="00452B98"/>
    <w:rsid w:val="00452DFB"/>
    <w:rsid w:val="00452F66"/>
    <w:rsid w:val="004530E2"/>
    <w:rsid w:val="00453550"/>
    <w:rsid w:val="00453561"/>
    <w:rsid w:val="00453670"/>
    <w:rsid w:val="004536CF"/>
    <w:rsid w:val="00453A3F"/>
    <w:rsid w:val="00453DC4"/>
    <w:rsid w:val="0045405A"/>
    <w:rsid w:val="00454722"/>
    <w:rsid w:val="00454869"/>
    <w:rsid w:val="00454C70"/>
    <w:rsid w:val="00454EB7"/>
    <w:rsid w:val="00454FBE"/>
    <w:rsid w:val="004552CB"/>
    <w:rsid w:val="00455452"/>
    <w:rsid w:val="0045559F"/>
    <w:rsid w:val="004558F2"/>
    <w:rsid w:val="004559F5"/>
    <w:rsid w:val="00455CFB"/>
    <w:rsid w:val="00455D43"/>
    <w:rsid w:val="004565D7"/>
    <w:rsid w:val="00456A44"/>
    <w:rsid w:val="00456C49"/>
    <w:rsid w:val="00456C63"/>
    <w:rsid w:val="00456D6A"/>
    <w:rsid w:val="00456E8E"/>
    <w:rsid w:val="00457154"/>
    <w:rsid w:val="00457293"/>
    <w:rsid w:val="004574C4"/>
    <w:rsid w:val="0045767D"/>
    <w:rsid w:val="00457BE5"/>
    <w:rsid w:val="00457DA0"/>
    <w:rsid w:val="00457F73"/>
    <w:rsid w:val="00460249"/>
    <w:rsid w:val="004603A5"/>
    <w:rsid w:val="00460502"/>
    <w:rsid w:val="00460A8E"/>
    <w:rsid w:val="00460D52"/>
    <w:rsid w:val="00460F8A"/>
    <w:rsid w:val="00461019"/>
    <w:rsid w:val="0046105E"/>
    <w:rsid w:val="004610CC"/>
    <w:rsid w:val="0046126F"/>
    <w:rsid w:val="0046180E"/>
    <w:rsid w:val="00461E46"/>
    <w:rsid w:val="00461FB0"/>
    <w:rsid w:val="00462347"/>
    <w:rsid w:val="00462385"/>
    <w:rsid w:val="00462476"/>
    <w:rsid w:val="00462AE9"/>
    <w:rsid w:val="00462B1F"/>
    <w:rsid w:val="00462C09"/>
    <w:rsid w:val="004632BE"/>
    <w:rsid w:val="00463375"/>
    <w:rsid w:val="0046347B"/>
    <w:rsid w:val="00463488"/>
    <w:rsid w:val="0046352F"/>
    <w:rsid w:val="004636D8"/>
    <w:rsid w:val="00463B38"/>
    <w:rsid w:val="00464063"/>
    <w:rsid w:val="00464168"/>
    <w:rsid w:val="0046416B"/>
    <w:rsid w:val="00464925"/>
    <w:rsid w:val="00464B61"/>
    <w:rsid w:val="00464DBD"/>
    <w:rsid w:val="00464FD2"/>
    <w:rsid w:val="00465304"/>
    <w:rsid w:val="0046554C"/>
    <w:rsid w:val="004655B3"/>
    <w:rsid w:val="0046567E"/>
    <w:rsid w:val="00465AEB"/>
    <w:rsid w:val="0046653F"/>
    <w:rsid w:val="004665C0"/>
    <w:rsid w:val="004665F7"/>
    <w:rsid w:val="00466D8A"/>
    <w:rsid w:val="004676B9"/>
    <w:rsid w:val="00467B63"/>
    <w:rsid w:val="00467C18"/>
    <w:rsid w:val="00470243"/>
    <w:rsid w:val="004702B0"/>
    <w:rsid w:val="004703A3"/>
    <w:rsid w:val="004703B2"/>
    <w:rsid w:val="004706CB"/>
    <w:rsid w:val="004707F4"/>
    <w:rsid w:val="00470A71"/>
    <w:rsid w:val="00470E7A"/>
    <w:rsid w:val="00470F5C"/>
    <w:rsid w:val="00471181"/>
    <w:rsid w:val="004712EA"/>
    <w:rsid w:val="00471446"/>
    <w:rsid w:val="004714C4"/>
    <w:rsid w:val="0047158A"/>
    <w:rsid w:val="0047168A"/>
    <w:rsid w:val="004716E8"/>
    <w:rsid w:val="00471ACA"/>
    <w:rsid w:val="00471BFE"/>
    <w:rsid w:val="00471E36"/>
    <w:rsid w:val="004721C3"/>
    <w:rsid w:val="004725AD"/>
    <w:rsid w:val="004726D9"/>
    <w:rsid w:val="00472A4C"/>
    <w:rsid w:val="00472C33"/>
    <w:rsid w:val="00472C35"/>
    <w:rsid w:val="00472C4E"/>
    <w:rsid w:val="00472CB8"/>
    <w:rsid w:val="0047306D"/>
    <w:rsid w:val="00473257"/>
    <w:rsid w:val="004732E4"/>
    <w:rsid w:val="004736C2"/>
    <w:rsid w:val="00473765"/>
    <w:rsid w:val="00473807"/>
    <w:rsid w:val="00473BCC"/>
    <w:rsid w:val="00473CC2"/>
    <w:rsid w:val="00474166"/>
    <w:rsid w:val="004741F9"/>
    <w:rsid w:val="00474481"/>
    <w:rsid w:val="00474680"/>
    <w:rsid w:val="0047473A"/>
    <w:rsid w:val="004748D0"/>
    <w:rsid w:val="00474FA8"/>
    <w:rsid w:val="004756FB"/>
    <w:rsid w:val="0047577D"/>
    <w:rsid w:val="00475D22"/>
    <w:rsid w:val="00475EA5"/>
    <w:rsid w:val="00475F1B"/>
    <w:rsid w:val="00476063"/>
    <w:rsid w:val="00476351"/>
    <w:rsid w:val="00476AC0"/>
    <w:rsid w:val="00476BDE"/>
    <w:rsid w:val="00476F14"/>
    <w:rsid w:val="00476F85"/>
    <w:rsid w:val="0047704A"/>
    <w:rsid w:val="00477436"/>
    <w:rsid w:val="004774A6"/>
    <w:rsid w:val="00477B20"/>
    <w:rsid w:val="00480202"/>
    <w:rsid w:val="004804BC"/>
    <w:rsid w:val="00480727"/>
    <w:rsid w:val="00480D53"/>
    <w:rsid w:val="00480DE0"/>
    <w:rsid w:val="00480F8F"/>
    <w:rsid w:val="00481055"/>
    <w:rsid w:val="004810D7"/>
    <w:rsid w:val="0048115C"/>
    <w:rsid w:val="004815CE"/>
    <w:rsid w:val="0048172A"/>
    <w:rsid w:val="00481A31"/>
    <w:rsid w:val="00481A58"/>
    <w:rsid w:val="00482253"/>
    <w:rsid w:val="0048240C"/>
    <w:rsid w:val="00482448"/>
    <w:rsid w:val="0048261F"/>
    <w:rsid w:val="00482CF1"/>
    <w:rsid w:val="00482D9F"/>
    <w:rsid w:val="00483270"/>
    <w:rsid w:val="0048350A"/>
    <w:rsid w:val="00483530"/>
    <w:rsid w:val="00483689"/>
    <w:rsid w:val="00483741"/>
    <w:rsid w:val="0048383E"/>
    <w:rsid w:val="00483BE7"/>
    <w:rsid w:val="00483C0B"/>
    <w:rsid w:val="00483C20"/>
    <w:rsid w:val="00483E43"/>
    <w:rsid w:val="00483E72"/>
    <w:rsid w:val="00483F90"/>
    <w:rsid w:val="004847FB"/>
    <w:rsid w:val="00484987"/>
    <w:rsid w:val="00485732"/>
    <w:rsid w:val="004858B2"/>
    <w:rsid w:val="0048591F"/>
    <w:rsid w:val="0048598E"/>
    <w:rsid w:val="00485C40"/>
    <w:rsid w:val="00485CDE"/>
    <w:rsid w:val="0048630C"/>
    <w:rsid w:val="004865F9"/>
    <w:rsid w:val="004869B2"/>
    <w:rsid w:val="00486CE5"/>
    <w:rsid w:val="00486E36"/>
    <w:rsid w:val="00486E4C"/>
    <w:rsid w:val="0048700E"/>
    <w:rsid w:val="00487050"/>
    <w:rsid w:val="0048737F"/>
    <w:rsid w:val="00487523"/>
    <w:rsid w:val="00487AEF"/>
    <w:rsid w:val="00487D27"/>
    <w:rsid w:val="00490094"/>
    <w:rsid w:val="004900FE"/>
    <w:rsid w:val="004903BD"/>
    <w:rsid w:val="004909EA"/>
    <w:rsid w:val="00490A06"/>
    <w:rsid w:val="00490CB7"/>
    <w:rsid w:val="00490DC1"/>
    <w:rsid w:val="00490E19"/>
    <w:rsid w:val="004912AF"/>
    <w:rsid w:val="00491733"/>
    <w:rsid w:val="00491736"/>
    <w:rsid w:val="00491CDB"/>
    <w:rsid w:val="00491F00"/>
    <w:rsid w:val="004920DE"/>
    <w:rsid w:val="004924FB"/>
    <w:rsid w:val="0049259B"/>
    <w:rsid w:val="004925A2"/>
    <w:rsid w:val="0049274C"/>
    <w:rsid w:val="00492F46"/>
    <w:rsid w:val="00492FDE"/>
    <w:rsid w:val="004937A9"/>
    <w:rsid w:val="004938E9"/>
    <w:rsid w:val="00493E35"/>
    <w:rsid w:val="00493FB3"/>
    <w:rsid w:val="00494249"/>
    <w:rsid w:val="004942DC"/>
    <w:rsid w:val="00494450"/>
    <w:rsid w:val="00494C09"/>
    <w:rsid w:val="00494D2A"/>
    <w:rsid w:val="00494DB7"/>
    <w:rsid w:val="00494F6E"/>
    <w:rsid w:val="00495007"/>
    <w:rsid w:val="00495342"/>
    <w:rsid w:val="0049544C"/>
    <w:rsid w:val="0049546A"/>
    <w:rsid w:val="0049563D"/>
    <w:rsid w:val="004956C7"/>
    <w:rsid w:val="00495705"/>
    <w:rsid w:val="00495BB1"/>
    <w:rsid w:val="00495C46"/>
    <w:rsid w:val="00495DAE"/>
    <w:rsid w:val="0049613D"/>
    <w:rsid w:val="004961A0"/>
    <w:rsid w:val="0049658E"/>
    <w:rsid w:val="0049687C"/>
    <w:rsid w:val="0049689D"/>
    <w:rsid w:val="00496A54"/>
    <w:rsid w:val="00496C18"/>
    <w:rsid w:val="00496C62"/>
    <w:rsid w:val="00496C9E"/>
    <w:rsid w:val="00496DC1"/>
    <w:rsid w:val="00496F22"/>
    <w:rsid w:val="00496FEF"/>
    <w:rsid w:val="00497318"/>
    <w:rsid w:val="004975E9"/>
    <w:rsid w:val="00497944"/>
    <w:rsid w:val="00497970"/>
    <w:rsid w:val="00497EF4"/>
    <w:rsid w:val="004A0152"/>
    <w:rsid w:val="004A0265"/>
    <w:rsid w:val="004A0277"/>
    <w:rsid w:val="004A0A6E"/>
    <w:rsid w:val="004A0D85"/>
    <w:rsid w:val="004A0FF0"/>
    <w:rsid w:val="004A11E8"/>
    <w:rsid w:val="004A12CE"/>
    <w:rsid w:val="004A13E4"/>
    <w:rsid w:val="004A156D"/>
    <w:rsid w:val="004A15BB"/>
    <w:rsid w:val="004A1616"/>
    <w:rsid w:val="004A1BCB"/>
    <w:rsid w:val="004A1DFD"/>
    <w:rsid w:val="004A1F47"/>
    <w:rsid w:val="004A1F4C"/>
    <w:rsid w:val="004A2111"/>
    <w:rsid w:val="004A24EB"/>
    <w:rsid w:val="004A2D88"/>
    <w:rsid w:val="004A31A2"/>
    <w:rsid w:val="004A3622"/>
    <w:rsid w:val="004A39E2"/>
    <w:rsid w:val="004A3B1D"/>
    <w:rsid w:val="004A3BC3"/>
    <w:rsid w:val="004A3C87"/>
    <w:rsid w:val="004A3EE8"/>
    <w:rsid w:val="004A4190"/>
    <w:rsid w:val="004A42F1"/>
    <w:rsid w:val="004A4573"/>
    <w:rsid w:val="004A463C"/>
    <w:rsid w:val="004A4697"/>
    <w:rsid w:val="004A48FE"/>
    <w:rsid w:val="004A4A2A"/>
    <w:rsid w:val="004A4C5E"/>
    <w:rsid w:val="004A4DEC"/>
    <w:rsid w:val="004A5095"/>
    <w:rsid w:val="004A5369"/>
    <w:rsid w:val="004A543A"/>
    <w:rsid w:val="004A54F5"/>
    <w:rsid w:val="004A56B6"/>
    <w:rsid w:val="004A5ABA"/>
    <w:rsid w:val="004A5CD4"/>
    <w:rsid w:val="004A5D77"/>
    <w:rsid w:val="004A5D8D"/>
    <w:rsid w:val="004A622E"/>
    <w:rsid w:val="004A67A0"/>
    <w:rsid w:val="004A6C77"/>
    <w:rsid w:val="004A7255"/>
    <w:rsid w:val="004A728F"/>
    <w:rsid w:val="004A7302"/>
    <w:rsid w:val="004A7311"/>
    <w:rsid w:val="004A742C"/>
    <w:rsid w:val="004A7610"/>
    <w:rsid w:val="004A7BD1"/>
    <w:rsid w:val="004A7DF7"/>
    <w:rsid w:val="004A7E06"/>
    <w:rsid w:val="004A7F31"/>
    <w:rsid w:val="004B0043"/>
    <w:rsid w:val="004B005A"/>
    <w:rsid w:val="004B00D3"/>
    <w:rsid w:val="004B010D"/>
    <w:rsid w:val="004B077C"/>
    <w:rsid w:val="004B0978"/>
    <w:rsid w:val="004B0DD0"/>
    <w:rsid w:val="004B0E3E"/>
    <w:rsid w:val="004B0F7E"/>
    <w:rsid w:val="004B1623"/>
    <w:rsid w:val="004B1FF4"/>
    <w:rsid w:val="004B2385"/>
    <w:rsid w:val="004B24A3"/>
    <w:rsid w:val="004B24FF"/>
    <w:rsid w:val="004B257C"/>
    <w:rsid w:val="004B2814"/>
    <w:rsid w:val="004B2844"/>
    <w:rsid w:val="004B31FF"/>
    <w:rsid w:val="004B34B0"/>
    <w:rsid w:val="004B3623"/>
    <w:rsid w:val="004B37D2"/>
    <w:rsid w:val="004B3BF8"/>
    <w:rsid w:val="004B3D98"/>
    <w:rsid w:val="004B3FAB"/>
    <w:rsid w:val="004B3FF5"/>
    <w:rsid w:val="004B4347"/>
    <w:rsid w:val="004B454E"/>
    <w:rsid w:val="004B4A76"/>
    <w:rsid w:val="004B4CE7"/>
    <w:rsid w:val="004B50C4"/>
    <w:rsid w:val="004B578C"/>
    <w:rsid w:val="004B588E"/>
    <w:rsid w:val="004B58C7"/>
    <w:rsid w:val="004B5941"/>
    <w:rsid w:val="004B599B"/>
    <w:rsid w:val="004B5A12"/>
    <w:rsid w:val="004B5A64"/>
    <w:rsid w:val="004B5C89"/>
    <w:rsid w:val="004B5DF7"/>
    <w:rsid w:val="004B5EB6"/>
    <w:rsid w:val="004B639D"/>
    <w:rsid w:val="004B67DE"/>
    <w:rsid w:val="004B68F9"/>
    <w:rsid w:val="004B6A62"/>
    <w:rsid w:val="004B6EFA"/>
    <w:rsid w:val="004B7169"/>
    <w:rsid w:val="004B7273"/>
    <w:rsid w:val="004B73C6"/>
    <w:rsid w:val="004B7698"/>
    <w:rsid w:val="004B78DE"/>
    <w:rsid w:val="004B7CF1"/>
    <w:rsid w:val="004C01D5"/>
    <w:rsid w:val="004C04C1"/>
    <w:rsid w:val="004C0AE9"/>
    <w:rsid w:val="004C0BF5"/>
    <w:rsid w:val="004C0CB2"/>
    <w:rsid w:val="004C0D55"/>
    <w:rsid w:val="004C107A"/>
    <w:rsid w:val="004C1214"/>
    <w:rsid w:val="004C1388"/>
    <w:rsid w:val="004C13C7"/>
    <w:rsid w:val="004C1687"/>
    <w:rsid w:val="004C180F"/>
    <w:rsid w:val="004C1E26"/>
    <w:rsid w:val="004C1F1C"/>
    <w:rsid w:val="004C2A29"/>
    <w:rsid w:val="004C2F67"/>
    <w:rsid w:val="004C3428"/>
    <w:rsid w:val="004C34D5"/>
    <w:rsid w:val="004C3815"/>
    <w:rsid w:val="004C3885"/>
    <w:rsid w:val="004C3962"/>
    <w:rsid w:val="004C3C7F"/>
    <w:rsid w:val="004C3DEC"/>
    <w:rsid w:val="004C3EF2"/>
    <w:rsid w:val="004C3F28"/>
    <w:rsid w:val="004C4008"/>
    <w:rsid w:val="004C4043"/>
    <w:rsid w:val="004C40A2"/>
    <w:rsid w:val="004C4459"/>
    <w:rsid w:val="004C4531"/>
    <w:rsid w:val="004C495D"/>
    <w:rsid w:val="004C4B0E"/>
    <w:rsid w:val="004C4EB8"/>
    <w:rsid w:val="004C4FA9"/>
    <w:rsid w:val="004C4FBA"/>
    <w:rsid w:val="004C4FC5"/>
    <w:rsid w:val="004C5020"/>
    <w:rsid w:val="004C531B"/>
    <w:rsid w:val="004C5996"/>
    <w:rsid w:val="004C5A3D"/>
    <w:rsid w:val="004C5B94"/>
    <w:rsid w:val="004C5BD5"/>
    <w:rsid w:val="004C5F8A"/>
    <w:rsid w:val="004C64CD"/>
    <w:rsid w:val="004C6550"/>
    <w:rsid w:val="004C6634"/>
    <w:rsid w:val="004C671D"/>
    <w:rsid w:val="004C6B39"/>
    <w:rsid w:val="004C6BFB"/>
    <w:rsid w:val="004C6DAD"/>
    <w:rsid w:val="004C72A4"/>
    <w:rsid w:val="004C7589"/>
    <w:rsid w:val="004C7844"/>
    <w:rsid w:val="004C7C7B"/>
    <w:rsid w:val="004D0103"/>
    <w:rsid w:val="004D0389"/>
    <w:rsid w:val="004D0598"/>
    <w:rsid w:val="004D0659"/>
    <w:rsid w:val="004D0674"/>
    <w:rsid w:val="004D06EF"/>
    <w:rsid w:val="004D0BC0"/>
    <w:rsid w:val="004D0DA4"/>
    <w:rsid w:val="004D0EC4"/>
    <w:rsid w:val="004D12B1"/>
    <w:rsid w:val="004D1A58"/>
    <w:rsid w:val="004D1BEB"/>
    <w:rsid w:val="004D1DEC"/>
    <w:rsid w:val="004D2101"/>
    <w:rsid w:val="004D22E3"/>
    <w:rsid w:val="004D236B"/>
    <w:rsid w:val="004D24E9"/>
    <w:rsid w:val="004D2726"/>
    <w:rsid w:val="004D281F"/>
    <w:rsid w:val="004D2AEB"/>
    <w:rsid w:val="004D2B2F"/>
    <w:rsid w:val="004D2E89"/>
    <w:rsid w:val="004D2FA5"/>
    <w:rsid w:val="004D2FD7"/>
    <w:rsid w:val="004D3356"/>
    <w:rsid w:val="004D3796"/>
    <w:rsid w:val="004D3856"/>
    <w:rsid w:val="004D3881"/>
    <w:rsid w:val="004D4068"/>
    <w:rsid w:val="004D41D2"/>
    <w:rsid w:val="004D4804"/>
    <w:rsid w:val="004D4871"/>
    <w:rsid w:val="004D49FE"/>
    <w:rsid w:val="004D4A4E"/>
    <w:rsid w:val="004D4CF0"/>
    <w:rsid w:val="004D4EA0"/>
    <w:rsid w:val="004D5813"/>
    <w:rsid w:val="004D5ADA"/>
    <w:rsid w:val="004D5DE8"/>
    <w:rsid w:val="004D5ED0"/>
    <w:rsid w:val="004D6126"/>
    <w:rsid w:val="004D61E8"/>
    <w:rsid w:val="004D6914"/>
    <w:rsid w:val="004D6A7E"/>
    <w:rsid w:val="004D6AD5"/>
    <w:rsid w:val="004D6CA1"/>
    <w:rsid w:val="004D6E6B"/>
    <w:rsid w:val="004D7469"/>
    <w:rsid w:val="004D754A"/>
    <w:rsid w:val="004D79EA"/>
    <w:rsid w:val="004D7CA3"/>
    <w:rsid w:val="004E0320"/>
    <w:rsid w:val="004E05A7"/>
    <w:rsid w:val="004E069D"/>
    <w:rsid w:val="004E07BF"/>
    <w:rsid w:val="004E08B4"/>
    <w:rsid w:val="004E09C9"/>
    <w:rsid w:val="004E0DA3"/>
    <w:rsid w:val="004E0E23"/>
    <w:rsid w:val="004E0F0E"/>
    <w:rsid w:val="004E10E3"/>
    <w:rsid w:val="004E117E"/>
    <w:rsid w:val="004E1636"/>
    <w:rsid w:val="004E1793"/>
    <w:rsid w:val="004E185C"/>
    <w:rsid w:val="004E1AED"/>
    <w:rsid w:val="004E1C3F"/>
    <w:rsid w:val="004E1F84"/>
    <w:rsid w:val="004E2039"/>
    <w:rsid w:val="004E2193"/>
    <w:rsid w:val="004E2533"/>
    <w:rsid w:val="004E2AD9"/>
    <w:rsid w:val="004E2F79"/>
    <w:rsid w:val="004E3374"/>
    <w:rsid w:val="004E3651"/>
    <w:rsid w:val="004E36BA"/>
    <w:rsid w:val="004E37FE"/>
    <w:rsid w:val="004E38B1"/>
    <w:rsid w:val="004E396E"/>
    <w:rsid w:val="004E39EA"/>
    <w:rsid w:val="004E3A35"/>
    <w:rsid w:val="004E3EC5"/>
    <w:rsid w:val="004E49F7"/>
    <w:rsid w:val="004E4B34"/>
    <w:rsid w:val="004E4B85"/>
    <w:rsid w:val="004E4E38"/>
    <w:rsid w:val="004E4EF4"/>
    <w:rsid w:val="004E4F9F"/>
    <w:rsid w:val="004E5310"/>
    <w:rsid w:val="004E5596"/>
    <w:rsid w:val="004E55CD"/>
    <w:rsid w:val="004E5765"/>
    <w:rsid w:val="004E5781"/>
    <w:rsid w:val="004E5871"/>
    <w:rsid w:val="004E5DC6"/>
    <w:rsid w:val="004E5FB2"/>
    <w:rsid w:val="004E60A7"/>
    <w:rsid w:val="004E618D"/>
    <w:rsid w:val="004E6291"/>
    <w:rsid w:val="004E6523"/>
    <w:rsid w:val="004E6556"/>
    <w:rsid w:val="004E671D"/>
    <w:rsid w:val="004E694D"/>
    <w:rsid w:val="004E6A2D"/>
    <w:rsid w:val="004E6A84"/>
    <w:rsid w:val="004E6A87"/>
    <w:rsid w:val="004E6F48"/>
    <w:rsid w:val="004E7142"/>
    <w:rsid w:val="004E732A"/>
    <w:rsid w:val="004E7406"/>
    <w:rsid w:val="004E7724"/>
    <w:rsid w:val="004E791D"/>
    <w:rsid w:val="004F01C6"/>
    <w:rsid w:val="004F08D0"/>
    <w:rsid w:val="004F0B42"/>
    <w:rsid w:val="004F14A9"/>
    <w:rsid w:val="004F15D6"/>
    <w:rsid w:val="004F161A"/>
    <w:rsid w:val="004F1ACE"/>
    <w:rsid w:val="004F1E1A"/>
    <w:rsid w:val="004F2051"/>
    <w:rsid w:val="004F20A8"/>
    <w:rsid w:val="004F20FD"/>
    <w:rsid w:val="004F2139"/>
    <w:rsid w:val="004F227E"/>
    <w:rsid w:val="004F27B2"/>
    <w:rsid w:val="004F27F3"/>
    <w:rsid w:val="004F28EB"/>
    <w:rsid w:val="004F2964"/>
    <w:rsid w:val="004F2A3A"/>
    <w:rsid w:val="004F2A5B"/>
    <w:rsid w:val="004F2BBB"/>
    <w:rsid w:val="004F2CA1"/>
    <w:rsid w:val="004F31A3"/>
    <w:rsid w:val="004F357F"/>
    <w:rsid w:val="004F38E6"/>
    <w:rsid w:val="004F3CBB"/>
    <w:rsid w:val="004F3F2C"/>
    <w:rsid w:val="004F41F9"/>
    <w:rsid w:val="004F4209"/>
    <w:rsid w:val="004F44B0"/>
    <w:rsid w:val="004F4950"/>
    <w:rsid w:val="004F49EB"/>
    <w:rsid w:val="004F4AFF"/>
    <w:rsid w:val="004F4BD5"/>
    <w:rsid w:val="004F4C18"/>
    <w:rsid w:val="004F5301"/>
    <w:rsid w:val="004F5351"/>
    <w:rsid w:val="004F5D67"/>
    <w:rsid w:val="004F5F1C"/>
    <w:rsid w:val="004F67D7"/>
    <w:rsid w:val="004F6873"/>
    <w:rsid w:val="004F68C6"/>
    <w:rsid w:val="004F6A92"/>
    <w:rsid w:val="004F6C91"/>
    <w:rsid w:val="004F6CD0"/>
    <w:rsid w:val="004F6DD0"/>
    <w:rsid w:val="004F705D"/>
    <w:rsid w:val="004F729F"/>
    <w:rsid w:val="004F7359"/>
    <w:rsid w:val="004F778B"/>
    <w:rsid w:val="004F77AC"/>
    <w:rsid w:val="004F79C5"/>
    <w:rsid w:val="004F7E66"/>
    <w:rsid w:val="005000E4"/>
    <w:rsid w:val="00500171"/>
    <w:rsid w:val="00500400"/>
    <w:rsid w:val="00500738"/>
    <w:rsid w:val="00500F41"/>
    <w:rsid w:val="00500F75"/>
    <w:rsid w:val="0050185D"/>
    <w:rsid w:val="005018D1"/>
    <w:rsid w:val="00501930"/>
    <w:rsid w:val="00501DE2"/>
    <w:rsid w:val="00502495"/>
    <w:rsid w:val="00502668"/>
    <w:rsid w:val="00502C04"/>
    <w:rsid w:val="0050314A"/>
    <w:rsid w:val="0050358B"/>
    <w:rsid w:val="00503658"/>
    <w:rsid w:val="005036C6"/>
    <w:rsid w:val="005040F2"/>
    <w:rsid w:val="005043EE"/>
    <w:rsid w:val="005044AA"/>
    <w:rsid w:val="00504824"/>
    <w:rsid w:val="0050487F"/>
    <w:rsid w:val="00504BED"/>
    <w:rsid w:val="00505022"/>
    <w:rsid w:val="005050F1"/>
    <w:rsid w:val="00505655"/>
    <w:rsid w:val="005058F4"/>
    <w:rsid w:val="00505905"/>
    <w:rsid w:val="00505BB4"/>
    <w:rsid w:val="00505C54"/>
    <w:rsid w:val="00505D3F"/>
    <w:rsid w:val="00505ECB"/>
    <w:rsid w:val="00506088"/>
    <w:rsid w:val="0050634B"/>
    <w:rsid w:val="005066F9"/>
    <w:rsid w:val="00506ED6"/>
    <w:rsid w:val="00506F42"/>
    <w:rsid w:val="00507186"/>
    <w:rsid w:val="00507205"/>
    <w:rsid w:val="0050729F"/>
    <w:rsid w:val="0050760B"/>
    <w:rsid w:val="005076CE"/>
    <w:rsid w:val="00507882"/>
    <w:rsid w:val="00507962"/>
    <w:rsid w:val="00507A56"/>
    <w:rsid w:val="00507E2B"/>
    <w:rsid w:val="00507F8D"/>
    <w:rsid w:val="00507F93"/>
    <w:rsid w:val="005100A6"/>
    <w:rsid w:val="005104C8"/>
    <w:rsid w:val="005108E3"/>
    <w:rsid w:val="00511216"/>
    <w:rsid w:val="00511712"/>
    <w:rsid w:val="0051172F"/>
    <w:rsid w:val="00511753"/>
    <w:rsid w:val="005117B3"/>
    <w:rsid w:val="005117D9"/>
    <w:rsid w:val="00511AB9"/>
    <w:rsid w:val="00511D8E"/>
    <w:rsid w:val="00512026"/>
    <w:rsid w:val="00512BC3"/>
    <w:rsid w:val="00512F14"/>
    <w:rsid w:val="00512F83"/>
    <w:rsid w:val="0051300E"/>
    <w:rsid w:val="00513051"/>
    <w:rsid w:val="00513565"/>
    <w:rsid w:val="00513961"/>
    <w:rsid w:val="005139D7"/>
    <w:rsid w:val="00513AA1"/>
    <w:rsid w:val="005140AD"/>
    <w:rsid w:val="005141D2"/>
    <w:rsid w:val="005149C2"/>
    <w:rsid w:val="00514DB3"/>
    <w:rsid w:val="00514F18"/>
    <w:rsid w:val="0051537A"/>
    <w:rsid w:val="005158B5"/>
    <w:rsid w:val="00515992"/>
    <w:rsid w:val="00515C67"/>
    <w:rsid w:val="0051603D"/>
    <w:rsid w:val="00516337"/>
    <w:rsid w:val="005165B0"/>
    <w:rsid w:val="005166E2"/>
    <w:rsid w:val="00516750"/>
    <w:rsid w:val="00516A65"/>
    <w:rsid w:val="00516AFA"/>
    <w:rsid w:val="00516D5E"/>
    <w:rsid w:val="00517377"/>
    <w:rsid w:val="00517746"/>
    <w:rsid w:val="00517B8E"/>
    <w:rsid w:val="00517C66"/>
    <w:rsid w:val="00517F71"/>
    <w:rsid w:val="005201CD"/>
    <w:rsid w:val="00520226"/>
    <w:rsid w:val="00520365"/>
    <w:rsid w:val="0052038B"/>
    <w:rsid w:val="0052057B"/>
    <w:rsid w:val="00520655"/>
    <w:rsid w:val="00520671"/>
    <w:rsid w:val="005209A9"/>
    <w:rsid w:val="00520AB5"/>
    <w:rsid w:val="00520C1D"/>
    <w:rsid w:val="00520CFD"/>
    <w:rsid w:val="00520DFF"/>
    <w:rsid w:val="00520F3A"/>
    <w:rsid w:val="00520F52"/>
    <w:rsid w:val="00521107"/>
    <w:rsid w:val="00521368"/>
    <w:rsid w:val="0052143A"/>
    <w:rsid w:val="005215B2"/>
    <w:rsid w:val="00521B2C"/>
    <w:rsid w:val="00521B35"/>
    <w:rsid w:val="00521E98"/>
    <w:rsid w:val="00522146"/>
    <w:rsid w:val="00522147"/>
    <w:rsid w:val="005222F6"/>
    <w:rsid w:val="005226A6"/>
    <w:rsid w:val="00522C13"/>
    <w:rsid w:val="00522DD4"/>
    <w:rsid w:val="00522DF8"/>
    <w:rsid w:val="00523106"/>
    <w:rsid w:val="00523241"/>
    <w:rsid w:val="00523245"/>
    <w:rsid w:val="005234E5"/>
    <w:rsid w:val="005235F6"/>
    <w:rsid w:val="00523B1D"/>
    <w:rsid w:val="00523B41"/>
    <w:rsid w:val="00523E84"/>
    <w:rsid w:val="00523EFA"/>
    <w:rsid w:val="0052414C"/>
    <w:rsid w:val="00524225"/>
    <w:rsid w:val="00524296"/>
    <w:rsid w:val="0052438D"/>
    <w:rsid w:val="0052464A"/>
    <w:rsid w:val="00524668"/>
    <w:rsid w:val="005246A7"/>
    <w:rsid w:val="00524704"/>
    <w:rsid w:val="005251E0"/>
    <w:rsid w:val="00525273"/>
    <w:rsid w:val="0052530D"/>
    <w:rsid w:val="005253A7"/>
    <w:rsid w:val="00525443"/>
    <w:rsid w:val="005258E5"/>
    <w:rsid w:val="00525CE7"/>
    <w:rsid w:val="00525E7D"/>
    <w:rsid w:val="00525F10"/>
    <w:rsid w:val="00525FE2"/>
    <w:rsid w:val="005262CC"/>
    <w:rsid w:val="00526495"/>
    <w:rsid w:val="00526542"/>
    <w:rsid w:val="005266F3"/>
    <w:rsid w:val="00526988"/>
    <w:rsid w:val="00526DD9"/>
    <w:rsid w:val="0052741D"/>
    <w:rsid w:val="00527430"/>
    <w:rsid w:val="005275B5"/>
    <w:rsid w:val="005276E9"/>
    <w:rsid w:val="005278AE"/>
    <w:rsid w:val="005279E5"/>
    <w:rsid w:val="00527A67"/>
    <w:rsid w:val="00527BE5"/>
    <w:rsid w:val="00527C96"/>
    <w:rsid w:val="00530003"/>
    <w:rsid w:val="0053005E"/>
    <w:rsid w:val="005300F4"/>
    <w:rsid w:val="005303AA"/>
    <w:rsid w:val="00530C01"/>
    <w:rsid w:val="00530CE2"/>
    <w:rsid w:val="005312C9"/>
    <w:rsid w:val="005314C7"/>
    <w:rsid w:val="0053178F"/>
    <w:rsid w:val="005318D4"/>
    <w:rsid w:val="00531BAB"/>
    <w:rsid w:val="00531C8F"/>
    <w:rsid w:val="00531CAC"/>
    <w:rsid w:val="00531DC9"/>
    <w:rsid w:val="00531FD5"/>
    <w:rsid w:val="00532383"/>
    <w:rsid w:val="0053238A"/>
    <w:rsid w:val="005325C4"/>
    <w:rsid w:val="00532638"/>
    <w:rsid w:val="00532DB9"/>
    <w:rsid w:val="00533246"/>
    <w:rsid w:val="005333F5"/>
    <w:rsid w:val="0053341D"/>
    <w:rsid w:val="005335C0"/>
    <w:rsid w:val="00533709"/>
    <w:rsid w:val="005337D1"/>
    <w:rsid w:val="00533CC7"/>
    <w:rsid w:val="00533CC8"/>
    <w:rsid w:val="00533EA9"/>
    <w:rsid w:val="005342AB"/>
    <w:rsid w:val="00534303"/>
    <w:rsid w:val="00534762"/>
    <w:rsid w:val="00534A66"/>
    <w:rsid w:val="00534AE7"/>
    <w:rsid w:val="00534C37"/>
    <w:rsid w:val="00534F57"/>
    <w:rsid w:val="0053517E"/>
    <w:rsid w:val="00535917"/>
    <w:rsid w:val="00535A54"/>
    <w:rsid w:val="00535ADB"/>
    <w:rsid w:val="00535B64"/>
    <w:rsid w:val="005361C6"/>
    <w:rsid w:val="00536750"/>
    <w:rsid w:val="00536928"/>
    <w:rsid w:val="00536CEE"/>
    <w:rsid w:val="00536E36"/>
    <w:rsid w:val="00537058"/>
    <w:rsid w:val="005371D4"/>
    <w:rsid w:val="00537532"/>
    <w:rsid w:val="00537584"/>
    <w:rsid w:val="0053760C"/>
    <w:rsid w:val="0053769C"/>
    <w:rsid w:val="00537A72"/>
    <w:rsid w:val="00537B5C"/>
    <w:rsid w:val="00537EB4"/>
    <w:rsid w:val="00537EBD"/>
    <w:rsid w:val="00537F60"/>
    <w:rsid w:val="00537FB3"/>
    <w:rsid w:val="0054015B"/>
    <w:rsid w:val="00540277"/>
    <w:rsid w:val="00540334"/>
    <w:rsid w:val="00540372"/>
    <w:rsid w:val="0054046E"/>
    <w:rsid w:val="0054050D"/>
    <w:rsid w:val="00540701"/>
    <w:rsid w:val="00540707"/>
    <w:rsid w:val="005409D3"/>
    <w:rsid w:val="00540A7C"/>
    <w:rsid w:val="00540C6E"/>
    <w:rsid w:val="00540D95"/>
    <w:rsid w:val="00540F79"/>
    <w:rsid w:val="00541595"/>
    <w:rsid w:val="005416D0"/>
    <w:rsid w:val="00541984"/>
    <w:rsid w:val="00541B6C"/>
    <w:rsid w:val="00541BB9"/>
    <w:rsid w:val="00541C05"/>
    <w:rsid w:val="00542015"/>
    <w:rsid w:val="00542452"/>
    <w:rsid w:val="005424E8"/>
    <w:rsid w:val="005425D7"/>
    <w:rsid w:val="0054273F"/>
    <w:rsid w:val="0054293E"/>
    <w:rsid w:val="00542ABE"/>
    <w:rsid w:val="00542C8F"/>
    <w:rsid w:val="00542CCC"/>
    <w:rsid w:val="00543059"/>
    <w:rsid w:val="005435E6"/>
    <w:rsid w:val="00543902"/>
    <w:rsid w:val="005439C0"/>
    <w:rsid w:val="00544148"/>
    <w:rsid w:val="005441CC"/>
    <w:rsid w:val="005444E0"/>
    <w:rsid w:val="00544A08"/>
    <w:rsid w:val="00544B96"/>
    <w:rsid w:val="00544EDC"/>
    <w:rsid w:val="00544F59"/>
    <w:rsid w:val="00545269"/>
    <w:rsid w:val="005453A9"/>
    <w:rsid w:val="00545769"/>
    <w:rsid w:val="00545A07"/>
    <w:rsid w:val="00545BDE"/>
    <w:rsid w:val="00545E17"/>
    <w:rsid w:val="00545F01"/>
    <w:rsid w:val="00545FC1"/>
    <w:rsid w:val="00546475"/>
    <w:rsid w:val="005464A8"/>
    <w:rsid w:val="005464F0"/>
    <w:rsid w:val="005466E9"/>
    <w:rsid w:val="00546830"/>
    <w:rsid w:val="00546C28"/>
    <w:rsid w:val="00547180"/>
    <w:rsid w:val="005471D1"/>
    <w:rsid w:val="00547623"/>
    <w:rsid w:val="005477E4"/>
    <w:rsid w:val="00550619"/>
    <w:rsid w:val="005506AC"/>
    <w:rsid w:val="00550745"/>
    <w:rsid w:val="005508EA"/>
    <w:rsid w:val="005509A8"/>
    <w:rsid w:val="00550A60"/>
    <w:rsid w:val="00550AEF"/>
    <w:rsid w:val="00550B58"/>
    <w:rsid w:val="00550C88"/>
    <w:rsid w:val="00550CC0"/>
    <w:rsid w:val="00550DC0"/>
    <w:rsid w:val="00550F7A"/>
    <w:rsid w:val="005510DB"/>
    <w:rsid w:val="005512EF"/>
    <w:rsid w:val="00551316"/>
    <w:rsid w:val="0055174B"/>
    <w:rsid w:val="005519D5"/>
    <w:rsid w:val="00551A7A"/>
    <w:rsid w:val="00552015"/>
    <w:rsid w:val="00552031"/>
    <w:rsid w:val="005521DE"/>
    <w:rsid w:val="005525E3"/>
    <w:rsid w:val="0055265C"/>
    <w:rsid w:val="005526F6"/>
    <w:rsid w:val="00552A03"/>
    <w:rsid w:val="00552A69"/>
    <w:rsid w:val="00552C4D"/>
    <w:rsid w:val="00552EAB"/>
    <w:rsid w:val="00552EEC"/>
    <w:rsid w:val="0055347F"/>
    <w:rsid w:val="0055352D"/>
    <w:rsid w:val="00553721"/>
    <w:rsid w:val="005538F3"/>
    <w:rsid w:val="00553DFE"/>
    <w:rsid w:val="00554022"/>
    <w:rsid w:val="0055405B"/>
    <w:rsid w:val="0055409B"/>
    <w:rsid w:val="00554257"/>
    <w:rsid w:val="005543B5"/>
    <w:rsid w:val="0055454B"/>
    <w:rsid w:val="00554660"/>
    <w:rsid w:val="0055484C"/>
    <w:rsid w:val="005548C9"/>
    <w:rsid w:val="00554CB6"/>
    <w:rsid w:val="00554ECD"/>
    <w:rsid w:val="00554F32"/>
    <w:rsid w:val="005551E2"/>
    <w:rsid w:val="0055540B"/>
    <w:rsid w:val="005556FE"/>
    <w:rsid w:val="005558F8"/>
    <w:rsid w:val="00555A01"/>
    <w:rsid w:val="00555C97"/>
    <w:rsid w:val="00555F4B"/>
    <w:rsid w:val="0055603F"/>
    <w:rsid w:val="005565DB"/>
    <w:rsid w:val="00556735"/>
    <w:rsid w:val="00556B46"/>
    <w:rsid w:val="00556B70"/>
    <w:rsid w:val="00556E1E"/>
    <w:rsid w:val="00556FE8"/>
    <w:rsid w:val="005571AE"/>
    <w:rsid w:val="0055722B"/>
    <w:rsid w:val="00557361"/>
    <w:rsid w:val="005574DB"/>
    <w:rsid w:val="00557A58"/>
    <w:rsid w:val="00557AC7"/>
    <w:rsid w:val="00557B7A"/>
    <w:rsid w:val="00557C6F"/>
    <w:rsid w:val="005600F7"/>
    <w:rsid w:val="0056020B"/>
    <w:rsid w:val="005607E9"/>
    <w:rsid w:val="005608B1"/>
    <w:rsid w:val="00560D70"/>
    <w:rsid w:val="00561056"/>
    <w:rsid w:val="005614EC"/>
    <w:rsid w:val="005618C8"/>
    <w:rsid w:val="00561D55"/>
    <w:rsid w:val="00561DDD"/>
    <w:rsid w:val="00562116"/>
    <w:rsid w:val="00562125"/>
    <w:rsid w:val="00562226"/>
    <w:rsid w:val="0056228C"/>
    <w:rsid w:val="0056239D"/>
    <w:rsid w:val="0056280E"/>
    <w:rsid w:val="00562858"/>
    <w:rsid w:val="005628CC"/>
    <w:rsid w:val="00562AC5"/>
    <w:rsid w:val="00562C97"/>
    <w:rsid w:val="00563176"/>
    <w:rsid w:val="00563287"/>
    <w:rsid w:val="0056378B"/>
    <w:rsid w:val="005637DC"/>
    <w:rsid w:val="00563889"/>
    <w:rsid w:val="005639EF"/>
    <w:rsid w:val="00563A67"/>
    <w:rsid w:val="00563B77"/>
    <w:rsid w:val="00563EA9"/>
    <w:rsid w:val="005645BE"/>
    <w:rsid w:val="005646ED"/>
    <w:rsid w:val="00564E0D"/>
    <w:rsid w:val="00564E48"/>
    <w:rsid w:val="00564F5E"/>
    <w:rsid w:val="005651B7"/>
    <w:rsid w:val="00565307"/>
    <w:rsid w:val="005655C1"/>
    <w:rsid w:val="005658AD"/>
    <w:rsid w:val="00565B18"/>
    <w:rsid w:val="005660FA"/>
    <w:rsid w:val="00566398"/>
    <w:rsid w:val="0056641F"/>
    <w:rsid w:val="00566B6C"/>
    <w:rsid w:val="00566C3A"/>
    <w:rsid w:val="00566DAF"/>
    <w:rsid w:val="00566F7D"/>
    <w:rsid w:val="00567491"/>
    <w:rsid w:val="005679AF"/>
    <w:rsid w:val="00567B9F"/>
    <w:rsid w:val="00567BF6"/>
    <w:rsid w:val="00570361"/>
    <w:rsid w:val="0057051C"/>
    <w:rsid w:val="005705E4"/>
    <w:rsid w:val="00570702"/>
    <w:rsid w:val="00570799"/>
    <w:rsid w:val="005708B8"/>
    <w:rsid w:val="00570AAE"/>
    <w:rsid w:val="00570BD4"/>
    <w:rsid w:val="00570F53"/>
    <w:rsid w:val="00570FBE"/>
    <w:rsid w:val="005710CD"/>
    <w:rsid w:val="00571233"/>
    <w:rsid w:val="00571424"/>
    <w:rsid w:val="005717EC"/>
    <w:rsid w:val="00572357"/>
    <w:rsid w:val="005725F4"/>
    <w:rsid w:val="00572EC5"/>
    <w:rsid w:val="00572EED"/>
    <w:rsid w:val="005730EA"/>
    <w:rsid w:val="005736B1"/>
    <w:rsid w:val="00573795"/>
    <w:rsid w:val="005737EB"/>
    <w:rsid w:val="00573861"/>
    <w:rsid w:val="005739E9"/>
    <w:rsid w:val="00573B8B"/>
    <w:rsid w:val="00573EE7"/>
    <w:rsid w:val="00573FB7"/>
    <w:rsid w:val="005743D7"/>
    <w:rsid w:val="005746EB"/>
    <w:rsid w:val="005747C6"/>
    <w:rsid w:val="00574B81"/>
    <w:rsid w:val="0057516E"/>
    <w:rsid w:val="005754D4"/>
    <w:rsid w:val="005756BF"/>
    <w:rsid w:val="00575797"/>
    <w:rsid w:val="005759E9"/>
    <w:rsid w:val="00575C11"/>
    <w:rsid w:val="00575DBD"/>
    <w:rsid w:val="00575EB4"/>
    <w:rsid w:val="00575F1B"/>
    <w:rsid w:val="00575F77"/>
    <w:rsid w:val="00576153"/>
    <w:rsid w:val="00576BC5"/>
    <w:rsid w:val="0057710C"/>
    <w:rsid w:val="00577176"/>
    <w:rsid w:val="00577DAA"/>
    <w:rsid w:val="005802B0"/>
    <w:rsid w:val="0058036D"/>
    <w:rsid w:val="00580617"/>
    <w:rsid w:val="005806D7"/>
    <w:rsid w:val="005807BC"/>
    <w:rsid w:val="00580CE7"/>
    <w:rsid w:val="00580D52"/>
    <w:rsid w:val="00581544"/>
    <w:rsid w:val="005815F1"/>
    <w:rsid w:val="00581865"/>
    <w:rsid w:val="00581883"/>
    <w:rsid w:val="005818CF"/>
    <w:rsid w:val="00581955"/>
    <w:rsid w:val="00581BE7"/>
    <w:rsid w:val="00581CA0"/>
    <w:rsid w:val="00581DC4"/>
    <w:rsid w:val="00581DD5"/>
    <w:rsid w:val="00582202"/>
    <w:rsid w:val="00582588"/>
    <w:rsid w:val="005828FF"/>
    <w:rsid w:val="00582C7B"/>
    <w:rsid w:val="00582D43"/>
    <w:rsid w:val="0058307B"/>
    <w:rsid w:val="0058308B"/>
    <w:rsid w:val="00583832"/>
    <w:rsid w:val="00583AC2"/>
    <w:rsid w:val="00583AF2"/>
    <w:rsid w:val="00583CB6"/>
    <w:rsid w:val="00583EC8"/>
    <w:rsid w:val="005843CB"/>
    <w:rsid w:val="005845C2"/>
    <w:rsid w:val="00584698"/>
    <w:rsid w:val="00584C36"/>
    <w:rsid w:val="00584CFB"/>
    <w:rsid w:val="00585145"/>
    <w:rsid w:val="0058576F"/>
    <w:rsid w:val="00585FF9"/>
    <w:rsid w:val="005861DE"/>
    <w:rsid w:val="0058697B"/>
    <w:rsid w:val="00586DF8"/>
    <w:rsid w:val="0058714E"/>
    <w:rsid w:val="00587436"/>
    <w:rsid w:val="00587A51"/>
    <w:rsid w:val="00587C94"/>
    <w:rsid w:val="00587FC7"/>
    <w:rsid w:val="00590075"/>
    <w:rsid w:val="005900CD"/>
    <w:rsid w:val="005902C2"/>
    <w:rsid w:val="005902FE"/>
    <w:rsid w:val="0059043B"/>
    <w:rsid w:val="0059050B"/>
    <w:rsid w:val="00590796"/>
    <w:rsid w:val="005908CA"/>
    <w:rsid w:val="005909CB"/>
    <w:rsid w:val="00590AC7"/>
    <w:rsid w:val="00590C30"/>
    <w:rsid w:val="00590F63"/>
    <w:rsid w:val="0059124B"/>
    <w:rsid w:val="00591299"/>
    <w:rsid w:val="005913CC"/>
    <w:rsid w:val="0059144A"/>
    <w:rsid w:val="005915E8"/>
    <w:rsid w:val="00591750"/>
    <w:rsid w:val="00591753"/>
    <w:rsid w:val="00591786"/>
    <w:rsid w:val="005917E1"/>
    <w:rsid w:val="00591DB6"/>
    <w:rsid w:val="0059233D"/>
    <w:rsid w:val="00592661"/>
    <w:rsid w:val="005929C8"/>
    <w:rsid w:val="0059353E"/>
    <w:rsid w:val="005935CC"/>
    <w:rsid w:val="0059361F"/>
    <w:rsid w:val="0059367C"/>
    <w:rsid w:val="00593763"/>
    <w:rsid w:val="005938A0"/>
    <w:rsid w:val="00593959"/>
    <w:rsid w:val="00593969"/>
    <w:rsid w:val="00593A33"/>
    <w:rsid w:val="00593B39"/>
    <w:rsid w:val="00593D6E"/>
    <w:rsid w:val="00593F3E"/>
    <w:rsid w:val="005941CC"/>
    <w:rsid w:val="00594464"/>
    <w:rsid w:val="0059465E"/>
    <w:rsid w:val="005946C3"/>
    <w:rsid w:val="00594773"/>
    <w:rsid w:val="005948C7"/>
    <w:rsid w:val="00594AB3"/>
    <w:rsid w:val="005951C9"/>
    <w:rsid w:val="0059547F"/>
    <w:rsid w:val="005955A5"/>
    <w:rsid w:val="005956BD"/>
    <w:rsid w:val="00595A47"/>
    <w:rsid w:val="00595C78"/>
    <w:rsid w:val="00596ECB"/>
    <w:rsid w:val="00596F39"/>
    <w:rsid w:val="00596F69"/>
    <w:rsid w:val="00597074"/>
    <w:rsid w:val="005972F8"/>
    <w:rsid w:val="0059732B"/>
    <w:rsid w:val="005973D9"/>
    <w:rsid w:val="00597434"/>
    <w:rsid w:val="005976B0"/>
    <w:rsid w:val="00597B09"/>
    <w:rsid w:val="00597DAE"/>
    <w:rsid w:val="005A05ED"/>
    <w:rsid w:val="005A097D"/>
    <w:rsid w:val="005A09D4"/>
    <w:rsid w:val="005A0BCF"/>
    <w:rsid w:val="005A0C68"/>
    <w:rsid w:val="005A0CBA"/>
    <w:rsid w:val="005A0D32"/>
    <w:rsid w:val="005A0D5E"/>
    <w:rsid w:val="005A0FC4"/>
    <w:rsid w:val="005A14F6"/>
    <w:rsid w:val="005A1785"/>
    <w:rsid w:val="005A1C39"/>
    <w:rsid w:val="005A1CB0"/>
    <w:rsid w:val="005A21B9"/>
    <w:rsid w:val="005A2334"/>
    <w:rsid w:val="005A2405"/>
    <w:rsid w:val="005A2475"/>
    <w:rsid w:val="005A272C"/>
    <w:rsid w:val="005A2D2A"/>
    <w:rsid w:val="005A2E93"/>
    <w:rsid w:val="005A2F11"/>
    <w:rsid w:val="005A2FFE"/>
    <w:rsid w:val="005A3107"/>
    <w:rsid w:val="005A3389"/>
    <w:rsid w:val="005A352B"/>
    <w:rsid w:val="005A3720"/>
    <w:rsid w:val="005A3857"/>
    <w:rsid w:val="005A3AAD"/>
    <w:rsid w:val="005A3B9B"/>
    <w:rsid w:val="005A3C3B"/>
    <w:rsid w:val="005A3E44"/>
    <w:rsid w:val="005A4186"/>
    <w:rsid w:val="005A420B"/>
    <w:rsid w:val="005A42C2"/>
    <w:rsid w:val="005A4518"/>
    <w:rsid w:val="005A4805"/>
    <w:rsid w:val="005A4852"/>
    <w:rsid w:val="005A4FC7"/>
    <w:rsid w:val="005A50C0"/>
    <w:rsid w:val="005A540A"/>
    <w:rsid w:val="005A5682"/>
    <w:rsid w:val="005A584A"/>
    <w:rsid w:val="005A585F"/>
    <w:rsid w:val="005A58B6"/>
    <w:rsid w:val="005A5BA4"/>
    <w:rsid w:val="005A5BFE"/>
    <w:rsid w:val="005A5F7E"/>
    <w:rsid w:val="005A5FBD"/>
    <w:rsid w:val="005A5FDA"/>
    <w:rsid w:val="005A62E6"/>
    <w:rsid w:val="005A63DC"/>
    <w:rsid w:val="005A649B"/>
    <w:rsid w:val="005A6570"/>
    <w:rsid w:val="005A6824"/>
    <w:rsid w:val="005A683A"/>
    <w:rsid w:val="005A6C00"/>
    <w:rsid w:val="005A6ED1"/>
    <w:rsid w:val="005A6FC9"/>
    <w:rsid w:val="005A6FDE"/>
    <w:rsid w:val="005A73FD"/>
    <w:rsid w:val="005A74BC"/>
    <w:rsid w:val="005A7843"/>
    <w:rsid w:val="005A7BE3"/>
    <w:rsid w:val="005A7FBA"/>
    <w:rsid w:val="005B02DA"/>
    <w:rsid w:val="005B0373"/>
    <w:rsid w:val="005B0409"/>
    <w:rsid w:val="005B0777"/>
    <w:rsid w:val="005B07DC"/>
    <w:rsid w:val="005B09DC"/>
    <w:rsid w:val="005B0E47"/>
    <w:rsid w:val="005B0F50"/>
    <w:rsid w:val="005B108C"/>
    <w:rsid w:val="005B13DE"/>
    <w:rsid w:val="005B1442"/>
    <w:rsid w:val="005B149C"/>
    <w:rsid w:val="005B17BC"/>
    <w:rsid w:val="005B1D12"/>
    <w:rsid w:val="005B1DF6"/>
    <w:rsid w:val="005B1E10"/>
    <w:rsid w:val="005B1E6F"/>
    <w:rsid w:val="005B1F1A"/>
    <w:rsid w:val="005B1F23"/>
    <w:rsid w:val="005B1FA2"/>
    <w:rsid w:val="005B2404"/>
    <w:rsid w:val="005B263B"/>
    <w:rsid w:val="005B2863"/>
    <w:rsid w:val="005B289E"/>
    <w:rsid w:val="005B2980"/>
    <w:rsid w:val="005B2B6E"/>
    <w:rsid w:val="005B2DB4"/>
    <w:rsid w:val="005B2E1B"/>
    <w:rsid w:val="005B2E1E"/>
    <w:rsid w:val="005B3052"/>
    <w:rsid w:val="005B30B2"/>
    <w:rsid w:val="005B3118"/>
    <w:rsid w:val="005B3137"/>
    <w:rsid w:val="005B32EE"/>
    <w:rsid w:val="005B347F"/>
    <w:rsid w:val="005B3523"/>
    <w:rsid w:val="005B3D69"/>
    <w:rsid w:val="005B4303"/>
    <w:rsid w:val="005B47F7"/>
    <w:rsid w:val="005B4BCD"/>
    <w:rsid w:val="005B52B0"/>
    <w:rsid w:val="005B541E"/>
    <w:rsid w:val="005B551A"/>
    <w:rsid w:val="005B55D3"/>
    <w:rsid w:val="005B5BAC"/>
    <w:rsid w:val="005B60CB"/>
    <w:rsid w:val="005B614B"/>
    <w:rsid w:val="005B618F"/>
    <w:rsid w:val="005B628F"/>
    <w:rsid w:val="005B63D0"/>
    <w:rsid w:val="005B65E1"/>
    <w:rsid w:val="005B690A"/>
    <w:rsid w:val="005B6BEA"/>
    <w:rsid w:val="005B6C10"/>
    <w:rsid w:val="005B6C3F"/>
    <w:rsid w:val="005B6E49"/>
    <w:rsid w:val="005B6FDB"/>
    <w:rsid w:val="005B70F5"/>
    <w:rsid w:val="005B7302"/>
    <w:rsid w:val="005B7341"/>
    <w:rsid w:val="005B74BB"/>
    <w:rsid w:val="005B74CF"/>
    <w:rsid w:val="005B76CF"/>
    <w:rsid w:val="005B7949"/>
    <w:rsid w:val="005B7A48"/>
    <w:rsid w:val="005B7D7A"/>
    <w:rsid w:val="005B7E97"/>
    <w:rsid w:val="005C005B"/>
    <w:rsid w:val="005C00D8"/>
    <w:rsid w:val="005C0241"/>
    <w:rsid w:val="005C024E"/>
    <w:rsid w:val="005C034D"/>
    <w:rsid w:val="005C0431"/>
    <w:rsid w:val="005C07E7"/>
    <w:rsid w:val="005C0A49"/>
    <w:rsid w:val="005C0CA1"/>
    <w:rsid w:val="005C0E1F"/>
    <w:rsid w:val="005C145E"/>
    <w:rsid w:val="005C1642"/>
    <w:rsid w:val="005C181D"/>
    <w:rsid w:val="005C184A"/>
    <w:rsid w:val="005C1851"/>
    <w:rsid w:val="005C1A9C"/>
    <w:rsid w:val="005C1C06"/>
    <w:rsid w:val="005C1CA0"/>
    <w:rsid w:val="005C1D2A"/>
    <w:rsid w:val="005C1D64"/>
    <w:rsid w:val="005C1FB0"/>
    <w:rsid w:val="005C200E"/>
    <w:rsid w:val="005C22AB"/>
    <w:rsid w:val="005C22DB"/>
    <w:rsid w:val="005C24BA"/>
    <w:rsid w:val="005C28B3"/>
    <w:rsid w:val="005C2BCF"/>
    <w:rsid w:val="005C2D73"/>
    <w:rsid w:val="005C2E3F"/>
    <w:rsid w:val="005C369C"/>
    <w:rsid w:val="005C3ED3"/>
    <w:rsid w:val="005C49B8"/>
    <w:rsid w:val="005C4A5C"/>
    <w:rsid w:val="005C4C99"/>
    <w:rsid w:val="005C4E79"/>
    <w:rsid w:val="005C4EEA"/>
    <w:rsid w:val="005C4FB8"/>
    <w:rsid w:val="005C5113"/>
    <w:rsid w:val="005C5347"/>
    <w:rsid w:val="005C54EF"/>
    <w:rsid w:val="005C56FC"/>
    <w:rsid w:val="005C5832"/>
    <w:rsid w:val="005C586F"/>
    <w:rsid w:val="005C59C9"/>
    <w:rsid w:val="005C5CE7"/>
    <w:rsid w:val="005C63A6"/>
    <w:rsid w:val="005C642C"/>
    <w:rsid w:val="005C64C0"/>
    <w:rsid w:val="005C66AC"/>
    <w:rsid w:val="005C691C"/>
    <w:rsid w:val="005C6A24"/>
    <w:rsid w:val="005C6F92"/>
    <w:rsid w:val="005C70C0"/>
    <w:rsid w:val="005C77C2"/>
    <w:rsid w:val="005C7866"/>
    <w:rsid w:val="005C78F7"/>
    <w:rsid w:val="005C7DB9"/>
    <w:rsid w:val="005C7F0C"/>
    <w:rsid w:val="005D002D"/>
    <w:rsid w:val="005D0A7B"/>
    <w:rsid w:val="005D0D23"/>
    <w:rsid w:val="005D0F35"/>
    <w:rsid w:val="005D11E4"/>
    <w:rsid w:val="005D1308"/>
    <w:rsid w:val="005D1318"/>
    <w:rsid w:val="005D132F"/>
    <w:rsid w:val="005D1708"/>
    <w:rsid w:val="005D1B0D"/>
    <w:rsid w:val="005D1B8E"/>
    <w:rsid w:val="005D1D0E"/>
    <w:rsid w:val="005D1F14"/>
    <w:rsid w:val="005D208C"/>
    <w:rsid w:val="005D2280"/>
    <w:rsid w:val="005D2551"/>
    <w:rsid w:val="005D278A"/>
    <w:rsid w:val="005D280C"/>
    <w:rsid w:val="005D28E3"/>
    <w:rsid w:val="005D2933"/>
    <w:rsid w:val="005D2E0C"/>
    <w:rsid w:val="005D318D"/>
    <w:rsid w:val="005D371B"/>
    <w:rsid w:val="005D3AA6"/>
    <w:rsid w:val="005D3B68"/>
    <w:rsid w:val="005D3CC8"/>
    <w:rsid w:val="005D3F89"/>
    <w:rsid w:val="005D4092"/>
    <w:rsid w:val="005D4111"/>
    <w:rsid w:val="005D42B5"/>
    <w:rsid w:val="005D448E"/>
    <w:rsid w:val="005D47EF"/>
    <w:rsid w:val="005D49D4"/>
    <w:rsid w:val="005D50D6"/>
    <w:rsid w:val="005D59B9"/>
    <w:rsid w:val="005D5DD2"/>
    <w:rsid w:val="005D5F6D"/>
    <w:rsid w:val="005D5F6E"/>
    <w:rsid w:val="005D69D3"/>
    <w:rsid w:val="005D6B23"/>
    <w:rsid w:val="005D6CB4"/>
    <w:rsid w:val="005D6D15"/>
    <w:rsid w:val="005D6E16"/>
    <w:rsid w:val="005D6EA1"/>
    <w:rsid w:val="005D7401"/>
    <w:rsid w:val="005D75FD"/>
    <w:rsid w:val="005D7EA6"/>
    <w:rsid w:val="005E0615"/>
    <w:rsid w:val="005E1037"/>
    <w:rsid w:val="005E10B7"/>
    <w:rsid w:val="005E1419"/>
    <w:rsid w:val="005E1519"/>
    <w:rsid w:val="005E1531"/>
    <w:rsid w:val="005E1676"/>
    <w:rsid w:val="005E19D1"/>
    <w:rsid w:val="005E19EB"/>
    <w:rsid w:val="005E1BA4"/>
    <w:rsid w:val="005E1DD2"/>
    <w:rsid w:val="005E1F69"/>
    <w:rsid w:val="005E200C"/>
    <w:rsid w:val="005E21EC"/>
    <w:rsid w:val="005E22A0"/>
    <w:rsid w:val="005E2431"/>
    <w:rsid w:val="005E2756"/>
    <w:rsid w:val="005E2BCB"/>
    <w:rsid w:val="005E32C5"/>
    <w:rsid w:val="005E3308"/>
    <w:rsid w:val="005E3619"/>
    <w:rsid w:val="005E362E"/>
    <w:rsid w:val="005E36A2"/>
    <w:rsid w:val="005E3AAC"/>
    <w:rsid w:val="005E3E18"/>
    <w:rsid w:val="005E43DB"/>
    <w:rsid w:val="005E4476"/>
    <w:rsid w:val="005E44AA"/>
    <w:rsid w:val="005E4A95"/>
    <w:rsid w:val="005E4AA5"/>
    <w:rsid w:val="005E4B56"/>
    <w:rsid w:val="005E4C1F"/>
    <w:rsid w:val="005E4CF8"/>
    <w:rsid w:val="005E4EDD"/>
    <w:rsid w:val="005E4F9A"/>
    <w:rsid w:val="005E5037"/>
    <w:rsid w:val="005E5461"/>
    <w:rsid w:val="005E5A74"/>
    <w:rsid w:val="005E5C07"/>
    <w:rsid w:val="005E5C53"/>
    <w:rsid w:val="005E615D"/>
    <w:rsid w:val="005E627E"/>
    <w:rsid w:val="005E642B"/>
    <w:rsid w:val="005E64C0"/>
    <w:rsid w:val="005E6665"/>
    <w:rsid w:val="005E687B"/>
    <w:rsid w:val="005E6D81"/>
    <w:rsid w:val="005E6F84"/>
    <w:rsid w:val="005E7030"/>
    <w:rsid w:val="005E70AC"/>
    <w:rsid w:val="005E71EB"/>
    <w:rsid w:val="005E71FE"/>
    <w:rsid w:val="005E7298"/>
    <w:rsid w:val="005E762B"/>
    <w:rsid w:val="005E7697"/>
    <w:rsid w:val="005E77B7"/>
    <w:rsid w:val="005E7A19"/>
    <w:rsid w:val="005E7BB4"/>
    <w:rsid w:val="005E7CE2"/>
    <w:rsid w:val="005E7E06"/>
    <w:rsid w:val="005E7E76"/>
    <w:rsid w:val="005E982D"/>
    <w:rsid w:val="005F02C8"/>
    <w:rsid w:val="005F05A0"/>
    <w:rsid w:val="005F0C62"/>
    <w:rsid w:val="005F0DA4"/>
    <w:rsid w:val="005F0FE0"/>
    <w:rsid w:val="005F1301"/>
    <w:rsid w:val="005F167B"/>
    <w:rsid w:val="005F1867"/>
    <w:rsid w:val="005F1A34"/>
    <w:rsid w:val="005F2122"/>
    <w:rsid w:val="005F2894"/>
    <w:rsid w:val="005F2958"/>
    <w:rsid w:val="005F2A6C"/>
    <w:rsid w:val="005F2AC4"/>
    <w:rsid w:val="005F2E1B"/>
    <w:rsid w:val="005F332C"/>
    <w:rsid w:val="005F33CB"/>
    <w:rsid w:val="005F36DB"/>
    <w:rsid w:val="005F3800"/>
    <w:rsid w:val="005F3B62"/>
    <w:rsid w:val="005F3C64"/>
    <w:rsid w:val="005F4239"/>
    <w:rsid w:val="005F4325"/>
    <w:rsid w:val="005F43C7"/>
    <w:rsid w:val="005F4436"/>
    <w:rsid w:val="005F46FE"/>
    <w:rsid w:val="005F4ADB"/>
    <w:rsid w:val="005F503A"/>
    <w:rsid w:val="005F5047"/>
    <w:rsid w:val="005F5089"/>
    <w:rsid w:val="005F50BA"/>
    <w:rsid w:val="005F51D9"/>
    <w:rsid w:val="005F536C"/>
    <w:rsid w:val="005F5724"/>
    <w:rsid w:val="005F5849"/>
    <w:rsid w:val="005F588D"/>
    <w:rsid w:val="005F5CC3"/>
    <w:rsid w:val="005F5CDA"/>
    <w:rsid w:val="005F5D7C"/>
    <w:rsid w:val="005F5E36"/>
    <w:rsid w:val="005F6831"/>
    <w:rsid w:val="005F695F"/>
    <w:rsid w:val="005F6D2D"/>
    <w:rsid w:val="005F6E37"/>
    <w:rsid w:val="005F6F27"/>
    <w:rsid w:val="005F7020"/>
    <w:rsid w:val="005F725C"/>
    <w:rsid w:val="005F728B"/>
    <w:rsid w:val="005F76EC"/>
    <w:rsid w:val="005F76FB"/>
    <w:rsid w:val="005F77C9"/>
    <w:rsid w:val="005F78F3"/>
    <w:rsid w:val="005F7AD6"/>
    <w:rsid w:val="005F7FA7"/>
    <w:rsid w:val="005F7FB1"/>
    <w:rsid w:val="006002F0"/>
    <w:rsid w:val="006003A0"/>
    <w:rsid w:val="00600448"/>
    <w:rsid w:val="00600BFB"/>
    <w:rsid w:val="00600D9B"/>
    <w:rsid w:val="00600FD6"/>
    <w:rsid w:val="00601251"/>
    <w:rsid w:val="00601722"/>
    <w:rsid w:val="006017BC"/>
    <w:rsid w:val="00601DB3"/>
    <w:rsid w:val="00601F5C"/>
    <w:rsid w:val="00602000"/>
    <w:rsid w:val="006020B7"/>
    <w:rsid w:val="00602200"/>
    <w:rsid w:val="00602325"/>
    <w:rsid w:val="00602738"/>
    <w:rsid w:val="00602A69"/>
    <w:rsid w:val="00602D4A"/>
    <w:rsid w:val="006030C5"/>
    <w:rsid w:val="006031AA"/>
    <w:rsid w:val="00603931"/>
    <w:rsid w:val="006039D2"/>
    <w:rsid w:val="00603AF8"/>
    <w:rsid w:val="00603B01"/>
    <w:rsid w:val="00603B08"/>
    <w:rsid w:val="00603BCC"/>
    <w:rsid w:val="00603D9E"/>
    <w:rsid w:val="00603FFF"/>
    <w:rsid w:val="006043FC"/>
    <w:rsid w:val="006045BB"/>
    <w:rsid w:val="006046C1"/>
    <w:rsid w:val="0060484C"/>
    <w:rsid w:val="0060493A"/>
    <w:rsid w:val="00604B10"/>
    <w:rsid w:val="00604B18"/>
    <w:rsid w:val="006050C7"/>
    <w:rsid w:val="006050C8"/>
    <w:rsid w:val="00605661"/>
    <w:rsid w:val="00605DDE"/>
    <w:rsid w:val="00605E43"/>
    <w:rsid w:val="00605EE1"/>
    <w:rsid w:val="00605FA1"/>
    <w:rsid w:val="006061E2"/>
    <w:rsid w:val="00606352"/>
    <w:rsid w:val="006063BF"/>
    <w:rsid w:val="00606F87"/>
    <w:rsid w:val="00606FA5"/>
    <w:rsid w:val="0060706E"/>
    <w:rsid w:val="00607184"/>
    <w:rsid w:val="006072C1"/>
    <w:rsid w:val="0060747D"/>
    <w:rsid w:val="00607631"/>
    <w:rsid w:val="0060767D"/>
    <w:rsid w:val="00607758"/>
    <w:rsid w:val="00610028"/>
    <w:rsid w:val="0061036D"/>
    <w:rsid w:val="006104C9"/>
    <w:rsid w:val="00610743"/>
    <w:rsid w:val="00610B6E"/>
    <w:rsid w:val="00610DC2"/>
    <w:rsid w:val="00610DEA"/>
    <w:rsid w:val="00610E47"/>
    <w:rsid w:val="00610F68"/>
    <w:rsid w:val="00611049"/>
    <w:rsid w:val="006111B3"/>
    <w:rsid w:val="0061121C"/>
    <w:rsid w:val="006115EE"/>
    <w:rsid w:val="006119F8"/>
    <w:rsid w:val="00611F74"/>
    <w:rsid w:val="006120F7"/>
    <w:rsid w:val="006123FC"/>
    <w:rsid w:val="00612639"/>
    <w:rsid w:val="00612817"/>
    <w:rsid w:val="006128BB"/>
    <w:rsid w:val="00612999"/>
    <w:rsid w:val="00612A17"/>
    <w:rsid w:val="00612B9E"/>
    <w:rsid w:val="00612D4F"/>
    <w:rsid w:val="00612DEA"/>
    <w:rsid w:val="00612FF0"/>
    <w:rsid w:val="006130B0"/>
    <w:rsid w:val="006131B3"/>
    <w:rsid w:val="00613417"/>
    <w:rsid w:val="00613597"/>
    <w:rsid w:val="0061365F"/>
    <w:rsid w:val="00613DDE"/>
    <w:rsid w:val="00613EEB"/>
    <w:rsid w:val="006140CA"/>
    <w:rsid w:val="006144BC"/>
    <w:rsid w:val="00614685"/>
    <w:rsid w:val="00614820"/>
    <w:rsid w:val="00614FFB"/>
    <w:rsid w:val="00615693"/>
    <w:rsid w:val="0061580D"/>
    <w:rsid w:val="0061589F"/>
    <w:rsid w:val="0061595F"/>
    <w:rsid w:val="00615AA0"/>
    <w:rsid w:val="00615BCB"/>
    <w:rsid w:val="00615E22"/>
    <w:rsid w:val="0061631F"/>
    <w:rsid w:val="006165EC"/>
    <w:rsid w:val="00616B0C"/>
    <w:rsid w:val="00616B0F"/>
    <w:rsid w:val="00616D87"/>
    <w:rsid w:val="00616EE2"/>
    <w:rsid w:val="0061703E"/>
    <w:rsid w:val="00617687"/>
    <w:rsid w:val="00617743"/>
    <w:rsid w:val="00617879"/>
    <w:rsid w:val="00617918"/>
    <w:rsid w:val="00617BE9"/>
    <w:rsid w:val="00620089"/>
    <w:rsid w:val="006200EE"/>
    <w:rsid w:val="00620677"/>
    <w:rsid w:val="006207FD"/>
    <w:rsid w:val="006208ED"/>
    <w:rsid w:val="00620AC9"/>
    <w:rsid w:val="00620BD9"/>
    <w:rsid w:val="00620C24"/>
    <w:rsid w:val="00620CA9"/>
    <w:rsid w:val="00620DA4"/>
    <w:rsid w:val="00620DCC"/>
    <w:rsid w:val="006210B6"/>
    <w:rsid w:val="0062144F"/>
    <w:rsid w:val="0062185B"/>
    <w:rsid w:val="006218A5"/>
    <w:rsid w:val="00621A2B"/>
    <w:rsid w:val="00621AF7"/>
    <w:rsid w:val="00621EE8"/>
    <w:rsid w:val="00622866"/>
    <w:rsid w:val="0062299F"/>
    <w:rsid w:val="00622B8B"/>
    <w:rsid w:val="00622BF7"/>
    <w:rsid w:val="00622C82"/>
    <w:rsid w:val="00622EF5"/>
    <w:rsid w:val="00622EF7"/>
    <w:rsid w:val="00622F38"/>
    <w:rsid w:val="00623643"/>
    <w:rsid w:val="0062380E"/>
    <w:rsid w:val="00623A0A"/>
    <w:rsid w:val="00623CF8"/>
    <w:rsid w:val="00624318"/>
    <w:rsid w:val="00624451"/>
    <w:rsid w:val="00624B3E"/>
    <w:rsid w:val="00624FFC"/>
    <w:rsid w:val="006253ED"/>
    <w:rsid w:val="00625421"/>
    <w:rsid w:val="006254AE"/>
    <w:rsid w:val="00625576"/>
    <w:rsid w:val="00625714"/>
    <w:rsid w:val="00625B21"/>
    <w:rsid w:val="00626264"/>
    <w:rsid w:val="00626504"/>
    <w:rsid w:val="00626543"/>
    <w:rsid w:val="006265C4"/>
    <w:rsid w:val="00626931"/>
    <w:rsid w:val="00626A2F"/>
    <w:rsid w:val="00626DB5"/>
    <w:rsid w:val="0062721A"/>
    <w:rsid w:val="00627411"/>
    <w:rsid w:val="00627D9A"/>
    <w:rsid w:val="00627F24"/>
    <w:rsid w:val="00630103"/>
    <w:rsid w:val="00630117"/>
    <w:rsid w:val="006303DC"/>
    <w:rsid w:val="0063061C"/>
    <w:rsid w:val="00630755"/>
    <w:rsid w:val="00630795"/>
    <w:rsid w:val="006307E3"/>
    <w:rsid w:val="00630C3F"/>
    <w:rsid w:val="00630C68"/>
    <w:rsid w:val="00631062"/>
    <w:rsid w:val="00631425"/>
    <w:rsid w:val="0063143F"/>
    <w:rsid w:val="006315CD"/>
    <w:rsid w:val="006322A3"/>
    <w:rsid w:val="006327DD"/>
    <w:rsid w:val="00632C86"/>
    <w:rsid w:val="00632CA7"/>
    <w:rsid w:val="00632DBE"/>
    <w:rsid w:val="006331C1"/>
    <w:rsid w:val="006337F8"/>
    <w:rsid w:val="006337FE"/>
    <w:rsid w:val="0063390D"/>
    <w:rsid w:val="00633AE8"/>
    <w:rsid w:val="00633C9E"/>
    <w:rsid w:val="00633D3D"/>
    <w:rsid w:val="00633F76"/>
    <w:rsid w:val="0063403D"/>
    <w:rsid w:val="006340E3"/>
    <w:rsid w:val="00634295"/>
    <w:rsid w:val="006342A8"/>
    <w:rsid w:val="00634406"/>
    <w:rsid w:val="0063446C"/>
    <w:rsid w:val="00634510"/>
    <w:rsid w:val="00634640"/>
    <w:rsid w:val="006348B3"/>
    <w:rsid w:val="00634B0C"/>
    <w:rsid w:val="00634FB9"/>
    <w:rsid w:val="0063506B"/>
    <w:rsid w:val="006351D0"/>
    <w:rsid w:val="00635595"/>
    <w:rsid w:val="0063576F"/>
    <w:rsid w:val="00635B1F"/>
    <w:rsid w:val="00635B46"/>
    <w:rsid w:val="00635F5C"/>
    <w:rsid w:val="00635FC9"/>
    <w:rsid w:val="0063624C"/>
    <w:rsid w:val="006364FB"/>
    <w:rsid w:val="006365C7"/>
    <w:rsid w:val="00636633"/>
    <w:rsid w:val="00636A8A"/>
    <w:rsid w:val="00636C4E"/>
    <w:rsid w:val="00637092"/>
    <w:rsid w:val="00637097"/>
    <w:rsid w:val="00637179"/>
    <w:rsid w:val="00637325"/>
    <w:rsid w:val="0063748C"/>
    <w:rsid w:val="00637744"/>
    <w:rsid w:val="006377EB"/>
    <w:rsid w:val="00637A13"/>
    <w:rsid w:val="00637B13"/>
    <w:rsid w:val="00637CB4"/>
    <w:rsid w:val="00637EC6"/>
    <w:rsid w:val="0064012D"/>
    <w:rsid w:val="006402FB"/>
    <w:rsid w:val="00640388"/>
    <w:rsid w:val="00640457"/>
    <w:rsid w:val="0064068C"/>
    <w:rsid w:val="006406B5"/>
    <w:rsid w:val="00640BC8"/>
    <w:rsid w:val="00640E2A"/>
    <w:rsid w:val="00640E3D"/>
    <w:rsid w:val="00640F13"/>
    <w:rsid w:val="00641044"/>
    <w:rsid w:val="00641983"/>
    <w:rsid w:val="00641995"/>
    <w:rsid w:val="0064199A"/>
    <w:rsid w:val="00641AE6"/>
    <w:rsid w:val="00641D1D"/>
    <w:rsid w:val="00641DFC"/>
    <w:rsid w:val="00642162"/>
    <w:rsid w:val="006421C0"/>
    <w:rsid w:val="00642245"/>
    <w:rsid w:val="00642694"/>
    <w:rsid w:val="0064299F"/>
    <w:rsid w:val="00642AF7"/>
    <w:rsid w:val="006430A0"/>
    <w:rsid w:val="0064325F"/>
    <w:rsid w:val="006432F2"/>
    <w:rsid w:val="00643311"/>
    <w:rsid w:val="00643594"/>
    <w:rsid w:val="00643843"/>
    <w:rsid w:val="006439D3"/>
    <w:rsid w:val="00643A4F"/>
    <w:rsid w:val="00643A94"/>
    <w:rsid w:val="00643C41"/>
    <w:rsid w:val="00643F89"/>
    <w:rsid w:val="00643FEF"/>
    <w:rsid w:val="006440BE"/>
    <w:rsid w:val="006441B2"/>
    <w:rsid w:val="006443D6"/>
    <w:rsid w:val="006447F2"/>
    <w:rsid w:val="00644853"/>
    <w:rsid w:val="00644B02"/>
    <w:rsid w:val="00644B6A"/>
    <w:rsid w:val="00644C39"/>
    <w:rsid w:val="00644CAD"/>
    <w:rsid w:val="00645072"/>
    <w:rsid w:val="0064542F"/>
    <w:rsid w:val="006456EA"/>
    <w:rsid w:val="00645730"/>
    <w:rsid w:val="006459F3"/>
    <w:rsid w:val="00645BD2"/>
    <w:rsid w:val="00645CA2"/>
    <w:rsid w:val="0064626B"/>
    <w:rsid w:val="00646B8C"/>
    <w:rsid w:val="00646B90"/>
    <w:rsid w:val="006472EF"/>
    <w:rsid w:val="006472FB"/>
    <w:rsid w:val="006478B3"/>
    <w:rsid w:val="006479B9"/>
    <w:rsid w:val="006479DD"/>
    <w:rsid w:val="00647DFB"/>
    <w:rsid w:val="00647F23"/>
    <w:rsid w:val="0065019A"/>
    <w:rsid w:val="006505F1"/>
    <w:rsid w:val="00650699"/>
    <w:rsid w:val="006506A9"/>
    <w:rsid w:val="0065087A"/>
    <w:rsid w:val="00650A74"/>
    <w:rsid w:val="00650EC7"/>
    <w:rsid w:val="00650F7C"/>
    <w:rsid w:val="006511A4"/>
    <w:rsid w:val="0065138A"/>
    <w:rsid w:val="00651A4A"/>
    <w:rsid w:val="00651EB6"/>
    <w:rsid w:val="00652784"/>
    <w:rsid w:val="00652CDB"/>
    <w:rsid w:val="00652D7B"/>
    <w:rsid w:val="00652F3F"/>
    <w:rsid w:val="00653070"/>
    <w:rsid w:val="0065374E"/>
    <w:rsid w:val="006538D6"/>
    <w:rsid w:val="00653A4A"/>
    <w:rsid w:val="00653CF7"/>
    <w:rsid w:val="00653E28"/>
    <w:rsid w:val="00654206"/>
    <w:rsid w:val="00654580"/>
    <w:rsid w:val="0065487F"/>
    <w:rsid w:val="00654DFF"/>
    <w:rsid w:val="00654FE9"/>
    <w:rsid w:val="006551CE"/>
    <w:rsid w:val="00655317"/>
    <w:rsid w:val="006559EC"/>
    <w:rsid w:val="00655AE8"/>
    <w:rsid w:val="00655DE9"/>
    <w:rsid w:val="00656096"/>
    <w:rsid w:val="00656722"/>
    <w:rsid w:val="00656EF7"/>
    <w:rsid w:val="00656F15"/>
    <w:rsid w:val="00657052"/>
    <w:rsid w:val="00657180"/>
    <w:rsid w:val="0065735D"/>
    <w:rsid w:val="00657361"/>
    <w:rsid w:val="006576A8"/>
    <w:rsid w:val="00660085"/>
    <w:rsid w:val="0066010C"/>
    <w:rsid w:val="00660161"/>
    <w:rsid w:val="006602D6"/>
    <w:rsid w:val="00660537"/>
    <w:rsid w:val="006606FA"/>
    <w:rsid w:val="006607CB"/>
    <w:rsid w:val="006607D2"/>
    <w:rsid w:val="00660910"/>
    <w:rsid w:val="00660B8F"/>
    <w:rsid w:val="00660D0E"/>
    <w:rsid w:val="00660D40"/>
    <w:rsid w:val="00660E0B"/>
    <w:rsid w:val="00660F44"/>
    <w:rsid w:val="0066106F"/>
    <w:rsid w:val="0066119F"/>
    <w:rsid w:val="00661674"/>
    <w:rsid w:val="00661819"/>
    <w:rsid w:val="006618B6"/>
    <w:rsid w:val="0066191D"/>
    <w:rsid w:val="00661C1B"/>
    <w:rsid w:val="00661E46"/>
    <w:rsid w:val="00661F34"/>
    <w:rsid w:val="00662304"/>
    <w:rsid w:val="00662550"/>
    <w:rsid w:val="006625DE"/>
    <w:rsid w:val="00662652"/>
    <w:rsid w:val="00662B9E"/>
    <w:rsid w:val="00662F94"/>
    <w:rsid w:val="00663300"/>
    <w:rsid w:val="0066358B"/>
    <w:rsid w:val="00663875"/>
    <w:rsid w:val="0066388C"/>
    <w:rsid w:val="006638DB"/>
    <w:rsid w:val="0066397E"/>
    <w:rsid w:val="00663B6E"/>
    <w:rsid w:val="00663C39"/>
    <w:rsid w:val="00663DEE"/>
    <w:rsid w:val="00663F6A"/>
    <w:rsid w:val="00663FC2"/>
    <w:rsid w:val="00664055"/>
    <w:rsid w:val="00664155"/>
    <w:rsid w:val="0066430D"/>
    <w:rsid w:val="0066466A"/>
    <w:rsid w:val="006648B8"/>
    <w:rsid w:val="00664965"/>
    <w:rsid w:val="00664C57"/>
    <w:rsid w:val="00664E40"/>
    <w:rsid w:val="00664FBC"/>
    <w:rsid w:val="006656D3"/>
    <w:rsid w:val="00665806"/>
    <w:rsid w:val="00665866"/>
    <w:rsid w:val="00665C0A"/>
    <w:rsid w:val="00665C6C"/>
    <w:rsid w:val="00665CE9"/>
    <w:rsid w:val="00666439"/>
    <w:rsid w:val="006664C8"/>
    <w:rsid w:val="0066690D"/>
    <w:rsid w:val="0066698E"/>
    <w:rsid w:val="00666AC0"/>
    <w:rsid w:val="00666D6C"/>
    <w:rsid w:val="00666E68"/>
    <w:rsid w:val="00666F82"/>
    <w:rsid w:val="006673E4"/>
    <w:rsid w:val="0066787B"/>
    <w:rsid w:val="00667A58"/>
    <w:rsid w:val="00667ACC"/>
    <w:rsid w:val="00667E79"/>
    <w:rsid w:val="0067018B"/>
    <w:rsid w:val="00670444"/>
    <w:rsid w:val="006709CB"/>
    <w:rsid w:val="006709FF"/>
    <w:rsid w:val="00670B42"/>
    <w:rsid w:val="00670C5A"/>
    <w:rsid w:val="006717D5"/>
    <w:rsid w:val="00671B4D"/>
    <w:rsid w:val="00671CAE"/>
    <w:rsid w:val="00671E3E"/>
    <w:rsid w:val="00671F1A"/>
    <w:rsid w:val="00672065"/>
    <w:rsid w:val="00672246"/>
    <w:rsid w:val="006722B1"/>
    <w:rsid w:val="006726B8"/>
    <w:rsid w:val="00672C4F"/>
    <w:rsid w:val="00672D71"/>
    <w:rsid w:val="00672D73"/>
    <w:rsid w:val="00672EC7"/>
    <w:rsid w:val="00673226"/>
    <w:rsid w:val="00673306"/>
    <w:rsid w:val="0067334C"/>
    <w:rsid w:val="006734C2"/>
    <w:rsid w:val="006735C3"/>
    <w:rsid w:val="006736ED"/>
    <w:rsid w:val="0067391B"/>
    <w:rsid w:val="00673BB4"/>
    <w:rsid w:val="00673CB4"/>
    <w:rsid w:val="00673FC8"/>
    <w:rsid w:val="00674269"/>
    <w:rsid w:val="00674335"/>
    <w:rsid w:val="006743CE"/>
    <w:rsid w:val="00674560"/>
    <w:rsid w:val="0067462B"/>
    <w:rsid w:val="00674759"/>
    <w:rsid w:val="00674874"/>
    <w:rsid w:val="00674A9C"/>
    <w:rsid w:val="00674DA6"/>
    <w:rsid w:val="00675322"/>
    <w:rsid w:val="00675643"/>
    <w:rsid w:val="00675787"/>
    <w:rsid w:val="006757F0"/>
    <w:rsid w:val="006758CB"/>
    <w:rsid w:val="006758F1"/>
    <w:rsid w:val="00675951"/>
    <w:rsid w:val="00675A41"/>
    <w:rsid w:val="00675C53"/>
    <w:rsid w:val="00676817"/>
    <w:rsid w:val="006769A6"/>
    <w:rsid w:val="00676B78"/>
    <w:rsid w:val="0067704A"/>
    <w:rsid w:val="00677263"/>
    <w:rsid w:val="00677344"/>
    <w:rsid w:val="0067734B"/>
    <w:rsid w:val="00677695"/>
    <w:rsid w:val="00677762"/>
    <w:rsid w:val="00677770"/>
    <w:rsid w:val="00677C81"/>
    <w:rsid w:val="00677EA2"/>
    <w:rsid w:val="00677EC9"/>
    <w:rsid w:val="00680176"/>
    <w:rsid w:val="006801A1"/>
    <w:rsid w:val="006804BE"/>
    <w:rsid w:val="00680516"/>
    <w:rsid w:val="0068075E"/>
    <w:rsid w:val="00680A72"/>
    <w:rsid w:val="00681184"/>
    <w:rsid w:val="006815DF"/>
    <w:rsid w:val="00681845"/>
    <w:rsid w:val="00681945"/>
    <w:rsid w:val="00681A5F"/>
    <w:rsid w:val="00681E58"/>
    <w:rsid w:val="0068201F"/>
    <w:rsid w:val="0068211E"/>
    <w:rsid w:val="006821F7"/>
    <w:rsid w:val="006824B4"/>
    <w:rsid w:val="00682512"/>
    <w:rsid w:val="00682E0E"/>
    <w:rsid w:val="00682FC7"/>
    <w:rsid w:val="006832E2"/>
    <w:rsid w:val="00683685"/>
    <w:rsid w:val="006838A5"/>
    <w:rsid w:val="00683960"/>
    <w:rsid w:val="00683B4F"/>
    <w:rsid w:val="00683B57"/>
    <w:rsid w:val="00683C82"/>
    <w:rsid w:val="00683CAE"/>
    <w:rsid w:val="006841FF"/>
    <w:rsid w:val="00684802"/>
    <w:rsid w:val="0068485E"/>
    <w:rsid w:val="00684BC6"/>
    <w:rsid w:val="00684D50"/>
    <w:rsid w:val="00685574"/>
    <w:rsid w:val="00685AA7"/>
    <w:rsid w:val="00685C8B"/>
    <w:rsid w:val="00685FC0"/>
    <w:rsid w:val="00686390"/>
    <w:rsid w:val="00686709"/>
    <w:rsid w:val="006867C4"/>
    <w:rsid w:val="006869A1"/>
    <w:rsid w:val="00686D0E"/>
    <w:rsid w:val="00686E72"/>
    <w:rsid w:val="00686FA3"/>
    <w:rsid w:val="00687177"/>
    <w:rsid w:val="0068775B"/>
    <w:rsid w:val="006877F7"/>
    <w:rsid w:val="00687CD5"/>
    <w:rsid w:val="006901C0"/>
    <w:rsid w:val="006903EB"/>
    <w:rsid w:val="006904DD"/>
    <w:rsid w:val="00690916"/>
    <w:rsid w:val="00690A55"/>
    <w:rsid w:val="00690A64"/>
    <w:rsid w:val="00690D2A"/>
    <w:rsid w:val="00690E8C"/>
    <w:rsid w:val="00690ED7"/>
    <w:rsid w:val="00690FEB"/>
    <w:rsid w:val="00691501"/>
    <w:rsid w:val="0069175F"/>
    <w:rsid w:val="006917ED"/>
    <w:rsid w:val="00691ADC"/>
    <w:rsid w:val="00691C67"/>
    <w:rsid w:val="00691DF4"/>
    <w:rsid w:val="00691F9D"/>
    <w:rsid w:val="006923DF"/>
    <w:rsid w:val="00692459"/>
    <w:rsid w:val="00692715"/>
    <w:rsid w:val="00692841"/>
    <w:rsid w:val="006931AE"/>
    <w:rsid w:val="00693581"/>
    <w:rsid w:val="00693747"/>
    <w:rsid w:val="00693AC5"/>
    <w:rsid w:val="00693CE4"/>
    <w:rsid w:val="006940E8"/>
    <w:rsid w:val="00694363"/>
    <w:rsid w:val="006943DB"/>
    <w:rsid w:val="00694D27"/>
    <w:rsid w:val="006950DC"/>
    <w:rsid w:val="006951E2"/>
    <w:rsid w:val="006951F8"/>
    <w:rsid w:val="00695572"/>
    <w:rsid w:val="0069563B"/>
    <w:rsid w:val="006958AA"/>
    <w:rsid w:val="00695D69"/>
    <w:rsid w:val="00695D7B"/>
    <w:rsid w:val="00695EF7"/>
    <w:rsid w:val="00695FF9"/>
    <w:rsid w:val="00696052"/>
    <w:rsid w:val="006961F0"/>
    <w:rsid w:val="006963B0"/>
    <w:rsid w:val="0069659F"/>
    <w:rsid w:val="0069679D"/>
    <w:rsid w:val="00696AD4"/>
    <w:rsid w:val="00696CA6"/>
    <w:rsid w:val="0069795F"/>
    <w:rsid w:val="00697BBB"/>
    <w:rsid w:val="00697DC3"/>
    <w:rsid w:val="006A0081"/>
    <w:rsid w:val="006A0109"/>
    <w:rsid w:val="006A038B"/>
    <w:rsid w:val="006A087A"/>
    <w:rsid w:val="006A11FF"/>
    <w:rsid w:val="006A12B6"/>
    <w:rsid w:val="006A12E1"/>
    <w:rsid w:val="006A1729"/>
    <w:rsid w:val="006A174B"/>
    <w:rsid w:val="006A1A64"/>
    <w:rsid w:val="006A1ACD"/>
    <w:rsid w:val="006A1CEE"/>
    <w:rsid w:val="006A1CF3"/>
    <w:rsid w:val="006A1DF5"/>
    <w:rsid w:val="006A2195"/>
    <w:rsid w:val="006A2383"/>
    <w:rsid w:val="006A278C"/>
    <w:rsid w:val="006A2880"/>
    <w:rsid w:val="006A2927"/>
    <w:rsid w:val="006A2A45"/>
    <w:rsid w:val="006A2B16"/>
    <w:rsid w:val="006A2B94"/>
    <w:rsid w:val="006A2E28"/>
    <w:rsid w:val="006A2F9B"/>
    <w:rsid w:val="006A34A8"/>
    <w:rsid w:val="006A3542"/>
    <w:rsid w:val="006A38EC"/>
    <w:rsid w:val="006A3B09"/>
    <w:rsid w:val="006A3E3B"/>
    <w:rsid w:val="006A4612"/>
    <w:rsid w:val="006A4687"/>
    <w:rsid w:val="006A49B4"/>
    <w:rsid w:val="006A49F9"/>
    <w:rsid w:val="006A4B0A"/>
    <w:rsid w:val="006A4F24"/>
    <w:rsid w:val="006A5053"/>
    <w:rsid w:val="006A5153"/>
    <w:rsid w:val="006A5169"/>
    <w:rsid w:val="006A526E"/>
    <w:rsid w:val="006A52B7"/>
    <w:rsid w:val="006A52E6"/>
    <w:rsid w:val="006A54AD"/>
    <w:rsid w:val="006A57FA"/>
    <w:rsid w:val="006A5BC8"/>
    <w:rsid w:val="006A5F74"/>
    <w:rsid w:val="006A5F8F"/>
    <w:rsid w:val="006A5FA4"/>
    <w:rsid w:val="006A62C5"/>
    <w:rsid w:val="006A6389"/>
    <w:rsid w:val="006A6840"/>
    <w:rsid w:val="006A6860"/>
    <w:rsid w:val="006A6AEF"/>
    <w:rsid w:val="006A6D69"/>
    <w:rsid w:val="006A746B"/>
    <w:rsid w:val="006A7745"/>
    <w:rsid w:val="006A7A36"/>
    <w:rsid w:val="006A7A80"/>
    <w:rsid w:val="006A7AE8"/>
    <w:rsid w:val="006A7C44"/>
    <w:rsid w:val="006A7D74"/>
    <w:rsid w:val="006B00AE"/>
    <w:rsid w:val="006B0253"/>
    <w:rsid w:val="006B0671"/>
    <w:rsid w:val="006B0700"/>
    <w:rsid w:val="006B0A2D"/>
    <w:rsid w:val="006B0A66"/>
    <w:rsid w:val="006B0F57"/>
    <w:rsid w:val="006B107B"/>
    <w:rsid w:val="006B1466"/>
    <w:rsid w:val="006B153D"/>
    <w:rsid w:val="006B172F"/>
    <w:rsid w:val="006B1B51"/>
    <w:rsid w:val="006B1C83"/>
    <w:rsid w:val="006B1EAE"/>
    <w:rsid w:val="006B1F49"/>
    <w:rsid w:val="006B2038"/>
    <w:rsid w:val="006B23B2"/>
    <w:rsid w:val="006B2471"/>
    <w:rsid w:val="006B24AE"/>
    <w:rsid w:val="006B297F"/>
    <w:rsid w:val="006B2C0B"/>
    <w:rsid w:val="006B2D75"/>
    <w:rsid w:val="006B2FD0"/>
    <w:rsid w:val="006B2FFF"/>
    <w:rsid w:val="006B3621"/>
    <w:rsid w:val="006B3652"/>
    <w:rsid w:val="006B3808"/>
    <w:rsid w:val="006B381E"/>
    <w:rsid w:val="006B3A7A"/>
    <w:rsid w:val="006B3A9E"/>
    <w:rsid w:val="006B412B"/>
    <w:rsid w:val="006B470D"/>
    <w:rsid w:val="006B48E9"/>
    <w:rsid w:val="006B493B"/>
    <w:rsid w:val="006B4999"/>
    <w:rsid w:val="006B4CC0"/>
    <w:rsid w:val="006B4F7B"/>
    <w:rsid w:val="006B504C"/>
    <w:rsid w:val="006B50B7"/>
    <w:rsid w:val="006B5223"/>
    <w:rsid w:val="006B55B4"/>
    <w:rsid w:val="006B56B8"/>
    <w:rsid w:val="006B589D"/>
    <w:rsid w:val="006B5C6B"/>
    <w:rsid w:val="006B5CC2"/>
    <w:rsid w:val="006B6092"/>
    <w:rsid w:val="006B65B7"/>
    <w:rsid w:val="006B664C"/>
    <w:rsid w:val="006B66D5"/>
    <w:rsid w:val="006B6729"/>
    <w:rsid w:val="006B6DA9"/>
    <w:rsid w:val="006B6F3B"/>
    <w:rsid w:val="006B6FD4"/>
    <w:rsid w:val="006B7246"/>
    <w:rsid w:val="006B7276"/>
    <w:rsid w:val="006B730B"/>
    <w:rsid w:val="006B73DA"/>
    <w:rsid w:val="006B77B9"/>
    <w:rsid w:val="006B790B"/>
    <w:rsid w:val="006B79FA"/>
    <w:rsid w:val="006B7BBB"/>
    <w:rsid w:val="006B7C8A"/>
    <w:rsid w:val="006B7D1B"/>
    <w:rsid w:val="006B7D5E"/>
    <w:rsid w:val="006C01F8"/>
    <w:rsid w:val="006C0277"/>
    <w:rsid w:val="006C0685"/>
    <w:rsid w:val="006C08C9"/>
    <w:rsid w:val="006C0BA5"/>
    <w:rsid w:val="006C0F33"/>
    <w:rsid w:val="006C0F3C"/>
    <w:rsid w:val="006C17D3"/>
    <w:rsid w:val="006C2011"/>
    <w:rsid w:val="006C225F"/>
    <w:rsid w:val="006C253D"/>
    <w:rsid w:val="006C255F"/>
    <w:rsid w:val="006C2564"/>
    <w:rsid w:val="006C257A"/>
    <w:rsid w:val="006C3058"/>
    <w:rsid w:val="006C307A"/>
    <w:rsid w:val="006C3263"/>
    <w:rsid w:val="006C36FD"/>
    <w:rsid w:val="006C3929"/>
    <w:rsid w:val="006C3980"/>
    <w:rsid w:val="006C3B77"/>
    <w:rsid w:val="006C43AA"/>
    <w:rsid w:val="006C497E"/>
    <w:rsid w:val="006C4E4F"/>
    <w:rsid w:val="006C4E74"/>
    <w:rsid w:val="006C519A"/>
    <w:rsid w:val="006C5262"/>
    <w:rsid w:val="006C5438"/>
    <w:rsid w:val="006C550E"/>
    <w:rsid w:val="006C557E"/>
    <w:rsid w:val="006C5774"/>
    <w:rsid w:val="006C589A"/>
    <w:rsid w:val="006C5E3D"/>
    <w:rsid w:val="006C5F0A"/>
    <w:rsid w:val="006C60FA"/>
    <w:rsid w:val="006C626F"/>
    <w:rsid w:val="006C6311"/>
    <w:rsid w:val="006C63AB"/>
    <w:rsid w:val="006C64BC"/>
    <w:rsid w:val="006C66E2"/>
    <w:rsid w:val="006C6741"/>
    <w:rsid w:val="006C6A4C"/>
    <w:rsid w:val="006C6A99"/>
    <w:rsid w:val="006C6B22"/>
    <w:rsid w:val="006C6C34"/>
    <w:rsid w:val="006C6DAE"/>
    <w:rsid w:val="006C6DC7"/>
    <w:rsid w:val="006C6F84"/>
    <w:rsid w:val="006C70B4"/>
    <w:rsid w:val="006C7402"/>
    <w:rsid w:val="006C741D"/>
    <w:rsid w:val="006C79AC"/>
    <w:rsid w:val="006C7B0F"/>
    <w:rsid w:val="006C7B36"/>
    <w:rsid w:val="006C7F2C"/>
    <w:rsid w:val="006C7FB7"/>
    <w:rsid w:val="006D011D"/>
    <w:rsid w:val="006D0521"/>
    <w:rsid w:val="006D059C"/>
    <w:rsid w:val="006D0901"/>
    <w:rsid w:val="006D0B6B"/>
    <w:rsid w:val="006D1099"/>
    <w:rsid w:val="006D1195"/>
    <w:rsid w:val="006D122C"/>
    <w:rsid w:val="006D1477"/>
    <w:rsid w:val="006D18BB"/>
    <w:rsid w:val="006D1C37"/>
    <w:rsid w:val="006D1E1A"/>
    <w:rsid w:val="006D21B3"/>
    <w:rsid w:val="006D21BA"/>
    <w:rsid w:val="006D2230"/>
    <w:rsid w:val="006D28B2"/>
    <w:rsid w:val="006D2AAA"/>
    <w:rsid w:val="006D2C67"/>
    <w:rsid w:val="006D2E9F"/>
    <w:rsid w:val="006D2F15"/>
    <w:rsid w:val="006D30AD"/>
    <w:rsid w:val="006D390F"/>
    <w:rsid w:val="006D419F"/>
    <w:rsid w:val="006D4492"/>
    <w:rsid w:val="006D47CD"/>
    <w:rsid w:val="006D4F52"/>
    <w:rsid w:val="006D50EA"/>
    <w:rsid w:val="006D5157"/>
    <w:rsid w:val="006D51DC"/>
    <w:rsid w:val="006D531D"/>
    <w:rsid w:val="006D550D"/>
    <w:rsid w:val="006D5704"/>
    <w:rsid w:val="006D5750"/>
    <w:rsid w:val="006D57A6"/>
    <w:rsid w:val="006D5A05"/>
    <w:rsid w:val="006D5A5D"/>
    <w:rsid w:val="006D5BBC"/>
    <w:rsid w:val="006D6073"/>
    <w:rsid w:val="006D60F9"/>
    <w:rsid w:val="006D626B"/>
    <w:rsid w:val="006D63C3"/>
    <w:rsid w:val="006D66DE"/>
    <w:rsid w:val="006D68D7"/>
    <w:rsid w:val="006D69F1"/>
    <w:rsid w:val="006D6A74"/>
    <w:rsid w:val="006D6AAF"/>
    <w:rsid w:val="006D7060"/>
    <w:rsid w:val="006D7744"/>
    <w:rsid w:val="006D788F"/>
    <w:rsid w:val="006D78BE"/>
    <w:rsid w:val="006D7A75"/>
    <w:rsid w:val="006E0153"/>
    <w:rsid w:val="006E01C7"/>
    <w:rsid w:val="006E0266"/>
    <w:rsid w:val="006E05E9"/>
    <w:rsid w:val="006E0782"/>
    <w:rsid w:val="006E08F5"/>
    <w:rsid w:val="006E0908"/>
    <w:rsid w:val="006E0BDF"/>
    <w:rsid w:val="006E0C35"/>
    <w:rsid w:val="006E0E11"/>
    <w:rsid w:val="006E1091"/>
    <w:rsid w:val="006E13F8"/>
    <w:rsid w:val="006E147C"/>
    <w:rsid w:val="006E188E"/>
    <w:rsid w:val="006E18BB"/>
    <w:rsid w:val="006E1922"/>
    <w:rsid w:val="006E192A"/>
    <w:rsid w:val="006E1A3B"/>
    <w:rsid w:val="006E1B8E"/>
    <w:rsid w:val="006E209F"/>
    <w:rsid w:val="006E2161"/>
    <w:rsid w:val="006E222C"/>
    <w:rsid w:val="006E2448"/>
    <w:rsid w:val="006E28CB"/>
    <w:rsid w:val="006E2B3D"/>
    <w:rsid w:val="006E2D5F"/>
    <w:rsid w:val="006E2E1F"/>
    <w:rsid w:val="006E3159"/>
    <w:rsid w:val="006E3340"/>
    <w:rsid w:val="006E34FC"/>
    <w:rsid w:val="006E3539"/>
    <w:rsid w:val="006E3611"/>
    <w:rsid w:val="006E3CBE"/>
    <w:rsid w:val="006E4120"/>
    <w:rsid w:val="006E41E4"/>
    <w:rsid w:val="006E4416"/>
    <w:rsid w:val="006E48BF"/>
    <w:rsid w:val="006E49BB"/>
    <w:rsid w:val="006E4A01"/>
    <w:rsid w:val="006E4AA3"/>
    <w:rsid w:val="006E4AEE"/>
    <w:rsid w:val="006E4AFA"/>
    <w:rsid w:val="006E4B12"/>
    <w:rsid w:val="006E4D44"/>
    <w:rsid w:val="006E4D6B"/>
    <w:rsid w:val="006E5045"/>
    <w:rsid w:val="006E55FD"/>
    <w:rsid w:val="006E576B"/>
    <w:rsid w:val="006E58B5"/>
    <w:rsid w:val="006E5BF3"/>
    <w:rsid w:val="006E5F35"/>
    <w:rsid w:val="006E6097"/>
    <w:rsid w:val="006E609F"/>
    <w:rsid w:val="006E61F5"/>
    <w:rsid w:val="006E62F9"/>
    <w:rsid w:val="006E63CA"/>
    <w:rsid w:val="006E6C68"/>
    <w:rsid w:val="006E6D7B"/>
    <w:rsid w:val="006E6EC6"/>
    <w:rsid w:val="006E7175"/>
    <w:rsid w:val="006E73CD"/>
    <w:rsid w:val="006E74E0"/>
    <w:rsid w:val="006E76DB"/>
    <w:rsid w:val="006E7ABB"/>
    <w:rsid w:val="006E7DF7"/>
    <w:rsid w:val="006E7FDE"/>
    <w:rsid w:val="006F0085"/>
    <w:rsid w:val="006F02E4"/>
    <w:rsid w:val="006F03A0"/>
    <w:rsid w:val="006F0DCD"/>
    <w:rsid w:val="006F0DF9"/>
    <w:rsid w:val="006F0E26"/>
    <w:rsid w:val="006F192C"/>
    <w:rsid w:val="006F1A66"/>
    <w:rsid w:val="006F1C2B"/>
    <w:rsid w:val="006F1D10"/>
    <w:rsid w:val="006F2201"/>
    <w:rsid w:val="006F26ED"/>
    <w:rsid w:val="006F2713"/>
    <w:rsid w:val="006F2DDF"/>
    <w:rsid w:val="006F2EEF"/>
    <w:rsid w:val="006F303D"/>
    <w:rsid w:val="006F30AB"/>
    <w:rsid w:val="006F3164"/>
    <w:rsid w:val="006F3857"/>
    <w:rsid w:val="006F3ACC"/>
    <w:rsid w:val="006F3B3B"/>
    <w:rsid w:val="006F42F7"/>
    <w:rsid w:val="006F4356"/>
    <w:rsid w:val="006F453E"/>
    <w:rsid w:val="006F4775"/>
    <w:rsid w:val="006F4CC4"/>
    <w:rsid w:val="006F578C"/>
    <w:rsid w:val="006F5AB1"/>
    <w:rsid w:val="006F632E"/>
    <w:rsid w:val="006F6362"/>
    <w:rsid w:val="006F64D9"/>
    <w:rsid w:val="006F6A5C"/>
    <w:rsid w:val="006F6BCF"/>
    <w:rsid w:val="006F6E9B"/>
    <w:rsid w:val="006F6EB1"/>
    <w:rsid w:val="006F6EFE"/>
    <w:rsid w:val="006F6F54"/>
    <w:rsid w:val="006F739A"/>
    <w:rsid w:val="006F748C"/>
    <w:rsid w:val="006F76A9"/>
    <w:rsid w:val="006F7B01"/>
    <w:rsid w:val="006F7C2A"/>
    <w:rsid w:val="006F7F1F"/>
    <w:rsid w:val="006FFB53"/>
    <w:rsid w:val="007004C2"/>
    <w:rsid w:val="0070060F"/>
    <w:rsid w:val="0070068E"/>
    <w:rsid w:val="007007C5"/>
    <w:rsid w:val="00700927"/>
    <w:rsid w:val="00700AFE"/>
    <w:rsid w:val="00700CC5"/>
    <w:rsid w:val="00700E57"/>
    <w:rsid w:val="00701174"/>
    <w:rsid w:val="00701180"/>
    <w:rsid w:val="007012CB"/>
    <w:rsid w:val="007014F4"/>
    <w:rsid w:val="00701888"/>
    <w:rsid w:val="00701CA2"/>
    <w:rsid w:val="00701DE5"/>
    <w:rsid w:val="007020A1"/>
    <w:rsid w:val="007021C8"/>
    <w:rsid w:val="00702216"/>
    <w:rsid w:val="00702661"/>
    <w:rsid w:val="00702C8C"/>
    <w:rsid w:val="00702FA3"/>
    <w:rsid w:val="0070305D"/>
    <w:rsid w:val="0070314A"/>
    <w:rsid w:val="0070370A"/>
    <w:rsid w:val="007039CB"/>
    <w:rsid w:val="00703CCC"/>
    <w:rsid w:val="00703D37"/>
    <w:rsid w:val="00704307"/>
    <w:rsid w:val="00704348"/>
    <w:rsid w:val="007049EE"/>
    <w:rsid w:val="007049FC"/>
    <w:rsid w:val="00704AF0"/>
    <w:rsid w:val="00704B29"/>
    <w:rsid w:val="0070569F"/>
    <w:rsid w:val="00705A88"/>
    <w:rsid w:val="0070607A"/>
    <w:rsid w:val="0070618A"/>
    <w:rsid w:val="00706264"/>
    <w:rsid w:val="0070636A"/>
    <w:rsid w:val="0070668A"/>
    <w:rsid w:val="00706956"/>
    <w:rsid w:val="007069BE"/>
    <w:rsid w:val="00706B18"/>
    <w:rsid w:val="00706F80"/>
    <w:rsid w:val="00707382"/>
    <w:rsid w:val="00707398"/>
    <w:rsid w:val="007075D4"/>
    <w:rsid w:val="0070799A"/>
    <w:rsid w:val="00707FC1"/>
    <w:rsid w:val="0071008C"/>
    <w:rsid w:val="007105A9"/>
    <w:rsid w:val="00710860"/>
    <w:rsid w:val="007108DC"/>
    <w:rsid w:val="0071095D"/>
    <w:rsid w:val="00710F77"/>
    <w:rsid w:val="00711674"/>
    <w:rsid w:val="00711A59"/>
    <w:rsid w:val="00711C74"/>
    <w:rsid w:val="00712668"/>
    <w:rsid w:val="00712747"/>
    <w:rsid w:val="00712E90"/>
    <w:rsid w:val="00712F78"/>
    <w:rsid w:val="00713052"/>
    <w:rsid w:val="0071330D"/>
    <w:rsid w:val="00713394"/>
    <w:rsid w:val="0071363B"/>
    <w:rsid w:val="00713AFE"/>
    <w:rsid w:val="00713C09"/>
    <w:rsid w:val="00713D51"/>
    <w:rsid w:val="00713DBB"/>
    <w:rsid w:val="00713F19"/>
    <w:rsid w:val="00714000"/>
    <w:rsid w:val="007140C0"/>
    <w:rsid w:val="00714288"/>
    <w:rsid w:val="00714329"/>
    <w:rsid w:val="00714410"/>
    <w:rsid w:val="00714835"/>
    <w:rsid w:val="00714CE1"/>
    <w:rsid w:val="00714D6C"/>
    <w:rsid w:val="00714EFF"/>
    <w:rsid w:val="007155B9"/>
    <w:rsid w:val="007155C7"/>
    <w:rsid w:val="007156AB"/>
    <w:rsid w:val="0071585D"/>
    <w:rsid w:val="007159AB"/>
    <w:rsid w:val="00715A8F"/>
    <w:rsid w:val="007160C7"/>
    <w:rsid w:val="00716385"/>
    <w:rsid w:val="00716403"/>
    <w:rsid w:val="00716745"/>
    <w:rsid w:val="0071674C"/>
    <w:rsid w:val="00716825"/>
    <w:rsid w:val="00716855"/>
    <w:rsid w:val="00716884"/>
    <w:rsid w:val="00716956"/>
    <w:rsid w:val="00716C36"/>
    <w:rsid w:val="00716C8E"/>
    <w:rsid w:val="00716F65"/>
    <w:rsid w:val="0071707D"/>
    <w:rsid w:val="007174CC"/>
    <w:rsid w:val="007175F8"/>
    <w:rsid w:val="007178E8"/>
    <w:rsid w:val="00717C6E"/>
    <w:rsid w:val="0072008E"/>
    <w:rsid w:val="007201D1"/>
    <w:rsid w:val="0072053A"/>
    <w:rsid w:val="007205D3"/>
    <w:rsid w:val="0072066A"/>
    <w:rsid w:val="00720833"/>
    <w:rsid w:val="00720995"/>
    <w:rsid w:val="00720E42"/>
    <w:rsid w:val="00720E98"/>
    <w:rsid w:val="00720FA5"/>
    <w:rsid w:val="0072105C"/>
    <w:rsid w:val="007211C0"/>
    <w:rsid w:val="00721244"/>
    <w:rsid w:val="0072125E"/>
    <w:rsid w:val="0072134C"/>
    <w:rsid w:val="00721407"/>
    <w:rsid w:val="0072162C"/>
    <w:rsid w:val="00721701"/>
    <w:rsid w:val="00721E66"/>
    <w:rsid w:val="00721EB1"/>
    <w:rsid w:val="00721FBB"/>
    <w:rsid w:val="00722297"/>
    <w:rsid w:val="007229C4"/>
    <w:rsid w:val="00722A91"/>
    <w:rsid w:val="00722B0B"/>
    <w:rsid w:val="00722D45"/>
    <w:rsid w:val="0072327D"/>
    <w:rsid w:val="0072328C"/>
    <w:rsid w:val="007233AF"/>
    <w:rsid w:val="0072356D"/>
    <w:rsid w:val="0072361D"/>
    <w:rsid w:val="00723D0D"/>
    <w:rsid w:val="00724027"/>
    <w:rsid w:val="007240EE"/>
    <w:rsid w:val="00724361"/>
    <w:rsid w:val="007246FA"/>
    <w:rsid w:val="00724F09"/>
    <w:rsid w:val="00724F30"/>
    <w:rsid w:val="0072521F"/>
    <w:rsid w:val="0072522B"/>
    <w:rsid w:val="00725493"/>
    <w:rsid w:val="0072554B"/>
    <w:rsid w:val="00725899"/>
    <w:rsid w:val="007258E7"/>
    <w:rsid w:val="00725916"/>
    <w:rsid w:val="00725997"/>
    <w:rsid w:val="00725AD1"/>
    <w:rsid w:val="00725E28"/>
    <w:rsid w:val="00726C53"/>
    <w:rsid w:val="00726CD6"/>
    <w:rsid w:val="0072724A"/>
    <w:rsid w:val="00727310"/>
    <w:rsid w:val="00727888"/>
    <w:rsid w:val="007279A6"/>
    <w:rsid w:val="007279AA"/>
    <w:rsid w:val="00727B56"/>
    <w:rsid w:val="00727CAF"/>
    <w:rsid w:val="007302F2"/>
    <w:rsid w:val="00730993"/>
    <w:rsid w:val="00731327"/>
    <w:rsid w:val="00731548"/>
    <w:rsid w:val="0073158A"/>
    <w:rsid w:val="00731CFE"/>
    <w:rsid w:val="00731D16"/>
    <w:rsid w:val="00731E0F"/>
    <w:rsid w:val="007320C4"/>
    <w:rsid w:val="00732664"/>
    <w:rsid w:val="00732691"/>
    <w:rsid w:val="00732DEA"/>
    <w:rsid w:val="00732EF5"/>
    <w:rsid w:val="00732F1D"/>
    <w:rsid w:val="00733213"/>
    <w:rsid w:val="007334E0"/>
    <w:rsid w:val="00733BDB"/>
    <w:rsid w:val="00734006"/>
    <w:rsid w:val="007342CA"/>
    <w:rsid w:val="00734367"/>
    <w:rsid w:val="007343AE"/>
    <w:rsid w:val="007344F1"/>
    <w:rsid w:val="007345A0"/>
    <w:rsid w:val="0073490F"/>
    <w:rsid w:val="00734AAF"/>
    <w:rsid w:val="00734BDA"/>
    <w:rsid w:val="00734CD1"/>
    <w:rsid w:val="00734E02"/>
    <w:rsid w:val="0073519E"/>
    <w:rsid w:val="00735861"/>
    <w:rsid w:val="00736356"/>
    <w:rsid w:val="0073657B"/>
    <w:rsid w:val="0073660A"/>
    <w:rsid w:val="00736794"/>
    <w:rsid w:val="00736B78"/>
    <w:rsid w:val="00736BA2"/>
    <w:rsid w:val="00736D76"/>
    <w:rsid w:val="00736F77"/>
    <w:rsid w:val="0073766A"/>
    <w:rsid w:val="00737864"/>
    <w:rsid w:val="007378FF"/>
    <w:rsid w:val="00737BAF"/>
    <w:rsid w:val="00737D50"/>
    <w:rsid w:val="007400D0"/>
    <w:rsid w:val="007405B4"/>
    <w:rsid w:val="007406C4"/>
    <w:rsid w:val="007406E2"/>
    <w:rsid w:val="00740BBD"/>
    <w:rsid w:val="00740BF3"/>
    <w:rsid w:val="00740C04"/>
    <w:rsid w:val="00740C8F"/>
    <w:rsid w:val="007412D1"/>
    <w:rsid w:val="00741804"/>
    <w:rsid w:val="007418AA"/>
    <w:rsid w:val="00741A8A"/>
    <w:rsid w:val="00741B52"/>
    <w:rsid w:val="00741C3C"/>
    <w:rsid w:val="00741D48"/>
    <w:rsid w:val="00742118"/>
    <w:rsid w:val="00742160"/>
    <w:rsid w:val="0074239E"/>
    <w:rsid w:val="00742886"/>
    <w:rsid w:val="00742C38"/>
    <w:rsid w:val="00743418"/>
    <w:rsid w:val="007435DD"/>
    <w:rsid w:val="007439E3"/>
    <w:rsid w:val="00743B23"/>
    <w:rsid w:val="00743B69"/>
    <w:rsid w:val="00743D74"/>
    <w:rsid w:val="00743DFA"/>
    <w:rsid w:val="00743E23"/>
    <w:rsid w:val="00743EE5"/>
    <w:rsid w:val="00743F6E"/>
    <w:rsid w:val="00743FFD"/>
    <w:rsid w:val="0074407E"/>
    <w:rsid w:val="007442B9"/>
    <w:rsid w:val="007442EB"/>
    <w:rsid w:val="00744323"/>
    <w:rsid w:val="0074444D"/>
    <w:rsid w:val="00744496"/>
    <w:rsid w:val="00744755"/>
    <w:rsid w:val="00744765"/>
    <w:rsid w:val="00744774"/>
    <w:rsid w:val="00744ADF"/>
    <w:rsid w:val="00744E1B"/>
    <w:rsid w:val="00744E52"/>
    <w:rsid w:val="00744F0F"/>
    <w:rsid w:val="0074507B"/>
    <w:rsid w:val="0074527A"/>
    <w:rsid w:val="007458C1"/>
    <w:rsid w:val="00745AF9"/>
    <w:rsid w:val="00745DCB"/>
    <w:rsid w:val="00746065"/>
    <w:rsid w:val="00746071"/>
    <w:rsid w:val="007460F4"/>
    <w:rsid w:val="0074627B"/>
    <w:rsid w:val="0074639A"/>
    <w:rsid w:val="00746652"/>
    <w:rsid w:val="007466A6"/>
    <w:rsid w:val="00746750"/>
    <w:rsid w:val="00746790"/>
    <w:rsid w:val="00746823"/>
    <w:rsid w:val="00746994"/>
    <w:rsid w:val="00746C44"/>
    <w:rsid w:val="00746E74"/>
    <w:rsid w:val="00746F79"/>
    <w:rsid w:val="00746F91"/>
    <w:rsid w:val="00746FB6"/>
    <w:rsid w:val="00747038"/>
    <w:rsid w:val="0074724A"/>
    <w:rsid w:val="00747770"/>
    <w:rsid w:val="00747793"/>
    <w:rsid w:val="00747952"/>
    <w:rsid w:val="00747A7D"/>
    <w:rsid w:val="00747BB6"/>
    <w:rsid w:val="00747F92"/>
    <w:rsid w:val="0075017C"/>
    <w:rsid w:val="00750377"/>
    <w:rsid w:val="0075049E"/>
    <w:rsid w:val="00750746"/>
    <w:rsid w:val="007509DC"/>
    <w:rsid w:val="00750EFC"/>
    <w:rsid w:val="0075133E"/>
    <w:rsid w:val="00751472"/>
    <w:rsid w:val="00751551"/>
    <w:rsid w:val="0075174C"/>
    <w:rsid w:val="007518C8"/>
    <w:rsid w:val="007518EC"/>
    <w:rsid w:val="00751928"/>
    <w:rsid w:val="0075218F"/>
    <w:rsid w:val="007524CC"/>
    <w:rsid w:val="007528A6"/>
    <w:rsid w:val="00752CDB"/>
    <w:rsid w:val="00752F5E"/>
    <w:rsid w:val="00752F6B"/>
    <w:rsid w:val="00753195"/>
    <w:rsid w:val="0075337C"/>
    <w:rsid w:val="00753AEA"/>
    <w:rsid w:val="007540D8"/>
    <w:rsid w:val="007541BD"/>
    <w:rsid w:val="007541EE"/>
    <w:rsid w:val="007542B2"/>
    <w:rsid w:val="007545BE"/>
    <w:rsid w:val="00754677"/>
    <w:rsid w:val="00754B7B"/>
    <w:rsid w:val="00754B83"/>
    <w:rsid w:val="00754D37"/>
    <w:rsid w:val="00754D63"/>
    <w:rsid w:val="00754D92"/>
    <w:rsid w:val="00755134"/>
    <w:rsid w:val="0075538B"/>
    <w:rsid w:val="0075555C"/>
    <w:rsid w:val="007558DB"/>
    <w:rsid w:val="007559A7"/>
    <w:rsid w:val="00755E24"/>
    <w:rsid w:val="0075603B"/>
    <w:rsid w:val="00756058"/>
    <w:rsid w:val="00756161"/>
    <w:rsid w:val="007564FC"/>
    <w:rsid w:val="0075659F"/>
    <w:rsid w:val="00756B78"/>
    <w:rsid w:val="0075719C"/>
    <w:rsid w:val="0075727F"/>
    <w:rsid w:val="00757470"/>
    <w:rsid w:val="00757B33"/>
    <w:rsid w:val="00757C4D"/>
    <w:rsid w:val="00757CA1"/>
    <w:rsid w:val="0075ACB6"/>
    <w:rsid w:val="00760276"/>
    <w:rsid w:val="00760A01"/>
    <w:rsid w:val="0076122A"/>
    <w:rsid w:val="0076149E"/>
    <w:rsid w:val="00761668"/>
    <w:rsid w:val="00761BC1"/>
    <w:rsid w:val="00761E58"/>
    <w:rsid w:val="00762B3F"/>
    <w:rsid w:val="00762B65"/>
    <w:rsid w:val="00762CCA"/>
    <w:rsid w:val="00762CD7"/>
    <w:rsid w:val="00762D12"/>
    <w:rsid w:val="00763024"/>
    <w:rsid w:val="007631C0"/>
    <w:rsid w:val="007633CA"/>
    <w:rsid w:val="007634A0"/>
    <w:rsid w:val="007636B4"/>
    <w:rsid w:val="007636B5"/>
    <w:rsid w:val="007638FF"/>
    <w:rsid w:val="00763D19"/>
    <w:rsid w:val="00763F21"/>
    <w:rsid w:val="0076434C"/>
    <w:rsid w:val="00764DA1"/>
    <w:rsid w:val="00764E94"/>
    <w:rsid w:val="00764FBC"/>
    <w:rsid w:val="0076510A"/>
    <w:rsid w:val="0076532F"/>
    <w:rsid w:val="00765691"/>
    <w:rsid w:val="0076569E"/>
    <w:rsid w:val="0076585E"/>
    <w:rsid w:val="00765B23"/>
    <w:rsid w:val="00765E2C"/>
    <w:rsid w:val="00765F44"/>
    <w:rsid w:val="00766046"/>
    <w:rsid w:val="0076622D"/>
    <w:rsid w:val="00766991"/>
    <w:rsid w:val="00766BD1"/>
    <w:rsid w:val="00766CB5"/>
    <w:rsid w:val="00766E5E"/>
    <w:rsid w:val="00767265"/>
    <w:rsid w:val="007674E1"/>
    <w:rsid w:val="0076777E"/>
    <w:rsid w:val="007678F4"/>
    <w:rsid w:val="00767A53"/>
    <w:rsid w:val="00767D11"/>
    <w:rsid w:val="00767FC9"/>
    <w:rsid w:val="00770131"/>
    <w:rsid w:val="0077033C"/>
    <w:rsid w:val="00770661"/>
    <w:rsid w:val="00770725"/>
    <w:rsid w:val="00770A61"/>
    <w:rsid w:val="00770ABC"/>
    <w:rsid w:val="00770B3F"/>
    <w:rsid w:val="00770C15"/>
    <w:rsid w:val="00770C7C"/>
    <w:rsid w:val="007711B5"/>
    <w:rsid w:val="007711BE"/>
    <w:rsid w:val="0077121D"/>
    <w:rsid w:val="0077150C"/>
    <w:rsid w:val="00772239"/>
    <w:rsid w:val="007728D6"/>
    <w:rsid w:val="00772A20"/>
    <w:rsid w:val="00772A49"/>
    <w:rsid w:val="00772BEB"/>
    <w:rsid w:val="00772D3A"/>
    <w:rsid w:val="007730BC"/>
    <w:rsid w:val="00773156"/>
    <w:rsid w:val="00773428"/>
    <w:rsid w:val="007735E5"/>
    <w:rsid w:val="00773D31"/>
    <w:rsid w:val="00773D8A"/>
    <w:rsid w:val="007741F0"/>
    <w:rsid w:val="0077432A"/>
    <w:rsid w:val="007749B5"/>
    <w:rsid w:val="00774F0F"/>
    <w:rsid w:val="00775006"/>
    <w:rsid w:val="0077514B"/>
    <w:rsid w:val="0077520F"/>
    <w:rsid w:val="00775210"/>
    <w:rsid w:val="0077540D"/>
    <w:rsid w:val="007754D6"/>
    <w:rsid w:val="007755D0"/>
    <w:rsid w:val="007756C5"/>
    <w:rsid w:val="0077571F"/>
    <w:rsid w:val="0077584A"/>
    <w:rsid w:val="00775911"/>
    <w:rsid w:val="00775A05"/>
    <w:rsid w:val="00775D11"/>
    <w:rsid w:val="00775FD8"/>
    <w:rsid w:val="00776030"/>
    <w:rsid w:val="0077645B"/>
    <w:rsid w:val="0077669D"/>
    <w:rsid w:val="0077681D"/>
    <w:rsid w:val="00776829"/>
    <w:rsid w:val="007768DB"/>
    <w:rsid w:val="00776D82"/>
    <w:rsid w:val="00776E7A"/>
    <w:rsid w:val="00776E94"/>
    <w:rsid w:val="00776F80"/>
    <w:rsid w:val="0077705C"/>
    <w:rsid w:val="007770B6"/>
    <w:rsid w:val="007775D2"/>
    <w:rsid w:val="007775F7"/>
    <w:rsid w:val="00777664"/>
    <w:rsid w:val="007776DB"/>
    <w:rsid w:val="00777FB5"/>
    <w:rsid w:val="0078019C"/>
    <w:rsid w:val="007804CE"/>
    <w:rsid w:val="007805F6"/>
    <w:rsid w:val="00780622"/>
    <w:rsid w:val="0078076F"/>
    <w:rsid w:val="00780A25"/>
    <w:rsid w:val="00780B6A"/>
    <w:rsid w:val="00780BDB"/>
    <w:rsid w:val="00780E77"/>
    <w:rsid w:val="00780F60"/>
    <w:rsid w:val="00781071"/>
    <w:rsid w:val="00781265"/>
    <w:rsid w:val="007812D0"/>
    <w:rsid w:val="007813BD"/>
    <w:rsid w:val="007814C8"/>
    <w:rsid w:val="00781782"/>
    <w:rsid w:val="0078181B"/>
    <w:rsid w:val="00781B39"/>
    <w:rsid w:val="00781B9E"/>
    <w:rsid w:val="00781E6C"/>
    <w:rsid w:val="00781F8C"/>
    <w:rsid w:val="007820FE"/>
    <w:rsid w:val="007823A8"/>
    <w:rsid w:val="007827EA"/>
    <w:rsid w:val="00782BE9"/>
    <w:rsid w:val="00782C1D"/>
    <w:rsid w:val="00782CCB"/>
    <w:rsid w:val="00783872"/>
    <w:rsid w:val="00784371"/>
    <w:rsid w:val="00784471"/>
    <w:rsid w:val="00784645"/>
    <w:rsid w:val="007846F7"/>
    <w:rsid w:val="0078481C"/>
    <w:rsid w:val="00784A92"/>
    <w:rsid w:val="00784D32"/>
    <w:rsid w:val="00784DE9"/>
    <w:rsid w:val="007851C1"/>
    <w:rsid w:val="00785484"/>
    <w:rsid w:val="0078573F"/>
    <w:rsid w:val="00785B06"/>
    <w:rsid w:val="00785D49"/>
    <w:rsid w:val="00786059"/>
    <w:rsid w:val="007861A0"/>
    <w:rsid w:val="007867D3"/>
    <w:rsid w:val="00786BA5"/>
    <w:rsid w:val="00786BB0"/>
    <w:rsid w:val="00786C15"/>
    <w:rsid w:val="00786C30"/>
    <w:rsid w:val="007873AC"/>
    <w:rsid w:val="007874AC"/>
    <w:rsid w:val="00787728"/>
    <w:rsid w:val="00787993"/>
    <w:rsid w:val="00787ABF"/>
    <w:rsid w:val="00787F62"/>
    <w:rsid w:val="0078D9DD"/>
    <w:rsid w:val="00790172"/>
    <w:rsid w:val="0079020A"/>
    <w:rsid w:val="00790324"/>
    <w:rsid w:val="007903B2"/>
    <w:rsid w:val="0079049F"/>
    <w:rsid w:val="007904D9"/>
    <w:rsid w:val="007905E0"/>
    <w:rsid w:val="00790755"/>
    <w:rsid w:val="00790928"/>
    <w:rsid w:val="00791073"/>
    <w:rsid w:val="007914B7"/>
    <w:rsid w:val="007915F6"/>
    <w:rsid w:val="007919FA"/>
    <w:rsid w:val="00791B66"/>
    <w:rsid w:val="00791B7F"/>
    <w:rsid w:val="0079207F"/>
    <w:rsid w:val="00792088"/>
    <w:rsid w:val="0079233E"/>
    <w:rsid w:val="00792628"/>
    <w:rsid w:val="007927BE"/>
    <w:rsid w:val="00792A2F"/>
    <w:rsid w:val="00792B11"/>
    <w:rsid w:val="00792B61"/>
    <w:rsid w:val="00792E19"/>
    <w:rsid w:val="00792ED3"/>
    <w:rsid w:val="00792F0F"/>
    <w:rsid w:val="00793401"/>
    <w:rsid w:val="00793648"/>
    <w:rsid w:val="00793A94"/>
    <w:rsid w:val="00793F6E"/>
    <w:rsid w:val="00793FD3"/>
    <w:rsid w:val="007943B9"/>
    <w:rsid w:val="0079488C"/>
    <w:rsid w:val="00794969"/>
    <w:rsid w:val="00795058"/>
    <w:rsid w:val="00795293"/>
    <w:rsid w:val="00795304"/>
    <w:rsid w:val="0079575E"/>
    <w:rsid w:val="00795763"/>
    <w:rsid w:val="0079590B"/>
    <w:rsid w:val="00795A3A"/>
    <w:rsid w:val="00795AFE"/>
    <w:rsid w:val="00795C86"/>
    <w:rsid w:val="00795DA9"/>
    <w:rsid w:val="007960EE"/>
    <w:rsid w:val="0079611B"/>
    <w:rsid w:val="00796381"/>
    <w:rsid w:val="007964B7"/>
    <w:rsid w:val="00796C75"/>
    <w:rsid w:val="00797012"/>
    <w:rsid w:val="00797105"/>
    <w:rsid w:val="007971C9"/>
    <w:rsid w:val="007975D9"/>
    <w:rsid w:val="00797753"/>
    <w:rsid w:val="0079796E"/>
    <w:rsid w:val="007A00D6"/>
    <w:rsid w:val="007A00DC"/>
    <w:rsid w:val="007A021D"/>
    <w:rsid w:val="007A060B"/>
    <w:rsid w:val="007A0858"/>
    <w:rsid w:val="007A0914"/>
    <w:rsid w:val="007A0A9F"/>
    <w:rsid w:val="007A0D78"/>
    <w:rsid w:val="007A11E5"/>
    <w:rsid w:val="007A1249"/>
    <w:rsid w:val="007A1475"/>
    <w:rsid w:val="007A155E"/>
    <w:rsid w:val="007A16A5"/>
    <w:rsid w:val="007A1A1F"/>
    <w:rsid w:val="007A1C6F"/>
    <w:rsid w:val="007A2206"/>
    <w:rsid w:val="007A28E7"/>
    <w:rsid w:val="007A291D"/>
    <w:rsid w:val="007A2B2A"/>
    <w:rsid w:val="007A2D2C"/>
    <w:rsid w:val="007A2D48"/>
    <w:rsid w:val="007A2F33"/>
    <w:rsid w:val="007A339F"/>
    <w:rsid w:val="007A345E"/>
    <w:rsid w:val="007A3567"/>
    <w:rsid w:val="007A372E"/>
    <w:rsid w:val="007A38C4"/>
    <w:rsid w:val="007A3EFD"/>
    <w:rsid w:val="007A44B4"/>
    <w:rsid w:val="007A472E"/>
    <w:rsid w:val="007A49E9"/>
    <w:rsid w:val="007A49FC"/>
    <w:rsid w:val="007A4A95"/>
    <w:rsid w:val="007A4B79"/>
    <w:rsid w:val="007A4FD0"/>
    <w:rsid w:val="007A4FEC"/>
    <w:rsid w:val="007A5674"/>
    <w:rsid w:val="007A5B4C"/>
    <w:rsid w:val="007A5D88"/>
    <w:rsid w:val="007A5DAB"/>
    <w:rsid w:val="007A5F1B"/>
    <w:rsid w:val="007A60AF"/>
    <w:rsid w:val="007A6280"/>
    <w:rsid w:val="007A628F"/>
    <w:rsid w:val="007A63A4"/>
    <w:rsid w:val="007A6488"/>
    <w:rsid w:val="007A6639"/>
    <w:rsid w:val="007A6B3B"/>
    <w:rsid w:val="007A6E07"/>
    <w:rsid w:val="007A6F97"/>
    <w:rsid w:val="007A6FBF"/>
    <w:rsid w:val="007A7666"/>
    <w:rsid w:val="007A769F"/>
    <w:rsid w:val="007A77D8"/>
    <w:rsid w:val="007A79B9"/>
    <w:rsid w:val="007A79C1"/>
    <w:rsid w:val="007A7B85"/>
    <w:rsid w:val="007A7D73"/>
    <w:rsid w:val="007B026E"/>
    <w:rsid w:val="007B02F5"/>
    <w:rsid w:val="007B0747"/>
    <w:rsid w:val="007B0996"/>
    <w:rsid w:val="007B0C04"/>
    <w:rsid w:val="007B0CBC"/>
    <w:rsid w:val="007B15B7"/>
    <w:rsid w:val="007B15BC"/>
    <w:rsid w:val="007B1800"/>
    <w:rsid w:val="007B1872"/>
    <w:rsid w:val="007B18F9"/>
    <w:rsid w:val="007B1BD0"/>
    <w:rsid w:val="007B1C9E"/>
    <w:rsid w:val="007B1DB4"/>
    <w:rsid w:val="007B23CC"/>
    <w:rsid w:val="007B24AC"/>
    <w:rsid w:val="007B267E"/>
    <w:rsid w:val="007B26A3"/>
    <w:rsid w:val="007B2942"/>
    <w:rsid w:val="007B2A92"/>
    <w:rsid w:val="007B2F48"/>
    <w:rsid w:val="007B343D"/>
    <w:rsid w:val="007B3489"/>
    <w:rsid w:val="007B3536"/>
    <w:rsid w:val="007B3629"/>
    <w:rsid w:val="007B3968"/>
    <w:rsid w:val="007B397C"/>
    <w:rsid w:val="007B3B98"/>
    <w:rsid w:val="007B3F12"/>
    <w:rsid w:val="007B4189"/>
    <w:rsid w:val="007B46EF"/>
    <w:rsid w:val="007B4A3D"/>
    <w:rsid w:val="007B4C20"/>
    <w:rsid w:val="007B4E80"/>
    <w:rsid w:val="007B50AD"/>
    <w:rsid w:val="007B53E5"/>
    <w:rsid w:val="007B5544"/>
    <w:rsid w:val="007B5B0A"/>
    <w:rsid w:val="007B5DD9"/>
    <w:rsid w:val="007B5E44"/>
    <w:rsid w:val="007B5F47"/>
    <w:rsid w:val="007B5F84"/>
    <w:rsid w:val="007B60D1"/>
    <w:rsid w:val="007B636D"/>
    <w:rsid w:val="007B658A"/>
    <w:rsid w:val="007B6927"/>
    <w:rsid w:val="007B6AB1"/>
    <w:rsid w:val="007B6B4C"/>
    <w:rsid w:val="007B6D83"/>
    <w:rsid w:val="007B7018"/>
    <w:rsid w:val="007B703F"/>
    <w:rsid w:val="007B70B4"/>
    <w:rsid w:val="007B71EB"/>
    <w:rsid w:val="007B73B6"/>
    <w:rsid w:val="007B759D"/>
    <w:rsid w:val="007B7A1E"/>
    <w:rsid w:val="007B7F7E"/>
    <w:rsid w:val="007C016F"/>
    <w:rsid w:val="007C025C"/>
    <w:rsid w:val="007C0335"/>
    <w:rsid w:val="007C0508"/>
    <w:rsid w:val="007C07F1"/>
    <w:rsid w:val="007C0823"/>
    <w:rsid w:val="007C08CC"/>
    <w:rsid w:val="007C0BC5"/>
    <w:rsid w:val="007C0D78"/>
    <w:rsid w:val="007C0EDD"/>
    <w:rsid w:val="007C1669"/>
    <w:rsid w:val="007C19B6"/>
    <w:rsid w:val="007C1BCF"/>
    <w:rsid w:val="007C2434"/>
    <w:rsid w:val="007C24B2"/>
    <w:rsid w:val="007C2702"/>
    <w:rsid w:val="007C2814"/>
    <w:rsid w:val="007C2C70"/>
    <w:rsid w:val="007C2C82"/>
    <w:rsid w:val="007C2DB3"/>
    <w:rsid w:val="007C2E05"/>
    <w:rsid w:val="007C2FE8"/>
    <w:rsid w:val="007C31E9"/>
    <w:rsid w:val="007C3237"/>
    <w:rsid w:val="007C3543"/>
    <w:rsid w:val="007C3550"/>
    <w:rsid w:val="007C36B7"/>
    <w:rsid w:val="007C3748"/>
    <w:rsid w:val="007C3863"/>
    <w:rsid w:val="007C38A0"/>
    <w:rsid w:val="007C3EAC"/>
    <w:rsid w:val="007C4079"/>
    <w:rsid w:val="007C418F"/>
    <w:rsid w:val="007C48A3"/>
    <w:rsid w:val="007C4F3B"/>
    <w:rsid w:val="007C51C8"/>
    <w:rsid w:val="007C51FE"/>
    <w:rsid w:val="007C528F"/>
    <w:rsid w:val="007C54D4"/>
    <w:rsid w:val="007C5561"/>
    <w:rsid w:val="007C5562"/>
    <w:rsid w:val="007C59D7"/>
    <w:rsid w:val="007C5BAD"/>
    <w:rsid w:val="007C5EED"/>
    <w:rsid w:val="007C5F38"/>
    <w:rsid w:val="007C5FA5"/>
    <w:rsid w:val="007C5FB0"/>
    <w:rsid w:val="007C6048"/>
    <w:rsid w:val="007C6791"/>
    <w:rsid w:val="007C67E0"/>
    <w:rsid w:val="007C6A8E"/>
    <w:rsid w:val="007C6AC4"/>
    <w:rsid w:val="007C6BEA"/>
    <w:rsid w:val="007C6CA4"/>
    <w:rsid w:val="007C6F82"/>
    <w:rsid w:val="007C7327"/>
    <w:rsid w:val="007C7451"/>
    <w:rsid w:val="007C7883"/>
    <w:rsid w:val="007C7993"/>
    <w:rsid w:val="007C7AE6"/>
    <w:rsid w:val="007C7B2F"/>
    <w:rsid w:val="007C7EF9"/>
    <w:rsid w:val="007D0063"/>
    <w:rsid w:val="007D0313"/>
    <w:rsid w:val="007D0C56"/>
    <w:rsid w:val="007D0EC5"/>
    <w:rsid w:val="007D101F"/>
    <w:rsid w:val="007D1175"/>
    <w:rsid w:val="007D1359"/>
    <w:rsid w:val="007D16F6"/>
    <w:rsid w:val="007D18D4"/>
    <w:rsid w:val="007D1D04"/>
    <w:rsid w:val="007D25FF"/>
    <w:rsid w:val="007D267A"/>
    <w:rsid w:val="007D27AA"/>
    <w:rsid w:val="007D280D"/>
    <w:rsid w:val="007D2A76"/>
    <w:rsid w:val="007D31ED"/>
    <w:rsid w:val="007D3711"/>
    <w:rsid w:val="007D3BFE"/>
    <w:rsid w:val="007D3CF0"/>
    <w:rsid w:val="007D40E3"/>
    <w:rsid w:val="007D4684"/>
    <w:rsid w:val="007D4932"/>
    <w:rsid w:val="007D4A47"/>
    <w:rsid w:val="007D4AFE"/>
    <w:rsid w:val="007D5041"/>
    <w:rsid w:val="007D52CC"/>
    <w:rsid w:val="007D52FE"/>
    <w:rsid w:val="007D5657"/>
    <w:rsid w:val="007D57B3"/>
    <w:rsid w:val="007D5907"/>
    <w:rsid w:val="007D5A72"/>
    <w:rsid w:val="007D5DE7"/>
    <w:rsid w:val="007D5F0B"/>
    <w:rsid w:val="007D6323"/>
    <w:rsid w:val="007D635E"/>
    <w:rsid w:val="007D6B74"/>
    <w:rsid w:val="007D6D1F"/>
    <w:rsid w:val="007D759E"/>
    <w:rsid w:val="007D75E3"/>
    <w:rsid w:val="007D7601"/>
    <w:rsid w:val="007D792E"/>
    <w:rsid w:val="007D7AFB"/>
    <w:rsid w:val="007D7C51"/>
    <w:rsid w:val="007D7CDB"/>
    <w:rsid w:val="007D7E2A"/>
    <w:rsid w:val="007D7EAB"/>
    <w:rsid w:val="007D7F41"/>
    <w:rsid w:val="007E0231"/>
    <w:rsid w:val="007E0400"/>
    <w:rsid w:val="007E082C"/>
    <w:rsid w:val="007E098A"/>
    <w:rsid w:val="007E0F97"/>
    <w:rsid w:val="007E0FEC"/>
    <w:rsid w:val="007E111D"/>
    <w:rsid w:val="007E16A3"/>
    <w:rsid w:val="007E1898"/>
    <w:rsid w:val="007E1B04"/>
    <w:rsid w:val="007E20BE"/>
    <w:rsid w:val="007E24E9"/>
    <w:rsid w:val="007E24F4"/>
    <w:rsid w:val="007E2639"/>
    <w:rsid w:val="007E273D"/>
    <w:rsid w:val="007E2796"/>
    <w:rsid w:val="007E287D"/>
    <w:rsid w:val="007E2ACC"/>
    <w:rsid w:val="007E2B66"/>
    <w:rsid w:val="007E2B9F"/>
    <w:rsid w:val="007E2CB6"/>
    <w:rsid w:val="007E2EBB"/>
    <w:rsid w:val="007E32C7"/>
    <w:rsid w:val="007E3E7B"/>
    <w:rsid w:val="007E3FBD"/>
    <w:rsid w:val="007E40AF"/>
    <w:rsid w:val="007E41D4"/>
    <w:rsid w:val="007E4356"/>
    <w:rsid w:val="007E4495"/>
    <w:rsid w:val="007E468E"/>
    <w:rsid w:val="007E499C"/>
    <w:rsid w:val="007E59A5"/>
    <w:rsid w:val="007E61BC"/>
    <w:rsid w:val="007E62C9"/>
    <w:rsid w:val="007E6307"/>
    <w:rsid w:val="007E6577"/>
    <w:rsid w:val="007E671E"/>
    <w:rsid w:val="007E6A26"/>
    <w:rsid w:val="007E6A2E"/>
    <w:rsid w:val="007E6DA3"/>
    <w:rsid w:val="007E6E82"/>
    <w:rsid w:val="007E6ED1"/>
    <w:rsid w:val="007E6EEE"/>
    <w:rsid w:val="007E724A"/>
    <w:rsid w:val="007E7271"/>
    <w:rsid w:val="007E72C7"/>
    <w:rsid w:val="007E7C40"/>
    <w:rsid w:val="007E7C6E"/>
    <w:rsid w:val="007E7E77"/>
    <w:rsid w:val="007F0030"/>
    <w:rsid w:val="007F0105"/>
    <w:rsid w:val="007F0337"/>
    <w:rsid w:val="007F033E"/>
    <w:rsid w:val="007F037F"/>
    <w:rsid w:val="007F03A7"/>
    <w:rsid w:val="007F06FD"/>
    <w:rsid w:val="007F07E1"/>
    <w:rsid w:val="007F0CC8"/>
    <w:rsid w:val="007F0E28"/>
    <w:rsid w:val="007F0E6D"/>
    <w:rsid w:val="007F0F91"/>
    <w:rsid w:val="007F1357"/>
    <w:rsid w:val="007F137B"/>
    <w:rsid w:val="007F158D"/>
    <w:rsid w:val="007F1B86"/>
    <w:rsid w:val="007F1BD1"/>
    <w:rsid w:val="007F1D2D"/>
    <w:rsid w:val="007F1E30"/>
    <w:rsid w:val="007F207C"/>
    <w:rsid w:val="007F2547"/>
    <w:rsid w:val="007F262F"/>
    <w:rsid w:val="007F263A"/>
    <w:rsid w:val="007F2939"/>
    <w:rsid w:val="007F2B1D"/>
    <w:rsid w:val="007F2E31"/>
    <w:rsid w:val="007F312E"/>
    <w:rsid w:val="007F329F"/>
    <w:rsid w:val="007F3500"/>
    <w:rsid w:val="007F38D8"/>
    <w:rsid w:val="007F3ABF"/>
    <w:rsid w:val="007F3C4A"/>
    <w:rsid w:val="007F3C66"/>
    <w:rsid w:val="007F3EE4"/>
    <w:rsid w:val="007F4155"/>
    <w:rsid w:val="007F43C5"/>
    <w:rsid w:val="007F483A"/>
    <w:rsid w:val="007F4937"/>
    <w:rsid w:val="007F49EF"/>
    <w:rsid w:val="007F4A01"/>
    <w:rsid w:val="007F4DB5"/>
    <w:rsid w:val="007F4FA3"/>
    <w:rsid w:val="007F521D"/>
    <w:rsid w:val="007F5298"/>
    <w:rsid w:val="007F5553"/>
    <w:rsid w:val="007F5788"/>
    <w:rsid w:val="007F582C"/>
    <w:rsid w:val="007F59C8"/>
    <w:rsid w:val="007F5A43"/>
    <w:rsid w:val="007F5B4A"/>
    <w:rsid w:val="007F5CD0"/>
    <w:rsid w:val="007F5E31"/>
    <w:rsid w:val="007F5EC6"/>
    <w:rsid w:val="007F63B1"/>
    <w:rsid w:val="007F6738"/>
    <w:rsid w:val="007F6D4A"/>
    <w:rsid w:val="007F6E6B"/>
    <w:rsid w:val="007F6F6C"/>
    <w:rsid w:val="007F7315"/>
    <w:rsid w:val="007F7773"/>
    <w:rsid w:val="007F7958"/>
    <w:rsid w:val="007F7AE8"/>
    <w:rsid w:val="007F7BFA"/>
    <w:rsid w:val="007F7C64"/>
    <w:rsid w:val="00800001"/>
    <w:rsid w:val="0080011C"/>
    <w:rsid w:val="00800206"/>
    <w:rsid w:val="00800253"/>
    <w:rsid w:val="008002E7"/>
    <w:rsid w:val="0080034D"/>
    <w:rsid w:val="0080064B"/>
    <w:rsid w:val="0080081C"/>
    <w:rsid w:val="00801525"/>
    <w:rsid w:val="0080164A"/>
    <w:rsid w:val="0080167D"/>
    <w:rsid w:val="00801B1C"/>
    <w:rsid w:val="00801BE3"/>
    <w:rsid w:val="00801C94"/>
    <w:rsid w:val="008023A0"/>
    <w:rsid w:val="00802491"/>
    <w:rsid w:val="00802BE7"/>
    <w:rsid w:val="00802E43"/>
    <w:rsid w:val="00802FD3"/>
    <w:rsid w:val="008031E5"/>
    <w:rsid w:val="008032BA"/>
    <w:rsid w:val="008035EB"/>
    <w:rsid w:val="00803611"/>
    <w:rsid w:val="00803694"/>
    <w:rsid w:val="00803941"/>
    <w:rsid w:val="00803B40"/>
    <w:rsid w:val="008040A2"/>
    <w:rsid w:val="008040C3"/>
    <w:rsid w:val="008041D6"/>
    <w:rsid w:val="008045ED"/>
    <w:rsid w:val="008048CE"/>
    <w:rsid w:val="00804A8F"/>
    <w:rsid w:val="00804AB7"/>
    <w:rsid w:val="00804CB6"/>
    <w:rsid w:val="0080505B"/>
    <w:rsid w:val="00805601"/>
    <w:rsid w:val="008058AC"/>
    <w:rsid w:val="00805AED"/>
    <w:rsid w:val="00805B0E"/>
    <w:rsid w:val="00805FC0"/>
    <w:rsid w:val="008060E1"/>
    <w:rsid w:val="0080610F"/>
    <w:rsid w:val="00806201"/>
    <w:rsid w:val="00806AF8"/>
    <w:rsid w:val="00806D18"/>
    <w:rsid w:val="00807230"/>
    <w:rsid w:val="0080768E"/>
    <w:rsid w:val="0080782B"/>
    <w:rsid w:val="00807A3B"/>
    <w:rsid w:val="00807E29"/>
    <w:rsid w:val="00807E8B"/>
    <w:rsid w:val="0081001A"/>
    <w:rsid w:val="00810310"/>
    <w:rsid w:val="00810571"/>
    <w:rsid w:val="008105E3"/>
    <w:rsid w:val="008105FE"/>
    <w:rsid w:val="00810813"/>
    <w:rsid w:val="0081087D"/>
    <w:rsid w:val="00810909"/>
    <w:rsid w:val="00810A1C"/>
    <w:rsid w:val="00810C9A"/>
    <w:rsid w:val="0081112C"/>
    <w:rsid w:val="008111A1"/>
    <w:rsid w:val="0081126D"/>
    <w:rsid w:val="008113E5"/>
    <w:rsid w:val="00811858"/>
    <w:rsid w:val="00811F3B"/>
    <w:rsid w:val="00811FFA"/>
    <w:rsid w:val="0081216D"/>
    <w:rsid w:val="008126FA"/>
    <w:rsid w:val="008128A4"/>
    <w:rsid w:val="0081299C"/>
    <w:rsid w:val="00812BE0"/>
    <w:rsid w:val="00812EB9"/>
    <w:rsid w:val="00812FC6"/>
    <w:rsid w:val="008131A8"/>
    <w:rsid w:val="00813390"/>
    <w:rsid w:val="0081354C"/>
    <w:rsid w:val="0081370B"/>
    <w:rsid w:val="00813CCD"/>
    <w:rsid w:val="00813EE8"/>
    <w:rsid w:val="00814069"/>
    <w:rsid w:val="008142FD"/>
    <w:rsid w:val="008145AC"/>
    <w:rsid w:val="0081488D"/>
    <w:rsid w:val="00814BCB"/>
    <w:rsid w:val="00814F31"/>
    <w:rsid w:val="008152A8"/>
    <w:rsid w:val="008153A4"/>
    <w:rsid w:val="00815537"/>
    <w:rsid w:val="00815D1C"/>
    <w:rsid w:val="008164FA"/>
    <w:rsid w:val="008168C5"/>
    <w:rsid w:val="008169D6"/>
    <w:rsid w:val="008173E3"/>
    <w:rsid w:val="008174C1"/>
    <w:rsid w:val="00817524"/>
    <w:rsid w:val="008175C5"/>
    <w:rsid w:val="008179E5"/>
    <w:rsid w:val="00817A1F"/>
    <w:rsid w:val="0082043E"/>
    <w:rsid w:val="00820613"/>
    <w:rsid w:val="00820755"/>
    <w:rsid w:val="0082083B"/>
    <w:rsid w:val="00820D18"/>
    <w:rsid w:val="0082115B"/>
    <w:rsid w:val="008214CE"/>
    <w:rsid w:val="0082161E"/>
    <w:rsid w:val="00821904"/>
    <w:rsid w:val="00821B33"/>
    <w:rsid w:val="00821BF2"/>
    <w:rsid w:val="00821C75"/>
    <w:rsid w:val="00822071"/>
    <w:rsid w:val="008223FF"/>
    <w:rsid w:val="00822411"/>
    <w:rsid w:val="00822470"/>
    <w:rsid w:val="008224AC"/>
    <w:rsid w:val="0082264E"/>
    <w:rsid w:val="00822665"/>
    <w:rsid w:val="008227EA"/>
    <w:rsid w:val="00822B47"/>
    <w:rsid w:val="0082303B"/>
    <w:rsid w:val="008234BB"/>
    <w:rsid w:val="0082367C"/>
    <w:rsid w:val="0082369A"/>
    <w:rsid w:val="00823808"/>
    <w:rsid w:val="0082380E"/>
    <w:rsid w:val="00824514"/>
    <w:rsid w:val="008248AE"/>
    <w:rsid w:val="00824AB3"/>
    <w:rsid w:val="00824E59"/>
    <w:rsid w:val="00824ED4"/>
    <w:rsid w:val="00825432"/>
    <w:rsid w:val="00825891"/>
    <w:rsid w:val="00825D59"/>
    <w:rsid w:val="00825D74"/>
    <w:rsid w:val="00825E7F"/>
    <w:rsid w:val="00825EFF"/>
    <w:rsid w:val="00825FDC"/>
    <w:rsid w:val="0082679B"/>
    <w:rsid w:val="00826A31"/>
    <w:rsid w:val="00826C4C"/>
    <w:rsid w:val="00826EEB"/>
    <w:rsid w:val="00826F70"/>
    <w:rsid w:val="0082759E"/>
    <w:rsid w:val="0082771F"/>
    <w:rsid w:val="008278C7"/>
    <w:rsid w:val="008279CE"/>
    <w:rsid w:val="00830051"/>
    <w:rsid w:val="00830C8A"/>
    <w:rsid w:val="00830F69"/>
    <w:rsid w:val="00831952"/>
    <w:rsid w:val="00831CF4"/>
    <w:rsid w:val="00831F6F"/>
    <w:rsid w:val="008320B1"/>
    <w:rsid w:val="0083259A"/>
    <w:rsid w:val="008325C8"/>
    <w:rsid w:val="00832676"/>
    <w:rsid w:val="00832B24"/>
    <w:rsid w:val="00833286"/>
    <w:rsid w:val="00833313"/>
    <w:rsid w:val="00833669"/>
    <w:rsid w:val="008338F4"/>
    <w:rsid w:val="00833A74"/>
    <w:rsid w:val="00833B40"/>
    <w:rsid w:val="00833C35"/>
    <w:rsid w:val="00833D62"/>
    <w:rsid w:val="00833E79"/>
    <w:rsid w:val="008340D6"/>
    <w:rsid w:val="008346F8"/>
    <w:rsid w:val="00834943"/>
    <w:rsid w:val="00834F31"/>
    <w:rsid w:val="00835259"/>
    <w:rsid w:val="008352D3"/>
    <w:rsid w:val="00835542"/>
    <w:rsid w:val="00835562"/>
    <w:rsid w:val="008358B8"/>
    <w:rsid w:val="00835B25"/>
    <w:rsid w:val="00835BEF"/>
    <w:rsid w:val="0083611A"/>
    <w:rsid w:val="0083618E"/>
    <w:rsid w:val="008363A8"/>
    <w:rsid w:val="0083696E"/>
    <w:rsid w:val="00836BD8"/>
    <w:rsid w:val="00836C10"/>
    <w:rsid w:val="00836DB5"/>
    <w:rsid w:val="00836EBC"/>
    <w:rsid w:val="00837178"/>
    <w:rsid w:val="00837A1E"/>
    <w:rsid w:val="00837B84"/>
    <w:rsid w:val="00837E11"/>
    <w:rsid w:val="00837F31"/>
    <w:rsid w:val="0084029F"/>
    <w:rsid w:val="00840326"/>
    <w:rsid w:val="00840416"/>
    <w:rsid w:val="008404E7"/>
    <w:rsid w:val="00840673"/>
    <w:rsid w:val="008406C6"/>
    <w:rsid w:val="0084070C"/>
    <w:rsid w:val="00840CBB"/>
    <w:rsid w:val="00840CCC"/>
    <w:rsid w:val="00840D76"/>
    <w:rsid w:val="00840EEF"/>
    <w:rsid w:val="008410AB"/>
    <w:rsid w:val="00841203"/>
    <w:rsid w:val="008413D7"/>
    <w:rsid w:val="00841B74"/>
    <w:rsid w:val="00841C56"/>
    <w:rsid w:val="00841E03"/>
    <w:rsid w:val="00841F81"/>
    <w:rsid w:val="00841FB7"/>
    <w:rsid w:val="00841FE3"/>
    <w:rsid w:val="008420A6"/>
    <w:rsid w:val="0084211E"/>
    <w:rsid w:val="00842174"/>
    <w:rsid w:val="008422F0"/>
    <w:rsid w:val="00842309"/>
    <w:rsid w:val="008426EC"/>
    <w:rsid w:val="008428DE"/>
    <w:rsid w:val="00842D86"/>
    <w:rsid w:val="00843200"/>
    <w:rsid w:val="008432EB"/>
    <w:rsid w:val="00843445"/>
    <w:rsid w:val="00843462"/>
    <w:rsid w:val="00843531"/>
    <w:rsid w:val="00843982"/>
    <w:rsid w:val="00844111"/>
    <w:rsid w:val="00844928"/>
    <w:rsid w:val="00844E41"/>
    <w:rsid w:val="008450DC"/>
    <w:rsid w:val="008455A9"/>
    <w:rsid w:val="00845EEC"/>
    <w:rsid w:val="00845F78"/>
    <w:rsid w:val="008460A3"/>
    <w:rsid w:val="008460C4"/>
    <w:rsid w:val="008460D6"/>
    <w:rsid w:val="00846515"/>
    <w:rsid w:val="008466DC"/>
    <w:rsid w:val="00846B5E"/>
    <w:rsid w:val="00846C16"/>
    <w:rsid w:val="00846DE4"/>
    <w:rsid w:val="00846EEF"/>
    <w:rsid w:val="00847420"/>
    <w:rsid w:val="0084775B"/>
    <w:rsid w:val="0084796C"/>
    <w:rsid w:val="00847AD0"/>
    <w:rsid w:val="0085007A"/>
    <w:rsid w:val="0085064E"/>
    <w:rsid w:val="00850816"/>
    <w:rsid w:val="00851074"/>
    <w:rsid w:val="00851278"/>
    <w:rsid w:val="008514FE"/>
    <w:rsid w:val="0085152C"/>
    <w:rsid w:val="00851A2A"/>
    <w:rsid w:val="00851A64"/>
    <w:rsid w:val="008522EA"/>
    <w:rsid w:val="008523DA"/>
    <w:rsid w:val="00852656"/>
    <w:rsid w:val="008526D7"/>
    <w:rsid w:val="008528D6"/>
    <w:rsid w:val="00852C39"/>
    <w:rsid w:val="00852C75"/>
    <w:rsid w:val="00852D01"/>
    <w:rsid w:val="0085304C"/>
    <w:rsid w:val="008534BB"/>
    <w:rsid w:val="008535CF"/>
    <w:rsid w:val="00853BE8"/>
    <w:rsid w:val="00853C6E"/>
    <w:rsid w:val="00853D4D"/>
    <w:rsid w:val="00853F61"/>
    <w:rsid w:val="00853FE3"/>
    <w:rsid w:val="00854077"/>
    <w:rsid w:val="008540F0"/>
    <w:rsid w:val="00854176"/>
    <w:rsid w:val="008541A2"/>
    <w:rsid w:val="00854B29"/>
    <w:rsid w:val="00854E35"/>
    <w:rsid w:val="0085546A"/>
    <w:rsid w:val="008554C8"/>
    <w:rsid w:val="00855599"/>
    <w:rsid w:val="00855913"/>
    <w:rsid w:val="00855BFF"/>
    <w:rsid w:val="00855C59"/>
    <w:rsid w:val="00855D69"/>
    <w:rsid w:val="00856115"/>
    <w:rsid w:val="00856156"/>
    <w:rsid w:val="0085621B"/>
    <w:rsid w:val="008563FB"/>
    <w:rsid w:val="00856909"/>
    <w:rsid w:val="00856967"/>
    <w:rsid w:val="00856DD7"/>
    <w:rsid w:val="00856E9A"/>
    <w:rsid w:val="00857145"/>
    <w:rsid w:val="008574E0"/>
    <w:rsid w:val="00857505"/>
    <w:rsid w:val="0085754F"/>
    <w:rsid w:val="0085789C"/>
    <w:rsid w:val="00857A53"/>
    <w:rsid w:val="00857AE7"/>
    <w:rsid w:val="00857B9A"/>
    <w:rsid w:val="00857C84"/>
    <w:rsid w:val="00857F6D"/>
    <w:rsid w:val="008600C6"/>
    <w:rsid w:val="00860166"/>
    <w:rsid w:val="0086016A"/>
    <w:rsid w:val="0086043A"/>
    <w:rsid w:val="00860A33"/>
    <w:rsid w:val="00860C11"/>
    <w:rsid w:val="00860C62"/>
    <w:rsid w:val="00861879"/>
    <w:rsid w:val="00861B2E"/>
    <w:rsid w:val="00861CC3"/>
    <w:rsid w:val="00861D04"/>
    <w:rsid w:val="00861FF1"/>
    <w:rsid w:val="008622E1"/>
    <w:rsid w:val="008627C1"/>
    <w:rsid w:val="0086280B"/>
    <w:rsid w:val="00862B8F"/>
    <w:rsid w:val="00862DFD"/>
    <w:rsid w:val="00862E85"/>
    <w:rsid w:val="00863036"/>
    <w:rsid w:val="00863520"/>
    <w:rsid w:val="00863884"/>
    <w:rsid w:val="00863927"/>
    <w:rsid w:val="00863942"/>
    <w:rsid w:val="008639D4"/>
    <w:rsid w:val="00863A59"/>
    <w:rsid w:val="00863C3E"/>
    <w:rsid w:val="00863C69"/>
    <w:rsid w:val="00863CEE"/>
    <w:rsid w:val="00863DDB"/>
    <w:rsid w:val="00863F18"/>
    <w:rsid w:val="00863FE5"/>
    <w:rsid w:val="00864113"/>
    <w:rsid w:val="00864784"/>
    <w:rsid w:val="008647AD"/>
    <w:rsid w:val="00864B05"/>
    <w:rsid w:val="00864B88"/>
    <w:rsid w:val="00864F1A"/>
    <w:rsid w:val="00864F24"/>
    <w:rsid w:val="00865127"/>
    <w:rsid w:val="008654BE"/>
    <w:rsid w:val="00865946"/>
    <w:rsid w:val="008659B3"/>
    <w:rsid w:val="008659D2"/>
    <w:rsid w:val="00865D10"/>
    <w:rsid w:val="00865E21"/>
    <w:rsid w:val="0086606C"/>
    <w:rsid w:val="00866443"/>
    <w:rsid w:val="00866553"/>
    <w:rsid w:val="00866697"/>
    <w:rsid w:val="0086676F"/>
    <w:rsid w:val="008667A0"/>
    <w:rsid w:val="0086693C"/>
    <w:rsid w:val="008669F3"/>
    <w:rsid w:val="00866A96"/>
    <w:rsid w:val="00866C15"/>
    <w:rsid w:val="00866EE8"/>
    <w:rsid w:val="00866F67"/>
    <w:rsid w:val="00867428"/>
    <w:rsid w:val="00867530"/>
    <w:rsid w:val="008679A4"/>
    <w:rsid w:val="00867EEC"/>
    <w:rsid w:val="00870469"/>
    <w:rsid w:val="00870F06"/>
    <w:rsid w:val="008711B4"/>
    <w:rsid w:val="00871473"/>
    <w:rsid w:val="0087163D"/>
    <w:rsid w:val="0087175A"/>
    <w:rsid w:val="00871791"/>
    <w:rsid w:val="008717DB"/>
    <w:rsid w:val="008719CA"/>
    <w:rsid w:val="00871CCE"/>
    <w:rsid w:val="00871E96"/>
    <w:rsid w:val="00871FB4"/>
    <w:rsid w:val="00872153"/>
    <w:rsid w:val="008726E8"/>
    <w:rsid w:val="008727FA"/>
    <w:rsid w:val="00872839"/>
    <w:rsid w:val="008728E3"/>
    <w:rsid w:val="00872AA8"/>
    <w:rsid w:val="00872B93"/>
    <w:rsid w:val="00872C63"/>
    <w:rsid w:val="00872D37"/>
    <w:rsid w:val="00872DEF"/>
    <w:rsid w:val="008730D1"/>
    <w:rsid w:val="00873325"/>
    <w:rsid w:val="008736D2"/>
    <w:rsid w:val="00873985"/>
    <w:rsid w:val="00873A41"/>
    <w:rsid w:val="00873A60"/>
    <w:rsid w:val="00873B76"/>
    <w:rsid w:val="00873CE6"/>
    <w:rsid w:val="00873CEC"/>
    <w:rsid w:val="00873D6A"/>
    <w:rsid w:val="00873D9D"/>
    <w:rsid w:val="008743A8"/>
    <w:rsid w:val="008748E5"/>
    <w:rsid w:val="00874A35"/>
    <w:rsid w:val="0087556E"/>
    <w:rsid w:val="00875C28"/>
    <w:rsid w:val="00875CC9"/>
    <w:rsid w:val="00876041"/>
    <w:rsid w:val="008760A1"/>
    <w:rsid w:val="0087630C"/>
    <w:rsid w:val="0087689A"/>
    <w:rsid w:val="00876A00"/>
    <w:rsid w:val="00876D0B"/>
    <w:rsid w:val="00876DC3"/>
    <w:rsid w:val="00877093"/>
    <w:rsid w:val="0087713B"/>
    <w:rsid w:val="0087726C"/>
    <w:rsid w:val="00877444"/>
    <w:rsid w:val="0087770D"/>
    <w:rsid w:val="0087780B"/>
    <w:rsid w:val="00877ADE"/>
    <w:rsid w:val="00877CDA"/>
    <w:rsid w:val="00877D95"/>
    <w:rsid w:val="00877DB8"/>
    <w:rsid w:val="0088021B"/>
    <w:rsid w:val="00880414"/>
    <w:rsid w:val="0088055A"/>
    <w:rsid w:val="00880599"/>
    <w:rsid w:val="008805C2"/>
    <w:rsid w:val="00880726"/>
    <w:rsid w:val="008807CE"/>
    <w:rsid w:val="008807F0"/>
    <w:rsid w:val="00880BB1"/>
    <w:rsid w:val="00880CDA"/>
    <w:rsid w:val="00880CE7"/>
    <w:rsid w:val="008812C8"/>
    <w:rsid w:val="0088141B"/>
    <w:rsid w:val="0088150F"/>
    <w:rsid w:val="0088185F"/>
    <w:rsid w:val="008818B9"/>
    <w:rsid w:val="0088190B"/>
    <w:rsid w:val="00881A05"/>
    <w:rsid w:val="00881A6F"/>
    <w:rsid w:val="00881AB2"/>
    <w:rsid w:val="008820E9"/>
    <w:rsid w:val="008822DF"/>
    <w:rsid w:val="008823EF"/>
    <w:rsid w:val="008824C9"/>
    <w:rsid w:val="00882596"/>
    <w:rsid w:val="008829A1"/>
    <w:rsid w:val="00882B82"/>
    <w:rsid w:val="00882F06"/>
    <w:rsid w:val="008831E5"/>
    <w:rsid w:val="008833F1"/>
    <w:rsid w:val="008839C8"/>
    <w:rsid w:val="00883AFE"/>
    <w:rsid w:val="00883C46"/>
    <w:rsid w:val="00883D62"/>
    <w:rsid w:val="00883F61"/>
    <w:rsid w:val="00883F9B"/>
    <w:rsid w:val="008841E3"/>
    <w:rsid w:val="00884381"/>
    <w:rsid w:val="008845D0"/>
    <w:rsid w:val="008848A7"/>
    <w:rsid w:val="0088496F"/>
    <w:rsid w:val="008851FD"/>
    <w:rsid w:val="00885398"/>
    <w:rsid w:val="0088566E"/>
    <w:rsid w:val="008857FA"/>
    <w:rsid w:val="00885CA5"/>
    <w:rsid w:val="0088676C"/>
    <w:rsid w:val="0088689B"/>
    <w:rsid w:val="00886AA3"/>
    <w:rsid w:val="00886AE2"/>
    <w:rsid w:val="00886E75"/>
    <w:rsid w:val="008870A4"/>
    <w:rsid w:val="008870BD"/>
    <w:rsid w:val="008870E8"/>
    <w:rsid w:val="00887269"/>
    <w:rsid w:val="00887E45"/>
    <w:rsid w:val="00887E50"/>
    <w:rsid w:val="00890312"/>
    <w:rsid w:val="008903D4"/>
    <w:rsid w:val="00890483"/>
    <w:rsid w:val="0089054C"/>
    <w:rsid w:val="0089057A"/>
    <w:rsid w:val="008908F9"/>
    <w:rsid w:val="00890B9E"/>
    <w:rsid w:val="00890F96"/>
    <w:rsid w:val="008910DF"/>
    <w:rsid w:val="0089152F"/>
    <w:rsid w:val="008915EE"/>
    <w:rsid w:val="008917EC"/>
    <w:rsid w:val="008917F3"/>
    <w:rsid w:val="00891A54"/>
    <w:rsid w:val="00891B73"/>
    <w:rsid w:val="00891BB1"/>
    <w:rsid w:val="00892344"/>
    <w:rsid w:val="0089236A"/>
    <w:rsid w:val="0089245F"/>
    <w:rsid w:val="00892563"/>
    <w:rsid w:val="008925CE"/>
    <w:rsid w:val="0089285E"/>
    <w:rsid w:val="0089297E"/>
    <w:rsid w:val="008929E5"/>
    <w:rsid w:val="00892A8A"/>
    <w:rsid w:val="00892B17"/>
    <w:rsid w:val="00892C96"/>
    <w:rsid w:val="00892E4B"/>
    <w:rsid w:val="0089328C"/>
    <w:rsid w:val="008932AC"/>
    <w:rsid w:val="00893350"/>
    <w:rsid w:val="00893374"/>
    <w:rsid w:val="00893624"/>
    <w:rsid w:val="00893A98"/>
    <w:rsid w:val="00893BE3"/>
    <w:rsid w:val="0089415F"/>
    <w:rsid w:val="00894CEF"/>
    <w:rsid w:val="008950E1"/>
    <w:rsid w:val="00895A6B"/>
    <w:rsid w:val="00895E18"/>
    <w:rsid w:val="00896178"/>
    <w:rsid w:val="008966B7"/>
    <w:rsid w:val="0089741B"/>
    <w:rsid w:val="00897FE4"/>
    <w:rsid w:val="008A0001"/>
    <w:rsid w:val="008A0008"/>
    <w:rsid w:val="008A0072"/>
    <w:rsid w:val="008A02BC"/>
    <w:rsid w:val="008A0340"/>
    <w:rsid w:val="008A0951"/>
    <w:rsid w:val="008A09CF"/>
    <w:rsid w:val="008A0A53"/>
    <w:rsid w:val="008A0BD2"/>
    <w:rsid w:val="008A11C5"/>
    <w:rsid w:val="008A13FC"/>
    <w:rsid w:val="008A1610"/>
    <w:rsid w:val="008A1BF1"/>
    <w:rsid w:val="008A1F45"/>
    <w:rsid w:val="008A20B8"/>
    <w:rsid w:val="008A21DD"/>
    <w:rsid w:val="008A2202"/>
    <w:rsid w:val="008A260F"/>
    <w:rsid w:val="008A26B9"/>
    <w:rsid w:val="008A27EE"/>
    <w:rsid w:val="008A2805"/>
    <w:rsid w:val="008A298B"/>
    <w:rsid w:val="008A2B1F"/>
    <w:rsid w:val="008A2B9E"/>
    <w:rsid w:val="008A2FC1"/>
    <w:rsid w:val="008A3252"/>
    <w:rsid w:val="008A3549"/>
    <w:rsid w:val="008A3989"/>
    <w:rsid w:val="008A4281"/>
    <w:rsid w:val="008A4743"/>
    <w:rsid w:val="008A4BF7"/>
    <w:rsid w:val="008A4CCF"/>
    <w:rsid w:val="008A4D87"/>
    <w:rsid w:val="008A5602"/>
    <w:rsid w:val="008A5693"/>
    <w:rsid w:val="008A582A"/>
    <w:rsid w:val="008A58E2"/>
    <w:rsid w:val="008A5C7D"/>
    <w:rsid w:val="008A5D63"/>
    <w:rsid w:val="008A5FBE"/>
    <w:rsid w:val="008A5FF1"/>
    <w:rsid w:val="008A6636"/>
    <w:rsid w:val="008A66D0"/>
    <w:rsid w:val="008A671E"/>
    <w:rsid w:val="008A6CE1"/>
    <w:rsid w:val="008A6D86"/>
    <w:rsid w:val="008A72CA"/>
    <w:rsid w:val="008A74B7"/>
    <w:rsid w:val="008A7532"/>
    <w:rsid w:val="008A7939"/>
    <w:rsid w:val="008A7AE3"/>
    <w:rsid w:val="008A7CBF"/>
    <w:rsid w:val="008A7EAE"/>
    <w:rsid w:val="008A7F2E"/>
    <w:rsid w:val="008B0015"/>
    <w:rsid w:val="008B0100"/>
    <w:rsid w:val="008B024A"/>
    <w:rsid w:val="008B037B"/>
    <w:rsid w:val="008B070B"/>
    <w:rsid w:val="008B08CF"/>
    <w:rsid w:val="008B0A63"/>
    <w:rsid w:val="008B0CB3"/>
    <w:rsid w:val="008B0E20"/>
    <w:rsid w:val="008B0E4F"/>
    <w:rsid w:val="008B1235"/>
    <w:rsid w:val="008B151C"/>
    <w:rsid w:val="008B169D"/>
    <w:rsid w:val="008B16A3"/>
    <w:rsid w:val="008B1793"/>
    <w:rsid w:val="008B1991"/>
    <w:rsid w:val="008B1B31"/>
    <w:rsid w:val="008B1E6D"/>
    <w:rsid w:val="008B222D"/>
    <w:rsid w:val="008B2382"/>
    <w:rsid w:val="008B23A6"/>
    <w:rsid w:val="008B2D08"/>
    <w:rsid w:val="008B2E93"/>
    <w:rsid w:val="008B2F05"/>
    <w:rsid w:val="008B2F3A"/>
    <w:rsid w:val="008B309A"/>
    <w:rsid w:val="008B3350"/>
    <w:rsid w:val="008B3538"/>
    <w:rsid w:val="008B3D56"/>
    <w:rsid w:val="008B3E85"/>
    <w:rsid w:val="008B3E90"/>
    <w:rsid w:val="008B3F71"/>
    <w:rsid w:val="008B3FCC"/>
    <w:rsid w:val="008B40E4"/>
    <w:rsid w:val="008B4589"/>
    <w:rsid w:val="008B465D"/>
    <w:rsid w:val="008B4762"/>
    <w:rsid w:val="008B48BC"/>
    <w:rsid w:val="008B4C1A"/>
    <w:rsid w:val="008B502D"/>
    <w:rsid w:val="008B5107"/>
    <w:rsid w:val="008B570A"/>
    <w:rsid w:val="008B5A41"/>
    <w:rsid w:val="008B5C51"/>
    <w:rsid w:val="008B5D8F"/>
    <w:rsid w:val="008B5F38"/>
    <w:rsid w:val="008B5F4B"/>
    <w:rsid w:val="008B63EF"/>
    <w:rsid w:val="008B676E"/>
    <w:rsid w:val="008B687B"/>
    <w:rsid w:val="008B6898"/>
    <w:rsid w:val="008B694B"/>
    <w:rsid w:val="008B6F25"/>
    <w:rsid w:val="008B74EA"/>
    <w:rsid w:val="008B7994"/>
    <w:rsid w:val="008B7AFF"/>
    <w:rsid w:val="008B7E6A"/>
    <w:rsid w:val="008C037C"/>
    <w:rsid w:val="008C0423"/>
    <w:rsid w:val="008C04FC"/>
    <w:rsid w:val="008C064D"/>
    <w:rsid w:val="008C0680"/>
    <w:rsid w:val="008C071D"/>
    <w:rsid w:val="008C07CD"/>
    <w:rsid w:val="008C0888"/>
    <w:rsid w:val="008C0B12"/>
    <w:rsid w:val="008C115A"/>
    <w:rsid w:val="008C13E8"/>
    <w:rsid w:val="008C13FC"/>
    <w:rsid w:val="008C1471"/>
    <w:rsid w:val="008C15C6"/>
    <w:rsid w:val="008C15CE"/>
    <w:rsid w:val="008C16C5"/>
    <w:rsid w:val="008C189F"/>
    <w:rsid w:val="008C1CDE"/>
    <w:rsid w:val="008C1D66"/>
    <w:rsid w:val="008C1F2F"/>
    <w:rsid w:val="008C1F86"/>
    <w:rsid w:val="008C20BE"/>
    <w:rsid w:val="008C20BF"/>
    <w:rsid w:val="008C2178"/>
    <w:rsid w:val="008C2390"/>
    <w:rsid w:val="008C2620"/>
    <w:rsid w:val="008C2695"/>
    <w:rsid w:val="008C2746"/>
    <w:rsid w:val="008C27F6"/>
    <w:rsid w:val="008C2848"/>
    <w:rsid w:val="008C2B77"/>
    <w:rsid w:val="008C2C53"/>
    <w:rsid w:val="008C2E47"/>
    <w:rsid w:val="008C2F1E"/>
    <w:rsid w:val="008C3393"/>
    <w:rsid w:val="008C35EB"/>
    <w:rsid w:val="008C3605"/>
    <w:rsid w:val="008C391B"/>
    <w:rsid w:val="008C3D5E"/>
    <w:rsid w:val="008C3FC9"/>
    <w:rsid w:val="008C4218"/>
    <w:rsid w:val="008C4599"/>
    <w:rsid w:val="008C4A1C"/>
    <w:rsid w:val="008C4CD3"/>
    <w:rsid w:val="008C4EB4"/>
    <w:rsid w:val="008C4F98"/>
    <w:rsid w:val="008C546E"/>
    <w:rsid w:val="008C5DB7"/>
    <w:rsid w:val="008C61B6"/>
    <w:rsid w:val="008C62D7"/>
    <w:rsid w:val="008C6692"/>
    <w:rsid w:val="008C678A"/>
    <w:rsid w:val="008C681B"/>
    <w:rsid w:val="008C6C6A"/>
    <w:rsid w:val="008C7822"/>
    <w:rsid w:val="008C7AD6"/>
    <w:rsid w:val="008C7BC7"/>
    <w:rsid w:val="008C7EB5"/>
    <w:rsid w:val="008C7EC0"/>
    <w:rsid w:val="008CA6A5"/>
    <w:rsid w:val="008D0005"/>
    <w:rsid w:val="008D00F0"/>
    <w:rsid w:val="008D00F1"/>
    <w:rsid w:val="008D0513"/>
    <w:rsid w:val="008D058B"/>
    <w:rsid w:val="008D09BB"/>
    <w:rsid w:val="008D1047"/>
    <w:rsid w:val="008D1245"/>
    <w:rsid w:val="008D171E"/>
    <w:rsid w:val="008D1758"/>
    <w:rsid w:val="008D1873"/>
    <w:rsid w:val="008D18D2"/>
    <w:rsid w:val="008D193B"/>
    <w:rsid w:val="008D224C"/>
    <w:rsid w:val="008D228C"/>
    <w:rsid w:val="008D2594"/>
    <w:rsid w:val="008D26A6"/>
    <w:rsid w:val="008D2791"/>
    <w:rsid w:val="008D27A3"/>
    <w:rsid w:val="008D2DF7"/>
    <w:rsid w:val="008D2E7E"/>
    <w:rsid w:val="008D2E8E"/>
    <w:rsid w:val="008D2F9B"/>
    <w:rsid w:val="008D30F3"/>
    <w:rsid w:val="008D366E"/>
    <w:rsid w:val="008D39F7"/>
    <w:rsid w:val="008D3B9A"/>
    <w:rsid w:val="008D3C1C"/>
    <w:rsid w:val="008D3F49"/>
    <w:rsid w:val="008D4413"/>
    <w:rsid w:val="008D4626"/>
    <w:rsid w:val="008D46E1"/>
    <w:rsid w:val="008D47DF"/>
    <w:rsid w:val="008D48DD"/>
    <w:rsid w:val="008D4AB2"/>
    <w:rsid w:val="008D4CD6"/>
    <w:rsid w:val="008D4DA4"/>
    <w:rsid w:val="008D501F"/>
    <w:rsid w:val="008D51B6"/>
    <w:rsid w:val="008D553A"/>
    <w:rsid w:val="008D5797"/>
    <w:rsid w:val="008D57B9"/>
    <w:rsid w:val="008D57F1"/>
    <w:rsid w:val="008D5881"/>
    <w:rsid w:val="008D5947"/>
    <w:rsid w:val="008D5FE2"/>
    <w:rsid w:val="008D616C"/>
    <w:rsid w:val="008D654C"/>
    <w:rsid w:val="008D677A"/>
    <w:rsid w:val="008D6823"/>
    <w:rsid w:val="008D68CD"/>
    <w:rsid w:val="008D6BAD"/>
    <w:rsid w:val="008D6C1C"/>
    <w:rsid w:val="008D75CF"/>
    <w:rsid w:val="008D760F"/>
    <w:rsid w:val="008D7E1E"/>
    <w:rsid w:val="008D7E3A"/>
    <w:rsid w:val="008E0465"/>
    <w:rsid w:val="008E0559"/>
    <w:rsid w:val="008E0EBB"/>
    <w:rsid w:val="008E14F5"/>
    <w:rsid w:val="008E1664"/>
    <w:rsid w:val="008E168D"/>
    <w:rsid w:val="008E16F2"/>
    <w:rsid w:val="008E1FC4"/>
    <w:rsid w:val="008E2016"/>
    <w:rsid w:val="008E2050"/>
    <w:rsid w:val="008E2717"/>
    <w:rsid w:val="008E293C"/>
    <w:rsid w:val="008E2C24"/>
    <w:rsid w:val="008E2E41"/>
    <w:rsid w:val="008E2F83"/>
    <w:rsid w:val="008E327F"/>
    <w:rsid w:val="008E3584"/>
    <w:rsid w:val="008E363C"/>
    <w:rsid w:val="008E36B2"/>
    <w:rsid w:val="008E4791"/>
    <w:rsid w:val="008E4BE0"/>
    <w:rsid w:val="008E504B"/>
    <w:rsid w:val="008E540D"/>
    <w:rsid w:val="008E542E"/>
    <w:rsid w:val="008E54EF"/>
    <w:rsid w:val="008E57AE"/>
    <w:rsid w:val="008E6819"/>
    <w:rsid w:val="008E6BB1"/>
    <w:rsid w:val="008E709B"/>
    <w:rsid w:val="008E7204"/>
    <w:rsid w:val="008E724E"/>
    <w:rsid w:val="008E7547"/>
    <w:rsid w:val="008E77C6"/>
    <w:rsid w:val="008E7B41"/>
    <w:rsid w:val="008E7BA7"/>
    <w:rsid w:val="008F0154"/>
    <w:rsid w:val="008F01E5"/>
    <w:rsid w:val="008F0520"/>
    <w:rsid w:val="008F06A4"/>
    <w:rsid w:val="008F06BE"/>
    <w:rsid w:val="008F0B74"/>
    <w:rsid w:val="008F0D1B"/>
    <w:rsid w:val="008F0ED9"/>
    <w:rsid w:val="008F0F51"/>
    <w:rsid w:val="008F112B"/>
    <w:rsid w:val="008F119D"/>
    <w:rsid w:val="008F1226"/>
    <w:rsid w:val="008F12E9"/>
    <w:rsid w:val="008F15F6"/>
    <w:rsid w:val="008F1CFE"/>
    <w:rsid w:val="008F1D02"/>
    <w:rsid w:val="008F1E3A"/>
    <w:rsid w:val="008F221D"/>
    <w:rsid w:val="008F2B82"/>
    <w:rsid w:val="008F2D88"/>
    <w:rsid w:val="008F31F5"/>
    <w:rsid w:val="008F3259"/>
    <w:rsid w:val="008F3C5D"/>
    <w:rsid w:val="008F454D"/>
    <w:rsid w:val="008F4645"/>
    <w:rsid w:val="008F46C3"/>
    <w:rsid w:val="008F479C"/>
    <w:rsid w:val="008F4908"/>
    <w:rsid w:val="008F49C1"/>
    <w:rsid w:val="008F4DD0"/>
    <w:rsid w:val="008F5105"/>
    <w:rsid w:val="008F5175"/>
    <w:rsid w:val="008F590F"/>
    <w:rsid w:val="008F5953"/>
    <w:rsid w:val="008F5971"/>
    <w:rsid w:val="008F5B2B"/>
    <w:rsid w:val="008F5C9C"/>
    <w:rsid w:val="008F5CAB"/>
    <w:rsid w:val="008F5CE3"/>
    <w:rsid w:val="008F5E2D"/>
    <w:rsid w:val="008F5F78"/>
    <w:rsid w:val="008F6103"/>
    <w:rsid w:val="008F6274"/>
    <w:rsid w:val="008F6288"/>
    <w:rsid w:val="008F6467"/>
    <w:rsid w:val="008F6476"/>
    <w:rsid w:val="008F64B4"/>
    <w:rsid w:val="008F64B5"/>
    <w:rsid w:val="008F6F7F"/>
    <w:rsid w:val="008F7102"/>
    <w:rsid w:val="008F7370"/>
    <w:rsid w:val="008F7454"/>
    <w:rsid w:val="008F7476"/>
    <w:rsid w:val="008F77BC"/>
    <w:rsid w:val="008F7BDD"/>
    <w:rsid w:val="008F7EC4"/>
    <w:rsid w:val="0090010D"/>
    <w:rsid w:val="00900B46"/>
    <w:rsid w:val="00900E1C"/>
    <w:rsid w:val="00900E2E"/>
    <w:rsid w:val="00900F85"/>
    <w:rsid w:val="00901187"/>
    <w:rsid w:val="009019A0"/>
    <w:rsid w:val="00901C1D"/>
    <w:rsid w:val="00901C41"/>
    <w:rsid w:val="00901D8B"/>
    <w:rsid w:val="00901F91"/>
    <w:rsid w:val="00902310"/>
    <w:rsid w:val="009027AD"/>
    <w:rsid w:val="00902DBD"/>
    <w:rsid w:val="00902FD5"/>
    <w:rsid w:val="009035CC"/>
    <w:rsid w:val="00903C3F"/>
    <w:rsid w:val="00903DCC"/>
    <w:rsid w:val="0090424D"/>
    <w:rsid w:val="0090440C"/>
    <w:rsid w:val="009044CC"/>
    <w:rsid w:val="0090463E"/>
    <w:rsid w:val="00904A36"/>
    <w:rsid w:val="00904B23"/>
    <w:rsid w:val="00905967"/>
    <w:rsid w:val="00905A7B"/>
    <w:rsid w:val="00905D0F"/>
    <w:rsid w:val="00905DE2"/>
    <w:rsid w:val="00905DF5"/>
    <w:rsid w:val="00905E07"/>
    <w:rsid w:val="00905EE5"/>
    <w:rsid w:val="00906128"/>
    <w:rsid w:val="0090614E"/>
    <w:rsid w:val="009061F6"/>
    <w:rsid w:val="00906365"/>
    <w:rsid w:val="009065B8"/>
    <w:rsid w:val="00906842"/>
    <w:rsid w:val="00906D78"/>
    <w:rsid w:val="00906F46"/>
    <w:rsid w:val="00907047"/>
    <w:rsid w:val="00907341"/>
    <w:rsid w:val="009073D2"/>
    <w:rsid w:val="009073E2"/>
    <w:rsid w:val="00907531"/>
    <w:rsid w:val="00907908"/>
    <w:rsid w:val="00907FAC"/>
    <w:rsid w:val="00907FFE"/>
    <w:rsid w:val="00910373"/>
    <w:rsid w:val="009103BE"/>
    <w:rsid w:val="009107C7"/>
    <w:rsid w:val="00910AAF"/>
    <w:rsid w:val="00911228"/>
    <w:rsid w:val="009115CD"/>
    <w:rsid w:val="00911833"/>
    <w:rsid w:val="00911C64"/>
    <w:rsid w:val="00911F7C"/>
    <w:rsid w:val="00912208"/>
    <w:rsid w:val="009122F2"/>
    <w:rsid w:val="00912A35"/>
    <w:rsid w:val="00912AB3"/>
    <w:rsid w:val="00912BD8"/>
    <w:rsid w:val="00912DF2"/>
    <w:rsid w:val="009130CE"/>
    <w:rsid w:val="0091319E"/>
    <w:rsid w:val="009131F1"/>
    <w:rsid w:val="00913248"/>
    <w:rsid w:val="00913290"/>
    <w:rsid w:val="0091334A"/>
    <w:rsid w:val="009133DE"/>
    <w:rsid w:val="009136ED"/>
    <w:rsid w:val="00913817"/>
    <w:rsid w:val="009139E2"/>
    <w:rsid w:val="00913BCD"/>
    <w:rsid w:val="00913C99"/>
    <w:rsid w:val="00913F82"/>
    <w:rsid w:val="00913FBE"/>
    <w:rsid w:val="00913FDC"/>
    <w:rsid w:val="009140E2"/>
    <w:rsid w:val="009143FA"/>
    <w:rsid w:val="009144C1"/>
    <w:rsid w:val="00914580"/>
    <w:rsid w:val="009145AC"/>
    <w:rsid w:val="009145AF"/>
    <w:rsid w:val="00914702"/>
    <w:rsid w:val="00914811"/>
    <w:rsid w:val="00914897"/>
    <w:rsid w:val="009148D5"/>
    <w:rsid w:val="00914995"/>
    <w:rsid w:val="00914A60"/>
    <w:rsid w:val="00914AB4"/>
    <w:rsid w:val="00914B30"/>
    <w:rsid w:val="00914C2F"/>
    <w:rsid w:val="00914DF0"/>
    <w:rsid w:val="00914FDA"/>
    <w:rsid w:val="009153E9"/>
    <w:rsid w:val="00915457"/>
    <w:rsid w:val="00915481"/>
    <w:rsid w:val="009159BD"/>
    <w:rsid w:val="00915CA6"/>
    <w:rsid w:val="00915D29"/>
    <w:rsid w:val="009160E4"/>
    <w:rsid w:val="0091617E"/>
    <w:rsid w:val="009161E4"/>
    <w:rsid w:val="009162A5"/>
    <w:rsid w:val="00916793"/>
    <w:rsid w:val="00916AC4"/>
    <w:rsid w:val="00916CA5"/>
    <w:rsid w:val="00916CB5"/>
    <w:rsid w:val="00916FD0"/>
    <w:rsid w:val="00917087"/>
    <w:rsid w:val="009170E1"/>
    <w:rsid w:val="00917651"/>
    <w:rsid w:val="00917C63"/>
    <w:rsid w:val="00917CEF"/>
    <w:rsid w:val="00917DBF"/>
    <w:rsid w:val="009202BE"/>
    <w:rsid w:val="00920349"/>
    <w:rsid w:val="009204EC"/>
    <w:rsid w:val="0092063F"/>
    <w:rsid w:val="0092098C"/>
    <w:rsid w:val="009209D7"/>
    <w:rsid w:val="009209E8"/>
    <w:rsid w:val="00920A00"/>
    <w:rsid w:val="00920A84"/>
    <w:rsid w:val="00920CF1"/>
    <w:rsid w:val="00920EB7"/>
    <w:rsid w:val="00920FF8"/>
    <w:rsid w:val="00921155"/>
    <w:rsid w:val="0092127A"/>
    <w:rsid w:val="0092129C"/>
    <w:rsid w:val="0092176E"/>
    <w:rsid w:val="00921A10"/>
    <w:rsid w:val="00921B27"/>
    <w:rsid w:val="00921C98"/>
    <w:rsid w:val="00921CF7"/>
    <w:rsid w:val="00921D3B"/>
    <w:rsid w:val="00921D98"/>
    <w:rsid w:val="00921F1B"/>
    <w:rsid w:val="00922461"/>
    <w:rsid w:val="0092259B"/>
    <w:rsid w:val="0092261C"/>
    <w:rsid w:val="00922CFD"/>
    <w:rsid w:val="00922D25"/>
    <w:rsid w:val="00922FF1"/>
    <w:rsid w:val="00923015"/>
    <w:rsid w:val="009230D3"/>
    <w:rsid w:val="0092376C"/>
    <w:rsid w:val="009238F4"/>
    <w:rsid w:val="00923EE1"/>
    <w:rsid w:val="0092408D"/>
    <w:rsid w:val="0092409E"/>
    <w:rsid w:val="00924142"/>
    <w:rsid w:val="0092425B"/>
    <w:rsid w:val="0092448F"/>
    <w:rsid w:val="00924B8F"/>
    <w:rsid w:val="00925004"/>
    <w:rsid w:val="0092500D"/>
    <w:rsid w:val="009254B2"/>
    <w:rsid w:val="009259FE"/>
    <w:rsid w:val="00925C97"/>
    <w:rsid w:val="00925F16"/>
    <w:rsid w:val="00926021"/>
    <w:rsid w:val="0092626D"/>
    <w:rsid w:val="00926614"/>
    <w:rsid w:val="0092668D"/>
    <w:rsid w:val="00926E20"/>
    <w:rsid w:val="00926F32"/>
    <w:rsid w:val="00926F70"/>
    <w:rsid w:val="0092777C"/>
    <w:rsid w:val="009277C3"/>
    <w:rsid w:val="00927841"/>
    <w:rsid w:val="00927B81"/>
    <w:rsid w:val="00927EE9"/>
    <w:rsid w:val="00927FFC"/>
    <w:rsid w:val="00930161"/>
    <w:rsid w:val="0093016C"/>
    <w:rsid w:val="00930477"/>
    <w:rsid w:val="009305F5"/>
    <w:rsid w:val="009308DD"/>
    <w:rsid w:val="00930932"/>
    <w:rsid w:val="00930A85"/>
    <w:rsid w:val="009312BC"/>
    <w:rsid w:val="00931412"/>
    <w:rsid w:val="009314CF"/>
    <w:rsid w:val="00931589"/>
    <w:rsid w:val="00931952"/>
    <w:rsid w:val="00931A8B"/>
    <w:rsid w:val="00931AB6"/>
    <w:rsid w:val="00931D0D"/>
    <w:rsid w:val="00931E8D"/>
    <w:rsid w:val="0093232A"/>
    <w:rsid w:val="0093245A"/>
    <w:rsid w:val="00932481"/>
    <w:rsid w:val="00932D26"/>
    <w:rsid w:val="00932DB8"/>
    <w:rsid w:val="00932DF3"/>
    <w:rsid w:val="0093307D"/>
    <w:rsid w:val="009330AC"/>
    <w:rsid w:val="00933321"/>
    <w:rsid w:val="0093366D"/>
    <w:rsid w:val="0093367B"/>
    <w:rsid w:val="0093370E"/>
    <w:rsid w:val="00933B49"/>
    <w:rsid w:val="00933C1C"/>
    <w:rsid w:val="00933F4E"/>
    <w:rsid w:val="009340C8"/>
    <w:rsid w:val="009342D7"/>
    <w:rsid w:val="009343B2"/>
    <w:rsid w:val="00934602"/>
    <w:rsid w:val="00934A88"/>
    <w:rsid w:val="00934ED6"/>
    <w:rsid w:val="00934EE8"/>
    <w:rsid w:val="00934F7F"/>
    <w:rsid w:val="009352E9"/>
    <w:rsid w:val="00935335"/>
    <w:rsid w:val="009357FC"/>
    <w:rsid w:val="00935B4C"/>
    <w:rsid w:val="00935DA6"/>
    <w:rsid w:val="00935E2F"/>
    <w:rsid w:val="00936128"/>
    <w:rsid w:val="009363A1"/>
    <w:rsid w:val="00936595"/>
    <w:rsid w:val="00936A2B"/>
    <w:rsid w:val="00936A5F"/>
    <w:rsid w:val="00936B53"/>
    <w:rsid w:val="00936B89"/>
    <w:rsid w:val="00936C3C"/>
    <w:rsid w:val="00936C69"/>
    <w:rsid w:val="00937083"/>
    <w:rsid w:val="0093783D"/>
    <w:rsid w:val="00937AB5"/>
    <w:rsid w:val="00937B85"/>
    <w:rsid w:val="00937DE9"/>
    <w:rsid w:val="00937E8B"/>
    <w:rsid w:val="00940040"/>
    <w:rsid w:val="009400F7"/>
    <w:rsid w:val="009402F4"/>
    <w:rsid w:val="0094036E"/>
    <w:rsid w:val="009407EB"/>
    <w:rsid w:val="00940F02"/>
    <w:rsid w:val="00941267"/>
    <w:rsid w:val="00941337"/>
    <w:rsid w:val="00941578"/>
    <w:rsid w:val="0094163A"/>
    <w:rsid w:val="0094173C"/>
    <w:rsid w:val="00941847"/>
    <w:rsid w:val="00941934"/>
    <w:rsid w:val="00941DCB"/>
    <w:rsid w:val="00941EF1"/>
    <w:rsid w:val="00942815"/>
    <w:rsid w:val="00942A9A"/>
    <w:rsid w:val="00942AC2"/>
    <w:rsid w:val="00942B67"/>
    <w:rsid w:val="009430B6"/>
    <w:rsid w:val="00943136"/>
    <w:rsid w:val="00943A7E"/>
    <w:rsid w:val="00943AF1"/>
    <w:rsid w:val="00943C06"/>
    <w:rsid w:val="0094492B"/>
    <w:rsid w:val="00944C98"/>
    <w:rsid w:val="00945093"/>
    <w:rsid w:val="00945303"/>
    <w:rsid w:val="00945384"/>
    <w:rsid w:val="009458BB"/>
    <w:rsid w:val="00945C37"/>
    <w:rsid w:val="00945FEE"/>
    <w:rsid w:val="00946048"/>
    <w:rsid w:val="00946145"/>
    <w:rsid w:val="00946568"/>
    <w:rsid w:val="0094676A"/>
    <w:rsid w:val="009467BA"/>
    <w:rsid w:val="00946B94"/>
    <w:rsid w:val="00946C19"/>
    <w:rsid w:val="00946D18"/>
    <w:rsid w:val="00946D3B"/>
    <w:rsid w:val="00946E33"/>
    <w:rsid w:val="00946E4D"/>
    <w:rsid w:val="00947318"/>
    <w:rsid w:val="00947404"/>
    <w:rsid w:val="009474CB"/>
    <w:rsid w:val="009475B0"/>
    <w:rsid w:val="00947617"/>
    <w:rsid w:val="00947A36"/>
    <w:rsid w:val="00947B7D"/>
    <w:rsid w:val="00947F7A"/>
    <w:rsid w:val="0095018E"/>
    <w:rsid w:val="0095022B"/>
    <w:rsid w:val="0095022C"/>
    <w:rsid w:val="009502AA"/>
    <w:rsid w:val="00950745"/>
    <w:rsid w:val="00950A53"/>
    <w:rsid w:val="00950BAB"/>
    <w:rsid w:val="00950F21"/>
    <w:rsid w:val="00951072"/>
    <w:rsid w:val="009510CC"/>
    <w:rsid w:val="0095113A"/>
    <w:rsid w:val="009514F9"/>
    <w:rsid w:val="00951532"/>
    <w:rsid w:val="009515CE"/>
    <w:rsid w:val="009517F4"/>
    <w:rsid w:val="00951806"/>
    <w:rsid w:val="00951CC7"/>
    <w:rsid w:val="00951CD3"/>
    <w:rsid w:val="00951FF1"/>
    <w:rsid w:val="009520D3"/>
    <w:rsid w:val="0095239A"/>
    <w:rsid w:val="009524E1"/>
    <w:rsid w:val="00952734"/>
    <w:rsid w:val="0095285C"/>
    <w:rsid w:val="00953002"/>
    <w:rsid w:val="00953089"/>
    <w:rsid w:val="00953172"/>
    <w:rsid w:val="00953251"/>
    <w:rsid w:val="009532A9"/>
    <w:rsid w:val="0095338B"/>
    <w:rsid w:val="00953788"/>
    <w:rsid w:val="00953C2E"/>
    <w:rsid w:val="00953C64"/>
    <w:rsid w:val="00953E73"/>
    <w:rsid w:val="009545A4"/>
    <w:rsid w:val="00954F6D"/>
    <w:rsid w:val="0095509D"/>
    <w:rsid w:val="0095511B"/>
    <w:rsid w:val="00955CF8"/>
    <w:rsid w:val="00955FE8"/>
    <w:rsid w:val="009560AA"/>
    <w:rsid w:val="00956866"/>
    <w:rsid w:val="009569F7"/>
    <w:rsid w:val="00956E0C"/>
    <w:rsid w:val="00956F21"/>
    <w:rsid w:val="00957164"/>
    <w:rsid w:val="0095727C"/>
    <w:rsid w:val="009574D6"/>
    <w:rsid w:val="00957894"/>
    <w:rsid w:val="00957997"/>
    <w:rsid w:val="009602B3"/>
    <w:rsid w:val="009605E5"/>
    <w:rsid w:val="0096060E"/>
    <w:rsid w:val="00960748"/>
    <w:rsid w:val="009608DC"/>
    <w:rsid w:val="009609FE"/>
    <w:rsid w:val="00960A0E"/>
    <w:rsid w:val="00960A6A"/>
    <w:rsid w:val="0096103D"/>
    <w:rsid w:val="009617B4"/>
    <w:rsid w:val="0096181A"/>
    <w:rsid w:val="00961893"/>
    <w:rsid w:val="009618CD"/>
    <w:rsid w:val="0096190A"/>
    <w:rsid w:val="00961970"/>
    <w:rsid w:val="00961B06"/>
    <w:rsid w:val="00961E15"/>
    <w:rsid w:val="00962026"/>
    <w:rsid w:val="0096279B"/>
    <w:rsid w:val="009627C9"/>
    <w:rsid w:val="009628FB"/>
    <w:rsid w:val="00962A83"/>
    <w:rsid w:val="00962EBD"/>
    <w:rsid w:val="00963031"/>
    <w:rsid w:val="00963257"/>
    <w:rsid w:val="0096340E"/>
    <w:rsid w:val="00963483"/>
    <w:rsid w:val="0096367A"/>
    <w:rsid w:val="00963978"/>
    <w:rsid w:val="00963B4E"/>
    <w:rsid w:val="00963D72"/>
    <w:rsid w:val="00963D8A"/>
    <w:rsid w:val="00963F27"/>
    <w:rsid w:val="009642B1"/>
    <w:rsid w:val="009642FC"/>
    <w:rsid w:val="0096451A"/>
    <w:rsid w:val="009645E3"/>
    <w:rsid w:val="00964728"/>
    <w:rsid w:val="009647DF"/>
    <w:rsid w:val="00965421"/>
    <w:rsid w:val="009657A9"/>
    <w:rsid w:val="009657FF"/>
    <w:rsid w:val="00965855"/>
    <w:rsid w:val="00965D53"/>
    <w:rsid w:val="00965DE4"/>
    <w:rsid w:val="00965F54"/>
    <w:rsid w:val="00965F90"/>
    <w:rsid w:val="00966426"/>
    <w:rsid w:val="00966949"/>
    <w:rsid w:val="00966B23"/>
    <w:rsid w:val="00966BBA"/>
    <w:rsid w:val="00966F18"/>
    <w:rsid w:val="00966F70"/>
    <w:rsid w:val="00967190"/>
    <w:rsid w:val="00967261"/>
    <w:rsid w:val="009673F4"/>
    <w:rsid w:val="00967517"/>
    <w:rsid w:val="0096782C"/>
    <w:rsid w:val="00967965"/>
    <w:rsid w:val="00967BBF"/>
    <w:rsid w:val="00967FF9"/>
    <w:rsid w:val="00970043"/>
    <w:rsid w:val="00970688"/>
    <w:rsid w:val="009708CE"/>
    <w:rsid w:val="00970A73"/>
    <w:rsid w:val="00970BCB"/>
    <w:rsid w:val="00970C20"/>
    <w:rsid w:val="0097106D"/>
    <w:rsid w:val="00971688"/>
    <w:rsid w:val="009716D6"/>
    <w:rsid w:val="009717E3"/>
    <w:rsid w:val="00971840"/>
    <w:rsid w:val="009719B1"/>
    <w:rsid w:val="00971A8E"/>
    <w:rsid w:val="00971C86"/>
    <w:rsid w:val="00971CC6"/>
    <w:rsid w:val="00971E27"/>
    <w:rsid w:val="00971F8B"/>
    <w:rsid w:val="0097224F"/>
    <w:rsid w:val="009722D9"/>
    <w:rsid w:val="00972501"/>
    <w:rsid w:val="009727A9"/>
    <w:rsid w:val="009727F3"/>
    <w:rsid w:val="00972877"/>
    <w:rsid w:val="00972ADC"/>
    <w:rsid w:val="00972BC6"/>
    <w:rsid w:val="00972C51"/>
    <w:rsid w:val="00972DA9"/>
    <w:rsid w:val="00972FD1"/>
    <w:rsid w:val="009730A6"/>
    <w:rsid w:val="00973A61"/>
    <w:rsid w:val="00973B24"/>
    <w:rsid w:val="00973B4E"/>
    <w:rsid w:val="00973D2B"/>
    <w:rsid w:val="00973F83"/>
    <w:rsid w:val="0097404E"/>
    <w:rsid w:val="00974589"/>
    <w:rsid w:val="009746E1"/>
    <w:rsid w:val="009746E6"/>
    <w:rsid w:val="00974886"/>
    <w:rsid w:val="00974888"/>
    <w:rsid w:val="00974889"/>
    <w:rsid w:val="0097493D"/>
    <w:rsid w:val="00974A62"/>
    <w:rsid w:val="00974DCB"/>
    <w:rsid w:val="00974FBE"/>
    <w:rsid w:val="00975104"/>
    <w:rsid w:val="0097541B"/>
    <w:rsid w:val="00975AEF"/>
    <w:rsid w:val="00975CE7"/>
    <w:rsid w:val="00975EE9"/>
    <w:rsid w:val="00976043"/>
    <w:rsid w:val="009760EC"/>
    <w:rsid w:val="0097640C"/>
    <w:rsid w:val="00976936"/>
    <w:rsid w:val="00976F04"/>
    <w:rsid w:val="00977060"/>
    <w:rsid w:val="00977614"/>
    <w:rsid w:val="0097779F"/>
    <w:rsid w:val="0097794B"/>
    <w:rsid w:val="00977B07"/>
    <w:rsid w:val="00977F34"/>
    <w:rsid w:val="009802DB"/>
    <w:rsid w:val="0098065A"/>
    <w:rsid w:val="009809E3"/>
    <w:rsid w:val="00980A05"/>
    <w:rsid w:val="00980D31"/>
    <w:rsid w:val="00980DF7"/>
    <w:rsid w:val="0098101C"/>
    <w:rsid w:val="0098107A"/>
    <w:rsid w:val="00981174"/>
    <w:rsid w:val="009811E0"/>
    <w:rsid w:val="00981738"/>
    <w:rsid w:val="009818D5"/>
    <w:rsid w:val="00981AA4"/>
    <w:rsid w:val="00981C4A"/>
    <w:rsid w:val="00981D91"/>
    <w:rsid w:val="00981DB7"/>
    <w:rsid w:val="00982E02"/>
    <w:rsid w:val="00983170"/>
    <w:rsid w:val="009832DE"/>
    <w:rsid w:val="0098336A"/>
    <w:rsid w:val="00983639"/>
    <w:rsid w:val="0098364E"/>
    <w:rsid w:val="00983AB6"/>
    <w:rsid w:val="00983C79"/>
    <w:rsid w:val="00984355"/>
    <w:rsid w:val="009843AC"/>
    <w:rsid w:val="0098470F"/>
    <w:rsid w:val="00984AFB"/>
    <w:rsid w:val="0098534E"/>
    <w:rsid w:val="00985537"/>
    <w:rsid w:val="009855BF"/>
    <w:rsid w:val="009856C8"/>
    <w:rsid w:val="00985739"/>
    <w:rsid w:val="00985931"/>
    <w:rsid w:val="00985B25"/>
    <w:rsid w:val="00985BA8"/>
    <w:rsid w:val="00985E0C"/>
    <w:rsid w:val="00985E61"/>
    <w:rsid w:val="00985F13"/>
    <w:rsid w:val="00986193"/>
    <w:rsid w:val="00986318"/>
    <w:rsid w:val="0098664F"/>
    <w:rsid w:val="00986828"/>
    <w:rsid w:val="00986BFA"/>
    <w:rsid w:val="00987235"/>
    <w:rsid w:val="00987411"/>
    <w:rsid w:val="009874AF"/>
    <w:rsid w:val="009875B4"/>
    <w:rsid w:val="00987D54"/>
    <w:rsid w:val="00990179"/>
    <w:rsid w:val="0099023A"/>
    <w:rsid w:val="0099042F"/>
    <w:rsid w:val="0099043E"/>
    <w:rsid w:val="00990493"/>
    <w:rsid w:val="009904ED"/>
    <w:rsid w:val="00990690"/>
    <w:rsid w:val="00990723"/>
    <w:rsid w:val="009908E0"/>
    <w:rsid w:val="00990E7F"/>
    <w:rsid w:val="00991104"/>
    <w:rsid w:val="00991377"/>
    <w:rsid w:val="00991385"/>
    <w:rsid w:val="009919C4"/>
    <w:rsid w:val="00991A2F"/>
    <w:rsid w:val="00991FF6"/>
    <w:rsid w:val="00992336"/>
    <w:rsid w:val="0099235F"/>
    <w:rsid w:val="009925D4"/>
    <w:rsid w:val="00992AAB"/>
    <w:rsid w:val="00992CC8"/>
    <w:rsid w:val="009930C4"/>
    <w:rsid w:val="009932C0"/>
    <w:rsid w:val="009933ED"/>
    <w:rsid w:val="00993502"/>
    <w:rsid w:val="00993513"/>
    <w:rsid w:val="00993A2B"/>
    <w:rsid w:val="00993A81"/>
    <w:rsid w:val="00994183"/>
    <w:rsid w:val="00994576"/>
    <w:rsid w:val="00994681"/>
    <w:rsid w:val="009947D0"/>
    <w:rsid w:val="00994A24"/>
    <w:rsid w:val="00994D6E"/>
    <w:rsid w:val="00994E56"/>
    <w:rsid w:val="00994FAA"/>
    <w:rsid w:val="0099549E"/>
    <w:rsid w:val="009955BE"/>
    <w:rsid w:val="00995865"/>
    <w:rsid w:val="00995992"/>
    <w:rsid w:val="009959A8"/>
    <w:rsid w:val="00995BEC"/>
    <w:rsid w:val="0099618A"/>
    <w:rsid w:val="009965B4"/>
    <w:rsid w:val="00996806"/>
    <w:rsid w:val="0099689E"/>
    <w:rsid w:val="00996966"/>
    <w:rsid w:val="00996971"/>
    <w:rsid w:val="009969A8"/>
    <w:rsid w:val="00997157"/>
    <w:rsid w:val="00997430"/>
    <w:rsid w:val="009976BB"/>
    <w:rsid w:val="009976E3"/>
    <w:rsid w:val="00997A1F"/>
    <w:rsid w:val="00997D3C"/>
    <w:rsid w:val="009A00D3"/>
    <w:rsid w:val="009A02C7"/>
    <w:rsid w:val="009A02EB"/>
    <w:rsid w:val="009A0440"/>
    <w:rsid w:val="009A072B"/>
    <w:rsid w:val="009A07CE"/>
    <w:rsid w:val="009A080A"/>
    <w:rsid w:val="009A0872"/>
    <w:rsid w:val="009A0873"/>
    <w:rsid w:val="009A08F1"/>
    <w:rsid w:val="009A0DDF"/>
    <w:rsid w:val="009A0E24"/>
    <w:rsid w:val="009A10C2"/>
    <w:rsid w:val="009A13C8"/>
    <w:rsid w:val="009A14A5"/>
    <w:rsid w:val="009A14F5"/>
    <w:rsid w:val="009A196A"/>
    <w:rsid w:val="009A1C1C"/>
    <w:rsid w:val="009A1DF3"/>
    <w:rsid w:val="009A1EB3"/>
    <w:rsid w:val="009A20E2"/>
    <w:rsid w:val="009A2C7C"/>
    <w:rsid w:val="009A30D9"/>
    <w:rsid w:val="009A3304"/>
    <w:rsid w:val="009A3378"/>
    <w:rsid w:val="009A3467"/>
    <w:rsid w:val="009A34CF"/>
    <w:rsid w:val="009A372F"/>
    <w:rsid w:val="009A3ACB"/>
    <w:rsid w:val="009A3BCF"/>
    <w:rsid w:val="009A3E1E"/>
    <w:rsid w:val="009A406F"/>
    <w:rsid w:val="009A4165"/>
    <w:rsid w:val="009A46D0"/>
    <w:rsid w:val="009A470E"/>
    <w:rsid w:val="009A4968"/>
    <w:rsid w:val="009A4C03"/>
    <w:rsid w:val="009A5498"/>
    <w:rsid w:val="009A5901"/>
    <w:rsid w:val="009A5D99"/>
    <w:rsid w:val="009A5E73"/>
    <w:rsid w:val="009A5F9D"/>
    <w:rsid w:val="009A621C"/>
    <w:rsid w:val="009A6A89"/>
    <w:rsid w:val="009A6B6B"/>
    <w:rsid w:val="009A6D3D"/>
    <w:rsid w:val="009A6E2B"/>
    <w:rsid w:val="009A70FA"/>
    <w:rsid w:val="009A734D"/>
    <w:rsid w:val="009A77AE"/>
    <w:rsid w:val="009A78D0"/>
    <w:rsid w:val="009A7A0B"/>
    <w:rsid w:val="009A7A6B"/>
    <w:rsid w:val="009A7A7F"/>
    <w:rsid w:val="009A7C66"/>
    <w:rsid w:val="009B0255"/>
    <w:rsid w:val="009B0323"/>
    <w:rsid w:val="009B04D8"/>
    <w:rsid w:val="009B0658"/>
    <w:rsid w:val="009B08A1"/>
    <w:rsid w:val="009B0A79"/>
    <w:rsid w:val="009B0BA9"/>
    <w:rsid w:val="009B0C5C"/>
    <w:rsid w:val="009B140D"/>
    <w:rsid w:val="009B171E"/>
    <w:rsid w:val="009B17DB"/>
    <w:rsid w:val="009B1898"/>
    <w:rsid w:val="009B1A1F"/>
    <w:rsid w:val="009B2209"/>
    <w:rsid w:val="009B24D5"/>
    <w:rsid w:val="009B27DD"/>
    <w:rsid w:val="009B2E50"/>
    <w:rsid w:val="009B2F3F"/>
    <w:rsid w:val="009B2FAC"/>
    <w:rsid w:val="009B300F"/>
    <w:rsid w:val="009B35B3"/>
    <w:rsid w:val="009B35C6"/>
    <w:rsid w:val="009B36A1"/>
    <w:rsid w:val="009B3787"/>
    <w:rsid w:val="009B38A2"/>
    <w:rsid w:val="009B3D97"/>
    <w:rsid w:val="009B3DD4"/>
    <w:rsid w:val="009B3E20"/>
    <w:rsid w:val="009B3F43"/>
    <w:rsid w:val="009B3F4E"/>
    <w:rsid w:val="009B3F93"/>
    <w:rsid w:val="009B4507"/>
    <w:rsid w:val="009B4750"/>
    <w:rsid w:val="009B47CE"/>
    <w:rsid w:val="009B4A5A"/>
    <w:rsid w:val="009B4F6E"/>
    <w:rsid w:val="009B50FA"/>
    <w:rsid w:val="009B5215"/>
    <w:rsid w:val="009B54D3"/>
    <w:rsid w:val="009B5535"/>
    <w:rsid w:val="009B57B2"/>
    <w:rsid w:val="009B5BEB"/>
    <w:rsid w:val="009B5C22"/>
    <w:rsid w:val="009B5D0B"/>
    <w:rsid w:val="009B5D37"/>
    <w:rsid w:val="009B5E31"/>
    <w:rsid w:val="009B5F0F"/>
    <w:rsid w:val="009B6317"/>
    <w:rsid w:val="009B6566"/>
    <w:rsid w:val="009B6B8B"/>
    <w:rsid w:val="009B70DD"/>
    <w:rsid w:val="009B7159"/>
    <w:rsid w:val="009B7609"/>
    <w:rsid w:val="009B78DF"/>
    <w:rsid w:val="009B7945"/>
    <w:rsid w:val="009C02B0"/>
    <w:rsid w:val="009C051B"/>
    <w:rsid w:val="009C08A4"/>
    <w:rsid w:val="009C0C54"/>
    <w:rsid w:val="009C0DB6"/>
    <w:rsid w:val="009C1280"/>
    <w:rsid w:val="009C1342"/>
    <w:rsid w:val="009C13EC"/>
    <w:rsid w:val="009C184B"/>
    <w:rsid w:val="009C1A03"/>
    <w:rsid w:val="009C1A39"/>
    <w:rsid w:val="009C1D3C"/>
    <w:rsid w:val="009C219D"/>
    <w:rsid w:val="009C21DF"/>
    <w:rsid w:val="009C27BB"/>
    <w:rsid w:val="009C283E"/>
    <w:rsid w:val="009C2A3E"/>
    <w:rsid w:val="009C2AA0"/>
    <w:rsid w:val="009C2AAE"/>
    <w:rsid w:val="009C2F3D"/>
    <w:rsid w:val="009C30E8"/>
    <w:rsid w:val="009C312B"/>
    <w:rsid w:val="009C3153"/>
    <w:rsid w:val="009C3C3C"/>
    <w:rsid w:val="009C41EB"/>
    <w:rsid w:val="009C45C4"/>
    <w:rsid w:val="009C4989"/>
    <w:rsid w:val="009C4CEF"/>
    <w:rsid w:val="009C4ECF"/>
    <w:rsid w:val="009C4F01"/>
    <w:rsid w:val="009C4FAC"/>
    <w:rsid w:val="009C50AB"/>
    <w:rsid w:val="009C5254"/>
    <w:rsid w:val="009C5458"/>
    <w:rsid w:val="009C5554"/>
    <w:rsid w:val="009C5689"/>
    <w:rsid w:val="009C577A"/>
    <w:rsid w:val="009C6020"/>
    <w:rsid w:val="009C68AE"/>
    <w:rsid w:val="009C6971"/>
    <w:rsid w:val="009C6C42"/>
    <w:rsid w:val="009C70BB"/>
    <w:rsid w:val="009C7119"/>
    <w:rsid w:val="009C7207"/>
    <w:rsid w:val="009C73BE"/>
    <w:rsid w:val="009C76D2"/>
    <w:rsid w:val="009D0319"/>
    <w:rsid w:val="009D03C9"/>
    <w:rsid w:val="009D04BC"/>
    <w:rsid w:val="009D054A"/>
    <w:rsid w:val="009D0E34"/>
    <w:rsid w:val="009D0FBE"/>
    <w:rsid w:val="009D1118"/>
    <w:rsid w:val="009D1827"/>
    <w:rsid w:val="009D1843"/>
    <w:rsid w:val="009D1A61"/>
    <w:rsid w:val="009D1A62"/>
    <w:rsid w:val="009D1BBB"/>
    <w:rsid w:val="009D1EED"/>
    <w:rsid w:val="009D22A3"/>
    <w:rsid w:val="009D276B"/>
    <w:rsid w:val="009D2C82"/>
    <w:rsid w:val="009D2FA3"/>
    <w:rsid w:val="009D3005"/>
    <w:rsid w:val="009D3412"/>
    <w:rsid w:val="009D36BA"/>
    <w:rsid w:val="009D4408"/>
    <w:rsid w:val="009D443C"/>
    <w:rsid w:val="009D44C5"/>
    <w:rsid w:val="009D475C"/>
    <w:rsid w:val="009D47A2"/>
    <w:rsid w:val="009D47EF"/>
    <w:rsid w:val="009D4871"/>
    <w:rsid w:val="009D4B66"/>
    <w:rsid w:val="009D4BED"/>
    <w:rsid w:val="009D4BF9"/>
    <w:rsid w:val="009D50F4"/>
    <w:rsid w:val="009D516A"/>
    <w:rsid w:val="009D5207"/>
    <w:rsid w:val="009D5538"/>
    <w:rsid w:val="009D5728"/>
    <w:rsid w:val="009D5A1B"/>
    <w:rsid w:val="009D5A95"/>
    <w:rsid w:val="009D5F0A"/>
    <w:rsid w:val="009D6024"/>
    <w:rsid w:val="009D603D"/>
    <w:rsid w:val="009D6045"/>
    <w:rsid w:val="009D6B0C"/>
    <w:rsid w:val="009D6B23"/>
    <w:rsid w:val="009D6BE7"/>
    <w:rsid w:val="009D6C0F"/>
    <w:rsid w:val="009D6F31"/>
    <w:rsid w:val="009D6FD8"/>
    <w:rsid w:val="009D722F"/>
    <w:rsid w:val="009E09B3"/>
    <w:rsid w:val="009E0A22"/>
    <w:rsid w:val="009E0A84"/>
    <w:rsid w:val="009E0C14"/>
    <w:rsid w:val="009E0C88"/>
    <w:rsid w:val="009E0DA0"/>
    <w:rsid w:val="009E1334"/>
    <w:rsid w:val="009E1618"/>
    <w:rsid w:val="009E1745"/>
    <w:rsid w:val="009E1934"/>
    <w:rsid w:val="009E1955"/>
    <w:rsid w:val="009E2443"/>
    <w:rsid w:val="009E26B1"/>
    <w:rsid w:val="009E29BB"/>
    <w:rsid w:val="009E2BC8"/>
    <w:rsid w:val="009E2E82"/>
    <w:rsid w:val="009E31F4"/>
    <w:rsid w:val="009E3358"/>
    <w:rsid w:val="009E3807"/>
    <w:rsid w:val="009E3947"/>
    <w:rsid w:val="009E3979"/>
    <w:rsid w:val="009E405E"/>
    <w:rsid w:val="009E4AAB"/>
    <w:rsid w:val="009E4BC1"/>
    <w:rsid w:val="009E4C42"/>
    <w:rsid w:val="009E4C8A"/>
    <w:rsid w:val="009E4D28"/>
    <w:rsid w:val="009E4D4D"/>
    <w:rsid w:val="009E5555"/>
    <w:rsid w:val="009E55D1"/>
    <w:rsid w:val="009E5B73"/>
    <w:rsid w:val="009E5CB4"/>
    <w:rsid w:val="009E5F70"/>
    <w:rsid w:val="009E62ED"/>
    <w:rsid w:val="009E645D"/>
    <w:rsid w:val="009E686B"/>
    <w:rsid w:val="009E6D19"/>
    <w:rsid w:val="009E6F08"/>
    <w:rsid w:val="009E6F74"/>
    <w:rsid w:val="009E7135"/>
    <w:rsid w:val="009E72ED"/>
    <w:rsid w:val="009E79D7"/>
    <w:rsid w:val="009E7FD2"/>
    <w:rsid w:val="009F0046"/>
    <w:rsid w:val="009F0230"/>
    <w:rsid w:val="009F0261"/>
    <w:rsid w:val="009F062A"/>
    <w:rsid w:val="009F07AB"/>
    <w:rsid w:val="009F0B67"/>
    <w:rsid w:val="009F0BA7"/>
    <w:rsid w:val="009F0D6C"/>
    <w:rsid w:val="009F108B"/>
    <w:rsid w:val="009F13C1"/>
    <w:rsid w:val="009F1527"/>
    <w:rsid w:val="009F1654"/>
    <w:rsid w:val="009F1766"/>
    <w:rsid w:val="009F1E19"/>
    <w:rsid w:val="009F1E58"/>
    <w:rsid w:val="009F1F6D"/>
    <w:rsid w:val="009F22A3"/>
    <w:rsid w:val="009F22AE"/>
    <w:rsid w:val="009F25D7"/>
    <w:rsid w:val="009F25FF"/>
    <w:rsid w:val="009F2638"/>
    <w:rsid w:val="009F2A2D"/>
    <w:rsid w:val="009F2AA2"/>
    <w:rsid w:val="009F2BA7"/>
    <w:rsid w:val="009F2D97"/>
    <w:rsid w:val="009F2F4A"/>
    <w:rsid w:val="009F33A0"/>
    <w:rsid w:val="009F3920"/>
    <w:rsid w:val="009F3BCD"/>
    <w:rsid w:val="009F4064"/>
    <w:rsid w:val="009F44DB"/>
    <w:rsid w:val="009F47F0"/>
    <w:rsid w:val="009F4BA5"/>
    <w:rsid w:val="009F4C65"/>
    <w:rsid w:val="009F4CF0"/>
    <w:rsid w:val="009F4D9B"/>
    <w:rsid w:val="009F4F4B"/>
    <w:rsid w:val="009F51B8"/>
    <w:rsid w:val="009F56A7"/>
    <w:rsid w:val="009F58C4"/>
    <w:rsid w:val="009F59C9"/>
    <w:rsid w:val="009F5CBD"/>
    <w:rsid w:val="009F649B"/>
    <w:rsid w:val="009F6744"/>
    <w:rsid w:val="009F684A"/>
    <w:rsid w:val="009F6B09"/>
    <w:rsid w:val="009F6B24"/>
    <w:rsid w:val="009F6B4D"/>
    <w:rsid w:val="009F700B"/>
    <w:rsid w:val="009F7269"/>
    <w:rsid w:val="009F73D7"/>
    <w:rsid w:val="009F75EC"/>
    <w:rsid w:val="009F767E"/>
    <w:rsid w:val="009F76CC"/>
    <w:rsid w:val="009F7C84"/>
    <w:rsid w:val="009FF405"/>
    <w:rsid w:val="00A00184"/>
    <w:rsid w:val="00A0027D"/>
    <w:rsid w:val="00A005DE"/>
    <w:rsid w:val="00A007B5"/>
    <w:rsid w:val="00A00B98"/>
    <w:rsid w:val="00A00EE3"/>
    <w:rsid w:val="00A01075"/>
    <w:rsid w:val="00A01082"/>
    <w:rsid w:val="00A010C8"/>
    <w:rsid w:val="00A013E1"/>
    <w:rsid w:val="00A01450"/>
    <w:rsid w:val="00A016FB"/>
    <w:rsid w:val="00A01741"/>
    <w:rsid w:val="00A01FE6"/>
    <w:rsid w:val="00A020D2"/>
    <w:rsid w:val="00A02138"/>
    <w:rsid w:val="00A021F6"/>
    <w:rsid w:val="00A021F9"/>
    <w:rsid w:val="00A022AB"/>
    <w:rsid w:val="00A02382"/>
    <w:rsid w:val="00A02C18"/>
    <w:rsid w:val="00A02EAA"/>
    <w:rsid w:val="00A030FC"/>
    <w:rsid w:val="00A036B1"/>
    <w:rsid w:val="00A036ED"/>
    <w:rsid w:val="00A03956"/>
    <w:rsid w:val="00A03BE4"/>
    <w:rsid w:val="00A03EAE"/>
    <w:rsid w:val="00A04539"/>
    <w:rsid w:val="00A04952"/>
    <w:rsid w:val="00A04B57"/>
    <w:rsid w:val="00A05034"/>
    <w:rsid w:val="00A051A8"/>
    <w:rsid w:val="00A051C3"/>
    <w:rsid w:val="00A0565F"/>
    <w:rsid w:val="00A057F5"/>
    <w:rsid w:val="00A058F3"/>
    <w:rsid w:val="00A05BEA"/>
    <w:rsid w:val="00A061F2"/>
    <w:rsid w:val="00A06919"/>
    <w:rsid w:val="00A06A76"/>
    <w:rsid w:val="00A06CAC"/>
    <w:rsid w:val="00A06FB1"/>
    <w:rsid w:val="00A0715D"/>
    <w:rsid w:val="00A071FF"/>
    <w:rsid w:val="00A0736C"/>
    <w:rsid w:val="00A075B4"/>
    <w:rsid w:val="00A076DF"/>
    <w:rsid w:val="00A07786"/>
    <w:rsid w:val="00A07AB7"/>
    <w:rsid w:val="00A07C41"/>
    <w:rsid w:val="00A10019"/>
    <w:rsid w:val="00A100D4"/>
    <w:rsid w:val="00A10B91"/>
    <w:rsid w:val="00A10C9A"/>
    <w:rsid w:val="00A10CA3"/>
    <w:rsid w:val="00A10D68"/>
    <w:rsid w:val="00A10E9F"/>
    <w:rsid w:val="00A10F6C"/>
    <w:rsid w:val="00A1105E"/>
    <w:rsid w:val="00A1128D"/>
    <w:rsid w:val="00A112B9"/>
    <w:rsid w:val="00A11526"/>
    <w:rsid w:val="00A117B4"/>
    <w:rsid w:val="00A11974"/>
    <w:rsid w:val="00A11D23"/>
    <w:rsid w:val="00A11F67"/>
    <w:rsid w:val="00A1233F"/>
    <w:rsid w:val="00A124AE"/>
    <w:rsid w:val="00A128B5"/>
    <w:rsid w:val="00A1294E"/>
    <w:rsid w:val="00A12ACB"/>
    <w:rsid w:val="00A12D41"/>
    <w:rsid w:val="00A130EB"/>
    <w:rsid w:val="00A13261"/>
    <w:rsid w:val="00A13AB1"/>
    <w:rsid w:val="00A13EAC"/>
    <w:rsid w:val="00A14032"/>
    <w:rsid w:val="00A141DE"/>
    <w:rsid w:val="00A14354"/>
    <w:rsid w:val="00A143FE"/>
    <w:rsid w:val="00A1460C"/>
    <w:rsid w:val="00A14833"/>
    <w:rsid w:val="00A149DA"/>
    <w:rsid w:val="00A14B16"/>
    <w:rsid w:val="00A153A5"/>
    <w:rsid w:val="00A15855"/>
    <w:rsid w:val="00A15DE2"/>
    <w:rsid w:val="00A15E80"/>
    <w:rsid w:val="00A15F2E"/>
    <w:rsid w:val="00A1609B"/>
    <w:rsid w:val="00A16291"/>
    <w:rsid w:val="00A1643B"/>
    <w:rsid w:val="00A16443"/>
    <w:rsid w:val="00A16455"/>
    <w:rsid w:val="00A16522"/>
    <w:rsid w:val="00A16B3B"/>
    <w:rsid w:val="00A16E30"/>
    <w:rsid w:val="00A171F5"/>
    <w:rsid w:val="00A17372"/>
    <w:rsid w:val="00A17539"/>
    <w:rsid w:val="00A17D98"/>
    <w:rsid w:val="00A17E84"/>
    <w:rsid w:val="00A20047"/>
    <w:rsid w:val="00A207FA"/>
    <w:rsid w:val="00A2080D"/>
    <w:rsid w:val="00A208C9"/>
    <w:rsid w:val="00A20A8C"/>
    <w:rsid w:val="00A20B1A"/>
    <w:rsid w:val="00A20C46"/>
    <w:rsid w:val="00A20CA3"/>
    <w:rsid w:val="00A20F40"/>
    <w:rsid w:val="00A21542"/>
    <w:rsid w:val="00A21AD8"/>
    <w:rsid w:val="00A21E5E"/>
    <w:rsid w:val="00A22003"/>
    <w:rsid w:val="00A22075"/>
    <w:rsid w:val="00A22144"/>
    <w:rsid w:val="00A22354"/>
    <w:rsid w:val="00A22432"/>
    <w:rsid w:val="00A2245E"/>
    <w:rsid w:val="00A22730"/>
    <w:rsid w:val="00A2287F"/>
    <w:rsid w:val="00A22928"/>
    <w:rsid w:val="00A231EC"/>
    <w:rsid w:val="00A2343D"/>
    <w:rsid w:val="00A23620"/>
    <w:rsid w:val="00A2371B"/>
    <w:rsid w:val="00A23807"/>
    <w:rsid w:val="00A2385B"/>
    <w:rsid w:val="00A23DE0"/>
    <w:rsid w:val="00A23EEC"/>
    <w:rsid w:val="00A23FEB"/>
    <w:rsid w:val="00A24073"/>
    <w:rsid w:val="00A241FA"/>
    <w:rsid w:val="00A242CE"/>
    <w:rsid w:val="00A2498F"/>
    <w:rsid w:val="00A24E7B"/>
    <w:rsid w:val="00A250CB"/>
    <w:rsid w:val="00A2553C"/>
    <w:rsid w:val="00A255E4"/>
    <w:rsid w:val="00A258A1"/>
    <w:rsid w:val="00A258C9"/>
    <w:rsid w:val="00A25C22"/>
    <w:rsid w:val="00A2612F"/>
    <w:rsid w:val="00A26201"/>
    <w:rsid w:val="00A26385"/>
    <w:rsid w:val="00A263F1"/>
    <w:rsid w:val="00A26552"/>
    <w:rsid w:val="00A2657C"/>
    <w:rsid w:val="00A2690E"/>
    <w:rsid w:val="00A26B00"/>
    <w:rsid w:val="00A26B24"/>
    <w:rsid w:val="00A26B4C"/>
    <w:rsid w:val="00A2700C"/>
    <w:rsid w:val="00A2702C"/>
    <w:rsid w:val="00A27656"/>
    <w:rsid w:val="00A276D1"/>
    <w:rsid w:val="00A277C9"/>
    <w:rsid w:val="00A279B0"/>
    <w:rsid w:val="00A301CF"/>
    <w:rsid w:val="00A302E3"/>
    <w:rsid w:val="00A302ED"/>
    <w:rsid w:val="00A303AE"/>
    <w:rsid w:val="00A305D3"/>
    <w:rsid w:val="00A306D1"/>
    <w:rsid w:val="00A3093F"/>
    <w:rsid w:val="00A30A62"/>
    <w:rsid w:val="00A316E3"/>
    <w:rsid w:val="00A316E7"/>
    <w:rsid w:val="00A317CD"/>
    <w:rsid w:val="00A31868"/>
    <w:rsid w:val="00A31F3F"/>
    <w:rsid w:val="00A321A2"/>
    <w:rsid w:val="00A321FC"/>
    <w:rsid w:val="00A3250C"/>
    <w:rsid w:val="00A32690"/>
    <w:rsid w:val="00A3275B"/>
    <w:rsid w:val="00A329EE"/>
    <w:rsid w:val="00A32A66"/>
    <w:rsid w:val="00A32BEF"/>
    <w:rsid w:val="00A32D21"/>
    <w:rsid w:val="00A32D67"/>
    <w:rsid w:val="00A32F1A"/>
    <w:rsid w:val="00A32F83"/>
    <w:rsid w:val="00A3334E"/>
    <w:rsid w:val="00A333D4"/>
    <w:rsid w:val="00A33478"/>
    <w:rsid w:val="00A335E3"/>
    <w:rsid w:val="00A33AA2"/>
    <w:rsid w:val="00A33C87"/>
    <w:rsid w:val="00A33D53"/>
    <w:rsid w:val="00A33EC9"/>
    <w:rsid w:val="00A343A1"/>
    <w:rsid w:val="00A3444B"/>
    <w:rsid w:val="00A3481B"/>
    <w:rsid w:val="00A3522F"/>
    <w:rsid w:val="00A35498"/>
    <w:rsid w:val="00A355E1"/>
    <w:rsid w:val="00A35757"/>
    <w:rsid w:val="00A3576A"/>
    <w:rsid w:val="00A3584D"/>
    <w:rsid w:val="00A35891"/>
    <w:rsid w:val="00A35C5C"/>
    <w:rsid w:val="00A35D93"/>
    <w:rsid w:val="00A35F4F"/>
    <w:rsid w:val="00A36014"/>
    <w:rsid w:val="00A3605E"/>
    <w:rsid w:val="00A36407"/>
    <w:rsid w:val="00A3646A"/>
    <w:rsid w:val="00A36509"/>
    <w:rsid w:val="00A36819"/>
    <w:rsid w:val="00A36943"/>
    <w:rsid w:val="00A36E14"/>
    <w:rsid w:val="00A37220"/>
    <w:rsid w:val="00A37830"/>
    <w:rsid w:val="00A37DC5"/>
    <w:rsid w:val="00A4008A"/>
    <w:rsid w:val="00A400D4"/>
    <w:rsid w:val="00A401DE"/>
    <w:rsid w:val="00A4058D"/>
    <w:rsid w:val="00A40596"/>
    <w:rsid w:val="00A408D8"/>
    <w:rsid w:val="00A40B3A"/>
    <w:rsid w:val="00A40C1F"/>
    <w:rsid w:val="00A40C34"/>
    <w:rsid w:val="00A40D13"/>
    <w:rsid w:val="00A40D99"/>
    <w:rsid w:val="00A41198"/>
    <w:rsid w:val="00A413C0"/>
    <w:rsid w:val="00A41517"/>
    <w:rsid w:val="00A41671"/>
    <w:rsid w:val="00A4180B"/>
    <w:rsid w:val="00A41888"/>
    <w:rsid w:val="00A418C0"/>
    <w:rsid w:val="00A41AF0"/>
    <w:rsid w:val="00A41EE6"/>
    <w:rsid w:val="00A42083"/>
    <w:rsid w:val="00A420C8"/>
    <w:rsid w:val="00A421C8"/>
    <w:rsid w:val="00A423A5"/>
    <w:rsid w:val="00A42AC7"/>
    <w:rsid w:val="00A42EFE"/>
    <w:rsid w:val="00A42FDE"/>
    <w:rsid w:val="00A42FED"/>
    <w:rsid w:val="00A43157"/>
    <w:rsid w:val="00A43577"/>
    <w:rsid w:val="00A4374F"/>
    <w:rsid w:val="00A4379C"/>
    <w:rsid w:val="00A43862"/>
    <w:rsid w:val="00A44412"/>
    <w:rsid w:val="00A446B2"/>
    <w:rsid w:val="00A446DB"/>
    <w:rsid w:val="00A44977"/>
    <w:rsid w:val="00A44A16"/>
    <w:rsid w:val="00A44A95"/>
    <w:rsid w:val="00A44DFB"/>
    <w:rsid w:val="00A455CE"/>
    <w:rsid w:val="00A45A6B"/>
    <w:rsid w:val="00A45BDB"/>
    <w:rsid w:val="00A45F51"/>
    <w:rsid w:val="00A45F66"/>
    <w:rsid w:val="00A46347"/>
    <w:rsid w:val="00A4634E"/>
    <w:rsid w:val="00A4636E"/>
    <w:rsid w:val="00A468C2"/>
    <w:rsid w:val="00A46A40"/>
    <w:rsid w:val="00A46AA2"/>
    <w:rsid w:val="00A46F9E"/>
    <w:rsid w:val="00A47392"/>
    <w:rsid w:val="00A479D1"/>
    <w:rsid w:val="00A47BC7"/>
    <w:rsid w:val="00A47E0C"/>
    <w:rsid w:val="00A500A3"/>
    <w:rsid w:val="00A505D3"/>
    <w:rsid w:val="00A5067F"/>
    <w:rsid w:val="00A506C9"/>
    <w:rsid w:val="00A509B4"/>
    <w:rsid w:val="00A50B85"/>
    <w:rsid w:val="00A50EC5"/>
    <w:rsid w:val="00A50FC8"/>
    <w:rsid w:val="00A50FF8"/>
    <w:rsid w:val="00A510E9"/>
    <w:rsid w:val="00A51106"/>
    <w:rsid w:val="00A51249"/>
    <w:rsid w:val="00A5138F"/>
    <w:rsid w:val="00A513E5"/>
    <w:rsid w:val="00A5151F"/>
    <w:rsid w:val="00A5168F"/>
    <w:rsid w:val="00A519FF"/>
    <w:rsid w:val="00A51E85"/>
    <w:rsid w:val="00A52645"/>
    <w:rsid w:val="00A528E4"/>
    <w:rsid w:val="00A528EB"/>
    <w:rsid w:val="00A5297E"/>
    <w:rsid w:val="00A52A50"/>
    <w:rsid w:val="00A53013"/>
    <w:rsid w:val="00A53030"/>
    <w:rsid w:val="00A53081"/>
    <w:rsid w:val="00A53343"/>
    <w:rsid w:val="00A5340C"/>
    <w:rsid w:val="00A535A2"/>
    <w:rsid w:val="00A5386D"/>
    <w:rsid w:val="00A539B6"/>
    <w:rsid w:val="00A53BB9"/>
    <w:rsid w:val="00A53E64"/>
    <w:rsid w:val="00A5434A"/>
    <w:rsid w:val="00A54ADD"/>
    <w:rsid w:val="00A54D27"/>
    <w:rsid w:val="00A54F4C"/>
    <w:rsid w:val="00A54F4E"/>
    <w:rsid w:val="00A551F6"/>
    <w:rsid w:val="00A553DF"/>
    <w:rsid w:val="00A55488"/>
    <w:rsid w:val="00A555E4"/>
    <w:rsid w:val="00A55911"/>
    <w:rsid w:val="00A55BC0"/>
    <w:rsid w:val="00A55EAB"/>
    <w:rsid w:val="00A56025"/>
    <w:rsid w:val="00A5607B"/>
    <w:rsid w:val="00A56116"/>
    <w:rsid w:val="00A5627E"/>
    <w:rsid w:val="00A563E8"/>
    <w:rsid w:val="00A56583"/>
    <w:rsid w:val="00A566B1"/>
    <w:rsid w:val="00A567A7"/>
    <w:rsid w:val="00A56B97"/>
    <w:rsid w:val="00A56E08"/>
    <w:rsid w:val="00A570AF"/>
    <w:rsid w:val="00A57355"/>
    <w:rsid w:val="00A57BA8"/>
    <w:rsid w:val="00A57F64"/>
    <w:rsid w:val="00A600AE"/>
    <w:rsid w:val="00A60346"/>
    <w:rsid w:val="00A604A5"/>
    <w:rsid w:val="00A60553"/>
    <w:rsid w:val="00A6056D"/>
    <w:rsid w:val="00A60698"/>
    <w:rsid w:val="00A60B55"/>
    <w:rsid w:val="00A60B5D"/>
    <w:rsid w:val="00A60C8A"/>
    <w:rsid w:val="00A60F6A"/>
    <w:rsid w:val="00A61678"/>
    <w:rsid w:val="00A6193B"/>
    <w:rsid w:val="00A619CF"/>
    <w:rsid w:val="00A61E17"/>
    <w:rsid w:val="00A61E20"/>
    <w:rsid w:val="00A61E75"/>
    <w:rsid w:val="00A61F72"/>
    <w:rsid w:val="00A61FE2"/>
    <w:rsid w:val="00A62195"/>
    <w:rsid w:val="00A625A2"/>
    <w:rsid w:val="00A626D3"/>
    <w:rsid w:val="00A62766"/>
    <w:rsid w:val="00A62A97"/>
    <w:rsid w:val="00A62AB1"/>
    <w:rsid w:val="00A62C47"/>
    <w:rsid w:val="00A62C55"/>
    <w:rsid w:val="00A62ECA"/>
    <w:rsid w:val="00A6306C"/>
    <w:rsid w:val="00A633E0"/>
    <w:rsid w:val="00A63B91"/>
    <w:rsid w:val="00A63B98"/>
    <w:rsid w:val="00A63D29"/>
    <w:rsid w:val="00A6430B"/>
    <w:rsid w:val="00A643BF"/>
    <w:rsid w:val="00A6480B"/>
    <w:rsid w:val="00A65005"/>
    <w:rsid w:val="00A6517A"/>
    <w:rsid w:val="00A6519D"/>
    <w:rsid w:val="00A65211"/>
    <w:rsid w:val="00A65515"/>
    <w:rsid w:val="00A659BE"/>
    <w:rsid w:val="00A66559"/>
    <w:rsid w:val="00A666C1"/>
    <w:rsid w:val="00A66C2F"/>
    <w:rsid w:val="00A66CC0"/>
    <w:rsid w:val="00A67167"/>
    <w:rsid w:val="00A675FB"/>
    <w:rsid w:val="00A67612"/>
    <w:rsid w:val="00A677D8"/>
    <w:rsid w:val="00A6782D"/>
    <w:rsid w:val="00A6796E"/>
    <w:rsid w:val="00A67DB8"/>
    <w:rsid w:val="00A67EE4"/>
    <w:rsid w:val="00A7018C"/>
    <w:rsid w:val="00A702BF"/>
    <w:rsid w:val="00A70486"/>
    <w:rsid w:val="00A707ED"/>
    <w:rsid w:val="00A70821"/>
    <w:rsid w:val="00A70ADC"/>
    <w:rsid w:val="00A70B4C"/>
    <w:rsid w:val="00A7109B"/>
    <w:rsid w:val="00A711B1"/>
    <w:rsid w:val="00A71434"/>
    <w:rsid w:val="00A71649"/>
    <w:rsid w:val="00A7179A"/>
    <w:rsid w:val="00A71A70"/>
    <w:rsid w:val="00A71B4C"/>
    <w:rsid w:val="00A71D76"/>
    <w:rsid w:val="00A71E6D"/>
    <w:rsid w:val="00A72058"/>
    <w:rsid w:val="00A72196"/>
    <w:rsid w:val="00A7249C"/>
    <w:rsid w:val="00A724AA"/>
    <w:rsid w:val="00A7273A"/>
    <w:rsid w:val="00A72E16"/>
    <w:rsid w:val="00A72E2D"/>
    <w:rsid w:val="00A72F8B"/>
    <w:rsid w:val="00A72FFE"/>
    <w:rsid w:val="00A73169"/>
    <w:rsid w:val="00A7337E"/>
    <w:rsid w:val="00A736A7"/>
    <w:rsid w:val="00A7373C"/>
    <w:rsid w:val="00A73910"/>
    <w:rsid w:val="00A7399C"/>
    <w:rsid w:val="00A73A58"/>
    <w:rsid w:val="00A73C5C"/>
    <w:rsid w:val="00A73C8B"/>
    <w:rsid w:val="00A73CCB"/>
    <w:rsid w:val="00A73CE3"/>
    <w:rsid w:val="00A73CED"/>
    <w:rsid w:val="00A740B5"/>
    <w:rsid w:val="00A74237"/>
    <w:rsid w:val="00A74326"/>
    <w:rsid w:val="00A746AF"/>
    <w:rsid w:val="00A7485C"/>
    <w:rsid w:val="00A749B5"/>
    <w:rsid w:val="00A74A3F"/>
    <w:rsid w:val="00A751E5"/>
    <w:rsid w:val="00A7596D"/>
    <w:rsid w:val="00A75BBB"/>
    <w:rsid w:val="00A75BE7"/>
    <w:rsid w:val="00A75EF8"/>
    <w:rsid w:val="00A761CF"/>
    <w:rsid w:val="00A76688"/>
    <w:rsid w:val="00A76775"/>
    <w:rsid w:val="00A7699E"/>
    <w:rsid w:val="00A76FBA"/>
    <w:rsid w:val="00A770CA"/>
    <w:rsid w:val="00A77137"/>
    <w:rsid w:val="00A77563"/>
    <w:rsid w:val="00A77DCF"/>
    <w:rsid w:val="00A77FC5"/>
    <w:rsid w:val="00A77FCA"/>
    <w:rsid w:val="00A801C1"/>
    <w:rsid w:val="00A8049B"/>
    <w:rsid w:val="00A80506"/>
    <w:rsid w:val="00A80917"/>
    <w:rsid w:val="00A80A91"/>
    <w:rsid w:val="00A80D75"/>
    <w:rsid w:val="00A80DCE"/>
    <w:rsid w:val="00A80E95"/>
    <w:rsid w:val="00A811F1"/>
    <w:rsid w:val="00A81612"/>
    <w:rsid w:val="00A81B39"/>
    <w:rsid w:val="00A81CC4"/>
    <w:rsid w:val="00A81E0F"/>
    <w:rsid w:val="00A8236E"/>
    <w:rsid w:val="00A827E6"/>
    <w:rsid w:val="00A82945"/>
    <w:rsid w:val="00A82D87"/>
    <w:rsid w:val="00A82E6E"/>
    <w:rsid w:val="00A82E9C"/>
    <w:rsid w:val="00A8302B"/>
    <w:rsid w:val="00A83229"/>
    <w:rsid w:val="00A83657"/>
    <w:rsid w:val="00A8399C"/>
    <w:rsid w:val="00A83F10"/>
    <w:rsid w:val="00A83F6A"/>
    <w:rsid w:val="00A83F99"/>
    <w:rsid w:val="00A84114"/>
    <w:rsid w:val="00A843EE"/>
    <w:rsid w:val="00A84416"/>
    <w:rsid w:val="00A845B1"/>
    <w:rsid w:val="00A84A75"/>
    <w:rsid w:val="00A84B14"/>
    <w:rsid w:val="00A8503B"/>
    <w:rsid w:val="00A855B9"/>
    <w:rsid w:val="00A8573C"/>
    <w:rsid w:val="00A85968"/>
    <w:rsid w:val="00A85C57"/>
    <w:rsid w:val="00A86021"/>
    <w:rsid w:val="00A863F9"/>
    <w:rsid w:val="00A86658"/>
    <w:rsid w:val="00A86739"/>
    <w:rsid w:val="00A86BF7"/>
    <w:rsid w:val="00A87066"/>
    <w:rsid w:val="00A87342"/>
    <w:rsid w:val="00A87377"/>
    <w:rsid w:val="00A878D0"/>
    <w:rsid w:val="00A87AF5"/>
    <w:rsid w:val="00A87D22"/>
    <w:rsid w:val="00A87E52"/>
    <w:rsid w:val="00A9017D"/>
    <w:rsid w:val="00A90214"/>
    <w:rsid w:val="00A9021B"/>
    <w:rsid w:val="00A9041B"/>
    <w:rsid w:val="00A90BBB"/>
    <w:rsid w:val="00A90E06"/>
    <w:rsid w:val="00A90E15"/>
    <w:rsid w:val="00A9124A"/>
    <w:rsid w:val="00A91415"/>
    <w:rsid w:val="00A91F6F"/>
    <w:rsid w:val="00A920FC"/>
    <w:rsid w:val="00A92203"/>
    <w:rsid w:val="00A9271C"/>
    <w:rsid w:val="00A92DF3"/>
    <w:rsid w:val="00A930DB"/>
    <w:rsid w:val="00A930E8"/>
    <w:rsid w:val="00A932F4"/>
    <w:rsid w:val="00A932FB"/>
    <w:rsid w:val="00A93440"/>
    <w:rsid w:val="00A9385B"/>
    <w:rsid w:val="00A940C0"/>
    <w:rsid w:val="00A94569"/>
    <w:rsid w:val="00A94A5E"/>
    <w:rsid w:val="00A94CD6"/>
    <w:rsid w:val="00A94E4B"/>
    <w:rsid w:val="00A94E64"/>
    <w:rsid w:val="00A95036"/>
    <w:rsid w:val="00A950F7"/>
    <w:rsid w:val="00A951CE"/>
    <w:rsid w:val="00A9539B"/>
    <w:rsid w:val="00A9546C"/>
    <w:rsid w:val="00A955D2"/>
    <w:rsid w:val="00A95656"/>
    <w:rsid w:val="00A95659"/>
    <w:rsid w:val="00A9580B"/>
    <w:rsid w:val="00A9586D"/>
    <w:rsid w:val="00A95CF2"/>
    <w:rsid w:val="00A95E70"/>
    <w:rsid w:val="00A96083"/>
    <w:rsid w:val="00A96302"/>
    <w:rsid w:val="00A96767"/>
    <w:rsid w:val="00A96958"/>
    <w:rsid w:val="00A96992"/>
    <w:rsid w:val="00A96A22"/>
    <w:rsid w:val="00A96B7D"/>
    <w:rsid w:val="00A96D20"/>
    <w:rsid w:val="00A97213"/>
    <w:rsid w:val="00A974EE"/>
    <w:rsid w:val="00A977B5"/>
    <w:rsid w:val="00A97D15"/>
    <w:rsid w:val="00A97D3A"/>
    <w:rsid w:val="00A97F1C"/>
    <w:rsid w:val="00A97F54"/>
    <w:rsid w:val="00AA0086"/>
    <w:rsid w:val="00AA065E"/>
    <w:rsid w:val="00AA0742"/>
    <w:rsid w:val="00AA0B85"/>
    <w:rsid w:val="00AA0D0E"/>
    <w:rsid w:val="00AA0D27"/>
    <w:rsid w:val="00AA0DC5"/>
    <w:rsid w:val="00AA0FFD"/>
    <w:rsid w:val="00AA1660"/>
    <w:rsid w:val="00AA1714"/>
    <w:rsid w:val="00AA1B75"/>
    <w:rsid w:val="00AA1C27"/>
    <w:rsid w:val="00AA1D53"/>
    <w:rsid w:val="00AA2167"/>
    <w:rsid w:val="00AA2171"/>
    <w:rsid w:val="00AA21CB"/>
    <w:rsid w:val="00AA223D"/>
    <w:rsid w:val="00AA251E"/>
    <w:rsid w:val="00AA2559"/>
    <w:rsid w:val="00AA2F48"/>
    <w:rsid w:val="00AA31E7"/>
    <w:rsid w:val="00AA31F9"/>
    <w:rsid w:val="00AA320B"/>
    <w:rsid w:val="00AA32D0"/>
    <w:rsid w:val="00AA3620"/>
    <w:rsid w:val="00AA3671"/>
    <w:rsid w:val="00AA38BD"/>
    <w:rsid w:val="00AA3B4E"/>
    <w:rsid w:val="00AA3CB7"/>
    <w:rsid w:val="00AA3D7B"/>
    <w:rsid w:val="00AA3E38"/>
    <w:rsid w:val="00AA3EDE"/>
    <w:rsid w:val="00AA4044"/>
    <w:rsid w:val="00AA424A"/>
    <w:rsid w:val="00AA43DC"/>
    <w:rsid w:val="00AA469D"/>
    <w:rsid w:val="00AA4770"/>
    <w:rsid w:val="00AA4820"/>
    <w:rsid w:val="00AA4BC3"/>
    <w:rsid w:val="00AA4D3D"/>
    <w:rsid w:val="00AA4DB8"/>
    <w:rsid w:val="00AA4EFA"/>
    <w:rsid w:val="00AA50CD"/>
    <w:rsid w:val="00AA514D"/>
    <w:rsid w:val="00AA5A64"/>
    <w:rsid w:val="00AA615F"/>
    <w:rsid w:val="00AA61CF"/>
    <w:rsid w:val="00AA6331"/>
    <w:rsid w:val="00AA63A0"/>
    <w:rsid w:val="00AA66FB"/>
    <w:rsid w:val="00AA694D"/>
    <w:rsid w:val="00AA6B2D"/>
    <w:rsid w:val="00AA6D18"/>
    <w:rsid w:val="00AA7468"/>
    <w:rsid w:val="00AA74C5"/>
    <w:rsid w:val="00AA7B00"/>
    <w:rsid w:val="00AA7C11"/>
    <w:rsid w:val="00AA7F35"/>
    <w:rsid w:val="00AB0006"/>
    <w:rsid w:val="00AB00A3"/>
    <w:rsid w:val="00AB012A"/>
    <w:rsid w:val="00AB01C1"/>
    <w:rsid w:val="00AB0670"/>
    <w:rsid w:val="00AB0A83"/>
    <w:rsid w:val="00AB0AE0"/>
    <w:rsid w:val="00AB0D1D"/>
    <w:rsid w:val="00AB0D55"/>
    <w:rsid w:val="00AB0E5A"/>
    <w:rsid w:val="00AB15B1"/>
    <w:rsid w:val="00AB1832"/>
    <w:rsid w:val="00AB1CD6"/>
    <w:rsid w:val="00AB223C"/>
    <w:rsid w:val="00AB2274"/>
    <w:rsid w:val="00AB22F3"/>
    <w:rsid w:val="00AB2863"/>
    <w:rsid w:val="00AB2AD6"/>
    <w:rsid w:val="00AB2CCB"/>
    <w:rsid w:val="00AB2FCD"/>
    <w:rsid w:val="00AB34A2"/>
    <w:rsid w:val="00AB34CA"/>
    <w:rsid w:val="00AB34FD"/>
    <w:rsid w:val="00AB39E7"/>
    <w:rsid w:val="00AB4223"/>
    <w:rsid w:val="00AB4507"/>
    <w:rsid w:val="00AB46C7"/>
    <w:rsid w:val="00AB4736"/>
    <w:rsid w:val="00AB4B6F"/>
    <w:rsid w:val="00AB4B72"/>
    <w:rsid w:val="00AB4CAE"/>
    <w:rsid w:val="00AB4D59"/>
    <w:rsid w:val="00AB4E41"/>
    <w:rsid w:val="00AB4ECB"/>
    <w:rsid w:val="00AB5013"/>
    <w:rsid w:val="00AB5041"/>
    <w:rsid w:val="00AB5070"/>
    <w:rsid w:val="00AB54B1"/>
    <w:rsid w:val="00AB5547"/>
    <w:rsid w:val="00AB5792"/>
    <w:rsid w:val="00AB57D8"/>
    <w:rsid w:val="00AB613C"/>
    <w:rsid w:val="00AB6634"/>
    <w:rsid w:val="00AB6667"/>
    <w:rsid w:val="00AB6A54"/>
    <w:rsid w:val="00AB7272"/>
    <w:rsid w:val="00AB7449"/>
    <w:rsid w:val="00AB7637"/>
    <w:rsid w:val="00AB77FB"/>
    <w:rsid w:val="00AB7901"/>
    <w:rsid w:val="00AB7E23"/>
    <w:rsid w:val="00AC04C6"/>
    <w:rsid w:val="00AC05B7"/>
    <w:rsid w:val="00AC0B44"/>
    <w:rsid w:val="00AC0E5F"/>
    <w:rsid w:val="00AC0F8A"/>
    <w:rsid w:val="00AC0F8B"/>
    <w:rsid w:val="00AC100D"/>
    <w:rsid w:val="00AC13D6"/>
    <w:rsid w:val="00AC14FC"/>
    <w:rsid w:val="00AC157C"/>
    <w:rsid w:val="00AC16B1"/>
    <w:rsid w:val="00AC17B9"/>
    <w:rsid w:val="00AC1B92"/>
    <w:rsid w:val="00AC1C9A"/>
    <w:rsid w:val="00AC1D54"/>
    <w:rsid w:val="00AC1DB0"/>
    <w:rsid w:val="00AC1E5A"/>
    <w:rsid w:val="00AC1EC9"/>
    <w:rsid w:val="00AC204F"/>
    <w:rsid w:val="00AC225C"/>
    <w:rsid w:val="00AC26CB"/>
    <w:rsid w:val="00AC31F2"/>
    <w:rsid w:val="00AC3907"/>
    <w:rsid w:val="00AC3998"/>
    <w:rsid w:val="00AC3C20"/>
    <w:rsid w:val="00AC3D0A"/>
    <w:rsid w:val="00AC3E5F"/>
    <w:rsid w:val="00AC3EA1"/>
    <w:rsid w:val="00AC4400"/>
    <w:rsid w:val="00AC47C3"/>
    <w:rsid w:val="00AC48D2"/>
    <w:rsid w:val="00AC4BBE"/>
    <w:rsid w:val="00AC4DFB"/>
    <w:rsid w:val="00AC4FE2"/>
    <w:rsid w:val="00AC5064"/>
    <w:rsid w:val="00AC573C"/>
    <w:rsid w:val="00AC5837"/>
    <w:rsid w:val="00AC58D6"/>
    <w:rsid w:val="00AC59BE"/>
    <w:rsid w:val="00AC5AF0"/>
    <w:rsid w:val="00AC5C70"/>
    <w:rsid w:val="00AC6720"/>
    <w:rsid w:val="00AC674D"/>
    <w:rsid w:val="00AC676D"/>
    <w:rsid w:val="00AC6A37"/>
    <w:rsid w:val="00AC714D"/>
    <w:rsid w:val="00AC7263"/>
    <w:rsid w:val="00AC75A8"/>
    <w:rsid w:val="00AC796C"/>
    <w:rsid w:val="00AC7985"/>
    <w:rsid w:val="00AC7A1D"/>
    <w:rsid w:val="00AD06A4"/>
    <w:rsid w:val="00AD073D"/>
    <w:rsid w:val="00AD082F"/>
    <w:rsid w:val="00AD093D"/>
    <w:rsid w:val="00AD09F3"/>
    <w:rsid w:val="00AD0A2E"/>
    <w:rsid w:val="00AD0A6C"/>
    <w:rsid w:val="00AD0DAC"/>
    <w:rsid w:val="00AD0E08"/>
    <w:rsid w:val="00AD0F36"/>
    <w:rsid w:val="00AD11C0"/>
    <w:rsid w:val="00AD1483"/>
    <w:rsid w:val="00AD1553"/>
    <w:rsid w:val="00AD1630"/>
    <w:rsid w:val="00AD1726"/>
    <w:rsid w:val="00AD17BD"/>
    <w:rsid w:val="00AD1811"/>
    <w:rsid w:val="00AD18FD"/>
    <w:rsid w:val="00AD1DB7"/>
    <w:rsid w:val="00AD1F0B"/>
    <w:rsid w:val="00AD2051"/>
    <w:rsid w:val="00AD2237"/>
    <w:rsid w:val="00AD22E8"/>
    <w:rsid w:val="00AD2358"/>
    <w:rsid w:val="00AD2473"/>
    <w:rsid w:val="00AD2717"/>
    <w:rsid w:val="00AD2BBF"/>
    <w:rsid w:val="00AD3545"/>
    <w:rsid w:val="00AD3794"/>
    <w:rsid w:val="00AD39FD"/>
    <w:rsid w:val="00AD3B75"/>
    <w:rsid w:val="00AD3D4E"/>
    <w:rsid w:val="00AD3EAD"/>
    <w:rsid w:val="00AD41DE"/>
    <w:rsid w:val="00AD41E9"/>
    <w:rsid w:val="00AD4472"/>
    <w:rsid w:val="00AD44DE"/>
    <w:rsid w:val="00AD4599"/>
    <w:rsid w:val="00AD4627"/>
    <w:rsid w:val="00AD4AC9"/>
    <w:rsid w:val="00AD4D1E"/>
    <w:rsid w:val="00AD4D57"/>
    <w:rsid w:val="00AD4F6E"/>
    <w:rsid w:val="00AD50C7"/>
    <w:rsid w:val="00AD5635"/>
    <w:rsid w:val="00AD5B72"/>
    <w:rsid w:val="00AD5E70"/>
    <w:rsid w:val="00AD5EE6"/>
    <w:rsid w:val="00AD6070"/>
    <w:rsid w:val="00AD616E"/>
    <w:rsid w:val="00AD61DE"/>
    <w:rsid w:val="00AD62F9"/>
    <w:rsid w:val="00AD672A"/>
    <w:rsid w:val="00AD673C"/>
    <w:rsid w:val="00AD68E4"/>
    <w:rsid w:val="00AD695F"/>
    <w:rsid w:val="00AD6B04"/>
    <w:rsid w:val="00AD6D59"/>
    <w:rsid w:val="00AD730B"/>
    <w:rsid w:val="00AD7460"/>
    <w:rsid w:val="00AD78C7"/>
    <w:rsid w:val="00AD79A0"/>
    <w:rsid w:val="00AD7C2C"/>
    <w:rsid w:val="00AE02DA"/>
    <w:rsid w:val="00AE0349"/>
    <w:rsid w:val="00AE0577"/>
    <w:rsid w:val="00AE0758"/>
    <w:rsid w:val="00AE08A3"/>
    <w:rsid w:val="00AE09B8"/>
    <w:rsid w:val="00AE124F"/>
    <w:rsid w:val="00AE158F"/>
    <w:rsid w:val="00AE16D8"/>
    <w:rsid w:val="00AE18DD"/>
    <w:rsid w:val="00AE217D"/>
    <w:rsid w:val="00AE228E"/>
    <w:rsid w:val="00AE254B"/>
    <w:rsid w:val="00AE26DD"/>
    <w:rsid w:val="00AE288C"/>
    <w:rsid w:val="00AE2A14"/>
    <w:rsid w:val="00AE2CF4"/>
    <w:rsid w:val="00AE2DBD"/>
    <w:rsid w:val="00AE2DCA"/>
    <w:rsid w:val="00AE2FF0"/>
    <w:rsid w:val="00AE3050"/>
    <w:rsid w:val="00AE33F3"/>
    <w:rsid w:val="00AE3731"/>
    <w:rsid w:val="00AE3AC4"/>
    <w:rsid w:val="00AE3DE2"/>
    <w:rsid w:val="00AE3DE5"/>
    <w:rsid w:val="00AE406E"/>
    <w:rsid w:val="00AE4209"/>
    <w:rsid w:val="00AE43BF"/>
    <w:rsid w:val="00AE4572"/>
    <w:rsid w:val="00AE4879"/>
    <w:rsid w:val="00AE49EC"/>
    <w:rsid w:val="00AE4A3A"/>
    <w:rsid w:val="00AE4B6B"/>
    <w:rsid w:val="00AE4C09"/>
    <w:rsid w:val="00AE4EBC"/>
    <w:rsid w:val="00AE519F"/>
    <w:rsid w:val="00AE54D9"/>
    <w:rsid w:val="00AE5754"/>
    <w:rsid w:val="00AE5853"/>
    <w:rsid w:val="00AE5F9B"/>
    <w:rsid w:val="00AE60FB"/>
    <w:rsid w:val="00AE6163"/>
    <w:rsid w:val="00AE61BA"/>
    <w:rsid w:val="00AE67C0"/>
    <w:rsid w:val="00AE6CF0"/>
    <w:rsid w:val="00AE6D06"/>
    <w:rsid w:val="00AE6E18"/>
    <w:rsid w:val="00AE6E47"/>
    <w:rsid w:val="00AE70BF"/>
    <w:rsid w:val="00AE74A2"/>
    <w:rsid w:val="00AE75F1"/>
    <w:rsid w:val="00AE778B"/>
    <w:rsid w:val="00AE7E6D"/>
    <w:rsid w:val="00AF0241"/>
    <w:rsid w:val="00AF050F"/>
    <w:rsid w:val="00AF06EB"/>
    <w:rsid w:val="00AF09BC"/>
    <w:rsid w:val="00AF0AB3"/>
    <w:rsid w:val="00AF0D19"/>
    <w:rsid w:val="00AF0F7A"/>
    <w:rsid w:val="00AF106C"/>
    <w:rsid w:val="00AF1125"/>
    <w:rsid w:val="00AF1606"/>
    <w:rsid w:val="00AF1957"/>
    <w:rsid w:val="00AF1B50"/>
    <w:rsid w:val="00AF1CAE"/>
    <w:rsid w:val="00AF1DC1"/>
    <w:rsid w:val="00AF213F"/>
    <w:rsid w:val="00AF2160"/>
    <w:rsid w:val="00AF22D6"/>
    <w:rsid w:val="00AF2457"/>
    <w:rsid w:val="00AF2576"/>
    <w:rsid w:val="00AF27C6"/>
    <w:rsid w:val="00AF29EF"/>
    <w:rsid w:val="00AF2A2C"/>
    <w:rsid w:val="00AF2B19"/>
    <w:rsid w:val="00AF2CD9"/>
    <w:rsid w:val="00AF2CEB"/>
    <w:rsid w:val="00AF3048"/>
    <w:rsid w:val="00AF31AB"/>
    <w:rsid w:val="00AF32F8"/>
    <w:rsid w:val="00AF330E"/>
    <w:rsid w:val="00AF34DF"/>
    <w:rsid w:val="00AF3907"/>
    <w:rsid w:val="00AF3A58"/>
    <w:rsid w:val="00AF3FF9"/>
    <w:rsid w:val="00AF4097"/>
    <w:rsid w:val="00AF425C"/>
    <w:rsid w:val="00AF4614"/>
    <w:rsid w:val="00AF4AE7"/>
    <w:rsid w:val="00AF4C5A"/>
    <w:rsid w:val="00AF56C1"/>
    <w:rsid w:val="00AF5DEB"/>
    <w:rsid w:val="00AF5E44"/>
    <w:rsid w:val="00AF6267"/>
    <w:rsid w:val="00AF671C"/>
    <w:rsid w:val="00AF6BBC"/>
    <w:rsid w:val="00AF6BCA"/>
    <w:rsid w:val="00AF6C10"/>
    <w:rsid w:val="00AF6CC9"/>
    <w:rsid w:val="00AF6D61"/>
    <w:rsid w:val="00AF6DDC"/>
    <w:rsid w:val="00AF7277"/>
    <w:rsid w:val="00AF76FC"/>
    <w:rsid w:val="00AF7BB0"/>
    <w:rsid w:val="00AF7C8A"/>
    <w:rsid w:val="00AF7DCB"/>
    <w:rsid w:val="00B0009E"/>
    <w:rsid w:val="00B00286"/>
    <w:rsid w:val="00B00405"/>
    <w:rsid w:val="00B006C4"/>
    <w:rsid w:val="00B00A33"/>
    <w:rsid w:val="00B00CE6"/>
    <w:rsid w:val="00B00DE6"/>
    <w:rsid w:val="00B014EC"/>
    <w:rsid w:val="00B015C5"/>
    <w:rsid w:val="00B020C6"/>
    <w:rsid w:val="00B0246A"/>
    <w:rsid w:val="00B025A2"/>
    <w:rsid w:val="00B026D3"/>
    <w:rsid w:val="00B0278D"/>
    <w:rsid w:val="00B02C0D"/>
    <w:rsid w:val="00B02C19"/>
    <w:rsid w:val="00B02F14"/>
    <w:rsid w:val="00B03607"/>
    <w:rsid w:val="00B037ED"/>
    <w:rsid w:val="00B0392C"/>
    <w:rsid w:val="00B03996"/>
    <w:rsid w:val="00B03BC4"/>
    <w:rsid w:val="00B03BE3"/>
    <w:rsid w:val="00B03EEF"/>
    <w:rsid w:val="00B04412"/>
    <w:rsid w:val="00B046C1"/>
    <w:rsid w:val="00B0473D"/>
    <w:rsid w:val="00B0473E"/>
    <w:rsid w:val="00B04780"/>
    <w:rsid w:val="00B04B5C"/>
    <w:rsid w:val="00B04CFC"/>
    <w:rsid w:val="00B04E0B"/>
    <w:rsid w:val="00B05415"/>
    <w:rsid w:val="00B0550D"/>
    <w:rsid w:val="00B05515"/>
    <w:rsid w:val="00B05780"/>
    <w:rsid w:val="00B05D68"/>
    <w:rsid w:val="00B05EEB"/>
    <w:rsid w:val="00B05F22"/>
    <w:rsid w:val="00B05FA9"/>
    <w:rsid w:val="00B0604B"/>
    <w:rsid w:val="00B061D4"/>
    <w:rsid w:val="00B06800"/>
    <w:rsid w:val="00B06865"/>
    <w:rsid w:val="00B06AAA"/>
    <w:rsid w:val="00B06C19"/>
    <w:rsid w:val="00B06F08"/>
    <w:rsid w:val="00B06F8C"/>
    <w:rsid w:val="00B070F4"/>
    <w:rsid w:val="00B07B1D"/>
    <w:rsid w:val="00B07CFC"/>
    <w:rsid w:val="00B07D03"/>
    <w:rsid w:val="00B07DAA"/>
    <w:rsid w:val="00B10172"/>
    <w:rsid w:val="00B1042E"/>
    <w:rsid w:val="00B107D8"/>
    <w:rsid w:val="00B109D0"/>
    <w:rsid w:val="00B10AA2"/>
    <w:rsid w:val="00B1107E"/>
    <w:rsid w:val="00B114BE"/>
    <w:rsid w:val="00B114E6"/>
    <w:rsid w:val="00B11501"/>
    <w:rsid w:val="00B11657"/>
    <w:rsid w:val="00B119D2"/>
    <w:rsid w:val="00B11AC4"/>
    <w:rsid w:val="00B11CA3"/>
    <w:rsid w:val="00B11D0E"/>
    <w:rsid w:val="00B11D10"/>
    <w:rsid w:val="00B11EFB"/>
    <w:rsid w:val="00B11FEE"/>
    <w:rsid w:val="00B12060"/>
    <w:rsid w:val="00B122C3"/>
    <w:rsid w:val="00B126E5"/>
    <w:rsid w:val="00B12891"/>
    <w:rsid w:val="00B128C9"/>
    <w:rsid w:val="00B12C73"/>
    <w:rsid w:val="00B12C9C"/>
    <w:rsid w:val="00B12E3C"/>
    <w:rsid w:val="00B12E9C"/>
    <w:rsid w:val="00B130B4"/>
    <w:rsid w:val="00B1311B"/>
    <w:rsid w:val="00B131F2"/>
    <w:rsid w:val="00B13243"/>
    <w:rsid w:val="00B13290"/>
    <w:rsid w:val="00B133C1"/>
    <w:rsid w:val="00B134DB"/>
    <w:rsid w:val="00B13558"/>
    <w:rsid w:val="00B137E8"/>
    <w:rsid w:val="00B13820"/>
    <w:rsid w:val="00B13B15"/>
    <w:rsid w:val="00B13D50"/>
    <w:rsid w:val="00B1439E"/>
    <w:rsid w:val="00B14687"/>
    <w:rsid w:val="00B14923"/>
    <w:rsid w:val="00B14F01"/>
    <w:rsid w:val="00B14F28"/>
    <w:rsid w:val="00B153AF"/>
    <w:rsid w:val="00B154B9"/>
    <w:rsid w:val="00B155C7"/>
    <w:rsid w:val="00B1576D"/>
    <w:rsid w:val="00B15783"/>
    <w:rsid w:val="00B15AAD"/>
    <w:rsid w:val="00B15AE7"/>
    <w:rsid w:val="00B15BAD"/>
    <w:rsid w:val="00B15BD3"/>
    <w:rsid w:val="00B15D1F"/>
    <w:rsid w:val="00B162A0"/>
    <w:rsid w:val="00B16418"/>
    <w:rsid w:val="00B16695"/>
    <w:rsid w:val="00B16800"/>
    <w:rsid w:val="00B1685B"/>
    <w:rsid w:val="00B169B7"/>
    <w:rsid w:val="00B16D0C"/>
    <w:rsid w:val="00B16EFB"/>
    <w:rsid w:val="00B16F13"/>
    <w:rsid w:val="00B16FFF"/>
    <w:rsid w:val="00B17052"/>
    <w:rsid w:val="00B1712E"/>
    <w:rsid w:val="00B172B5"/>
    <w:rsid w:val="00B173C5"/>
    <w:rsid w:val="00B17761"/>
    <w:rsid w:val="00B179B8"/>
    <w:rsid w:val="00B17EEE"/>
    <w:rsid w:val="00B2019E"/>
    <w:rsid w:val="00B205BD"/>
    <w:rsid w:val="00B2066B"/>
    <w:rsid w:val="00B20682"/>
    <w:rsid w:val="00B20822"/>
    <w:rsid w:val="00B20A53"/>
    <w:rsid w:val="00B20A8A"/>
    <w:rsid w:val="00B20F60"/>
    <w:rsid w:val="00B2109A"/>
    <w:rsid w:val="00B210B3"/>
    <w:rsid w:val="00B2172E"/>
    <w:rsid w:val="00B217F6"/>
    <w:rsid w:val="00B21926"/>
    <w:rsid w:val="00B21995"/>
    <w:rsid w:val="00B21A21"/>
    <w:rsid w:val="00B21C47"/>
    <w:rsid w:val="00B21D9A"/>
    <w:rsid w:val="00B21E54"/>
    <w:rsid w:val="00B21EB8"/>
    <w:rsid w:val="00B21F10"/>
    <w:rsid w:val="00B21F55"/>
    <w:rsid w:val="00B21FCA"/>
    <w:rsid w:val="00B2235F"/>
    <w:rsid w:val="00B2255A"/>
    <w:rsid w:val="00B229A9"/>
    <w:rsid w:val="00B22AE5"/>
    <w:rsid w:val="00B22E44"/>
    <w:rsid w:val="00B2308E"/>
    <w:rsid w:val="00B23431"/>
    <w:rsid w:val="00B2371E"/>
    <w:rsid w:val="00B238E1"/>
    <w:rsid w:val="00B23ACB"/>
    <w:rsid w:val="00B241C1"/>
    <w:rsid w:val="00B2429C"/>
    <w:rsid w:val="00B245D8"/>
    <w:rsid w:val="00B24BCE"/>
    <w:rsid w:val="00B24FAD"/>
    <w:rsid w:val="00B2567A"/>
    <w:rsid w:val="00B25707"/>
    <w:rsid w:val="00B25767"/>
    <w:rsid w:val="00B2576C"/>
    <w:rsid w:val="00B257FD"/>
    <w:rsid w:val="00B258E9"/>
    <w:rsid w:val="00B25905"/>
    <w:rsid w:val="00B25CEC"/>
    <w:rsid w:val="00B25E38"/>
    <w:rsid w:val="00B25E46"/>
    <w:rsid w:val="00B26281"/>
    <w:rsid w:val="00B264A2"/>
    <w:rsid w:val="00B2679B"/>
    <w:rsid w:val="00B2691D"/>
    <w:rsid w:val="00B26BBC"/>
    <w:rsid w:val="00B26CE2"/>
    <w:rsid w:val="00B26D24"/>
    <w:rsid w:val="00B26D92"/>
    <w:rsid w:val="00B26E3E"/>
    <w:rsid w:val="00B270AF"/>
    <w:rsid w:val="00B2752D"/>
    <w:rsid w:val="00B27AC6"/>
    <w:rsid w:val="00B27D65"/>
    <w:rsid w:val="00B27EF0"/>
    <w:rsid w:val="00B30261"/>
    <w:rsid w:val="00B303C9"/>
    <w:rsid w:val="00B30454"/>
    <w:rsid w:val="00B3049F"/>
    <w:rsid w:val="00B3066E"/>
    <w:rsid w:val="00B3093F"/>
    <w:rsid w:val="00B30E1C"/>
    <w:rsid w:val="00B30FC6"/>
    <w:rsid w:val="00B310B1"/>
    <w:rsid w:val="00B31127"/>
    <w:rsid w:val="00B31178"/>
    <w:rsid w:val="00B31393"/>
    <w:rsid w:val="00B31502"/>
    <w:rsid w:val="00B31633"/>
    <w:rsid w:val="00B3166B"/>
    <w:rsid w:val="00B317B6"/>
    <w:rsid w:val="00B31AF7"/>
    <w:rsid w:val="00B321D2"/>
    <w:rsid w:val="00B321F7"/>
    <w:rsid w:val="00B326D8"/>
    <w:rsid w:val="00B3275D"/>
    <w:rsid w:val="00B3284B"/>
    <w:rsid w:val="00B32ABC"/>
    <w:rsid w:val="00B32B74"/>
    <w:rsid w:val="00B32C68"/>
    <w:rsid w:val="00B32D20"/>
    <w:rsid w:val="00B32E43"/>
    <w:rsid w:val="00B32F76"/>
    <w:rsid w:val="00B33476"/>
    <w:rsid w:val="00B33A25"/>
    <w:rsid w:val="00B33ADE"/>
    <w:rsid w:val="00B33C90"/>
    <w:rsid w:val="00B34359"/>
    <w:rsid w:val="00B3439B"/>
    <w:rsid w:val="00B343DD"/>
    <w:rsid w:val="00B34E39"/>
    <w:rsid w:val="00B352F6"/>
    <w:rsid w:val="00B354B6"/>
    <w:rsid w:val="00B35767"/>
    <w:rsid w:val="00B35FDB"/>
    <w:rsid w:val="00B3606E"/>
    <w:rsid w:val="00B364FD"/>
    <w:rsid w:val="00B365DC"/>
    <w:rsid w:val="00B36612"/>
    <w:rsid w:val="00B3668C"/>
    <w:rsid w:val="00B369B4"/>
    <w:rsid w:val="00B36ACF"/>
    <w:rsid w:val="00B3721A"/>
    <w:rsid w:val="00B372DB"/>
    <w:rsid w:val="00B37871"/>
    <w:rsid w:val="00B37957"/>
    <w:rsid w:val="00B37B74"/>
    <w:rsid w:val="00B37F0E"/>
    <w:rsid w:val="00B4007E"/>
    <w:rsid w:val="00B408C3"/>
    <w:rsid w:val="00B40F80"/>
    <w:rsid w:val="00B411B8"/>
    <w:rsid w:val="00B4161B"/>
    <w:rsid w:val="00B419A1"/>
    <w:rsid w:val="00B41B97"/>
    <w:rsid w:val="00B41DF9"/>
    <w:rsid w:val="00B41FC6"/>
    <w:rsid w:val="00B420B5"/>
    <w:rsid w:val="00B422AB"/>
    <w:rsid w:val="00B426C5"/>
    <w:rsid w:val="00B42F2E"/>
    <w:rsid w:val="00B431F3"/>
    <w:rsid w:val="00B43400"/>
    <w:rsid w:val="00B43451"/>
    <w:rsid w:val="00B4362E"/>
    <w:rsid w:val="00B442EB"/>
    <w:rsid w:val="00B44422"/>
    <w:rsid w:val="00B44A16"/>
    <w:rsid w:val="00B44E9A"/>
    <w:rsid w:val="00B45295"/>
    <w:rsid w:val="00B45572"/>
    <w:rsid w:val="00B45960"/>
    <w:rsid w:val="00B45B88"/>
    <w:rsid w:val="00B45E77"/>
    <w:rsid w:val="00B461CA"/>
    <w:rsid w:val="00B46419"/>
    <w:rsid w:val="00B467D9"/>
    <w:rsid w:val="00B46AC1"/>
    <w:rsid w:val="00B46B03"/>
    <w:rsid w:val="00B46D34"/>
    <w:rsid w:val="00B46DAA"/>
    <w:rsid w:val="00B46DAD"/>
    <w:rsid w:val="00B46DBF"/>
    <w:rsid w:val="00B47073"/>
    <w:rsid w:val="00B4765B"/>
    <w:rsid w:val="00B477EC"/>
    <w:rsid w:val="00B478EC"/>
    <w:rsid w:val="00B47A4F"/>
    <w:rsid w:val="00B47E98"/>
    <w:rsid w:val="00B50060"/>
    <w:rsid w:val="00B501D7"/>
    <w:rsid w:val="00B5040C"/>
    <w:rsid w:val="00B5048E"/>
    <w:rsid w:val="00B50508"/>
    <w:rsid w:val="00B505D6"/>
    <w:rsid w:val="00B505E0"/>
    <w:rsid w:val="00B50AA5"/>
    <w:rsid w:val="00B510AB"/>
    <w:rsid w:val="00B51372"/>
    <w:rsid w:val="00B51710"/>
    <w:rsid w:val="00B51AD2"/>
    <w:rsid w:val="00B51AFA"/>
    <w:rsid w:val="00B51D5E"/>
    <w:rsid w:val="00B51D98"/>
    <w:rsid w:val="00B51F20"/>
    <w:rsid w:val="00B51F54"/>
    <w:rsid w:val="00B520BD"/>
    <w:rsid w:val="00B520CA"/>
    <w:rsid w:val="00B520DF"/>
    <w:rsid w:val="00B521E2"/>
    <w:rsid w:val="00B527FE"/>
    <w:rsid w:val="00B528DF"/>
    <w:rsid w:val="00B52942"/>
    <w:rsid w:val="00B52AD1"/>
    <w:rsid w:val="00B52BBC"/>
    <w:rsid w:val="00B52CF8"/>
    <w:rsid w:val="00B52FC5"/>
    <w:rsid w:val="00B53007"/>
    <w:rsid w:val="00B5311D"/>
    <w:rsid w:val="00B53398"/>
    <w:rsid w:val="00B533B2"/>
    <w:rsid w:val="00B533CB"/>
    <w:rsid w:val="00B5351B"/>
    <w:rsid w:val="00B53956"/>
    <w:rsid w:val="00B53AA8"/>
    <w:rsid w:val="00B53B28"/>
    <w:rsid w:val="00B53C68"/>
    <w:rsid w:val="00B544EC"/>
    <w:rsid w:val="00B550B3"/>
    <w:rsid w:val="00B55567"/>
    <w:rsid w:val="00B55638"/>
    <w:rsid w:val="00B55B32"/>
    <w:rsid w:val="00B55B50"/>
    <w:rsid w:val="00B56350"/>
    <w:rsid w:val="00B56533"/>
    <w:rsid w:val="00B5678B"/>
    <w:rsid w:val="00B56C10"/>
    <w:rsid w:val="00B56DB8"/>
    <w:rsid w:val="00B57247"/>
    <w:rsid w:val="00B57545"/>
    <w:rsid w:val="00B577DC"/>
    <w:rsid w:val="00B57841"/>
    <w:rsid w:val="00B5795F"/>
    <w:rsid w:val="00B57EA6"/>
    <w:rsid w:val="00B601D8"/>
    <w:rsid w:val="00B602E5"/>
    <w:rsid w:val="00B60585"/>
    <w:rsid w:val="00B605BE"/>
    <w:rsid w:val="00B609BD"/>
    <w:rsid w:val="00B60CA4"/>
    <w:rsid w:val="00B6152A"/>
    <w:rsid w:val="00B616C1"/>
    <w:rsid w:val="00B617AD"/>
    <w:rsid w:val="00B617FA"/>
    <w:rsid w:val="00B618D0"/>
    <w:rsid w:val="00B61917"/>
    <w:rsid w:val="00B61953"/>
    <w:rsid w:val="00B61995"/>
    <w:rsid w:val="00B61E36"/>
    <w:rsid w:val="00B62072"/>
    <w:rsid w:val="00B62201"/>
    <w:rsid w:val="00B623D5"/>
    <w:rsid w:val="00B624C1"/>
    <w:rsid w:val="00B6253D"/>
    <w:rsid w:val="00B62F2C"/>
    <w:rsid w:val="00B63479"/>
    <w:rsid w:val="00B6357F"/>
    <w:rsid w:val="00B6391B"/>
    <w:rsid w:val="00B63E93"/>
    <w:rsid w:val="00B63F00"/>
    <w:rsid w:val="00B63FF0"/>
    <w:rsid w:val="00B64043"/>
    <w:rsid w:val="00B6459D"/>
    <w:rsid w:val="00B647B9"/>
    <w:rsid w:val="00B64D6E"/>
    <w:rsid w:val="00B652FC"/>
    <w:rsid w:val="00B6543D"/>
    <w:rsid w:val="00B655A3"/>
    <w:rsid w:val="00B655E7"/>
    <w:rsid w:val="00B6568B"/>
    <w:rsid w:val="00B656EB"/>
    <w:rsid w:val="00B659C7"/>
    <w:rsid w:val="00B65B4E"/>
    <w:rsid w:val="00B66124"/>
    <w:rsid w:val="00B6630C"/>
    <w:rsid w:val="00B663A6"/>
    <w:rsid w:val="00B663FD"/>
    <w:rsid w:val="00B66879"/>
    <w:rsid w:val="00B66AB1"/>
    <w:rsid w:val="00B66B7C"/>
    <w:rsid w:val="00B66B9B"/>
    <w:rsid w:val="00B66E0F"/>
    <w:rsid w:val="00B67191"/>
    <w:rsid w:val="00B671C0"/>
    <w:rsid w:val="00B67284"/>
    <w:rsid w:val="00B672C4"/>
    <w:rsid w:val="00B67628"/>
    <w:rsid w:val="00B676ED"/>
    <w:rsid w:val="00B6776C"/>
    <w:rsid w:val="00B67F86"/>
    <w:rsid w:val="00B7079A"/>
    <w:rsid w:val="00B708E4"/>
    <w:rsid w:val="00B7095C"/>
    <w:rsid w:val="00B70F8F"/>
    <w:rsid w:val="00B7115E"/>
    <w:rsid w:val="00B715DD"/>
    <w:rsid w:val="00B71634"/>
    <w:rsid w:val="00B7194E"/>
    <w:rsid w:val="00B71D18"/>
    <w:rsid w:val="00B71E2F"/>
    <w:rsid w:val="00B72441"/>
    <w:rsid w:val="00B725E5"/>
    <w:rsid w:val="00B72702"/>
    <w:rsid w:val="00B72922"/>
    <w:rsid w:val="00B73208"/>
    <w:rsid w:val="00B73264"/>
    <w:rsid w:val="00B73760"/>
    <w:rsid w:val="00B73D96"/>
    <w:rsid w:val="00B73F0E"/>
    <w:rsid w:val="00B741B8"/>
    <w:rsid w:val="00B7442A"/>
    <w:rsid w:val="00B74468"/>
    <w:rsid w:val="00B745EC"/>
    <w:rsid w:val="00B7484F"/>
    <w:rsid w:val="00B74A23"/>
    <w:rsid w:val="00B74A8F"/>
    <w:rsid w:val="00B74F35"/>
    <w:rsid w:val="00B74F3D"/>
    <w:rsid w:val="00B74FA9"/>
    <w:rsid w:val="00B7524C"/>
    <w:rsid w:val="00B754BA"/>
    <w:rsid w:val="00B75535"/>
    <w:rsid w:val="00B756D3"/>
    <w:rsid w:val="00B75AA4"/>
    <w:rsid w:val="00B75BDA"/>
    <w:rsid w:val="00B75DCE"/>
    <w:rsid w:val="00B765E7"/>
    <w:rsid w:val="00B769B8"/>
    <w:rsid w:val="00B76B1F"/>
    <w:rsid w:val="00B77014"/>
    <w:rsid w:val="00B77054"/>
    <w:rsid w:val="00B770B5"/>
    <w:rsid w:val="00B7744D"/>
    <w:rsid w:val="00B77934"/>
    <w:rsid w:val="00B77B68"/>
    <w:rsid w:val="00B8008D"/>
    <w:rsid w:val="00B801AD"/>
    <w:rsid w:val="00B80339"/>
    <w:rsid w:val="00B80508"/>
    <w:rsid w:val="00B8098A"/>
    <w:rsid w:val="00B80B71"/>
    <w:rsid w:val="00B813F6"/>
    <w:rsid w:val="00B81494"/>
    <w:rsid w:val="00B814FA"/>
    <w:rsid w:val="00B8154A"/>
    <w:rsid w:val="00B81719"/>
    <w:rsid w:val="00B81C84"/>
    <w:rsid w:val="00B81D0A"/>
    <w:rsid w:val="00B81EFD"/>
    <w:rsid w:val="00B81F94"/>
    <w:rsid w:val="00B81FD1"/>
    <w:rsid w:val="00B824FC"/>
    <w:rsid w:val="00B82834"/>
    <w:rsid w:val="00B82865"/>
    <w:rsid w:val="00B829C8"/>
    <w:rsid w:val="00B82AA6"/>
    <w:rsid w:val="00B82D07"/>
    <w:rsid w:val="00B82ECE"/>
    <w:rsid w:val="00B83630"/>
    <w:rsid w:val="00B83959"/>
    <w:rsid w:val="00B83AA4"/>
    <w:rsid w:val="00B83C27"/>
    <w:rsid w:val="00B83C66"/>
    <w:rsid w:val="00B83DD7"/>
    <w:rsid w:val="00B83FCF"/>
    <w:rsid w:val="00B84003"/>
    <w:rsid w:val="00B846D2"/>
    <w:rsid w:val="00B84713"/>
    <w:rsid w:val="00B84D46"/>
    <w:rsid w:val="00B8525D"/>
    <w:rsid w:val="00B853AF"/>
    <w:rsid w:val="00B8549F"/>
    <w:rsid w:val="00B85897"/>
    <w:rsid w:val="00B85A7D"/>
    <w:rsid w:val="00B85AEF"/>
    <w:rsid w:val="00B85D3B"/>
    <w:rsid w:val="00B85DEC"/>
    <w:rsid w:val="00B86036"/>
    <w:rsid w:val="00B86337"/>
    <w:rsid w:val="00B86C7F"/>
    <w:rsid w:val="00B86D46"/>
    <w:rsid w:val="00B86F5C"/>
    <w:rsid w:val="00B87394"/>
    <w:rsid w:val="00B87988"/>
    <w:rsid w:val="00B87B6F"/>
    <w:rsid w:val="00B87EA0"/>
    <w:rsid w:val="00B87FB7"/>
    <w:rsid w:val="00B9014A"/>
    <w:rsid w:val="00B90519"/>
    <w:rsid w:val="00B905AB"/>
    <w:rsid w:val="00B90CBF"/>
    <w:rsid w:val="00B90F86"/>
    <w:rsid w:val="00B910BE"/>
    <w:rsid w:val="00B91208"/>
    <w:rsid w:val="00B913F9"/>
    <w:rsid w:val="00B914E7"/>
    <w:rsid w:val="00B91975"/>
    <w:rsid w:val="00B91EC9"/>
    <w:rsid w:val="00B91ED7"/>
    <w:rsid w:val="00B924B0"/>
    <w:rsid w:val="00B924DC"/>
    <w:rsid w:val="00B92B2A"/>
    <w:rsid w:val="00B92D6E"/>
    <w:rsid w:val="00B931DD"/>
    <w:rsid w:val="00B93258"/>
    <w:rsid w:val="00B93401"/>
    <w:rsid w:val="00B9384A"/>
    <w:rsid w:val="00B93A07"/>
    <w:rsid w:val="00B93AE0"/>
    <w:rsid w:val="00B93BA4"/>
    <w:rsid w:val="00B93EDC"/>
    <w:rsid w:val="00B940C6"/>
    <w:rsid w:val="00B94407"/>
    <w:rsid w:val="00B94411"/>
    <w:rsid w:val="00B944CC"/>
    <w:rsid w:val="00B946AA"/>
    <w:rsid w:val="00B94CA9"/>
    <w:rsid w:val="00B94D06"/>
    <w:rsid w:val="00B951D3"/>
    <w:rsid w:val="00B951E2"/>
    <w:rsid w:val="00B954C8"/>
    <w:rsid w:val="00B955CF"/>
    <w:rsid w:val="00B9562A"/>
    <w:rsid w:val="00B9572E"/>
    <w:rsid w:val="00B95791"/>
    <w:rsid w:val="00B95979"/>
    <w:rsid w:val="00B95D37"/>
    <w:rsid w:val="00B95DE8"/>
    <w:rsid w:val="00B95E87"/>
    <w:rsid w:val="00B95F79"/>
    <w:rsid w:val="00B96210"/>
    <w:rsid w:val="00B96602"/>
    <w:rsid w:val="00B96B99"/>
    <w:rsid w:val="00B96F5C"/>
    <w:rsid w:val="00B9750C"/>
    <w:rsid w:val="00B97610"/>
    <w:rsid w:val="00B978C6"/>
    <w:rsid w:val="00B97969"/>
    <w:rsid w:val="00B97D48"/>
    <w:rsid w:val="00BA012E"/>
    <w:rsid w:val="00BA0963"/>
    <w:rsid w:val="00BA097A"/>
    <w:rsid w:val="00BA0E97"/>
    <w:rsid w:val="00BA0EF8"/>
    <w:rsid w:val="00BA0F12"/>
    <w:rsid w:val="00BA0FDB"/>
    <w:rsid w:val="00BA113D"/>
    <w:rsid w:val="00BA1239"/>
    <w:rsid w:val="00BA169A"/>
    <w:rsid w:val="00BA1891"/>
    <w:rsid w:val="00BA1995"/>
    <w:rsid w:val="00BA1C47"/>
    <w:rsid w:val="00BA1E03"/>
    <w:rsid w:val="00BA1E31"/>
    <w:rsid w:val="00BA1EC9"/>
    <w:rsid w:val="00BA2075"/>
    <w:rsid w:val="00BA20E3"/>
    <w:rsid w:val="00BA28D8"/>
    <w:rsid w:val="00BA29DC"/>
    <w:rsid w:val="00BA2DDC"/>
    <w:rsid w:val="00BA2E2C"/>
    <w:rsid w:val="00BA306B"/>
    <w:rsid w:val="00BA3657"/>
    <w:rsid w:val="00BA37E3"/>
    <w:rsid w:val="00BA3946"/>
    <w:rsid w:val="00BA3B93"/>
    <w:rsid w:val="00BA3CD3"/>
    <w:rsid w:val="00BA3D22"/>
    <w:rsid w:val="00BA3F47"/>
    <w:rsid w:val="00BA404A"/>
    <w:rsid w:val="00BA4211"/>
    <w:rsid w:val="00BA4350"/>
    <w:rsid w:val="00BA43EB"/>
    <w:rsid w:val="00BA4836"/>
    <w:rsid w:val="00BA4B34"/>
    <w:rsid w:val="00BA4B81"/>
    <w:rsid w:val="00BA4CAA"/>
    <w:rsid w:val="00BA4E73"/>
    <w:rsid w:val="00BA4E8C"/>
    <w:rsid w:val="00BA4F36"/>
    <w:rsid w:val="00BA5125"/>
    <w:rsid w:val="00BA5158"/>
    <w:rsid w:val="00BA530F"/>
    <w:rsid w:val="00BA540F"/>
    <w:rsid w:val="00BA5AC6"/>
    <w:rsid w:val="00BA5C78"/>
    <w:rsid w:val="00BA613D"/>
    <w:rsid w:val="00BA6161"/>
    <w:rsid w:val="00BA6283"/>
    <w:rsid w:val="00BA6787"/>
    <w:rsid w:val="00BA687E"/>
    <w:rsid w:val="00BA6BB6"/>
    <w:rsid w:val="00BA6F24"/>
    <w:rsid w:val="00BA6F9B"/>
    <w:rsid w:val="00BA7200"/>
    <w:rsid w:val="00BA72AE"/>
    <w:rsid w:val="00BA7402"/>
    <w:rsid w:val="00BA7A39"/>
    <w:rsid w:val="00BA7AAE"/>
    <w:rsid w:val="00BA7AF7"/>
    <w:rsid w:val="00BA7FC6"/>
    <w:rsid w:val="00BB004D"/>
    <w:rsid w:val="00BB0121"/>
    <w:rsid w:val="00BB012A"/>
    <w:rsid w:val="00BB0446"/>
    <w:rsid w:val="00BB065F"/>
    <w:rsid w:val="00BB0AE8"/>
    <w:rsid w:val="00BB0BE5"/>
    <w:rsid w:val="00BB0F7F"/>
    <w:rsid w:val="00BB0FB6"/>
    <w:rsid w:val="00BB10C9"/>
    <w:rsid w:val="00BB131A"/>
    <w:rsid w:val="00BB1402"/>
    <w:rsid w:val="00BB1778"/>
    <w:rsid w:val="00BB1AA0"/>
    <w:rsid w:val="00BB1CD9"/>
    <w:rsid w:val="00BB1F98"/>
    <w:rsid w:val="00BB2027"/>
    <w:rsid w:val="00BB239B"/>
    <w:rsid w:val="00BB23F3"/>
    <w:rsid w:val="00BB2983"/>
    <w:rsid w:val="00BB2B2D"/>
    <w:rsid w:val="00BB2C70"/>
    <w:rsid w:val="00BB2CF9"/>
    <w:rsid w:val="00BB319A"/>
    <w:rsid w:val="00BB320B"/>
    <w:rsid w:val="00BB336C"/>
    <w:rsid w:val="00BB3392"/>
    <w:rsid w:val="00BB3419"/>
    <w:rsid w:val="00BB3586"/>
    <w:rsid w:val="00BB35DE"/>
    <w:rsid w:val="00BB3AAE"/>
    <w:rsid w:val="00BB3C52"/>
    <w:rsid w:val="00BB3D96"/>
    <w:rsid w:val="00BB4100"/>
    <w:rsid w:val="00BB43AC"/>
    <w:rsid w:val="00BB498E"/>
    <w:rsid w:val="00BB4B7F"/>
    <w:rsid w:val="00BB4BEE"/>
    <w:rsid w:val="00BB4F55"/>
    <w:rsid w:val="00BB50DB"/>
    <w:rsid w:val="00BB537E"/>
    <w:rsid w:val="00BB5CD5"/>
    <w:rsid w:val="00BB5D31"/>
    <w:rsid w:val="00BB5F16"/>
    <w:rsid w:val="00BB63EF"/>
    <w:rsid w:val="00BB6C3F"/>
    <w:rsid w:val="00BB7090"/>
    <w:rsid w:val="00BB731E"/>
    <w:rsid w:val="00BB73B0"/>
    <w:rsid w:val="00BB73C2"/>
    <w:rsid w:val="00BB74D5"/>
    <w:rsid w:val="00BB7739"/>
    <w:rsid w:val="00BB77AF"/>
    <w:rsid w:val="00BB7A24"/>
    <w:rsid w:val="00BB7C9B"/>
    <w:rsid w:val="00BB7CB6"/>
    <w:rsid w:val="00BC00D8"/>
    <w:rsid w:val="00BC015C"/>
    <w:rsid w:val="00BC05FB"/>
    <w:rsid w:val="00BC0955"/>
    <w:rsid w:val="00BC0A3B"/>
    <w:rsid w:val="00BC0E12"/>
    <w:rsid w:val="00BC0E3A"/>
    <w:rsid w:val="00BC110F"/>
    <w:rsid w:val="00BC1292"/>
    <w:rsid w:val="00BC1506"/>
    <w:rsid w:val="00BC198A"/>
    <w:rsid w:val="00BC1E73"/>
    <w:rsid w:val="00BC1E7D"/>
    <w:rsid w:val="00BC1EAC"/>
    <w:rsid w:val="00BC1F98"/>
    <w:rsid w:val="00BC2064"/>
    <w:rsid w:val="00BC224C"/>
    <w:rsid w:val="00BC2267"/>
    <w:rsid w:val="00BC2376"/>
    <w:rsid w:val="00BC24F4"/>
    <w:rsid w:val="00BC281F"/>
    <w:rsid w:val="00BC2894"/>
    <w:rsid w:val="00BC2984"/>
    <w:rsid w:val="00BC2B29"/>
    <w:rsid w:val="00BC2C0E"/>
    <w:rsid w:val="00BC2C30"/>
    <w:rsid w:val="00BC2CA4"/>
    <w:rsid w:val="00BC3141"/>
    <w:rsid w:val="00BC36CA"/>
    <w:rsid w:val="00BC3905"/>
    <w:rsid w:val="00BC3AFF"/>
    <w:rsid w:val="00BC3C13"/>
    <w:rsid w:val="00BC3F59"/>
    <w:rsid w:val="00BC40A4"/>
    <w:rsid w:val="00BC42DE"/>
    <w:rsid w:val="00BC4530"/>
    <w:rsid w:val="00BC45E6"/>
    <w:rsid w:val="00BC4686"/>
    <w:rsid w:val="00BC46BA"/>
    <w:rsid w:val="00BC48B7"/>
    <w:rsid w:val="00BC4A4E"/>
    <w:rsid w:val="00BC4D02"/>
    <w:rsid w:val="00BC549C"/>
    <w:rsid w:val="00BC56B9"/>
    <w:rsid w:val="00BC59F6"/>
    <w:rsid w:val="00BC5BF3"/>
    <w:rsid w:val="00BC5D75"/>
    <w:rsid w:val="00BC60A1"/>
    <w:rsid w:val="00BC6289"/>
    <w:rsid w:val="00BC6883"/>
    <w:rsid w:val="00BC6B60"/>
    <w:rsid w:val="00BC6E19"/>
    <w:rsid w:val="00BC6FB5"/>
    <w:rsid w:val="00BC7240"/>
    <w:rsid w:val="00BC742E"/>
    <w:rsid w:val="00BC75C4"/>
    <w:rsid w:val="00BC77D0"/>
    <w:rsid w:val="00BD0142"/>
    <w:rsid w:val="00BD080E"/>
    <w:rsid w:val="00BD0B73"/>
    <w:rsid w:val="00BD0C92"/>
    <w:rsid w:val="00BD0E2B"/>
    <w:rsid w:val="00BD12BA"/>
    <w:rsid w:val="00BD1396"/>
    <w:rsid w:val="00BD1852"/>
    <w:rsid w:val="00BD1876"/>
    <w:rsid w:val="00BD1978"/>
    <w:rsid w:val="00BD1980"/>
    <w:rsid w:val="00BD1BE4"/>
    <w:rsid w:val="00BD1E22"/>
    <w:rsid w:val="00BD1E73"/>
    <w:rsid w:val="00BD20C5"/>
    <w:rsid w:val="00BD20E3"/>
    <w:rsid w:val="00BD2517"/>
    <w:rsid w:val="00BD29F9"/>
    <w:rsid w:val="00BD2BEE"/>
    <w:rsid w:val="00BD2E55"/>
    <w:rsid w:val="00BD31AA"/>
    <w:rsid w:val="00BD3370"/>
    <w:rsid w:val="00BD420C"/>
    <w:rsid w:val="00BD43A0"/>
    <w:rsid w:val="00BD43F5"/>
    <w:rsid w:val="00BD45A9"/>
    <w:rsid w:val="00BD492B"/>
    <w:rsid w:val="00BD4B71"/>
    <w:rsid w:val="00BD4D74"/>
    <w:rsid w:val="00BD4D93"/>
    <w:rsid w:val="00BD4F5D"/>
    <w:rsid w:val="00BD4F78"/>
    <w:rsid w:val="00BD4FBD"/>
    <w:rsid w:val="00BD5171"/>
    <w:rsid w:val="00BD5467"/>
    <w:rsid w:val="00BD5710"/>
    <w:rsid w:val="00BD57B3"/>
    <w:rsid w:val="00BD5A19"/>
    <w:rsid w:val="00BD5DA2"/>
    <w:rsid w:val="00BD5DD3"/>
    <w:rsid w:val="00BD5E53"/>
    <w:rsid w:val="00BD5F7E"/>
    <w:rsid w:val="00BD601F"/>
    <w:rsid w:val="00BD60A0"/>
    <w:rsid w:val="00BD62F4"/>
    <w:rsid w:val="00BD737E"/>
    <w:rsid w:val="00BD7536"/>
    <w:rsid w:val="00BD7B6B"/>
    <w:rsid w:val="00BD7CE2"/>
    <w:rsid w:val="00BD7D45"/>
    <w:rsid w:val="00BE0066"/>
    <w:rsid w:val="00BE0249"/>
    <w:rsid w:val="00BE0279"/>
    <w:rsid w:val="00BE0392"/>
    <w:rsid w:val="00BE0489"/>
    <w:rsid w:val="00BE0632"/>
    <w:rsid w:val="00BE0760"/>
    <w:rsid w:val="00BE07A8"/>
    <w:rsid w:val="00BE07C4"/>
    <w:rsid w:val="00BE0909"/>
    <w:rsid w:val="00BE0E7E"/>
    <w:rsid w:val="00BE103E"/>
    <w:rsid w:val="00BE1329"/>
    <w:rsid w:val="00BE1435"/>
    <w:rsid w:val="00BE1529"/>
    <w:rsid w:val="00BE1841"/>
    <w:rsid w:val="00BE1949"/>
    <w:rsid w:val="00BE1A0F"/>
    <w:rsid w:val="00BE1BC3"/>
    <w:rsid w:val="00BE1C1C"/>
    <w:rsid w:val="00BE1C7D"/>
    <w:rsid w:val="00BE1EDE"/>
    <w:rsid w:val="00BE20B2"/>
    <w:rsid w:val="00BE24B3"/>
    <w:rsid w:val="00BE24EE"/>
    <w:rsid w:val="00BE273D"/>
    <w:rsid w:val="00BE293A"/>
    <w:rsid w:val="00BE2ABD"/>
    <w:rsid w:val="00BE2BC9"/>
    <w:rsid w:val="00BE2D36"/>
    <w:rsid w:val="00BE2EC7"/>
    <w:rsid w:val="00BE3047"/>
    <w:rsid w:val="00BE30C5"/>
    <w:rsid w:val="00BE30E1"/>
    <w:rsid w:val="00BE3326"/>
    <w:rsid w:val="00BE33BA"/>
    <w:rsid w:val="00BE349B"/>
    <w:rsid w:val="00BE353E"/>
    <w:rsid w:val="00BE35B0"/>
    <w:rsid w:val="00BE3CBC"/>
    <w:rsid w:val="00BE4400"/>
    <w:rsid w:val="00BE4498"/>
    <w:rsid w:val="00BE48A0"/>
    <w:rsid w:val="00BE4B28"/>
    <w:rsid w:val="00BE4B68"/>
    <w:rsid w:val="00BE4BDE"/>
    <w:rsid w:val="00BE4CC2"/>
    <w:rsid w:val="00BE4D0E"/>
    <w:rsid w:val="00BE4D84"/>
    <w:rsid w:val="00BE4F02"/>
    <w:rsid w:val="00BE5512"/>
    <w:rsid w:val="00BE56C2"/>
    <w:rsid w:val="00BE5700"/>
    <w:rsid w:val="00BE582A"/>
    <w:rsid w:val="00BE58B4"/>
    <w:rsid w:val="00BE58C2"/>
    <w:rsid w:val="00BE5915"/>
    <w:rsid w:val="00BE59B8"/>
    <w:rsid w:val="00BE5BCB"/>
    <w:rsid w:val="00BE5ED1"/>
    <w:rsid w:val="00BE5F22"/>
    <w:rsid w:val="00BE5F48"/>
    <w:rsid w:val="00BE6228"/>
    <w:rsid w:val="00BE6320"/>
    <w:rsid w:val="00BE63E2"/>
    <w:rsid w:val="00BE6486"/>
    <w:rsid w:val="00BE655B"/>
    <w:rsid w:val="00BE65A5"/>
    <w:rsid w:val="00BE6908"/>
    <w:rsid w:val="00BE6A11"/>
    <w:rsid w:val="00BE6E3C"/>
    <w:rsid w:val="00BE6E92"/>
    <w:rsid w:val="00BE7E33"/>
    <w:rsid w:val="00BE7E3C"/>
    <w:rsid w:val="00BF0838"/>
    <w:rsid w:val="00BF09A7"/>
    <w:rsid w:val="00BF09BA"/>
    <w:rsid w:val="00BF0C92"/>
    <w:rsid w:val="00BF0EE9"/>
    <w:rsid w:val="00BF105C"/>
    <w:rsid w:val="00BF140B"/>
    <w:rsid w:val="00BF17E1"/>
    <w:rsid w:val="00BF1C91"/>
    <w:rsid w:val="00BF1EE0"/>
    <w:rsid w:val="00BF221C"/>
    <w:rsid w:val="00BF2404"/>
    <w:rsid w:val="00BF2851"/>
    <w:rsid w:val="00BF2B7F"/>
    <w:rsid w:val="00BF2F4D"/>
    <w:rsid w:val="00BF3020"/>
    <w:rsid w:val="00BF3A7C"/>
    <w:rsid w:val="00BF3EAD"/>
    <w:rsid w:val="00BF40CB"/>
    <w:rsid w:val="00BF40EE"/>
    <w:rsid w:val="00BF46AC"/>
    <w:rsid w:val="00BF480F"/>
    <w:rsid w:val="00BF4A20"/>
    <w:rsid w:val="00BF4B9F"/>
    <w:rsid w:val="00BF4C39"/>
    <w:rsid w:val="00BF52D2"/>
    <w:rsid w:val="00BF5410"/>
    <w:rsid w:val="00BF5BBC"/>
    <w:rsid w:val="00BF5D56"/>
    <w:rsid w:val="00BF5D63"/>
    <w:rsid w:val="00BF5DAB"/>
    <w:rsid w:val="00BF5DB2"/>
    <w:rsid w:val="00BF5E5B"/>
    <w:rsid w:val="00BF5E5F"/>
    <w:rsid w:val="00BF5EF0"/>
    <w:rsid w:val="00BF6018"/>
    <w:rsid w:val="00BF610B"/>
    <w:rsid w:val="00BF63DA"/>
    <w:rsid w:val="00BF69F1"/>
    <w:rsid w:val="00BF6AA0"/>
    <w:rsid w:val="00BF6BC2"/>
    <w:rsid w:val="00BF6DC1"/>
    <w:rsid w:val="00BF6EB1"/>
    <w:rsid w:val="00BF6F2A"/>
    <w:rsid w:val="00BF6F4C"/>
    <w:rsid w:val="00BF73A5"/>
    <w:rsid w:val="00BF75C6"/>
    <w:rsid w:val="00BF7A5D"/>
    <w:rsid w:val="00BF7AA4"/>
    <w:rsid w:val="00BF7D85"/>
    <w:rsid w:val="00BF7E4C"/>
    <w:rsid w:val="00C00097"/>
    <w:rsid w:val="00C0045B"/>
    <w:rsid w:val="00C00A9B"/>
    <w:rsid w:val="00C00AB9"/>
    <w:rsid w:val="00C0103B"/>
    <w:rsid w:val="00C015FE"/>
    <w:rsid w:val="00C018CB"/>
    <w:rsid w:val="00C01D91"/>
    <w:rsid w:val="00C020BD"/>
    <w:rsid w:val="00C026C9"/>
    <w:rsid w:val="00C0297C"/>
    <w:rsid w:val="00C02A51"/>
    <w:rsid w:val="00C02AD2"/>
    <w:rsid w:val="00C02AE6"/>
    <w:rsid w:val="00C02CA9"/>
    <w:rsid w:val="00C02E4B"/>
    <w:rsid w:val="00C02FB5"/>
    <w:rsid w:val="00C0337C"/>
    <w:rsid w:val="00C0360D"/>
    <w:rsid w:val="00C0368B"/>
    <w:rsid w:val="00C03A2C"/>
    <w:rsid w:val="00C03A6F"/>
    <w:rsid w:val="00C03C03"/>
    <w:rsid w:val="00C03CB2"/>
    <w:rsid w:val="00C03D30"/>
    <w:rsid w:val="00C03D69"/>
    <w:rsid w:val="00C03DDD"/>
    <w:rsid w:val="00C0438B"/>
    <w:rsid w:val="00C0456F"/>
    <w:rsid w:val="00C045CB"/>
    <w:rsid w:val="00C04711"/>
    <w:rsid w:val="00C047E6"/>
    <w:rsid w:val="00C04873"/>
    <w:rsid w:val="00C049AF"/>
    <w:rsid w:val="00C04C9B"/>
    <w:rsid w:val="00C04D40"/>
    <w:rsid w:val="00C053EB"/>
    <w:rsid w:val="00C054D7"/>
    <w:rsid w:val="00C05728"/>
    <w:rsid w:val="00C05C90"/>
    <w:rsid w:val="00C05DE1"/>
    <w:rsid w:val="00C05DEB"/>
    <w:rsid w:val="00C05EA1"/>
    <w:rsid w:val="00C05F50"/>
    <w:rsid w:val="00C061A2"/>
    <w:rsid w:val="00C06236"/>
    <w:rsid w:val="00C06361"/>
    <w:rsid w:val="00C06428"/>
    <w:rsid w:val="00C06485"/>
    <w:rsid w:val="00C06B39"/>
    <w:rsid w:val="00C06B9B"/>
    <w:rsid w:val="00C06BB1"/>
    <w:rsid w:val="00C06C73"/>
    <w:rsid w:val="00C06E0D"/>
    <w:rsid w:val="00C072D4"/>
    <w:rsid w:val="00C07603"/>
    <w:rsid w:val="00C0772C"/>
    <w:rsid w:val="00C077EC"/>
    <w:rsid w:val="00C07A22"/>
    <w:rsid w:val="00C07B68"/>
    <w:rsid w:val="00C07C35"/>
    <w:rsid w:val="00C07E23"/>
    <w:rsid w:val="00C07E94"/>
    <w:rsid w:val="00C10181"/>
    <w:rsid w:val="00C106F2"/>
    <w:rsid w:val="00C10951"/>
    <w:rsid w:val="00C10992"/>
    <w:rsid w:val="00C10AA3"/>
    <w:rsid w:val="00C10B0C"/>
    <w:rsid w:val="00C10ECF"/>
    <w:rsid w:val="00C110F8"/>
    <w:rsid w:val="00C115F7"/>
    <w:rsid w:val="00C1164C"/>
    <w:rsid w:val="00C11803"/>
    <w:rsid w:val="00C118DA"/>
    <w:rsid w:val="00C11AC8"/>
    <w:rsid w:val="00C11E68"/>
    <w:rsid w:val="00C11EAB"/>
    <w:rsid w:val="00C121B4"/>
    <w:rsid w:val="00C12559"/>
    <w:rsid w:val="00C12664"/>
    <w:rsid w:val="00C1273A"/>
    <w:rsid w:val="00C12B35"/>
    <w:rsid w:val="00C12FFF"/>
    <w:rsid w:val="00C1305B"/>
    <w:rsid w:val="00C13256"/>
    <w:rsid w:val="00C13389"/>
    <w:rsid w:val="00C1389E"/>
    <w:rsid w:val="00C13B07"/>
    <w:rsid w:val="00C13C14"/>
    <w:rsid w:val="00C142E4"/>
    <w:rsid w:val="00C1451F"/>
    <w:rsid w:val="00C14C2D"/>
    <w:rsid w:val="00C14C96"/>
    <w:rsid w:val="00C151FF"/>
    <w:rsid w:val="00C15551"/>
    <w:rsid w:val="00C1572B"/>
    <w:rsid w:val="00C15A51"/>
    <w:rsid w:val="00C15ABF"/>
    <w:rsid w:val="00C15BE2"/>
    <w:rsid w:val="00C15DD1"/>
    <w:rsid w:val="00C15FC2"/>
    <w:rsid w:val="00C15FD0"/>
    <w:rsid w:val="00C16611"/>
    <w:rsid w:val="00C1663E"/>
    <w:rsid w:val="00C166DF"/>
    <w:rsid w:val="00C167FC"/>
    <w:rsid w:val="00C16B17"/>
    <w:rsid w:val="00C16C97"/>
    <w:rsid w:val="00C16CEC"/>
    <w:rsid w:val="00C16D37"/>
    <w:rsid w:val="00C172C4"/>
    <w:rsid w:val="00C1732C"/>
    <w:rsid w:val="00C175E3"/>
    <w:rsid w:val="00C17949"/>
    <w:rsid w:val="00C17AA1"/>
    <w:rsid w:val="00C20049"/>
    <w:rsid w:val="00C20127"/>
    <w:rsid w:val="00C20276"/>
    <w:rsid w:val="00C203D0"/>
    <w:rsid w:val="00C206EA"/>
    <w:rsid w:val="00C20728"/>
    <w:rsid w:val="00C208BC"/>
    <w:rsid w:val="00C20D81"/>
    <w:rsid w:val="00C20DD5"/>
    <w:rsid w:val="00C20F1A"/>
    <w:rsid w:val="00C21328"/>
    <w:rsid w:val="00C214DE"/>
    <w:rsid w:val="00C2159E"/>
    <w:rsid w:val="00C21908"/>
    <w:rsid w:val="00C21BC0"/>
    <w:rsid w:val="00C21CD5"/>
    <w:rsid w:val="00C22068"/>
    <w:rsid w:val="00C220BF"/>
    <w:rsid w:val="00C2232B"/>
    <w:rsid w:val="00C225D9"/>
    <w:rsid w:val="00C22ADF"/>
    <w:rsid w:val="00C22BEE"/>
    <w:rsid w:val="00C22C5E"/>
    <w:rsid w:val="00C22D1D"/>
    <w:rsid w:val="00C22DD1"/>
    <w:rsid w:val="00C232D7"/>
    <w:rsid w:val="00C23336"/>
    <w:rsid w:val="00C2334B"/>
    <w:rsid w:val="00C2336C"/>
    <w:rsid w:val="00C2349A"/>
    <w:rsid w:val="00C235D5"/>
    <w:rsid w:val="00C239AF"/>
    <w:rsid w:val="00C23AD8"/>
    <w:rsid w:val="00C23BC1"/>
    <w:rsid w:val="00C23C72"/>
    <w:rsid w:val="00C23FF0"/>
    <w:rsid w:val="00C24074"/>
    <w:rsid w:val="00C240B5"/>
    <w:rsid w:val="00C24181"/>
    <w:rsid w:val="00C2465A"/>
    <w:rsid w:val="00C24F40"/>
    <w:rsid w:val="00C2563E"/>
    <w:rsid w:val="00C2565A"/>
    <w:rsid w:val="00C256C2"/>
    <w:rsid w:val="00C25802"/>
    <w:rsid w:val="00C26103"/>
    <w:rsid w:val="00C261AE"/>
    <w:rsid w:val="00C264B9"/>
    <w:rsid w:val="00C26523"/>
    <w:rsid w:val="00C269F2"/>
    <w:rsid w:val="00C26C0A"/>
    <w:rsid w:val="00C27753"/>
    <w:rsid w:val="00C27787"/>
    <w:rsid w:val="00C3024E"/>
    <w:rsid w:val="00C30319"/>
    <w:rsid w:val="00C30804"/>
    <w:rsid w:val="00C3088B"/>
    <w:rsid w:val="00C30EE0"/>
    <w:rsid w:val="00C30F72"/>
    <w:rsid w:val="00C31015"/>
    <w:rsid w:val="00C313CE"/>
    <w:rsid w:val="00C313F0"/>
    <w:rsid w:val="00C31713"/>
    <w:rsid w:val="00C31AA2"/>
    <w:rsid w:val="00C31ACF"/>
    <w:rsid w:val="00C31D4B"/>
    <w:rsid w:val="00C32135"/>
    <w:rsid w:val="00C321FD"/>
    <w:rsid w:val="00C32378"/>
    <w:rsid w:val="00C32397"/>
    <w:rsid w:val="00C32419"/>
    <w:rsid w:val="00C324F0"/>
    <w:rsid w:val="00C32E9E"/>
    <w:rsid w:val="00C331F6"/>
    <w:rsid w:val="00C33377"/>
    <w:rsid w:val="00C33427"/>
    <w:rsid w:val="00C33979"/>
    <w:rsid w:val="00C33C2A"/>
    <w:rsid w:val="00C33C8A"/>
    <w:rsid w:val="00C33F78"/>
    <w:rsid w:val="00C340DE"/>
    <w:rsid w:val="00C345EF"/>
    <w:rsid w:val="00C346A8"/>
    <w:rsid w:val="00C34E17"/>
    <w:rsid w:val="00C35374"/>
    <w:rsid w:val="00C35512"/>
    <w:rsid w:val="00C35657"/>
    <w:rsid w:val="00C3573D"/>
    <w:rsid w:val="00C3586B"/>
    <w:rsid w:val="00C35B25"/>
    <w:rsid w:val="00C35CD6"/>
    <w:rsid w:val="00C36A08"/>
    <w:rsid w:val="00C36B39"/>
    <w:rsid w:val="00C36CFB"/>
    <w:rsid w:val="00C37000"/>
    <w:rsid w:val="00C3789C"/>
    <w:rsid w:val="00C37CC7"/>
    <w:rsid w:val="00C37CDA"/>
    <w:rsid w:val="00C37EFF"/>
    <w:rsid w:val="00C4018C"/>
    <w:rsid w:val="00C40633"/>
    <w:rsid w:val="00C40770"/>
    <w:rsid w:val="00C40880"/>
    <w:rsid w:val="00C408EB"/>
    <w:rsid w:val="00C40E99"/>
    <w:rsid w:val="00C40F38"/>
    <w:rsid w:val="00C4109B"/>
    <w:rsid w:val="00C4118F"/>
    <w:rsid w:val="00C4128E"/>
    <w:rsid w:val="00C41404"/>
    <w:rsid w:val="00C414E3"/>
    <w:rsid w:val="00C41710"/>
    <w:rsid w:val="00C41A13"/>
    <w:rsid w:val="00C41CFF"/>
    <w:rsid w:val="00C41DBD"/>
    <w:rsid w:val="00C4217A"/>
    <w:rsid w:val="00C421E6"/>
    <w:rsid w:val="00C42839"/>
    <w:rsid w:val="00C428F1"/>
    <w:rsid w:val="00C429D9"/>
    <w:rsid w:val="00C42BD7"/>
    <w:rsid w:val="00C42F6A"/>
    <w:rsid w:val="00C432DB"/>
    <w:rsid w:val="00C43440"/>
    <w:rsid w:val="00C43DB9"/>
    <w:rsid w:val="00C43F5E"/>
    <w:rsid w:val="00C4413D"/>
    <w:rsid w:val="00C44828"/>
    <w:rsid w:val="00C44B78"/>
    <w:rsid w:val="00C44D7E"/>
    <w:rsid w:val="00C44D83"/>
    <w:rsid w:val="00C44E49"/>
    <w:rsid w:val="00C45084"/>
    <w:rsid w:val="00C454D7"/>
    <w:rsid w:val="00C45736"/>
    <w:rsid w:val="00C458C3"/>
    <w:rsid w:val="00C45B38"/>
    <w:rsid w:val="00C45E76"/>
    <w:rsid w:val="00C45EE9"/>
    <w:rsid w:val="00C464CF"/>
    <w:rsid w:val="00C466F9"/>
    <w:rsid w:val="00C467F0"/>
    <w:rsid w:val="00C4692D"/>
    <w:rsid w:val="00C469B9"/>
    <w:rsid w:val="00C46D1B"/>
    <w:rsid w:val="00C46D6E"/>
    <w:rsid w:val="00C47295"/>
    <w:rsid w:val="00C47580"/>
    <w:rsid w:val="00C47587"/>
    <w:rsid w:val="00C47AAE"/>
    <w:rsid w:val="00C47B37"/>
    <w:rsid w:val="00C47C6D"/>
    <w:rsid w:val="00C501F5"/>
    <w:rsid w:val="00C501F9"/>
    <w:rsid w:val="00C5054F"/>
    <w:rsid w:val="00C50597"/>
    <w:rsid w:val="00C5092C"/>
    <w:rsid w:val="00C511EC"/>
    <w:rsid w:val="00C515B6"/>
    <w:rsid w:val="00C51AC0"/>
    <w:rsid w:val="00C52285"/>
    <w:rsid w:val="00C522C5"/>
    <w:rsid w:val="00C525B9"/>
    <w:rsid w:val="00C5274E"/>
    <w:rsid w:val="00C52839"/>
    <w:rsid w:val="00C52932"/>
    <w:rsid w:val="00C52961"/>
    <w:rsid w:val="00C52B6E"/>
    <w:rsid w:val="00C52C38"/>
    <w:rsid w:val="00C52E3C"/>
    <w:rsid w:val="00C52F72"/>
    <w:rsid w:val="00C5326C"/>
    <w:rsid w:val="00C5350C"/>
    <w:rsid w:val="00C5355C"/>
    <w:rsid w:val="00C537E3"/>
    <w:rsid w:val="00C5384C"/>
    <w:rsid w:val="00C53A57"/>
    <w:rsid w:val="00C53AFB"/>
    <w:rsid w:val="00C53C0A"/>
    <w:rsid w:val="00C53DF1"/>
    <w:rsid w:val="00C546E5"/>
    <w:rsid w:val="00C54895"/>
    <w:rsid w:val="00C5496A"/>
    <w:rsid w:val="00C54AA0"/>
    <w:rsid w:val="00C54F96"/>
    <w:rsid w:val="00C55170"/>
    <w:rsid w:val="00C552A7"/>
    <w:rsid w:val="00C55560"/>
    <w:rsid w:val="00C5562E"/>
    <w:rsid w:val="00C5596F"/>
    <w:rsid w:val="00C55C83"/>
    <w:rsid w:val="00C55D1B"/>
    <w:rsid w:val="00C55DD6"/>
    <w:rsid w:val="00C56488"/>
    <w:rsid w:val="00C564CE"/>
    <w:rsid w:val="00C56579"/>
    <w:rsid w:val="00C568B9"/>
    <w:rsid w:val="00C56DA6"/>
    <w:rsid w:val="00C56DC7"/>
    <w:rsid w:val="00C56E32"/>
    <w:rsid w:val="00C56E46"/>
    <w:rsid w:val="00C56E6C"/>
    <w:rsid w:val="00C570F5"/>
    <w:rsid w:val="00C57117"/>
    <w:rsid w:val="00C57183"/>
    <w:rsid w:val="00C57394"/>
    <w:rsid w:val="00C579DC"/>
    <w:rsid w:val="00C57B75"/>
    <w:rsid w:val="00C57E46"/>
    <w:rsid w:val="00C60329"/>
    <w:rsid w:val="00C60B4D"/>
    <w:rsid w:val="00C60C83"/>
    <w:rsid w:val="00C60CAB"/>
    <w:rsid w:val="00C60DE4"/>
    <w:rsid w:val="00C60ED2"/>
    <w:rsid w:val="00C60F4D"/>
    <w:rsid w:val="00C6100B"/>
    <w:rsid w:val="00C6106A"/>
    <w:rsid w:val="00C61430"/>
    <w:rsid w:val="00C614D0"/>
    <w:rsid w:val="00C61545"/>
    <w:rsid w:val="00C61610"/>
    <w:rsid w:val="00C6186D"/>
    <w:rsid w:val="00C61BAC"/>
    <w:rsid w:val="00C61C3C"/>
    <w:rsid w:val="00C61DD0"/>
    <w:rsid w:val="00C620F6"/>
    <w:rsid w:val="00C6222F"/>
    <w:rsid w:val="00C62324"/>
    <w:rsid w:val="00C623BC"/>
    <w:rsid w:val="00C6243F"/>
    <w:rsid w:val="00C62719"/>
    <w:rsid w:val="00C62752"/>
    <w:rsid w:val="00C62920"/>
    <w:rsid w:val="00C63070"/>
    <w:rsid w:val="00C63601"/>
    <w:rsid w:val="00C63688"/>
    <w:rsid w:val="00C63BCD"/>
    <w:rsid w:val="00C64107"/>
    <w:rsid w:val="00C64566"/>
    <w:rsid w:val="00C646EE"/>
    <w:rsid w:val="00C64A0B"/>
    <w:rsid w:val="00C64A9D"/>
    <w:rsid w:val="00C64AC8"/>
    <w:rsid w:val="00C64B8F"/>
    <w:rsid w:val="00C64D61"/>
    <w:rsid w:val="00C64F1D"/>
    <w:rsid w:val="00C6502C"/>
    <w:rsid w:val="00C6505D"/>
    <w:rsid w:val="00C6521C"/>
    <w:rsid w:val="00C65412"/>
    <w:rsid w:val="00C6563C"/>
    <w:rsid w:val="00C65658"/>
    <w:rsid w:val="00C65841"/>
    <w:rsid w:val="00C659B7"/>
    <w:rsid w:val="00C65AD5"/>
    <w:rsid w:val="00C65C8E"/>
    <w:rsid w:val="00C65CF5"/>
    <w:rsid w:val="00C65D6C"/>
    <w:rsid w:val="00C65DE5"/>
    <w:rsid w:val="00C65F21"/>
    <w:rsid w:val="00C662B6"/>
    <w:rsid w:val="00C6684C"/>
    <w:rsid w:val="00C66ABE"/>
    <w:rsid w:val="00C66B80"/>
    <w:rsid w:val="00C66C4E"/>
    <w:rsid w:val="00C66F3E"/>
    <w:rsid w:val="00C67091"/>
    <w:rsid w:val="00C67977"/>
    <w:rsid w:val="00C67BD7"/>
    <w:rsid w:val="00C67DE3"/>
    <w:rsid w:val="00C700F4"/>
    <w:rsid w:val="00C7046E"/>
    <w:rsid w:val="00C707EA"/>
    <w:rsid w:val="00C708F0"/>
    <w:rsid w:val="00C709C8"/>
    <w:rsid w:val="00C70AB6"/>
    <w:rsid w:val="00C70E4C"/>
    <w:rsid w:val="00C70E9D"/>
    <w:rsid w:val="00C71421"/>
    <w:rsid w:val="00C718A2"/>
    <w:rsid w:val="00C71923"/>
    <w:rsid w:val="00C72708"/>
    <w:rsid w:val="00C727A6"/>
    <w:rsid w:val="00C72B4D"/>
    <w:rsid w:val="00C72C82"/>
    <w:rsid w:val="00C72DA8"/>
    <w:rsid w:val="00C730B0"/>
    <w:rsid w:val="00C731F9"/>
    <w:rsid w:val="00C735F5"/>
    <w:rsid w:val="00C73605"/>
    <w:rsid w:val="00C739FA"/>
    <w:rsid w:val="00C73B7B"/>
    <w:rsid w:val="00C73EF2"/>
    <w:rsid w:val="00C73F2F"/>
    <w:rsid w:val="00C74176"/>
    <w:rsid w:val="00C741BE"/>
    <w:rsid w:val="00C7459D"/>
    <w:rsid w:val="00C746F7"/>
    <w:rsid w:val="00C74855"/>
    <w:rsid w:val="00C7495A"/>
    <w:rsid w:val="00C74B23"/>
    <w:rsid w:val="00C74FCD"/>
    <w:rsid w:val="00C75008"/>
    <w:rsid w:val="00C75797"/>
    <w:rsid w:val="00C75D59"/>
    <w:rsid w:val="00C761BE"/>
    <w:rsid w:val="00C7631F"/>
    <w:rsid w:val="00C76420"/>
    <w:rsid w:val="00C7648F"/>
    <w:rsid w:val="00C765DA"/>
    <w:rsid w:val="00C7665A"/>
    <w:rsid w:val="00C767FC"/>
    <w:rsid w:val="00C76D1B"/>
    <w:rsid w:val="00C76E1F"/>
    <w:rsid w:val="00C76E9B"/>
    <w:rsid w:val="00C771AB"/>
    <w:rsid w:val="00C77572"/>
    <w:rsid w:val="00C77607"/>
    <w:rsid w:val="00C778F6"/>
    <w:rsid w:val="00C77FF7"/>
    <w:rsid w:val="00C800FB"/>
    <w:rsid w:val="00C80496"/>
    <w:rsid w:val="00C8057E"/>
    <w:rsid w:val="00C80B8D"/>
    <w:rsid w:val="00C810CF"/>
    <w:rsid w:val="00C81454"/>
    <w:rsid w:val="00C81499"/>
    <w:rsid w:val="00C817A0"/>
    <w:rsid w:val="00C819E3"/>
    <w:rsid w:val="00C81B8A"/>
    <w:rsid w:val="00C81BFE"/>
    <w:rsid w:val="00C81CDB"/>
    <w:rsid w:val="00C81E13"/>
    <w:rsid w:val="00C825AC"/>
    <w:rsid w:val="00C826D3"/>
    <w:rsid w:val="00C82794"/>
    <w:rsid w:val="00C82995"/>
    <w:rsid w:val="00C82B9E"/>
    <w:rsid w:val="00C82C1D"/>
    <w:rsid w:val="00C8315A"/>
    <w:rsid w:val="00C83247"/>
    <w:rsid w:val="00C83510"/>
    <w:rsid w:val="00C83567"/>
    <w:rsid w:val="00C83B21"/>
    <w:rsid w:val="00C84453"/>
    <w:rsid w:val="00C8448C"/>
    <w:rsid w:val="00C844B9"/>
    <w:rsid w:val="00C847A2"/>
    <w:rsid w:val="00C84BAF"/>
    <w:rsid w:val="00C84DFC"/>
    <w:rsid w:val="00C85658"/>
    <w:rsid w:val="00C85687"/>
    <w:rsid w:val="00C85897"/>
    <w:rsid w:val="00C858E4"/>
    <w:rsid w:val="00C8596C"/>
    <w:rsid w:val="00C862CC"/>
    <w:rsid w:val="00C86675"/>
    <w:rsid w:val="00C86939"/>
    <w:rsid w:val="00C86A97"/>
    <w:rsid w:val="00C86C18"/>
    <w:rsid w:val="00C86C23"/>
    <w:rsid w:val="00C870A3"/>
    <w:rsid w:val="00C875B4"/>
    <w:rsid w:val="00C875F9"/>
    <w:rsid w:val="00C87B3C"/>
    <w:rsid w:val="00C87E54"/>
    <w:rsid w:val="00C904C4"/>
    <w:rsid w:val="00C9053F"/>
    <w:rsid w:val="00C90DBA"/>
    <w:rsid w:val="00C90F14"/>
    <w:rsid w:val="00C9184B"/>
    <w:rsid w:val="00C91BA4"/>
    <w:rsid w:val="00C91C5A"/>
    <w:rsid w:val="00C91C5F"/>
    <w:rsid w:val="00C91D5C"/>
    <w:rsid w:val="00C91D70"/>
    <w:rsid w:val="00C92097"/>
    <w:rsid w:val="00C92304"/>
    <w:rsid w:val="00C923E1"/>
    <w:rsid w:val="00C92438"/>
    <w:rsid w:val="00C92639"/>
    <w:rsid w:val="00C927B2"/>
    <w:rsid w:val="00C929B9"/>
    <w:rsid w:val="00C933CE"/>
    <w:rsid w:val="00C9385D"/>
    <w:rsid w:val="00C93B86"/>
    <w:rsid w:val="00C93DD5"/>
    <w:rsid w:val="00C93E05"/>
    <w:rsid w:val="00C943B5"/>
    <w:rsid w:val="00C946AF"/>
    <w:rsid w:val="00C94A5E"/>
    <w:rsid w:val="00C957E1"/>
    <w:rsid w:val="00C95A79"/>
    <w:rsid w:val="00C95B6A"/>
    <w:rsid w:val="00C95B89"/>
    <w:rsid w:val="00C95EAB"/>
    <w:rsid w:val="00C96279"/>
    <w:rsid w:val="00C9629E"/>
    <w:rsid w:val="00C962BC"/>
    <w:rsid w:val="00C963D2"/>
    <w:rsid w:val="00C9650E"/>
    <w:rsid w:val="00C965A2"/>
    <w:rsid w:val="00C9683C"/>
    <w:rsid w:val="00C96AC2"/>
    <w:rsid w:val="00C96C73"/>
    <w:rsid w:val="00C96D49"/>
    <w:rsid w:val="00C96F7E"/>
    <w:rsid w:val="00C971B1"/>
    <w:rsid w:val="00C9779A"/>
    <w:rsid w:val="00C97A96"/>
    <w:rsid w:val="00C97B0E"/>
    <w:rsid w:val="00C97DCB"/>
    <w:rsid w:val="00C97F68"/>
    <w:rsid w:val="00CA00EB"/>
    <w:rsid w:val="00CA02EA"/>
    <w:rsid w:val="00CA0698"/>
    <w:rsid w:val="00CA0B0B"/>
    <w:rsid w:val="00CA0BB0"/>
    <w:rsid w:val="00CA13E3"/>
    <w:rsid w:val="00CA1456"/>
    <w:rsid w:val="00CA160A"/>
    <w:rsid w:val="00CA18AF"/>
    <w:rsid w:val="00CA1AE1"/>
    <w:rsid w:val="00CA1B9B"/>
    <w:rsid w:val="00CA1C82"/>
    <w:rsid w:val="00CA2074"/>
    <w:rsid w:val="00CA2091"/>
    <w:rsid w:val="00CA2349"/>
    <w:rsid w:val="00CA2416"/>
    <w:rsid w:val="00CA276F"/>
    <w:rsid w:val="00CA2961"/>
    <w:rsid w:val="00CA2E24"/>
    <w:rsid w:val="00CA3139"/>
    <w:rsid w:val="00CA381C"/>
    <w:rsid w:val="00CA38BD"/>
    <w:rsid w:val="00CA3962"/>
    <w:rsid w:val="00CA3CFC"/>
    <w:rsid w:val="00CA3F67"/>
    <w:rsid w:val="00CA414B"/>
    <w:rsid w:val="00CA41C5"/>
    <w:rsid w:val="00CA4253"/>
    <w:rsid w:val="00CA4535"/>
    <w:rsid w:val="00CA466B"/>
    <w:rsid w:val="00CA47AA"/>
    <w:rsid w:val="00CA4831"/>
    <w:rsid w:val="00CA4ABF"/>
    <w:rsid w:val="00CA4B9B"/>
    <w:rsid w:val="00CA4E57"/>
    <w:rsid w:val="00CA4F6E"/>
    <w:rsid w:val="00CA508F"/>
    <w:rsid w:val="00CA52F6"/>
    <w:rsid w:val="00CA577E"/>
    <w:rsid w:val="00CA6351"/>
    <w:rsid w:val="00CA68E5"/>
    <w:rsid w:val="00CA68FD"/>
    <w:rsid w:val="00CA6993"/>
    <w:rsid w:val="00CA6A73"/>
    <w:rsid w:val="00CA6C3C"/>
    <w:rsid w:val="00CA6E02"/>
    <w:rsid w:val="00CA6EBC"/>
    <w:rsid w:val="00CA70CE"/>
    <w:rsid w:val="00CA70F2"/>
    <w:rsid w:val="00CA74E0"/>
    <w:rsid w:val="00CA7671"/>
    <w:rsid w:val="00CA789B"/>
    <w:rsid w:val="00CA7924"/>
    <w:rsid w:val="00CA7A38"/>
    <w:rsid w:val="00CA7A86"/>
    <w:rsid w:val="00CA7B83"/>
    <w:rsid w:val="00CA7BFF"/>
    <w:rsid w:val="00CA7E1F"/>
    <w:rsid w:val="00CB082E"/>
    <w:rsid w:val="00CB086C"/>
    <w:rsid w:val="00CB0F15"/>
    <w:rsid w:val="00CB0F75"/>
    <w:rsid w:val="00CB140A"/>
    <w:rsid w:val="00CB14A6"/>
    <w:rsid w:val="00CB1948"/>
    <w:rsid w:val="00CB1B4C"/>
    <w:rsid w:val="00CB1B54"/>
    <w:rsid w:val="00CB2404"/>
    <w:rsid w:val="00CB240C"/>
    <w:rsid w:val="00CB2662"/>
    <w:rsid w:val="00CB2670"/>
    <w:rsid w:val="00CB288E"/>
    <w:rsid w:val="00CB2A6D"/>
    <w:rsid w:val="00CB2AAF"/>
    <w:rsid w:val="00CB2BA8"/>
    <w:rsid w:val="00CB2ED2"/>
    <w:rsid w:val="00CB2EEE"/>
    <w:rsid w:val="00CB328C"/>
    <w:rsid w:val="00CB3778"/>
    <w:rsid w:val="00CB3BEF"/>
    <w:rsid w:val="00CB3E1B"/>
    <w:rsid w:val="00CB478C"/>
    <w:rsid w:val="00CB47B7"/>
    <w:rsid w:val="00CB4817"/>
    <w:rsid w:val="00CB4A30"/>
    <w:rsid w:val="00CB4DBD"/>
    <w:rsid w:val="00CB50C4"/>
    <w:rsid w:val="00CB50F5"/>
    <w:rsid w:val="00CB52F0"/>
    <w:rsid w:val="00CB5B56"/>
    <w:rsid w:val="00CB5BE4"/>
    <w:rsid w:val="00CB5EFA"/>
    <w:rsid w:val="00CB62C8"/>
    <w:rsid w:val="00CB660D"/>
    <w:rsid w:val="00CB66DC"/>
    <w:rsid w:val="00CB6855"/>
    <w:rsid w:val="00CB6D04"/>
    <w:rsid w:val="00CB6F0B"/>
    <w:rsid w:val="00CB6F6A"/>
    <w:rsid w:val="00CB731C"/>
    <w:rsid w:val="00CB76EC"/>
    <w:rsid w:val="00CB7FA9"/>
    <w:rsid w:val="00CC006E"/>
    <w:rsid w:val="00CC0765"/>
    <w:rsid w:val="00CC0959"/>
    <w:rsid w:val="00CC0B80"/>
    <w:rsid w:val="00CC0C31"/>
    <w:rsid w:val="00CC0C4A"/>
    <w:rsid w:val="00CC0D1B"/>
    <w:rsid w:val="00CC0DE9"/>
    <w:rsid w:val="00CC0EB5"/>
    <w:rsid w:val="00CC0ED1"/>
    <w:rsid w:val="00CC1210"/>
    <w:rsid w:val="00CC1785"/>
    <w:rsid w:val="00CC18BC"/>
    <w:rsid w:val="00CC1A60"/>
    <w:rsid w:val="00CC1B02"/>
    <w:rsid w:val="00CC1E87"/>
    <w:rsid w:val="00CC1F77"/>
    <w:rsid w:val="00CC20AF"/>
    <w:rsid w:val="00CC264D"/>
    <w:rsid w:val="00CC2840"/>
    <w:rsid w:val="00CC28BD"/>
    <w:rsid w:val="00CC2960"/>
    <w:rsid w:val="00CC2C99"/>
    <w:rsid w:val="00CC2CAF"/>
    <w:rsid w:val="00CC2CE1"/>
    <w:rsid w:val="00CC2D26"/>
    <w:rsid w:val="00CC2D3C"/>
    <w:rsid w:val="00CC2D7C"/>
    <w:rsid w:val="00CC34D9"/>
    <w:rsid w:val="00CC39C9"/>
    <w:rsid w:val="00CC39E4"/>
    <w:rsid w:val="00CC3DEB"/>
    <w:rsid w:val="00CC3EED"/>
    <w:rsid w:val="00CC3F7A"/>
    <w:rsid w:val="00CC445B"/>
    <w:rsid w:val="00CC461B"/>
    <w:rsid w:val="00CC4634"/>
    <w:rsid w:val="00CC4892"/>
    <w:rsid w:val="00CC4926"/>
    <w:rsid w:val="00CC4A0B"/>
    <w:rsid w:val="00CC4AC8"/>
    <w:rsid w:val="00CC4F39"/>
    <w:rsid w:val="00CC5044"/>
    <w:rsid w:val="00CC51A2"/>
    <w:rsid w:val="00CC56A4"/>
    <w:rsid w:val="00CC5D42"/>
    <w:rsid w:val="00CC5EB4"/>
    <w:rsid w:val="00CC600E"/>
    <w:rsid w:val="00CC602A"/>
    <w:rsid w:val="00CC6619"/>
    <w:rsid w:val="00CC688D"/>
    <w:rsid w:val="00CC6A56"/>
    <w:rsid w:val="00CC76B3"/>
    <w:rsid w:val="00CC78C1"/>
    <w:rsid w:val="00CC7B3B"/>
    <w:rsid w:val="00CC7D38"/>
    <w:rsid w:val="00CC8DB3"/>
    <w:rsid w:val="00CD01FC"/>
    <w:rsid w:val="00CD02C9"/>
    <w:rsid w:val="00CD0870"/>
    <w:rsid w:val="00CD0BA5"/>
    <w:rsid w:val="00CD0C78"/>
    <w:rsid w:val="00CD0E26"/>
    <w:rsid w:val="00CD1183"/>
    <w:rsid w:val="00CD13FE"/>
    <w:rsid w:val="00CD1AB1"/>
    <w:rsid w:val="00CD1C39"/>
    <w:rsid w:val="00CD1D22"/>
    <w:rsid w:val="00CD20B1"/>
    <w:rsid w:val="00CD263C"/>
    <w:rsid w:val="00CD26B4"/>
    <w:rsid w:val="00CD2AB8"/>
    <w:rsid w:val="00CD2D61"/>
    <w:rsid w:val="00CD2F51"/>
    <w:rsid w:val="00CD325B"/>
    <w:rsid w:val="00CD3381"/>
    <w:rsid w:val="00CD35FD"/>
    <w:rsid w:val="00CD38AF"/>
    <w:rsid w:val="00CD3B68"/>
    <w:rsid w:val="00CD3FF5"/>
    <w:rsid w:val="00CD40AE"/>
    <w:rsid w:val="00CD410F"/>
    <w:rsid w:val="00CD41D7"/>
    <w:rsid w:val="00CD42CC"/>
    <w:rsid w:val="00CD4331"/>
    <w:rsid w:val="00CD4541"/>
    <w:rsid w:val="00CD45CE"/>
    <w:rsid w:val="00CD4637"/>
    <w:rsid w:val="00CD489E"/>
    <w:rsid w:val="00CD4A61"/>
    <w:rsid w:val="00CD4B52"/>
    <w:rsid w:val="00CD4C83"/>
    <w:rsid w:val="00CD4ECC"/>
    <w:rsid w:val="00CD4FEE"/>
    <w:rsid w:val="00CD5091"/>
    <w:rsid w:val="00CD5251"/>
    <w:rsid w:val="00CD55CF"/>
    <w:rsid w:val="00CD55FA"/>
    <w:rsid w:val="00CD5611"/>
    <w:rsid w:val="00CD5D60"/>
    <w:rsid w:val="00CD5DEF"/>
    <w:rsid w:val="00CD60CB"/>
    <w:rsid w:val="00CD675F"/>
    <w:rsid w:val="00CD7437"/>
    <w:rsid w:val="00CD769F"/>
    <w:rsid w:val="00CD76CA"/>
    <w:rsid w:val="00CD7752"/>
    <w:rsid w:val="00CD77FA"/>
    <w:rsid w:val="00CD7CD5"/>
    <w:rsid w:val="00CD7F8C"/>
    <w:rsid w:val="00CD7FBC"/>
    <w:rsid w:val="00CE006D"/>
    <w:rsid w:val="00CE04FA"/>
    <w:rsid w:val="00CE0873"/>
    <w:rsid w:val="00CE0954"/>
    <w:rsid w:val="00CE0A0A"/>
    <w:rsid w:val="00CE0F1E"/>
    <w:rsid w:val="00CE1139"/>
    <w:rsid w:val="00CE1525"/>
    <w:rsid w:val="00CE17C2"/>
    <w:rsid w:val="00CE1D83"/>
    <w:rsid w:val="00CE23F7"/>
    <w:rsid w:val="00CE27C1"/>
    <w:rsid w:val="00CE2932"/>
    <w:rsid w:val="00CE2F32"/>
    <w:rsid w:val="00CE3128"/>
    <w:rsid w:val="00CE396C"/>
    <w:rsid w:val="00CE3D9A"/>
    <w:rsid w:val="00CE3F7B"/>
    <w:rsid w:val="00CE4705"/>
    <w:rsid w:val="00CE4998"/>
    <w:rsid w:val="00CE5539"/>
    <w:rsid w:val="00CE5707"/>
    <w:rsid w:val="00CE5B1A"/>
    <w:rsid w:val="00CE5BF3"/>
    <w:rsid w:val="00CE6464"/>
    <w:rsid w:val="00CE6476"/>
    <w:rsid w:val="00CE6899"/>
    <w:rsid w:val="00CE6938"/>
    <w:rsid w:val="00CE6A31"/>
    <w:rsid w:val="00CE6A9A"/>
    <w:rsid w:val="00CE7295"/>
    <w:rsid w:val="00CE7694"/>
    <w:rsid w:val="00CE79F6"/>
    <w:rsid w:val="00CE7B0B"/>
    <w:rsid w:val="00CE7DAF"/>
    <w:rsid w:val="00CE7F24"/>
    <w:rsid w:val="00CF0429"/>
    <w:rsid w:val="00CF09F2"/>
    <w:rsid w:val="00CF0CA0"/>
    <w:rsid w:val="00CF0EAF"/>
    <w:rsid w:val="00CF10C0"/>
    <w:rsid w:val="00CF131D"/>
    <w:rsid w:val="00CF1342"/>
    <w:rsid w:val="00CF1398"/>
    <w:rsid w:val="00CF16F2"/>
    <w:rsid w:val="00CF1822"/>
    <w:rsid w:val="00CF1DEF"/>
    <w:rsid w:val="00CF203A"/>
    <w:rsid w:val="00CF21DD"/>
    <w:rsid w:val="00CF2415"/>
    <w:rsid w:val="00CF2519"/>
    <w:rsid w:val="00CF2644"/>
    <w:rsid w:val="00CF2A1A"/>
    <w:rsid w:val="00CF2A74"/>
    <w:rsid w:val="00CF2C06"/>
    <w:rsid w:val="00CF2CA8"/>
    <w:rsid w:val="00CF2F07"/>
    <w:rsid w:val="00CF305B"/>
    <w:rsid w:val="00CF312D"/>
    <w:rsid w:val="00CF3477"/>
    <w:rsid w:val="00CF37DC"/>
    <w:rsid w:val="00CF3A9C"/>
    <w:rsid w:val="00CF3B19"/>
    <w:rsid w:val="00CF3D39"/>
    <w:rsid w:val="00CF3E0F"/>
    <w:rsid w:val="00CF3FD6"/>
    <w:rsid w:val="00CF40D7"/>
    <w:rsid w:val="00CF40F3"/>
    <w:rsid w:val="00CF41D8"/>
    <w:rsid w:val="00CF4450"/>
    <w:rsid w:val="00CF450D"/>
    <w:rsid w:val="00CF5276"/>
    <w:rsid w:val="00CF5350"/>
    <w:rsid w:val="00CF5359"/>
    <w:rsid w:val="00CF53CC"/>
    <w:rsid w:val="00CF56DD"/>
    <w:rsid w:val="00CF57D6"/>
    <w:rsid w:val="00CF5B08"/>
    <w:rsid w:val="00CF5B19"/>
    <w:rsid w:val="00CF610E"/>
    <w:rsid w:val="00CF68F5"/>
    <w:rsid w:val="00CF6AF5"/>
    <w:rsid w:val="00CF727D"/>
    <w:rsid w:val="00CF728A"/>
    <w:rsid w:val="00CF7546"/>
    <w:rsid w:val="00CF775A"/>
    <w:rsid w:val="00CF780B"/>
    <w:rsid w:val="00CF7A08"/>
    <w:rsid w:val="00CF7A2C"/>
    <w:rsid w:val="00CF7BC2"/>
    <w:rsid w:val="00CF7C6F"/>
    <w:rsid w:val="00CF7E34"/>
    <w:rsid w:val="00D002D0"/>
    <w:rsid w:val="00D00310"/>
    <w:rsid w:val="00D0033E"/>
    <w:rsid w:val="00D003FF"/>
    <w:rsid w:val="00D004A8"/>
    <w:rsid w:val="00D00664"/>
    <w:rsid w:val="00D00777"/>
    <w:rsid w:val="00D0078A"/>
    <w:rsid w:val="00D00C37"/>
    <w:rsid w:val="00D00C9B"/>
    <w:rsid w:val="00D01109"/>
    <w:rsid w:val="00D01793"/>
    <w:rsid w:val="00D01986"/>
    <w:rsid w:val="00D019C3"/>
    <w:rsid w:val="00D01B27"/>
    <w:rsid w:val="00D01D80"/>
    <w:rsid w:val="00D01EDF"/>
    <w:rsid w:val="00D0203D"/>
    <w:rsid w:val="00D02084"/>
    <w:rsid w:val="00D02609"/>
    <w:rsid w:val="00D0269A"/>
    <w:rsid w:val="00D02786"/>
    <w:rsid w:val="00D02A9F"/>
    <w:rsid w:val="00D02DCC"/>
    <w:rsid w:val="00D02E22"/>
    <w:rsid w:val="00D02E47"/>
    <w:rsid w:val="00D03182"/>
    <w:rsid w:val="00D0356B"/>
    <w:rsid w:val="00D03946"/>
    <w:rsid w:val="00D03A28"/>
    <w:rsid w:val="00D03D1A"/>
    <w:rsid w:val="00D03EFB"/>
    <w:rsid w:val="00D03F71"/>
    <w:rsid w:val="00D044F1"/>
    <w:rsid w:val="00D04771"/>
    <w:rsid w:val="00D04815"/>
    <w:rsid w:val="00D04893"/>
    <w:rsid w:val="00D048DF"/>
    <w:rsid w:val="00D049C5"/>
    <w:rsid w:val="00D04E96"/>
    <w:rsid w:val="00D04F8C"/>
    <w:rsid w:val="00D05036"/>
    <w:rsid w:val="00D0517E"/>
    <w:rsid w:val="00D051CF"/>
    <w:rsid w:val="00D05380"/>
    <w:rsid w:val="00D05442"/>
    <w:rsid w:val="00D05FFC"/>
    <w:rsid w:val="00D06194"/>
    <w:rsid w:val="00D068E6"/>
    <w:rsid w:val="00D06E35"/>
    <w:rsid w:val="00D07148"/>
    <w:rsid w:val="00D07424"/>
    <w:rsid w:val="00D0750B"/>
    <w:rsid w:val="00D0756D"/>
    <w:rsid w:val="00D077AA"/>
    <w:rsid w:val="00D07843"/>
    <w:rsid w:val="00D07AAE"/>
    <w:rsid w:val="00D07AC8"/>
    <w:rsid w:val="00D07C3C"/>
    <w:rsid w:val="00D07E87"/>
    <w:rsid w:val="00D0B4C5"/>
    <w:rsid w:val="00D1001B"/>
    <w:rsid w:val="00D10102"/>
    <w:rsid w:val="00D10491"/>
    <w:rsid w:val="00D1072B"/>
    <w:rsid w:val="00D1090D"/>
    <w:rsid w:val="00D10C7C"/>
    <w:rsid w:val="00D10DD5"/>
    <w:rsid w:val="00D111BD"/>
    <w:rsid w:val="00D111ED"/>
    <w:rsid w:val="00D116A0"/>
    <w:rsid w:val="00D116D0"/>
    <w:rsid w:val="00D11B26"/>
    <w:rsid w:val="00D11C5C"/>
    <w:rsid w:val="00D11FF8"/>
    <w:rsid w:val="00D122DE"/>
    <w:rsid w:val="00D12316"/>
    <w:rsid w:val="00D12343"/>
    <w:rsid w:val="00D12494"/>
    <w:rsid w:val="00D12910"/>
    <w:rsid w:val="00D12AAA"/>
    <w:rsid w:val="00D12C7F"/>
    <w:rsid w:val="00D1310F"/>
    <w:rsid w:val="00D13430"/>
    <w:rsid w:val="00D13553"/>
    <w:rsid w:val="00D13676"/>
    <w:rsid w:val="00D139CA"/>
    <w:rsid w:val="00D13B8D"/>
    <w:rsid w:val="00D1436F"/>
    <w:rsid w:val="00D14C5D"/>
    <w:rsid w:val="00D15211"/>
    <w:rsid w:val="00D1568E"/>
    <w:rsid w:val="00D15766"/>
    <w:rsid w:val="00D15977"/>
    <w:rsid w:val="00D15A1E"/>
    <w:rsid w:val="00D15DF2"/>
    <w:rsid w:val="00D15ECA"/>
    <w:rsid w:val="00D16785"/>
    <w:rsid w:val="00D168E3"/>
    <w:rsid w:val="00D16975"/>
    <w:rsid w:val="00D16AFE"/>
    <w:rsid w:val="00D16BAA"/>
    <w:rsid w:val="00D17025"/>
    <w:rsid w:val="00D17197"/>
    <w:rsid w:val="00D172AB"/>
    <w:rsid w:val="00D174B5"/>
    <w:rsid w:val="00D17606"/>
    <w:rsid w:val="00D176B5"/>
    <w:rsid w:val="00D17B39"/>
    <w:rsid w:val="00D17BDB"/>
    <w:rsid w:val="00D17D42"/>
    <w:rsid w:val="00D2056C"/>
    <w:rsid w:val="00D2069F"/>
    <w:rsid w:val="00D20826"/>
    <w:rsid w:val="00D20D62"/>
    <w:rsid w:val="00D20FC9"/>
    <w:rsid w:val="00D216F3"/>
    <w:rsid w:val="00D21721"/>
    <w:rsid w:val="00D219C7"/>
    <w:rsid w:val="00D21E21"/>
    <w:rsid w:val="00D220F9"/>
    <w:rsid w:val="00D22188"/>
    <w:rsid w:val="00D22664"/>
    <w:rsid w:val="00D22788"/>
    <w:rsid w:val="00D227BC"/>
    <w:rsid w:val="00D22C1D"/>
    <w:rsid w:val="00D22E27"/>
    <w:rsid w:val="00D2331A"/>
    <w:rsid w:val="00D23366"/>
    <w:rsid w:val="00D23497"/>
    <w:rsid w:val="00D238ED"/>
    <w:rsid w:val="00D23A72"/>
    <w:rsid w:val="00D23A89"/>
    <w:rsid w:val="00D23AFA"/>
    <w:rsid w:val="00D23B83"/>
    <w:rsid w:val="00D23CA6"/>
    <w:rsid w:val="00D23D18"/>
    <w:rsid w:val="00D24831"/>
    <w:rsid w:val="00D248B2"/>
    <w:rsid w:val="00D24B21"/>
    <w:rsid w:val="00D25172"/>
    <w:rsid w:val="00D25471"/>
    <w:rsid w:val="00D25CAC"/>
    <w:rsid w:val="00D25DDC"/>
    <w:rsid w:val="00D25F94"/>
    <w:rsid w:val="00D26213"/>
    <w:rsid w:val="00D264E4"/>
    <w:rsid w:val="00D2654F"/>
    <w:rsid w:val="00D265D3"/>
    <w:rsid w:val="00D2710A"/>
    <w:rsid w:val="00D27183"/>
    <w:rsid w:val="00D2727E"/>
    <w:rsid w:val="00D27631"/>
    <w:rsid w:val="00D276F7"/>
    <w:rsid w:val="00D2779B"/>
    <w:rsid w:val="00D27A2F"/>
    <w:rsid w:val="00D27BAB"/>
    <w:rsid w:val="00D27CC1"/>
    <w:rsid w:val="00D27E8E"/>
    <w:rsid w:val="00D27F3B"/>
    <w:rsid w:val="00D3029D"/>
    <w:rsid w:val="00D305C8"/>
    <w:rsid w:val="00D308D5"/>
    <w:rsid w:val="00D309D4"/>
    <w:rsid w:val="00D30E6D"/>
    <w:rsid w:val="00D30F28"/>
    <w:rsid w:val="00D30F45"/>
    <w:rsid w:val="00D31660"/>
    <w:rsid w:val="00D317F4"/>
    <w:rsid w:val="00D31935"/>
    <w:rsid w:val="00D320DC"/>
    <w:rsid w:val="00D32320"/>
    <w:rsid w:val="00D32331"/>
    <w:rsid w:val="00D32642"/>
    <w:rsid w:val="00D326F7"/>
    <w:rsid w:val="00D327F4"/>
    <w:rsid w:val="00D32DD3"/>
    <w:rsid w:val="00D32E3C"/>
    <w:rsid w:val="00D32E79"/>
    <w:rsid w:val="00D32EC2"/>
    <w:rsid w:val="00D331D8"/>
    <w:rsid w:val="00D33AF5"/>
    <w:rsid w:val="00D33F43"/>
    <w:rsid w:val="00D33F77"/>
    <w:rsid w:val="00D3429E"/>
    <w:rsid w:val="00D345BB"/>
    <w:rsid w:val="00D346CA"/>
    <w:rsid w:val="00D34854"/>
    <w:rsid w:val="00D34A99"/>
    <w:rsid w:val="00D34D65"/>
    <w:rsid w:val="00D34EB8"/>
    <w:rsid w:val="00D34F11"/>
    <w:rsid w:val="00D35171"/>
    <w:rsid w:val="00D351B6"/>
    <w:rsid w:val="00D35211"/>
    <w:rsid w:val="00D35236"/>
    <w:rsid w:val="00D354BF"/>
    <w:rsid w:val="00D35AD5"/>
    <w:rsid w:val="00D35BEC"/>
    <w:rsid w:val="00D35C42"/>
    <w:rsid w:val="00D35CF4"/>
    <w:rsid w:val="00D35E4B"/>
    <w:rsid w:val="00D35F44"/>
    <w:rsid w:val="00D362F1"/>
    <w:rsid w:val="00D36507"/>
    <w:rsid w:val="00D36A8C"/>
    <w:rsid w:val="00D36D1C"/>
    <w:rsid w:val="00D371B0"/>
    <w:rsid w:val="00D37436"/>
    <w:rsid w:val="00D37440"/>
    <w:rsid w:val="00D378EC"/>
    <w:rsid w:val="00D40916"/>
    <w:rsid w:val="00D40943"/>
    <w:rsid w:val="00D40A9A"/>
    <w:rsid w:val="00D40BBE"/>
    <w:rsid w:val="00D413E8"/>
    <w:rsid w:val="00D41461"/>
    <w:rsid w:val="00D414CF"/>
    <w:rsid w:val="00D416AB"/>
    <w:rsid w:val="00D41B4A"/>
    <w:rsid w:val="00D422C4"/>
    <w:rsid w:val="00D422DC"/>
    <w:rsid w:val="00D42594"/>
    <w:rsid w:val="00D425AB"/>
    <w:rsid w:val="00D425E0"/>
    <w:rsid w:val="00D42CD8"/>
    <w:rsid w:val="00D42CEB"/>
    <w:rsid w:val="00D42EFC"/>
    <w:rsid w:val="00D43083"/>
    <w:rsid w:val="00D43089"/>
    <w:rsid w:val="00D43283"/>
    <w:rsid w:val="00D434C6"/>
    <w:rsid w:val="00D436A0"/>
    <w:rsid w:val="00D436CC"/>
    <w:rsid w:val="00D43768"/>
    <w:rsid w:val="00D43CDD"/>
    <w:rsid w:val="00D43E14"/>
    <w:rsid w:val="00D43E3B"/>
    <w:rsid w:val="00D43F91"/>
    <w:rsid w:val="00D443B5"/>
    <w:rsid w:val="00D4440F"/>
    <w:rsid w:val="00D44AB9"/>
    <w:rsid w:val="00D44C45"/>
    <w:rsid w:val="00D4557D"/>
    <w:rsid w:val="00D45B95"/>
    <w:rsid w:val="00D45C79"/>
    <w:rsid w:val="00D45D14"/>
    <w:rsid w:val="00D45DB0"/>
    <w:rsid w:val="00D45DE3"/>
    <w:rsid w:val="00D46014"/>
    <w:rsid w:val="00D46239"/>
    <w:rsid w:val="00D46A07"/>
    <w:rsid w:val="00D46BF0"/>
    <w:rsid w:val="00D46C67"/>
    <w:rsid w:val="00D46E47"/>
    <w:rsid w:val="00D4708E"/>
    <w:rsid w:val="00D470FC"/>
    <w:rsid w:val="00D473CC"/>
    <w:rsid w:val="00D474B4"/>
    <w:rsid w:val="00D475A1"/>
    <w:rsid w:val="00D47641"/>
    <w:rsid w:val="00D47835"/>
    <w:rsid w:val="00D4790C"/>
    <w:rsid w:val="00D47993"/>
    <w:rsid w:val="00D47A89"/>
    <w:rsid w:val="00D47D80"/>
    <w:rsid w:val="00D47E25"/>
    <w:rsid w:val="00D47FFB"/>
    <w:rsid w:val="00D50605"/>
    <w:rsid w:val="00D50933"/>
    <w:rsid w:val="00D50984"/>
    <w:rsid w:val="00D50E33"/>
    <w:rsid w:val="00D50F3F"/>
    <w:rsid w:val="00D50FA4"/>
    <w:rsid w:val="00D50FB3"/>
    <w:rsid w:val="00D5127F"/>
    <w:rsid w:val="00D516BB"/>
    <w:rsid w:val="00D518EE"/>
    <w:rsid w:val="00D51990"/>
    <w:rsid w:val="00D519BC"/>
    <w:rsid w:val="00D51AF8"/>
    <w:rsid w:val="00D51B92"/>
    <w:rsid w:val="00D51BDE"/>
    <w:rsid w:val="00D51BFF"/>
    <w:rsid w:val="00D51D3B"/>
    <w:rsid w:val="00D51EA2"/>
    <w:rsid w:val="00D52BF0"/>
    <w:rsid w:val="00D52CE4"/>
    <w:rsid w:val="00D53284"/>
    <w:rsid w:val="00D5372E"/>
    <w:rsid w:val="00D5385E"/>
    <w:rsid w:val="00D53B24"/>
    <w:rsid w:val="00D53D57"/>
    <w:rsid w:val="00D53EDD"/>
    <w:rsid w:val="00D5418D"/>
    <w:rsid w:val="00D54388"/>
    <w:rsid w:val="00D544CD"/>
    <w:rsid w:val="00D544DD"/>
    <w:rsid w:val="00D5488E"/>
    <w:rsid w:val="00D549BE"/>
    <w:rsid w:val="00D54ABE"/>
    <w:rsid w:val="00D54B45"/>
    <w:rsid w:val="00D54DDE"/>
    <w:rsid w:val="00D54E59"/>
    <w:rsid w:val="00D553F7"/>
    <w:rsid w:val="00D55885"/>
    <w:rsid w:val="00D559BF"/>
    <w:rsid w:val="00D55F9D"/>
    <w:rsid w:val="00D5604F"/>
    <w:rsid w:val="00D565F6"/>
    <w:rsid w:val="00D56821"/>
    <w:rsid w:val="00D56A38"/>
    <w:rsid w:val="00D56BFE"/>
    <w:rsid w:val="00D5718A"/>
    <w:rsid w:val="00D57495"/>
    <w:rsid w:val="00D5768D"/>
    <w:rsid w:val="00D57C59"/>
    <w:rsid w:val="00D57CCB"/>
    <w:rsid w:val="00D57EC5"/>
    <w:rsid w:val="00D6011D"/>
    <w:rsid w:val="00D601F7"/>
    <w:rsid w:val="00D603A9"/>
    <w:rsid w:val="00D606DF"/>
    <w:rsid w:val="00D60C0E"/>
    <w:rsid w:val="00D60CB7"/>
    <w:rsid w:val="00D60E07"/>
    <w:rsid w:val="00D60F90"/>
    <w:rsid w:val="00D61034"/>
    <w:rsid w:val="00D61054"/>
    <w:rsid w:val="00D6179A"/>
    <w:rsid w:val="00D61965"/>
    <w:rsid w:val="00D619F2"/>
    <w:rsid w:val="00D61E8A"/>
    <w:rsid w:val="00D61F21"/>
    <w:rsid w:val="00D620A0"/>
    <w:rsid w:val="00D6237A"/>
    <w:rsid w:val="00D627B3"/>
    <w:rsid w:val="00D62AAF"/>
    <w:rsid w:val="00D62E1D"/>
    <w:rsid w:val="00D6354F"/>
    <w:rsid w:val="00D635E2"/>
    <w:rsid w:val="00D63C2F"/>
    <w:rsid w:val="00D64312"/>
    <w:rsid w:val="00D6451C"/>
    <w:rsid w:val="00D6479A"/>
    <w:rsid w:val="00D648CE"/>
    <w:rsid w:val="00D648FE"/>
    <w:rsid w:val="00D64C7F"/>
    <w:rsid w:val="00D64D20"/>
    <w:rsid w:val="00D64D8A"/>
    <w:rsid w:val="00D64ED8"/>
    <w:rsid w:val="00D650E9"/>
    <w:rsid w:val="00D65117"/>
    <w:rsid w:val="00D656AF"/>
    <w:rsid w:val="00D65883"/>
    <w:rsid w:val="00D659D3"/>
    <w:rsid w:val="00D65A38"/>
    <w:rsid w:val="00D65B2B"/>
    <w:rsid w:val="00D65DDB"/>
    <w:rsid w:val="00D6604A"/>
    <w:rsid w:val="00D664A7"/>
    <w:rsid w:val="00D66595"/>
    <w:rsid w:val="00D6662B"/>
    <w:rsid w:val="00D66A45"/>
    <w:rsid w:val="00D66A91"/>
    <w:rsid w:val="00D66C9E"/>
    <w:rsid w:val="00D66D01"/>
    <w:rsid w:val="00D67175"/>
    <w:rsid w:val="00D673AA"/>
    <w:rsid w:val="00D6796C"/>
    <w:rsid w:val="00D67B43"/>
    <w:rsid w:val="00D67FD0"/>
    <w:rsid w:val="00D70494"/>
    <w:rsid w:val="00D705D2"/>
    <w:rsid w:val="00D7078A"/>
    <w:rsid w:val="00D70D2A"/>
    <w:rsid w:val="00D70E96"/>
    <w:rsid w:val="00D70F68"/>
    <w:rsid w:val="00D711E9"/>
    <w:rsid w:val="00D712D3"/>
    <w:rsid w:val="00D71873"/>
    <w:rsid w:val="00D71A81"/>
    <w:rsid w:val="00D71E16"/>
    <w:rsid w:val="00D72045"/>
    <w:rsid w:val="00D722C5"/>
    <w:rsid w:val="00D722F7"/>
    <w:rsid w:val="00D7274E"/>
    <w:rsid w:val="00D729B5"/>
    <w:rsid w:val="00D72DF2"/>
    <w:rsid w:val="00D730C8"/>
    <w:rsid w:val="00D732E4"/>
    <w:rsid w:val="00D73592"/>
    <w:rsid w:val="00D735F3"/>
    <w:rsid w:val="00D73AB6"/>
    <w:rsid w:val="00D73AD3"/>
    <w:rsid w:val="00D73B10"/>
    <w:rsid w:val="00D73F4D"/>
    <w:rsid w:val="00D73FE5"/>
    <w:rsid w:val="00D7415D"/>
    <w:rsid w:val="00D741FE"/>
    <w:rsid w:val="00D74B1B"/>
    <w:rsid w:val="00D74EB0"/>
    <w:rsid w:val="00D75071"/>
    <w:rsid w:val="00D7509C"/>
    <w:rsid w:val="00D75234"/>
    <w:rsid w:val="00D75378"/>
    <w:rsid w:val="00D7541F"/>
    <w:rsid w:val="00D755F7"/>
    <w:rsid w:val="00D7580D"/>
    <w:rsid w:val="00D75847"/>
    <w:rsid w:val="00D75D4C"/>
    <w:rsid w:val="00D76060"/>
    <w:rsid w:val="00D763E4"/>
    <w:rsid w:val="00D768CE"/>
    <w:rsid w:val="00D76CBB"/>
    <w:rsid w:val="00D76D14"/>
    <w:rsid w:val="00D772F8"/>
    <w:rsid w:val="00D7747D"/>
    <w:rsid w:val="00D77887"/>
    <w:rsid w:val="00D77AB3"/>
    <w:rsid w:val="00D77CB8"/>
    <w:rsid w:val="00D8010E"/>
    <w:rsid w:val="00D80296"/>
    <w:rsid w:val="00D80935"/>
    <w:rsid w:val="00D80BA0"/>
    <w:rsid w:val="00D80CDC"/>
    <w:rsid w:val="00D80E37"/>
    <w:rsid w:val="00D81249"/>
    <w:rsid w:val="00D812A2"/>
    <w:rsid w:val="00D819AF"/>
    <w:rsid w:val="00D81E52"/>
    <w:rsid w:val="00D8235D"/>
    <w:rsid w:val="00D82404"/>
    <w:rsid w:val="00D826C6"/>
    <w:rsid w:val="00D82863"/>
    <w:rsid w:val="00D82AC5"/>
    <w:rsid w:val="00D83597"/>
    <w:rsid w:val="00D83856"/>
    <w:rsid w:val="00D83AFF"/>
    <w:rsid w:val="00D83F3F"/>
    <w:rsid w:val="00D841A8"/>
    <w:rsid w:val="00D8429C"/>
    <w:rsid w:val="00D844F9"/>
    <w:rsid w:val="00D844FB"/>
    <w:rsid w:val="00D8487D"/>
    <w:rsid w:val="00D8492E"/>
    <w:rsid w:val="00D84FA4"/>
    <w:rsid w:val="00D84FE4"/>
    <w:rsid w:val="00D8511B"/>
    <w:rsid w:val="00D85579"/>
    <w:rsid w:val="00D85716"/>
    <w:rsid w:val="00D85ADE"/>
    <w:rsid w:val="00D8618C"/>
    <w:rsid w:val="00D8638D"/>
    <w:rsid w:val="00D865E7"/>
    <w:rsid w:val="00D86753"/>
    <w:rsid w:val="00D86812"/>
    <w:rsid w:val="00D8690D"/>
    <w:rsid w:val="00D86967"/>
    <w:rsid w:val="00D86A79"/>
    <w:rsid w:val="00D86DCD"/>
    <w:rsid w:val="00D87292"/>
    <w:rsid w:val="00D879E3"/>
    <w:rsid w:val="00D87B99"/>
    <w:rsid w:val="00D87DA5"/>
    <w:rsid w:val="00D87E54"/>
    <w:rsid w:val="00D87F64"/>
    <w:rsid w:val="00D87F7A"/>
    <w:rsid w:val="00D902B0"/>
    <w:rsid w:val="00D902D2"/>
    <w:rsid w:val="00D9032A"/>
    <w:rsid w:val="00D9033A"/>
    <w:rsid w:val="00D904D9"/>
    <w:rsid w:val="00D905DF"/>
    <w:rsid w:val="00D90837"/>
    <w:rsid w:val="00D9089E"/>
    <w:rsid w:val="00D90A91"/>
    <w:rsid w:val="00D90C11"/>
    <w:rsid w:val="00D9102F"/>
    <w:rsid w:val="00D913EF"/>
    <w:rsid w:val="00D91486"/>
    <w:rsid w:val="00D91891"/>
    <w:rsid w:val="00D918E5"/>
    <w:rsid w:val="00D926F1"/>
    <w:rsid w:val="00D92773"/>
    <w:rsid w:val="00D92E59"/>
    <w:rsid w:val="00D92EE3"/>
    <w:rsid w:val="00D92F75"/>
    <w:rsid w:val="00D930D4"/>
    <w:rsid w:val="00D9311A"/>
    <w:rsid w:val="00D9316E"/>
    <w:rsid w:val="00D938AF"/>
    <w:rsid w:val="00D93A4C"/>
    <w:rsid w:val="00D93D8B"/>
    <w:rsid w:val="00D93DD5"/>
    <w:rsid w:val="00D93DF3"/>
    <w:rsid w:val="00D94592"/>
    <w:rsid w:val="00D94624"/>
    <w:rsid w:val="00D94697"/>
    <w:rsid w:val="00D946A0"/>
    <w:rsid w:val="00D946DE"/>
    <w:rsid w:val="00D94A8C"/>
    <w:rsid w:val="00D94BF8"/>
    <w:rsid w:val="00D94C60"/>
    <w:rsid w:val="00D95271"/>
    <w:rsid w:val="00D954E8"/>
    <w:rsid w:val="00D956D3"/>
    <w:rsid w:val="00D95773"/>
    <w:rsid w:val="00D958E8"/>
    <w:rsid w:val="00D95A7B"/>
    <w:rsid w:val="00D95AB8"/>
    <w:rsid w:val="00D95F48"/>
    <w:rsid w:val="00D960D0"/>
    <w:rsid w:val="00D961E0"/>
    <w:rsid w:val="00D963D2"/>
    <w:rsid w:val="00D964FA"/>
    <w:rsid w:val="00D968F7"/>
    <w:rsid w:val="00D96A3D"/>
    <w:rsid w:val="00D96E1B"/>
    <w:rsid w:val="00D9705C"/>
    <w:rsid w:val="00D973CD"/>
    <w:rsid w:val="00D97428"/>
    <w:rsid w:val="00D97774"/>
    <w:rsid w:val="00D978E0"/>
    <w:rsid w:val="00D97CC6"/>
    <w:rsid w:val="00DA0388"/>
    <w:rsid w:val="00DA03F1"/>
    <w:rsid w:val="00DA063B"/>
    <w:rsid w:val="00DA0740"/>
    <w:rsid w:val="00DA076C"/>
    <w:rsid w:val="00DA0863"/>
    <w:rsid w:val="00DA0BB6"/>
    <w:rsid w:val="00DA0BBF"/>
    <w:rsid w:val="00DA0BE9"/>
    <w:rsid w:val="00DA0DAD"/>
    <w:rsid w:val="00DA0DEB"/>
    <w:rsid w:val="00DA10AA"/>
    <w:rsid w:val="00DA203C"/>
    <w:rsid w:val="00DA2239"/>
    <w:rsid w:val="00DA23EB"/>
    <w:rsid w:val="00DA26ED"/>
    <w:rsid w:val="00DA2E09"/>
    <w:rsid w:val="00DA31E5"/>
    <w:rsid w:val="00DA3289"/>
    <w:rsid w:val="00DA32CD"/>
    <w:rsid w:val="00DA3449"/>
    <w:rsid w:val="00DA35B3"/>
    <w:rsid w:val="00DA3647"/>
    <w:rsid w:val="00DA3AD0"/>
    <w:rsid w:val="00DA3F89"/>
    <w:rsid w:val="00DA4384"/>
    <w:rsid w:val="00DA44AD"/>
    <w:rsid w:val="00DA46CF"/>
    <w:rsid w:val="00DA4AB3"/>
    <w:rsid w:val="00DA4ECF"/>
    <w:rsid w:val="00DA54F0"/>
    <w:rsid w:val="00DA56E2"/>
    <w:rsid w:val="00DA57BB"/>
    <w:rsid w:val="00DA5E5A"/>
    <w:rsid w:val="00DA605B"/>
    <w:rsid w:val="00DA61DB"/>
    <w:rsid w:val="00DA6267"/>
    <w:rsid w:val="00DA636A"/>
    <w:rsid w:val="00DA645E"/>
    <w:rsid w:val="00DA660C"/>
    <w:rsid w:val="00DA66D0"/>
    <w:rsid w:val="00DA6941"/>
    <w:rsid w:val="00DA6B89"/>
    <w:rsid w:val="00DA6DD9"/>
    <w:rsid w:val="00DA6E0D"/>
    <w:rsid w:val="00DA704E"/>
    <w:rsid w:val="00DA7342"/>
    <w:rsid w:val="00DA736A"/>
    <w:rsid w:val="00DA73E0"/>
    <w:rsid w:val="00DA7454"/>
    <w:rsid w:val="00DA74C6"/>
    <w:rsid w:val="00DA75E6"/>
    <w:rsid w:val="00DA7625"/>
    <w:rsid w:val="00DA76A4"/>
    <w:rsid w:val="00DA77FB"/>
    <w:rsid w:val="00DA78AD"/>
    <w:rsid w:val="00DA7997"/>
    <w:rsid w:val="00DA7A47"/>
    <w:rsid w:val="00DA7ED2"/>
    <w:rsid w:val="00DA7EFA"/>
    <w:rsid w:val="00DB06BA"/>
    <w:rsid w:val="00DB099C"/>
    <w:rsid w:val="00DB0C73"/>
    <w:rsid w:val="00DB0F59"/>
    <w:rsid w:val="00DB0FA6"/>
    <w:rsid w:val="00DB1367"/>
    <w:rsid w:val="00DB143D"/>
    <w:rsid w:val="00DB154B"/>
    <w:rsid w:val="00DB1982"/>
    <w:rsid w:val="00DB1AE2"/>
    <w:rsid w:val="00DB1C7D"/>
    <w:rsid w:val="00DB1ECD"/>
    <w:rsid w:val="00DB211D"/>
    <w:rsid w:val="00DB223B"/>
    <w:rsid w:val="00DB2492"/>
    <w:rsid w:val="00DB263A"/>
    <w:rsid w:val="00DB2F2C"/>
    <w:rsid w:val="00DB3079"/>
    <w:rsid w:val="00DB3163"/>
    <w:rsid w:val="00DB3187"/>
    <w:rsid w:val="00DB35AE"/>
    <w:rsid w:val="00DB3A5F"/>
    <w:rsid w:val="00DB3DED"/>
    <w:rsid w:val="00DB4362"/>
    <w:rsid w:val="00DB44DF"/>
    <w:rsid w:val="00DB49C1"/>
    <w:rsid w:val="00DB4C02"/>
    <w:rsid w:val="00DB4D6B"/>
    <w:rsid w:val="00DB4EC7"/>
    <w:rsid w:val="00DB5171"/>
    <w:rsid w:val="00DB52B1"/>
    <w:rsid w:val="00DB5434"/>
    <w:rsid w:val="00DB560F"/>
    <w:rsid w:val="00DB5E38"/>
    <w:rsid w:val="00DB5EAC"/>
    <w:rsid w:val="00DB5EDA"/>
    <w:rsid w:val="00DB6364"/>
    <w:rsid w:val="00DB69D0"/>
    <w:rsid w:val="00DB6A5B"/>
    <w:rsid w:val="00DB6AF8"/>
    <w:rsid w:val="00DB6E4B"/>
    <w:rsid w:val="00DB6FD4"/>
    <w:rsid w:val="00DB7305"/>
    <w:rsid w:val="00DB749C"/>
    <w:rsid w:val="00DB74DC"/>
    <w:rsid w:val="00DB75FC"/>
    <w:rsid w:val="00DB7C13"/>
    <w:rsid w:val="00DB7DDE"/>
    <w:rsid w:val="00DC00BC"/>
    <w:rsid w:val="00DC099A"/>
    <w:rsid w:val="00DC0B2A"/>
    <w:rsid w:val="00DC0B44"/>
    <w:rsid w:val="00DC0B86"/>
    <w:rsid w:val="00DC0EBB"/>
    <w:rsid w:val="00DC1455"/>
    <w:rsid w:val="00DC1689"/>
    <w:rsid w:val="00DC186A"/>
    <w:rsid w:val="00DC18B9"/>
    <w:rsid w:val="00DC2305"/>
    <w:rsid w:val="00DC285C"/>
    <w:rsid w:val="00DC2B98"/>
    <w:rsid w:val="00DC2C40"/>
    <w:rsid w:val="00DC2D12"/>
    <w:rsid w:val="00DC3054"/>
    <w:rsid w:val="00DC3218"/>
    <w:rsid w:val="00DC3242"/>
    <w:rsid w:val="00DC326F"/>
    <w:rsid w:val="00DC3366"/>
    <w:rsid w:val="00DC39DE"/>
    <w:rsid w:val="00DC3A55"/>
    <w:rsid w:val="00DC3C30"/>
    <w:rsid w:val="00DC415B"/>
    <w:rsid w:val="00DC4303"/>
    <w:rsid w:val="00DC439D"/>
    <w:rsid w:val="00DC455F"/>
    <w:rsid w:val="00DC4844"/>
    <w:rsid w:val="00DC49BD"/>
    <w:rsid w:val="00DC4B9B"/>
    <w:rsid w:val="00DC4BF0"/>
    <w:rsid w:val="00DC4DBE"/>
    <w:rsid w:val="00DC4DE2"/>
    <w:rsid w:val="00DC5013"/>
    <w:rsid w:val="00DC514D"/>
    <w:rsid w:val="00DC51BC"/>
    <w:rsid w:val="00DC5600"/>
    <w:rsid w:val="00DC59A8"/>
    <w:rsid w:val="00DC5A0C"/>
    <w:rsid w:val="00DC5A34"/>
    <w:rsid w:val="00DC61B1"/>
    <w:rsid w:val="00DC6268"/>
    <w:rsid w:val="00DC62B2"/>
    <w:rsid w:val="00DC63F0"/>
    <w:rsid w:val="00DC6706"/>
    <w:rsid w:val="00DC6D7B"/>
    <w:rsid w:val="00DC6DFC"/>
    <w:rsid w:val="00DC71FC"/>
    <w:rsid w:val="00DC739E"/>
    <w:rsid w:val="00DC74CE"/>
    <w:rsid w:val="00DC75DC"/>
    <w:rsid w:val="00DC76F2"/>
    <w:rsid w:val="00DC7710"/>
    <w:rsid w:val="00DC799D"/>
    <w:rsid w:val="00DC7BBB"/>
    <w:rsid w:val="00DD001C"/>
    <w:rsid w:val="00DD014D"/>
    <w:rsid w:val="00DD0241"/>
    <w:rsid w:val="00DD0368"/>
    <w:rsid w:val="00DD05C8"/>
    <w:rsid w:val="00DD084F"/>
    <w:rsid w:val="00DD0E02"/>
    <w:rsid w:val="00DD1062"/>
    <w:rsid w:val="00DD10F5"/>
    <w:rsid w:val="00DD1112"/>
    <w:rsid w:val="00DD116C"/>
    <w:rsid w:val="00DD1A98"/>
    <w:rsid w:val="00DD1C31"/>
    <w:rsid w:val="00DD1F80"/>
    <w:rsid w:val="00DD2117"/>
    <w:rsid w:val="00DD21F8"/>
    <w:rsid w:val="00DD2494"/>
    <w:rsid w:val="00DD2E1A"/>
    <w:rsid w:val="00DD3507"/>
    <w:rsid w:val="00DD3E57"/>
    <w:rsid w:val="00DD4164"/>
    <w:rsid w:val="00DD427D"/>
    <w:rsid w:val="00DD434F"/>
    <w:rsid w:val="00DD4385"/>
    <w:rsid w:val="00DD441F"/>
    <w:rsid w:val="00DD45AA"/>
    <w:rsid w:val="00DD4830"/>
    <w:rsid w:val="00DD4D95"/>
    <w:rsid w:val="00DD4DFA"/>
    <w:rsid w:val="00DD4E70"/>
    <w:rsid w:val="00DD4EDA"/>
    <w:rsid w:val="00DD50BF"/>
    <w:rsid w:val="00DD5141"/>
    <w:rsid w:val="00DD52CF"/>
    <w:rsid w:val="00DD5310"/>
    <w:rsid w:val="00DD538F"/>
    <w:rsid w:val="00DD5479"/>
    <w:rsid w:val="00DD5588"/>
    <w:rsid w:val="00DD58A3"/>
    <w:rsid w:val="00DD58DA"/>
    <w:rsid w:val="00DD5D7E"/>
    <w:rsid w:val="00DD5E82"/>
    <w:rsid w:val="00DD5EF4"/>
    <w:rsid w:val="00DD608D"/>
    <w:rsid w:val="00DD6242"/>
    <w:rsid w:val="00DD626C"/>
    <w:rsid w:val="00DD66A8"/>
    <w:rsid w:val="00DD6758"/>
    <w:rsid w:val="00DD6CA0"/>
    <w:rsid w:val="00DD7280"/>
    <w:rsid w:val="00DD7326"/>
    <w:rsid w:val="00DD743B"/>
    <w:rsid w:val="00DD7541"/>
    <w:rsid w:val="00DD7997"/>
    <w:rsid w:val="00DD7A8F"/>
    <w:rsid w:val="00DE043B"/>
    <w:rsid w:val="00DE0455"/>
    <w:rsid w:val="00DE067A"/>
    <w:rsid w:val="00DE06DD"/>
    <w:rsid w:val="00DE0851"/>
    <w:rsid w:val="00DE099C"/>
    <w:rsid w:val="00DE0AA9"/>
    <w:rsid w:val="00DE0B53"/>
    <w:rsid w:val="00DE0C38"/>
    <w:rsid w:val="00DE0E22"/>
    <w:rsid w:val="00DE1139"/>
    <w:rsid w:val="00DE1180"/>
    <w:rsid w:val="00DE14AC"/>
    <w:rsid w:val="00DE1E87"/>
    <w:rsid w:val="00DE1F3F"/>
    <w:rsid w:val="00DE1FFB"/>
    <w:rsid w:val="00DE2022"/>
    <w:rsid w:val="00DE20FE"/>
    <w:rsid w:val="00DE211C"/>
    <w:rsid w:val="00DE22A4"/>
    <w:rsid w:val="00DE237D"/>
    <w:rsid w:val="00DE23A0"/>
    <w:rsid w:val="00DE2546"/>
    <w:rsid w:val="00DE25C4"/>
    <w:rsid w:val="00DE2BEC"/>
    <w:rsid w:val="00DE2D4B"/>
    <w:rsid w:val="00DE2D4F"/>
    <w:rsid w:val="00DE36D5"/>
    <w:rsid w:val="00DE3875"/>
    <w:rsid w:val="00DE397E"/>
    <w:rsid w:val="00DE3D03"/>
    <w:rsid w:val="00DE3DC3"/>
    <w:rsid w:val="00DE3E34"/>
    <w:rsid w:val="00DE3F21"/>
    <w:rsid w:val="00DE4098"/>
    <w:rsid w:val="00DE4338"/>
    <w:rsid w:val="00DE43CD"/>
    <w:rsid w:val="00DE4643"/>
    <w:rsid w:val="00DE4E50"/>
    <w:rsid w:val="00DE5039"/>
    <w:rsid w:val="00DE508B"/>
    <w:rsid w:val="00DE51CF"/>
    <w:rsid w:val="00DE5279"/>
    <w:rsid w:val="00DE55C9"/>
    <w:rsid w:val="00DE5642"/>
    <w:rsid w:val="00DE56C6"/>
    <w:rsid w:val="00DE5C11"/>
    <w:rsid w:val="00DE5D5C"/>
    <w:rsid w:val="00DE5DF8"/>
    <w:rsid w:val="00DE6046"/>
    <w:rsid w:val="00DE607B"/>
    <w:rsid w:val="00DE636E"/>
    <w:rsid w:val="00DE64A3"/>
    <w:rsid w:val="00DE6DCC"/>
    <w:rsid w:val="00DE7841"/>
    <w:rsid w:val="00DE789F"/>
    <w:rsid w:val="00DE78DD"/>
    <w:rsid w:val="00DE792D"/>
    <w:rsid w:val="00DE7D96"/>
    <w:rsid w:val="00DF00FA"/>
    <w:rsid w:val="00DF03B1"/>
    <w:rsid w:val="00DF04BA"/>
    <w:rsid w:val="00DF0CAD"/>
    <w:rsid w:val="00DF107A"/>
    <w:rsid w:val="00DF126D"/>
    <w:rsid w:val="00DF133F"/>
    <w:rsid w:val="00DF1458"/>
    <w:rsid w:val="00DF1459"/>
    <w:rsid w:val="00DF1588"/>
    <w:rsid w:val="00DF15F7"/>
    <w:rsid w:val="00DF19CC"/>
    <w:rsid w:val="00DF1CC4"/>
    <w:rsid w:val="00DF1DAF"/>
    <w:rsid w:val="00DF242E"/>
    <w:rsid w:val="00DF248F"/>
    <w:rsid w:val="00DF256C"/>
    <w:rsid w:val="00DF2638"/>
    <w:rsid w:val="00DF2839"/>
    <w:rsid w:val="00DF2B35"/>
    <w:rsid w:val="00DF2B3B"/>
    <w:rsid w:val="00DF2C03"/>
    <w:rsid w:val="00DF2DDF"/>
    <w:rsid w:val="00DF2EE5"/>
    <w:rsid w:val="00DF2EFA"/>
    <w:rsid w:val="00DF30AC"/>
    <w:rsid w:val="00DF34C6"/>
    <w:rsid w:val="00DF35B1"/>
    <w:rsid w:val="00DF3924"/>
    <w:rsid w:val="00DF3AC4"/>
    <w:rsid w:val="00DF4176"/>
    <w:rsid w:val="00DF467A"/>
    <w:rsid w:val="00DF46C8"/>
    <w:rsid w:val="00DF46FA"/>
    <w:rsid w:val="00DF48DB"/>
    <w:rsid w:val="00DF4A3D"/>
    <w:rsid w:val="00DF4A54"/>
    <w:rsid w:val="00DF4B83"/>
    <w:rsid w:val="00DF588E"/>
    <w:rsid w:val="00DF591B"/>
    <w:rsid w:val="00DF5A37"/>
    <w:rsid w:val="00DF5DFC"/>
    <w:rsid w:val="00DF5E61"/>
    <w:rsid w:val="00DF5F57"/>
    <w:rsid w:val="00DF6401"/>
    <w:rsid w:val="00DF6668"/>
    <w:rsid w:val="00DF6FB7"/>
    <w:rsid w:val="00DF729D"/>
    <w:rsid w:val="00DF74A6"/>
    <w:rsid w:val="00DF7684"/>
    <w:rsid w:val="00E00048"/>
    <w:rsid w:val="00E00146"/>
    <w:rsid w:val="00E001BA"/>
    <w:rsid w:val="00E005D7"/>
    <w:rsid w:val="00E00D48"/>
    <w:rsid w:val="00E012C6"/>
    <w:rsid w:val="00E01D07"/>
    <w:rsid w:val="00E01DD4"/>
    <w:rsid w:val="00E01E18"/>
    <w:rsid w:val="00E02383"/>
    <w:rsid w:val="00E025D1"/>
    <w:rsid w:val="00E02B6E"/>
    <w:rsid w:val="00E02C92"/>
    <w:rsid w:val="00E02DC7"/>
    <w:rsid w:val="00E0302B"/>
    <w:rsid w:val="00E0330F"/>
    <w:rsid w:val="00E03605"/>
    <w:rsid w:val="00E036F5"/>
    <w:rsid w:val="00E037A5"/>
    <w:rsid w:val="00E03AF2"/>
    <w:rsid w:val="00E03BE5"/>
    <w:rsid w:val="00E043E9"/>
    <w:rsid w:val="00E044D3"/>
    <w:rsid w:val="00E058FE"/>
    <w:rsid w:val="00E05B25"/>
    <w:rsid w:val="00E05F52"/>
    <w:rsid w:val="00E065FC"/>
    <w:rsid w:val="00E06620"/>
    <w:rsid w:val="00E0688D"/>
    <w:rsid w:val="00E06DB1"/>
    <w:rsid w:val="00E06E12"/>
    <w:rsid w:val="00E072D1"/>
    <w:rsid w:val="00E075D3"/>
    <w:rsid w:val="00E07811"/>
    <w:rsid w:val="00E07C5D"/>
    <w:rsid w:val="00E07F75"/>
    <w:rsid w:val="00E10060"/>
    <w:rsid w:val="00E10462"/>
    <w:rsid w:val="00E106A1"/>
    <w:rsid w:val="00E106AC"/>
    <w:rsid w:val="00E1084B"/>
    <w:rsid w:val="00E10BC5"/>
    <w:rsid w:val="00E11294"/>
    <w:rsid w:val="00E112E8"/>
    <w:rsid w:val="00E11394"/>
    <w:rsid w:val="00E115A2"/>
    <w:rsid w:val="00E11BB0"/>
    <w:rsid w:val="00E11DAA"/>
    <w:rsid w:val="00E12089"/>
    <w:rsid w:val="00E121E2"/>
    <w:rsid w:val="00E123B8"/>
    <w:rsid w:val="00E12613"/>
    <w:rsid w:val="00E1276C"/>
    <w:rsid w:val="00E1290B"/>
    <w:rsid w:val="00E1293C"/>
    <w:rsid w:val="00E129A8"/>
    <w:rsid w:val="00E12B96"/>
    <w:rsid w:val="00E12C50"/>
    <w:rsid w:val="00E12F9A"/>
    <w:rsid w:val="00E12FDD"/>
    <w:rsid w:val="00E13207"/>
    <w:rsid w:val="00E13920"/>
    <w:rsid w:val="00E13BC2"/>
    <w:rsid w:val="00E13E07"/>
    <w:rsid w:val="00E13ECB"/>
    <w:rsid w:val="00E14112"/>
    <w:rsid w:val="00E141FF"/>
    <w:rsid w:val="00E14394"/>
    <w:rsid w:val="00E14506"/>
    <w:rsid w:val="00E14AB5"/>
    <w:rsid w:val="00E14E9F"/>
    <w:rsid w:val="00E1510A"/>
    <w:rsid w:val="00E1565E"/>
    <w:rsid w:val="00E15AC3"/>
    <w:rsid w:val="00E15B80"/>
    <w:rsid w:val="00E15D88"/>
    <w:rsid w:val="00E15D8E"/>
    <w:rsid w:val="00E15E5A"/>
    <w:rsid w:val="00E160FF"/>
    <w:rsid w:val="00E1642A"/>
    <w:rsid w:val="00E1665A"/>
    <w:rsid w:val="00E16B99"/>
    <w:rsid w:val="00E16E16"/>
    <w:rsid w:val="00E16FB0"/>
    <w:rsid w:val="00E16FDD"/>
    <w:rsid w:val="00E1724E"/>
    <w:rsid w:val="00E1775F"/>
    <w:rsid w:val="00E17D11"/>
    <w:rsid w:val="00E17D40"/>
    <w:rsid w:val="00E20654"/>
    <w:rsid w:val="00E20911"/>
    <w:rsid w:val="00E2099A"/>
    <w:rsid w:val="00E20A61"/>
    <w:rsid w:val="00E20A94"/>
    <w:rsid w:val="00E2122B"/>
    <w:rsid w:val="00E212AD"/>
    <w:rsid w:val="00E2131D"/>
    <w:rsid w:val="00E213E1"/>
    <w:rsid w:val="00E2198B"/>
    <w:rsid w:val="00E21EF5"/>
    <w:rsid w:val="00E220B3"/>
    <w:rsid w:val="00E22311"/>
    <w:rsid w:val="00E22362"/>
    <w:rsid w:val="00E22BE0"/>
    <w:rsid w:val="00E22DAA"/>
    <w:rsid w:val="00E22FDE"/>
    <w:rsid w:val="00E22FF4"/>
    <w:rsid w:val="00E230ED"/>
    <w:rsid w:val="00E23794"/>
    <w:rsid w:val="00E23949"/>
    <w:rsid w:val="00E23975"/>
    <w:rsid w:val="00E23D40"/>
    <w:rsid w:val="00E23E44"/>
    <w:rsid w:val="00E23E5D"/>
    <w:rsid w:val="00E2423A"/>
    <w:rsid w:val="00E24495"/>
    <w:rsid w:val="00E2455C"/>
    <w:rsid w:val="00E248A9"/>
    <w:rsid w:val="00E2492F"/>
    <w:rsid w:val="00E24A88"/>
    <w:rsid w:val="00E24BB5"/>
    <w:rsid w:val="00E24CBB"/>
    <w:rsid w:val="00E2526B"/>
    <w:rsid w:val="00E253C5"/>
    <w:rsid w:val="00E257AA"/>
    <w:rsid w:val="00E25980"/>
    <w:rsid w:val="00E25997"/>
    <w:rsid w:val="00E25ADE"/>
    <w:rsid w:val="00E25B12"/>
    <w:rsid w:val="00E25C7D"/>
    <w:rsid w:val="00E26054"/>
    <w:rsid w:val="00E260A5"/>
    <w:rsid w:val="00E2645F"/>
    <w:rsid w:val="00E26739"/>
    <w:rsid w:val="00E2692E"/>
    <w:rsid w:val="00E26979"/>
    <w:rsid w:val="00E269C9"/>
    <w:rsid w:val="00E26B02"/>
    <w:rsid w:val="00E26F78"/>
    <w:rsid w:val="00E27243"/>
    <w:rsid w:val="00E2782B"/>
    <w:rsid w:val="00E279EF"/>
    <w:rsid w:val="00E27A88"/>
    <w:rsid w:val="00E27F42"/>
    <w:rsid w:val="00E30059"/>
    <w:rsid w:val="00E30149"/>
    <w:rsid w:val="00E301C8"/>
    <w:rsid w:val="00E30479"/>
    <w:rsid w:val="00E308D7"/>
    <w:rsid w:val="00E30CC3"/>
    <w:rsid w:val="00E30CEE"/>
    <w:rsid w:val="00E31017"/>
    <w:rsid w:val="00E31BE0"/>
    <w:rsid w:val="00E31C18"/>
    <w:rsid w:val="00E31C9E"/>
    <w:rsid w:val="00E31D3E"/>
    <w:rsid w:val="00E321B3"/>
    <w:rsid w:val="00E32590"/>
    <w:rsid w:val="00E325A0"/>
    <w:rsid w:val="00E3267B"/>
    <w:rsid w:val="00E32AFF"/>
    <w:rsid w:val="00E32B8B"/>
    <w:rsid w:val="00E32C6D"/>
    <w:rsid w:val="00E32EF7"/>
    <w:rsid w:val="00E33538"/>
    <w:rsid w:val="00E33681"/>
    <w:rsid w:val="00E338D9"/>
    <w:rsid w:val="00E33D50"/>
    <w:rsid w:val="00E34338"/>
    <w:rsid w:val="00E3443C"/>
    <w:rsid w:val="00E3459A"/>
    <w:rsid w:val="00E34A0B"/>
    <w:rsid w:val="00E34CC1"/>
    <w:rsid w:val="00E3528D"/>
    <w:rsid w:val="00E352FB"/>
    <w:rsid w:val="00E3570D"/>
    <w:rsid w:val="00E35C4E"/>
    <w:rsid w:val="00E35D69"/>
    <w:rsid w:val="00E35DA0"/>
    <w:rsid w:val="00E35EBE"/>
    <w:rsid w:val="00E35EFF"/>
    <w:rsid w:val="00E360C2"/>
    <w:rsid w:val="00E36269"/>
    <w:rsid w:val="00E36295"/>
    <w:rsid w:val="00E366A4"/>
    <w:rsid w:val="00E36709"/>
    <w:rsid w:val="00E3675C"/>
    <w:rsid w:val="00E36C97"/>
    <w:rsid w:val="00E37346"/>
    <w:rsid w:val="00E3737D"/>
    <w:rsid w:val="00E3751F"/>
    <w:rsid w:val="00E3797D"/>
    <w:rsid w:val="00E37E49"/>
    <w:rsid w:val="00E37E53"/>
    <w:rsid w:val="00E3E52D"/>
    <w:rsid w:val="00E40863"/>
    <w:rsid w:val="00E4086D"/>
    <w:rsid w:val="00E40975"/>
    <w:rsid w:val="00E4098A"/>
    <w:rsid w:val="00E40AB0"/>
    <w:rsid w:val="00E40D4F"/>
    <w:rsid w:val="00E40D6F"/>
    <w:rsid w:val="00E40DE8"/>
    <w:rsid w:val="00E40E38"/>
    <w:rsid w:val="00E40E6B"/>
    <w:rsid w:val="00E40F8C"/>
    <w:rsid w:val="00E415A6"/>
    <w:rsid w:val="00E416AC"/>
    <w:rsid w:val="00E42279"/>
    <w:rsid w:val="00E424BA"/>
    <w:rsid w:val="00E426DF"/>
    <w:rsid w:val="00E427A0"/>
    <w:rsid w:val="00E42C71"/>
    <w:rsid w:val="00E42EC8"/>
    <w:rsid w:val="00E43057"/>
    <w:rsid w:val="00E43434"/>
    <w:rsid w:val="00E4362E"/>
    <w:rsid w:val="00E437BD"/>
    <w:rsid w:val="00E43A55"/>
    <w:rsid w:val="00E43C1E"/>
    <w:rsid w:val="00E43E01"/>
    <w:rsid w:val="00E43E19"/>
    <w:rsid w:val="00E43F0F"/>
    <w:rsid w:val="00E44194"/>
    <w:rsid w:val="00E44283"/>
    <w:rsid w:val="00E447F4"/>
    <w:rsid w:val="00E44E3A"/>
    <w:rsid w:val="00E44F24"/>
    <w:rsid w:val="00E4502D"/>
    <w:rsid w:val="00E452BB"/>
    <w:rsid w:val="00E4594D"/>
    <w:rsid w:val="00E45A79"/>
    <w:rsid w:val="00E45B3A"/>
    <w:rsid w:val="00E45E6A"/>
    <w:rsid w:val="00E45EAF"/>
    <w:rsid w:val="00E45F39"/>
    <w:rsid w:val="00E4641B"/>
    <w:rsid w:val="00E46467"/>
    <w:rsid w:val="00E4647F"/>
    <w:rsid w:val="00E46598"/>
    <w:rsid w:val="00E469AF"/>
    <w:rsid w:val="00E469C0"/>
    <w:rsid w:val="00E47149"/>
    <w:rsid w:val="00E4715B"/>
    <w:rsid w:val="00E477E2"/>
    <w:rsid w:val="00E47F43"/>
    <w:rsid w:val="00E47F54"/>
    <w:rsid w:val="00E508BB"/>
    <w:rsid w:val="00E5092E"/>
    <w:rsid w:val="00E50AC7"/>
    <w:rsid w:val="00E50AE9"/>
    <w:rsid w:val="00E50C41"/>
    <w:rsid w:val="00E50D77"/>
    <w:rsid w:val="00E5149E"/>
    <w:rsid w:val="00E5156A"/>
    <w:rsid w:val="00E516DE"/>
    <w:rsid w:val="00E51C54"/>
    <w:rsid w:val="00E51E5A"/>
    <w:rsid w:val="00E522A2"/>
    <w:rsid w:val="00E52394"/>
    <w:rsid w:val="00E5272C"/>
    <w:rsid w:val="00E52863"/>
    <w:rsid w:val="00E528F3"/>
    <w:rsid w:val="00E52971"/>
    <w:rsid w:val="00E52A3E"/>
    <w:rsid w:val="00E52B91"/>
    <w:rsid w:val="00E52D25"/>
    <w:rsid w:val="00E533C1"/>
    <w:rsid w:val="00E538A0"/>
    <w:rsid w:val="00E5399D"/>
    <w:rsid w:val="00E53C27"/>
    <w:rsid w:val="00E53CF1"/>
    <w:rsid w:val="00E53FD4"/>
    <w:rsid w:val="00E54671"/>
    <w:rsid w:val="00E54AA2"/>
    <w:rsid w:val="00E54B32"/>
    <w:rsid w:val="00E54B95"/>
    <w:rsid w:val="00E54C6A"/>
    <w:rsid w:val="00E54D37"/>
    <w:rsid w:val="00E54E23"/>
    <w:rsid w:val="00E54EFD"/>
    <w:rsid w:val="00E55124"/>
    <w:rsid w:val="00E55430"/>
    <w:rsid w:val="00E5567B"/>
    <w:rsid w:val="00E562CA"/>
    <w:rsid w:val="00E56314"/>
    <w:rsid w:val="00E56406"/>
    <w:rsid w:val="00E565D8"/>
    <w:rsid w:val="00E56939"/>
    <w:rsid w:val="00E5698D"/>
    <w:rsid w:val="00E56B0D"/>
    <w:rsid w:val="00E56BE2"/>
    <w:rsid w:val="00E56F3B"/>
    <w:rsid w:val="00E56F92"/>
    <w:rsid w:val="00E57068"/>
    <w:rsid w:val="00E57070"/>
    <w:rsid w:val="00E57102"/>
    <w:rsid w:val="00E573DA"/>
    <w:rsid w:val="00E5773F"/>
    <w:rsid w:val="00E5785E"/>
    <w:rsid w:val="00E578FC"/>
    <w:rsid w:val="00E57985"/>
    <w:rsid w:val="00E60026"/>
    <w:rsid w:val="00E60148"/>
    <w:rsid w:val="00E601D3"/>
    <w:rsid w:val="00E60254"/>
    <w:rsid w:val="00E60ABC"/>
    <w:rsid w:val="00E60BDC"/>
    <w:rsid w:val="00E61316"/>
    <w:rsid w:val="00E6135C"/>
    <w:rsid w:val="00E613A7"/>
    <w:rsid w:val="00E613FD"/>
    <w:rsid w:val="00E616E9"/>
    <w:rsid w:val="00E61751"/>
    <w:rsid w:val="00E61834"/>
    <w:rsid w:val="00E61AB5"/>
    <w:rsid w:val="00E61BF4"/>
    <w:rsid w:val="00E61DD4"/>
    <w:rsid w:val="00E61F0A"/>
    <w:rsid w:val="00E620A0"/>
    <w:rsid w:val="00E62148"/>
    <w:rsid w:val="00E623E4"/>
    <w:rsid w:val="00E623F6"/>
    <w:rsid w:val="00E62657"/>
    <w:rsid w:val="00E6280D"/>
    <w:rsid w:val="00E6283B"/>
    <w:rsid w:val="00E62BDB"/>
    <w:rsid w:val="00E62F0E"/>
    <w:rsid w:val="00E6304A"/>
    <w:rsid w:val="00E633DD"/>
    <w:rsid w:val="00E63845"/>
    <w:rsid w:val="00E63AF2"/>
    <w:rsid w:val="00E63CF3"/>
    <w:rsid w:val="00E63D16"/>
    <w:rsid w:val="00E644D1"/>
    <w:rsid w:val="00E6470C"/>
    <w:rsid w:val="00E64768"/>
    <w:rsid w:val="00E64988"/>
    <w:rsid w:val="00E64A55"/>
    <w:rsid w:val="00E64B48"/>
    <w:rsid w:val="00E64E46"/>
    <w:rsid w:val="00E64EEA"/>
    <w:rsid w:val="00E64FD8"/>
    <w:rsid w:val="00E6581A"/>
    <w:rsid w:val="00E65B0E"/>
    <w:rsid w:val="00E65D0D"/>
    <w:rsid w:val="00E65D9E"/>
    <w:rsid w:val="00E65F5D"/>
    <w:rsid w:val="00E65F98"/>
    <w:rsid w:val="00E661BD"/>
    <w:rsid w:val="00E66565"/>
    <w:rsid w:val="00E665C7"/>
    <w:rsid w:val="00E6663B"/>
    <w:rsid w:val="00E66BB1"/>
    <w:rsid w:val="00E66C67"/>
    <w:rsid w:val="00E66C6C"/>
    <w:rsid w:val="00E670A9"/>
    <w:rsid w:val="00E67130"/>
    <w:rsid w:val="00E675D2"/>
    <w:rsid w:val="00E67828"/>
    <w:rsid w:val="00E67C59"/>
    <w:rsid w:val="00E67FCC"/>
    <w:rsid w:val="00E7015D"/>
    <w:rsid w:val="00E706BE"/>
    <w:rsid w:val="00E70743"/>
    <w:rsid w:val="00E70CEF"/>
    <w:rsid w:val="00E71132"/>
    <w:rsid w:val="00E71176"/>
    <w:rsid w:val="00E71197"/>
    <w:rsid w:val="00E714FB"/>
    <w:rsid w:val="00E715B3"/>
    <w:rsid w:val="00E7162B"/>
    <w:rsid w:val="00E71745"/>
    <w:rsid w:val="00E71C0A"/>
    <w:rsid w:val="00E71C94"/>
    <w:rsid w:val="00E71C97"/>
    <w:rsid w:val="00E724F9"/>
    <w:rsid w:val="00E7264A"/>
    <w:rsid w:val="00E72846"/>
    <w:rsid w:val="00E72FBC"/>
    <w:rsid w:val="00E73169"/>
    <w:rsid w:val="00E73183"/>
    <w:rsid w:val="00E733D1"/>
    <w:rsid w:val="00E7343C"/>
    <w:rsid w:val="00E7349C"/>
    <w:rsid w:val="00E73522"/>
    <w:rsid w:val="00E73B57"/>
    <w:rsid w:val="00E73BB2"/>
    <w:rsid w:val="00E73C0E"/>
    <w:rsid w:val="00E73F94"/>
    <w:rsid w:val="00E741F2"/>
    <w:rsid w:val="00E742E3"/>
    <w:rsid w:val="00E748DA"/>
    <w:rsid w:val="00E74AB0"/>
    <w:rsid w:val="00E74BB4"/>
    <w:rsid w:val="00E74C74"/>
    <w:rsid w:val="00E74DED"/>
    <w:rsid w:val="00E75272"/>
    <w:rsid w:val="00E75296"/>
    <w:rsid w:val="00E752EE"/>
    <w:rsid w:val="00E75472"/>
    <w:rsid w:val="00E754D6"/>
    <w:rsid w:val="00E7584C"/>
    <w:rsid w:val="00E758DE"/>
    <w:rsid w:val="00E75933"/>
    <w:rsid w:val="00E75A1C"/>
    <w:rsid w:val="00E75ADC"/>
    <w:rsid w:val="00E75F53"/>
    <w:rsid w:val="00E76195"/>
    <w:rsid w:val="00E7621D"/>
    <w:rsid w:val="00E765C0"/>
    <w:rsid w:val="00E768F0"/>
    <w:rsid w:val="00E76A23"/>
    <w:rsid w:val="00E76B08"/>
    <w:rsid w:val="00E76FC1"/>
    <w:rsid w:val="00E77065"/>
    <w:rsid w:val="00E779EC"/>
    <w:rsid w:val="00E77A49"/>
    <w:rsid w:val="00E77B19"/>
    <w:rsid w:val="00E77EF1"/>
    <w:rsid w:val="00E77F39"/>
    <w:rsid w:val="00E80070"/>
    <w:rsid w:val="00E80073"/>
    <w:rsid w:val="00E80095"/>
    <w:rsid w:val="00E8009E"/>
    <w:rsid w:val="00E806E6"/>
    <w:rsid w:val="00E808DA"/>
    <w:rsid w:val="00E808E6"/>
    <w:rsid w:val="00E809C2"/>
    <w:rsid w:val="00E80A3F"/>
    <w:rsid w:val="00E80B49"/>
    <w:rsid w:val="00E8110D"/>
    <w:rsid w:val="00E81130"/>
    <w:rsid w:val="00E81231"/>
    <w:rsid w:val="00E813F2"/>
    <w:rsid w:val="00E81944"/>
    <w:rsid w:val="00E81AED"/>
    <w:rsid w:val="00E81CC9"/>
    <w:rsid w:val="00E8228F"/>
    <w:rsid w:val="00E82293"/>
    <w:rsid w:val="00E82485"/>
    <w:rsid w:val="00E82494"/>
    <w:rsid w:val="00E824F7"/>
    <w:rsid w:val="00E82A07"/>
    <w:rsid w:val="00E82E1A"/>
    <w:rsid w:val="00E82F9B"/>
    <w:rsid w:val="00E83035"/>
    <w:rsid w:val="00E8359A"/>
    <w:rsid w:val="00E836BB"/>
    <w:rsid w:val="00E83861"/>
    <w:rsid w:val="00E83A11"/>
    <w:rsid w:val="00E83A8F"/>
    <w:rsid w:val="00E83C71"/>
    <w:rsid w:val="00E83CD1"/>
    <w:rsid w:val="00E8403B"/>
    <w:rsid w:val="00E84562"/>
    <w:rsid w:val="00E846D5"/>
    <w:rsid w:val="00E84BD1"/>
    <w:rsid w:val="00E84BEE"/>
    <w:rsid w:val="00E84C40"/>
    <w:rsid w:val="00E84C93"/>
    <w:rsid w:val="00E84E29"/>
    <w:rsid w:val="00E84E64"/>
    <w:rsid w:val="00E85244"/>
    <w:rsid w:val="00E85578"/>
    <w:rsid w:val="00E858B7"/>
    <w:rsid w:val="00E85B5B"/>
    <w:rsid w:val="00E85C62"/>
    <w:rsid w:val="00E85E4D"/>
    <w:rsid w:val="00E86112"/>
    <w:rsid w:val="00E861A1"/>
    <w:rsid w:val="00E861A8"/>
    <w:rsid w:val="00E86495"/>
    <w:rsid w:val="00E86854"/>
    <w:rsid w:val="00E868C4"/>
    <w:rsid w:val="00E86CCD"/>
    <w:rsid w:val="00E87032"/>
    <w:rsid w:val="00E8708F"/>
    <w:rsid w:val="00E8722F"/>
    <w:rsid w:val="00E87391"/>
    <w:rsid w:val="00E8742D"/>
    <w:rsid w:val="00E87523"/>
    <w:rsid w:val="00E87843"/>
    <w:rsid w:val="00E87887"/>
    <w:rsid w:val="00E878FD"/>
    <w:rsid w:val="00E8796C"/>
    <w:rsid w:val="00E879EE"/>
    <w:rsid w:val="00E87EEE"/>
    <w:rsid w:val="00E90042"/>
    <w:rsid w:val="00E906B3"/>
    <w:rsid w:val="00E910C6"/>
    <w:rsid w:val="00E9112D"/>
    <w:rsid w:val="00E9119A"/>
    <w:rsid w:val="00E918EE"/>
    <w:rsid w:val="00E91973"/>
    <w:rsid w:val="00E91A4B"/>
    <w:rsid w:val="00E91D26"/>
    <w:rsid w:val="00E92297"/>
    <w:rsid w:val="00E923A0"/>
    <w:rsid w:val="00E924D3"/>
    <w:rsid w:val="00E928A2"/>
    <w:rsid w:val="00E92A94"/>
    <w:rsid w:val="00E92D1B"/>
    <w:rsid w:val="00E93352"/>
    <w:rsid w:val="00E934AB"/>
    <w:rsid w:val="00E938BC"/>
    <w:rsid w:val="00E93F80"/>
    <w:rsid w:val="00E9407B"/>
    <w:rsid w:val="00E942DB"/>
    <w:rsid w:val="00E949A3"/>
    <w:rsid w:val="00E94A5E"/>
    <w:rsid w:val="00E94BAC"/>
    <w:rsid w:val="00E94DB2"/>
    <w:rsid w:val="00E94E8E"/>
    <w:rsid w:val="00E9529F"/>
    <w:rsid w:val="00E9530A"/>
    <w:rsid w:val="00E95646"/>
    <w:rsid w:val="00E95815"/>
    <w:rsid w:val="00E95EF5"/>
    <w:rsid w:val="00E9615E"/>
    <w:rsid w:val="00E961F5"/>
    <w:rsid w:val="00E96518"/>
    <w:rsid w:val="00E9659D"/>
    <w:rsid w:val="00E965FD"/>
    <w:rsid w:val="00E96895"/>
    <w:rsid w:val="00E96B11"/>
    <w:rsid w:val="00E96F83"/>
    <w:rsid w:val="00E970FE"/>
    <w:rsid w:val="00E97628"/>
    <w:rsid w:val="00E9768D"/>
    <w:rsid w:val="00E97CB1"/>
    <w:rsid w:val="00E97E5F"/>
    <w:rsid w:val="00E97E74"/>
    <w:rsid w:val="00EA000B"/>
    <w:rsid w:val="00EA041B"/>
    <w:rsid w:val="00EA0A6C"/>
    <w:rsid w:val="00EA1516"/>
    <w:rsid w:val="00EA16D8"/>
    <w:rsid w:val="00EA1700"/>
    <w:rsid w:val="00EA177B"/>
    <w:rsid w:val="00EA197E"/>
    <w:rsid w:val="00EA19A7"/>
    <w:rsid w:val="00EA1C78"/>
    <w:rsid w:val="00EA1DD0"/>
    <w:rsid w:val="00EA1EBF"/>
    <w:rsid w:val="00EA2011"/>
    <w:rsid w:val="00EA208E"/>
    <w:rsid w:val="00EA211C"/>
    <w:rsid w:val="00EA231C"/>
    <w:rsid w:val="00EA250D"/>
    <w:rsid w:val="00EA25AC"/>
    <w:rsid w:val="00EA26D6"/>
    <w:rsid w:val="00EA2842"/>
    <w:rsid w:val="00EA296F"/>
    <w:rsid w:val="00EA29E1"/>
    <w:rsid w:val="00EA2AC4"/>
    <w:rsid w:val="00EA2AD3"/>
    <w:rsid w:val="00EA2E51"/>
    <w:rsid w:val="00EA2FA3"/>
    <w:rsid w:val="00EA2FCE"/>
    <w:rsid w:val="00EA3036"/>
    <w:rsid w:val="00EA32F1"/>
    <w:rsid w:val="00EA3343"/>
    <w:rsid w:val="00EA3519"/>
    <w:rsid w:val="00EA35F4"/>
    <w:rsid w:val="00EA3684"/>
    <w:rsid w:val="00EA36A2"/>
    <w:rsid w:val="00EA3944"/>
    <w:rsid w:val="00EA395B"/>
    <w:rsid w:val="00EA3975"/>
    <w:rsid w:val="00EA3AAA"/>
    <w:rsid w:val="00EA3D1A"/>
    <w:rsid w:val="00EA407D"/>
    <w:rsid w:val="00EA40D0"/>
    <w:rsid w:val="00EA410E"/>
    <w:rsid w:val="00EA4533"/>
    <w:rsid w:val="00EA4B19"/>
    <w:rsid w:val="00EA4B2B"/>
    <w:rsid w:val="00EA4CEB"/>
    <w:rsid w:val="00EA4D68"/>
    <w:rsid w:val="00EA5050"/>
    <w:rsid w:val="00EA5265"/>
    <w:rsid w:val="00EA5338"/>
    <w:rsid w:val="00EA53C3"/>
    <w:rsid w:val="00EA5595"/>
    <w:rsid w:val="00EA58F4"/>
    <w:rsid w:val="00EA5943"/>
    <w:rsid w:val="00EA5998"/>
    <w:rsid w:val="00EA5B7B"/>
    <w:rsid w:val="00EA5EEE"/>
    <w:rsid w:val="00EA65B7"/>
    <w:rsid w:val="00EA6768"/>
    <w:rsid w:val="00EA6B36"/>
    <w:rsid w:val="00EA6D86"/>
    <w:rsid w:val="00EA7268"/>
    <w:rsid w:val="00EA7556"/>
    <w:rsid w:val="00EA755E"/>
    <w:rsid w:val="00EA7884"/>
    <w:rsid w:val="00EA78B3"/>
    <w:rsid w:val="00EA7953"/>
    <w:rsid w:val="00EA7E93"/>
    <w:rsid w:val="00EB084D"/>
    <w:rsid w:val="00EB13EC"/>
    <w:rsid w:val="00EB1982"/>
    <w:rsid w:val="00EB19E9"/>
    <w:rsid w:val="00EB1D04"/>
    <w:rsid w:val="00EB1E3E"/>
    <w:rsid w:val="00EB1E71"/>
    <w:rsid w:val="00EB2081"/>
    <w:rsid w:val="00EB21DF"/>
    <w:rsid w:val="00EB22E9"/>
    <w:rsid w:val="00EB237F"/>
    <w:rsid w:val="00EB24E3"/>
    <w:rsid w:val="00EB25B2"/>
    <w:rsid w:val="00EB28D6"/>
    <w:rsid w:val="00EB324E"/>
    <w:rsid w:val="00EB32A6"/>
    <w:rsid w:val="00EB347B"/>
    <w:rsid w:val="00EB34E7"/>
    <w:rsid w:val="00EB35D9"/>
    <w:rsid w:val="00EB3782"/>
    <w:rsid w:val="00EB37BB"/>
    <w:rsid w:val="00EB3883"/>
    <w:rsid w:val="00EB3B88"/>
    <w:rsid w:val="00EB3E83"/>
    <w:rsid w:val="00EB3F68"/>
    <w:rsid w:val="00EB41A7"/>
    <w:rsid w:val="00EB41B3"/>
    <w:rsid w:val="00EB440E"/>
    <w:rsid w:val="00EB4583"/>
    <w:rsid w:val="00EB4653"/>
    <w:rsid w:val="00EB46B4"/>
    <w:rsid w:val="00EB48CE"/>
    <w:rsid w:val="00EB4A11"/>
    <w:rsid w:val="00EB4A39"/>
    <w:rsid w:val="00EB4A61"/>
    <w:rsid w:val="00EB4E1C"/>
    <w:rsid w:val="00EB4F00"/>
    <w:rsid w:val="00EB50E6"/>
    <w:rsid w:val="00EB50F2"/>
    <w:rsid w:val="00EB52F1"/>
    <w:rsid w:val="00EB5320"/>
    <w:rsid w:val="00EB553D"/>
    <w:rsid w:val="00EB5C7A"/>
    <w:rsid w:val="00EB62FB"/>
    <w:rsid w:val="00EB64BC"/>
    <w:rsid w:val="00EB65FA"/>
    <w:rsid w:val="00EB6D68"/>
    <w:rsid w:val="00EB6EAB"/>
    <w:rsid w:val="00EB70FB"/>
    <w:rsid w:val="00EB7609"/>
    <w:rsid w:val="00EB784F"/>
    <w:rsid w:val="00EB7955"/>
    <w:rsid w:val="00EB7B05"/>
    <w:rsid w:val="00EB7BD4"/>
    <w:rsid w:val="00EB7BDB"/>
    <w:rsid w:val="00EB7D10"/>
    <w:rsid w:val="00EB7E8C"/>
    <w:rsid w:val="00EC0047"/>
    <w:rsid w:val="00EC0483"/>
    <w:rsid w:val="00EC06A9"/>
    <w:rsid w:val="00EC070E"/>
    <w:rsid w:val="00EC0730"/>
    <w:rsid w:val="00EC0853"/>
    <w:rsid w:val="00EC0A1B"/>
    <w:rsid w:val="00EC0CD9"/>
    <w:rsid w:val="00EC0ED2"/>
    <w:rsid w:val="00EC116A"/>
    <w:rsid w:val="00EC1A8E"/>
    <w:rsid w:val="00EC1B6F"/>
    <w:rsid w:val="00EC1F6A"/>
    <w:rsid w:val="00EC21C0"/>
    <w:rsid w:val="00EC21D1"/>
    <w:rsid w:val="00EC2603"/>
    <w:rsid w:val="00EC264E"/>
    <w:rsid w:val="00EC2771"/>
    <w:rsid w:val="00EC2C95"/>
    <w:rsid w:val="00EC2D8D"/>
    <w:rsid w:val="00EC2EB4"/>
    <w:rsid w:val="00EC3798"/>
    <w:rsid w:val="00EC3998"/>
    <w:rsid w:val="00EC3A31"/>
    <w:rsid w:val="00EC3C02"/>
    <w:rsid w:val="00EC419E"/>
    <w:rsid w:val="00EC41DE"/>
    <w:rsid w:val="00EC427A"/>
    <w:rsid w:val="00EC43FC"/>
    <w:rsid w:val="00EC4593"/>
    <w:rsid w:val="00EC46CD"/>
    <w:rsid w:val="00EC4746"/>
    <w:rsid w:val="00EC4927"/>
    <w:rsid w:val="00EC496B"/>
    <w:rsid w:val="00EC4A93"/>
    <w:rsid w:val="00EC4D95"/>
    <w:rsid w:val="00EC50F9"/>
    <w:rsid w:val="00EC56AC"/>
    <w:rsid w:val="00EC56D3"/>
    <w:rsid w:val="00EC5752"/>
    <w:rsid w:val="00EC578F"/>
    <w:rsid w:val="00EC58C3"/>
    <w:rsid w:val="00EC5BCA"/>
    <w:rsid w:val="00EC5CAA"/>
    <w:rsid w:val="00EC5DED"/>
    <w:rsid w:val="00EC5F6E"/>
    <w:rsid w:val="00EC606B"/>
    <w:rsid w:val="00EC60F6"/>
    <w:rsid w:val="00EC61E5"/>
    <w:rsid w:val="00EC6579"/>
    <w:rsid w:val="00EC66B5"/>
    <w:rsid w:val="00EC6CAD"/>
    <w:rsid w:val="00EC726D"/>
    <w:rsid w:val="00EC75DC"/>
    <w:rsid w:val="00EC7708"/>
    <w:rsid w:val="00EC7B77"/>
    <w:rsid w:val="00EC7E15"/>
    <w:rsid w:val="00ED0485"/>
    <w:rsid w:val="00ED04F2"/>
    <w:rsid w:val="00ED07E2"/>
    <w:rsid w:val="00ED0C99"/>
    <w:rsid w:val="00ED0CF4"/>
    <w:rsid w:val="00ED0F50"/>
    <w:rsid w:val="00ED0FAA"/>
    <w:rsid w:val="00ED1025"/>
    <w:rsid w:val="00ED1382"/>
    <w:rsid w:val="00ED1470"/>
    <w:rsid w:val="00ED1594"/>
    <w:rsid w:val="00ED1693"/>
    <w:rsid w:val="00ED173C"/>
    <w:rsid w:val="00ED1A9C"/>
    <w:rsid w:val="00ED1DAC"/>
    <w:rsid w:val="00ED2624"/>
    <w:rsid w:val="00ED26CD"/>
    <w:rsid w:val="00ED28AE"/>
    <w:rsid w:val="00ED2C6C"/>
    <w:rsid w:val="00ED2D1F"/>
    <w:rsid w:val="00ED2F67"/>
    <w:rsid w:val="00ED3021"/>
    <w:rsid w:val="00ED323D"/>
    <w:rsid w:val="00ED3606"/>
    <w:rsid w:val="00ED364C"/>
    <w:rsid w:val="00ED37A8"/>
    <w:rsid w:val="00ED3A2C"/>
    <w:rsid w:val="00ED3B15"/>
    <w:rsid w:val="00ED3D45"/>
    <w:rsid w:val="00ED4146"/>
    <w:rsid w:val="00ED4229"/>
    <w:rsid w:val="00ED4233"/>
    <w:rsid w:val="00ED450B"/>
    <w:rsid w:val="00ED475C"/>
    <w:rsid w:val="00ED499C"/>
    <w:rsid w:val="00ED4E75"/>
    <w:rsid w:val="00ED4F65"/>
    <w:rsid w:val="00ED4FFF"/>
    <w:rsid w:val="00ED514C"/>
    <w:rsid w:val="00ED5635"/>
    <w:rsid w:val="00ED5D0D"/>
    <w:rsid w:val="00ED5F13"/>
    <w:rsid w:val="00ED6094"/>
    <w:rsid w:val="00ED63DB"/>
    <w:rsid w:val="00ED689F"/>
    <w:rsid w:val="00ED6E80"/>
    <w:rsid w:val="00ED7190"/>
    <w:rsid w:val="00ED71FE"/>
    <w:rsid w:val="00ED73AE"/>
    <w:rsid w:val="00ED746E"/>
    <w:rsid w:val="00ED76BD"/>
    <w:rsid w:val="00ED77CD"/>
    <w:rsid w:val="00ED77DE"/>
    <w:rsid w:val="00ED7868"/>
    <w:rsid w:val="00ED7877"/>
    <w:rsid w:val="00ED7C34"/>
    <w:rsid w:val="00ED7CDB"/>
    <w:rsid w:val="00EE06E5"/>
    <w:rsid w:val="00EE0855"/>
    <w:rsid w:val="00EE0CA8"/>
    <w:rsid w:val="00EE1097"/>
    <w:rsid w:val="00EE11CD"/>
    <w:rsid w:val="00EE1808"/>
    <w:rsid w:val="00EE19B8"/>
    <w:rsid w:val="00EE1EAF"/>
    <w:rsid w:val="00EE2103"/>
    <w:rsid w:val="00EE23B7"/>
    <w:rsid w:val="00EE3025"/>
    <w:rsid w:val="00EE335B"/>
    <w:rsid w:val="00EE35E1"/>
    <w:rsid w:val="00EE3730"/>
    <w:rsid w:val="00EE389E"/>
    <w:rsid w:val="00EE3908"/>
    <w:rsid w:val="00EE3AB8"/>
    <w:rsid w:val="00EE3B01"/>
    <w:rsid w:val="00EE3E4F"/>
    <w:rsid w:val="00EE4082"/>
    <w:rsid w:val="00EE4105"/>
    <w:rsid w:val="00EE41A9"/>
    <w:rsid w:val="00EE43AB"/>
    <w:rsid w:val="00EE450C"/>
    <w:rsid w:val="00EE486E"/>
    <w:rsid w:val="00EE5119"/>
    <w:rsid w:val="00EE528D"/>
    <w:rsid w:val="00EE5983"/>
    <w:rsid w:val="00EE59F6"/>
    <w:rsid w:val="00EE5B2A"/>
    <w:rsid w:val="00EE5E36"/>
    <w:rsid w:val="00EE6095"/>
    <w:rsid w:val="00EE609E"/>
    <w:rsid w:val="00EE60F3"/>
    <w:rsid w:val="00EE632C"/>
    <w:rsid w:val="00EE6390"/>
    <w:rsid w:val="00EE657B"/>
    <w:rsid w:val="00EE6F92"/>
    <w:rsid w:val="00EE6F9D"/>
    <w:rsid w:val="00EE7177"/>
    <w:rsid w:val="00EE762C"/>
    <w:rsid w:val="00EE76B4"/>
    <w:rsid w:val="00EE77B9"/>
    <w:rsid w:val="00EE7F23"/>
    <w:rsid w:val="00EF04F5"/>
    <w:rsid w:val="00EF0560"/>
    <w:rsid w:val="00EF0807"/>
    <w:rsid w:val="00EF08ED"/>
    <w:rsid w:val="00EF0D2D"/>
    <w:rsid w:val="00EF0F61"/>
    <w:rsid w:val="00EF1337"/>
    <w:rsid w:val="00EF1767"/>
    <w:rsid w:val="00EF1842"/>
    <w:rsid w:val="00EF18AC"/>
    <w:rsid w:val="00EF1A23"/>
    <w:rsid w:val="00EF1F0F"/>
    <w:rsid w:val="00EF2103"/>
    <w:rsid w:val="00EF21B1"/>
    <w:rsid w:val="00EF22F6"/>
    <w:rsid w:val="00EF261A"/>
    <w:rsid w:val="00EF2683"/>
    <w:rsid w:val="00EF2727"/>
    <w:rsid w:val="00EF2A70"/>
    <w:rsid w:val="00EF2BFE"/>
    <w:rsid w:val="00EF332E"/>
    <w:rsid w:val="00EF33B4"/>
    <w:rsid w:val="00EF3842"/>
    <w:rsid w:val="00EF3B45"/>
    <w:rsid w:val="00EF3D8E"/>
    <w:rsid w:val="00EF3E43"/>
    <w:rsid w:val="00EF3F3B"/>
    <w:rsid w:val="00EF4066"/>
    <w:rsid w:val="00EF40B6"/>
    <w:rsid w:val="00EF467B"/>
    <w:rsid w:val="00EF4A04"/>
    <w:rsid w:val="00EF4B0E"/>
    <w:rsid w:val="00EF4C37"/>
    <w:rsid w:val="00EF4D4D"/>
    <w:rsid w:val="00EF4DE1"/>
    <w:rsid w:val="00EF5356"/>
    <w:rsid w:val="00EF576B"/>
    <w:rsid w:val="00EF57E7"/>
    <w:rsid w:val="00EF5976"/>
    <w:rsid w:val="00EF5A24"/>
    <w:rsid w:val="00EF5FBB"/>
    <w:rsid w:val="00EF6355"/>
    <w:rsid w:val="00EF667C"/>
    <w:rsid w:val="00EF667E"/>
    <w:rsid w:val="00EF681F"/>
    <w:rsid w:val="00EF68BB"/>
    <w:rsid w:val="00EF6991"/>
    <w:rsid w:val="00EF6B9C"/>
    <w:rsid w:val="00EF6C2E"/>
    <w:rsid w:val="00EF6CF6"/>
    <w:rsid w:val="00EF6E59"/>
    <w:rsid w:val="00EF6F53"/>
    <w:rsid w:val="00EF710C"/>
    <w:rsid w:val="00EF74D8"/>
    <w:rsid w:val="00EF7533"/>
    <w:rsid w:val="00EF77D6"/>
    <w:rsid w:val="00EF7BD8"/>
    <w:rsid w:val="00EF7EF8"/>
    <w:rsid w:val="00F00631"/>
    <w:rsid w:val="00F00807"/>
    <w:rsid w:val="00F009A6"/>
    <w:rsid w:val="00F00E1C"/>
    <w:rsid w:val="00F00F34"/>
    <w:rsid w:val="00F010A7"/>
    <w:rsid w:val="00F01106"/>
    <w:rsid w:val="00F012F1"/>
    <w:rsid w:val="00F01840"/>
    <w:rsid w:val="00F01933"/>
    <w:rsid w:val="00F01BE4"/>
    <w:rsid w:val="00F01FF8"/>
    <w:rsid w:val="00F02016"/>
    <w:rsid w:val="00F02328"/>
    <w:rsid w:val="00F0253F"/>
    <w:rsid w:val="00F02540"/>
    <w:rsid w:val="00F026EF"/>
    <w:rsid w:val="00F02804"/>
    <w:rsid w:val="00F02F02"/>
    <w:rsid w:val="00F02F09"/>
    <w:rsid w:val="00F030E6"/>
    <w:rsid w:val="00F0335E"/>
    <w:rsid w:val="00F034A0"/>
    <w:rsid w:val="00F03639"/>
    <w:rsid w:val="00F039D1"/>
    <w:rsid w:val="00F03B94"/>
    <w:rsid w:val="00F03EFA"/>
    <w:rsid w:val="00F03FD5"/>
    <w:rsid w:val="00F041B4"/>
    <w:rsid w:val="00F045ED"/>
    <w:rsid w:val="00F04913"/>
    <w:rsid w:val="00F049B4"/>
    <w:rsid w:val="00F04DDB"/>
    <w:rsid w:val="00F04EA3"/>
    <w:rsid w:val="00F04F40"/>
    <w:rsid w:val="00F05033"/>
    <w:rsid w:val="00F05061"/>
    <w:rsid w:val="00F05081"/>
    <w:rsid w:val="00F05409"/>
    <w:rsid w:val="00F059FA"/>
    <w:rsid w:val="00F05B13"/>
    <w:rsid w:val="00F05B6E"/>
    <w:rsid w:val="00F05BBE"/>
    <w:rsid w:val="00F05C4E"/>
    <w:rsid w:val="00F05C85"/>
    <w:rsid w:val="00F06118"/>
    <w:rsid w:val="00F061E8"/>
    <w:rsid w:val="00F064C8"/>
    <w:rsid w:val="00F06820"/>
    <w:rsid w:val="00F069D1"/>
    <w:rsid w:val="00F06E7E"/>
    <w:rsid w:val="00F0705B"/>
    <w:rsid w:val="00F0712A"/>
    <w:rsid w:val="00F07310"/>
    <w:rsid w:val="00F0750A"/>
    <w:rsid w:val="00F076AF"/>
    <w:rsid w:val="00F07F92"/>
    <w:rsid w:val="00F100BE"/>
    <w:rsid w:val="00F106D1"/>
    <w:rsid w:val="00F109F9"/>
    <w:rsid w:val="00F10B07"/>
    <w:rsid w:val="00F10C02"/>
    <w:rsid w:val="00F10CB7"/>
    <w:rsid w:val="00F11073"/>
    <w:rsid w:val="00F110DE"/>
    <w:rsid w:val="00F1158A"/>
    <w:rsid w:val="00F118A1"/>
    <w:rsid w:val="00F11CE3"/>
    <w:rsid w:val="00F120F0"/>
    <w:rsid w:val="00F121FE"/>
    <w:rsid w:val="00F122E1"/>
    <w:rsid w:val="00F12348"/>
    <w:rsid w:val="00F1248E"/>
    <w:rsid w:val="00F1256F"/>
    <w:rsid w:val="00F12572"/>
    <w:rsid w:val="00F12573"/>
    <w:rsid w:val="00F128EF"/>
    <w:rsid w:val="00F12A8B"/>
    <w:rsid w:val="00F12B50"/>
    <w:rsid w:val="00F131FA"/>
    <w:rsid w:val="00F136DA"/>
    <w:rsid w:val="00F139C9"/>
    <w:rsid w:val="00F13C76"/>
    <w:rsid w:val="00F13E96"/>
    <w:rsid w:val="00F13F06"/>
    <w:rsid w:val="00F1439D"/>
    <w:rsid w:val="00F1459A"/>
    <w:rsid w:val="00F14AAC"/>
    <w:rsid w:val="00F15009"/>
    <w:rsid w:val="00F150A2"/>
    <w:rsid w:val="00F1536F"/>
    <w:rsid w:val="00F15680"/>
    <w:rsid w:val="00F158F4"/>
    <w:rsid w:val="00F1592D"/>
    <w:rsid w:val="00F15CF4"/>
    <w:rsid w:val="00F15D30"/>
    <w:rsid w:val="00F15F00"/>
    <w:rsid w:val="00F15F6F"/>
    <w:rsid w:val="00F15FC5"/>
    <w:rsid w:val="00F16375"/>
    <w:rsid w:val="00F16602"/>
    <w:rsid w:val="00F166B5"/>
    <w:rsid w:val="00F172B8"/>
    <w:rsid w:val="00F172E9"/>
    <w:rsid w:val="00F17859"/>
    <w:rsid w:val="00F2087B"/>
    <w:rsid w:val="00F208AB"/>
    <w:rsid w:val="00F209AC"/>
    <w:rsid w:val="00F20AD5"/>
    <w:rsid w:val="00F214BB"/>
    <w:rsid w:val="00F216C7"/>
    <w:rsid w:val="00F21900"/>
    <w:rsid w:val="00F21A2E"/>
    <w:rsid w:val="00F21A4F"/>
    <w:rsid w:val="00F2219F"/>
    <w:rsid w:val="00F221CD"/>
    <w:rsid w:val="00F22427"/>
    <w:rsid w:val="00F22437"/>
    <w:rsid w:val="00F22598"/>
    <w:rsid w:val="00F225E3"/>
    <w:rsid w:val="00F22638"/>
    <w:rsid w:val="00F2277F"/>
    <w:rsid w:val="00F2292D"/>
    <w:rsid w:val="00F22B14"/>
    <w:rsid w:val="00F2311A"/>
    <w:rsid w:val="00F232CC"/>
    <w:rsid w:val="00F23455"/>
    <w:rsid w:val="00F2365C"/>
    <w:rsid w:val="00F23680"/>
    <w:rsid w:val="00F236EF"/>
    <w:rsid w:val="00F23FA4"/>
    <w:rsid w:val="00F2429D"/>
    <w:rsid w:val="00F244ED"/>
    <w:rsid w:val="00F24A32"/>
    <w:rsid w:val="00F24BFD"/>
    <w:rsid w:val="00F24F69"/>
    <w:rsid w:val="00F25755"/>
    <w:rsid w:val="00F25C08"/>
    <w:rsid w:val="00F25D6F"/>
    <w:rsid w:val="00F25E01"/>
    <w:rsid w:val="00F260A8"/>
    <w:rsid w:val="00F26140"/>
    <w:rsid w:val="00F2632E"/>
    <w:rsid w:val="00F26E3A"/>
    <w:rsid w:val="00F26F63"/>
    <w:rsid w:val="00F27351"/>
    <w:rsid w:val="00F27458"/>
    <w:rsid w:val="00F27462"/>
    <w:rsid w:val="00F27506"/>
    <w:rsid w:val="00F276A5"/>
    <w:rsid w:val="00F27A04"/>
    <w:rsid w:val="00F27A83"/>
    <w:rsid w:val="00F27B11"/>
    <w:rsid w:val="00F3003A"/>
    <w:rsid w:val="00F300AD"/>
    <w:rsid w:val="00F30490"/>
    <w:rsid w:val="00F30916"/>
    <w:rsid w:val="00F30E4B"/>
    <w:rsid w:val="00F30E7E"/>
    <w:rsid w:val="00F31221"/>
    <w:rsid w:val="00F3122F"/>
    <w:rsid w:val="00F312D2"/>
    <w:rsid w:val="00F31406"/>
    <w:rsid w:val="00F31461"/>
    <w:rsid w:val="00F31548"/>
    <w:rsid w:val="00F31643"/>
    <w:rsid w:val="00F316DF"/>
    <w:rsid w:val="00F31D35"/>
    <w:rsid w:val="00F31D7D"/>
    <w:rsid w:val="00F31E94"/>
    <w:rsid w:val="00F31F51"/>
    <w:rsid w:val="00F3230F"/>
    <w:rsid w:val="00F325B5"/>
    <w:rsid w:val="00F326DA"/>
    <w:rsid w:val="00F32892"/>
    <w:rsid w:val="00F328D8"/>
    <w:rsid w:val="00F32BC8"/>
    <w:rsid w:val="00F33010"/>
    <w:rsid w:val="00F33431"/>
    <w:rsid w:val="00F33472"/>
    <w:rsid w:val="00F33B3A"/>
    <w:rsid w:val="00F34021"/>
    <w:rsid w:val="00F34233"/>
    <w:rsid w:val="00F343CD"/>
    <w:rsid w:val="00F347C0"/>
    <w:rsid w:val="00F34802"/>
    <w:rsid w:val="00F3485E"/>
    <w:rsid w:val="00F34B28"/>
    <w:rsid w:val="00F34B56"/>
    <w:rsid w:val="00F34CDB"/>
    <w:rsid w:val="00F34DA4"/>
    <w:rsid w:val="00F34DB6"/>
    <w:rsid w:val="00F3518C"/>
    <w:rsid w:val="00F352D4"/>
    <w:rsid w:val="00F3582C"/>
    <w:rsid w:val="00F35856"/>
    <w:rsid w:val="00F3590E"/>
    <w:rsid w:val="00F359C4"/>
    <w:rsid w:val="00F35D89"/>
    <w:rsid w:val="00F35F75"/>
    <w:rsid w:val="00F36032"/>
    <w:rsid w:val="00F3639F"/>
    <w:rsid w:val="00F368A9"/>
    <w:rsid w:val="00F36DA1"/>
    <w:rsid w:val="00F371E0"/>
    <w:rsid w:val="00F37312"/>
    <w:rsid w:val="00F373B5"/>
    <w:rsid w:val="00F37443"/>
    <w:rsid w:val="00F37734"/>
    <w:rsid w:val="00F37BD5"/>
    <w:rsid w:val="00F40461"/>
    <w:rsid w:val="00F40EEE"/>
    <w:rsid w:val="00F411C6"/>
    <w:rsid w:val="00F41245"/>
    <w:rsid w:val="00F412FC"/>
    <w:rsid w:val="00F4137E"/>
    <w:rsid w:val="00F41485"/>
    <w:rsid w:val="00F4157C"/>
    <w:rsid w:val="00F41DDE"/>
    <w:rsid w:val="00F41E95"/>
    <w:rsid w:val="00F41ECD"/>
    <w:rsid w:val="00F41F95"/>
    <w:rsid w:val="00F42044"/>
    <w:rsid w:val="00F42311"/>
    <w:rsid w:val="00F425E7"/>
    <w:rsid w:val="00F426CB"/>
    <w:rsid w:val="00F42908"/>
    <w:rsid w:val="00F42A3F"/>
    <w:rsid w:val="00F42A6B"/>
    <w:rsid w:val="00F42A81"/>
    <w:rsid w:val="00F4335A"/>
    <w:rsid w:val="00F43390"/>
    <w:rsid w:val="00F4349F"/>
    <w:rsid w:val="00F43A04"/>
    <w:rsid w:val="00F44038"/>
    <w:rsid w:val="00F440F6"/>
    <w:rsid w:val="00F44162"/>
    <w:rsid w:val="00F44588"/>
    <w:rsid w:val="00F4459F"/>
    <w:rsid w:val="00F449F0"/>
    <w:rsid w:val="00F44B21"/>
    <w:rsid w:val="00F44BCB"/>
    <w:rsid w:val="00F4508D"/>
    <w:rsid w:val="00F45479"/>
    <w:rsid w:val="00F4547A"/>
    <w:rsid w:val="00F4549A"/>
    <w:rsid w:val="00F454E9"/>
    <w:rsid w:val="00F45607"/>
    <w:rsid w:val="00F45666"/>
    <w:rsid w:val="00F458A5"/>
    <w:rsid w:val="00F45EEA"/>
    <w:rsid w:val="00F46322"/>
    <w:rsid w:val="00F466C0"/>
    <w:rsid w:val="00F46886"/>
    <w:rsid w:val="00F468F9"/>
    <w:rsid w:val="00F46FC2"/>
    <w:rsid w:val="00F47234"/>
    <w:rsid w:val="00F474C6"/>
    <w:rsid w:val="00F47675"/>
    <w:rsid w:val="00F4778B"/>
    <w:rsid w:val="00F479DC"/>
    <w:rsid w:val="00F47A80"/>
    <w:rsid w:val="00F47DD1"/>
    <w:rsid w:val="00F47DEF"/>
    <w:rsid w:val="00F47EB8"/>
    <w:rsid w:val="00F50351"/>
    <w:rsid w:val="00F504FF"/>
    <w:rsid w:val="00F5060B"/>
    <w:rsid w:val="00F507C1"/>
    <w:rsid w:val="00F507E5"/>
    <w:rsid w:val="00F50822"/>
    <w:rsid w:val="00F50CC1"/>
    <w:rsid w:val="00F5108E"/>
    <w:rsid w:val="00F5143E"/>
    <w:rsid w:val="00F514D2"/>
    <w:rsid w:val="00F515D8"/>
    <w:rsid w:val="00F51B91"/>
    <w:rsid w:val="00F51F74"/>
    <w:rsid w:val="00F52216"/>
    <w:rsid w:val="00F523A5"/>
    <w:rsid w:val="00F52483"/>
    <w:rsid w:val="00F526AA"/>
    <w:rsid w:val="00F527EA"/>
    <w:rsid w:val="00F5337F"/>
    <w:rsid w:val="00F535EB"/>
    <w:rsid w:val="00F53665"/>
    <w:rsid w:val="00F537CD"/>
    <w:rsid w:val="00F53B63"/>
    <w:rsid w:val="00F53C64"/>
    <w:rsid w:val="00F53D22"/>
    <w:rsid w:val="00F5404C"/>
    <w:rsid w:val="00F5428D"/>
    <w:rsid w:val="00F542E4"/>
    <w:rsid w:val="00F5435E"/>
    <w:rsid w:val="00F546F6"/>
    <w:rsid w:val="00F54794"/>
    <w:rsid w:val="00F54862"/>
    <w:rsid w:val="00F5496F"/>
    <w:rsid w:val="00F549E1"/>
    <w:rsid w:val="00F550D0"/>
    <w:rsid w:val="00F550E8"/>
    <w:rsid w:val="00F553FC"/>
    <w:rsid w:val="00F555DF"/>
    <w:rsid w:val="00F55899"/>
    <w:rsid w:val="00F55976"/>
    <w:rsid w:val="00F55AC0"/>
    <w:rsid w:val="00F55BEC"/>
    <w:rsid w:val="00F562BC"/>
    <w:rsid w:val="00F56720"/>
    <w:rsid w:val="00F56E2B"/>
    <w:rsid w:val="00F56EA0"/>
    <w:rsid w:val="00F56FDB"/>
    <w:rsid w:val="00F576AC"/>
    <w:rsid w:val="00F57D06"/>
    <w:rsid w:val="00F60042"/>
    <w:rsid w:val="00F60136"/>
    <w:rsid w:val="00F6034C"/>
    <w:rsid w:val="00F603D2"/>
    <w:rsid w:val="00F60513"/>
    <w:rsid w:val="00F60529"/>
    <w:rsid w:val="00F60610"/>
    <w:rsid w:val="00F609E7"/>
    <w:rsid w:val="00F60DA6"/>
    <w:rsid w:val="00F6112C"/>
    <w:rsid w:val="00F61131"/>
    <w:rsid w:val="00F61A21"/>
    <w:rsid w:val="00F62115"/>
    <w:rsid w:val="00F62186"/>
    <w:rsid w:val="00F6251B"/>
    <w:rsid w:val="00F62B06"/>
    <w:rsid w:val="00F62D81"/>
    <w:rsid w:val="00F63243"/>
    <w:rsid w:val="00F6352F"/>
    <w:rsid w:val="00F63743"/>
    <w:rsid w:val="00F6388F"/>
    <w:rsid w:val="00F638FC"/>
    <w:rsid w:val="00F63B48"/>
    <w:rsid w:val="00F63DA9"/>
    <w:rsid w:val="00F63FD2"/>
    <w:rsid w:val="00F645BC"/>
    <w:rsid w:val="00F6479F"/>
    <w:rsid w:val="00F6486F"/>
    <w:rsid w:val="00F64881"/>
    <w:rsid w:val="00F64A50"/>
    <w:rsid w:val="00F64A82"/>
    <w:rsid w:val="00F650CE"/>
    <w:rsid w:val="00F65522"/>
    <w:rsid w:val="00F656E3"/>
    <w:rsid w:val="00F657A5"/>
    <w:rsid w:val="00F658E0"/>
    <w:rsid w:val="00F6595A"/>
    <w:rsid w:val="00F659C4"/>
    <w:rsid w:val="00F65A35"/>
    <w:rsid w:val="00F65FA8"/>
    <w:rsid w:val="00F660FE"/>
    <w:rsid w:val="00F66126"/>
    <w:rsid w:val="00F6673E"/>
    <w:rsid w:val="00F66958"/>
    <w:rsid w:val="00F67067"/>
    <w:rsid w:val="00F67319"/>
    <w:rsid w:val="00F67550"/>
    <w:rsid w:val="00F67AAF"/>
    <w:rsid w:val="00F67AC8"/>
    <w:rsid w:val="00F67B02"/>
    <w:rsid w:val="00F67B57"/>
    <w:rsid w:val="00F700B1"/>
    <w:rsid w:val="00F70284"/>
    <w:rsid w:val="00F702ED"/>
    <w:rsid w:val="00F703C7"/>
    <w:rsid w:val="00F70734"/>
    <w:rsid w:val="00F70810"/>
    <w:rsid w:val="00F70BF1"/>
    <w:rsid w:val="00F70CC2"/>
    <w:rsid w:val="00F719C2"/>
    <w:rsid w:val="00F7212B"/>
    <w:rsid w:val="00F72130"/>
    <w:rsid w:val="00F72A93"/>
    <w:rsid w:val="00F72D6F"/>
    <w:rsid w:val="00F7317F"/>
    <w:rsid w:val="00F73209"/>
    <w:rsid w:val="00F7378A"/>
    <w:rsid w:val="00F7385D"/>
    <w:rsid w:val="00F73CAF"/>
    <w:rsid w:val="00F73D6D"/>
    <w:rsid w:val="00F7425F"/>
    <w:rsid w:val="00F752CF"/>
    <w:rsid w:val="00F7582F"/>
    <w:rsid w:val="00F758E8"/>
    <w:rsid w:val="00F7595B"/>
    <w:rsid w:val="00F75A23"/>
    <w:rsid w:val="00F75B1D"/>
    <w:rsid w:val="00F75DE8"/>
    <w:rsid w:val="00F76070"/>
    <w:rsid w:val="00F76271"/>
    <w:rsid w:val="00F76943"/>
    <w:rsid w:val="00F769E2"/>
    <w:rsid w:val="00F76DBB"/>
    <w:rsid w:val="00F76DE2"/>
    <w:rsid w:val="00F76F21"/>
    <w:rsid w:val="00F7704D"/>
    <w:rsid w:val="00F771EC"/>
    <w:rsid w:val="00F772A9"/>
    <w:rsid w:val="00F778C4"/>
    <w:rsid w:val="00F77964"/>
    <w:rsid w:val="00F77B13"/>
    <w:rsid w:val="00F77B42"/>
    <w:rsid w:val="00F77D6D"/>
    <w:rsid w:val="00F80326"/>
    <w:rsid w:val="00F80454"/>
    <w:rsid w:val="00F8045F"/>
    <w:rsid w:val="00F80471"/>
    <w:rsid w:val="00F805C3"/>
    <w:rsid w:val="00F8075F"/>
    <w:rsid w:val="00F80D44"/>
    <w:rsid w:val="00F81086"/>
    <w:rsid w:val="00F81736"/>
    <w:rsid w:val="00F818E5"/>
    <w:rsid w:val="00F81968"/>
    <w:rsid w:val="00F81F37"/>
    <w:rsid w:val="00F81F6E"/>
    <w:rsid w:val="00F82206"/>
    <w:rsid w:val="00F82547"/>
    <w:rsid w:val="00F8259F"/>
    <w:rsid w:val="00F8268A"/>
    <w:rsid w:val="00F82A1B"/>
    <w:rsid w:val="00F82A61"/>
    <w:rsid w:val="00F82A87"/>
    <w:rsid w:val="00F82B21"/>
    <w:rsid w:val="00F82B9B"/>
    <w:rsid w:val="00F83051"/>
    <w:rsid w:val="00F8322F"/>
    <w:rsid w:val="00F8323C"/>
    <w:rsid w:val="00F83B28"/>
    <w:rsid w:val="00F83BAD"/>
    <w:rsid w:val="00F83C97"/>
    <w:rsid w:val="00F84236"/>
    <w:rsid w:val="00F84559"/>
    <w:rsid w:val="00F84667"/>
    <w:rsid w:val="00F84B6F"/>
    <w:rsid w:val="00F84C77"/>
    <w:rsid w:val="00F84D75"/>
    <w:rsid w:val="00F84DF4"/>
    <w:rsid w:val="00F84EA8"/>
    <w:rsid w:val="00F84FEF"/>
    <w:rsid w:val="00F8507D"/>
    <w:rsid w:val="00F85395"/>
    <w:rsid w:val="00F8544E"/>
    <w:rsid w:val="00F8553D"/>
    <w:rsid w:val="00F857D1"/>
    <w:rsid w:val="00F85AC0"/>
    <w:rsid w:val="00F85B7C"/>
    <w:rsid w:val="00F85B8E"/>
    <w:rsid w:val="00F860C4"/>
    <w:rsid w:val="00F86151"/>
    <w:rsid w:val="00F86375"/>
    <w:rsid w:val="00F863AD"/>
    <w:rsid w:val="00F8645B"/>
    <w:rsid w:val="00F86D42"/>
    <w:rsid w:val="00F86E59"/>
    <w:rsid w:val="00F875CB"/>
    <w:rsid w:val="00F87793"/>
    <w:rsid w:val="00F877A8"/>
    <w:rsid w:val="00F87855"/>
    <w:rsid w:val="00F87A55"/>
    <w:rsid w:val="00F87B2B"/>
    <w:rsid w:val="00F87E74"/>
    <w:rsid w:val="00F90014"/>
    <w:rsid w:val="00F9022F"/>
    <w:rsid w:val="00F904DD"/>
    <w:rsid w:val="00F9062A"/>
    <w:rsid w:val="00F90634"/>
    <w:rsid w:val="00F90791"/>
    <w:rsid w:val="00F907E2"/>
    <w:rsid w:val="00F90CA9"/>
    <w:rsid w:val="00F90F1E"/>
    <w:rsid w:val="00F90F6A"/>
    <w:rsid w:val="00F91126"/>
    <w:rsid w:val="00F911E6"/>
    <w:rsid w:val="00F91825"/>
    <w:rsid w:val="00F919B2"/>
    <w:rsid w:val="00F91A14"/>
    <w:rsid w:val="00F91CF2"/>
    <w:rsid w:val="00F91E79"/>
    <w:rsid w:val="00F92138"/>
    <w:rsid w:val="00F9217D"/>
    <w:rsid w:val="00F9289E"/>
    <w:rsid w:val="00F92B92"/>
    <w:rsid w:val="00F92D30"/>
    <w:rsid w:val="00F92F0F"/>
    <w:rsid w:val="00F931A2"/>
    <w:rsid w:val="00F93312"/>
    <w:rsid w:val="00F9378D"/>
    <w:rsid w:val="00F93AAE"/>
    <w:rsid w:val="00F93FE6"/>
    <w:rsid w:val="00F942D6"/>
    <w:rsid w:val="00F94392"/>
    <w:rsid w:val="00F945AC"/>
    <w:rsid w:val="00F946B7"/>
    <w:rsid w:val="00F94892"/>
    <w:rsid w:val="00F9489A"/>
    <w:rsid w:val="00F949C3"/>
    <w:rsid w:val="00F94BBD"/>
    <w:rsid w:val="00F94D89"/>
    <w:rsid w:val="00F94E9B"/>
    <w:rsid w:val="00F95610"/>
    <w:rsid w:val="00F95770"/>
    <w:rsid w:val="00F9581B"/>
    <w:rsid w:val="00F95A25"/>
    <w:rsid w:val="00F95DF6"/>
    <w:rsid w:val="00F95E60"/>
    <w:rsid w:val="00F95EF5"/>
    <w:rsid w:val="00F96204"/>
    <w:rsid w:val="00F9658B"/>
    <w:rsid w:val="00F96679"/>
    <w:rsid w:val="00F96FAB"/>
    <w:rsid w:val="00F9728C"/>
    <w:rsid w:val="00F977BB"/>
    <w:rsid w:val="00F9783E"/>
    <w:rsid w:val="00F9787D"/>
    <w:rsid w:val="00F97D71"/>
    <w:rsid w:val="00F97F48"/>
    <w:rsid w:val="00FA0087"/>
    <w:rsid w:val="00FA0AB2"/>
    <w:rsid w:val="00FA0BD6"/>
    <w:rsid w:val="00FA1363"/>
    <w:rsid w:val="00FA15BE"/>
    <w:rsid w:val="00FA1602"/>
    <w:rsid w:val="00FA16E5"/>
    <w:rsid w:val="00FA176F"/>
    <w:rsid w:val="00FA18D4"/>
    <w:rsid w:val="00FA226A"/>
    <w:rsid w:val="00FA22FA"/>
    <w:rsid w:val="00FA2857"/>
    <w:rsid w:val="00FA295D"/>
    <w:rsid w:val="00FA29E4"/>
    <w:rsid w:val="00FA2B31"/>
    <w:rsid w:val="00FA2CCC"/>
    <w:rsid w:val="00FA2E1C"/>
    <w:rsid w:val="00FA2F05"/>
    <w:rsid w:val="00FA2FDF"/>
    <w:rsid w:val="00FA33AF"/>
    <w:rsid w:val="00FA35F0"/>
    <w:rsid w:val="00FA3A4A"/>
    <w:rsid w:val="00FA4055"/>
    <w:rsid w:val="00FA463F"/>
    <w:rsid w:val="00FA518B"/>
    <w:rsid w:val="00FA52A1"/>
    <w:rsid w:val="00FA56C2"/>
    <w:rsid w:val="00FA5941"/>
    <w:rsid w:val="00FA598F"/>
    <w:rsid w:val="00FA5AB1"/>
    <w:rsid w:val="00FA5FB1"/>
    <w:rsid w:val="00FA6021"/>
    <w:rsid w:val="00FA642E"/>
    <w:rsid w:val="00FA64A9"/>
    <w:rsid w:val="00FA6617"/>
    <w:rsid w:val="00FA664B"/>
    <w:rsid w:val="00FA69DA"/>
    <w:rsid w:val="00FA6ED1"/>
    <w:rsid w:val="00FA7050"/>
    <w:rsid w:val="00FA74EB"/>
    <w:rsid w:val="00FA7619"/>
    <w:rsid w:val="00FA7707"/>
    <w:rsid w:val="00FA7C35"/>
    <w:rsid w:val="00FB000B"/>
    <w:rsid w:val="00FB0336"/>
    <w:rsid w:val="00FB05AC"/>
    <w:rsid w:val="00FB0788"/>
    <w:rsid w:val="00FB14A0"/>
    <w:rsid w:val="00FB1D56"/>
    <w:rsid w:val="00FB1EDE"/>
    <w:rsid w:val="00FB21D5"/>
    <w:rsid w:val="00FB2201"/>
    <w:rsid w:val="00FB231D"/>
    <w:rsid w:val="00FB2422"/>
    <w:rsid w:val="00FB3165"/>
    <w:rsid w:val="00FB32A4"/>
    <w:rsid w:val="00FB32E9"/>
    <w:rsid w:val="00FB34A4"/>
    <w:rsid w:val="00FB3591"/>
    <w:rsid w:val="00FB36A7"/>
    <w:rsid w:val="00FB3969"/>
    <w:rsid w:val="00FB3AEB"/>
    <w:rsid w:val="00FB3C11"/>
    <w:rsid w:val="00FB4242"/>
    <w:rsid w:val="00FB4304"/>
    <w:rsid w:val="00FB475D"/>
    <w:rsid w:val="00FB4E6D"/>
    <w:rsid w:val="00FB5054"/>
    <w:rsid w:val="00FB5145"/>
    <w:rsid w:val="00FB55F3"/>
    <w:rsid w:val="00FB5625"/>
    <w:rsid w:val="00FB5769"/>
    <w:rsid w:val="00FB5810"/>
    <w:rsid w:val="00FB589D"/>
    <w:rsid w:val="00FB591A"/>
    <w:rsid w:val="00FB5D8B"/>
    <w:rsid w:val="00FB60A2"/>
    <w:rsid w:val="00FB6178"/>
    <w:rsid w:val="00FB61A0"/>
    <w:rsid w:val="00FB6357"/>
    <w:rsid w:val="00FB6415"/>
    <w:rsid w:val="00FB6506"/>
    <w:rsid w:val="00FB6557"/>
    <w:rsid w:val="00FB689E"/>
    <w:rsid w:val="00FB694E"/>
    <w:rsid w:val="00FB6CEF"/>
    <w:rsid w:val="00FB6FDF"/>
    <w:rsid w:val="00FB72F9"/>
    <w:rsid w:val="00FB77BE"/>
    <w:rsid w:val="00FC025C"/>
    <w:rsid w:val="00FC05A0"/>
    <w:rsid w:val="00FC05BC"/>
    <w:rsid w:val="00FC0A77"/>
    <w:rsid w:val="00FC0AF3"/>
    <w:rsid w:val="00FC0CB6"/>
    <w:rsid w:val="00FC0F26"/>
    <w:rsid w:val="00FC0FEA"/>
    <w:rsid w:val="00FC11B5"/>
    <w:rsid w:val="00FC154C"/>
    <w:rsid w:val="00FC16EE"/>
    <w:rsid w:val="00FC172B"/>
    <w:rsid w:val="00FC17BF"/>
    <w:rsid w:val="00FC1990"/>
    <w:rsid w:val="00FC1F76"/>
    <w:rsid w:val="00FC278B"/>
    <w:rsid w:val="00FC27BE"/>
    <w:rsid w:val="00FC2947"/>
    <w:rsid w:val="00FC2BDA"/>
    <w:rsid w:val="00FC2E36"/>
    <w:rsid w:val="00FC2ED6"/>
    <w:rsid w:val="00FC3747"/>
    <w:rsid w:val="00FC38A2"/>
    <w:rsid w:val="00FC3D1F"/>
    <w:rsid w:val="00FC3F6A"/>
    <w:rsid w:val="00FC3F84"/>
    <w:rsid w:val="00FC4247"/>
    <w:rsid w:val="00FC4336"/>
    <w:rsid w:val="00FC4540"/>
    <w:rsid w:val="00FC4B67"/>
    <w:rsid w:val="00FC4E44"/>
    <w:rsid w:val="00FC4EF9"/>
    <w:rsid w:val="00FC515B"/>
    <w:rsid w:val="00FC51A0"/>
    <w:rsid w:val="00FC5627"/>
    <w:rsid w:val="00FC577E"/>
    <w:rsid w:val="00FC58A4"/>
    <w:rsid w:val="00FC5924"/>
    <w:rsid w:val="00FC5D8F"/>
    <w:rsid w:val="00FC6278"/>
    <w:rsid w:val="00FC627D"/>
    <w:rsid w:val="00FC63F5"/>
    <w:rsid w:val="00FC6558"/>
    <w:rsid w:val="00FC655B"/>
    <w:rsid w:val="00FC65EA"/>
    <w:rsid w:val="00FC66AE"/>
    <w:rsid w:val="00FC6871"/>
    <w:rsid w:val="00FC6A4C"/>
    <w:rsid w:val="00FC6BF2"/>
    <w:rsid w:val="00FC6D5B"/>
    <w:rsid w:val="00FC6EF5"/>
    <w:rsid w:val="00FC7008"/>
    <w:rsid w:val="00FC70E9"/>
    <w:rsid w:val="00FC743D"/>
    <w:rsid w:val="00FC7508"/>
    <w:rsid w:val="00FC75AC"/>
    <w:rsid w:val="00FC77F3"/>
    <w:rsid w:val="00FC7887"/>
    <w:rsid w:val="00FC7943"/>
    <w:rsid w:val="00FC7B77"/>
    <w:rsid w:val="00FC7D7A"/>
    <w:rsid w:val="00FC7E62"/>
    <w:rsid w:val="00FC7EDF"/>
    <w:rsid w:val="00FD04F6"/>
    <w:rsid w:val="00FD051C"/>
    <w:rsid w:val="00FD0552"/>
    <w:rsid w:val="00FD0580"/>
    <w:rsid w:val="00FD0ABE"/>
    <w:rsid w:val="00FD174B"/>
    <w:rsid w:val="00FD1808"/>
    <w:rsid w:val="00FD1814"/>
    <w:rsid w:val="00FD1A79"/>
    <w:rsid w:val="00FD1B3F"/>
    <w:rsid w:val="00FD1C20"/>
    <w:rsid w:val="00FD1E1D"/>
    <w:rsid w:val="00FD20DD"/>
    <w:rsid w:val="00FD2151"/>
    <w:rsid w:val="00FD2296"/>
    <w:rsid w:val="00FD2373"/>
    <w:rsid w:val="00FD264D"/>
    <w:rsid w:val="00FD2B5A"/>
    <w:rsid w:val="00FD2E0C"/>
    <w:rsid w:val="00FD2F69"/>
    <w:rsid w:val="00FD31B7"/>
    <w:rsid w:val="00FD34E7"/>
    <w:rsid w:val="00FD35A3"/>
    <w:rsid w:val="00FD3662"/>
    <w:rsid w:val="00FD3759"/>
    <w:rsid w:val="00FD393D"/>
    <w:rsid w:val="00FD39F8"/>
    <w:rsid w:val="00FD3D20"/>
    <w:rsid w:val="00FD3F08"/>
    <w:rsid w:val="00FD41C9"/>
    <w:rsid w:val="00FD4637"/>
    <w:rsid w:val="00FD48F5"/>
    <w:rsid w:val="00FD4949"/>
    <w:rsid w:val="00FD49E0"/>
    <w:rsid w:val="00FD4B19"/>
    <w:rsid w:val="00FD515B"/>
    <w:rsid w:val="00FD55C9"/>
    <w:rsid w:val="00FD575F"/>
    <w:rsid w:val="00FD585C"/>
    <w:rsid w:val="00FD5CC4"/>
    <w:rsid w:val="00FD5E58"/>
    <w:rsid w:val="00FD5F44"/>
    <w:rsid w:val="00FD6CD3"/>
    <w:rsid w:val="00FD6D2D"/>
    <w:rsid w:val="00FD6DF4"/>
    <w:rsid w:val="00FD6F13"/>
    <w:rsid w:val="00FD6F60"/>
    <w:rsid w:val="00FD6FA0"/>
    <w:rsid w:val="00FD724A"/>
    <w:rsid w:val="00FD7365"/>
    <w:rsid w:val="00FD7520"/>
    <w:rsid w:val="00FD769D"/>
    <w:rsid w:val="00FD7832"/>
    <w:rsid w:val="00FD7A7D"/>
    <w:rsid w:val="00FD7B5D"/>
    <w:rsid w:val="00FD7F3B"/>
    <w:rsid w:val="00FD7F94"/>
    <w:rsid w:val="00FE00F9"/>
    <w:rsid w:val="00FE02B0"/>
    <w:rsid w:val="00FE03CD"/>
    <w:rsid w:val="00FE0774"/>
    <w:rsid w:val="00FE090A"/>
    <w:rsid w:val="00FE0981"/>
    <w:rsid w:val="00FE0C74"/>
    <w:rsid w:val="00FE0D4E"/>
    <w:rsid w:val="00FE0D60"/>
    <w:rsid w:val="00FE0F40"/>
    <w:rsid w:val="00FE1151"/>
    <w:rsid w:val="00FE1983"/>
    <w:rsid w:val="00FE1C1A"/>
    <w:rsid w:val="00FE1FA8"/>
    <w:rsid w:val="00FE22C2"/>
    <w:rsid w:val="00FE237F"/>
    <w:rsid w:val="00FE272F"/>
    <w:rsid w:val="00FE28C6"/>
    <w:rsid w:val="00FE2E2F"/>
    <w:rsid w:val="00FE3111"/>
    <w:rsid w:val="00FE342A"/>
    <w:rsid w:val="00FE3622"/>
    <w:rsid w:val="00FE385B"/>
    <w:rsid w:val="00FE3AF5"/>
    <w:rsid w:val="00FE3E19"/>
    <w:rsid w:val="00FE3E82"/>
    <w:rsid w:val="00FE3EB3"/>
    <w:rsid w:val="00FE460D"/>
    <w:rsid w:val="00FE4666"/>
    <w:rsid w:val="00FE4678"/>
    <w:rsid w:val="00FE475E"/>
    <w:rsid w:val="00FE4A62"/>
    <w:rsid w:val="00FE4B60"/>
    <w:rsid w:val="00FE4FAB"/>
    <w:rsid w:val="00FE4FB0"/>
    <w:rsid w:val="00FE50C8"/>
    <w:rsid w:val="00FE554B"/>
    <w:rsid w:val="00FE555B"/>
    <w:rsid w:val="00FE57CF"/>
    <w:rsid w:val="00FE5896"/>
    <w:rsid w:val="00FE5985"/>
    <w:rsid w:val="00FE5A7B"/>
    <w:rsid w:val="00FE5F8D"/>
    <w:rsid w:val="00FE6260"/>
    <w:rsid w:val="00FE62C8"/>
    <w:rsid w:val="00FE6462"/>
    <w:rsid w:val="00FE64CA"/>
    <w:rsid w:val="00FE64E6"/>
    <w:rsid w:val="00FE65C8"/>
    <w:rsid w:val="00FE666A"/>
    <w:rsid w:val="00FE681D"/>
    <w:rsid w:val="00FE69D2"/>
    <w:rsid w:val="00FE6ABA"/>
    <w:rsid w:val="00FE6B8E"/>
    <w:rsid w:val="00FE6C7C"/>
    <w:rsid w:val="00FE6EE2"/>
    <w:rsid w:val="00FE6FB8"/>
    <w:rsid w:val="00FE7179"/>
    <w:rsid w:val="00FE72BA"/>
    <w:rsid w:val="00FE755C"/>
    <w:rsid w:val="00FE7895"/>
    <w:rsid w:val="00FE7A1D"/>
    <w:rsid w:val="00FE7ACF"/>
    <w:rsid w:val="00FF028A"/>
    <w:rsid w:val="00FF03CC"/>
    <w:rsid w:val="00FF0478"/>
    <w:rsid w:val="00FF0573"/>
    <w:rsid w:val="00FF06A4"/>
    <w:rsid w:val="00FF15C6"/>
    <w:rsid w:val="00FF17F1"/>
    <w:rsid w:val="00FF1BFC"/>
    <w:rsid w:val="00FF1E89"/>
    <w:rsid w:val="00FF1FD5"/>
    <w:rsid w:val="00FF21EB"/>
    <w:rsid w:val="00FF226A"/>
    <w:rsid w:val="00FF23C7"/>
    <w:rsid w:val="00FF23F4"/>
    <w:rsid w:val="00FF26ED"/>
    <w:rsid w:val="00FF2C05"/>
    <w:rsid w:val="00FF302E"/>
    <w:rsid w:val="00FF33DB"/>
    <w:rsid w:val="00FF3D9B"/>
    <w:rsid w:val="00FF4DD5"/>
    <w:rsid w:val="00FF4ED5"/>
    <w:rsid w:val="00FF529F"/>
    <w:rsid w:val="00FF537B"/>
    <w:rsid w:val="00FF565A"/>
    <w:rsid w:val="00FF5779"/>
    <w:rsid w:val="00FF5828"/>
    <w:rsid w:val="00FF5934"/>
    <w:rsid w:val="00FF5CA8"/>
    <w:rsid w:val="00FF5EFF"/>
    <w:rsid w:val="00FF6732"/>
    <w:rsid w:val="00FF694D"/>
    <w:rsid w:val="00FF713F"/>
    <w:rsid w:val="00FF71A8"/>
    <w:rsid w:val="00FF7203"/>
    <w:rsid w:val="00FF72B7"/>
    <w:rsid w:val="00FF7402"/>
    <w:rsid w:val="00FF75BA"/>
    <w:rsid w:val="00FF75DA"/>
    <w:rsid w:val="00FF7BF3"/>
    <w:rsid w:val="00FF7D51"/>
    <w:rsid w:val="00FF7D8F"/>
    <w:rsid w:val="00FF7FA5"/>
    <w:rsid w:val="011EA048"/>
    <w:rsid w:val="01275207"/>
    <w:rsid w:val="012DC436"/>
    <w:rsid w:val="013518A0"/>
    <w:rsid w:val="014F3AE9"/>
    <w:rsid w:val="0159D2A0"/>
    <w:rsid w:val="0169FD15"/>
    <w:rsid w:val="01777501"/>
    <w:rsid w:val="017AAA3D"/>
    <w:rsid w:val="017C33B6"/>
    <w:rsid w:val="018A8B52"/>
    <w:rsid w:val="019D182C"/>
    <w:rsid w:val="019DF6AF"/>
    <w:rsid w:val="01A8615A"/>
    <w:rsid w:val="01BF1064"/>
    <w:rsid w:val="01CECB7A"/>
    <w:rsid w:val="01D093DB"/>
    <w:rsid w:val="01D7702C"/>
    <w:rsid w:val="01D85091"/>
    <w:rsid w:val="01DA8228"/>
    <w:rsid w:val="01DD8889"/>
    <w:rsid w:val="01E4EF94"/>
    <w:rsid w:val="01EF1691"/>
    <w:rsid w:val="01F30ECD"/>
    <w:rsid w:val="01F37308"/>
    <w:rsid w:val="01F3A87E"/>
    <w:rsid w:val="01F602AE"/>
    <w:rsid w:val="0200A557"/>
    <w:rsid w:val="02057B13"/>
    <w:rsid w:val="020DED59"/>
    <w:rsid w:val="0211EF5E"/>
    <w:rsid w:val="02133F54"/>
    <w:rsid w:val="0219A714"/>
    <w:rsid w:val="021C5406"/>
    <w:rsid w:val="0222567E"/>
    <w:rsid w:val="022D1DD5"/>
    <w:rsid w:val="023B136A"/>
    <w:rsid w:val="02427BEA"/>
    <w:rsid w:val="024B459B"/>
    <w:rsid w:val="02515080"/>
    <w:rsid w:val="025DC4F1"/>
    <w:rsid w:val="0264B1A6"/>
    <w:rsid w:val="0274EC84"/>
    <w:rsid w:val="027DF452"/>
    <w:rsid w:val="027F9499"/>
    <w:rsid w:val="0282B88F"/>
    <w:rsid w:val="028494F0"/>
    <w:rsid w:val="028C6688"/>
    <w:rsid w:val="028E3C82"/>
    <w:rsid w:val="0295ADED"/>
    <w:rsid w:val="02B24829"/>
    <w:rsid w:val="02BBEE90"/>
    <w:rsid w:val="02BE1F08"/>
    <w:rsid w:val="02CAAAF4"/>
    <w:rsid w:val="02E1117B"/>
    <w:rsid w:val="02E4BC2A"/>
    <w:rsid w:val="02E956FA"/>
    <w:rsid w:val="02EDA0D2"/>
    <w:rsid w:val="02F484A4"/>
    <w:rsid w:val="02F62EF2"/>
    <w:rsid w:val="02F83A31"/>
    <w:rsid w:val="0305871D"/>
    <w:rsid w:val="031F5812"/>
    <w:rsid w:val="0320F0B2"/>
    <w:rsid w:val="0325A047"/>
    <w:rsid w:val="032B2AA4"/>
    <w:rsid w:val="034790C7"/>
    <w:rsid w:val="034ABE9E"/>
    <w:rsid w:val="036FA15C"/>
    <w:rsid w:val="0378F820"/>
    <w:rsid w:val="037EE88E"/>
    <w:rsid w:val="0382A3FB"/>
    <w:rsid w:val="038A39B3"/>
    <w:rsid w:val="038AA706"/>
    <w:rsid w:val="03AAB2D3"/>
    <w:rsid w:val="03B80DDA"/>
    <w:rsid w:val="03C68280"/>
    <w:rsid w:val="03C8FD00"/>
    <w:rsid w:val="03D05FD5"/>
    <w:rsid w:val="03D8F0E4"/>
    <w:rsid w:val="03DC3A3A"/>
    <w:rsid w:val="03DF2F66"/>
    <w:rsid w:val="03EA4954"/>
    <w:rsid w:val="03ED2E09"/>
    <w:rsid w:val="03F1EC65"/>
    <w:rsid w:val="03FB347C"/>
    <w:rsid w:val="03FE2C1D"/>
    <w:rsid w:val="04057787"/>
    <w:rsid w:val="0415BC62"/>
    <w:rsid w:val="041ED8B8"/>
    <w:rsid w:val="041F926E"/>
    <w:rsid w:val="042063BC"/>
    <w:rsid w:val="042E537A"/>
    <w:rsid w:val="04323426"/>
    <w:rsid w:val="043967D3"/>
    <w:rsid w:val="043A5CAE"/>
    <w:rsid w:val="04411C10"/>
    <w:rsid w:val="0452C5CF"/>
    <w:rsid w:val="04639AAD"/>
    <w:rsid w:val="0465CF05"/>
    <w:rsid w:val="04688C19"/>
    <w:rsid w:val="046CD83D"/>
    <w:rsid w:val="04750961"/>
    <w:rsid w:val="04867996"/>
    <w:rsid w:val="04A9FA02"/>
    <w:rsid w:val="04B59A73"/>
    <w:rsid w:val="04B5E097"/>
    <w:rsid w:val="04C12037"/>
    <w:rsid w:val="04CA5610"/>
    <w:rsid w:val="04CAC1CF"/>
    <w:rsid w:val="04D3AF6D"/>
    <w:rsid w:val="04D67555"/>
    <w:rsid w:val="04F5C3F7"/>
    <w:rsid w:val="04F771B7"/>
    <w:rsid w:val="05024C16"/>
    <w:rsid w:val="05113A06"/>
    <w:rsid w:val="0515BE39"/>
    <w:rsid w:val="051CA40D"/>
    <w:rsid w:val="051E76C2"/>
    <w:rsid w:val="052958AF"/>
    <w:rsid w:val="052ACEB7"/>
    <w:rsid w:val="0536EA85"/>
    <w:rsid w:val="053BC2C0"/>
    <w:rsid w:val="0566D4B0"/>
    <w:rsid w:val="0567D225"/>
    <w:rsid w:val="056AB579"/>
    <w:rsid w:val="0578A822"/>
    <w:rsid w:val="05791A3D"/>
    <w:rsid w:val="05791F2F"/>
    <w:rsid w:val="057ED10B"/>
    <w:rsid w:val="0593DDAC"/>
    <w:rsid w:val="0594A08C"/>
    <w:rsid w:val="059DDF2F"/>
    <w:rsid w:val="05A119AC"/>
    <w:rsid w:val="05A9405B"/>
    <w:rsid w:val="05A96B0C"/>
    <w:rsid w:val="05B4F6B5"/>
    <w:rsid w:val="05BB8335"/>
    <w:rsid w:val="05C952B2"/>
    <w:rsid w:val="05DBF952"/>
    <w:rsid w:val="05DF2280"/>
    <w:rsid w:val="05EF4469"/>
    <w:rsid w:val="05F65CB3"/>
    <w:rsid w:val="05F8EDA7"/>
    <w:rsid w:val="0600A48A"/>
    <w:rsid w:val="06019F66"/>
    <w:rsid w:val="06056A63"/>
    <w:rsid w:val="060D6499"/>
    <w:rsid w:val="061FDDA8"/>
    <w:rsid w:val="06297817"/>
    <w:rsid w:val="0644897E"/>
    <w:rsid w:val="0652E95E"/>
    <w:rsid w:val="065AC979"/>
    <w:rsid w:val="066156D6"/>
    <w:rsid w:val="066F6D34"/>
    <w:rsid w:val="0675A22C"/>
    <w:rsid w:val="0675D838"/>
    <w:rsid w:val="0676FC5E"/>
    <w:rsid w:val="067CC4B0"/>
    <w:rsid w:val="0692D496"/>
    <w:rsid w:val="069FC94C"/>
    <w:rsid w:val="06C1E79A"/>
    <w:rsid w:val="06C7ADA8"/>
    <w:rsid w:val="06CD854F"/>
    <w:rsid w:val="06CE5930"/>
    <w:rsid w:val="06E04531"/>
    <w:rsid w:val="06E53A52"/>
    <w:rsid w:val="06F3E2C9"/>
    <w:rsid w:val="06F512C7"/>
    <w:rsid w:val="06FAD7FF"/>
    <w:rsid w:val="06FD4EE4"/>
    <w:rsid w:val="070966FB"/>
    <w:rsid w:val="071202E1"/>
    <w:rsid w:val="0713D630"/>
    <w:rsid w:val="0729A029"/>
    <w:rsid w:val="072DA4A0"/>
    <w:rsid w:val="0742784A"/>
    <w:rsid w:val="07486551"/>
    <w:rsid w:val="074AE42B"/>
    <w:rsid w:val="07594B2E"/>
    <w:rsid w:val="075D5C6D"/>
    <w:rsid w:val="07636117"/>
    <w:rsid w:val="076475DB"/>
    <w:rsid w:val="076C2BC8"/>
    <w:rsid w:val="076D7F8E"/>
    <w:rsid w:val="076FEF63"/>
    <w:rsid w:val="0772A833"/>
    <w:rsid w:val="07753212"/>
    <w:rsid w:val="078672FF"/>
    <w:rsid w:val="0787E507"/>
    <w:rsid w:val="078CC956"/>
    <w:rsid w:val="07921817"/>
    <w:rsid w:val="079E4912"/>
    <w:rsid w:val="079EC515"/>
    <w:rsid w:val="07F1BAFE"/>
    <w:rsid w:val="07F82A8D"/>
    <w:rsid w:val="07FBB0B9"/>
    <w:rsid w:val="080624A6"/>
    <w:rsid w:val="080D8F75"/>
    <w:rsid w:val="0813A0D7"/>
    <w:rsid w:val="082838FE"/>
    <w:rsid w:val="08318F6F"/>
    <w:rsid w:val="08530F17"/>
    <w:rsid w:val="085334FD"/>
    <w:rsid w:val="086BC0B4"/>
    <w:rsid w:val="086D37A1"/>
    <w:rsid w:val="087484BD"/>
    <w:rsid w:val="0877DBFC"/>
    <w:rsid w:val="0878E5B6"/>
    <w:rsid w:val="08832D4F"/>
    <w:rsid w:val="088C6D8E"/>
    <w:rsid w:val="0895006E"/>
    <w:rsid w:val="08991F45"/>
    <w:rsid w:val="089C415E"/>
    <w:rsid w:val="08A55264"/>
    <w:rsid w:val="08BD1314"/>
    <w:rsid w:val="08BFD5C6"/>
    <w:rsid w:val="08C4AFC8"/>
    <w:rsid w:val="08C8DF21"/>
    <w:rsid w:val="08C901EF"/>
    <w:rsid w:val="08CCAD86"/>
    <w:rsid w:val="08D60B79"/>
    <w:rsid w:val="08DB981D"/>
    <w:rsid w:val="08DB996F"/>
    <w:rsid w:val="08E8EAAF"/>
    <w:rsid w:val="08EB4B0E"/>
    <w:rsid w:val="08FD7EB6"/>
    <w:rsid w:val="0901B0F2"/>
    <w:rsid w:val="090419BE"/>
    <w:rsid w:val="090518A8"/>
    <w:rsid w:val="0907B1C0"/>
    <w:rsid w:val="09094FEF"/>
    <w:rsid w:val="09099AE6"/>
    <w:rsid w:val="090B7767"/>
    <w:rsid w:val="090CD8F6"/>
    <w:rsid w:val="09275A8C"/>
    <w:rsid w:val="092AA8FE"/>
    <w:rsid w:val="092FF86D"/>
    <w:rsid w:val="0941F5FF"/>
    <w:rsid w:val="0947306A"/>
    <w:rsid w:val="0954F164"/>
    <w:rsid w:val="0969F56E"/>
    <w:rsid w:val="097032FD"/>
    <w:rsid w:val="097A341E"/>
    <w:rsid w:val="097B9A78"/>
    <w:rsid w:val="0981D256"/>
    <w:rsid w:val="09858585"/>
    <w:rsid w:val="098CEB51"/>
    <w:rsid w:val="0998EA7A"/>
    <w:rsid w:val="09ADB049"/>
    <w:rsid w:val="09AF7138"/>
    <w:rsid w:val="09C44A07"/>
    <w:rsid w:val="09EAE6F6"/>
    <w:rsid w:val="09EDD27A"/>
    <w:rsid w:val="09F72B5E"/>
    <w:rsid w:val="09F9E9D6"/>
    <w:rsid w:val="0A04ABC5"/>
    <w:rsid w:val="0A0CA3E3"/>
    <w:rsid w:val="0A13A562"/>
    <w:rsid w:val="0A1559BF"/>
    <w:rsid w:val="0A27808F"/>
    <w:rsid w:val="0A2B46F6"/>
    <w:rsid w:val="0A2E293E"/>
    <w:rsid w:val="0A3082EC"/>
    <w:rsid w:val="0A30EA34"/>
    <w:rsid w:val="0A33DD59"/>
    <w:rsid w:val="0A393A04"/>
    <w:rsid w:val="0A48843D"/>
    <w:rsid w:val="0A544EC9"/>
    <w:rsid w:val="0A54CC07"/>
    <w:rsid w:val="0A580C36"/>
    <w:rsid w:val="0A71B3C8"/>
    <w:rsid w:val="0A77BBF1"/>
    <w:rsid w:val="0A847737"/>
    <w:rsid w:val="0A884804"/>
    <w:rsid w:val="0A8989CE"/>
    <w:rsid w:val="0A8BB0B4"/>
    <w:rsid w:val="0A8D0689"/>
    <w:rsid w:val="0A8FE7C0"/>
    <w:rsid w:val="0A979FD5"/>
    <w:rsid w:val="0A9B4ECB"/>
    <w:rsid w:val="0AA63968"/>
    <w:rsid w:val="0AAD5CAB"/>
    <w:rsid w:val="0AB06683"/>
    <w:rsid w:val="0AB32C48"/>
    <w:rsid w:val="0ABB1595"/>
    <w:rsid w:val="0ABB3C42"/>
    <w:rsid w:val="0ACEC88E"/>
    <w:rsid w:val="0AD1DDD2"/>
    <w:rsid w:val="0AF94928"/>
    <w:rsid w:val="0AFD1CDE"/>
    <w:rsid w:val="0B018C90"/>
    <w:rsid w:val="0B219BBD"/>
    <w:rsid w:val="0B351014"/>
    <w:rsid w:val="0B36D176"/>
    <w:rsid w:val="0B447DFD"/>
    <w:rsid w:val="0B4886EA"/>
    <w:rsid w:val="0B576B76"/>
    <w:rsid w:val="0B5A93B0"/>
    <w:rsid w:val="0B777217"/>
    <w:rsid w:val="0B7BBD96"/>
    <w:rsid w:val="0B8773EA"/>
    <w:rsid w:val="0B87F13F"/>
    <w:rsid w:val="0B9383EB"/>
    <w:rsid w:val="0B98A7AF"/>
    <w:rsid w:val="0B9DD847"/>
    <w:rsid w:val="0B9E8A63"/>
    <w:rsid w:val="0BA71A82"/>
    <w:rsid w:val="0BAB0801"/>
    <w:rsid w:val="0BB519BC"/>
    <w:rsid w:val="0BB8D718"/>
    <w:rsid w:val="0BBC6A30"/>
    <w:rsid w:val="0BCFFF4F"/>
    <w:rsid w:val="0BDD7B5A"/>
    <w:rsid w:val="0BEE25A4"/>
    <w:rsid w:val="0BF00E71"/>
    <w:rsid w:val="0BFC8D86"/>
    <w:rsid w:val="0C007FE3"/>
    <w:rsid w:val="0C28DCCF"/>
    <w:rsid w:val="0C2E2237"/>
    <w:rsid w:val="0C4F602D"/>
    <w:rsid w:val="0C57D2A8"/>
    <w:rsid w:val="0C5A7EA6"/>
    <w:rsid w:val="0C5C205A"/>
    <w:rsid w:val="0C5D4FA6"/>
    <w:rsid w:val="0C601A24"/>
    <w:rsid w:val="0C633E72"/>
    <w:rsid w:val="0C79EB0C"/>
    <w:rsid w:val="0C7C5DD9"/>
    <w:rsid w:val="0C86A6BC"/>
    <w:rsid w:val="0C928B45"/>
    <w:rsid w:val="0C9B8499"/>
    <w:rsid w:val="0CA44B73"/>
    <w:rsid w:val="0CA71B19"/>
    <w:rsid w:val="0CB50C80"/>
    <w:rsid w:val="0CC913DD"/>
    <w:rsid w:val="0CCDF8B4"/>
    <w:rsid w:val="0CDC9BD8"/>
    <w:rsid w:val="0CEBFF5E"/>
    <w:rsid w:val="0CECA686"/>
    <w:rsid w:val="0CF09625"/>
    <w:rsid w:val="0CFB85DB"/>
    <w:rsid w:val="0D02CD49"/>
    <w:rsid w:val="0D055636"/>
    <w:rsid w:val="0D0C3E62"/>
    <w:rsid w:val="0D1AC61D"/>
    <w:rsid w:val="0D20AF9B"/>
    <w:rsid w:val="0D23F0B8"/>
    <w:rsid w:val="0D26054F"/>
    <w:rsid w:val="0D29903F"/>
    <w:rsid w:val="0D2EA3DD"/>
    <w:rsid w:val="0D3872B4"/>
    <w:rsid w:val="0D3D77DC"/>
    <w:rsid w:val="0D45ABC9"/>
    <w:rsid w:val="0D48EEC7"/>
    <w:rsid w:val="0D52456D"/>
    <w:rsid w:val="0D568434"/>
    <w:rsid w:val="0D570117"/>
    <w:rsid w:val="0D593D08"/>
    <w:rsid w:val="0D631237"/>
    <w:rsid w:val="0D65855D"/>
    <w:rsid w:val="0D76C2FF"/>
    <w:rsid w:val="0D7F5CC7"/>
    <w:rsid w:val="0D96BD1D"/>
    <w:rsid w:val="0DAECA03"/>
    <w:rsid w:val="0DB1DC93"/>
    <w:rsid w:val="0DB7EA1C"/>
    <w:rsid w:val="0DC1F72B"/>
    <w:rsid w:val="0DC82BA5"/>
    <w:rsid w:val="0DD49DEB"/>
    <w:rsid w:val="0DDCC269"/>
    <w:rsid w:val="0DE067CE"/>
    <w:rsid w:val="0DE14043"/>
    <w:rsid w:val="0DF4F255"/>
    <w:rsid w:val="0DFF84C4"/>
    <w:rsid w:val="0E29CE95"/>
    <w:rsid w:val="0E2DED44"/>
    <w:rsid w:val="0E3D0A79"/>
    <w:rsid w:val="0E411988"/>
    <w:rsid w:val="0E54AD7D"/>
    <w:rsid w:val="0E57DC5C"/>
    <w:rsid w:val="0E58476D"/>
    <w:rsid w:val="0E60CF0F"/>
    <w:rsid w:val="0E6DC8E4"/>
    <w:rsid w:val="0E751101"/>
    <w:rsid w:val="0E779B5F"/>
    <w:rsid w:val="0E77E5DB"/>
    <w:rsid w:val="0EAB3367"/>
    <w:rsid w:val="0EB67AE0"/>
    <w:rsid w:val="0EC61E43"/>
    <w:rsid w:val="0ED125EC"/>
    <w:rsid w:val="0ED1CCCD"/>
    <w:rsid w:val="0EE4CC3D"/>
    <w:rsid w:val="0EFB46B4"/>
    <w:rsid w:val="0EFDBA9B"/>
    <w:rsid w:val="0F00EAF0"/>
    <w:rsid w:val="0F130B8A"/>
    <w:rsid w:val="0F144C90"/>
    <w:rsid w:val="0F1633B5"/>
    <w:rsid w:val="0F16510B"/>
    <w:rsid w:val="0F19F3D6"/>
    <w:rsid w:val="0F37EB76"/>
    <w:rsid w:val="0F3B0A6A"/>
    <w:rsid w:val="0F4B8FD5"/>
    <w:rsid w:val="0F4E3B21"/>
    <w:rsid w:val="0F4F6DA7"/>
    <w:rsid w:val="0F589282"/>
    <w:rsid w:val="0F58B4CB"/>
    <w:rsid w:val="0F60C809"/>
    <w:rsid w:val="0F6A84FA"/>
    <w:rsid w:val="0F780197"/>
    <w:rsid w:val="0F79D37B"/>
    <w:rsid w:val="0F80AC85"/>
    <w:rsid w:val="0F8EB14A"/>
    <w:rsid w:val="0F91330C"/>
    <w:rsid w:val="0F984DFE"/>
    <w:rsid w:val="0FB0773F"/>
    <w:rsid w:val="0FBDB1EA"/>
    <w:rsid w:val="0FC0D241"/>
    <w:rsid w:val="0FC2AD06"/>
    <w:rsid w:val="0FD5B089"/>
    <w:rsid w:val="0FDD653C"/>
    <w:rsid w:val="0FE5F634"/>
    <w:rsid w:val="100AF1FB"/>
    <w:rsid w:val="1027ABDF"/>
    <w:rsid w:val="102D8F9F"/>
    <w:rsid w:val="102F24DF"/>
    <w:rsid w:val="1036C159"/>
    <w:rsid w:val="103C8217"/>
    <w:rsid w:val="103FD88A"/>
    <w:rsid w:val="10531820"/>
    <w:rsid w:val="1060AC0A"/>
    <w:rsid w:val="107A6BC5"/>
    <w:rsid w:val="1080EE71"/>
    <w:rsid w:val="1089F3F2"/>
    <w:rsid w:val="109648AF"/>
    <w:rsid w:val="109A83FB"/>
    <w:rsid w:val="10AE198F"/>
    <w:rsid w:val="10C6C7F4"/>
    <w:rsid w:val="10D2EB34"/>
    <w:rsid w:val="10D4DE0A"/>
    <w:rsid w:val="10D7988D"/>
    <w:rsid w:val="10D97CB1"/>
    <w:rsid w:val="10D9862A"/>
    <w:rsid w:val="10E92819"/>
    <w:rsid w:val="10EA5D3A"/>
    <w:rsid w:val="10F765D5"/>
    <w:rsid w:val="10F9934A"/>
    <w:rsid w:val="110000E7"/>
    <w:rsid w:val="110AA817"/>
    <w:rsid w:val="11120F29"/>
    <w:rsid w:val="11134DA7"/>
    <w:rsid w:val="113C5F07"/>
    <w:rsid w:val="114AD351"/>
    <w:rsid w:val="114AE979"/>
    <w:rsid w:val="1158B8A1"/>
    <w:rsid w:val="1159D9FC"/>
    <w:rsid w:val="115FA871"/>
    <w:rsid w:val="1174D25E"/>
    <w:rsid w:val="1176FE50"/>
    <w:rsid w:val="11AEEF05"/>
    <w:rsid w:val="11AFDDD7"/>
    <w:rsid w:val="11BCC129"/>
    <w:rsid w:val="11C01D43"/>
    <w:rsid w:val="11C4F767"/>
    <w:rsid w:val="11C83D89"/>
    <w:rsid w:val="11D24E9F"/>
    <w:rsid w:val="11D584F8"/>
    <w:rsid w:val="11DF1353"/>
    <w:rsid w:val="11E32A81"/>
    <w:rsid w:val="11E39D9F"/>
    <w:rsid w:val="11ECC79F"/>
    <w:rsid w:val="121A74C9"/>
    <w:rsid w:val="122262F1"/>
    <w:rsid w:val="1222D419"/>
    <w:rsid w:val="1225B8F8"/>
    <w:rsid w:val="1229C1E1"/>
    <w:rsid w:val="122D7E70"/>
    <w:rsid w:val="122E580C"/>
    <w:rsid w:val="1243DF32"/>
    <w:rsid w:val="1244B5DC"/>
    <w:rsid w:val="1252BC1C"/>
    <w:rsid w:val="125E6DF8"/>
    <w:rsid w:val="125ECAB5"/>
    <w:rsid w:val="12656290"/>
    <w:rsid w:val="1265B1A9"/>
    <w:rsid w:val="12726D9E"/>
    <w:rsid w:val="1277D209"/>
    <w:rsid w:val="127B4C18"/>
    <w:rsid w:val="128C1797"/>
    <w:rsid w:val="128CF793"/>
    <w:rsid w:val="129CA5D3"/>
    <w:rsid w:val="12AE4610"/>
    <w:rsid w:val="12BAF0B1"/>
    <w:rsid w:val="12C07697"/>
    <w:rsid w:val="12C88287"/>
    <w:rsid w:val="12CFBDF1"/>
    <w:rsid w:val="12E1DC2A"/>
    <w:rsid w:val="12E54D09"/>
    <w:rsid w:val="12ECA3CF"/>
    <w:rsid w:val="130027FC"/>
    <w:rsid w:val="13060B6D"/>
    <w:rsid w:val="130FFD88"/>
    <w:rsid w:val="1319103D"/>
    <w:rsid w:val="13222A85"/>
    <w:rsid w:val="13280EC6"/>
    <w:rsid w:val="13286D48"/>
    <w:rsid w:val="133BA7D9"/>
    <w:rsid w:val="134F0351"/>
    <w:rsid w:val="1363F06E"/>
    <w:rsid w:val="1368B939"/>
    <w:rsid w:val="137DCD45"/>
    <w:rsid w:val="137EFAE2"/>
    <w:rsid w:val="1387950C"/>
    <w:rsid w:val="1388E63E"/>
    <w:rsid w:val="13931E9C"/>
    <w:rsid w:val="13948EE5"/>
    <w:rsid w:val="1394E51A"/>
    <w:rsid w:val="1399697A"/>
    <w:rsid w:val="139D111C"/>
    <w:rsid w:val="13A1A685"/>
    <w:rsid w:val="13B08402"/>
    <w:rsid w:val="13BBE969"/>
    <w:rsid w:val="13BC17A1"/>
    <w:rsid w:val="13F3DBA3"/>
    <w:rsid w:val="13FBB07F"/>
    <w:rsid w:val="13FCA91E"/>
    <w:rsid w:val="140705BC"/>
    <w:rsid w:val="1413A26A"/>
    <w:rsid w:val="1414BA0F"/>
    <w:rsid w:val="141B3153"/>
    <w:rsid w:val="141B727E"/>
    <w:rsid w:val="14224753"/>
    <w:rsid w:val="14273139"/>
    <w:rsid w:val="142BA7DD"/>
    <w:rsid w:val="1434B305"/>
    <w:rsid w:val="143FCAEE"/>
    <w:rsid w:val="14469B92"/>
    <w:rsid w:val="144C0545"/>
    <w:rsid w:val="144C30D6"/>
    <w:rsid w:val="1456FE38"/>
    <w:rsid w:val="145D4319"/>
    <w:rsid w:val="146D4AD7"/>
    <w:rsid w:val="147498A1"/>
    <w:rsid w:val="1479C625"/>
    <w:rsid w:val="147FC52D"/>
    <w:rsid w:val="14A08D0C"/>
    <w:rsid w:val="14A3BEB1"/>
    <w:rsid w:val="14A5EDDE"/>
    <w:rsid w:val="14A72840"/>
    <w:rsid w:val="14AB2624"/>
    <w:rsid w:val="14ABCDE9"/>
    <w:rsid w:val="14B2318E"/>
    <w:rsid w:val="14B359CB"/>
    <w:rsid w:val="14C05F7F"/>
    <w:rsid w:val="14E7F04F"/>
    <w:rsid w:val="14ECB1AB"/>
    <w:rsid w:val="14FB866C"/>
    <w:rsid w:val="14FE9F1F"/>
    <w:rsid w:val="14FEE05D"/>
    <w:rsid w:val="150461F0"/>
    <w:rsid w:val="150D2926"/>
    <w:rsid w:val="151414BF"/>
    <w:rsid w:val="151DB26B"/>
    <w:rsid w:val="151FD9E9"/>
    <w:rsid w:val="1520B958"/>
    <w:rsid w:val="15228357"/>
    <w:rsid w:val="153F0F7F"/>
    <w:rsid w:val="15426CB9"/>
    <w:rsid w:val="15438035"/>
    <w:rsid w:val="154DE908"/>
    <w:rsid w:val="1557F68A"/>
    <w:rsid w:val="156C840D"/>
    <w:rsid w:val="1578532E"/>
    <w:rsid w:val="157E0F5B"/>
    <w:rsid w:val="158EFE89"/>
    <w:rsid w:val="15912DD2"/>
    <w:rsid w:val="1597E0E5"/>
    <w:rsid w:val="15A828D6"/>
    <w:rsid w:val="15ACB886"/>
    <w:rsid w:val="15C2CEE2"/>
    <w:rsid w:val="15CFBF15"/>
    <w:rsid w:val="15D04E3A"/>
    <w:rsid w:val="15D58AA8"/>
    <w:rsid w:val="15D59E32"/>
    <w:rsid w:val="15DF4808"/>
    <w:rsid w:val="15E002AA"/>
    <w:rsid w:val="15E1128E"/>
    <w:rsid w:val="15EC0B94"/>
    <w:rsid w:val="15F4375A"/>
    <w:rsid w:val="15F7EC76"/>
    <w:rsid w:val="15FD556B"/>
    <w:rsid w:val="1601EE2A"/>
    <w:rsid w:val="1610997E"/>
    <w:rsid w:val="162073F1"/>
    <w:rsid w:val="1622B13A"/>
    <w:rsid w:val="162E1A1F"/>
    <w:rsid w:val="163BCE91"/>
    <w:rsid w:val="163E4A31"/>
    <w:rsid w:val="164FE374"/>
    <w:rsid w:val="16536A6E"/>
    <w:rsid w:val="165D292B"/>
    <w:rsid w:val="16775D90"/>
    <w:rsid w:val="16786B17"/>
    <w:rsid w:val="167A3514"/>
    <w:rsid w:val="1683EC06"/>
    <w:rsid w:val="168B88B7"/>
    <w:rsid w:val="1692E0B1"/>
    <w:rsid w:val="169FAA2D"/>
    <w:rsid w:val="16A3187B"/>
    <w:rsid w:val="16A93152"/>
    <w:rsid w:val="16BC3097"/>
    <w:rsid w:val="16C19C6B"/>
    <w:rsid w:val="16C4400E"/>
    <w:rsid w:val="16D15F11"/>
    <w:rsid w:val="16E378A8"/>
    <w:rsid w:val="16E54D25"/>
    <w:rsid w:val="16F0FA0D"/>
    <w:rsid w:val="170C68C3"/>
    <w:rsid w:val="1715114F"/>
    <w:rsid w:val="17224AF5"/>
    <w:rsid w:val="173863EE"/>
    <w:rsid w:val="1744257E"/>
    <w:rsid w:val="174EC017"/>
    <w:rsid w:val="1752E906"/>
    <w:rsid w:val="175B19F6"/>
    <w:rsid w:val="175B2999"/>
    <w:rsid w:val="1768F05C"/>
    <w:rsid w:val="176C35D2"/>
    <w:rsid w:val="176DEE65"/>
    <w:rsid w:val="1772C4D9"/>
    <w:rsid w:val="17731EB7"/>
    <w:rsid w:val="17799E6D"/>
    <w:rsid w:val="177A9611"/>
    <w:rsid w:val="177C54E4"/>
    <w:rsid w:val="1786B8BF"/>
    <w:rsid w:val="1787F98A"/>
    <w:rsid w:val="179924EA"/>
    <w:rsid w:val="17A1EC73"/>
    <w:rsid w:val="17A6788A"/>
    <w:rsid w:val="17ABC92C"/>
    <w:rsid w:val="17AF9624"/>
    <w:rsid w:val="17B3FF7C"/>
    <w:rsid w:val="17B9B987"/>
    <w:rsid w:val="17BB747A"/>
    <w:rsid w:val="17BE9469"/>
    <w:rsid w:val="17C2DE04"/>
    <w:rsid w:val="17D819EB"/>
    <w:rsid w:val="17DFB32C"/>
    <w:rsid w:val="17E67884"/>
    <w:rsid w:val="17E83A5E"/>
    <w:rsid w:val="17EA5611"/>
    <w:rsid w:val="17EB1E6D"/>
    <w:rsid w:val="17F98455"/>
    <w:rsid w:val="17FF19F4"/>
    <w:rsid w:val="181002C0"/>
    <w:rsid w:val="18135FE2"/>
    <w:rsid w:val="181BCC3B"/>
    <w:rsid w:val="18228A17"/>
    <w:rsid w:val="18285011"/>
    <w:rsid w:val="18315C64"/>
    <w:rsid w:val="183EADBB"/>
    <w:rsid w:val="18532318"/>
    <w:rsid w:val="1868019D"/>
    <w:rsid w:val="18690ED8"/>
    <w:rsid w:val="1872506A"/>
    <w:rsid w:val="188AA780"/>
    <w:rsid w:val="1891B163"/>
    <w:rsid w:val="18B426F2"/>
    <w:rsid w:val="18D13F7D"/>
    <w:rsid w:val="18D7DBA2"/>
    <w:rsid w:val="18DCE2B7"/>
    <w:rsid w:val="18DF38E1"/>
    <w:rsid w:val="18DFB925"/>
    <w:rsid w:val="18E230AD"/>
    <w:rsid w:val="18E53358"/>
    <w:rsid w:val="1911D326"/>
    <w:rsid w:val="19203FB9"/>
    <w:rsid w:val="193ACAFC"/>
    <w:rsid w:val="193D32C4"/>
    <w:rsid w:val="195808B8"/>
    <w:rsid w:val="1966E905"/>
    <w:rsid w:val="196DBC3D"/>
    <w:rsid w:val="1971B4A6"/>
    <w:rsid w:val="197D3A19"/>
    <w:rsid w:val="197D8C36"/>
    <w:rsid w:val="19856A1A"/>
    <w:rsid w:val="198B2D12"/>
    <w:rsid w:val="198D1AD2"/>
    <w:rsid w:val="1990F61D"/>
    <w:rsid w:val="199101E8"/>
    <w:rsid w:val="199A1198"/>
    <w:rsid w:val="199ACDD7"/>
    <w:rsid w:val="19A9D5A8"/>
    <w:rsid w:val="19B20F09"/>
    <w:rsid w:val="19B4E58A"/>
    <w:rsid w:val="19C861E3"/>
    <w:rsid w:val="19FA19AB"/>
    <w:rsid w:val="1A0386C0"/>
    <w:rsid w:val="1A0A10A3"/>
    <w:rsid w:val="1A12A79D"/>
    <w:rsid w:val="1A16F443"/>
    <w:rsid w:val="1A18FE35"/>
    <w:rsid w:val="1A1CCDA5"/>
    <w:rsid w:val="1A210C14"/>
    <w:rsid w:val="1A217E08"/>
    <w:rsid w:val="1A37FE93"/>
    <w:rsid w:val="1A483444"/>
    <w:rsid w:val="1A5C87F7"/>
    <w:rsid w:val="1A5E9430"/>
    <w:rsid w:val="1A642CAD"/>
    <w:rsid w:val="1A65C146"/>
    <w:rsid w:val="1A6BDE8C"/>
    <w:rsid w:val="1A70196F"/>
    <w:rsid w:val="1A7441FF"/>
    <w:rsid w:val="1A843CD6"/>
    <w:rsid w:val="1A897E9A"/>
    <w:rsid w:val="1A8E40AF"/>
    <w:rsid w:val="1A9DE306"/>
    <w:rsid w:val="1AAA3D63"/>
    <w:rsid w:val="1AB07C0F"/>
    <w:rsid w:val="1AB0899B"/>
    <w:rsid w:val="1AD22400"/>
    <w:rsid w:val="1AE6C081"/>
    <w:rsid w:val="1AE95A66"/>
    <w:rsid w:val="1AEA26DB"/>
    <w:rsid w:val="1AF0454D"/>
    <w:rsid w:val="1AF979A5"/>
    <w:rsid w:val="1AFA143E"/>
    <w:rsid w:val="1B0F950E"/>
    <w:rsid w:val="1B152D72"/>
    <w:rsid w:val="1B15CA63"/>
    <w:rsid w:val="1B32A697"/>
    <w:rsid w:val="1B34FF2E"/>
    <w:rsid w:val="1B368652"/>
    <w:rsid w:val="1B410A48"/>
    <w:rsid w:val="1B5B8A55"/>
    <w:rsid w:val="1B61CA0A"/>
    <w:rsid w:val="1B65CCC8"/>
    <w:rsid w:val="1B65D477"/>
    <w:rsid w:val="1B6A90D1"/>
    <w:rsid w:val="1B6FA008"/>
    <w:rsid w:val="1B70A6FB"/>
    <w:rsid w:val="1B8292D3"/>
    <w:rsid w:val="1B87043F"/>
    <w:rsid w:val="1BA2B1CE"/>
    <w:rsid w:val="1BA53B73"/>
    <w:rsid w:val="1BB9D611"/>
    <w:rsid w:val="1BC4B8C2"/>
    <w:rsid w:val="1BC8A0B8"/>
    <w:rsid w:val="1BD7D372"/>
    <w:rsid w:val="1BE12A12"/>
    <w:rsid w:val="1BEABFFB"/>
    <w:rsid w:val="1BEBE620"/>
    <w:rsid w:val="1C09E7DA"/>
    <w:rsid w:val="1C131211"/>
    <w:rsid w:val="1C27B4CF"/>
    <w:rsid w:val="1C2EF62E"/>
    <w:rsid w:val="1C316E40"/>
    <w:rsid w:val="1C31948F"/>
    <w:rsid w:val="1C3A99DA"/>
    <w:rsid w:val="1C3D89A6"/>
    <w:rsid w:val="1C4F92AD"/>
    <w:rsid w:val="1C5C703A"/>
    <w:rsid w:val="1C609DA5"/>
    <w:rsid w:val="1C61E01F"/>
    <w:rsid w:val="1C692F7F"/>
    <w:rsid w:val="1C836739"/>
    <w:rsid w:val="1C86899C"/>
    <w:rsid w:val="1C89BFBE"/>
    <w:rsid w:val="1C9481EA"/>
    <w:rsid w:val="1CB845C9"/>
    <w:rsid w:val="1CC0E761"/>
    <w:rsid w:val="1CE11C19"/>
    <w:rsid w:val="1CE272B3"/>
    <w:rsid w:val="1CECF223"/>
    <w:rsid w:val="1CFBE068"/>
    <w:rsid w:val="1D00C589"/>
    <w:rsid w:val="1D0E1864"/>
    <w:rsid w:val="1D1F748C"/>
    <w:rsid w:val="1D226C4B"/>
    <w:rsid w:val="1D38BF0E"/>
    <w:rsid w:val="1D3AF258"/>
    <w:rsid w:val="1D5D63E6"/>
    <w:rsid w:val="1D69EB86"/>
    <w:rsid w:val="1D82DB43"/>
    <w:rsid w:val="1D88C651"/>
    <w:rsid w:val="1D8A416A"/>
    <w:rsid w:val="1D8BB145"/>
    <w:rsid w:val="1D918469"/>
    <w:rsid w:val="1D958696"/>
    <w:rsid w:val="1D9687AE"/>
    <w:rsid w:val="1D9CA854"/>
    <w:rsid w:val="1DC4D3F0"/>
    <w:rsid w:val="1DD25613"/>
    <w:rsid w:val="1DD3205C"/>
    <w:rsid w:val="1DD4F5F9"/>
    <w:rsid w:val="1DD5D81C"/>
    <w:rsid w:val="1DD7EB6B"/>
    <w:rsid w:val="1DE9FED8"/>
    <w:rsid w:val="1DEA91B0"/>
    <w:rsid w:val="1DFDD632"/>
    <w:rsid w:val="1E05D6AA"/>
    <w:rsid w:val="1E08A157"/>
    <w:rsid w:val="1E23E2F4"/>
    <w:rsid w:val="1E2A5751"/>
    <w:rsid w:val="1E2CAD5A"/>
    <w:rsid w:val="1E413DFA"/>
    <w:rsid w:val="1E4E9267"/>
    <w:rsid w:val="1E607BFE"/>
    <w:rsid w:val="1E68007B"/>
    <w:rsid w:val="1E69C8D1"/>
    <w:rsid w:val="1E7E1924"/>
    <w:rsid w:val="1E8ACBEE"/>
    <w:rsid w:val="1E8BE0CB"/>
    <w:rsid w:val="1EA7130A"/>
    <w:rsid w:val="1EABB290"/>
    <w:rsid w:val="1EAFFE53"/>
    <w:rsid w:val="1EB768FF"/>
    <w:rsid w:val="1EBC6185"/>
    <w:rsid w:val="1EC81E53"/>
    <w:rsid w:val="1EC81EC2"/>
    <w:rsid w:val="1ECD04CB"/>
    <w:rsid w:val="1EDDE2B6"/>
    <w:rsid w:val="1EE05C45"/>
    <w:rsid w:val="1EEA9D60"/>
    <w:rsid w:val="1F174AB1"/>
    <w:rsid w:val="1F177AA8"/>
    <w:rsid w:val="1F26DFC3"/>
    <w:rsid w:val="1F35049B"/>
    <w:rsid w:val="1F3F0F9E"/>
    <w:rsid w:val="1F5CBCEC"/>
    <w:rsid w:val="1F5DCD95"/>
    <w:rsid w:val="1F7C35E3"/>
    <w:rsid w:val="1F7ED1E6"/>
    <w:rsid w:val="1F865D72"/>
    <w:rsid w:val="1F89B36B"/>
    <w:rsid w:val="1F944470"/>
    <w:rsid w:val="1F9F9D35"/>
    <w:rsid w:val="1FBFC520"/>
    <w:rsid w:val="1FC171A2"/>
    <w:rsid w:val="1FC52D61"/>
    <w:rsid w:val="1FC5A565"/>
    <w:rsid w:val="1FC8C14D"/>
    <w:rsid w:val="1FD1FC75"/>
    <w:rsid w:val="1FD2EF62"/>
    <w:rsid w:val="1FEFE75E"/>
    <w:rsid w:val="1FF7E6AD"/>
    <w:rsid w:val="200F82C0"/>
    <w:rsid w:val="2015ABF0"/>
    <w:rsid w:val="2015CA82"/>
    <w:rsid w:val="2019C2C0"/>
    <w:rsid w:val="2028963C"/>
    <w:rsid w:val="2031E338"/>
    <w:rsid w:val="204BD941"/>
    <w:rsid w:val="204D4CF1"/>
    <w:rsid w:val="2062797A"/>
    <w:rsid w:val="206C8CA5"/>
    <w:rsid w:val="2084F759"/>
    <w:rsid w:val="208ECD4E"/>
    <w:rsid w:val="209C46EC"/>
    <w:rsid w:val="20B5AE98"/>
    <w:rsid w:val="20C35FE6"/>
    <w:rsid w:val="20C6A08C"/>
    <w:rsid w:val="20C8F2F2"/>
    <w:rsid w:val="20D4A951"/>
    <w:rsid w:val="20D7ABB6"/>
    <w:rsid w:val="20ECBFCE"/>
    <w:rsid w:val="20EDCA9D"/>
    <w:rsid w:val="2119CF14"/>
    <w:rsid w:val="2126915A"/>
    <w:rsid w:val="2142E5B0"/>
    <w:rsid w:val="214DF33A"/>
    <w:rsid w:val="2167D109"/>
    <w:rsid w:val="216A994E"/>
    <w:rsid w:val="216D521D"/>
    <w:rsid w:val="2171118B"/>
    <w:rsid w:val="2187DB80"/>
    <w:rsid w:val="2193B03E"/>
    <w:rsid w:val="2197BE84"/>
    <w:rsid w:val="219B40B2"/>
    <w:rsid w:val="21C48FDC"/>
    <w:rsid w:val="21D82181"/>
    <w:rsid w:val="21DCD84B"/>
    <w:rsid w:val="21F3088E"/>
    <w:rsid w:val="222C180B"/>
    <w:rsid w:val="223C3A22"/>
    <w:rsid w:val="224B4224"/>
    <w:rsid w:val="225B2439"/>
    <w:rsid w:val="225BFF53"/>
    <w:rsid w:val="225D2F86"/>
    <w:rsid w:val="22698C48"/>
    <w:rsid w:val="227267A4"/>
    <w:rsid w:val="227822AC"/>
    <w:rsid w:val="228125D7"/>
    <w:rsid w:val="228CEE2A"/>
    <w:rsid w:val="22A6CE0C"/>
    <w:rsid w:val="22B08748"/>
    <w:rsid w:val="22B62FA3"/>
    <w:rsid w:val="22B722D0"/>
    <w:rsid w:val="22C12054"/>
    <w:rsid w:val="22C235AC"/>
    <w:rsid w:val="22E18D4B"/>
    <w:rsid w:val="22E36E55"/>
    <w:rsid w:val="22EDBC1B"/>
    <w:rsid w:val="22FACCA1"/>
    <w:rsid w:val="22FBA0D1"/>
    <w:rsid w:val="2308E2C6"/>
    <w:rsid w:val="2309227E"/>
    <w:rsid w:val="2321FA0B"/>
    <w:rsid w:val="2327795E"/>
    <w:rsid w:val="2338E6BA"/>
    <w:rsid w:val="234C626F"/>
    <w:rsid w:val="23599057"/>
    <w:rsid w:val="235A4B6A"/>
    <w:rsid w:val="235F94FE"/>
    <w:rsid w:val="236394DB"/>
    <w:rsid w:val="2365CEE5"/>
    <w:rsid w:val="236BA448"/>
    <w:rsid w:val="236E169F"/>
    <w:rsid w:val="237E2C71"/>
    <w:rsid w:val="2394A597"/>
    <w:rsid w:val="239A0892"/>
    <w:rsid w:val="239DB196"/>
    <w:rsid w:val="23A7739B"/>
    <w:rsid w:val="23D2A6BE"/>
    <w:rsid w:val="23E30A45"/>
    <w:rsid w:val="23E5EFED"/>
    <w:rsid w:val="23E97BC2"/>
    <w:rsid w:val="23EC6E1D"/>
    <w:rsid w:val="23F5828A"/>
    <w:rsid w:val="23FB12E9"/>
    <w:rsid w:val="23FCE175"/>
    <w:rsid w:val="23FD04FF"/>
    <w:rsid w:val="23FEE69E"/>
    <w:rsid w:val="240259C0"/>
    <w:rsid w:val="241D4081"/>
    <w:rsid w:val="242A45DB"/>
    <w:rsid w:val="242A9CBF"/>
    <w:rsid w:val="242E1626"/>
    <w:rsid w:val="242ECD56"/>
    <w:rsid w:val="2430C5B8"/>
    <w:rsid w:val="2456DA52"/>
    <w:rsid w:val="24586123"/>
    <w:rsid w:val="2463B14D"/>
    <w:rsid w:val="246DEBBD"/>
    <w:rsid w:val="24850154"/>
    <w:rsid w:val="248CD473"/>
    <w:rsid w:val="248F7B60"/>
    <w:rsid w:val="2490BC4B"/>
    <w:rsid w:val="2493015F"/>
    <w:rsid w:val="24996DF6"/>
    <w:rsid w:val="249CC6B7"/>
    <w:rsid w:val="24A50332"/>
    <w:rsid w:val="24AB03F3"/>
    <w:rsid w:val="24B1B44A"/>
    <w:rsid w:val="24B45A96"/>
    <w:rsid w:val="24B7CB4A"/>
    <w:rsid w:val="24BCAF93"/>
    <w:rsid w:val="24BF3BCB"/>
    <w:rsid w:val="24C18D3C"/>
    <w:rsid w:val="24D3A8C4"/>
    <w:rsid w:val="24D50240"/>
    <w:rsid w:val="24E581B8"/>
    <w:rsid w:val="24E607F9"/>
    <w:rsid w:val="24E64203"/>
    <w:rsid w:val="24E9FABE"/>
    <w:rsid w:val="24EB1E37"/>
    <w:rsid w:val="24F4D5AA"/>
    <w:rsid w:val="24F54D86"/>
    <w:rsid w:val="24F721A3"/>
    <w:rsid w:val="251573B0"/>
    <w:rsid w:val="251E302D"/>
    <w:rsid w:val="2520FF3C"/>
    <w:rsid w:val="2525593B"/>
    <w:rsid w:val="2525820E"/>
    <w:rsid w:val="2534C551"/>
    <w:rsid w:val="2539DE80"/>
    <w:rsid w:val="25466AA3"/>
    <w:rsid w:val="255209A4"/>
    <w:rsid w:val="2568D04D"/>
    <w:rsid w:val="25691D99"/>
    <w:rsid w:val="256EE0CD"/>
    <w:rsid w:val="25707F3F"/>
    <w:rsid w:val="2577E15D"/>
    <w:rsid w:val="2579C7E9"/>
    <w:rsid w:val="25979723"/>
    <w:rsid w:val="25996842"/>
    <w:rsid w:val="25A655D4"/>
    <w:rsid w:val="25CCE918"/>
    <w:rsid w:val="25D2A52B"/>
    <w:rsid w:val="25D5660E"/>
    <w:rsid w:val="25DACB09"/>
    <w:rsid w:val="25E82595"/>
    <w:rsid w:val="25ECBBEA"/>
    <w:rsid w:val="25EDD065"/>
    <w:rsid w:val="25EE516F"/>
    <w:rsid w:val="25F67277"/>
    <w:rsid w:val="2601C0FA"/>
    <w:rsid w:val="26078F3F"/>
    <w:rsid w:val="260DCA85"/>
    <w:rsid w:val="260F78CF"/>
    <w:rsid w:val="261F0702"/>
    <w:rsid w:val="2627AC3E"/>
    <w:rsid w:val="2628FF9A"/>
    <w:rsid w:val="262983B9"/>
    <w:rsid w:val="2629C9FB"/>
    <w:rsid w:val="262A8110"/>
    <w:rsid w:val="262CF963"/>
    <w:rsid w:val="263F4684"/>
    <w:rsid w:val="26419808"/>
    <w:rsid w:val="26480E17"/>
    <w:rsid w:val="264A0BD0"/>
    <w:rsid w:val="2659DB98"/>
    <w:rsid w:val="26606223"/>
    <w:rsid w:val="26660124"/>
    <w:rsid w:val="26763399"/>
    <w:rsid w:val="267B4F3C"/>
    <w:rsid w:val="267F3524"/>
    <w:rsid w:val="2681E1F1"/>
    <w:rsid w:val="2699C4B0"/>
    <w:rsid w:val="269B4E4A"/>
    <w:rsid w:val="26A0BFE6"/>
    <w:rsid w:val="26A666A7"/>
    <w:rsid w:val="26A83C9C"/>
    <w:rsid w:val="26AD579C"/>
    <w:rsid w:val="26BA7A5A"/>
    <w:rsid w:val="26D0DDD2"/>
    <w:rsid w:val="26D5B6D2"/>
    <w:rsid w:val="26DB34D6"/>
    <w:rsid w:val="26FC6845"/>
    <w:rsid w:val="271048E9"/>
    <w:rsid w:val="27223429"/>
    <w:rsid w:val="2722988D"/>
    <w:rsid w:val="274773E1"/>
    <w:rsid w:val="27477C92"/>
    <w:rsid w:val="27481E31"/>
    <w:rsid w:val="27563B2D"/>
    <w:rsid w:val="2768EDFE"/>
    <w:rsid w:val="277E9A9D"/>
    <w:rsid w:val="27835572"/>
    <w:rsid w:val="27837658"/>
    <w:rsid w:val="279AA637"/>
    <w:rsid w:val="27B59FF8"/>
    <w:rsid w:val="27C282C5"/>
    <w:rsid w:val="27D28781"/>
    <w:rsid w:val="27F0D9D4"/>
    <w:rsid w:val="280A1B11"/>
    <w:rsid w:val="280D34E5"/>
    <w:rsid w:val="2814537D"/>
    <w:rsid w:val="281EED02"/>
    <w:rsid w:val="2823DB0E"/>
    <w:rsid w:val="28259FD8"/>
    <w:rsid w:val="2829CFF1"/>
    <w:rsid w:val="282D5C62"/>
    <w:rsid w:val="283FA57E"/>
    <w:rsid w:val="284E9C9D"/>
    <w:rsid w:val="284FEC92"/>
    <w:rsid w:val="285E4E49"/>
    <w:rsid w:val="28682721"/>
    <w:rsid w:val="287CEEC1"/>
    <w:rsid w:val="287DA6BE"/>
    <w:rsid w:val="288494C9"/>
    <w:rsid w:val="288ADF1A"/>
    <w:rsid w:val="28941B46"/>
    <w:rsid w:val="28A9F3D1"/>
    <w:rsid w:val="28B86C5C"/>
    <w:rsid w:val="28C16D38"/>
    <w:rsid w:val="28C1A1B8"/>
    <w:rsid w:val="28C961F5"/>
    <w:rsid w:val="28DA0E1F"/>
    <w:rsid w:val="28F8AFDC"/>
    <w:rsid w:val="28FC4FCA"/>
    <w:rsid w:val="290073A9"/>
    <w:rsid w:val="29008B9E"/>
    <w:rsid w:val="2902CD73"/>
    <w:rsid w:val="290AD4D2"/>
    <w:rsid w:val="291FB0A8"/>
    <w:rsid w:val="29209B41"/>
    <w:rsid w:val="29281A61"/>
    <w:rsid w:val="2928CFC7"/>
    <w:rsid w:val="292FD339"/>
    <w:rsid w:val="29371E7D"/>
    <w:rsid w:val="293F0305"/>
    <w:rsid w:val="293F7D9A"/>
    <w:rsid w:val="2942DF66"/>
    <w:rsid w:val="2943AFAE"/>
    <w:rsid w:val="2947EC6D"/>
    <w:rsid w:val="29517059"/>
    <w:rsid w:val="29696D73"/>
    <w:rsid w:val="297ACB88"/>
    <w:rsid w:val="29850BAE"/>
    <w:rsid w:val="29A25A69"/>
    <w:rsid w:val="29A9F69D"/>
    <w:rsid w:val="29BB96BA"/>
    <w:rsid w:val="29C502E3"/>
    <w:rsid w:val="29D4AC53"/>
    <w:rsid w:val="29DA9720"/>
    <w:rsid w:val="29DEC7ED"/>
    <w:rsid w:val="29E1E0A5"/>
    <w:rsid w:val="29E43697"/>
    <w:rsid w:val="29EF759A"/>
    <w:rsid w:val="29FC45BA"/>
    <w:rsid w:val="2A01C2CB"/>
    <w:rsid w:val="2A040621"/>
    <w:rsid w:val="2A048837"/>
    <w:rsid w:val="2A11D045"/>
    <w:rsid w:val="2A1689A3"/>
    <w:rsid w:val="2A219678"/>
    <w:rsid w:val="2A23E74F"/>
    <w:rsid w:val="2A302432"/>
    <w:rsid w:val="2A3337B2"/>
    <w:rsid w:val="2A34D103"/>
    <w:rsid w:val="2A371F09"/>
    <w:rsid w:val="2A3BE232"/>
    <w:rsid w:val="2A3C1C77"/>
    <w:rsid w:val="2A42081A"/>
    <w:rsid w:val="2A46AE59"/>
    <w:rsid w:val="2A4F8294"/>
    <w:rsid w:val="2A523048"/>
    <w:rsid w:val="2A6E0664"/>
    <w:rsid w:val="2A76891C"/>
    <w:rsid w:val="2A7C8967"/>
    <w:rsid w:val="2A873E23"/>
    <w:rsid w:val="2A936AF9"/>
    <w:rsid w:val="2AA2A93B"/>
    <w:rsid w:val="2AA64C52"/>
    <w:rsid w:val="2AC20A75"/>
    <w:rsid w:val="2ACAD2DB"/>
    <w:rsid w:val="2ACB0DE1"/>
    <w:rsid w:val="2ACCFDE8"/>
    <w:rsid w:val="2AD2B81D"/>
    <w:rsid w:val="2AE42FF3"/>
    <w:rsid w:val="2AE62AF2"/>
    <w:rsid w:val="2AE9C232"/>
    <w:rsid w:val="2AF7F50A"/>
    <w:rsid w:val="2AF81414"/>
    <w:rsid w:val="2AFC0EB6"/>
    <w:rsid w:val="2AFF50EF"/>
    <w:rsid w:val="2B03E054"/>
    <w:rsid w:val="2B0698A5"/>
    <w:rsid w:val="2B10511C"/>
    <w:rsid w:val="2B1F24B5"/>
    <w:rsid w:val="2B232C31"/>
    <w:rsid w:val="2B322BCA"/>
    <w:rsid w:val="2B4CA663"/>
    <w:rsid w:val="2B5012DA"/>
    <w:rsid w:val="2B52694F"/>
    <w:rsid w:val="2B54FB73"/>
    <w:rsid w:val="2B6E95A0"/>
    <w:rsid w:val="2B769AAE"/>
    <w:rsid w:val="2B7ACD6C"/>
    <w:rsid w:val="2B7C5499"/>
    <w:rsid w:val="2B8BF50E"/>
    <w:rsid w:val="2B943B44"/>
    <w:rsid w:val="2BA306AB"/>
    <w:rsid w:val="2BA927F5"/>
    <w:rsid w:val="2BAE4AF6"/>
    <w:rsid w:val="2BBB40B0"/>
    <w:rsid w:val="2BC8CE26"/>
    <w:rsid w:val="2BD4E508"/>
    <w:rsid w:val="2BDD80B8"/>
    <w:rsid w:val="2BECBB64"/>
    <w:rsid w:val="2C064A27"/>
    <w:rsid w:val="2C1725B8"/>
    <w:rsid w:val="2C207039"/>
    <w:rsid w:val="2C2CCB23"/>
    <w:rsid w:val="2C2E5235"/>
    <w:rsid w:val="2C37EDB1"/>
    <w:rsid w:val="2C5A0CEB"/>
    <w:rsid w:val="2C693465"/>
    <w:rsid w:val="2C7247ED"/>
    <w:rsid w:val="2C72A5CC"/>
    <w:rsid w:val="2C7D328B"/>
    <w:rsid w:val="2C818A86"/>
    <w:rsid w:val="2C8B7159"/>
    <w:rsid w:val="2C9013EE"/>
    <w:rsid w:val="2C911103"/>
    <w:rsid w:val="2C99FAD5"/>
    <w:rsid w:val="2CA481D3"/>
    <w:rsid w:val="2CAE0773"/>
    <w:rsid w:val="2CBAF657"/>
    <w:rsid w:val="2CBAFE2B"/>
    <w:rsid w:val="2CD922F3"/>
    <w:rsid w:val="2CDE073B"/>
    <w:rsid w:val="2CF028F8"/>
    <w:rsid w:val="2CF5C224"/>
    <w:rsid w:val="2D050D17"/>
    <w:rsid w:val="2D0717FA"/>
    <w:rsid w:val="2D0AE0F0"/>
    <w:rsid w:val="2D15D139"/>
    <w:rsid w:val="2D21B4C1"/>
    <w:rsid w:val="2D3195F7"/>
    <w:rsid w:val="2D359E16"/>
    <w:rsid w:val="2D386A85"/>
    <w:rsid w:val="2D49D8DD"/>
    <w:rsid w:val="2D49E1B6"/>
    <w:rsid w:val="2D4FA383"/>
    <w:rsid w:val="2D5B8A42"/>
    <w:rsid w:val="2D74DD6E"/>
    <w:rsid w:val="2D761C0C"/>
    <w:rsid w:val="2D7E4049"/>
    <w:rsid w:val="2D8D9A01"/>
    <w:rsid w:val="2D97FB14"/>
    <w:rsid w:val="2D9DB89B"/>
    <w:rsid w:val="2DA26FEE"/>
    <w:rsid w:val="2DC68FFF"/>
    <w:rsid w:val="2DCAC513"/>
    <w:rsid w:val="2DD012AD"/>
    <w:rsid w:val="2DE83FAF"/>
    <w:rsid w:val="2DEB4072"/>
    <w:rsid w:val="2DED4968"/>
    <w:rsid w:val="2DF2E095"/>
    <w:rsid w:val="2DF71F92"/>
    <w:rsid w:val="2DFD790C"/>
    <w:rsid w:val="2E027ACC"/>
    <w:rsid w:val="2E0C0ECB"/>
    <w:rsid w:val="2E243FF2"/>
    <w:rsid w:val="2E2EDF16"/>
    <w:rsid w:val="2E3DEA65"/>
    <w:rsid w:val="2E4DCF8D"/>
    <w:rsid w:val="2E4EB2A4"/>
    <w:rsid w:val="2E4F5715"/>
    <w:rsid w:val="2E525E4E"/>
    <w:rsid w:val="2E57E3B8"/>
    <w:rsid w:val="2E63A49A"/>
    <w:rsid w:val="2E64B1E2"/>
    <w:rsid w:val="2E67FFBE"/>
    <w:rsid w:val="2E70507B"/>
    <w:rsid w:val="2E7A92D8"/>
    <w:rsid w:val="2E7B76FA"/>
    <w:rsid w:val="2E7F726E"/>
    <w:rsid w:val="2E89C60E"/>
    <w:rsid w:val="2E94E15C"/>
    <w:rsid w:val="2E997870"/>
    <w:rsid w:val="2E9F9B48"/>
    <w:rsid w:val="2EA79E5B"/>
    <w:rsid w:val="2EACA630"/>
    <w:rsid w:val="2EB2DC7A"/>
    <w:rsid w:val="2EB39BE7"/>
    <w:rsid w:val="2EB4BD6D"/>
    <w:rsid w:val="2EB4BEB6"/>
    <w:rsid w:val="2EC0349C"/>
    <w:rsid w:val="2ECE7947"/>
    <w:rsid w:val="2ED5C495"/>
    <w:rsid w:val="2ED5DC0E"/>
    <w:rsid w:val="2EE2FA84"/>
    <w:rsid w:val="2EE7B9DF"/>
    <w:rsid w:val="2EFBC65E"/>
    <w:rsid w:val="2F016F0F"/>
    <w:rsid w:val="2F048D8C"/>
    <w:rsid w:val="2F0CAF9F"/>
    <w:rsid w:val="2F0E8E78"/>
    <w:rsid w:val="2F0FC324"/>
    <w:rsid w:val="2F2A3D2C"/>
    <w:rsid w:val="2F35C5F4"/>
    <w:rsid w:val="2F3FE5E1"/>
    <w:rsid w:val="2F448212"/>
    <w:rsid w:val="2F489635"/>
    <w:rsid w:val="2F5521AD"/>
    <w:rsid w:val="2F6F7818"/>
    <w:rsid w:val="2F72A5F7"/>
    <w:rsid w:val="2F784824"/>
    <w:rsid w:val="2F7B8A4E"/>
    <w:rsid w:val="2F7C8AA3"/>
    <w:rsid w:val="2F86DD9E"/>
    <w:rsid w:val="2F9CDA03"/>
    <w:rsid w:val="2F9E67B9"/>
    <w:rsid w:val="2F9E9BAA"/>
    <w:rsid w:val="2FA7312E"/>
    <w:rsid w:val="2FA892C9"/>
    <w:rsid w:val="2FAB4802"/>
    <w:rsid w:val="2FB1B8B3"/>
    <w:rsid w:val="2FB7DE6F"/>
    <w:rsid w:val="2FBAE8E3"/>
    <w:rsid w:val="2FBCA7A4"/>
    <w:rsid w:val="2FC10789"/>
    <w:rsid w:val="2FC694CC"/>
    <w:rsid w:val="2FC96896"/>
    <w:rsid w:val="2FCC74B5"/>
    <w:rsid w:val="2FD1F320"/>
    <w:rsid w:val="2FD68232"/>
    <w:rsid w:val="30054BE4"/>
    <w:rsid w:val="3031E752"/>
    <w:rsid w:val="303588F3"/>
    <w:rsid w:val="3036388A"/>
    <w:rsid w:val="30364322"/>
    <w:rsid w:val="303832D6"/>
    <w:rsid w:val="303A3499"/>
    <w:rsid w:val="30411B63"/>
    <w:rsid w:val="3041FC0E"/>
    <w:rsid w:val="30431926"/>
    <w:rsid w:val="304496C7"/>
    <w:rsid w:val="304BF3E1"/>
    <w:rsid w:val="30558C50"/>
    <w:rsid w:val="3055A651"/>
    <w:rsid w:val="30628E4D"/>
    <w:rsid w:val="306F7158"/>
    <w:rsid w:val="3070375D"/>
    <w:rsid w:val="307B018E"/>
    <w:rsid w:val="3086E984"/>
    <w:rsid w:val="3097D9E7"/>
    <w:rsid w:val="30C17796"/>
    <w:rsid w:val="30C26F04"/>
    <w:rsid w:val="30CC1780"/>
    <w:rsid w:val="30CDB4C7"/>
    <w:rsid w:val="30CF08EF"/>
    <w:rsid w:val="30DF1660"/>
    <w:rsid w:val="30E710FB"/>
    <w:rsid w:val="30ECCB41"/>
    <w:rsid w:val="30EEB1A0"/>
    <w:rsid w:val="30F2DFFA"/>
    <w:rsid w:val="30F320CD"/>
    <w:rsid w:val="30F8674D"/>
    <w:rsid w:val="31095CB5"/>
    <w:rsid w:val="31164538"/>
    <w:rsid w:val="31342AA8"/>
    <w:rsid w:val="31383EF4"/>
    <w:rsid w:val="3142CF4B"/>
    <w:rsid w:val="314D29BB"/>
    <w:rsid w:val="314E9804"/>
    <w:rsid w:val="3159DE32"/>
    <w:rsid w:val="3161855E"/>
    <w:rsid w:val="3162B110"/>
    <w:rsid w:val="3165A386"/>
    <w:rsid w:val="316F0865"/>
    <w:rsid w:val="31734991"/>
    <w:rsid w:val="3180E1B8"/>
    <w:rsid w:val="318A5361"/>
    <w:rsid w:val="319FA8BE"/>
    <w:rsid w:val="31A9D65C"/>
    <w:rsid w:val="31AA3001"/>
    <w:rsid w:val="31DDD255"/>
    <w:rsid w:val="31E07AC0"/>
    <w:rsid w:val="31E1141F"/>
    <w:rsid w:val="31E4DC3F"/>
    <w:rsid w:val="31F7EDC8"/>
    <w:rsid w:val="320DA7B6"/>
    <w:rsid w:val="3210262C"/>
    <w:rsid w:val="321DE8FB"/>
    <w:rsid w:val="322178EA"/>
    <w:rsid w:val="322EBDA2"/>
    <w:rsid w:val="32340BA4"/>
    <w:rsid w:val="3241B01D"/>
    <w:rsid w:val="3250143E"/>
    <w:rsid w:val="3250B917"/>
    <w:rsid w:val="32561E27"/>
    <w:rsid w:val="325B5536"/>
    <w:rsid w:val="325E9EAC"/>
    <w:rsid w:val="32657455"/>
    <w:rsid w:val="3265F9CD"/>
    <w:rsid w:val="326F8A32"/>
    <w:rsid w:val="3272EF4C"/>
    <w:rsid w:val="32797C07"/>
    <w:rsid w:val="32975C44"/>
    <w:rsid w:val="329B6D90"/>
    <w:rsid w:val="32A0B992"/>
    <w:rsid w:val="32A6F0DF"/>
    <w:rsid w:val="32A893D7"/>
    <w:rsid w:val="32B9E76A"/>
    <w:rsid w:val="32E5207D"/>
    <w:rsid w:val="32E7ADF5"/>
    <w:rsid w:val="32E7B3B1"/>
    <w:rsid w:val="32F7CE87"/>
    <w:rsid w:val="3317A571"/>
    <w:rsid w:val="33212F05"/>
    <w:rsid w:val="33312061"/>
    <w:rsid w:val="33390039"/>
    <w:rsid w:val="333C7720"/>
    <w:rsid w:val="334BC1C3"/>
    <w:rsid w:val="334D6FAF"/>
    <w:rsid w:val="335495A5"/>
    <w:rsid w:val="335F854D"/>
    <w:rsid w:val="337DA877"/>
    <w:rsid w:val="3383C28C"/>
    <w:rsid w:val="3385D2E6"/>
    <w:rsid w:val="3388BCC1"/>
    <w:rsid w:val="338E8505"/>
    <w:rsid w:val="3393B74A"/>
    <w:rsid w:val="33A720D4"/>
    <w:rsid w:val="33B10F87"/>
    <w:rsid w:val="33B53031"/>
    <w:rsid w:val="33C83505"/>
    <w:rsid w:val="33CC39B7"/>
    <w:rsid w:val="33D1232A"/>
    <w:rsid w:val="33D4B909"/>
    <w:rsid w:val="33D52560"/>
    <w:rsid w:val="33D70AC9"/>
    <w:rsid w:val="33D8C742"/>
    <w:rsid w:val="33DB2C36"/>
    <w:rsid w:val="33DB7CCB"/>
    <w:rsid w:val="33E292B0"/>
    <w:rsid w:val="33E5E2B4"/>
    <w:rsid w:val="33FF55AB"/>
    <w:rsid w:val="34026EAC"/>
    <w:rsid w:val="3405EAB6"/>
    <w:rsid w:val="3409DA3E"/>
    <w:rsid w:val="341115EC"/>
    <w:rsid w:val="34145B8D"/>
    <w:rsid w:val="341935EF"/>
    <w:rsid w:val="3419C60A"/>
    <w:rsid w:val="342168EE"/>
    <w:rsid w:val="34266DD1"/>
    <w:rsid w:val="342976B0"/>
    <w:rsid w:val="343F0C30"/>
    <w:rsid w:val="3449773F"/>
    <w:rsid w:val="344A386E"/>
    <w:rsid w:val="3458DF04"/>
    <w:rsid w:val="345FDD18"/>
    <w:rsid w:val="346A6C87"/>
    <w:rsid w:val="346EA015"/>
    <w:rsid w:val="3470F60A"/>
    <w:rsid w:val="34711D27"/>
    <w:rsid w:val="347D49F3"/>
    <w:rsid w:val="347F9202"/>
    <w:rsid w:val="3481370B"/>
    <w:rsid w:val="348590C7"/>
    <w:rsid w:val="34887544"/>
    <w:rsid w:val="348C267F"/>
    <w:rsid w:val="34A6653F"/>
    <w:rsid w:val="34A6BAD1"/>
    <w:rsid w:val="34A6C9A5"/>
    <w:rsid w:val="34A7A7D7"/>
    <w:rsid w:val="34AA8EF3"/>
    <w:rsid w:val="34AFBF29"/>
    <w:rsid w:val="34BA9275"/>
    <w:rsid w:val="34BC8CCE"/>
    <w:rsid w:val="34C99666"/>
    <w:rsid w:val="34E47EAA"/>
    <w:rsid w:val="34E4B55C"/>
    <w:rsid w:val="34F41B84"/>
    <w:rsid w:val="34F52A51"/>
    <w:rsid w:val="34F70465"/>
    <w:rsid w:val="34F8AD0C"/>
    <w:rsid w:val="34FCDF0A"/>
    <w:rsid w:val="3500ABB7"/>
    <w:rsid w:val="350422E0"/>
    <w:rsid w:val="3508FEA2"/>
    <w:rsid w:val="35141B56"/>
    <w:rsid w:val="35166C70"/>
    <w:rsid w:val="351775DB"/>
    <w:rsid w:val="3518B53F"/>
    <w:rsid w:val="3554A262"/>
    <w:rsid w:val="3554F3B4"/>
    <w:rsid w:val="35560110"/>
    <w:rsid w:val="35829763"/>
    <w:rsid w:val="35965FB8"/>
    <w:rsid w:val="35A18435"/>
    <w:rsid w:val="35A4895A"/>
    <w:rsid w:val="35A4C729"/>
    <w:rsid w:val="35A5411B"/>
    <w:rsid w:val="35AB28C5"/>
    <w:rsid w:val="35AB3108"/>
    <w:rsid w:val="35C37B97"/>
    <w:rsid w:val="35D5E0E0"/>
    <w:rsid w:val="35D7EDA5"/>
    <w:rsid w:val="35DB2924"/>
    <w:rsid w:val="35DE39E7"/>
    <w:rsid w:val="35F736BB"/>
    <w:rsid w:val="3607A0B7"/>
    <w:rsid w:val="3607FD5E"/>
    <w:rsid w:val="360A8F36"/>
    <w:rsid w:val="3615A4DC"/>
    <w:rsid w:val="3620249D"/>
    <w:rsid w:val="3626319D"/>
    <w:rsid w:val="3628616B"/>
    <w:rsid w:val="3645A419"/>
    <w:rsid w:val="364E523D"/>
    <w:rsid w:val="366F5B1B"/>
    <w:rsid w:val="36714C2A"/>
    <w:rsid w:val="3671DE90"/>
    <w:rsid w:val="367661DF"/>
    <w:rsid w:val="367A1023"/>
    <w:rsid w:val="367AA61A"/>
    <w:rsid w:val="36802318"/>
    <w:rsid w:val="36806F85"/>
    <w:rsid w:val="368749C2"/>
    <w:rsid w:val="36877BB1"/>
    <w:rsid w:val="368A9B99"/>
    <w:rsid w:val="368CE961"/>
    <w:rsid w:val="368F7E0B"/>
    <w:rsid w:val="3692C27E"/>
    <w:rsid w:val="369F2242"/>
    <w:rsid w:val="36A4184D"/>
    <w:rsid w:val="36C357FF"/>
    <w:rsid w:val="36E8245C"/>
    <w:rsid w:val="36E9A05F"/>
    <w:rsid w:val="36EAD5A4"/>
    <w:rsid w:val="36F6DF9C"/>
    <w:rsid w:val="371233A0"/>
    <w:rsid w:val="3739114E"/>
    <w:rsid w:val="37441ED1"/>
    <w:rsid w:val="37470169"/>
    <w:rsid w:val="374AD266"/>
    <w:rsid w:val="3753B206"/>
    <w:rsid w:val="375CD576"/>
    <w:rsid w:val="376F6938"/>
    <w:rsid w:val="377D12DC"/>
    <w:rsid w:val="378ECC35"/>
    <w:rsid w:val="37910D3F"/>
    <w:rsid w:val="3792EA03"/>
    <w:rsid w:val="37A12D73"/>
    <w:rsid w:val="37A3CCE8"/>
    <w:rsid w:val="37BF8F66"/>
    <w:rsid w:val="37C2E314"/>
    <w:rsid w:val="37C72318"/>
    <w:rsid w:val="37C7E11E"/>
    <w:rsid w:val="37D8FF15"/>
    <w:rsid w:val="37DB1B5E"/>
    <w:rsid w:val="37DC8AF7"/>
    <w:rsid w:val="37E1A2DC"/>
    <w:rsid w:val="37F14ED5"/>
    <w:rsid w:val="37F94C1F"/>
    <w:rsid w:val="37FC3376"/>
    <w:rsid w:val="38059543"/>
    <w:rsid w:val="3807B346"/>
    <w:rsid w:val="380997E5"/>
    <w:rsid w:val="381D82D9"/>
    <w:rsid w:val="382200D5"/>
    <w:rsid w:val="382974D0"/>
    <w:rsid w:val="384BA2B1"/>
    <w:rsid w:val="385445CD"/>
    <w:rsid w:val="3875E56D"/>
    <w:rsid w:val="387898E4"/>
    <w:rsid w:val="38A499EB"/>
    <w:rsid w:val="38AB1F26"/>
    <w:rsid w:val="38B2E801"/>
    <w:rsid w:val="38B4CEF6"/>
    <w:rsid w:val="38C345E1"/>
    <w:rsid w:val="38CDC021"/>
    <w:rsid w:val="38D1B076"/>
    <w:rsid w:val="38EF2B67"/>
    <w:rsid w:val="38F274A3"/>
    <w:rsid w:val="38F9E6F8"/>
    <w:rsid w:val="38FE84E5"/>
    <w:rsid w:val="3910428F"/>
    <w:rsid w:val="39121F92"/>
    <w:rsid w:val="3915C27A"/>
    <w:rsid w:val="391A42A0"/>
    <w:rsid w:val="391D43F3"/>
    <w:rsid w:val="39232270"/>
    <w:rsid w:val="39264B07"/>
    <w:rsid w:val="3926A017"/>
    <w:rsid w:val="3929EB9D"/>
    <w:rsid w:val="393EF5DE"/>
    <w:rsid w:val="39486372"/>
    <w:rsid w:val="394F3D0E"/>
    <w:rsid w:val="39511F52"/>
    <w:rsid w:val="395353D8"/>
    <w:rsid w:val="39597944"/>
    <w:rsid w:val="395E8AE2"/>
    <w:rsid w:val="3962E138"/>
    <w:rsid w:val="396A305F"/>
    <w:rsid w:val="397D19B3"/>
    <w:rsid w:val="39A3DD44"/>
    <w:rsid w:val="39A43B26"/>
    <w:rsid w:val="39A7A496"/>
    <w:rsid w:val="39A86CA7"/>
    <w:rsid w:val="39B2AEF5"/>
    <w:rsid w:val="39BD0328"/>
    <w:rsid w:val="39BE1937"/>
    <w:rsid w:val="39C046A4"/>
    <w:rsid w:val="39C0C8C9"/>
    <w:rsid w:val="39C4C31E"/>
    <w:rsid w:val="39C6C794"/>
    <w:rsid w:val="39CAFAEE"/>
    <w:rsid w:val="39CB8EC3"/>
    <w:rsid w:val="39CEDAD1"/>
    <w:rsid w:val="39E8479B"/>
    <w:rsid w:val="39ED1A8A"/>
    <w:rsid w:val="39FAEE1F"/>
    <w:rsid w:val="39FF91A3"/>
    <w:rsid w:val="3A222CD0"/>
    <w:rsid w:val="3A22930C"/>
    <w:rsid w:val="3A2630B5"/>
    <w:rsid w:val="3A307685"/>
    <w:rsid w:val="3A3084C8"/>
    <w:rsid w:val="3A43C9D7"/>
    <w:rsid w:val="3A4BF0EC"/>
    <w:rsid w:val="3A5610C0"/>
    <w:rsid w:val="3A572A67"/>
    <w:rsid w:val="3A574E4A"/>
    <w:rsid w:val="3A5A4A61"/>
    <w:rsid w:val="3A653CDA"/>
    <w:rsid w:val="3A72938F"/>
    <w:rsid w:val="3AB35CE1"/>
    <w:rsid w:val="3AC8DF99"/>
    <w:rsid w:val="3AC916DD"/>
    <w:rsid w:val="3AD99272"/>
    <w:rsid w:val="3ADAC658"/>
    <w:rsid w:val="3AE54A60"/>
    <w:rsid w:val="3AEE7766"/>
    <w:rsid w:val="3AFFBB35"/>
    <w:rsid w:val="3B00E5CD"/>
    <w:rsid w:val="3B11092C"/>
    <w:rsid w:val="3B1DBAF9"/>
    <w:rsid w:val="3B215AAC"/>
    <w:rsid w:val="3B21F3EF"/>
    <w:rsid w:val="3B2ECE22"/>
    <w:rsid w:val="3B3D7F71"/>
    <w:rsid w:val="3B439C65"/>
    <w:rsid w:val="3B477AA8"/>
    <w:rsid w:val="3B56534B"/>
    <w:rsid w:val="3B58FCB2"/>
    <w:rsid w:val="3B598E8D"/>
    <w:rsid w:val="3B5EA838"/>
    <w:rsid w:val="3B61F4E8"/>
    <w:rsid w:val="3B771E35"/>
    <w:rsid w:val="3B791F89"/>
    <w:rsid w:val="3B94D867"/>
    <w:rsid w:val="3B957F14"/>
    <w:rsid w:val="3BB02517"/>
    <w:rsid w:val="3BB16925"/>
    <w:rsid w:val="3BBFA23F"/>
    <w:rsid w:val="3BC1EF42"/>
    <w:rsid w:val="3BD6A68C"/>
    <w:rsid w:val="3BFB3736"/>
    <w:rsid w:val="3BFC1CBE"/>
    <w:rsid w:val="3BFD8EA6"/>
    <w:rsid w:val="3C0033F7"/>
    <w:rsid w:val="3C0A29A9"/>
    <w:rsid w:val="3C0CAB91"/>
    <w:rsid w:val="3C0D7212"/>
    <w:rsid w:val="3C10C3EB"/>
    <w:rsid w:val="3C177770"/>
    <w:rsid w:val="3C2012F7"/>
    <w:rsid w:val="3C319CC7"/>
    <w:rsid w:val="3C3550D5"/>
    <w:rsid w:val="3C44CFE0"/>
    <w:rsid w:val="3C4CC17F"/>
    <w:rsid w:val="3C4CC59C"/>
    <w:rsid w:val="3C4E24BC"/>
    <w:rsid w:val="3C4EEBA6"/>
    <w:rsid w:val="3C55967C"/>
    <w:rsid w:val="3C59309A"/>
    <w:rsid w:val="3C63A6E0"/>
    <w:rsid w:val="3C64B471"/>
    <w:rsid w:val="3C64D7BF"/>
    <w:rsid w:val="3C699BCE"/>
    <w:rsid w:val="3C7D092F"/>
    <w:rsid w:val="3C95F9F6"/>
    <w:rsid w:val="3C97EF8A"/>
    <w:rsid w:val="3CA1DBCA"/>
    <w:rsid w:val="3CAA9F56"/>
    <w:rsid w:val="3CACE0E9"/>
    <w:rsid w:val="3CAF49E5"/>
    <w:rsid w:val="3CB5DF24"/>
    <w:rsid w:val="3CD7D531"/>
    <w:rsid w:val="3CEF74BF"/>
    <w:rsid w:val="3CF1FC62"/>
    <w:rsid w:val="3CF3487E"/>
    <w:rsid w:val="3CFA4C8E"/>
    <w:rsid w:val="3D20B207"/>
    <w:rsid w:val="3D397617"/>
    <w:rsid w:val="3D4032B4"/>
    <w:rsid w:val="3D43D083"/>
    <w:rsid w:val="3D554C45"/>
    <w:rsid w:val="3D5DBE88"/>
    <w:rsid w:val="3D60A575"/>
    <w:rsid w:val="3D7C2D3D"/>
    <w:rsid w:val="3D7DC8D3"/>
    <w:rsid w:val="3D9414C1"/>
    <w:rsid w:val="3D98B9B0"/>
    <w:rsid w:val="3DB0E6F4"/>
    <w:rsid w:val="3DB1A82D"/>
    <w:rsid w:val="3DB973CF"/>
    <w:rsid w:val="3DC25F3E"/>
    <w:rsid w:val="3DE4E9C2"/>
    <w:rsid w:val="3DE5CA73"/>
    <w:rsid w:val="3DEF17C9"/>
    <w:rsid w:val="3DFD6D82"/>
    <w:rsid w:val="3E0B714D"/>
    <w:rsid w:val="3E19596C"/>
    <w:rsid w:val="3E1AAD2E"/>
    <w:rsid w:val="3E1F097A"/>
    <w:rsid w:val="3E2CC3EB"/>
    <w:rsid w:val="3E2F82A2"/>
    <w:rsid w:val="3E327296"/>
    <w:rsid w:val="3E345729"/>
    <w:rsid w:val="3E38D3B3"/>
    <w:rsid w:val="3E39FCB2"/>
    <w:rsid w:val="3E3F9426"/>
    <w:rsid w:val="3E463C9E"/>
    <w:rsid w:val="3E4DB93F"/>
    <w:rsid w:val="3E5156B6"/>
    <w:rsid w:val="3E56383C"/>
    <w:rsid w:val="3E590545"/>
    <w:rsid w:val="3E61D20E"/>
    <w:rsid w:val="3E68E718"/>
    <w:rsid w:val="3E8214E0"/>
    <w:rsid w:val="3E8BE06C"/>
    <w:rsid w:val="3E9316D3"/>
    <w:rsid w:val="3E9BE228"/>
    <w:rsid w:val="3EA2A54C"/>
    <w:rsid w:val="3EA93611"/>
    <w:rsid w:val="3EAC4B75"/>
    <w:rsid w:val="3EAD06CF"/>
    <w:rsid w:val="3EB0EB18"/>
    <w:rsid w:val="3EB46B43"/>
    <w:rsid w:val="3EBE462B"/>
    <w:rsid w:val="3EBE5769"/>
    <w:rsid w:val="3ECD856C"/>
    <w:rsid w:val="3ED1A55F"/>
    <w:rsid w:val="3ED6851C"/>
    <w:rsid w:val="3EDB06B8"/>
    <w:rsid w:val="3EDC3424"/>
    <w:rsid w:val="3EE50D58"/>
    <w:rsid w:val="3EEB0804"/>
    <w:rsid w:val="3EF0E491"/>
    <w:rsid w:val="3EF6E767"/>
    <w:rsid w:val="3EFB2107"/>
    <w:rsid w:val="3F053190"/>
    <w:rsid w:val="3F16EAC8"/>
    <w:rsid w:val="3F323570"/>
    <w:rsid w:val="3F37A8DA"/>
    <w:rsid w:val="3F3FEA17"/>
    <w:rsid w:val="3F4238E6"/>
    <w:rsid w:val="3F435796"/>
    <w:rsid w:val="3F485D47"/>
    <w:rsid w:val="3F4983E7"/>
    <w:rsid w:val="3F5331C2"/>
    <w:rsid w:val="3F53EC74"/>
    <w:rsid w:val="3F79911D"/>
    <w:rsid w:val="3F96AA7C"/>
    <w:rsid w:val="3FAAE3C4"/>
    <w:rsid w:val="3FAC832F"/>
    <w:rsid w:val="3FACBFE5"/>
    <w:rsid w:val="3FAEC757"/>
    <w:rsid w:val="3FBADEF4"/>
    <w:rsid w:val="3FBB001B"/>
    <w:rsid w:val="3FBD80E0"/>
    <w:rsid w:val="3FC8775C"/>
    <w:rsid w:val="3FC88D0E"/>
    <w:rsid w:val="3FCD8E31"/>
    <w:rsid w:val="3FE2E8C9"/>
    <w:rsid w:val="3FF36807"/>
    <w:rsid w:val="3FF4C361"/>
    <w:rsid w:val="400241D1"/>
    <w:rsid w:val="4003B009"/>
    <w:rsid w:val="4033DEE0"/>
    <w:rsid w:val="404B0884"/>
    <w:rsid w:val="404D3B8A"/>
    <w:rsid w:val="404E518C"/>
    <w:rsid w:val="4062CE22"/>
    <w:rsid w:val="40724B32"/>
    <w:rsid w:val="407E024A"/>
    <w:rsid w:val="40801FD4"/>
    <w:rsid w:val="4085710B"/>
    <w:rsid w:val="408C62AE"/>
    <w:rsid w:val="409C0CC5"/>
    <w:rsid w:val="40B9F375"/>
    <w:rsid w:val="40C0B683"/>
    <w:rsid w:val="40D23C77"/>
    <w:rsid w:val="40D8F179"/>
    <w:rsid w:val="40E63379"/>
    <w:rsid w:val="40E6537E"/>
    <w:rsid w:val="40E80DC3"/>
    <w:rsid w:val="40EB4A41"/>
    <w:rsid w:val="40EC7C3A"/>
    <w:rsid w:val="40F743DA"/>
    <w:rsid w:val="40FD03A1"/>
    <w:rsid w:val="4103A7B4"/>
    <w:rsid w:val="410C8138"/>
    <w:rsid w:val="4132FD87"/>
    <w:rsid w:val="4138A7DE"/>
    <w:rsid w:val="4139BE3C"/>
    <w:rsid w:val="413C8F6C"/>
    <w:rsid w:val="41440FC3"/>
    <w:rsid w:val="418AFDFA"/>
    <w:rsid w:val="41A33D93"/>
    <w:rsid w:val="41A76740"/>
    <w:rsid w:val="41ACC53C"/>
    <w:rsid w:val="41BCCBBC"/>
    <w:rsid w:val="41E0D37E"/>
    <w:rsid w:val="41E3ECA9"/>
    <w:rsid w:val="41E43FBA"/>
    <w:rsid w:val="41E71CE9"/>
    <w:rsid w:val="41EA7B0F"/>
    <w:rsid w:val="41EFC5AC"/>
    <w:rsid w:val="4203046F"/>
    <w:rsid w:val="42080401"/>
    <w:rsid w:val="42099ABD"/>
    <w:rsid w:val="4214ED97"/>
    <w:rsid w:val="42150A58"/>
    <w:rsid w:val="4217E470"/>
    <w:rsid w:val="4223F7A1"/>
    <w:rsid w:val="4230BD51"/>
    <w:rsid w:val="42401AD8"/>
    <w:rsid w:val="4242CA6B"/>
    <w:rsid w:val="4244D12E"/>
    <w:rsid w:val="4255FDD9"/>
    <w:rsid w:val="42572662"/>
    <w:rsid w:val="4269FF3E"/>
    <w:rsid w:val="426E3853"/>
    <w:rsid w:val="4294DBBD"/>
    <w:rsid w:val="4297CC2E"/>
    <w:rsid w:val="42A35C34"/>
    <w:rsid w:val="42AEA31C"/>
    <w:rsid w:val="42BE7A56"/>
    <w:rsid w:val="42D132F9"/>
    <w:rsid w:val="42D2EDB4"/>
    <w:rsid w:val="42D800AF"/>
    <w:rsid w:val="42E15966"/>
    <w:rsid w:val="42E52CF5"/>
    <w:rsid w:val="42E8F6D6"/>
    <w:rsid w:val="42EC131D"/>
    <w:rsid w:val="42F07C12"/>
    <w:rsid w:val="42FCEE1C"/>
    <w:rsid w:val="43014794"/>
    <w:rsid w:val="430CEFB4"/>
    <w:rsid w:val="432090E9"/>
    <w:rsid w:val="4330C895"/>
    <w:rsid w:val="43488E6B"/>
    <w:rsid w:val="434B6B97"/>
    <w:rsid w:val="435122D5"/>
    <w:rsid w:val="436CBC7C"/>
    <w:rsid w:val="436F8023"/>
    <w:rsid w:val="4377A644"/>
    <w:rsid w:val="437CB8AC"/>
    <w:rsid w:val="437CF67F"/>
    <w:rsid w:val="4381F504"/>
    <w:rsid w:val="438B45B9"/>
    <w:rsid w:val="439987A4"/>
    <w:rsid w:val="43A78028"/>
    <w:rsid w:val="43B5B03A"/>
    <w:rsid w:val="43B7E42B"/>
    <w:rsid w:val="43CD9D9F"/>
    <w:rsid w:val="43CDF92C"/>
    <w:rsid w:val="43D9AAD5"/>
    <w:rsid w:val="43DF68DA"/>
    <w:rsid w:val="43DFA9AA"/>
    <w:rsid w:val="43E89877"/>
    <w:rsid w:val="43F27A9F"/>
    <w:rsid w:val="43FCF26C"/>
    <w:rsid w:val="440926D5"/>
    <w:rsid w:val="440C4359"/>
    <w:rsid w:val="4411F301"/>
    <w:rsid w:val="441AAA71"/>
    <w:rsid w:val="44264A6D"/>
    <w:rsid w:val="442CAC94"/>
    <w:rsid w:val="4442A016"/>
    <w:rsid w:val="4443908B"/>
    <w:rsid w:val="444660D6"/>
    <w:rsid w:val="4447D608"/>
    <w:rsid w:val="446AE4ED"/>
    <w:rsid w:val="4483F589"/>
    <w:rsid w:val="44862387"/>
    <w:rsid w:val="44A9D8C1"/>
    <w:rsid w:val="44BF4057"/>
    <w:rsid w:val="44C11AD2"/>
    <w:rsid w:val="44D8407E"/>
    <w:rsid w:val="44F0295D"/>
    <w:rsid w:val="44FE235C"/>
    <w:rsid w:val="44FE3488"/>
    <w:rsid w:val="450319B2"/>
    <w:rsid w:val="4506D743"/>
    <w:rsid w:val="45311FDF"/>
    <w:rsid w:val="4533E823"/>
    <w:rsid w:val="454532B8"/>
    <w:rsid w:val="454E79AA"/>
    <w:rsid w:val="454FEF27"/>
    <w:rsid w:val="455A6987"/>
    <w:rsid w:val="455B7214"/>
    <w:rsid w:val="45600A0E"/>
    <w:rsid w:val="4563CDC7"/>
    <w:rsid w:val="4566B248"/>
    <w:rsid w:val="456C0AA0"/>
    <w:rsid w:val="45716098"/>
    <w:rsid w:val="457BA0B5"/>
    <w:rsid w:val="457E6757"/>
    <w:rsid w:val="458C8179"/>
    <w:rsid w:val="458CE6A6"/>
    <w:rsid w:val="458DB70B"/>
    <w:rsid w:val="459AE362"/>
    <w:rsid w:val="45A7E11F"/>
    <w:rsid w:val="45A902BA"/>
    <w:rsid w:val="45A9F7C3"/>
    <w:rsid w:val="45B38D1B"/>
    <w:rsid w:val="45B42C8E"/>
    <w:rsid w:val="45BAC5AC"/>
    <w:rsid w:val="45C42938"/>
    <w:rsid w:val="45C7836A"/>
    <w:rsid w:val="45D9FC92"/>
    <w:rsid w:val="45DC6E26"/>
    <w:rsid w:val="45ED46B4"/>
    <w:rsid w:val="45F0DE3B"/>
    <w:rsid w:val="460A5798"/>
    <w:rsid w:val="460F58F4"/>
    <w:rsid w:val="462BB969"/>
    <w:rsid w:val="462DE5AF"/>
    <w:rsid w:val="463505DA"/>
    <w:rsid w:val="46389B80"/>
    <w:rsid w:val="4638A4EA"/>
    <w:rsid w:val="46394276"/>
    <w:rsid w:val="463C3B58"/>
    <w:rsid w:val="46412F76"/>
    <w:rsid w:val="464E29EA"/>
    <w:rsid w:val="4652897B"/>
    <w:rsid w:val="4657405E"/>
    <w:rsid w:val="465E9549"/>
    <w:rsid w:val="46634697"/>
    <w:rsid w:val="466937C1"/>
    <w:rsid w:val="46714082"/>
    <w:rsid w:val="467DE50D"/>
    <w:rsid w:val="46847291"/>
    <w:rsid w:val="469361AD"/>
    <w:rsid w:val="46A41DF6"/>
    <w:rsid w:val="46B4AB83"/>
    <w:rsid w:val="46BD6926"/>
    <w:rsid w:val="46C0DACC"/>
    <w:rsid w:val="46C2135B"/>
    <w:rsid w:val="46DA3F4C"/>
    <w:rsid w:val="46DC7C33"/>
    <w:rsid w:val="46DCACDF"/>
    <w:rsid w:val="46E155C5"/>
    <w:rsid w:val="46ED2176"/>
    <w:rsid w:val="46F54E3D"/>
    <w:rsid w:val="46F6FD6D"/>
    <w:rsid w:val="46F85542"/>
    <w:rsid w:val="47032AF8"/>
    <w:rsid w:val="47034527"/>
    <w:rsid w:val="4706D3DB"/>
    <w:rsid w:val="470E5347"/>
    <w:rsid w:val="47165F0C"/>
    <w:rsid w:val="471CFD9A"/>
    <w:rsid w:val="4723828D"/>
    <w:rsid w:val="472AC012"/>
    <w:rsid w:val="47445E17"/>
    <w:rsid w:val="474BA6BB"/>
    <w:rsid w:val="474F0027"/>
    <w:rsid w:val="47582A0A"/>
    <w:rsid w:val="475E9F6E"/>
    <w:rsid w:val="476758C0"/>
    <w:rsid w:val="476F7188"/>
    <w:rsid w:val="4770FB53"/>
    <w:rsid w:val="478E33B8"/>
    <w:rsid w:val="479CAE08"/>
    <w:rsid w:val="47A01B81"/>
    <w:rsid w:val="47A6F307"/>
    <w:rsid w:val="47B44930"/>
    <w:rsid w:val="47B8C522"/>
    <w:rsid w:val="47CDA4A5"/>
    <w:rsid w:val="47D94914"/>
    <w:rsid w:val="47E4B858"/>
    <w:rsid w:val="47F52BA0"/>
    <w:rsid w:val="47F792DB"/>
    <w:rsid w:val="48039780"/>
    <w:rsid w:val="4807DCBC"/>
    <w:rsid w:val="480B9EDA"/>
    <w:rsid w:val="480FAECF"/>
    <w:rsid w:val="48229B91"/>
    <w:rsid w:val="48234BC5"/>
    <w:rsid w:val="482A762C"/>
    <w:rsid w:val="48360B84"/>
    <w:rsid w:val="483B45EA"/>
    <w:rsid w:val="483EE564"/>
    <w:rsid w:val="4840049E"/>
    <w:rsid w:val="48458E7F"/>
    <w:rsid w:val="484E23C9"/>
    <w:rsid w:val="485238FC"/>
    <w:rsid w:val="48625205"/>
    <w:rsid w:val="486D6E6D"/>
    <w:rsid w:val="487272C7"/>
    <w:rsid w:val="48746219"/>
    <w:rsid w:val="4879A132"/>
    <w:rsid w:val="489323D5"/>
    <w:rsid w:val="4895F0F4"/>
    <w:rsid w:val="48986726"/>
    <w:rsid w:val="489EF128"/>
    <w:rsid w:val="48A0A003"/>
    <w:rsid w:val="48A5D17F"/>
    <w:rsid w:val="48AC427E"/>
    <w:rsid w:val="48AE97E8"/>
    <w:rsid w:val="48C2A017"/>
    <w:rsid w:val="48CC41BE"/>
    <w:rsid w:val="48CE5D1D"/>
    <w:rsid w:val="48D8595E"/>
    <w:rsid w:val="48DB8457"/>
    <w:rsid w:val="48E73062"/>
    <w:rsid w:val="48E99C57"/>
    <w:rsid w:val="48FB9824"/>
    <w:rsid w:val="490616AE"/>
    <w:rsid w:val="4908B51A"/>
    <w:rsid w:val="490EF850"/>
    <w:rsid w:val="4935A769"/>
    <w:rsid w:val="4937FC10"/>
    <w:rsid w:val="493C2A6A"/>
    <w:rsid w:val="493C7839"/>
    <w:rsid w:val="493FF605"/>
    <w:rsid w:val="494D570C"/>
    <w:rsid w:val="49506A37"/>
    <w:rsid w:val="496259C4"/>
    <w:rsid w:val="4973EEA2"/>
    <w:rsid w:val="49763775"/>
    <w:rsid w:val="4976FA08"/>
    <w:rsid w:val="497E8146"/>
    <w:rsid w:val="498250E0"/>
    <w:rsid w:val="49A51080"/>
    <w:rsid w:val="49A8CC4E"/>
    <w:rsid w:val="49AC4EB5"/>
    <w:rsid w:val="49AFC03C"/>
    <w:rsid w:val="49B83807"/>
    <w:rsid w:val="49B98803"/>
    <w:rsid w:val="49C681E2"/>
    <w:rsid w:val="49C81280"/>
    <w:rsid w:val="49C83D29"/>
    <w:rsid w:val="49C8C599"/>
    <w:rsid w:val="49E51C18"/>
    <w:rsid w:val="49EAED63"/>
    <w:rsid w:val="49FCCFC1"/>
    <w:rsid w:val="4A05327B"/>
    <w:rsid w:val="4A05D8A2"/>
    <w:rsid w:val="4A0927DA"/>
    <w:rsid w:val="4A0A8B22"/>
    <w:rsid w:val="4A1377A0"/>
    <w:rsid w:val="4A15028B"/>
    <w:rsid w:val="4A24A766"/>
    <w:rsid w:val="4A3519BC"/>
    <w:rsid w:val="4A36A351"/>
    <w:rsid w:val="4A47B98F"/>
    <w:rsid w:val="4A4C1EBE"/>
    <w:rsid w:val="4A5F2637"/>
    <w:rsid w:val="4A68EFA0"/>
    <w:rsid w:val="4A787517"/>
    <w:rsid w:val="4A8652F8"/>
    <w:rsid w:val="4A8A7B37"/>
    <w:rsid w:val="4A8CAEA5"/>
    <w:rsid w:val="4A96C414"/>
    <w:rsid w:val="4AA2E0E5"/>
    <w:rsid w:val="4AB06142"/>
    <w:rsid w:val="4AB63EEC"/>
    <w:rsid w:val="4AB837C2"/>
    <w:rsid w:val="4AB8914B"/>
    <w:rsid w:val="4AB93C07"/>
    <w:rsid w:val="4ABC01FB"/>
    <w:rsid w:val="4ABF0837"/>
    <w:rsid w:val="4AC3C988"/>
    <w:rsid w:val="4AC4F5BF"/>
    <w:rsid w:val="4AD1A6FA"/>
    <w:rsid w:val="4AD9A8AF"/>
    <w:rsid w:val="4ADAB9CC"/>
    <w:rsid w:val="4B06ECDF"/>
    <w:rsid w:val="4B07ABED"/>
    <w:rsid w:val="4B08CC94"/>
    <w:rsid w:val="4B09BA8C"/>
    <w:rsid w:val="4B1ABCAA"/>
    <w:rsid w:val="4B1ADBE5"/>
    <w:rsid w:val="4B29967F"/>
    <w:rsid w:val="4B45F0DC"/>
    <w:rsid w:val="4B4B73EC"/>
    <w:rsid w:val="4B4FD4A2"/>
    <w:rsid w:val="4B5D117E"/>
    <w:rsid w:val="4B68FCFF"/>
    <w:rsid w:val="4B6A4683"/>
    <w:rsid w:val="4B6C207D"/>
    <w:rsid w:val="4B8F44B0"/>
    <w:rsid w:val="4BA41861"/>
    <w:rsid w:val="4BD45EFE"/>
    <w:rsid w:val="4BD56F89"/>
    <w:rsid w:val="4BD887D3"/>
    <w:rsid w:val="4BE8FBF8"/>
    <w:rsid w:val="4BFACE30"/>
    <w:rsid w:val="4BFFD521"/>
    <w:rsid w:val="4C0D44C6"/>
    <w:rsid w:val="4C231F0B"/>
    <w:rsid w:val="4C3E17E2"/>
    <w:rsid w:val="4C45EE42"/>
    <w:rsid w:val="4C4A20C3"/>
    <w:rsid w:val="4C502820"/>
    <w:rsid w:val="4C808107"/>
    <w:rsid w:val="4C8862B4"/>
    <w:rsid w:val="4C8C50B0"/>
    <w:rsid w:val="4C92A6CE"/>
    <w:rsid w:val="4C9BC5F9"/>
    <w:rsid w:val="4C9C27D9"/>
    <w:rsid w:val="4CA28718"/>
    <w:rsid w:val="4CAA1066"/>
    <w:rsid w:val="4CDC9A21"/>
    <w:rsid w:val="4CDE48C9"/>
    <w:rsid w:val="4CE94D04"/>
    <w:rsid w:val="4CEC173C"/>
    <w:rsid w:val="4CF0026D"/>
    <w:rsid w:val="4CFDABDF"/>
    <w:rsid w:val="4D031E8E"/>
    <w:rsid w:val="4D0E6C3A"/>
    <w:rsid w:val="4D0EB815"/>
    <w:rsid w:val="4D12BE2B"/>
    <w:rsid w:val="4D2BADA9"/>
    <w:rsid w:val="4D2EAADF"/>
    <w:rsid w:val="4D33E6C9"/>
    <w:rsid w:val="4D42C970"/>
    <w:rsid w:val="4D4546C1"/>
    <w:rsid w:val="4D5DF25E"/>
    <w:rsid w:val="4D757C74"/>
    <w:rsid w:val="4D7B1411"/>
    <w:rsid w:val="4D8BB56A"/>
    <w:rsid w:val="4D8E0073"/>
    <w:rsid w:val="4DA3F460"/>
    <w:rsid w:val="4DB3188E"/>
    <w:rsid w:val="4DC5A547"/>
    <w:rsid w:val="4DC8BA8C"/>
    <w:rsid w:val="4DCA7BF5"/>
    <w:rsid w:val="4DCE79F3"/>
    <w:rsid w:val="4DD8142D"/>
    <w:rsid w:val="4DD87C95"/>
    <w:rsid w:val="4DE2812E"/>
    <w:rsid w:val="4DE8BDD3"/>
    <w:rsid w:val="4DE95616"/>
    <w:rsid w:val="4DEBC80E"/>
    <w:rsid w:val="4DF44713"/>
    <w:rsid w:val="4DF52FFE"/>
    <w:rsid w:val="4DF723FA"/>
    <w:rsid w:val="4E19FEDF"/>
    <w:rsid w:val="4E256BD4"/>
    <w:rsid w:val="4E2E4C3C"/>
    <w:rsid w:val="4E342BAB"/>
    <w:rsid w:val="4E37362E"/>
    <w:rsid w:val="4E3C8C03"/>
    <w:rsid w:val="4E3D423B"/>
    <w:rsid w:val="4E402CF1"/>
    <w:rsid w:val="4E4AF8A9"/>
    <w:rsid w:val="4E5391A8"/>
    <w:rsid w:val="4E612A69"/>
    <w:rsid w:val="4E618DFA"/>
    <w:rsid w:val="4E7D1FEF"/>
    <w:rsid w:val="4E82D5B6"/>
    <w:rsid w:val="4E877564"/>
    <w:rsid w:val="4E88CD3D"/>
    <w:rsid w:val="4E9B3BF3"/>
    <w:rsid w:val="4E9BE7E2"/>
    <w:rsid w:val="4E9CCAF6"/>
    <w:rsid w:val="4EACAF42"/>
    <w:rsid w:val="4ECD5916"/>
    <w:rsid w:val="4ED4B791"/>
    <w:rsid w:val="4EFBD574"/>
    <w:rsid w:val="4F08FABD"/>
    <w:rsid w:val="4F0C449F"/>
    <w:rsid w:val="4F216624"/>
    <w:rsid w:val="4F299434"/>
    <w:rsid w:val="4F2E9472"/>
    <w:rsid w:val="4F31BA3C"/>
    <w:rsid w:val="4F3910A5"/>
    <w:rsid w:val="4F4CA106"/>
    <w:rsid w:val="4F674A0F"/>
    <w:rsid w:val="4F676547"/>
    <w:rsid w:val="4F70254E"/>
    <w:rsid w:val="4F7C5C7D"/>
    <w:rsid w:val="4F7E0C0A"/>
    <w:rsid w:val="4F7FB57C"/>
    <w:rsid w:val="4F870084"/>
    <w:rsid w:val="4F8B1801"/>
    <w:rsid w:val="4F90C77F"/>
    <w:rsid w:val="4F9CBE29"/>
    <w:rsid w:val="4F9E55F6"/>
    <w:rsid w:val="4FA9E986"/>
    <w:rsid w:val="4FADE7D4"/>
    <w:rsid w:val="4FAF1C5D"/>
    <w:rsid w:val="4FB0292D"/>
    <w:rsid w:val="4FB800B9"/>
    <w:rsid w:val="4FBB9160"/>
    <w:rsid w:val="4FC179FA"/>
    <w:rsid w:val="4FC79894"/>
    <w:rsid w:val="4FD8D20A"/>
    <w:rsid w:val="4FEA6F27"/>
    <w:rsid w:val="4FEB8B13"/>
    <w:rsid w:val="4FF2AA55"/>
    <w:rsid w:val="4FF937B7"/>
    <w:rsid w:val="4FFD64D2"/>
    <w:rsid w:val="5026A37F"/>
    <w:rsid w:val="504167CB"/>
    <w:rsid w:val="50470CD1"/>
    <w:rsid w:val="504DF6A9"/>
    <w:rsid w:val="5064C7BA"/>
    <w:rsid w:val="5084ED0C"/>
    <w:rsid w:val="50884811"/>
    <w:rsid w:val="50942F73"/>
    <w:rsid w:val="509D0766"/>
    <w:rsid w:val="509FC39F"/>
    <w:rsid w:val="50A41908"/>
    <w:rsid w:val="50A93912"/>
    <w:rsid w:val="50B21D89"/>
    <w:rsid w:val="50BA9360"/>
    <w:rsid w:val="50C40577"/>
    <w:rsid w:val="50CA64D3"/>
    <w:rsid w:val="50E0C782"/>
    <w:rsid w:val="50F6C2FF"/>
    <w:rsid w:val="50F74AAE"/>
    <w:rsid w:val="50FE04E4"/>
    <w:rsid w:val="51072003"/>
    <w:rsid w:val="510E36E9"/>
    <w:rsid w:val="513128A4"/>
    <w:rsid w:val="51372E5F"/>
    <w:rsid w:val="513AE8B5"/>
    <w:rsid w:val="51479E46"/>
    <w:rsid w:val="514D0E96"/>
    <w:rsid w:val="51640022"/>
    <w:rsid w:val="516ECDB1"/>
    <w:rsid w:val="5172AF7F"/>
    <w:rsid w:val="518C0709"/>
    <w:rsid w:val="51984A6C"/>
    <w:rsid w:val="51AA796A"/>
    <w:rsid w:val="51AFF405"/>
    <w:rsid w:val="51B5ED50"/>
    <w:rsid w:val="51B66852"/>
    <w:rsid w:val="51C580FB"/>
    <w:rsid w:val="51C9082D"/>
    <w:rsid w:val="51DAD603"/>
    <w:rsid w:val="51DE3621"/>
    <w:rsid w:val="51E01341"/>
    <w:rsid w:val="51E65C3E"/>
    <w:rsid w:val="51F9208E"/>
    <w:rsid w:val="52087807"/>
    <w:rsid w:val="520A12EE"/>
    <w:rsid w:val="521B4F37"/>
    <w:rsid w:val="521D7801"/>
    <w:rsid w:val="521E0853"/>
    <w:rsid w:val="52248A85"/>
    <w:rsid w:val="5224E056"/>
    <w:rsid w:val="5227CEC6"/>
    <w:rsid w:val="523A97E3"/>
    <w:rsid w:val="52572C93"/>
    <w:rsid w:val="5264FCBB"/>
    <w:rsid w:val="5266ECD5"/>
    <w:rsid w:val="526B6ACB"/>
    <w:rsid w:val="5272A2FA"/>
    <w:rsid w:val="5275B2B4"/>
    <w:rsid w:val="527AD3AC"/>
    <w:rsid w:val="52868AFE"/>
    <w:rsid w:val="5287FECB"/>
    <w:rsid w:val="52924597"/>
    <w:rsid w:val="52944CA0"/>
    <w:rsid w:val="529C5847"/>
    <w:rsid w:val="529E81E0"/>
    <w:rsid w:val="52BF35F8"/>
    <w:rsid w:val="52C305C3"/>
    <w:rsid w:val="52CAFF0E"/>
    <w:rsid w:val="52CB2DEA"/>
    <w:rsid w:val="52D3C37D"/>
    <w:rsid w:val="52DAD569"/>
    <w:rsid w:val="52E26AB3"/>
    <w:rsid w:val="52E7F152"/>
    <w:rsid w:val="52EA9626"/>
    <w:rsid w:val="52F13695"/>
    <w:rsid w:val="53051968"/>
    <w:rsid w:val="532CF929"/>
    <w:rsid w:val="53322998"/>
    <w:rsid w:val="5338E148"/>
    <w:rsid w:val="5340DB8A"/>
    <w:rsid w:val="534D29DC"/>
    <w:rsid w:val="5355E510"/>
    <w:rsid w:val="535F5D1F"/>
    <w:rsid w:val="5360CE24"/>
    <w:rsid w:val="53660F47"/>
    <w:rsid w:val="5379E80E"/>
    <w:rsid w:val="537DDB64"/>
    <w:rsid w:val="538940B4"/>
    <w:rsid w:val="538BF90E"/>
    <w:rsid w:val="539602AC"/>
    <w:rsid w:val="5397CFFD"/>
    <w:rsid w:val="5397E82C"/>
    <w:rsid w:val="53BBB191"/>
    <w:rsid w:val="53BE40BD"/>
    <w:rsid w:val="53BFCB3F"/>
    <w:rsid w:val="53C3FAD3"/>
    <w:rsid w:val="53CE6730"/>
    <w:rsid w:val="53D29A42"/>
    <w:rsid w:val="53D5F2D6"/>
    <w:rsid w:val="53D76224"/>
    <w:rsid w:val="53E27FD4"/>
    <w:rsid w:val="53EEEA6A"/>
    <w:rsid w:val="540213B0"/>
    <w:rsid w:val="5402552B"/>
    <w:rsid w:val="54122CF7"/>
    <w:rsid w:val="5417C393"/>
    <w:rsid w:val="54233F8F"/>
    <w:rsid w:val="5425E9F8"/>
    <w:rsid w:val="542CD8AA"/>
    <w:rsid w:val="5430B479"/>
    <w:rsid w:val="543ABB55"/>
    <w:rsid w:val="543DFF61"/>
    <w:rsid w:val="54435398"/>
    <w:rsid w:val="544688A6"/>
    <w:rsid w:val="5458B2C1"/>
    <w:rsid w:val="54591BC7"/>
    <w:rsid w:val="545BE359"/>
    <w:rsid w:val="545D4E8C"/>
    <w:rsid w:val="54663376"/>
    <w:rsid w:val="546E82AE"/>
    <w:rsid w:val="54706F59"/>
    <w:rsid w:val="54715351"/>
    <w:rsid w:val="548654A9"/>
    <w:rsid w:val="54AB990A"/>
    <w:rsid w:val="54ADC6A4"/>
    <w:rsid w:val="54B51561"/>
    <w:rsid w:val="54C0241A"/>
    <w:rsid w:val="54E26E9F"/>
    <w:rsid w:val="54E91115"/>
    <w:rsid w:val="54F6B6E8"/>
    <w:rsid w:val="550531F2"/>
    <w:rsid w:val="55089299"/>
    <w:rsid w:val="550BE490"/>
    <w:rsid w:val="55158DEB"/>
    <w:rsid w:val="552E3673"/>
    <w:rsid w:val="55467248"/>
    <w:rsid w:val="5570D7FD"/>
    <w:rsid w:val="557C416C"/>
    <w:rsid w:val="55931BAC"/>
    <w:rsid w:val="55A32942"/>
    <w:rsid w:val="55A5C37C"/>
    <w:rsid w:val="55B3BF7E"/>
    <w:rsid w:val="55B45BE5"/>
    <w:rsid w:val="55B5FBAD"/>
    <w:rsid w:val="55BBE17B"/>
    <w:rsid w:val="55D5923B"/>
    <w:rsid w:val="55D97635"/>
    <w:rsid w:val="55DA0D06"/>
    <w:rsid w:val="55DD0FB6"/>
    <w:rsid w:val="55E50748"/>
    <w:rsid w:val="55E6E52D"/>
    <w:rsid w:val="55EBC9AC"/>
    <w:rsid w:val="55FF7DE2"/>
    <w:rsid w:val="561184CF"/>
    <w:rsid w:val="561D93F3"/>
    <w:rsid w:val="562153A9"/>
    <w:rsid w:val="56367AB5"/>
    <w:rsid w:val="563A026A"/>
    <w:rsid w:val="563BA59C"/>
    <w:rsid w:val="563CEDC4"/>
    <w:rsid w:val="564211A4"/>
    <w:rsid w:val="5644AB13"/>
    <w:rsid w:val="565F8B36"/>
    <w:rsid w:val="566DEB72"/>
    <w:rsid w:val="5688E019"/>
    <w:rsid w:val="5698F0DE"/>
    <w:rsid w:val="56A80957"/>
    <w:rsid w:val="56AB1382"/>
    <w:rsid w:val="56B81DFC"/>
    <w:rsid w:val="56D4874D"/>
    <w:rsid w:val="56D84402"/>
    <w:rsid w:val="56D97B20"/>
    <w:rsid w:val="56E3B6B6"/>
    <w:rsid w:val="56E5894E"/>
    <w:rsid w:val="56EB9DEB"/>
    <w:rsid w:val="56F1039D"/>
    <w:rsid w:val="56F270BE"/>
    <w:rsid w:val="5706B444"/>
    <w:rsid w:val="570EFCF2"/>
    <w:rsid w:val="571E62E0"/>
    <w:rsid w:val="572C0127"/>
    <w:rsid w:val="572CDC18"/>
    <w:rsid w:val="572D68C6"/>
    <w:rsid w:val="5733728F"/>
    <w:rsid w:val="5739A657"/>
    <w:rsid w:val="57553A99"/>
    <w:rsid w:val="5763821F"/>
    <w:rsid w:val="5779E613"/>
    <w:rsid w:val="579A181A"/>
    <w:rsid w:val="57A4ADE4"/>
    <w:rsid w:val="57AAB7A9"/>
    <w:rsid w:val="57B159EF"/>
    <w:rsid w:val="57C95D97"/>
    <w:rsid w:val="57CE6922"/>
    <w:rsid w:val="57D46E8F"/>
    <w:rsid w:val="57D6A8E3"/>
    <w:rsid w:val="57DD85E0"/>
    <w:rsid w:val="57DFEBFA"/>
    <w:rsid w:val="57EF0755"/>
    <w:rsid w:val="57F7FD48"/>
    <w:rsid w:val="57FA9744"/>
    <w:rsid w:val="58021E99"/>
    <w:rsid w:val="580E9540"/>
    <w:rsid w:val="584FE12C"/>
    <w:rsid w:val="5855A36F"/>
    <w:rsid w:val="585B2571"/>
    <w:rsid w:val="588103E9"/>
    <w:rsid w:val="58865397"/>
    <w:rsid w:val="5896FE98"/>
    <w:rsid w:val="589C2461"/>
    <w:rsid w:val="58B6E9A8"/>
    <w:rsid w:val="58BB9CEA"/>
    <w:rsid w:val="58BBADF9"/>
    <w:rsid w:val="58C85CDE"/>
    <w:rsid w:val="58D47EB9"/>
    <w:rsid w:val="58E6B33D"/>
    <w:rsid w:val="58E85EBE"/>
    <w:rsid w:val="58E8B688"/>
    <w:rsid w:val="58F77E99"/>
    <w:rsid w:val="58FC3009"/>
    <w:rsid w:val="58FCCD8C"/>
    <w:rsid w:val="590E86CC"/>
    <w:rsid w:val="59182893"/>
    <w:rsid w:val="5922285C"/>
    <w:rsid w:val="5922E596"/>
    <w:rsid w:val="592495FC"/>
    <w:rsid w:val="592DEC86"/>
    <w:rsid w:val="59306BAF"/>
    <w:rsid w:val="5934EBDB"/>
    <w:rsid w:val="593BEA66"/>
    <w:rsid w:val="59492591"/>
    <w:rsid w:val="59510E4D"/>
    <w:rsid w:val="5953B0F9"/>
    <w:rsid w:val="5959A8F4"/>
    <w:rsid w:val="595B8669"/>
    <w:rsid w:val="596143B1"/>
    <w:rsid w:val="59706F56"/>
    <w:rsid w:val="598024BF"/>
    <w:rsid w:val="59804E66"/>
    <w:rsid w:val="598599B1"/>
    <w:rsid w:val="5986265E"/>
    <w:rsid w:val="5998AC7A"/>
    <w:rsid w:val="59A4CBBF"/>
    <w:rsid w:val="59B7F5F3"/>
    <w:rsid w:val="59BF289F"/>
    <w:rsid w:val="59C0926F"/>
    <w:rsid w:val="59C129B5"/>
    <w:rsid w:val="59D68E9E"/>
    <w:rsid w:val="59DA7A00"/>
    <w:rsid w:val="59DB6B08"/>
    <w:rsid w:val="5A027C90"/>
    <w:rsid w:val="5A0757FF"/>
    <w:rsid w:val="5A11A489"/>
    <w:rsid w:val="5A1CD44A"/>
    <w:rsid w:val="5A2A2218"/>
    <w:rsid w:val="5A2B01B5"/>
    <w:rsid w:val="5A32E10A"/>
    <w:rsid w:val="5A330F5C"/>
    <w:rsid w:val="5A4DBDAE"/>
    <w:rsid w:val="5A4E274B"/>
    <w:rsid w:val="5A4E8545"/>
    <w:rsid w:val="5A4ED58B"/>
    <w:rsid w:val="5A5A3DB7"/>
    <w:rsid w:val="5A677488"/>
    <w:rsid w:val="5A6DC2E4"/>
    <w:rsid w:val="5A7567C7"/>
    <w:rsid w:val="5A81463C"/>
    <w:rsid w:val="5A91235B"/>
    <w:rsid w:val="5A9674EF"/>
    <w:rsid w:val="5A98356B"/>
    <w:rsid w:val="5AA3C9A9"/>
    <w:rsid w:val="5AD854E7"/>
    <w:rsid w:val="5AF4CFD0"/>
    <w:rsid w:val="5AF5626B"/>
    <w:rsid w:val="5AF81E33"/>
    <w:rsid w:val="5AF850BD"/>
    <w:rsid w:val="5AF9E85E"/>
    <w:rsid w:val="5B00EB3C"/>
    <w:rsid w:val="5B073BAC"/>
    <w:rsid w:val="5B0CEF9F"/>
    <w:rsid w:val="5B0DAFA6"/>
    <w:rsid w:val="5B0FAAC9"/>
    <w:rsid w:val="5B122BB1"/>
    <w:rsid w:val="5B1E7C8E"/>
    <w:rsid w:val="5B26EBC0"/>
    <w:rsid w:val="5B2C8A56"/>
    <w:rsid w:val="5B318B5D"/>
    <w:rsid w:val="5B31F27B"/>
    <w:rsid w:val="5B32C964"/>
    <w:rsid w:val="5B33733D"/>
    <w:rsid w:val="5B341EED"/>
    <w:rsid w:val="5B487ED7"/>
    <w:rsid w:val="5B48E5DE"/>
    <w:rsid w:val="5B49A9DC"/>
    <w:rsid w:val="5B565D2C"/>
    <w:rsid w:val="5B5A3BF6"/>
    <w:rsid w:val="5B63A1E1"/>
    <w:rsid w:val="5B64B635"/>
    <w:rsid w:val="5B675B28"/>
    <w:rsid w:val="5B67C1E2"/>
    <w:rsid w:val="5B6F4D23"/>
    <w:rsid w:val="5B70EA38"/>
    <w:rsid w:val="5B7343EA"/>
    <w:rsid w:val="5B77860B"/>
    <w:rsid w:val="5B7D96C0"/>
    <w:rsid w:val="5B7F62CB"/>
    <w:rsid w:val="5B86DDB6"/>
    <w:rsid w:val="5B8B875C"/>
    <w:rsid w:val="5B910EF2"/>
    <w:rsid w:val="5B958B85"/>
    <w:rsid w:val="5B99CA55"/>
    <w:rsid w:val="5B9D3E55"/>
    <w:rsid w:val="5BB29297"/>
    <w:rsid w:val="5BD8BC0C"/>
    <w:rsid w:val="5BDBA69A"/>
    <w:rsid w:val="5BDED6A1"/>
    <w:rsid w:val="5BE9A5AD"/>
    <w:rsid w:val="5BF4FBCE"/>
    <w:rsid w:val="5C03EE40"/>
    <w:rsid w:val="5C12E7AC"/>
    <w:rsid w:val="5C16980C"/>
    <w:rsid w:val="5C17D358"/>
    <w:rsid w:val="5C1A341C"/>
    <w:rsid w:val="5C2B38B8"/>
    <w:rsid w:val="5C4B791A"/>
    <w:rsid w:val="5C5DD717"/>
    <w:rsid w:val="5C741629"/>
    <w:rsid w:val="5C776985"/>
    <w:rsid w:val="5C8053DC"/>
    <w:rsid w:val="5C894150"/>
    <w:rsid w:val="5C8A0780"/>
    <w:rsid w:val="5C8BC251"/>
    <w:rsid w:val="5C8FBB0A"/>
    <w:rsid w:val="5C92C565"/>
    <w:rsid w:val="5C98B754"/>
    <w:rsid w:val="5CA7989B"/>
    <w:rsid w:val="5CA874BF"/>
    <w:rsid w:val="5CB65BE9"/>
    <w:rsid w:val="5CB7ECC5"/>
    <w:rsid w:val="5CBAF2E1"/>
    <w:rsid w:val="5CC87B2D"/>
    <w:rsid w:val="5CCC56D5"/>
    <w:rsid w:val="5CD0A1DC"/>
    <w:rsid w:val="5CD36523"/>
    <w:rsid w:val="5CDECF8C"/>
    <w:rsid w:val="5CE4346F"/>
    <w:rsid w:val="5CF179B9"/>
    <w:rsid w:val="5CFAC292"/>
    <w:rsid w:val="5D0BBD49"/>
    <w:rsid w:val="5D0D613D"/>
    <w:rsid w:val="5D1C6BB7"/>
    <w:rsid w:val="5D22A37E"/>
    <w:rsid w:val="5D242398"/>
    <w:rsid w:val="5D2ADD24"/>
    <w:rsid w:val="5D3DB620"/>
    <w:rsid w:val="5D48BD2C"/>
    <w:rsid w:val="5D51AE49"/>
    <w:rsid w:val="5D51F5E3"/>
    <w:rsid w:val="5D52F5E2"/>
    <w:rsid w:val="5D56F27F"/>
    <w:rsid w:val="5D572074"/>
    <w:rsid w:val="5D57E6C6"/>
    <w:rsid w:val="5D643876"/>
    <w:rsid w:val="5D6512F2"/>
    <w:rsid w:val="5D9BCED5"/>
    <w:rsid w:val="5DACD952"/>
    <w:rsid w:val="5DAE20F5"/>
    <w:rsid w:val="5DB1A9CF"/>
    <w:rsid w:val="5DB50ED9"/>
    <w:rsid w:val="5DB7D222"/>
    <w:rsid w:val="5DC65BA5"/>
    <w:rsid w:val="5DD6D568"/>
    <w:rsid w:val="5DE43768"/>
    <w:rsid w:val="5DE766D2"/>
    <w:rsid w:val="5DEECED5"/>
    <w:rsid w:val="5E0D4A27"/>
    <w:rsid w:val="5E127515"/>
    <w:rsid w:val="5E19EAF7"/>
    <w:rsid w:val="5E27352D"/>
    <w:rsid w:val="5E2B8B6B"/>
    <w:rsid w:val="5E307B5C"/>
    <w:rsid w:val="5E3B7722"/>
    <w:rsid w:val="5E47187A"/>
    <w:rsid w:val="5E47DE6E"/>
    <w:rsid w:val="5E4B2BBD"/>
    <w:rsid w:val="5E4B7A68"/>
    <w:rsid w:val="5E4C19E4"/>
    <w:rsid w:val="5E4F8D3D"/>
    <w:rsid w:val="5E568735"/>
    <w:rsid w:val="5E670136"/>
    <w:rsid w:val="5E7A9CCC"/>
    <w:rsid w:val="5E7F8192"/>
    <w:rsid w:val="5E8B1D88"/>
    <w:rsid w:val="5E8E267B"/>
    <w:rsid w:val="5E8F21A7"/>
    <w:rsid w:val="5EAE2990"/>
    <w:rsid w:val="5EB39D6B"/>
    <w:rsid w:val="5EBC2346"/>
    <w:rsid w:val="5EC3281E"/>
    <w:rsid w:val="5ECCBB59"/>
    <w:rsid w:val="5ED4F499"/>
    <w:rsid w:val="5EE98F61"/>
    <w:rsid w:val="5EEAA0D5"/>
    <w:rsid w:val="5F0608C1"/>
    <w:rsid w:val="5F07C1B1"/>
    <w:rsid w:val="5F0ADE5D"/>
    <w:rsid w:val="5F0E8175"/>
    <w:rsid w:val="5F134895"/>
    <w:rsid w:val="5F15BD3E"/>
    <w:rsid w:val="5F27AC2F"/>
    <w:rsid w:val="5F368DB9"/>
    <w:rsid w:val="5F4679EA"/>
    <w:rsid w:val="5F47C7C3"/>
    <w:rsid w:val="5F491734"/>
    <w:rsid w:val="5F49EDD3"/>
    <w:rsid w:val="5F5FD33E"/>
    <w:rsid w:val="5F71AC4B"/>
    <w:rsid w:val="5F89CB0F"/>
    <w:rsid w:val="5FA21809"/>
    <w:rsid w:val="5FBC4C4F"/>
    <w:rsid w:val="5FCE7987"/>
    <w:rsid w:val="5FE7C7ED"/>
    <w:rsid w:val="5FF28C41"/>
    <w:rsid w:val="5FF3706C"/>
    <w:rsid w:val="600F1040"/>
    <w:rsid w:val="60111AA5"/>
    <w:rsid w:val="6011D605"/>
    <w:rsid w:val="601EC736"/>
    <w:rsid w:val="60271785"/>
    <w:rsid w:val="602B026B"/>
    <w:rsid w:val="602B6213"/>
    <w:rsid w:val="602D3C45"/>
    <w:rsid w:val="60419111"/>
    <w:rsid w:val="6042AC21"/>
    <w:rsid w:val="6045D661"/>
    <w:rsid w:val="604F30A6"/>
    <w:rsid w:val="604FEC78"/>
    <w:rsid w:val="6055A3BC"/>
    <w:rsid w:val="6056CBD1"/>
    <w:rsid w:val="60577FD6"/>
    <w:rsid w:val="60585FF7"/>
    <w:rsid w:val="605C7F4B"/>
    <w:rsid w:val="606280C3"/>
    <w:rsid w:val="60666B01"/>
    <w:rsid w:val="6073F86F"/>
    <w:rsid w:val="60783460"/>
    <w:rsid w:val="607DC1C9"/>
    <w:rsid w:val="608DCE45"/>
    <w:rsid w:val="6099C1A9"/>
    <w:rsid w:val="609A8089"/>
    <w:rsid w:val="609EBB10"/>
    <w:rsid w:val="60B2E39C"/>
    <w:rsid w:val="60B9EBAF"/>
    <w:rsid w:val="60DEC0D2"/>
    <w:rsid w:val="60E47F16"/>
    <w:rsid w:val="60FBABF2"/>
    <w:rsid w:val="6102521F"/>
    <w:rsid w:val="610A0C05"/>
    <w:rsid w:val="6114C956"/>
    <w:rsid w:val="6116BD2D"/>
    <w:rsid w:val="612D2C82"/>
    <w:rsid w:val="612F291B"/>
    <w:rsid w:val="613A8F34"/>
    <w:rsid w:val="613EDB65"/>
    <w:rsid w:val="6145D7F2"/>
    <w:rsid w:val="6146C87E"/>
    <w:rsid w:val="6168E0DC"/>
    <w:rsid w:val="616C382F"/>
    <w:rsid w:val="617DDF1B"/>
    <w:rsid w:val="61883367"/>
    <w:rsid w:val="6188CD7A"/>
    <w:rsid w:val="618D7CB9"/>
    <w:rsid w:val="619FD0C2"/>
    <w:rsid w:val="61A015CB"/>
    <w:rsid w:val="61A5BE97"/>
    <w:rsid w:val="61B1D5E2"/>
    <w:rsid w:val="61B6B060"/>
    <w:rsid w:val="61C995A7"/>
    <w:rsid w:val="61DC0549"/>
    <w:rsid w:val="61DD0058"/>
    <w:rsid w:val="61E44823"/>
    <w:rsid w:val="61E95544"/>
    <w:rsid w:val="61EC8647"/>
    <w:rsid w:val="61F6C372"/>
    <w:rsid w:val="61FA2EF1"/>
    <w:rsid w:val="6209DA10"/>
    <w:rsid w:val="622A390E"/>
    <w:rsid w:val="622BCDE4"/>
    <w:rsid w:val="622CCEC9"/>
    <w:rsid w:val="6234AC0F"/>
    <w:rsid w:val="624109B3"/>
    <w:rsid w:val="6243AD44"/>
    <w:rsid w:val="62545552"/>
    <w:rsid w:val="625688AB"/>
    <w:rsid w:val="627E8189"/>
    <w:rsid w:val="627FD22B"/>
    <w:rsid w:val="628A6AE8"/>
    <w:rsid w:val="628C8963"/>
    <w:rsid w:val="629DB43F"/>
    <w:rsid w:val="62A6594A"/>
    <w:rsid w:val="62A95722"/>
    <w:rsid w:val="62AEF1E6"/>
    <w:rsid w:val="62B51554"/>
    <w:rsid w:val="62BF4F29"/>
    <w:rsid w:val="62D4C1F4"/>
    <w:rsid w:val="62D96846"/>
    <w:rsid w:val="62E3E9AE"/>
    <w:rsid w:val="62E6A6BA"/>
    <w:rsid w:val="62EFC694"/>
    <w:rsid w:val="62FC0BFE"/>
    <w:rsid w:val="630D2308"/>
    <w:rsid w:val="63138B89"/>
    <w:rsid w:val="63179F8F"/>
    <w:rsid w:val="631A2909"/>
    <w:rsid w:val="631E39B5"/>
    <w:rsid w:val="632B8A70"/>
    <w:rsid w:val="63321A89"/>
    <w:rsid w:val="63338FEE"/>
    <w:rsid w:val="6337D9F8"/>
    <w:rsid w:val="633D5CF3"/>
    <w:rsid w:val="6340BF15"/>
    <w:rsid w:val="6342FB86"/>
    <w:rsid w:val="6348FEE9"/>
    <w:rsid w:val="6355C4FA"/>
    <w:rsid w:val="635620F1"/>
    <w:rsid w:val="635BC3FE"/>
    <w:rsid w:val="63663B8B"/>
    <w:rsid w:val="638156C8"/>
    <w:rsid w:val="638662E0"/>
    <w:rsid w:val="63C39AB4"/>
    <w:rsid w:val="63CA1C3A"/>
    <w:rsid w:val="63CC0D1C"/>
    <w:rsid w:val="63D0B50B"/>
    <w:rsid w:val="63D3896A"/>
    <w:rsid w:val="63F0D0DF"/>
    <w:rsid w:val="63F8A5BA"/>
    <w:rsid w:val="63FABB76"/>
    <w:rsid w:val="640845F8"/>
    <w:rsid w:val="640F0025"/>
    <w:rsid w:val="6413D587"/>
    <w:rsid w:val="641D8AF0"/>
    <w:rsid w:val="64205469"/>
    <w:rsid w:val="642C340F"/>
    <w:rsid w:val="6438D190"/>
    <w:rsid w:val="6439398A"/>
    <w:rsid w:val="64514BFE"/>
    <w:rsid w:val="645DE3B1"/>
    <w:rsid w:val="6469628A"/>
    <w:rsid w:val="646A05A6"/>
    <w:rsid w:val="646C408D"/>
    <w:rsid w:val="6472E3FB"/>
    <w:rsid w:val="647D2B58"/>
    <w:rsid w:val="64A3DE9E"/>
    <w:rsid w:val="64A7D320"/>
    <w:rsid w:val="64A89A9F"/>
    <w:rsid w:val="64B3F93C"/>
    <w:rsid w:val="64B6ECA3"/>
    <w:rsid w:val="64C03A50"/>
    <w:rsid w:val="64C66707"/>
    <w:rsid w:val="64D22470"/>
    <w:rsid w:val="64D6A595"/>
    <w:rsid w:val="64DE74BF"/>
    <w:rsid w:val="64E27C53"/>
    <w:rsid w:val="64F4438B"/>
    <w:rsid w:val="64F84FC1"/>
    <w:rsid w:val="64F99225"/>
    <w:rsid w:val="6511EDAE"/>
    <w:rsid w:val="6522AC93"/>
    <w:rsid w:val="652EAD2A"/>
    <w:rsid w:val="653B21FF"/>
    <w:rsid w:val="6548A5AA"/>
    <w:rsid w:val="65669F59"/>
    <w:rsid w:val="658B35AE"/>
    <w:rsid w:val="658C77EA"/>
    <w:rsid w:val="658F1202"/>
    <w:rsid w:val="659D298E"/>
    <w:rsid w:val="65AB38DF"/>
    <w:rsid w:val="65C01653"/>
    <w:rsid w:val="65C7F794"/>
    <w:rsid w:val="65C98047"/>
    <w:rsid w:val="65C9A690"/>
    <w:rsid w:val="65ED0E7D"/>
    <w:rsid w:val="65F02119"/>
    <w:rsid w:val="660C7153"/>
    <w:rsid w:val="6613ED79"/>
    <w:rsid w:val="661A39A1"/>
    <w:rsid w:val="662120F1"/>
    <w:rsid w:val="66215A99"/>
    <w:rsid w:val="66275DBB"/>
    <w:rsid w:val="66316E85"/>
    <w:rsid w:val="6634EFA0"/>
    <w:rsid w:val="6637587B"/>
    <w:rsid w:val="66403784"/>
    <w:rsid w:val="6640B86D"/>
    <w:rsid w:val="6650E616"/>
    <w:rsid w:val="6656B983"/>
    <w:rsid w:val="665AC8D9"/>
    <w:rsid w:val="665F4E85"/>
    <w:rsid w:val="66687DB7"/>
    <w:rsid w:val="6668C4DB"/>
    <w:rsid w:val="666E5CFE"/>
    <w:rsid w:val="66713E8E"/>
    <w:rsid w:val="66731601"/>
    <w:rsid w:val="667A8EF3"/>
    <w:rsid w:val="667D47FF"/>
    <w:rsid w:val="66804E45"/>
    <w:rsid w:val="668FFC80"/>
    <w:rsid w:val="66AB93F6"/>
    <w:rsid w:val="66BED06F"/>
    <w:rsid w:val="66C27ABC"/>
    <w:rsid w:val="66C3A856"/>
    <w:rsid w:val="66DBE192"/>
    <w:rsid w:val="66E58481"/>
    <w:rsid w:val="66EA8893"/>
    <w:rsid w:val="67009FA4"/>
    <w:rsid w:val="67088AA9"/>
    <w:rsid w:val="671295A6"/>
    <w:rsid w:val="6712E0D0"/>
    <w:rsid w:val="6738362F"/>
    <w:rsid w:val="6757F87D"/>
    <w:rsid w:val="676D6DC5"/>
    <w:rsid w:val="67746AFD"/>
    <w:rsid w:val="67864A7F"/>
    <w:rsid w:val="67896C41"/>
    <w:rsid w:val="67A33E7B"/>
    <w:rsid w:val="67A68F00"/>
    <w:rsid w:val="67AF40D4"/>
    <w:rsid w:val="67AF65D0"/>
    <w:rsid w:val="67B4F666"/>
    <w:rsid w:val="67BF19C7"/>
    <w:rsid w:val="67C061EC"/>
    <w:rsid w:val="67D00BE8"/>
    <w:rsid w:val="67DC6C3D"/>
    <w:rsid w:val="67E4CB4B"/>
    <w:rsid w:val="67EB072D"/>
    <w:rsid w:val="67EC2239"/>
    <w:rsid w:val="67F02BF0"/>
    <w:rsid w:val="67F30781"/>
    <w:rsid w:val="67F55C5B"/>
    <w:rsid w:val="6800051D"/>
    <w:rsid w:val="680B196E"/>
    <w:rsid w:val="6815E9B5"/>
    <w:rsid w:val="68171968"/>
    <w:rsid w:val="68183C14"/>
    <w:rsid w:val="681E59C2"/>
    <w:rsid w:val="6832311E"/>
    <w:rsid w:val="6845BE0A"/>
    <w:rsid w:val="685056EB"/>
    <w:rsid w:val="6858BBE4"/>
    <w:rsid w:val="68724B09"/>
    <w:rsid w:val="68810EFF"/>
    <w:rsid w:val="688B9EBD"/>
    <w:rsid w:val="68962854"/>
    <w:rsid w:val="68A73176"/>
    <w:rsid w:val="68A77858"/>
    <w:rsid w:val="68BCA408"/>
    <w:rsid w:val="68C117B0"/>
    <w:rsid w:val="68C1C755"/>
    <w:rsid w:val="68C44EF1"/>
    <w:rsid w:val="68CE3ACD"/>
    <w:rsid w:val="68D22A03"/>
    <w:rsid w:val="68D28558"/>
    <w:rsid w:val="68DB5631"/>
    <w:rsid w:val="68EA091F"/>
    <w:rsid w:val="68EEDCDA"/>
    <w:rsid w:val="68F26F86"/>
    <w:rsid w:val="68FB3B42"/>
    <w:rsid w:val="690695C0"/>
    <w:rsid w:val="6909B991"/>
    <w:rsid w:val="690D1EE8"/>
    <w:rsid w:val="6914C8EA"/>
    <w:rsid w:val="6917893D"/>
    <w:rsid w:val="6919DFC3"/>
    <w:rsid w:val="691DEA3A"/>
    <w:rsid w:val="69206DE3"/>
    <w:rsid w:val="69276D01"/>
    <w:rsid w:val="69319DDF"/>
    <w:rsid w:val="69401344"/>
    <w:rsid w:val="6959C7E9"/>
    <w:rsid w:val="69649427"/>
    <w:rsid w:val="696C8598"/>
    <w:rsid w:val="6971CA8B"/>
    <w:rsid w:val="697943DF"/>
    <w:rsid w:val="69848585"/>
    <w:rsid w:val="698FC6C8"/>
    <w:rsid w:val="69927CAF"/>
    <w:rsid w:val="6993DE3E"/>
    <w:rsid w:val="69A4DDFA"/>
    <w:rsid w:val="69BF8980"/>
    <w:rsid w:val="69C079E3"/>
    <w:rsid w:val="69EF50FB"/>
    <w:rsid w:val="69EF7B76"/>
    <w:rsid w:val="69F1EF5C"/>
    <w:rsid w:val="69FDF915"/>
    <w:rsid w:val="6A0296CA"/>
    <w:rsid w:val="6A04B0ED"/>
    <w:rsid w:val="6A0B90C4"/>
    <w:rsid w:val="6A0D7CF1"/>
    <w:rsid w:val="6A0EBF7C"/>
    <w:rsid w:val="6A220C65"/>
    <w:rsid w:val="6A308981"/>
    <w:rsid w:val="6A425551"/>
    <w:rsid w:val="6A431993"/>
    <w:rsid w:val="6A45325E"/>
    <w:rsid w:val="6A56DC3F"/>
    <w:rsid w:val="6A5FF011"/>
    <w:rsid w:val="6A64135E"/>
    <w:rsid w:val="6A688A44"/>
    <w:rsid w:val="6A6AD7EA"/>
    <w:rsid w:val="6A6E7D66"/>
    <w:rsid w:val="6A71ED51"/>
    <w:rsid w:val="6A8576C5"/>
    <w:rsid w:val="6A95350F"/>
    <w:rsid w:val="6A98D62D"/>
    <w:rsid w:val="6AA9B65B"/>
    <w:rsid w:val="6AB75C41"/>
    <w:rsid w:val="6AC0210A"/>
    <w:rsid w:val="6AC81F81"/>
    <w:rsid w:val="6ACD9281"/>
    <w:rsid w:val="6AD20A44"/>
    <w:rsid w:val="6ADDB386"/>
    <w:rsid w:val="6B0537D0"/>
    <w:rsid w:val="6B1537A1"/>
    <w:rsid w:val="6B1EF0EB"/>
    <w:rsid w:val="6B244758"/>
    <w:rsid w:val="6B2A9086"/>
    <w:rsid w:val="6B392DFE"/>
    <w:rsid w:val="6B3AC6CB"/>
    <w:rsid w:val="6B3EBC19"/>
    <w:rsid w:val="6B43F234"/>
    <w:rsid w:val="6B48A297"/>
    <w:rsid w:val="6B4CC1BD"/>
    <w:rsid w:val="6B5B73D8"/>
    <w:rsid w:val="6B5E7841"/>
    <w:rsid w:val="6B6B8886"/>
    <w:rsid w:val="6B7F751E"/>
    <w:rsid w:val="6B8CB331"/>
    <w:rsid w:val="6B9104C0"/>
    <w:rsid w:val="6B929A63"/>
    <w:rsid w:val="6B93CD52"/>
    <w:rsid w:val="6BA07C0F"/>
    <w:rsid w:val="6BA4AB43"/>
    <w:rsid w:val="6BA4C58E"/>
    <w:rsid w:val="6BAB14B0"/>
    <w:rsid w:val="6BAEAC01"/>
    <w:rsid w:val="6BD02927"/>
    <w:rsid w:val="6BD032E0"/>
    <w:rsid w:val="6BE585A3"/>
    <w:rsid w:val="6BF668B0"/>
    <w:rsid w:val="6C032BD0"/>
    <w:rsid w:val="6C0845C9"/>
    <w:rsid w:val="6C183223"/>
    <w:rsid w:val="6C2D0DB0"/>
    <w:rsid w:val="6C311A9B"/>
    <w:rsid w:val="6C39339A"/>
    <w:rsid w:val="6C3C71BC"/>
    <w:rsid w:val="6C4F7137"/>
    <w:rsid w:val="6C593851"/>
    <w:rsid w:val="6C5E2102"/>
    <w:rsid w:val="6C66DEF5"/>
    <w:rsid w:val="6C762A90"/>
    <w:rsid w:val="6C7D91DE"/>
    <w:rsid w:val="6C873559"/>
    <w:rsid w:val="6C980643"/>
    <w:rsid w:val="6CA9896F"/>
    <w:rsid w:val="6CB6EBC5"/>
    <w:rsid w:val="6CCBDFDB"/>
    <w:rsid w:val="6CDFE15F"/>
    <w:rsid w:val="6CEC7BE2"/>
    <w:rsid w:val="6CEFBD83"/>
    <w:rsid w:val="6CFB4FAC"/>
    <w:rsid w:val="6CFE5F0D"/>
    <w:rsid w:val="6D1CDADD"/>
    <w:rsid w:val="6D3CABC0"/>
    <w:rsid w:val="6D3D5D27"/>
    <w:rsid w:val="6D3E20DE"/>
    <w:rsid w:val="6D4565B4"/>
    <w:rsid w:val="6D51D5CC"/>
    <w:rsid w:val="6D5AB71F"/>
    <w:rsid w:val="6D5F8117"/>
    <w:rsid w:val="6D76CDB1"/>
    <w:rsid w:val="6D8173E0"/>
    <w:rsid w:val="6D9E4B11"/>
    <w:rsid w:val="6DAEC754"/>
    <w:rsid w:val="6DB23DE0"/>
    <w:rsid w:val="6DBA544D"/>
    <w:rsid w:val="6DBDA464"/>
    <w:rsid w:val="6DDA1998"/>
    <w:rsid w:val="6DE346BF"/>
    <w:rsid w:val="6DEE15B2"/>
    <w:rsid w:val="6E05EBEF"/>
    <w:rsid w:val="6E0A98E0"/>
    <w:rsid w:val="6E1D749A"/>
    <w:rsid w:val="6E262A7C"/>
    <w:rsid w:val="6E2A08C2"/>
    <w:rsid w:val="6E38165D"/>
    <w:rsid w:val="6E4841AB"/>
    <w:rsid w:val="6E4983EC"/>
    <w:rsid w:val="6E4EAD40"/>
    <w:rsid w:val="6E5AAE63"/>
    <w:rsid w:val="6E6946DC"/>
    <w:rsid w:val="6E720FA5"/>
    <w:rsid w:val="6E734A3A"/>
    <w:rsid w:val="6E785287"/>
    <w:rsid w:val="6E7B30A1"/>
    <w:rsid w:val="6E80654B"/>
    <w:rsid w:val="6E95C056"/>
    <w:rsid w:val="6E99C0B5"/>
    <w:rsid w:val="6E9E9EAB"/>
    <w:rsid w:val="6EA63481"/>
    <w:rsid w:val="6EA8D3C0"/>
    <w:rsid w:val="6EC142B4"/>
    <w:rsid w:val="6EE8CC2D"/>
    <w:rsid w:val="6EE93C90"/>
    <w:rsid w:val="6EECB9B4"/>
    <w:rsid w:val="6EEE9EE9"/>
    <w:rsid w:val="6EEF93A4"/>
    <w:rsid w:val="6EF12CCC"/>
    <w:rsid w:val="6F05D4BA"/>
    <w:rsid w:val="6F110CB1"/>
    <w:rsid w:val="6F2C6687"/>
    <w:rsid w:val="6F2CCD1C"/>
    <w:rsid w:val="6F3315C9"/>
    <w:rsid w:val="6F368463"/>
    <w:rsid w:val="6F39D386"/>
    <w:rsid w:val="6F419C44"/>
    <w:rsid w:val="6F419F9E"/>
    <w:rsid w:val="6F44B70C"/>
    <w:rsid w:val="6F461693"/>
    <w:rsid w:val="6F46BC2C"/>
    <w:rsid w:val="6F558F25"/>
    <w:rsid w:val="6F5ACDD7"/>
    <w:rsid w:val="6F6D262F"/>
    <w:rsid w:val="6F6D856A"/>
    <w:rsid w:val="6F6E1E31"/>
    <w:rsid w:val="6F7C7B8D"/>
    <w:rsid w:val="6F80BDEB"/>
    <w:rsid w:val="6F82F232"/>
    <w:rsid w:val="6F895554"/>
    <w:rsid w:val="6F9805FE"/>
    <w:rsid w:val="6F9AB7A9"/>
    <w:rsid w:val="6F9AECE3"/>
    <w:rsid w:val="6FAEF92B"/>
    <w:rsid w:val="6FB463D7"/>
    <w:rsid w:val="6FB56F70"/>
    <w:rsid w:val="6FC39899"/>
    <w:rsid w:val="6FE95991"/>
    <w:rsid w:val="6FEA24FA"/>
    <w:rsid w:val="6FF3EBE4"/>
    <w:rsid w:val="6FFC78D9"/>
    <w:rsid w:val="6FFCCAF1"/>
    <w:rsid w:val="6FFD5BED"/>
    <w:rsid w:val="700416FE"/>
    <w:rsid w:val="70071D10"/>
    <w:rsid w:val="7011CD04"/>
    <w:rsid w:val="7015BC04"/>
    <w:rsid w:val="701718F6"/>
    <w:rsid w:val="70337AD5"/>
    <w:rsid w:val="703D5395"/>
    <w:rsid w:val="704B157C"/>
    <w:rsid w:val="705A783F"/>
    <w:rsid w:val="705EBAD6"/>
    <w:rsid w:val="70625BC7"/>
    <w:rsid w:val="706EB040"/>
    <w:rsid w:val="70719EC8"/>
    <w:rsid w:val="7096C4B6"/>
    <w:rsid w:val="70A1ACB8"/>
    <w:rsid w:val="70A6F970"/>
    <w:rsid w:val="70ADF06F"/>
    <w:rsid w:val="70B47AE6"/>
    <w:rsid w:val="70BBFECE"/>
    <w:rsid w:val="70BD467A"/>
    <w:rsid w:val="70C49FC8"/>
    <w:rsid w:val="70CD409A"/>
    <w:rsid w:val="70D1FD1F"/>
    <w:rsid w:val="7101F9B0"/>
    <w:rsid w:val="710A13C2"/>
    <w:rsid w:val="710F3E56"/>
    <w:rsid w:val="711342B2"/>
    <w:rsid w:val="71166805"/>
    <w:rsid w:val="7127BABB"/>
    <w:rsid w:val="712807C1"/>
    <w:rsid w:val="71286332"/>
    <w:rsid w:val="71288DB0"/>
    <w:rsid w:val="714B7AB9"/>
    <w:rsid w:val="71556E62"/>
    <w:rsid w:val="7164192F"/>
    <w:rsid w:val="717624A9"/>
    <w:rsid w:val="717F1B44"/>
    <w:rsid w:val="7189084B"/>
    <w:rsid w:val="719B376B"/>
    <w:rsid w:val="719BE343"/>
    <w:rsid w:val="719E9721"/>
    <w:rsid w:val="71ACA67B"/>
    <w:rsid w:val="71AF40C0"/>
    <w:rsid w:val="71B4DEB6"/>
    <w:rsid w:val="71C4C0D6"/>
    <w:rsid w:val="71D23326"/>
    <w:rsid w:val="71D99CAD"/>
    <w:rsid w:val="71EFA4F1"/>
    <w:rsid w:val="71FCD13E"/>
    <w:rsid w:val="72026A71"/>
    <w:rsid w:val="72149ABE"/>
    <w:rsid w:val="7219C684"/>
    <w:rsid w:val="721D9522"/>
    <w:rsid w:val="721ED949"/>
    <w:rsid w:val="722BABC3"/>
    <w:rsid w:val="72348E8E"/>
    <w:rsid w:val="723F0992"/>
    <w:rsid w:val="72440A23"/>
    <w:rsid w:val="7246A106"/>
    <w:rsid w:val="724BF1EF"/>
    <w:rsid w:val="724EAEEE"/>
    <w:rsid w:val="7254B4A9"/>
    <w:rsid w:val="72559973"/>
    <w:rsid w:val="7255C797"/>
    <w:rsid w:val="72575E8E"/>
    <w:rsid w:val="7265A2E6"/>
    <w:rsid w:val="726917B7"/>
    <w:rsid w:val="727F504B"/>
    <w:rsid w:val="7280A719"/>
    <w:rsid w:val="7294773A"/>
    <w:rsid w:val="729748EE"/>
    <w:rsid w:val="72A6260F"/>
    <w:rsid w:val="72AD89F2"/>
    <w:rsid w:val="72C042D4"/>
    <w:rsid w:val="72C7D2C2"/>
    <w:rsid w:val="72C8A40E"/>
    <w:rsid w:val="72C95295"/>
    <w:rsid w:val="72F68801"/>
    <w:rsid w:val="73063F5D"/>
    <w:rsid w:val="73085346"/>
    <w:rsid w:val="73127723"/>
    <w:rsid w:val="7317D64D"/>
    <w:rsid w:val="73227DAA"/>
    <w:rsid w:val="7338B101"/>
    <w:rsid w:val="733B5CC5"/>
    <w:rsid w:val="733D409D"/>
    <w:rsid w:val="7342A2AA"/>
    <w:rsid w:val="73531E02"/>
    <w:rsid w:val="735703A5"/>
    <w:rsid w:val="7357EA91"/>
    <w:rsid w:val="7366BCC0"/>
    <w:rsid w:val="73858E00"/>
    <w:rsid w:val="738A3132"/>
    <w:rsid w:val="73903FC7"/>
    <w:rsid w:val="73B454EA"/>
    <w:rsid w:val="73BFC74D"/>
    <w:rsid w:val="73BFE542"/>
    <w:rsid w:val="73C1C1AF"/>
    <w:rsid w:val="73CA717C"/>
    <w:rsid w:val="73CCF75B"/>
    <w:rsid w:val="73E55DEF"/>
    <w:rsid w:val="73EC909B"/>
    <w:rsid w:val="73FCE62A"/>
    <w:rsid w:val="7402C4BA"/>
    <w:rsid w:val="740E374A"/>
    <w:rsid w:val="7417D994"/>
    <w:rsid w:val="742A933F"/>
    <w:rsid w:val="7430BBC2"/>
    <w:rsid w:val="744039D0"/>
    <w:rsid w:val="744EAC77"/>
    <w:rsid w:val="745342E8"/>
    <w:rsid w:val="74660E6C"/>
    <w:rsid w:val="748697E3"/>
    <w:rsid w:val="748BE186"/>
    <w:rsid w:val="74AA552B"/>
    <w:rsid w:val="74AF0597"/>
    <w:rsid w:val="74B147F4"/>
    <w:rsid w:val="74B5185F"/>
    <w:rsid w:val="74B5D78E"/>
    <w:rsid w:val="74B9201E"/>
    <w:rsid w:val="74BC1E8D"/>
    <w:rsid w:val="74C6005F"/>
    <w:rsid w:val="74D07590"/>
    <w:rsid w:val="74D38E17"/>
    <w:rsid w:val="74DBFD35"/>
    <w:rsid w:val="74E4BEDC"/>
    <w:rsid w:val="74EEB4D8"/>
    <w:rsid w:val="74F62ADC"/>
    <w:rsid w:val="74F79B8A"/>
    <w:rsid w:val="75085EAB"/>
    <w:rsid w:val="75119327"/>
    <w:rsid w:val="751D5168"/>
    <w:rsid w:val="751D53A5"/>
    <w:rsid w:val="751F17B7"/>
    <w:rsid w:val="7521AF95"/>
    <w:rsid w:val="75268212"/>
    <w:rsid w:val="7526F4F4"/>
    <w:rsid w:val="752C1EB3"/>
    <w:rsid w:val="75308BB1"/>
    <w:rsid w:val="753F8E3B"/>
    <w:rsid w:val="754B2F05"/>
    <w:rsid w:val="75534369"/>
    <w:rsid w:val="755EE5F0"/>
    <w:rsid w:val="7566B6FA"/>
    <w:rsid w:val="75725D48"/>
    <w:rsid w:val="7576A654"/>
    <w:rsid w:val="75775977"/>
    <w:rsid w:val="757A293A"/>
    <w:rsid w:val="758439AA"/>
    <w:rsid w:val="7599BF46"/>
    <w:rsid w:val="75BE9B6B"/>
    <w:rsid w:val="75C2C6B8"/>
    <w:rsid w:val="75CD033A"/>
    <w:rsid w:val="75CDC181"/>
    <w:rsid w:val="75D8BEF5"/>
    <w:rsid w:val="75DD44A4"/>
    <w:rsid w:val="75E6DE88"/>
    <w:rsid w:val="75EB3B8E"/>
    <w:rsid w:val="75F97D38"/>
    <w:rsid w:val="760463B2"/>
    <w:rsid w:val="760CD1F5"/>
    <w:rsid w:val="760EB191"/>
    <w:rsid w:val="761D9482"/>
    <w:rsid w:val="7626C9B1"/>
    <w:rsid w:val="7627984F"/>
    <w:rsid w:val="7639D79E"/>
    <w:rsid w:val="76412322"/>
    <w:rsid w:val="765BC1F4"/>
    <w:rsid w:val="7660F2DB"/>
    <w:rsid w:val="7665CFF8"/>
    <w:rsid w:val="768866D8"/>
    <w:rsid w:val="769B903A"/>
    <w:rsid w:val="769CFF9F"/>
    <w:rsid w:val="76A1229C"/>
    <w:rsid w:val="76BE0772"/>
    <w:rsid w:val="76BE81F2"/>
    <w:rsid w:val="76BEF2CF"/>
    <w:rsid w:val="76C2CBF4"/>
    <w:rsid w:val="76C9BB94"/>
    <w:rsid w:val="76CF5C4F"/>
    <w:rsid w:val="76D45DB7"/>
    <w:rsid w:val="76E97FC1"/>
    <w:rsid w:val="76E9A474"/>
    <w:rsid w:val="76EF55B7"/>
    <w:rsid w:val="76F09E0B"/>
    <w:rsid w:val="76F248BF"/>
    <w:rsid w:val="76FAFB6D"/>
    <w:rsid w:val="77138458"/>
    <w:rsid w:val="77167453"/>
    <w:rsid w:val="77283894"/>
    <w:rsid w:val="7731F953"/>
    <w:rsid w:val="7736A9F2"/>
    <w:rsid w:val="775D9CB9"/>
    <w:rsid w:val="776A0FD0"/>
    <w:rsid w:val="776DE4C6"/>
    <w:rsid w:val="77728DD9"/>
    <w:rsid w:val="777C4C30"/>
    <w:rsid w:val="778FBBE6"/>
    <w:rsid w:val="7793D3C3"/>
    <w:rsid w:val="77942392"/>
    <w:rsid w:val="779F1541"/>
    <w:rsid w:val="77A2D7B6"/>
    <w:rsid w:val="77DF0F5F"/>
    <w:rsid w:val="77DF1453"/>
    <w:rsid w:val="77E6C41B"/>
    <w:rsid w:val="77F08CC2"/>
    <w:rsid w:val="77F86286"/>
    <w:rsid w:val="77FD275D"/>
    <w:rsid w:val="7813A454"/>
    <w:rsid w:val="78239C01"/>
    <w:rsid w:val="782838A1"/>
    <w:rsid w:val="783088E0"/>
    <w:rsid w:val="78432FA0"/>
    <w:rsid w:val="7847DDBC"/>
    <w:rsid w:val="7849694D"/>
    <w:rsid w:val="78694F9E"/>
    <w:rsid w:val="7869BDC0"/>
    <w:rsid w:val="786B0EBB"/>
    <w:rsid w:val="786D4111"/>
    <w:rsid w:val="786D91B9"/>
    <w:rsid w:val="786E63E5"/>
    <w:rsid w:val="78706F5B"/>
    <w:rsid w:val="787A881B"/>
    <w:rsid w:val="787D7063"/>
    <w:rsid w:val="787E9DA7"/>
    <w:rsid w:val="788E33A6"/>
    <w:rsid w:val="788F6154"/>
    <w:rsid w:val="78958D8B"/>
    <w:rsid w:val="789A08EF"/>
    <w:rsid w:val="78BC2E26"/>
    <w:rsid w:val="78CA9FEF"/>
    <w:rsid w:val="78D6BA60"/>
    <w:rsid w:val="790E1144"/>
    <w:rsid w:val="791E3C56"/>
    <w:rsid w:val="79206106"/>
    <w:rsid w:val="7925ABDD"/>
    <w:rsid w:val="7926F93B"/>
    <w:rsid w:val="792D3CCD"/>
    <w:rsid w:val="79391E12"/>
    <w:rsid w:val="79418CF6"/>
    <w:rsid w:val="796CFBC7"/>
    <w:rsid w:val="797E49E5"/>
    <w:rsid w:val="797EA8F8"/>
    <w:rsid w:val="7985A7B4"/>
    <w:rsid w:val="798BFAF0"/>
    <w:rsid w:val="79995CEB"/>
    <w:rsid w:val="799BFFB8"/>
    <w:rsid w:val="79A7690E"/>
    <w:rsid w:val="79AB2DC2"/>
    <w:rsid w:val="79B84B07"/>
    <w:rsid w:val="79C0E432"/>
    <w:rsid w:val="79D3E910"/>
    <w:rsid w:val="79DF9A2D"/>
    <w:rsid w:val="79E34170"/>
    <w:rsid w:val="79FC042B"/>
    <w:rsid w:val="7A008AC5"/>
    <w:rsid w:val="7A04B88E"/>
    <w:rsid w:val="7A05ACF8"/>
    <w:rsid w:val="7A268C58"/>
    <w:rsid w:val="7A3D82B6"/>
    <w:rsid w:val="7A564E56"/>
    <w:rsid w:val="7A67FDF6"/>
    <w:rsid w:val="7A8051C7"/>
    <w:rsid w:val="7A852B00"/>
    <w:rsid w:val="7A934914"/>
    <w:rsid w:val="7A94CE66"/>
    <w:rsid w:val="7A9E180D"/>
    <w:rsid w:val="7A9F10D5"/>
    <w:rsid w:val="7AA68EC0"/>
    <w:rsid w:val="7AAA9838"/>
    <w:rsid w:val="7AB557EA"/>
    <w:rsid w:val="7AC2CF23"/>
    <w:rsid w:val="7AC4B197"/>
    <w:rsid w:val="7ACA0628"/>
    <w:rsid w:val="7AE0B5C1"/>
    <w:rsid w:val="7AE32E76"/>
    <w:rsid w:val="7AF2943D"/>
    <w:rsid w:val="7AF5494B"/>
    <w:rsid w:val="7B0D8B7F"/>
    <w:rsid w:val="7B14A9AE"/>
    <w:rsid w:val="7B179FD2"/>
    <w:rsid w:val="7B2F900A"/>
    <w:rsid w:val="7B33D5BC"/>
    <w:rsid w:val="7B3A5251"/>
    <w:rsid w:val="7B3A63F2"/>
    <w:rsid w:val="7B40B43C"/>
    <w:rsid w:val="7B63F61C"/>
    <w:rsid w:val="7B67E74D"/>
    <w:rsid w:val="7B958FD4"/>
    <w:rsid w:val="7B960554"/>
    <w:rsid w:val="7B98B607"/>
    <w:rsid w:val="7B991DDC"/>
    <w:rsid w:val="7B9DD5D2"/>
    <w:rsid w:val="7BA15E82"/>
    <w:rsid w:val="7BAC71FC"/>
    <w:rsid w:val="7BCDD4D2"/>
    <w:rsid w:val="7BD61AD6"/>
    <w:rsid w:val="7BD705BE"/>
    <w:rsid w:val="7BD9C4A9"/>
    <w:rsid w:val="7BEC6406"/>
    <w:rsid w:val="7BF2834A"/>
    <w:rsid w:val="7BF3EFCD"/>
    <w:rsid w:val="7C08540E"/>
    <w:rsid w:val="7C091DC5"/>
    <w:rsid w:val="7C234178"/>
    <w:rsid w:val="7C2D9ACA"/>
    <w:rsid w:val="7C2DCD06"/>
    <w:rsid w:val="7C31244A"/>
    <w:rsid w:val="7C3E2313"/>
    <w:rsid w:val="7C45BF62"/>
    <w:rsid w:val="7C60BD13"/>
    <w:rsid w:val="7C70F2DF"/>
    <w:rsid w:val="7C8C7E73"/>
    <w:rsid w:val="7C97191C"/>
    <w:rsid w:val="7CAEDCB2"/>
    <w:rsid w:val="7CBB6492"/>
    <w:rsid w:val="7CBDE8AD"/>
    <w:rsid w:val="7CC911EB"/>
    <w:rsid w:val="7CCB83EF"/>
    <w:rsid w:val="7CDE3048"/>
    <w:rsid w:val="7CE314C2"/>
    <w:rsid w:val="7CE5692A"/>
    <w:rsid w:val="7CE78895"/>
    <w:rsid w:val="7CF66357"/>
    <w:rsid w:val="7CFBAFD2"/>
    <w:rsid w:val="7D05123F"/>
    <w:rsid w:val="7D051805"/>
    <w:rsid w:val="7D0BE2C3"/>
    <w:rsid w:val="7D0CFDC3"/>
    <w:rsid w:val="7D1199D2"/>
    <w:rsid w:val="7D1C6E1F"/>
    <w:rsid w:val="7D1F514D"/>
    <w:rsid w:val="7D249D15"/>
    <w:rsid w:val="7D33ACE0"/>
    <w:rsid w:val="7D4CF3D1"/>
    <w:rsid w:val="7D4EB25A"/>
    <w:rsid w:val="7D63D276"/>
    <w:rsid w:val="7D6812DE"/>
    <w:rsid w:val="7D71C8DF"/>
    <w:rsid w:val="7D71FD26"/>
    <w:rsid w:val="7D77E7DB"/>
    <w:rsid w:val="7D82EF83"/>
    <w:rsid w:val="7D987DB7"/>
    <w:rsid w:val="7D9AE009"/>
    <w:rsid w:val="7DAAC2EF"/>
    <w:rsid w:val="7DB8FC09"/>
    <w:rsid w:val="7DBF8F35"/>
    <w:rsid w:val="7DCBD056"/>
    <w:rsid w:val="7DCE4073"/>
    <w:rsid w:val="7DE69FD1"/>
    <w:rsid w:val="7E11662B"/>
    <w:rsid w:val="7E1EE27B"/>
    <w:rsid w:val="7E30DCE4"/>
    <w:rsid w:val="7E5C0CE5"/>
    <w:rsid w:val="7E618452"/>
    <w:rsid w:val="7E6AA1DF"/>
    <w:rsid w:val="7E6D9857"/>
    <w:rsid w:val="7E7451EE"/>
    <w:rsid w:val="7E7887DA"/>
    <w:rsid w:val="7E85F6D8"/>
    <w:rsid w:val="7E8796D6"/>
    <w:rsid w:val="7E8B7661"/>
    <w:rsid w:val="7EA58F3F"/>
    <w:rsid w:val="7EAFCF20"/>
    <w:rsid w:val="7EB40C3B"/>
    <w:rsid w:val="7ECE65A5"/>
    <w:rsid w:val="7ECE6D02"/>
    <w:rsid w:val="7EDFA29C"/>
    <w:rsid w:val="7EE4839E"/>
    <w:rsid w:val="7EE96C25"/>
    <w:rsid w:val="7EF0A39F"/>
    <w:rsid w:val="7EF7A576"/>
    <w:rsid w:val="7EFA93A1"/>
    <w:rsid w:val="7EFC24C1"/>
    <w:rsid w:val="7F048F66"/>
    <w:rsid w:val="7F170C6C"/>
    <w:rsid w:val="7F3AAA33"/>
    <w:rsid w:val="7F3EBC7F"/>
    <w:rsid w:val="7F59D76A"/>
    <w:rsid w:val="7F5EB14C"/>
    <w:rsid w:val="7F638223"/>
    <w:rsid w:val="7F65FA5F"/>
    <w:rsid w:val="7F66F5BD"/>
    <w:rsid w:val="7F7207AF"/>
    <w:rsid w:val="7F755EC7"/>
    <w:rsid w:val="7F7C9009"/>
    <w:rsid w:val="7F80F592"/>
    <w:rsid w:val="7F86E5A5"/>
    <w:rsid w:val="7F8FA6D0"/>
    <w:rsid w:val="7F962684"/>
    <w:rsid w:val="7F9BF084"/>
    <w:rsid w:val="7F9D01DF"/>
    <w:rsid w:val="7FA13827"/>
    <w:rsid w:val="7FAC6687"/>
    <w:rsid w:val="7FACA2DA"/>
    <w:rsid w:val="7FAFE1C0"/>
    <w:rsid w:val="7FBAFEA1"/>
    <w:rsid w:val="7FCB5748"/>
    <w:rsid w:val="7FCF5AAB"/>
    <w:rsid w:val="7FD19FC4"/>
    <w:rsid w:val="7FD2541F"/>
    <w:rsid w:val="7FD50A25"/>
    <w:rsid w:val="7FD5172A"/>
    <w:rsid w:val="7FDE006A"/>
    <w:rsid w:val="7FF2C4C4"/>
    <w:rsid w:val="7FF6CBC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5745CC"/>
  <w14:defaultImageDpi w14:val="330"/>
  <w15:chartTrackingRefBased/>
  <w15:docId w15:val="{06F6B229-4279-446B-8814-B5D1E0749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786"/>
  </w:style>
  <w:style w:type="paragraph" w:styleId="Heading1">
    <w:name w:val="heading 1"/>
    <w:basedOn w:val="Normal"/>
    <w:next w:val="Heading2"/>
    <w:link w:val="Heading1Char"/>
    <w:uiPriority w:val="9"/>
    <w:qFormat/>
    <w:rsid w:val="0033681F"/>
    <w:pPr>
      <w:numPr>
        <w:numId w:val="157"/>
      </w:numPr>
      <w:spacing w:before="120"/>
      <w:outlineLvl w:val="0"/>
    </w:pPr>
    <w:rPr>
      <w:rFonts w:eastAsiaTheme="minorEastAsia" w:cs="Arial"/>
      <w:b/>
      <w:color w:val="000000" w:themeColor="text1"/>
      <w:sz w:val="26"/>
      <w:szCs w:val="26"/>
    </w:rPr>
  </w:style>
  <w:style w:type="paragraph" w:styleId="Heading2">
    <w:name w:val="heading 2"/>
    <w:basedOn w:val="Normal"/>
    <w:next w:val="Normal"/>
    <w:link w:val="Heading2Char"/>
    <w:uiPriority w:val="9"/>
    <w:qFormat/>
    <w:rsid w:val="009144C1"/>
    <w:pPr>
      <w:numPr>
        <w:ilvl w:val="1"/>
        <w:numId w:val="157"/>
      </w:numPr>
      <w:spacing w:before="100" w:beforeAutospacing="1" w:after="200"/>
      <w:outlineLvl w:val="1"/>
    </w:pPr>
    <w:rPr>
      <w:rFonts w:asciiTheme="majorHAnsi" w:eastAsiaTheme="minorEastAsia" w:hAnsiTheme="majorHAnsi" w:cs="Arial"/>
      <w:b/>
      <w:bCs/>
      <w:color w:val="000000" w:themeColor="text1"/>
      <w:szCs w:val="22"/>
    </w:rPr>
  </w:style>
  <w:style w:type="paragraph" w:styleId="Heading3">
    <w:name w:val="heading 3"/>
    <w:basedOn w:val="Normal"/>
    <w:next w:val="Normal"/>
    <w:link w:val="Heading3Char"/>
    <w:uiPriority w:val="9"/>
    <w:qFormat/>
    <w:rsid w:val="00EE4105"/>
    <w:pPr>
      <w:keepNext/>
      <w:numPr>
        <w:ilvl w:val="2"/>
        <w:numId w:val="157"/>
      </w:numPr>
      <w:spacing w:before="240" w:after="160"/>
      <w:ind w:left="1944"/>
      <w:outlineLvl w:val="2"/>
    </w:pPr>
    <w:rPr>
      <w:rFonts w:asciiTheme="majorHAnsi" w:eastAsiaTheme="minorEastAsia" w:hAnsiTheme="majorHAnsi" w:cs="Arial"/>
      <w:bCs/>
      <w:i/>
      <w:iCs/>
      <w:color w:val="000000" w:themeColor="text1"/>
      <w:spacing w:val="-10"/>
      <w:kern w:val="28"/>
    </w:rPr>
  </w:style>
  <w:style w:type="paragraph" w:styleId="Heading4">
    <w:name w:val="heading 4"/>
    <w:basedOn w:val="Normal"/>
    <w:next w:val="Normal"/>
    <w:link w:val="Heading4Char"/>
    <w:uiPriority w:val="9"/>
    <w:qFormat/>
    <w:rsid w:val="00B00405"/>
    <w:pPr>
      <w:keepNext/>
      <w:keepLines/>
      <w:spacing w:before="240" w:after="8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qFormat/>
    <w:rsid w:val="009144C1"/>
    <w:pPr>
      <w:keepNext/>
      <w:spacing w:before="120" w:after="80"/>
      <w:outlineLvl w:val="4"/>
    </w:pPr>
    <w:rPr>
      <w:rFonts w:asciiTheme="majorHAnsi" w:hAnsiTheme="majorHAnsi"/>
      <w:u w:val="single"/>
    </w:rPr>
  </w:style>
  <w:style w:type="paragraph" w:styleId="Heading6">
    <w:name w:val="heading 6"/>
    <w:basedOn w:val="Heading4"/>
    <w:next w:val="Normal"/>
    <w:link w:val="Heading6Char"/>
    <w:uiPriority w:val="9"/>
    <w:unhideWhenUsed/>
    <w:qFormat/>
    <w:rsid w:val="00B26BBC"/>
    <w:pPr>
      <w:spacing w:after="0"/>
      <w:outlineLvl w:val="5"/>
    </w:pPr>
    <w:rPr>
      <w:bCs/>
      <w:iCs w:val="0"/>
    </w:rPr>
  </w:style>
  <w:style w:type="paragraph" w:styleId="Heading7">
    <w:name w:val="heading 7"/>
    <w:basedOn w:val="FHCAppendixH1"/>
    <w:next w:val="Normal"/>
    <w:link w:val="Heading7Char"/>
    <w:uiPriority w:val="9"/>
    <w:unhideWhenUsed/>
    <w:qFormat/>
    <w:rsid w:val="00BA0EF8"/>
    <w:pPr>
      <w:outlineLvl w:val="6"/>
    </w:pPr>
  </w:style>
  <w:style w:type="paragraph" w:styleId="Heading8">
    <w:name w:val="heading 8"/>
    <w:basedOn w:val="Normal"/>
    <w:next w:val="Normal"/>
    <w:link w:val="Heading8Char"/>
    <w:uiPriority w:val="9"/>
    <w:unhideWhenUsed/>
    <w:qFormat/>
    <w:rsid w:val="00C220BF"/>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unhideWhenUsed/>
    <w:qFormat/>
    <w:rsid w:val="00C220BF"/>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3FC3"/>
    <w:rPr>
      <w:rFonts w:eastAsiaTheme="minorEastAsia" w:cs="Arial"/>
      <w:b/>
      <w:color w:val="000000" w:themeColor="text1"/>
      <w:sz w:val="26"/>
      <w:szCs w:val="26"/>
    </w:rPr>
  </w:style>
  <w:style w:type="character" w:customStyle="1" w:styleId="Heading2Char">
    <w:name w:val="Heading 2 Char"/>
    <w:basedOn w:val="DefaultParagraphFont"/>
    <w:link w:val="Heading2"/>
    <w:uiPriority w:val="9"/>
    <w:rsid w:val="00363FC3"/>
    <w:rPr>
      <w:rFonts w:asciiTheme="majorHAnsi" w:eastAsiaTheme="minorEastAsia" w:hAnsiTheme="majorHAnsi" w:cs="Arial"/>
      <w:b/>
      <w:bCs/>
      <w:color w:val="000000" w:themeColor="text1"/>
      <w:szCs w:val="22"/>
    </w:rPr>
  </w:style>
  <w:style w:type="character" w:customStyle="1" w:styleId="Heading3Char">
    <w:name w:val="Heading 3 Char"/>
    <w:basedOn w:val="DefaultParagraphFont"/>
    <w:link w:val="Heading3"/>
    <w:uiPriority w:val="9"/>
    <w:rsid w:val="00EE4105"/>
    <w:rPr>
      <w:rFonts w:asciiTheme="majorHAnsi" w:eastAsiaTheme="minorEastAsia" w:hAnsiTheme="majorHAnsi" w:cs="Arial"/>
      <w:bCs/>
      <w:i/>
      <w:iCs/>
      <w:color w:val="000000" w:themeColor="text1"/>
      <w:spacing w:val="-10"/>
      <w:kern w:val="28"/>
    </w:rPr>
  </w:style>
  <w:style w:type="paragraph" w:styleId="FootnoteText">
    <w:name w:val="footnote text"/>
    <w:basedOn w:val="Normal"/>
    <w:link w:val="FootnoteTextChar"/>
    <w:uiPriority w:val="99"/>
    <w:semiHidden/>
    <w:rsid w:val="00964728"/>
    <w:pPr>
      <w:spacing w:after="180"/>
    </w:pPr>
    <w:rPr>
      <w:sz w:val="16"/>
      <w:szCs w:val="20"/>
    </w:rPr>
  </w:style>
  <w:style w:type="character" w:customStyle="1" w:styleId="FootnoteTextChar">
    <w:name w:val="Footnote Text Char"/>
    <w:basedOn w:val="DefaultParagraphFont"/>
    <w:link w:val="FootnoteText"/>
    <w:uiPriority w:val="99"/>
    <w:semiHidden/>
    <w:rsid w:val="00964728"/>
    <w:rPr>
      <w:sz w:val="16"/>
      <w:szCs w:val="20"/>
    </w:rPr>
  </w:style>
  <w:style w:type="character" w:customStyle="1" w:styleId="Heading5Char">
    <w:name w:val="Heading 5 Char"/>
    <w:basedOn w:val="DefaultParagraphFont"/>
    <w:link w:val="Heading5"/>
    <w:uiPriority w:val="9"/>
    <w:rsid w:val="009144C1"/>
    <w:rPr>
      <w:rFonts w:asciiTheme="majorHAnsi" w:hAnsiTheme="majorHAnsi"/>
      <w:u w:val="single"/>
    </w:rPr>
  </w:style>
  <w:style w:type="character" w:styleId="FootnoteReference">
    <w:name w:val="footnote reference"/>
    <w:basedOn w:val="DefaultParagraphFont"/>
    <w:uiPriority w:val="99"/>
    <w:semiHidden/>
    <w:rsid w:val="00B55567"/>
    <w:rPr>
      <w:vertAlign w:val="superscript"/>
    </w:rPr>
  </w:style>
  <w:style w:type="table" w:styleId="TableGrid">
    <w:name w:val="Table Grid"/>
    <w:basedOn w:val="TableNormal"/>
    <w:uiPriority w:val="39"/>
    <w:rsid w:val="005E36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orTableTitle">
    <w:name w:val="Figure or Table Title"/>
    <w:link w:val="FigureorTableTitleChar"/>
    <w:rsid w:val="00B55567"/>
    <w:pPr>
      <w:spacing w:before="240" w:after="120"/>
    </w:pPr>
    <w:rPr>
      <w:rFonts w:eastAsiaTheme="majorEastAsia" w:cstheme="majorBidi"/>
      <w:b/>
      <w:i/>
      <w:iCs/>
      <w:color w:val="000000" w:themeColor="text1"/>
      <w:sz w:val="22"/>
      <w:szCs w:val="21"/>
    </w:rPr>
  </w:style>
  <w:style w:type="character" w:styleId="Hyperlink">
    <w:name w:val="Hyperlink"/>
    <w:basedOn w:val="DefaultParagraphFont"/>
    <w:uiPriority w:val="99"/>
    <w:unhideWhenUsed/>
    <w:rsid w:val="00226659"/>
    <w:rPr>
      <w:rFonts w:asciiTheme="minorHAnsi" w:hAnsiTheme="minorHAnsi"/>
      <w:color w:val="000F9F" w:themeColor="hyperlink"/>
      <w:u w:val="single"/>
    </w:rPr>
  </w:style>
  <w:style w:type="paragraph" w:styleId="TOC1">
    <w:name w:val="toc 1"/>
    <w:next w:val="Normal"/>
    <w:autoRedefine/>
    <w:uiPriority w:val="39"/>
    <w:unhideWhenUsed/>
    <w:rsid w:val="008C4A1C"/>
    <w:pPr>
      <w:tabs>
        <w:tab w:val="left" w:pos="360"/>
        <w:tab w:val="right" w:leader="dot" w:pos="9350"/>
      </w:tabs>
      <w:spacing w:before="80" w:after="0"/>
    </w:pPr>
    <w:rPr>
      <w:rFonts w:eastAsiaTheme="minorEastAsia" w:cstheme="minorHAnsi"/>
      <w:noProof/>
      <w:szCs w:val="20"/>
    </w:rPr>
  </w:style>
  <w:style w:type="paragraph" w:styleId="TOC2">
    <w:name w:val="toc 2"/>
    <w:autoRedefine/>
    <w:uiPriority w:val="39"/>
    <w:unhideWhenUsed/>
    <w:rsid w:val="00F56720"/>
    <w:pPr>
      <w:tabs>
        <w:tab w:val="left" w:pos="900"/>
        <w:tab w:val="left" w:pos="1440"/>
        <w:tab w:val="right" w:leader="dot" w:pos="9350"/>
      </w:tabs>
      <w:spacing w:after="0"/>
      <w:ind w:left="360"/>
    </w:pPr>
    <w:rPr>
      <w:rFonts w:eastAsiaTheme="minorEastAsia" w:cs="Arial (Body)"/>
      <w:iCs/>
      <w:color w:val="000000" w:themeColor="text1"/>
      <w:spacing w:val="-10"/>
      <w:kern w:val="28"/>
      <w:szCs w:val="20"/>
    </w:rPr>
  </w:style>
  <w:style w:type="paragraph" w:customStyle="1" w:styleId="lndent1">
    <w:name w:val="lndent1"/>
    <w:basedOn w:val="Normal"/>
    <w:qFormat/>
    <w:rsid w:val="00E11394"/>
    <w:pPr>
      <w:spacing w:after="0"/>
      <w:ind w:left="360"/>
    </w:pPr>
    <w:rPr>
      <w:rFonts w:ascii="Arial Narrow" w:hAnsi="Arial Narrow" w:cstheme="minorHAnsi"/>
      <w:sz w:val="20"/>
      <w:szCs w:val="20"/>
    </w:rPr>
  </w:style>
  <w:style w:type="paragraph" w:customStyle="1" w:styleId="SmallCallOut">
    <w:name w:val="Small Call Out"/>
    <w:qFormat/>
    <w:rsid w:val="005D2E0C"/>
    <w:pPr>
      <w:framePr w:vSpace="360" w:wrap="around" w:vAnchor="text" w:hAnchor="text" w:y="1"/>
      <w:pBdr>
        <w:left w:val="single" w:sz="18" w:space="12" w:color="0071CE" w:themeColor="accent1"/>
      </w:pBdr>
      <w:snapToGrid w:val="0"/>
      <w:spacing w:line="276" w:lineRule="auto"/>
      <w:ind w:left="720"/>
    </w:pPr>
    <w:rPr>
      <w:rFonts w:ascii="Georgia" w:eastAsiaTheme="minorEastAsia" w:hAnsi="Georgia"/>
      <w:i/>
      <w:color w:val="0071CE"/>
      <w:sz w:val="32"/>
      <w:szCs w:val="22"/>
    </w:rPr>
  </w:style>
  <w:style w:type="table" w:customStyle="1" w:styleId="Style5">
    <w:name w:val="Style5"/>
    <w:aliases w:val="FHC Navy Bar - Vertical"/>
    <w:basedOn w:val="TableNormal"/>
    <w:uiPriority w:val="99"/>
    <w:rsid w:val="005F51D9"/>
    <w:rPr>
      <w:sz w:val="22"/>
    </w:rPr>
    <w:tblPr>
      <w:tblStyleRowBandSize w:val="1"/>
      <w:tblBorders>
        <w:top w:val="single" w:sz="4" w:space="0" w:color="ACA39A" w:themeColor="background2"/>
        <w:left w:val="single" w:sz="4" w:space="0" w:color="ACA39A" w:themeColor="background2"/>
        <w:bottom w:val="single" w:sz="4" w:space="0" w:color="ACA39A" w:themeColor="background2"/>
        <w:right w:val="single" w:sz="4" w:space="0" w:color="ACA39A" w:themeColor="background2"/>
        <w:insideH w:val="single" w:sz="4" w:space="0" w:color="ACA39A" w:themeColor="background2"/>
        <w:insideV w:val="single" w:sz="4" w:space="0" w:color="ACA39A" w:themeColor="background2"/>
      </w:tblBorders>
    </w:tblPr>
    <w:tblStylePr w:type="firstRow">
      <w:pPr>
        <w:jc w:val="left"/>
      </w:pPr>
      <w:rPr>
        <w:rFonts w:asciiTheme="minorHAnsi" w:hAnsiTheme="minorHAnsi"/>
        <w:b/>
        <w:color w:val="000000" w:themeColor="text1"/>
        <w:sz w:val="22"/>
      </w:rPr>
      <w:tblPr/>
      <w:tcPr>
        <w:shd w:val="clear" w:color="auto" w:fill="CDC7C2" w:themeFill="background2" w:themeFillTint="99"/>
        <w:vAlign w:val="center"/>
      </w:tcPr>
    </w:tblStylePr>
    <w:tblStylePr w:type="firstCol">
      <w:rPr>
        <w:rFonts w:asciiTheme="minorHAnsi" w:hAnsiTheme="minorHAnsi"/>
        <w:b/>
        <w:sz w:val="22"/>
      </w:rPr>
      <w:tblPr/>
      <w:tcPr>
        <w:shd w:val="clear" w:color="auto" w:fill="00074F" w:themeFill="text2"/>
      </w:tcPr>
    </w:tblStylePr>
    <w:tblStylePr w:type="band1Horz">
      <w:tblPr/>
      <w:tcPr>
        <w:shd w:val="clear" w:color="auto" w:fill="EEECEA" w:themeFill="background2" w:themeFillTint="33"/>
      </w:tcPr>
    </w:tblStylePr>
  </w:style>
  <w:style w:type="table" w:styleId="GridTable1Light-Accent1">
    <w:name w:val="Grid Table 1 Light Accent 1"/>
    <w:basedOn w:val="TableNormal"/>
    <w:uiPriority w:val="46"/>
    <w:rsid w:val="00EB1E3E"/>
    <w:tblPr>
      <w:tblStyleRowBandSize w:val="1"/>
      <w:tblStyleColBandSize w:val="1"/>
      <w:tblBorders>
        <w:top w:val="single" w:sz="4" w:space="0" w:color="85C7FF" w:themeColor="accent1" w:themeTint="66"/>
        <w:left w:val="single" w:sz="4" w:space="0" w:color="85C7FF" w:themeColor="accent1" w:themeTint="66"/>
        <w:bottom w:val="single" w:sz="4" w:space="0" w:color="85C7FF" w:themeColor="accent1" w:themeTint="66"/>
        <w:right w:val="single" w:sz="4" w:space="0" w:color="85C7FF" w:themeColor="accent1" w:themeTint="66"/>
        <w:insideH w:val="single" w:sz="4" w:space="0" w:color="85C7FF" w:themeColor="accent1" w:themeTint="66"/>
        <w:insideV w:val="single" w:sz="4" w:space="0" w:color="85C7FF" w:themeColor="accent1" w:themeTint="66"/>
      </w:tblBorders>
    </w:tblPr>
    <w:tblStylePr w:type="firstRow">
      <w:rPr>
        <w:b/>
        <w:bCs/>
      </w:rPr>
      <w:tblPr/>
      <w:tcPr>
        <w:tcBorders>
          <w:bottom w:val="single" w:sz="12" w:space="0" w:color="48ABFF" w:themeColor="accent1" w:themeTint="99"/>
        </w:tcBorders>
      </w:tcPr>
    </w:tblStylePr>
    <w:tblStylePr w:type="lastRow">
      <w:rPr>
        <w:b/>
        <w:bCs/>
      </w:rPr>
      <w:tblPr/>
      <w:tcPr>
        <w:tcBorders>
          <w:top w:val="double" w:sz="2" w:space="0" w:color="48ABFF" w:themeColor="accent1"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EB1E3E"/>
    <w:tblPr>
      <w:tblStyleRowBandSize w:val="1"/>
      <w:tblStyleColBandSize w:val="1"/>
      <w:tblBorders>
        <w:top w:val="single" w:sz="4" w:space="0" w:color="C09FDF" w:themeColor="accent6" w:themeTint="66"/>
        <w:left w:val="single" w:sz="4" w:space="0" w:color="C09FDF" w:themeColor="accent6" w:themeTint="66"/>
        <w:bottom w:val="single" w:sz="4" w:space="0" w:color="C09FDF" w:themeColor="accent6" w:themeTint="66"/>
        <w:right w:val="single" w:sz="4" w:space="0" w:color="C09FDF" w:themeColor="accent6" w:themeTint="66"/>
        <w:insideH w:val="single" w:sz="4" w:space="0" w:color="C09FDF" w:themeColor="accent6" w:themeTint="66"/>
        <w:insideV w:val="single" w:sz="4" w:space="0" w:color="C09FDF" w:themeColor="accent6" w:themeTint="66"/>
      </w:tblBorders>
    </w:tblPr>
    <w:tblStylePr w:type="firstRow">
      <w:rPr>
        <w:b/>
        <w:bCs/>
      </w:rPr>
      <w:tblPr/>
      <w:tcPr>
        <w:tcBorders>
          <w:bottom w:val="single" w:sz="12" w:space="0" w:color="A170D0" w:themeColor="accent6" w:themeTint="99"/>
        </w:tcBorders>
      </w:tcPr>
    </w:tblStylePr>
    <w:tblStylePr w:type="lastRow">
      <w:rPr>
        <w:b/>
        <w:bCs/>
      </w:rPr>
      <w:tblPr/>
      <w:tcPr>
        <w:tcBorders>
          <w:top w:val="double" w:sz="2" w:space="0" w:color="A170D0" w:themeColor="accent6"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EB1E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CF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309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309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309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3092" w:themeFill="accent6"/>
      </w:tcPr>
    </w:tblStylePr>
    <w:tblStylePr w:type="band1Vert">
      <w:tblPr/>
      <w:tcPr>
        <w:shd w:val="clear" w:color="auto" w:fill="C09FDF" w:themeFill="accent6" w:themeFillTint="66"/>
      </w:tcPr>
    </w:tblStylePr>
    <w:tblStylePr w:type="band1Horz">
      <w:tblPr/>
      <w:tcPr>
        <w:shd w:val="clear" w:color="auto" w:fill="C09FDF" w:themeFill="accent6" w:themeFillTint="66"/>
      </w:tcPr>
    </w:tblStylePr>
  </w:style>
  <w:style w:type="table" w:customStyle="1" w:styleId="FHCSkyBlueBarVertical">
    <w:name w:val="FHC Sky Blue Bar – Vertical"/>
    <w:basedOn w:val="TableNormal"/>
    <w:uiPriority w:val="99"/>
    <w:rsid w:val="000A0C10"/>
    <w:rPr>
      <w:sz w:val="22"/>
    </w:rPr>
    <w:tblPr>
      <w:tblStyleRowBandSize w:val="1"/>
      <w:tblBorders>
        <w:top w:val="single" w:sz="4" w:space="0" w:color="ACA39A" w:themeColor="background2"/>
        <w:left w:val="single" w:sz="4" w:space="0" w:color="ACA39A" w:themeColor="background2"/>
        <w:bottom w:val="single" w:sz="4" w:space="0" w:color="ACA39A" w:themeColor="background2"/>
        <w:right w:val="single" w:sz="4" w:space="0" w:color="ACA39A" w:themeColor="background2"/>
        <w:insideH w:val="single" w:sz="4" w:space="0" w:color="ACA39A" w:themeColor="background2"/>
        <w:insideV w:val="single" w:sz="4" w:space="0" w:color="ACA39A" w:themeColor="background2"/>
      </w:tblBorders>
    </w:tblPr>
    <w:tblStylePr w:type="firstRow">
      <w:pPr>
        <w:jc w:val="left"/>
      </w:pPr>
      <w:rPr>
        <w:rFonts w:asciiTheme="minorHAnsi" w:hAnsiTheme="minorHAnsi"/>
        <w:b/>
        <w:color w:val="000000" w:themeColor="text1"/>
        <w:sz w:val="22"/>
      </w:rPr>
      <w:tblPr/>
      <w:tcPr>
        <w:shd w:val="clear" w:color="auto" w:fill="CDC7C2" w:themeFill="background2" w:themeFillTint="99"/>
        <w:vAlign w:val="center"/>
      </w:tcPr>
    </w:tblStylePr>
    <w:tblStylePr w:type="firstCol">
      <w:rPr>
        <w:rFonts w:asciiTheme="minorHAnsi" w:hAnsiTheme="minorHAnsi"/>
        <w:b/>
        <w:color w:val="FFFFFF" w:themeColor="background1"/>
        <w:sz w:val="22"/>
      </w:rPr>
      <w:tblPr/>
      <w:tcPr>
        <w:shd w:val="clear" w:color="auto" w:fill="0071CE" w:themeFill="accent1"/>
      </w:tcPr>
    </w:tblStylePr>
    <w:tblStylePr w:type="band1Horz">
      <w:tblPr/>
      <w:tcPr>
        <w:shd w:val="clear" w:color="auto" w:fill="EEECEA" w:themeFill="background2" w:themeFillTint="33"/>
      </w:tcPr>
    </w:tblStylePr>
  </w:style>
  <w:style w:type="table" w:styleId="GridTable7Colorful">
    <w:name w:val="Grid Table 7 Colorful"/>
    <w:basedOn w:val="TableNormal"/>
    <w:uiPriority w:val="52"/>
    <w:rsid w:val="00EB1E3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1Light">
    <w:name w:val="List Table 1 Light"/>
    <w:basedOn w:val="TableNormal"/>
    <w:uiPriority w:val="46"/>
    <w:rsid w:val="00EB1E3E"/>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next w:val="Normal"/>
    <w:uiPriority w:val="39"/>
    <w:unhideWhenUsed/>
    <w:qFormat/>
    <w:rsid w:val="0012038E"/>
    <w:pPr>
      <w:keepNext/>
      <w:keepLines/>
      <w:jc w:val="both"/>
    </w:pPr>
    <w:rPr>
      <w:rFonts w:asciiTheme="majorHAnsi" w:eastAsiaTheme="majorEastAsia" w:hAnsiTheme="majorHAnsi" w:cstheme="majorBidi"/>
      <w:b/>
      <w:bCs/>
      <w:color w:val="000000" w:themeColor="text1"/>
      <w:sz w:val="28"/>
      <w:szCs w:val="48"/>
    </w:rPr>
  </w:style>
  <w:style w:type="paragraph" w:styleId="TOC3">
    <w:name w:val="toc 3"/>
    <w:next w:val="Normal"/>
    <w:autoRedefine/>
    <w:uiPriority w:val="39"/>
    <w:unhideWhenUsed/>
    <w:rsid w:val="00F6112C"/>
    <w:pPr>
      <w:tabs>
        <w:tab w:val="right" w:leader="dot" w:pos="9350"/>
      </w:tabs>
      <w:ind w:left="1800" w:hanging="1320"/>
    </w:pPr>
    <w:rPr>
      <w:rFonts w:eastAsiaTheme="minorEastAsia" w:cstheme="minorHAnsi"/>
      <w:color w:val="000000" w:themeColor="text1"/>
      <w:szCs w:val="20"/>
    </w:rPr>
  </w:style>
  <w:style w:type="paragraph" w:styleId="Footer">
    <w:name w:val="footer"/>
    <w:basedOn w:val="Normal"/>
    <w:link w:val="FooterChar"/>
    <w:uiPriority w:val="99"/>
    <w:unhideWhenUsed/>
    <w:qFormat/>
    <w:rsid w:val="009A621C"/>
    <w:pPr>
      <w:spacing w:after="0"/>
    </w:pPr>
    <w:rPr>
      <w:sz w:val="22"/>
      <w:szCs w:val="22"/>
    </w:rPr>
  </w:style>
  <w:style w:type="character" w:customStyle="1" w:styleId="FooterChar">
    <w:name w:val="Footer Char"/>
    <w:basedOn w:val="DefaultParagraphFont"/>
    <w:link w:val="Footer"/>
    <w:uiPriority w:val="99"/>
    <w:rsid w:val="009A621C"/>
    <w:rPr>
      <w:sz w:val="22"/>
      <w:szCs w:val="22"/>
    </w:rPr>
  </w:style>
  <w:style w:type="character" w:styleId="PageNumber">
    <w:name w:val="page number"/>
    <w:basedOn w:val="DefaultParagraphFont"/>
    <w:uiPriority w:val="99"/>
    <w:semiHidden/>
    <w:unhideWhenUsed/>
    <w:rsid w:val="00914897"/>
    <w:rPr>
      <w:rFonts w:ascii="Arial" w:hAnsi="Arial"/>
    </w:rPr>
  </w:style>
  <w:style w:type="paragraph" w:styleId="Header">
    <w:name w:val="header"/>
    <w:basedOn w:val="Normal"/>
    <w:link w:val="HeaderChar"/>
    <w:uiPriority w:val="99"/>
    <w:unhideWhenUsed/>
    <w:rsid w:val="009608DC"/>
    <w:pPr>
      <w:tabs>
        <w:tab w:val="center" w:pos="4680"/>
        <w:tab w:val="right" w:pos="9360"/>
      </w:tabs>
    </w:pPr>
  </w:style>
  <w:style w:type="character" w:customStyle="1" w:styleId="HeaderChar">
    <w:name w:val="Header Char"/>
    <w:basedOn w:val="DefaultParagraphFont"/>
    <w:link w:val="Header"/>
    <w:uiPriority w:val="99"/>
    <w:rsid w:val="009608DC"/>
    <w:rPr>
      <w:rFonts w:ascii="Montserrat" w:eastAsiaTheme="minorEastAsia" w:hAnsi="Montserrat"/>
      <w:color w:val="00074F"/>
      <w:sz w:val="22"/>
      <w:szCs w:val="21"/>
    </w:rPr>
  </w:style>
  <w:style w:type="table" w:styleId="ListTable2">
    <w:name w:val="List Table 2"/>
    <w:basedOn w:val="TableNormal"/>
    <w:uiPriority w:val="47"/>
    <w:rsid w:val="00EB1E3E"/>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4">
    <w:name w:val="toc 4"/>
    <w:basedOn w:val="Normal"/>
    <w:next w:val="Normal"/>
    <w:autoRedefine/>
    <w:uiPriority w:val="39"/>
    <w:semiHidden/>
    <w:rsid w:val="00F6112C"/>
    <w:pPr>
      <w:spacing w:after="0"/>
      <w:ind w:left="720"/>
    </w:pPr>
    <w:rPr>
      <w:rFonts w:cstheme="minorHAnsi"/>
      <w:szCs w:val="20"/>
    </w:rPr>
  </w:style>
  <w:style w:type="paragraph" w:customStyle="1" w:styleId="LargeCallOut">
    <w:name w:val="Large Call Out"/>
    <w:basedOn w:val="SmallCallOut"/>
    <w:qFormat/>
    <w:rsid w:val="0070618A"/>
    <w:pPr>
      <w:framePr w:vSpace="252" w:wrap="around"/>
    </w:pPr>
    <w:rPr>
      <w:noProof/>
      <w:sz w:val="44"/>
      <w:szCs w:val="28"/>
    </w:rPr>
  </w:style>
  <w:style w:type="paragraph" w:customStyle="1" w:styleId="Cover-FileandSubmissioninfo">
    <w:name w:val="Cover - File and Submission info"/>
    <w:qFormat/>
    <w:rsid w:val="00DC4303"/>
    <w:pPr>
      <w:spacing w:before="600" w:after="600"/>
      <w:ind w:left="1440" w:right="1440"/>
      <w:jc w:val="center"/>
    </w:pPr>
    <w:rPr>
      <w:rFonts w:ascii="Times New Roman" w:hAnsi="Times New Roman"/>
      <w:bCs/>
      <w:sz w:val="32"/>
      <w:szCs w:val="40"/>
    </w:rPr>
  </w:style>
  <w:style w:type="paragraph" w:customStyle="1" w:styleId="CoverSubtitle">
    <w:name w:val="Cover – Subtitle"/>
    <w:basedOn w:val="Subtitle"/>
    <w:qFormat/>
    <w:rsid w:val="00066100"/>
    <w:pPr>
      <w:numPr>
        <w:numId w:val="0"/>
      </w:numPr>
      <w:spacing w:before="120" w:after="960"/>
      <w:jc w:val="center"/>
    </w:pPr>
    <w:rPr>
      <w:rFonts w:ascii="Times New Roman" w:eastAsiaTheme="minorEastAsia" w:hAnsi="Times New Roman"/>
      <w:bCs/>
      <w:sz w:val="32"/>
      <w:szCs w:val="72"/>
    </w:rPr>
  </w:style>
  <w:style w:type="paragraph" w:customStyle="1" w:styleId="CoverTitle">
    <w:name w:val="Cover – Title"/>
    <w:basedOn w:val="Title"/>
    <w:qFormat/>
    <w:rsid w:val="00066100"/>
  </w:style>
  <w:style w:type="table" w:styleId="GridTable2-Accent1">
    <w:name w:val="Grid Table 2 Accent 1"/>
    <w:basedOn w:val="TableNormal"/>
    <w:uiPriority w:val="47"/>
    <w:rsid w:val="00480202"/>
    <w:tblPr>
      <w:tblStyleRowBandSize w:val="1"/>
      <w:tblStyleColBandSize w:val="1"/>
      <w:tblBorders>
        <w:top w:val="single" w:sz="2" w:space="0" w:color="48ABFF" w:themeColor="accent1" w:themeTint="99"/>
        <w:bottom w:val="single" w:sz="2" w:space="0" w:color="48ABFF" w:themeColor="accent1" w:themeTint="99"/>
        <w:insideH w:val="single" w:sz="2" w:space="0" w:color="48ABFF" w:themeColor="accent1" w:themeTint="99"/>
        <w:insideV w:val="single" w:sz="2" w:space="0" w:color="48ABFF" w:themeColor="accent1" w:themeTint="99"/>
      </w:tblBorders>
    </w:tblPr>
    <w:tblStylePr w:type="firstRow">
      <w:rPr>
        <w:b/>
        <w:bCs/>
      </w:rPr>
      <w:tblPr/>
      <w:tcPr>
        <w:tcBorders>
          <w:top w:val="nil"/>
          <w:bottom w:val="single" w:sz="12" w:space="0" w:color="48ABFF" w:themeColor="accent1" w:themeTint="99"/>
          <w:insideH w:val="nil"/>
          <w:insideV w:val="nil"/>
        </w:tcBorders>
        <w:shd w:val="clear" w:color="auto" w:fill="FFFFFF" w:themeFill="background1"/>
      </w:tcPr>
    </w:tblStylePr>
    <w:tblStylePr w:type="lastRow">
      <w:rPr>
        <w:b/>
        <w:bCs/>
      </w:rPr>
      <w:tblPr/>
      <w:tcPr>
        <w:tcBorders>
          <w:top w:val="double" w:sz="2" w:space="0" w:color="48AB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4-Accent1">
    <w:name w:val="Grid Table 4 Accent 1"/>
    <w:basedOn w:val="TableNormal"/>
    <w:uiPriority w:val="49"/>
    <w:rsid w:val="00480202"/>
    <w:tblPr>
      <w:tblStyleRowBandSize w:val="1"/>
      <w:tblStyleColBandSize w:val="1"/>
      <w:tblBorders>
        <w:top w:val="single" w:sz="4" w:space="0" w:color="48ABFF" w:themeColor="accent1" w:themeTint="99"/>
        <w:left w:val="single" w:sz="4" w:space="0" w:color="48ABFF" w:themeColor="accent1" w:themeTint="99"/>
        <w:bottom w:val="single" w:sz="4" w:space="0" w:color="48ABFF" w:themeColor="accent1" w:themeTint="99"/>
        <w:right w:val="single" w:sz="4" w:space="0" w:color="48ABFF" w:themeColor="accent1" w:themeTint="99"/>
        <w:insideH w:val="single" w:sz="4" w:space="0" w:color="48ABFF" w:themeColor="accent1" w:themeTint="99"/>
        <w:insideV w:val="single" w:sz="4" w:space="0" w:color="48ABFF" w:themeColor="accent1" w:themeTint="99"/>
      </w:tblBorders>
    </w:tblPr>
    <w:tblStylePr w:type="firstRow">
      <w:rPr>
        <w:b/>
        <w:bCs/>
        <w:color w:val="FFFFFF" w:themeColor="background1"/>
      </w:rPr>
      <w:tblPr/>
      <w:tcPr>
        <w:tcBorders>
          <w:top w:val="single" w:sz="4" w:space="0" w:color="0071CE" w:themeColor="accent1"/>
          <w:left w:val="single" w:sz="4" w:space="0" w:color="0071CE" w:themeColor="accent1"/>
          <w:bottom w:val="single" w:sz="4" w:space="0" w:color="0071CE" w:themeColor="accent1"/>
          <w:right w:val="single" w:sz="4" w:space="0" w:color="0071CE" w:themeColor="accent1"/>
          <w:insideH w:val="nil"/>
          <w:insideV w:val="nil"/>
        </w:tcBorders>
        <w:shd w:val="clear" w:color="auto" w:fill="0071CE" w:themeFill="accent1"/>
      </w:tcPr>
    </w:tblStylePr>
    <w:tblStylePr w:type="lastRow">
      <w:rPr>
        <w:b/>
        <w:bCs/>
      </w:rPr>
      <w:tblPr/>
      <w:tcPr>
        <w:tcBorders>
          <w:top w:val="double" w:sz="4" w:space="0" w:color="0071CE" w:themeColor="accent1"/>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5Dark-Accent1">
    <w:name w:val="Grid Table 5 Dark Accent 1"/>
    <w:basedOn w:val="TableNormal"/>
    <w:uiPriority w:val="50"/>
    <w:rsid w:val="0048020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E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1C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1C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1C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1CE" w:themeFill="accent1"/>
      </w:tcPr>
    </w:tblStylePr>
    <w:tblStylePr w:type="band1Vert">
      <w:tblPr/>
      <w:tcPr>
        <w:shd w:val="clear" w:color="auto" w:fill="85C7FF" w:themeFill="accent1" w:themeFillTint="66"/>
      </w:tcPr>
    </w:tblStylePr>
    <w:tblStylePr w:type="band1Horz">
      <w:tblPr/>
      <w:tcPr>
        <w:shd w:val="clear" w:color="auto" w:fill="85C7FF" w:themeFill="accent1" w:themeFillTint="66"/>
      </w:tcPr>
    </w:tblStylePr>
  </w:style>
  <w:style w:type="table" w:styleId="ListTable4-Accent1">
    <w:name w:val="List Table 4 Accent 1"/>
    <w:basedOn w:val="TableNormal"/>
    <w:uiPriority w:val="49"/>
    <w:rsid w:val="00480202"/>
    <w:tblPr>
      <w:tblStyleRowBandSize w:val="1"/>
      <w:tblStyleColBandSize w:val="1"/>
      <w:tblBorders>
        <w:top w:val="single" w:sz="4" w:space="0" w:color="48ABFF" w:themeColor="accent1" w:themeTint="99"/>
        <w:left w:val="single" w:sz="4" w:space="0" w:color="48ABFF" w:themeColor="accent1" w:themeTint="99"/>
        <w:bottom w:val="single" w:sz="4" w:space="0" w:color="48ABFF" w:themeColor="accent1" w:themeTint="99"/>
        <w:right w:val="single" w:sz="4" w:space="0" w:color="48ABFF" w:themeColor="accent1" w:themeTint="99"/>
        <w:insideH w:val="single" w:sz="4" w:space="0" w:color="48ABFF" w:themeColor="accent1" w:themeTint="99"/>
      </w:tblBorders>
    </w:tblPr>
    <w:tblStylePr w:type="firstRow">
      <w:rPr>
        <w:b/>
        <w:bCs/>
        <w:color w:val="FFFFFF" w:themeColor="background1"/>
      </w:rPr>
      <w:tblPr/>
      <w:tcPr>
        <w:tcBorders>
          <w:top w:val="single" w:sz="4" w:space="0" w:color="0071CE" w:themeColor="accent1"/>
          <w:left w:val="single" w:sz="4" w:space="0" w:color="0071CE" w:themeColor="accent1"/>
          <w:bottom w:val="single" w:sz="4" w:space="0" w:color="0071CE" w:themeColor="accent1"/>
          <w:right w:val="single" w:sz="4" w:space="0" w:color="0071CE" w:themeColor="accent1"/>
          <w:insideH w:val="nil"/>
        </w:tcBorders>
        <w:shd w:val="clear" w:color="auto" w:fill="0071CE" w:themeFill="accent1"/>
      </w:tcPr>
    </w:tblStylePr>
    <w:tblStylePr w:type="lastRow">
      <w:rPr>
        <w:b/>
        <w:bCs/>
      </w:rPr>
      <w:tblPr/>
      <w:tcPr>
        <w:tcBorders>
          <w:top w:val="double" w:sz="4" w:space="0" w:color="48AB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6Colorful-Accent1">
    <w:name w:val="List Table 6 Colorful Accent 1"/>
    <w:basedOn w:val="TableNormal"/>
    <w:uiPriority w:val="51"/>
    <w:rsid w:val="00480202"/>
    <w:rPr>
      <w:color w:val="00539A" w:themeColor="accent1" w:themeShade="BF"/>
    </w:rPr>
    <w:tblPr>
      <w:tblStyleRowBandSize w:val="1"/>
      <w:tblStyleColBandSize w:val="1"/>
      <w:tblBorders>
        <w:top w:val="single" w:sz="4" w:space="0" w:color="0071CE" w:themeColor="accent1"/>
        <w:bottom w:val="single" w:sz="4" w:space="0" w:color="0071CE" w:themeColor="accent1"/>
      </w:tblBorders>
    </w:tblPr>
    <w:tblStylePr w:type="firstRow">
      <w:rPr>
        <w:b/>
        <w:bCs/>
      </w:rPr>
      <w:tblPr/>
      <w:tcPr>
        <w:tcBorders>
          <w:bottom w:val="single" w:sz="4" w:space="0" w:color="0071CE" w:themeColor="accent1"/>
        </w:tcBorders>
      </w:tcPr>
    </w:tblStylePr>
    <w:tblStylePr w:type="lastRow">
      <w:rPr>
        <w:b/>
        <w:bCs/>
      </w:rPr>
      <w:tblPr/>
      <w:tcPr>
        <w:tcBorders>
          <w:top w:val="double" w:sz="4" w:space="0" w:color="0071CE" w:themeColor="accent1"/>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paragraph" w:styleId="ListBullet">
    <w:name w:val="List Bullet"/>
    <w:basedOn w:val="Normal"/>
    <w:link w:val="ListBulletChar"/>
    <w:uiPriority w:val="99"/>
    <w:unhideWhenUsed/>
    <w:rsid w:val="005B1DF6"/>
    <w:pPr>
      <w:numPr>
        <w:numId w:val="3"/>
      </w:numPr>
      <w:tabs>
        <w:tab w:val="clear" w:pos="360"/>
      </w:tabs>
      <w:snapToGrid w:val="0"/>
      <w:spacing w:after="60"/>
      <w:contextualSpacing/>
    </w:pPr>
  </w:style>
  <w:style w:type="paragraph" w:styleId="ListBullet2">
    <w:name w:val="List Bullet 2"/>
    <w:basedOn w:val="Normal"/>
    <w:link w:val="ListBullet2Char"/>
    <w:uiPriority w:val="99"/>
    <w:unhideWhenUsed/>
    <w:rsid w:val="006904DD"/>
    <w:pPr>
      <w:numPr>
        <w:numId w:val="6"/>
      </w:numPr>
      <w:snapToGrid w:val="0"/>
      <w:spacing w:after="60"/>
      <w:contextualSpacing/>
    </w:pPr>
  </w:style>
  <w:style w:type="paragraph" w:styleId="ListBullet3">
    <w:name w:val="List Bullet 3"/>
    <w:basedOn w:val="Normal"/>
    <w:link w:val="ListBullet3Char"/>
    <w:uiPriority w:val="99"/>
    <w:unhideWhenUsed/>
    <w:rsid w:val="006904DD"/>
    <w:pPr>
      <w:numPr>
        <w:numId w:val="2"/>
      </w:numPr>
      <w:spacing w:after="60"/>
      <w:contextualSpacing/>
    </w:pPr>
  </w:style>
  <w:style w:type="numbering" w:customStyle="1" w:styleId="List8">
    <w:name w:val="List8"/>
    <w:uiPriority w:val="99"/>
    <w:rsid w:val="00480202"/>
    <w:pPr>
      <w:numPr>
        <w:numId w:val="4"/>
      </w:numPr>
    </w:pPr>
  </w:style>
  <w:style w:type="paragraph" w:styleId="ListNumber">
    <w:name w:val="List Number"/>
    <w:basedOn w:val="ListParagraph"/>
    <w:link w:val="ListNumberChar"/>
    <w:uiPriority w:val="99"/>
    <w:unhideWhenUsed/>
    <w:rsid w:val="00DC6706"/>
    <w:pPr>
      <w:numPr>
        <w:numId w:val="152"/>
      </w:numPr>
      <w:spacing w:after="120" w:line="240" w:lineRule="auto"/>
    </w:pPr>
  </w:style>
  <w:style w:type="numbering" w:customStyle="1" w:styleId="List9">
    <w:name w:val="List9"/>
    <w:uiPriority w:val="99"/>
    <w:rsid w:val="00FB4242"/>
    <w:pPr>
      <w:numPr>
        <w:numId w:val="5"/>
      </w:numPr>
    </w:pPr>
  </w:style>
  <w:style w:type="paragraph" w:styleId="ListNumber2">
    <w:name w:val="List Number 2"/>
    <w:basedOn w:val="ListBullet2"/>
    <w:link w:val="ListNumber2Char"/>
    <w:uiPriority w:val="99"/>
    <w:unhideWhenUsed/>
    <w:rsid w:val="006904DD"/>
    <w:pPr>
      <w:numPr>
        <w:numId w:val="7"/>
      </w:numPr>
    </w:pPr>
  </w:style>
  <w:style w:type="paragraph" w:styleId="ListNumber3">
    <w:name w:val="List Number 3"/>
    <w:basedOn w:val="Normal"/>
    <w:uiPriority w:val="99"/>
    <w:unhideWhenUsed/>
    <w:rsid w:val="00FB4242"/>
    <w:pPr>
      <w:numPr>
        <w:numId w:val="1"/>
      </w:numPr>
      <w:contextualSpacing/>
    </w:pPr>
  </w:style>
  <w:style w:type="paragraph" w:styleId="ListNumber4">
    <w:name w:val="List Number 4"/>
    <w:basedOn w:val="ListNumber3"/>
    <w:uiPriority w:val="99"/>
    <w:unhideWhenUsed/>
    <w:rsid w:val="00FB4242"/>
  </w:style>
  <w:style w:type="character" w:customStyle="1" w:styleId="Heading4Char">
    <w:name w:val="Heading 4 Char"/>
    <w:basedOn w:val="DefaultParagraphFont"/>
    <w:link w:val="Heading4"/>
    <w:uiPriority w:val="9"/>
    <w:rsid w:val="00B00405"/>
    <w:rPr>
      <w:rFonts w:asciiTheme="majorHAnsi" w:eastAsiaTheme="majorEastAsia" w:hAnsiTheme="majorHAnsi" w:cstheme="majorBidi"/>
      <w:b/>
      <w:iCs/>
    </w:rPr>
  </w:style>
  <w:style w:type="paragraph" w:styleId="TOC5">
    <w:name w:val="toc 5"/>
    <w:basedOn w:val="Normal"/>
    <w:next w:val="Normal"/>
    <w:autoRedefine/>
    <w:uiPriority w:val="39"/>
    <w:semiHidden/>
    <w:rsid w:val="00AE5853"/>
    <w:pPr>
      <w:spacing w:after="0"/>
      <w:ind w:left="960"/>
    </w:pPr>
    <w:rPr>
      <w:rFonts w:cstheme="minorHAnsi"/>
      <w:sz w:val="20"/>
      <w:szCs w:val="20"/>
    </w:rPr>
  </w:style>
  <w:style w:type="paragraph" w:styleId="TOC6">
    <w:name w:val="toc 6"/>
    <w:basedOn w:val="Normal"/>
    <w:next w:val="Normal"/>
    <w:autoRedefine/>
    <w:uiPriority w:val="39"/>
    <w:semiHidden/>
    <w:rsid w:val="00AE5853"/>
    <w:pPr>
      <w:spacing w:after="0"/>
      <w:ind w:left="1200"/>
    </w:pPr>
    <w:rPr>
      <w:rFonts w:cstheme="minorHAnsi"/>
      <w:sz w:val="20"/>
      <w:szCs w:val="20"/>
    </w:rPr>
  </w:style>
  <w:style w:type="paragraph" w:styleId="TOC7">
    <w:name w:val="toc 7"/>
    <w:basedOn w:val="Normal"/>
    <w:next w:val="Normal"/>
    <w:autoRedefine/>
    <w:uiPriority w:val="39"/>
    <w:semiHidden/>
    <w:rsid w:val="00AE5853"/>
    <w:pPr>
      <w:spacing w:after="0"/>
      <w:ind w:left="1440"/>
    </w:pPr>
    <w:rPr>
      <w:rFonts w:cstheme="minorHAnsi"/>
      <w:sz w:val="20"/>
      <w:szCs w:val="20"/>
    </w:rPr>
  </w:style>
  <w:style w:type="paragraph" w:styleId="TOC8">
    <w:name w:val="toc 8"/>
    <w:basedOn w:val="Normal"/>
    <w:next w:val="Normal"/>
    <w:autoRedefine/>
    <w:uiPriority w:val="39"/>
    <w:semiHidden/>
    <w:rsid w:val="00AE5853"/>
    <w:pPr>
      <w:spacing w:after="0"/>
      <w:ind w:left="1680"/>
    </w:pPr>
    <w:rPr>
      <w:rFonts w:cstheme="minorHAnsi"/>
      <w:sz w:val="20"/>
      <w:szCs w:val="20"/>
    </w:rPr>
  </w:style>
  <w:style w:type="paragraph" w:styleId="TOC9">
    <w:name w:val="toc 9"/>
    <w:basedOn w:val="Normal"/>
    <w:next w:val="Normal"/>
    <w:autoRedefine/>
    <w:uiPriority w:val="39"/>
    <w:semiHidden/>
    <w:rsid w:val="00AE5853"/>
    <w:pPr>
      <w:spacing w:after="0"/>
      <w:ind w:left="1920"/>
    </w:pPr>
    <w:rPr>
      <w:rFonts w:cstheme="minorHAnsi"/>
      <w:sz w:val="20"/>
      <w:szCs w:val="20"/>
    </w:rPr>
  </w:style>
  <w:style w:type="paragraph" w:customStyle="1" w:styleId="Resume-body">
    <w:name w:val="Resume - body"/>
    <w:basedOn w:val="Normal"/>
    <w:qFormat/>
    <w:rsid w:val="006C7FB7"/>
    <w:pPr>
      <w:spacing w:after="180"/>
      <w:ind w:left="446"/>
    </w:pPr>
  </w:style>
  <w:style w:type="character" w:styleId="UnresolvedMention">
    <w:name w:val="Unresolved Mention"/>
    <w:basedOn w:val="DefaultParagraphFont"/>
    <w:uiPriority w:val="99"/>
    <w:unhideWhenUsed/>
    <w:rsid w:val="001E26EE"/>
    <w:rPr>
      <w:color w:val="605E5C"/>
      <w:shd w:val="clear" w:color="auto" w:fill="E1DFDD"/>
    </w:rPr>
  </w:style>
  <w:style w:type="table" w:customStyle="1" w:styleId="Style1">
    <w:name w:val="Style1"/>
    <w:aliases w:val="FHC Sky Blue Bar – Horiz"/>
    <w:basedOn w:val="TableNormal"/>
    <w:uiPriority w:val="99"/>
    <w:rsid w:val="00615E22"/>
    <w:rPr>
      <w:sz w:val="22"/>
    </w:rPr>
    <w:tblPr>
      <w:tblStyleRowBandSize w:val="1"/>
      <w:tblBorders>
        <w:top w:val="single" w:sz="4" w:space="0" w:color="ACA39A" w:themeColor="background2"/>
        <w:left w:val="single" w:sz="4" w:space="0" w:color="ACA39A" w:themeColor="background2"/>
        <w:bottom w:val="single" w:sz="4" w:space="0" w:color="ACA39A" w:themeColor="background2"/>
        <w:right w:val="single" w:sz="4" w:space="0" w:color="ACA39A" w:themeColor="background2"/>
        <w:insideH w:val="single" w:sz="4" w:space="0" w:color="ACA39A" w:themeColor="background2"/>
        <w:insideV w:val="single" w:sz="4" w:space="0" w:color="ACA39A" w:themeColor="background2"/>
      </w:tblBorders>
    </w:tblPr>
    <w:tcPr>
      <w:vAlign w:val="center"/>
    </w:tcPr>
    <w:tblStylePr w:type="firstRow">
      <w:rPr>
        <w:rFonts w:asciiTheme="minorHAnsi" w:hAnsiTheme="minorHAnsi"/>
        <w:b/>
        <w:color w:val="FFFFFF" w:themeColor="background1"/>
        <w:sz w:val="22"/>
      </w:rPr>
      <w:tblPr/>
      <w:tcPr>
        <w:tcBorders>
          <w:top w:val="single" w:sz="4" w:space="0" w:color="ACA39A" w:themeColor="background2"/>
          <w:left w:val="single" w:sz="4" w:space="0" w:color="ACA39A" w:themeColor="background2"/>
          <w:bottom w:val="single" w:sz="4" w:space="0" w:color="ACA39A" w:themeColor="background2"/>
          <w:right w:val="single" w:sz="4" w:space="0" w:color="ACA39A" w:themeColor="background2"/>
          <w:insideH w:val="single" w:sz="4" w:space="0" w:color="ACA39A" w:themeColor="background2"/>
          <w:insideV w:val="single" w:sz="4" w:space="0" w:color="ACA39A" w:themeColor="background2"/>
        </w:tcBorders>
        <w:shd w:val="clear" w:color="auto" w:fill="0071CE" w:themeFill="accent1"/>
      </w:tcPr>
    </w:tblStylePr>
    <w:tblStylePr w:type="band1Horz">
      <w:tblPr/>
      <w:tcPr>
        <w:shd w:val="clear" w:color="auto" w:fill="EEECEA" w:themeFill="background2" w:themeFillTint="33"/>
      </w:tcPr>
    </w:tblStylePr>
    <w:tblStylePr w:type="band2Horz">
      <w:tblPr/>
      <w:tcPr>
        <w:shd w:val="clear" w:color="auto" w:fill="FFFFFF" w:themeFill="background1"/>
      </w:tcPr>
    </w:tblStylePr>
  </w:style>
  <w:style w:type="table" w:styleId="PlainTable2">
    <w:name w:val="Plain Table 2"/>
    <w:basedOn w:val="TableNormal"/>
    <w:uiPriority w:val="42"/>
    <w:rsid w:val="00186C8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ppendixTableFHC">
    <w:name w:val="Appendix Table FHC"/>
    <w:basedOn w:val="TableNormal"/>
    <w:uiPriority w:val="99"/>
    <w:rsid w:val="00586DF8"/>
    <w:pPr>
      <w:spacing w:after="80"/>
    </w:pPr>
    <w:rPr>
      <w:rFonts w:ascii="Arial Narrow" w:hAnsi="Arial Narrow"/>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bottom w:w="72" w:type="dxa"/>
      </w:tblCellMar>
    </w:tblPr>
    <w:tblStylePr w:type="firstRow">
      <w:pPr>
        <w:jc w:val="left"/>
      </w:pPr>
      <w:rPr>
        <w:rFonts w:ascii="Montserrat" w:hAnsi="Montserrat"/>
        <w:b/>
        <w:sz w:val="20"/>
      </w:rPr>
      <w:tblPr/>
      <w:tcPr>
        <w:shd w:val="clear" w:color="auto" w:fill="D4EBFE"/>
      </w:tcPr>
    </w:tblStylePr>
    <w:tblStylePr w:type="lastRow">
      <w:pPr>
        <w:jc w:val="left"/>
      </w:pPr>
      <w:rPr>
        <w:rFonts w:ascii="Montserrat" w:hAnsi="Montserrat"/>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firstCol">
      <w:rPr>
        <w:rFonts w:ascii="Montserrat" w:hAnsi="Montserrat"/>
        <w:sz w:val="20"/>
      </w:rPr>
    </w:tblStylePr>
    <w:tblStylePr w:type="lastCol">
      <w:rPr>
        <w:rFonts w:ascii="Montserrat" w:hAnsi="Montserrat"/>
        <w:sz w:val="20"/>
      </w:rPr>
    </w:tblStylePr>
    <w:tblStylePr w:type="band1Horz">
      <w:rPr>
        <w:rFonts w:ascii="Montserrat" w:hAnsi="Montserrat"/>
        <w:sz w:val="20"/>
      </w:rPr>
    </w:tblStylePr>
    <w:tblStylePr w:type="band2Horz">
      <w:rPr>
        <w:rFonts w:ascii="Montserrat" w:hAnsi="Montserrat"/>
        <w:sz w:val="20"/>
      </w:rPr>
    </w:tblStylePr>
  </w:style>
  <w:style w:type="table" w:customStyle="1" w:styleId="FHCSkyBlueBar-Vertical">
    <w:name w:val="FHC Sky Blue Bar - Vertical"/>
    <w:basedOn w:val="TableNormal"/>
    <w:uiPriority w:val="99"/>
    <w:rsid w:val="00E253C5"/>
    <w:rPr>
      <w:sz w:val="22"/>
    </w:rPr>
    <w:tblPr>
      <w:tblStyleRowBandSize w:val="1"/>
      <w:tblBorders>
        <w:top w:val="single" w:sz="4" w:space="0" w:color="ACA39A" w:themeColor="background2"/>
        <w:left w:val="single" w:sz="4" w:space="0" w:color="ACA39A" w:themeColor="background2"/>
        <w:bottom w:val="single" w:sz="4" w:space="0" w:color="ACA39A" w:themeColor="background2"/>
        <w:right w:val="single" w:sz="4" w:space="0" w:color="ACA39A" w:themeColor="background2"/>
        <w:insideH w:val="single" w:sz="4" w:space="0" w:color="ACA39A" w:themeColor="background2"/>
        <w:insideV w:val="single" w:sz="4" w:space="0" w:color="ACA39A" w:themeColor="background2"/>
      </w:tblBorders>
    </w:tblPr>
    <w:tblStylePr w:type="firstRow">
      <w:pPr>
        <w:jc w:val="left"/>
      </w:pPr>
      <w:rPr>
        <w:rFonts w:asciiTheme="minorHAnsi" w:hAnsiTheme="minorHAnsi"/>
        <w:b/>
        <w:color w:val="000000" w:themeColor="text1"/>
        <w:sz w:val="22"/>
      </w:rPr>
      <w:tblPr/>
      <w:tcPr>
        <w:shd w:val="clear" w:color="auto" w:fill="CDC7C2" w:themeFill="background2" w:themeFillTint="99"/>
        <w:vAlign w:val="center"/>
      </w:tcPr>
    </w:tblStylePr>
    <w:tblStylePr w:type="firstCol">
      <w:rPr>
        <w:rFonts w:asciiTheme="minorHAnsi" w:hAnsiTheme="minorHAnsi"/>
        <w:b/>
        <w:color w:val="FFFFFF" w:themeColor="background1"/>
        <w:sz w:val="22"/>
      </w:rPr>
      <w:tblPr/>
      <w:tcPr>
        <w:shd w:val="clear" w:color="auto" w:fill="0071CE" w:themeFill="accent1"/>
      </w:tcPr>
    </w:tblStylePr>
    <w:tblStylePr w:type="band1Horz">
      <w:tblPr/>
      <w:tcPr>
        <w:shd w:val="clear" w:color="auto" w:fill="EEECEA" w:themeFill="background2" w:themeFillTint="33"/>
      </w:tcPr>
    </w:tblStylePr>
  </w:style>
  <w:style w:type="table" w:customStyle="1" w:styleId="TeamPartnerList">
    <w:name w:val="Team/Partner List"/>
    <w:basedOn w:val="TableNormal"/>
    <w:uiPriority w:val="99"/>
    <w:rsid w:val="00E253C5"/>
    <w:rPr>
      <w:color w:val="000000" w:themeColor="text1"/>
      <w:sz w:val="22"/>
    </w:rPr>
    <w:tblPr>
      <w:tblBorders>
        <w:insideH w:val="single" w:sz="4" w:space="0" w:color="ACA39A" w:themeColor="background2"/>
      </w:tblBorders>
      <w:tblCellMar>
        <w:top w:w="101" w:type="dxa"/>
        <w:left w:w="0" w:type="dxa"/>
        <w:bottom w:w="101" w:type="dxa"/>
        <w:right w:w="0" w:type="dxa"/>
      </w:tblCellMar>
    </w:tblPr>
    <w:tblStylePr w:type="firstCol">
      <w:rPr>
        <w:rFonts w:asciiTheme="minorHAnsi" w:hAnsiTheme="minorHAnsi"/>
        <w:b/>
      </w:rPr>
    </w:tblStylePr>
  </w:style>
  <w:style w:type="table" w:customStyle="1" w:styleId="OurTeamtablewparagraph">
    <w:name w:val="Our Team table w/paragraph"/>
    <w:basedOn w:val="TableNormal"/>
    <w:uiPriority w:val="99"/>
    <w:rsid w:val="00E253C5"/>
    <w:tblPr>
      <w:tblBorders>
        <w:insideH w:val="single" w:sz="4" w:space="0" w:color="ACA39A" w:themeColor="background2"/>
      </w:tblBorders>
      <w:tblCellMar>
        <w:top w:w="187" w:type="dxa"/>
        <w:left w:w="0" w:type="dxa"/>
        <w:bottom w:w="187" w:type="dxa"/>
        <w:right w:w="0" w:type="dxa"/>
      </w:tblCellMar>
    </w:tblPr>
    <w:tblStylePr w:type="firstRow">
      <w:rPr>
        <w:rFonts w:asciiTheme="minorHAnsi" w:hAnsiTheme="minorHAnsi"/>
        <w:b/>
        <w:color w:val="595149" w:themeColor="background2" w:themeShade="80"/>
        <w:sz w:val="22"/>
      </w:rPr>
      <w:tblPr/>
      <w:tcPr>
        <w:noWrap/>
        <w:tcMar>
          <w:top w:w="0" w:type="nil"/>
          <w:left w:w="0" w:type="nil"/>
          <w:bottom w:w="94" w:type="dxa"/>
          <w:right w:w="0" w:type="nil"/>
        </w:tcMar>
      </w:tcPr>
    </w:tblStylePr>
  </w:style>
  <w:style w:type="character" w:styleId="FollowedHyperlink">
    <w:name w:val="FollowedHyperlink"/>
    <w:basedOn w:val="DefaultParagraphFont"/>
    <w:uiPriority w:val="99"/>
    <w:semiHidden/>
    <w:unhideWhenUsed/>
    <w:rsid w:val="00226659"/>
    <w:rPr>
      <w:color w:val="595149" w:themeColor="background2" w:themeShade="80"/>
      <w:u w:val="single"/>
    </w:rPr>
  </w:style>
  <w:style w:type="paragraph" w:styleId="NoSpacing">
    <w:name w:val="No Spacing"/>
    <w:basedOn w:val="Normal"/>
    <w:uiPriority w:val="1"/>
    <w:qFormat/>
    <w:rsid w:val="00076682"/>
    <w:pPr>
      <w:spacing w:after="0"/>
    </w:pPr>
    <w:rPr>
      <w:rFonts w:eastAsiaTheme="minorEastAsia" w:cs="Arial"/>
      <w:color w:val="000000" w:themeColor="text1"/>
      <w:szCs w:val="22"/>
    </w:rPr>
  </w:style>
  <w:style w:type="paragraph" w:customStyle="1" w:styleId="Bullet1">
    <w:name w:val="Bullet 1"/>
    <w:basedOn w:val="ListBullet"/>
    <w:link w:val="Bullet1Char"/>
    <w:qFormat/>
    <w:rsid w:val="005C24BA"/>
    <w:pPr>
      <w:numPr>
        <w:numId w:val="13"/>
      </w:numPr>
      <w:spacing w:before="80" w:after="100" w:afterAutospacing="1"/>
      <w:contextualSpacing w:val="0"/>
    </w:pPr>
  </w:style>
  <w:style w:type="paragraph" w:customStyle="1" w:styleId="Bullet2">
    <w:name w:val="Bullet 2"/>
    <w:basedOn w:val="ListBullet2"/>
    <w:link w:val="Bullet2Char"/>
    <w:qFormat/>
    <w:rsid w:val="006904DD"/>
    <w:pPr>
      <w:numPr>
        <w:numId w:val="10"/>
      </w:numPr>
      <w:spacing w:after="80"/>
      <w:contextualSpacing w:val="0"/>
    </w:pPr>
  </w:style>
  <w:style w:type="character" w:customStyle="1" w:styleId="ListBulletChar">
    <w:name w:val="List Bullet Char"/>
    <w:basedOn w:val="DefaultParagraphFont"/>
    <w:link w:val="ListBullet"/>
    <w:uiPriority w:val="99"/>
    <w:rsid w:val="005B1DF6"/>
  </w:style>
  <w:style w:type="character" w:customStyle="1" w:styleId="Bullet1Char">
    <w:name w:val="Bullet 1 Char"/>
    <w:basedOn w:val="ListBulletChar"/>
    <w:link w:val="Bullet1"/>
    <w:rsid w:val="005C24BA"/>
  </w:style>
  <w:style w:type="paragraph" w:customStyle="1" w:styleId="Bullet3">
    <w:name w:val="Bullet 3"/>
    <w:basedOn w:val="ListBullet3"/>
    <w:link w:val="Bullet3Char"/>
    <w:qFormat/>
    <w:rsid w:val="00E44283"/>
    <w:pPr>
      <w:numPr>
        <w:numId w:val="25"/>
      </w:numPr>
      <w:spacing w:after="40"/>
      <w:contextualSpacing w:val="0"/>
    </w:pPr>
  </w:style>
  <w:style w:type="character" w:customStyle="1" w:styleId="ListBullet2Char">
    <w:name w:val="List Bullet 2 Char"/>
    <w:basedOn w:val="DefaultParagraphFont"/>
    <w:link w:val="ListBullet2"/>
    <w:uiPriority w:val="99"/>
    <w:rsid w:val="00C847A2"/>
    <w:rPr>
      <w:rFonts w:ascii="Arial" w:eastAsiaTheme="minorEastAsia" w:hAnsi="Arial" w:cs="Arial"/>
      <w:color w:val="000000" w:themeColor="text1"/>
      <w:szCs w:val="22"/>
    </w:rPr>
  </w:style>
  <w:style w:type="character" w:customStyle="1" w:styleId="Bullet2Char">
    <w:name w:val="Bullet 2 Char"/>
    <w:basedOn w:val="ListBullet2Char"/>
    <w:link w:val="Bullet2"/>
    <w:rsid w:val="00E724F9"/>
    <w:rPr>
      <w:rFonts w:ascii="Arial" w:eastAsiaTheme="minorEastAsia" w:hAnsi="Arial" w:cs="Arial"/>
      <w:color w:val="000000" w:themeColor="text1"/>
      <w:szCs w:val="22"/>
    </w:rPr>
  </w:style>
  <w:style w:type="paragraph" w:customStyle="1" w:styleId="List1">
    <w:name w:val="List 1"/>
    <w:basedOn w:val="ListNumber"/>
    <w:link w:val="List1Char"/>
    <w:qFormat/>
    <w:rsid w:val="003417FC"/>
    <w:pPr>
      <w:ind w:left="547"/>
    </w:pPr>
    <w:rPr>
      <w:rFonts w:cstheme="minorHAnsi"/>
    </w:rPr>
  </w:style>
  <w:style w:type="character" w:customStyle="1" w:styleId="ListBullet3Char">
    <w:name w:val="List Bullet 3 Char"/>
    <w:basedOn w:val="DefaultParagraphFont"/>
    <w:link w:val="ListBullet3"/>
    <w:uiPriority w:val="99"/>
    <w:rsid w:val="00C847A2"/>
    <w:rPr>
      <w:rFonts w:ascii="Arial" w:eastAsiaTheme="minorEastAsia" w:hAnsi="Arial" w:cs="Arial"/>
      <w:color w:val="000000" w:themeColor="text1"/>
      <w:szCs w:val="22"/>
    </w:rPr>
  </w:style>
  <w:style w:type="character" w:customStyle="1" w:styleId="Bullet3Char">
    <w:name w:val="Bullet 3 Char"/>
    <w:basedOn w:val="ListBullet3Char"/>
    <w:link w:val="Bullet3"/>
    <w:rsid w:val="00E44283"/>
    <w:rPr>
      <w:rFonts w:ascii="Arial" w:eastAsiaTheme="minorEastAsia" w:hAnsi="Arial" w:cs="Arial"/>
      <w:color w:val="000000" w:themeColor="text1"/>
      <w:szCs w:val="22"/>
    </w:rPr>
  </w:style>
  <w:style w:type="character" w:customStyle="1" w:styleId="ListNumberChar">
    <w:name w:val="List Number Char"/>
    <w:basedOn w:val="ListBulletChar"/>
    <w:link w:val="ListNumber"/>
    <w:uiPriority w:val="99"/>
    <w:rsid w:val="00DC6706"/>
    <w:rPr>
      <w:szCs w:val="22"/>
    </w:rPr>
  </w:style>
  <w:style w:type="character" w:customStyle="1" w:styleId="List1Char">
    <w:name w:val="List 1 Char"/>
    <w:basedOn w:val="ListNumberChar"/>
    <w:link w:val="List1"/>
    <w:rsid w:val="003417FC"/>
    <w:rPr>
      <w:rFonts w:cstheme="minorHAnsi"/>
      <w:szCs w:val="22"/>
    </w:rPr>
  </w:style>
  <w:style w:type="character" w:customStyle="1" w:styleId="ListNumber2Char">
    <w:name w:val="List Number 2 Char"/>
    <w:basedOn w:val="ListBullet2Char"/>
    <w:link w:val="ListNumber2"/>
    <w:uiPriority w:val="99"/>
    <w:rsid w:val="00C847A2"/>
    <w:rPr>
      <w:rFonts w:ascii="Arial" w:eastAsiaTheme="minorEastAsia" w:hAnsi="Arial" w:cs="Arial"/>
      <w:color w:val="000000" w:themeColor="text1"/>
      <w:szCs w:val="22"/>
    </w:rPr>
  </w:style>
  <w:style w:type="character" w:styleId="CommentReference">
    <w:name w:val="annotation reference"/>
    <w:basedOn w:val="DefaultParagraphFont"/>
    <w:uiPriority w:val="99"/>
    <w:semiHidden/>
    <w:rsid w:val="009A621C"/>
    <w:rPr>
      <w:sz w:val="22"/>
      <w:szCs w:val="16"/>
    </w:rPr>
  </w:style>
  <w:style w:type="paragraph" w:styleId="CommentText">
    <w:name w:val="annotation text"/>
    <w:basedOn w:val="Normal"/>
    <w:link w:val="CommentTextChar"/>
    <w:uiPriority w:val="99"/>
    <w:rsid w:val="009A621C"/>
    <w:pPr>
      <w:spacing w:after="0"/>
    </w:pPr>
    <w:rPr>
      <w:sz w:val="22"/>
      <w:szCs w:val="20"/>
    </w:rPr>
  </w:style>
  <w:style w:type="character" w:customStyle="1" w:styleId="CommentTextChar">
    <w:name w:val="Comment Text Char"/>
    <w:basedOn w:val="DefaultParagraphFont"/>
    <w:link w:val="CommentText"/>
    <w:uiPriority w:val="99"/>
    <w:rsid w:val="006A5FA4"/>
    <w:rPr>
      <w:sz w:val="22"/>
      <w:szCs w:val="20"/>
    </w:rPr>
  </w:style>
  <w:style w:type="paragraph" w:customStyle="1" w:styleId="FHCAppendixH1">
    <w:name w:val="FHC Appendix H1"/>
    <w:basedOn w:val="Heading1"/>
    <w:link w:val="FHCAppendixH1Char"/>
    <w:qFormat/>
    <w:rsid w:val="00466D8A"/>
    <w:pPr>
      <w:keepNext/>
      <w:numPr>
        <w:numId w:val="0"/>
      </w:numPr>
      <w:spacing w:before="0"/>
    </w:pPr>
  </w:style>
  <w:style w:type="character" w:customStyle="1" w:styleId="FHCAppendixH1Char">
    <w:name w:val="FHC Appendix H1 Char"/>
    <w:basedOn w:val="Heading1Char"/>
    <w:link w:val="FHCAppendixH1"/>
    <w:rsid w:val="00466D8A"/>
    <w:rPr>
      <w:rFonts w:asciiTheme="majorHAnsi" w:eastAsiaTheme="minorEastAsia" w:hAnsiTheme="majorHAnsi" w:cs="Arial"/>
      <w:b/>
      <w:color w:val="000000" w:themeColor="text1"/>
      <w:spacing w:val="-10"/>
      <w:kern w:val="28"/>
      <w:sz w:val="26"/>
      <w:szCs w:val="26"/>
    </w:rPr>
  </w:style>
  <w:style w:type="paragraph" w:customStyle="1" w:styleId="Cover-SubmitDate">
    <w:name w:val="Cover - Submit Date"/>
    <w:basedOn w:val="Cover-FileandSubmissioninfo"/>
    <w:qFormat/>
    <w:rsid w:val="00066100"/>
    <w:pPr>
      <w:widowControl w:val="0"/>
      <w:autoSpaceDE w:val="0"/>
      <w:autoSpaceDN w:val="0"/>
      <w:spacing w:before="2520" w:after="0"/>
    </w:pPr>
    <w:rPr>
      <w:rFonts w:eastAsia="Arial" w:cs="Times New Roman"/>
      <w:i/>
    </w:rPr>
  </w:style>
  <w:style w:type="table" w:customStyle="1" w:styleId="AppendixTable2FHC">
    <w:name w:val="Appendix Table2 FHC"/>
    <w:basedOn w:val="TableNormal"/>
    <w:uiPriority w:val="99"/>
    <w:rsid w:val="008045ED"/>
    <w:pPr>
      <w:spacing w:after="0"/>
    </w:pPr>
    <w:rPr>
      <w:rFonts w:ascii="Arial Narrow" w:hAnsi="Arial Narrow"/>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CDC7C2" w:themeFill="background2" w:themeFillTint="99"/>
      </w:tcPr>
    </w:tblStylePr>
    <w:tblStylePr w:type="firstCol">
      <w:rPr>
        <w:b/>
      </w:rPr>
    </w:tblStylePr>
  </w:style>
  <w:style w:type="paragraph" w:customStyle="1" w:styleId="Header1">
    <w:name w:val="Header 1"/>
    <w:basedOn w:val="Header"/>
    <w:link w:val="Header1Char"/>
    <w:qFormat/>
    <w:rsid w:val="00572357"/>
    <w:pPr>
      <w:pBdr>
        <w:bottom w:val="single" w:sz="4" w:space="2" w:color="auto"/>
      </w:pBdr>
      <w:tabs>
        <w:tab w:val="clear" w:pos="4680"/>
        <w:tab w:val="clear" w:pos="9360"/>
      </w:tabs>
      <w:spacing w:after="360" w:line="276" w:lineRule="auto"/>
      <w:contextualSpacing/>
      <w:jc w:val="center"/>
    </w:pPr>
    <w:rPr>
      <w:sz w:val="22"/>
      <w:szCs w:val="23"/>
    </w:rPr>
  </w:style>
  <w:style w:type="character" w:customStyle="1" w:styleId="Header1Char">
    <w:name w:val="Header 1 Char"/>
    <w:basedOn w:val="HeaderChar"/>
    <w:link w:val="Header1"/>
    <w:rsid w:val="00572357"/>
    <w:rPr>
      <w:rFonts w:ascii="Montserrat" w:eastAsiaTheme="minorEastAsia" w:hAnsi="Montserrat"/>
      <w:color w:val="00074F"/>
      <w:sz w:val="22"/>
      <w:szCs w:val="23"/>
    </w:rPr>
  </w:style>
  <w:style w:type="paragraph" w:styleId="ListParagraph">
    <w:name w:val="List Paragraph"/>
    <w:aliases w:val="Bullet List"/>
    <w:basedOn w:val="Normal"/>
    <w:link w:val="ListParagraphChar"/>
    <w:uiPriority w:val="34"/>
    <w:qFormat/>
    <w:rsid w:val="0021674F"/>
    <w:pPr>
      <w:numPr>
        <w:numId w:val="45"/>
      </w:numPr>
      <w:spacing w:before="20" w:after="60" w:line="264" w:lineRule="auto"/>
    </w:pPr>
    <w:rPr>
      <w:szCs w:val="22"/>
    </w:rPr>
  </w:style>
  <w:style w:type="character" w:customStyle="1" w:styleId="ListParagraphChar">
    <w:name w:val="List Paragraph Char"/>
    <w:aliases w:val="Bullet List Char"/>
    <w:basedOn w:val="DefaultParagraphFont"/>
    <w:link w:val="ListParagraph"/>
    <w:uiPriority w:val="34"/>
    <w:locked/>
    <w:rsid w:val="0021674F"/>
    <w:rPr>
      <w:szCs w:val="22"/>
    </w:rPr>
  </w:style>
  <w:style w:type="table" w:customStyle="1" w:styleId="TableGrid1">
    <w:name w:val="Table Grid1"/>
    <w:basedOn w:val="TableNormal"/>
    <w:next w:val="TableGrid"/>
    <w:uiPriority w:val="39"/>
    <w:rsid w:val="00BF73A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QtableHeader">
    <w:name w:val="RQ table Header"/>
    <w:basedOn w:val="TableNormal"/>
    <w:uiPriority w:val="99"/>
    <w:rsid w:val="004455E2"/>
    <w:pPr>
      <w:spacing w:after="60"/>
    </w:pPr>
    <w:rPr>
      <w:sz w:val="20"/>
    </w:rPr>
    <w:tblPr>
      <w:tblStyleRowBandSize w:val="1"/>
      <w:tblStyleColBandSize w:val="1"/>
      <w:tblBorders>
        <w:top w:val="single" w:sz="4" w:space="0" w:color="ACA39A" w:themeColor="background2"/>
        <w:left w:val="single" w:sz="4" w:space="0" w:color="ACA39A" w:themeColor="background2"/>
        <w:bottom w:val="single" w:sz="4" w:space="0" w:color="ACA39A" w:themeColor="background2"/>
        <w:right w:val="single" w:sz="4" w:space="0" w:color="ACA39A" w:themeColor="background2"/>
        <w:insideH w:val="single" w:sz="4" w:space="0" w:color="ACA39A" w:themeColor="background2"/>
        <w:insideV w:val="single" w:sz="4" w:space="0" w:color="ACA39A" w:themeColor="background2"/>
      </w:tblBorders>
    </w:tblPr>
    <w:tblStylePr w:type="firstRow">
      <w:pPr>
        <w:jc w:val="left"/>
      </w:pPr>
      <w:rPr>
        <w:rFonts w:asciiTheme="minorHAnsi" w:hAnsiTheme="minorHAnsi"/>
        <w:b/>
        <w:sz w:val="20"/>
      </w:rPr>
      <w:tblPr/>
      <w:tcPr>
        <w:shd w:val="clear" w:color="auto" w:fill="DDDAD6" w:themeFill="background2" w:themeFillTint="66"/>
      </w:tcPr>
    </w:tblStylePr>
    <w:tblStylePr w:type="lastRow">
      <w:rPr>
        <w:rFonts w:asciiTheme="minorHAnsi" w:hAnsiTheme="minorHAnsi"/>
        <w:sz w:val="20"/>
      </w:rPr>
    </w:tblStylePr>
    <w:tblStylePr w:type="firstCol">
      <w:rPr>
        <w:rFonts w:asciiTheme="minorHAnsi" w:hAnsiTheme="minorHAnsi"/>
        <w:sz w:val="20"/>
      </w:rPr>
    </w:tblStylePr>
    <w:tblStylePr w:type="lastCol">
      <w:rPr>
        <w:rFonts w:asciiTheme="minorHAnsi" w:hAnsiTheme="minorHAnsi"/>
        <w:sz w:val="20"/>
      </w:rPr>
    </w:tblStylePr>
    <w:tblStylePr w:type="band1Vert">
      <w:rPr>
        <w:rFonts w:asciiTheme="minorHAnsi" w:hAnsiTheme="minorHAnsi"/>
        <w:sz w:val="20"/>
      </w:rPr>
    </w:tblStylePr>
    <w:tblStylePr w:type="band2Vert">
      <w:rPr>
        <w:rFonts w:asciiTheme="minorHAnsi" w:hAnsiTheme="minorHAnsi"/>
        <w:sz w:val="20"/>
      </w:rPr>
    </w:tblStylePr>
    <w:tblStylePr w:type="band1Horz">
      <w:rPr>
        <w:rFonts w:asciiTheme="minorHAnsi" w:hAnsiTheme="minorHAnsi"/>
        <w:sz w:val="20"/>
      </w:rPr>
    </w:tblStylePr>
    <w:tblStylePr w:type="band2Horz">
      <w:rPr>
        <w:rFonts w:asciiTheme="minorHAnsi" w:hAnsiTheme="minorHAnsi"/>
        <w:sz w:val="20"/>
      </w:rPr>
    </w:tblStylePr>
  </w:style>
  <w:style w:type="paragraph" w:styleId="DocumentMap">
    <w:name w:val="Document Map"/>
    <w:basedOn w:val="Normal"/>
    <w:link w:val="DocumentMapChar"/>
    <w:uiPriority w:val="99"/>
    <w:semiHidden/>
    <w:unhideWhenUsed/>
    <w:rsid w:val="009A621C"/>
    <w:pPr>
      <w:spacing w:after="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9A621C"/>
    <w:rPr>
      <w:rFonts w:ascii="Segoe UI" w:hAnsi="Segoe UI" w:cs="Segoe UI"/>
      <w:sz w:val="22"/>
      <w:szCs w:val="16"/>
    </w:rPr>
  </w:style>
  <w:style w:type="table" w:styleId="ListTable3-Accent1">
    <w:name w:val="List Table 3 Accent 1"/>
    <w:basedOn w:val="TableNormal"/>
    <w:uiPriority w:val="48"/>
    <w:rsid w:val="00807A3B"/>
    <w:rPr>
      <w:sz w:val="22"/>
      <w:szCs w:val="22"/>
    </w:rPr>
    <w:tblPr>
      <w:tblStyleRowBandSize w:val="1"/>
      <w:tblStyleColBandSize w:val="1"/>
      <w:tblBorders>
        <w:top w:val="single" w:sz="4" w:space="0" w:color="0071CE" w:themeColor="accent1"/>
        <w:left w:val="single" w:sz="4" w:space="0" w:color="0071CE" w:themeColor="accent1"/>
        <w:bottom w:val="single" w:sz="4" w:space="0" w:color="0071CE" w:themeColor="accent1"/>
        <w:right w:val="single" w:sz="4" w:space="0" w:color="0071CE" w:themeColor="accent1"/>
      </w:tblBorders>
    </w:tblPr>
    <w:tblStylePr w:type="firstRow">
      <w:rPr>
        <w:b/>
        <w:bCs/>
        <w:color w:val="FFFFFF" w:themeColor="background1"/>
      </w:rPr>
      <w:tblPr/>
      <w:tcPr>
        <w:shd w:val="clear" w:color="auto" w:fill="0071CE" w:themeFill="accent1"/>
      </w:tcPr>
    </w:tblStylePr>
    <w:tblStylePr w:type="lastRow">
      <w:rPr>
        <w:b/>
        <w:bCs/>
      </w:rPr>
      <w:tblPr/>
      <w:tcPr>
        <w:tcBorders>
          <w:top w:val="double" w:sz="4" w:space="0" w:color="0071C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1CE" w:themeColor="accent1"/>
          <w:right w:val="single" w:sz="4" w:space="0" w:color="0071CE" w:themeColor="accent1"/>
        </w:tcBorders>
      </w:tcPr>
    </w:tblStylePr>
    <w:tblStylePr w:type="band1Horz">
      <w:tblPr/>
      <w:tcPr>
        <w:tcBorders>
          <w:top w:val="single" w:sz="4" w:space="0" w:color="0071CE" w:themeColor="accent1"/>
          <w:bottom w:val="single" w:sz="4" w:space="0" w:color="0071C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1CE" w:themeColor="accent1"/>
          <w:left w:val="nil"/>
        </w:tcBorders>
      </w:tcPr>
    </w:tblStylePr>
    <w:tblStylePr w:type="swCell">
      <w:tblPr/>
      <w:tcPr>
        <w:tcBorders>
          <w:top w:val="double" w:sz="4" w:space="0" w:color="0071CE" w:themeColor="accent1"/>
          <w:right w:val="nil"/>
        </w:tcBorders>
      </w:tcPr>
    </w:tblStylePr>
  </w:style>
  <w:style w:type="paragraph" w:styleId="PlainText">
    <w:name w:val="Plain Text"/>
    <w:basedOn w:val="Normal"/>
    <w:link w:val="PlainTextChar"/>
    <w:uiPriority w:val="99"/>
    <w:semiHidden/>
    <w:unhideWhenUsed/>
    <w:rsid w:val="009A621C"/>
    <w:pPr>
      <w:spacing w:after="0"/>
    </w:pPr>
    <w:rPr>
      <w:rFonts w:ascii="Consolas" w:hAnsi="Consolas"/>
      <w:sz w:val="22"/>
      <w:szCs w:val="21"/>
    </w:rPr>
  </w:style>
  <w:style w:type="character" w:styleId="BookTitle">
    <w:name w:val="Book Title"/>
    <w:basedOn w:val="DefaultParagraphFont"/>
    <w:uiPriority w:val="33"/>
    <w:rsid w:val="00BE4498"/>
    <w:rPr>
      <w:b/>
      <w:bCs/>
      <w:i/>
      <w:iCs/>
      <w:spacing w:val="5"/>
    </w:rPr>
  </w:style>
  <w:style w:type="paragraph" w:styleId="Subtitle">
    <w:name w:val="Subtitle"/>
    <w:basedOn w:val="ListParagraph"/>
    <w:next w:val="Normal"/>
    <w:link w:val="SubtitleChar"/>
    <w:uiPriority w:val="11"/>
    <w:unhideWhenUsed/>
    <w:qFormat/>
    <w:rsid w:val="006904DD"/>
    <w:pPr>
      <w:numPr>
        <w:numId w:val="17"/>
      </w:numPr>
    </w:pPr>
  </w:style>
  <w:style w:type="character" w:customStyle="1" w:styleId="SubtitleChar">
    <w:name w:val="Subtitle Char"/>
    <w:basedOn w:val="DefaultParagraphFont"/>
    <w:link w:val="Subtitle"/>
    <w:uiPriority w:val="11"/>
    <w:rsid w:val="00AE60FB"/>
    <w:rPr>
      <w:szCs w:val="22"/>
    </w:rPr>
  </w:style>
  <w:style w:type="paragraph" w:styleId="Caption">
    <w:name w:val="caption"/>
    <w:basedOn w:val="Normal"/>
    <w:next w:val="Normal"/>
    <w:uiPriority w:val="35"/>
    <w:unhideWhenUsed/>
    <w:qFormat/>
    <w:rsid w:val="00AE67C0"/>
    <w:pPr>
      <w:spacing w:after="120"/>
    </w:pPr>
    <w:rPr>
      <w:b/>
      <w:i/>
      <w:iCs/>
      <w:color w:val="000000" w:themeColor="text1"/>
      <w:sz w:val="22"/>
      <w:szCs w:val="18"/>
    </w:rPr>
  </w:style>
  <w:style w:type="paragraph" w:styleId="Revision">
    <w:name w:val="Revision"/>
    <w:hidden/>
    <w:uiPriority w:val="99"/>
    <w:semiHidden/>
    <w:rsid w:val="00C313F0"/>
    <w:rPr>
      <w:rFonts w:ascii="Arial" w:eastAsiaTheme="minorEastAsia" w:hAnsi="Arial" w:cs="Arial"/>
      <w:color w:val="000000" w:themeColor="text1"/>
      <w:szCs w:val="22"/>
    </w:rPr>
  </w:style>
  <w:style w:type="paragraph" w:styleId="BodyText">
    <w:name w:val="Body Text"/>
    <w:basedOn w:val="Normal"/>
    <w:link w:val="BodyTextChar"/>
    <w:uiPriority w:val="1"/>
    <w:qFormat/>
    <w:rsid w:val="00393073"/>
    <w:pPr>
      <w:widowControl w:val="0"/>
      <w:autoSpaceDE w:val="0"/>
      <w:autoSpaceDN w:val="0"/>
      <w:spacing w:after="0"/>
    </w:pPr>
    <w:rPr>
      <w:rFonts w:eastAsia="Arial"/>
    </w:rPr>
  </w:style>
  <w:style w:type="character" w:customStyle="1" w:styleId="BodyTextChar">
    <w:name w:val="Body Text Char"/>
    <w:basedOn w:val="DefaultParagraphFont"/>
    <w:link w:val="BodyText"/>
    <w:uiPriority w:val="1"/>
    <w:rsid w:val="00393073"/>
    <w:rPr>
      <w:rFonts w:ascii="Arial" w:eastAsia="Arial" w:hAnsi="Arial" w:cs="Arial"/>
    </w:rPr>
  </w:style>
  <w:style w:type="character" w:customStyle="1" w:styleId="Heading6Char">
    <w:name w:val="Heading 6 Char"/>
    <w:basedOn w:val="DefaultParagraphFont"/>
    <w:link w:val="Heading6"/>
    <w:uiPriority w:val="9"/>
    <w:rsid w:val="00B26BBC"/>
    <w:rPr>
      <w:rFonts w:eastAsiaTheme="majorEastAsia" w:cstheme="majorBidi"/>
      <w:b/>
      <w:bCs/>
      <w:color w:val="000000" w:themeColor="text1"/>
    </w:rPr>
  </w:style>
  <w:style w:type="character" w:customStyle="1" w:styleId="PlainTextChar">
    <w:name w:val="Plain Text Char"/>
    <w:basedOn w:val="DefaultParagraphFont"/>
    <w:link w:val="PlainText"/>
    <w:uiPriority w:val="99"/>
    <w:semiHidden/>
    <w:rsid w:val="009A621C"/>
    <w:rPr>
      <w:rFonts w:ascii="Consolas" w:hAnsi="Consolas"/>
      <w:sz w:val="22"/>
      <w:szCs w:val="21"/>
    </w:rPr>
  </w:style>
  <w:style w:type="paragraph" w:customStyle="1" w:styleId="DataList">
    <w:name w:val="Data List"/>
    <w:basedOn w:val="ListNumber"/>
    <w:link w:val="DataListChar"/>
    <w:qFormat/>
    <w:rsid w:val="00E352FB"/>
  </w:style>
  <w:style w:type="table" w:customStyle="1" w:styleId="Style3">
    <w:name w:val="Style3"/>
    <w:aliases w:val="FHC Navy Bar - Horiz"/>
    <w:basedOn w:val="TableNormal"/>
    <w:uiPriority w:val="99"/>
    <w:rsid w:val="001B52EF"/>
    <w:rPr>
      <w:sz w:val="22"/>
    </w:rPr>
    <w:tblPr>
      <w:tblStyleRowBandSize w:val="1"/>
      <w:tblBorders>
        <w:top w:val="single" w:sz="4" w:space="0" w:color="ACA39A" w:themeColor="background2"/>
        <w:left w:val="single" w:sz="4" w:space="0" w:color="ACA39A" w:themeColor="background2"/>
        <w:bottom w:val="single" w:sz="4" w:space="0" w:color="ACA39A" w:themeColor="background2"/>
        <w:right w:val="single" w:sz="4" w:space="0" w:color="ACA39A" w:themeColor="background2"/>
        <w:insideH w:val="single" w:sz="4" w:space="0" w:color="ACA39A" w:themeColor="background2"/>
        <w:insideV w:val="single" w:sz="4" w:space="0" w:color="ACA39A" w:themeColor="background2"/>
      </w:tblBorders>
    </w:tblPr>
    <w:tblStylePr w:type="firstRow">
      <w:pPr>
        <w:jc w:val="left"/>
      </w:pPr>
      <w:rPr>
        <w:b/>
      </w:rPr>
      <w:tblPr/>
      <w:tcPr>
        <w:shd w:val="clear" w:color="auto" w:fill="00074F" w:themeFill="text2"/>
        <w:vAlign w:val="center"/>
      </w:tcPr>
    </w:tblStylePr>
    <w:tblStylePr w:type="band1Horz">
      <w:tblPr/>
      <w:tcPr>
        <w:shd w:val="clear" w:color="auto" w:fill="EEECEA" w:themeFill="background2" w:themeFillTint="33"/>
      </w:tcPr>
    </w:tblStylePr>
  </w:style>
  <w:style w:type="character" w:customStyle="1" w:styleId="DataListChar">
    <w:name w:val="Data List Char"/>
    <w:basedOn w:val="ListNumberChar"/>
    <w:link w:val="DataList"/>
    <w:rsid w:val="00E352FB"/>
    <w:rPr>
      <w:rFonts w:ascii="Arial" w:eastAsiaTheme="minorEastAsia" w:hAnsi="Arial" w:cs="Arial"/>
      <w:color w:val="000000" w:themeColor="text1"/>
      <w:szCs w:val="22"/>
    </w:rPr>
  </w:style>
  <w:style w:type="paragraph" w:styleId="CommentSubject">
    <w:name w:val="annotation subject"/>
    <w:basedOn w:val="CommentText"/>
    <w:next w:val="CommentText"/>
    <w:link w:val="CommentSubjectChar"/>
    <w:uiPriority w:val="99"/>
    <w:semiHidden/>
    <w:rsid w:val="009A621C"/>
    <w:rPr>
      <w:b/>
      <w:bCs/>
    </w:rPr>
  </w:style>
  <w:style w:type="character" w:customStyle="1" w:styleId="CommentSubjectChar">
    <w:name w:val="Comment Subject Char"/>
    <w:basedOn w:val="CommentTextChar"/>
    <w:link w:val="CommentSubject"/>
    <w:uiPriority w:val="99"/>
    <w:semiHidden/>
    <w:rsid w:val="006A5FA4"/>
    <w:rPr>
      <w:b/>
      <w:bCs/>
      <w:sz w:val="22"/>
      <w:szCs w:val="20"/>
    </w:rPr>
  </w:style>
  <w:style w:type="paragraph" w:styleId="EndnoteText">
    <w:name w:val="endnote text"/>
    <w:basedOn w:val="Normal"/>
    <w:link w:val="EndnoteTextChar"/>
    <w:uiPriority w:val="99"/>
    <w:semiHidden/>
    <w:unhideWhenUsed/>
    <w:rsid w:val="009A621C"/>
    <w:pPr>
      <w:spacing w:after="0"/>
    </w:pPr>
    <w:rPr>
      <w:sz w:val="22"/>
      <w:szCs w:val="20"/>
    </w:rPr>
  </w:style>
  <w:style w:type="character" w:customStyle="1" w:styleId="EndnoteTextChar">
    <w:name w:val="Endnote Text Char"/>
    <w:basedOn w:val="DefaultParagraphFont"/>
    <w:link w:val="EndnoteText"/>
    <w:uiPriority w:val="99"/>
    <w:semiHidden/>
    <w:rsid w:val="009A621C"/>
    <w:rPr>
      <w:sz w:val="22"/>
      <w:szCs w:val="20"/>
    </w:rPr>
  </w:style>
  <w:style w:type="character" w:styleId="EndnoteReference">
    <w:name w:val="endnote reference"/>
    <w:basedOn w:val="DefaultParagraphFont"/>
    <w:uiPriority w:val="99"/>
    <w:semiHidden/>
    <w:unhideWhenUsed/>
    <w:rsid w:val="001B52EF"/>
    <w:rPr>
      <w:vertAlign w:val="superscript"/>
    </w:rPr>
  </w:style>
  <w:style w:type="character" w:styleId="Strong">
    <w:name w:val="Strong"/>
    <w:basedOn w:val="DefaultParagraphFont"/>
    <w:uiPriority w:val="22"/>
    <w:rsid w:val="00BC742E"/>
    <w:rPr>
      <w:b/>
      <w:bCs/>
    </w:rPr>
  </w:style>
  <w:style w:type="table" w:customStyle="1" w:styleId="AppendixTable1FHc">
    <w:name w:val="Appendix Table1 FHc"/>
    <w:basedOn w:val="TableNormal"/>
    <w:uiPriority w:val="99"/>
    <w:rsid w:val="00C06B39"/>
    <w:rPr>
      <w:sz w:val="22"/>
    </w:rPr>
    <w:tblPr>
      <w:tblStyleRowBandSize w:val="1"/>
      <w:tblBorders>
        <w:top w:val="single" w:sz="4" w:space="0" w:color="ACA39A" w:themeColor="background2"/>
        <w:left w:val="single" w:sz="4" w:space="0" w:color="ACA39A" w:themeColor="background2"/>
        <w:bottom w:val="single" w:sz="4" w:space="0" w:color="ACA39A" w:themeColor="background2"/>
        <w:right w:val="single" w:sz="4" w:space="0" w:color="ACA39A" w:themeColor="background2"/>
        <w:insideH w:val="single" w:sz="4" w:space="0" w:color="ACA39A" w:themeColor="background2"/>
        <w:insideV w:val="single" w:sz="4" w:space="0" w:color="ACA39A" w:themeColor="background2"/>
      </w:tblBorders>
    </w:tblPr>
    <w:tcPr>
      <w:vAlign w:val="center"/>
    </w:tcPr>
    <w:tblStylePr w:type="firstRow">
      <w:rPr>
        <w:rFonts w:asciiTheme="minorHAnsi" w:hAnsiTheme="minorHAnsi"/>
        <w:b/>
        <w:color w:val="FFFFFF" w:themeColor="background1"/>
        <w:sz w:val="22"/>
      </w:rPr>
      <w:tblPr/>
      <w:tcPr>
        <w:shd w:val="clear" w:color="auto" w:fill="008BFE"/>
      </w:tcPr>
    </w:tblStylePr>
    <w:tblStylePr w:type="lastRow">
      <w:rPr>
        <w:rFonts w:ascii="Arial" w:hAnsi="Arial"/>
        <w:sz w:val="22"/>
      </w:rPr>
    </w:tblStylePr>
    <w:tblStylePr w:type="band1Horz">
      <w:tblPr/>
      <w:tcPr>
        <w:shd w:val="clear" w:color="auto" w:fill="EEECEA" w:themeFill="background2" w:themeFillTint="33"/>
      </w:tcPr>
    </w:tblStylePr>
    <w:tblStylePr w:type="band2Horz">
      <w:tblPr/>
      <w:tcPr>
        <w:shd w:val="clear" w:color="auto" w:fill="FFFFFF" w:themeFill="background1"/>
      </w:tcPr>
    </w:tblStylePr>
  </w:style>
  <w:style w:type="character" w:customStyle="1" w:styleId="footnotemark">
    <w:name w:val="footnote mark"/>
    <w:hidden/>
    <w:rsid w:val="00C06B39"/>
    <w:rPr>
      <w:rFonts w:ascii="Times New Roman" w:eastAsia="Times New Roman" w:hAnsi="Times New Roman" w:cs="Times New Roman"/>
      <w:color w:val="000000"/>
      <w:sz w:val="20"/>
      <w:vertAlign w:val="superscript"/>
    </w:rPr>
  </w:style>
  <w:style w:type="numbering" w:customStyle="1" w:styleId="NoList1">
    <w:name w:val="No List1"/>
    <w:next w:val="NoList"/>
    <w:uiPriority w:val="99"/>
    <w:semiHidden/>
    <w:unhideWhenUsed/>
    <w:rsid w:val="00C06B39"/>
  </w:style>
  <w:style w:type="paragraph" w:customStyle="1" w:styleId="footnotedescription">
    <w:name w:val="footnote description"/>
    <w:next w:val="Normal"/>
    <w:link w:val="footnotedescriptionChar"/>
    <w:hidden/>
    <w:rsid w:val="00C06B39"/>
    <w:pPr>
      <w:spacing w:line="259" w:lineRule="auto"/>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C06B39"/>
    <w:rPr>
      <w:rFonts w:ascii="Times New Roman" w:eastAsia="Times New Roman" w:hAnsi="Times New Roman" w:cs="Times New Roman"/>
      <w:color w:val="000000"/>
      <w:sz w:val="20"/>
    </w:rPr>
  </w:style>
  <w:style w:type="table" w:customStyle="1" w:styleId="FHCTableStyle2narrow">
    <w:name w:val="FHC TableStyle2_narrow"/>
    <w:basedOn w:val="TableNormal"/>
    <w:uiPriority w:val="99"/>
    <w:rsid w:val="00E11394"/>
    <w:pPr>
      <w:spacing w:after="0"/>
      <w:jc w:val="center"/>
    </w:pPr>
    <w:rPr>
      <w:rFonts w:ascii="Arial Narrow" w:hAnsi="Arial Narrow"/>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86" w:type="dxa"/>
        <w:bottom w:w="29" w:type="dxa"/>
        <w:right w:w="86" w:type="dxa"/>
      </w:tblCellMar>
    </w:tblPr>
    <w:trPr>
      <w:cantSplit/>
    </w:trPr>
    <w:tcPr>
      <w:vAlign w:val="center"/>
    </w:tcPr>
    <w:tblStylePr w:type="firstRow">
      <w:rPr>
        <w:b/>
      </w:rPr>
      <w:tblPr/>
      <w:tcPr>
        <w:shd w:val="clear" w:color="auto" w:fill="C2E3FF" w:themeFill="accent1" w:themeFillTint="33"/>
      </w:tcPr>
    </w:tblStylePr>
    <w:tblStylePr w:type="firstCol">
      <w:pPr>
        <w:jc w:val="left"/>
      </w:pPr>
      <w:rPr>
        <w:b w:val="0"/>
      </w:rPr>
    </w:tblStylePr>
    <w:tblStylePr w:type="band1Horz">
      <w:tblPr/>
      <w:tcPr>
        <w:shd w:val="clear" w:color="auto" w:fill="EEECEA" w:themeFill="background2" w:themeFillTint="33"/>
      </w:tcPr>
    </w:tblStylePr>
  </w:style>
  <w:style w:type="numbering" w:customStyle="1" w:styleId="CurrentList1">
    <w:name w:val="Current List1"/>
    <w:uiPriority w:val="99"/>
    <w:rsid w:val="00EC2603"/>
  </w:style>
  <w:style w:type="numbering" w:customStyle="1" w:styleId="CurrentList2">
    <w:name w:val="Current List2"/>
    <w:uiPriority w:val="99"/>
    <w:rsid w:val="00EC2603"/>
  </w:style>
  <w:style w:type="table" w:customStyle="1" w:styleId="AppendixTable">
    <w:name w:val="Appendix Table"/>
    <w:basedOn w:val="TableNormal"/>
    <w:uiPriority w:val="99"/>
    <w:rsid w:val="00696AD4"/>
    <w:pPr>
      <w:spacing w:after="0"/>
    </w:pPr>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asciiTheme="minorHAnsi" w:hAnsiTheme="minorHAnsi"/>
        <w:b/>
        <w:sz w:val="20"/>
      </w:rPr>
      <w:tblPr/>
      <w:tcPr>
        <w:shd w:val="clear" w:color="auto" w:fill="D4EBFE"/>
      </w:tcPr>
    </w:tblStylePr>
    <w:tblStylePr w:type="lastRow">
      <w:pPr>
        <w:jc w:val="left"/>
      </w:pPr>
      <w:rPr>
        <w:rFonts w:asciiTheme="minorHAnsi" w:hAnsiTheme="minorHAnsi"/>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firstCol">
      <w:rPr>
        <w:rFonts w:asciiTheme="minorHAnsi" w:hAnsiTheme="minorHAnsi"/>
        <w:b/>
        <w:sz w:val="20"/>
      </w:rPr>
    </w:tblStylePr>
    <w:tblStylePr w:type="lastCol">
      <w:rPr>
        <w:rFonts w:asciiTheme="minorHAnsi" w:hAnsiTheme="minorHAnsi"/>
        <w:b/>
        <w:sz w:val="20"/>
      </w:rPr>
    </w:tblStylePr>
    <w:tblStylePr w:type="band1Horz">
      <w:rPr>
        <w:rFonts w:asciiTheme="minorHAnsi" w:hAnsiTheme="minorHAnsi"/>
        <w:sz w:val="20"/>
      </w:rPr>
    </w:tblStylePr>
    <w:tblStylePr w:type="band2Horz">
      <w:rPr>
        <w:rFonts w:asciiTheme="minorHAnsi" w:hAnsiTheme="minorHAnsi"/>
        <w:sz w:val="20"/>
      </w:rPr>
      <w:tblPr/>
      <w:tcPr>
        <w:shd w:val="clear" w:color="auto" w:fill="EEECEA" w:themeFill="background2" w:themeFillTint="33"/>
      </w:tcPr>
    </w:tblStylePr>
  </w:style>
  <w:style w:type="paragraph" w:customStyle="1" w:styleId="FHCTableBullet10pt">
    <w:name w:val="FHC Table Bullet 10pt"/>
    <w:basedOn w:val="ListParagraph"/>
    <w:qFormat/>
    <w:rsid w:val="00C220BF"/>
    <w:pPr>
      <w:numPr>
        <w:numId w:val="59"/>
      </w:numPr>
      <w:spacing w:before="0" w:line="240" w:lineRule="auto"/>
    </w:pPr>
    <w:rPr>
      <w:sz w:val="20"/>
      <w:szCs w:val="20"/>
    </w:rPr>
  </w:style>
  <w:style w:type="paragraph" w:customStyle="1" w:styleId="Resume-NameandTitleleft">
    <w:name w:val="Resume - Name and Title left"/>
    <w:basedOn w:val="Normal"/>
    <w:qFormat/>
    <w:rsid w:val="0061365F"/>
    <w:pPr>
      <w:spacing w:before="240" w:after="120"/>
      <w:contextualSpacing/>
    </w:pPr>
  </w:style>
  <w:style w:type="paragraph" w:customStyle="1" w:styleId="oldCover1">
    <w:name w:val="old Cover 1"/>
    <w:basedOn w:val="Normal"/>
    <w:link w:val="oldCover1Char"/>
    <w:rsid w:val="00EC2603"/>
    <w:pPr>
      <w:spacing w:before="120"/>
      <w:ind w:left="360"/>
    </w:pPr>
    <w:rPr>
      <w:rFonts w:eastAsiaTheme="minorEastAsia" w:cstheme="minorHAnsi"/>
      <w:b/>
      <w:bCs/>
      <w:noProof/>
      <w:color w:val="00074F" w:themeColor="text2"/>
      <w:sz w:val="76"/>
      <w:szCs w:val="76"/>
    </w:rPr>
  </w:style>
  <w:style w:type="paragraph" w:customStyle="1" w:styleId="oldCover2">
    <w:name w:val="old Cover 2"/>
    <w:basedOn w:val="Normal"/>
    <w:link w:val="oldCover2Char"/>
    <w:rsid w:val="00EC2603"/>
    <w:pPr>
      <w:spacing w:before="120" w:line="300" w:lineRule="auto"/>
      <w:ind w:left="360"/>
    </w:pPr>
    <w:rPr>
      <w:rFonts w:eastAsiaTheme="minorEastAsia" w:cstheme="minorHAnsi"/>
      <w:bCs/>
      <w:color w:val="00539A" w:themeColor="accent1" w:themeShade="BF"/>
      <w:sz w:val="52"/>
      <w:szCs w:val="72"/>
    </w:rPr>
  </w:style>
  <w:style w:type="character" w:customStyle="1" w:styleId="oldCover1Char">
    <w:name w:val="old Cover 1 Char"/>
    <w:basedOn w:val="DefaultParagraphFont"/>
    <w:link w:val="oldCover1"/>
    <w:rsid w:val="00EC2603"/>
    <w:rPr>
      <w:rFonts w:eastAsiaTheme="minorEastAsia" w:cstheme="minorHAnsi"/>
      <w:b/>
      <w:bCs/>
      <w:noProof/>
      <w:color w:val="00074F" w:themeColor="text2"/>
      <w:sz w:val="76"/>
      <w:szCs w:val="76"/>
    </w:rPr>
  </w:style>
  <w:style w:type="paragraph" w:customStyle="1" w:styleId="oldCover3">
    <w:name w:val="old Cover 3"/>
    <w:basedOn w:val="Normal"/>
    <w:link w:val="oldCover3Char"/>
    <w:qFormat/>
    <w:rsid w:val="00EC2603"/>
    <w:pPr>
      <w:spacing w:before="240"/>
      <w:jc w:val="center"/>
    </w:pPr>
    <w:rPr>
      <w:rFonts w:ascii="Arial" w:eastAsiaTheme="minorEastAsia" w:hAnsi="Arial"/>
      <w:color w:val="000000" w:themeColor="text1"/>
      <w:sz w:val="36"/>
      <w:szCs w:val="32"/>
    </w:rPr>
  </w:style>
  <w:style w:type="character" w:customStyle="1" w:styleId="oldCover2Char">
    <w:name w:val="old Cover 2 Char"/>
    <w:basedOn w:val="DefaultParagraphFont"/>
    <w:link w:val="oldCover2"/>
    <w:rsid w:val="00EC2603"/>
    <w:rPr>
      <w:rFonts w:eastAsiaTheme="minorEastAsia" w:cstheme="minorHAnsi"/>
      <w:bCs/>
      <w:color w:val="00539A" w:themeColor="accent1" w:themeShade="BF"/>
      <w:sz w:val="52"/>
      <w:szCs w:val="72"/>
    </w:rPr>
  </w:style>
  <w:style w:type="paragraph" w:customStyle="1" w:styleId="oldCover4">
    <w:name w:val="old Cover 4"/>
    <w:basedOn w:val="Normal"/>
    <w:link w:val="oldCover4Char"/>
    <w:qFormat/>
    <w:rsid w:val="00EC2603"/>
    <w:pPr>
      <w:framePr w:wrap="around" w:vAnchor="page" w:hAnchor="margin" w:y="11332"/>
      <w:spacing w:before="120" w:after="100" w:line="300" w:lineRule="auto"/>
    </w:pPr>
    <w:rPr>
      <w:rFonts w:eastAsiaTheme="minorEastAsia" w:cstheme="minorHAnsi"/>
      <w:b/>
      <w:bCs/>
      <w:color w:val="00074F" w:themeColor="text2"/>
      <w:sz w:val="28"/>
      <w:szCs w:val="36"/>
    </w:rPr>
  </w:style>
  <w:style w:type="character" w:customStyle="1" w:styleId="oldCover3Char">
    <w:name w:val="old Cover 3 Char"/>
    <w:basedOn w:val="DefaultParagraphFont"/>
    <w:link w:val="oldCover3"/>
    <w:rsid w:val="00EC2603"/>
    <w:rPr>
      <w:rFonts w:ascii="Arial" w:eastAsiaTheme="minorEastAsia" w:hAnsi="Arial"/>
      <w:color w:val="000000" w:themeColor="text1"/>
      <w:sz w:val="36"/>
      <w:szCs w:val="32"/>
    </w:rPr>
  </w:style>
  <w:style w:type="character" w:customStyle="1" w:styleId="oldCover4Char">
    <w:name w:val="old Cover 4 Char"/>
    <w:basedOn w:val="DefaultParagraphFont"/>
    <w:link w:val="oldCover4"/>
    <w:rsid w:val="00EC2603"/>
    <w:rPr>
      <w:rFonts w:eastAsiaTheme="minorEastAsia" w:cstheme="minorHAnsi"/>
      <w:b/>
      <w:bCs/>
      <w:color w:val="00074F" w:themeColor="text2"/>
      <w:sz w:val="28"/>
      <w:szCs w:val="36"/>
    </w:rPr>
  </w:style>
  <w:style w:type="character" w:customStyle="1" w:styleId="contextualspellingandgrammarerror">
    <w:name w:val="contextualspellingandgrammarerror"/>
    <w:basedOn w:val="DefaultParagraphFont"/>
    <w:semiHidden/>
    <w:rsid w:val="00EC2603"/>
  </w:style>
  <w:style w:type="character" w:customStyle="1" w:styleId="findhit">
    <w:name w:val="findhit"/>
    <w:basedOn w:val="DefaultParagraphFont"/>
    <w:semiHidden/>
    <w:rsid w:val="00EC2603"/>
  </w:style>
  <w:style w:type="table" w:customStyle="1" w:styleId="Appendixtables">
    <w:name w:val="Appendix tables"/>
    <w:basedOn w:val="TableNormal"/>
    <w:uiPriority w:val="99"/>
    <w:rsid w:val="00EC2603"/>
    <w:pPr>
      <w:spacing w:after="0"/>
    </w:pPr>
    <w:rPr>
      <w:sz w:val="22"/>
    </w:rPr>
    <w:tblPr>
      <w:tblStyleRowBandSize w:val="1"/>
      <w:tblBorders>
        <w:top w:val="single" w:sz="4" w:space="0" w:color="ACA39A" w:themeColor="background2"/>
        <w:left w:val="single" w:sz="4" w:space="0" w:color="ACA39A" w:themeColor="background2"/>
        <w:bottom w:val="single" w:sz="4" w:space="0" w:color="ACA39A" w:themeColor="background2"/>
        <w:right w:val="single" w:sz="4" w:space="0" w:color="ACA39A" w:themeColor="background2"/>
        <w:insideH w:val="single" w:sz="4" w:space="0" w:color="ACA39A" w:themeColor="background2"/>
        <w:insideV w:val="single" w:sz="4" w:space="0" w:color="ACA39A" w:themeColor="background2"/>
      </w:tblBorders>
    </w:tblPr>
    <w:tcPr>
      <w:vAlign w:val="center"/>
    </w:tcPr>
    <w:tblStylePr w:type="firstRow">
      <w:rPr>
        <w:rFonts w:asciiTheme="minorHAnsi" w:hAnsiTheme="minorHAnsi"/>
        <w:b/>
        <w:color w:val="FFFFFF" w:themeColor="background1"/>
        <w:sz w:val="22"/>
      </w:rPr>
      <w:tblPr/>
      <w:tcPr>
        <w:shd w:val="clear" w:color="auto" w:fill="008BFE"/>
      </w:tcPr>
    </w:tblStylePr>
    <w:tblStylePr w:type="lastRow">
      <w:rPr>
        <w:rFonts w:ascii="Arial" w:hAnsi="Arial"/>
        <w:sz w:val="22"/>
      </w:rPr>
    </w:tblStylePr>
    <w:tblStylePr w:type="band1Horz">
      <w:tblPr/>
      <w:tcPr>
        <w:shd w:val="clear" w:color="auto" w:fill="EEECEA" w:themeFill="background2" w:themeFillTint="33"/>
      </w:tcPr>
    </w:tblStylePr>
    <w:tblStylePr w:type="band2Horz">
      <w:tblPr/>
      <w:tcPr>
        <w:shd w:val="clear" w:color="auto" w:fill="FFFFFF" w:themeFill="background1"/>
      </w:tcPr>
    </w:tblStylePr>
  </w:style>
  <w:style w:type="numbering" w:customStyle="1" w:styleId="NoList11">
    <w:name w:val="No List11"/>
    <w:next w:val="NoList"/>
    <w:uiPriority w:val="99"/>
    <w:semiHidden/>
    <w:unhideWhenUsed/>
    <w:rsid w:val="00C06B39"/>
  </w:style>
  <w:style w:type="numbering" w:customStyle="1" w:styleId="NoList2">
    <w:name w:val="No List2"/>
    <w:next w:val="NoList"/>
    <w:uiPriority w:val="99"/>
    <w:semiHidden/>
    <w:unhideWhenUsed/>
    <w:rsid w:val="00C06B39"/>
  </w:style>
  <w:style w:type="numbering" w:customStyle="1" w:styleId="NoList3">
    <w:name w:val="No List3"/>
    <w:next w:val="NoList"/>
    <w:uiPriority w:val="99"/>
    <w:semiHidden/>
    <w:unhideWhenUsed/>
    <w:rsid w:val="00C06B39"/>
  </w:style>
  <w:style w:type="numbering" w:customStyle="1" w:styleId="NoList12">
    <w:name w:val="No List12"/>
    <w:next w:val="NoList"/>
    <w:uiPriority w:val="99"/>
    <w:semiHidden/>
    <w:unhideWhenUsed/>
    <w:rsid w:val="00C06B39"/>
  </w:style>
  <w:style w:type="numbering" w:customStyle="1" w:styleId="NoList21">
    <w:name w:val="No List21"/>
    <w:next w:val="NoList"/>
    <w:uiPriority w:val="99"/>
    <w:semiHidden/>
    <w:unhideWhenUsed/>
    <w:rsid w:val="00C06B39"/>
  </w:style>
  <w:style w:type="paragraph" w:styleId="BalloonText">
    <w:name w:val="Balloon Text"/>
    <w:basedOn w:val="Normal"/>
    <w:link w:val="BalloonTextChar"/>
    <w:uiPriority w:val="99"/>
    <w:semiHidden/>
    <w:unhideWhenUsed/>
    <w:rsid w:val="008925C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5CE"/>
    <w:rPr>
      <w:rFonts w:ascii="Segoe UI" w:hAnsi="Segoe UI" w:cs="Segoe UI"/>
      <w:sz w:val="18"/>
      <w:szCs w:val="18"/>
    </w:rPr>
  </w:style>
  <w:style w:type="paragraph" w:customStyle="1" w:styleId="FHCAppendixH2">
    <w:name w:val="FHC Appendix H2"/>
    <w:basedOn w:val="Heading2"/>
    <w:next w:val="Normal"/>
    <w:link w:val="FHCAppendixH2Char"/>
    <w:autoRedefine/>
    <w:qFormat/>
    <w:rsid w:val="00430786"/>
    <w:pPr>
      <w:keepNext/>
      <w:numPr>
        <w:ilvl w:val="0"/>
        <w:numId w:val="0"/>
      </w:numPr>
      <w:spacing w:after="160"/>
      <w:ind w:left="720"/>
    </w:pPr>
    <w:rPr>
      <w:rFonts w:eastAsia="Arial"/>
      <w:spacing w:val="-10"/>
      <w:kern w:val="28"/>
    </w:rPr>
  </w:style>
  <w:style w:type="table" w:styleId="GridTable6Colorful">
    <w:name w:val="Grid Table 6 Colorful"/>
    <w:basedOn w:val="TableNormal"/>
    <w:uiPriority w:val="51"/>
    <w:rsid w:val="0033681F"/>
    <w:pPr>
      <w:spacing w:before="60" w:after="60"/>
    </w:pPr>
    <w:rPr>
      <w:color w:val="000000" w:themeColor="text1"/>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HCAppendixH2Char">
    <w:name w:val="FHC Appendix H2 Char"/>
    <w:basedOn w:val="FHCAppendixH1Char"/>
    <w:link w:val="FHCAppendixH2"/>
    <w:rsid w:val="00430786"/>
    <w:rPr>
      <w:rFonts w:asciiTheme="majorHAnsi" w:eastAsia="Arial" w:hAnsiTheme="majorHAnsi" w:cs="Arial"/>
      <w:b/>
      <w:bCs/>
      <w:color w:val="000000" w:themeColor="text1"/>
      <w:spacing w:val="-10"/>
      <w:kern w:val="28"/>
      <w:sz w:val="26"/>
      <w:szCs w:val="22"/>
    </w:rPr>
  </w:style>
  <w:style w:type="paragraph" w:customStyle="1" w:styleId="LMbullet">
    <w:name w:val="LM bullet"/>
    <w:basedOn w:val="ListParagraph"/>
    <w:link w:val="LMbulletChar"/>
    <w:qFormat/>
    <w:rsid w:val="006904DD"/>
    <w:pPr>
      <w:numPr>
        <w:ilvl w:val="2"/>
        <w:numId w:val="18"/>
      </w:numPr>
      <w:tabs>
        <w:tab w:val="clear" w:pos="2160"/>
        <w:tab w:val="left" w:pos="506"/>
      </w:tabs>
      <w:spacing w:before="0" w:after="0" w:line="288" w:lineRule="auto"/>
      <w:contextualSpacing/>
    </w:pPr>
    <w:rPr>
      <w:rFonts w:hAnsi="Arial"/>
      <w:color w:val="000000" w:themeColor="text1"/>
      <w:kern w:val="24"/>
      <w:sz w:val="13"/>
      <w:szCs w:val="13"/>
    </w:rPr>
  </w:style>
  <w:style w:type="character" w:customStyle="1" w:styleId="LMbulletChar">
    <w:name w:val="LM bullet Char"/>
    <w:basedOn w:val="ListParagraphChar"/>
    <w:link w:val="LMbullet"/>
    <w:rsid w:val="00981C4A"/>
    <w:rPr>
      <w:rFonts w:ascii="Arial Narrow" w:eastAsia="Arial" w:hAnsi="Arial"/>
      <w:color w:val="000000" w:themeColor="text1"/>
      <w:kern w:val="24"/>
      <w:sz w:val="13"/>
      <w:szCs w:val="13"/>
    </w:rPr>
  </w:style>
  <w:style w:type="numbering" w:customStyle="1" w:styleId="NoList4">
    <w:name w:val="No List4"/>
    <w:next w:val="NoList"/>
    <w:uiPriority w:val="99"/>
    <w:semiHidden/>
    <w:unhideWhenUsed/>
    <w:rsid w:val="008D228C"/>
  </w:style>
  <w:style w:type="table" w:customStyle="1" w:styleId="TableGrid2">
    <w:name w:val="Table Grid2"/>
    <w:basedOn w:val="TableNormal"/>
    <w:next w:val="TableGrid"/>
    <w:uiPriority w:val="39"/>
    <w:rsid w:val="008D228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rsid w:val="00BA0EF8"/>
    <w:rPr>
      <w:rFonts w:ascii="Arial" w:eastAsiaTheme="minorEastAsia" w:hAnsi="Arial" w:cs="Arial"/>
      <w:b/>
      <w:bCs/>
      <w:color w:val="000000" w:themeColor="text1"/>
      <w:spacing w:val="-10"/>
      <w:kern w:val="28"/>
    </w:rPr>
  </w:style>
  <w:style w:type="paragraph" w:styleId="Title">
    <w:name w:val="Title"/>
    <w:basedOn w:val="Normal"/>
    <w:next w:val="Normal"/>
    <w:link w:val="TitleChar"/>
    <w:uiPriority w:val="10"/>
    <w:qFormat/>
    <w:rsid w:val="00A07786"/>
    <w:pPr>
      <w:snapToGrid w:val="0"/>
      <w:spacing w:before="240" w:after="360"/>
      <w:jc w:val="center"/>
    </w:pPr>
    <w:rPr>
      <w:rFonts w:ascii="Times New Roman" w:eastAsiaTheme="majorEastAsia" w:hAnsi="Times New Roman" w:cs="Times New Roman"/>
      <w:kern w:val="28"/>
      <w:sz w:val="40"/>
      <w:szCs w:val="56"/>
    </w:rPr>
  </w:style>
  <w:style w:type="character" w:customStyle="1" w:styleId="TitleChar">
    <w:name w:val="Title Char"/>
    <w:basedOn w:val="DefaultParagraphFont"/>
    <w:link w:val="Title"/>
    <w:uiPriority w:val="10"/>
    <w:rsid w:val="00A07786"/>
    <w:rPr>
      <w:rFonts w:ascii="Times New Roman" w:eastAsiaTheme="majorEastAsia" w:hAnsi="Times New Roman" w:cs="Times New Roman"/>
      <w:kern w:val="28"/>
      <w:sz w:val="40"/>
      <w:szCs w:val="56"/>
    </w:rPr>
  </w:style>
  <w:style w:type="character" w:styleId="PlaceholderText">
    <w:name w:val="Placeholder Text"/>
    <w:basedOn w:val="DefaultParagraphFont"/>
    <w:uiPriority w:val="99"/>
    <w:semiHidden/>
    <w:rsid w:val="009A621C"/>
    <w:rPr>
      <w:color w:val="2C2825" w:themeColor="background2" w:themeShade="40"/>
    </w:rPr>
  </w:style>
  <w:style w:type="paragraph" w:styleId="TableofFigures">
    <w:name w:val="table of figures"/>
    <w:basedOn w:val="Normal"/>
    <w:next w:val="Normal"/>
    <w:uiPriority w:val="99"/>
    <w:rsid w:val="00065E10"/>
    <w:pPr>
      <w:spacing w:after="40"/>
    </w:pPr>
    <w:rPr>
      <w:rFonts w:cs="Times New Roman (Body CS)"/>
    </w:rPr>
  </w:style>
  <w:style w:type="paragraph" w:styleId="NormalWeb">
    <w:name w:val="Normal (Web)"/>
    <w:basedOn w:val="Normal"/>
    <w:uiPriority w:val="99"/>
    <w:semiHidden/>
    <w:unhideWhenUsed/>
    <w:rsid w:val="0009453C"/>
    <w:pPr>
      <w:spacing w:before="100" w:beforeAutospacing="1" w:after="100" w:afterAutospacing="1"/>
    </w:pPr>
    <w:rPr>
      <w:rFonts w:ascii="Times New Roman" w:eastAsia="Times New Roman" w:hAnsi="Times New Roman" w:cs="Times New Roman"/>
    </w:rPr>
  </w:style>
  <w:style w:type="character" w:customStyle="1" w:styleId="FigureorTableTitleChar">
    <w:name w:val="Figure or Table Title Char"/>
    <w:basedOn w:val="DefaultParagraphFont"/>
    <w:link w:val="FigureorTableTitle"/>
    <w:rsid w:val="0009453C"/>
    <w:rPr>
      <w:rFonts w:eastAsiaTheme="majorEastAsia" w:cstheme="majorBidi"/>
      <w:b/>
      <w:i/>
      <w:iCs/>
      <w:color w:val="000000" w:themeColor="text1"/>
      <w:sz w:val="22"/>
      <w:szCs w:val="21"/>
    </w:rPr>
  </w:style>
  <w:style w:type="numbering" w:customStyle="1" w:styleId="NoList5">
    <w:name w:val="No List5"/>
    <w:next w:val="NoList"/>
    <w:uiPriority w:val="99"/>
    <w:semiHidden/>
    <w:unhideWhenUsed/>
    <w:rsid w:val="0009453C"/>
  </w:style>
  <w:style w:type="table" w:customStyle="1" w:styleId="TableGrid3">
    <w:name w:val="Table Grid3"/>
    <w:basedOn w:val="TableNormal"/>
    <w:next w:val="TableGrid"/>
    <w:uiPriority w:val="39"/>
    <w:rsid w:val="00586DF8"/>
    <w:rPr>
      <w:sz w:val="20"/>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bottom w:w="43" w:type="dxa"/>
      </w:tblCellMar>
    </w:tblPr>
  </w:style>
  <w:style w:type="paragraph" w:customStyle="1" w:styleId="FHCAppendixH3">
    <w:name w:val="FHC Appendix H3"/>
    <w:basedOn w:val="Heading3"/>
    <w:next w:val="Normal"/>
    <w:qFormat/>
    <w:rsid w:val="0061365F"/>
    <w:pPr>
      <w:numPr>
        <w:ilvl w:val="0"/>
        <w:numId w:val="0"/>
      </w:numPr>
      <w:ind w:left="1152"/>
    </w:pPr>
  </w:style>
  <w:style w:type="paragraph" w:customStyle="1" w:styleId="LogicDiagram-Numbered">
    <w:name w:val="Logic Diagram - Numbered"/>
    <w:basedOn w:val="LogicDiagram-Bodycopy"/>
    <w:qFormat/>
    <w:rsid w:val="00A33D53"/>
    <w:pPr>
      <w:ind w:left="216" w:hanging="216"/>
      <w:jc w:val="left"/>
    </w:pPr>
  </w:style>
  <w:style w:type="character" w:customStyle="1" w:styleId="normaltextrun">
    <w:name w:val="normaltextrun"/>
    <w:basedOn w:val="DefaultParagraphFont"/>
    <w:rsid w:val="006904DD"/>
  </w:style>
  <w:style w:type="table" w:customStyle="1" w:styleId="FHCTableGrid2">
    <w:name w:val="FHC Table Grid 2"/>
    <w:basedOn w:val="PlainTable1"/>
    <w:uiPriority w:val="99"/>
    <w:rsid w:val="0069659F"/>
    <w:pPr>
      <w:spacing w:after="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bottom w:w="58" w:type="dxa"/>
      </w:tblCellMar>
    </w:tblPr>
    <w:trPr>
      <w:cantSplit/>
    </w:trPr>
    <w:tblStylePr w:type="firstRow">
      <w:pPr>
        <w:jc w:val="left"/>
      </w:pPr>
      <w:rPr>
        <w:b/>
        <w:bCs/>
      </w:rPr>
      <w:tblPr/>
      <w:tcPr>
        <w:vAlign w:val="bottom"/>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20">
    <w:name w:val="Table Grid 2"/>
    <w:basedOn w:val="TableNormal"/>
    <w:uiPriority w:val="99"/>
    <w:semiHidden/>
    <w:unhideWhenUsed/>
    <w:rsid w:val="0033681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Light">
    <w:name w:val="Grid Table Light"/>
    <w:basedOn w:val="TableNormal"/>
    <w:uiPriority w:val="40"/>
    <w:rsid w:val="006D69F1"/>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C663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454C70"/>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orFigurefootnote">
    <w:name w:val="Table or Figure footnote"/>
    <w:link w:val="TableorFigurefootnoteChar"/>
    <w:qFormat/>
    <w:rsid w:val="006F30AB"/>
    <w:pPr>
      <w:spacing w:after="20"/>
    </w:pPr>
    <w:rPr>
      <w:sz w:val="16"/>
    </w:rPr>
  </w:style>
  <w:style w:type="paragraph" w:customStyle="1" w:styleId="LogicDiagram-Bodycopy">
    <w:name w:val="Logic Diagram - Body copy"/>
    <w:qFormat/>
    <w:rsid w:val="00DA73E0"/>
    <w:pPr>
      <w:snapToGrid w:val="0"/>
      <w:spacing w:after="0" w:line="252" w:lineRule="auto"/>
      <w:jc w:val="center"/>
    </w:pPr>
    <w:rPr>
      <w:rFonts w:eastAsiaTheme="minorEastAsia" w:cs="Arial"/>
      <w:color w:val="000000" w:themeColor="text1"/>
      <w:sz w:val="17"/>
      <w:szCs w:val="18"/>
    </w:rPr>
  </w:style>
  <w:style w:type="paragraph" w:customStyle="1" w:styleId="LogicDiagram-header">
    <w:name w:val="Logic Diagram - header"/>
    <w:qFormat/>
    <w:rsid w:val="00EC2603"/>
    <w:pPr>
      <w:spacing w:after="0"/>
      <w:jc w:val="center"/>
    </w:pPr>
    <w:rPr>
      <w:rFonts w:eastAsiaTheme="minorEastAsia" w:hAnsi="Arial"/>
      <w:b/>
      <w:bCs/>
      <w:color w:val="000000" w:themeColor="text1"/>
      <w:kern w:val="24"/>
      <w:sz w:val="22"/>
      <w:szCs w:val="22"/>
    </w:rPr>
  </w:style>
  <w:style w:type="paragraph" w:customStyle="1" w:styleId="FHCspaceabovefooter">
    <w:name w:val="FHC space above footer"/>
    <w:basedOn w:val="Normal"/>
    <w:qFormat/>
    <w:rsid w:val="0000443B"/>
    <w:pPr>
      <w:spacing w:before="40" w:after="40"/>
    </w:pPr>
  </w:style>
  <w:style w:type="table" w:customStyle="1" w:styleId="FHCtableclean10pt">
    <w:name w:val="FHC_table_clean10pt"/>
    <w:basedOn w:val="TableGrid10"/>
    <w:uiPriority w:val="99"/>
    <w:rsid w:val="006A2E28"/>
    <w:pPr>
      <w:spacing w:after="60"/>
    </w:pPr>
    <w:rPr>
      <w:sz w:val="20"/>
      <w:szCs w:val="20"/>
      <w:lang w:eastAsia="zh-CN"/>
    </w:rPr>
    <w:tblPr>
      <w:tblCellMar>
        <w:top w:w="29" w:type="dxa"/>
        <w:left w:w="86" w:type="dxa"/>
        <w:bottom w:w="14" w:type="dxa"/>
        <w:right w:w="86" w:type="dxa"/>
      </w:tblCellMar>
    </w:tblPr>
    <w:tcPr>
      <w:shd w:val="clear" w:color="auto" w:fill="auto"/>
    </w:tcPr>
    <w:tblStylePr w:type="firstRow">
      <w:rPr>
        <w:b/>
      </w:rPr>
      <w:tblPr/>
      <w:tcPr>
        <w:shd w:val="clear" w:color="auto" w:fill="C2E3FF" w:themeFill="accent1" w:themeFillTint="33"/>
      </w:tcPr>
    </w:tblStylePr>
    <w:tblStylePr w:type="lastRow">
      <w:rPr>
        <w:i/>
        <w:iCs/>
      </w:rPr>
      <w:tblPr/>
      <w:tcPr>
        <w:tcBorders>
          <w:tl2br w:val="none" w:sz="0" w:space="0" w:color="auto"/>
          <w:tr2bl w:val="none" w:sz="0" w:space="0" w:color="auto"/>
        </w:tcBorders>
      </w:tcPr>
    </w:tblStylePr>
    <w:tblStylePr w:type="firstCol">
      <w:rPr>
        <w:b/>
      </w:rPr>
    </w:tblStylePr>
    <w:tblStylePr w:type="lastCol">
      <w:rPr>
        <w:i/>
        <w:iCs/>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rsid w:val="00C220B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8Char">
    <w:name w:val="Heading 8 Char"/>
    <w:basedOn w:val="DefaultParagraphFont"/>
    <w:link w:val="Heading8"/>
    <w:uiPriority w:val="9"/>
    <w:rsid w:val="00C220BF"/>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
    <w:rsid w:val="00C220BF"/>
    <w:rPr>
      <w:rFonts w:asciiTheme="majorHAnsi" w:eastAsiaTheme="majorEastAsia" w:hAnsiTheme="majorHAnsi" w:cstheme="majorBidi"/>
      <w:i/>
      <w:iCs/>
      <w:color w:val="272727" w:themeColor="text1" w:themeTint="D8"/>
      <w:sz w:val="22"/>
      <w:szCs w:val="21"/>
    </w:rPr>
  </w:style>
  <w:style w:type="table" w:customStyle="1" w:styleId="FHCclean10pt">
    <w:name w:val="FHC_clean10pt"/>
    <w:basedOn w:val="TableGrid10"/>
    <w:uiPriority w:val="99"/>
    <w:rsid w:val="002A497C"/>
    <w:pPr>
      <w:spacing w:after="60"/>
    </w:pPr>
    <w:rPr>
      <w:sz w:val="20"/>
      <w:szCs w:val="20"/>
    </w:rPr>
    <w:tblPr>
      <w:tblCellMar>
        <w:top w:w="29" w:type="dxa"/>
        <w:left w:w="86" w:type="dxa"/>
        <w:bottom w:w="14" w:type="dxa"/>
        <w:right w:w="86" w:type="dxa"/>
      </w:tblCellMar>
    </w:tblPr>
    <w:tcPr>
      <w:shd w:val="clear" w:color="auto" w:fill="auto"/>
    </w:tcPr>
    <w:tblStylePr w:type="firstRow">
      <w:rPr>
        <w:b/>
      </w:rPr>
      <w:tblPr/>
      <w:tcPr>
        <w:shd w:val="clear" w:color="auto" w:fill="C2E3FF" w:themeFill="accent1" w:themeFillTint="33"/>
        <w:tcMar>
          <w:top w:w="86" w:type="dxa"/>
          <w:left w:w="0" w:type="nil"/>
          <w:bottom w:w="0" w:type="nil"/>
          <w:right w:w="0" w:type="nil"/>
        </w:tcMar>
      </w:tcPr>
    </w:tblStylePr>
    <w:tblStylePr w:type="lastRow">
      <w:rPr>
        <w:i/>
        <w:iCs/>
      </w:rPr>
      <w:tblPr/>
      <w:tcPr>
        <w:tcBorders>
          <w:tl2br w:val="none" w:sz="0" w:space="0" w:color="auto"/>
          <w:tr2bl w:val="none" w:sz="0" w:space="0" w:color="auto"/>
        </w:tcBorders>
      </w:tcPr>
    </w:tblStylePr>
    <w:tblStylePr w:type="firstCol">
      <w:rPr>
        <w:b/>
      </w:rPr>
    </w:tblStylePr>
    <w:tblStylePr w:type="lastCol">
      <w:rPr>
        <w:i/>
        <w:iCs/>
      </w:rPr>
      <w:tblPr/>
      <w:tcPr>
        <w:tcBorders>
          <w:tl2br w:val="none" w:sz="0" w:space="0" w:color="auto"/>
          <w:tr2bl w:val="none" w:sz="0" w:space="0" w:color="auto"/>
        </w:tcBorders>
      </w:tcPr>
    </w:tblStylePr>
  </w:style>
  <w:style w:type="table" w:customStyle="1" w:styleId="FHCTablestyle9">
    <w:name w:val="FHC Tablestyle_9"/>
    <w:basedOn w:val="PlainTable1"/>
    <w:uiPriority w:val="99"/>
    <w:rsid w:val="008B1B31"/>
    <w:pPr>
      <w:spacing w:after="80"/>
    </w:pPr>
    <w:rPr>
      <w:rFonts w:ascii="Arial Narrow" w:hAnsi="Arial Narrow"/>
      <w:sz w:val="20"/>
      <w:szCs w:val="22"/>
    </w:rPr>
    <w:tblPr>
      <w:tblCellMar>
        <w:top w:w="58" w:type="dxa"/>
        <w:left w:w="86" w:type="dxa"/>
        <w:right w:w="86" w:type="dxa"/>
      </w:tblCellMar>
    </w:tblPr>
    <w:tblStylePr w:type="firstRow">
      <w:rPr>
        <w:b/>
        <w:bCs/>
        <w:sz w:val="20"/>
      </w:rPr>
      <w:tblPr/>
      <w:trPr>
        <w:cantSplit/>
        <w:tblHeader/>
      </w:trPr>
      <w:tcPr>
        <w:shd w:val="clear" w:color="auto" w:fill="DDDAD6" w:themeFill="background2" w:themeFillTint="66"/>
      </w:tcPr>
    </w:tblStylePr>
    <w:tblStylePr w:type="lastRow">
      <w:rPr>
        <w:b/>
        <w:bCs/>
      </w:rPr>
      <w:tblPr/>
      <w:tcPr>
        <w:tcBorders>
          <w:top w:val="double" w:sz="4" w:space="0" w:color="BFBFBF" w:themeColor="background1" w:themeShade="BF"/>
        </w:tcBorders>
      </w:tcPr>
    </w:tblStylePr>
    <w:tblStylePr w:type="firstCol">
      <w:rPr>
        <w:b/>
        <w:bCs/>
      </w:rPr>
      <w:tblPr/>
      <w:tcPr>
        <w:shd w:val="clear" w:color="auto" w:fill="EEECEA" w:themeFill="background2" w:themeFillTint="33"/>
      </w:tc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HCTableBullet9pt">
    <w:name w:val="FHC Table Bullet 9 pt"/>
    <w:basedOn w:val="FHCTableBullet10pt"/>
    <w:qFormat/>
    <w:rsid w:val="00ED1025"/>
    <w:pPr>
      <w:numPr>
        <w:numId w:val="5"/>
      </w:numPr>
      <w:spacing w:after="80"/>
    </w:pPr>
    <w:rPr>
      <w:sz w:val="18"/>
    </w:rPr>
  </w:style>
  <w:style w:type="table" w:customStyle="1" w:styleId="FHCTablestyle9sm">
    <w:name w:val="FHC Tablestyle_9sm"/>
    <w:basedOn w:val="PlainTable1"/>
    <w:uiPriority w:val="99"/>
    <w:rsid w:val="001C772C"/>
    <w:pPr>
      <w:spacing w:after="40"/>
    </w:pPr>
    <w:rPr>
      <w:sz w:val="18"/>
      <w:szCs w:val="22"/>
    </w:rPr>
    <w:tblPr>
      <w:tblCellMar>
        <w:top w:w="43" w:type="dxa"/>
        <w:left w:w="72" w:type="dxa"/>
        <w:right w:w="72" w:type="dxa"/>
      </w:tblCellMar>
    </w:tblPr>
    <w:tblStylePr w:type="firstRow">
      <w:rPr>
        <w:b/>
        <w:bCs/>
      </w:rPr>
      <w:tblPr>
        <w:tblCellMar>
          <w:top w:w="58" w:type="dxa"/>
          <w:left w:w="72" w:type="dxa"/>
          <w:bottom w:w="29" w:type="dxa"/>
          <w:right w:w="72" w:type="dxa"/>
        </w:tblCellMar>
      </w:tblPr>
      <w:tcPr>
        <w:shd w:val="clear" w:color="auto" w:fill="DDDAD6" w:themeFill="background2" w:themeFillTint="66"/>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Indent2">
    <w:name w:val="Indent2"/>
    <w:basedOn w:val="Normal"/>
    <w:qFormat/>
    <w:rsid w:val="00E11394"/>
    <w:pPr>
      <w:spacing w:after="0"/>
      <w:ind w:left="288"/>
    </w:pPr>
    <w:rPr>
      <w:rFonts w:ascii="Arial Narrow" w:hAnsi="Arial Narrow"/>
      <w:sz w:val="20"/>
    </w:rPr>
  </w:style>
  <w:style w:type="table" w:customStyle="1" w:styleId="FHCTablestyle91">
    <w:name w:val="FHC Tablestyle_91"/>
    <w:basedOn w:val="PlainTable1"/>
    <w:uiPriority w:val="99"/>
    <w:rsid w:val="00F863AD"/>
    <w:pPr>
      <w:spacing w:after="80"/>
    </w:pPr>
    <w:rPr>
      <w:sz w:val="18"/>
      <w:szCs w:val="22"/>
    </w:rPr>
    <w:tblPr>
      <w:tblCellMar>
        <w:top w:w="58" w:type="dxa"/>
        <w:left w:w="86" w:type="dxa"/>
        <w:right w:w="86" w:type="dxa"/>
      </w:tblCellMar>
    </w:tblPr>
    <w:tblStylePr w:type="firstRow">
      <w:rPr>
        <w:b/>
        <w:bCs/>
      </w:rPr>
      <w:tblPr/>
      <w:trPr>
        <w:cantSplit/>
        <w:tblHeader/>
      </w:trPr>
      <w:tcPr>
        <w:shd w:val="clear" w:color="auto" w:fill="DDDAD6" w:themeFill="background2" w:themeFillTint="66"/>
      </w:tcPr>
    </w:tblStylePr>
    <w:tblStylePr w:type="lastRow">
      <w:rPr>
        <w:b/>
        <w:bCs/>
      </w:rPr>
      <w:tblPr/>
      <w:tcPr>
        <w:tcBorders>
          <w:top w:val="double" w:sz="4" w:space="0" w:color="BFBFBF" w:themeColor="background1" w:themeShade="BF"/>
        </w:tcBorders>
      </w:tcPr>
    </w:tblStylePr>
    <w:tblStylePr w:type="firstCol">
      <w:rPr>
        <w:b/>
        <w:bCs/>
      </w:rPr>
      <w:tblPr/>
      <w:tcPr>
        <w:shd w:val="clear" w:color="auto" w:fill="EEECEA" w:themeFill="background2" w:themeFillTint="33"/>
      </w:tc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Logicdiagram8ptbullet">
    <w:name w:val="Logic diagram 8pt bullet"/>
    <w:basedOn w:val="ListParagraph"/>
    <w:rsid w:val="008E0559"/>
    <w:pPr>
      <w:numPr>
        <w:ilvl w:val="1"/>
        <w:numId w:val="120"/>
      </w:numPr>
      <w:tabs>
        <w:tab w:val="left" w:pos="576"/>
      </w:tabs>
      <w:spacing w:before="0" w:after="0" w:line="240" w:lineRule="auto"/>
      <w:contextualSpacing/>
      <w:textAlignment w:val="baseline"/>
    </w:pPr>
    <w:rPr>
      <w:rFonts w:hAnsi="Arial"/>
      <w:color w:val="000000" w:themeColor="text1"/>
      <w:kern w:val="24"/>
      <w:sz w:val="16"/>
      <w:szCs w:val="16"/>
    </w:rPr>
  </w:style>
  <w:style w:type="paragraph" w:customStyle="1" w:styleId="Logicdiagramsubhead">
    <w:name w:val="Logic diagram subhead"/>
    <w:basedOn w:val="Normal"/>
    <w:qFormat/>
    <w:rsid w:val="006538D6"/>
    <w:pPr>
      <w:spacing w:before="60" w:after="40"/>
    </w:pPr>
    <w:rPr>
      <w:b/>
      <w:bCs/>
      <w:color w:val="000000" w:themeColor="text1"/>
      <w:sz w:val="16"/>
      <w:szCs w:val="16"/>
    </w:rPr>
  </w:style>
  <w:style w:type="paragraph" w:customStyle="1" w:styleId="FHClistnumber">
    <w:name w:val="FHC list number"/>
    <w:basedOn w:val="ListParagraph"/>
    <w:qFormat/>
    <w:rsid w:val="00F7212B"/>
    <w:pPr>
      <w:numPr>
        <w:numId w:val="151"/>
      </w:numPr>
      <w:spacing w:before="0" w:after="120" w:line="240" w:lineRule="auto"/>
    </w:pPr>
  </w:style>
  <w:style w:type="character" w:styleId="Mention">
    <w:name w:val="Mention"/>
    <w:basedOn w:val="DefaultParagraphFont"/>
    <w:uiPriority w:val="99"/>
    <w:unhideWhenUsed/>
    <w:rsid w:val="00080AF2"/>
    <w:rPr>
      <w:color w:val="2B579A"/>
      <w:shd w:val="clear" w:color="auto" w:fill="E6E6E6"/>
    </w:rPr>
  </w:style>
  <w:style w:type="paragraph" w:customStyle="1" w:styleId="Tabletext">
    <w:name w:val="Table text"/>
    <w:basedOn w:val="Normal"/>
    <w:link w:val="TabletextChar"/>
    <w:qFormat/>
    <w:rsid w:val="00F7582F"/>
    <w:pPr>
      <w:framePr w:hSpace="180" w:wrap="around" w:vAnchor="text" w:hAnchor="text" w:y="98"/>
      <w:spacing w:after="60"/>
    </w:pPr>
    <w:rPr>
      <w:rFonts w:ascii="Arial Narrow" w:hAnsi="Arial Narrow" w:cs="Arial"/>
      <w:sz w:val="20"/>
      <w:szCs w:val="20"/>
    </w:rPr>
  </w:style>
  <w:style w:type="character" w:customStyle="1" w:styleId="TabletextChar">
    <w:name w:val="Table text Char"/>
    <w:basedOn w:val="DefaultParagraphFont"/>
    <w:link w:val="Tabletext"/>
    <w:rsid w:val="00F7582F"/>
    <w:rPr>
      <w:rFonts w:ascii="Arial Narrow" w:hAnsi="Arial Narrow" w:cs="Arial"/>
      <w:sz w:val="20"/>
      <w:szCs w:val="20"/>
    </w:rPr>
  </w:style>
  <w:style w:type="paragraph" w:customStyle="1" w:styleId="TableNormal0">
    <w:name w:val="TableNormal"/>
    <w:basedOn w:val="Normal"/>
    <w:link w:val="TableNormalChar"/>
    <w:qFormat/>
    <w:rsid w:val="00301386"/>
    <w:pPr>
      <w:spacing w:before="60" w:after="80"/>
    </w:pPr>
    <w:rPr>
      <w:rFonts w:ascii="Arial Narrow" w:eastAsiaTheme="minorEastAsia" w:hAnsi="Arial Narrow" w:cs="Arial"/>
      <w:color w:val="000000" w:themeColor="text1"/>
      <w:sz w:val="20"/>
      <w:szCs w:val="20"/>
    </w:rPr>
  </w:style>
  <w:style w:type="character" w:customStyle="1" w:styleId="TableNormalChar">
    <w:name w:val="TableNormal Char"/>
    <w:basedOn w:val="DefaultParagraphFont"/>
    <w:link w:val="TableNormal0"/>
    <w:rsid w:val="00301386"/>
    <w:rPr>
      <w:rFonts w:ascii="Arial Narrow" w:eastAsiaTheme="minorEastAsia" w:hAnsi="Arial Narrow" w:cs="Arial"/>
      <w:color w:val="000000" w:themeColor="text1"/>
      <w:sz w:val="20"/>
      <w:szCs w:val="20"/>
    </w:rPr>
  </w:style>
  <w:style w:type="character" w:customStyle="1" w:styleId="eop">
    <w:name w:val="eop"/>
    <w:basedOn w:val="DefaultParagraphFont"/>
    <w:rsid w:val="00A207FA"/>
  </w:style>
  <w:style w:type="paragraph" w:customStyle="1" w:styleId="TableBullet">
    <w:name w:val="Table Bullet"/>
    <w:basedOn w:val="ListParagraph"/>
    <w:link w:val="TableBulletChar"/>
    <w:qFormat/>
    <w:rsid w:val="00DD58DA"/>
    <w:pPr>
      <w:numPr>
        <w:numId w:val="11"/>
      </w:numPr>
      <w:spacing w:before="80" w:after="120" w:line="240" w:lineRule="auto"/>
      <w:ind w:left="273" w:hanging="180"/>
    </w:pPr>
    <w:rPr>
      <w:rFonts w:ascii="Arial Narrow" w:hAnsi="Arial Narrow"/>
      <w:sz w:val="20"/>
    </w:rPr>
  </w:style>
  <w:style w:type="character" w:customStyle="1" w:styleId="TableBulletChar">
    <w:name w:val="Table Bullet Char"/>
    <w:basedOn w:val="ListParagraphChar"/>
    <w:link w:val="TableBullet"/>
    <w:rsid w:val="00DD58DA"/>
    <w:rPr>
      <w:rFonts w:ascii="Arial Narrow" w:hAnsi="Arial Narrow"/>
      <w:sz w:val="20"/>
      <w:szCs w:val="22"/>
    </w:rPr>
  </w:style>
  <w:style w:type="paragraph" w:customStyle="1" w:styleId="footnotelist">
    <w:name w:val="footnote list"/>
    <w:basedOn w:val="TableorFigurefootnote"/>
    <w:link w:val="footnotelistChar"/>
    <w:qFormat/>
    <w:rsid w:val="007F3ABF"/>
    <w:pPr>
      <w:numPr>
        <w:numId w:val="179"/>
      </w:numPr>
    </w:pPr>
  </w:style>
  <w:style w:type="character" w:customStyle="1" w:styleId="TableorFigurefootnoteChar">
    <w:name w:val="Table or Figure footnote Char"/>
    <w:basedOn w:val="DefaultParagraphFont"/>
    <w:link w:val="TableorFigurefootnote"/>
    <w:rsid w:val="006F30AB"/>
    <w:rPr>
      <w:sz w:val="16"/>
    </w:rPr>
  </w:style>
  <w:style w:type="character" w:customStyle="1" w:styleId="footnotelistChar">
    <w:name w:val="footnote list Char"/>
    <w:basedOn w:val="TableorFigurefootnoteChar"/>
    <w:link w:val="footnotelist"/>
    <w:rsid w:val="007F3ABF"/>
    <w:rPr>
      <w:sz w:val="16"/>
    </w:rPr>
  </w:style>
  <w:style w:type="character" w:customStyle="1" w:styleId="contentpasted01">
    <w:name w:val="contentpasted01"/>
    <w:basedOn w:val="DefaultParagraphFont"/>
    <w:rsid w:val="004E396E"/>
  </w:style>
  <w:style w:type="paragraph" w:customStyle="1" w:styleId="pf0">
    <w:name w:val="pf0"/>
    <w:basedOn w:val="Normal"/>
    <w:rsid w:val="007C7451"/>
    <w:pPr>
      <w:spacing w:before="100" w:beforeAutospacing="1" w:after="100" w:afterAutospacing="1"/>
    </w:pPr>
    <w:rPr>
      <w:rFonts w:ascii="Times New Roman" w:eastAsia="Times New Roman" w:hAnsi="Times New Roman" w:cs="Times New Roman"/>
    </w:rPr>
  </w:style>
  <w:style w:type="character" w:customStyle="1" w:styleId="cf01">
    <w:name w:val="cf01"/>
    <w:basedOn w:val="DefaultParagraphFont"/>
    <w:rsid w:val="007C7451"/>
    <w:rPr>
      <w:rFonts w:ascii="Segoe UI" w:hAnsi="Segoe UI" w:cs="Segoe UI" w:hint="default"/>
      <w:sz w:val="18"/>
      <w:szCs w:val="18"/>
    </w:rPr>
  </w:style>
  <w:style w:type="paragraph" w:customStyle="1" w:styleId="Default">
    <w:name w:val="Default"/>
    <w:rsid w:val="005A58B6"/>
    <w:pPr>
      <w:autoSpaceDE w:val="0"/>
      <w:autoSpaceDN w:val="0"/>
      <w:adjustRightInd w:val="0"/>
      <w:spacing w:after="0"/>
    </w:pPr>
    <w:rPr>
      <w:rFonts w:ascii="Times New Roman" w:hAnsi="Times New Roman" w:cs="Times New Roman"/>
      <w:color w:val="000000"/>
    </w:rPr>
  </w:style>
  <w:style w:type="paragraph" w:customStyle="1" w:styleId="DiagramBodyCopy">
    <w:name w:val="Diagram – Body Copy"/>
    <w:autoRedefine/>
    <w:qFormat/>
    <w:rsid w:val="00400489"/>
    <w:pPr>
      <w:adjustRightInd w:val="0"/>
      <w:snapToGrid w:val="0"/>
      <w:spacing w:after="0"/>
    </w:pPr>
    <w:rPr>
      <w:rFonts w:ascii="Arial" w:eastAsiaTheme="minorEastAsia" w:hAnsi="Arial"/>
      <w:b/>
      <w:color w:val="FFFFFF" w:themeColor="background1"/>
      <w:sz w:val="18"/>
      <w:szCs w:val="18"/>
    </w:rPr>
  </w:style>
  <w:style w:type="paragraph" w:customStyle="1" w:styleId="DiagramHeaders-leftcolumn">
    <w:name w:val="Diagram Headers - left column"/>
    <w:autoRedefine/>
    <w:rsid w:val="005A58B6"/>
    <w:pPr>
      <w:spacing w:after="0"/>
      <w:jc w:val="center"/>
    </w:pPr>
    <w:rPr>
      <w:rFonts w:ascii="Arial" w:eastAsiaTheme="minorEastAsia" w:hAnsi="Arial"/>
      <w:b/>
      <w:bCs/>
      <w:color w:val="FFFFFF" w:themeColor="background1"/>
    </w:rPr>
  </w:style>
  <w:style w:type="paragraph" w:customStyle="1" w:styleId="LogicModel-Bodycopy">
    <w:name w:val="Logic Model - Body copy"/>
    <w:qFormat/>
    <w:rsid w:val="005A58B6"/>
    <w:pPr>
      <w:snapToGrid w:val="0"/>
      <w:spacing w:after="0" w:line="252" w:lineRule="auto"/>
      <w:jc w:val="center"/>
    </w:pPr>
    <w:rPr>
      <w:rFonts w:eastAsiaTheme="minorEastAsia" w:cs="Arial"/>
      <w:color w:val="000000" w:themeColor="text1"/>
      <w:sz w:val="17"/>
      <w:szCs w:val="18"/>
    </w:rPr>
  </w:style>
  <w:style w:type="paragraph" w:customStyle="1" w:styleId="LogicModel-Header">
    <w:name w:val="Logic Model - Header"/>
    <w:basedOn w:val="Normal"/>
    <w:qFormat/>
    <w:rsid w:val="005A58B6"/>
    <w:pPr>
      <w:spacing w:after="63"/>
      <w:jc w:val="center"/>
    </w:pPr>
    <w:rPr>
      <w:rFonts w:asciiTheme="majorHAnsi" w:hAnsiTheme="majorHAnsi" w:cstheme="majorHAnsi"/>
      <w:b/>
      <w:bCs/>
      <w:color w:val="000000" w:themeColor="text1"/>
      <w:kern w:val="24"/>
      <w:sz w:val="21"/>
      <w:szCs w:val="21"/>
    </w:rPr>
  </w:style>
  <w:style w:type="paragraph" w:customStyle="1" w:styleId="LogicModel-Bullet">
    <w:name w:val="Logic Model - Bullet"/>
    <w:basedOn w:val="ListParagraph"/>
    <w:link w:val="LogicModel-BulletChar"/>
    <w:qFormat/>
    <w:rsid w:val="003E35E2"/>
    <w:pPr>
      <w:numPr>
        <w:numId w:val="167"/>
      </w:numPr>
      <w:spacing w:before="0" w:after="0" w:line="240" w:lineRule="auto"/>
      <w:ind w:left="270" w:hanging="180"/>
      <w:contextualSpacing/>
      <w:textAlignment w:val="baseline"/>
    </w:pPr>
    <w:rPr>
      <w:rFonts w:hAnsi="Arial"/>
      <w:color w:val="000000" w:themeColor="text1"/>
      <w:kern w:val="24"/>
      <w:sz w:val="16"/>
      <w:szCs w:val="18"/>
    </w:rPr>
  </w:style>
  <w:style w:type="paragraph" w:customStyle="1" w:styleId="LogicModel-Subheading">
    <w:name w:val="Logic Model - Subheading"/>
    <w:basedOn w:val="Normal"/>
    <w:qFormat/>
    <w:rsid w:val="005A58B6"/>
    <w:pPr>
      <w:spacing w:before="60" w:after="40"/>
    </w:pPr>
    <w:rPr>
      <w:b/>
      <w:bCs/>
      <w:color w:val="000000" w:themeColor="text1"/>
      <w:sz w:val="16"/>
      <w:szCs w:val="16"/>
    </w:rPr>
  </w:style>
  <w:style w:type="paragraph" w:customStyle="1" w:styleId="LogicModel-Bullet2">
    <w:name w:val="Logic Model - Bullet 2"/>
    <w:basedOn w:val="LogicModel-Bullet"/>
    <w:link w:val="LogicModel-Bullet2Char"/>
    <w:qFormat/>
    <w:rsid w:val="008E0EBB"/>
    <w:pPr>
      <w:tabs>
        <w:tab w:val="num" w:pos="270"/>
      </w:tabs>
      <w:ind w:left="540"/>
    </w:pPr>
  </w:style>
  <w:style w:type="character" w:customStyle="1" w:styleId="LogicModel-BulletChar">
    <w:name w:val="Logic Model - Bullet Char"/>
    <w:basedOn w:val="ListParagraphChar"/>
    <w:link w:val="LogicModel-Bullet"/>
    <w:rsid w:val="003E35E2"/>
    <w:rPr>
      <w:rFonts w:hAnsi="Arial"/>
      <w:color w:val="000000" w:themeColor="text1"/>
      <w:kern w:val="24"/>
      <w:sz w:val="16"/>
      <w:szCs w:val="18"/>
    </w:rPr>
  </w:style>
  <w:style w:type="character" w:customStyle="1" w:styleId="LogicModel-Bullet2Char">
    <w:name w:val="Logic Model - Bullet 2 Char"/>
    <w:basedOn w:val="LogicModel-BulletChar"/>
    <w:link w:val="LogicModel-Bullet2"/>
    <w:rsid w:val="005A58B6"/>
    <w:rPr>
      <w:rFonts w:hAnsi="Arial"/>
      <w:color w:val="000000" w:themeColor="text1"/>
      <w:kern w:val="24"/>
      <w:sz w:val="16"/>
      <w:szCs w:val="18"/>
    </w:rPr>
  </w:style>
  <w:style w:type="paragraph" w:customStyle="1" w:styleId="Diagramtextleft">
    <w:name w:val="Diagram text left"/>
    <w:qFormat/>
    <w:rsid w:val="005A58B6"/>
    <w:pPr>
      <w:spacing w:after="0"/>
    </w:pPr>
    <w:rPr>
      <w:rFonts w:ascii="Arial" w:eastAsiaTheme="minorEastAsia" w:hAnsi="Arial"/>
      <w:bCs/>
      <w:color w:val="FFFFFF" w:themeColor="background1"/>
      <w:sz w:val="18"/>
      <w:szCs w:val="18"/>
    </w:rPr>
  </w:style>
  <w:style w:type="paragraph" w:customStyle="1" w:styleId="xl68">
    <w:name w:val="xl68"/>
    <w:basedOn w:val="Normal"/>
    <w:rsid w:val="005A58B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000000" w:themeColor="text1"/>
    </w:rPr>
  </w:style>
  <w:style w:type="paragraph" w:customStyle="1" w:styleId="xl69">
    <w:name w:val="xl69"/>
    <w:basedOn w:val="Normal"/>
    <w:rsid w:val="005A58B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themeColor="text1"/>
    </w:rPr>
  </w:style>
  <w:style w:type="paragraph" w:customStyle="1" w:styleId="TableHeading105ptBold">
    <w:name w:val="TableHeading + 10.5 pt Bold"/>
    <w:basedOn w:val="TableNormal0"/>
    <w:rsid w:val="002A2FE9"/>
    <w:rPr>
      <w:b/>
      <w:bCs/>
      <w:sz w:val="21"/>
    </w:rPr>
  </w:style>
  <w:style w:type="paragraph" w:customStyle="1" w:styleId="TableHeading">
    <w:name w:val="Table Heading"/>
    <w:basedOn w:val="Normal"/>
    <w:link w:val="TableHeadingChar"/>
    <w:qFormat/>
    <w:rsid w:val="00C64566"/>
    <w:pPr>
      <w:spacing w:after="80"/>
    </w:pPr>
    <w:rPr>
      <w:rFonts w:ascii="Arial Narrow" w:hAnsi="Arial Narrow"/>
      <w:b/>
      <w:bCs/>
      <w:sz w:val="21"/>
      <w:szCs w:val="21"/>
    </w:rPr>
  </w:style>
  <w:style w:type="character" w:customStyle="1" w:styleId="TableHeadingChar">
    <w:name w:val="Table Heading Char"/>
    <w:basedOn w:val="DefaultParagraphFont"/>
    <w:link w:val="TableHeading"/>
    <w:rsid w:val="00C64566"/>
    <w:rPr>
      <w:rFonts w:ascii="Arial Narrow" w:hAnsi="Arial Narrow"/>
      <w:b/>
      <w:bCs/>
      <w:sz w:val="21"/>
      <w:szCs w:val="21"/>
    </w:rPr>
  </w:style>
  <w:style w:type="character" w:customStyle="1" w:styleId="ui-provider">
    <w:name w:val="ui-provider"/>
    <w:basedOn w:val="DefaultParagraphFont"/>
    <w:rsid w:val="003D11F4"/>
  </w:style>
  <w:style w:type="paragraph" w:customStyle="1" w:styleId="Footnote">
    <w:name w:val="Footnote"/>
    <w:basedOn w:val="FootnoteText"/>
    <w:link w:val="FootnoteChar"/>
    <w:qFormat/>
    <w:rsid w:val="00B64043"/>
    <w:pPr>
      <w:spacing w:after="60"/>
      <w:ind w:left="144" w:hanging="144"/>
    </w:pPr>
  </w:style>
  <w:style w:type="character" w:customStyle="1" w:styleId="FootnoteChar">
    <w:name w:val="Footnote Char"/>
    <w:basedOn w:val="FootnoteTextChar"/>
    <w:link w:val="Footnote"/>
    <w:rsid w:val="00B64043"/>
    <w:rPr>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3718">
      <w:bodyDiv w:val="1"/>
      <w:marLeft w:val="0"/>
      <w:marRight w:val="0"/>
      <w:marTop w:val="0"/>
      <w:marBottom w:val="0"/>
      <w:divBdr>
        <w:top w:val="none" w:sz="0" w:space="0" w:color="auto"/>
        <w:left w:val="none" w:sz="0" w:space="0" w:color="auto"/>
        <w:bottom w:val="none" w:sz="0" w:space="0" w:color="auto"/>
        <w:right w:val="none" w:sz="0" w:space="0" w:color="auto"/>
      </w:divBdr>
    </w:div>
    <w:div w:id="257251798">
      <w:bodyDiv w:val="1"/>
      <w:marLeft w:val="0"/>
      <w:marRight w:val="0"/>
      <w:marTop w:val="0"/>
      <w:marBottom w:val="0"/>
      <w:divBdr>
        <w:top w:val="none" w:sz="0" w:space="0" w:color="auto"/>
        <w:left w:val="none" w:sz="0" w:space="0" w:color="auto"/>
        <w:bottom w:val="none" w:sz="0" w:space="0" w:color="auto"/>
        <w:right w:val="none" w:sz="0" w:space="0" w:color="auto"/>
      </w:divBdr>
    </w:div>
    <w:div w:id="369498330">
      <w:bodyDiv w:val="1"/>
      <w:marLeft w:val="0"/>
      <w:marRight w:val="0"/>
      <w:marTop w:val="0"/>
      <w:marBottom w:val="0"/>
      <w:divBdr>
        <w:top w:val="none" w:sz="0" w:space="0" w:color="auto"/>
        <w:left w:val="none" w:sz="0" w:space="0" w:color="auto"/>
        <w:bottom w:val="none" w:sz="0" w:space="0" w:color="auto"/>
        <w:right w:val="none" w:sz="0" w:space="0" w:color="auto"/>
      </w:divBdr>
    </w:div>
    <w:div w:id="512107303">
      <w:bodyDiv w:val="1"/>
      <w:marLeft w:val="0"/>
      <w:marRight w:val="0"/>
      <w:marTop w:val="0"/>
      <w:marBottom w:val="0"/>
      <w:divBdr>
        <w:top w:val="none" w:sz="0" w:space="0" w:color="auto"/>
        <w:left w:val="none" w:sz="0" w:space="0" w:color="auto"/>
        <w:bottom w:val="none" w:sz="0" w:space="0" w:color="auto"/>
        <w:right w:val="none" w:sz="0" w:space="0" w:color="auto"/>
      </w:divBdr>
    </w:div>
    <w:div w:id="528569231">
      <w:bodyDiv w:val="1"/>
      <w:marLeft w:val="0"/>
      <w:marRight w:val="0"/>
      <w:marTop w:val="0"/>
      <w:marBottom w:val="0"/>
      <w:divBdr>
        <w:top w:val="none" w:sz="0" w:space="0" w:color="auto"/>
        <w:left w:val="none" w:sz="0" w:space="0" w:color="auto"/>
        <w:bottom w:val="none" w:sz="0" w:space="0" w:color="auto"/>
        <w:right w:val="none" w:sz="0" w:space="0" w:color="auto"/>
      </w:divBdr>
    </w:div>
    <w:div w:id="773936974">
      <w:bodyDiv w:val="1"/>
      <w:marLeft w:val="0"/>
      <w:marRight w:val="0"/>
      <w:marTop w:val="0"/>
      <w:marBottom w:val="0"/>
      <w:divBdr>
        <w:top w:val="none" w:sz="0" w:space="0" w:color="auto"/>
        <w:left w:val="none" w:sz="0" w:space="0" w:color="auto"/>
        <w:bottom w:val="none" w:sz="0" w:space="0" w:color="auto"/>
        <w:right w:val="none" w:sz="0" w:space="0" w:color="auto"/>
      </w:divBdr>
    </w:div>
    <w:div w:id="1080369598">
      <w:bodyDiv w:val="1"/>
      <w:marLeft w:val="0"/>
      <w:marRight w:val="0"/>
      <w:marTop w:val="0"/>
      <w:marBottom w:val="0"/>
      <w:divBdr>
        <w:top w:val="none" w:sz="0" w:space="0" w:color="auto"/>
        <w:left w:val="none" w:sz="0" w:space="0" w:color="auto"/>
        <w:bottom w:val="none" w:sz="0" w:space="0" w:color="auto"/>
        <w:right w:val="none" w:sz="0" w:space="0" w:color="auto"/>
      </w:divBdr>
    </w:div>
    <w:div w:id="1178228746">
      <w:bodyDiv w:val="1"/>
      <w:marLeft w:val="0"/>
      <w:marRight w:val="0"/>
      <w:marTop w:val="0"/>
      <w:marBottom w:val="0"/>
      <w:divBdr>
        <w:top w:val="none" w:sz="0" w:space="0" w:color="auto"/>
        <w:left w:val="none" w:sz="0" w:space="0" w:color="auto"/>
        <w:bottom w:val="none" w:sz="0" w:space="0" w:color="auto"/>
        <w:right w:val="none" w:sz="0" w:space="0" w:color="auto"/>
      </w:divBdr>
    </w:div>
    <w:div w:id="1317953162">
      <w:bodyDiv w:val="1"/>
      <w:marLeft w:val="0"/>
      <w:marRight w:val="0"/>
      <w:marTop w:val="0"/>
      <w:marBottom w:val="0"/>
      <w:divBdr>
        <w:top w:val="none" w:sz="0" w:space="0" w:color="auto"/>
        <w:left w:val="none" w:sz="0" w:space="0" w:color="auto"/>
        <w:bottom w:val="none" w:sz="0" w:space="0" w:color="auto"/>
        <w:right w:val="none" w:sz="0" w:space="0" w:color="auto"/>
      </w:divBdr>
    </w:div>
    <w:div w:id="1673411009">
      <w:bodyDiv w:val="1"/>
      <w:marLeft w:val="0"/>
      <w:marRight w:val="0"/>
      <w:marTop w:val="0"/>
      <w:marBottom w:val="0"/>
      <w:divBdr>
        <w:top w:val="none" w:sz="0" w:space="0" w:color="auto"/>
        <w:left w:val="none" w:sz="0" w:space="0" w:color="auto"/>
        <w:bottom w:val="none" w:sz="0" w:space="0" w:color="auto"/>
        <w:right w:val="none" w:sz="0" w:space="0" w:color="auto"/>
      </w:divBdr>
    </w:div>
    <w:div w:id="1708406613">
      <w:bodyDiv w:val="1"/>
      <w:marLeft w:val="0"/>
      <w:marRight w:val="0"/>
      <w:marTop w:val="0"/>
      <w:marBottom w:val="0"/>
      <w:divBdr>
        <w:top w:val="none" w:sz="0" w:space="0" w:color="auto"/>
        <w:left w:val="none" w:sz="0" w:space="0" w:color="auto"/>
        <w:bottom w:val="none" w:sz="0" w:space="0" w:color="auto"/>
        <w:right w:val="none" w:sz="0" w:space="0" w:color="auto"/>
      </w:divBdr>
    </w:div>
    <w:div w:id="1974679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21" Type="http://schemas.openxmlformats.org/officeDocument/2006/relationships/header" Target="header5.xml"/><Relationship Id="rId42" Type="http://schemas.openxmlformats.org/officeDocument/2006/relationships/hyperlink" Target="https://www.umassmed.edu/fmch/" TargetMode="External"/><Relationship Id="rId47" Type="http://schemas.openxmlformats.org/officeDocument/2006/relationships/hyperlink" Target="https://www.ncqa.org/hedis/measures/child-and-adolescent-well-care-visits/" TargetMode="External"/><Relationship Id="rId63" Type="http://schemas.openxmlformats.org/officeDocument/2006/relationships/hyperlink" Target="https://www.ncqa.org/hedis/measures/follow-up-after-emergency-department-visit-for-mental-illness/" TargetMode="External"/><Relationship Id="rId68" Type="http://schemas.openxmlformats.org/officeDocument/2006/relationships/hyperlink" Target="https://www.ncqa.org/hedis/measures/prenatal-and-postpartum-care-ppc/" TargetMode="External"/><Relationship Id="rId84" Type="http://schemas.openxmlformats.org/officeDocument/2006/relationships/hyperlink" Target="https://www.ncqa.org/hedis/measures/controlling-high-blood-pressure/" TargetMode="External"/><Relationship Id="rId89" Type="http://schemas.openxmlformats.org/officeDocument/2006/relationships/footer" Target="footer6.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header" Target="header8.xml"/><Relationship Id="rId37" Type="http://schemas.openxmlformats.org/officeDocument/2006/relationships/image" Target="media/image8.emf"/><Relationship Id="rId53" Type="http://schemas.openxmlformats.org/officeDocument/2006/relationships/hyperlink" Target="https://www.qualityforum.org/QPS/QPSTool.aspx?tID=14:2&amp;Exact=False&amp;Keyword=AIS" TargetMode="External"/><Relationship Id="rId58" Type="http://schemas.openxmlformats.org/officeDocument/2006/relationships/hyperlink" Target="https://www.ncqa.org/hedis/measures/antidepressant-medication-management/" TargetMode="External"/><Relationship Id="rId74" Type="http://schemas.openxmlformats.org/officeDocument/2006/relationships/hyperlink" Target="https://www.ncqa.org/hedis/measures/childhood-immunization-status/" TargetMode="External"/><Relationship Id="rId79" Type="http://schemas.openxmlformats.org/officeDocument/2006/relationships/hyperlink" Target="https://www.qualityforum.org/QPS/QPSTool.aspx?tID=14:2&amp;Exact=False&amp;Keyword=AIS" TargetMode="External"/><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header" Target="header7.xml"/><Relationship Id="rId30" Type="http://schemas.openxmlformats.org/officeDocument/2006/relationships/hyperlink" Target="https://www.mass.gov/doc/stcs-masshealth-1115-waiver-extension-1/download" TargetMode="External"/><Relationship Id="rId35" Type="http://schemas.openxmlformats.org/officeDocument/2006/relationships/image" Target="media/image7.emf"/><Relationship Id="rId43" Type="http://schemas.openxmlformats.org/officeDocument/2006/relationships/hyperlink" Target="http://www.linkedin.com/in/jayhimmelsteinmd" TargetMode="External"/><Relationship Id="rId48" Type="http://schemas.openxmlformats.org/officeDocument/2006/relationships/hyperlink" Target="https://www.ncqa.org/hedis/measures/diabetes-and-cardiovascular-disease-screening-and-monitoring-for-people-with-schizophrenia-or-bipolar-disorder/" TargetMode="External"/><Relationship Id="rId56" Type="http://schemas.openxmlformats.org/officeDocument/2006/relationships/hyperlink" Target="https://www.ncqa.org/hedis/measures/initiation-and-engagement-of-alcohol-and-other-drug-abuse-or-dependence-treatment/" TargetMode="External"/><Relationship Id="rId64" Type="http://schemas.openxmlformats.org/officeDocument/2006/relationships/hyperlink" Target="https://www.ncqa.org/hedis/measures/initiation-and-engagement-of-alcohol-and-other-drug-abuse-or-dependence-treatment/" TargetMode="External"/><Relationship Id="rId69" Type="http://schemas.openxmlformats.org/officeDocument/2006/relationships/hyperlink" Target="https://www.ncqa.org/hedis/measures/follow-up-after-hospitalization-for-mental-illness/" TargetMode="External"/><Relationship Id="rId77" Type="http://schemas.openxmlformats.org/officeDocument/2006/relationships/hyperlink" Target="https://www.ncqa.org/hedis/measures/plan-all-cause-readmissions/" TargetMode="External"/><Relationship Id="rId8" Type="http://schemas.openxmlformats.org/officeDocument/2006/relationships/webSettings" Target="webSettings.xml"/><Relationship Id="rId51" Type="http://schemas.openxmlformats.org/officeDocument/2006/relationships/hyperlink" Target="https://www.ncqa.org/hedis/measures/immunizations-for-adolescents/" TargetMode="External"/><Relationship Id="rId72" Type="http://schemas.openxmlformats.org/officeDocument/2006/relationships/hyperlink" Target="https://www.ncqa.org/hedis/measures/medication-management-for-people-with-asthma-and-asthma-medication-ratio/" TargetMode="External"/><Relationship Id="rId80" Type="http://schemas.openxmlformats.org/officeDocument/2006/relationships/hyperlink" Target="https://www.ncqa.org/hedis/measures/comprehensive-diabetes-care/" TargetMode="External"/><Relationship Id="rId85" Type="http://schemas.openxmlformats.org/officeDocument/2006/relationships/hyperlink" Target="https://www.ncqa.org/hedis/measures/plan-all-cause-readmissions/"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4.png"/><Relationship Id="rId33" Type="http://schemas.openxmlformats.org/officeDocument/2006/relationships/image" Target="media/image6.emf"/><Relationship Id="rId38"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46" Type="http://schemas.openxmlformats.org/officeDocument/2006/relationships/hyperlink" Target="https://www.ncqa.org/hedis/measures/children-and-adolescents-access-to-primary-care-practitioners-cap/" TargetMode="External"/><Relationship Id="rId59" Type="http://schemas.openxmlformats.org/officeDocument/2006/relationships/hyperlink" Target="https://www.ncqa.org/hedis/measures/use-of-imaging-studies-for-low-back-pain/" TargetMode="External"/><Relationship Id="rId67" Type="http://schemas.openxmlformats.org/officeDocument/2006/relationships/hyperlink" Target="https://www.ncqa.org/hedis/measures/immunizations-for-adolescents/" TargetMode="External"/><Relationship Id="rId20"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41" Type="http://schemas.openxmlformats.org/officeDocument/2006/relationships/hyperlink" Target="https://forhealthconsulting.umassmed.edu/" TargetMode="External"/><Relationship Id="rId54" Type="http://schemas.openxmlformats.org/officeDocument/2006/relationships/hyperlink" Target="https://www.ncqa.org/hedis/measures/prenatal-and-postpartum-care-ppc/" TargetMode="External"/><Relationship Id="rId62" Type="http://schemas.openxmlformats.org/officeDocument/2006/relationships/hyperlink" Target="https://www.ncqa.org/hedis/measures/comprehensive-diabetes-care/" TargetMode="External"/><Relationship Id="rId70" Type="http://schemas.openxmlformats.org/officeDocument/2006/relationships/hyperlink" Target="https://www.ncqa.org/hedis/measures/controlling-high-blood-pressure/" TargetMode="External"/><Relationship Id="rId75" Type="http://schemas.openxmlformats.org/officeDocument/2006/relationships/hyperlink" Target="https://www.qualityforum.org/QPS/QPSTool.aspx?tID=14:2&amp;Exact=False&amp;Keyword=AIS" TargetMode="External"/><Relationship Id="rId83" Type="http://schemas.openxmlformats.org/officeDocument/2006/relationships/hyperlink" Target="https://www.ncqa.org/hedis/measures/follow-up-after-hospitalization-for-mental-illness/" TargetMode="External"/><Relationship Id="rId88" Type="http://schemas.openxmlformats.org/officeDocument/2006/relationships/footer" Target="footer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28" Type="http://schemas.openxmlformats.org/officeDocument/2006/relationships/image" Target="media/image5.emf"/><Relationship Id="rId36"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49" Type="http://schemas.openxmlformats.org/officeDocument/2006/relationships/hyperlink" Target="https://www.ncqa.org/hedis/measures/follow-up-after-emergency-department-visit-for-alcohol-and-other-drug-abuse-or-dependence/" TargetMode="External"/><Relationship Id="rId57" Type="http://schemas.openxmlformats.org/officeDocument/2006/relationships/hyperlink" Target="https://www.ncqa.org/hedis/measures/metabolic-monitoring-for-children-and-adolescents-on-antipsychotics/" TargetMode="External"/><Relationship Id="rId10" Type="http://schemas.openxmlformats.org/officeDocument/2006/relationships/endnotes" Target="endnotes.xml"/><Relationship Id="rId31" Type="http://schemas.openxmlformats.org/officeDocument/2006/relationships/hyperlink" Target="https://www.mass.gov/service-details/1115-masshealth-demonstration-waiver" TargetMode="External"/><Relationship Id="rId44" Type="http://schemas.openxmlformats.org/officeDocument/2006/relationships/footer" Target="footer4.xml"/><Relationship Id="rId52" Type="http://schemas.openxmlformats.org/officeDocument/2006/relationships/hyperlink" Target="https://www.ncqa.org/hedis/measures/childhood-immunization-status/" TargetMode="External"/><Relationship Id="rId60" Type="http://schemas.openxmlformats.org/officeDocument/2006/relationships/hyperlink" Target="https://www.ncqa.org/hedis/measures/plan-all-cause-readmissions/" TargetMode="External"/><Relationship Id="rId65" Type="http://schemas.openxmlformats.org/officeDocument/2006/relationships/hyperlink" Target="https://www.ncqa.org/hedis/measures/plan-all-cause-readmissions/" TargetMode="External"/><Relationship Id="rId73" Type="http://schemas.openxmlformats.org/officeDocument/2006/relationships/hyperlink" Target="https://www.ncqa.org/hedis/measures/initiation-and-engagement-of-alcohol-and-other-drug-abuse-or-dependence-treatment/" TargetMode="External"/><Relationship Id="rId78" Type="http://schemas.openxmlformats.org/officeDocument/2006/relationships/hyperlink" Target="https://www.ncqa.org/hedis/measures/childhood-immunization-status/" TargetMode="External"/><Relationship Id="rId81" Type="http://schemas.openxmlformats.org/officeDocument/2006/relationships/hyperlink" Target="https://www.ncqa.org/hedis/measures/prenatal-and-postpartum-care-ppc/" TargetMode="External"/><Relationship Id="rId86" Type="http://schemas.openxmlformats.org/officeDocument/2006/relationships/hyperlink" Target="https://www.ncqa.org/hedis/measures/controlling-high-blood-pressur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hyperlink" Target="https://www.umassmed.edu/about/" TargetMode="External"/><Relationship Id="rId34"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50" Type="http://schemas.openxmlformats.org/officeDocument/2006/relationships/hyperlink" Target="https://www.ncqa.org/hedis/measures/follow-up-after-hospitalization-for-mental-illness/" TargetMode="External"/><Relationship Id="rId55" Type="http://schemas.openxmlformats.org/officeDocument/2006/relationships/hyperlink" Target="https://www.ncqa.org/hedis/measures/medication-management-for-people-with-asthma-and-asthma-medication-ratio/" TargetMode="External"/><Relationship Id="rId76" Type="http://schemas.openxmlformats.org/officeDocument/2006/relationships/hyperlink" Target="https://www.ncqa.org/hedis/measures/metabolic-monitoring-for-children-and-adolescents-on-antipsychotics/" TargetMode="External"/><Relationship Id="rId7" Type="http://schemas.openxmlformats.org/officeDocument/2006/relationships/settings" Target="settings.xml"/><Relationship Id="rId71" Type="http://schemas.openxmlformats.org/officeDocument/2006/relationships/hyperlink" Target="https://www.ncqa.org/hedis/measures/comprehensive-diabetes-care/" TargetMode="External"/><Relationship Id="rId92" Type="http://schemas.microsoft.com/office/2019/05/relationships/documenttasks" Target="documenttasks/documenttasks1.xml"/><Relationship Id="rId2" Type="http://schemas.openxmlformats.org/officeDocument/2006/relationships/customXml" Target="../customXml/item2.xml"/><Relationship Id="rId29"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24" Type="http://schemas.openxmlformats.org/officeDocument/2006/relationships/header" Target="header6.xml"/><Relationship Id="rId40" Type="http://schemas.openxmlformats.org/officeDocument/2006/relationships/hyperlink" Target="https://www.umassmed.edu/pqhs/" TargetMode="External"/><Relationship Id="rId45" Type="http://schemas.openxmlformats.org/officeDocument/2006/relationships/hyperlink" Target="https://www.ncqa.org/hedis/measures/immunizations-for-adolescents" TargetMode="External"/><Relationship Id="rId66" Type="http://schemas.openxmlformats.org/officeDocument/2006/relationships/hyperlink" Target="https://www.ncqa.org/hedis/measures/follow-up-after-hospitalization-for-mental-illness/" TargetMode="External"/><Relationship Id="rId87" Type="http://schemas.openxmlformats.org/officeDocument/2006/relationships/hyperlink" Target="https://www.ncqa.org/hedis/measures/comprehensive-diabetes-care/" TargetMode="External"/><Relationship Id="rId61" Type="http://schemas.openxmlformats.org/officeDocument/2006/relationships/hyperlink" Target="https://www.ncqa.org/hedis/measures/controlling-high-blood-pressure/" TargetMode="External"/><Relationship Id="rId82" Type="http://schemas.openxmlformats.org/officeDocument/2006/relationships/hyperlink" Target="https://www.ncqa.org/hedis/measures/follow-up-after-emergency-department-visit-for-alcohol-and-other-drug-abuse-or-dependence/" TargetMode="External"/><Relationship Id="rId19" Type="http://schemas.openxmlformats.org/officeDocument/2006/relationships/image" Target="media/image2.emf"/></Relationships>
</file>

<file path=word/_rels/footnotes.xml.rels><?xml version="1.0" encoding="UTF-8" standalone="yes"?>
<Relationships xmlns="http://schemas.openxmlformats.org/package/2006/relationships"><Relationship Id="rId26" Type="http://schemas.openxmlformats.org/officeDocument/2006/relationships/hyperlink" Target="https://www.mass.gov/doc/1115-demonstration-extension-request/download" TargetMode="External"/><Relationship Id="rId21" Type="http://schemas.openxmlformats.org/officeDocument/2006/relationships/hyperlink" Target="https://www.mass.gov/doc/1115-masshealth-demonstration-waiver-approval-letter-12-14-17-0/download" TargetMode="External"/><Relationship Id="rId42" Type="http://schemas.openxmlformats.org/officeDocument/2006/relationships/hyperlink" Target="https://www.mass.gov/service-details/roadmap-for-behavioralhealth-reform" TargetMode="External"/><Relationship Id="rId47"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63"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68" Type="http://schemas.openxmlformats.org/officeDocument/2006/relationships/hyperlink" Target="https://www.graham-center.org/content/dam/rgc/documents/maps-data-tools/state-collections/workforce-projections/Massachusetts.pdf" TargetMode="External"/><Relationship Id="rId84"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89"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16"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11"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32" Type="http://schemas.openxmlformats.org/officeDocument/2006/relationships/hyperlink" Target="https://www.mass.gov/doc/1115-demonstration-extension-request/download" TargetMode="External"/><Relationship Id="rId37"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53" Type="http://schemas.openxmlformats.org/officeDocument/2006/relationships/hyperlink" Target="https://doi.org/10.1111/j.1467-9876.2005.00529.x" TargetMode="External"/><Relationship Id="rId58" Type="http://schemas.openxmlformats.org/officeDocument/2006/relationships/hyperlink" Target="https://www.mass.gov/doc/masshealth-extension-approval/download" TargetMode="External"/><Relationship Id="rId74" Type="http://schemas.openxmlformats.org/officeDocument/2006/relationships/hyperlink" Target="https://www.mass.gov/doc/1115-waiver-extension-request/download" TargetMode="External"/><Relationship Id="rId79"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102"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5" Type="http://schemas.openxmlformats.org/officeDocument/2006/relationships/hyperlink" Target="https://www.mass.gov/doc/masshealth-eligibility-flexibilities-for-covid-19-0/download" TargetMode="External"/><Relationship Id="rId90"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95"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22" Type="http://schemas.openxmlformats.org/officeDocument/2006/relationships/hyperlink" Target="https://www.mass.gov/doc/dsrip-protocol-amended-january-10-2018/download" TargetMode="External"/><Relationship Id="rId27" Type="http://schemas.openxmlformats.org/officeDocument/2006/relationships/hyperlink" Target="https://nam10.safelinks.protection.outlook.com/?url=https%3A%2F%2Fwww.commbuys.com%2Fbso%2Fexternal%2FbidDetail.sdo%3FdocId%3DBD-22-1039-EHS01-ASHWA-71410%26external%3Dtrue%26parentUrl%3Dbid&amp;data=05%7C01%7CKaroline.Gildemeister%40umassmed.edu%7C170de99295e74e5966f308dbeb7ef325%7Cee9155fe2da34378a6c44405faf57b2e%7C0%7C0%7C638362702701471749%7CUnknown%7CTWFpbGZsb3d8eyJWIjoiMC4wLjAwMDAiLCJQIjoiV2luMzIiLCJBTiI6Ik1haWwiLCJXVCI6Mn0%3D%7C3000%7C%7C%7C&amp;sdata=zzqGh6IbJJfegDEHK9ZbZg6rzc0lbVhUfva8KZvtB7E%3D&amp;reserved=0" TargetMode="External"/><Relationship Id="rId43" Type="http://schemas.openxmlformats.org/officeDocument/2006/relationships/hyperlink" Target="https://www.ssa.gov/OP_Home/ssact/title19/1903.htm" TargetMode="External"/><Relationship Id="rId48"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64"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69" Type="http://schemas.openxmlformats.org/officeDocument/2006/relationships/hyperlink" Target="https://www.bluecrossmafoundation.org/sites/g/files/csphws2101/files/2020-09/MHRS_2018_MH%20SUD%20Summary_final.pdf" TargetMode="External"/><Relationship Id="rId80"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85"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12" Type="http://schemas.openxmlformats.org/officeDocument/2006/relationships/hyperlink" Target="https://www.mass.gov/doc/centers-for-medicare-medicaid-services-special-terms-conditions-august-2022/download" TargetMode="External"/><Relationship Id="rId17"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25"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33" Type="http://schemas.openxmlformats.org/officeDocument/2006/relationships/hyperlink" Target="https://www.mass.gov/doc/1115-demonstration-extension-request/download" TargetMode="External"/><Relationship Id="rId38" Type="http://schemas.openxmlformats.org/officeDocument/2006/relationships/hyperlink" Target="https://www.mass.gov/doc/masshealth-caseload-snapshot-and-enrollment-summary-december-2022-0/download" TargetMode="External"/><Relationship Id="rId46"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59"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67"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103"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20" Type="http://schemas.openxmlformats.org/officeDocument/2006/relationships/hyperlink" Target="https://www.mass.gov/doc/masshealth-extension-approval/download" TargetMode="External"/><Relationship Id="rId41" Type="http://schemas.openxmlformats.org/officeDocument/2006/relationships/hyperlink" Target="https://EconPapers.repec.org/RePEc:now:fnteco:0800000014" TargetMode="External"/><Relationship Id="rId54" Type="http://schemas.openxmlformats.org/officeDocument/2006/relationships/hyperlink" Target="https://www.chiamass.gov/ma-apcd/" TargetMode="External"/><Relationship Id="rId62"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70" Type="http://schemas.openxmlformats.org/officeDocument/2006/relationships/hyperlink" Target="https://www.mass.gov/doc/1115-waiver-extension-request/download" TargetMode="External"/><Relationship Id="rId75" Type="http://schemas.openxmlformats.org/officeDocument/2006/relationships/hyperlink" Target="https://www.aamc.org/media/54681/download" TargetMode="External"/><Relationship Id="rId83"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88"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91"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96"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1" Type="http://schemas.openxmlformats.org/officeDocument/2006/relationships/hyperlink" Target="https://www.mass.gov/doc/cms-approved-interim-evaluation-report/download" TargetMode="External"/><Relationship Id="rId6"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15"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23" Type="http://schemas.openxmlformats.org/officeDocument/2006/relationships/hyperlink" Target="https://www.mass.gov/doc/masshealth-extension-approval/download" TargetMode="External"/><Relationship Id="rId28" Type="http://schemas.openxmlformats.org/officeDocument/2006/relationships/hyperlink" Target="https://nam10.safelinks.protection.outlook.com/?url=https%3A%2F%2Fwww.commbuys.com%2Fbso%2Fexternal%2FbidDetail.sdo%3FdocId%3DBD-22-1039-EHS01-ASHWA-71410%26external%3Dtrue%26parentUrl%3Dbid&amp;data=05%7C01%7CKaroline.Gildemeister%40umassmed.edu%7C170de99295e74e5966f308dbeb7ef325%7Cee9155fe2da34378a6c44405faf57b2e%7C0%7C0%7C638362702701471749%7CUnknown%7CTWFpbGZsb3d8eyJWIjoiMC4wLjAwMDAiLCJQIjoiV2luMzIiLCJBTiI6Ik1haWwiLCJXVCI6Mn0%3D%7C3000%7C%7C%7C&amp;sdata=zzqGh6IbJJfegDEHK9ZbZg6rzc0lbVhUfva8KZvtB7E%3D&amp;reserved=0" TargetMode="External"/><Relationship Id="rId36"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49" Type="http://schemas.openxmlformats.org/officeDocument/2006/relationships/hyperlink" Target="https://www.medicaid.gov/medicaid/section-1115-demo/downloads/evaluation-reports/smi-sed-sud-1115-eval-guide.pdf" TargetMode="External"/><Relationship Id="rId57" Type="http://schemas.openxmlformats.org/officeDocument/2006/relationships/hyperlink" Target="https://doi.org/10.1080/19439962.2020.1786871" TargetMode="External"/><Relationship Id="rId10"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31"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44"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52" Type="http://schemas.openxmlformats.org/officeDocument/2006/relationships/hyperlink" Target="https://www.mass.gov/doc/acute-inpatient-hospital-bulletin-169-in-state-acute-hospital-30-day-readmissions-policy-0/download" TargetMode="External"/><Relationship Id="rId60"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65"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73" Type="http://schemas.openxmlformats.org/officeDocument/2006/relationships/hyperlink" Target="https://www.weitzmaninstitute.org/sites/default/files/NPResidencyBook/NPResidencyBook.pdf" TargetMode="External"/><Relationship Id="rId78" Type="http://schemas.openxmlformats.org/officeDocument/2006/relationships/hyperlink" Target="https://doi.org/10.1007/978-3-662-06392-7_4" TargetMode="External"/><Relationship Id="rId81"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86"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94"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99"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101"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4" Type="http://schemas.openxmlformats.org/officeDocument/2006/relationships/hyperlink" Target="https://www.chiamass.gov/massachusetts-health-insurance-survey/" TargetMode="External"/><Relationship Id="rId9"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13"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18"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39" Type="http://schemas.openxmlformats.org/officeDocument/2006/relationships/hyperlink" Target="https://www.medicaid.gov/medicaid/section-1115-demo/downloads/evaluation-reports/comparison-grp-eval-dsgn.pdf" TargetMode="External"/><Relationship Id="rId34" Type="http://schemas.openxmlformats.org/officeDocument/2006/relationships/hyperlink" Target="https://nam10.safelinks.protection.outlook.com/?url=https%3A%2F%2Fwww.commbuys.com%2Fbso%2Fexternal%2FbidDetail.sdo%3FdocId%3DBD-22-1039-EHS01-ASHWA-71410%26external%3Dtrue%26parentUrl%3Dbid&amp;data=05%7C01%7CKaroline.Gildemeister%40umassmed.edu%7C170de99295e74e5966f308dbeb7ef325%7Cee9155fe2da34378a6c44405faf57b2e%7C0%7C0%7C638362702701471749%7CUnknown%7CTWFpbGZsb3d8eyJWIjoiMC4wLjAwMDAiLCJQIjoiV2luMzIiLCJBTiI6Ik1haWwiLCJXVCI6Mn0%3D%7C3000%7C%7C%7C&amp;sdata=zzqGh6IbJJfegDEHK9ZbZg6rzc0lbVhUfva8KZvtB7E%3D&amp;reserved=0" TargetMode="External"/><Relationship Id="rId50" Type="http://schemas.openxmlformats.org/officeDocument/2006/relationships/hyperlink" Target="https://www.medicaid.gov/medicaid/section-1115-demo/downloads/evaluation-reports/smi-sed-eval-guide-appendix-a.pdf" TargetMode="External"/><Relationship Id="rId55" Type="http://schemas.openxmlformats.org/officeDocument/2006/relationships/hyperlink" Target="https://www.ahrq.gov/cahps/surveys-guidance/echo/index.html" TargetMode="External"/><Relationship Id="rId76" Type="http://schemas.openxmlformats.org/officeDocument/2006/relationships/hyperlink" Target="https://www.mass.gov/service-details/roadmap-for-behavioralhealth-reform" TargetMode="External"/><Relationship Id="rId97"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7"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71" Type="http://schemas.openxmlformats.org/officeDocument/2006/relationships/hyperlink" Target="https://www.mass.gov/doc/1115-waiver-extension-request/download" TargetMode="External"/><Relationship Id="rId92"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2"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29"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24" Type="http://schemas.openxmlformats.org/officeDocument/2006/relationships/hyperlink" Target="https://nam10.safelinks.protection.outlook.com/?url=https%3A%2F%2Fwww.commbuys.com%2Fbso%2Fexternal%2FbidDetail.sdo%3FdocId%3DBD-22-1039-EHS01-ASHWA-71410%26external%3Dtrue%26parentUrl%3Dbid&amp;data=05%7C01%7CKaroline.Gildemeister%40umassmed.edu%7C170de99295e74e5966f308dbeb7ef325%7Cee9155fe2da34378a6c44405faf57b2e%7C0%7C0%7C638362702701471749%7CUnknown%7CTWFpbGZsb3d8eyJWIjoiMC4wLjAwMDAiLCJQIjoiV2luMzIiLCJBTiI6Ik1haWwiLCJXVCI6Mn0%3D%7C3000%7C%7C%7C&amp;sdata=zzqGh6IbJJfegDEHK9ZbZg6rzc0lbVhUfva8KZvtB7E%3D&amp;reserved=0" TargetMode="External"/><Relationship Id="rId40" Type="http://schemas.openxmlformats.org/officeDocument/2006/relationships/hyperlink" Target="https://www.mass.gov/doc/masshealth-2022-comprehensive-quality-strategy-2/download" TargetMode="External"/><Relationship Id="rId45"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66"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87"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61"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82"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19"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14"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30" Type="http://schemas.openxmlformats.org/officeDocument/2006/relationships/hyperlink" Target="https://www.mass.gov/doc/1115-demonstration-extension-request/download" TargetMode="External"/><Relationship Id="rId35" Type="http://schemas.openxmlformats.org/officeDocument/2006/relationships/hyperlink" Target="https://nam10.safelinks.protection.outlook.com/?url=https%3A%2F%2Fwww.commbuys.com%2Fbso%2Fexternal%2FbidDetail.sdo%3FdocId%3DBD-22-1039-EHS01-ASHWA-71410%26external%3Dtrue%26parentUrl%3Dbid&amp;data=05%7C01%7CKaroline.Gildemeister%40umassmed.edu%7C170de99295e74e5966f308dbeb7ef325%7Cee9155fe2da34378a6c44405faf57b2e%7C0%7C0%7C638362702701471749%7CUnknown%7CTWFpbGZsb3d8eyJWIjoiMC4wLjAwMDAiLCJQIjoiV2luMzIiLCJBTiI6Ik1haWwiLCJXVCI6Mn0%3D%7C3000%7C%7C%7C&amp;sdata=zzqGh6IbJJfegDEHK9ZbZg6rzc0lbVhUfva8KZvtB7E%3D&amp;reserved=0" TargetMode="External"/><Relationship Id="rId56" Type="http://schemas.openxmlformats.org/officeDocument/2006/relationships/hyperlink" Target="https://doi.org/10.1002/9781118150672" TargetMode="External"/><Relationship Id="rId77" Type="http://schemas.openxmlformats.org/officeDocument/2006/relationships/hyperlink" Target="https://doi.org/10.1111/ajae.12311" TargetMode="External"/><Relationship Id="rId100"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8"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51" Type="http://schemas.openxmlformats.org/officeDocument/2006/relationships/hyperlink" Target="https://www.hhs.gov/guidance/document/smised-and-sud-evaluation-design-guidance-appendix-b" TargetMode="External"/><Relationship Id="rId72" Type="http://schemas.openxmlformats.org/officeDocument/2006/relationships/hyperlink" Target="https://www.ncbi.nlm.nih.gov/pmc/articles/PMC5743635/" TargetMode="External"/><Relationship Id="rId93"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98"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3" Type="http://schemas.openxmlformats.org/officeDocument/2006/relationships/hyperlink" Target="https://www.medicaid.gov/medicaid/section-1115-demonstrations/1115-demonstration-monitoring-evaluation/1115-demonstration-state-monitoring-evaluation-resources/index.html" TargetMode="External"/></Relationships>
</file>

<file path=word/documenttasks/documenttasks1.xml><?xml version="1.0" encoding="utf-8"?>
<t:Tasks xmlns:t="http://schemas.microsoft.com/office/tasks/2019/documenttasks" xmlns:oel="http://schemas.microsoft.com/office/2019/extlst">
  <t:Task id="{61F265C1-EAFC-4A16-A091-CF50B9D6DB0D}">
    <t:Anchor>
      <t:Comment id="728254728"/>
    </t:Anchor>
    <t:History>
      <t:Event id="{8EF55E78-FE99-44C0-805B-0A3091C2EF85}" time="2023-11-01T20:48:37.343Z">
        <t:Attribution userId="S::meagan.sabatino@umassmed.edu::58a2d679-12b4-4b69-a2b8-46326e81115c" userProvider="AD" userName="Sabatino, Meagan J"/>
        <t:Anchor>
          <t:Comment id="561349961"/>
        </t:Anchor>
        <t:Create/>
      </t:Event>
      <t:Event id="{C41BC7BC-5185-48BC-8B85-BDB5D04E7FB2}" time="2023-11-01T20:48:37.343Z">
        <t:Attribution userId="S::meagan.sabatino@umassmed.edu::58a2d679-12b4-4b69-a2b8-46326e81115c" userProvider="AD" userName="Sabatino, Meagan J"/>
        <t:Anchor>
          <t:Comment id="561349961"/>
        </t:Anchor>
        <t:Assign userId="S::Ying.Wang@umassmed.edu::acf99118-9756-4e15-946e-9feb075aeb62" userProvider="AD" userName="Wang, Ying (Elaine)"/>
      </t:Event>
      <t:Event id="{29F9D762-7986-4656-BF08-0E698D45DF59}" time="2023-11-01T20:48:37.343Z">
        <t:Attribution userId="S::meagan.sabatino@umassmed.edu::58a2d679-12b4-4b69-a2b8-46326e81115c" userProvider="AD" userName="Sabatino, Meagan J"/>
        <t:Anchor>
          <t:Comment id="561349961"/>
        </t:Anchor>
        <t:SetTitle title="@Wang, Ying (Elaine)  RQ5-2: The team has three questions: 1. Member interviews- they do not seem to line up for this RQ- can they be removed? 2. The provider interviews dont appear to be accounted for in the budget for this rq. Are these provider …"/>
      </t:Event>
      <t:Event id="{5A63E887-1599-440C-9900-13E6CA11E21C}" time="2023-11-03T13:39:47.191Z">
        <t:Attribution userId="S::Karoline.Gildemeister@umassmed.edu::b0186f34-b73b-4b6b-8a1e-ae62deb2b79f" userProvider="AD" userName="Karoline Gildemeister"/>
        <t:Progress percentComplete="100"/>
      </t:Event>
      <t:Event id="{555B8772-F965-471F-8281-71140A7C3D34}" time="2023-11-03T13:39:53.167Z">
        <t:Attribution userId="S::Karoline.Gildemeister@umassmed.edu::b0186f34-b73b-4b6b-8a1e-ae62deb2b79f" userProvider="AD" userName="Karoline Gildemeister"/>
        <t:Undo id="{5A63E887-1599-440C-9900-13E6CA11E21C}"/>
      </t:Event>
      <t:Event id="{D82F93E3-FD8C-48C3-BAF8-E095B86D462C}" time="2023-11-03T13:54:38.662Z">
        <t:Attribution userId="S::Karoline.Gildemeister@umassmed.edu::b0186f34-b73b-4b6b-8a1e-ae62deb2b79f" userProvider="AD" userName="Karoline Gildemeister"/>
        <t:Progress percentComplete="100"/>
      </t:Event>
      <t:Event id="{37533975-A071-420D-B190-D33A82D5B39D}" time="2023-11-03T20:57:16.51Z">
        <t:Attribution userId="S::Karoline.Gildemeister@umassmed.edu::b0186f34-b73b-4b6b-8a1e-ae62deb2b79f" userProvider="AD" userName="Karoline Gildemeister"/>
        <t:Progress percentComplete="0"/>
      </t:Event>
      <t:Event id="{AD89993F-EC7C-4B75-9CD3-DC6EE5969996}" time="2023-11-13T15:22:01.698Z">
        <t:Attribution userId="S::thomas.volkman@mass.gov::1611ab47-47cb-417c-9d7a-75df5cab1155" userProvider="AD" userName="Volkman, Thomas (EHS)"/>
        <t:Progress percentComplete="100"/>
      </t:Event>
    </t:History>
  </t:Task>
  <t:Task id="{38D07403-9DF4-4745-A09A-96E681B2E95C}">
    <t:Anchor>
      <t:Comment id="666375613"/>
    </t:Anchor>
    <t:History>
      <t:Event id="{84C17F98-1479-AF46-8E51-BF00CDA531D4}" time="2023-03-12T13:11:24.989Z">
        <t:Attribution userId="S::jay.himmelstein@umassmed.edu::55184e0a-5490-4401-9c02-a3feb0a0135b" userProvider="AD" userName="Himmelstein, Jay"/>
        <t:Anchor>
          <t:Comment id="666375613"/>
        </t:Anchor>
        <t:Create/>
      </t:Event>
      <t:Event id="{3F6A9852-D7BD-E94F-9A21-9658700C8B0B}" time="2023-03-12T13:11:24.989Z">
        <t:Attribution userId="S::jay.himmelstein@umassmed.edu::55184e0a-5490-4401-9c02-a3feb0a0135b" userProvider="AD" userName="Himmelstein, Jay"/>
        <t:Anchor>
          <t:Comment id="666375613"/>
        </t:Anchor>
        <t:Assign userId="S::Ying.Wang@umassmed.edu::acf99118-9756-4e15-946e-9feb075aeb62" userProvider="AD" userName="Wang, Ying (Elaine)"/>
      </t:Event>
      <t:Event id="{F675AC55-DAE4-0C4B-9F67-E1182E482699}" time="2023-03-12T13:11:24.989Z">
        <t:Attribution userId="S::jay.himmelstein@umassmed.edu::55184e0a-5490-4401-9c02-a3feb0a0135b" userProvider="AD" userName="Himmelstein, Jay"/>
        <t:Anchor>
          <t:Comment id="666375613"/>
        </t:Anchor>
        <t:SetTitle title="@Wang, Ying (Elaine) should this say “control for” instead of mitigate?"/>
      </t:Event>
    </t:History>
  </t:Task>
  <t:Task id="{A2E3198D-DC72-4C8F-B18D-3D0EAB7AA1D5}">
    <t:Anchor>
      <t:Comment id="1317931283"/>
    </t:Anchor>
    <t:History>
      <t:Event id="{00427456-68C0-469F-B8DD-D133D58BA728}" time="2023-10-30T17:00:37.089Z">
        <t:Attribution userId="S::Matthew.Alcusky@umassmed.edu::97c94231-8a0c-4c44-bc39-3dd8b513ec33" userProvider="AD" userName="Alcusky, Matthew"/>
        <t:Anchor>
          <t:Comment id="69437623"/>
        </t:Anchor>
        <t:Create/>
      </t:Event>
      <t:Event id="{D2BEF104-9515-4AD7-BE61-7975B21B7992}" time="2023-10-30T17:00:37.089Z">
        <t:Attribution userId="S::Matthew.Alcusky@umassmed.edu::97c94231-8a0c-4c44-bc39-3dd8b513ec33" userProvider="AD" userName="Alcusky, Matthew"/>
        <t:Anchor>
          <t:Comment id="69437623"/>
        </t:Anchor>
        <t:Assign userId="S::Margaret.Tiedemann@umassmed.edu::f6e2cf11-6262-4d5f-8bee-24dc38cea6cf" userProvider="AD" userName="Tiedemann, Margaret A"/>
      </t:Event>
      <t:Event id="{AE128F8A-AB93-4EF2-9A5B-C3A80C2080A3}" time="2023-10-30T17:00:37.089Z">
        <t:Attribution userId="S::Matthew.Alcusky@umassmed.edu::97c94231-8a0c-4c44-bc39-3dd8b513ec33" userProvider="AD" userName="Alcusky, Matthew"/>
        <t:Anchor>
          <t:Comment id="69437623"/>
        </t:Anchor>
        <t:SetTitle title="@Tiedemann, Margaret A "/>
      </t:Event>
      <t:Event id="{007965C4-564F-48B5-B7E8-8275DCF358E8}" time="2023-11-13T14:54:37.712Z">
        <t:Attribution userId="S::thomas.volkman@mass.gov::1611ab47-47cb-417c-9d7a-75df5cab1155" userProvider="AD" userName="Volkman, Thomas (EHS)"/>
        <t:Progress percentComplete="100"/>
      </t:Event>
      <t:Event id="{B2DA181B-58F7-4ECE-AD42-B5BA4D9CEA4E}" time="2023-11-13T14:56:30.958Z">
        <t:Attribution userId="S::thomas.volkman@mass.gov::1611ab47-47cb-417c-9d7a-75df5cab1155" userProvider="AD" userName="Volkman, Thomas (EHS)"/>
        <t:Progress percentComplete="0"/>
      </t:Event>
    </t:History>
  </t:Task>
  <t:Task id="{C40AD312-882D-4110-A860-A5E0E8D3B615}">
    <t:Anchor>
      <t:Comment id="667717452"/>
    </t:Anchor>
    <t:History>
      <t:Event id="{85201785-A589-4F46-A116-ED09941B8C81}" time="2023-03-28T15:13:32.933Z">
        <t:Attribution userId="S::nicole.kesner@mass.gov::92daffd0-f7ab-4a8a-a51f-3e77d1e217d7" userProvider="AD" userName="Kesner, Nicole (EHS)"/>
        <t:Anchor>
          <t:Comment id="2061103255"/>
        </t:Anchor>
        <t:Create/>
      </t:Event>
      <t:Event id="{C9F74281-E462-477A-8EED-EFA163138CC5}" time="2023-03-28T15:13:32.933Z">
        <t:Attribution userId="S::nicole.kesner@mass.gov::92daffd0-f7ab-4a8a-a51f-3e77d1e217d7" userProvider="AD" userName="Kesner, Nicole (EHS)"/>
        <t:Anchor>
          <t:Comment id="2061103255"/>
        </t:Anchor>
        <t:Assign userId="S::emilia.e.dunham@mass.gov::566d752c-586d-4f9f-8c4c-ab6537113f25" userProvider="AD" userName="Dunham, Emilia (EHS)"/>
      </t:Event>
      <t:Event id="{4605326E-3EB5-457C-93F1-4040582F105A}" time="2023-03-28T15:13:32.933Z">
        <t:Attribution userId="S::nicole.kesner@mass.gov::92daffd0-f7ab-4a8a-a51f-3e77d1e217d7" userProvider="AD" userName="Kesner, Nicole (EHS)"/>
        <t:Anchor>
          <t:Comment id="2061103255"/>
        </t:Anchor>
        <t:SetTitle title="@Dunham, Emilia (EHS) thoughts here?"/>
      </t:Event>
    </t:History>
  </t:Task>
  <t:Task id="{136EBD6D-6F7E-F344-B1AF-36A0D79C71E8}">
    <t:Anchor>
      <t:Comment id="666360467"/>
    </t:Anchor>
    <t:History>
      <t:Event id="{B2381195-9B99-E646-B083-24CC7DE72621}" time="2023-03-12T08:58:59.625Z">
        <t:Attribution userId="S::jay.himmelstein@umassmed.edu::55184e0a-5490-4401-9c02-a3feb0a0135b" userProvider="AD" userName="Himmelstein, Jay"/>
        <t:Anchor>
          <t:Comment id="666360467"/>
        </t:Anchor>
        <t:Create/>
      </t:Event>
      <t:Event id="{3DE32F0A-54DB-184D-98BE-E05DC1F366C7}" time="2023-03-12T08:58:59.625Z">
        <t:Attribution userId="S::jay.himmelstein@umassmed.edu::55184e0a-5490-4401-9c02-a3feb0a0135b" userProvider="AD" userName="Himmelstein, Jay"/>
        <t:Anchor>
          <t:Comment id="666360467"/>
        </t:Anchor>
        <t:Assign userId="S::Karoline.Gildemeister@umassmed.edu::b0186f34-b73b-4b6b-8a1e-ae62deb2b79f" userProvider="AD" userName="Gildemeister, Karoline"/>
      </t:Event>
      <t:Event id="{36DE7ED6-8A56-3940-8784-77325E3FA629}" time="2023-03-12T08:58:59.625Z">
        <t:Attribution userId="S::jay.himmelstein@umassmed.edu::55184e0a-5490-4401-9c02-a3feb0a0135b" userProvider="AD" userName="Himmelstein, Jay"/>
        <t:Anchor>
          <t:Comment id="666360467"/>
        </t:Anchor>
        <t:SetTitle title="@Gildemeister, Karoline I am wondering why the info in all the blue boxes is double spaced - seems like a lot of wasted space - how was this done in previous EDD?"/>
      </t:Event>
    </t:History>
  </t:Task>
  <t:Task id="{F0762260-50D7-4016-B65D-97C4A44923AF}">
    <t:Anchor>
      <t:Comment id="564501758"/>
    </t:Anchor>
    <t:History>
      <t:Event id="{E9118AF5-E5A5-43EC-AD73-84404724E733}" time="2023-10-30T16:51:59.042Z">
        <t:Attribution userId="S::Matthew.Alcusky@umassmed.edu::97c94231-8a0c-4c44-bc39-3dd8b513ec33" userProvider="AD" userName="Alcusky, Matthew"/>
        <t:Anchor>
          <t:Comment id="67502186"/>
        </t:Anchor>
        <t:Create/>
      </t:Event>
      <t:Event id="{BF66B0AF-E8CB-47B9-B3D6-610E353E6F78}" time="2023-10-30T16:51:59.042Z">
        <t:Attribution userId="S::Matthew.Alcusky@umassmed.edu::97c94231-8a0c-4c44-bc39-3dd8b513ec33" userProvider="AD" userName="Alcusky, Matthew"/>
        <t:Anchor>
          <t:Comment id="67502186"/>
        </t:Anchor>
        <t:Assign userId="S::Susan.Pfefferle@umassmed.edu::97a0adeb-7d54-4b65-8cd9-3aaae4f66d37" userProvider="AD" userName="Pfefferle, Susan G"/>
      </t:Event>
      <t:Event id="{78434AA7-E90E-4A84-B666-6C5E8B2312C5}" time="2023-10-30T16:51:59.042Z">
        <t:Attribution userId="S::Matthew.Alcusky@umassmed.edu::97c94231-8a0c-4c44-bc39-3dd8b513ec33" userProvider="AD" userName="Alcusky, Matthew"/>
        <t:Anchor>
          <t:Comment id="67502186"/>
        </t:Anchor>
        <t:SetTitle title="@Pfefferle, Susan G "/>
      </t:Event>
      <t:Event id="{AFECDDD9-553D-4DB4-8E97-FE0BC456B8BA}" time="2023-11-03T13:54:53.145Z">
        <t:Attribution userId="S::Karoline.Gildemeister@umassmed.edu::b0186f34-b73b-4b6b-8a1e-ae62deb2b79f" userProvider="AD" userName="Karoline Gildemeister"/>
        <t:Progress percentComplete="100"/>
      </t:Event>
      <t:Event id="{A37305C1-931E-429D-A8CD-9C142A49A5D0}" time="2023-11-03T13:55:20.552Z">
        <t:Attribution userId="S::Karoline.Gildemeister@umassmed.edu::b0186f34-b73b-4b6b-8a1e-ae62deb2b79f" userProvider="AD" userName="Karoline Gildemeister"/>
        <t:Progress percentComplete="0"/>
      </t:Event>
      <t:Event id="{53A2A3FC-4465-482E-9DB3-4B1ED40B7763}" time="2023-11-03T14:35:44.028Z">
        <t:Attribution userId="S::Karoline.Gildemeister@umassmed.edu::b0186f34-b73b-4b6b-8a1e-ae62deb2b79f" userProvider="AD" userName="Karoline Gildemeister"/>
        <t:Progress percentComplete="0"/>
      </t:Event>
      <t:Event id="{BA253E30-02A9-44D4-BCAF-0909154CD476}" time="2023-11-03T20:57:00.831Z">
        <t:Attribution userId="S::Karoline.Gildemeister@umassmed.edu::b0186f34-b73b-4b6b-8a1e-ae62deb2b79f" userProvider="AD" userName="Karoline Gildemeister"/>
        <t:Progress percentComplete="0"/>
      </t:Event>
      <t:Event id="{9510DC89-927C-417B-A757-2C0500F29FCD}" time="2023-11-13T18:47:36.532Z">
        <t:Attribution userId="S::thomas.volkman@mass.gov::1611ab47-47cb-417c-9d7a-75df5cab1155" userProvider="AD" userName="Volkman, Thomas (EHS)"/>
        <t:Progress percentComplete="100"/>
      </t:Event>
    </t:History>
  </t:Task>
  <t:Task id="{C4BC9437-9050-754E-942B-7108A33B6479}">
    <t:Anchor>
      <t:Comment id="666398431"/>
    </t:Anchor>
    <t:History>
      <t:Event id="{7343993E-4B95-4945-834E-463DED573103}" time="2023-03-12T21:35:42.146Z">
        <t:Attribution userId="S::jay.himmelstein@umassmed.edu::55184e0a-5490-4401-9c02-a3feb0a0135b" userProvider="AD" userName="Himmelstein, Jay"/>
        <t:Anchor>
          <t:Comment id="666405870"/>
        </t:Anchor>
        <t:Create/>
      </t:Event>
      <t:Event id="{DDA835B5-4A6B-2649-976D-A98C98F68C0B}" time="2023-03-12T21:35:42.146Z">
        <t:Attribution userId="S::jay.himmelstein@umassmed.edu::55184e0a-5490-4401-9c02-a3feb0a0135b" userProvider="AD" userName="Himmelstein, Jay"/>
        <t:Anchor>
          <t:Comment id="666405870"/>
        </t:Anchor>
        <t:Assign userId="S::Margaret.Tiedemann@umassmed.edu::f6e2cf11-6262-4d5f-8bee-24dc38cea6cf" userProvider="AD" userName="Tiedemann, Margaret A"/>
      </t:Event>
      <t:Event id="{611E1E99-E6E0-CA43-8EEE-A0AEEE22C8F3}" time="2023-03-12T21:35:42.146Z">
        <t:Attribution userId="S::jay.himmelstein@umassmed.edu::55184e0a-5490-4401-9c02-a3feb0a0135b" userProvider="AD" userName="Himmelstein, Jay"/>
        <t:Anchor>
          <t:Comment id="666405870"/>
        </t:Anchor>
        <t:SetTitle title="@Tiedemann, Margaret A"/>
      </t:Event>
    </t:History>
  </t:Task>
  <t:Task id="{08445197-6CEC-FF49-A80F-A7F5CD959D9E}">
    <t:Anchor>
      <t:Comment id="666374572"/>
    </t:Anchor>
    <t:History>
      <t:Event id="{B7B13EA2-1E43-E844-A479-26C95A4CCC58}" time="2023-03-12T12:54:04.267Z">
        <t:Attribution userId="S::jay.himmelstein@umassmed.edu::55184e0a-5490-4401-9c02-a3feb0a0135b" userProvider="AD" userName="Himmelstein, Jay"/>
        <t:Anchor>
          <t:Comment id="666374572"/>
        </t:Anchor>
        <t:Create/>
      </t:Event>
      <t:Event id="{C157656E-6C4D-0047-A8A8-3269C9E0B8C9}" time="2023-03-12T12:54:04.267Z">
        <t:Attribution userId="S::jay.himmelstein@umassmed.edu::55184e0a-5490-4401-9c02-a3feb0a0135b" userProvider="AD" userName="Himmelstein, Jay"/>
        <t:Anchor>
          <t:Comment id="666374572"/>
        </t:Anchor>
        <t:Assign userId="S::Cheyanne.Zappala@umassmed.edu::f808fa8e-84ac-4cfe-b06a-861c4061dc12" userProvider="AD" userName="Zappala, Cheyanne R"/>
      </t:Event>
      <t:Event id="{78ECF771-3348-A34E-85E4-9CD410DACB8A}" time="2023-03-12T12:54:04.267Z">
        <t:Attribution userId="S::jay.himmelstein@umassmed.edu::55184e0a-5490-4401-9c02-a3feb0a0135b" userProvider="AD" userName="Himmelstein, Jay"/>
        <t:Anchor>
          <t:Comment id="666374572"/>
        </t:Anchor>
        <t:SetTitle title="@Zappala, Cheyanne RCheck this column formatining?"/>
      </t:Event>
    </t:History>
  </t:Task>
  <t:Task id="{F686AFE6-31FF-104F-B0FB-EF7D4F395FF1}">
    <t:Anchor>
      <t:Comment id="666360610"/>
    </t:Anchor>
    <t:History>
      <t:Event id="{2071B99D-55C6-0E41-90E5-3FFD442E8309}" time="2023-03-12T09:01:22.31Z">
        <t:Attribution userId="S::jay.himmelstein@umassmed.edu::55184e0a-5490-4401-9c02-a3feb0a0135b" userProvider="AD" userName="Himmelstein, Jay"/>
        <t:Anchor>
          <t:Comment id="666360610"/>
        </t:Anchor>
        <t:Create/>
      </t:Event>
      <t:Event id="{8A7A91DE-A511-AC4D-A2DB-1A1256D63C3A}" time="2023-03-12T09:01:22.31Z">
        <t:Attribution userId="S::jay.himmelstein@umassmed.edu::55184e0a-5490-4401-9c02-a3feb0a0135b" userProvider="AD" userName="Himmelstein, Jay"/>
        <t:Anchor>
          <t:Comment id="666360610"/>
        </t:Anchor>
        <t:Assign userId="S::Karoline.Gildemeister@umassmed.edu::b0186f34-b73b-4b6b-8a1e-ae62deb2b79f" userProvider="AD" userName="Gildemeister, Karoline"/>
      </t:Event>
      <t:Event id="{8BA96FBD-F417-694B-8A03-616BA28C7C5E}" time="2023-03-12T09:01:22.31Z">
        <t:Attribution userId="S::jay.himmelstein@umassmed.edu::55184e0a-5490-4401-9c02-a3feb0a0135b" userProvider="AD" userName="Himmelstein, Jay"/>
        <t:Anchor>
          <t:Comment id="666360610"/>
        </t:Anchor>
        <t:SetTitle title="@Gildemeister, Karoline we need to review - I think we keep to budget as a separate document when we send to MH and to CMS - will confirm on Monday"/>
      </t:Event>
    </t:History>
  </t:Task>
  <t:Task id="{72436C93-0372-9448-895C-CB798F58D03F}">
    <t:Anchor>
      <t:Comment id="666358295"/>
    </t:Anchor>
    <t:History>
      <t:Event id="{1ED56A60-8905-F648-9D2A-3DD2B5BA53F0}" time="2023-03-12T21:19:24.634Z">
        <t:Attribution userId="S::jay.himmelstein@umassmed.edu::55184e0a-5490-4401-9c02-a3feb0a0135b" userProvider="AD" userName="Himmelstein, Jay"/>
        <t:Anchor>
          <t:Comment id="666404892"/>
        </t:Anchor>
        <t:Create/>
      </t:Event>
      <t:Event id="{877D7E91-307C-A949-AC6B-BAC51A49FBB1}" time="2023-03-12T21:19:24.634Z">
        <t:Attribution userId="S::jay.himmelstein@umassmed.edu::55184e0a-5490-4401-9c02-a3feb0a0135b" userProvider="AD" userName="Himmelstein, Jay"/>
        <t:Anchor>
          <t:Comment id="666404892"/>
        </t:Anchor>
        <t:Assign userId="S::Ying.Wang@umassmed.edu::acf99118-9756-4e15-946e-9feb075aeb62" userProvider="AD" userName="Wang, Ying (Elaine)"/>
      </t:Event>
      <t:Event id="{7A41FBFF-F642-9147-8B9D-5D4C5BFDC733}" time="2023-03-12T21:19:24.634Z">
        <t:Attribution userId="S::jay.himmelstein@umassmed.edu::55184e0a-5490-4401-9c02-a3feb0a0135b" userProvider="AD" userName="Himmelstein, Jay"/>
        <t:Anchor>
          <t:Comment id="666404892"/>
        </t:Anchor>
        <t:SetTitle title="@Wang, Ying (Elaine) please follow up on Matt’s suggestion above"/>
      </t:Event>
    </t:History>
  </t:Task>
  <t:Task id="{24448DC8-6E89-BE4A-87B7-988017D71F17}">
    <t:Anchor>
      <t:Comment id="666397768"/>
    </t:Anchor>
    <t:History>
      <t:Event id="{78FC9ADA-BCDD-8448-9F50-2F8DC2CB035A}" time="2023-03-12T21:22:06.326Z">
        <t:Attribution userId="S::jay.himmelstein@umassmed.edu::55184e0a-5490-4401-9c02-a3feb0a0135b" userProvider="AD" userName="Himmelstein, Jay"/>
        <t:Anchor>
          <t:Comment id="666405054"/>
        </t:Anchor>
        <t:Create/>
      </t:Event>
      <t:Event id="{0AA420F4-4014-BC45-8D29-1F02C5B7C0FE}" time="2023-03-12T21:22:06.326Z">
        <t:Attribution userId="S::jay.himmelstein@umassmed.edu::55184e0a-5490-4401-9c02-a3feb0a0135b" userProvider="AD" userName="Himmelstein, Jay"/>
        <t:Anchor>
          <t:Comment id="666405054"/>
        </t:Anchor>
        <t:Assign userId="S::Cheyanne.Zappala@umassmed.edu::f808fa8e-84ac-4cfe-b06a-861c4061dc12" userProvider="AD" userName="Zappala, Cheyanne R"/>
      </t:Event>
      <t:Event id="{26E7C315-2F36-C545-9907-55238D94444D}" time="2023-03-12T21:22:06.326Z">
        <t:Attribution userId="S::jay.himmelstein@umassmed.edu::55184e0a-5490-4401-9c02-a3feb0a0135b" userProvider="AD" userName="Himmelstein, Jay"/>
        <t:Anchor>
          <t:Comment id="666405054"/>
        </t:Anchor>
        <t:SetTitle title="@Zappala, Cheyanne R see matts comment above"/>
      </t:Event>
    </t:History>
  </t:Task>
  <t:Task id="{E450D78C-3376-034E-8FC7-1339A0CE7B52}">
    <t:Anchor>
      <t:Comment id="666360384"/>
    </t:Anchor>
    <t:History>
      <t:Event id="{3B9460AD-6012-5D44-B948-ADB835986944}" time="2023-03-12T08:57:36.48Z">
        <t:Attribution userId="S::jay.himmelstein@umassmed.edu::55184e0a-5490-4401-9c02-a3feb0a0135b" userProvider="AD" userName="Himmelstein, Jay"/>
        <t:Anchor>
          <t:Comment id="666360384"/>
        </t:Anchor>
        <t:Create/>
      </t:Event>
      <t:Event id="{D5CA1CF4-6B7B-A14D-BE3B-2AB2D7D5291F}" time="2023-03-12T08:57:36.48Z">
        <t:Attribution userId="S::jay.himmelstein@umassmed.edu::55184e0a-5490-4401-9c02-a3feb0a0135b" userProvider="AD" userName="Himmelstein, Jay"/>
        <t:Anchor>
          <t:Comment id="666360384"/>
        </t:Anchor>
        <t:Assign userId="S::Karoline.Gildemeister@umassmed.edu::b0186f34-b73b-4b6b-8a1e-ae62deb2b79f" userProvider="AD" userName="Gildemeister, Karoline"/>
      </t:Event>
      <t:Event id="{C2DAEE29-059D-584B-A4CB-061036CCD44E}" time="2023-03-12T08:57:36.48Z">
        <t:Attribution userId="S::jay.himmelstein@umassmed.edu::55184e0a-5490-4401-9c02-a3feb0a0135b" userProvider="AD" userName="Himmelstein, Jay"/>
        <t:Anchor>
          <t:Comment id="666360384"/>
        </t:Anchor>
        <t:SetTitle title="@Gildemeister, Karoline can we consider a different color for the topic breaks - maybe simple gray or ?"/>
      </t:Event>
    </t:History>
  </t:Task>
  <t:Task id="{EC3548D6-ABA2-C449-BC6B-AF3871B3E663}">
    <t:Anchor>
      <t:Comment id="666373305"/>
    </t:Anchor>
    <t:History>
      <t:Event id="{ECCED591-80C3-BF48-B007-F0B92020E129}" time="2023-03-12T12:32:57.474Z">
        <t:Attribution userId="S::jay.himmelstein@umassmed.edu::55184e0a-5490-4401-9c02-a3feb0a0135b" userProvider="AD" userName="Himmelstein, Jay"/>
        <t:Anchor>
          <t:Comment id="666373305"/>
        </t:Anchor>
        <t:Create/>
      </t:Event>
      <t:Event id="{152B55CC-768A-FB4B-B4E6-3EB975EE8632}" time="2023-03-12T12:32:57.474Z">
        <t:Attribution userId="S::jay.himmelstein@umassmed.edu::55184e0a-5490-4401-9c02-a3feb0a0135b" userProvider="AD" userName="Himmelstein, Jay"/>
        <t:Anchor>
          <t:Comment id="666373305"/>
        </t:Anchor>
        <t:Assign userId="S::Cheyanne.Zappala@umassmed.edu::f808fa8e-84ac-4cfe-b06a-861c4061dc12" userProvider="AD" userName="Zappala, Cheyanne R"/>
      </t:Event>
      <t:Event id="{DAAB0D8E-953E-C242-B08A-11597DFB8AE0}" time="2023-03-12T12:32:57.474Z">
        <t:Attribution userId="S::jay.himmelstein@umassmed.edu::55184e0a-5490-4401-9c02-a3feb0a0135b" userProvider="AD" userName="Himmelstein, Jay"/>
        <t:Anchor>
          <t:Comment id="666373305"/>
        </t:Anchor>
        <t:SetTitle title="@Zappala, Cheyanne R why red boxes here? Suggest consistency with colors of tables in chapters"/>
      </t:Event>
    </t:History>
  </t:Task>
  <t:Task id="{3854CF21-431B-AD4E-B092-28BCC9CE334D}">
    <t:Anchor>
      <t:Comment id="666220380"/>
    </t:Anchor>
    <t:History>
      <t:Event id="{6FF8EE32-6140-F148-BC82-1AC64D9BBD78}" time="2023-03-12T21:41:04.152Z">
        <t:Attribution userId="S::jay.himmelstein@umassmed.edu::55184e0a-5490-4401-9c02-a3feb0a0135b" userProvider="AD" userName="Himmelstein, Jay"/>
        <t:Anchor>
          <t:Comment id="666406192"/>
        </t:Anchor>
        <t:Create/>
      </t:Event>
      <t:Event id="{E5AC2236-FBD0-B247-80CD-C7DBEE0AD6FB}" time="2023-03-12T21:41:04.152Z">
        <t:Attribution userId="S::jay.himmelstein@umassmed.edu::55184e0a-5490-4401-9c02-a3feb0a0135b" userProvider="AD" userName="Himmelstein, Jay"/>
        <t:Anchor>
          <t:Comment id="666406192"/>
        </t:Anchor>
        <t:Assign userId="S::Karoline.Gildemeister@umassmed.edu::b0186f34-b73b-4b6b-8a1e-ae62deb2b79f" userProvider="AD" userName="Gildemeister, Karoline"/>
      </t:Event>
      <t:Event id="{892F0113-9475-8D43-8873-390C5E5EC8FC}" time="2023-03-12T21:41:04.152Z">
        <t:Attribution userId="S::jay.himmelstein@umassmed.edu::55184e0a-5490-4401-9c02-a3feb0a0135b" userProvider="AD" userName="Himmelstein, Jay"/>
        <t:Anchor>
          <t:Comment id="666406192"/>
        </t:Anchor>
        <t:SetTitle title="@Gildemeister, Karoline"/>
      </t:Event>
    </t:History>
  </t:Task>
  <t:Task id="{38827D84-7709-42F1-AE76-82278A916883}">
    <t:Anchor>
      <t:Comment id="1864370679"/>
    </t:Anchor>
    <t:History>
      <t:Event id="{394FD0C2-9385-49DC-82FC-A443A2AEC099}" time="2023-10-24T19:32:06.947Z">
        <t:Attribution userId="S::alison.kirchgasser@mass.gov::7786b70f-2b42-4877-84c9-8d76db4afd4a" userProvider="AD" userName="Kirchgasser, Alison (EHS)"/>
        <t:Anchor>
          <t:Comment id="1864370679"/>
        </t:Anchor>
        <t:Create/>
      </t:Event>
      <t:Event id="{B8BD2536-EE0E-412E-8672-92A3FCBF7A99}" time="2023-10-24T19:32:06.947Z">
        <t:Attribution userId="S::alison.kirchgasser@mass.gov::7786b70f-2b42-4877-84c9-8d76db4afd4a" userProvider="AD" userName="Kirchgasser, Alison (EHS)"/>
        <t:Anchor>
          <t:Comment id="1864370679"/>
        </t:Anchor>
        <t:Assign userId="S::Alicia.Gumski@mass.gov::4b9c38e5-a574-4f24-ae71-f4b7c437860f" userProvider="AD" userName="Gumski, Alicia (EHS)"/>
      </t:Event>
      <t:Event id="{60A98288-9E1F-4020-AA5D-990E3CC18CEE}" time="2023-10-24T19:32:06.947Z">
        <t:Attribution userId="S::alison.kirchgasser@mass.gov::7786b70f-2b42-4877-84c9-8d76db4afd4a" userProvider="AD" userName="Kirchgasser, Alison (EHS)"/>
        <t:Anchor>
          <t:Comment id="1864370679"/>
        </t:Anchor>
        <t:SetTitle title="I don't think this is New? @Gumski, Alicia (EHS) isn't this the Express Lane that we have been using for years but perhaps revised a bit?"/>
      </t:Event>
    </t:History>
  </t:Task>
  <t:Task id="{4B85B5F6-7C88-2544-85F8-791942856DF1}">
    <t:Anchor>
      <t:Comment id="666379107"/>
    </t:Anchor>
    <t:History>
      <t:Event id="{96FAC3C4-189B-7B4D-A329-82E6B9EC9E59}" time="2023-03-13T14:24:53.66Z">
        <t:Attribution userId="S::jay.himmelstein@umassmed.edu::55184e0a-5490-4401-9c02-a3feb0a0135b" userProvider="AD" userName="Himmelstein, Jay"/>
        <t:Anchor>
          <t:Comment id="666466421"/>
        </t:Anchor>
        <t:Create/>
      </t:Event>
      <t:Event id="{00D1FD02-B075-794A-8707-AA69CC2FDBF4}" time="2023-03-13T14:24:53.66Z">
        <t:Attribution userId="S::jay.himmelstein@umassmed.edu::55184e0a-5490-4401-9c02-a3feb0a0135b" userProvider="AD" userName="Himmelstein, Jay"/>
        <t:Anchor>
          <t:Comment id="666466421"/>
        </t:Anchor>
        <t:Assign userId="S::Ying.Wang@umassmed.edu::acf99118-9756-4e15-946e-9feb075aeb62" userProvider="AD" userName="Wang, Ying (Elaine)"/>
      </t:Event>
      <t:Event id="{510B2D18-F6CA-7A44-87C9-2989F2291B60}" time="2023-03-13T14:24:53.66Z">
        <t:Attribution userId="S::jay.himmelstein@umassmed.edu::55184e0a-5490-4401-9c02-a3feb0a0135b" userProvider="AD" userName="Himmelstein, Jay"/>
        <t:Anchor>
          <t:Comment id="666466421"/>
        </t:Anchor>
        <t:SetTitle title="@Wang, Ying (Elaine) - We should discuss developing a glossary in the final/final = we can review this and other todos when we meet later today"/>
      </t:Event>
    </t:History>
  </t:Task>
  <t:Task id="{D5AD65D3-69D4-4FC6-819E-7B0F15E909F3}">
    <t:Anchor>
      <t:Comment id="1135667395"/>
    </t:Anchor>
    <t:History>
      <t:Event id="{E8BB9C71-0637-4B26-8D1E-DC23451EAAC9}" time="2023-10-30T16:58:56.179Z">
        <t:Attribution userId="S::Matthew.Alcusky@umassmed.edu::97c94231-8a0c-4c44-bc39-3dd8b513ec33" userProvider="AD" userName="Alcusky, Matthew"/>
        <t:Anchor>
          <t:Comment id="812289280"/>
        </t:Anchor>
        <t:Create/>
      </t:Event>
      <t:Event id="{8630443E-A620-4577-B491-C9551CDE7FDA}" time="2023-10-30T16:58:56.179Z">
        <t:Attribution userId="S::Matthew.Alcusky@umassmed.edu::97c94231-8a0c-4c44-bc39-3dd8b513ec33" userProvider="AD" userName="Alcusky, Matthew"/>
        <t:Anchor>
          <t:Comment id="812289280"/>
        </t:Anchor>
        <t:Assign userId="S::Margaret.Tiedemann@umassmed.edu::f6e2cf11-6262-4d5f-8bee-24dc38cea6cf" userProvider="AD" userName="Tiedemann, Margaret A"/>
      </t:Event>
      <t:Event id="{CBB0B3F5-CDF0-4700-8C65-ABDF97A646F4}" time="2023-10-30T16:58:56.179Z">
        <t:Attribution userId="S::Matthew.Alcusky@umassmed.edu::97c94231-8a0c-4c44-bc39-3dd8b513ec33" userProvider="AD" userName="Alcusky, Matthew"/>
        <t:Anchor>
          <t:Comment id="812289280"/>
        </t:Anchor>
        <t:SetTitle title="@Tiedemann, Margaret A "/>
      </t:Event>
      <t:Event id="{907C864E-1409-4FEB-BBC4-750E0AAB8E83}" time="2023-11-03T13:34:30.562Z">
        <t:Attribution userId="S::Karoline.Gildemeister@umassmed.edu::b0186f34-b73b-4b6b-8a1e-ae62deb2b79f" userProvider="AD" userName="Karoline Gildemeister"/>
        <t:Progress percentComplete="100"/>
      </t:Event>
      <t:Event id="{507AE850-586F-43F3-9014-2C42779EED76}" time="2023-11-03T20:57:28.764Z">
        <t:Attribution userId="S::Karoline.Gildemeister@umassmed.edu::b0186f34-b73b-4b6b-8a1e-ae62deb2b79f" userProvider="AD" userName="Karoline Gildemeister"/>
        <t:Progress percentComplete="0"/>
      </t:Event>
    </t:History>
  </t:Task>
  <t:Task id="{A5C1DE8F-6F7F-47B8-B3FD-F2EC2E99C0E4}">
    <t:Anchor>
      <t:Comment id="1360293206"/>
    </t:Anchor>
    <t:History>
      <t:Event id="{BFC7563A-9974-408C-A982-2AE42D78A065}" time="2023-10-30T16:58:22.365Z">
        <t:Attribution userId="S::Matthew.Alcusky@umassmed.edu::97c94231-8a0c-4c44-bc39-3dd8b513ec33" userProvider="AD" userName="Alcusky, Matthew"/>
        <t:Anchor>
          <t:Comment id="466683543"/>
        </t:Anchor>
        <t:Create/>
      </t:Event>
      <t:Event id="{EEF192B5-8242-44F5-B5D5-368D2D52C4C9}" time="2023-10-30T16:58:22.365Z">
        <t:Attribution userId="S::Matthew.Alcusky@umassmed.edu::97c94231-8a0c-4c44-bc39-3dd8b513ec33" userProvider="AD" userName="Alcusky, Matthew"/>
        <t:Anchor>
          <t:Comment id="466683543"/>
        </t:Anchor>
        <t:Assign userId="S::Margaret.Tiedemann@umassmed.edu::f6e2cf11-6262-4d5f-8bee-24dc38cea6cf" userProvider="AD" userName="Tiedemann, Margaret A"/>
      </t:Event>
      <t:Event id="{3F5B4257-F3C9-4E6E-8BC2-E427DA0D1F9D}" time="2023-10-30T16:58:22.365Z">
        <t:Attribution userId="S::Matthew.Alcusky@umassmed.edu::97c94231-8a0c-4c44-bc39-3dd8b513ec33" userProvider="AD" userName="Alcusky, Matthew"/>
        <t:Anchor>
          <t:Comment id="466683543"/>
        </t:Anchor>
        <t:SetTitle title="@Tiedemann, Margaret A "/>
      </t:Event>
      <t:Event id="{E6598224-3433-4D9B-9335-C761C684BA2F}" time="2023-11-03T13:34:24.228Z">
        <t:Attribution userId="S::Karoline.Gildemeister@umassmed.edu::b0186f34-b73b-4b6b-8a1e-ae62deb2b79f" userProvider="AD" userName="Karoline Gildemeister"/>
        <t:Progress percentComplete="100"/>
      </t:Event>
      <t:Event id="{62554472-4404-4ECA-A745-FBBA267B65EC}" time="2023-11-03T20:57:27.281Z">
        <t:Attribution userId="S::Karoline.Gildemeister@umassmed.edu::b0186f34-b73b-4b6b-8a1e-ae62deb2b79f" userProvider="AD" userName="Karoline Gildemeister"/>
        <t:Progress percentComplete="0"/>
      </t:Event>
    </t:History>
  </t:Task>
</t:Tasks>
</file>

<file path=word/theme/theme1.xml><?xml version="1.0" encoding="utf-8"?>
<a:theme xmlns:a="http://schemas.openxmlformats.org/drawingml/2006/main" name="FHCTheme2023">
  <a:themeElements>
    <a:clrScheme name="FHC 2023">
      <a:dk1>
        <a:srgbClr val="000000"/>
      </a:dk1>
      <a:lt1>
        <a:srgbClr val="FFFFFF"/>
      </a:lt1>
      <a:dk2>
        <a:srgbClr val="00074F"/>
      </a:dk2>
      <a:lt2>
        <a:srgbClr val="ACA39A"/>
      </a:lt2>
      <a:accent1>
        <a:srgbClr val="0071CE"/>
      </a:accent1>
      <a:accent2>
        <a:srgbClr val="84DADE"/>
      </a:accent2>
      <a:accent3>
        <a:srgbClr val="FFC629"/>
      </a:accent3>
      <a:accent4>
        <a:srgbClr val="4A8B2C"/>
      </a:accent4>
      <a:accent5>
        <a:srgbClr val="F36F16"/>
      </a:accent5>
      <a:accent6>
        <a:srgbClr val="633092"/>
      </a:accent6>
      <a:hlink>
        <a:srgbClr val="000F9F"/>
      </a:hlink>
      <a:folHlink>
        <a:srgbClr val="00FFFF"/>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HCTheme2023" id="{6062AD7A-A292-A84D-A364-708DA7339BF7}" vid="{77806701-C683-B649-BE1B-D9EC601376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3A16FC6198C749A104F2EA198771CE" ma:contentTypeVersion="13" ma:contentTypeDescription="Create a new document." ma:contentTypeScope="" ma:versionID="10a3f151945b122e4c9ddc0843a4b56a">
  <xsd:schema xmlns:xsd="http://www.w3.org/2001/XMLSchema" xmlns:xs="http://www.w3.org/2001/XMLSchema" xmlns:p="http://schemas.microsoft.com/office/2006/metadata/properties" xmlns:ns2="780696b9-a7ae-406a-9c18-aa3642777e9c" xmlns:ns3="d6d65b79-f6ac-4018-932e-e02b2eb782f2" targetNamespace="http://schemas.microsoft.com/office/2006/metadata/properties" ma:root="true" ma:fieldsID="355fde0bc74df08715455e66057ee987" ns2:_="" ns3:_="">
    <xsd:import namespace="780696b9-a7ae-406a-9c18-aa3642777e9c"/>
    <xsd:import namespace="d6d65b79-f6ac-4018-932e-e02b2eb782f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0696b9-a7ae-406a-9c18-aa3642777e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c592f6e-9db9-49f2-9f9e-7d6ee315dce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d65b79-f6ac-4018-932e-e02b2eb782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3daa3f3-c1d0-4493-a6ef-150190175d35}" ma:internalName="TaxCatchAll" ma:showField="CatchAllData" ma:web="d6d65b79-f6ac-4018-932e-e02b2eb782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d6d65b79-f6ac-4018-932e-e02b2eb782f2">
      <UserInfo>
        <DisplayName>Zappala, Cheyanne R</DisplayName>
        <AccountId>23</AccountId>
        <AccountType/>
      </UserInfo>
      <UserInfo>
        <DisplayName>Tiedemann, Margaret A</DisplayName>
        <AccountId>39</AccountId>
        <AccountType/>
      </UserInfo>
      <UserInfo>
        <DisplayName>Nicholson, Joanne</DisplayName>
        <AccountId>130</AccountId>
        <AccountType/>
      </UserInfo>
    </SharedWithUsers>
    <TaxCatchAll xmlns="d6d65b79-f6ac-4018-932e-e02b2eb782f2" xsi:nil="true"/>
    <lcf76f155ced4ddcb4097134ff3c332f xmlns="780696b9-a7ae-406a-9c18-aa3642777e9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FF6A49-41D9-409D-8DD7-CC6C40945E89}">
  <ds:schemaRefs>
    <ds:schemaRef ds:uri="http://schemas.microsoft.com/sharepoint/v3/contenttype/forms"/>
  </ds:schemaRefs>
</ds:datastoreItem>
</file>

<file path=customXml/itemProps2.xml><?xml version="1.0" encoding="utf-8"?>
<ds:datastoreItem xmlns:ds="http://schemas.openxmlformats.org/officeDocument/2006/customXml" ds:itemID="{72F67EBB-8867-4FD3-8B85-33615CE42E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0696b9-a7ae-406a-9c18-aa3642777e9c"/>
    <ds:schemaRef ds:uri="d6d65b79-f6ac-4018-932e-e02b2eb782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60D559-84FB-4029-87E9-979C0B3B8F33}">
  <ds:schemaRefs>
    <ds:schemaRef ds:uri="http://schemas.microsoft.com/office/2006/metadata/properties"/>
    <ds:schemaRef ds:uri="http://schemas.microsoft.com/office/infopath/2007/PartnerControls"/>
    <ds:schemaRef ds:uri="d6d65b79-f6ac-4018-932e-e02b2eb782f2"/>
    <ds:schemaRef ds:uri="780696b9-a7ae-406a-9c18-aa3642777e9c"/>
  </ds:schemaRefs>
</ds:datastoreItem>
</file>

<file path=customXml/itemProps4.xml><?xml version="1.0" encoding="utf-8"?>
<ds:datastoreItem xmlns:ds="http://schemas.openxmlformats.org/officeDocument/2006/customXml" ds:itemID="{ADF20EFE-827A-9C4C-8B12-1794308A5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142</Pages>
  <Words>70339</Words>
  <Characters>450385</Characters>
  <Application>Microsoft Office Word</Application>
  <DocSecurity>0</DocSecurity>
  <Lines>3753</Lines>
  <Paragraphs>1039</Paragraphs>
  <ScaleCrop>false</ScaleCrop>
  <HeadingPairs>
    <vt:vector size="2" baseType="variant">
      <vt:variant>
        <vt:lpstr>Title</vt:lpstr>
      </vt:variant>
      <vt:variant>
        <vt:i4>1</vt:i4>
      </vt:variant>
    </vt:vector>
  </HeadingPairs>
  <TitlesOfParts>
    <vt:vector size="1" baseType="lpstr">
      <vt:lpstr>2022-2027 MA 1115 Demonstration | Draft Evaluation Design Document (EDD) December 2023</vt:lpstr>
    </vt:vector>
  </TitlesOfParts>
  <Company/>
  <LinksUpToDate>false</LinksUpToDate>
  <CharactersWithSpaces>519685</CharactersWithSpaces>
  <SharedDoc>false</SharedDoc>
  <HLinks>
    <vt:vector size="1278" baseType="variant">
      <vt:variant>
        <vt:i4>720962</vt:i4>
      </vt:variant>
      <vt:variant>
        <vt:i4>981</vt:i4>
      </vt:variant>
      <vt:variant>
        <vt:i4>0</vt:i4>
      </vt:variant>
      <vt:variant>
        <vt:i4>5</vt:i4>
      </vt:variant>
      <vt:variant>
        <vt:lpwstr>https://www.ncqa.org/hedis/measures/comprehensive-diabetes-care/</vt:lpwstr>
      </vt:variant>
      <vt:variant>
        <vt:lpwstr/>
      </vt:variant>
      <vt:variant>
        <vt:i4>393240</vt:i4>
      </vt:variant>
      <vt:variant>
        <vt:i4>978</vt:i4>
      </vt:variant>
      <vt:variant>
        <vt:i4>0</vt:i4>
      </vt:variant>
      <vt:variant>
        <vt:i4>5</vt:i4>
      </vt:variant>
      <vt:variant>
        <vt:lpwstr>https://www.ncqa.org/hedis/measures/controlling-high-blood-pressure/</vt:lpwstr>
      </vt:variant>
      <vt:variant>
        <vt:lpwstr/>
      </vt:variant>
      <vt:variant>
        <vt:i4>5701725</vt:i4>
      </vt:variant>
      <vt:variant>
        <vt:i4>972</vt:i4>
      </vt:variant>
      <vt:variant>
        <vt:i4>0</vt:i4>
      </vt:variant>
      <vt:variant>
        <vt:i4>5</vt:i4>
      </vt:variant>
      <vt:variant>
        <vt:lpwstr>https://www.ncqa.org/hedis/measures/plan-all-cause-readmissions/</vt:lpwstr>
      </vt:variant>
      <vt:variant>
        <vt:lpwstr/>
      </vt:variant>
      <vt:variant>
        <vt:i4>393240</vt:i4>
      </vt:variant>
      <vt:variant>
        <vt:i4>969</vt:i4>
      </vt:variant>
      <vt:variant>
        <vt:i4>0</vt:i4>
      </vt:variant>
      <vt:variant>
        <vt:i4>5</vt:i4>
      </vt:variant>
      <vt:variant>
        <vt:lpwstr>https://www.ncqa.org/hedis/measures/controlling-high-blood-pressure/</vt:lpwstr>
      </vt:variant>
      <vt:variant>
        <vt:lpwstr/>
      </vt:variant>
      <vt:variant>
        <vt:i4>7012465</vt:i4>
      </vt:variant>
      <vt:variant>
        <vt:i4>966</vt:i4>
      </vt:variant>
      <vt:variant>
        <vt:i4>0</vt:i4>
      </vt:variant>
      <vt:variant>
        <vt:i4>5</vt:i4>
      </vt:variant>
      <vt:variant>
        <vt:lpwstr>https://www.ncqa.org/hedis/measures/follow-up-after-hospitalization-for-mental-illness/</vt:lpwstr>
      </vt:variant>
      <vt:variant>
        <vt:lpwstr/>
      </vt:variant>
      <vt:variant>
        <vt:i4>7012455</vt:i4>
      </vt:variant>
      <vt:variant>
        <vt:i4>963</vt:i4>
      </vt:variant>
      <vt:variant>
        <vt:i4>0</vt:i4>
      </vt:variant>
      <vt:variant>
        <vt:i4>5</vt:i4>
      </vt:variant>
      <vt:variant>
        <vt:lpwstr>https://www.ncqa.org/hedis/measures/follow-up-after-emergency-department-visit-for-alcohol-and-other-drug-abuse-or-dependence/</vt:lpwstr>
      </vt:variant>
      <vt:variant>
        <vt:lpwstr/>
      </vt:variant>
      <vt:variant>
        <vt:i4>4259916</vt:i4>
      </vt:variant>
      <vt:variant>
        <vt:i4>960</vt:i4>
      </vt:variant>
      <vt:variant>
        <vt:i4>0</vt:i4>
      </vt:variant>
      <vt:variant>
        <vt:i4>5</vt:i4>
      </vt:variant>
      <vt:variant>
        <vt:lpwstr>https://www.ncqa.org/hedis/measures/prenatal-and-postpartum-care-ppc/</vt:lpwstr>
      </vt:variant>
      <vt:variant>
        <vt:lpwstr/>
      </vt:variant>
      <vt:variant>
        <vt:i4>720962</vt:i4>
      </vt:variant>
      <vt:variant>
        <vt:i4>957</vt:i4>
      </vt:variant>
      <vt:variant>
        <vt:i4>0</vt:i4>
      </vt:variant>
      <vt:variant>
        <vt:i4>5</vt:i4>
      </vt:variant>
      <vt:variant>
        <vt:lpwstr>https://www.ncqa.org/hedis/measures/comprehensive-diabetes-care/</vt:lpwstr>
      </vt:variant>
      <vt:variant>
        <vt:lpwstr/>
      </vt:variant>
      <vt:variant>
        <vt:i4>4849678</vt:i4>
      </vt:variant>
      <vt:variant>
        <vt:i4>954</vt:i4>
      </vt:variant>
      <vt:variant>
        <vt:i4>0</vt:i4>
      </vt:variant>
      <vt:variant>
        <vt:i4>5</vt:i4>
      </vt:variant>
      <vt:variant>
        <vt:lpwstr>https://www.qualityforum.org/QPS/QPSTool.aspx?tID=14:2&amp;Exact=False&amp;Keyword=AIS</vt:lpwstr>
      </vt:variant>
      <vt:variant>
        <vt:lpwstr>qpsPageState=%7B%22TabType%22%3A1,%22TabContentType%22%3A2,%22SearchCriteriaForStandard%22%3A%7B%22TaxonomyIDs%22%3A%5B%5D,%22SelectedTypeAheadFilterOption%22%3A%7B%22FilterOptionLabel%22%3A%22childhood+immunization+status+(cis)%22,%22SearchType%22%3A0,%22TaxonomyId%22%3A0,%22SortWeight%22%3A0,%22TypeOfTypeAheadFilterOption%22%3A1,%22AssociatedStandardCount%22%3A0,%22FilterOptions%22%3A%5B%5D,%22ID%22%3A53779,%22IsNew%22%3Afalse,%22IsActive%22%3Afalse,%22IsDeleted%22%3Afalse,%22IsLocked%22%3Afalse,%22IsLoading%22%3Afalse%7D,%22Keyword%22%3A%22childhood+immunization+status+(cis)%22,%22PageSize%22%3A%2225%22,%22OrderType%22%3A3,%22OrderBy%22%3A%22ASC%22,%22PageNo%22%3A%222%22,%22IsExactMatch%22%3Afalse,%22QueryStringType%22%3A%22%22,%22ProjectActivityId%22%3A%220%22,%22FederalProgramYear%22%3A%220%22,%22FederalFiscalYear%22%3A%220%22,%22FilterTypes%22%3A0,%22EndorsementStatus%22%3A%22%22,%22MSAIDs%22%3A%5B%5D%7D,%22SearchCriteriaForForPortfolio%22%3A%7B%22Tags%22%3A%5B%5D,%22FilterTypes%22%3A0,%22PageStartIndex%22%3A1,%22PageEndIndex%22%3A25,%22PageNumber%22%3Anull,%22PageSize%22%3A%2225%22,%22SortBy%22%3A%22Title%22,%22SortOrder%22%3A%22ASC%22,%22SearchTerm%22%3A%22%22%7D,%22ItemsToCompare%22%3A%5B%5D,%22SelectedStandardIdList%22%3A%5B%5D,%22StandardID%22%3A240,%22EntityTypeID%22%3A1%7D</vt:lpwstr>
      </vt:variant>
      <vt:variant>
        <vt:i4>8323112</vt:i4>
      </vt:variant>
      <vt:variant>
        <vt:i4>951</vt:i4>
      </vt:variant>
      <vt:variant>
        <vt:i4>0</vt:i4>
      </vt:variant>
      <vt:variant>
        <vt:i4>5</vt:i4>
      </vt:variant>
      <vt:variant>
        <vt:lpwstr>https://www.ncqa.org/hedis/measures/childhood-immunization-status/</vt:lpwstr>
      </vt:variant>
      <vt:variant>
        <vt:lpwstr/>
      </vt:variant>
      <vt:variant>
        <vt:i4>5701725</vt:i4>
      </vt:variant>
      <vt:variant>
        <vt:i4>945</vt:i4>
      </vt:variant>
      <vt:variant>
        <vt:i4>0</vt:i4>
      </vt:variant>
      <vt:variant>
        <vt:i4>5</vt:i4>
      </vt:variant>
      <vt:variant>
        <vt:lpwstr>https://www.ncqa.org/hedis/measures/plan-all-cause-readmissions/</vt:lpwstr>
      </vt:variant>
      <vt:variant>
        <vt:lpwstr/>
      </vt:variant>
      <vt:variant>
        <vt:i4>5374016</vt:i4>
      </vt:variant>
      <vt:variant>
        <vt:i4>939</vt:i4>
      </vt:variant>
      <vt:variant>
        <vt:i4>0</vt:i4>
      </vt:variant>
      <vt:variant>
        <vt:i4>5</vt:i4>
      </vt:variant>
      <vt:variant>
        <vt:lpwstr>https://www.ncqa.org/hedis/measures/metabolic-monitoring-for-children-and-adolescents-on-antipsychotics/</vt:lpwstr>
      </vt:variant>
      <vt:variant>
        <vt:lpwstr/>
      </vt:variant>
      <vt:variant>
        <vt:i4>4849678</vt:i4>
      </vt:variant>
      <vt:variant>
        <vt:i4>936</vt:i4>
      </vt:variant>
      <vt:variant>
        <vt:i4>0</vt:i4>
      </vt:variant>
      <vt:variant>
        <vt:i4>5</vt:i4>
      </vt:variant>
      <vt:variant>
        <vt:lpwstr>https://www.qualityforum.org/QPS/QPSTool.aspx?tID=14:2&amp;Exact=False&amp;Keyword=AIS</vt:lpwstr>
      </vt:variant>
      <vt:variant>
        <vt:lpwstr>qpsPageState=%7B%22TabType%22%3A1,%22TabContentType%22%3A2,%22SearchCriteriaForStandard%22%3A%7B%22TaxonomyIDs%22%3A%5B%5D,%22SelectedTypeAheadFilterOption%22%3A%7B%22FilterOptionLabel%22%3A%22childhood+immunization+status+(cis)%22,%22SearchType%22%3A0,%22TaxonomyId%22%3A0,%22SortWeight%22%3A0,%22TypeOfTypeAheadFilterOption%22%3A1,%22AssociatedStandardCount%22%3A0,%22FilterOptions%22%3A%5B%5D,%22ID%22%3A53779,%22IsNew%22%3Afalse,%22IsActive%22%3Afalse,%22IsDeleted%22%3Afalse,%22IsLocked%22%3Afalse,%22IsLoading%22%3Afalse%7D,%22Keyword%22%3A%22childhood+immunization+status+(cis)%22,%22PageSize%22%3A%2225%22,%22OrderType%22%3A3,%22OrderBy%22%3A%22ASC%22,%22PageNo%22%3A%222%22,%22IsExactMatch%22%3Afalse,%22QueryStringType%22%3A%22%22,%22ProjectActivityId%22%3A%220%22,%22FederalProgramYear%22%3A%220%22,%22FederalFiscalYear%22%3A%220%22,%22FilterTypes%22%3A0,%22EndorsementStatus%22%3A%22%22,%22MSAIDs%22%3A%5B%5D%7D,%22SearchCriteriaForForPortfolio%22%3A%7B%22Tags%22%3A%5B%5D,%22FilterTypes%22%3A0,%22PageStartIndex%22%3A1,%22PageEndIndex%22%3A25,%22PageNumber%22%3Anull,%22PageSize%22%3A%2225%22,%22SortBy%22%3A%22Title%22,%22SortOrder%22%3A%22ASC%22,%22SearchTerm%22%3A%22%22%7D,%22ItemsToCompare%22%3A%5B%5D,%22SelectedStandardIdList%22%3A%5B%5D,%22StandardID%22%3A240,%22EntityTypeID%22%3A1%7D</vt:lpwstr>
      </vt:variant>
      <vt:variant>
        <vt:i4>8323112</vt:i4>
      </vt:variant>
      <vt:variant>
        <vt:i4>933</vt:i4>
      </vt:variant>
      <vt:variant>
        <vt:i4>0</vt:i4>
      </vt:variant>
      <vt:variant>
        <vt:i4>5</vt:i4>
      </vt:variant>
      <vt:variant>
        <vt:lpwstr>https://www.ncqa.org/hedis/measures/childhood-immunization-status/</vt:lpwstr>
      </vt:variant>
      <vt:variant>
        <vt:lpwstr/>
      </vt:variant>
      <vt:variant>
        <vt:i4>3145790</vt:i4>
      </vt:variant>
      <vt:variant>
        <vt:i4>930</vt:i4>
      </vt:variant>
      <vt:variant>
        <vt:i4>0</vt:i4>
      </vt:variant>
      <vt:variant>
        <vt:i4>5</vt:i4>
      </vt:variant>
      <vt:variant>
        <vt:lpwstr>https://www.ncqa.org/hedis/measures/initiation-and-engagement-of-alcohol-and-other-drug-abuse-or-dependence-treatment/</vt:lpwstr>
      </vt:variant>
      <vt:variant>
        <vt:lpwstr/>
      </vt:variant>
      <vt:variant>
        <vt:i4>1769539</vt:i4>
      </vt:variant>
      <vt:variant>
        <vt:i4>927</vt:i4>
      </vt:variant>
      <vt:variant>
        <vt:i4>0</vt:i4>
      </vt:variant>
      <vt:variant>
        <vt:i4>5</vt:i4>
      </vt:variant>
      <vt:variant>
        <vt:lpwstr>https://www.ncqa.org/hedis/measures/medication-management-for-people-with-asthma-and-asthma-medication-ratio/</vt:lpwstr>
      </vt:variant>
      <vt:variant>
        <vt:lpwstr/>
      </vt:variant>
      <vt:variant>
        <vt:i4>720962</vt:i4>
      </vt:variant>
      <vt:variant>
        <vt:i4>924</vt:i4>
      </vt:variant>
      <vt:variant>
        <vt:i4>0</vt:i4>
      </vt:variant>
      <vt:variant>
        <vt:i4>5</vt:i4>
      </vt:variant>
      <vt:variant>
        <vt:lpwstr>https://www.ncqa.org/hedis/measures/comprehensive-diabetes-care/</vt:lpwstr>
      </vt:variant>
      <vt:variant>
        <vt:lpwstr/>
      </vt:variant>
      <vt:variant>
        <vt:i4>393240</vt:i4>
      </vt:variant>
      <vt:variant>
        <vt:i4>921</vt:i4>
      </vt:variant>
      <vt:variant>
        <vt:i4>0</vt:i4>
      </vt:variant>
      <vt:variant>
        <vt:i4>5</vt:i4>
      </vt:variant>
      <vt:variant>
        <vt:lpwstr>https://www.ncqa.org/hedis/measures/controlling-high-blood-pressure/</vt:lpwstr>
      </vt:variant>
      <vt:variant>
        <vt:lpwstr/>
      </vt:variant>
      <vt:variant>
        <vt:i4>7012465</vt:i4>
      </vt:variant>
      <vt:variant>
        <vt:i4>918</vt:i4>
      </vt:variant>
      <vt:variant>
        <vt:i4>0</vt:i4>
      </vt:variant>
      <vt:variant>
        <vt:i4>5</vt:i4>
      </vt:variant>
      <vt:variant>
        <vt:lpwstr>https://www.ncqa.org/hedis/measures/follow-up-after-hospitalization-for-mental-illness/</vt:lpwstr>
      </vt:variant>
      <vt:variant>
        <vt:lpwstr/>
      </vt:variant>
      <vt:variant>
        <vt:i4>4259916</vt:i4>
      </vt:variant>
      <vt:variant>
        <vt:i4>915</vt:i4>
      </vt:variant>
      <vt:variant>
        <vt:i4>0</vt:i4>
      </vt:variant>
      <vt:variant>
        <vt:i4>5</vt:i4>
      </vt:variant>
      <vt:variant>
        <vt:lpwstr>https://www.ncqa.org/hedis/measures/prenatal-and-postpartum-care-ppc/</vt:lpwstr>
      </vt:variant>
      <vt:variant>
        <vt:lpwstr/>
      </vt:variant>
      <vt:variant>
        <vt:i4>3342433</vt:i4>
      </vt:variant>
      <vt:variant>
        <vt:i4>912</vt:i4>
      </vt:variant>
      <vt:variant>
        <vt:i4>0</vt:i4>
      </vt:variant>
      <vt:variant>
        <vt:i4>5</vt:i4>
      </vt:variant>
      <vt:variant>
        <vt:lpwstr>https://www.ncqa.org/hedis/measures/immunizations-for-adolescents/</vt:lpwstr>
      </vt:variant>
      <vt:variant>
        <vt:lpwstr/>
      </vt:variant>
      <vt:variant>
        <vt:i4>7012465</vt:i4>
      </vt:variant>
      <vt:variant>
        <vt:i4>906</vt:i4>
      </vt:variant>
      <vt:variant>
        <vt:i4>0</vt:i4>
      </vt:variant>
      <vt:variant>
        <vt:i4>5</vt:i4>
      </vt:variant>
      <vt:variant>
        <vt:lpwstr>https://www.ncqa.org/hedis/measures/follow-up-after-hospitalization-for-mental-illness/</vt:lpwstr>
      </vt:variant>
      <vt:variant>
        <vt:lpwstr/>
      </vt:variant>
      <vt:variant>
        <vt:i4>5701725</vt:i4>
      </vt:variant>
      <vt:variant>
        <vt:i4>903</vt:i4>
      </vt:variant>
      <vt:variant>
        <vt:i4>0</vt:i4>
      </vt:variant>
      <vt:variant>
        <vt:i4>5</vt:i4>
      </vt:variant>
      <vt:variant>
        <vt:lpwstr>https://www.ncqa.org/hedis/measures/plan-all-cause-readmissions/</vt:lpwstr>
      </vt:variant>
      <vt:variant>
        <vt:lpwstr/>
      </vt:variant>
      <vt:variant>
        <vt:i4>3145790</vt:i4>
      </vt:variant>
      <vt:variant>
        <vt:i4>900</vt:i4>
      </vt:variant>
      <vt:variant>
        <vt:i4>0</vt:i4>
      </vt:variant>
      <vt:variant>
        <vt:i4>5</vt:i4>
      </vt:variant>
      <vt:variant>
        <vt:lpwstr>https://www.ncqa.org/hedis/measures/initiation-and-engagement-of-alcohol-and-other-drug-abuse-or-dependence-treatment/</vt:lpwstr>
      </vt:variant>
      <vt:variant>
        <vt:lpwstr/>
      </vt:variant>
      <vt:variant>
        <vt:i4>2949246</vt:i4>
      </vt:variant>
      <vt:variant>
        <vt:i4>897</vt:i4>
      </vt:variant>
      <vt:variant>
        <vt:i4>0</vt:i4>
      </vt:variant>
      <vt:variant>
        <vt:i4>5</vt:i4>
      </vt:variant>
      <vt:variant>
        <vt:lpwstr>https://www.ncqa.org/hedis/measures/follow-up-after-emergency-department-visit-for-mental-illness/</vt:lpwstr>
      </vt:variant>
      <vt:variant>
        <vt:lpwstr/>
      </vt:variant>
      <vt:variant>
        <vt:i4>720962</vt:i4>
      </vt:variant>
      <vt:variant>
        <vt:i4>891</vt:i4>
      </vt:variant>
      <vt:variant>
        <vt:i4>0</vt:i4>
      </vt:variant>
      <vt:variant>
        <vt:i4>5</vt:i4>
      </vt:variant>
      <vt:variant>
        <vt:lpwstr>https://www.ncqa.org/hedis/measures/comprehensive-diabetes-care/</vt:lpwstr>
      </vt:variant>
      <vt:variant>
        <vt:lpwstr/>
      </vt:variant>
      <vt:variant>
        <vt:i4>393240</vt:i4>
      </vt:variant>
      <vt:variant>
        <vt:i4>888</vt:i4>
      </vt:variant>
      <vt:variant>
        <vt:i4>0</vt:i4>
      </vt:variant>
      <vt:variant>
        <vt:i4>5</vt:i4>
      </vt:variant>
      <vt:variant>
        <vt:lpwstr>https://www.ncqa.org/hedis/measures/controlling-high-blood-pressure/</vt:lpwstr>
      </vt:variant>
      <vt:variant>
        <vt:lpwstr/>
      </vt:variant>
      <vt:variant>
        <vt:i4>5701725</vt:i4>
      </vt:variant>
      <vt:variant>
        <vt:i4>885</vt:i4>
      </vt:variant>
      <vt:variant>
        <vt:i4>0</vt:i4>
      </vt:variant>
      <vt:variant>
        <vt:i4>5</vt:i4>
      </vt:variant>
      <vt:variant>
        <vt:lpwstr>https://www.ncqa.org/hedis/measures/plan-all-cause-readmissions/</vt:lpwstr>
      </vt:variant>
      <vt:variant>
        <vt:lpwstr/>
      </vt:variant>
      <vt:variant>
        <vt:i4>72</vt:i4>
      </vt:variant>
      <vt:variant>
        <vt:i4>882</vt:i4>
      </vt:variant>
      <vt:variant>
        <vt:i4>0</vt:i4>
      </vt:variant>
      <vt:variant>
        <vt:i4>5</vt:i4>
      </vt:variant>
      <vt:variant>
        <vt:lpwstr>https://www.ncqa.org/hedis/measures/use-of-imaging-studies-for-low-back-pain/</vt:lpwstr>
      </vt:variant>
      <vt:variant>
        <vt:lpwstr/>
      </vt:variant>
      <vt:variant>
        <vt:i4>5242945</vt:i4>
      </vt:variant>
      <vt:variant>
        <vt:i4>879</vt:i4>
      </vt:variant>
      <vt:variant>
        <vt:i4>0</vt:i4>
      </vt:variant>
      <vt:variant>
        <vt:i4>5</vt:i4>
      </vt:variant>
      <vt:variant>
        <vt:lpwstr>https://www.ncqa.org/hedis/measures/antidepressant-medication-management/</vt:lpwstr>
      </vt:variant>
      <vt:variant>
        <vt:lpwstr/>
      </vt:variant>
      <vt:variant>
        <vt:i4>5374016</vt:i4>
      </vt:variant>
      <vt:variant>
        <vt:i4>876</vt:i4>
      </vt:variant>
      <vt:variant>
        <vt:i4>0</vt:i4>
      </vt:variant>
      <vt:variant>
        <vt:i4>5</vt:i4>
      </vt:variant>
      <vt:variant>
        <vt:lpwstr>https://www.ncqa.org/hedis/measures/metabolic-monitoring-for-children-and-adolescents-on-antipsychotics/</vt:lpwstr>
      </vt:variant>
      <vt:variant>
        <vt:lpwstr/>
      </vt:variant>
      <vt:variant>
        <vt:i4>3145790</vt:i4>
      </vt:variant>
      <vt:variant>
        <vt:i4>873</vt:i4>
      </vt:variant>
      <vt:variant>
        <vt:i4>0</vt:i4>
      </vt:variant>
      <vt:variant>
        <vt:i4>5</vt:i4>
      </vt:variant>
      <vt:variant>
        <vt:lpwstr>https://www.ncqa.org/hedis/measures/initiation-and-engagement-of-alcohol-and-other-drug-abuse-or-dependence-treatment/</vt:lpwstr>
      </vt:variant>
      <vt:variant>
        <vt:lpwstr/>
      </vt:variant>
      <vt:variant>
        <vt:i4>1769539</vt:i4>
      </vt:variant>
      <vt:variant>
        <vt:i4>870</vt:i4>
      </vt:variant>
      <vt:variant>
        <vt:i4>0</vt:i4>
      </vt:variant>
      <vt:variant>
        <vt:i4>5</vt:i4>
      </vt:variant>
      <vt:variant>
        <vt:lpwstr>https://www.ncqa.org/hedis/measures/medication-management-for-people-with-asthma-and-asthma-medication-ratio/</vt:lpwstr>
      </vt:variant>
      <vt:variant>
        <vt:lpwstr/>
      </vt:variant>
      <vt:variant>
        <vt:i4>4259916</vt:i4>
      </vt:variant>
      <vt:variant>
        <vt:i4>867</vt:i4>
      </vt:variant>
      <vt:variant>
        <vt:i4>0</vt:i4>
      </vt:variant>
      <vt:variant>
        <vt:i4>5</vt:i4>
      </vt:variant>
      <vt:variant>
        <vt:lpwstr>https://www.ncqa.org/hedis/measures/prenatal-and-postpartum-care-ppc/</vt:lpwstr>
      </vt:variant>
      <vt:variant>
        <vt:lpwstr/>
      </vt:variant>
      <vt:variant>
        <vt:i4>4849678</vt:i4>
      </vt:variant>
      <vt:variant>
        <vt:i4>864</vt:i4>
      </vt:variant>
      <vt:variant>
        <vt:i4>0</vt:i4>
      </vt:variant>
      <vt:variant>
        <vt:i4>5</vt:i4>
      </vt:variant>
      <vt:variant>
        <vt:lpwstr>https://www.qualityforum.org/QPS/QPSTool.aspx?tID=14:2&amp;Exact=False&amp;Keyword=AIS</vt:lpwstr>
      </vt:variant>
      <vt:variant>
        <vt:lpwstr>qpsPageState=%7B%22TabType%22%3A1,%22TabContentType%22%3A2,%22SearchCriteriaForStandard%22%3A%7B%22TaxonomyIDs%22%3A%5B%5D,%22SelectedTypeAheadFilterOption%22%3A%7B%22FilterOptionLabel%22%3A%22childhood+immunization+status+(cis)%22,%22SearchType%22%3A0,%22TaxonomyId%22%3A0,%22SortWeight%22%3A0,%22TypeOfTypeAheadFilterOption%22%3A1,%22AssociatedStandardCount%22%3A0,%22FilterOptions%22%3A%5B%5D,%22ID%22%3A53779,%22IsNew%22%3Afalse,%22IsActive%22%3Afalse,%22IsDeleted%22%3Afalse,%22IsLocked%22%3Afalse,%22IsLoading%22%3Afalse%7D,%22Keyword%22%3A%22childhood+immunization+status+(cis)%22,%22PageSize%22%3A%2225%22,%22OrderType%22%3A3,%22OrderBy%22%3A%22ASC%22,%22PageNo%22%3A%222%22,%22IsExactMatch%22%3Afalse,%22QueryStringType%22%3A%22%22,%22ProjectActivityId%22%3A%220%22,%22FederalProgramYear%22%3A%220%22,%22FederalFiscalYear%22%3A%220%22,%22FilterTypes%22%3A0,%22EndorsementStatus%22%3A%22%22,%22MSAIDs%22%3A%5B%5D%7D,%22SearchCriteriaForForPortfolio%22%3A%7B%22Tags%22%3A%5B%5D,%22FilterTypes%22%3A0,%22PageStartIndex%22%3A1,%22PageEndIndex%22%3A25,%22PageNumber%22%3Anull,%22PageSize%22%3A%2225%22,%22SortBy%22%3A%22Title%22,%22SortOrder%22%3A%22ASC%22,%22SearchTerm%22%3A%22%22%7D,%22ItemsToCompare%22%3A%5B%5D,%22SelectedStandardIdList%22%3A%5B%5D,%22StandardID%22%3A240,%22EntityTypeID%22%3A1%7D</vt:lpwstr>
      </vt:variant>
      <vt:variant>
        <vt:i4>8323112</vt:i4>
      </vt:variant>
      <vt:variant>
        <vt:i4>861</vt:i4>
      </vt:variant>
      <vt:variant>
        <vt:i4>0</vt:i4>
      </vt:variant>
      <vt:variant>
        <vt:i4>5</vt:i4>
      </vt:variant>
      <vt:variant>
        <vt:lpwstr>https://www.ncqa.org/hedis/measures/childhood-immunization-status/</vt:lpwstr>
      </vt:variant>
      <vt:variant>
        <vt:lpwstr/>
      </vt:variant>
      <vt:variant>
        <vt:i4>3342433</vt:i4>
      </vt:variant>
      <vt:variant>
        <vt:i4>858</vt:i4>
      </vt:variant>
      <vt:variant>
        <vt:i4>0</vt:i4>
      </vt:variant>
      <vt:variant>
        <vt:i4>5</vt:i4>
      </vt:variant>
      <vt:variant>
        <vt:lpwstr>https://www.ncqa.org/hedis/measures/immunizations-for-adolescents/</vt:lpwstr>
      </vt:variant>
      <vt:variant>
        <vt:lpwstr/>
      </vt:variant>
      <vt:variant>
        <vt:i4>7012465</vt:i4>
      </vt:variant>
      <vt:variant>
        <vt:i4>855</vt:i4>
      </vt:variant>
      <vt:variant>
        <vt:i4>0</vt:i4>
      </vt:variant>
      <vt:variant>
        <vt:i4>5</vt:i4>
      </vt:variant>
      <vt:variant>
        <vt:lpwstr>https://www.ncqa.org/hedis/measures/follow-up-after-hospitalization-for-mental-illness/</vt:lpwstr>
      </vt:variant>
      <vt:variant>
        <vt:lpwstr/>
      </vt:variant>
      <vt:variant>
        <vt:i4>7012455</vt:i4>
      </vt:variant>
      <vt:variant>
        <vt:i4>852</vt:i4>
      </vt:variant>
      <vt:variant>
        <vt:i4>0</vt:i4>
      </vt:variant>
      <vt:variant>
        <vt:i4>5</vt:i4>
      </vt:variant>
      <vt:variant>
        <vt:lpwstr>https://www.ncqa.org/hedis/measures/follow-up-after-emergency-department-visit-for-alcohol-and-other-drug-abuse-or-dependence/</vt:lpwstr>
      </vt:variant>
      <vt:variant>
        <vt:lpwstr/>
      </vt:variant>
      <vt:variant>
        <vt:i4>2162801</vt:i4>
      </vt:variant>
      <vt:variant>
        <vt:i4>849</vt:i4>
      </vt:variant>
      <vt:variant>
        <vt:i4>0</vt:i4>
      </vt:variant>
      <vt:variant>
        <vt:i4>5</vt:i4>
      </vt:variant>
      <vt:variant>
        <vt:lpwstr>https://www.ncqa.org/hedis/measures/diabetes-and-cardiovascular-disease-screening-and-monitoring-for-people-with-schizophrenia-or-bipolar-disorder/</vt:lpwstr>
      </vt:variant>
      <vt:variant>
        <vt:lpwstr/>
      </vt:variant>
      <vt:variant>
        <vt:i4>6422654</vt:i4>
      </vt:variant>
      <vt:variant>
        <vt:i4>843</vt:i4>
      </vt:variant>
      <vt:variant>
        <vt:i4>0</vt:i4>
      </vt:variant>
      <vt:variant>
        <vt:i4>5</vt:i4>
      </vt:variant>
      <vt:variant>
        <vt:lpwstr>https://www.ncqa.org/hedis/measures/child-and-adolescent-well-care-visits/</vt:lpwstr>
      </vt:variant>
      <vt:variant>
        <vt:lpwstr/>
      </vt:variant>
      <vt:variant>
        <vt:i4>6684713</vt:i4>
      </vt:variant>
      <vt:variant>
        <vt:i4>840</vt:i4>
      </vt:variant>
      <vt:variant>
        <vt:i4>0</vt:i4>
      </vt:variant>
      <vt:variant>
        <vt:i4>5</vt:i4>
      </vt:variant>
      <vt:variant>
        <vt:lpwstr>https://www.ncqa.org/hedis/measures/children-and-adolescents-access-to-primary-care-practitioners-cap/</vt:lpwstr>
      </vt:variant>
      <vt:variant>
        <vt:lpwstr/>
      </vt:variant>
      <vt:variant>
        <vt:i4>1835026</vt:i4>
      </vt:variant>
      <vt:variant>
        <vt:i4>837</vt:i4>
      </vt:variant>
      <vt:variant>
        <vt:i4>0</vt:i4>
      </vt:variant>
      <vt:variant>
        <vt:i4>5</vt:i4>
      </vt:variant>
      <vt:variant>
        <vt:lpwstr>https://www.ncqa.org/hedis/measures/immunizations-for-adolescents</vt:lpwstr>
      </vt:variant>
      <vt:variant>
        <vt:lpwstr/>
      </vt:variant>
      <vt:variant>
        <vt:i4>6750279</vt:i4>
      </vt:variant>
      <vt:variant>
        <vt:i4>831</vt:i4>
      </vt:variant>
      <vt:variant>
        <vt:i4>0</vt:i4>
      </vt:variant>
      <vt:variant>
        <vt:i4>5</vt:i4>
      </vt:variant>
      <vt:variant>
        <vt:lpwstr/>
      </vt:variant>
      <vt:variant>
        <vt:lpwstr>_Chapter_2:_Coverage</vt:lpwstr>
      </vt:variant>
      <vt:variant>
        <vt:i4>6750279</vt:i4>
      </vt:variant>
      <vt:variant>
        <vt:i4>828</vt:i4>
      </vt:variant>
      <vt:variant>
        <vt:i4>0</vt:i4>
      </vt:variant>
      <vt:variant>
        <vt:i4>5</vt:i4>
      </vt:variant>
      <vt:variant>
        <vt:lpwstr/>
      </vt:variant>
      <vt:variant>
        <vt:lpwstr>_Chapter_2:_Coverage</vt:lpwstr>
      </vt:variant>
      <vt:variant>
        <vt:i4>3014761</vt:i4>
      </vt:variant>
      <vt:variant>
        <vt:i4>825</vt:i4>
      </vt:variant>
      <vt:variant>
        <vt:i4>0</vt:i4>
      </vt:variant>
      <vt:variant>
        <vt:i4>5</vt:i4>
      </vt:variant>
      <vt:variant>
        <vt:lpwstr>http://www.linkedin.com/in/jayhimmelsteinmd</vt:lpwstr>
      </vt:variant>
      <vt:variant>
        <vt:lpwstr/>
      </vt:variant>
      <vt:variant>
        <vt:i4>6619170</vt:i4>
      </vt:variant>
      <vt:variant>
        <vt:i4>822</vt:i4>
      </vt:variant>
      <vt:variant>
        <vt:i4>0</vt:i4>
      </vt:variant>
      <vt:variant>
        <vt:i4>5</vt:i4>
      </vt:variant>
      <vt:variant>
        <vt:lpwstr>https://www.umassmed.edu/fmch/</vt:lpwstr>
      </vt:variant>
      <vt:variant>
        <vt:lpwstr/>
      </vt:variant>
      <vt:variant>
        <vt:i4>4718595</vt:i4>
      </vt:variant>
      <vt:variant>
        <vt:i4>819</vt:i4>
      </vt:variant>
      <vt:variant>
        <vt:i4>0</vt:i4>
      </vt:variant>
      <vt:variant>
        <vt:i4>5</vt:i4>
      </vt:variant>
      <vt:variant>
        <vt:lpwstr>https://forhealthconsulting.umassmed.edu/</vt:lpwstr>
      </vt:variant>
      <vt:variant>
        <vt:lpwstr/>
      </vt:variant>
      <vt:variant>
        <vt:i4>7864357</vt:i4>
      </vt:variant>
      <vt:variant>
        <vt:i4>816</vt:i4>
      </vt:variant>
      <vt:variant>
        <vt:i4>0</vt:i4>
      </vt:variant>
      <vt:variant>
        <vt:i4>5</vt:i4>
      </vt:variant>
      <vt:variant>
        <vt:lpwstr>https://www.umassmed.edu/pqhs/</vt:lpwstr>
      </vt:variant>
      <vt:variant>
        <vt:lpwstr/>
      </vt:variant>
      <vt:variant>
        <vt:i4>3473456</vt:i4>
      </vt:variant>
      <vt:variant>
        <vt:i4>813</vt:i4>
      </vt:variant>
      <vt:variant>
        <vt:i4>0</vt:i4>
      </vt:variant>
      <vt:variant>
        <vt:i4>5</vt:i4>
      </vt:variant>
      <vt:variant>
        <vt:lpwstr>https://www.umassmed.edu/about/</vt:lpwstr>
      </vt:variant>
      <vt:variant>
        <vt:lpwstr/>
      </vt:variant>
      <vt:variant>
        <vt:i4>1507372</vt:i4>
      </vt:variant>
      <vt:variant>
        <vt:i4>810</vt:i4>
      </vt:variant>
      <vt:variant>
        <vt:i4>0</vt:i4>
      </vt:variant>
      <vt:variant>
        <vt:i4>5</vt:i4>
      </vt:variant>
      <vt:variant>
        <vt:lpwstr/>
      </vt:variant>
      <vt:variant>
        <vt:lpwstr>_Data_and_Methods</vt:lpwstr>
      </vt:variant>
      <vt:variant>
        <vt:i4>1507372</vt:i4>
      </vt:variant>
      <vt:variant>
        <vt:i4>807</vt:i4>
      </vt:variant>
      <vt:variant>
        <vt:i4>0</vt:i4>
      </vt:variant>
      <vt:variant>
        <vt:i4>5</vt:i4>
      </vt:variant>
      <vt:variant>
        <vt:lpwstr/>
      </vt:variant>
      <vt:variant>
        <vt:lpwstr>_Data_and_Methods</vt:lpwstr>
      </vt:variant>
      <vt:variant>
        <vt:i4>5570687</vt:i4>
      </vt:variant>
      <vt:variant>
        <vt:i4>804</vt:i4>
      </vt:variant>
      <vt:variant>
        <vt:i4>0</vt:i4>
      </vt:variant>
      <vt:variant>
        <vt:i4>5</vt:i4>
      </vt:variant>
      <vt:variant>
        <vt:lpwstr/>
      </vt:variant>
      <vt:variant>
        <vt:lpwstr>_Delivery_System_Reform</vt:lpwstr>
      </vt:variant>
      <vt:variant>
        <vt:i4>1507372</vt:i4>
      </vt:variant>
      <vt:variant>
        <vt:i4>798</vt:i4>
      </vt:variant>
      <vt:variant>
        <vt:i4>0</vt:i4>
      </vt:variant>
      <vt:variant>
        <vt:i4>5</vt:i4>
      </vt:variant>
      <vt:variant>
        <vt:lpwstr/>
      </vt:variant>
      <vt:variant>
        <vt:lpwstr>_Data_and_Methods</vt:lpwstr>
      </vt:variant>
      <vt:variant>
        <vt:i4>1048633</vt:i4>
      </vt:variant>
      <vt:variant>
        <vt:i4>795</vt:i4>
      </vt:variant>
      <vt:variant>
        <vt:i4>0</vt:i4>
      </vt:variant>
      <vt:variant>
        <vt:i4>5</vt:i4>
      </vt:variant>
      <vt:variant>
        <vt:lpwstr/>
      </vt:variant>
      <vt:variant>
        <vt:lpwstr>_Hospital_Quality_and</vt:lpwstr>
      </vt:variant>
      <vt:variant>
        <vt:i4>6160504</vt:i4>
      </vt:variant>
      <vt:variant>
        <vt:i4>792</vt:i4>
      </vt:variant>
      <vt:variant>
        <vt:i4>0</vt:i4>
      </vt:variant>
      <vt:variant>
        <vt:i4>5</vt:i4>
      </vt:variant>
      <vt:variant>
        <vt:lpwstr/>
      </vt:variant>
      <vt:variant>
        <vt:lpwstr>_Summary_of_the</vt:lpwstr>
      </vt:variant>
      <vt:variant>
        <vt:i4>4718687</vt:i4>
      </vt:variant>
      <vt:variant>
        <vt:i4>783</vt:i4>
      </vt:variant>
      <vt:variant>
        <vt:i4>0</vt:i4>
      </vt:variant>
      <vt:variant>
        <vt:i4>5</vt:i4>
      </vt:variant>
      <vt:variant>
        <vt:lpwstr/>
      </vt:variant>
      <vt:variant>
        <vt:lpwstr>_Data_and_Methods_1</vt:lpwstr>
      </vt:variant>
      <vt:variant>
        <vt:i4>2490411</vt:i4>
      </vt:variant>
      <vt:variant>
        <vt:i4>774</vt:i4>
      </vt:variant>
      <vt:variant>
        <vt:i4>0</vt:i4>
      </vt:variant>
      <vt:variant>
        <vt:i4>5</vt:i4>
      </vt:variant>
      <vt:variant>
        <vt:lpwstr/>
      </vt:variant>
      <vt:variant>
        <vt:lpwstr>_Analysis_Methods</vt:lpwstr>
      </vt:variant>
      <vt:variant>
        <vt:i4>5570687</vt:i4>
      </vt:variant>
      <vt:variant>
        <vt:i4>771</vt:i4>
      </vt:variant>
      <vt:variant>
        <vt:i4>0</vt:i4>
      </vt:variant>
      <vt:variant>
        <vt:i4>5</vt:i4>
      </vt:variant>
      <vt:variant>
        <vt:lpwstr/>
      </vt:variant>
      <vt:variant>
        <vt:lpwstr>_Delivery_System_Reform</vt:lpwstr>
      </vt:variant>
      <vt:variant>
        <vt:i4>3538972</vt:i4>
      </vt:variant>
      <vt:variant>
        <vt:i4>768</vt:i4>
      </vt:variant>
      <vt:variant>
        <vt:i4>0</vt:i4>
      </vt:variant>
      <vt:variant>
        <vt:i4>5</vt:i4>
      </vt:variant>
      <vt:variant>
        <vt:lpwstr/>
      </vt:variant>
      <vt:variant>
        <vt:lpwstr>_Summary_of_Data</vt:lpwstr>
      </vt:variant>
      <vt:variant>
        <vt:i4>4718687</vt:i4>
      </vt:variant>
      <vt:variant>
        <vt:i4>759</vt:i4>
      </vt:variant>
      <vt:variant>
        <vt:i4>0</vt:i4>
      </vt:variant>
      <vt:variant>
        <vt:i4>5</vt:i4>
      </vt:variant>
      <vt:variant>
        <vt:lpwstr/>
      </vt:variant>
      <vt:variant>
        <vt:lpwstr>_Data_and_Methods_2</vt:lpwstr>
      </vt:variant>
      <vt:variant>
        <vt:i4>2490411</vt:i4>
      </vt:variant>
      <vt:variant>
        <vt:i4>738</vt:i4>
      </vt:variant>
      <vt:variant>
        <vt:i4>0</vt:i4>
      </vt:variant>
      <vt:variant>
        <vt:i4>5</vt:i4>
      </vt:variant>
      <vt:variant>
        <vt:lpwstr/>
      </vt:variant>
      <vt:variant>
        <vt:lpwstr>_Analysis_Methods</vt:lpwstr>
      </vt:variant>
      <vt:variant>
        <vt:i4>2490411</vt:i4>
      </vt:variant>
      <vt:variant>
        <vt:i4>735</vt:i4>
      </vt:variant>
      <vt:variant>
        <vt:i4>0</vt:i4>
      </vt:variant>
      <vt:variant>
        <vt:i4>5</vt:i4>
      </vt:variant>
      <vt:variant>
        <vt:lpwstr/>
      </vt:variant>
      <vt:variant>
        <vt:lpwstr>_Analysis_Methods</vt:lpwstr>
      </vt:variant>
      <vt:variant>
        <vt:i4>7012425</vt:i4>
      </vt:variant>
      <vt:variant>
        <vt:i4>732</vt:i4>
      </vt:variant>
      <vt:variant>
        <vt:i4>0</vt:i4>
      </vt:variant>
      <vt:variant>
        <vt:i4>5</vt:i4>
      </vt:variant>
      <vt:variant>
        <vt:lpwstr/>
      </vt:variant>
      <vt:variant>
        <vt:lpwstr>Appendix_B</vt:lpwstr>
      </vt:variant>
      <vt:variant>
        <vt:i4>458819</vt:i4>
      </vt:variant>
      <vt:variant>
        <vt:i4>729</vt:i4>
      </vt:variant>
      <vt:variant>
        <vt:i4>0</vt:i4>
      </vt:variant>
      <vt:variant>
        <vt:i4>5</vt:i4>
      </vt:variant>
      <vt:variant>
        <vt:lpwstr/>
      </vt:variant>
      <vt:variant>
        <vt:lpwstr>_Summary_of_Data_1</vt:lpwstr>
      </vt:variant>
      <vt:variant>
        <vt:i4>5570687</vt:i4>
      </vt:variant>
      <vt:variant>
        <vt:i4>714</vt:i4>
      </vt:variant>
      <vt:variant>
        <vt:i4>0</vt:i4>
      </vt:variant>
      <vt:variant>
        <vt:i4>5</vt:i4>
      </vt:variant>
      <vt:variant>
        <vt:lpwstr/>
      </vt:variant>
      <vt:variant>
        <vt:lpwstr>_Delivery_System_Reform</vt:lpwstr>
      </vt:variant>
      <vt:variant>
        <vt:i4>1835082</vt:i4>
      </vt:variant>
      <vt:variant>
        <vt:i4>711</vt:i4>
      </vt:variant>
      <vt:variant>
        <vt:i4>0</vt:i4>
      </vt:variant>
      <vt:variant>
        <vt:i4>5</vt:i4>
      </vt:variant>
      <vt:variant>
        <vt:lpwstr>https://www.mass.gov/service-details/1115-masshealth-demonstration-waiver</vt:lpwstr>
      </vt:variant>
      <vt:variant>
        <vt:lpwstr/>
      </vt:variant>
      <vt:variant>
        <vt:i4>1900550</vt:i4>
      </vt:variant>
      <vt:variant>
        <vt:i4>708</vt:i4>
      </vt:variant>
      <vt:variant>
        <vt:i4>0</vt:i4>
      </vt:variant>
      <vt:variant>
        <vt:i4>5</vt:i4>
      </vt:variant>
      <vt:variant>
        <vt:lpwstr>https://www.mass.gov/doc/stcs-masshealth-1115-waiver-extension-1/download</vt:lpwstr>
      </vt:variant>
      <vt:variant>
        <vt:lpwstr/>
      </vt:variant>
      <vt:variant>
        <vt:i4>393256</vt:i4>
      </vt:variant>
      <vt:variant>
        <vt:i4>696</vt:i4>
      </vt:variant>
      <vt:variant>
        <vt:i4>0</vt:i4>
      </vt:variant>
      <vt:variant>
        <vt:i4>5</vt:i4>
      </vt:variant>
      <vt:variant>
        <vt:lpwstr/>
      </vt:variant>
      <vt:variant>
        <vt:lpwstr>_Data_Sources_and</vt:lpwstr>
      </vt:variant>
      <vt:variant>
        <vt:i4>5570687</vt:i4>
      </vt:variant>
      <vt:variant>
        <vt:i4>693</vt:i4>
      </vt:variant>
      <vt:variant>
        <vt:i4>0</vt:i4>
      </vt:variant>
      <vt:variant>
        <vt:i4>5</vt:i4>
      </vt:variant>
      <vt:variant>
        <vt:lpwstr/>
      </vt:variant>
      <vt:variant>
        <vt:lpwstr>_Delivery_System_Reform</vt:lpwstr>
      </vt:variant>
      <vt:variant>
        <vt:i4>7012425</vt:i4>
      </vt:variant>
      <vt:variant>
        <vt:i4>678</vt:i4>
      </vt:variant>
      <vt:variant>
        <vt:i4>0</vt:i4>
      </vt:variant>
      <vt:variant>
        <vt:i4>5</vt:i4>
      </vt:variant>
      <vt:variant>
        <vt:lpwstr/>
      </vt:variant>
      <vt:variant>
        <vt:lpwstr>Appendix_B</vt:lpwstr>
      </vt:variant>
      <vt:variant>
        <vt:i4>458819</vt:i4>
      </vt:variant>
      <vt:variant>
        <vt:i4>675</vt:i4>
      </vt:variant>
      <vt:variant>
        <vt:i4>0</vt:i4>
      </vt:variant>
      <vt:variant>
        <vt:i4>5</vt:i4>
      </vt:variant>
      <vt:variant>
        <vt:lpwstr/>
      </vt:variant>
      <vt:variant>
        <vt:lpwstr>_Summary_of_Data_1</vt:lpwstr>
      </vt:variant>
      <vt:variant>
        <vt:i4>8323187</vt:i4>
      </vt:variant>
      <vt:variant>
        <vt:i4>672</vt:i4>
      </vt:variant>
      <vt:variant>
        <vt:i4>0</vt:i4>
      </vt:variant>
      <vt:variant>
        <vt:i4>5</vt:i4>
      </vt:variant>
      <vt:variant>
        <vt:lpwstr/>
      </vt:variant>
      <vt:variant>
        <vt:lpwstr>_Executive_Summary</vt:lpwstr>
      </vt:variant>
      <vt:variant>
        <vt:i4>6946889</vt:i4>
      </vt:variant>
      <vt:variant>
        <vt:i4>669</vt:i4>
      </vt:variant>
      <vt:variant>
        <vt:i4>0</vt:i4>
      </vt:variant>
      <vt:variant>
        <vt:i4>5</vt:i4>
      </vt:variant>
      <vt:variant>
        <vt:lpwstr/>
      </vt:variant>
      <vt:variant>
        <vt:lpwstr>Appendix_C</vt:lpwstr>
      </vt:variant>
      <vt:variant>
        <vt:i4>4718687</vt:i4>
      </vt:variant>
      <vt:variant>
        <vt:i4>660</vt:i4>
      </vt:variant>
      <vt:variant>
        <vt:i4>0</vt:i4>
      </vt:variant>
      <vt:variant>
        <vt:i4>5</vt:i4>
      </vt:variant>
      <vt:variant>
        <vt:lpwstr/>
      </vt:variant>
      <vt:variant>
        <vt:lpwstr>_Data_and_Methods_3</vt:lpwstr>
      </vt:variant>
      <vt:variant>
        <vt:i4>458819</vt:i4>
      </vt:variant>
      <vt:variant>
        <vt:i4>648</vt:i4>
      </vt:variant>
      <vt:variant>
        <vt:i4>0</vt:i4>
      </vt:variant>
      <vt:variant>
        <vt:i4>5</vt:i4>
      </vt:variant>
      <vt:variant>
        <vt:lpwstr/>
      </vt:variant>
      <vt:variant>
        <vt:lpwstr>_Summary_of_Data_1</vt:lpwstr>
      </vt:variant>
      <vt:variant>
        <vt:i4>1507372</vt:i4>
      </vt:variant>
      <vt:variant>
        <vt:i4>636</vt:i4>
      </vt:variant>
      <vt:variant>
        <vt:i4>0</vt:i4>
      </vt:variant>
      <vt:variant>
        <vt:i4>5</vt:i4>
      </vt:variant>
      <vt:variant>
        <vt:lpwstr/>
      </vt:variant>
      <vt:variant>
        <vt:lpwstr>_Data_and_Methods</vt:lpwstr>
      </vt:variant>
      <vt:variant>
        <vt:i4>7078015</vt:i4>
      </vt:variant>
      <vt:variant>
        <vt:i4>627</vt:i4>
      </vt:variant>
      <vt:variant>
        <vt:i4>0</vt:i4>
      </vt:variant>
      <vt:variant>
        <vt:i4>5</vt:i4>
      </vt:variant>
      <vt:variant>
        <vt:lpwstr/>
      </vt:variant>
      <vt:variant>
        <vt:lpwstr>_Workforce_Initiatives</vt:lpwstr>
      </vt:variant>
      <vt:variant>
        <vt:i4>41</vt:i4>
      </vt:variant>
      <vt:variant>
        <vt:i4>624</vt:i4>
      </vt:variant>
      <vt:variant>
        <vt:i4>0</vt:i4>
      </vt:variant>
      <vt:variant>
        <vt:i4>5</vt:i4>
      </vt:variant>
      <vt:variant>
        <vt:lpwstr/>
      </vt:variant>
      <vt:variant>
        <vt:lpwstr>_Safety_Net_Care</vt:lpwstr>
      </vt:variant>
      <vt:variant>
        <vt:i4>1048633</vt:i4>
      </vt:variant>
      <vt:variant>
        <vt:i4>621</vt:i4>
      </vt:variant>
      <vt:variant>
        <vt:i4>0</vt:i4>
      </vt:variant>
      <vt:variant>
        <vt:i4>5</vt:i4>
      </vt:variant>
      <vt:variant>
        <vt:lpwstr/>
      </vt:variant>
      <vt:variant>
        <vt:lpwstr>_Hospital_Quality_and</vt:lpwstr>
      </vt:variant>
      <vt:variant>
        <vt:i4>4980817</vt:i4>
      </vt:variant>
      <vt:variant>
        <vt:i4>618</vt:i4>
      </vt:variant>
      <vt:variant>
        <vt:i4>0</vt:i4>
      </vt:variant>
      <vt:variant>
        <vt:i4>5</vt:i4>
      </vt:variant>
      <vt:variant>
        <vt:lpwstr/>
      </vt:variant>
      <vt:variant>
        <vt:lpwstr>_Behavioral_Health</vt:lpwstr>
      </vt:variant>
      <vt:variant>
        <vt:i4>8126495</vt:i4>
      </vt:variant>
      <vt:variant>
        <vt:i4>615</vt:i4>
      </vt:variant>
      <vt:variant>
        <vt:i4>0</vt:i4>
      </vt:variant>
      <vt:variant>
        <vt:i4>5</vt:i4>
      </vt:variant>
      <vt:variant>
        <vt:lpwstr/>
      </vt:variant>
      <vt:variant>
        <vt:lpwstr>_Health-Related_Social_Needs</vt:lpwstr>
      </vt:variant>
      <vt:variant>
        <vt:i4>7078015</vt:i4>
      </vt:variant>
      <vt:variant>
        <vt:i4>582</vt:i4>
      </vt:variant>
      <vt:variant>
        <vt:i4>0</vt:i4>
      </vt:variant>
      <vt:variant>
        <vt:i4>5</vt:i4>
      </vt:variant>
      <vt:variant>
        <vt:lpwstr/>
      </vt:variant>
      <vt:variant>
        <vt:lpwstr>_Workforce_Initiatives</vt:lpwstr>
      </vt:variant>
      <vt:variant>
        <vt:i4>7078015</vt:i4>
      </vt:variant>
      <vt:variant>
        <vt:i4>579</vt:i4>
      </vt:variant>
      <vt:variant>
        <vt:i4>0</vt:i4>
      </vt:variant>
      <vt:variant>
        <vt:i4>5</vt:i4>
      </vt:variant>
      <vt:variant>
        <vt:lpwstr/>
      </vt:variant>
      <vt:variant>
        <vt:lpwstr>_Workforce_Initiatives</vt:lpwstr>
      </vt:variant>
      <vt:variant>
        <vt:i4>7012425</vt:i4>
      </vt:variant>
      <vt:variant>
        <vt:i4>576</vt:i4>
      </vt:variant>
      <vt:variant>
        <vt:i4>0</vt:i4>
      </vt:variant>
      <vt:variant>
        <vt:i4>5</vt:i4>
      </vt:variant>
      <vt:variant>
        <vt:lpwstr/>
      </vt:variant>
      <vt:variant>
        <vt:lpwstr>Appendix_B</vt:lpwstr>
      </vt:variant>
      <vt:variant>
        <vt:i4>4980817</vt:i4>
      </vt:variant>
      <vt:variant>
        <vt:i4>567</vt:i4>
      </vt:variant>
      <vt:variant>
        <vt:i4>0</vt:i4>
      </vt:variant>
      <vt:variant>
        <vt:i4>5</vt:i4>
      </vt:variant>
      <vt:variant>
        <vt:lpwstr/>
      </vt:variant>
      <vt:variant>
        <vt:lpwstr>_Behavioral_Health</vt:lpwstr>
      </vt:variant>
      <vt:variant>
        <vt:i4>786443</vt:i4>
      </vt:variant>
      <vt:variant>
        <vt:i4>564</vt:i4>
      </vt:variant>
      <vt:variant>
        <vt:i4>0</vt:i4>
      </vt:variant>
      <vt:variant>
        <vt:i4>5</vt:i4>
      </vt:variant>
      <vt:variant>
        <vt:lpwstr/>
      </vt:variant>
      <vt:variant>
        <vt:lpwstr>Key_Informant_Interviews</vt:lpwstr>
      </vt:variant>
      <vt:variant>
        <vt:i4>4980817</vt:i4>
      </vt:variant>
      <vt:variant>
        <vt:i4>549</vt:i4>
      </vt:variant>
      <vt:variant>
        <vt:i4>0</vt:i4>
      </vt:variant>
      <vt:variant>
        <vt:i4>5</vt:i4>
      </vt:variant>
      <vt:variant>
        <vt:lpwstr/>
      </vt:variant>
      <vt:variant>
        <vt:lpwstr>_Behavioral_Health</vt:lpwstr>
      </vt:variant>
      <vt:variant>
        <vt:i4>7078015</vt:i4>
      </vt:variant>
      <vt:variant>
        <vt:i4>540</vt:i4>
      </vt:variant>
      <vt:variant>
        <vt:i4>0</vt:i4>
      </vt:variant>
      <vt:variant>
        <vt:i4>5</vt:i4>
      </vt:variant>
      <vt:variant>
        <vt:lpwstr/>
      </vt:variant>
      <vt:variant>
        <vt:lpwstr>_Workforce_Initiatives</vt:lpwstr>
      </vt:variant>
      <vt:variant>
        <vt:i4>8126495</vt:i4>
      </vt:variant>
      <vt:variant>
        <vt:i4>537</vt:i4>
      </vt:variant>
      <vt:variant>
        <vt:i4>0</vt:i4>
      </vt:variant>
      <vt:variant>
        <vt:i4>5</vt:i4>
      </vt:variant>
      <vt:variant>
        <vt:lpwstr/>
      </vt:variant>
      <vt:variant>
        <vt:lpwstr>_Health-Related_Social_Needs</vt:lpwstr>
      </vt:variant>
      <vt:variant>
        <vt:i4>1048633</vt:i4>
      </vt:variant>
      <vt:variant>
        <vt:i4>534</vt:i4>
      </vt:variant>
      <vt:variant>
        <vt:i4>0</vt:i4>
      </vt:variant>
      <vt:variant>
        <vt:i4>5</vt:i4>
      </vt:variant>
      <vt:variant>
        <vt:lpwstr/>
      </vt:variant>
      <vt:variant>
        <vt:lpwstr>_Hospital_Quality_and</vt:lpwstr>
      </vt:variant>
      <vt:variant>
        <vt:i4>41</vt:i4>
      </vt:variant>
      <vt:variant>
        <vt:i4>531</vt:i4>
      </vt:variant>
      <vt:variant>
        <vt:i4>0</vt:i4>
      </vt:variant>
      <vt:variant>
        <vt:i4>5</vt:i4>
      </vt:variant>
      <vt:variant>
        <vt:lpwstr/>
      </vt:variant>
      <vt:variant>
        <vt:lpwstr>_Safety_Net_Care</vt:lpwstr>
      </vt:variant>
      <vt:variant>
        <vt:i4>5570687</vt:i4>
      </vt:variant>
      <vt:variant>
        <vt:i4>528</vt:i4>
      </vt:variant>
      <vt:variant>
        <vt:i4>0</vt:i4>
      </vt:variant>
      <vt:variant>
        <vt:i4>5</vt:i4>
      </vt:variant>
      <vt:variant>
        <vt:lpwstr/>
      </vt:variant>
      <vt:variant>
        <vt:lpwstr>_Delivery_System_Reform</vt:lpwstr>
      </vt:variant>
      <vt:variant>
        <vt:i4>2031665</vt:i4>
      </vt:variant>
      <vt:variant>
        <vt:i4>525</vt:i4>
      </vt:variant>
      <vt:variant>
        <vt:i4>0</vt:i4>
      </vt:variant>
      <vt:variant>
        <vt:i4>5</vt:i4>
      </vt:variant>
      <vt:variant>
        <vt:lpwstr/>
      </vt:variant>
      <vt:variant>
        <vt:lpwstr>_Coverage_and_Eligibility</vt:lpwstr>
      </vt:variant>
      <vt:variant>
        <vt:i4>6815817</vt:i4>
      </vt:variant>
      <vt:variant>
        <vt:i4>429</vt:i4>
      </vt:variant>
      <vt:variant>
        <vt:i4>0</vt:i4>
      </vt:variant>
      <vt:variant>
        <vt:i4>5</vt:i4>
      </vt:variant>
      <vt:variant>
        <vt:lpwstr/>
      </vt:variant>
      <vt:variant>
        <vt:lpwstr>Appendix_A</vt:lpwstr>
      </vt:variant>
      <vt:variant>
        <vt:i4>1638456</vt:i4>
      </vt:variant>
      <vt:variant>
        <vt:i4>422</vt:i4>
      </vt:variant>
      <vt:variant>
        <vt:i4>0</vt:i4>
      </vt:variant>
      <vt:variant>
        <vt:i4>5</vt:i4>
      </vt:variant>
      <vt:variant>
        <vt:lpwstr/>
      </vt:variant>
      <vt:variant>
        <vt:lpwstr>_Toc149923203</vt:lpwstr>
      </vt:variant>
      <vt:variant>
        <vt:i4>1638456</vt:i4>
      </vt:variant>
      <vt:variant>
        <vt:i4>416</vt:i4>
      </vt:variant>
      <vt:variant>
        <vt:i4>0</vt:i4>
      </vt:variant>
      <vt:variant>
        <vt:i4>5</vt:i4>
      </vt:variant>
      <vt:variant>
        <vt:lpwstr/>
      </vt:variant>
      <vt:variant>
        <vt:lpwstr>_Toc149923202</vt:lpwstr>
      </vt:variant>
      <vt:variant>
        <vt:i4>1638456</vt:i4>
      </vt:variant>
      <vt:variant>
        <vt:i4>410</vt:i4>
      </vt:variant>
      <vt:variant>
        <vt:i4>0</vt:i4>
      </vt:variant>
      <vt:variant>
        <vt:i4>5</vt:i4>
      </vt:variant>
      <vt:variant>
        <vt:lpwstr/>
      </vt:variant>
      <vt:variant>
        <vt:lpwstr>_Toc149923201</vt:lpwstr>
      </vt:variant>
      <vt:variant>
        <vt:i4>1638456</vt:i4>
      </vt:variant>
      <vt:variant>
        <vt:i4>404</vt:i4>
      </vt:variant>
      <vt:variant>
        <vt:i4>0</vt:i4>
      </vt:variant>
      <vt:variant>
        <vt:i4>5</vt:i4>
      </vt:variant>
      <vt:variant>
        <vt:lpwstr/>
      </vt:variant>
      <vt:variant>
        <vt:lpwstr>_Toc149923200</vt:lpwstr>
      </vt:variant>
      <vt:variant>
        <vt:i4>1048635</vt:i4>
      </vt:variant>
      <vt:variant>
        <vt:i4>398</vt:i4>
      </vt:variant>
      <vt:variant>
        <vt:i4>0</vt:i4>
      </vt:variant>
      <vt:variant>
        <vt:i4>5</vt:i4>
      </vt:variant>
      <vt:variant>
        <vt:lpwstr/>
      </vt:variant>
      <vt:variant>
        <vt:lpwstr>_Toc149923199</vt:lpwstr>
      </vt:variant>
      <vt:variant>
        <vt:i4>1048635</vt:i4>
      </vt:variant>
      <vt:variant>
        <vt:i4>392</vt:i4>
      </vt:variant>
      <vt:variant>
        <vt:i4>0</vt:i4>
      </vt:variant>
      <vt:variant>
        <vt:i4>5</vt:i4>
      </vt:variant>
      <vt:variant>
        <vt:lpwstr/>
      </vt:variant>
      <vt:variant>
        <vt:lpwstr>_Toc149923198</vt:lpwstr>
      </vt:variant>
      <vt:variant>
        <vt:i4>1048635</vt:i4>
      </vt:variant>
      <vt:variant>
        <vt:i4>386</vt:i4>
      </vt:variant>
      <vt:variant>
        <vt:i4>0</vt:i4>
      </vt:variant>
      <vt:variant>
        <vt:i4>5</vt:i4>
      </vt:variant>
      <vt:variant>
        <vt:lpwstr/>
      </vt:variant>
      <vt:variant>
        <vt:lpwstr>_Toc149923197</vt:lpwstr>
      </vt:variant>
      <vt:variant>
        <vt:i4>1048635</vt:i4>
      </vt:variant>
      <vt:variant>
        <vt:i4>380</vt:i4>
      </vt:variant>
      <vt:variant>
        <vt:i4>0</vt:i4>
      </vt:variant>
      <vt:variant>
        <vt:i4>5</vt:i4>
      </vt:variant>
      <vt:variant>
        <vt:lpwstr/>
      </vt:variant>
      <vt:variant>
        <vt:lpwstr>_Toc149923196</vt:lpwstr>
      </vt:variant>
      <vt:variant>
        <vt:i4>1048635</vt:i4>
      </vt:variant>
      <vt:variant>
        <vt:i4>371</vt:i4>
      </vt:variant>
      <vt:variant>
        <vt:i4>0</vt:i4>
      </vt:variant>
      <vt:variant>
        <vt:i4>5</vt:i4>
      </vt:variant>
      <vt:variant>
        <vt:lpwstr/>
      </vt:variant>
      <vt:variant>
        <vt:lpwstr>_Toc149923195</vt:lpwstr>
      </vt:variant>
      <vt:variant>
        <vt:i4>1048635</vt:i4>
      </vt:variant>
      <vt:variant>
        <vt:i4>365</vt:i4>
      </vt:variant>
      <vt:variant>
        <vt:i4>0</vt:i4>
      </vt:variant>
      <vt:variant>
        <vt:i4>5</vt:i4>
      </vt:variant>
      <vt:variant>
        <vt:lpwstr/>
      </vt:variant>
      <vt:variant>
        <vt:lpwstr>_Toc149923194</vt:lpwstr>
      </vt:variant>
      <vt:variant>
        <vt:i4>1048635</vt:i4>
      </vt:variant>
      <vt:variant>
        <vt:i4>359</vt:i4>
      </vt:variant>
      <vt:variant>
        <vt:i4>0</vt:i4>
      </vt:variant>
      <vt:variant>
        <vt:i4>5</vt:i4>
      </vt:variant>
      <vt:variant>
        <vt:lpwstr/>
      </vt:variant>
      <vt:variant>
        <vt:lpwstr>_Toc149923193</vt:lpwstr>
      </vt:variant>
      <vt:variant>
        <vt:i4>1048635</vt:i4>
      </vt:variant>
      <vt:variant>
        <vt:i4>353</vt:i4>
      </vt:variant>
      <vt:variant>
        <vt:i4>0</vt:i4>
      </vt:variant>
      <vt:variant>
        <vt:i4>5</vt:i4>
      </vt:variant>
      <vt:variant>
        <vt:lpwstr/>
      </vt:variant>
      <vt:variant>
        <vt:lpwstr>_Toc149923192</vt:lpwstr>
      </vt:variant>
      <vt:variant>
        <vt:i4>1048635</vt:i4>
      </vt:variant>
      <vt:variant>
        <vt:i4>347</vt:i4>
      </vt:variant>
      <vt:variant>
        <vt:i4>0</vt:i4>
      </vt:variant>
      <vt:variant>
        <vt:i4>5</vt:i4>
      </vt:variant>
      <vt:variant>
        <vt:lpwstr/>
      </vt:variant>
      <vt:variant>
        <vt:lpwstr>_Toc149923191</vt:lpwstr>
      </vt:variant>
      <vt:variant>
        <vt:i4>1048635</vt:i4>
      </vt:variant>
      <vt:variant>
        <vt:i4>341</vt:i4>
      </vt:variant>
      <vt:variant>
        <vt:i4>0</vt:i4>
      </vt:variant>
      <vt:variant>
        <vt:i4>5</vt:i4>
      </vt:variant>
      <vt:variant>
        <vt:lpwstr/>
      </vt:variant>
      <vt:variant>
        <vt:lpwstr>_Toc149923190</vt:lpwstr>
      </vt:variant>
      <vt:variant>
        <vt:i4>1114171</vt:i4>
      </vt:variant>
      <vt:variant>
        <vt:i4>335</vt:i4>
      </vt:variant>
      <vt:variant>
        <vt:i4>0</vt:i4>
      </vt:variant>
      <vt:variant>
        <vt:i4>5</vt:i4>
      </vt:variant>
      <vt:variant>
        <vt:lpwstr/>
      </vt:variant>
      <vt:variant>
        <vt:lpwstr>_Toc149923189</vt:lpwstr>
      </vt:variant>
      <vt:variant>
        <vt:i4>1114171</vt:i4>
      </vt:variant>
      <vt:variant>
        <vt:i4>329</vt:i4>
      </vt:variant>
      <vt:variant>
        <vt:i4>0</vt:i4>
      </vt:variant>
      <vt:variant>
        <vt:i4>5</vt:i4>
      </vt:variant>
      <vt:variant>
        <vt:lpwstr/>
      </vt:variant>
      <vt:variant>
        <vt:lpwstr>_Toc149923188</vt:lpwstr>
      </vt:variant>
      <vt:variant>
        <vt:i4>1114171</vt:i4>
      </vt:variant>
      <vt:variant>
        <vt:i4>323</vt:i4>
      </vt:variant>
      <vt:variant>
        <vt:i4>0</vt:i4>
      </vt:variant>
      <vt:variant>
        <vt:i4>5</vt:i4>
      </vt:variant>
      <vt:variant>
        <vt:lpwstr/>
      </vt:variant>
      <vt:variant>
        <vt:lpwstr>_Toc149923187</vt:lpwstr>
      </vt:variant>
      <vt:variant>
        <vt:i4>1114171</vt:i4>
      </vt:variant>
      <vt:variant>
        <vt:i4>317</vt:i4>
      </vt:variant>
      <vt:variant>
        <vt:i4>0</vt:i4>
      </vt:variant>
      <vt:variant>
        <vt:i4>5</vt:i4>
      </vt:variant>
      <vt:variant>
        <vt:lpwstr/>
      </vt:variant>
      <vt:variant>
        <vt:lpwstr>_Toc149923186</vt:lpwstr>
      </vt:variant>
      <vt:variant>
        <vt:i4>1114171</vt:i4>
      </vt:variant>
      <vt:variant>
        <vt:i4>311</vt:i4>
      </vt:variant>
      <vt:variant>
        <vt:i4>0</vt:i4>
      </vt:variant>
      <vt:variant>
        <vt:i4>5</vt:i4>
      </vt:variant>
      <vt:variant>
        <vt:lpwstr/>
      </vt:variant>
      <vt:variant>
        <vt:lpwstr>_Toc149923185</vt:lpwstr>
      </vt:variant>
      <vt:variant>
        <vt:i4>1114171</vt:i4>
      </vt:variant>
      <vt:variant>
        <vt:i4>305</vt:i4>
      </vt:variant>
      <vt:variant>
        <vt:i4>0</vt:i4>
      </vt:variant>
      <vt:variant>
        <vt:i4>5</vt:i4>
      </vt:variant>
      <vt:variant>
        <vt:lpwstr/>
      </vt:variant>
      <vt:variant>
        <vt:lpwstr>_Toc149923184</vt:lpwstr>
      </vt:variant>
      <vt:variant>
        <vt:i4>1114171</vt:i4>
      </vt:variant>
      <vt:variant>
        <vt:i4>299</vt:i4>
      </vt:variant>
      <vt:variant>
        <vt:i4>0</vt:i4>
      </vt:variant>
      <vt:variant>
        <vt:i4>5</vt:i4>
      </vt:variant>
      <vt:variant>
        <vt:lpwstr/>
      </vt:variant>
      <vt:variant>
        <vt:lpwstr>_Toc149923183</vt:lpwstr>
      </vt:variant>
      <vt:variant>
        <vt:i4>1114171</vt:i4>
      </vt:variant>
      <vt:variant>
        <vt:i4>293</vt:i4>
      </vt:variant>
      <vt:variant>
        <vt:i4>0</vt:i4>
      </vt:variant>
      <vt:variant>
        <vt:i4>5</vt:i4>
      </vt:variant>
      <vt:variant>
        <vt:lpwstr/>
      </vt:variant>
      <vt:variant>
        <vt:lpwstr>_Toc149923182</vt:lpwstr>
      </vt:variant>
      <vt:variant>
        <vt:i4>1114171</vt:i4>
      </vt:variant>
      <vt:variant>
        <vt:i4>287</vt:i4>
      </vt:variant>
      <vt:variant>
        <vt:i4>0</vt:i4>
      </vt:variant>
      <vt:variant>
        <vt:i4>5</vt:i4>
      </vt:variant>
      <vt:variant>
        <vt:lpwstr/>
      </vt:variant>
      <vt:variant>
        <vt:lpwstr>_Toc149923181</vt:lpwstr>
      </vt:variant>
      <vt:variant>
        <vt:i4>1114171</vt:i4>
      </vt:variant>
      <vt:variant>
        <vt:i4>278</vt:i4>
      </vt:variant>
      <vt:variant>
        <vt:i4>0</vt:i4>
      </vt:variant>
      <vt:variant>
        <vt:i4>5</vt:i4>
      </vt:variant>
      <vt:variant>
        <vt:lpwstr/>
      </vt:variant>
      <vt:variant>
        <vt:lpwstr>_Toc149923180</vt:lpwstr>
      </vt:variant>
      <vt:variant>
        <vt:i4>1966139</vt:i4>
      </vt:variant>
      <vt:variant>
        <vt:i4>272</vt:i4>
      </vt:variant>
      <vt:variant>
        <vt:i4>0</vt:i4>
      </vt:variant>
      <vt:variant>
        <vt:i4>5</vt:i4>
      </vt:variant>
      <vt:variant>
        <vt:lpwstr/>
      </vt:variant>
      <vt:variant>
        <vt:lpwstr>_Toc149923179</vt:lpwstr>
      </vt:variant>
      <vt:variant>
        <vt:i4>1966139</vt:i4>
      </vt:variant>
      <vt:variant>
        <vt:i4>266</vt:i4>
      </vt:variant>
      <vt:variant>
        <vt:i4>0</vt:i4>
      </vt:variant>
      <vt:variant>
        <vt:i4>5</vt:i4>
      </vt:variant>
      <vt:variant>
        <vt:lpwstr/>
      </vt:variant>
      <vt:variant>
        <vt:lpwstr>_Toc149923178</vt:lpwstr>
      </vt:variant>
      <vt:variant>
        <vt:i4>1966139</vt:i4>
      </vt:variant>
      <vt:variant>
        <vt:i4>260</vt:i4>
      </vt:variant>
      <vt:variant>
        <vt:i4>0</vt:i4>
      </vt:variant>
      <vt:variant>
        <vt:i4>5</vt:i4>
      </vt:variant>
      <vt:variant>
        <vt:lpwstr/>
      </vt:variant>
      <vt:variant>
        <vt:lpwstr>_Toc149923177</vt:lpwstr>
      </vt:variant>
      <vt:variant>
        <vt:i4>1966139</vt:i4>
      </vt:variant>
      <vt:variant>
        <vt:i4>254</vt:i4>
      </vt:variant>
      <vt:variant>
        <vt:i4>0</vt:i4>
      </vt:variant>
      <vt:variant>
        <vt:i4>5</vt:i4>
      </vt:variant>
      <vt:variant>
        <vt:lpwstr/>
      </vt:variant>
      <vt:variant>
        <vt:lpwstr>_Toc149923176</vt:lpwstr>
      </vt:variant>
      <vt:variant>
        <vt:i4>1966139</vt:i4>
      </vt:variant>
      <vt:variant>
        <vt:i4>248</vt:i4>
      </vt:variant>
      <vt:variant>
        <vt:i4>0</vt:i4>
      </vt:variant>
      <vt:variant>
        <vt:i4>5</vt:i4>
      </vt:variant>
      <vt:variant>
        <vt:lpwstr/>
      </vt:variant>
      <vt:variant>
        <vt:lpwstr>_Toc149923175</vt:lpwstr>
      </vt:variant>
      <vt:variant>
        <vt:i4>1966139</vt:i4>
      </vt:variant>
      <vt:variant>
        <vt:i4>242</vt:i4>
      </vt:variant>
      <vt:variant>
        <vt:i4>0</vt:i4>
      </vt:variant>
      <vt:variant>
        <vt:i4>5</vt:i4>
      </vt:variant>
      <vt:variant>
        <vt:lpwstr/>
      </vt:variant>
      <vt:variant>
        <vt:lpwstr>_Toc149923174</vt:lpwstr>
      </vt:variant>
      <vt:variant>
        <vt:i4>1966139</vt:i4>
      </vt:variant>
      <vt:variant>
        <vt:i4>236</vt:i4>
      </vt:variant>
      <vt:variant>
        <vt:i4>0</vt:i4>
      </vt:variant>
      <vt:variant>
        <vt:i4>5</vt:i4>
      </vt:variant>
      <vt:variant>
        <vt:lpwstr/>
      </vt:variant>
      <vt:variant>
        <vt:lpwstr>_Toc149923173</vt:lpwstr>
      </vt:variant>
      <vt:variant>
        <vt:i4>1966139</vt:i4>
      </vt:variant>
      <vt:variant>
        <vt:i4>230</vt:i4>
      </vt:variant>
      <vt:variant>
        <vt:i4>0</vt:i4>
      </vt:variant>
      <vt:variant>
        <vt:i4>5</vt:i4>
      </vt:variant>
      <vt:variant>
        <vt:lpwstr/>
      </vt:variant>
      <vt:variant>
        <vt:lpwstr>_Toc149923172</vt:lpwstr>
      </vt:variant>
      <vt:variant>
        <vt:i4>1966139</vt:i4>
      </vt:variant>
      <vt:variant>
        <vt:i4>224</vt:i4>
      </vt:variant>
      <vt:variant>
        <vt:i4>0</vt:i4>
      </vt:variant>
      <vt:variant>
        <vt:i4>5</vt:i4>
      </vt:variant>
      <vt:variant>
        <vt:lpwstr/>
      </vt:variant>
      <vt:variant>
        <vt:lpwstr>_Toc149923171</vt:lpwstr>
      </vt:variant>
      <vt:variant>
        <vt:i4>1966139</vt:i4>
      </vt:variant>
      <vt:variant>
        <vt:i4>218</vt:i4>
      </vt:variant>
      <vt:variant>
        <vt:i4>0</vt:i4>
      </vt:variant>
      <vt:variant>
        <vt:i4>5</vt:i4>
      </vt:variant>
      <vt:variant>
        <vt:lpwstr/>
      </vt:variant>
      <vt:variant>
        <vt:lpwstr>_Toc149923170</vt:lpwstr>
      </vt:variant>
      <vt:variant>
        <vt:i4>2031675</vt:i4>
      </vt:variant>
      <vt:variant>
        <vt:i4>212</vt:i4>
      </vt:variant>
      <vt:variant>
        <vt:i4>0</vt:i4>
      </vt:variant>
      <vt:variant>
        <vt:i4>5</vt:i4>
      </vt:variant>
      <vt:variant>
        <vt:lpwstr/>
      </vt:variant>
      <vt:variant>
        <vt:lpwstr>_Toc149923169</vt:lpwstr>
      </vt:variant>
      <vt:variant>
        <vt:i4>2031675</vt:i4>
      </vt:variant>
      <vt:variant>
        <vt:i4>206</vt:i4>
      </vt:variant>
      <vt:variant>
        <vt:i4>0</vt:i4>
      </vt:variant>
      <vt:variant>
        <vt:i4>5</vt:i4>
      </vt:variant>
      <vt:variant>
        <vt:lpwstr/>
      </vt:variant>
      <vt:variant>
        <vt:lpwstr>_Toc149923168</vt:lpwstr>
      </vt:variant>
      <vt:variant>
        <vt:i4>2031675</vt:i4>
      </vt:variant>
      <vt:variant>
        <vt:i4>200</vt:i4>
      </vt:variant>
      <vt:variant>
        <vt:i4>0</vt:i4>
      </vt:variant>
      <vt:variant>
        <vt:i4>5</vt:i4>
      </vt:variant>
      <vt:variant>
        <vt:lpwstr/>
      </vt:variant>
      <vt:variant>
        <vt:lpwstr>_Toc149923167</vt:lpwstr>
      </vt:variant>
      <vt:variant>
        <vt:i4>2031675</vt:i4>
      </vt:variant>
      <vt:variant>
        <vt:i4>194</vt:i4>
      </vt:variant>
      <vt:variant>
        <vt:i4>0</vt:i4>
      </vt:variant>
      <vt:variant>
        <vt:i4>5</vt:i4>
      </vt:variant>
      <vt:variant>
        <vt:lpwstr/>
      </vt:variant>
      <vt:variant>
        <vt:lpwstr>_Toc149923166</vt:lpwstr>
      </vt:variant>
      <vt:variant>
        <vt:i4>2031675</vt:i4>
      </vt:variant>
      <vt:variant>
        <vt:i4>188</vt:i4>
      </vt:variant>
      <vt:variant>
        <vt:i4>0</vt:i4>
      </vt:variant>
      <vt:variant>
        <vt:i4>5</vt:i4>
      </vt:variant>
      <vt:variant>
        <vt:lpwstr/>
      </vt:variant>
      <vt:variant>
        <vt:lpwstr>_Toc149923165</vt:lpwstr>
      </vt:variant>
      <vt:variant>
        <vt:i4>2031675</vt:i4>
      </vt:variant>
      <vt:variant>
        <vt:i4>182</vt:i4>
      </vt:variant>
      <vt:variant>
        <vt:i4>0</vt:i4>
      </vt:variant>
      <vt:variant>
        <vt:i4>5</vt:i4>
      </vt:variant>
      <vt:variant>
        <vt:lpwstr/>
      </vt:variant>
      <vt:variant>
        <vt:lpwstr>_Toc149923164</vt:lpwstr>
      </vt:variant>
      <vt:variant>
        <vt:i4>2031675</vt:i4>
      </vt:variant>
      <vt:variant>
        <vt:i4>176</vt:i4>
      </vt:variant>
      <vt:variant>
        <vt:i4>0</vt:i4>
      </vt:variant>
      <vt:variant>
        <vt:i4>5</vt:i4>
      </vt:variant>
      <vt:variant>
        <vt:lpwstr/>
      </vt:variant>
      <vt:variant>
        <vt:lpwstr>_Toc149923163</vt:lpwstr>
      </vt:variant>
      <vt:variant>
        <vt:i4>2031675</vt:i4>
      </vt:variant>
      <vt:variant>
        <vt:i4>170</vt:i4>
      </vt:variant>
      <vt:variant>
        <vt:i4>0</vt:i4>
      </vt:variant>
      <vt:variant>
        <vt:i4>5</vt:i4>
      </vt:variant>
      <vt:variant>
        <vt:lpwstr/>
      </vt:variant>
      <vt:variant>
        <vt:lpwstr>_Toc149923162</vt:lpwstr>
      </vt:variant>
      <vt:variant>
        <vt:i4>2031675</vt:i4>
      </vt:variant>
      <vt:variant>
        <vt:i4>164</vt:i4>
      </vt:variant>
      <vt:variant>
        <vt:i4>0</vt:i4>
      </vt:variant>
      <vt:variant>
        <vt:i4>5</vt:i4>
      </vt:variant>
      <vt:variant>
        <vt:lpwstr/>
      </vt:variant>
      <vt:variant>
        <vt:lpwstr>_Toc149923161</vt:lpwstr>
      </vt:variant>
      <vt:variant>
        <vt:i4>2031675</vt:i4>
      </vt:variant>
      <vt:variant>
        <vt:i4>158</vt:i4>
      </vt:variant>
      <vt:variant>
        <vt:i4>0</vt:i4>
      </vt:variant>
      <vt:variant>
        <vt:i4>5</vt:i4>
      </vt:variant>
      <vt:variant>
        <vt:lpwstr/>
      </vt:variant>
      <vt:variant>
        <vt:lpwstr>_Toc149923160</vt:lpwstr>
      </vt:variant>
      <vt:variant>
        <vt:i4>1835067</vt:i4>
      </vt:variant>
      <vt:variant>
        <vt:i4>152</vt:i4>
      </vt:variant>
      <vt:variant>
        <vt:i4>0</vt:i4>
      </vt:variant>
      <vt:variant>
        <vt:i4>5</vt:i4>
      </vt:variant>
      <vt:variant>
        <vt:lpwstr/>
      </vt:variant>
      <vt:variant>
        <vt:lpwstr>_Toc149923159</vt:lpwstr>
      </vt:variant>
      <vt:variant>
        <vt:i4>1835067</vt:i4>
      </vt:variant>
      <vt:variant>
        <vt:i4>146</vt:i4>
      </vt:variant>
      <vt:variant>
        <vt:i4>0</vt:i4>
      </vt:variant>
      <vt:variant>
        <vt:i4>5</vt:i4>
      </vt:variant>
      <vt:variant>
        <vt:lpwstr/>
      </vt:variant>
      <vt:variant>
        <vt:lpwstr>_Toc149923158</vt:lpwstr>
      </vt:variant>
      <vt:variant>
        <vt:i4>1835067</vt:i4>
      </vt:variant>
      <vt:variant>
        <vt:i4>140</vt:i4>
      </vt:variant>
      <vt:variant>
        <vt:i4>0</vt:i4>
      </vt:variant>
      <vt:variant>
        <vt:i4>5</vt:i4>
      </vt:variant>
      <vt:variant>
        <vt:lpwstr/>
      </vt:variant>
      <vt:variant>
        <vt:lpwstr>_Toc149923157</vt:lpwstr>
      </vt:variant>
      <vt:variant>
        <vt:i4>1835067</vt:i4>
      </vt:variant>
      <vt:variant>
        <vt:i4>134</vt:i4>
      </vt:variant>
      <vt:variant>
        <vt:i4>0</vt:i4>
      </vt:variant>
      <vt:variant>
        <vt:i4>5</vt:i4>
      </vt:variant>
      <vt:variant>
        <vt:lpwstr/>
      </vt:variant>
      <vt:variant>
        <vt:lpwstr>_Toc149923156</vt:lpwstr>
      </vt:variant>
      <vt:variant>
        <vt:i4>1835067</vt:i4>
      </vt:variant>
      <vt:variant>
        <vt:i4>128</vt:i4>
      </vt:variant>
      <vt:variant>
        <vt:i4>0</vt:i4>
      </vt:variant>
      <vt:variant>
        <vt:i4>5</vt:i4>
      </vt:variant>
      <vt:variant>
        <vt:lpwstr/>
      </vt:variant>
      <vt:variant>
        <vt:lpwstr>_Toc149923155</vt:lpwstr>
      </vt:variant>
      <vt:variant>
        <vt:i4>1835067</vt:i4>
      </vt:variant>
      <vt:variant>
        <vt:i4>122</vt:i4>
      </vt:variant>
      <vt:variant>
        <vt:i4>0</vt:i4>
      </vt:variant>
      <vt:variant>
        <vt:i4>5</vt:i4>
      </vt:variant>
      <vt:variant>
        <vt:lpwstr/>
      </vt:variant>
      <vt:variant>
        <vt:lpwstr>_Toc149923154</vt:lpwstr>
      </vt:variant>
      <vt:variant>
        <vt:i4>1835067</vt:i4>
      </vt:variant>
      <vt:variant>
        <vt:i4>116</vt:i4>
      </vt:variant>
      <vt:variant>
        <vt:i4>0</vt:i4>
      </vt:variant>
      <vt:variant>
        <vt:i4>5</vt:i4>
      </vt:variant>
      <vt:variant>
        <vt:lpwstr/>
      </vt:variant>
      <vt:variant>
        <vt:lpwstr>_Toc149923153</vt:lpwstr>
      </vt:variant>
      <vt:variant>
        <vt:i4>1835067</vt:i4>
      </vt:variant>
      <vt:variant>
        <vt:i4>110</vt:i4>
      </vt:variant>
      <vt:variant>
        <vt:i4>0</vt:i4>
      </vt:variant>
      <vt:variant>
        <vt:i4>5</vt:i4>
      </vt:variant>
      <vt:variant>
        <vt:lpwstr/>
      </vt:variant>
      <vt:variant>
        <vt:lpwstr>_Toc149923152</vt:lpwstr>
      </vt:variant>
      <vt:variant>
        <vt:i4>1835067</vt:i4>
      </vt:variant>
      <vt:variant>
        <vt:i4>104</vt:i4>
      </vt:variant>
      <vt:variant>
        <vt:i4>0</vt:i4>
      </vt:variant>
      <vt:variant>
        <vt:i4>5</vt:i4>
      </vt:variant>
      <vt:variant>
        <vt:lpwstr/>
      </vt:variant>
      <vt:variant>
        <vt:lpwstr>_Toc149923151</vt:lpwstr>
      </vt:variant>
      <vt:variant>
        <vt:i4>1835067</vt:i4>
      </vt:variant>
      <vt:variant>
        <vt:i4>98</vt:i4>
      </vt:variant>
      <vt:variant>
        <vt:i4>0</vt:i4>
      </vt:variant>
      <vt:variant>
        <vt:i4>5</vt:i4>
      </vt:variant>
      <vt:variant>
        <vt:lpwstr/>
      </vt:variant>
      <vt:variant>
        <vt:lpwstr>_Toc149923150</vt:lpwstr>
      </vt:variant>
      <vt:variant>
        <vt:i4>1900603</vt:i4>
      </vt:variant>
      <vt:variant>
        <vt:i4>92</vt:i4>
      </vt:variant>
      <vt:variant>
        <vt:i4>0</vt:i4>
      </vt:variant>
      <vt:variant>
        <vt:i4>5</vt:i4>
      </vt:variant>
      <vt:variant>
        <vt:lpwstr/>
      </vt:variant>
      <vt:variant>
        <vt:lpwstr>_Toc149923149</vt:lpwstr>
      </vt:variant>
      <vt:variant>
        <vt:i4>1900603</vt:i4>
      </vt:variant>
      <vt:variant>
        <vt:i4>86</vt:i4>
      </vt:variant>
      <vt:variant>
        <vt:i4>0</vt:i4>
      </vt:variant>
      <vt:variant>
        <vt:i4>5</vt:i4>
      </vt:variant>
      <vt:variant>
        <vt:lpwstr/>
      </vt:variant>
      <vt:variant>
        <vt:lpwstr>_Toc149923148</vt:lpwstr>
      </vt:variant>
      <vt:variant>
        <vt:i4>1900603</vt:i4>
      </vt:variant>
      <vt:variant>
        <vt:i4>80</vt:i4>
      </vt:variant>
      <vt:variant>
        <vt:i4>0</vt:i4>
      </vt:variant>
      <vt:variant>
        <vt:i4>5</vt:i4>
      </vt:variant>
      <vt:variant>
        <vt:lpwstr/>
      </vt:variant>
      <vt:variant>
        <vt:lpwstr>_Toc149923147</vt:lpwstr>
      </vt:variant>
      <vt:variant>
        <vt:i4>1900603</vt:i4>
      </vt:variant>
      <vt:variant>
        <vt:i4>74</vt:i4>
      </vt:variant>
      <vt:variant>
        <vt:i4>0</vt:i4>
      </vt:variant>
      <vt:variant>
        <vt:i4>5</vt:i4>
      </vt:variant>
      <vt:variant>
        <vt:lpwstr/>
      </vt:variant>
      <vt:variant>
        <vt:lpwstr>_Toc149923146</vt:lpwstr>
      </vt:variant>
      <vt:variant>
        <vt:i4>1900603</vt:i4>
      </vt:variant>
      <vt:variant>
        <vt:i4>68</vt:i4>
      </vt:variant>
      <vt:variant>
        <vt:i4>0</vt:i4>
      </vt:variant>
      <vt:variant>
        <vt:i4>5</vt:i4>
      </vt:variant>
      <vt:variant>
        <vt:lpwstr/>
      </vt:variant>
      <vt:variant>
        <vt:lpwstr>_Toc149923145</vt:lpwstr>
      </vt:variant>
      <vt:variant>
        <vt:i4>1900603</vt:i4>
      </vt:variant>
      <vt:variant>
        <vt:i4>62</vt:i4>
      </vt:variant>
      <vt:variant>
        <vt:i4>0</vt:i4>
      </vt:variant>
      <vt:variant>
        <vt:i4>5</vt:i4>
      </vt:variant>
      <vt:variant>
        <vt:lpwstr/>
      </vt:variant>
      <vt:variant>
        <vt:lpwstr>_Toc149923144</vt:lpwstr>
      </vt:variant>
      <vt:variant>
        <vt:i4>1900603</vt:i4>
      </vt:variant>
      <vt:variant>
        <vt:i4>56</vt:i4>
      </vt:variant>
      <vt:variant>
        <vt:i4>0</vt:i4>
      </vt:variant>
      <vt:variant>
        <vt:i4>5</vt:i4>
      </vt:variant>
      <vt:variant>
        <vt:lpwstr/>
      </vt:variant>
      <vt:variant>
        <vt:lpwstr>_Toc149923143</vt:lpwstr>
      </vt:variant>
      <vt:variant>
        <vt:i4>1900603</vt:i4>
      </vt:variant>
      <vt:variant>
        <vt:i4>50</vt:i4>
      </vt:variant>
      <vt:variant>
        <vt:i4>0</vt:i4>
      </vt:variant>
      <vt:variant>
        <vt:i4>5</vt:i4>
      </vt:variant>
      <vt:variant>
        <vt:lpwstr/>
      </vt:variant>
      <vt:variant>
        <vt:lpwstr>_Toc149923142</vt:lpwstr>
      </vt:variant>
      <vt:variant>
        <vt:i4>1900603</vt:i4>
      </vt:variant>
      <vt:variant>
        <vt:i4>44</vt:i4>
      </vt:variant>
      <vt:variant>
        <vt:i4>0</vt:i4>
      </vt:variant>
      <vt:variant>
        <vt:i4>5</vt:i4>
      </vt:variant>
      <vt:variant>
        <vt:lpwstr/>
      </vt:variant>
      <vt:variant>
        <vt:lpwstr>_Toc149923141</vt:lpwstr>
      </vt:variant>
      <vt:variant>
        <vt:i4>1900603</vt:i4>
      </vt:variant>
      <vt:variant>
        <vt:i4>38</vt:i4>
      </vt:variant>
      <vt:variant>
        <vt:i4>0</vt:i4>
      </vt:variant>
      <vt:variant>
        <vt:i4>5</vt:i4>
      </vt:variant>
      <vt:variant>
        <vt:lpwstr/>
      </vt:variant>
      <vt:variant>
        <vt:lpwstr>_Toc149923140</vt:lpwstr>
      </vt:variant>
      <vt:variant>
        <vt:i4>1703995</vt:i4>
      </vt:variant>
      <vt:variant>
        <vt:i4>32</vt:i4>
      </vt:variant>
      <vt:variant>
        <vt:i4>0</vt:i4>
      </vt:variant>
      <vt:variant>
        <vt:i4>5</vt:i4>
      </vt:variant>
      <vt:variant>
        <vt:lpwstr/>
      </vt:variant>
      <vt:variant>
        <vt:lpwstr>_Toc149923139</vt:lpwstr>
      </vt:variant>
      <vt:variant>
        <vt:i4>1703995</vt:i4>
      </vt:variant>
      <vt:variant>
        <vt:i4>26</vt:i4>
      </vt:variant>
      <vt:variant>
        <vt:i4>0</vt:i4>
      </vt:variant>
      <vt:variant>
        <vt:i4>5</vt:i4>
      </vt:variant>
      <vt:variant>
        <vt:lpwstr/>
      </vt:variant>
      <vt:variant>
        <vt:lpwstr>_Toc149923138</vt:lpwstr>
      </vt:variant>
      <vt:variant>
        <vt:i4>1703995</vt:i4>
      </vt:variant>
      <vt:variant>
        <vt:i4>20</vt:i4>
      </vt:variant>
      <vt:variant>
        <vt:i4>0</vt:i4>
      </vt:variant>
      <vt:variant>
        <vt:i4>5</vt:i4>
      </vt:variant>
      <vt:variant>
        <vt:lpwstr/>
      </vt:variant>
      <vt:variant>
        <vt:lpwstr>_Toc149923137</vt:lpwstr>
      </vt:variant>
      <vt:variant>
        <vt:i4>1703995</vt:i4>
      </vt:variant>
      <vt:variant>
        <vt:i4>14</vt:i4>
      </vt:variant>
      <vt:variant>
        <vt:i4>0</vt:i4>
      </vt:variant>
      <vt:variant>
        <vt:i4>5</vt:i4>
      </vt:variant>
      <vt:variant>
        <vt:lpwstr/>
      </vt:variant>
      <vt:variant>
        <vt:lpwstr>_Toc149923136</vt:lpwstr>
      </vt:variant>
      <vt:variant>
        <vt:i4>1703995</vt:i4>
      </vt:variant>
      <vt:variant>
        <vt:i4>8</vt:i4>
      </vt:variant>
      <vt:variant>
        <vt:i4>0</vt:i4>
      </vt:variant>
      <vt:variant>
        <vt:i4>5</vt:i4>
      </vt:variant>
      <vt:variant>
        <vt:lpwstr/>
      </vt:variant>
      <vt:variant>
        <vt:lpwstr>_Toc149923135</vt:lpwstr>
      </vt:variant>
      <vt:variant>
        <vt:i4>1703995</vt:i4>
      </vt:variant>
      <vt:variant>
        <vt:i4>2</vt:i4>
      </vt:variant>
      <vt:variant>
        <vt:i4>0</vt:i4>
      </vt:variant>
      <vt:variant>
        <vt:i4>5</vt:i4>
      </vt:variant>
      <vt:variant>
        <vt:lpwstr/>
      </vt:variant>
      <vt:variant>
        <vt:lpwstr>_Toc149923134</vt:lpwstr>
      </vt:variant>
      <vt:variant>
        <vt:i4>4325485</vt:i4>
      </vt:variant>
      <vt:variant>
        <vt:i4>114</vt:i4>
      </vt:variant>
      <vt:variant>
        <vt:i4>0</vt:i4>
      </vt:variant>
      <vt:variant>
        <vt:i4>5</vt:i4>
      </vt:variant>
      <vt:variant>
        <vt:lpwstr>https://doi.org/10.1007/978-3-662-06392-7_4</vt:lpwstr>
      </vt:variant>
      <vt:variant>
        <vt:lpwstr/>
      </vt:variant>
      <vt:variant>
        <vt:i4>3014775</vt:i4>
      </vt:variant>
      <vt:variant>
        <vt:i4>111</vt:i4>
      </vt:variant>
      <vt:variant>
        <vt:i4>0</vt:i4>
      </vt:variant>
      <vt:variant>
        <vt:i4>5</vt:i4>
      </vt:variant>
      <vt:variant>
        <vt:lpwstr>https://doi.org/10.1111/ajae.12311</vt:lpwstr>
      </vt:variant>
      <vt:variant>
        <vt:lpwstr/>
      </vt:variant>
      <vt:variant>
        <vt:i4>1245275</vt:i4>
      </vt:variant>
      <vt:variant>
        <vt:i4>108</vt:i4>
      </vt:variant>
      <vt:variant>
        <vt:i4>0</vt:i4>
      </vt:variant>
      <vt:variant>
        <vt:i4>5</vt:i4>
      </vt:variant>
      <vt:variant>
        <vt:lpwstr>https://www.mass.gov/service-details/roadmap-for-behavioralhealth-reform</vt:lpwstr>
      </vt:variant>
      <vt:variant>
        <vt:lpwstr/>
      </vt:variant>
      <vt:variant>
        <vt:i4>393297</vt:i4>
      </vt:variant>
      <vt:variant>
        <vt:i4>105</vt:i4>
      </vt:variant>
      <vt:variant>
        <vt:i4>0</vt:i4>
      </vt:variant>
      <vt:variant>
        <vt:i4>5</vt:i4>
      </vt:variant>
      <vt:variant>
        <vt:lpwstr>https://www.aamc.org/media/54681/download</vt:lpwstr>
      </vt:variant>
      <vt:variant>
        <vt:lpwstr/>
      </vt:variant>
      <vt:variant>
        <vt:i4>7340076</vt:i4>
      </vt:variant>
      <vt:variant>
        <vt:i4>102</vt:i4>
      </vt:variant>
      <vt:variant>
        <vt:i4>0</vt:i4>
      </vt:variant>
      <vt:variant>
        <vt:i4>5</vt:i4>
      </vt:variant>
      <vt:variant>
        <vt:lpwstr>https://www.mass.gov/doc/1115-waiver-extension-request/download</vt:lpwstr>
      </vt:variant>
      <vt:variant>
        <vt:lpwstr/>
      </vt:variant>
      <vt:variant>
        <vt:i4>1114192</vt:i4>
      </vt:variant>
      <vt:variant>
        <vt:i4>99</vt:i4>
      </vt:variant>
      <vt:variant>
        <vt:i4>0</vt:i4>
      </vt:variant>
      <vt:variant>
        <vt:i4>5</vt:i4>
      </vt:variant>
      <vt:variant>
        <vt:lpwstr>https://www.weitzmaninstitute.org/sites/default/files/NPResidencyBook/NPResidencyBook.pdf</vt:lpwstr>
      </vt:variant>
      <vt:variant>
        <vt:lpwstr/>
      </vt:variant>
      <vt:variant>
        <vt:i4>7340076</vt:i4>
      </vt:variant>
      <vt:variant>
        <vt:i4>96</vt:i4>
      </vt:variant>
      <vt:variant>
        <vt:i4>0</vt:i4>
      </vt:variant>
      <vt:variant>
        <vt:i4>5</vt:i4>
      </vt:variant>
      <vt:variant>
        <vt:lpwstr>https://www.mass.gov/doc/1115-waiver-extension-request/download</vt:lpwstr>
      </vt:variant>
      <vt:variant>
        <vt:lpwstr/>
      </vt:variant>
      <vt:variant>
        <vt:i4>1441861</vt:i4>
      </vt:variant>
      <vt:variant>
        <vt:i4>93</vt:i4>
      </vt:variant>
      <vt:variant>
        <vt:i4>0</vt:i4>
      </vt:variant>
      <vt:variant>
        <vt:i4>5</vt:i4>
      </vt:variant>
      <vt:variant>
        <vt:lpwstr>https://www.ncbi.nlm.nih.gov/pmc/articles/PMC5743635/</vt:lpwstr>
      </vt:variant>
      <vt:variant>
        <vt:lpwstr/>
      </vt:variant>
      <vt:variant>
        <vt:i4>7340076</vt:i4>
      </vt:variant>
      <vt:variant>
        <vt:i4>90</vt:i4>
      </vt:variant>
      <vt:variant>
        <vt:i4>0</vt:i4>
      </vt:variant>
      <vt:variant>
        <vt:i4>5</vt:i4>
      </vt:variant>
      <vt:variant>
        <vt:lpwstr>https://www.mass.gov/doc/1115-waiver-extension-request/download</vt:lpwstr>
      </vt:variant>
      <vt:variant>
        <vt:lpwstr/>
      </vt:variant>
      <vt:variant>
        <vt:i4>7340076</vt:i4>
      </vt:variant>
      <vt:variant>
        <vt:i4>87</vt:i4>
      </vt:variant>
      <vt:variant>
        <vt:i4>0</vt:i4>
      </vt:variant>
      <vt:variant>
        <vt:i4>5</vt:i4>
      </vt:variant>
      <vt:variant>
        <vt:lpwstr>https://www.mass.gov/doc/1115-waiver-extension-request/download</vt:lpwstr>
      </vt:variant>
      <vt:variant>
        <vt:lpwstr/>
      </vt:variant>
      <vt:variant>
        <vt:i4>4128787</vt:i4>
      </vt:variant>
      <vt:variant>
        <vt:i4>84</vt:i4>
      </vt:variant>
      <vt:variant>
        <vt:i4>0</vt:i4>
      </vt:variant>
      <vt:variant>
        <vt:i4>5</vt:i4>
      </vt:variant>
      <vt:variant>
        <vt:lpwstr>https://www.bluecrossmafoundation.org/sites/g/files/csphws2101/files/2020-09/MHRS_2018_MH SUD Summary_final.pdf</vt:lpwstr>
      </vt:variant>
      <vt:variant>
        <vt:lpwstr/>
      </vt:variant>
      <vt:variant>
        <vt:i4>1245258</vt:i4>
      </vt:variant>
      <vt:variant>
        <vt:i4>81</vt:i4>
      </vt:variant>
      <vt:variant>
        <vt:i4>0</vt:i4>
      </vt:variant>
      <vt:variant>
        <vt:i4>5</vt:i4>
      </vt:variant>
      <vt:variant>
        <vt:lpwstr>https://www.graham-center.org/content/dam/rgc/documents/maps-data-tools/state-collections/workforce-projections/Massachusetts.pdf</vt:lpwstr>
      </vt:variant>
      <vt:variant>
        <vt:lpwstr/>
      </vt:variant>
      <vt:variant>
        <vt:i4>2621477</vt:i4>
      </vt:variant>
      <vt:variant>
        <vt:i4>78</vt:i4>
      </vt:variant>
      <vt:variant>
        <vt:i4>0</vt:i4>
      </vt:variant>
      <vt:variant>
        <vt:i4>5</vt:i4>
      </vt:variant>
      <vt:variant>
        <vt:lpwstr>https://www.mass.gov/doc/masshealth-extension-approval/download</vt:lpwstr>
      </vt:variant>
      <vt:variant>
        <vt:lpwstr/>
      </vt:variant>
      <vt:variant>
        <vt:i4>131151</vt:i4>
      </vt:variant>
      <vt:variant>
        <vt:i4>75</vt:i4>
      </vt:variant>
      <vt:variant>
        <vt:i4>0</vt:i4>
      </vt:variant>
      <vt:variant>
        <vt:i4>5</vt:i4>
      </vt:variant>
      <vt:variant>
        <vt:lpwstr>https://doi.org/10.1080/19439962.2020.1786871</vt:lpwstr>
      </vt:variant>
      <vt:variant>
        <vt:lpwstr/>
      </vt:variant>
      <vt:variant>
        <vt:i4>1179731</vt:i4>
      </vt:variant>
      <vt:variant>
        <vt:i4>72</vt:i4>
      </vt:variant>
      <vt:variant>
        <vt:i4>0</vt:i4>
      </vt:variant>
      <vt:variant>
        <vt:i4>5</vt:i4>
      </vt:variant>
      <vt:variant>
        <vt:lpwstr>https://doi.org/10.1002/9781118150672</vt:lpwstr>
      </vt:variant>
      <vt:variant>
        <vt:lpwstr/>
      </vt:variant>
      <vt:variant>
        <vt:i4>7340093</vt:i4>
      </vt:variant>
      <vt:variant>
        <vt:i4>69</vt:i4>
      </vt:variant>
      <vt:variant>
        <vt:i4>0</vt:i4>
      </vt:variant>
      <vt:variant>
        <vt:i4>5</vt:i4>
      </vt:variant>
      <vt:variant>
        <vt:lpwstr>https://www.ahrq.gov/cahps/surveys-guidance/echo/index.html</vt:lpwstr>
      </vt:variant>
      <vt:variant>
        <vt:lpwstr/>
      </vt:variant>
      <vt:variant>
        <vt:i4>1441881</vt:i4>
      </vt:variant>
      <vt:variant>
        <vt:i4>66</vt:i4>
      </vt:variant>
      <vt:variant>
        <vt:i4>0</vt:i4>
      </vt:variant>
      <vt:variant>
        <vt:i4>5</vt:i4>
      </vt:variant>
      <vt:variant>
        <vt:lpwstr>https://www.chiamass.gov/ma-apcd/</vt:lpwstr>
      </vt:variant>
      <vt:variant>
        <vt:lpwstr/>
      </vt:variant>
      <vt:variant>
        <vt:i4>6160404</vt:i4>
      </vt:variant>
      <vt:variant>
        <vt:i4>63</vt:i4>
      </vt:variant>
      <vt:variant>
        <vt:i4>0</vt:i4>
      </vt:variant>
      <vt:variant>
        <vt:i4>5</vt:i4>
      </vt:variant>
      <vt:variant>
        <vt:lpwstr>https://doi.org/10.1111/j.1467-9876.2005.00529.x</vt:lpwstr>
      </vt:variant>
      <vt:variant>
        <vt:lpwstr/>
      </vt:variant>
      <vt:variant>
        <vt:i4>1441881</vt:i4>
      </vt:variant>
      <vt:variant>
        <vt:i4>60</vt:i4>
      </vt:variant>
      <vt:variant>
        <vt:i4>0</vt:i4>
      </vt:variant>
      <vt:variant>
        <vt:i4>5</vt:i4>
      </vt:variant>
      <vt:variant>
        <vt:lpwstr>https://www.chiamass.gov/ma-apcd/</vt:lpwstr>
      </vt:variant>
      <vt:variant>
        <vt:lpwstr/>
      </vt:variant>
      <vt:variant>
        <vt:i4>131153</vt:i4>
      </vt:variant>
      <vt:variant>
        <vt:i4>57</vt:i4>
      </vt:variant>
      <vt:variant>
        <vt:i4>0</vt:i4>
      </vt:variant>
      <vt:variant>
        <vt:i4>5</vt:i4>
      </vt:variant>
      <vt:variant>
        <vt:lpwstr>https://www.mass.gov/doc/acute-inpatient-hospital-bulletin-169-in-state-acute-hospital-30-day-readmissions-policy-0/download</vt:lpwstr>
      </vt:variant>
      <vt:variant>
        <vt:lpwstr/>
      </vt:variant>
      <vt:variant>
        <vt:i4>7864363</vt:i4>
      </vt:variant>
      <vt:variant>
        <vt:i4>54</vt:i4>
      </vt:variant>
      <vt:variant>
        <vt:i4>0</vt:i4>
      </vt:variant>
      <vt:variant>
        <vt:i4>5</vt:i4>
      </vt:variant>
      <vt:variant>
        <vt:lpwstr>https://www.hhs.gov/guidance/document/smised-and-sud-evaluation-design-guidance-appendix-b</vt:lpwstr>
      </vt:variant>
      <vt:variant>
        <vt:lpwstr/>
      </vt:variant>
      <vt:variant>
        <vt:i4>3211367</vt:i4>
      </vt:variant>
      <vt:variant>
        <vt:i4>51</vt:i4>
      </vt:variant>
      <vt:variant>
        <vt:i4>0</vt:i4>
      </vt:variant>
      <vt:variant>
        <vt:i4>5</vt:i4>
      </vt:variant>
      <vt:variant>
        <vt:lpwstr>https://www.medicaid.gov/medicaid/section-1115-demo/downloads/evaluation-reports/smi-sed-eval-guide-appendix-a.pdf</vt:lpwstr>
      </vt:variant>
      <vt:variant>
        <vt:lpwstr/>
      </vt:variant>
      <vt:variant>
        <vt:i4>5767169</vt:i4>
      </vt:variant>
      <vt:variant>
        <vt:i4>48</vt:i4>
      </vt:variant>
      <vt:variant>
        <vt:i4>0</vt:i4>
      </vt:variant>
      <vt:variant>
        <vt:i4>5</vt:i4>
      </vt:variant>
      <vt:variant>
        <vt:lpwstr>https://www.medicaid.gov/medicaid/section-1115-demo/downloads/evaluation-reports/smi-sed-sud-1115-eval-guide.pdf</vt:lpwstr>
      </vt:variant>
      <vt:variant>
        <vt:lpwstr>:~:text=The%20purpose%20of%20this%20document%20is%20to%20support,of%20demonstration%20evaluations%2C%20including%20assessments%20of%20cost%20implications</vt:lpwstr>
      </vt:variant>
      <vt:variant>
        <vt:i4>2359320</vt:i4>
      </vt:variant>
      <vt:variant>
        <vt:i4>45</vt:i4>
      </vt:variant>
      <vt:variant>
        <vt:i4>0</vt:i4>
      </vt:variant>
      <vt:variant>
        <vt:i4>5</vt:i4>
      </vt:variant>
      <vt:variant>
        <vt:lpwstr>https://www.ssa.gov/OP_Home/ssact/title19/1903.htm</vt:lpwstr>
      </vt:variant>
      <vt:variant>
        <vt:lpwstr/>
      </vt:variant>
      <vt:variant>
        <vt:i4>1245275</vt:i4>
      </vt:variant>
      <vt:variant>
        <vt:i4>42</vt:i4>
      </vt:variant>
      <vt:variant>
        <vt:i4>0</vt:i4>
      </vt:variant>
      <vt:variant>
        <vt:i4>5</vt:i4>
      </vt:variant>
      <vt:variant>
        <vt:lpwstr>https://www.mass.gov/service-details/roadmap-for-behavioralhealth-reform</vt:lpwstr>
      </vt:variant>
      <vt:variant>
        <vt:lpwstr/>
      </vt:variant>
      <vt:variant>
        <vt:i4>852063</vt:i4>
      </vt:variant>
      <vt:variant>
        <vt:i4>39</vt:i4>
      </vt:variant>
      <vt:variant>
        <vt:i4>0</vt:i4>
      </vt:variant>
      <vt:variant>
        <vt:i4>5</vt:i4>
      </vt:variant>
      <vt:variant>
        <vt:lpwstr>https://econpapers.repec.org/RePEc:now:fnteco:0800000014</vt:lpwstr>
      </vt:variant>
      <vt:variant>
        <vt:lpwstr/>
      </vt:variant>
      <vt:variant>
        <vt:i4>7078012</vt:i4>
      </vt:variant>
      <vt:variant>
        <vt:i4>36</vt:i4>
      </vt:variant>
      <vt:variant>
        <vt:i4>0</vt:i4>
      </vt:variant>
      <vt:variant>
        <vt:i4>5</vt:i4>
      </vt:variant>
      <vt:variant>
        <vt:lpwstr>https://www.mass.gov/doc/masshealth-2022-comprehensive-quality-strategy-2/download</vt:lpwstr>
      </vt:variant>
      <vt:variant>
        <vt:lpwstr/>
      </vt:variant>
      <vt:variant>
        <vt:i4>2031692</vt:i4>
      </vt:variant>
      <vt:variant>
        <vt:i4>33</vt:i4>
      </vt:variant>
      <vt:variant>
        <vt:i4>0</vt:i4>
      </vt:variant>
      <vt:variant>
        <vt:i4>5</vt:i4>
      </vt:variant>
      <vt:variant>
        <vt:lpwstr>https://www.medicaid.gov/medicaid/section-1115-demo/downloads/evaluation-reports/comparison-grp-eval-dsgn.pdf</vt:lpwstr>
      </vt:variant>
      <vt:variant>
        <vt:lpwstr/>
      </vt:variant>
      <vt:variant>
        <vt:i4>3539061</vt:i4>
      </vt:variant>
      <vt:variant>
        <vt:i4>30</vt:i4>
      </vt:variant>
      <vt:variant>
        <vt:i4>0</vt:i4>
      </vt:variant>
      <vt:variant>
        <vt:i4>5</vt:i4>
      </vt:variant>
      <vt:variant>
        <vt:lpwstr>https://www.mass.gov/doc/1115-demonstration-extension-request/download</vt:lpwstr>
      </vt:variant>
      <vt:variant>
        <vt:lpwstr/>
      </vt:variant>
      <vt:variant>
        <vt:i4>3539061</vt:i4>
      </vt:variant>
      <vt:variant>
        <vt:i4>27</vt:i4>
      </vt:variant>
      <vt:variant>
        <vt:i4>0</vt:i4>
      </vt:variant>
      <vt:variant>
        <vt:i4>5</vt:i4>
      </vt:variant>
      <vt:variant>
        <vt:lpwstr>https://www.mass.gov/doc/1115-demonstration-extension-request/download</vt:lpwstr>
      </vt:variant>
      <vt:variant>
        <vt:lpwstr/>
      </vt:variant>
      <vt:variant>
        <vt:i4>3539061</vt:i4>
      </vt:variant>
      <vt:variant>
        <vt:i4>24</vt:i4>
      </vt:variant>
      <vt:variant>
        <vt:i4>0</vt:i4>
      </vt:variant>
      <vt:variant>
        <vt:i4>5</vt:i4>
      </vt:variant>
      <vt:variant>
        <vt:lpwstr>https://www.mass.gov/doc/1115-demonstration-extension-request/download</vt:lpwstr>
      </vt:variant>
      <vt:variant>
        <vt:lpwstr/>
      </vt:variant>
      <vt:variant>
        <vt:i4>3539061</vt:i4>
      </vt:variant>
      <vt:variant>
        <vt:i4>21</vt:i4>
      </vt:variant>
      <vt:variant>
        <vt:i4>0</vt:i4>
      </vt:variant>
      <vt:variant>
        <vt:i4>5</vt:i4>
      </vt:variant>
      <vt:variant>
        <vt:lpwstr>https://www.mass.gov/doc/1115-demonstration-extension-request/download</vt:lpwstr>
      </vt:variant>
      <vt:variant>
        <vt:lpwstr/>
      </vt:variant>
      <vt:variant>
        <vt:i4>2621477</vt:i4>
      </vt:variant>
      <vt:variant>
        <vt:i4>18</vt:i4>
      </vt:variant>
      <vt:variant>
        <vt:i4>0</vt:i4>
      </vt:variant>
      <vt:variant>
        <vt:i4>5</vt:i4>
      </vt:variant>
      <vt:variant>
        <vt:lpwstr>https://www.mass.gov/doc/masshealth-extension-approval/download</vt:lpwstr>
      </vt:variant>
      <vt:variant>
        <vt:lpwstr/>
      </vt:variant>
      <vt:variant>
        <vt:i4>5111878</vt:i4>
      </vt:variant>
      <vt:variant>
        <vt:i4>15</vt:i4>
      </vt:variant>
      <vt:variant>
        <vt:i4>0</vt:i4>
      </vt:variant>
      <vt:variant>
        <vt:i4>5</vt:i4>
      </vt:variant>
      <vt:variant>
        <vt:lpwstr>https://www.mass.gov/doc/1115-masshealth-demonstration-waiver-approval-letter-12-14-17-0/download</vt:lpwstr>
      </vt:variant>
      <vt:variant>
        <vt:lpwstr/>
      </vt:variant>
      <vt:variant>
        <vt:i4>2621477</vt:i4>
      </vt:variant>
      <vt:variant>
        <vt:i4>12</vt:i4>
      </vt:variant>
      <vt:variant>
        <vt:i4>0</vt:i4>
      </vt:variant>
      <vt:variant>
        <vt:i4>5</vt:i4>
      </vt:variant>
      <vt:variant>
        <vt:lpwstr>https://www.mass.gov/doc/masshealth-extension-approval/download</vt:lpwstr>
      </vt:variant>
      <vt:variant>
        <vt:lpwstr/>
      </vt:variant>
      <vt:variant>
        <vt:i4>131140</vt:i4>
      </vt:variant>
      <vt:variant>
        <vt:i4>9</vt:i4>
      </vt:variant>
      <vt:variant>
        <vt:i4>0</vt:i4>
      </vt:variant>
      <vt:variant>
        <vt:i4>5</vt:i4>
      </vt:variant>
      <vt:variant>
        <vt:lpwstr>https://www.mass.gov/doc/centers-for-medicare-medicaid-services-special-terms-conditions-august-2022/download</vt:lpwstr>
      </vt:variant>
      <vt:variant>
        <vt:lpwstr/>
      </vt:variant>
      <vt:variant>
        <vt:i4>393303</vt:i4>
      </vt:variant>
      <vt:variant>
        <vt:i4>6</vt:i4>
      </vt:variant>
      <vt:variant>
        <vt:i4>0</vt:i4>
      </vt:variant>
      <vt:variant>
        <vt:i4>5</vt:i4>
      </vt:variant>
      <vt:variant>
        <vt:lpwstr>https://www.mass.gov/doc/masshealth-eligibility-flexibilities-for-covid-19-0/download</vt:lpwstr>
      </vt:variant>
      <vt:variant>
        <vt:lpwstr/>
      </vt:variant>
      <vt:variant>
        <vt:i4>4128868</vt:i4>
      </vt:variant>
      <vt:variant>
        <vt:i4>3</vt:i4>
      </vt:variant>
      <vt:variant>
        <vt:i4>0</vt:i4>
      </vt:variant>
      <vt:variant>
        <vt:i4>5</vt:i4>
      </vt:variant>
      <vt:variant>
        <vt:lpwstr>https://www.chiamass.gov/massachusetts-health-insurance-survey/</vt:lpwstr>
      </vt:variant>
      <vt:variant>
        <vt:lpwstr/>
      </vt:variant>
      <vt:variant>
        <vt:i4>786437</vt:i4>
      </vt:variant>
      <vt:variant>
        <vt:i4>0</vt:i4>
      </vt:variant>
      <vt:variant>
        <vt:i4>0</vt:i4>
      </vt:variant>
      <vt:variant>
        <vt:i4>5</vt:i4>
      </vt:variant>
      <vt:variant>
        <vt:lpwstr>https://www.mass.gov/doc/cms-approved-interim-evaluation-report/download</vt:lpwstr>
      </vt:variant>
      <vt:variant>
        <vt:lpwstr/>
      </vt:variant>
      <vt:variant>
        <vt:i4>6750328</vt:i4>
      </vt:variant>
      <vt:variant>
        <vt:i4>24</vt:i4>
      </vt:variant>
      <vt:variant>
        <vt:i4>0</vt:i4>
      </vt:variant>
      <vt:variant>
        <vt:i4>5</vt:i4>
      </vt:variant>
      <vt:variant>
        <vt:lpwstr>https://www.mass.gov/doc/guidelines-for-medical-necessity-determination-for-community-support-program/download</vt:lpwstr>
      </vt:variant>
      <vt:variant>
        <vt:lpwstr/>
      </vt:variant>
      <vt:variant>
        <vt:i4>1048679</vt:i4>
      </vt:variant>
      <vt:variant>
        <vt:i4>21</vt:i4>
      </vt:variant>
      <vt:variant>
        <vt:i4>0</vt:i4>
      </vt:variant>
      <vt:variant>
        <vt:i4>5</vt:i4>
      </vt:variant>
      <vt:variant>
        <vt:lpwstr>mailto:Karoline.Gildemeister@umassmed.edu</vt:lpwstr>
      </vt:variant>
      <vt:variant>
        <vt:lpwstr/>
      </vt:variant>
      <vt:variant>
        <vt:i4>2359380</vt:i4>
      </vt:variant>
      <vt:variant>
        <vt:i4>18</vt:i4>
      </vt:variant>
      <vt:variant>
        <vt:i4>0</vt:i4>
      </vt:variant>
      <vt:variant>
        <vt:i4>5</vt:i4>
      </vt:variant>
      <vt:variant>
        <vt:lpwstr>mailto:Matthew.Alcusky@umassmed.edu</vt:lpwstr>
      </vt:variant>
      <vt:variant>
        <vt:lpwstr/>
      </vt:variant>
      <vt:variant>
        <vt:i4>1966201</vt:i4>
      </vt:variant>
      <vt:variant>
        <vt:i4>15</vt:i4>
      </vt:variant>
      <vt:variant>
        <vt:i4>0</vt:i4>
      </vt:variant>
      <vt:variant>
        <vt:i4>5</vt:i4>
      </vt:variant>
      <vt:variant>
        <vt:lpwstr>mailto:Margaret.Tiedemann@umassmed.edu</vt:lpwstr>
      </vt:variant>
      <vt:variant>
        <vt:lpwstr/>
      </vt:variant>
      <vt:variant>
        <vt:i4>1048679</vt:i4>
      </vt:variant>
      <vt:variant>
        <vt:i4>12</vt:i4>
      </vt:variant>
      <vt:variant>
        <vt:i4>0</vt:i4>
      </vt:variant>
      <vt:variant>
        <vt:i4>5</vt:i4>
      </vt:variant>
      <vt:variant>
        <vt:lpwstr>mailto:Karoline.Gildemeister@umassmed.edu</vt:lpwstr>
      </vt:variant>
      <vt:variant>
        <vt:lpwstr/>
      </vt:variant>
      <vt:variant>
        <vt:i4>1048679</vt:i4>
      </vt:variant>
      <vt:variant>
        <vt:i4>9</vt:i4>
      </vt:variant>
      <vt:variant>
        <vt:i4>0</vt:i4>
      </vt:variant>
      <vt:variant>
        <vt:i4>5</vt:i4>
      </vt:variant>
      <vt:variant>
        <vt:lpwstr>mailto:Karoline.Gildemeister@umassmed.edu</vt:lpwstr>
      </vt:variant>
      <vt:variant>
        <vt:lpwstr/>
      </vt:variant>
      <vt:variant>
        <vt:i4>1966201</vt:i4>
      </vt:variant>
      <vt:variant>
        <vt:i4>6</vt:i4>
      </vt:variant>
      <vt:variant>
        <vt:i4>0</vt:i4>
      </vt:variant>
      <vt:variant>
        <vt:i4>5</vt:i4>
      </vt:variant>
      <vt:variant>
        <vt:lpwstr>mailto:Margaret.Tiedemann@umassmed.edu</vt:lpwstr>
      </vt:variant>
      <vt:variant>
        <vt:lpwstr/>
      </vt:variant>
      <vt:variant>
        <vt:i4>1966201</vt:i4>
      </vt:variant>
      <vt:variant>
        <vt:i4>3</vt:i4>
      </vt:variant>
      <vt:variant>
        <vt:i4>0</vt:i4>
      </vt:variant>
      <vt:variant>
        <vt:i4>5</vt:i4>
      </vt:variant>
      <vt:variant>
        <vt:lpwstr>mailto:Margaret.Tiedemann@umassmed.edu</vt:lpwstr>
      </vt:variant>
      <vt:variant>
        <vt:lpwstr/>
      </vt:variant>
      <vt:variant>
        <vt:i4>1966201</vt:i4>
      </vt:variant>
      <vt:variant>
        <vt:i4>0</vt:i4>
      </vt:variant>
      <vt:variant>
        <vt:i4>0</vt:i4>
      </vt:variant>
      <vt:variant>
        <vt:i4>5</vt:i4>
      </vt:variant>
      <vt:variant>
        <vt:lpwstr>mailto:Margaret.Tiedemann@umassmed.edu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2022-2027 MA 1115 Demonstration | Draft Evaluation Design Document (EDD) December 2023</dc:title>
  <dc:subject>Prepared by The UMass Chan Medical School for The Massachusetts Executive Office of Health and Human Services and The Centers for Medicare and Medicaid Services</dc:subject>
  <dc:creator>Gildemeister, Karoline</dc:creator>
  <cp:keywords/>
  <dc:description>_x000d_
</dc:description>
  <cp:lastModifiedBy>Leblanc, Donna M (EHS)</cp:lastModifiedBy>
  <cp:revision>50</cp:revision>
  <cp:lastPrinted>2023-10-28T16:11:00Z</cp:lastPrinted>
  <dcterms:created xsi:type="dcterms:W3CDTF">2024-02-14T20:36:00Z</dcterms:created>
  <dcterms:modified xsi:type="dcterms:W3CDTF">2024-02-15T17:44:00Z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0x010100BAC1A418C5CE50439F5999B9F962105D</vt:lpwstr>
  </property>
  <property fmtid="{D5CDD505-2E9C-101B-9397-08002B2CF9AE}" pid="3" name="GrammarlyDocumentId">
    <vt:lpwstr>38713886-3bdc-43b3-a6ad-f021ece842e4</vt:lpwstr>
  </property>
  <property fmtid="{D5CDD505-2E9C-101B-9397-08002B2CF9AE}" pid="4" name="MediaServiceImageTags">
    <vt:lpwstr/>
  </property>
</Properties>
</file>