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E3B74" w14:textId="0F1C2D93" w:rsidR="58D20B3C" w:rsidRDefault="58D20B3C" w:rsidP="58D20B3C">
      <w:pPr>
        <w:pStyle w:val="NoSpacing"/>
        <w:jc w:val="center"/>
        <w:rPr>
          <w:rFonts w:ascii="Times New Roman" w:hAnsi="Times New Roman" w:cs="Arial"/>
          <w:color w:val="000000" w:themeColor="text1"/>
          <w:sz w:val="24"/>
          <w:szCs w:val="24"/>
          <w:u w:val="single"/>
        </w:rPr>
      </w:pPr>
    </w:p>
    <w:p w14:paraId="21293D46" w14:textId="20B6ECE3" w:rsidR="58D20B3C" w:rsidRDefault="58D20B3C" w:rsidP="58D20B3C">
      <w:pPr>
        <w:pStyle w:val="NoSpacing"/>
        <w:jc w:val="center"/>
        <w:rPr>
          <w:rFonts w:ascii="Times New Roman" w:hAnsi="Times New Roman" w:cs="Arial"/>
          <w:color w:val="000000" w:themeColor="text1"/>
          <w:sz w:val="24"/>
          <w:szCs w:val="24"/>
          <w:u w:val="single"/>
        </w:rPr>
      </w:pPr>
    </w:p>
    <w:p w14:paraId="368B1F98" w14:textId="1E89FB12" w:rsidR="58D20B3C" w:rsidRDefault="58D20B3C" w:rsidP="58D20B3C">
      <w:pPr>
        <w:pStyle w:val="NoSpacing"/>
        <w:jc w:val="center"/>
        <w:rPr>
          <w:rFonts w:ascii="Times New Roman" w:hAnsi="Times New Roman" w:cs="Arial"/>
          <w:color w:val="000000" w:themeColor="text1"/>
          <w:sz w:val="24"/>
          <w:szCs w:val="24"/>
          <w:u w:val="single"/>
        </w:rPr>
      </w:pPr>
    </w:p>
    <w:p w14:paraId="623F974C" w14:textId="5385E4E9" w:rsidR="58D20B3C" w:rsidRDefault="58D20B3C" w:rsidP="58D20B3C">
      <w:pPr>
        <w:pStyle w:val="NoSpacing"/>
        <w:jc w:val="center"/>
        <w:rPr>
          <w:rFonts w:ascii="Times New Roman" w:hAnsi="Times New Roman" w:cs="Arial"/>
          <w:color w:val="000000" w:themeColor="text1"/>
          <w:sz w:val="24"/>
          <w:szCs w:val="24"/>
          <w:u w:val="single"/>
        </w:rPr>
      </w:pPr>
    </w:p>
    <w:p w14:paraId="3091D211" w14:textId="1973E43A" w:rsidR="58D20B3C" w:rsidRDefault="58D20B3C" w:rsidP="58D20B3C">
      <w:pPr>
        <w:pStyle w:val="NoSpacing"/>
        <w:jc w:val="center"/>
        <w:rPr>
          <w:rFonts w:ascii="Times New Roman" w:hAnsi="Times New Roman" w:cs="Arial"/>
          <w:color w:val="000000" w:themeColor="text1"/>
          <w:sz w:val="24"/>
          <w:szCs w:val="24"/>
          <w:u w:val="single"/>
        </w:rPr>
      </w:pPr>
    </w:p>
    <w:p w14:paraId="7F506824" w14:textId="78BC3D1E" w:rsidR="58D20B3C" w:rsidRDefault="58D20B3C" w:rsidP="58D20B3C">
      <w:pPr>
        <w:pStyle w:val="NoSpacing"/>
        <w:jc w:val="center"/>
        <w:rPr>
          <w:rFonts w:ascii="Times New Roman" w:hAnsi="Times New Roman" w:cs="Arial"/>
          <w:color w:val="000000" w:themeColor="text1"/>
          <w:sz w:val="24"/>
          <w:szCs w:val="24"/>
          <w:u w:val="single"/>
        </w:rPr>
      </w:pPr>
    </w:p>
    <w:p w14:paraId="6B40FA28" w14:textId="49F356F0" w:rsidR="58D20B3C" w:rsidRDefault="58D20B3C" w:rsidP="58D20B3C">
      <w:pPr>
        <w:pStyle w:val="NoSpacing"/>
        <w:jc w:val="center"/>
        <w:rPr>
          <w:rFonts w:ascii="Times New Roman" w:hAnsi="Times New Roman" w:cs="Arial"/>
          <w:color w:val="000000" w:themeColor="text1"/>
          <w:sz w:val="24"/>
          <w:szCs w:val="24"/>
          <w:u w:val="single"/>
        </w:rPr>
      </w:pPr>
    </w:p>
    <w:p w14:paraId="38AB7380" w14:textId="0FBA9464" w:rsidR="58D20B3C" w:rsidRDefault="58D20B3C" w:rsidP="58D20B3C">
      <w:pPr>
        <w:pStyle w:val="NoSpacing"/>
        <w:jc w:val="center"/>
        <w:rPr>
          <w:rFonts w:ascii="Times New Roman" w:hAnsi="Times New Roman" w:cs="Arial"/>
          <w:color w:val="000000" w:themeColor="text1"/>
          <w:sz w:val="24"/>
          <w:szCs w:val="24"/>
          <w:u w:val="single"/>
        </w:rPr>
      </w:pPr>
    </w:p>
    <w:p w14:paraId="2BFD27B6" w14:textId="7CAE6E3E" w:rsidR="58D20B3C" w:rsidRDefault="58D20B3C" w:rsidP="58D20B3C">
      <w:pPr>
        <w:pStyle w:val="NoSpacing"/>
        <w:jc w:val="center"/>
        <w:rPr>
          <w:rFonts w:ascii="Times New Roman" w:hAnsi="Times New Roman" w:cs="Arial"/>
          <w:color w:val="000000" w:themeColor="text1"/>
          <w:sz w:val="24"/>
          <w:szCs w:val="24"/>
          <w:u w:val="single"/>
        </w:rPr>
      </w:pPr>
    </w:p>
    <w:p w14:paraId="5DA5BDB4" w14:textId="519D4761" w:rsidR="58D20B3C" w:rsidRDefault="58D20B3C" w:rsidP="58D20B3C">
      <w:pPr>
        <w:pStyle w:val="NoSpacing"/>
        <w:jc w:val="center"/>
        <w:rPr>
          <w:rFonts w:ascii="Times New Roman" w:hAnsi="Times New Roman" w:cs="Arial"/>
          <w:color w:val="000000" w:themeColor="text1"/>
          <w:sz w:val="24"/>
          <w:szCs w:val="24"/>
          <w:u w:val="single"/>
        </w:rPr>
      </w:pPr>
    </w:p>
    <w:p w14:paraId="32F98BC4" w14:textId="2D464366" w:rsidR="00464D5A" w:rsidRPr="007F275C" w:rsidRDefault="00464D5A" w:rsidP="6DA3E5A1">
      <w:pPr>
        <w:pStyle w:val="NoSpacing"/>
        <w:jc w:val="center"/>
        <w:rPr>
          <w:rFonts w:ascii="Times New Roman" w:hAnsi="Times New Roman" w:cs="Arial"/>
          <w:color w:val="000000" w:themeColor="text1"/>
          <w:sz w:val="24"/>
          <w:szCs w:val="24"/>
          <w:highlight w:val="yellow"/>
          <w:u w:val="single"/>
        </w:rPr>
      </w:pPr>
      <w:r w:rsidRPr="6DA3E5A1">
        <w:rPr>
          <w:rFonts w:ascii="Times New Roman" w:hAnsi="Times New Roman" w:cs="Arial"/>
          <w:color w:val="000000" w:themeColor="text1"/>
          <w:sz w:val="24"/>
          <w:szCs w:val="24"/>
          <w:u w:val="single"/>
        </w:rPr>
        <w:t>ATTACHMENT T</w:t>
      </w:r>
    </w:p>
    <w:p w14:paraId="2A73BB44" w14:textId="77777777" w:rsidR="00464D5A" w:rsidRPr="007F275C" w:rsidRDefault="00464D5A" w:rsidP="00A611DD">
      <w:pPr>
        <w:pStyle w:val="NoSpacing"/>
        <w:ind w:left="3600" w:firstLine="720"/>
        <w:rPr>
          <w:rFonts w:ascii="Times New Roman" w:hAnsi="Times New Roman"/>
          <w:color w:val="000000" w:themeColor="text1"/>
          <w:sz w:val="24"/>
          <w:szCs w:val="24"/>
        </w:rPr>
      </w:pPr>
    </w:p>
    <w:p w14:paraId="34E3EA1C" w14:textId="0CD07693" w:rsidR="00464D5A" w:rsidRPr="007F275C" w:rsidRDefault="00207E49" w:rsidP="6DA3E5A1">
      <w:pPr>
        <w:pStyle w:val="NoSpacing"/>
        <w:ind w:left="5040"/>
        <w:rPr>
          <w:rFonts w:ascii="Times New Roman" w:hAnsi="Times New Roman"/>
          <w:color w:val="000000" w:themeColor="text1"/>
          <w:sz w:val="24"/>
          <w:szCs w:val="24"/>
        </w:rPr>
      </w:pPr>
      <w:r w:rsidRPr="6DA3E5A1">
        <w:rPr>
          <w:rFonts w:ascii="Times New Roman" w:hAnsi="Times New Roman"/>
          <w:color w:val="000000" w:themeColor="text1"/>
          <w:sz w:val="24"/>
          <w:szCs w:val="24"/>
        </w:rPr>
        <w:t xml:space="preserve">July </w:t>
      </w:r>
      <w:r w:rsidR="00DA1293" w:rsidRPr="6DA3E5A1">
        <w:rPr>
          <w:rFonts w:ascii="Times New Roman" w:hAnsi="Times New Roman"/>
          <w:color w:val="000000" w:themeColor="text1"/>
          <w:sz w:val="24"/>
          <w:szCs w:val="24"/>
        </w:rPr>
        <w:t>28</w:t>
      </w:r>
      <w:r w:rsidR="00464D5A" w:rsidRPr="6DA3E5A1">
        <w:rPr>
          <w:rFonts w:ascii="Times New Roman" w:hAnsi="Times New Roman"/>
          <w:color w:val="000000" w:themeColor="text1"/>
          <w:sz w:val="24"/>
          <w:szCs w:val="24"/>
        </w:rPr>
        <w:t>, 202</w:t>
      </w:r>
      <w:r w:rsidR="008E2F4B" w:rsidRPr="6DA3E5A1">
        <w:rPr>
          <w:rFonts w:ascii="Times New Roman" w:hAnsi="Times New Roman"/>
          <w:color w:val="000000" w:themeColor="text1"/>
          <w:sz w:val="24"/>
          <w:szCs w:val="24"/>
        </w:rPr>
        <w:t>2</w:t>
      </w:r>
    </w:p>
    <w:p w14:paraId="2698F5D0" w14:textId="77777777" w:rsidR="00464D5A" w:rsidRPr="007F275C" w:rsidRDefault="00464D5A" w:rsidP="00A611DD">
      <w:pPr>
        <w:pStyle w:val="NoSpacing"/>
        <w:rPr>
          <w:rFonts w:ascii="Times New Roman" w:hAnsi="Times New Roman"/>
          <w:color w:val="000000" w:themeColor="text1"/>
          <w:sz w:val="24"/>
          <w:szCs w:val="24"/>
        </w:rPr>
      </w:pPr>
    </w:p>
    <w:p w14:paraId="551AE488" w14:textId="77777777" w:rsidR="00464D5A" w:rsidRPr="007F275C" w:rsidRDefault="00464D5A" w:rsidP="00A611DD">
      <w:pPr>
        <w:pStyle w:val="NoSpacing"/>
        <w:jc w:val="both"/>
        <w:rPr>
          <w:rFonts w:ascii="Times New Roman" w:hAnsi="Times New Roman"/>
          <w:color w:val="000000" w:themeColor="text1"/>
          <w:sz w:val="24"/>
          <w:szCs w:val="24"/>
        </w:rPr>
      </w:pPr>
      <w:r w:rsidRPr="06C3AEB8">
        <w:rPr>
          <w:rFonts w:ascii="Times New Roman" w:hAnsi="Times New Roman"/>
          <w:color w:val="000000" w:themeColor="text1"/>
          <w:sz w:val="24"/>
          <w:szCs w:val="24"/>
        </w:rPr>
        <w:t xml:space="preserve">To the Honorable Senate and House of Representatives, </w:t>
      </w:r>
    </w:p>
    <w:p w14:paraId="03BE298D" w14:textId="77777777" w:rsidR="00464D5A" w:rsidRPr="007F275C" w:rsidRDefault="00464D5A" w:rsidP="00A611DD">
      <w:pPr>
        <w:pStyle w:val="NoSpacing"/>
        <w:jc w:val="both"/>
        <w:rPr>
          <w:rFonts w:ascii="Times New Roman" w:hAnsi="Times New Roman"/>
          <w:color w:val="000000" w:themeColor="text1"/>
          <w:sz w:val="24"/>
          <w:szCs w:val="24"/>
        </w:rPr>
      </w:pPr>
    </w:p>
    <w:p w14:paraId="13167232" w14:textId="5B9F20F1" w:rsidR="00652D07" w:rsidRDefault="0005331E" w:rsidP="00A611DD">
      <w:pPr>
        <w:pStyle w:val="paragraph"/>
        <w:spacing w:before="0" w:beforeAutospacing="0" w:after="0" w:afterAutospacing="0"/>
        <w:ind w:firstLine="720"/>
        <w:jc w:val="both"/>
        <w:textAlignment w:val="baseline"/>
        <w:rPr>
          <w:rStyle w:val="normaltextrun"/>
          <w:color w:val="000000" w:themeColor="text1"/>
          <w:shd w:val="clear" w:color="auto" w:fill="FFFFFF"/>
        </w:rPr>
      </w:pPr>
      <w:r w:rsidRPr="007F275C">
        <w:rPr>
          <w:rStyle w:val="normaltextrun"/>
          <w:color w:val="000000" w:themeColor="text1"/>
          <w:shd w:val="clear" w:color="auto" w:fill="FFFFFF"/>
        </w:rPr>
        <w:t>Pursuant to Article LVI, as amended by Article XC, Section 3 of the Amendments to the Constitution of the Commonwealth of Massachusetts, I am returning to you for amendment Section</w:t>
      </w:r>
      <w:r w:rsidR="00F33B06">
        <w:rPr>
          <w:rStyle w:val="normaltextrun"/>
          <w:color w:val="000000" w:themeColor="text1"/>
          <w:shd w:val="clear" w:color="auto" w:fill="FFFFFF"/>
        </w:rPr>
        <w:t xml:space="preserve"> </w:t>
      </w:r>
      <w:r w:rsidR="003F05E9">
        <w:rPr>
          <w:rStyle w:val="normaltextrun"/>
          <w:color w:val="000000" w:themeColor="text1"/>
          <w:shd w:val="clear" w:color="auto" w:fill="FFFFFF"/>
        </w:rPr>
        <w:t>1</w:t>
      </w:r>
      <w:r w:rsidR="00F33B06">
        <w:rPr>
          <w:rStyle w:val="normaltextrun"/>
          <w:color w:val="000000" w:themeColor="text1"/>
          <w:shd w:val="clear" w:color="auto" w:fill="FFFFFF"/>
        </w:rPr>
        <w:t>37</w:t>
      </w:r>
      <w:r w:rsidR="0074178B">
        <w:rPr>
          <w:rStyle w:val="normaltextrun"/>
          <w:color w:val="000000" w:themeColor="text1"/>
          <w:shd w:val="clear" w:color="auto" w:fill="FFFFFF"/>
        </w:rPr>
        <w:t xml:space="preserve"> </w:t>
      </w:r>
      <w:r w:rsidRPr="007F275C">
        <w:rPr>
          <w:rStyle w:val="normaltextrun"/>
          <w:color w:val="000000" w:themeColor="text1"/>
          <w:shd w:val="clear" w:color="auto" w:fill="FFFFFF"/>
        </w:rPr>
        <w:t xml:space="preserve">of House Bill No. </w:t>
      </w:r>
      <w:r w:rsidR="00652D07">
        <w:rPr>
          <w:rStyle w:val="normaltextrun"/>
          <w:color w:val="000000" w:themeColor="text1"/>
          <w:shd w:val="clear" w:color="auto" w:fill="FFFFFF"/>
        </w:rPr>
        <w:t>5050</w:t>
      </w:r>
      <w:r w:rsidRPr="007F275C">
        <w:rPr>
          <w:rStyle w:val="normaltextrun"/>
          <w:color w:val="000000" w:themeColor="text1"/>
          <w:shd w:val="clear" w:color="auto" w:fill="FFFFFF"/>
        </w:rPr>
        <w:t>, “An Act Making Appropriations for the Fiscal Year 20</w:t>
      </w:r>
      <w:r w:rsidR="001566AD">
        <w:rPr>
          <w:rStyle w:val="normaltextrun"/>
          <w:color w:val="000000" w:themeColor="text1"/>
          <w:shd w:val="clear" w:color="auto" w:fill="FFFFFF"/>
        </w:rPr>
        <w:t>23</w:t>
      </w:r>
      <w:r w:rsidRPr="007F275C">
        <w:rPr>
          <w:rStyle w:val="normaltextrun"/>
          <w:color w:val="000000" w:themeColor="text1"/>
          <w:shd w:val="clear" w:color="auto" w:fill="FFFFFF"/>
        </w:rPr>
        <w:t xml:space="preserve"> for the Maintenance of the Departments, Boards, Commissions, Institutions and Certain Activities of the Commonwealth, for Interest, Sinking Fund and Serial Bond Requirements and for Certain Permanent Improvements.”</w:t>
      </w:r>
    </w:p>
    <w:p w14:paraId="7B92BBB3" w14:textId="77777777" w:rsidR="00A611DD" w:rsidRDefault="00A611DD" w:rsidP="00A611DD">
      <w:pPr>
        <w:pStyle w:val="paragraph"/>
        <w:spacing w:before="0" w:beforeAutospacing="0" w:after="0" w:afterAutospacing="0"/>
        <w:ind w:firstLine="720"/>
        <w:jc w:val="both"/>
        <w:textAlignment w:val="baseline"/>
        <w:rPr>
          <w:rStyle w:val="normaltextrun"/>
          <w:rFonts w:ascii="Arial" w:hAnsi="Arial"/>
          <w:color w:val="000000" w:themeColor="text1"/>
          <w:sz w:val="22"/>
          <w:szCs w:val="22"/>
          <w:shd w:val="clear" w:color="auto" w:fill="FFFFFF"/>
        </w:rPr>
      </w:pPr>
    </w:p>
    <w:p w14:paraId="2AA389A6" w14:textId="37BBF708" w:rsidR="00F34AFD" w:rsidRDefault="00F34AFD" w:rsidP="00A611DD">
      <w:pPr>
        <w:pStyle w:val="paragraph"/>
        <w:shd w:val="clear" w:color="auto" w:fill="FFFFFF" w:themeFill="background1"/>
        <w:spacing w:before="0" w:beforeAutospacing="0" w:after="0" w:afterAutospacing="0"/>
        <w:ind w:firstLine="570"/>
        <w:textAlignment w:val="baseline"/>
        <w:rPr>
          <w:color w:val="000000" w:themeColor="text1"/>
        </w:rPr>
      </w:pPr>
      <w:r w:rsidRPr="06C3AEB8">
        <w:rPr>
          <w:color w:val="000000" w:themeColor="text1"/>
        </w:rPr>
        <w:t xml:space="preserve">Many communities in the Commonwealth face environmental challenges stemming from nutrient contamination in their waterbodies.  Coastal estuaries in the southeast portion of the state </w:t>
      </w:r>
      <w:proofErr w:type="gramStart"/>
      <w:r w:rsidRPr="06C3AEB8">
        <w:rPr>
          <w:color w:val="000000" w:themeColor="text1"/>
        </w:rPr>
        <w:t>in particular have</w:t>
      </w:r>
      <w:proofErr w:type="gramEnd"/>
      <w:r w:rsidRPr="06C3AEB8">
        <w:rPr>
          <w:color w:val="000000" w:themeColor="text1"/>
        </w:rPr>
        <w:t xml:space="preserve"> been impacted by excessive nitrogen pollution from septic systems, wastewater treatment plants, lawns, and stormwater, which leach into the groundwater and into surface water bodies.  Eutrophication of these estuaries accelerates the growth of nuisance plants, forces out fish and indigenous plant species, and results in water bodies that violate state water quality standards.  Upgrading septic systems, the largest source of nitrogen discharges to surface water bodies, would help address these issues.</w:t>
      </w:r>
    </w:p>
    <w:p w14:paraId="71CE4363" w14:textId="77777777" w:rsidR="00A611DD" w:rsidRPr="00F34AFD" w:rsidRDefault="00A611DD" w:rsidP="00A611DD">
      <w:pPr>
        <w:pStyle w:val="paragraph"/>
        <w:shd w:val="clear" w:color="auto" w:fill="FFFFFF" w:themeFill="background1"/>
        <w:spacing w:before="0" w:beforeAutospacing="0" w:after="0" w:afterAutospacing="0"/>
        <w:ind w:firstLine="570"/>
        <w:textAlignment w:val="baseline"/>
        <w:rPr>
          <w:color w:val="000000" w:themeColor="text1"/>
        </w:rPr>
      </w:pPr>
    </w:p>
    <w:p w14:paraId="5EE48091" w14:textId="5FF84821" w:rsidR="00F34AFD" w:rsidRDefault="00F34AFD" w:rsidP="00A611DD">
      <w:pPr>
        <w:pStyle w:val="paragraph"/>
        <w:shd w:val="clear" w:color="auto" w:fill="FFFFFF" w:themeFill="background1"/>
        <w:spacing w:before="0" w:beforeAutospacing="0" w:after="0" w:afterAutospacing="0"/>
        <w:ind w:firstLine="570"/>
        <w:textAlignment w:val="baseline"/>
        <w:rPr>
          <w:color w:val="000000" w:themeColor="text1"/>
        </w:rPr>
      </w:pPr>
      <w:r w:rsidRPr="12A1FE95">
        <w:rPr>
          <w:color w:val="000000" w:themeColor="text1"/>
        </w:rPr>
        <w:t xml:space="preserve">Section 137 seeks to provide a mechanism for upgrades, recognizing that existing loan programs support homeowner upgrades of septic systems only if the system has failed.  Upgrades and repairs to address nitrogen pollution stemming from a system that has not otherwise failed are not currently eligible for loans.  While I agree with the goals of Section 137, </w:t>
      </w:r>
      <w:r w:rsidR="003F05E9" w:rsidRPr="12A1FE95">
        <w:rPr>
          <w:color w:val="000000" w:themeColor="text1"/>
        </w:rPr>
        <w:t>the relevant executive branch agencies have identified where the language can be improved</w:t>
      </w:r>
      <w:r w:rsidRPr="12A1FE95">
        <w:rPr>
          <w:color w:val="000000" w:themeColor="text1"/>
        </w:rPr>
        <w:t xml:space="preserve"> to clarify its intent and more effectively implement these goals.</w:t>
      </w:r>
    </w:p>
    <w:p w14:paraId="707A8CE2" w14:textId="77777777" w:rsidR="00A611DD" w:rsidRPr="00F34AFD" w:rsidRDefault="00A611DD" w:rsidP="00A611DD">
      <w:pPr>
        <w:pStyle w:val="paragraph"/>
        <w:shd w:val="clear" w:color="auto" w:fill="FFFFFF" w:themeFill="background1"/>
        <w:spacing w:before="0" w:beforeAutospacing="0" w:after="0" w:afterAutospacing="0"/>
        <w:ind w:firstLine="570"/>
        <w:textAlignment w:val="baseline"/>
        <w:rPr>
          <w:color w:val="000000" w:themeColor="text1"/>
        </w:rPr>
      </w:pPr>
    </w:p>
    <w:p w14:paraId="7F251DA7" w14:textId="7006BCAB" w:rsidR="00F34AFD" w:rsidRDefault="00F34AFD" w:rsidP="00A611DD">
      <w:pPr>
        <w:pStyle w:val="paragraph"/>
        <w:shd w:val="clear" w:color="auto" w:fill="FFFFFF" w:themeFill="background1"/>
        <w:spacing w:before="0" w:beforeAutospacing="0" w:after="0" w:afterAutospacing="0"/>
        <w:ind w:firstLine="570"/>
        <w:textAlignment w:val="baseline"/>
        <w:rPr>
          <w:color w:val="000000" w:themeColor="text1"/>
        </w:rPr>
      </w:pPr>
      <w:r w:rsidRPr="06C3AEB8">
        <w:rPr>
          <w:color w:val="000000" w:themeColor="text1"/>
        </w:rPr>
        <w:t>Accordingly, I hereby recommend that the bill be amended by striking out S</w:t>
      </w:r>
      <w:r w:rsidR="003F05E9" w:rsidRPr="06C3AEB8">
        <w:rPr>
          <w:color w:val="000000" w:themeColor="text1"/>
        </w:rPr>
        <w:t>ection</w:t>
      </w:r>
      <w:r w:rsidRPr="06C3AEB8">
        <w:rPr>
          <w:color w:val="000000" w:themeColor="text1"/>
        </w:rPr>
        <w:t xml:space="preserve"> 137 and inserting in place thereof the following </w:t>
      </w:r>
      <w:proofErr w:type="gramStart"/>
      <w:r w:rsidRPr="06C3AEB8">
        <w:rPr>
          <w:color w:val="000000" w:themeColor="text1"/>
        </w:rPr>
        <w:t>section:-</w:t>
      </w:r>
      <w:proofErr w:type="gramEnd"/>
    </w:p>
    <w:p w14:paraId="1583BDD6" w14:textId="77777777" w:rsidR="00A611DD" w:rsidRPr="00F34AFD" w:rsidRDefault="00A611DD" w:rsidP="00A611DD">
      <w:pPr>
        <w:pStyle w:val="paragraph"/>
        <w:shd w:val="clear" w:color="auto" w:fill="FFFFFF" w:themeFill="background1"/>
        <w:spacing w:before="0" w:beforeAutospacing="0" w:after="0" w:afterAutospacing="0"/>
        <w:ind w:firstLine="570"/>
        <w:textAlignment w:val="baseline"/>
        <w:rPr>
          <w:color w:val="000000" w:themeColor="text1"/>
        </w:rPr>
      </w:pPr>
    </w:p>
    <w:p w14:paraId="4DEF8DD9" w14:textId="77777777" w:rsidR="00F34AFD" w:rsidRDefault="00F34AFD" w:rsidP="00A611DD">
      <w:pPr>
        <w:pStyle w:val="paragraph"/>
        <w:shd w:val="clear" w:color="auto" w:fill="FFFFFF" w:themeFill="background1"/>
        <w:spacing w:before="0" w:beforeAutospacing="0" w:after="0" w:afterAutospacing="0"/>
        <w:ind w:firstLine="570"/>
        <w:textAlignment w:val="baseline"/>
        <w:rPr>
          <w:color w:val="000000" w:themeColor="text1"/>
        </w:rPr>
      </w:pPr>
      <w:r w:rsidRPr="06C3AEB8">
        <w:rPr>
          <w:color w:val="000000" w:themeColor="text1"/>
        </w:rPr>
        <w:t xml:space="preserve">SECTION 137. (a) For the purposes of this section a domestic septic system means any properly functioning septic system that is approved for the intended domestic use pursuant to title 5 of the state environmental code established in 310 CMR 15.000; provided further that an “enhanced nitrogen removal technology” means an enhanced nitrogen removal alternative </w:t>
      </w:r>
      <w:r w:rsidRPr="06C3AEB8">
        <w:rPr>
          <w:color w:val="000000" w:themeColor="text1"/>
        </w:rPr>
        <w:lastRenderedPageBreak/>
        <w:t xml:space="preserve">technology approved by the department of environmental protection in accordance with title 5 of the state environmental code established in 310 CMR 15.000. </w:t>
      </w:r>
    </w:p>
    <w:p w14:paraId="77FF4092" w14:textId="77777777" w:rsidR="00A611DD" w:rsidRPr="00F34AFD" w:rsidRDefault="00A611DD" w:rsidP="00A611DD">
      <w:pPr>
        <w:pStyle w:val="paragraph"/>
        <w:shd w:val="clear" w:color="auto" w:fill="FFFFFF" w:themeFill="background1"/>
        <w:spacing w:before="0" w:beforeAutospacing="0" w:after="0" w:afterAutospacing="0"/>
        <w:ind w:firstLine="570"/>
        <w:textAlignment w:val="baseline"/>
        <w:rPr>
          <w:color w:val="000000" w:themeColor="text1"/>
        </w:rPr>
      </w:pPr>
    </w:p>
    <w:p w14:paraId="7A21932C" w14:textId="77777777" w:rsidR="00F34AFD" w:rsidRDefault="00F34AFD" w:rsidP="00A611DD">
      <w:pPr>
        <w:pStyle w:val="paragraph"/>
        <w:shd w:val="clear" w:color="auto" w:fill="FFFFFF" w:themeFill="background1"/>
        <w:spacing w:before="0" w:beforeAutospacing="0" w:after="0" w:afterAutospacing="0"/>
        <w:ind w:firstLine="570"/>
        <w:textAlignment w:val="baseline"/>
        <w:rPr>
          <w:color w:val="000000" w:themeColor="text1"/>
        </w:rPr>
      </w:pPr>
      <w:r w:rsidRPr="06C3AEB8">
        <w:rPr>
          <w:color w:val="000000" w:themeColor="text1"/>
        </w:rPr>
        <w:t xml:space="preserve">(b) Notwithstanding chapter 29C of the General Laws or any other general or special law to the contrary, to reduce environmental impacts of nitrogen pollution in vulnerable communities, a local or regional board of health may enter into agreements with residential owners to provide for the repair, </w:t>
      </w:r>
      <w:proofErr w:type="gramStart"/>
      <w:r w:rsidRPr="06C3AEB8">
        <w:rPr>
          <w:color w:val="000000" w:themeColor="text1"/>
        </w:rPr>
        <w:t>replacement</w:t>
      </w:r>
      <w:proofErr w:type="gramEnd"/>
      <w:r w:rsidRPr="06C3AEB8">
        <w:rPr>
          <w:color w:val="000000" w:themeColor="text1"/>
        </w:rPr>
        <w:t xml:space="preserve"> or upgrade of certain septic systems pursuant to subsections (c) and (d). </w:t>
      </w:r>
    </w:p>
    <w:p w14:paraId="17AB6317" w14:textId="77777777" w:rsidR="00DA1293" w:rsidRPr="00F34AFD" w:rsidRDefault="00DA1293" w:rsidP="00A611DD">
      <w:pPr>
        <w:pStyle w:val="paragraph"/>
        <w:shd w:val="clear" w:color="auto" w:fill="FFFFFF" w:themeFill="background1"/>
        <w:spacing w:before="0" w:beforeAutospacing="0" w:after="0" w:afterAutospacing="0"/>
        <w:ind w:firstLine="570"/>
        <w:textAlignment w:val="baseline"/>
        <w:rPr>
          <w:color w:val="000000" w:themeColor="text1"/>
        </w:rPr>
      </w:pPr>
    </w:p>
    <w:p w14:paraId="7517FAEA" w14:textId="0F4B6129" w:rsidR="00F34AFD" w:rsidRDefault="00F34AFD" w:rsidP="6CEFB3EF">
      <w:pPr>
        <w:pStyle w:val="paragraph"/>
        <w:shd w:val="clear" w:color="auto" w:fill="FFFFFF" w:themeFill="background1"/>
        <w:spacing w:before="0" w:beforeAutospacing="0" w:after="0" w:afterAutospacing="0"/>
        <w:ind w:firstLine="570"/>
        <w:textAlignment w:val="baseline"/>
        <w:rPr>
          <w:color w:val="000000" w:themeColor="text1"/>
        </w:rPr>
      </w:pPr>
      <w:r w:rsidRPr="6CEFB3EF">
        <w:rPr>
          <w:color w:val="000000" w:themeColor="text1"/>
        </w:rPr>
        <w:t xml:space="preserve">(c)(1) </w:t>
      </w:r>
      <w:r w:rsidR="6CEFB3EF" w:rsidRPr="6CEFB3EF">
        <w:rPr>
          <w:color w:val="000000" w:themeColor="text1"/>
        </w:rPr>
        <w:t xml:space="preserve">When an existing domestic septic system does not incorporate enhanced nitrogen removal technology, or utilizes a nitrogen removal technology that does not achieve the nitrogen level established by a rule or regulation of the local or regional board of health or the city or town, a local or </w:t>
      </w:r>
      <w:r w:rsidRPr="6CEFB3EF">
        <w:rPr>
          <w:color w:val="000000" w:themeColor="text1"/>
        </w:rPr>
        <w:t xml:space="preserve">regional board of health may enter into an agreement with the residential owner pursuant to section 127B½ of chapter 111 of the General Laws to finance by loan the repair, replacement or upgrade of the system to incorporate enhanced nitrogen removal technology. </w:t>
      </w:r>
    </w:p>
    <w:p w14:paraId="4B07A13E" w14:textId="77777777" w:rsidR="00A611DD" w:rsidRPr="00F34AFD" w:rsidRDefault="00A611DD" w:rsidP="00A611DD">
      <w:pPr>
        <w:pStyle w:val="paragraph"/>
        <w:shd w:val="clear" w:color="auto" w:fill="FFFFFF" w:themeFill="background1"/>
        <w:spacing w:before="0" w:beforeAutospacing="0" w:after="0" w:afterAutospacing="0"/>
        <w:ind w:firstLine="570"/>
        <w:textAlignment w:val="baseline"/>
        <w:rPr>
          <w:color w:val="000000" w:themeColor="text1"/>
        </w:rPr>
      </w:pPr>
    </w:p>
    <w:p w14:paraId="3401CDA2" w14:textId="77777777" w:rsidR="00F34AFD" w:rsidRDefault="00F34AFD" w:rsidP="00A611DD">
      <w:pPr>
        <w:pStyle w:val="paragraph"/>
        <w:shd w:val="clear" w:color="auto" w:fill="FFFFFF" w:themeFill="background1"/>
        <w:spacing w:before="0" w:beforeAutospacing="0" w:after="0" w:afterAutospacing="0"/>
        <w:ind w:firstLine="570"/>
        <w:textAlignment w:val="baseline"/>
        <w:rPr>
          <w:color w:val="000000" w:themeColor="text1"/>
        </w:rPr>
      </w:pPr>
      <w:r w:rsidRPr="06C3AEB8">
        <w:rPr>
          <w:color w:val="000000" w:themeColor="text1"/>
        </w:rPr>
        <w:t>(2) To qualify for such loan assistance, a domestic septic system shall be located within: (</w:t>
      </w:r>
      <w:proofErr w:type="spellStart"/>
      <w:r w:rsidRPr="06C3AEB8">
        <w:rPr>
          <w:color w:val="000000" w:themeColor="text1"/>
        </w:rPr>
        <w:t>i</w:t>
      </w:r>
      <w:proofErr w:type="spellEnd"/>
      <w:r w:rsidRPr="06C3AEB8">
        <w:rPr>
          <w:color w:val="000000" w:themeColor="text1"/>
        </w:rPr>
        <w:t xml:space="preserve">) a watershed area of a nitrogen impaired water body as identified in the latest United States Environmental Protection Agency approved final listing of the latest state Integrated List of Waters for the commonwealth; (ii) a nitrogen sensitive area as defined in 310 CMR 15.000; or (iii) a watershed area of a water body subject to the latest state established total maximum daily load for total nitrogen pollution that is approved by the United States Environmental Protection Agency. </w:t>
      </w:r>
    </w:p>
    <w:p w14:paraId="5F916F55" w14:textId="77777777" w:rsidR="00A611DD" w:rsidRPr="00F34AFD" w:rsidRDefault="00A611DD" w:rsidP="00A611DD">
      <w:pPr>
        <w:pStyle w:val="paragraph"/>
        <w:shd w:val="clear" w:color="auto" w:fill="FFFFFF" w:themeFill="background1"/>
        <w:spacing w:before="0" w:beforeAutospacing="0" w:after="0" w:afterAutospacing="0"/>
        <w:ind w:firstLine="570"/>
        <w:textAlignment w:val="baseline"/>
        <w:rPr>
          <w:color w:val="000000" w:themeColor="text1"/>
        </w:rPr>
      </w:pPr>
    </w:p>
    <w:p w14:paraId="443A859C" w14:textId="77777777" w:rsidR="00F34AFD" w:rsidRDefault="00F34AFD" w:rsidP="00A611DD">
      <w:pPr>
        <w:pStyle w:val="paragraph"/>
        <w:shd w:val="clear" w:color="auto" w:fill="FFFFFF" w:themeFill="background1"/>
        <w:spacing w:before="0" w:beforeAutospacing="0" w:after="0" w:afterAutospacing="0"/>
        <w:ind w:firstLine="570"/>
        <w:textAlignment w:val="baseline"/>
        <w:rPr>
          <w:color w:val="000000" w:themeColor="text1"/>
        </w:rPr>
      </w:pPr>
      <w:r w:rsidRPr="06C3AEB8">
        <w:rPr>
          <w:color w:val="000000" w:themeColor="text1"/>
        </w:rPr>
        <w:t>(3) The repair, replacement or upgrade, including installation, of a shared domestic septic system that treats for nitrogen located in an area described in paragraph (2) may qualify for such loan assistance; provided, that the: (</w:t>
      </w:r>
      <w:proofErr w:type="spellStart"/>
      <w:r w:rsidRPr="06C3AEB8">
        <w:rPr>
          <w:color w:val="000000" w:themeColor="text1"/>
        </w:rPr>
        <w:t>i</w:t>
      </w:r>
      <w:proofErr w:type="spellEnd"/>
      <w:r w:rsidRPr="06C3AEB8">
        <w:rPr>
          <w:color w:val="000000" w:themeColor="text1"/>
        </w:rPr>
        <w:t xml:space="preserve">) shared system replaces or services at least 2 existing domestic septic systems that otherwise do not incorporate enhanced nitrogen removal technology; and (ii) the combined shared septic system, including its components, has a discharge volume of less than 10,000 gallons per day and incorporates enhanced nitrogen removal technology. For loan assistance pursuant to paragraph (1), each affected residential owner benefiting directly from the shared system shall enter into an agreement with the local or regional board of health in the city or town where such system is located for the repayment of the owner’s proportionate share of the costs and expenses incurred by the local or regional board of health for the repair, </w:t>
      </w:r>
      <w:proofErr w:type="gramStart"/>
      <w:r w:rsidRPr="06C3AEB8">
        <w:rPr>
          <w:color w:val="000000" w:themeColor="text1"/>
        </w:rPr>
        <w:t>replacement</w:t>
      </w:r>
      <w:proofErr w:type="gramEnd"/>
      <w:r w:rsidRPr="06C3AEB8">
        <w:rPr>
          <w:color w:val="000000" w:themeColor="text1"/>
        </w:rPr>
        <w:t xml:space="preserve"> or upgrade of any part of the shared system. </w:t>
      </w:r>
    </w:p>
    <w:p w14:paraId="25EBBB52" w14:textId="77777777" w:rsidR="00A611DD" w:rsidRPr="00F34AFD" w:rsidRDefault="00A611DD" w:rsidP="00A611DD">
      <w:pPr>
        <w:pStyle w:val="paragraph"/>
        <w:shd w:val="clear" w:color="auto" w:fill="FFFFFF" w:themeFill="background1"/>
        <w:spacing w:before="0" w:beforeAutospacing="0" w:after="0" w:afterAutospacing="0"/>
        <w:ind w:firstLine="570"/>
        <w:textAlignment w:val="baseline"/>
        <w:rPr>
          <w:color w:val="000000" w:themeColor="text1"/>
        </w:rPr>
      </w:pPr>
    </w:p>
    <w:p w14:paraId="7AA81559" w14:textId="14248FA3" w:rsidR="00F33B06" w:rsidRPr="007F275C" w:rsidRDefault="00F34AFD" w:rsidP="00A611DD">
      <w:pPr>
        <w:pStyle w:val="paragraph"/>
        <w:shd w:val="clear" w:color="auto" w:fill="FFFFFF" w:themeFill="background1"/>
        <w:spacing w:before="0" w:beforeAutospacing="0" w:after="0" w:afterAutospacing="0"/>
        <w:ind w:firstLine="570"/>
        <w:textAlignment w:val="baseline"/>
        <w:rPr>
          <w:color w:val="000000" w:themeColor="text1"/>
        </w:rPr>
      </w:pPr>
      <w:r w:rsidRPr="06C3AEB8">
        <w:rPr>
          <w:color w:val="000000" w:themeColor="text1"/>
        </w:rPr>
        <w:t>(d) Notwithstanding any general or special law to the contrary, a local or regional board of health may enter into an agreement for loan assistance with a residential owner to promote the voluntary upgrade or replacement of the owner’s functioning domestic septic system to incorporate advanced nitrogen removal technology.</w:t>
      </w:r>
    </w:p>
    <w:p w14:paraId="664FF786" w14:textId="603BDB30" w:rsidR="06C3AEB8" w:rsidRDefault="06C3AEB8" w:rsidP="00A611DD">
      <w:pPr>
        <w:pStyle w:val="paragraph"/>
        <w:shd w:val="clear" w:color="auto" w:fill="FFFFFF" w:themeFill="background1"/>
        <w:spacing w:before="0" w:beforeAutospacing="0" w:after="0" w:afterAutospacing="0"/>
        <w:ind w:firstLine="570"/>
        <w:rPr>
          <w:color w:val="000000" w:themeColor="text1"/>
        </w:rPr>
      </w:pPr>
    </w:p>
    <w:p w14:paraId="5FBD2298" w14:textId="19601C12" w:rsidR="00C64A5F" w:rsidRPr="007F275C" w:rsidRDefault="007F275C" w:rsidP="00A611DD">
      <w:pPr>
        <w:spacing w:after="0"/>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t>Respectfully submitted,</w:t>
      </w:r>
    </w:p>
    <w:p w14:paraId="1B3CD47F" w14:textId="07B0CC6E" w:rsidR="007F275C" w:rsidRDefault="007F275C" w:rsidP="00A611DD">
      <w:pPr>
        <w:spacing w:after="0"/>
        <w:rPr>
          <w:rFonts w:ascii="Times New Roman" w:hAnsi="Times New Roman" w:cs="Times New Roman"/>
          <w:color w:val="000000" w:themeColor="text1"/>
          <w:sz w:val="24"/>
          <w:szCs w:val="24"/>
        </w:rPr>
      </w:pPr>
    </w:p>
    <w:p w14:paraId="1E07820F" w14:textId="77777777" w:rsidR="00E32C8E" w:rsidRPr="007F275C" w:rsidRDefault="00E32C8E" w:rsidP="00A611DD">
      <w:pPr>
        <w:spacing w:after="0"/>
        <w:rPr>
          <w:rFonts w:ascii="Times New Roman" w:hAnsi="Times New Roman" w:cs="Times New Roman"/>
          <w:color w:val="000000" w:themeColor="text1"/>
          <w:sz w:val="24"/>
          <w:szCs w:val="24"/>
        </w:rPr>
      </w:pPr>
    </w:p>
    <w:p w14:paraId="249F5119" w14:textId="4FCD79B6" w:rsidR="007F275C" w:rsidRPr="007F275C" w:rsidRDefault="007F275C" w:rsidP="00A611DD">
      <w:pPr>
        <w:spacing w:after="0" w:line="240" w:lineRule="auto"/>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t>Charles D. Baker</w:t>
      </w:r>
    </w:p>
    <w:p w14:paraId="02ED88D4" w14:textId="4E8D801B" w:rsidR="00C64A5F" w:rsidRPr="00F33B06" w:rsidRDefault="007F275C" w:rsidP="00A611DD">
      <w:pPr>
        <w:spacing w:after="0"/>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t>Governor</w:t>
      </w:r>
    </w:p>
    <w:sectPr w:rsidR="00C64A5F" w:rsidRPr="00F33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63D10"/>
    <w:multiLevelType w:val="hybridMultilevel"/>
    <w:tmpl w:val="4A087E1E"/>
    <w:lvl w:ilvl="0" w:tplc="72C8F3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8793B"/>
    <w:multiLevelType w:val="hybridMultilevel"/>
    <w:tmpl w:val="B232D9D4"/>
    <w:lvl w:ilvl="0" w:tplc="70ACF7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FE6DC8"/>
    <w:multiLevelType w:val="hybridMultilevel"/>
    <w:tmpl w:val="B6CEB536"/>
    <w:lvl w:ilvl="0" w:tplc="7E48F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F"/>
    <w:rsid w:val="000003CB"/>
    <w:rsid w:val="000166D5"/>
    <w:rsid w:val="00031888"/>
    <w:rsid w:val="000355F6"/>
    <w:rsid w:val="00043C29"/>
    <w:rsid w:val="00052563"/>
    <w:rsid w:val="0005331E"/>
    <w:rsid w:val="00064994"/>
    <w:rsid w:val="00070061"/>
    <w:rsid w:val="000867B6"/>
    <w:rsid w:val="000B34A6"/>
    <w:rsid w:val="000C230B"/>
    <w:rsid w:val="000D63B4"/>
    <w:rsid w:val="000E7771"/>
    <w:rsid w:val="000F74B2"/>
    <w:rsid w:val="00103739"/>
    <w:rsid w:val="0010798F"/>
    <w:rsid w:val="00121951"/>
    <w:rsid w:val="00154F9E"/>
    <w:rsid w:val="001566AD"/>
    <w:rsid w:val="00171DDE"/>
    <w:rsid w:val="001A1C17"/>
    <w:rsid w:val="001A34E8"/>
    <w:rsid w:val="001C1904"/>
    <w:rsid w:val="001C6096"/>
    <w:rsid w:val="001E2BDA"/>
    <w:rsid w:val="00201F0F"/>
    <w:rsid w:val="00207E49"/>
    <w:rsid w:val="002465AA"/>
    <w:rsid w:val="002829D3"/>
    <w:rsid w:val="0028663B"/>
    <w:rsid w:val="002A4C1C"/>
    <w:rsid w:val="002A579E"/>
    <w:rsid w:val="002B4551"/>
    <w:rsid w:val="002C43B8"/>
    <w:rsid w:val="002D2D31"/>
    <w:rsid w:val="002D4D5B"/>
    <w:rsid w:val="002F5752"/>
    <w:rsid w:val="002F7E60"/>
    <w:rsid w:val="00310076"/>
    <w:rsid w:val="00352C23"/>
    <w:rsid w:val="00363719"/>
    <w:rsid w:val="00364208"/>
    <w:rsid w:val="00365E1E"/>
    <w:rsid w:val="00366858"/>
    <w:rsid w:val="00375D74"/>
    <w:rsid w:val="003872D8"/>
    <w:rsid w:val="00396F13"/>
    <w:rsid w:val="003A4DDA"/>
    <w:rsid w:val="003D0CEF"/>
    <w:rsid w:val="003D7780"/>
    <w:rsid w:val="003F05E9"/>
    <w:rsid w:val="00410ED7"/>
    <w:rsid w:val="004134C9"/>
    <w:rsid w:val="0041758D"/>
    <w:rsid w:val="00434878"/>
    <w:rsid w:val="0044190A"/>
    <w:rsid w:val="00446C3D"/>
    <w:rsid w:val="004511EE"/>
    <w:rsid w:val="004514D8"/>
    <w:rsid w:val="00464D5A"/>
    <w:rsid w:val="004839EA"/>
    <w:rsid w:val="00494C38"/>
    <w:rsid w:val="004E336B"/>
    <w:rsid w:val="00504E74"/>
    <w:rsid w:val="00566F05"/>
    <w:rsid w:val="00574D76"/>
    <w:rsid w:val="00577F01"/>
    <w:rsid w:val="0058254C"/>
    <w:rsid w:val="005849DB"/>
    <w:rsid w:val="00590AE5"/>
    <w:rsid w:val="00596540"/>
    <w:rsid w:val="005A406C"/>
    <w:rsid w:val="005D1A4B"/>
    <w:rsid w:val="005D55E0"/>
    <w:rsid w:val="005F79D0"/>
    <w:rsid w:val="00621108"/>
    <w:rsid w:val="006243F9"/>
    <w:rsid w:val="00646976"/>
    <w:rsid w:val="00652D07"/>
    <w:rsid w:val="00672739"/>
    <w:rsid w:val="00676834"/>
    <w:rsid w:val="006849F6"/>
    <w:rsid w:val="006A024A"/>
    <w:rsid w:val="006B0FC3"/>
    <w:rsid w:val="006C4469"/>
    <w:rsid w:val="006C644A"/>
    <w:rsid w:val="006D17A0"/>
    <w:rsid w:val="006F02F9"/>
    <w:rsid w:val="0071217C"/>
    <w:rsid w:val="00713E11"/>
    <w:rsid w:val="00722C2D"/>
    <w:rsid w:val="00727EFB"/>
    <w:rsid w:val="007354C2"/>
    <w:rsid w:val="0074178B"/>
    <w:rsid w:val="007543B0"/>
    <w:rsid w:val="00767B1D"/>
    <w:rsid w:val="00777BC8"/>
    <w:rsid w:val="00782A8B"/>
    <w:rsid w:val="007A1959"/>
    <w:rsid w:val="007A3AEC"/>
    <w:rsid w:val="007C2FAD"/>
    <w:rsid w:val="007C343C"/>
    <w:rsid w:val="007E5CE7"/>
    <w:rsid w:val="007F275C"/>
    <w:rsid w:val="00826FA9"/>
    <w:rsid w:val="00846372"/>
    <w:rsid w:val="008544A9"/>
    <w:rsid w:val="00880C8B"/>
    <w:rsid w:val="008A0650"/>
    <w:rsid w:val="008B1044"/>
    <w:rsid w:val="008B4C80"/>
    <w:rsid w:val="008B59FF"/>
    <w:rsid w:val="008D5DA3"/>
    <w:rsid w:val="008E2F4B"/>
    <w:rsid w:val="008F426E"/>
    <w:rsid w:val="0091062A"/>
    <w:rsid w:val="00927696"/>
    <w:rsid w:val="00933304"/>
    <w:rsid w:val="00947542"/>
    <w:rsid w:val="009506FE"/>
    <w:rsid w:val="0095552B"/>
    <w:rsid w:val="00955C21"/>
    <w:rsid w:val="00972A0C"/>
    <w:rsid w:val="009A3E3B"/>
    <w:rsid w:val="009B63D0"/>
    <w:rsid w:val="009F3F21"/>
    <w:rsid w:val="00A012E3"/>
    <w:rsid w:val="00A130DB"/>
    <w:rsid w:val="00A26734"/>
    <w:rsid w:val="00A461F1"/>
    <w:rsid w:val="00A546C7"/>
    <w:rsid w:val="00A611DD"/>
    <w:rsid w:val="00A76FA7"/>
    <w:rsid w:val="00A82A30"/>
    <w:rsid w:val="00AA2F49"/>
    <w:rsid w:val="00AA44B6"/>
    <w:rsid w:val="00AD4969"/>
    <w:rsid w:val="00AE7E11"/>
    <w:rsid w:val="00AF3F38"/>
    <w:rsid w:val="00AF56E4"/>
    <w:rsid w:val="00B0428A"/>
    <w:rsid w:val="00B122B0"/>
    <w:rsid w:val="00B5567F"/>
    <w:rsid w:val="00B717F7"/>
    <w:rsid w:val="00B77C18"/>
    <w:rsid w:val="00B90794"/>
    <w:rsid w:val="00B94A9C"/>
    <w:rsid w:val="00BB1B71"/>
    <w:rsid w:val="00BC036C"/>
    <w:rsid w:val="00BC581C"/>
    <w:rsid w:val="00BD032C"/>
    <w:rsid w:val="00BE2CD7"/>
    <w:rsid w:val="00BE5212"/>
    <w:rsid w:val="00BE672E"/>
    <w:rsid w:val="00C02620"/>
    <w:rsid w:val="00C02D7B"/>
    <w:rsid w:val="00C07D39"/>
    <w:rsid w:val="00C108CF"/>
    <w:rsid w:val="00C171EA"/>
    <w:rsid w:val="00C32F23"/>
    <w:rsid w:val="00C33F35"/>
    <w:rsid w:val="00C34F07"/>
    <w:rsid w:val="00C551A3"/>
    <w:rsid w:val="00C64A5F"/>
    <w:rsid w:val="00C71036"/>
    <w:rsid w:val="00C759EE"/>
    <w:rsid w:val="00C75F89"/>
    <w:rsid w:val="00C81995"/>
    <w:rsid w:val="00C83169"/>
    <w:rsid w:val="00C91A57"/>
    <w:rsid w:val="00CA1A9A"/>
    <w:rsid w:val="00CA45F0"/>
    <w:rsid w:val="00CA61AB"/>
    <w:rsid w:val="00CE525D"/>
    <w:rsid w:val="00CF1819"/>
    <w:rsid w:val="00CF793E"/>
    <w:rsid w:val="00D043F5"/>
    <w:rsid w:val="00D33E6E"/>
    <w:rsid w:val="00D42923"/>
    <w:rsid w:val="00D471EB"/>
    <w:rsid w:val="00D56B06"/>
    <w:rsid w:val="00D940D8"/>
    <w:rsid w:val="00D95FB2"/>
    <w:rsid w:val="00DA1293"/>
    <w:rsid w:val="00DA5BC1"/>
    <w:rsid w:val="00DB4733"/>
    <w:rsid w:val="00DB61AD"/>
    <w:rsid w:val="00DC3FD8"/>
    <w:rsid w:val="00DD02F7"/>
    <w:rsid w:val="00DE412A"/>
    <w:rsid w:val="00DE76AA"/>
    <w:rsid w:val="00E05B73"/>
    <w:rsid w:val="00E24F7B"/>
    <w:rsid w:val="00E32C8E"/>
    <w:rsid w:val="00E5492E"/>
    <w:rsid w:val="00E90FAD"/>
    <w:rsid w:val="00E92F8B"/>
    <w:rsid w:val="00ED4F66"/>
    <w:rsid w:val="00ED7B7B"/>
    <w:rsid w:val="00EE1853"/>
    <w:rsid w:val="00F051CF"/>
    <w:rsid w:val="00F070D0"/>
    <w:rsid w:val="00F33B06"/>
    <w:rsid w:val="00F33F89"/>
    <w:rsid w:val="00F34AFD"/>
    <w:rsid w:val="00F525E4"/>
    <w:rsid w:val="00F71C19"/>
    <w:rsid w:val="00F8246B"/>
    <w:rsid w:val="00F83B32"/>
    <w:rsid w:val="00F90DDC"/>
    <w:rsid w:val="00FF31B4"/>
    <w:rsid w:val="062D1525"/>
    <w:rsid w:val="06C3AEB8"/>
    <w:rsid w:val="0A5A77B0"/>
    <w:rsid w:val="0F21904F"/>
    <w:rsid w:val="0F401D96"/>
    <w:rsid w:val="110A5F13"/>
    <w:rsid w:val="1279CD35"/>
    <w:rsid w:val="12A1FE95"/>
    <w:rsid w:val="1327B94C"/>
    <w:rsid w:val="15465E8A"/>
    <w:rsid w:val="170B4A2B"/>
    <w:rsid w:val="1B331653"/>
    <w:rsid w:val="1E5041C7"/>
    <w:rsid w:val="2FCFCC01"/>
    <w:rsid w:val="32B33E8F"/>
    <w:rsid w:val="3BB26A76"/>
    <w:rsid w:val="3EFB5A3D"/>
    <w:rsid w:val="41A1F13C"/>
    <w:rsid w:val="47D8D793"/>
    <w:rsid w:val="47F31B21"/>
    <w:rsid w:val="495DFBD7"/>
    <w:rsid w:val="4B80C4BE"/>
    <w:rsid w:val="52B8D2E9"/>
    <w:rsid w:val="58D20B3C"/>
    <w:rsid w:val="5A4EF246"/>
    <w:rsid w:val="5FB6FA7C"/>
    <w:rsid w:val="64AB58ED"/>
    <w:rsid w:val="672EB5EC"/>
    <w:rsid w:val="6CEFB3EF"/>
    <w:rsid w:val="6DA3E5A1"/>
    <w:rsid w:val="7AACF77B"/>
    <w:rsid w:val="7EF183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F918"/>
  <w15:chartTrackingRefBased/>
  <w15:docId w15:val="{B6B7903B-D06D-475D-A039-A96E4A68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4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4A5F"/>
  </w:style>
  <w:style w:type="character" w:customStyle="1" w:styleId="eop">
    <w:name w:val="eop"/>
    <w:basedOn w:val="DefaultParagraphFont"/>
    <w:rsid w:val="00C64A5F"/>
  </w:style>
  <w:style w:type="character" w:customStyle="1" w:styleId="spellingerror">
    <w:name w:val="spellingerror"/>
    <w:basedOn w:val="DefaultParagraphFont"/>
    <w:rsid w:val="00C64A5F"/>
  </w:style>
  <w:style w:type="character" w:styleId="CommentReference">
    <w:name w:val="annotation reference"/>
    <w:basedOn w:val="DefaultParagraphFont"/>
    <w:uiPriority w:val="99"/>
    <w:semiHidden/>
    <w:unhideWhenUsed/>
    <w:rsid w:val="00BB1B71"/>
    <w:rPr>
      <w:sz w:val="16"/>
      <w:szCs w:val="16"/>
    </w:rPr>
  </w:style>
  <w:style w:type="paragraph" w:styleId="CommentText">
    <w:name w:val="annotation text"/>
    <w:basedOn w:val="Normal"/>
    <w:link w:val="CommentTextChar"/>
    <w:uiPriority w:val="99"/>
    <w:unhideWhenUsed/>
    <w:rsid w:val="00BB1B71"/>
    <w:pPr>
      <w:spacing w:line="240" w:lineRule="auto"/>
    </w:pPr>
    <w:rPr>
      <w:sz w:val="20"/>
      <w:szCs w:val="20"/>
    </w:rPr>
  </w:style>
  <w:style w:type="character" w:customStyle="1" w:styleId="CommentTextChar">
    <w:name w:val="Comment Text Char"/>
    <w:basedOn w:val="DefaultParagraphFont"/>
    <w:link w:val="CommentText"/>
    <w:uiPriority w:val="99"/>
    <w:rsid w:val="00BB1B71"/>
    <w:rPr>
      <w:sz w:val="20"/>
      <w:szCs w:val="20"/>
    </w:rPr>
  </w:style>
  <w:style w:type="paragraph" w:styleId="CommentSubject">
    <w:name w:val="annotation subject"/>
    <w:basedOn w:val="CommentText"/>
    <w:next w:val="CommentText"/>
    <w:link w:val="CommentSubjectChar"/>
    <w:uiPriority w:val="99"/>
    <w:semiHidden/>
    <w:unhideWhenUsed/>
    <w:rsid w:val="00BB1B71"/>
    <w:rPr>
      <w:b/>
      <w:bCs/>
    </w:rPr>
  </w:style>
  <w:style w:type="character" w:customStyle="1" w:styleId="CommentSubjectChar">
    <w:name w:val="Comment Subject Char"/>
    <w:basedOn w:val="CommentTextChar"/>
    <w:link w:val="CommentSubject"/>
    <w:uiPriority w:val="99"/>
    <w:semiHidden/>
    <w:rsid w:val="00BB1B71"/>
    <w:rPr>
      <w:b/>
      <w:bCs/>
      <w:sz w:val="20"/>
      <w:szCs w:val="20"/>
    </w:rPr>
  </w:style>
  <w:style w:type="paragraph" w:styleId="BalloonText">
    <w:name w:val="Balloon Text"/>
    <w:basedOn w:val="Normal"/>
    <w:link w:val="BalloonTextChar"/>
    <w:uiPriority w:val="99"/>
    <w:semiHidden/>
    <w:unhideWhenUsed/>
    <w:rsid w:val="00BB1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71"/>
    <w:rPr>
      <w:rFonts w:ascii="Segoe UI" w:hAnsi="Segoe UI" w:cs="Segoe UI"/>
      <w:sz w:val="18"/>
      <w:szCs w:val="18"/>
    </w:rPr>
  </w:style>
  <w:style w:type="paragraph" w:styleId="NoSpacing">
    <w:name w:val="No Spacing"/>
    <w:uiPriority w:val="1"/>
    <w:qFormat/>
    <w:rsid w:val="00464D5A"/>
    <w:pPr>
      <w:spacing w:after="0" w:line="240" w:lineRule="auto"/>
    </w:pPr>
    <w:rPr>
      <w:rFonts w:ascii="Arial" w:eastAsia="Times New Roman" w:hAnsi="Arial" w:cs="Times New Roman"/>
    </w:rPr>
  </w:style>
  <w:style w:type="paragraph" w:styleId="Revision">
    <w:name w:val="Revision"/>
    <w:hidden/>
    <w:uiPriority w:val="99"/>
    <w:semiHidden/>
    <w:rsid w:val="00E24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3769">
      <w:bodyDiv w:val="1"/>
      <w:marLeft w:val="0"/>
      <w:marRight w:val="0"/>
      <w:marTop w:val="0"/>
      <w:marBottom w:val="0"/>
      <w:divBdr>
        <w:top w:val="none" w:sz="0" w:space="0" w:color="auto"/>
        <w:left w:val="none" w:sz="0" w:space="0" w:color="auto"/>
        <w:bottom w:val="none" w:sz="0" w:space="0" w:color="auto"/>
        <w:right w:val="none" w:sz="0" w:space="0" w:color="auto"/>
      </w:divBdr>
      <w:divsChild>
        <w:div w:id="342048219">
          <w:marLeft w:val="0"/>
          <w:marRight w:val="0"/>
          <w:marTop w:val="0"/>
          <w:marBottom w:val="0"/>
          <w:divBdr>
            <w:top w:val="none" w:sz="0" w:space="0" w:color="auto"/>
            <w:left w:val="none" w:sz="0" w:space="0" w:color="auto"/>
            <w:bottom w:val="none" w:sz="0" w:space="0" w:color="auto"/>
            <w:right w:val="none" w:sz="0" w:space="0" w:color="auto"/>
          </w:divBdr>
        </w:div>
        <w:div w:id="718632615">
          <w:marLeft w:val="0"/>
          <w:marRight w:val="0"/>
          <w:marTop w:val="0"/>
          <w:marBottom w:val="0"/>
          <w:divBdr>
            <w:top w:val="none" w:sz="0" w:space="0" w:color="auto"/>
            <w:left w:val="none" w:sz="0" w:space="0" w:color="auto"/>
            <w:bottom w:val="none" w:sz="0" w:space="0" w:color="auto"/>
            <w:right w:val="none" w:sz="0" w:space="0" w:color="auto"/>
          </w:divBdr>
        </w:div>
      </w:divsChild>
    </w:div>
    <w:div w:id="1746368309">
      <w:bodyDiv w:val="1"/>
      <w:marLeft w:val="0"/>
      <w:marRight w:val="0"/>
      <w:marTop w:val="0"/>
      <w:marBottom w:val="0"/>
      <w:divBdr>
        <w:top w:val="none" w:sz="0" w:space="0" w:color="auto"/>
        <w:left w:val="none" w:sz="0" w:space="0" w:color="auto"/>
        <w:bottom w:val="none" w:sz="0" w:space="0" w:color="auto"/>
        <w:right w:val="none" w:sz="0" w:space="0" w:color="auto"/>
      </w:divBdr>
      <w:divsChild>
        <w:div w:id="1026561928">
          <w:marLeft w:val="0"/>
          <w:marRight w:val="0"/>
          <w:marTop w:val="0"/>
          <w:marBottom w:val="0"/>
          <w:divBdr>
            <w:top w:val="none" w:sz="0" w:space="0" w:color="auto"/>
            <w:left w:val="none" w:sz="0" w:space="0" w:color="auto"/>
            <w:bottom w:val="none" w:sz="0" w:space="0" w:color="auto"/>
            <w:right w:val="none" w:sz="0" w:space="0" w:color="auto"/>
          </w:divBdr>
        </w:div>
        <w:div w:id="1507284591">
          <w:marLeft w:val="0"/>
          <w:marRight w:val="0"/>
          <w:marTop w:val="0"/>
          <w:marBottom w:val="0"/>
          <w:divBdr>
            <w:top w:val="none" w:sz="0" w:space="0" w:color="auto"/>
            <w:left w:val="none" w:sz="0" w:space="0" w:color="auto"/>
            <w:bottom w:val="none" w:sz="0" w:space="0" w:color="auto"/>
            <w:right w:val="none" w:sz="0" w:space="0" w:color="auto"/>
          </w:divBdr>
        </w:div>
        <w:div w:id="2101171405">
          <w:marLeft w:val="0"/>
          <w:marRight w:val="0"/>
          <w:marTop w:val="0"/>
          <w:marBottom w:val="0"/>
          <w:divBdr>
            <w:top w:val="none" w:sz="0" w:space="0" w:color="auto"/>
            <w:left w:val="none" w:sz="0" w:space="0" w:color="auto"/>
            <w:bottom w:val="none" w:sz="0" w:space="0" w:color="auto"/>
            <w:right w:val="none" w:sz="0" w:space="0" w:color="auto"/>
          </w:divBdr>
        </w:div>
      </w:divsChild>
    </w:div>
    <w:div w:id="1894386733">
      <w:bodyDiv w:val="1"/>
      <w:marLeft w:val="0"/>
      <w:marRight w:val="0"/>
      <w:marTop w:val="0"/>
      <w:marBottom w:val="0"/>
      <w:divBdr>
        <w:top w:val="none" w:sz="0" w:space="0" w:color="auto"/>
        <w:left w:val="none" w:sz="0" w:space="0" w:color="auto"/>
        <w:bottom w:val="none" w:sz="0" w:space="0" w:color="auto"/>
        <w:right w:val="none" w:sz="0" w:space="0" w:color="auto"/>
      </w:divBdr>
      <w:divsChild>
        <w:div w:id="127747379">
          <w:marLeft w:val="0"/>
          <w:marRight w:val="0"/>
          <w:marTop w:val="0"/>
          <w:marBottom w:val="0"/>
          <w:divBdr>
            <w:top w:val="none" w:sz="0" w:space="0" w:color="auto"/>
            <w:left w:val="none" w:sz="0" w:space="0" w:color="auto"/>
            <w:bottom w:val="none" w:sz="0" w:space="0" w:color="auto"/>
            <w:right w:val="none" w:sz="0" w:space="0" w:color="auto"/>
          </w:divBdr>
        </w:div>
        <w:div w:id="218592267">
          <w:marLeft w:val="0"/>
          <w:marRight w:val="0"/>
          <w:marTop w:val="0"/>
          <w:marBottom w:val="0"/>
          <w:divBdr>
            <w:top w:val="none" w:sz="0" w:space="0" w:color="auto"/>
            <w:left w:val="none" w:sz="0" w:space="0" w:color="auto"/>
            <w:bottom w:val="none" w:sz="0" w:space="0" w:color="auto"/>
            <w:right w:val="none" w:sz="0" w:space="0" w:color="auto"/>
          </w:divBdr>
        </w:div>
        <w:div w:id="328674044">
          <w:marLeft w:val="0"/>
          <w:marRight w:val="0"/>
          <w:marTop w:val="0"/>
          <w:marBottom w:val="0"/>
          <w:divBdr>
            <w:top w:val="none" w:sz="0" w:space="0" w:color="auto"/>
            <w:left w:val="none" w:sz="0" w:space="0" w:color="auto"/>
            <w:bottom w:val="none" w:sz="0" w:space="0" w:color="auto"/>
            <w:right w:val="none" w:sz="0" w:space="0" w:color="auto"/>
          </w:divBdr>
        </w:div>
        <w:div w:id="367612638">
          <w:marLeft w:val="0"/>
          <w:marRight w:val="0"/>
          <w:marTop w:val="0"/>
          <w:marBottom w:val="0"/>
          <w:divBdr>
            <w:top w:val="none" w:sz="0" w:space="0" w:color="auto"/>
            <w:left w:val="none" w:sz="0" w:space="0" w:color="auto"/>
            <w:bottom w:val="none" w:sz="0" w:space="0" w:color="auto"/>
            <w:right w:val="none" w:sz="0" w:space="0" w:color="auto"/>
          </w:divBdr>
        </w:div>
        <w:div w:id="627204630">
          <w:marLeft w:val="0"/>
          <w:marRight w:val="0"/>
          <w:marTop w:val="0"/>
          <w:marBottom w:val="0"/>
          <w:divBdr>
            <w:top w:val="none" w:sz="0" w:space="0" w:color="auto"/>
            <w:left w:val="none" w:sz="0" w:space="0" w:color="auto"/>
            <w:bottom w:val="none" w:sz="0" w:space="0" w:color="auto"/>
            <w:right w:val="none" w:sz="0" w:space="0" w:color="auto"/>
          </w:divBdr>
        </w:div>
        <w:div w:id="975448967">
          <w:marLeft w:val="0"/>
          <w:marRight w:val="0"/>
          <w:marTop w:val="0"/>
          <w:marBottom w:val="0"/>
          <w:divBdr>
            <w:top w:val="none" w:sz="0" w:space="0" w:color="auto"/>
            <w:left w:val="none" w:sz="0" w:space="0" w:color="auto"/>
            <w:bottom w:val="none" w:sz="0" w:space="0" w:color="auto"/>
            <w:right w:val="none" w:sz="0" w:space="0" w:color="auto"/>
          </w:divBdr>
        </w:div>
        <w:div w:id="1013530143">
          <w:marLeft w:val="0"/>
          <w:marRight w:val="0"/>
          <w:marTop w:val="0"/>
          <w:marBottom w:val="0"/>
          <w:divBdr>
            <w:top w:val="none" w:sz="0" w:space="0" w:color="auto"/>
            <w:left w:val="none" w:sz="0" w:space="0" w:color="auto"/>
            <w:bottom w:val="none" w:sz="0" w:space="0" w:color="auto"/>
            <w:right w:val="none" w:sz="0" w:space="0" w:color="auto"/>
          </w:divBdr>
        </w:div>
        <w:div w:id="1248999096">
          <w:marLeft w:val="0"/>
          <w:marRight w:val="0"/>
          <w:marTop w:val="0"/>
          <w:marBottom w:val="0"/>
          <w:divBdr>
            <w:top w:val="none" w:sz="0" w:space="0" w:color="auto"/>
            <w:left w:val="none" w:sz="0" w:space="0" w:color="auto"/>
            <w:bottom w:val="none" w:sz="0" w:space="0" w:color="auto"/>
            <w:right w:val="none" w:sz="0" w:space="0" w:color="auto"/>
          </w:divBdr>
        </w:div>
        <w:div w:id="1267543037">
          <w:marLeft w:val="0"/>
          <w:marRight w:val="0"/>
          <w:marTop w:val="0"/>
          <w:marBottom w:val="0"/>
          <w:divBdr>
            <w:top w:val="none" w:sz="0" w:space="0" w:color="auto"/>
            <w:left w:val="none" w:sz="0" w:space="0" w:color="auto"/>
            <w:bottom w:val="none" w:sz="0" w:space="0" w:color="auto"/>
            <w:right w:val="none" w:sz="0" w:space="0" w:color="auto"/>
          </w:divBdr>
        </w:div>
        <w:div w:id="1268737292">
          <w:marLeft w:val="0"/>
          <w:marRight w:val="0"/>
          <w:marTop w:val="0"/>
          <w:marBottom w:val="0"/>
          <w:divBdr>
            <w:top w:val="none" w:sz="0" w:space="0" w:color="auto"/>
            <w:left w:val="none" w:sz="0" w:space="0" w:color="auto"/>
            <w:bottom w:val="none" w:sz="0" w:space="0" w:color="auto"/>
            <w:right w:val="none" w:sz="0" w:space="0" w:color="auto"/>
          </w:divBdr>
        </w:div>
        <w:div w:id="1370255536">
          <w:marLeft w:val="0"/>
          <w:marRight w:val="0"/>
          <w:marTop w:val="0"/>
          <w:marBottom w:val="0"/>
          <w:divBdr>
            <w:top w:val="none" w:sz="0" w:space="0" w:color="auto"/>
            <w:left w:val="none" w:sz="0" w:space="0" w:color="auto"/>
            <w:bottom w:val="none" w:sz="0" w:space="0" w:color="auto"/>
            <w:right w:val="none" w:sz="0" w:space="0" w:color="auto"/>
          </w:divBdr>
        </w:div>
        <w:div w:id="1396733409">
          <w:marLeft w:val="0"/>
          <w:marRight w:val="0"/>
          <w:marTop w:val="0"/>
          <w:marBottom w:val="0"/>
          <w:divBdr>
            <w:top w:val="none" w:sz="0" w:space="0" w:color="auto"/>
            <w:left w:val="none" w:sz="0" w:space="0" w:color="auto"/>
            <w:bottom w:val="none" w:sz="0" w:space="0" w:color="auto"/>
            <w:right w:val="none" w:sz="0" w:space="0" w:color="auto"/>
          </w:divBdr>
        </w:div>
        <w:div w:id="1428771901">
          <w:marLeft w:val="0"/>
          <w:marRight w:val="0"/>
          <w:marTop w:val="0"/>
          <w:marBottom w:val="0"/>
          <w:divBdr>
            <w:top w:val="none" w:sz="0" w:space="0" w:color="auto"/>
            <w:left w:val="none" w:sz="0" w:space="0" w:color="auto"/>
            <w:bottom w:val="none" w:sz="0" w:space="0" w:color="auto"/>
            <w:right w:val="none" w:sz="0" w:space="0" w:color="auto"/>
          </w:divBdr>
        </w:div>
        <w:div w:id="1623070329">
          <w:marLeft w:val="0"/>
          <w:marRight w:val="0"/>
          <w:marTop w:val="0"/>
          <w:marBottom w:val="0"/>
          <w:divBdr>
            <w:top w:val="none" w:sz="0" w:space="0" w:color="auto"/>
            <w:left w:val="none" w:sz="0" w:space="0" w:color="auto"/>
            <w:bottom w:val="none" w:sz="0" w:space="0" w:color="auto"/>
            <w:right w:val="none" w:sz="0" w:space="0" w:color="auto"/>
          </w:divBdr>
        </w:div>
        <w:div w:id="1698890811">
          <w:marLeft w:val="0"/>
          <w:marRight w:val="0"/>
          <w:marTop w:val="0"/>
          <w:marBottom w:val="0"/>
          <w:divBdr>
            <w:top w:val="none" w:sz="0" w:space="0" w:color="auto"/>
            <w:left w:val="none" w:sz="0" w:space="0" w:color="auto"/>
            <w:bottom w:val="none" w:sz="0" w:space="0" w:color="auto"/>
            <w:right w:val="none" w:sz="0" w:space="0" w:color="auto"/>
          </w:divBdr>
        </w:div>
        <w:div w:id="197278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5A476-5603-4525-A2DC-E1745866A1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9701BD-7D4B-4B2E-A19A-9FCE6E37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72f7-5be7-4436-9eae-fc1650fe511f"/>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B42FB-A4EB-4BF4-AD7D-C7369E616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4598</Characters>
  <Application>Microsoft Office Word</Application>
  <DocSecurity>0</DocSecurity>
  <Lines>38</Lines>
  <Paragraphs>10</Paragraphs>
  <ScaleCrop>false</ScaleCrop>
  <Company>Commonwealth of Massachusetts</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Patrick E. (A&amp;F)</dc:creator>
  <cp:keywords/>
  <dc:description/>
  <cp:lastModifiedBy>Kelly, Lynne (A&amp;F)</cp:lastModifiedBy>
  <cp:revision>2</cp:revision>
  <dcterms:created xsi:type="dcterms:W3CDTF">2022-07-28T13:54:00Z</dcterms:created>
  <dcterms:modified xsi:type="dcterms:W3CDTF">2022-07-28T13:54:00Z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ies>
</file>