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97235" w14:textId="4F7951F8" w:rsidR="0095595F" w:rsidRPr="00D636CC" w:rsidRDefault="0095595F" w:rsidP="0095595F">
      <w:pPr>
        <w:rPr>
          <w:b/>
          <w:bCs/>
        </w:rPr>
      </w:pPr>
      <w:r w:rsidRPr="00D636CC">
        <w:rPr>
          <w:b/>
          <w:bCs/>
        </w:rPr>
        <w:t>Attachment V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64"/>
        <w:gridCol w:w="3790"/>
        <w:gridCol w:w="3790"/>
      </w:tblGrid>
      <w:tr w:rsidR="0095595F" w:rsidRPr="0095595F" w14:paraId="0F57AC5F" w14:textId="77777777" w:rsidTr="00445347">
        <w:tc>
          <w:tcPr>
            <w:tcW w:w="9344"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72CF21FC" w14:textId="75F82F02" w:rsidR="0095595F" w:rsidRPr="0095595F" w:rsidRDefault="0095595F" w:rsidP="0095595F">
            <w:pPr>
              <w:divId w:val="869224013"/>
              <w:rPr>
                <w:b/>
                <w:bCs/>
              </w:rPr>
            </w:pPr>
            <w:r w:rsidRPr="0095595F">
              <w:rPr>
                <w:b/>
                <w:bCs/>
              </w:rPr>
              <w:t xml:space="preserve">Massachusetts </w:t>
            </w:r>
            <w:r w:rsidR="00211D90">
              <w:rPr>
                <w:b/>
                <w:bCs/>
              </w:rPr>
              <w:t xml:space="preserve">Hospital Quality and </w:t>
            </w:r>
            <w:r w:rsidRPr="0095595F">
              <w:rPr>
                <w:b/>
                <w:bCs/>
              </w:rPr>
              <w:t>Equity Initiative Related Provider Payment Increase Assessment – Attestation Table </w:t>
            </w:r>
          </w:p>
        </w:tc>
      </w:tr>
      <w:tr w:rsidR="0095595F" w:rsidRPr="0095595F" w14:paraId="0F7B013D" w14:textId="77777777" w:rsidTr="00445347">
        <w:tc>
          <w:tcPr>
            <w:tcW w:w="9344" w:type="dxa"/>
            <w:gridSpan w:val="3"/>
            <w:tcBorders>
              <w:top w:val="single" w:sz="6" w:space="0" w:color="auto"/>
              <w:left w:val="single" w:sz="6" w:space="0" w:color="auto"/>
              <w:bottom w:val="single" w:sz="6" w:space="0" w:color="auto"/>
              <w:right w:val="single" w:sz="6" w:space="0" w:color="auto"/>
            </w:tcBorders>
            <w:shd w:val="clear" w:color="auto" w:fill="DBE5F1"/>
            <w:hideMark/>
          </w:tcPr>
          <w:p w14:paraId="317C7AAD" w14:textId="1CBA7396" w:rsidR="0095595F" w:rsidRPr="0095595F" w:rsidRDefault="0095595F" w:rsidP="0095595F">
            <w:r w:rsidRPr="0095595F">
              <w:t xml:space="preserve">The reported data and attestations pertain to </w:t>
            </w:r>
            <w:r w:rsidR="00211D90">
              <w:t xml:space="preserve">Hospital Quality and </w:t>
            </w:r>
            <w:r w:rsidRPr="0095595F">
              <w:t>Equity Initiative related provider payment increase requirements for the demonstration period of performance DY 27 thru DY 32 </w:t>
            </w:r>
          </w:p>
        </w:tc>
      </w:tr>
      <w:tr w:rsidR="0095595F" w:rsidRPr="0095595F" w14:paraId="1E1AF3E4" w14:textId="77777777" w:rsidTr="00445347">
        <w:tc>
          <w:tcPr>
            <w:tcW w:w="3104" w:type="dxa"/>
            <w:tcBorders>
              <w:top w:val="single" w:sz="6" w:space="0" w:color="auto"/>
              <w:left w:val="single" w:sz="6" w:space="0" w:color="auto"/>
              <w:bottom w:val="single" w:sz="6" w:space="0" w:color="auto"/>
              <w:right w:val="single" w:sz="6" w:space="0" w:color="auto"/>
            </w:tcBorders>
            <w:shd w:val="clear" w:color="auto" w:fill="DBE5F1"/>
            <w:hideMark/>
          </w:tcPr>
          <w:p w14:paraId="7CEB3216" w14:textId="77777777" w:rsidR="0095595F" w:rsidRPr="0095595F" w:rsidRDefault="0095595F" w:rsidP="0095595F">
            <w:pPr>
              <w:rPr>
                <w:b/>
                <w:bCs/>
              </w:rPr>
            </w:pPr>
            <w:r w:rsidRPr="0095595F">
              <w:rPr>
                <w:b/>
                <w:bCs/>
              </w:rPr>
              <w:t>Category of Service </w:t>
            </w:r>
          </w:p>
        </w:tc>
        <w:tc>
          <w:tcPr>
            <w:tcW w:w="3105" w:type="dxa"/>
            <w:tcBorders>
              <w:top w:val="single" w:sz="6" w:space="0" w:color="auto"/>
              <w:left w:val="single" w:sz="6" w:space="0" w:color="auto"/>
              <w:bottom w:val="single" w:sz="6" w:space="0" w:color="auto"/>
              <w:right w:val="single" w:sz="6" w:space="0" w:color="auto"/>
            </w:tcBorders>
            <w:shd w:val="clear" w:color="auto" w:fill="DBE5F1"/>
            <w:hideMark/>
          </w:tcPr>
          <w:p w14:paraId="65ED6748" w14:textId="77777777" w:rsidR="0095595F" w:rsidRPr="0095595F" w:rsidRDefault="0095595F" w:rsidP="0095595F">
            <w:pPr>
              <w:rPr>
                <w:b/>
                <w:bCs/>
              </w:rPr>
            </w:pPr>
            <w:r w:rsidRPr="0095595F">
              <w:rPr>
                <w:b/>
                <w:bCs/>
              </w:rPr>
              <w:t>Medicaid Fee-for-Service to Medicare Fee-for-service Ratio  </w:t>
            </w:r>
          </w:p>
        </w:tc>
        <w:tc>
          <w:tcPr>
            <w:tcW w:w="3135" w:type="dxa"/>
            <w:tcBorders>
              <w:top w:val="single" w:sz="6" w:space="0" w:color="auto"/>
              <w:left w:val="single" w:sz="6" w:space="0" w:color="auto"/>
              <w:bottom w:val="single" w:sz="6" w:space="0" w:color="auto"/>
              <w:right w:val="single" w:sz="6" w:space="0" w:color="auto"/>
            </w:tcBorders>
            <w:shd w:val="clear" w:color="auto" w:fill="DBE5F1"/>
            <w:hideMark/>
          </w:tcPr>
          <w:p w14:paraId="5FA02792" w14:textId="77777777" w:rsidR="0095595F" w:rsidRPr="0095595F" w:rsidRDefault="0095595F" w:rsidP="0095595F">
            <w:pPr>
              <w:rPr>
                <w:b/>
                <w:bCs/>
              </w:rPr>
            </w:pPr>
            <w:r w:rsidRPr="0095595F">
              <w:rPr>
                <w:b/>
                <w:bCs/>
              </w:rPr>
              <w:t>Medicaid Managed Care to Medicare Fee-for-service Ratio </w:t>
            </w:r>
          </w:p>
        </w:tc>
      </w:tr>
      <w:tr w:rsidR="0095595F" w:rsidRPr="0095595F" w14:paraId="22E4D465" w14:textId="77777777" w:rsidTr="00445347">
        <w:trPr>
          <w:trHeight w:val="525"/>
        </w:trPr>
        <w:tc>
          <w:tcPr>
            <w:tcW w:w="3104"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0B0B423B" w14:textId="77777777" w:rsidR="0095595F" w:rsidRPr="0095595F" w:rsidRDefault="0095595F" w:rsidP="0095595F">
            <w:r w:rsidRPr="0095595F">
              <w:t>Primary Care Services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49F88116" w14:textId="18B99BF2" w:rsidR="0095595F" w:rsidRPr="0095595F" w:rsidRDefault="00DD7C86" w:rsidP="0095595F">
            <w:r>
              <w:t>9</w:t>
            </w:r>
            <w:r w:rsidR="00166212">
              <w:t>6</w:t>
            </w:r>
            <w:r w:rsidR="00E11E66">
              <w:t>%</w:t>
            </w:r>
          </w:p>
        </w:tc>
        <w:tc>
          <w:tcPr>
            <w:tcW w:w="3135" w:type="dxa"/>
            <w:tcBorders>
              <w:top w:val="single" w:sz="6" w:space="0" w:color="auto"/>
              <w:left w:val="single" w:sz="6" w:space="0" w:color="auto"/>
              <w:bottom w:val="single" w:sz="6" w:space="0" w:color="auto"/>
              <w:right w:val="single" w:sz="6" w:space="0" w:color="auto"/>
            </w:tcBorders>
            <w:shd w:val="clear" w:color="auto" w:fill="auto"/>
            <w:hideMark/>
          </w:tcPr>
          <w:p w14:paraId="5D7D16E9" w14:textId="23A04A4A" w:rsidR="0095595F" w:rsidRPr="0095595F" w:rsidRDefault="00166212" w:rsidP="0095595F">
            <w:r>
              <w:t>90</w:t>
            </w:r>
            <w:r w:rsidR="00E11E66">
              <w:t>%</w:t>
            </w:r>
          </w:p>
        </w:tc>
      </w:tr>
      <w:tr w:rsidR="0095595F" w:rsidRPr="0095595F" w14:paraId="05000B20" w14:textId="77777777" w:rsidTr="23AC74BA">
        <w:trPr>
          <w:trHeight w:val="525"/>
        </w:trPr>
        <w:tc>
          <w:tcPr>
            <w:tcW w:w="0" w:type="auto"/>
            <w:vMerge/>
            <w:vAlign w:val="center"/>
            <w:hideMark/>
          </w:tcPr>
          <w:p w14:paraId="3FB4E1CF" w14:textId="77777777" w:rsidR="0095595F" w:rsidRPr="0095595F" w:rsidRDefault="0095595F" w:rsidP="0095595F"/>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144DEF1B" w14:textId="018D27B5" w:rsidR="009F30B3" w:rsidRDefault="00ED0D21" w:rsidP="0095595F">
            <w:r>
              <w:t xml:space="preserve">Ratio determined by </w:t>
            </w:r>
            <w:r w:rsidR="00715EDB">
              <w:t>cal</w:t>
            </w:r>
            <w:r w:rsidR="00C461B6">
              <w:t xml:space="preserve">culating the </w:t>
            </w:r>
            <w:r w:rsidR="00966E27">
              <w:t xml:space="preserve">MassHealth percent </w:t>
            </w:r>
            <w:r w:rsidR="00884D17">
              <w:t>of each individual</w:t>
            </w:r>
            <w:r w:rsidR="00966E27">
              <w:t xml:space="preserve"> primary care service</w:t>
            </w:r>
            <w:r w:rsidR="00BE7612">
              <w:t xml:space="preserve"> (effective 8/1/2021) </w:t>
            </w:r>
            <w:r w:rsidR="00712036">
              <w:t>of</w:t>
            </w:r>
            <w:r w:rsidR="00BE7612">
              <w:t xml:space="preserve"> the </w:t>
            </w:r>
            <w:r w:rsidR="00016436">
              <w:t xml:space="preserve">corresponding </w:t>
            </w:r>
            <w:r w:rsidR="00BE7612">
              <w:t>2022 Medicare rate</w:t>
            </w:r>
            <w:r w:rsidR="00FC378E">
              <w:t xml:space="preserve"> (</w:t>
            </w:r>
            <w:r w:rsidR="00FC378E" w:rsidRPr="00FC378E">
              <w:t>CMS RVU File link:</w:t>
            </w:r>
            <w:r w:rsidR="00FC378E">
              <w:t xml:space="preserve"> </w:t>
            </w:r>
            <w:r w:rsidR="00FC378E" w:rsidRPr="00FC378E">
              <w:t>https://www.cms.gov/medicaremedicare-fee-service-paymentphysicianfeeschedpfs-relative-value-files/rvu22b</w:t>
            </w:r>
            <w:r w:rsidR="00FC378E">
              <w:t>)</w:t>
            </w:r>
            <w:r w:rsidR="00BE7612">
              <w:t xml:space="preserve">, </w:t>
            </w:r>
            <w:r w:rsidR="00712036">
              <w:t xml:space="preserve">and taking the </w:t>
            </w:r>
            <w:r w:rsidR="00C3217B">
              <w:t>weighted</w:t>
            </w:r>
            <w:r w:rsidR="00712036">
              <w:t xml:space="preserve"> average</w:t>
            </w:r>
            <w:r w:rsidR="00016436">
              <w:t xml:space="preserve"> of all percents</w:t>
            </w:r>
            <w:r w:rsidR="00712036">
              <w:t xml:space="preserve">, </w:t>
            </w:r>
            <w:r w:rsidR="00BE7612">
              <w:t>as described in STC 21.</w:t>
            </w:r>
            <w:r w:rsidR="004323CB">
              <w:t>1(a</w:t>
            </w:r>
            <w:r w:rsidR="00BE7612">
              <w:t>).</w:t>
            </w:r>
            <w:r w:rsidR="00BE7612" w:rsidRPr="0095595F">
              <w:t> </w:t>
            </w:r>
            <w:r w:rsidR="00BE7612">
              <w:t xml:space="preserve"> </w:t>
            </w:r>
            <w:r w:rsidR="00966E27">
              <w:t xml:space="preserve"> </w:t>
            </w:r>
            <w:r w:rsidR="00341820">
              <w:t xml:space="preserve">The codes for primary care services are </w:t>
            </w:r>
            <w:r w:rsidR="00800CF4">
              <w:t>the same codes listed in Zuckerman et al., 2021, appendix</w:t>
            </w:r>
            <w:r w:rsidR="003F336B">
              <w:t xml:space="preserve"> exhibit</w:t>
            </w:r>
            <w:r w:rsidR="00800CF4">
              <w:t xml:space="preserve"> 1.</w:t>
            </w:r>
            <w:r w:rsidR="00986354">
              <w:t xml:space="preserve"> </w:t>
            </w:r>
          </w:p>
          <w:p w14:paraId="1947A81B" w14:textId="06BE091F" w:rsidR="0095595F" w:rsidRPr="0095595F" w:rsidRDefault="00986354" w:rsidP="0095595F">
            <w:r>
              <w:t>The ratio include</w:t>
            </w:r>
            <w:r w:rsidR="0022761A">
              <w:t>s</w:t>
            </w:r>
            <w:r>
              <w:t xml:space="preserve"> </w:t>
            </w:r>
            <w:r w:rsidR="003B1FF4">
              <w:t>primary care services in</w:t>
            </w:r>
            <w:r w:rsidR="004323CB">
              <w:t xml:space="preserve"> group practice organizations,</w:t>
            </w:r>
            <w:r w:rsidR="003B1FF4">
              <w:t xml:space="preserve"> community health centers, hospital licensed health centers, </w:t>
            </w:r>
            <w:r w:rsidR="009F30B3">
              <w:t xml:space="preserve">and the </w:t>
            </w:r>
            <w:r>
              <w:t xml:space="preserve">primary care </w:t>
            </w:r>
            <w:proofErr w:type="spellStart"/>
            <w:r>
              <w:t>subcapitation</w:t>
            </w:r>
            <w:proofErr w:type="spellEnd"/>
            <w:r>
              <w:t xml:space="preserve"> rate</w:t>
            </w:r>
            <w:r w:rsidR="009F30B3">
              <w:t>s for PCPs participating in a Primary Care ACO</w:t>
            </w:r>
            <w:r>
              <w:t xml:space="preserve"> effective </w:t>
            </w:r>
            <w:proofErr w:type="gramStart"/>
            <w:r>
              <w:t>April,</w:t>
            </w:r>
            <w:proofErr w:type="gramEnd"/>
            <w:r>
              <w:t xml:space="preserve"> 2023. </w:t>
            </w:r>
          </w:p>
        </w:tc>
        <w:tc>
          <w:tcPr>
            <w:tcW w:w="3135" w:type="dxa"/>
            <w:tcBorders>
              <w:top w:val="single" w:sz="6" w:space="0" w:color="auto"/>
              <w:left w:val="single" w:sz="6" w:space="0" w:color="auto"/>
              <w:bottom w:val="single" w:sz="6" w:space="0" w:color="auto"/>
              <w:right w:val="single" w:sz="6" w:space="0" w:color="auto"/>
            </w:tcBorders>
            <w:shd w:val="clear" w:color="auto" w:fill="auto"/>
            <w:hideMark/>
          </w:tcPr>
          <w:p w14:paraId="0B6D2A96" w14:textId="08551238" w:rsidR="00986354" w:rsidRDefault="00986354" w:rsidP="00986354">
            <w:r>
              <w:t xml:space="preserve"> The ratio was determined by extracting encounters for managed care primary care codes</w:t>
            </w:r>
            <w:r w:rsidR="003A0E2E">
              <w:t xml:space="preserve"> (effective 11/1/22)</w:t>
            </w:r>
            <w:r w:rsidR="001A4683">
              <w:t xml:space="preserve">. The codes for primary care services are the same codes listed in Zuckerman et al., 2021, appendix exhibit 1. </w:t>
            </w:r>
            <w:r>
              <w:t xml:space="preserve"> </w:t>
            </w:r>
          </w:p>
          <w:p w14:paraId="088A1B1A" w14:textId="32EAFE59" w:rsidR="001D69F6" w:rsidRDefault="001D69F6" w:rsidP="00986354">
            <w:r>
              <w:t>The ratio includes primary care services in</w:t>
            </w:r>
            <w:r w:rsidR="004323CB">
              <w:t xml:space="preserve"> group practice organizations,</w:t>
            </w:r>
            <w:r>
              <w:t xml:space="preserve"> community health centers, hospital licensed health centers, </w:t>
            </w:r>
            <w:r w:rsidR="009F30B3">
              <w:t xml:space="preserve">and the </w:t>
            </w:r>
            <w:r>
              <w:t xml:space="preserve">primary care </w:t>
            </w:r>
            <w:proofErr w:type="spellStart"/>
            <w:r>
              <w:t>subcapitation</w:t>
            </w:r>
            <w:proofErr w:type="spellEnd"/>
            <w:r>
              <w:t xml:space="preserve"> rate</w:t>
            </w:r>
            <w:r w:rsidR="009F30B3">
              <w:t>s for PCPs participating in an Accountable Care Partnership Plan</w:t>
            </w:r>
            <w:r>
              <w:t xml:space="preserve"> effective </w:t>
            </w:r>
            <w:proofErr w:type="gramStart"/>
            <w:r>
              <w:t>April,</w:t>
            </w:r>
            <w:proofErr w:type="gramEnd"/>
            <w:r>
              <w:t xml:space="preserve"> 2023. </w:t>
            </w:r>
          </w:p>
          <w:p w14:paraId="7C2C5F3D" w14:textId="4D4EAF3B" w:rsidR="00397AE8" w:rsidRDefault="00397AE8" w:rsidP="00986354"/>
          <w:p w14:paraId="5EA53EE0" w14:textId="39B1CAC6" w:rsidR="00397AE8" w:rsidRDefault="00397AE8" w:rsidP="00986354">
            <w:r>
              <w:t xml:space="preserve">MassHealth used </w:t>
            </w:r>
            <w:r w:rsidR="00A650DE">
              <w:t xml:space="preserve">the 2022 </w:t>
            </w:r>
            <w:r>
              <w:t>Medicare rate (</w:t>
            </w:r>
            <w:r w:rsidRPr="00FC378E">
              <w:t>CMS RVU File link:</w:t>
            </w:r>
            <w:r>
              <w:t xml:space="preserve"> </w:t>
            </w:r>
            <w:hyperlink r:id="rId9" w:history="1">
              <w:r w:rsidRPr="00427B91">
                <w:rPr>
                  <w:rStyle w:val="Hyperlink"/>
                </w:rPr>
                <w:t>https://www.cms.gov/medicaremedicare-fee-service-paymentphysicianfeeschedpfs-relative-value-files/rvu22b</w:t>
              </w:r>
            </w:hyperlink>
            <w:r>
              <w:t>) in our analysis.</w:t>
            </w:r>
          </w:p>
          <w:p w14:paraId="6D08C87B" w14:textId="42A8ACE9" w:rsidR="0095595F" w:rsidRPr="0095595F" w:rsidRDefault="0095595F" w:rsidP="00986354"/>
        </w:tc>
      </w:tr>
      <w:tr w:rsidR="0095595F" w:rsidRPr="0095595F" w14:paraId="4A769E3C" w14:textId="77777777" w:rsidTr="00445347">
        <w:trPr>
          <w:trHeight w:val="525"/>
        </w:trPr>
        <w:tc>
          <w:tcPr>
            <w:tcW w:w="3104"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6DB78897" w14:textId="77777777" w:rsidR="0095595F" w:rsidRPr="0095595F" w:rsidRDefault="0095595F" w:rsidP="0095595F">
            <w:r w:rsidRPr="0095595F">
              <w:t>Obstetric Care Services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34FFEB03" w14:textId="69ABC186" w:rsidR="0095595F" w:rsidRPr="0095595F" w:rsidRDefault="007F1D72" w:rsidP="0095595F">
            <w:r>
              <w:t>8</w:t>
            </w:r>
            <w:r w:rsidR="00F35E43">
              <w:t>7</w:t>
            </w:r>
            <w:r w:rsidR="005A18A9">
              <w:t>%</w:t>
            </w:r>
          </w:p>
        </w:tc>
        <w:tc>
          <w:tcPr>
            <w:tcW w:w="3135" w:type="dxa"/>
            <w:tcBorders>
              <w:top w:val="single" w:sz="6" w:space="0" w:color="auto"/>
              <w:left w:val="single" w:sz="6" w:space="0" w:color="auto"/>
              <w:bottom w:val="single" w:sz="6" w:space="0" w:color="auto"/>
              <w:right w:val="single" w:sz="6" w:space="0" w:color="auto"/>
            </w:tcBorders>
            <w:shd w:val="clear" w:color="auto" w:fill="auto"/>
          </w:tcPr>
          <w:p w14:paraId="58E7AA21" w14:textId="7D2C3237" w:rsidR="0095595F" w:rsidRPr="0095595F" w:rsidRDefault="00C32879" w:rsidP="0095595F">
            <w:r>
              <w:t>87</w:t>
            </w:r>
            <w:r w:rsidR="00C265AA">
              <w:t>%</w:t>
            </w:r>
          </w:p>
        </w:tc>
      </w:tr>
      <w:tr w:rsidR="00445347" w:rsidRPr="0095595F" w14:paraId="4E46A296" w14:textId="77777777" w:rsidTr="23AC74BA">
        <w:trPr>
          <w:trHeight w:val="525"/>
        </w:trPr>
        <w:tc>
          <w:tcPr>
            <w:tcW w:w="0" w:type="auto"/>
            <w:vMerge/>
            <w:vAlign w:val="center"/>
            <w:hideMark/>
          </w:tcPr>
          <w:p w14:paraId="43A1535D" w14:textId="77777777" w:rsidR="00445347" w:rsidRPr="0095595F" w:rsidRDefault="00445347" w:rsidP="00445347"/>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1F080262" w14:textId="238F6C28" w:rsidR="00445347" w:rsidRPr="0095595F" w:rsidRDefault="00445347" w:rsidP="00445347">
            <w:r>
              <w:t xml:space="preserve">Ratio determined by calculating the MassHealth percent of each individual obstetric care service (effective 8/1/2021) of the corresponding 2022 Medicare </w:t>
            </w:r>
            <w:proofErr w:type="gramStart"/>
            <w:r>
              <w:t>rate</w:t>
            </w:r>
            <w:r w:rsidR="00FC378E">
              <w:t>(</w:t>
            </w:r>
            <w:proofErr w:type="gramEnd"/>
            <w:r w:rsidR="00FC378E" w:rsidRPr="00FC378E">
              <w:t>CMS RVU File link:</w:t>
            </w:r>
            <w:r w:rsidR="00FC378E">
              <w:t xml:space="preserve"> </w:t>
            </w:r>
            <w:r w:rsidR="00FC378E" w:rsidRPr="00FC378E">
              <w:t>https://www.cms.gov/medicaremedicare-fee-service-paymentphysicianfeeschedpfs-relative-value-files/rvu22b</w:t>
            </w:r>
            <w:r w:rsidR="00FC378E">
              <w:t>)</w:t>
            </w:r>
            <w:r>
              <w:t xml:space="preserve">, and taking the </w:t>
            </w:r>
            <w:r w:rsidR="00C52191">
              <w:lastRenderedPageBreak/>
              <w:t>weighted</w:t>
            </w:r>
            <w:r>
              <w:t xml:space="preserve"> average of all percents, as described in STC 21.</w:t>
            </w:r>
            <w:r w:rsidR="004323CB">
              <w:t>1(a</w:t>
            </w:r>
            <w:r>
              <w:t>).</w:t>
            </w:r>
            <w:r w:rsidRPr="0095595F">
              <w:t> </w:t>
            </w:r>
            <w:r>
              <w:t xml:space="preserve">  The codes for obstetric care services are the same codes listed in Zuckerman et al., 2021, appendix exhibit 1.</w:t>
            </w:r>
          </w:p>
        </w:tc>
        <w:tc>
          <w:tcPr>
            <w:tcW w:w="3135" w:type="dxa"/>
            <w:tcBorders>
              <w:top w:val="single" w:sz="6" w:space="0" w:color="auto"/>
              <w:left w:val="single" w:sz="6" w:space="0" w:color="auto"/>
              <w:bottom w:val="single" w:sz="6" w:space="0" w:color="auto"/>
              <w:right w:val="single" w:sz="6" w:space="0" w:color="auto"/>
            </w:tcBorders>
            <w:shd w:val="clear" w:color="auto" w:fill="auto"/>
            <w:hideMark/>
          </w:tcPr>
          <w:p w14:paraId="57C5BDB8" w14:textId="6677B41F" w:rsidR="00445347" w:rsidRDefault="00445347" w:rsidP="00445347">
            <w:r>
              <w:lastRenderedPageBreak/>
              <w:t xml:space="preserve"> The ratio was determined by extracting encounters for managed care </w:t>
            </w:r>
            <w:r w:rsidR="004323CB">
              <w:t xml:space="preserve">obstetric </w:t>
            </w:r>
            <w:r>
              <w:t xml:space="preserve">care codes (effective 11/1/22). The codes for </w:t>
            </w:r>
            <w:r w:rsidR="004323CB">
              <w:t xml:space="preserve">obstetric </w:t>
            </w:r>
            <w:r>
              <w:t xml:space="preserve">care services are the same codes listed in Zuckerman et al., 2021, appendix exhibit 1.  </w:t>
            </w:r>
          </w:p>
          <w:p w14:paraId="1945F5B0" w14:textId="2BEF0E0C" w:rsidR="00397AE8" w:rsidRDefault="00397AE8" w:rsidP="00445347"/>
          <w:p w14:paraId="0652AD66" w14:textId="4D1BACFE" w:rsidR="00397AE8" w:rsidRDefault="00397AE8" w:rsidP="00397AE8">
            <w:r>
              <w:lastRenderedPageBreak/>
              <w:t xml:space="preserve">MassHealth used </w:t>
            </w:r>
            <w:r w:rsidR="00A650DE">
              <w:t xml:space="preserve">the 2022 </w:t>
            </w:r>
            <w:r>
              <w:t>Medicare rate (</w:t>
            </w:r>
            <w:r w:rsidRPr="00FC378E">
              <w:t>CMS RVU File link:</w:t>
            </w:r>
            <w:r>
              <w:t xml:space="preserve"> </w:t>
            </w:r>
            <w:hyperlink r:id="rId10" w:history="1">
              <w:r w:rsidRPr="00427B91">
                <w:rPr>
                  <w:rStyle w:val="Hyperlink"/>
                </w:rPr>
                <w:t>https://www.cms.gov/medicaremedicare-fee-service-paymentphysicianfeeschedpfs-relative-value-files/rvu22b</w:t>
              </w:r>
            </w:hyperlink>
            <w:r>
              <w:t>) in our analysis.</w:t>
            </w:r>
          </w:p>
          <w:p w14:paraId="0CFAA32D" w14:textId="77777777" w:rsidR="00397AE8" w:rsidRDefault="00397AE8" w:rsidP="00445347"/>
          <w:p w14:paraId="11503D26" w14:textId="12B57E94" w:rsidR="00445347" w:rsidRPr="0095595F" w:rsidRDefault="00445347" w:rsidP="009F30B3"/>
        </w:tc>
      </w:tr>
      <w:tr w:rsidR="0095595F" w:rsidRPr="0095595F" w14:paraId="1C716C7B" w14:textId="77777777" w:rsidTr="008E123C">
        <w:trPr>
          <w:trHeight w:val="525"/>
        </w:trPr>
        <w:tc>
          <w:tcPr>
            <w:tcW w:w="3104"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06D82EC9" w14:textId="77777777" w:rsidR="0095595F" w:rsidRPr="0095595F" w:rsidRDefault="0095595F" w:rsidP="0095595F">
            <w:r w:rsidRPr="0095595F">
              <w:lastRenderedPageBreak/>
              <w:t>Behavioral Health Care Services </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2E8783C7" w14:textId="5034FDE4" w:rsidR="0095595F" w:rsidRPr="0095595F" w:rsidRDefault="008E123C" w:rsidP="0095595F">
            <w:r>
              <w:t>8</w:t>
            </w:r>
            <w:r w:rsidR="00F35E43">
              <w:t>6</w:t>
            </w:r>
            <w:r>
              <w:t>%</w:t>
            </w:r>
          </w:p>
        </w:tc>
        <w:tc>
          <w:tcPr>
            <w:tcW w:w="3135" w:type="dxa"/>
            <w:tcBorders>
              <w:top w:val="single" w:sz="6" w:space="0" w:color="auto"/>
              <w:left w:val="single" w:sz="6" w:space="0" w:color="auto"/>
              <w:bottom w:val="single" w:sz="6" w:space="0" w:color="auto"/>
              <w:right w:val="single" w:sz="6" w:space="0" w:color="auto"/>
            </w:tcBorders>
            <w:shd w:val="clear" w:color="auto" w:fill="auto"/>
            <w:hideMark/>
          </w:tcPr>
          <w:p w14:paraId="1FD729F5" w14:textId="52E89744" w:rsidR="0095595F" w:rsidRPr="0095595F" w:rsidRDefault="00F35E43" w:rsidP="0095595F">
            <w:r>
              <w:t>9</w:t>
            </w:r>
            <w:r w:rsidR="007024A2">
              <w:t>8</w:t>
            </w:r>
            <w:r w:rsidR="00A95E6B">
              <w:t>%</w:t>
            </w:r>
          </w:p>
        </w:tc>
      </w:tr>
      <w:tr w:rsidR="00246E69" w:rsidRPr="0095595F" w14:paraId="29D642EB" w14:textId="77777777" w:rsidTr="23AC74BA">
        <w:trPr>
          <w:trHeight w:val="525"/>
        </w:trPr>
        <w:tc>
          <w:tcPr>
            <w:tcW w:w="0" w:type="auto"/>
            <w:vMerge/>
            <w:vAlign w:val="center"/>
            <w:hideMark/>
          </w:tcPr>
          <w:p w14:paraId="465B614E" w14:textId="77777777" w:rsidR="00246E69" w:rsidRPr="0095595F" w:rsidRDefault="00246E69" w:rsidP="00246E69"/>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3AB0D723" w14:textId="3FFFDCA0" w:rsidR="00246E69" w:rsidRPr="0095595F" w:rsidRDefault="00246E69" w:rsidP="00246E69">
            <w:r>
              <w:t>Ratio determined by calculating the MassHealth percent of each individual behavioral health services (effective 8/1/2021) of the corresponding 2022 Medicare rate</w:t>
            </w:r>
            <w:r w:rsidR="00397AE8">
              <w:t xml:space="preserve"> </w:t>
            </w:r>
            <w:r w:rsidR="00FC378E">
              <w:t>(</w:t>
            </w:r>
            <w:r w:rsidR="00FC378E" w:rsidRPr="00FC378E">
              <w:t>CMS RVU File link:</w:t>
            </w:r>
            <w:r w:rsidR="00FC378E">
              <w:t xml:space="preserve"> </w:t>
            </w:r>
            <w:r w:rsidR="00FC378E" w:rsidRPr="00FC378E">
              <w:t>https://www.cms.gov/medicaremedicare-fee-service-paymentphysicianfeeschedpfs-relative-value-files/rvu22b</w:t>
            </w:r>
            <w:r w:rsidR="00FC378E">
              <w:t>)</w:t>
            </w:r>
            <w:r>
              <w:t xml:space="preserve">, and taking the </w:t>
            </w:r>
            <w:r w:rsidR="00965B16">
              <w:t>weighted</w:t>
            </w:r>
            <w:r>
              <w:t xml:space="preserve"> average of all percents, as described in STC 21.</w:t>
            </w:r>
            <w:r w:rsidR="004323CB">
              <w:t>1(a</w:t>
            </w:r>
            <w:r>
              <w:t>).</w:t>
            </w:r>
            <w:r w:rsidRPr="0095595F">
              <w:t> </w:t>
            </w:r>
            <w:r>
              <w:t xml:space="preserve">  The codes for behavioral health services are codes listed in </w:t>
            </w:r>
            <w:proofErr w:type="spellStart"/>
            <w:r>
              <w:t>ClemansCope</w:t>
            </w:r>
            <w:proofErr w:type="spellEnd"/>
            <w:r>
              <w:t xml:space="preserve"> et al., 2021</w:t>
            </w:r>
          </w:p>
        </w:tc>
        <w:tc>
          <w:tcPr>
            <w:tcW w:w="3135" w:type="dxa"/>
            <w:tcBorders>
              <w:top w:val="single" w:sz="6" w:space="0" w:color="auto"/>
              <w:left w:val="single" w:sz="6" w:space="0" w:color="auto"/>
              <w:bottom w:val="single" w:sz="6" w:space="0" w:color="auto"/>
              <w:right w:val="single" w:sz="6" w:space="0" w:color="auto"/>
            </w:tcBorders>
            <w:shd w:val="clear" w:color="auto" w:fill="auto"/>
            <w:hideMark/>
          </w:tcPr>
          <w:p w14:paraId="44323D58" w14:textId="77777777" w:rsidR="00246E69" w:rsidRDefault="004323CB" w:rsidP="00246E69">
            <w:r>
              <w:t xml:space="preserve">The ratio was determined by extracting encounters for managed care behavioral health codes (effective 11/1/22). </w:t>
            </w:r>
            <w:r w:rsidR="00246E69">
              <w:t>The codes for behavioral health services are codes listed in Clemans</w:t>
            </w:r>
            <w:r w:rsidR="00246E69">
              <w:noBreakHyphen/>
              <w:t xml:space="preserve">Cope et al., </w:t>
            </w:r>
            <w:proofErr w:type="gramStart"/>
            <w:r w:rsidR="00246E69">
              <w:t>2021</w:t>
            </w:r>
            <w:proofErr w:type="gramEnd"/>
          </w:p>
          <w:p w14:paraId="7480B73E" w14:textId="77777777" w:rsidR="00397AE8" w:rsidRDefault="00397AE8" w:rsidP="00246E69"/>
          <w:p w14:paraId="26780C2C" w14:textId="0490F978" w:rsidR="00397AE8" w:rsidRDefault="00397AE8" w:rsidP="00397AE8">
            <w:r>
              <w:t xml:space="preserve">MassHealth used </w:t>
            </w:r>
            <w:r w:rsidR="00A650DE">
              <w:t xml:space="preserve">the 2022 </w:t>
            </w:r>
            <w:r>
              <w:t>Medicare rate (</w:t>
            </w:r>
            <w:r w:rsidRPr="00FC378E">
              <w:t>CMS RVU File link:</w:t>
            </w:r>
            <w:r>
              <w:t xml:space="preserve"> </w:t>
            </w:r>
            <w:hyperlink r:id="rId11" w:history="1">
              <w:r w:rsidRPr="00427B91">
                <w:rPr>
                  <w:rStyle w:val="Hyperlink"/>
                </w:rPr>
                <w:t>https://www.cms.gov/medicaremedicare-fee-service-paymentphysicianfeeschedpfs-relative-value-files/rvu22b</w:t>
              </w:r>
            </w:hyperlink>
            <w:r>
              <w:t>) in our analysis.</w:t>
            </w:r>
          </w:p>
          <w:p w14:paraId="2D3A1F79" w14:textId="1F6951E9" w:rsidR="00397AE8" w:rsidRPr="0095595F" w:rsidRDefault="00397AE8" w:rsidP="00246E69"/>
        </w:tc>
      </w:tr>
      <w:tr w:rsidR="00246E69" w:rsidRPr="0095595F" w14:paraId="767A355A" w14:textId="77777777" w:rsidTr="00445347">
        <w:tc>
          <w:tcPr>
            <w:tcW w:w="9344" w:type="dxa"/>
            <w:gridSpan w:val="3"/>
            <w:tcBorders>
              <w:top w:val="single" w:sz="6" w:space="0" w:color="auto"/>
              <w:left w:val="single" w:sz="6" w:space="0" w:color="auto"/>
              <w:bottom w:val="single" w:sz="6" w:space="0" w:color="auto"/>
              <w:right w:val="single" w:sz="6" w:space="0" w:color="auto"/>
            </w:tcBorders>
            <w:shd w:val="clear" w:color="auto" w:fill="auto"/>
            <w:hideMark/>
          </w:tcPr>
          <w:p w14:paraId="1BD202AC" w14:textId="77777777" w:rsidR="00246E69" w:rsidRPr="0095595F" w:rsidRDefault="00246E69" w:rsidP="00246E69">
            <w:r w:rsidRPr="0095595F">
              <w:t xml:space="preserve">In accordance with STCs 21.1 through 21.12, including that the Medicaid provider payment rates used to establish the ratios do not reflect fee-for-service supplemental payments or Medicaid managed care pass-through payments under 42 CFR § 438.6(a) and 438.6(d), I attest that at least a two percentage point payment rate increase will be applied to each of the services in each of the three categories with a ratio below 80 percent in both fee-for-service and managed care delivery systems as applicable to the Commonwealth’s Medicaid or demonstration service delivery model.  Such provider payment increases for each service will be </w:t>
            </w:r>
            <w:r w:rsidRPr="006161BC">
              <w:t xml:space="preserve">effective beginning on </w:t>
            </w:r>
            <w:r w:rsidRPr="00D22BFB">
              <w:t>[</w:t>
            </w:r>
            <w:r w:rsidRPr="00D22BFB">
              <w:rPr>
                <w:i/>
                <w:iCs/>
              </w:rPr>
              <w:t>insert date</w:t>
            </w:r>
            <w:r w:rsidRPr="006161BC">
              <w:t xml:space="preserve">] and will not be lower than the highest rate for that service code in DY 28 plus a </w:t>
            </w:r>
            <w:proofErr w:type="gramStart"/>
            <w:r w:rsidRPr="006161BC">
              <w:t>two percentage</w:t>
            </w:r>
            <w:proofErr w:type="gramEnd"/>
            <w:r w:rsidRPr="006161BC">
              <w:t xml:space="preserve"> point increase relative to the rate for the same or similar Medicare billing code through at least [</w:t>
            </w:r>
            <w:r w:rsidRPr="00D22BFB">
              <w:rPr>
                <w:i/>
                <w:iCs/>
              </w:rPr>
              <w:t>insert date</w:t>
            </w:r>
            <w:r w:rsidRPr="006161BC">
              <w:t>].</w:t>
            </w:r>
            <w:r w:rsidRPr="0095595F">
              <w:t> </w:t>
            </w:r>
          </w:p>
          <w:p w14:paraId="0FF510BD" w14:textId="4AACF788" w:rsidR="00246E69" w:rsidRPr="0095595F" w:rsidRDefault="00246E69" w:rsidP="00246E69">
            <w:r w:rsidRPr="0095595F">
              <w:t>For the purpose of deriving the Medicaid to Medicare provider payment rate ratio, and to apply the rate increase as may be required under a fee-for-service delivery system or under managed care delivery system, as applicable, the Commonwealth agrees to define primary care, behavioral health and obstetric care, and to identify applicable service codes and providers types for each of these service categories in a manner consistent with other state and federal Medicaid program requirements, except that inpatient behavioral health services may be excluded from the Commonwealth’s definition.  </w:t>
            </w:r>
          </w:p>
          <w:p w14:paraId="777247B7" w14:textId="68A0FEB6" w:rsidR="00246E69" w:rsidRPr="0095595F" w:rsidRDefault="00246E69" w:rsidP="00246E69">
            <w:r w:rsidRPr="0095595F">
              <w:t>The services that comprise each service category to which the rate increase must be applied will include all service codes that fit under the Commonwealth’s definition of the category, except the behavioral health codes do not have to include inpatient care services.   </w:t>
            </w:r>
          </w:p>
          <w:p w14:paraId="18426EEA" w14:textId="035871F3" w:rsidR="00246E69" w:rsidRPr="0095595F" w:rsidRDefault="00246E69" w:rsidP="00246E69">
            <w:r w:rsidRPr="0095595F">
              <w:lastRenderedPageBreak/>
              <w:t>For provider payment rates paid under managed care delivery system, the data and methodology for any one of the service categories as provided in STC 21.6(b) will be based on Medicaid managed care provider payment rate and utilization data.   </w:t>
            </w:r>
          </w:p>
          <w:p w14:paraId="47A5C1AD" w14:textId="77777777" w:rsidR="00246E69" w:rsidRPr="0095595F" w:rsidRDefault="00246E69" w:rsidP="00246E69">
            <w:r w:rsidRPr="0095595F">
              <w:t> </w:t>
            </w:r>
          </w:p>
          <w:p w14:paraId="3D03EC4E" w14:textId="77777777" w:rsidR="00246E69" w:rsidRPr="0095595F" w:rsidRDefault="00246E69" w:rsidP="00246E69">
            <w:r w:rsidRPr="0095595F">
              <w:t>[</w:t>
            </w:r>
            <w:r w:rsidRPr="0095595F">
              <w:rPr>
                <w:i/>
                <w:iCs/>
              </w:rPr>
              <w:t>Select the applicable effective date, must check either a. or b</w:t>
            </w:r>
            <w:r w:rsidRPr="0095595F">
              <w:t xml:space="preserve">. </w:t>
            </w:r>
            <w:r w:rsidRPr="0095595F">
              <w:rPr>
                <w:i/>
                <w:iCs/>
              </w:rPr>
              <w:t>below</w:t>
            </w:r>
            <w:r w:rsidRPr="0095595F">
              <w:t>]   </w:t>
            </w:r>
          </w:p>
          <w:p w14:paraId="5A8D39BC" w14:textId="54A8012C" w:rsidR="00246E69" w:rsidRPr="0095595F" w:rsidRDefault="00631EB9" w:rsidP="00631EB9">
            <w:r w:rsidRPr="00631EB9">
              <w:rPr>
                <w:rFonts w:ascii="Segoe UI Symbol" w:hAnsi="Segoe UI Symbol" w:cs="Segoe UI Symbol"/>
              </w:rPr>
              <w:t>☑</w:t>
            </w:r>
            <w:r>
              <w:rPr>
                <w:rFonts w:ascii="Segoe UI Symbol" w:hAnsi="Segoe UI Symbol" w:cs="Segoe UI Symbol"/>
              </w:rPr>
              <w:t xml:space="preserve"> </w:t>
            </w:r>
            <w:r w:rsidR="00246E69" w:rsidRPr="0095595F">
              <w:t>a. The effective date of the rate increases is the first day of DY</w:t>
            </w:r>
            <w:r w:rsidR="00246E69">
              <w:t>27</w:t>
            </w:r>
            <w:r w:rsidR="00246E69" w:rsidRPr="0095595F">
              <w:t xml:space="preserve"> and will be at least sustained, if not higher, through DY</w:t>
            </w:r>
            <w:r w:rsidR="00246E69">
              <w:t>32</w:t>
            </w:r>
            <w:r w:rsidR="00246E69" w:rsidRPr="0095595F">
              <w:t>   </w:t>
            </w:r>
          </w:p>
          <w:p w14:paraId="76ECD37C" w14:textId="4C41CA41" w:rsidR="00246E69" w:rsidRPr="0095595F" w:rsidRDefault="00246E69" w:rsidP="00246E69">
            <w:r w:rsidRPr="0095595F">
              <w:rPr>
                <w:rFonts w:ascii="Segoe UI Symbol" w:hAnsi="Segoe UI Symbol" w:cs="Segoe UI Symbol"/>
              </w:rPr>
              <w:t>☐</w:t>
            </w:r>
            <w:r w:rsidR="00631EB9">
              <w:rPr>
                <w:rFonts w:ascii="Segoe UI Symbol" w:hAnsi="Segoe UI Symbol" w:cs="Segoe UI Symbol"/>
              </w:rPr>
              <w:t xml:space="preserve"> </w:t>
            </w:r>
            <w:r w:rsidRPr="0095595F">
              <w:t xml:space="preserve">b. Massachusetts has a biennial legislative session that requires provider payment </w:t>
            </w:r>
            <w:proofErr w:type="gramStart"/>
            <w:r w:rsidRPr="0095595F">
              <w:t>approval</w:t>
            </w:r>
            <w:proofErr w:type="gramEnd"/>
            <w:r w:rsidRPr="0095595F">
              <w:t xml:space="preserve"> and the timing of that session precludes the Commonwealth from implementing the payment increase on the first day of DY [</w:t>
            </w:r>
            <w:r w:rsidRPr="00221BCD">
              <w:rPr>
                <w:i/>
                <w:iCs/>
              </w:rPr>
              <w:t>3, provide the actual year</w:t>
            </w:r>
            <w:r w:rsidRPr="0095595F">
              <w:t>].  Massachusetts will effectuate the rate increases no later than the CMS approved date of [</w:t>
            </w:r>
            <w:r w:rsidRPr="0095595F">
              <w:rPr>
                <w:i/>
                <w:iCs/>
              </w:rPr>
              <w:t>insert date</w:t>
            </w:r>
            <w:r w:rsidRPr="0095595F">
              <w:t xml:space="preserve">], and will sustain these rates, if not made higher, through DY </w:t>
            </w:r>
            <w:r w:rsidRPr="00221BCD">
              <w:t>[</w:t>
            </w:r>
            <w:r w:rsidRPr="00221BCD">
              <w:rPr>
                <w:i/>
                <w:iCs/>
              </w:rPr>
              <w:t>5, provide the accrual year</w:t>
            </w:r>
            <w:r w:rsidRPr="0095595F">
              <w:t>].    </w:t>
            </w:r>
          </w:p>
        </w:tc>
      </w:tr>
      <w:tr w:rsidR="00246E69" w:rsidRPr="0095595F" w14:paraId="40229318" w14:textId="77777777" w:rsidTr="00445347">
        <w:tc>
          <w:tcPr>
            <w:tcW w:w="9344" w:type="dxa"/>
            <w:gridSpan w:val="3"/>
            <w:tcBorders>
              <w:top w:val="single" w:sz="6" w:space="0" w:color="auto"/>
              <w:left w:val="single" w:sz="6" w:space="0" w:color="auto"/>
              <w:bottom w:val="single" w:sz="6" w:space="0" w:color="auto"/>
              <w:right w:val="single" w:sz="6" w:space="0" w:color="auto"/>
            </w:tcBorders>
            <w:shd w:val="clear" w:color="auto" w:fill="auto"/>
            <w:hideMark/>
          </w:tcPr>
          <w:p w14:paraId="495DC0E5" w14:textId="6385E864" w:rsidR="00246E69" w:rsidRPr="0095595F" w:rsidRDefault="00246E69" w:rsidP="00246E69">
            <w:r w:rsidRPr="0095595F">
              <w:lastRenderedPageBreak/>
              <w:t xml:space="preserve">Massachusetts </w:t>
            </w:r>
            <w:r w:rsidR="00873E4B">
              <w:t>does</w:t>
            </w:r>
            <w:r w:rsidRPr="0095595F">
              <w:t xml:space="preserve"> make Medicaid state plan fee-for-service payments for the following categories of service for at least some populations: primary care, behavioral health, and / or obstetric care. </w:t>
            </w:r>
          </w:p>
          <w:p w14:paraId="0D3EDFF6" w14:textId="660CE0E6" w:rsidR="00246E69" w:rsidRPr="0095595F" w:rsidRDefault="00246E69" w:rsidP="00246E69">
            <w:r w:rsidRPr="0095595F">
              <w:t xml:space="preserve">For any such payments, as necessary to comply with the </w:t>
            </w:r>
            <w:r w:rsidR="00FB2CBA">
              <w:t xml:space="preserve">Hospital Quality and </w:t>
            </w:r>
            <w:r w:rsidRPr="0095595F">
              <w:t xml:space="preserve">Equity Initiative STCs, I agree to submit by no later </w:t>
            </w:r>
            <w:r w:rsidR="003C43DB">
              <w:t>June</w:t>
            </w:r>
            <w:r w:rsidR="00873E4B">
              <w:t xml:space="preserve"> </w:t>
            </w:r>
            <w:r w:rsidR="00873E4B" w:rsidRPr="00873E4B">
              <w:t>202</w:t>
            </w:r>
            <w:r w:rsidR="00873E4B">
              <w:t>3</w:t>
            </w:r>
            <w:r w:rsidRPr="00873E4B">
              <w:t xml:space="preserve"> for CMS</w:t>
            </w:r>
            <w:r w:rsidRPr="0095595F">
              <w:t xml:space="preserve"> review and approval the Medicaid state plan fee-for-service payment increase methodology, including the Medicaid code set to which the payment rate increases are to be applied, code level Medicaid utilization, Medicaid and Medicare rates for the same or similar Medicare billing codes, and other data used to calculate the ratio, and the methodology, as well as other documents and supporting information (e.g., state responses to Medicaid financing questions) as required by applicable statutes, regulations and CMS policy, through the submission of a new state plan amendment, following the normal SPA process including publishing timely tribal and public notice and submitting to CMS all required SPA forms (e.g., SPA transmittal letter, CMS-179, Attachment 4.19-B pages from the state), by no later than</w:t>
            </w:r>
            <w:r w:rsidR="00873E4B">
              <w:t xml:space="preserve"> </w:t>
            </w:r>
            <w:r w:rsidR="003C43DB">
              <w:t>June</w:t>
            </w:r>
            <w:r w:rsidR="00873E4B">
              <w:t xml:space="preserve"> 2023</w:t>
            </w:r>
            <w:r w:rsidRPr="0095595F">
              <w:t> </w:t>
            </w:r>
          </w:p>
        </w:tc>
      </w:tr>
      <w:tr w:rsidR="00246E69" w:rsidRPr="0095595F" w14:paraId="4AC28080" w14:textId="77777777" w:rsidTr="00445347">
        <w:tc>
          <w:tcPr>
            <w:tcW w:w="9344" w:type="dxa"/>
            <w:gridSpan w:val="3"/>
            <w:tcBorders>
              <w:top w:val="single" w:sz="6" w:space="0" w:color="auto"/>
              <w:left w:val="single" w:sz="6" w:space="0" w:color="auto"/>
              <w:bottom w:val="single" w:sz="6" w:space="0" w:color="auto"/>
              <w:right w:val="single" w:sz="6" w:space="0" w:color="auto"/>
            </w:tcBorders>
            <w:shd w:val="clear" w:color="auto" w:fill="auto"/>
            <w:hideMark/>
          </w:tcPr>
          <w:p w14:paraId="0971D870" w14:textId="62970DCD" w:rsidR="00246E69" w:rsidRPr="0095595F" w:rsidRDefault="00246E69" w:rsidP="00246E69">
            <w:r w:rsidRPr="0095595F">
              <w:t xml:space="preserve">Massachusetts </w:t>
            </w:r>
            <w:r w:rsidR="00873E4B">
              <w:t xml:space="preserve">does </w:t>
            </w:r>
            <w:r w:rsidRPr="0095595F">
              <w:t>include the following service categories within a Medicaid managed care delivery system for which the managed care plans make payments to applicable providers for at least some populations: primary care, behavioral health, and or obstetric care. </w:t>
            </w:r>
          </w:p>
          <w:p w14:paraId="7467BCCA" w14:textId="14408E2D" w:rsidR="00246E69" w:rsidRPr="0095595F" w:rsidRDefault="00246E69" w:rsidP="00246E69">
            <w:r w:rsidRPr="0095595F">
              <w:t xml:space="preserve"> For any such payments, as necessary to comply with the </w:t>
            </w:r>
            <w:r w:rsidR="00FB2CBA">
              <w:t xml:space="preserve">Hospital Quality and </w:t>
            </w:r>
            <w:r w:rsidRPr="0095595F">
              <w:t xml:space="preserve">Equity Initiative STCs, I agree to submit the Medicaid managed care plans’ provider payment increase methodology, including the information listed in STC 21.7 through the state directed payments submission process and in accordance with 42 CFR 438.6(c), as applicable, by no later than </w:t>
            </w:r>
            <w:r w:rsidR="0009153F">
              <w:t>June</w:t>
            </w:r>
            <w:r w:rsidR="00873E4B">
              <w:t xml:space="preserve"> 2023</w:t>
            </w:r>
            <w:r w:rsidRPr="0095595F">
              <w:t> </w:t>
            </w:r>
          </w:p>
        </w:tc>
      </w:tr>
      <w:tr w:rsidR="00246E69" w:rsidRPr="0095595F" w14:paraId="044B2A73" w14:textId="77777777" w:rsidTr="00445347">
        <w:tc>
          <w:tcPr>
            <w:tcW w:w="9344" w:type="dxa"/>
            <w:gridSpan w:val="3"/>
            <w:tcBorders>
              <w:top w:val="single" w:sz="6" w:space="0" w:color="auto"/>
              <w:left w:val="single" w:sz="6" w:space="0" w:color="auto"/>
              <w:bottom w:val="single" w:sz="6" w:space="0" w:color="auto"/>
              <w:right w:val="single" w:sz="6" w:space="0" w:color="auto"/>
            </w:tcBorders>
            <w:shd w:val="clear" w:color="auto" w:fill="auto"/>
            <w:hideMark/>
          </w:tcPr>
          <w:p w14:paraId="22C896BA" w14:textId="77777777" w:rsidR="00246E69" w:rsidRPr="0095595F" w:rsidRDefault="00246E69" w:rsidP="00246E69">
            <w:r w:rsidRPr="0095595F">
              <w:t xml:space="preserve">If the Commonwealth utilizes a managed care delivery system for the applicable service categories, then in accordance with STC 21.8, I attest that necessary arrangements will be made to assure that 100 percent of the </w:t>
            </w:r>
            <w:proofErr w:type="gramStart"/>
            <w:r w:rsidRPr="0095595F">
              <w:t>two percentage</w:t>
            </w:r>
            <w:proofErr w:type="gramEnd"/>
            <w:r w:rsidRPr="0095595F">
              <w:t xml:space="preserve"> point managed care plans’ provider payment increase will be paid to the providers of those service categories and none of this payment rate increase is retained by the managed care plans. </w:t>
            </w:r>
          </w:p>
        </w:tc>
      </w:tr>
      <w:tr w:rsidR="00246E69" w:rsidRPr="0095595F" w14:paraId="0BE82593" w14:textId="77777777" w:rsidTr="00445347">
        <w:tc>
          <w:tcPr>
            <w:tcW w:w="9344" w:type="dxa"/>
            <w:gridSpan w:val="3"/>
            <w:tcBorders>
              <w:top w:val="single" w:sz="6" w:space="0" w:color="auto"/>
              <w:left w:val="single" w:sz="6" w:space="0" w:color="auto"/>
              <w:bottom w:val="single" w:sz="6" w:space="0" w:color="auto"/>
              <w:right w:val="single" w:sz="6" w:space="0" w:color="auto"/>
            </w:tcBorders>
            <w:shd w:val="clear" w:color="auto" w:fill="auto"/>
            <w:hideMark/>
          </w:tcPr>
          <w:p w14:paraId="1B8D043C" w14:textId="309C1222" w:rsidR="00246E69" w:rsidRPr="0095595F" w:rsidRDefault="00246E69" w:rsidP="00246E69">
            <w:r w:rsidRPr="0095595F">
              <w:lastRenderedPageBreak/>
              <w:t>Massachusetts further agrees not to decrease provider payment rates for other Medicaid- or demonstration-covered services to make state funds available to finance provider rate increases required under this STC Section 21. </w:t>
            </w:r>
          </w:p>
        </w:tc>
      </w:tr>
      <w:tr w:rsidR="00246E69" w:rsidRPr="0095595F" w14:paraId="361D4453" w14:textId="77777777" w:rsidTr="00445347">
        <w:tc>
          <w:tcPr>
            <w:tcW w:w="9344" w:type="dxa"/>
            <w:gridSpan w:val="3"/>
            <w:tcBorders>
              <w:top w:val="single" w:sz="6" w:space="0" w:color="auto"/>
              <w:left w:val="single" w:sz="6" w:space="0" w:color="auto"/>
              <w:bottom w:val="single" w:sz="6" w:space="0" w:color="auto"/>
              <w:right w:val="single" w:sz="6" w:space="0" w:color="auto"/>
            </w:tcBorders>
            <w:shd w:val="clear" w:color="auto" w:fill="auto"/>
            <w:hideMark/>
          </w:tcPr>
          <w:p w14:paraId="63F63F95" w14:textId="579434D6" w:rsidR="00246E69" w:rsidRDefault="00246E69" w:rsidP="00246E69">
            <w:r w:rsidRPr="0095595F">
              <w:t xml:space="preserve">I, </w:t>
            </w:r>
            <w:r>
              <w:t>Mohamed Sesay,</w:t>
            </w:r>
            <w:r w:rsidRPr="0095595F">
              <w:rPr>
                <w:i/>
                <w:iCs/>
              </w:rPr>
              <w:t xml:space="preserve"> </w:t>
            </w:r>
            <w:r>
              <w:rPr>
                <w:i/>
                <w:iCs/>
              </w:rPr>
              <w:t>Chief Financial Officer</w:t>
            </w:r>
            <w:r w:rsidRPr="0095595F">
              <w:t>, attest that the above information is complete and accurate. </w:t>
            </w:r>
          </w:p>
          <w:p w14:paraId="6BBBE23C" w14:textId="77777777" w:rsidR="0066090A" w:rsidRPr="0095595F" w:rsidRDefault="0066090A" w:rsidP="00246E69"/>
          <w:p w14:paraId="0B46699A" w14:textId="35FA84F6" w:rsidR="00100B6C" w:rsidRDefault="00224CDA" w:rsidP="00100B6C">
            <w:r>
              <w:t xml:space="preserve">Mohamed Sesay, </w:t>
            </w:r>
            <w:r w:rsidR="0066090A">
              <w:t>March 6,</w:t>
            </w:r>
            <w:r w:rsidR="00100B6C">
              <w:t xml:space="preserve"> 2023</w:t>
            </w:r>
          </w:p>
          <w:p w14:paraId="7CB7E6C6" w14:textId="722EDFA3" w:rsidR="00246E69" w:rsidRPr="0095595F" w:rsidRDefault="00246E69" w:rsidP="00100B6C">
            <w:r>
              <w:t>Mohamed Sesay</w:t>
            </w:r>
            <w:r w:rsidRPr="0095595F">
              <w:t>  </w:t>
            </w:r>
          </w:p>
        </w:tc>
      </w:tr>
    </w:tbl>
    <w:p w14:paraId="777C5806" w14:textId="1BD2EA83" w:rsidR="00000000" w:rsidRDefault="00000000" w:rsidP="00C274CE"/>
    <w:sectPr w:rsidR="004A30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64D6"/>
    <w:multiLevelType w:val="hybridMultilevel"/>
    <w:tmpl w:val="2EF603F4"/>
    <w:lvl w:ilvl="0" w:tplc="95E84E4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92D78"/>
    <w:multiLevelType w:val="multilevel"/>
    <w:tmpl w:val="03BEFE9A"/>
    <w:lvl w:ilvl="0">
      <w:start w:val="49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4B078B"/>
    <w:multiLevelType w:val="hybridMultilevel"/>
    <w:tmpl w:val="18A85B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4372F9"/>
    <w:multiLevelType w:val="hybridMultilevel"/>
    <w:tmpl w:val="4138912C"/>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C232F10"/>
    <w:multiLevelType w:val="multilevel"/>
    <w:tmpl w:val="700C09CC"/>
    <w:lvl w:ilvl="0">
      <w:start w:val="50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121A08"/>
    <w:multiLevelType w:val="multilevel"/>
    <w:tmpl w:val="972A9E44"/>
    <w:lvl w:ilvl="0">
      <w:start w:val="49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866202"/>
    <w:multiLevelType w:val="hybridMultilevel"/>
    <w:tmpl w:val="7AA2F6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5E004F"/>
    <w:multiLevelType w:val="multilevel"/>
    <w:tmpl w:val="2FF0913C"/>
    <w:lvl w:ilvl="0">
      <w:start w:val="49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E27F56"/>
    <w:multiLevelType w:val="hybridMultilevel"/>
    <w:tmpl w:val="B7E8D0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2DB7D8F"/>
    <w:multiLevelType w:val="multilevel"/>
    <w:tmpl w:val="767290C4"/>
    <w:lvl w:ilvl="0">
      <w:start w:val="49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E05390"/>
    <w:multiLevelType w:val="hybridMultilevel"/>
    <w:tmpl w:val="CED8D8E0"/>
    <w:lvl w:ilvl="0" w:tplc="00E4A05E">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A637AC"/>
    <w:multiLevelType w:val="hybridMultilevel"/>
    <w:tmpl w:val="8A2E948A"/>
    <w:lvl w:ilvl="0" w:tplc="3FB42A7E">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DBA03C5"/>
    <w:multiLevelType w:val="hybridMultilevel"/>
    <w:tmpl w:val="8DA2236A"/>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97896919">
    <w:abstractNumId w:val="5"/>
  </w:num>
  <w:num w:numId="2" w16cid:durableId="1832939943">
    <w:abstractNumId w:val="7"/>
  </w:num>
  <w:num w:numId="3" w16cid:durableId="1328944254">
    <w:abstractNumId w:val="9"/>
  </w:num>
  <w:num w:numId="4" w16cid:durableId="1886257711">
    <w:abstractNumId w:val="1"/>
  </w:num>
  <w:num w:numId="5" w16cid:durableId="388109987">
    <w:abstractNumId w:val="4"/>
  </w:num>
  <w:num w:numId="6" w16cid:durableId="548685484">
    <w:abstractNumId w:val="6"/>
  </w:num>
  <w:num w:numId="7" w16cid:durableId="1393775823">
    <w:abstractNumId w:val="12"/>
  </w:num>
  <w:num w:numId="8" w16cid:durableId="471800302">
    <w:abstractNumId w:val="3"/>
  </w:num>
  <w:num w:numId="9" w16cid:durableId="1282763775">
    <w:abstractNumId w:val="2"/>
  </w:num>
  <w:num w:numId="10" w16cid:durableId="650720218">
    <w:abstractNumId w:val="0"/>
  </w:num>
  <w:num w:numId="11" w16cid:durableId="391778005">
    <w:abstractNumId w:val="11"/>
  </w:num>
  <w:num w:numId="12" w16cid:durableId="1986010014">
    <w:abstractNumId w:val="10"/>
  </w:num>
  <w:num w:numId="13" w16cid:durableId="13633656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4CE"/>
    <w:rsid w:val="00016436"/>
    <w:rsid w:val="000217B9"/>
    <w:rsid w:val="0009153F"/>
    <w:rsid w:val="000979CF"/>
    <w:rsid w:val="000A329E"/>
    <w:rsid w:val="000C090A"/>
    <w:rsid w:val="000D04AD"/>
    <w:rsid w:val="00100B6C"/>
    <w:rsid w:val="00123973"/>
    <w:rsid w:val="00130975"/>
    <w:rsid w:val="00150F75"/>
    <w:rsid w:val="00165BFC"/>
    <w:rsid w:val="00166212"/>
    <w:rsid w:val="001675BB"/>
    <w:rsid w:val="00195849"/>
    <w:rsid w:val="001A4683"/>
    <w:rsid w:val="001A6FC1"/>
    <w:rsid w:val="001B4CB6"/>
    <w:rsid w:val="001B575D"/>
    <w:rsid w:val="001B7D93"/>
    <w:rsid w:val="001D69F6"/>
    <w:rsid w:val="001F32C0"/>
    <w:rsid w:val="00200B17"/>
    <w:rsid w:val="00211A42"/>
    <w:rsid w:val="00211D90"/>
    <w:rsid w:val="00213BCE"/>
    <w:rsid w:val="00221BCD"/>
    <w:rsid w:val="00224CDA"/>
    <w:rsid w:val="0022761A"/>
    <w:rsid w:val="00246E69"/>
    <w:rsid w:val="00250BFF"/>
    <w:rsid w:val="00297634"/>
    <w:rsid w:val="002E0316"/>
    <w:rsid w:val="002F49C7"/>
    <w:rsid w:val="00337C45"/>
    <w:rsid w:val="00341820"/>
    <w:rsid w:val="0034743F"/>
    <w:rsid w:val="00353934"/>
    <w:rsid w:val="00362D14"/>
    <w:rsid w:val="0036732D"/>
    <w:rsid w:val="00395EB7"/>
    <w:rsid w:val="00397AE8"/>
    <w:rsid w:val="003A0E2E"/>
    <w:rsid w:val="003B1FF4"/>
    <w:rsid w:val="003C43DB"/>
    <w:rsid w:val="003F336B"/>
    <w:rsid w:val="003F3D89"/>
    <w:rsid w:val="003F6293"/>
    <w:rsid w:val="0040274A"/>
    <w:rsid w:val="004323CB"/>
    <w:rsid w:val="004361A8"/>
    <w:rsid w:val="00440A3E"/>
    <w:rsid w:val="00445347"/>
    <w:rsid w:val="00475223"/>
    <w:rsid w:val="00494322"/>
    <w:rsid w:val="004A0D6A"/>
    <w:rsid w:val="004C1A12"/>
    <w:rsid w:val="004C5926"/>
    <w:rsid w:val="004D443F"/>
    <w:rsid w:val="004F069C"/>
    <w:rsid w:val="005201B1"/>
    <w:rsid w:val="00523570"/>
    <w:rsid w:val="00550A10"/>
    <w:rsid w:val="00552FB1"/>
    <w:rsid w:val="00577B60"/>
    <w:rsid w:val="005A18A9"/>
    <w:rsid w:val="005A7D1B"/>
    <w:rsid w:val="005F2F26"/>
    <w:rsid w:val="006161BC"/>
    <w:rsid w:val="00631EB9"/>
    <w:rsid w:val="00650942"/>
    <w:rsid w:val="0066040A"/>
    <w:rsid w:val="0066090A"/>
    <w:rsid w:val="007024A2"/>
    <w:rsid w:val="00707A55"/>
    <w:rsid w:val="00712036"/>
    <w:rsid w:val="00715EDB"/>
    <w:rsid w:val="00722BC4"/>
    <w:rsid w:val="00726BAC"/>
    <w:rsid w:val="00730C37"/>
    <w:rsid w:val="00741EE2"/>
    <w:rsid w:val="00766D2A"/>
    <w:rsid w:val="007905C1"/>
    <w:rsid w:val="007F1D72"/>
    <w:rsid w:val="00800CF4"/>
    <w:rsid w:val="00801C00"/>
    <w:rsid w:val="0080371D"/>
    <w:rsid w:val="00830517"/>
    <w:rsid w:val="00836E7E"/>
    <w:rsid w:val="008453F1"/>
    <w:rsid w:val="00854BA9"/>
    <w:rsid w:val="00873E4B"/>
    <w:rsid w:val="0087435E"/>
    <w:rsid w:val="00884D17"/>
    <w:rsid w:val="00894254"/>
    <w:rsid w:val="008970C0"/>
    <w:rsid w:val="008B294F"/>
    <w:rsid w:val="008B3CA5"/>
    <w:rsid w:val="008C19A3"/>
    <w:rsid w:val="008E123C"/>
    <w:rsid w:val="008E7326"/>
    <w:rsid w:val="008E7382"/>
    <w:rsid w:val="008F1B70"/>
    <w:rsid w:val="008F2681"/>
    <w:rsid w:val="009307AA"/>
    <w:rsid w:val="00935030"/>
    <w:rsid w:val="00941ED2"/>
    <w:rsid w:val="00943021"/>
    <w:rsid w:val="009531E4"/>
    <w:rsid w:val="0095595F"/>
    <w:rsid w:val="00965B16"/>
    <w:rsid w:val="00966E27"/>
    <w:rsid w:val="00986354"/>
    <w:rsid w:val="00986B09"/>
    <w:rsid w:val="00992A09"/>
    <w:rsid w:val="009F30B3"/>
    <w:rsid w:val="00A32725"/>
    <w:rsid w:val="00A44A6D"/>
    <w:rsid w:val="00A56113"/>
    <w:rsid w:val="00A64C2D"/>
    <w:rsid w:val="00A650DE"/>
    <w:rsid w:val="00A8153F"/>
    <w:rsid w:val="00A84B36"/>
    <w:rsid w:val="00A86D58"/>
    <w:rsid w:val="00A95E6B"/>
    <w:rsid w:val="00A97F0D"/>
    <w:rsid w:val="00AA7AD8"/>
    <w:rsid w:val="00AB66B2"/>
    <w:rsid w:val="00AE6F82"/>
    <w:rsid w:val="00B4137F"/>
    <w:rsid w:val="00B4314B"/>
    <w:rsid w:val="00B52645"/>
    <w:rsid w:val="00B54F38"/>
    <w:rsid w:val="00B574DF"/>
    <w:rsid w:val="00B67CA3"/>
    <w:rsid w:val="00B91CB5"/>
    <w:rsid w:val="00BC32A0"/>
    <w:rsid w:val="00BE7612"/>
    <w:rsid w:val="00BF6131"/>
    <w:rsid w:val="00BF7306"/>
    <w:rsid w:val="00C001FF"/>
    <w:rsid w:val="00C265AA"/>
    <w:rsid w:val="00C274CE"/>
    <w:rsid w:val="00C3217B"/>
    <w:rsid w:val="00C32879"/>
    <w:rsid w:val="00C461B6"/>
    <w:rsid w:val="00C52191"/>
    <w:rsid w:val="00C85730"/>
    <w:rsid w:val="00C90E5F"/>
    <w:rsid w:val="00C93507"/>
    <w:rsid w:val="00C957E9"/>
    <w:rsid w:val="00C97349"/>
    <w:rsid w:val="00CC1986"/>
    <w:rsid w:val="00CD21E4"/>
    <w:rsid w:val="00D13AB2"/>
    <w:rsid w:val="00D22BFB"/>
    <w:rsid w:val="00D407CE"/>
    <w:rsid w:val="00D47F7D"/>
    <w:rsid w:val="00D62097"/>
    <w:rsid w:val="00D636CC"/>
    <w:rsid w:val="00DA5E51"/>
    <w:rsid w:val="00DA748B"/>
    <w:rsid w:val="00DB1BE8"/>
    <w:rsid w:val="00DB3999"/>
    <w:rsid w:val="00DD7C86"/>
    <w:rsid w:val="00DE3BB2"/>
    <w:rsid w:val="00E11E66"/>
    <w:rsid w:val="00E26321"/>
    <w:rsid w:val="00E30865"/>
    <w:rsid w:val="00E554BA"/>
    <w:rsid w:val="00E81073"/>
    <w:rsid w:val="00E82AB5"/>
    <w:rsid w:val="00E83442"/>
    <w:rsid w:val="00E86B71"/>
    <w:rsid w:val="00EA388C"/>
    <w:rsid w:val="00ED0D21"/>
    <w:rsid w:val="00EE4EF0"/>
    <w:rsid w:val="00EF4325"/>
    <w:rsid w:val="00F10AF6"/>
    <w:rsid w:val="00F11969"/>
    <w:rsid w:val="00F2088C"/>
    <w:rsid w:val="00F22E2C"/>
    <w:rsid w:val="00F35E43"/>
    <w:rsid w:val="00F5611E"/>
    <w:rsid w:val="00F62F37"/>
    <w:rsid w:val="00FA044A"/>
    <w:rsid w:val="00FB2CBA"/>
    <w:rsid w:val="00FC378E"/>
    <w:rsid w:val="00FC40DB"/>
    <w:rsid w:val="00FC6F69"/>
    <w:rsid w:val="14F2B38D"/>
    <w:rsid w:val="194A17AA"/>
    <w:rsid w:val="23AC74BA"/>
    <w:rsid w:val="267CE1CF"/>
    <w:rsid w:val="286B17BB"/>
    <w:rsid w:val="2C79BCA6"/>
    <w:rsid w:val="2E1D14EB"/>
    <w:rsid w:val="3AE8FB5B"/>
    <w:rsid w:val="3D0F5112"/>
    <w:rsid w:val="4BFA3826"/>
    <w:rsid w:val="7E3AB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7F697"/>
  <w15:chartTrackingRefBased/>
  <w15:docId w15:val="{A2ADF728-FCEE-4530-9A96-050F272C1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30975"/>
    <w:rPr>
      <w:sz w:val="16"/>
      <w:szCs w:val="16"/>
    </w:rPr>
  </w:style>
  <w:style w:type="paragraph" w:styleId="CommentText">
    <w:name w:val="annotation text"/>
    <w:basedOn w:val="Normal"/>
    <w:link w:val="CommentTextChar"/>
    <w:uiPriority w:val="99"/>
    <w:unhideWhenUsed/>
    <w:rsid w:val="00130975"/>
    <w:pPr>
      <w:spacing w:line="240" w:lineRule="auto"/>
    </w:pPr>
    <w:rPr>
      <w:sz w:val="20"/>
      <w:szCs w:val="20"/>
    </w:rPr>
  </w:style>
  <w:style w:type="character" w:customStyle="1" w:styleId="CommentTextChar">
    <w:name w:val="Comment Text Char"/>
    <w:basedOn w:val="DefaultParagraphFont"/>
    <w:link w:val="CommentText"/>
    <w:uiPriority w:val="99"/>
    <w:rsid w:val="00130975"/>
    <w:rPr>
      <w:sz w:val="20"/>
      <w:szCs w:val="20"/>
    </w:rPr>
  </w:style>
  <w:style w:type="paragraph" w:styleId="CommentSubject">
    <w:name w:val="annotation subject"/>
    <w:basedOn w:val="CommentText"/>
    <w:next w:val="CommentText"/>
    <w:link w:val="CommentSubjectChar"/>
    <w:uiPriority w:val="99"/>
    <w:semiHidden/>
    <w:unhideWhenUsed/>
    <w:rsid w:val="00130975"/>
    <w:rPr>
      <w:b/>
      <w:bCs/>
    </w:rPr>
  </w:style>
  <w:style w:type="character" w:customStyle="1" w:styleId="CommentSubjectChar">
    <w:name w:val="Comment Subject Char"/>
    <w:basedOn w:val="CommentTextChar"/>
    <w:link w:val="CommentSubject"/>
    <w:uiPriority w:val="99"/>
    <w:semiHidden/>
    <w:rsid w:val="00130975"/>
    <w:rPr>
      <w:b/>
      <w:bCs/>
      <w:sz w:val="20"/>
      <w:szCs w:val="20"/>
    </w:rPr>
  </w:style>
  <w:style w:type="paragraph" w:styleId="ListParagraph">
    <w:name w:val="List Paragraph"/>
    <w:basedOn w:val="Normal"/>
    <w:uiPriority w:val="34"/>
    <w:qFormat/>
    <w:rsid w:val="00224CDA"/>
    <w:pPr>
      <w:ind w:left="720"/>
      <w:contextualSpacing/>
    </w:pPr>
  </w:style>
  <w:style w:type="paragraph" w:styleId="BalloonText">
    <w:name w:val="Balloon Text"/>
    <w:basedOn w:val="Normal"/>
    <w:link w:val="BalloonTextChar"/>
    <w:uiPriority w:val="99"/>
    <w:semiHidden/>
    <w:unhideWhenUsed/>
    <w:rsid w:val="00221B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BCD"/>
    <w:rPr>
      <w:rFonts w:ascii="Segoe UI" w:hAnsi="Segoe UI" w:cs="Segoe UI"/>
      <w:sz w:val="18"/>
      <w:szCs w:val="18"/>
    </w:rPr>
  </w:style>
  <w:style w:type="paragraph" w:styleId="Revision">
    <w:name w:val="Revision"/>
    <w:hidden/>
    <w:uiPriority w:val="99"/>
    <w:semiHidden/>
    <w:rsid w:val="009F30B3"/>
    <w:pPr>
      <w:spacing w:after="0" w:line="240" w:lineRule="auto"/>
    </w:pPr>
  </w:style>
  <w:style w:type="character" w:styleId="Hyperlink">
    <w:name w:val="Hyperlink"/>
    <w:basedOn w:val="DefaultParagraphFont"/>
    <w:uiPriority w:val="99"/>
    <w:unhideWhenUsed/>
    <w:rsid w:val="00397AE8"/>
    <w:rPr>
      <w:color w:val="0563C1" w:themeColor="hyperlink"/>
      <w:u w:val="single"/>
    </w:rPr>
  </w:style>
  <w:style w:type="character" w:styleId="UnresolvedMention">
    <w:name w:val="Unresolved Mention"/>
    <w:basedOn w:val="DefaultParagraphFont"/>
    <w:uiPriority w:val="99"/>
    <w:semiHidden/>
    <w:unhideWhenUsed/>
    <w:rsid w:val="00397A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132761">
      <w:bodyDiv w:val="1"/>
      <w:marLeft w:val="0"/>
      <w:marRight w:val="0"/>
      <w:marTop w:val="0"/>
      <w:marBottom w:val="0"/>
      <w:divBdr>
        <w:top w:val="none" w:sz="0" w:space="0" w:color="auto"/>
        <w:left w:val="none" w:sz="0" w:space="0" w:color="auto"/>
        <w:bottom w:val="none" w:sz="0" w:space="0" w:color="auto"/>
        <w:right w:val="none" w:sz="0" w:space="0" w:color="auto"/>
      </w:divBdr>
    </w:div>
    <w:div w:id="970669859">
      <w:bodyDiv w:val="1"/>
      <w:marLeft w:val="0"/>
      <w:marRight w:val="0"/>
      <w:marTop w:val="0"/>
      <w:marBottom w:val="0"/>
      <w:divBdr>
        <w:top w:val="none" w:sz="0" w:space="0" w:color="auto"/>
        <w:left w:val="none" w:sz="0" w:space="0" w:color="auto"/>
        <w:bottom w:val="none" w:sz="0" w:space="0" w:color="auto"/>
        <w:right w:val="none" w:sz="0" w:space="0" w:color="auto"/>
      </w:divBdr>
    </w:div>
    <w:div w:id="1190214788">
      <w:bodyDiv w:val="1"/>
      <w:marLeft w:val="0"/>
      <w:marRight w:val="0"/>
      <w:marTop w:val="0"/>
      <w:marBottom w:val="0"/>
      <w:divBdr>
        <w:top w:val="none" w:sz="0" w:space="0" w:color="auto"/>
        <w:left w:val="none" w:sz="0" w:space="0" w:color="auto"/>
        <w:bottom w:val="none" w:sz="0" w:space="0" w:color="auto"/>
        <w:right w:val="none" w:sz="0" w:space="0" w:color="auto"/>
      </w:divBdr>
      <w:divsChild>
        <w:div w:id="2048217168">
          <w:marLeft w:val="0"/>
          <w:marRight w:val="0"/>
          <w:marTop w:val="0"/>
          <w:marBottom w:val="0"/>
          <w:divBdr>
            <w:top w:val="none" w:sz="0" w:space="0" w:color="auto"/>
            <w:left w:val="none" w:sz="0" w:space="0" w:color="auto"/>
            <w:bottom w:val="none" w:sz="0" w:space="0" w:color="auto"/>
            <w:right w:val="none" w:sz="0" w:space="0" w:color="auto"/>
          </w:divBdr>
        </w:div>
        <w:div w:id="1136412005">
          <w:marLeft w:val="0"/>
          <w:marRight w:val="0"/>
          <w:marTop w:val="0"/>
          <w:marBottom w:val="0"/>
          <w:divBdr>
            <w:top w:val="none" w:sz="0" w:space="0" w:color="auto"/>
            <w:left w:val="none" w:sz="0" w:space="0" w:color="auto"/>
            <w:bottom w:val="none" w:sz="0" w:space="0" w:color="auto"/>
            <w:right w:val="none" w:sz="0" w:space="0" w:color="auto"/>
          </w:divBdr>
        </w:div>
        <w:div w:id="2064988764">
          <w:marLeft w:val="0"/>
          <w:marRight w:val="0"/>
          <w:marTop w:val="0"/>
          <w:marBottom w:val="0"/>
          <w:divBdr>
            <w:top w:val="none" w:sz="0" w:space="0" w:color="auto"/>
            <w:left w:val="none" w:sz="0" w:space="0" w:color="auto"/>
            <w:bottom w:val="none" w:sz="0" w:space="0" w:color="auto"/>
            <w:right w:val="none" w:sz="0" w:space="0" w:color="auto"/>
          </w:divBdr>
        </w:div>
        <w:div w:id="902915010">
          <w:marLeft w:val="0"/>
          <w:marRight w:val="0"/>
          <w:marTop w:val="0"/>
          <w:marBottom w:val="0"/>
          <w:divBdr>
            <w:top w:val="none" w:sz="0" w:space="0" w:color="auto"/>
            <w:left w:val="none" w:sz="0" w:space="0" w:color="auto"/>
            <w:bottom w:val="none" w:sz="0" w:space="0" w:color="auto"/>
            <w:right w:val="none" w:sz="0" w:space="0" w:color="auto"/>
          </w:divBdr>
        </w:div>
        <w:div w:id="906188714">
          <w:marLeft w:val="0"/>
          <w:marRight w:val="0"/>
          <w:marTop w:val="0"/>
          <w:marBottom w:val="0"/>
          <w:divBdr>
            <w:top w:val="none" w:sz="0" w:space="0" w:color="auto"/>
            <w:left w:val="none" w:sz="0" w:space="0" w:color="auto"/>
            <w:bottom w:val="none" w:sz="0" w:space="0" w:color="auto"/>
            <w:right w:val="none" w:sz="0" w:space="0" w:color="auto"/>
          </w:divBdr>
        </w:div>
        <w:div w:id="752356768">
          <w:marLeft w:val="-75"/>
          <w:marRight w:val="0"/>
          <w:marTop w:val="30"/>
          <w:marBottom w:val="30"/>
          <w:divBdr>
            <w:top w:val="none" w:sz="0" w:space="0" w:color="auto"/>
            <w:left w:val="none" w:sz="0" w:space="0" w:color="auto"/>
            <w:bottom w:val="none" w:sz="0" w:space="0" w:color="auto"/>
            <w:right w:val="none" w:sz="0" w:space="0" w:color="auto"/>
          </w:divBdr>
          <w:divsChild>
            <w:div w:id="36635209">
              <w:marLeft w:val="0"/>
              <w:marRight w:val="0"/>
              <w:marTop w:val="0"/>
              <w:marBottom w:val="0"/>
              <w:divBdr>
                <w:top w:val="none" w:sz="0" w:space="0" w:color="auto"/>
                <w:left w:val="none" w:sz="0" w:space="0" w:color="auto"/>
                <w:bottom w:val="none" w:sz="0" w:space="0" w:color="auto"/>
                <w:right w:val="none" w:sz="0" w:space="0" w:color="auto"/>
              </w:divBdr>
              <w:divsChild>
                <w:div w:id="869224013">
                  <w:marLeft w:val="0"/>
                  <w:marRight w:val="0"/>
                  <w:marTop w:val="0"/>
                  <w:marBottom w:val="0"/>
                  <w:divBdr>
                    <w:top w:val="none" w:sz="0" w:space="0" w:color="auto"/>
                    <w:left w:val="none" w:sz="0" w:space="0" w:color="auto"/>
                    <w:bottom w:val="none" w:sz="0" w:space="0" w:color="auto"/>
                    <w:right w:val="none" w:sz="0" w:space="0" w:color="auto"/>
                  </w:divBdr>
                </w:div>
              </w:divsChild>
            </w:div>
            <w:div w:id="258880189">
              <w:marLeft w:val="0"/>
              <w:marRight w:val="0"/>
              <w:marTop w:val="0"/>
              <w:marBottom w:val="0"/>
              <w:divBdr>
                <w:top w:val="none" w:sz="0" w:space="0" w:color="auto"/>
                <w:left w:val="none" w:sz="0" w:space="0" w:color="auto"/>
                <w:bottom w:val="none" w:sz="0" w:space="0" w:color="auto"/>
                <w:right w:val="none" w:sz="0" w:space="0" w:color="auto"/>
              </w:divBdr>
              <w:divsChild>
                <w:div w:id="1055547496">
                  <w:marLeft w:val="0"/>
                  <w:marRight w:val="0"/>
                  <w:marTop w:val="0"/>
                  <w:marBottom w:val="0"/>
                  <w:divBdr>
                    <w:top w:val="none" w:sz="0" w:space="0" w:color="auto"/>
                    <w:left w:val="none" w:sz="0" w:space="0" w:color="auto"/>
                    <w:bottom w:val="none" w:sz="0" w:space="0" w:color="auto"/>
                    <w:right w:val="none" w:sz="0" w:space="0" w:color="auto"/>
                  </w:divBdr>
                </w:div>
              </w:divsChild>
            </w:div>
            <w:div w:id="646544991">
              <w:marLeft w:val="0"/>
              <w:marRight w:val="0"/>
              <w:marTop w:val="0"/>
              <w:marBottom w:val="0"/>
              <w:divBdr>
                <w:top w:val="none" w:sz="0" w:space="0" w:color="auto"/>
                <w:left w:val="none" w:sz="0" w:space="0" w:color="auto"/>
                <w:bottom w:val="none" w:sz="0" w:space="0" w:color="auto"/>
                <w:right w:val="none" w:sz="0" w:space="0" w:color="auto"/>
              </w:divBdr>
              <w:divsChild>
                <w:div w:id="583032039">
                  <w:marLeft w:val="0"/>
                  <w:marRight w:val="0"/>
                  <w:marTop w:val="0"/>
                  <w:marBottom w:val="0"/>
                  <w:divBdr>
                    <w:top w:val="none" w:sz="0" w:space="0" w:color="auto"/>
                    <w:left w:val="none" w:sz="0" w:space="0" w:color="auto"/>
                    <w:bottom w:val="none" w:sz="0" w:space="0" w:color="auto"/>
                    <w:right w:val="none" w:sz="0" w:space="0" w:color="auto"/>
                  </w:divBdr>
                </w:div>
              </w:divsChild>
            </w:div>
            <w:div w:id="1843086525">
              <w:marLeft w:val="0"/>
              <w:marRight w:val="0"/>
              <w:marTop w:val="0"/>
              <w:marBottom w:val="0"/>
              <w:divBdr>
                <w:top w:val="none" w:sz="0" w:space="0" w:color="auto"/>
                <w:left w:val="none" w:sz="0" w:space="0" w:color="auto"/>
                <w:bottom w:val="none" w:sz="0" w:space="0" w:color="auto"/>
                <w:right w:val="none" w:sz="0" w:space="0" w:color="auto"/>
              </w:divBdr>
              <w:divsChild>
                <w:div w:id="659432523">
                  <w:marLeft w:val="0"/>
                  <w:marRight w:val="0"/>
                  <w:marTop w:val="0"/>
                  <w:marBottom w:val="0"/>
                  <w:divBdr>
                    <w:top w:val="none" w:sz="0" w:space="0" w:color="auto"/>
                    <w:left w:val="none" w:sz="0" w:space="0" w:color="auto"/>
                    <w:bottom w:val="none" w:sz="0" w:space="0" w:color="auto"/>
                    <w:right w:val="none" w:sz="0" w:space="0" w:color="auto"/>
                  </w:divBdr>
                </w:div>
              </w:divsChild>
            </w:div>
            <w:div w:id="1216237148">
              <w:marLeft w:val="0"/>
              <w:marRight w:val="0"/>
              <w:marTop w:val="0"/>
              <w:marBottom w:val="0"/>
              <w:divBdr>
                <w:top w:val="none" w:sz="0" w:space="0" w:color="auto"/>
                <w:left w:val="none" w:sz="0" w:space="0" w:color="auto"/>
                <w:bottom w:val="none" w:sz="0" w:space="0" w:color="auto"/>
                <w:right w:val="none" w:sz="0" w:space="0" w:color="auto"/>
              </w:divBdr>
              <w:divsChild>
                <w:div w:id="388891173">
                  <w:marLeft w:val="0"/>
                  <w:marRight w:val="0"/>
                  <w:marTop w:val="0"/>
                  <w:marBottom w:val="0"/>
                  <w:divBdr>
                    <w:top w:val="none" w:sz="0" w:space="0" w:color="auto"/>
                    <w:left w:val="none" w:sz="0" w:space="0" w:color="auto"/>
                    <w:bottom w:val="none" w:sz="0" w:space="0" w:color="auto"/>
                    <w:right w:val="none" w:sz="0" w:space="0" w:color="auto"/>
                  </w:divBdr>
                </w:div>
              </w:divsChild>
            </w:div>
            <w:div w:id="559093357">
              <w:marLeft w:val="0"/>
              <w:marRight w:val="0"/>
              <w:marTop w:val="0"/>
              <w:marBottom w:val="0"/>
              <w:divBdr>
                <w:top w:val="none" w:sz="0" w:space="0" w:color="auto"/>
                <w:left w:val="none" w:sz="0" w:space="0" w:color="auto"/>
                <w:bottom w:val="none" w:sz="0" w:space="0" w:color="auto"/>
                <w:right w:val="none" w:sz="0" w:space="0" w:color="auto"/>
              </w:divBdr>
              <w:divsChild>
                <w:div w:id="1147866254">
                  <w:marLeft w:val="0"/>
                  <w:marRight w:val="0"/>
                  <w:marTop w:val="0"/>
                  <w:marBottom w:val="0"/>
                  <w:divBdr>
                    <w:top w:val="none" w:sz="0" w:space="0" w:color="auto"/>
                    <w:left w:val="none" w:sz="0" w:space="0" w:color="auto"/>
                    <w:bottom w:val="none" w:sz="0" w:space="0" w:color="auto"/>
                    <w:right w:val="none" w:sz="0" w:space="0" w:color="auto"/>
                  </w:divBdr>
                </w:div>
              </w:divsChild>
            </w:div>
            <w:div w:id="797995117">
              <w:marLeft w:val="0"/>
              <w:marRight w:val="0"/>
              <w:marTop w:val="0"/>
              <w:marBottom w:val="0"/>
              <w:divBdr>
                <w:top w:val="none" w:sz="0" w:space="0" w:color="auto"/>
                <w:left w:val="none" w:sz="0" w:space="0" w:color="auto"/>
                <w:bottom w:val="none" w:sz="0" w:space="0" w:color="auto"/>
                <w:right w:val="none" w:sz="0" w:space="0" w:color="auto"/>
              </w:divBdr>
              <w:divsChild>
                <w:div w:id="1834953942">
                  <w:marLeft w:val="0"/>
                  <w:marRight w:val="0"/>
                  <w:marTop w:val="0"/>
                  <w:marBottom w:val="0"/>
                  <w:divBdr>
                    <w:top w:val="none" w:sz="0" w:space="0" w:color="auto"/>
                    <w:left w:val="none" w:sz="0" w:space="0" w:color="auto"/>
                    <w:bottom w:val="none" w:sz="0" w:space="0" w:color="auto"/>
                    <w:right w:val="none" w:sz="0" w:space="0" w:color="auto"/>
                  </w:divBdr>
                </w:div>
              </w:divsChild>
            </w:div>
            <w:div w:id="1921400144">
              <w:marLeft w:val="0"/>
              <w:marRight w:val="0"/>
              <w:marTop w:val="0"/>
              <w:marBottom w:val="0"/>
              <w:divBdr>
                <w:top w:val="none" w:sz="0" w:space="0" w:color="auto"/>
                <w:left w:val="none" w:sz="0" w:space="0" w:color="auto"/>
                <w:bottom w:val="none" w:sz="0" w:space="0" w:color="auto"/>
                <w:right w:val="none" w:sz="0" w:space="0" w:color="auto"/>
              </w:divBdr>
              <w:divsChild>
                <w:div w:id="477309134">
                  <w:marLeft w:val="0"/>
                  <w:marRight w:val="0"/>
                  <w:marTop w:val="0"/>
                  <w:marBottom w:val="0"/>
                  <w:divBdr>
                    <w:top w:val="none" w:sz="0" w:space="0" w:color="auto"/>
                    <w:left w:val="none" w:sz="0" w:space="0" w:color="auto"/>
                    <w:bottom w:val="none" w:sz="0" w:space="0" w:color="auto"/>
                    <w:right w:val="none" w:sz="0" w:space="0" w:color="auto"/>
                  </w:divBdr>
                </w:div>
              </w:divsChild>
            </w:div>
            <w:div w:id="1674649083">
              <w:marLeft w:val="0"/>
              <w:marRight w:val="0"/>
              <w:marTop w:val="0"/>
              <w:marBottom w:val="0"/>
              <w:divBdr>
                <w:top w:val="none" w:sz="0" w:space="0" w:color="auto"/>
                <w:left w:val="none" w:sz="0" w:space="0" w:color="auto"/>
                <w:bottom w:val="none" w:sz="0" w:space="0" w:color="auto"/>
                <w:right w:val="none" w:sz="0" w:space="0" w:color="auto"/>
              </w:divBdr>
              <w:divsChild>
                <w:div w:id="916473373">
                  <w:marLeft w:val="0"/>
                  <w:marRight w:val="0"/>
                  <w:marTop w:val="0"/>
                  <w:marBottom w:val="0"/>
                  <w:divBdr>
                    <w:top w:val="none" w:sz="0" w:space="0" w:color="auto"/>
                    <w:left w:val="none" w:sz="0" w:space="0" w:color="auto"/>
                    <w:bottom w:val="none" w:sz="0" w:space="0" w:color="auto"/>
                    <w:right w:val="none" w:sz="0" w:space="0" w:color="auto"/>
                  </w:divBdr>
                </w:div>
              </w:divsChild>
            </w:div>
            <w:div w:id="2092118566">
              <w:marLeft w:val="0"/>
              <w:marRight w:val="0"/>
              <w:marTop w:val="0"/>
              <w:marBottom w:val="0"/>
              <w:divBdr>
                <w:top w:val="none" w:sz="0" w:space="0" w:color="auto"/>
                <w:left w:val="none" w:sz="0" w:space="0" w:color="auto"/>
                <w:bottom w:val="none" w:sz="0" w:space="0" w:color="auto"/>
                <w:right w:val="none" w:sz="0" w:space="0" w:color="auto"/>
              </w:divBdr>
              <w:divsChild>
                <w:div w:id="1229462757">
                  <w:marLeft w:val="0"/>
                  <w:marRight w:val="0"/>
                  <w:marTop w:val="0"/>
                  <w:marBottom w:val="0"/>
                  <w:divBdr>
                    <w:top w:val="none" w:sz="0" w:space="0" w:color="auto"/>
                    <w:left w:val="none" w:sz="0" w:space="0" w:color="auto"/>
                    <w:bottom w:val="none" w:sz="0" w:space="0" w:color="auto"/>
                    <w:right w:val="none" w:sz="0" w:space="0" w:color="auto"/>
                  </w:divBdr>
                </w:div>
              </w:divsChild>
            </w:div>
            <w:div w:id="1593052023">
              <w:marLeft w:val="0"/>
              <w:marRight w:val="0"/>
              <w:marTop w:val="0"/>
              <w:marBottom w:val="0"/>
              <w:divBdr>
                <w:top w:val="none" w:sz="0" w:space="0" w:color="auto"/>
                <w:left w:val="none" w:sz="0" w:space="0" w:color="auto"/>
                <w:bottom w:val="none" w:sz="0" w:space="0" w:color="auto"/>
                <w:right w:val="none" w:sz="0" w:space="0" w:color="auto"/>
              </w:divBdr>
              <w:divsChild>
                <w:div w:id="60956249">
                  <w:marLeft w:val="0"/>
                  <w:marRight w:val="0"/>
                  <w:marTop w:val="0"/>
                  <w:marBottom w:val="0"/>
                  <w:divBdr>
                    <w:top w:val="none" w:sz="0" w:space="0" w:color="auto"/>
                    <w:left w:val="none" w:sz="0" w:space="0" w:color="auto"/>
                    <w:bottom w:val="none" w:sz="0" w:space="0" w:color="auto"/>
                    <w:right w:val="none" w:sz="0" w:space="0" w:color="auto"/>
                  </w:divBdr>
                </w:div>
              </w:divsChild>
            </w:div>
            <w:div w:id="1705904982">
              <w:marLeft w:val="0"/>
              <w:marRight w:val="0"/>
              <w:marTop w:val="0"/>
              <w:marBottom w:val="0"/>
              <w:divBdr>
                <w:top w:val="none" w:sz="0" w:space="0" w:color="auto"/>
                <w:left w:val="none" w:sz="0" w:space="0" w:color="auto"/>
                <w:bottom w:val="none" w:sz="0" w:space="0" w:color="auto"/>
                <w:right w:val="none" w:sz="0" w:space="0" w:color="auto"/>
              </w:divBdr>
              <w:divsChild>
                <w:div w:id="1728407542">
                  <w:marLeft w:val="0"/>
                  <w:marRight w:val="0"/>
                  <w:marTop w:val="0"/>
                  <w:marBottom w:val="0"/>
                  <w:divBdr>
                    <w:top w:val="none" w:sz="0" w:space="0" w:color="auto"/>
                    <w:left w:val="none" w:sz="0" w:space="0" w:color="auto"/>
                    <w:bottom w:val="none" w:sz="0" w:space="0" w:color="auto"/>
                    <w:right w:val="none" w:sz="0" w:space="0" w:color="auto"/>
                  </w:divBdr>
                </w:div>
              </w:divsChild>
            </w:div>
            <w:div w:id="1071081224">
              <w:marLeft w:val="0"/>
              <w:marRight w:val="0"/>
              <w:marTop w:val="0"/>
              <w:marBottom w:val="0"/>
              <w:divBdr>
                <w:top w:val="none" w:sz="0" w:space="0" w:color="auto"/>
                <w:left w:val="none" w:sz="0" w:space="0" w:color="auto"/>
                <w:bottom w:val="none" w:sz="0" w:space="0" w:color="auto"/>
                <w:right w:val="none" w:sz="0" w:space="0" w:color="auto"/>
              </w:divBdr>
              <w:divsChild>
                <w:div w:id="1798714380">
                  <w:marLeft w:val="0"/>
                  <w:marRight w:val="0"/>
                  <w:marTop w:val="0"/>
                  <w:marBottom w:val="0"/>
                  <w:divBdr>
                    <w:top w:val="none" w:sz="0" w:space="0" w:color="auto"/>
                    <w:left w:val="none" w:sz="0" w:space="0" w:color="auto"/>
                    <w:bottom w:val="none" w:sz="0" w:space="0" w:color="auto"/>
                    <w:right w:val="none" w:sz="0" w:space="0" w:color="auto"/>
                  </w:divBdr>
                </w:div>
              </w:divsChild>
            </w:div>
            <w:div w:id="1735933841">
              <w:marLeft w:val="0"/>
              <w:marRight w:val="0"/>
              <w:marTop w:val="0"/>
              <w:marBottom w:val="0"/>
              <w:divBdr>
                <w:top w:val="none" w:sz="0" w:space="0" w:color="auto"/>
                <w:left w:val="none" w:sz="0" w:space="0" w:color="auto"/>
                <w:bottom w:val="none" w:sz="0" w:space="0" w:color="auto"/>
                <w:right w:val="none" w:sz="0" w:space="0" w:color="auto"/>
              </w:divBdr>
              <w:divsChild>
                <w:div w:id="1156409367">
                  <w:marLeft w:val="0"/>
                  <w:marRight w:val="0"/>
                  <w:marTop w:val="0"/>
                  <w:marBottom w:val="0"/>
                  <w:divBdr>
                    <w:top w:val="none" w:sz="0" w:space="0" w:color="auto"/>
                    <w:left w:val="none" w:sz="0" w:space="0" w:color="auto"/>
                    <w:bottom w:val="none" w:sz="0" w:space="0" w:color="auto"/>
                    <w:right w:val="none" w:sz="0" w:space="0" w:color="auto"/>
                  </w:divBdr>
                </w:div>
              </w:divsChild>
            </w:div>
            <w:div w:id="2124104636">
              <w:marLeft w:val="0"/>
              <w:marRight w:val="0"/>
              <w:marTop w:val="0"/>
              <w:marBottom w:val="0"/>
              <w:divBdr>
                <w:top w:val="none" w:sz="0" w:space="0" w:color="auto"/>
                <w:left w:val="none" w:sz="0" w:space="0" w:color="auto"/>
                <w:bottom w:val="none" w:sz="0" w:space="0" w:color="auto"/>
                <w:right w:val="none" w:sz="0" w:space="0" w:color="auto"/>
              </w:divBdr>
              <w:divsChild>
                <w:div w:id="838813557">
                  <w:marLeft w:val="0"/>
                  <w:marRight w:val="0"/>
                  <w:marTop w:val="0"/>
                  <w:marBottom w:val="0"/>
                  <w:divBdr>
                    <w:top w:val="none" w:sz="0" w:space="0" w:color="auto"/>
                    <w:left w:val="none" w:sz="0" w:space="0" w:color="auto"/>
                    <w:bottom w:val="none" w:sz="0" w:space="0" w:color="auto"/>
                    <w:right w:val="none" w:sz="0" w:space="0" w:color="auto"/>
                  </w:divBdr>
                </w:div>
              </w:divsChild>
            </w:div>
            <w:div w:id="855968078">
              <w:marLeft w:val="0"/>
              <w:marRight w:val="0"/>
              <w:marTop w:val="0"/>
              <w:marBottom w:val="0"/>
              <w:divBdr>
                <w:top w:val="none" w:sz="0" w:space="0" w:color="auto"/>
                <w:left w:val="none" w:sz="0" w:space="0" w:color="auto"/>
                <w:bottom w:val="none" w:sz="0" w:space="0" w:color="auto"/>
                <w:right w:val="none" w:sz="0" w:space="0" w:color="auto"/>
              </w:divBdr>
              <w:divsChild>
                <w:div w:id="626007484">
                  <w:marLeft w:val="0"/>
                  <w:marRight w:val="0"/>
                  <w:marTop w:val="0"/>
                  <w:marBottom w:val="0"/>
                  <w:divBdr>
                    <w:top w:val="none" w:sz="0" w:space="0" w:color="auto"/>
                    <w:left w:val="none" w:sz="0" w:space="0" w:color="auto"/>
                    <w:bottom w:val="none" w:sz="0" w:space="0" w:color="auto"/>
                    <w:right w:val="none" w:sz="0" w:space="0" w:color="auto"/>
                  </w:divBdr>
                </w:div>
              </w:divsChild>
            </w:div>
            <w:div w:id="696124343">
              <w:marLeft w:val="0"/>
              <w:marRight w:val="0"/>
              <w:marTop w:val="0"/>
              <w:marBottom w:val="0"/>
              <w:divBdr>
                <w:top w:val="none" w:sz="0" w:space="0" w:color="auto"/>
                <w:left w:val="none" w:sz="0" w:space="0" w:color="auto"/>
                <w:bottom w:val="none" w:sz="0" w:space="0" w:color="auto"/>
                <w:right w:val="none" w:sz="0" w:space="0" w:color="auto"/>
              </w:divBdr>
              <w:divsChild>
                <w:div w:id="2011369934">
                  <w:marLeft w:val="0"/>
                  <w:marRight w:val="0"/>
                  <w:marTop w:val="0"/>
                  <w:marBottom w:val="0"/>
                  <w:divBdr>
                    <w:top w:val="none" w:sz="0" w:space="0" w:color="auto"/>
                    <w:left w:val="none" w:sz="0" w:space="0" w:color="auto"/>
                    <w:bottom w:val="none" w:sz="0" w:space="0" w:color="auto"/>
                    <w:right w:val="none" w:sz="0" w:space="0" w:color="auto"/>
                  </w:divBdr>
                </w:div>
              </w:divsChild>
            </w:div>
            <w:div w:id="1143081053">
              <w:marLeft w:val="0"/>
              <w:marRight w:val="0"/>
              <w:marTop w:val="0"/>
              <w:marBottom w:val="0"/>
              <w:divBdr>
                <w:top w:val="none" w:sz="0" w:space="0" w:color="auto"/>
                <w:left w:val="none" w:sz="0" w:space="0" w:color="auto"/>
                <w:bottom w:val="none" w:sz="0" w:space="0" w:color="auto"/>
                <w:right w:val="none" w:sz="0" w:space="0" w:color="auto"/>
              </w:divBdr>
              <w:divsChild>
                <w:div w:id="415174579">
                  <w:marLeft w:val="0"/>
                  <w:marRight w:val="0"/>
                  <w:marTop w:val="0"/>
                  <w:marBottom w:val="0"/>
                  <w:divBdr>
                    <w:top w:val="none" w:sz="0" w:space="0" w:color="auto"/>
                    <w:left w:val="none" w:sz="0" w:space="0" w:color="auto"/>
                    <w:bottom w:val="none" w:sz="0" w:space="0" w:color="auto"/>
                    <w:right w:val="none" w:sz="0" w:space="0" w:color="auto"/>
                  </w:divBdr>
                </w:div>
              </w:divsChild>
            </w:div>
            <w:div w:id="1608004554">
              <w:marLeft w:val="0"/>
              <w:marRight w:val="0"/>
              <w:marTop w:val="0"/>
              <w:marBottom w:val="0"/>
              <w:divBdr>
                <w:top w:val="none" w:sz="0" w:space="0" w:color="auto"/>
                <w:left w:val="none" w:sz="0" w:space="0" w:color="auto"/>
                <w:bottom w:val="none" w:sz="0" w:space="0" w:color="auto"/>
                <w:right w:val="none" w:sz="0" w:space="0" w:color="auto"/>
              </w:divBdr>
              <w:divsChild>
                <w:div w:id="1447310075">
                  <w:marLeft w:val="0"/>
                  <w:marRight w:val="0"/>
                  <w:marTop w:val="0"/>
                  <w:marBottom w:val="0"/>
                  <w:divBdr>
                    <w:top w:val="none" w:sz="0" w:space="0" w:color="auto"/>
                    <w:left w:val="none" w:sz="0" w:space="0" w:color="auto"/>
                    <w:bottom w:val="none" w:sz="0" w:space="0" w:color="auto"/>
                    <w:right w:val="none" w:sz="0" w:space="0" w:color="auto"/>
                  </w:divBdr>
                </w:div>
              </w:divsChild>
            </w:div>
            <w:div w:id="1100640301">
              <w:marLeft w:val="0"/>
              <w:marRight w:val="0"/>
              <w:marTop w:val="0"/>
              <w:marBottom w:val="0"/>
              <w:divBdr>
                <w:top w:val="none" w:sz="0" w:space="0" w:color="auto"/>
                <w:left w:val="none" w:sz="0" w:space="0" w:color="auto"/>
                <w:bottom w:val="none" w:sz="0" w:space="0" w:color="auto"/>
                <w:right w:val="none" w:sz="0" w:space="0" w:color="auto"/>
              </w:divBdr>
              <w:divsChild>
                <w:div w:id="1371954778">
                  <w:marLeft w:val="0"/>
                  <w:marRight w:val="0"/>
                  <w:marTop w:val="0"/>
                  <w:marBottom w:val="0"/>
                  <w:divBdr>
                    <w:top w:val="none" w:sz="0" w:space="0" w:color="auto"/>
                    <w:left w:val="none" w:sz="0" w:space="0" w:color="auto"/>
                    <w:bottom w:val="none" w:sz="0" w:space="0" w:color="auto"/>
                    <w:right w:val="none" w:sz="0" w:space="0" w:color="auto"/>
                  </w:divBdr>
                </w:div>
              </w:divsChild>
            </w:div>
            <w:div w:id="1436484173">
              <w:marLeft w:val="0"/>
              <w:marRight w:val="0"/>
              <w:marTop w:val="0"/>
              <w:marBottom w:val="0"/>
              <w:divBdr>
                <w:top w:val="none" w:sz="0" w:space="0" w:color="auto"/>
                <w:left w:val="none" w:sz="0" w:space="0" w:color="auto"/>
                <w:bottom w:val="none" w:sz="0" w:space="0" w:color="auto"/>
                <w:right w:val="none" w:sz="0" w:space="0" w:color="auto"/>
              </w:divBdr>
              <w:divsChild>
                <w:div w:id="111173068">
                  <w:marLeft w:val="0"/>
                  <w:marRight w:val="0"/>
                  <w:marTop w:val="0"/>
                  <w:marBottom w:val="0"/>
                  <w:divBdr>
                    <w:top w:val="none" w:sz="0" w:space="0" w:color="auto"/>
                    <w:left w:val="none" w:sz="0" w:space="0" w:color="auto"/>
                    <w:bottom w:val="none" w:sz="0" w:space="0" w:color="auto"/>
                    <w:right w:val="none" w:sz="0" w:space="0" w:color="auto"/>
                  </w:divBdr>
                </w:div>
                <w:div w:id="2060934776">
                  <w:marLeft w:val="0"/>
                  <w:marRight w:val="0"/>
                  <w:marTop w:val="0"/>
                  <w:marBottom w:val="0"/>
                  <w:divBdr>
                    <w:top w:val="none" w:sz="0" w:space="0" w:color="auto"/>
                    <w:left w:val="none" w:sz="0" w:space="0" w:color="auto"/>
                    <w:bottom w:val="none" w:sz="0" w:space="0" w:color="auto"/>
                    <w:right w:val="none" w:sz="0" w:space="0" w:color="auto"/>
                  </w:divBdr>
                </w:div>
                <w:div w:id="1446580280">
                  <w:marLeft w:val="0"/>
                  <w:marRight w:val="0"/>
                  <w:marTop w:val="0"/>
                  <w:marBottom w:val="0"/>
                  <w:divBdr>
                    <w:top w:val="none" w:sz="0" w:space="0" w:color="auto"/>
                    <w:left w:val="none" w:sz="0" w:space="0" w:color="auto"/>
                    <w:bottom w:val="none" w:sz="0" w:space="0" w:color="auto"/>
                    <w:right w:val="none" w:sz="0" w:space="0" w:color="auto"/>
                  </w:divBdr>
                </w:div>
                <w:div w:id="1200169005">
                  <w:marLeft w:val="0"/>
                  <w:marRight w:val="0"/>
                  <w:marTop w:val="0"/>
                  <w:marBottom w:val="0"/>
                  <w:divBdr>
                    <w:top w:val="none" w:sz="0" w:space="0" w:color="auto"/>
                    <w:left w:val="none" w:sz="0" w:space="0" w:color="auto"/>
                    <w:bottom w:val="none" w:sz="0" w:space="0" w:color="auto"/>
                    <w:right w:val="none" w:sz="0" w:space="0" w:color="auto"/>
                  </w:divBdr>
                </w:div>
                <w:div w:id="1907914110">
                  <w:marLeft w:val="0"/>
                  <w:marRight w:val="0"/>
                  <w:marTop w:val="0"/>
                  <w:marBottom w:val="0"/>
                  <w:divBdr>
                    <w:top w:val="none" w:sz="0" w:space="0" w:color="auto"/>
                    <w:left w:val="none" w:sz="0" w:space="0" w:color="auto"/>
                    <w:bottom w:val="none" w:sz="0" w:space="0" w:color="auto"/>
                    <w:right w:val="none" w:sz="0" w:space="0" w:color="auto"/>
                  </w:divBdr>
                </w:div>
                <w:div w:id="467552958">
                  <w:marLeft w:val="0"/>
                  <w:marRight w:val="0"/>
                  <w:marTop w:val="0"/>
                  <w:marBottom w:val="0"/>
                  <w:divBdr>
                    <w:top w:val="none" w:sz="0" w:space="0" w:color="auto"/>
                    <w:left w:val="none" w:sz="0" w:space="0" w:color="auto"/>
                    <w:bottom w:val="none" w:sz="0" w:space="0" w:color="auto"/>
                    <w:right w:val="none" w:sz="0" w:space="0" w:color="auto"/>
                  </w:divBdr>
                </w:div>
                <w:div w:id="1801654324">
                  <w:marLeft w:val="0"/>
                  <w:marRight w:val="0"/>
                  <w:marTop w:val="0"/>
                  <w:marBottom w:val="0"/>
                  <w:divBdr>
                    <w:top w:val="none" w:sz="0" w:space="0" w:color="auto"/>
                    <w:left w:val="none" w:sz="0" w:space="0" w:color="auto"/>
                    <w:bottom w:val="none" w:sz="0" w:space="0" w:color="auto"/>
                    <w:right w:val="none" w:sz="0" w:space="0" w:color="auto"/>
                  </w:divBdr>
                </w:div>
                <w:div w:id="372926032">
                  <w:marLeft w:val="0"/>
                  <w:marRight w:val="0"/>
                  <w:marTop w:val="0"/>
                  <w:marBottom w:val="0"/>
                  <w:divBdr>
                    <w:top w:val="none" w:sz="0" w:space="0" w:color="auto"/>
                    <w:left w:val="none" w:sz="0" w:space="0" w:color="auto"/>
                    <w:bottom w:val="none" w:sz="0" w:space="0" w:color="auto"/>
                    <w:right w:val="none" w:sz="0" w:space="0" w:color="auto"/>
                  </w:divBdr>
                </w:div>
                <w:div w:id="929312082">
                  <w:marLeft w:val="0"/>
                  <w:marRight w:val="0"/>
                  <w:marTop w:val="0"/>
                  <w:marBottom w:val="0"/>
                  <w:divBdr>
                    <w:top w:val="none" w:sz="0" w:space="0" w:color="auto"/>
                    <w:left w:val="none" w:sz="0" w:space="0" w:color="auto"/>
                    <w:bottom w:val="none" w:sz="0" w:space="0" w:color="auto"/>
                    <w:right w:val="none" w:sz="0" w:space="0" w:color="auto"/>
                  </w:divBdr>
                </w:div>
                <w:div w:id="923878129">
                  <w:marLeft w:val="0"/>
                  <w:marRight w:val="0"/>
                  <w:marTop w:val="0"/>
                  <w:marBottom w:val="0"/>
                  <w:divBdr>
                    <w:top w:val="none" w:sz="0" w:space="0" w:color="auto"/>
                    <w:left w:val="none" w:sz="0" w:space="0" w:color="auto"/>
                    <w:bottom w:val="none" w:sz="0" w:space="0" w:color="auto"/>
                    <w:right w:val="none" w:sz="0" w:space="0" w:color="auto"/>
                  </w:divBdr>
                </w:div>
                <w:div w:id="1020663838">
                  <w:marLeft w:val="0"/>
                  <w:marRight w:val="0"/>
                  <w:marTop w:val="0"/>
                  <w:marBottom w:val="0"/>
                  <w:divBdr>
                    <w:top w:val="none" w:sz="0" w:space="0" w:color="auto"/>
                    <w:left w:val="none" w:sz="0" w:space="0" w:color="auto"/>
                    <w:bottom w:val="none" w:sz="0" w:space="0" w:color="auto"/>
                    <w:right w:val="none" w:sz="0" w:space="0" w:color="auto"/>
                  </w:divBdr>
                </w:div>
              </w:divsChild>
            </w:div>
            <w:div w:id="1464346118">
              <w:marLeft w:val="0"/>
              <w:marRight w:val="0"/>
              <w:marTop w:val="0"/>
              <w:marBottom w:val="0"/>
              <w:divBdr>
                <w:top w:val="none" w:sz="0" w:space="0" w:color="auto"/>
                <w:left w:val="none" w:sz="0" w:space="0" w:color="auto"/>
                <w:bottom w:val="none" w:sz="0" w:space="0" w:color="auto"/>
                <w:right w:val="none" w:sz="0" w:space="0" w:color="auto"/>
              </w:divBdr>
              <w:divsChild>
                <w:div w:id="1372652515">
                  <w:marLeft w:val="0"/>
                  <w:marRight w:val="0"/>
                  <w:marTop w:val="0"/>
                  <w:marBottom w:val="0"/>
                  <w:divBdr>
                    <w:top w:val="none" w:sz="0" w:space="0" w:color="auto"/>
                    <w:left w:val="none" w:sz="0" w:space="0" w:color="auto"/>
                    <w:bottom w:val="none" w:sz="0" w:space="0" w:color="auto"/>
                    <w:right w:val="none" w:sz="0" w:space="0" w:color="auto"/>
                  </w:divBdr>
                </w:div>
                <w:div w:id="797143977">
                  <w:marLeft w:val="0"/>
                  <w:marRight w:val="0"/>
                  <w:marTop w:val="0"/>
                  <w:marBottom w:val="0"/>
                  <w:divBdr>
                    <w:top w:val="none" w:sz="0" w:space="0" w:color="auto"/>
                    <w:left w:val="none" w:sz="0" w:space="0" w:color="auto"/>
                    <w:bottom w:val="none" w:sz="0" w:space="0" w:color="auto"/>
                    <w:right w:val="none" w:sz="0" w:space="0" w:color="auto"/>
                  </w:divBdr>
                </w:div>
                <w:div w:id="1267886510">
                  <w:marLeft w:val="0"/>
                  <w:marRight w:val="0"/>
                  <w:marTop w:val="0"/>
                  <w:marBottom w:val="0"/>
                  <w:divBdr>
                    <w:top w:val="none" w:sz="0" w:space="0" w:color="auto"/>
                    <w:left w:val="none" w:sz="0" w:space="0" w:color="auto"/>
                    <w:bottom w:val="none" w:sz="0" w:space="0" w:color="auto"/>
                    <w:right w:val="none" w:sz="0" w:space="0" w:color="auto"/>
                  </w:divBdr>
                </w:div>
              </w:divsChild>
            </w:div>
            <w:div w:id="618267591">
              <w:marLeft w:val="0"/>
              <w:marRight w:val="0"/>
              <w:marTop w:val="0"/>
              <w:marBottom w:val="0"/>
              <w:divBdr>
                <w:top w:val="none" w:sz="0" w:space="0" w:color="auto"/>
                <w:left w:val="none" w:sz="0" w:space="0" w:color="auto"/>
                <w:bottom w:val="none" w:sz="0" w:space="0" w:color="auto"/>
                <w:right w:val="none" w:sz="0" w:space="0" w:color="auto"/>
              </w:divBdr>
              <w:divsChild>
                <w:div w:id="1321041454">
                  <w:marLeft w:val="0"/>
                  <w:marRight w:val="0"/>
                  <w:marTop w:val="0"/>
                  <w:marBottom w:val="0"/>
                  <w:divBdr>
                    <w:top w:val="none" w:sz="0" w:space="0" w:color="auto"/>
                    <w:left w:val="none" w:sz="0" w:space="0" w:color="auto"/>
                    <w:bottom w:val="none" w:sz="0" w:space="0" w:color="auto"/>
                    <w:right w:val="none" w:sz="0" w:space="0" w:color="auto"/>
                  </w:divBdr>
                </w:div>
                <w:div w:id="1384449742">
                  <w:marLeft w:val="0"/>
                  <w:marRight w:val="0"/>
                  <w:marTop w:val="0"/>
                  <w:marBottom w:val="0"/>
                  <w:divBdr>
                    <w:top w:val="none" w:sz="0" w:space="0" w:color="auto"/>
                    <w:left w:val="none" w:sz="0" w:space="0" w:color="auto"/>
                    <w:bottom w:val="none" w:sz="0" w:space="0" w:color="auto"/>
                    <w:right w:val="none" w:sz="0" w:space="0" w:color="auto"/>
                  </w:divBdr>
                </w:div>
                <w:div w:id="555625102">
                  <w:marLeft w:val="0"/>
                  <w:marRight w:val="0"/>
                  <w:marTop w:val="0"/>
                  <w:marBottom w:val="0"/>
                  <w:divBdr>
                    <w:top w:val="none" w:sz="0" w:space="0" w:color="auto"/>
                    <w:left w:val="none" w:sz="0" w:space="0" w:color="auto"/>
                    <w:bottom w:val="none" w:sz="0" w:space="0" w:color="auto"/>
                    <w:right w:val="none" w:sz="0" w:space="0" w:color="auto"/>
                  </w:divBdr>
                </w:div>
              </w:divsChild>
            </w:div>
            <w:div w:id="910776216">
              <w:marLeft w:val="0"/>
              <w:marRight w:val="0"/>
              <w:marTop w:val="0"/>
              <w:marBottom w:val="0"/>
              <w:divBdr>
                <w:top w:val="none" w:sz="0" w:space="0" w:color="auto"/>
                <w:left w:val="none" w:sz="0" w:space="0" w:color="auto"/>
                <w:bottom w:val="none" w:sz="0" w:space="0" w:color="auto"/>
                <w:right w:val="none" w:sz="0" w:space="0" w:color="auto"/>
              </w:divBdr>
              <w:divsChild>
                <w:div w:id="2020542923">
                  <w:marLeft w:val="0"/>
                  <w:marRight w:val="0"/>
                  <w:marTop w:val="0"/>
                  <w:marBottom w:val="0"/>
                  <w:divBdr>
                    <w:top w:val="none" w:sz="0" w:space="0" w:color="auto"/>
                    <w:left w:val="none" w:sz="0" w:space="0" w:color="auto"/>
                    <w:bottom w:val="none" w:sz="0" w:space="0" w:color="auto"/>
                    <w:right w:val="none" w:sz="0" w:space="0" w:color="auto"/>
                  </w:divBdr>
                </w:div>
              </w:divsChild>
            </w:div>
            <w:div w:id="1317415726">
              <w:marLeft w:val="0"/>
              <w:marRight w:val="0"/>
              <w:marTop w:val="0"/>
              <w:marBottom w:val="0"/>
              <w:divBdr>
                <w:top w:val="none" w:sz="0" w:space="0" w:color="auto"/>
                <w:left w:val="none" w:sz="0" w:space="0" w:color="auto"/>
                <w:bottom w:val="none" w:sz="0" w:space="0" w:color="auto"/>
                <w:right w:val="none" w:sz="0" w:space="0" w:color="auto"/>
              </w:divBdr>
              <w:divsChild>
                <w:div w:id="2004115799">
                  <w:marLeft w:val="0"/>
                  <w:marRight w:val="0"/>
                  <w:marTop w:val="0"/>
                  <w:marBottom w:val="0"/>
                  <w:divBdr>
                    <w:top w:val="none" w:sz="0" w:space="0" w:color="auto"/>
                    <w:left w:val="none" w:sz="0" w:space="0" w:color="auto"/>
                    <w:bottom w:val="none" w:sz="0" w:space="0" w:color="auto"/>
                    <w:right w:val="none" w:sz="0" w:space="0" w:color="auto"/>
                  </w:divBdr>
                </w:div>
                <w:div w:id="1489439700">
                  <w:marLeft w:val="0"/>
                  <w:marRight w:val="0"/>
                  <w:marTop w:val="0"/>
                  <w:marBottom w:val="0"/>
                  <w:divBdr>
                    <w:top w:val="none" w:sz="0" w:space="0" w:color="auto"/>
                    <w:left w:val="none" w:sz="0" w:space="0" w:color="auto"/>
                    <w:bottom w:val="none" w:sz="0" w:space="0" w:color="auto"/>
                    <w:right w:val="none" w:sz="0" w:space="0" w:color="auto"/>
                  </w:divBdr>
                </w:div>
              </w:divsChild>
            </w:div>
            <w:div w:id="637614340">
              <w:marLeft w:val="0"/>
              <w:marRight w:val="0"/>
              <w:marTop w:val="0"/>
              <w:marBottom w:val="0"/>
              <w:divBdr>
                <w:top w:val="none" w:sz="0" w:space="0" w:color="auto"/>
                <w:left w:val="none" w:sz="0" w:space="0" w:color="auto"/>
                <w:bottom w:val="none" w:sz="0" w:space="0" w:color="auto"/>
                <w:right w:val="none" w:sz="0" w:space="0" w:color="auto"/>
              </w:divBdr>
              <w:divsChild>
                <w:div w:id="366878278">
                  <w:marLeft w:val="0"/>
                  <w:marRight w:val="0"/>
                  <w:marTop w:val="0"/>
                  <w:marBottom w:val="0"/>
                  <w:divBdr>
                    <w:top w:val="none" w:sz="0" w:space="0" w:color="auto"/>
                    <w:left w:val="none" w:sz="0" w:space="0" w:color="auto"/>
                    <w:bottom w:val="none" w:sz="0" w:space="0" w:color="auto"/>
                    <w:right w:val="none" w:sz="0" w:space="0" w:color="auto"/>
                  </w:divBdr>
                </w:div>
                <w:div w:id="1718889011">
                  <w:marLeft w:val="0"/>
                  <w:marRight w:val="0"/>
                  <w:marTop w:val="0"/>
                  <w:marBottom w:val="0"/>
                  <w:divBdr>
                    <w:top w:val="none" w:sz="0" w:space="0" w:color="auto"/>
                    <w:left w:val="none" w:sz="0" w:space="0" w:color="auto"/>
                    <w:bottom w:val="none" w:sz="0" w:space="0" w:color="auto"/>
                    <w:right w:val="none" w:sz="0" w:space="0" w:color="auto"/>
                  </w:divBdr>
                </w:div>
                <w:div w:id="189393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520844">
      <w:bodyDiv w:val="1"/>
      <w:marLeft w:val="0"/>
      <w:marRight w:val="0"/>
      <w:marTop w:val="0"/>
      <w:marBottom w:val="0"/>
      <w:divBdr>
        <w:top w:val="none" w:sz="0" w:space="0" w:color="auto"/>
        <w:left w:val="none" w:sz="0" w:space="0" w:color="auto"/>
        <w:bottom w:val="none" w:sz="0" w:space="0" w:color="auto"/>
        <w:right w:val="none" w:sz="0" w:space="0" w:color="auto"/>
      </w:divBdr>
      <w:divsChild>
        <w:div w:id="412246227">
          <w:marLeft w:val="0"/>
          <w:marRight w:val="0"/>
          <w:marTop w:val="0"/>
          <w:marBottom w:val="0"/>
          <w:divBdr>
            <w:top w:val="none" w:sz="0" w:space="0" w:color="auto"/>
            <w:left w:val="none" w:sz="0" w:space="0" w:color="auto"/>
            <w:bottom w:val="none" w:sz="0" w:space="0" w:color="auto"/>
            <w:right w:val="none" w:sz="0" w:space="0" w:color="auto"/>
          </w:divBdr>
        </w:div>
        <w:div w:id="97876022">
          <w:marLeft w:val="0"/>
          <w:marRight w:val="0"/>
          <w:marTop w:val="0"/>
          <w:marBottom w:val="0"/>
          <w:divBdr>
            <w:top w:val="none" w:sz="0" w:space="0" w:color="auto"/>
            <w:left w:val="none" w:sz="0" w:space="0" w:color="auto"/>
            <w:bottom w:val="none" w:sz="0" w:space="0" w:color="auto"/>
            <w:right w:val="none" w:sz="0" w:space="0" w:color="auto"/>
          </w:divBdr>
        </w:div>
        <w:div w:id="920601935">
          <w:marLeft w:val="0"/>
          <w:marRight w:val="0"/>
          <w:marTop w:val="0"/>
          <w:marBottom w:val="0"/>
          <w:divBdr>
            <w:top w:val="none" w:sz="0" w:space="0" w:color="auto"/>
            <w:left w:val="none" w:sz="0" w:space="0" w:color="auto"/>
            <w:bottom w:val="none" w:sz="0" w:space="0" w:color="auto"/>
            <w:right w:val="none" w:sz="0" w:space="0" w:color="auto"/>
          </w:divBdr>
        </w:div>
        <w:div w:id="1577745905">
          <w:marLeft w:val="0"/>
          <w:marRight w:val="0"/>
          <w:marTop w:val="0"/>
          <w:marBottom w:val="0"/>
          <w:divBdr>
            <w:top w:val="none" w:sz="0" w:space="0" w:color="auto"/>
            <w:left w:val="none" w:sz="0" w:space="0" w:color="auto"/>
            <w:bottom w:val="none" w:sz="0" w:space="0" w:color="auto"/>
            <w:right w:val="none" w:sz="0" w:space="0" w:color="auto"/>
          </w:divBdr>
        </w:div>
        <w:div w:id="1619951253">
          <w:marLeft w:val="0"/>
          <w:marRight w:val="0"/>
          <w:marTop w:val="0"/>
          <w:marBottom w:val="0"/>
          <w:divBdr>
            <w:top w:val="none" w:sz="0" w:space="0" w:color="auto"/>
            <w:left w:val="none" w:sz="0" w:space="0" w:color="auto"/>
            <w:bottom w:val="none" w:sz="0" w:space="0" w:color="auto"/>
            <w:right w:val="none" w:sz="0" w:space="0" w:color="auto"/>
          </w:divBdr>
        </w:div>
        <w:div w:id="2100905430">
          <w:marLeft w:val="0"/>
          <w:marRight w:val="0"/>
          <w:marTop w:val="0"/>
          <w:marBottom w:val="0"/>
          <w:divBdr>
            <w:top w:val="none" w:sz="0" w:space="0" w:color="auto"/>
            <w:left w:val="none" w:sz="0" w:space="0" w:color="auto"/>
            <w:bottom w:val="none" w:sz="0" w:space="0" w:color="auto"/>
            <w:right w:val="none" w:sz="0" w:space="0" w:color="auto"/>
          </w:divBdr>
        </w:div>
        <w:div w:id="1346244812">
          <w:marLeft w:val="0"/>
          <w:marRight w:val="0"/>
          <w:marTop w:val="0"/>
          <w:marBottom w:val="0"/>
          <w:divBdr>
            <w:top w:val="none" w:sz="0" w:space="0" w:color="auto"/>
            <w:left w:val="none" w:sz="0" w:space="0" w:color="auto"/>
            <w:bottom w:val="none" w:sz="0" w:space="0" w:color="auto"/>
            <w:right w:val="none" w:sz="0" w:space="0" w:color="auto"/>
          </w:divBdr>
        </w:div>
        <w:div w:id="1738044576">
          <w:marLeft w:val="0"/>
          <w:marRight w:val="0"/>
          <w:marTop w:val="0"/>
          <w:marBottom w:val="0"/>
          <w:divBdr>
            <w:top w:val="none" w:sz="0" w:space="0" w:color="auto"/>
            <w:left w:val="none" w:sz="0" w:space="0" w:color="auto"/>
            <w:bottom w:val="none" w:sz="0" w:space="0" w:color="auto"/>
            <w:right w:val="none" w:sz="0" w:space="0" w:color="auto"/>
          </w:divBdr>
        </w:div>
        <w:div w:id="1713963580">
          <w:marLeft w:val="0"/>
          <w:marRight w:val="0"/>
          <w:marTop w:val="0"/>
          <w:marBottom w:val="0"/>
          <w:divBdr>
            <w:top w:val="none" w:sz="0" w:space="0" w:color="auto"/>
            <w:left w:val="none" w:sz="0" w:space="0" w:color="auto"/>
            <w:bottom w:val="none" w:sz="0" w:space="0" w:color="auto"/>
            <w:right w:val="none" w:sz="0" w:space="0" w:color="auto"/>
          </w:divBdr>
        </w:div>
        <w:div w:id="551966944">
          <w:marLeft w:val="0"/>
          <w:marRight w:val="0"/>
          <w:marTop w:val="0"/>
          <w:marBottom w:val="0"/>
          <w:divBdr>
            <w:top w:val="none" w:sz="0" w:space="0" w:color="auto"/>
            <w:left w:val="none" w:sz="0" w:space="0" w:color="auto"/>
            <w:bottom w:val="none" w:sz="0" w:space="0" w:color="auto"/>
            <w:right w:val="none" w:sz="0" w:space="0" w:color="auto"/>
          </w:divBdr>
        </w:div>
        <w:div w:id="707992747">
          <w:marLeft w:val="0"/>
          <w:marRight w:val="0"/>
          <w:marTop w:val="0"/>
          <w:marBottom w:val="0"/>
          <w:divBdr>
            <w:top w:val="none" w:sz="0" w:space="0" w:color="auto"/>
            <w:left w:val="none" w:sz="0" w:space="0" w:color="auto"/>
            <w:bottom w:val="none" w:sz="0" w:space="0" w:color="auto"/>
            <w:right w:val="none" w:sz="0" w:space="0" w:color="auto"/>
          </w:divBdr>
        </w:div>
        <w:div w:id="1119572287">
          <w:marLeft w:val="0"/>
          <w:marRight w:val="0"/>
          <w:marTop w:val="0"/>
          <w:marBottom w:val="0"/>
          <w:divBdr>
            <w:top w:val="none" w:sz="0" w:space="0" w:color="auto"/>
            <w:left w:val="none" w:sz="0" w:space="0" w:color="auto"/>
            <w:bottom w:val="none" w:sz="0" w:space="0" w:color="auto"/>
            <w:right w:val="none" w:sz="0" w:space="0" w:color="auto"/>
          </w:divBdr>
        </w:div>
        <w:div w:id="1691300147">
          <w:marLeft w:val="0"/>
          <w:marRight w:val="0"/>
          <w:marTop w:val="0"/>
          <w:marBottom w:val="0"/>
          <w:divBdr>
            <w:top w:val="none" w:sz="0" w:space="0" w:color="auto"/>
            <w:left w:val="none" w:sz="0" w:space="0" w:color="auto"/>
            <w:bottom w:val="none" w:sz="0" w:space="0" w:color="auto"/>
            <w:right w:val="none" w:sz="0" w:space="0" w:color="auto"/>
          </w:divBdr>
        </w:div>
        <w:div w:id="1956986331">
          <w:marLeft w:val="0"/>
          <w:marRight w:val="0"/>
          <w:marTop w:val="0"/>
          <w:marBottom w:val="0"/>
          <w:divBdr>
            <w:top w:val="none" w:sz="0" w:space="0" w:color="auto"/>
            <w:left w:val="none" w:sz="0" w:space="0" w:color="auto"/>
            <w:bottom w:val="none" w:sz="0" w:space="0" w:color="auto"/>
            <w:right w:val="none" w:sz="0" w:space="0" w:color="auto"/>
          </w:divBdr>
        </w:div>
        <w:div w:id="1608930414">
          <w:marLeft w:val="0"/>
          <w:marRight w:val="0"/>
          <w:marTop w:val="0"/>
          <w:marBottom w:val="0"/>
          <w:divBdr>
            <w:top w:val="none" w:sz="0" w:space="0" w:color="auto"/>
            <w:left w:val="none" w:sz="0" w:space="0" w:color="auto"/>
            <w:bottom w:val="none" w:sz="0" w:space="0" w:color="auto"/>
            <w:right w:val="none" w:sz="0" w:space="0" w:color="auto"/>
          </w:divBdr>
        </w:div>
        <w:div w:id="1244953902">
          <w:marLeft w:val="0"/>
          <w:marRight w:val="0"/>
          <w:marTop w:val="0"/>
          <w:marBottom w:val="0"/>
          <w:divBdr>
            <w:top w:val="none" w:sz="0" w:space="0" w:color="auto"/>
            <w:left w:val="none" w:sz="0" w:space="0" w:color="auto"/>
            <w:bottom w:val="none" w:sz="0" w:space="0" w:color="auto"/>
            <w:right w:val="none" w:sz="0" w:space="0" w:color="auto"/>
          </w:divBdr>
        </w:div>
        <w:div w:id="1806779739">
          <w:marLeft w:val="0"/>
          <w:marRight w:val="0"/>
          <w:marTop w:val="0"/>
          <w:marBottom w:val="0"/>
          <w:divBdr>
            <w:top w:val="none" w:sz="0" w:space="0" w:color="auto"/>
            <w:left w:val="none" w:sz="0" w:space="0" w:color="auto"/>
            <w:bottom w:val="none" w:sz="0" w:space="0" w:color="auto"/>
            <w:right w:val="none" w:sz="0" w:space="0" w:color="auto"/>
          </w:divBdr>
        </w:div>
        <w:div w:id="1072773004">
          <w:marLeft w:val="0"/>
          <w:marRight w:val="0"/>
          <w:marTop w:val="0"/>
          <w:marBottom w:val="0"/>
          <w:divBdr>
            <w:top w:val="none" w:sz="0" w:space="0" w:color="auto"/>
            <w:left w:val="none" w:sz="0" w:space="0" w:color="auto"/>
            <w:bottom w:val="none" w:sz="0" w:space="0" w:color="auto"/>
            <w:right w:val="none" w:sz="0" w:space="0" w:color="auto"/>
          </w:divBdr>
        </w:div>
        <w:div w:id="701054966">
          <w:marLeft w:val="0"/>
          <w:marRight w:val="0"/>
          <w:marTop w:val="0"/>
          <w:marBottom w:val="0"/>
          <w:divBdr>
            <w:top w:val="none" w:sz="0" w:space="0" w:color="auto"/>
            <w:left w:val="none" w:sz="0" w:space="0" w:color="auto"/>
            <w:bottom w:val="none" w:sz="0" w:space="0" w:color="auto"/>
            <w:right w:val="none" w:sz="0" w:space="0" w:color="auto"/>
          </w:divBdr>
        </w:div>
      </w:divsChild>
    </w:div>
    <w:div w:id="201113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ms.gov/medicaremedicare-fee-service-paymentphysicianfeeschedpfs-relative-value-files/rvu22b" TargetMode="External"/><Relationship Id="rId5" Type="http://schemas.openxmlformats.org/officeDocument/2006/relationships/numbering" Target="numbering.xml"/><Relationship Id="rId10" Type="http://schemas.openxmlformats.org/officeDocument/2006/relationships/hyperlink" Target="https://www.cms.gov/medicaremedicare-fee-service-paymentphysicianfeeschedpfs-relative-value-files/rvu22b" TargetMode="External"/><Relationship Id="rId4" Type="http://schemas.openxmlformats.org/officeDocument/2006/relationships/customXml" Target="../customXml/item4.xml"/><Relationship Id="rId9" Type="http://schemas.openxmlformats.org/officeDocument/2006/relationships/hyperlink" Target="https://www.cms.gov/medicaremedicare-fee-service-paymentphysicianfeeschedpfs-relative-value-files/rvu22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55c469c-002f-4bd9-b467-62a375807c9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E4BE88B10D10D42A990E8BD24E5AF12" ma:contentTypeVersion="13" ma:contentTypeDescription="Create a new document." ma:contentTypeScope="" ma:versionID="3fdfce22602687e794317402af4842dc">
  <xsd:schema xmlns:xsd="http://www.w3.org/2001/XMLSchema" xmlns:xs="http://www.w3.org/2001/XMLSchema" xmlns:p="http://schemas.microsoft.com/office/2006/metadata/properties" xmlns:ns3="e55c469c-002f-4bd9-b467-62a375807c9b" xmlns:ns4="74d9cbfb-62bc-40dd-a59e-32edf4587afb" targetNamespace="http://schemas.microsoft.com/office/2006/metadata/properties" ma:root="true" ma:fieldsID="9450900e9e514344557368f5eda7c26d" ns3:_="" ns4:_="">
    <xsd:import namespace="e55c469c-002f-4bd9-b467-62a375807c9b"/>
    <xsd:import namespace="74d9cbfb-62bc-40dd-a59e-32edf4587af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5c469c-002f-4bd9-b467-62a375807c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d9cbfb-62bc-40dd-a59e-32edf4587af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C02F0C-F510-442A-9529-FD283EA0F911}">
  <ds:schemaRefs>
    <ds:schemaRef ds:uri="http://schemas.openxmlformats.org/officeDocument/2006/bibliography"/>
  </ds:schemaRefs>
</ds:datastoreItem>
</file>

<file path=customXml/itemProps2.xml><?xml version="1.0" encoding="utf-8"?>
<ds:datastoreItem xmlns:ds="http://schemas.openxmlformats.org/officeDocument/2006/customXml" ds:itemID="{1F6D29DA-ED85-4BD5-9DDA-A28D3461F7A1}">
  <ds:schemaRefs>
    <ds:schemaRef ds:uri="http://schemas.microsoft.com/sharepoint/v3/contenttype/forms"/>
  </ds:schemaRefs>
</ds:datastoreItem>
</file>

<file path=customXml/itemProps3.xml><?xml version="1.0" encoding="utf-8"?>
<ds:datastoreItem xmlns:ds="http://schemas.openxmlformats.org/officeDocument/2006/customXml" ds:itemID="{651BFF5B-2068-4AEB-84D6-3D40CC378355}">
  <ds:schemaRefs>
    <ds:schemaRef ds:uri="http://schemas.microsoft.com/office/2006/metadata/properties"/>
    <ds:schemaRef ds:uri="http://schemas.microsoft.com/office/infopath/2007/PartnerControls"/>
    <ds:schemaRef ds:uri="e55c469c-002f-4bd9-b467-62a375807c9b"/>
  </ds:schemaRefs>
</ds:datastoreItem>
</file>

<file path=customXml/itemProps4.xml><?xml version="1.0" encoding="utf-8"?>
<ds:datastoreItem xmlns:ds="http://schemas.openxmlformats.org/officeDocument/2006/customXml" ds:itemID="{2D2B4799-7D5C-4848-ACFF-531C1C10B6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5c469c-002f-4bd9-b467-62a375807c9b"/>
    <ds:schemaRef ds:uri="74d9cbfb-62bc-40dd-a59e-32edf4587a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1389</Words>
  <Characters>7921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Sesay, Mohamed (EHS)</dc:creator>
  <cp:keywords/>
  <dc:description/>
  <cp:lastModifiedBy>Eli Greenfield</cp:lastModifiedBy>
  <cp:revision>2</cp:revision>
  <cp:lastPrinted>2023-03-06T15:31:00Z</cp:lastPrinted>
  <dcterms:created xsi:type="dcterms:W3CDTF">2023-11-22T17:14:00Z</dcterms:created>
  <dcterms:modified xsi:type="dcterms:W3CDTF">2023-11-22T17:14:00Z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0x0101006E4BE88B10D10D42A990E8BD24E5AF12</vt:lpwstr>
  </property>
</Properties>
</file>