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0154" w14:textId="77777777" w:rsidR="00A52B8B" w:rsidRDefault="00A52B8B">
      <w:pPr>
        <w:pStyle w:val="BodyText"/>
        <w:spacing w:before="9"/>
        <w:rPr>
          <w:sz w:val="22"/>
        </w:rPr>
      </w:pPr>
      <w:bookmarkStart w:id="0" w:name="_GoBack"/>
      <w:bookmarkEnd w:id="0"/>
    </w:p>
    <w:p w14:paraId="61B15A24" w14:textId="77777777" w:rsidR="00BC030B" w:rsidRDefault="007B7373">
      <w:pPr>
        <w:pStyle w:val="Title"/>
        <w:rPr>
          <w:color w:val="0C2D8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F98211" wp14:editId="03FFA75D">
            <wp:simplePos x="0" y="0"/>
            <wp:positionH relativeFrom="page">
              <wp:posOffset>246888</wp:posOffset>
            </wp:positionH>
            <wp:positionV relativeFrom="paragraph">
              <wp:posOffset>-167570</wp:posOffset>
            </wp:positionV>
            <wp:extent cx="1560576" cy="1850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85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2D84"/>
          <w:sz w:val="42"/>
        </w:rPr>
        <w:t>T</w:t>
      </w:r>
      <w:r>
        <w:rPr>
          <w:color w:val="0C2D84"/>
        </w:rPr>
        <w:t xml:space="preserve">HE </w:t>
      </w:r>
      <w:r>
        <w:rPr>
          <w:color w:val="0C2D84"/>
          <w:sz w:val="42"/>
        </w:rPr>
        <w:t>C</w:t>
      </w:r>
      <w:r>
        <w:rPr>
          <w:color w:val="0C2D84"/>
        </w:rPr>
        <w:t xml:space="preserve">OMMONWEALTH OF </w:t>
      </w:r>
      <w:r>
        <w:rPr>
          <w:color w:val="0C2D84"/>
          <w:sz w:val="42"/>
        </w:rPr>
        <w:t>M</w:t>
      </w:r>
      <w:r>
        <w:rPr>
          <w:color w:val="0C2D84"/>
        </w:rPr>
        <w:t>ASSACHUSETTS</w:t>
      </w:r>
    </w:p>
    <w:p w14:paraId="14FDB348" w14:textId="43885F00" w:rsidR="00A52B8B" w:rsidRDefault="007B7373">
      <w:pPr>
        <w:pStyle w:val="Title"/>
      </w:pPr>
      <w:r>
        <w:rPr>
          <w:color w:val="0C2D84"/>
          <w:sz w:val="42"/>
        </w:rPr>
        <w:t>O</w:t>
      </w:r>
      <w:r>
        <w:rPr>
          <w:color w:val="0C2D84"/>
        </w:rPr>
        <w:t xml:space="preserve">FFICE OF THE </w:t>
      </w:r>
      <w:r>
        <w:rPr>
          <w:color w:val="0C2D84"/>
          <w:sz w:val="42"/>
        </w:rPr>
        <w:t>A</w:t>
      </w:r>
      <w:r>
        <w:rPr>
          <w:color w:val="0C2D84"/>
        </w:rPr>
        <w:t xml:space="preserve">TTORNEY </w:t>
      </w:r>
      <w:r>
        <w:rPr>
          <w:color w:val="0C2D84"/>
          <w:sz w:val="42"/>
        </w:rPr>
        <w:t>G</w:t>
      </w:r>
      <w:r>
        <w:rPr>
          <w:color w:val="0C2D84"/>
        </w:rPr>
        <w:t>ENERAL</w:t>
      </w:r>
    </w:p>
    <w:p w14:paraId="7123489E" w14:textId="71A5BC92" w:rsidR="00BC030B" w:rsidRDefault="007B7373" w:rsidP="00735E9E">
      <w:pPr>
        <w:ind w:left="3240" w:right="2351" w:hanging="3"/>
        <w:jc w:val="center"/>
        <w:rPr>
          <w:color w:val="0C2D84"/>
        </w:rPr>
      </w:pPr>
      <w:r>
        <w:rPr>
          <w:color w:val="0C2D84"/>
          <w:sz w:val="28"/>
        </w:rPr>
        <w:t>O</w:t>
      </w:r>
      <w:r>
        <w:rPr>
          <w:color w:val="0C2D84"/>
        </w:rPr>
        <w:t xml:space="preserve">NE </w:t>
      </w:r>
      <w:r>
        <w:rPr>
          <w:color w:val="0C2D84"/>
          <w:sz w:val="28"/>
        </w:rPr>
        <w:t>A</w:t>
      </w:r>
      <w:r>
        <w:rPr>
          <w:color w:val="0C2D84"/>
        </w:rPr>
        <w:t xml:space="preserve">SHBURTON </w:t>
      </w:r>
      <w:r>
        <w:rPr>
          <w:color w:val="0C2D84"/>
          <w:sz w:val="28"/>
        </w:rPr>
        <w:t>P</w:t>
      </w:r>
      <w:r>
        <w:rPr>
          <w:color w:val="0C2D84"/>
        </w:rPr>
        <w:t>LACE</w:t>
      </w:r>
    </w:p>
    <w:p w14:paraId="63D39ABC" w14:textId="6BDBFA6E" w:rsidR="00A52B8B" w:rsidRDefault="007B7373" w:rsidP="00735E9E">
      <w:pPr>
        <w:ind w:left="2880" w:right="2351" w:hanging="3"/>
        <w:jc w:val="center"/>
        <w:rPr>
          <w:sz w:val="28"/>
        </w:rPr>
      </w:pPr>
      <w:r>
        <w:rPr>
          <w:color w:val="0C2D84"/>
          <w:sz w:val="28"/>
        </w:rPr>
        <w:t>B</w:t>
      </w:r>
      <w:r>
        <w:rPr>
          <w:color w:val="0C2D84"/>
        </w:rPr>
        <w:t>OSTON</w:t>
      </w:r>
      <w:r>
        <w:rPr>
          <w:color w:val="0C2D84"/>
          <w:sz w:val="28"/>
        </w:rPr>
        <w:t>, M</w:t>
      </w:r>
      <w:r>
        <w:rPr>
          <w:color w:val="0C2D84"/>
        </w:rPr>
        <w:t>ASSACHUSETTS</w:t>
      </w:r>
      <w:r>
        <w:rPr>
          <w:color w:val="0C2D84"/>
          <w:spacing w:val="-27"/>
        </w:rPr>
        <w:t xml:space="preserve"> </w:t>
      </w:r>
      <w:r>
        <w:rPr>
          <w:color w:val="0C2D84"/>
          <w:sz w:val="28"/>
        </w:rPr>
        <w:t>02108</w:t>
      </w:r>
    </w:p>
    <w:p w14:paraId="11D54FD1" w14:textId="62B1230C" w:rsidR="00A52B8B" w:rsidRPr="00E84412" w:rsidRDefault="007B7373" w:rsidP="00735E9E">
      <w:pPr>
        <w:pStyle w:val="BodyText"/>
        <w:spacing w:before="121"/>
        <w:ind w:left="7020" w:right="166"/>
        <w:rPr>
          <w:lang w:val="es-ES"/>
        </w:rPr>
      </w:pPr>
      <w:r w:rsidRPr="00E84412">
        <w:rPr>
          <w:color w:val="0C2D84"/>
          <w:lang w:val="es-ES"/>
        </w:rPr>
        <w:t>(617) 727-2200</w:t>
      </w:r>
      <w:r w:rsidR="00735E9E" w:rsidRPr="00E84412">
        <w:rPr>
          <w:color w:val="0C2D84"/>
          <w:lang w:val="es-ES"/>
        </w:rPr>
        <w:br/>
      </w:r>
      <w:r w:rsidRPr="00E84412">
        <w:rPr>
          <w:color w:val="0C2D84"/>
          <w:lang w:val="es-ES"/>
        </w:rPr>
        <w:t>(617) 727-4765 TTY</w:t>
      </w:r>
    </w:p>
    <w:p w14:paraId="3F63CE95" w14:textId="77777777" w:rsidR="00A52B8B" w:rsidRPr="00E84412" w:rsidRDefault="00AC233A" w:rsidP="00735E9E">
      <w:pPr>
        <w:pStyle w:val="BodyText"/>
        <w:spacing w:line="275" w:lineRule="exact"/>
        <w:ind w:left="7110" w:right="166"/>
        <w:rPr>
          <w:lang w:val="es-ES"/>
        </w:rPr>
      </w:pPr>
      <w:hyperlink r:id="rId8">
        <w:r w:rsidR="007B7373" w:rsidRPr="00E84412">
          <w:rPr>
            <w:color w:val="0C2D84"/>
            <w:lang w:val="es-ES"/>
          </w:rPr>
          <w:t>www.mass.gov/ago</w:t>
        </w:r>
      </w:hyperlink>
    </w:p>
    <w:p w14:paraId="72F8F2CE" w14:textId="77777777" w:rsidR="00A52B8B" w:rsidRPr="00E84412" w:rsidRDefault="00A52B8B">
      <w:pPr>
        <w:pStyle w:val="BodyText"/>
        <w:spacing w:before="11"/>
        <w:rPr>
          <w:sz w:val="23"/>
          <w:lang w:val="es-ES"/>
        </w:rPr>
      </w:pPr>
    </w:p>
    <w:p w14:paraId="1C5209B5" w14:textId="5E6CD493" w:rsidR="00A52B8B" w:rsidRPr="0078374D" w:rsidRDefault="0078374D" w:rsidP="004B2A70">
      <w:pPr>
        <w:spacing w:beforeLines="80" w:before="192"/>
        <w:ind w:right="166"/>
        <w:jc w:val="center"/>
        <w:rPr>
          <w:b/>
          <w:sz w:val="24"/>
          <w:lang w:val="es-ES"/>
        </w:rPr>
      </w:pPr>
      <w:r w:rsidRPr="0078374D">
        <w:rPr>
          <w:b/>
          <w:sz w:val="24"/>
          <w:u w:val="thick"/>
          <w:lang w:val="es-ES"/>
        </w:rPr>
        <w:t>Notificación del Procurador General del Es</w:t>
      </w:r>
      <w:r>
        <w:rPr>
          <w:b/>
          <w:sz w:val="24"/>
          <w:u w:val="thick"/>
          <w:lang w:val="es-ES"/>
        </w:rPr>
        <w:t>tado</w:t>
      </w:r>
      <w:r w:rsidR="007B7373" w:rsidRPr="0078374D">
        <w:rPr>
          <w:b/>
          <w:sz w:val="24"/>
          <w:lang w:val="es-ES"/>
        </w:rPr>
        <w:t>:</w:t>
      </w:r>
      <w:r w:rsidR="004B2A70">
        <w:rPr>
          <w:b/>
          <w:sz w:val="24"/>
          <w:lang w:val="es-ES"/>
        </w:rPr>
        <w:br/>
      </w:r>
      <w:r w:rsidRPr="0078374D">
        <w:rPr>
          <w:b/>
          <w:sz w:val="24"/>
          <w:u w:val="thick"/>
          <w:lang w:val="es-ES"/>
        </w:rPr>
        <w:t xml:space="preserve">Los pagos por impacto económico y </w:t>
      </w:r>
      <w:r w:rsidR="0094478F">
        <w:rPr>
          <w:b/>
          <w:sz w:val="24"/>
          <w:u w:val="thick"/>
          <w:lang w:val="es-ES"/>
        </w:rPr>
        <w:br/>
      </w:r>
      <w:r w:rsidRPr="0078374D">
        <w:rPr>
          <w:b/>
          <w:sz w:val="24"/>
          <w:u w:val="thick"/>
          <w:lang w:val="es-ES"/>
        </w:rPr>
        <w:t>los resident</w:t>
      </w:r>
      <w:r w:rsidR="0094478F">
        <w:rPr>
          <w:b/>
          <w:sz w:val="24"/>
          <w:u w:val="thick"/>
          <w:lang w:val="es-ES"/>
        </w:rPr>
        <w:t>es</w:t>
      </w:r>
      <w:r w:rsidRPr="0078374D">
        <w:rPr>
          <w:b/>
          <w:sz w:val="24"/>
          <w:u w:val="thick"/>
          <w:lang w:val="es-ES"/>
        </w:rPr>
        <w:t xml:space="preserve"> en centros </w:t>
      </w:r>
      <w:r w:rsidR="00E84412">
        <w:rPr>
          <w:b/>
          <w:sz w:val="24"/>
          <w:u w:val="thick"/>
          <w:lang w:val="es-ES"/>
        </w:rPr>
        <w:t>de atención a largo plazo</w:t>
      </w:r>
    </w:p>
    <w:p w14:paraId="699F168E" w14:textId="294888B9" w:rsidR="00A52B8B" w:rsidRPr="00E41971" w:rsidRDefault="0094478F" w:rsidP="004B2A70">
      <w:pPr>
        <w:pStyle w:val="BodyText"/>
        <w:spacing w:beforeLines="80" w:before="192"/>
        <w:ind w:right="116" w:firstLine="720"/>
        <w:jc w:val="both"/>
        <w:rPr>
          <w:spacing w:val="-2"/>
          <w:lang w:val="es-ES"/>
        </w:rPr>
      </w:pPr>
      <w:r w:rsidRPr="00E41971">
        <w:rPr>
          <w:spacing w:val="-2"/>
          <w:lang w:val="es-ES"/>
        </w:rPr>
        <w:t xml:space="preserve">La </w:t>
      </w:r>
      <w:r w:rsidR="004B2A70">
        <w:rPr>
          <w:spacing w:val="-2"/>
          <w:lang w:val="es-ES"/>
        </w:rPr>
        <w:t>O</w:t>
      </w:r>
      <w:r w:rsidRPr="00E41971">
        <w:rPr>
          <w:spacing w:val="-2"/>
          <w:lang w:val="es-ES"/>
        </w:rPr>
        <w:t xml:space="preserve">ficina del Procurador General </w:t>
      </w:r>
      <w:r w:rsidR="00E84412">
        <w:rPr>
          <w:spacing w:val="-2"/>
          <w:lang w:val="es-ES"/>
        </w:rPr>
        <w:t xml:space="preserve">(AGO) </w:t>
      </w:r>
      <w:r w:rsidRPr="00E41971">
        <w:rPr>
          <w:spacing w:val="-2"/>
          <w:lang w:val="es-ES"/>
        </w:rPr>
        <w:t xml:space="preserve">del estado de Massachusetts expide la presente notificación para informar a los centros </w:t>
      </w:r>
      <w:r w:rsidR="00E84412">
        <w:rPr>
          <w:spacing w:val="-2"/>
          <w:lang w:val="es-ES"/>
        </w:rPr>
        <w:t>de atención a largo plazo</w:t>
      </w:r>
      <w:r w:rsidRPr="00E41971">
        <w:rPr>
          <w:spacing w:val="-2"/>
          <w:lang w:val="es-ES"/>
        </w:rPr>
        <w:t xml:space="preserve">, a los residentes de dichos centros y a los familiares de dichos residentes acerca de sus derechos y responsabilidades en relación con los pagos </w:t>
      </w:r>
      <w:r w:rsidR="004C3B28">
        <w:rPr>
          <w:spacing w:val="-2"/>
          <w:lang w:val="es-ES"/>
        </w:rPr>
        <w:t>de</w:t>
      </w:r>
      <w:r w:rsidR="004C3B28" w:rsidRPr="00E41971">
        <w:rPr>
          <w:spacing w:val="-2"/>
          <w:lang w:val="es-ES"/>
        </w:rPr>
        <w:t xml:space="preserve"> </w:t>
      </w:r>
      <w:r w:rsidRPr="00E41971">
        <w:rPr>
          <w:spacing w:val="-2"/>
          <w:lang w:val="es-ES"/>
        </w:rPr>
        <w:t xml:space="preserve">impacto económico </w:t>
      </w:r>
      <w:r w:rsidR="004C3B28">
        <w:rPr>
          <w:spacing w:val="-2"/>
          <w:lang w:val="es-ES"/>
        </w:rPr>
        <w:t xml:space="preserve">(estímulo) </w:t>
      </w:r>
      <w:r w:rsidRPr="00E41971">
        <w:rPr>
          <w:spacing w:val="-2"/>
          <w:lang w:val="es-ES"/>
        </w:rPr>
        <w:t xml:space="preserve">que se están girando de conformidad con la Ley de Asignaciones </w:t>
      </w:r>
      <w:r w:rsidR="004B2A70" w:rsidRPr="00E41971">
        <w:rPr>
          <w:spacing w:val="-2"/>
          <w:lang w:val="es-ES"/>
        </w:rPr>
        <w:t>Consolidada</w:t>
      </w:r>
      <w:r w:rsidR="004B2A70">
        <w:rPr>
          <w:spacing w:val="-2"/>
          <w:lang w:val="es-ES"/>
        </w:rPr>
        <w:t>s</w:t>
      </w:r>
      <w:r w:rsidR="004B2A70" w:rsidRPr="00E41971">
        <w:rPr>
          <w:spacing w:val="-2"/>
          <w:lang w:val="es-ES"/>
        </w:rPr>
        <w:t xml:space="preserve"> </w:t>
      </w:r>
      <w:r w:rsidRPr="00E41971">
        <w:rPr>
          <w:spacing w:val="-2"/>
          <w:lang w:val="es-ES"/>
        </w:rPr>
        <w:t>de 2021 (</w:t>
      </w:r>
      <w:proofErr w:type="spellStart"/>
      <w:r w:rsidR="007B7373" w:rsidRPr="00E41971">
        <w:rPr>
          <w:i/>
          <w:iCs/>
          <w:spacing w:val="-2"/>
          <w:lang w:val="es-ES"/>
        </w:rPr>
        <w:t>Consolidated</w:t>
      </w:r>
      <w:proofErr w:type="spellEnd"/>
      <w:r w:rsidR="007B7373" w:rsidRPr="00E41971">
        <w:rPr>
          <w:i/>
          <w:iCs/>
          <w:spacing w:val="-2"/>
          <w:lang w:val="es-ES"/>
        </w:rPr>
        <w:t xml:space="preserve"> </w:t>
      </w:r>
      <w:proofErr w:type="spellStart"/>
      <w:r w:rsidR="007B7373" w:rsidRPr="00E41971">
        <w:rPr>
          <w:i/>
          <w:iCs/>
          <w:spacing w:val="-2"/>
          <w:lang w:val="es-ES"/>
        </w:rPr>
        <w:t>Appropriations</w:t>
      </w:r>
      <w:proofErr w:type="spellEnd"/>
      <w:r w:rsidR="007B7373" w:rsidRPr="00E41971">
        <w:rPr>
          <w:i/>
          <w:iCs/>
          <w:spacing w:val="-2"/>
          <w:lang w:val="es-ES"/>
        </w:rPr>
        <w:t xml:space="preserve"> </w:t>
      </w:r>
      <w:proofErr w:type="spellStart"/>
      <w:r w:rsidR="007B7373" w:rsidRPr="00E41971">
        <w:rPr>
          <w:i/>
          <w:iCs/>
          <w:spacing w:val="-2"/>
          <w:lang w:val="es-ES"/>
        </w:rPr>
        <w:t>Act</w:t>
      </w:r>
      <w:proofErr w:type="spellEnd"/>
      <w:r w:rsidRPr="00E41971">
        <w:rPr>
          <w:i/>
          <w:iCs/>
          <w:spacing w:val="-2"/>
          <w:lang w:val="es-ES"/>
        </w:rPr>
        <w:t>)</w:t>
      </w:r>
      <w:r w:rsidR="007B7373" w:rsidRPr="00E41971">
        <w:rPr>
          <w:spacing w:val="-2"/>
          <w:lang w:val="es-ES"/>
        </w:rPr>
        <w:t>.</w:t>
      </w:r>
    </w:p>
    <w:p w14:paraId="5646DF76" w14:textId="690B710E" w:rsidR="00A52B8B" w:rsidRPr="0094478F" w:rsidRDefault="004C3B28" w:rsidP="004B2A70">
      <w:pPr>
        <w:pStyle w:val="BodyText"/>
        <w:spacing w:beforeLines="80" w:before="192"/>
        <w:ind w:right="114" w:firstLine="720"/>
        <w:jc w:val="both"/>
        <w:rPr>
          <w:lang w:val="es-ES"/>
        </w:rPr>
      </w:pPr>
      <w:r>
        <w:rPr>
          <w:lang w:val="es-ES"/>
        </w:rPr>
        <w:t>A principios de este</w:t>
      </w:r>
      <w:r w:rsidR="0094478F" w:rsidRPr="0094478F">
        <w:rPr>
          <w:lang w:val="es-ES"/>
        </w:rPr>
        <w:t xml:space="preserve"> año, esta </w:t>
      </w:r>
      <w:r w:rsidR="00B275D2">
        <w:rPr>
          <w:lang w:val="es-ES"/>
        </w:rPr>
        <w:t>AGO</w:t>
      </w:r>
      <w:r w:rsidR="00B275D2" w:rsidRPr="0094478F">
        <w:rPr>
          <w:lang w:val="es-ES"/>
        </w:rPr>
        <w:t xml:space="preserve"> </w:t>
      </w:r>
      <w:r w:rsidR="0094478F" w:rsidRPr="0094478F">
        <w:rPr>
          <w:lang w:val="es-ES"/>
        </w:rPr>
        <w:t xml:space="preserve">recibió informes en los que se alegaba que algunos centros </w:t>
      </w:r>
      <w:r w:rsidR="00E84412">
        <w:rPr>
          <w:lang w:val="es-ES"/>
        </w:rPr>
        <w:t>de atención a largo plazo</w:t>
      </w:r>
      <w:r w:rsidR="0094478F" w:rsidRPr="0094478F">
        <w:rPr>
          <w:lang w:val="es-ES"/>
        </w:rPr>
        <w:t xml:space="preserve"> </w:t>
      </w:r>
      <w:r w:rsidR="0094478F">
        <w:rPr>
          <w:lang w:val="es-ES"/>
        </w:rPr>
        <w:t xml:space="preserve">estaban apropiándose de pagos </w:t>
      </w:r>
      <w:r w:rsidR="00B275D2">
        <w:rPr>
          <w:lang w:val="es-ES"/>
        </w:rPr>
        <w:t xml:space="preserve">de </w:t>
      </w:r>
      <w:r w:rsidR="0094478F">
        <w:rPr>
          <w:lang w:val="es-ES"/>
        </w:rPr>
        <w:t>impacto económico girados</w:t>
      </w:r>
      <w:r w:rsidR="004B2A70">
        <w:rPr>
          <w:lang w:val="es-ES"/>
        </w:rPr>
        <w:t xml:space="preserve"> a favor de sus residentes en cumplimiento de</w:t>
      </w:r>
      <w:r w:rsidR="0094478F">
        <w:rPr>
          <w:lang w:val="es-ES"/>
        </w:rPr>
        <w:t xml:space="preserve"> la Ley CARES</w:t>
      </w:r>
      <w:r w:rsidR="007B7373" w:rsidRPr="0094478F">
        <w:rPr>
          <w:lang w:val="es-ES"/>
        </w:rPr>
        <w:t xml:space="preserve">. </w:t>
      </w:r>
      <w:r w:rsidR="00A50445">
        <w:rPr>
          <w:lang w:val="es-ES"/>
        </w:rPr>
        <w:t xml:space="preserve">La </w:t>
      </w:r>
      <w:r w:rsidR="00A50445">
        <w:rPr>
          <w:spacing w:val="-2"/>
          <w:lang w:val="es-ES"/>
        </w:rPr>
        <w:t>O</w:t>
      </w:r>
      <w:r w:rsidR="00A50445" w:rsidRPr="00E41971">
        <w:rPr>
          <w:spacing w:val="-2"/>
          <w:lang w:val="es-ES"/>
        </w:rPr>
        <w:t>ficina del Procurador General</w:t>
      </w:r>
      <w:r w:rsidR="0094478F" w:rsidRPr="0094478F">
        <w:rPr>
          <w:lang w:val="es-ES"/>
        </w:rPr>
        <w:t xml:space="preserve"> expide esta notificación </w:t>
      </w:r>
      <w:r w:rsidR="00A50445">
        <w:rPr>
          <w:lang w:val="es-ES"/>
        </w:rPr>
        <w:t>para</w:t>
      </w:r>
      <w:r w:rsidR="0094478F" w:rsidRPr="0094478F">
        <w:rPr>
          <w:lang w:val="es-ES"/>
        </w:rPr>
        <w:t xml:space="preserve"> evitar confusión acerca del </w:t>
      </w:r>
      <w:r w:rsidR="00A50445" w:rsidRPr="0094478F">
        <w:rPr>
          <w:lang w:val="es-ES"/>
        </w:rPr>
        <w:t>esta</w:t>
      </w:r>
      <w:r w:rsidR="00A50445">
        <w:rPr>
          <w:lang w:val="es-ES"/>
        </w:rPr>
        <w:t>do</w:t>
      </w:r>
      <w:r w:rsidR="00A50445" w:rsidRPr="0094478F">
        <w:rPr>
          <w:lang w:val="es-ES"/>
        </w:rPr>
        <w:t xml:space="preserve"> </w:t>
      </w:r>
      <w:r w:rsidR="0094478F" w:rsidRPr="0094478F">
        <w:rPr>
          <w:lang w:val="es-ES"/>
        </w:rPr>
        <w:t xml:space="preserve">de los pagos </w:t>
      </w:r>
      <w:r w:rsidR="00A50445">
        <w:rPr>
          <w:lang w:val="es-ES"/>
        </w:rPr>
        <w:t>de</w:t>
      </w:r>
      <w:r w:rsidR="00A50445" w:rsidRPr="0094478F">
        <w:rPr>
          <w:lang w:val="es-ES"/>
        </w:rPr>
        <w:t xml:space="preserve"> </w:t>
      </w:r>
      <w:r w:rsidR="0094478F" w:rsidRPr="0094478F">
        <w:rPr>
          <w:lang w:val="es-ES"/>
        </w:rPr>
        <w:t xml:space="preserve">impacto económico </w:t>
      </w:r>
      <w:r w:rsidR="0094478F">
        <w:rPr>
          <w:lang w:val="es-ES"/>
        </w:rPr>
        <w:t>girados según la Ley de Asignaciones Consolidadas</w:t>
      </w:r>
      <w:r w:rsidR="00F30D62">
        <w:rPr>
          <w:lang w:val="es-ES"/>
        </w:rPr>
        <w:t xml:space="preserve"> de 2021</w:t>
      </w:r>
      <w:r w:rsidR="007B7373" w:rsidRPr="0094478F">
        <w:rPr>
          <w:lang w:val="es-ES"/>
        </w:rPr>
        <w:t>.</w:t>
      </w:r>
    </w:p>
    <w:p w14:paraId="7132B3D8" w14:textId="4B7ABC46" w:rsidR="00A52B8B" w:rsidRPr="00E41971" w:rsidRDefault="0094478F" w:rsidP="004B2A70">
      <w:pPr>
        <w:pStyle w:val="BodyText"/>
        <w:spacing w:beforeLines="80" w:before="192"/>
        <w:ind w:right="115" w:firstLine="720"/>
        <w:jc w:val="both"/>
        <w:rPr>
          <w:lang w:val="es-ES"/>
        </w:rPr>
      </w:pPr>
      <w:r w:rsidRPr="0094478F">
        <w:rPr>
          <w:lang w:val="es-ES"/>
        </w:rPr>
        <w:t>Los pagos por impacto económic</w:t>
      </w:r>
      <w:r w:rsidR="004B2A70">
        <w:rPr>
          <w:lang w:val="es-ES"/>
        </w:rPr>
        <w:t>o</w:t>
      </w:r>
      <w:r w:rsidRPr="0094478F">
        <w:rPr>
          <w:lang w:val="es-ES"/>
        </w:rPr>
        <w:t xml:space="preserve"> gira</w:t>
      </w:r>
      <w:r w:rsidR="004B2A70">
        <w:rPr>
          <w:lang w:val="es-ES"/>
        </w:rPr>
        <w:t>dos</w:t>
      </w:r>
      <w:r w:rsidRPr="0094478F">
        <w:rPr>
          <w:lang w:val="es-ES"/>
        </w:rPr>
        <w:t xml:space="preserve"> de conformidad con la </w:t>
      </w:r>
      <w:r>
        <w:rPr>
          <w:lang w:val="es-ES"/>
        </w:rPr>
        <w:t>Ley de Asignaciones Consolidadas de 2021 son, de manera parecida a los giros bajo la Ley CARES</w:t>
      </w:r>
      <w:r w:rsidR="007B7373" w:rsidRPr="0094478F">
        <w:rPr>
          <w:lang w:val="es-ES"/>
        </w:rPr>
        <w:t>,</w:t>
      </w:r>
      <w:r w:rsidR="00BC030B">
        <w:rPr>
          <w:rStyle w:val="FootnoteReference"/>
          <w:spacing w:val="-3"/>
        </w:rPr>
        <w:footnoteReference w:id="1"/>
      </w:r>
      <w:r w:rsidR="007B7373" w:rsidRPr="0094478F">
        <w:rPr>
          <w:spacing w:val="-3"/>
          <w:lang w:val="es-ES"/>
        </w:rPr>
        <w:t xml:space="preserve"> </w:t>
      </w:r>
      <w:r>
        <w:rPr>
          <w:lang w:val="es-ES"/>
        </w:rPr>
        <w:t>un</w:t>
      </w:r>
      <w:r w:rsidR="007B7373" w:rsidRPr="0094478F">
        <w:rPr>
          <w:spacing w:val="-2"/>
          <w:lang w:val="es-ES"/>
        </w:rPr>
        <w:t xml:space="preserve"> </w:t>
      </w:r>
      <w:r w:rsidR="007B7373" w:rsidRPr="0094478F">
        <w:rPr>
          <w:lang w:val="es-ES"/>
        </w:rPr>
        <w:t>cr</w:t>
      </w:r>
      <w:r>
        <w:rPr>
          <w:lang w:val="es-ES"/>
        </w:rPr>
        <w:t>é</w:t>
      </w:r>
      <w:r w:rsidR="007B7373" w:rsidRPr="0094478F">
        <w:rPr>
          <w:lang w:val="es-ES"/>
        </w:rPr>
        <w:t>dit</w:t>
      </w:r>
      <w:r>
        <w:rPr>
          <w:lang w:val="es-ES"/>
        </w:rPr>
        <w:t>o tributario</w:t>
      </w:r>
      <w:r w:rsidR="007B7373" w:rsidRPr="0094478F">
        <w:rPr>
          <w:lang w:val="es-ES"/>
        </w:rPr>
        <w:t>.</w:t>
      </w:r>
      <w:r w:rsidR="00BC030B">
        <w:rPr>
          <w:rStyle w:val="FootnoteReference"/>
          <w:spacing w:val="-3"/>
        </w:rPr>
        <w:footnoteReference w:id="2"/>
      </w:r>
      <w:r w:rsidR="007B7373" w:rsidRPr="0094478F">
        <w:rPr>
          <w:spacing w:val="-3"/>
          <w:lang w:val="es-ES"/>
        </w:rPr>
        <w:t xml:space="preserve"> </w:t>
      </w:r>
      <w:r w:rsidRPr="0094478F">
        <w:rPr>
          <w:lang w:val="es-ES"/>
        </w:rPr>
        <w:t>Los créditos tributari</w:t>
      </w:r>
      <w:r>
        <w:rPr>
          <w:lang w:val="es-ES"/>
        </w:rPr>
        <w:t>o</w:t>
      </w:r>
      <w:r w:rsidRPr="0094478F">
        <w:rPr>
          <w:lang w:val="es-ES"/>
        </w:rPr>
        <w:t xml:space="preserve">s no cuentan como </w:t>
      </w:r>
      <w:r w:rsidR="007B7373" w:rsidRPr="0094478F">
        <w:rPr>
          <w:lang w:val="es-ES"/>
        </w:rPr>
        <w:t>“re</w:t>
      </w:r>
      <w:r w:rsidRPr="0094478F">
        <w:rPr>
          <w:lang w:val="es-ES"/>
        </w:rPr>
        <w:t>c</w:t>
      </w:r>
      <w:r w:rsidR="007B7373" w:rsidRPr="0094478F">
        <w:rPr>
          <w:lang w:val="es-ES"/>
        </w:rPr>
        <w:t>ur</w:t>
      </w:r>
      <w:r w:rsidRPr="0094478F">
        <w:rPr>
          <w:lang w:val="es-ES"/>
        </w:rPr>
        <w:t>so</w:t>
      </w:r>
      <w:r w:rsidR="007B7373" w:rsidRPr="0094478F">
        <w:rPr>
          <w:lang w:val="es-ES"/>
        </w:rPr>
        <w:t xml:space="preserve">s” </w:t>
      </w:r>
      <w:r w:rsidRPr="0094478F">
        <w:rPr>
          <w:lang w:val="es-ES"/>
        </w:rPr>
        <w:t>pa</w:t>
      </w:r>
      <w:r>
        <w:rPr>
          <w:lang w:val="es-ES"/>
        </w:rPr>
        <w:t xml:space="preserve">ra efectos de </w:t>
      </w:r>
      <w:r w:rsidR="00CF048C">
        <w:rPr>
          <w:lang w:val="es-ES"/>
        </w:rPr>
        <w:t xml:space="preserve">los </w:t>
      </w:r>
      <w:r>
        <w:rPr>
          <w:lang w:val="es-ES"/>
        </w:rPr>
        <w:t xml:space="preserve">programas federales de </w:t>
      </w:r>
      <w:r w:rsidR="00CF048C">
        <w:rPr>
          <w:lang w:val="es-ES"/>
        </w:rPr>
        <w:t>beneficios</w:t>
      </w:r>
      <w:r>
        <w:rPr>
          <w:lang w:val="es-ES"/>
        </w:rPr>
        <w:t xml:space="preserve">, incluido el programa </w:t>
      </w:r>
      <w:r w:rsidR="007B7373" w:rsidRPr="0094478F">
        <w:rPr>
          <w:lang w:val="es-ES"/>
        </w:rPr>
        <w:t>MassHealth.</w:t>
      </w:r>
      <w:r w:rsidR="00496B9A">
        <w:rPr>
          <w:rStyle w:val="FootnoteReference"/>
        </w:rPr>
        <w:footnoteReference w:id="3"/>
      </w:r>
      <w:r w:rsidR="007B7373" w:rsidRPr="0094478F">
        <w:rPr>
          <w:lang w:val="es-ES"/>
        </w:rPr>
        <w:t xml:space="preserve"> </w:t>
      </w:r>
      <w:r w:rsidR="00CF048C">
        <w:rPr>
          <w:lang w:val="es-ES"/>
        </w:rPr>
        <w:t>Dado</w:t>
      </w:r>
      <w:r w:rsidR="00E41971" w:rsidRPr="00E41971">
        <w:rPr>
          <w:lang w:val="es-ES"/>
        </w:rPr>
        <w:t xml:space="preserve"> que los pagos de estímulo no se contabilizan como si fueran </w:t>
      </w:r>
      <w:r w:rsidR="007B7373" w:rsidRPr="00E41971">
        <w:rPr>
          <w:lang w:val="es-ES"/>
        </w:rPr>
        <w:t>“re</w:t>
      </w:r>
      <w:r w:rsidR="00E41971" w:rsidRPr="00E41971">
        <w:rPr>
          <w:lang w:val="es-ES"/>
        </w:rPr>
        <w:t>c</w:t>
      </w:r>
      <w:r w:rsidR="007B7373" w:rsidRPr="00E41971">
        <w:rPr>
          <w:lang w:val="es-ES"/>
        </w:rPr>
        <w:t>ur</w:t>
      </w:r>
      <w:r w:rsidR="00E41971" w:rsidRPr="00E41971">
        <w:rPr>
          <w:lang w:val="es-ES"/>
        </w:rPr>
        <w:t>so</w:t>
      </w:r>
      <w:r w:rsidR="007B7373" w:rsidRPr="00E41971">
        <w:rPr>
          <w:lang w:val="es-ES"/>
        </w:rPr>
        <w:t xml:space="preserve">s” </w:t>
      </w:r>
      <w:r w:rsidR="00E41971" w:rsidRPr="00E41971">
        <w:rPr>
          <w:lang w:val="es-ES"/>
        </w:rPr>
        <w:t>para efecto</w:t>
      </w:r>
      <w:r w:rsidR="00E41971">
        <w:rPr>
          <w:lang w:val="es-ES"/>
        </w:rPr>
        <w:t>s</w:t>
      </w:r>
      <w:r w:rsidR="00E41971" w:rsidRPr="00E41971">
        <w:rPr>
          <w:lang w:val="es-ES"/>
        </w:rPr>
        <w:t xml:space="preserve"> de lo</w:t>
      </w:r>
      <w:r w:rsidR="00E41971">
        <w:rPr>
          <w:lang w:val="es-ES"/>
        </w:rPr>
        <w:t>s</w:t>
      </w:r>
      <w:r w:rsidR="00E41971" w:rsidRPr="00E41971">
        <w:rPr>
          <w:lang w:val="es-ES"/>
        </w:rPr>
        <w:t xml:space="preserve"> </w:t>
      </w:r>
      <w:r w:rsidR="00E41971">
        <w:rPr>
          <w:lang w:val="es-ES"/>
        </w:rPr>
        <w:t xml:space="preserve">programas federales de </w:t>
      </w:r>
      <w:r w:rsidR="00CF048C">
        <w:rPr>
          <w:lang w:val="es-ES"/>
        </w:rPr>
        <w:t>beneficio</w:t>
      </w:r>
      <w:r w:rsidR="00E41971">
        <w:rPr>
          <w:lang w:val="es-ES"/>
        </w:rPr>
        <w:t xml:space="preserve">s, recibir un pago de estímulo no cambia el monto mensual que el residente le paga al centro </w:t>
      </w:r>
      <w:r w:rsidR="00690412">
        <w:rPr>
          <w:lang w:val="es-ES"/>
        </w:rPr>
        <w:t>de enfermería especializada</w:t>
      </w:r>
      <w:r w:rsidR="00E41971">
        <w:rPr>
          <w:lang w:val="es-ES"/>
        </w:rPr>
        <w:t xml:space="preserve"> </w:t>
      </w:r>
      <w:r w:rsidR="004B2A70">
        <w:rPr>
          <w:lang w:val="es-ES"/>
        </w:rPr>
        <w:t>[</w:t>
      </w:r>
      <w:r w:rsidR="00E41971">
        <w:rPr>
          <w:lang w:val="es-ES"/>
        </w:rPr>
        <w:t xml:space="preserve">suma que a menudo se llama “monto a pagar” </w:t>
      </w:r>
      <w:r w:rsidR="004B2A70">
        <w:rPr>
          <w:lang w:val="es-ES"/>
        </w:rPr>
        <w:t>(</w:t>
      </w:r>
      <w:proofErr w:type="spellStart"/>
      <w:r w:rsidR="004B2A70">
        <w:rPr>
          <w:i/>
          <w:iCs/>
          <w:lang w:val="es-ES"/>
        </w:rPr>
        <w:t>patient</w:t>
      </w:r>
      <w:proofErr w:type="spellEnd"/>
      <w:r w:rsidR="004B2A70">
        <w:rPr>
          <w:i/>
          <w:iCs/>
          <w:lang w:val="es-ES"/>
        </w:rPr>
        <w:t xml:space="preserve"> </w:t>
      </w:r>
      <w:proofErr w:type="spellStart"/>
      <w:r w:rsidR="004B2A70">
        <w:rPr>
          <w:i/>
          <w:iCs/>
          <w:lang w:val="es-ES"/>
        </w:rPr>
        <w:t>pay</w:t>
      </w:r>
      <w:proofErr w:type="spellEnd"/>
      <w:r w:rsidR="004B2A70">
        <w:rPr>
          <w:i/>
          <w:iCs/>
          <w:lang w:val="es-ES"/>
        </w:rPr>
        <w:t xml:space="preserve"> </w:t>
      </w:r>
      <w:proofErr w:type="spellStart"/>
      <w:r w:rsidR="004B2A70">
        <w:rPr>
          <w:i/>
          <w:iCs/>
          <w:lang w:val="es-ES"/>
        </w:rPr>
        <w:t>amount</w:t>
      </w:r>
      <w:proofErr w:type="spellEnd"/>
      <w:r w:rsidR="004B2A70">
        <w:rPr>
          <w:i/>
          <w:iCs/>
          <w:lang w:val="es-ES"/>
        </w:rPr>
        <w:t xml:space="preserve">) </w:t>
      </w:r>
      <w:r w:rsidR="00E41971">
        <w:rPr>
          <w:lang w:val="es-ES"/>
        </w:rPr>
        <w:t>o “proporción del costo”</w:t>
      </w:r>
      <w:r w:rsidR="004B2A70">
        <w:rPr>
          <w:lang w:val="es-ES"/>
        </w:rPr>
        <w:t xml:space="preserve"> (</w:t>
      </w:r>
      <w:r w:rsidR="004B2A70">
        <w:rPr>
          <w:i/>
          <w:iCs/>
          <w:lang w:val="es-ES"/>
        </w:rPr>
        <w:t xml:space="preserve">“share </w:t>
      </w:r>
      <w:proofErr w:type="spellStart"/>
      <w:r w:rsidR="004B2A70">
        <w:rPr>
          <w:i/>
          <w:iCs/>
          <w:lang w:val="es-ES"/>
        </w:rPr>
        <w:t>of</w:t>
      </w:r>
      <w:proofErr w:type="spellEnd"/>
      <w:r w:rsidR="004B2A70">
        <w:rPr>
          <w:i/>
          <w:iCs/>
          <w:lang w:val="es-ES"/>
        </w:rPr>
        <w:t xml:space="preserve"> </w:t>
      </w:r>
      <w:proofErr w:type="spellStart"/>
      <w:r w:rsidR="004B2A70">
        <w:rPr>
          <w:i/>
          <w:iCs/>
          <w:lang w:val="es-ES"/>
        </w:rPr>
        <w:t>cost</w:t>
      </w:r>
      <w:proofErr w:type="spellEnd"/>
      <w:r w:rsidR="004B2A70">
        <w:rPr>
          <w:i/>
          <w:iCs/>
          <w:lang w:val="es-ES"/>
        </w:rPr>
        <w:t>”)</w:t>
      </w:r>
      <w:r w:rsidR="004B2A70">
        <w:rPr>
          <w:lang w:val="es-ES"/>
        </w:rPr>
        <w:t>]</w:t>
      </w:r>
      <w:r w:rsidR="00E41971">
        <w:rPr>
          <w:lang w:val="es-ES"/>
        </w:rPr>
        <w:t xml:space="preserve">. </w:t>
      </w:r>
      <w:r w:rsidR="00E41971" w:rsidRPr="00E41971">
        <w:rPr>
          <w:lang w:val="es-ES"/>
        </w:rPr>
        <w:t xml:space="preserve">Por consiguiente, los residentes de </w:t>
      </w:r>
      <w:r w:rsidR="00690412">
        <w:rPr>
          <w:lang w:val="es-ES"/>
        </w:rPr>
        <w:t xml:space="preserve">centros de enfermería especializada </w:t>
      </w:r>
      <w:r w:rsidR="00E41971" w:rsidRPr="00E41971">
        <w:rPr>
          <w:lang w:val="es-ES"/>
        </w:rPr>
        <w:t>deben recibir el valor total de su</w:t>
      </w:r>
      <w:r w:rsidR="00E41971">
        <w:rPr>
          <w:lang w:val="es-ES"/>
        </w:rPr>
        <w:t xml:space="preserve"> </w:t>
      </w:r>
      <w:r w:rsidR="00E41971" w:rsidRPr="00E41971">
        <w:rPr>
          <w:lang w:val="es-ES"/>
        </w:rPr>
        <w:t xml:space="preserve">pago por impacto económico </w:t>
      </w:r>
      <w:r w:rsidR="00E41971">
        <w:rPr>
          <w:lang w:val="es-ES"/>
        </w:rPr>
        <w:t xml:space="preserve">y lo pueden utilizar para lo que </w:t>
      </w:r>
      <w:r w:rsidR="00690412">
        <w:rPr>
          <w:lang w:val="es-ES"/>
        </w:rPr>
        <w:t>ellos deseen</w:t>
      </w:r>
      <w:r w:rsidR="007B7373" w:rsidRPr="00E41971">
        <w:rPr>
          <w:lang w:val="es-ES"/>
        </w:rPr>
        <w:t>.</w:t>
      </w:r>
      <w:r w:rsidR="00496B9A">
        <w:rPr>
          <w:rStyle w:val="FootnoteReference"/>
        </w:rPr>
        <w:footnoteReference w:id="4"/>
      </w:r>
    </w:p>
    <w:p w14:paraId="0E3B7AE5" w14:textId="50BD9B5F" w:rsidR="00A52B8B" w:rsidRPr="004B2A70" w:rsidRDefault="00E41971" w:rsidP="004B2A70">
      <w:pPr>
        <w:pStyle w:val="BodyText"/>
        <w:spacing w:beforeLines="80" w:before="192"/>
        <w:ind w:right="115" w:firstLine="720"/>
        <w:jc w:val="both"/>
        <w:rPr>
          <w:lang w:val="es-ES"/>
        </w:rPr>
      </w:pPr>
      <w:r w:rsidRPr="00E41971">
        <w:rPr>
          <w:lang w:val="es-ES"/>
        </w:rPr>
        <w:t xml:space="preserve">Según </w:t>
      </w:r>
      <w:r w:rsidR="004B2A70">
        <w:rPr>
          <w:lang w:val="es-ES"/>
        </w:rPr>
        <w:t xml:space="preserve">lo que se estipula en </w:t>
      </w:r>
      <w:r w:rsidRPr="00E41971">
        <w:rPr>
          <w:lang w:val="es-ES"/>
        </w:rPr>
        <w:t>la ley tributaria federal, “independientemente de cualquier otra cosa que podría disponer la ley, todo reembolso (o pago anticipado con respecto a un crédito reembolsable) que se le haga a una persona conforme a este título no se contabilizará como ingreso, ni se con</w:t>
      </w:r>
      <w:r w:rsidR="00546B9A">
        <w:rPr>
          <w:lang w:val="es-ES"/>
        </w:rPr>
        <w:t>sider</w:t>
      </w:r>
      <w:r w:rsidRPr="00E41971">
        <w:rPr>
          <w:lang w:val="es-ES"/>
        </w:rPr>
        <w:t>ará como recurso por un lapso de 12 meses contados a partir de la fecha en que se recibe, pa</w:t>
      </w:r>
      <w:r>
        <w:rPr>
          <w:lang w:val="es-ES"/>
        </w:rPr>
        <w:t xml:space="preserve">ra efectos de determinar </w:t>
      </w:r>
      <w:r w:rsidR="00546B9A">
        <w:rPr>
          <w:lang w:val="es-ES"/>
        </w:rPr>
        <w:t xml:space="preserve">la elegibilidad de </w:t>
      </w:r>
      <w:r>
        <w:rPr>
          <w:lang w:val="es-ES"/>
        </w:rPr>
        <w:t xml:space="preserve">dicha persona (o cualquier otra </w:t>
      </w:r>
      <w:r>
        <w:rPr>
          <w:lang w:val="es-ES"/>
        </w:rPr>
        <w:lastRenderedPageBreak/>
        <w:t xml:space="preserve">persona) para recibir </w:t>
      </w:r>
      <w:r w:rsidR="00546B9A">
        <w:rPr>
          <w:lang w:val="es-ES"/>
        </w:rPr>
        <w:t>beneficios</w:t>
      </w:r>
      <w:r>
        <w:rPr>
          <w:lang w:val="es-ES"/>
        </w:rPr>
        <w:t xml:space="preserve"> o asistencia (o el monto o la duración de tales </w:t>
      </w:r>
      <w:r w:rsidR="00546B9A">
        <w:rPr>
          <w:lang w:val="es-ES"/>
        </w:rPr>
        <w:t>beneficios</w:t>
      </w:r>
      <w:r>
        <w:rPr>
          <w:lang w:val="es-ES"/>
        </w:rPr>
        <w:t xml:space="preserve"> o asistencia) en cumplimiento de un programa</w:t>
      </w:r>
      <w:r w:rsidR="004B2A70">
        <w:rPr>
          <w:lang w:val="es-ES"/>
        </w:rPr>
        <w:t xml:space="preserve"> f</w:t>
      </w:r>
      <w:r>
        <w:rPr>
          <w:lang w:val="es-ES"/>
        </w:rPr>
        <w:t xml:space="preserve">ederal o de un programa estatal o local financiado en su integridad o en parte con fondos provenientes del gobierno </w:t>
      </w:r>
      <w:r w:rsidR="004B2A70">
        <w:rPr>
          <w:lang w:val="es-ES"/>
        </w:rPr>
        <w:t>f</w:t>
      </w:r>
      <w:r w:rsidR="007B7373" w:rsidRPr="00E41971">
        <w:rPr>
          <w:lang w:val="es-ES"/>
        </w:rPr>
        <w:t>ederal”</w:t>
      </w:r>
      <w:r w:rsidR="00770D49" w:rsidRPr="007B1E83">
        <w:rPr>
          <w:vertAlign w:val="superscript"/>
          <w:lang w:val="es-ES"/>
        </w:rPr>
        <w:t>*</w:t>
      </w:r>
      <w:r>
        <w:rPr>
          <w:lang w:val="es-ES"/>
        </w:rPr>
        <w:t>.</w:t>
      </w:r>
      <w:r w:rsidR="007B7373" w:rsidRPr="00E41971">
        <w:rPr>
          <w:lang w:val="es-ES"/>
        </w:rPr>
        <w:t xml:space="preserve"> </w:t>
      </w:r>
      <w:r w:rsidR="007B7373" w:rsidRPr="004B2A70">
        <w:rPr>
          <w:lang w:val="es-ES"/>
        </w:rPr>
        <w:t>26 U.S.C §</w:t>
      </w:r>
      <w:r w:rsidR="007B7373" w:rsidRPr="004B2A70">
        <w:rPr>
          <w:spacing w:val="-3"/>
          <w:lang w:val="es-ES"/>
        </w:rPr>
        <w:t xml:space="preserve"> </w:t>
      </w:r>
      <w:r w:rsidR="007B7373" w:rsidRPr="004B2A70">
        <w:rPr>
          <w:lang w:val="es-ES"/>
        </w:rPr>
        <w:t>6409.</w:t>
      </w:r>
    </w:p>
    <w:p w14:paraId="1C00D028" w14:textId="39285D1D" w:rsidR="00A52B8B" w:rsidRPr="001B4A40" w:rsidRDefault="00546B9A" w:rsidP="004B2A70">
      <w:pPr>
        <w:pStyle w:val="BodyText"/>
        <w:spacing w:before="120"/>
        <w:ind w:right="114" w:firstLine="720"/>
        <w:jc w:val="both"/>
        <w:rPr>
          <w:lang w:val="es-ES"/>
        </w:rPr>
      </w:pPr>
      <w:r>
        <w:rPr>
          <w:lang w:val="es-ES"/>
        </w:rPr>
        <w:t>Además</w:t>
      </w:r>
      <w:r w:rsidR="007B7373" w:rsidRPr="001B4A40">
        <w:rPr>
          <w:lang w:val="es-ES"/>
        </w:rPr>
        <w:t>, “</w:t>
      </w:r>
      <w:r w:rsidR="00303694" w:rsidRPr="001B4A40">
        <w:rPr>
          <w:lang w:val="es-ES"/>
        </w:rPr>
        <w:t xml:space="preserve">los miembros de </w:t>
      </w:r>
      <w:r w:rsidR="007B7373" w:rsidRPr="001B4A40">
        <w:rPr>
          <w:lang w:val="es-ES"/>
        </w:rPr>
        <w:t xml:space="preserve">MassHealth </w:t>
      </w:r>
      <w:r w:rsidR="001B4A40" w:rsidRPr="001B4A40">
        <w:rPr>
          <w:lang w:val="es-ES"/>
        </w:rPr>
        <w:t xml:space="preserve">cuentan con el derecho de administrar sus asuntos económicos y el </w:t>
      </w:r>
      <w:r>
        <w:rPr>
          <w:lang w:val="es-ES"/>
        </w:rPr>
        <w:t>centro de enfermería especializada</w:t>
      </w:r>
      <w:r w:rsidR="001B4A40" w:rsidRPr="001B4A40">
        <w:rPr>
          <w:lang w:val="es-ES"/>
        </w:rPr>
        <w:t xml:space="preserve"> no puede exigirles que consignen sus fondos personales en el </w:t>
      </w:r>
      <w:proofErr w:type="gramStart"/>
      <w:r w:rsidR="001B4A40" w:rsidRPr="001B4A40">
        <w:rPr>
          <w:lang w:val="es-ES"/>
        </w:rPr>
        <w:t>centro</w:t>
      </w:r>
      <w:r w:rsidR="007B7373" w:rsidRPr="001B4A40">
        <w:rPr>
          <w:lang w:val="es-ES"/>
        </w:rPr>
        <w:t>”</w:t>
      </w:r>
      <w:r w:rsidR="002F7A33" w:rsidRPr="00FF17A6">
        <w:rPr>
          <w:vertAlign w:val="superscript"/>
          <w:lang w:val="es-ES"/>
        </w:rPr>
        <w:t>*</w:t>
      </w:r>
      <w:proofErr w:type="gramEnd"/>
      <w:r w:rsidR="001B4A40" w:rsidRPr="001B4A40">
        <w:rPr>
          <w:lang w:val="es-ES"/>
        </w:rPr>
        <w:t>.</w:t>
      </w:r>
      <w:r w:rsidR="007B7373" w:rsidRPr="001B4A40">
        <w:rPr>
          <w:lang w:val="es-ES"/>
        </w:rPr>
        <w:t xml:space="preserve"> 130 C.M.R. § 456.601. </w:t>
      </w:r>
      <w:r w:rsidR="001B4A40" w:rsidRPr="001B4A40">
        <w:rPr>
          <w:lang w:val="es-ES"/>
        </w:rPr>
        <w:t xml:space="preserve">Negar a los residentes o a sus parientes acceso a sus cheques de estímulo, o exigir que los consignen en su cuenta </w:t>
      </w:r>
      <w:r w:rsidR="00B01432">
        <w:rPr>
          <w:lang w:val="es-ES"/>
        </w:rPr>
        <w:t>d</w:t>
      </w:r>
      <w:r w:rsidR="001B4A40" w:rsidRPr="001B4A40">
        <w:rPr>
          <w:lang w:val="es-ES"/>
        </w:rPr>
        <w:t xml:space="preserve">el </w:t>
      </w:r>
      <w:r>
        <w:rPr>
          <w:lang w:val="es-ES"/>
        </w:rPr>
        <w:t xml:space="preserve">centro de </w:t>
      </w:r>
      <w:r w:rsidR="00B01432">
        <w:rPr>
          <w:lang w:val="es-ES"/>
        </w:rPr>
        <w:t>atención</w:t>
      </w:r>
      <w:r w:rsidR="001B4A40" w:rsidRPr="001B4A40">
        <w:rPr>
          <w:lang w:val="es-ES"/>
        </w:rPr>
        <w:t xml:space="preserve">, o hacer desembolsos incrementales de los fondos de </w:t>
      </w:r>
      <w:r w:rsidR="00B01432">
        <w:rPr>
          <w:lang w:val="es-ES"/>
        </w:rPr>
        <w:t>dich</w:t>
      </w:r>
      <w:r w:rsidR="00B01432" w:rsidRPr="001B4A40">
        <w:rPr>
          <w:lang w:val="es-ES"/>
        </w:rPr>
        <w:t xml:space="preserve">os </w:t>
      </w:r>
      <w:r w:rsidR="001B4A40" w:rsidRPr="001B4A40">
        <w:rPr>
          <w:lang w:val="es-ES"/>
        </w:rPr>
        <w:t xml:space="preserve">cheques constituye una transgresión del contrato de proveedor de servicios con </w:t>
      </w:r>
      <w:r w:rsidR="007B7373" w:rsidRPr="001B4A40">
        <w:rPr>
          <w:lang w:val="es-ES"/>
        </w:rPr>
        <w:t xml:space="preserve">MassHealth </w:t>
      </w:r>
      <w:r w:rsidR="001B4A40" w:rsidRPr="001B4A40">
        <w:rPr>
          <w:lang w:val="es-ES"/>
        </w:rPr>
        <w:t xml:space="preserve">y tales prácticas son contravenciones claras del estatuto </w:t>
      </w:r>
      <w:r w:rsidR="007B7373" w:rsidRPr="001B4A40">
        <w:rPr>
          <w:lang w:val="es-ES"/>
        </w:rPr>
        <w:t>130 C.M.R. § 456.601.</w:t>
      </w:r>
    </w:p>
    <w:p w14:paraId="7E7F8C7F" w14:textId="004EBB82" w:rsidR="00A52B8B" w:rsidRPr="001B4A40" w:rsidRDefault="001B4A40" w:rsidP="004B2A70">
      <w:pPr>
        <w:pStyle w:val="BodyText"/>
        <w:spacing w:before="120"/>
        <w:ind w:right="116" w:firstLine="720"/>
        <w:jc w:val="both"/>
        <w:rPr>
          <w:lang w:val="es-ES"/>
        </w:rPr>
      </w:pPr>
      <w:r w:rsidRPr="001B4A40">
        <w:rPr>
          <w:lang w:val="es-ES"/>
        </w:rPr>
        <w:t xml:space="preserve">Que un </w:t>
      </w:r>
      <w:r w:rsidR="00546B9A">
        <w:rPr>
          <w:lang w:val="es-ES"/>
        </w:rPr>
        <w:t xml:space="preserve">centro de </w:t>
      </w:r>
      <w:r w:rsidR="00B01432">
        <w:rPr>
          <w:lang w:val="es-ES"/>
        </w:rPr>
        <w:t>atención</w:t>
      </w:r>
      <w:r w:rsidRPr="001B4A40">
        <w:rPr>
          <w:lang w:val="es-ES"/>
        </w:rPr>
        <w:t xml:space="preserve"> </w:t>
      </w:r>
      <w:r w:rsidR="00433911">
        <w:rPr>
          <w:lang w:val="es-ES"/>
        </w:rPr>
        <w:t>tome el</w:t>
      </w:r>
      <w:r w:rsidRPr="001B4A40">
        <w:rPr>
          <w:lang w:val="es-ES"/>
        </w:rPr>
        <w:t xml:space="preserve"> pago por impacto económico de un residente podría constituirse en </w:t>
      </w:r>
      <w:r>
        <w:rPr>
          <w:lang w:val="es-ES"/>
        </w:rPr>
        <w:t xml:space="preserve">la apropiación indebida de los bienes del residente, lo cual sería una violación de los reglamentos federales y estatales que </w:t>
      </w:r>
      <w:r w:rsidR="00B70935">
        <w:rPr>
          <w:lang w:val="es-ES"/>
        </w:rPr>
        <w:t xml:space="preserve">rigen </w:t>
      </w:r>
      <w:r>
        <w:rPr>
          <w:lang w:val="es-ES"/>
        </w:rPr>
        <w:t xml:space="preserve">los centros </w:t>
      </w:r>
      <w:r w:rsidR="00E84412">
        <w:rPr>
          <w:lang w:val="es-ES"/>
        </w:rPr>
        <w:t>de atención a largo plazo</w:t>
      </w:r>
      <w:r>
        <w:rPr>
          <w:lang w:val="es-ES"/>
        </w:rPr>
        <w:t xml:space="preserve">. </w:t>
      </w:r>
      <w:r w:rsidRPr="001B4A40">
        <w:rPr>
          <w:i/>
          <w:lang w:val="es-ES"/>
        </w:rPr>
        <w:t>V</w:t>
      </w:r>
      <w:r w:rsidR="004B2A70">
        <w:rPr>
          <w:i/>
          <w:lang w:val="es-ES"/>
        </w:rPr>
        <w:t>éase</w:t>
      </w:r>
      <w:r w:rsidR="007B7373" w:rsidRPr="001B4A40">
        <w:rPr>
          <w:i/>
          <w:spacing w:val="-9"/>
          <w:lang w:val="es-ES"/>
        </w:rPr>
        <w:t xml:space="preserve"> </w:t>
      </w:r>
      <w:r w:rsidR="007B7373" w:rsidRPr="001B4A40">
        <w:rPr>
          <w:lang w:val="es-ES"/>
        </w:rPr>
        <w:t>42</w:t>
      </w:r>
      <w:r w:rsidR="007B7373" w:rsidRPr="001B4A40">
        <w:rPr>
          <w:spacing w:val="-10"/>
          <w:lang w:val="es-ES"/>
        </w:rPr>
        <w:t xml:space="preserve"> </w:t>
      </w:r>
      <w:r w:rsidR="007B7373" w:rsidRPr="001B4A40">
        <w:rPr>
          <w:lang w:val="es-ES"/>
        </w:rPr>
        <w:t>C.F.R.</w:t>
      </w:r>
      <w:r w:rsidR="007B7373" w:rsidRPr="001B4A40">
        <w:rPr>
          <w:spacing w:val="-9"/>
          <w:lang w:val="es-ES"/>
        </w:rPr>
        <w:t xml:space="preserve"> </w:t>
      </w:r>
      <w:r w:rsidR="007B7373" w:rsidRPr="001B4A40">
        <w:rPr>
          <w:lang w:val="es-ES"/>
        </w:rPr>
        <w:t>§</w:t>
      </w:r>
      <w:r w:rsidR="007B7373" w:rsidRPr="001B4A40">
        <w:rPr>
          <w:spacing w:val="-10"/>
          <w:lang w:val="es-ES"/>
        </w:rPr>
        <w:t xml:space="preserve"> </w:t>
      </w:r>
      <w:r w:rsidR="007B7373" w:rsidRPr="001B4A40">
        <w:rPr>
          <w:lang w:val="es-ES"/>
        </w:rPr>
        <w:t>483.12</w:t>
      </w:r>
      <w:r w:rsidR="007B7373" w:rsidRPr="001B4A40">
        <w:rPr>
          <w:spacing w:val="-9"/>
          <w:lang w:val="es-ES"/>
        </w:rPr>
        <w:t xml:space="preserve"> </w:t>
      </w:r>
      <w:r w:rsidR="007B7373" w:rsidRPr="001B4A40">
        <w:rPr>
          <w:lang w:val="es-ES"/>
        </w:rPr>
        <w:t>(</w:t>
      </w:r>
      <w:r w:rsidRPr="001B4A40">
        <w:rPr>
          <w:lang w:val="es-ES"/>
        </w:rPr>
        <w:t xml:space="preserve">donde se define la apropiación indebida de los bienes de un residente </w:t>
      </w:r>
      <w:r w:rsidR="00433911">
        <w:rPr>
          <w:lang w:val="es-ES"/>
        </w:rPr>
        <w:t>como</w:t>
      </w:r>
      <w:r w:rsidRPr="001B4A40">
        <w:rPr>
          <w:lang w:val="es-ES"/>
        </w:rPr>
        <w:t xml:space="preserve">: </w:t>
      </w:r>
      <w:r w:rsidR="007B7373" w:rsidRPr="001B4A40">
        <w:rPr>
          <w:lang w:val="es-ES"/>
        </w:rPr>
        <w:t>“</w:t>
      </w:r>
      <w:r w:rsidRPr="001B4A40">
        <w:rPr>
          <w:lang w:val="es-ES"/>
        </w:rPr>
        <w:t xml:space="preserve">el </w:t>
      </w:r>
      <w:r w:rsidR="00203362" w:rsidRPr="001B4A40">
        <w:rPr>
          <w:lang w:val="es-ES"/>
        </w:rPr>
        <w:t>traspapel</w:t>
      </w:r>
      <w:r w:rsidR="00203362">
        <w:rPr>
          <w:lang w:val="es-ES"/>
        </w:rPr>
        <w:t>ar intencionalmente</w:t>
      </w:r>
      <w:r w:rsidRPr="001B4A40">
        <w:rPr>
          <w:lang w:val="es-ES"/>
        </w:rPr>
        <w:t>, la explo</w:t>
      </w:r>
      <w:r>
        <w:rPr>
          <w:lang w:val="es-ES"/>
        </w:rPr>
        <w:t xml:space="preserve">tación o el uso </w:t>
      </w:r>
      <w:r w:rsidR="00203362">
        <w:rPr>
          <w:lang w:val="es-ES"/>
        </w:rPr>
        <w:t xml:space="preserve">indebido </w:t>
      </w:r>
      <w:r>
        <w:rPr>
          <w:lang w:val="es-ES"/>
        </w:rPr>
        <w:t xml:space="preserve">de los bienes o los dineros de un residente sin </w:t>
      </w:r>
      <w:r w:rsidR="004B2A70">
        <w:rPr>
          <w:lang w:val="es-ES"/>
        </w:rPr>
        <w:t xml:space="preserve">contar con </w:t>
      </w:r>
      <w:r>
        <w:rPr>
          <w:lang w:val="es-ES"/>
        </w:rPr>
        <w:t xml:space="preserve">su </w:t>
      </w:r>
      <w:proofErr w:type="gramStart"/>
      <w:r>
        <w:rPr>
          <w:lang w:val="es-ES"/>
        </w:rPr>
        <w:t>aprobación”</w:t>
      </w:r>
      <w:r w:rsidR="002F7A33" w:rsidRPr="00FF17A6">
        <w:rPr>
          <w:vertAlign w:val="superscript"/>
          <w:lang w:val="es-ES"/>
        </w:rPr>
        <w:t>*</w:t>
      </w:r>
      <w:proofErr w:type="gramEnd"/>
      <w:r>
        <w:rPr>
          <w:lang w:val="es-ES"/>
        </w:rPr>
        <w:t>)</w:t>
      </w:r>
      <w:r w:rsidR="007B7373" w:rsidRPr="001B4A40">
        <w:rPr>
          <w:lang w:val="es-ES"/>
        </w:rPr>
        <w:t>;</w:t>
      </w:r>
      <w:r w:rsidR="007B7373" w:rsidRPr="001B4A40">
        <w:rPr>
          <w:spacing w:val="-6"/>
          <w:lang w:val="es-ES"/>
        </w:rPr>
        <w:t xml:space="preserve"> </w:t>
      </w:r>
      <w:r>
        <w:rPr>
          <w:i/>
          <w:lang w:val="es-ES"/>
        </w:rPr>
        <w:t>v</w:t>
      </w:r>
      <w:r w:rsidR="004B2A70">
        <w:rPr>
          <w:i/>
          <w:lang w:val="es-ES"/>
        </w:rPr>
        <w:t>éase</w:t>
      </w:r>
      <w:r>
        <w:rPr>
          <w:i/>
          <w:lang w:val="es-ES"/>
        </w:rPr>
        <w:t xml:space="preserve"> también</w:t>
      </w:r>
      <w:r w:rsidR="007B7373" w:rsidRPr="001B4A40">
        <w:rPr>
          <w:i/>
          <w:spacing w:val="-3"/>
          <w:lang w:val="es-ES"/>
        </w:rPr>
        <w:t xml:space="preserve"> </w:t>
      </w:r>
      <w:r w:rsidR="007B7373" w:rsidRPr="001B4A40">
        <w:rPr>
          <w:lang w:val="es-ES"/>
        </w:rPr>
        <w:t>105 CMR 155.003</w:t>
      </w:r>
      <w:r w:rsidR="007B7373" w:rsidRPr="001B4A40">
        <w:rPr>
          <w:spacing w:val="-3"/>
          <w:lang w:val="es-ES"/>
        </w:rPr>
        <w:t xml:space="preserve"> </w:t>
      </w:r>
      <w:r w:rsidR="007B7373" w:rsidRPr="001B4A40">
        <w:rPr>
          <w:lang w:val="es-ES"/>
        </w:rPr>
        <w:t>(</w:t>
      </w:r>
      <w:r>
        <w:rPr>
          <w:lang w:val="es-ES"/>
        </w:rPr>
        <w:t>ídem</w:t>
      </w:r>
      <w:r w:rsidR="007B7373" w:rsidRPr="001B4A40">
        <w:rPr>
          <w:lang w:val="es-ES"/>
        </w:rPr>
        <w:t>).</w:t>
      </w:r>
    </w:p>
    <w:p w14:paraId="2808E85F" w14:textId="06C39A33" w:rsidR="00A52B8B" w:rsidRPr="001B4A40" w:rsidRDefault="001B4A40" w:rsidP="004B2A70">
      <w:pPr>
        <w:pStyle w:val="BodyText"/>
        <w:spacing w:before="120"/>
        <w:ind w:right="130" w:firstLine="720"/>
        <w:rPr>
          <w:lang w:val="es-ES"/>
        </w:rPr>
      </w:pPr>
      <w:r w:rsidRPr="001B4A40">
        <w:rPr>
          <w:lang w:val="es-ES"/>
        </w:rPr>
        <w:t xml:space="preserve">Para informar acerca de una inquietud, </w:t>
      </w:r>
      <w:r w:rsidR="00C12A83">
        <w:rPr>
          <w:lang w:val="es-ES"/>
        </w:rPr>
        <w:t>comuníquese</w:t>
      </w:r>
      <w:r w:rsidRPr="001B4A40">
        <w:rPr>
          <w:lang w:val="es-ES"/>
        </w:rPr>
        <w:t xml:space="preserve"> </w:t>
      </w:r>
      <w:r w:rsidR="00433911">
        <w:rPr>
          <w:lang w:val="es-ES"/>
        </w:rPr>
        <w:t xml:space="preserve">al </w:t>
      </w:r>
      <w:r w:rsidR="00433911" w:rsidRPr="001B4A40">
        <w:rPr>
          <w:lang w:val="es-ES"/>
        </w:rPr>
        <w:t>617-963-2360</w:t>
      </w:r>
      <w:r w:rsidR="00433911">
        <w:rPr>
          <w:lang w:val="es-ES"/>
        </w:rPr>
        <w:t xml:space="preserve"> </w:t>
      </w:r>
      <w:r w:rsidRPr="001B4A40">
        <w:rPr>
          <w:lang w:val="es-ES"/>
        </w:rPr>
        <w:t>con la División de Fraude en Medicaid</w:t>
      </w:r>
      <w:r w:rsidR="007B7373" w:rsidRPr="001B4A40">
        <w:rPr>
          <w:lang w:val="es-ES"/>
        </w:rPr>
        <w:t xml:space="preserve"> </w:t>
      </w:r>
      <w:r w:rsidRPr="001B4A40">
        <w:rPr>
          <w:lang w:val="es-ES"/>
        </w:rPr>
        <w:t xml:space="preserve">de la </w:t>
      </w:r>
      <w:r w:rsidR="002F7A33">
        <w:rPr>
          <w:lang w:val="es-ES"/>
        </w:rPr>
        <w:t>O</w:t>
      </w:r>
      <w:r w:rsidRPr="001B4A40">
        <w:rPr>
          <w:lang w:val="es-ES"/>
        </w:rPr>
        <w:t>ficina del Procurador Gene</w:t>
      </w:r>
      <w:r>
        <w:rPr>
          <w:lang w:val="es-ES"/>
        </w:rPr>
        <w:t>ra</w:t>
      </w:r>
      <w:r w:rsidRPr="001B4A40">
        <w:rPr>
          <w:lang w:val="es-ES"/>
        </w:rPr>
        <w:t>l (</w:t>
      </w:r>
      <w:proofErr w:type="spellStart"/>
      <w:r w:rsidR="007B7373" w:rsidRPr="001B4A40">
        <w:rPr>
          <w:i/>
          <w:iCs/>
          <w:lang w:val="es-ES"/>
        </w:rPr>
        <w:t>Attorney</w:t>
      </w:r>
      <w:proofErr w:type="spellEnd"/>
      <w:r w:rsidR="007B7373" w:rsidRPr="001B4A40">
        <w:rPr>
          <w:i/>
          <w:iCs/>
          <w:lang w:val="es-ES"/>
        </w:rPr>
        <w:t xml:space="preserve"> </w:t>
      </w:r>
      <w:proofErr w:type="spellStart"/>
      <w:r w:rsidR="007B7373" w:rsidRPr="001B4A40">
        <w:rPr>
          <w:i/>
          <w:iCs/>
          <w:lang w:val="es-ES"/>
        </w:rPr>
        <w:t>General’s</w:t>
      </w:r>
      <w:proofErr w:type="spellEnd"/>
      <w:r w:rsidR="007B7373" w:rsidRPr="001B4A40">
        <w:rPr>
          <w:i/>
          <w:iCs/>
          <w:lang w:val="es-ES"/>
        </w:rPr>
        <w:t xml:space="preserve"> Office</w:t>
      </w:r>
      <w:r w:rsidRPr="001B4A40">
        <w:rPr>
          <w:i/>
          <w:iCs/>
          <w:lang w:val="es-ES"/>
        </w:rPr>
        <w:t>)</w:t>
      </w:r>
      <w:r w:rsidR="007B7373" w:rsidRPr="001B4A40">
        <w:rPr>
          <w:lang w:val="es-ES"/>
        </w:rPr>
        <w:t xml:space="preserve">, </w:t>
      </w:r>
      <w:r>
        <w:rPr>
          <w:lang w:val="es-ES"/>
        </w:rPr>
        <w:t xml:space="preserve">en donde reside la autoridad estatutaria para </w:t>
      </w:r>
      <w:r w:rsidR="00433911">
        <w:rPr>
          <w:lang w:val="es-ES"/>
        </w:rPr>
        <w:t xml:space="preserve">procesar judicialmente </w:t>
      </w:r>
      <w:r>
        <w:rPr>
          <w:lang w:val="es-ES"/>
        </w:rPr>
        <w:t xml:space="preserve">el abuso, la negligencia o la apropiación indebida de los fondos de residentes en centros </w:t>
      </w:r>
      <w:r w:rsidR="00433911">
        <w:rPr>
          <w:spacing w:val="-2"/>
          <w:lang w:val="es-ES"/>
        </w:rPr>
        <w:t>de atención a largo plazo</w:t>
      </w:r>
      <w:r w:rsidR="007B7373" w:rsidRPr="001B4A40">
        <w:rPr>
          <w:lang w:val="es-ES"/>
        </w:rPr>
        <w:t xml:space="preserve">. </w:t>
      </w:r>
      <w:r w:rsidRPr="001B4A40">
        <w:rPr>
          <w:lang w:val="es-ES"/>
        </w:rPr>
        <w:t xml:space="preserve">Para </w:t>
      </w:r>
      <w:r w:rsidR="00C12A83">
        <w:rPr>
          <w:lang w:val="es-ES"/>
        </w:rPr>
        <w:t>presenta</w:t>
      </w:r>
      <w:r w:rsidR="00C12A83" w:rsidRPr="001B4A40">
        <w:rPr>
          <w:lang w:val="es-ES"/>
        </w:rPr>
        <w:t xml:space="preserve">r </w:t>
      </w:r>
      <w:r w:rsidRPr="001B4A40">
        <w:rPr>
          <w:lang w:val="es-ES"/>
        </w:rPr>
        <w:t xml:space="preserve">una queja sobre un </w:t>
      </w:r>
      <w:r w:rsidR="00546B9A">
        <w:rPr>
          <w:lang w:val="es-ES"/>
        </w:rPr>
        <w:t>centro de enfermería especializada</w:t>
      </w:r>
      <w:r w:rsidRPr="001B4A40">
        <w:rPr>
          <w:lang w:val="es-ES"/>
        </w:rPr>
        <w:t>, sírvase llamar a</w:t>
      </w:r>
      <w:r w:rsidR="00735E9E">
        <w:rPr>
          <w:lang w:val="es-ES"/>
        </w:rPr>
        <w:t xml:space="preserve"> </w:t>
      </w:r>
      <w:r w:rsidRPr="001B4A40">
        <w:rPr>
          <w:lang w:val="es-ES"/>
        </w:rPr>
        <w:t>l</w:t>
      </w:r>
      <w:r w:rsidR="00735E9E">
        <w:rPr>
          <w:lang w:val="es-ES"/>
        </w:rPr>
        <w:t>a Línea de Quejas del</w:t>
      </w:r>
      <w:r w:rsidRPr="001B4A40">
        <w:rPr>
          <w:lang w:val="es-ES"/>
        </w:rPr>
        <w:t xml:space="preserve"> Depar</w:t>
      </w:r>
      <w:r>
        <w:rPr>
          <w:lang w:val="es-ES"/>
        </w:rPr>
        <w:t>tamento de Salud P</w:t>
      </w:r>
      <w:r w:rsidR="00735E9E">
        <w:rPr>
          <w:lang w:val="es-ES"/>
        </w:rPr>
        <w:t>ú</w:t>
      </w:r>
      <w:r>
        <w:rPr>
          <w:lang w:val="es-ES"/>
        </w:rPr>
        <w:t>blica</w:t>
      </w:r>
      <w:r w:rsidR="007B7373" w:rsidRPr="001B4A40">
        <w:rPr>
          <w:lang w:val="es-ES"/>
        </w:rPr>
        <w:t xml:space="preserve"> </w:t>
      </w:r>
      <w:r w:rsidR="00C12A83">
        <w:rPr>
          <w:lang w:val="es-ES"/>
        </w:rPr>
        <w:t>a</w:t>
      </w:r>
      <w:r w:rsidR="00735E9E">
        <w:rPr>
          <w:lang w:val="es-ES"/>
        </w:rPr>
        <w:t xml:space="preserve">l </w:t>
      </w:r>
      <w:r w:rsidR="007B7373" w:rsidRPr="001B4A40">
        <w:rPr>
          <w:lang w:val="es-ES"/>
        </w:rPr>
        <w:t>(800)</w:t>
      </w:r>
      <w:r w:rsidR="00735E9E">
        <w:rPr>
          <w:lang w:val="es-ES"/>
        </w:rPr>
        <w:t xml:space="preserve"> </w:t>
      </w:r>
      <w:r w:rsidR="007B7373" w:rsidRPr="001B4A40">
        <w:rPr>
          <w:lang w:val="es-ES"/>
        </w:rPr>
        <w:t>462</w:t>
      </w:r>
      <w:r w:rsidR="00496B9A" w:rsidRPr="001B4A40">
        <w:rPr>
          <w:lang w:val="es-ES"/>
        </w:rPr>
        <w:noBreakHyphen/>
      </w:r>
      <w:r w:rsidR="007B7373" w:rsidRPr="001B4A40">
        <w:rPr>
          <w:lang w:val="es-ES"/>
        </w:rPr>
        <w:t>5540.</w:t>
      </w:r>
    </w:p>
    <w:p w14:paraId="78C74638" w14:textId="77777777" w:rsidR="00A52B8B" w:rsidRPr="001B4A40" w:rsidRDefault="00A52B8B" w:rsidP="004B2A70">
      <w:pPr>
        <w:pStyle w:val="BodyText"/>
        <w:spacing w:before="80"/>
        <w:rPr>
          <w:sz w:val="26"/>
          <w:lang w:val="es-ES"/>
        </w:rPr>
      </w:pPr>
    </w:p>
    <w:p w14:paraId="0FDDDE03" w14:textId="77777777" w:rsidR="00A52B8B" w:rsidRPr="001B4A40" w:rsidRDefault="00A52B8B" w:rsidP="004B2A70">
      <w:pPr>
        <w:pStyle w:val="BodyText"/>
        <w:spacing w:before="80"/>
        <w:rPr>
          <w:sz w:val="22"/>
          <w:lang w:val="es-ES"/>
        </w:rPr>
      </w:pPr>
    </w:p>
    <w:p w14:paraId="4D9AE2BE" w14:textId="708CBAFA" w:rsidR="00A52B8B" w:rsidRDefault="004B2A70" w:rsidP="004B2A70">
      <w:pPr>
        <w:pStyle w:val="BodyText"/>
        <w:spacing w:before="80"/>
        <w:jc w:val="both"/>
      </w:pPr>
      <w:proofErr w:type="spellStart"/>
      <w:r>
        <w:t>Fecha</w:t>
      </w:r>
      <w:proofErr w:type="spellEnd"/>
      <w:r w:rsidR="007B7373">
        <w:t xml:space="preserve">: </w:t>
      </w:r>
      <w:r>
        <w:t xml:space="preserve">8 de </w:t>
      </w:r>
      <w:proofErr w:type="spellStart"/>
      <w:r>
        <w:t>enero</w:t>
      </w:r>
      <w:proofErr w:type="spellEnd"/>
      <w:r>
        <w:t xml:space="preserve"> de </w:t>
      </w:r>
      <w:r w:rsidR="007B7373">
        <w:t>2021</w:t>
      </w:r>
    </w:p>
    <w:p w14:paraId="2D92781A" w14:textId="3AC4A776" w:rsidR="008A43E4" w:rsidRDefault="008A43E4" w:rsidP="00835E17">
      <w:pPr>
        <w:pStyle w:val="FootnoteText"/>
      </w:pPr>
    </w:p>
    <w:p w14:paraId="25593249" w14:textId="69EADAE1" w:rsidR="007B1E83" w:rsidRDefault="007B1E83" w:rsidP="00835E17">
      <w:pPr>
        <w:pStyle w:val="FootnoteText"/>
      </w:pPr>
    </w:p>
    <w:p w14:paraId="71DBEB10" w14:textId="1CD5B249" w:rsidR="007B1E83" w:rsidRDefault="007B1E83" w:rsidP="00835E17">
      <w:pPr>
        <w:pStyle w:val="FootnoteText"/>
      </w:pPr>
    </w:p>
    <w:p w14:paraId="4D255C88" w14:textId="2D5BA839" w:rsidR="007B1E83" w:rsidRDefault="007B1E83" w:rsidP="00835E17">
      <w:pPr>
        <w:pStyle w:val="FootnoteText"/>
      </w:pPr>
    </w:p>
    <w:p w14:paraId="30514BE1" w14:textId="39D8C0EB" w:rsidR="007B1E83" w:rsidRDefault="007B1E83" w:rsidP="00835E17">
      <w:pPr>
        <w:pStyle w:val="FootnoteText"/>
      </w:pPr>
    </w:p>
    <w:p w14:paraId="4B6DCA77" w14:textId="4DFD21EE" w:rsidR="007B1E83" w:rsidRDefault="007B1E83" w:rsidP="00835E17">
      <w:pPr>
        <w:pStyle w:val="FootnoteText"/>
      </w:pPr>
    </w:p>
    <w:p w14:paraId="030B741E" w14:textId="69724F67" w:rsidR="007B1E83" w:rsidRDefault="007B1E83" w:rsidP="00835E17">
      <w:pPr>
        <w:pStyle w:val="FootnoteText"/>
      </w:pPr>
    </w:p>
    <w:p w14:paraId="615D1E93" w14:textId="4C6ADD6B" w:rsidR="007B1E83" w:rsidRDefault="007B1E83" w:rsidP="00835E17">
      <w:pPr>
        <w:pStyle w:val="FootnoteText"/>
      </w:pPr>
    </w:p>
    <w:p w14:paraId="3ABD40EA" w14:textId="09703232" w:rsidR="007B1E83" w:rsidRDefault="007B1E83" w:rsidP="00835E17">
      <w:pPr>
        <w:pStyle w:val="FootnoteText"/>
      </w:pPr>
    </w:p>
    <w:p w14:paraId="30424BD5" w14:textId="7A63EF89" w:rsidR="007B1E83" w:rsidRDefault="007B1E83" w:rsidP="00835E17">
      <w:pPr>
        <w:pStyle w:val="FootnoteText"/>
      </w:pPr>
    </w:p>
    <w:p w14:paraId="66E94DB5" w14:textId="1F570B2C" w:rsidR="007B1E83" w:rsidRDefault="007B1E83" w:rsidP="00835E17">
      <w:pPr>
        <w:pStyle w:val="FootnoteText"/>
      </w:pPr>
    </w:p>
    <w:p w14:paraId="69545878" w14:textId="63D2EA5A" w:rsidR="007B1E83" w:rsidRDefault="007B1E83" w:rsidP="00835E17">
      <w:pPr>
        <w:pStyle w:val="FootnoteText"/>
      </w:pPr>
    </w:p>
    <w:p w14:paraId="2D757B14" w14:textId="77777777" w:rsidR="007B1E83" w:rsidRDefault="007B1E83" w:rsidP="00835E17">
      <w:pPr>
        <w:pStyle w:val="FootnoteText"/>
      </w:pPr>
    </w:p>
    <w:p w14:paraId="7F5F30A7" w14:textId="0AA3D582" w:rsidR="00835E17" w:rsidRPr="00FF17A6" w:rsidRDefault="008A43E4" w:rsidP="00835E17">
      <w:pPr>
        <w:pStyle w:val="FootnoteText"/>
        <w:rPr>
          <w:sz w:val="24"/>
          <w:szCs w:val="24"/>
          <w:lang w:val="es-ES_tradnl"/>
        </w:rPr>
      </w:pPr>
      <w:r w:rsidRPr="00FF17A6">
        <w:rPr>
          <w:rStyle w:val="FootnoteReference"/>
          <w:sz w:val="24"/>
          <w:szCs w:val="24"/>
          <w:lang w:val="es-ES"/>
        </w:rPr>
        <w:t>*</w:t>
      </w:r>
      <w:r w:rsidR="00835E17" w:rsidRPr="008A43E4">
        <w:rPr>
          <w:sz w:val="24"/>
          <w:szCs w:val="24"/>
          <w:lang w:val="es-ES_tradnl"/>
        </w:rPr>
        <w:t>La</w:t>
      </w:r>
      <w:r w:rsidR="002F7A33" w:rsidRPr="008A43E4">
        <w:rPr>
          <w:sz w:val="24"/>
          <w:szCs w:val="24"/>
          <w:lang w:val="es-ES_tradnl"/>
        </w:rPr>
        <w:t xml:space="preserve">s </w:t>
      </w:r>
      <w:r w:rsidR="00C12A83">
        <w:rPr>
          <w:sz w:val="24"/>
          <w:szCs w:val="24"/>
          <w:lang w:val="es-ES_tradnl"/>
        </w:rPr>
        <w:t xml:space="preserve">definiciones </w:t>
      </w:r>
      <w:r w:rsidR="002F7A33" w:rsidRPr="008A43E4">
        <w:rPr>
          <w:sz w:val="24"/>
          <w:szCs w:val="24"/>
          <w:lang w:val="es-ES_tradnl"/>
        </w:rPr>
        <w:t xml:space="preserve">anteriores </w:t>
      </w:r>
      <w:r w:rsidR="002F7A33" w:rsidRPr="00433911">
        <w:rPr>
          <w:sz w:val="24"/>
          <w:szCs w:val="24"/>
          <w:lang w:val="es-ES_tradnl"/>
        </w:rPr>
        <w:t>son</w:t>
      </w:r>
      <w:r w:rsidR="00835E17" w:rsidRPr="00433911">
        <w:rPr>
          <w:sz w:val="24"/>
          <w:szCs w:val="24"/>
          <w:lang w:val="es-ES_tradnl"/>
        </w:rPr>
        <w:t xml:space="preserve"> versi</w:t>
      </w:r>
      <w:r w:rsidR="002F7A33" w:rsidRPr="00433911">
        <w:rPr>
          <w:sz w:val="24"/>
          <w:szCs w:val="24"/>
          <w:lang w:val="es-ES_tradnl"/>
        </w:rPr>
        <w:t xml:space="preserve">ones </w:t>
      </w:r>
      <w:r w:rsidR="00835E17" w:rsidRPr="00433911">
        <w:rPr>
          <w:sz w:val="24"/>
          <w:szCs w:val="24"/>
          <w:lang w:val="es-ES_tradnl"/>
        </w:rPr>
        <w:t>traducida</w:t>
      </w:r>
      <w:r w:rsidR="002F7A33" w:rsidRPr="00433911">
        <w:rPr>
          <w:sz w:val="24"/>
          <w:szCs w:val="24"/>
          <w:lang w:val="es-ES_tradnl"/>
        </w:rPr>
        <w:t>s</w:t>
      </w:r>
      <w:r w:rsidR="00835E17" w:rsidRPr="00433911">
        <w:rPr>
          <w:sz w:val="24"/>
          <w:szCs w:val="24"/>
          <w:lang w:val="es-ES_tradnl"/>
        </w:rPr>
        <w:t xml:space="preserve"> de l</w:t>
      </w:r>
      <w:r w:rsidR="002F7A33" w:rsidRPr="00433911">
        <w:rPr>
          <w:sz w:val="24"/>
          <w:szCs w:val="24"/>
          <w:lang w:val="es-ES_tradnl"/>
        </w:rPr>
        <w:t xml:space="preserve">os reglamentos estatales y federales </w:t>
      </w:r>
      <w:r w:rsidR="00835E17" w:rsidRPr="00433911">
        <w:rPr>
          <w:sz w:val="24"/>
          <w:szCs w:val="24"/>
          <w:lang w:val="es-ES_tradnl"/>
        </w:rPr>
        <w:t>que se ofrece</w:t>
      </w:r>
      <w:r w:rsidR="002F7A33" w:rsidRPr="00433911">
        <w:rPr>
          <w:sz w:val="24"/>
          <w:szCs w:val="24"/>
          <w:lang w:val="es-ES_tradnl"/>
        </w:rPr>
        <w:t>n</w:t>
      </w:r>
      <w:r w:rsidR="00835E17" w:rsidRPr="00433911">
        <w:rPr>
          <w:sz w:val="24"/>
          <w:szCs w:val="24"/>
          <w:lang w:val="es-ES_tradnl"/>
        </w:rPr>
        <w:t xml:space="preserve"> solo como referencia para los hablantes de español. No obstante, en caso de discrepancias, regirá la versión en inglés.</w:t>
      </w:r>
    </w:p>
    <w:p w14:paraId="61EDEB0D" w14:textId="77777777" w:rsidR="00835E17" w:rsidRPr="00FF17A6" w:rsidRDefault="00835E17" w:rsidP="004B2A70">
      <w:pPr>
        <w:pStyle w:val="BodyText"/>
        <w:spacing w:before="80"/>
        <w:jc w:val="both"/>
        <w:rPr>
          <w:lang w:val="es-ES_tradnl"/>
        </w:rPr>
      </w:pPr>
    </w:p>
    <w:sectPr w:rsidR="00835E17" w:rsidRPr="00FF17A6" w:rsidSect="00735E9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8391" w14:textId="77777777" w:rsidR="00AC233A" w:rsidRDefault="00AC233A" w:rsidP="00BC030B">
      <w:r>
        <w:separator/>
      </w:r>
    </w:p>
  </w:endnote>
  <w:endnote w:type="continuationSeparator" w:id="0">
    <w:p w14:paraId="78C5A455" w14:textId="77777777" w:rsidR="00AC233A" w:rsidRDefault="00AC233A" w:rsidP="00BC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DEBB" w14:textId="77777777" w:rsidR="00AC233A" w:rsidRDefault="00AC233A" w:rsidP="00BC030B">
      <w:r>
        <w:separator/>
      </w:r>
    </w:p>
  </w:footnote>
  <w:footnote w:type="continuationSeparator" w:id="0">
    <w:p w14:paraId="42DDA624" w14:textId="77777777" w:rsidR="00AC233A" w:rsidRDefault="00AC233A" w:rsidP="00BC030B">
      <w:r>
        <w:continuationSeparator/>
      </w:r>
    </w:p>
  </w:footnote>
  <w:footnote w:id="1">
    <w:p w14:paraId="79CDA2A3" w14:textId="4433C3A6" w:rsidR="00BC030B" w:rsidRPr="005150EB" w:rsidRDefault="00BC030B" w:rsidP="004B2A7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4478F">
        <w:rPr>
          <w:lang w:val="es-ES"/>
        </w:rPr>
        <w:t xml:space="preserve"> </w:t>
      </w:r>
      <w:r w:rsidR="0094478F" w:rsidRPr="005150EB">
        <w:rPr>
          <w:color w:val="323232"/>
          <w:lang w:val="es-ES"/>
        </w:rPr>
        <w:t>Ley de Ayuda, Alivio y Seguridad Económica por Coronavirus</w:t>
      </w:r>
      <w:r w:rsidRPr="005150EB">
        <w:rPr>
          <w:color w:val="323232"/>
          <w:lang w:val="es-ES"/>
        </w:rPr>
        <w:t xml:space="preserve">, S. 3548, </w:t>
      </w:r>
      <w:r w:rsidR="0094478F" w:rsidRPr="005150EB">
        <w:rPr>
          <w:color w:val="323232"/>
          <w:lang w:val="es-ES"/>
        </w:rPr>
        <w:t>Congreso N.</w:t>
      </w:r>
      <w:r w:rsidR="0094478F" w:rsidRPr="005150EB">
        <w:rPr>
          <w:color w:val="323232"/>
          <w:vertAlign w:val="superscript"/>
          <w:lang w:val="es-ES"/>
        </w:rPr>
        <w:t>o</w:t>
      </w:r>
      <w:r w:rsidR="0094478F" w:rsidRPr="005150EB">
        <w:rPr>
          <w:color w:val="323232"/>
          <w:lang w:val="es-ES"/>
        </w:rPr>
        <w:t xml:space="preserve"> </w:t>
      </w:r>
      <w:r w:rsidRPr="005150EB">
        <w:rPr>
          <w:color w:val="323232"/>
          <w:lang w:val="es-ES"/>
        </w:rPr>
        <w:t>116. (2020)</w:t>
      </w:r>
    </w:p>
  </w:footnote>
  <w:footnote w:id="2">
    <w:p w14:paraId="1C0E9C98" w14:textId="10E584A2" w:rsidR="00BC030B" w:rsidRPr="005150EB" w:rsidRDefault="00BC030B" w:rsidP="004B2A70">
      <w:pPr>
        <w:pStyle w:val="FootnoteText"/>
        <w:rPr>
          <w:lang w:val="es-ES"/>
        </w:rPr>
      </w:pPr>
      <w:r w:rsidRPr="005150EB">
        <w:rPr>
          <w:rStyle w:val="FootnoteReference"/>
        </w:rPr>
        <w:footnoteRef/>
      </w:r>
      <w:r w:rsidRPr="005150EB">
        <w:rPr>
          <w:lang w:val="es-ES"/>
        </w:rPr>
        <w:t xml:space="preserve"> </w:t>
      </w:r>
      <w:r w:rsidR="0094478F" w:rsidRPr="005150EB">
        <w:rPr>
          <w:color w:val="323232"/>
          <w:lang w:val="es-ES"/>
        </w:rPr>
        <w:t>Ley de Asignaciones Consolidadas</w:t>
      </w:r>
      <w:r w:rsidRPr="005150EB">
        <w:rPr>
          <w:color w:val="323232"/>
          <w:lang w:val="es-ES"/>
        </w:rPr>
        <w:t xml:space="preserve">, 2021, H.R. 133, </w:t>
      </w:r>
      <w:r w:rsidR="0094478F" w:rsidRPr="005150EB">
        <w:rPr>
          <w:color w:val="323232"/>
          <w:lang w:val="es-ES"/>
        </w:rPr>
        <w:t>Congreso N.</w:t>
      </w:r>
      <w:r w:rsidR="0094478F" w:rsidRPr="005150EB">
        <w:rPr>
          <w:color w:val="323232"/>
          <w:vertAlign w:val="superscript"/>
          <w:lang w:val="es-ES"/>
        </w:rPr>
        <w:t>o</w:t>
      </w:r>
      <w:r w:rsidR="0094478F" w:rsidRPr="005150EB">
        <w:rPr>
          <w:color w:val="323232"/>
          <w:lang w:val="es-ES"/>
        </w:rPr>
        <w:t xml:space="preserve"> 116</w:t>
      </w:r>
      <w:r w:rsidRPr="005150EB">
        <w:rPr>
          <w:color w:val="323232"/>
          <w:lang w:val="es-ES"/>
        </w:rPr>
        <w:t>. (2020).</w:t>
      </w:r>
    </w:p>
  </w:footnote>
  <w:footnote w:id="3">
    <w:p w14:paraId="5ECE6254" w14:textId="1C0A157C" w:rsidR="00496B9A" w:rsidRPr="005150EB" w:rsidRDefault="00496B9A" w:rsidP="004B2A70">
      <w:pPr>
        <w:pStyle w:val="FootnoteText"/>
        <w:rPr>
          <w:lang w:val="es-ES"/>
        </w:rPr>
      </w:pPr>
      <w:r w:rsidRPr="005150EB">
        <w:rPr>
          <w:rStyle w:val="FootnoteReference"/>
        </w:rPr>
        <w:footnoteRef/>
      </w:r>
      <w:r w:rsidRPr="005150EB">
        <w:rPr>
          <w:lang w:val="es-ES"/>
        </w:rPr>
        <w:t xml:space="preserve"> http</w:t>
      </w:r>
      <w:hyperlink r:id="rId1">
        <w:r w:rsidRPr="005150EB">
          <w:rPr>
            <w:lang w:val="es-ES"/>
          </w:rPr>
          <w:t>s://w</w:t>
        </w:r>
      </w:hyperlink>
      <w:r w:rsidRPr="005150EB">
        <w:rPr>
          <w:lang w:val="es-ES"/>
        </w:rPr>
        <w:t>ww</w:t>
      </w:r>
      <w:hyperlink r:id="rId2">
        <w:r w:rsidRPr="005150EB">
          <w:rPr>
            <w:lang w:val="es-ES"/>
          </w:rPr>
          <w:t>.consumer.ftc.gov/b</w:t>
        </w:r>
      </w:hyperlink>
      <w:r w:rsidRPr="005150EB">
        <w:rPr>
          <w:lang w:val="es-ES"/>
        </w:rPr>
        <w:t>lo</w:t>
      </w:r>
      <w:hyperlink r:id="rId3">
        <w:r w:rsidRPr="005150EB">
          <w:rPr>
            <w:lang w:val="es-ES"/>
          </w:rPr>
          <w:t>g/2020/05/did-nursing-home-or-assisted-living-facility-take-your-stimulus-check</w:t>
        </w:r>
      </w:hyperlink>
    </w:p>
  </w:footnote>
  <w:footnote w:id="4">
    <w:p w14:paraId="760CD633" w14:textId="764AE393" w:rsidR="00496B9A" w:rsidRPr="005150EB" w:rsidRDefault="00496B9A" w:rsidP="004B2A70">
      <w:pPr>
        <w:pStyle w:val="FootnoteText"/>
        <w:rPr>
          <w:lang w:val="es-ES"/>
        </w:rPr>
      </w:pPr>
      <w:r w:rsidRPr="005150EB">
        <w:rPr>
          <w:rStyle w:val="FootnoteReference"/>
        </w:rPr>
        <w:footnoteRef/>
      </w:r>
      <w:r w:rsidRPr="005150EB">
        <w:rPr>
          <w:lang w:val="es-ES"/>
        </w:rPr>
        <w:t xml:space="preserve"> </w:t>
      </w:r>
      <w:r w:rsidR="00E41971" w:rsidRPr="005150EB">
        <w:rPr>
          <w:i/>
          <w:lang w:val="es-ES"/>
        </w:rPr>
        <w:t>Ver</w:t>
      </w:r>
      <w:r w:rsidRPr="005150EB">
        <w:rPr>
          <w:i/>
          <w:lang w:val="es-ES"/>
        </w:rPr>
        <w:t xml:space="preserve"> </w:t>
      </w:r>
      <w:r w:rsidRPr="005150EB">
        <w:rPr>
          <w:lang w:val="es-ES"/>
        </w:rPr>
        <w:t>http</w:t>
      </w:r>
      <w:hyperlink r:id="rId4">
        <w:r w:rsidRPr="005150EB">
          <w:rPr>
            <w:lang w:val="es-ES"/>
          </w:rPr>
          <w:t>s://www.cms.g</w:t>
        </w:r>
      </w:hyperlink>
      <w:r w:rsidRPr="005150EB">
        <w:rPr>
          <w:lang w:val="es-ES"/>
        </w:rPr>
        <w:t>ov/n</w:t>
      </w:r>
      <w:hyperlink r:id="rId5">
        <w:r w:rsidRPr="005150EB">
          <w:rPr>
            <w:lang w:val="es-ES"/>
          </w:rPr>
          <w:t>ewsroom/press-releases/nursing-home-residents-right-retain-federal-economic-</w:t>
        </w:r>
      </w:hyperlink>
      <w:r w:rsidRPr="005150EB">
        <w:rPr>
          <w:lang w:val="es-ES"/>
        </w:rPr>
        <w:t xml:space="preserve">incentive-payments (“[CMS] </w:t>
      </w:r>
      <w:r w:rsidR="00E41971" w:rsidRPr="005150EB">
        <w:rPr>
          <w:lang w:val="es-ES"/>
        </w:rPr>
        <w:t>nos</w:t>
      </w:r>
      <w:r w:rsidR="0094478F" w:rsidRPr="005150EB">
        <w:rPr>
          <w:lang w:val="es-ES"/>
        </w:rPr>
        <w:t xml:space="preserve"> h</w:t>
      </w:r>
      <w:r w:rsidR="00E41971" w:rsidRPr="005150EB">
        <w:rPr>
          <w:lang w:val="es-ES"/>
        </w:rPr>
        <w:t>emos</w:t>
      </w:r>
      <w:r w:rsidR="0094478F" w:rsidRPr="005150EB">
        <w:rPr>
          <w:lang w:val="es-ES"/>
        </w:rPr>
        <w:t xml:space="preserve"> </w:t>
      </w:r>
      <w:r w:rsidR="00E41971" w:rsidRPr="005150EB">
        <w:rPr>
          <w:lang w:val="es-ES"/>
        </w:rPr>
        <w:t xml:space="preserve">enterado </w:t>
      </w:r>
      <w:r w:rsidR="0094478F" w:rsidRPr="005150EB">
        <w:rPr>
          <w:lang w:val="es-ES"/>
        </w:rPr>
        <w:t>de las a</w:t>
      </w:r>
      <w:r w:rsidR="00E41971" w:rsidRPr="005150EB">
        <w:rPr>
          <w:lang w:val="es-ES"/>
        </w:rPr>
        <w:t>s</w:t>
      </w:r>
      <w:r w:rsidR="0094478F" w:rsidRPr="005150EB">
        <w:rPr>
          <w:lang w:val="es-ES"/>
        </w:rPr>
        <w:t xml:space="preserve">everaciones de que algunos centros </w:t>
      </w:r>
      <w:r w:rsidR="00291AB2" w:rsidRPr="005150EB">
        <w:rPr>
          <w:lang w:val="es-ES"/>
        </w:rPr>
        <w:t>de enfermería especializada</w:t>
      </w:r>
      <w:r w:rsidR="00291AB2" w:rsidRPr="005150EB" w:rsidDel="00291AB2">
        <w:rPr>
          <w:lang w:val="es-ES"/>
        </w:rPr>
        <w:t xml:space="preserve"> </w:t>
      </w:r>
      <w:r w:rsidR="0094478F" w:rsidRPr="005150EB">
        <w:rPr>
          <w:lang w:val="es-ES"/>
        </w:rPr>
        <w:t xml:space="preserve">se están apropiando de pagos por impacto económico … autorizados por la Ley </w:t>
      </w:r>
      <w:r w:rsidRPr="005150EB">
        <w:rPr>
          <w:lang w:val="es-ES"/>
        </w:rPr>
        <w:t xml:space="preserve">CARES. </w:t>
      </w:r>
      <w:r w:rsidR="0094478F" w:rsidRPr="005150EB">
        <w:rPr>
          <w:lang w:val="es-ES"/>
        </w:rPr>
        <w:t>Tal proceder está prohibido</w:t>
      </w:r>
      <w:proofErr w:type="gramStart"/>
      <w:r w:rsidRPr="005150EB">
        <w:rPr>
          <w:lang w:val="es-ES"/>
        </w:rPr>
        <w:t>…”</w:t>
      </w:r>
      <w:r w:rsidR="00291AB2" w:rsidRPr="005150EB">
        <w:rPr>
          <w:vertAlign w:val="superscript"/>
          <w:lang w:val="es-ES"/>
        </w:rPr>
        <w:t>*</w:t>
      </w:r>
      <w:proofErr w:type="gramEnd"/>
      <w:r w:rsidRPr="005150EB">
        <w:rPr>
          <w:lang w:val="es-E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8B"/>
    <w:rsid w:val="00071107"/>
    <w:rsid w:val="000E5B43"/>
    <w:rsid w:val="00123765"/>
    <w:rsid w:val="001B4A40"/>
    <w:rsid w:val="001F64F8"/>
    <w:rsid w:val="00203362"/>
    <w:rsid w:val="00291AB2"/>
    <w:rsid w:val="002F7A33"/>
    <w:rsid w:val="00303694"/>
    <w:rsid w:val="00433911"/>
    <w:rsid w:val="00481A74"/>
    <w:rsid w:val="00496B9A"/>
    <w:rsid w:val="004B2A70"/>
    <w:rsid w:val="004C3B28"/>
    <w:rsid w:val="005150EB"/>
    <w:rsid w:val="00546B9A"/>
    <w:rsid w:val="00690412"/>
    <w:rsid w:val="006B7FF4"/>
    <w:rsid w:val="00735E9E"/>
    <w:rsid w:val="00770D49"/>
    <w:rsid w:val="0078374D"/>
    <w:rsid w:val="007B1E83"/>
    <w:rsid w:val="007B7373"/>
    <w:rsid w:val="00835E17"/>
    <w:rsid w:val="008A43E4"/>
    <w:rsid w:val="0094478F"/>
    <w:rsid w:val="009D3185"/>
    <w:rsid w:val="00A50445"/>
    <w:rsid w:val="00A52B8B"/>
    <w:rsid w:val="00AB2C10"/>
    <w:rsid w:val="00AC233A"/>
    <w:rsid w:val="00B01432"/>
    <w:rsid w:val="00B275D2"/>
    <w:rsid w:val="00B70935"/>
    <w:rsid w:val="00BC030B"/>
    <w:rsid w:val="00BD30E9"/>
    <w:rsid w:val="00C12A83"/>
    <w:rsid w:val="00CF048C"/>
    <w:rsid w:val="00DD710B"/>
    <w:rsid w:val="00E41971"/>
    <w:rsid w:val="00E84412"/>
    <w:rsid w:val="00F30D62"/>
    <w:rsid w:val="00F83E45"/>
    <w:rsid w:val="00F91104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F8C"/>
  <w15:docId w15:val="{FC93C921-AFA2-4260-8127-9527EAD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2376" w:right="166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C0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3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3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a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mer.ftc.gov/blog/2020/05/did-nursing-home-or-assisted-living-facility-take-your-stimulus-check" TargetMode="External"/><Relationship Id="rId2" Type="http://schemas.openxmlformats.org/officeDocument/2006/relationships/hyperlink" Target="http://www.consumer.ftc.gov/blog/2020/05/did-nursing-home-or-assisted-living-facility-take-your-stimulus-check" TargetMode="External"/><Relationship Id="rId1" Type="http://schemas.openxmlformats.org/officeDocument/2006/relationships/hyperlink" Target="http://www.consumer.ftc.gov/blog/2020/05/did-nursing-home-or-assisted-living-facility-take-your-stimulus-check" TargetMode="External"/><Relationship Id="rId5" Type="http://schemas.openxmlformats.org/officeDocument/2006/relationships/hyperlink" Target="http://www.cms.gov/newsroom/press-releases/nursing-home-residents-right-retain-federal-economic-" TargetMode="External"/><Relationship Id="rId4" Type="http://schemas.openxmlformats.org/officeDocument/2006/relationships/hyperlink" Target="http://www.cms.gov/newsroom/press-releases/nursing-home-residents-right-retain-federal-economi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34C4-0A39-4870-8C8A-CD7701A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Boston Letterhead - Color.dotx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Boston Letterhead - Color.dotx</dc:title>
  <dc:creator>KLownds</dc:creator>
  <cp:lastModifiedBy>Kim, Christine (EHS)</cp:lastModifiedBy>
  <cp:revision>2</cp:revision>
  <cp:lastPrinted>2021-01-10T23:34:00Z</cp:lastPrinted>
  <dcterms:created xsi:type="dcterms:W3CDTF">2021-01-13T13:51:00Z</dcterms:created>
  <dcterms:modified xsi:type="dcterms:W3CDTF">2021-01-13T13:51:00Z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2021-01-08T00:00:00Z</vt:filetime>
  </property>
</Properties>
</file>