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919D0" w14:textId="2481E4BB" w:rsidR="00DD5AD2" w:rsidRPr="00BD0C57" w:rsidRDefault="00DD5AD2" w:rsidP="00DD5AD2">
      <w:pPr>
        <w:spacing w:after="240"/>
        <w:rPr>
          <w:rFonts w:ascii="Garamond" w:hAnsi="Garamond"/>
        </w:rPr>
      </w:pPr>
      <w:bookmarkStart w:id="0" w:name="_GoBack"/>
      <w:bookmarkEnd w:id="0"/>
      <w:r w:rsidRPr="00BD0C57">
        <w:rPr>
          <w:rFonts w:ascii="Garamond" w:hAnsi="Garamond"/>
        </w:rPr>
        <w:t xml:space="preserve">January </w:t>
      </w:r>
      <w:r w:rsidRPr="0051075C">
        <w:rPr>
          <w:rFonts w:ascii="Garamond" w:hAnsi="Garamond"/>
        </w:rPr>
        <w:t>27</w:t>
      </w:r>
      <w:r w:rsidRPr="00936C93">
        <w:rPr>
          <w:rFonts w:ascii="Garamond" w:hAnsi="Garamond"/>
        </w:rPr>
        <w:t>,</w:t>
      </w:r>
      <w:r w:rsidRPr="00BD0C57">
        <w:rPr>
          <w:rFonts w:ascii="Garamond" w:hAnsi="Garamond"/>
        </w:rPr>
        <w:t xml:space="preserve"> 2022</w:t>
      </w:r>
    </w:p>
    <w:p w14:paraId="09E029B1" w14:textId="0A73CE88" w:rsidR="00DD5AD2" w:rsidRPr="00BD0C57" w:rsidRDefault="00A3512E" w:rsidP="00DD5AD2">
      <w:pPr>
        <w:rPr>
          <w:rFonts w:ascii="Garamond" w:hAnsi="Garamond"/>
        </w:rPr>
      </w:pPr>
      <w:r w:rsidRPr="00BD0C57">
        <w:rPr>
          <w:rFonts w:ascii="Garamond" w:hAnsi="Garamond"/>
        </w:rPr>
        <w:t>Lara Szent-Gyorg</w:t>
      </w:r>
      <w:r w:rsidR="00EE5686">
        <w:rPr>
          <w:rFonts w:ascii="Garamond" w:hAnsi="Garamond"/>
        </w:rPr>
        <w:t>y</w:t>
      </w:r>
      <w:r w:rsidRPr="00BD0C57">
        <w:rPr>
          <w:rFonts w:ascii="Garamond" w:hAnsi="Garamond"/>
        </w:rPr>
        <w:t>i</w:t>
      </w:r>
    </w:p>
    <w:p w14:paraId="5EA759F7" w14:textId="6A81FA88" w:rsidR="00A3512E" w:rsidRPr="00BD0C57" w:rsidRDefault="00A3512E" w:rsidP="00DD5AD2">
      <w:pPr>
        <w:rPr>
          <w:rFonts w:ascii="Garamond" w:hAnsi="Garamond"/>
        </w:rPr>
      </w:pPr>
      <w:r w:rsidRPr="00BD0C57">
        <w:rPr>
          <w:rFonts w:ascii="Garamond" w:hAnsi="Garamond"/>
        </w:rPr>
        <w:t>Director, Determination of Need Program</w:t>
      </w:r>
    </w:p>
    <w:p w14:paraId="1775291F" w14:textId="6390D921" w:rsidR="00A3512E" w:rsidRPr="00BD0C57" w:rsidRDefault="00A3512E" w:rsidP="00DD5AD2">
      <w:pPr>
        <w:rPr>
          <w:rFonts w:ascii="Garamond" w:hAnsi="Garamond"/>
        </w:rPr>
      </w:pPr>
      <w:r w:rsidRPr="00BD0C57">
        <w:rPr>
          <w:rFonts w:ascii="Garamond" w:hAnsi="Garamond"/>
        </w:rPr>
        <w:t>Massachusetts Department of Public Health</w:t>
      </w:r>
    </w:p>
    <w:p w14:paraId="6874D34B" w14:textId="77777777" w:rsidR="001874C3" w:rsidRPr="001874C3" w:rsidRDefault="001874C3" w:rsidP="001874C3">
      <w:pPr>
        <w:rPr>
          <w:rFonts w:ascii="Garamond" w:hAnsi="Garamond"/>
        </w:rPr>
      </w:pPr>
      <w:r w:rsidRPr="001874C3">
        <w:rPr>
          <w:rFonts w:ascii="Garamond" w:hAnsi="Garamond"/>
        </w:rPr>
        <w:t>67 Forest Street</w:t>
      </w:r>
    </w:p>
    <w:p w14:paraId="4BD07D4C" w14:textId="5FBEB95F" w:rsidR="001874C3" w:rsidRPr="00BD0C57" w:rsidRDefault="001874C3" w:rsidP="001874C3">
      <w:pPr>
        <w:rPr>
          <w:rFonts w:ascii="Garamond" w:hAnsi="Garamond"/>
        </w:rPr>
      </w:pPr>
      <w:r w:rsidRPr="001874C3">
        <w:rPr>
          <w:rFonts w:ascii="Garamond" w:hAnsi="Garamond"/>
        </w:rPr>
        <w:t>Marlborough, MA 01752</w:t>
      </w:r>
    </w:p>
    <w:p w14:paraId="4B77CCEF" w14:textId="785A58D4" w:rsidR="00DD5AD2" w:rsidRPr="00BD0C57" w:rsidRDefault="00DD5AD2" w:rsidP="00DD5AD2">
      <w:pPr>
        <w:spacing w:after="480"/>
        <w:rPr>
          <w:rFonts w:ascii="Garamond" w:hAnsi="Garamond"/>
          <w:b/>
        </w:rPr>
      </w:pPr>
      <w:r w:rsidRPr="00BD0C57">
        <w:rPr>
          <w:rFonts w:ascii="Garamond" w:hAnsi="Garamond"/>
          <w:b/>
        </w:rPr>
        <w:t>VIA EMAIL</w:t>
      </w:r>
      <w:r w:rsidR="00002AA2">
        <w:rPr>
          <w:rFonts w:ascii="Garamond" w:hAnsi="Garamond"/>
          <w:b/>
        </w:rPr>
        <w:t xml:space="preserve"> </w:t>
      </w:r>
      <w:r w:rsidR="00002AA2" w:rsidRPr="00002AA2">
        <w:rPr>
          <w:rFonts w:ascii="Garamond" w:hAnsi="Garamond"/>
          <w:bCs/>
        </w:rPr>
        <w:t>(dph.don@state.ma.us)</w:t>
      </w:r>
    </w:p>
    <w:p w14:paraId="4DFDC52A" w14:textId="2B721213" w:rsidR="00DD5AD2" w:rsidRPr="00BD0C57" w:rsidRDefault="00DD5AD2" w:rsidP="00DD5AD2">
      <w:pPr>
        <w:spacing w:after="240"/>
        <w:rPr>
          <w:rFonts w:ascii="Garamond" w:hAnsi="Garamond"/>
        </w:rPr>
      </w:pPr>
      <w:r w:rsidRPr="00BD0C57">
        <w:rPr>
          <w:rFonts w:ascii="Garamond" w:hAnsi="Garamond"/>
        </w:rPr>
        <w:t xml:space="preserve">RE:  </w:t>
      </w:r>
      <w:r w:rsidR="00DB5430" w:rsidRPr="00BD0C57">
        <w:rPr>
          <w:rFonts w:ascii="Garamond" w:hAnsi="Garamond"/>
        </w:rPr>
        <w:t>Determination of Need Application Project #21012113-AS Independent Cost Analysis</w:t>
      </w:r>
      <w:r w:rsidRPr="00BD0C57">
        <w:rPr>
          <w:rFonts w:ascii="Garamond" w:hAnsi="Garamond"/>
        </w:rPr>
        <w:t xml:space="preserve"> </w:t>
      </w:r>
    </w:p>
    <w:p w14:paraId="1B81BC05" w14:textId="62DBE7A9" w:rsidR="00DD5AD2" w:rsidRPr="00BD0C57" w:rsidRDefault="00DD5AD2" w:rsidP="00DD5AD2">
      <w:pPr>
        <w:spacing w:after="240"/>
        <w:rPr>
          <w:rFonts w:ascii="Garamond" w:hAnsi="Garamond"/>
        </w:rPr>
      </w:pPr>
      <w:r w:rsidRPr="00BD0C57">
        <w:rPr>
          <w:rFonts w:ascii="Garamond" w:hAnsi="Garamond"/>
        </w:rPr>
        <w:t xml:space="preserve">Dear </w:t>
      </w:r>
      <w:r w:rsidR="00DB5430" w:rsidRPr="00BD0C57">
        <w:rPr>
          <w:rFonts w:ascii="Garamond" w:hAnsi="Garamond"/>
        </w:rPr>
        <w:t>Ms. Szent-</w:t>
      </w:r>
      <w:r w:rsidR="00B7232B" w:rsidRPr="00BD0C57">
        <w:rPr>
          <w:rFonts w:ascii="Garamond" w:hAnsi="Garamond"/>
        </w:rPr>
        <w:t>Gyorg</w:t>
      </w:r>
      <w:r w:rsidR="00B7232B">
        <w:rPr>
          <w:rFonts w:ascii="Garamond" w:hAnsi="Garamond"/>
        </w:rPr>
        <w:t>y</w:t>
      </w:r>
      <w:r w:rsidR="00B7232B" w:rsidRPr="00BD0C57">
        <w:rPr>
          <w:rFonts w:ascii="Garamond" w:hAnsi="Garamond"/>
        </w:rPr>
        <w:t>i</w:t>
      </w:r>
      <w:r w:rsidRPr="00BD0C57">
        <w:rPr>
          <w:rFonts w:ascii="Garamond" w:hAnsi="Garamond"/>
        </w:rPr>
        <w:t>:</w:t>
      </w:r>
    </w:p>
    <w:p w14:paraId="2E89F9B7" w14:textId="12148A60" w:rsidR="00D645A3" w:rsidRPr="00BD0C57" w:rsidRDefault="00D645A3" w:rsidP="005A58E6">
      <w:pPr>
        <w:spacing w:after="120"/>
        <w:ind w:firstLine="720"/>
        <w:rPr>
          <w:rFonts w:ascii="Garamond" w:hAnsi="Garamond"/>
        </w:rPr>
      </w:pPr>
      <w:r w:rsidRPr="00BD0C57">
        <w:rPr>
          <w:rFonts w:ascii="Garamond" w:hAnsi="Garamond"/>
        </w:rPr>
        <w:t>The Attorney General’s Office (AGO) submits this written comment, pursuant to 105 CMR 100.405(D), in response to the independent cost-analysis</w:t>
      </w:r>
      <w:r w:rsidR="00507C98" w:rsidRPr="00BD0C57">
        <w:rPr>
          <w:rFonts w:ascii="Garamond" w:hAnsi="Garamond"/>
        </w:rPr>
        <w:t xml:space="preserve"> (ICA)</w:t>
      </w:r>
      <w:r w:rsidRPr="00BD0C57">
        <w:rPr>
          <w:rFonts w:ascii="Garamond" w:hAnsi="Garamond"/>
        </w:rPr>
        <w:t xml:space="preserve"> in the above-referenced Determination of Need (DoN) application.  This comment draws on the AGO’s experience promoting transparency in the health care market with a focus on ensuring equitable access to affordable health care.  For over a decade, the AGO has analyzed Massachusetts health care market data and reported on health care cost trends and cost drivers.</w:t>
      </w:r>
      <w:r w:rsidRPr="00BD0C57">
        <w:rPr>
          <w:rStyle w:val="FootnoteReference"/>
          <w:rFonts w:ascii="Garamond" w:hAnsi="Garamond"/>
        </w:rPr>
        <w:footnoteReference w:id="1"/>
      </w:r>
      <w:r w:rsidRPr="00BD0C57">
        <w:rPr>
          <w:rFonts w:ascii="Garamond" w:hAnsi="Garamond"/>
        </w:rPr>
        <w:t xml:space="preserve">  </w:t>
      </w:r>
    </w:p>
    <w:p w14:paraId="137BA0BB" w14:textId="188CE371" w:rsidR="00F329AA" w:rsidRPr="00BD0C57" w:rsidRDefault="002D72F4">
      <w:pPr>
        <w:spacing w:after="120"/>
        <w:ind w:firstLine="720"/>
        <w:rPr>
          <w:rFonts w:ascii="Garamond" w:hAnsi="Garamond"/>
        </w:rPr>
      </w:pPr>
      <w:r w:rsidRPr="00BD0C57">
        <w:rPr>
          <w:rFonts w:ascii="Garamond" w:hAnsi="Garamond"/>
        </w:rPr>
        <w:t xml:space="preserve">Mass General Brigham (MGB) is among the finest health care provider systems in the </w:t>
      </w:r>
      <w:r w:rsidR="00A34471" w:rsidRPr="00BD0C57">
        <w:rPr>
          <w:rFonts w:ascii="Garamond" w:hAnsi="Garamond"/>
        </w:rPr>
        <w:t>world</w:t>
      </w:r>
      <w:r w:rsidRPr="00BD0C57">
        <w:rPr>
          <w:rFonts w:ascii="Garamond" w:hAnsi="Garamond"/>
        </w:rPr>
        <w:t xml:space="preserve"> and has demonstrated its commitment to caring for its patients and the communities it serves</w:t>
      </w:r>
      <w:r w:rsidR="00E759D4" w:rsidRPr="00BD0C57">
        <w:rPr>
          <w:rFonts w:ascii="Garamond" w:hAnsi="Garamond"/>
        </w:rPr>
        <w:t>, especially</w:t>
      </w:r>
      <w:r w:rsidRPr="00BD0C57">
        <w:rPr>
          <w:rFonts w:ascii="Garamond" w:hAnsi="Garamond"/>
        </w:rPr>
        <w:t xml:space="preserve"> over the last two years through its herculean support to the Commonwealth’s pandemic response.  Our comments are intended to clarify certain challenges we believe the MGB expansion proposals present for the Commonwealth’s heath care cost containment goals, and for our shared </w:t>
      </w:r>
      <w:r w:rsidRPr="00BD0C57">
        <w:rPr>
          <w:rFonts w:ascii="Garamond" w:hAnsi="Garamond"/>
        </w:rPr>
        <w:lastRenderedPageBreak/>
        <w:t>commitment to access and equity.</w:t>
      </w:r>
      <w:r w:rsidRPr="00BD0C57">
        <w:rPr>
          <w:rStyle w:val="FootnoteReference"/>
          <w:rFonts w:ascii="Garamond" w:hAnsi="Garamond"/>
        </w:rPr>
        <w:footnoteReference w:id="2"/>
      </w:r>
      <w:r w:rsidRPr="00BD0C57">
        <w:rPr>
          <w:rFonts w:ascii="Garamond" w:hAnsi="Garamond"/>
        </w:rPr>
        <w:t xml:space="preserve">  We offer these </w:t>
      </w:r>
      <w:r w:rsidR="00C1121B" w:rsidRPr="00BD0C57">
        <w:rPr>
          <w:rFonts w:ascii="Garamond" w:hAnsi="Garamond"/>
        </w:rPr>
        <w:t>comments as a party of record</w:t>
      </w:r>
      <w:r w:rsidRPr="00BD0C57">
        <w:rPr>
          <w:rFonts w:ascii="Garamond" w:hAnsi="Garamond"/>
        </w:rPr>
        <w:t xml:space="preserve"> for the Department of Public Health (DPH) as it considers the ICA and MGB’s applications.</w:t>
      </w:r>
      <w:r w:rsidR="0068378B">
        <w:rPr>
          <w:rFonts w:ascii="Garamond" w:hAnsi="Garamond"/>
        </w:rPr>
        <w:t xml:space="preserve">  </w:t>
      </w:r>
    </w:p>
    <w:p w14:paraId="52566411" w14:textId="12528F55" w:rsidR="008B17AB" w:rsidRPr="00BD0C57" w:rsidRDefault="001842FA" w:rsidP="001842FA">
      <w:pPr>
        <w:pStyle w:val="ListParagraph"/>
        <w:numPr>
          <w:ilvl w:val="0"/>
          <w:numId w:val="6"/>
        </w:numPr>
        <w:spacing w:after="120"/>
        <w:contextualSpacing w:val="0"/>
        <w:rPr>
          <w:rFonts w:ascii="Garamond" w:hAnsi="Garamond"/>
        </w:rPr>
      </w:pPr>
      <w:r w:rsidRPr="00BD0C57">
        <w:rPr>
          <w:rFonts w:ascii="Garamond" w:hAnsi="Garamond"/>
        </w:rPr>
        <w:t xml:space="preserve">Health Care </w:t>
      </w:r>
      <w:r w:rsidR="008B17AB" w:rsidRPr="00BD0C57">
        <w:rPr>
          <w:rFonts w:ascii="Garamond" w:hAnsi="Garamond"/>
        </w:rPr>
        <w:t>Cost</w:t>
      </w:r>
      <w:r w:rsidRPr="00BD0C57">
        <w:rPr>
          <w:rFonts w:ascii="Garamond" w:hAnsi="Garamond"/>
        </w:rPr>
        <w:t>s</w:t>
      </w:r>
    </w:p>
    <w:p w14:paraId="22F79805" w14:textId="11192E7F" w:rsidR="008B4880" w:rsidRPr="00BD0C57" w:rsidRDefault="0081417F" w:rsidP="001842FA">
      <w:pPr>
        <w:spacing w:after="120"/>
        <w:ind w:firstLine="720"/>
        <w:rPr>
          <w:rFonts w:ascii="Garamond" w:hAnsi="Garamond"/>
        </w:rPr>
      </w:pPr>
      <w:r w:rsidRPr="00BD0C57">
        <w:rPr>
          <w:rFonts w:ascii="Garamond" w:hAnsi="Garamond"/>
        </w:rPr>
        <w:t>T</w:t>
      </w:r>
      <w:r w:rsidR="0070013C" w:rsidRPr="00BD0C57">
        <w:rPr>
          <w:rFonts w:ascii="Garamond" w:hAnsi="Garamond"/>
        </w:rPr>
        <w:t>he ICA</w:t>
      </w:r>
      <w:r w:rsidR="00AE4B7F" w:rsidRPr="00BD0C57">
        <w:rPr>
          <w:rFonts w:ascii="Garamond" w:hAnsi="Garamond"/>
        </w:rPr>
        <w:t xml:space="preserve"> concluded that MGB’s proposed ambulatory expansion </w:t>
      </w:r>
      <w:r w:rsidR="005C7728" w:rsidRPr="00BD0C57">
        <w:rPr>
          <w:rFonts w:ascii="Garamond" w:hAnsi="Garamond"/>
        </w:rPr>
        <w:t xml:space="preserve">is consistent with the Commonwealth’s </w:t>
      </w:r>
      <w:r w:rsidR="000E5578" w:rsidRPr="00BD0C57">
        <w:rPr>
          <w:rFonts w:ascii="Garamond" w:hAnsi="Garamond"/>
        </w:rPr>
        <w:t>health care cost containment goals</w:t>
      </w:r>
      <w:r w:rsidR="00C64092" w:rsidRPr="00BD0C57">
        <w:rPr>
          <w:rFonts w:ascii="Garamond" w:hAnsi="Garamond"/>
        </w:rPr>
        <w:t>, b</w:t>
      </w:r>
      <w:r w:rsidR="000E5578" w:rsidRPr="00BD0C57">
        <w:rPr>
          <w:rFonts w:ascii="Garamond" w:hAnsi="Garamond"/>
        </w:rPr>
        <w:t xml:space="preserve">ut </w:t>
      </w:r>
      <w:r w:rsidR="003756B5" w:rsidRPr="00BD0C57">
        <w:rPr>
          <w:rFonts w:ascii="Garamond" w:hAnsi="Garamond"/>
        </w:rPr>
        <w:t xml:space="preserve">its analysis </w:t>
      </w:r>
      <w:r w:rsidR="005F2833" w:rsidRPr="00BD0C57">
        <w:rPr>
          <w:rFonts w:ascii="Garamond" w:hAnsi="Garamond"/>
        </w:rPr>
        <w:t>does not</w:t>
      </w:r>
      <w:r w:rsidR="0070013C" w:rsidRPr="00BD0C57">
        <w:rPr>
          <w:rFonts w:ascii="Garamond" w:hAnsi="Garamond"/>
        </w:rPr>
        <w:t xml:space="preserve"> account for </w:t>
      </w:r>
      <w:r w:rsidR="00C052D5" w:rsidRPr="00BD0C57">
        <w:rPr>
          <w:rFonts w:ascii="Garamond" w:hAnsi="Garamond"/>
        </w:rPr>
        <w:t xml:space="preserve">three </w:t>
      </w:r>
      <w:r w:rsidR="0070013C" w:rsidRPr="00BD0C57">
        <w:rPr>
          <w:rFonts w:ascii="Garamond" w:hAnsi="Garamond"/>
        </w:rPr>
        <w:t>key market dynamics</w:t>
      </w:r>
      <w:r w:rsidR="009767F8" w:rsidRPr="00BD0C57">
        <w:rPr>
          <w:rFonts w:ascii="Garamond" w:hAnsi="Garamond"/>
        </w:rPr>
        <w:t xml:space="preserve">.  </w:t>
      </w:r>
      <w:r w:rsidR="00F44DAB" w:rsidRPr="00BD0C57">
        <w:rPr>
          <w:rFonts w:ascii="Garamond" w:hAnsi="Garamond"/>
        </w:rPr>
        <w:t>First, t</w:t>
      </w:r>
      <w:r w:rsidR="009767F8" w:rsidRPr="00BD0C57">
        <w:rPr>
          <w:rFonts w:ascii="Garamond" w:hAnsi="Garamond"/>
        </w:rPr>
        <w:t xml:space="preserve">he ICA does not </w:t>
      </w:r>
      <w:r w:rsidR="005F2833" w:rsidRPr="00BD0C57">
        <w:rPr>
          <w:rFonts w:ascii="Garamond" w:hAnsi="Garamond"/>
        </w:rPr>
        <w:t>address</w:t>
      </w:r>
      <w:r w:rsidR="009767F8" w:rsidRPr="00BD0C57">
        <w:rPr>
          <w:rFonts w:ascii="Garamond" w:hAnsi="Garamond"/>
        </w:rPr>
        <w:t xml:space="preserve"> the</w:t>
      </w:r>
      <w:r w:rsidR="00101353" w:rsidRPr="00BD0C57">
        <w:rPr>
          <w:rFonts w:ascii="Garamond" w:hAnsi="Garamond"/>
        </w:rPr>
        <w:t xml:space="preserve"> role of provider networks and referral relationships in directing where patients receive health care services</w:t>
      </w:r>
      <w:r w:rsidR="009767F8" w:rsidRPr="00BD0C57">
        <w:rPr>
          <w:rFonts w:ascii="Garamond" w:hAnsi="Garamond"/>
        </w:rPr>
        <w:t xml:space="preserve">.  </w:t>
      </w:r>
      <w:r w:rsidR="00F155BB" w:rsidRPr="00BD0C57">
        <w:rPr>
          <w:rFonts w:ascii="Garamond" w:hAnsi="Garamond"/>
        </w:rPr>
        <w:t xml:space="preserve">In analyzing </w:t>
      </w:r>
      <w:r w:rsidR="00A13B5E" w:rsidRPr="00BD0C57">
        <w:rPr>
          <w:rFonts w:ascii="Garamond" w:hAnsi="Garamond"/>
        </w:rPr>
        <w:t xml:space="preserve">the </w:t>
      </w:r>
      <w:r w:rsidR="004A303C" w:rsidRPr="00BD0C57">
        <w:rPr>
          <w:rFonts w:ascii="Garamond" w:hAnsi="Garamond"/>
        </w:rPr>
        <w:t xml:space="preserve">ambulatory surgery and imaging services MGB plans to </w:t>
      </w:r>
      <w:r w:rsidR="0002739D" w:rsidRPr="00BD0C57">
        <w:rPr>
          <w:rFonts w:ascii="Garamond" w:hAnsi="Garamond"/>
        </w:rPr>
        <w:t>of</w:t>
      </w:r>
      <w:r w:rsidR="004A303C" w:rsidRPr="00BD0C57">
        <w:rPr>
          <w:rFonts w:ascii="Garamond" w:hAnsi="Garamond"/>
        </w:rPr>
        <w:t>fer</w:t>
      </w:r>
      <w:r w:rsidR="0002739D" w:rsidRPr="00BD0C57">
        <w:rPr>
          <w:rFonts w:ascii="Garamond" w:hAnsi="Garamond"/>
        </w:rPr>
        <w:t xml:space="preserve"> at the new sites</w:t>
      </w:r>
      <w:r w:rsidR="00C96C06" w:rsidRPr="00BD0C57">
        <w:rPr>
          <w:rFonts w:ascii="Garamond" w:hAnsi="Garamond"/>
        </w:rPr>
        <w:t>,</w:t>
      </w:r>
      <w:r w:rsidR="00E045FC" w:rsidRPr="00BD0C57">
        <w:rPr>
          <w:rFonts w:ascii="Garamond" w:hAnsi="Garamond"/>
        </w:rPr>
        <w:t xml:space="preserve"> the ICA</w:t>
      </w:r>
      <w:r w:rsidR="005F2833" w:rsidRPr="00BD0C57">
        <w:rPr>
          <w:rFonts w:ascii="Garamond" w:hAnsi="Garamond"/>
        </w:rPr>
        <w:t xml:space="preserve"> does not include</w:t>
      </w:r>
      <w:r w:rsidR="003D0684">
        <w:rPr>
          <w:rFonts w:ascii="Garamond" w:hAnsi="Garamond"/>
        </w:rPr>
        <w:t xml:space="preserve"> </w:t>
      </w:r>
      <w:r w:rsidR="00FA09F1" w:rsidRPr="00BD0C57">
        <w:rPr>
          <w:rFonts w:ascii="Garamond" w:hAnsi="Garamond"/>
        </w:rPr>
        <w:t xml:space="preserve">analysis of </w:t>
      </w:r>
      <w:r w:rsidR="00D6249E" w:rsidRPr="00BD0C57">
        <w:rPr>
          <w:rFonts w:ascii="Garamond" w:hAnsi="Garamond"/>
        </w:rPr>
        <w:t>the</w:t>
      </w:r>
      <w:r w:rsidR="00D645ED" w:rsidRPr="00BD0C57">
        <w:rPr>
          <w:rFonts w:ascii="Garamond" w:hAnsi="Garamond"/>
        </w:rPr>
        <w:t xml:space="preserve"> primary care and other services to be offered </w:t>
      </w:r>
      <w:r w:rsidR="006220A9" w:rsidRPr="00BD0C57">
        <w:rPr>
          <w:rFonts w:ascii="Garamond" w:hAnsi="Garamond"/>
        </w:rPr>
        <w:t>there</w:t>
      </w:r>
      <w:r w:rsidR="00D645ED" w:rsidRPr="00BD0C57">
        <w:rPr>
          <w:rFonts w:ascii="Garamond" w:hAnsi="Garamond"/>
        </w:rPr>
        <w:t>, and</w:t>
      </w:r>
      <w:r w:rsidR="00D6249E" w:rsidRPr="00BD0C57">
        <w:rPr>
          <w:rFonts w:ascii="Garamond" w:hAnsi="Garamond"/>
        </w:rPr>
        <w:t xml:space="preserve"> that </w:t>
      </w:r>
      <w:r w:rsidR="002C0A13" w:rsidRPr="00BD0C57">
        <w:rPr>
          <w:rFonts w:ascii="Garamond" w:hAnsi="Garamond"/>
        </w:rPr>
        <w:t>patients who shift their care from a</w:t>
      </w:r>
      <w:r w:rsidR="001525AA" w:rsidRPr="00BD0C57">
        <w:rPr>
          <w:rFonts w:ascii="Garamond" w:hAnsi="Garamond"/>
        </w:rPr>
        <w:t xml:space="preserve">nother health care </w:t>
      </w:r>
      <w:r w:rsidR="00EB4F30" w:rsidRPr="00BD0C57">
        <w:rPr>
          <w:rFonts w:ascii="Garamond" w:hAnsi="Garamond"/>
        </w:rPr>
        <w:t>system</w:t>
      </w:r>
      <w:r w:rsidR="001525AA" w:rsidRPr="00BD0C57">
        <w:rPr>
          <w:rFonts w:ascii="Garamond" w:hAnsi="Garamond"/>
        </w:rPr>
        <w:t xml:space="preserve"> to </w:t>
      </w:r>
      <w:r w:rsidR="002A62C5" w:rsidRPr="00BD0C57">
        <w:rPr>
          <w:rFonts w:ascii="Garamond" w:hAnsi="Garamond"/>
        </w:rPr>
        <w:t>obtain a</w:t>
      </w:r>
      <w:r w:rsidR="001525AA" w:rsidRPr="00BD0C57">
        <w:rPr>
          <w:rFonts w:ascii="Garamond" w:hAnsi="Garamond"/>
        </w:rPr>
        <w:t xml:space="preserve"> service at </w:t>
      </w:r>
      <w:r w:rsidR="002A62C5" w:rsidRPr="00BD0C57">
        <w:rPr>
          <w:rFonts w:ascii="Garamond" w:hAnsi="Garamond"/>
        </w:rPr>
        <w:t xml:space="preserve">one of </w:t>
      </w:r>
      <w:r w:rsidR="009767F8" w:rsidRPr="00BD0C57">
        <w:rPr>
          <w:rFonts w:ascii="Garamond" w:hAnsi="Garamond"/>
        </w:rPr>
        <w:t xml:space="preserve">the new ambulatory sites are not likely to </w:t>
      </w:r>
      <w:r w:rsidR="0062106B" w:rsidRPr="00BD0C57">
        <w:rPr>
          <w:rFonts w:ascii="Garamond" w:hAnsi="Garamond"/>
        </w:rPr>
        <w:t>come for a</w:t>
      </w:r>
      <w:r w:rsidR="001525AA" w:rsidRPr="00BD0C57">
        <w:rPr>
          <w:rFonts w:ascii="Garamond" w:hAnsi="Garamond"/>
        </w:rPr>
        <w:t xml:space="preserve"> single </w:t>
      </w:r>
      <w:r w:rsidR="00F4099A" w:rsidRPr="00BD0C57">
        <w:rPr>
          <w:rFonts w:ascii="Garamond" w:hAnsi="Garamond"/>
        </w:rPr>
        <w:t>episode of care</w:t>
      </w:r>
      <w:r w:rsidR="002A53F2" w:rsidRPr="00BD0C57">
        <w:rPr>
          <w:rFonts w:ascii="Garamond" w:hAnsi="Garamond"/>
        </w:rPr>
        <w:t xml:space="preserve"> (such as a single surgery or scan)</w:t>
      </w:r>
      <w:r w:rsidR="009767F8" w:rsidRPr="00BD0C57">
        <w:rPr>
          <w:rFonts w:ascii="Garamond" w:hAnsi="Garamond"/>
        </w:rPr>
        <w:t xml:space="preserve">. </w:t>
      </w:r>
      <w:r w:rsidR="00DC768A" w:rsidRPr="00BD0C57">
        <w:rPr>
          <w:rFonts w:ascii="Garamond" w:hAnsi="Garamond"/>
        </w:rPr>
        <w:t xml:space="preserve"> </w:t>
      </w:r>
      <w:r w:rsidR="0062106B" w:rsidRPr="00BD0C57">
        <w:rPr>
          <w:rFonts w:ascii="Garamond" w:hAnsi="Garamond"/>
        </w:rPr>
        <w:t>The</w:t>
      </w:r>
      <w:r w:rsidR="00673A01" w:rsidRPr="00BD0C57">
        <w:rPr>
          <w:rFonts w:ascii="Garamond" w:hAnsi="Garamond"/>
        </w:rPr>
        <w:t>se patients</w:t>
      </w:r>
      <w:r w:rsidR="0062106B" w:rsidRPr="00BD0C57">
        <w:rPr>
          <w:rFonts w:ascii="Garamond" w:hAnsi="Garamond"/>
        </w:rPr>
        <w:t xml:space="preserve"> </w:t>
      </w:r>
      <w:r w:rsidR="00404394" w:rsidRPr="00BD0C57">
        <w:rPr>
          <w:rFonts w:ascii="Garamond" w:hAnsi="Garamond"/>
        </w:rPr>
        <w:t>will be</w:t>
      </w:r>
      <w:r w:rsidR="009767F8" w:rsidRPr="00BD0C57">
        <w:rPr>
          <w:rFonts w:ascii="Garamond" w:hAnsi="Garamond"/>
        </w:rPr>
        <w:t xml:space="preserve"> creating a relationship with the MGB system </w:t>
      </w:r>
      <w:r w:rsidR="00404394" w:rsidRPr="00BD0C57">
        <w:rPr>
          <w:rFonts w:ascii="Garamond" w:hAnsi="Garamond"/>
        </w:rPr>
        <w:t>that</w:t>
      </w:r>
      <w:r w:rsidR="009767F8" w:rsidRPr="00BD0C57">
        <w:rPr>
          <w:rFonts w:ascii="Garamond" w:hAnsi="Garamond"/>
        </w:rPr>
        <w:t xml:space="preserve"> will</w:t>
      </w:r>
      <w:r w:rsidR="005F2833" w:rsidRPr="00BD0C57">
        <w:rPr>
          <w:rFonts w:ascii="Garamond" w:hAnsi="Garamond"/>
        </w:rPr>
        <w:t xml:space="preserve"> (or may)</w:t>
      </w:r>
      <w:r w:rsidR="009767F8" w:rsidRPr="00BD0C57">
        <w:rPr>
          <w:rFonts w:ascii="Garamond" w:hAnsi="Garamond"/>
        </w:rPr>
        <w:t xml:space="preserve"> likely involve long-term shifts in </w:t>
      </w:r>
      <w:r w:rsidR="00C052D5" w:rsidRPr="00BD0C57">
        <w:rPr>
          <w:rFonts w:ascii="Garamond" w:hAnsi="Garamond"/>
        </w:rPr>
        <w:t xml:space="preserve">where they obtain </w:t>
      </w:r>
      <w:r w:rsidR="009767F8" w:rsidRPr="00BD0C57">
        <w:rPr>
          <w:rFonts w:ascii="Garamond" w:hAnsi="Garamond"/>
        </w:rPr>
        <w:t>primary, specialty, and hospital care.</w:t>
      </w:r>
      <w:r w:rsidR="003C7418" w:rsidRPr="00BD0C57">
        <w:rPr>
          <w:rFonts w:ascii="Garamond" w:hAnsi="Garamond"/>
        </w:rPr>
        <w:t xml:space="preserve">  </w:t>
      </w:r>
      <w:r w:rsidR="005F2833" w:rsidRPr="00BD0C57">
        <w:rPr>
          <w:rFonts w:ascii="Garamond" w:hAnsi="Garamond"/>
        </w:rPr>
        <w:t>Analysis</w:t>
      </w:r>
      <w:r w:rsidR="00385013" w:rsidRPr="00BD0C57">
        <w:rPr>
          <w:rFonts w:ascii="Garamond" w:hAnsi="Garamond"/>
        </w:rPr>
        <w:t xml:space="preserve"> of </w:t>
      </w:r>
      <w:r w:rsidR="00AD4BDD" w:rsidRPr="00BD0C57">
        <w:rPr>
          <w:rFonts w:ascii="Garamond" w:hAnsi="Garamond"/>
        </w:rPr>
        <w:t>the project’s</w:t>
      </w:r>
      <w:r w:rsidR="00385013" w:rsidRPr="00BD0C57">
        <w:rPr>
          <w:rFonts w:ascii="Garamond" w:hAnsi="Garamond"/>
        </w:rPr>
        <w:t xml:space="preserve"> impact on </w:t>
      </w:r>
      <w:r w:rsidR="00B11E86" w:rsidRPr="00BD0C57">
        <w:rPr>
          <w:rFonts w:ascii="Garamond" w:hAnsi="Garamond"/>
        </w:rPr>
        <w:t xml:space="preserve">the Commonwealth’s health care </w:t>
      </w:r>
      <w:r w:rsidR="00385013" w:rsidRPr="00BD0C57">
        <w:rPr>
          <w:rFonts w:ascii="Garamond" w:hAnsi="Garamond"/>
        </w:rPr>
        <w:t>cost containment</w:t>
      </w:r>
      <w:r w:rsidR="005B09FB" w:rsidRPr="00BD0C57">
        <w:rPr>
          <w:rFonts w:ascii="Garamond" w:hAnsi="Garamond"/>
        </w:rPr>
        <w:t xml:space="preserve"> </w:t>
      </w:r>
      <w:r w:rsidR="00022516" w:rsidRPr="00BD0C57">
        <w:rPr>
          <w:rFonts w:ascii="Garamond" w:hAnsi="Garamond"/>
        </w:rPr>
        <w:t>goals</w:t>
      </w:r>
      <w:r w:rsidR="00385013" w:rsidRPr="00BD0C57">
        <w:rPr>
          <w:rFonts w:ascii="Garamond" w:hAnsi="Garamond"/>
        </w:rPr>
        <w:t xml:space="preserve"> is not complete without considering the </w:t>
      </w:r>
      <w:r w:rsidR="006639CE" w:rsidRPr="00BD0C57">
        <w:rPr>
          <w:rFonts w:ascii="Garamond" w:hAnsi="Garamond"/>
        </w:rPr>
        <w:t>financial impact of th</w:t>
      </w:r>
      <w:r w:rsidR="00AE024A" w:rsidRPr="00BD0C57">
        <w:rPr>
          <w:rFonts w:ascii="Garamond" w:hAnsi="Garamond"/>
        </w:rPr>
        <w:t xml:space="preserve">e shift </w:t>
      </w:r>
      <w:r w:rsidR="00B33B62" w:rsidRPr="00BD0C57">
        <w:rPr>
          <w:rFonts w:ascii="Garamond" w:hAnsi="Garamond"/>
        </w:rPr>
        <w:t>of</w:t>
      </w:r>
      <w:r w:rsidR="005B09FB" w:rsidRPr="00BD0C57">
        <w:rPr>
          <w:rFonts w:ascii="Garamond" w:hAnsi="Garamond"/>
        </w:rPr>
        <w:t xml:space="preserve"> commercially insured patient</w:t>
      </w:r>
      <w:r w:rsidR="00B33B62" w:rsidRPr="00BD0C57">
        <w:rPr>
          <w:rFonts w:ascii="Garamond" w:hAnsi="Garamond"/>
        </w:rPr>
        <w:t xml:space="preserve">s to </w:t>
      </w:r>
      <w:r w:rsidR="006B48AC" w:rsidRPr="00BD0C57">
        <w:rPr>
          <w:rFonts w:ascii="Garamond" w:hAnsi="Garamond"/>
        </w:rPr>
        <w:t xml:space="preserve">the </w:t>
      </w:r>
      <w:r w:rsidR="00B33B62" w:rsidRPr="00BD0C57">
        <w:rPr>
          <w:rFonts w:ascii="Garamond" w:hAnsi="Garamond"/>
        </w:rPr>
        <w:t xml:space="preserve">MGB </w:t>
      </w:r>
      <w:r w:rsidR="006B48AC" w:rsidRPr="00BD0C57">
        <w:rPr>
          <w:rFonts w:ascii="Garamond" w:hAnsi="Garamond"/>
        </w:rPr>
        <w:t xml:space="preserve">system </w:t>
      </w:r>
      <w:r w:rsidR="00B33B62" w:rsidRPr="00BD0C57">
        <w:rPr>
          <w:rFonts w:ascii="Garamond" w:hAnsi="Garamond"/>
        </w:rPr>
        <w:t>for all their</w:t>
      </w:r>
      <w:r w:rsidR="00F00C3D" w:rsidRPr="00BD0C57">
        <w:rPr>
          <w:rFonts w:ascii="Garamond" w:hAnsi="Garamond"/>
        </w:rPr>
        <w:t xml:space="preserve"> care. </w:t>
      </w:r>
      <w:r w:rsidR="005B09FB" w:rsidRPr="00BD0C57">
        <w:rPr>
          <w:rFonts w:ascii="Garamond" w:hAnsi="Garamond"/>
        </w:rPr>
        <w:t xml:space="preserve"> </w:t>
      </w:r>
      <w:r w:rsidR="001440BC" w:rsidRPr="00BD0C57">
        <w:rPr>
          <w:rFonts w:ascii="Garamond" w:hAnsi="Garamond"/>
        </w:rPr>
        <w:t xml:space="preserve">In its 2018 planning process, </w:t>
      </w:r>
      <w:r w:rsidR="002D72F4" w:rsidRPr="00BD0C57">
        <w:rPr>
          <w:rFonts w:ascii="Garamond" w:hAnsi="Garamond"/>
        </w:rPr>
        <w:t>MGB itself anticipated that creation of new ambulatory care centers would increase patient affiliation with the whole MGB system and would generate referrals to MGB hospitals.</w:t>
      </w:r>
      <w:r w:rsidR="004B1EB1">
        <w:rPr>
          <w:rStyle w:val="FootnoteReference"/>
          <w:rFonts w:ascii="Garamond" w:hAnsi="Garamond"/>
        </w:rPr>
        <w:footnoteReference w:id="3"/>
      </w:r>
      <w:r w:rsidR="002D72F4" w:rsidRPr="00BD0C57">
        <w:rPr>
          <w:rFonts w:ascii="Garamond" w:hAnsi="Garamond"/>
        </w:rPr>
        <w:t xml:space="preserve">  </w:t>
      </w:r>
    </w:p>
    <w:p w14:paraId="35934BE4" w14:textId="56337D89" w:rsidR="009767F8" w:rsidRPr="00BD0C57" w:rsidRDefault="00F44DAB" w:rsidP="001842FA">
      <w:pPr>
        <w:spacing w:after="120"/>
        <w:ind w:firstLine="720"/>
        <w:rPr>
          <w:rFonts w:ascii="Garamond" w:hAnsi="Garamond"/>
        </w:rPr>
      </w:pPr>
      <w:r w:rsidRPr="00BD0C57">
        <w:rPr>
          <w:rFonts w:ascii="Garamond" w:hAnsi="Garamond"/>
        </w:rPr>
        <w:t>Second, t</w:t>
      </w:r>
      <w:r w:rsidR="009767F8" w:rsidRPr="00BD0C57">
        <w:rPr>
          <w:rFonts w:ascii="Garamond" w:hAnsi="Garamond"/>
        </w:rPr>
        <w:t xml:space="preserve">he ICA does not account for MGB’s existing market power. </w:t>
      </w:r>
      <w:r w:rsidR="00F252BD" w:rsidRPr="00BD0C57">
        <w:rPr>
          <w:rFonts w:ascii="Garamond" w:hAnsi="Garamond"/>
        </w:rPr>
        <w:t xml:space="preserve">Focusing on the </w:t>
      </w:r>
      <w:r w:rsidR="009767F8" w:rsidRPr="00BD0C57">
        <w:rPr>
          <w:rFonts w:ascii="Garamond" w:hAnsi="Garamond"/>
        </w:rPr>
        <w:t>marginal increase to MGB’s market power</w:t>
      </w:r>
      <w:r w:rsidR="008E0D86" w:rsidRPr="00BD0C57">
        <w:rPr>
          <w:rFonts w:ascii="Garamond" w:hAnsi="Garamond"/>
        </w:rPr>
        <w:t xml:space="preserve"> from the new sites, the ICA</w:t>
      </w:r>
      <w:r w:rsidR="009767F8" w:rsidRPr="00BD0C57">
        <w:rPr>
          <w:rFonts w:ascii="Garamond" w:hAnsi="Garamond"/>
        </w:rPr>
        <w:t xml:space="preserve"> ignores that MGB is already a “must-have” system in payer networks</w:t>
      </w:r>
      <w:r w:rsidR="00D94D94" w:rsidRPr="00BD0C57">
        <w:rPr>
          <w:rFonts w:ascii="Garamond" w:hAnsi="Garamond"/>
        </w:rPr>
        <w:t xml:space="preserve">, </w:t>
      </w:r>
      <w:r w:rsidR="00F11826" w:rsidRPr="00BD0C57">
        <w:rPr>
          <w:rFonts w:ascii="Garamond" w:hAnsi="Garamond"/>
        </w:rPr>
        <w:t>and one with</w:t>
      </w:r>
      <w:r w:rsidR="00D94D94" w:rsidRPr="00BD0C57">
        <w:rPr>
          <w:rFonts w:ascii="Garamond" w:hAnsi="Garamond"/>
        </w:rPr>
        <w:t xml:space="preserve"> widely recognized quality</w:t>
      </w:r>
      <w:r w:rsidR="00673A01" w:rsidRPr="00BD0C57">
        <w:rPr>
          <w:rFonts w:ascii="Garamond" w:hAnsi="Garamond"/>
        </w:rPr>
        <w:t>, brand, resources, and incumbent insurance contracts</w:t>
      </w:r>
      <w:r w:rsidR="009767F8" w:rsidRPr="00BD0C57">
        <w:rPr>
          <w:rFonts w:ascii="Garamond" w:hAnsi="Garamond"/>
        </w:rPr>
        <w:t xml:space="preserve"> – not a new independent competitor entering the markets of </w:t>
      </w:r>
      <w:r w:rsidR="00792BEB" w:rsidRPr="00BD0C57">
        <w:rPr>
          <w:rFonts w:ascii="Garamond" w:hAnsi="Garamond"/>
        </w:rPr>
        <w:t>Westborough, Woburn, and Westwood</w:t>
      </w:r>
      <w:r w:rsidR="009767F8" w:rsidRPr="00BD0C57">
        <w:rPr>
          <w:rFonts w:ascii="Garamond" w:hAnsi="Garamond"/>
        </w:rPr>
        <w:t xml:space="preserve">.  </w:t>
      </w:r>
      <w:r w:rsidR="00D20862" w:rsidRPr="00BD0C57">
        <w:rPr>
          <w:rFonts w:ascii="Garamond" w:hAnsi="Garamond"/>
        </w:rPr>
        <w:t>Moreover, MGB</w:t>
      </w:r>
      <w:r w:rsidR="00357A01" w:rsidRPr="00BD0C57">
        <w:rPr>
          <w:rFonts w:ascii="Garamond" w:hAnsi="Garamond"/>
        </w:rPr>
        <w:t xml:space="preserve">’s </w:t>
      </w:r>
      <w:r w:rsidR="009767F8" w:rsidRPr="00BD0C57">
        <w:rPr>
          <w:rFonts w:ascii="Garamond" w:hAnsi="Garamond"/>
        </w:rPr>
        <w:t>high prices</w:t>
      </w:r>
      <w:r w:rsidR="00B17DCF" w:rsidRPr="00BD0C57">
        <w:rPr>
          <w:rFonts w:ascii="Garamond" w:hAnsi="Garamond"/>
        </w:rPr>
        <w:t xml:space="preserve"> (even </w:t>
      </w:r>
      <w:r w:rsidR="0095794D" w:rsidRPr="00BD0C57">
        <w:rPr>
          <w:rFonts w:ascii="Garamond" w:hAnsi="Garamond"/>
        </w:rPr>
        <w:t xml:space="preserve">at 50% of </w:t>
      </w:r>
      <w:r w:rsidR="004B1EB1">
        <w:rPr>
          <w:rFonts w:ascii="Garamond" w:hAnsi="Garamond"/>
        </w:rPr>
        <w:t>its</w:t>
      </w:r>
      <w:r w:rsidR="004B1EB1" w:rsidRPr="00BD0C57">
        <w:rPr>
          <w:rFonts w:ascii="Garamond" w:hAnsi="Garamond"/>
        </w:rPr>
        <w:t xml:space="preserve"> </w:t>
      </w:r>
      <w:r w:rsidR="0095794D" w:rsidRPr="00BD0C57">
        <w:rPr>
          <w:rFonts w:ascii="Garamond" w:hAnsi="Garamond"/>
        </w:rPr>
        <w:t>downtown hospital price</w:t>
      </w:r>
      <w:r w:rsidR="004B1EB1">
        <w:rPr>
          <w:rFonts w:ascii="Garamond" w:hAnsi="Garamond"/>
        </w:rPr>
        <w:t>s</w:t>
      </w:r>
      <w:r w:rsidR="0095794D" w:rsidRPr="00BD0C57">
        <w:rPr>
          <w:rFonts w:ascii="Garamond" w:hAnsi="Garamond"/>
        </w:rPr>
        <w:t>)</w:t>
      </w:r>
      <w:r w:rsidR="0046183A" w:rsidRPr="00BD0C57">
        <w:rPr>
          <w:rFonts w:ascii="Garamond" w:hAnsi="Garamond"/>
        </w:rPr>
        <w:t xml:space="preserve"> are unlikely to dissuade </w:t>
      </w:r>
      <w:r w:rsidR="007A320E" w:rsidRPr="00BD0C57">
        <w:rPr>
          <w:rFonts w:ascii="Garamond" w:hAnsi="Garamond"/>
        </w:rPr>
        <w:t xml:space="preserve">consumers attracted by the MGB brand.  </w:t>
      </w:r>
      <w:r w:rsidR="003E22E3" w:rsidRPr="00BD0C57">
        <w:rPr>
          <w:rFonts w:ascii="Garamond" w:hAnsi="Garamond"/>
        </w:rPr>
        <w:t>C</w:t>
      </w:r>
      <w:r w:rsidR="009767F8" w:rsidRPr="00BD0C57">
        <w:rPr>
          <w:rFonts w:ascii="Garamond" w:hAnsi="Garamond"/>
        </w:rPr>
        <w:t xml:space="preserve">onsumers who </w:t>
      </w:r>
      <w:r w:rsidR="00F21B7A" w:rsidRPr="00BD0C57">
        <w:rPr>
          <w:rFonts w:ascii="Garamond" w:hAnsi="Garamond"/>
        </w:rPr>
        <w:t>shift their care to</w:t>
      </w:r>
      <w:r w:rsidR="009767F8" w:rsidRPr="00BD0C57">
        <w:rPr>
          <w:rFonts w:ascii="Garamond" w:hAnsi="Garamond"/>
        </w:rPr>
        <w:t xml:space="preserve"> MGB providers </w:t>
      </w:r>
      <w:r w:rsidR="00F21B7A" w:rsidRPr="00BD0C57">
        <w:rPr>
          <w:rFonts w:ascii="Garamond" w:hAnsi="Garamond"/>
        </w:rPr>
        <w:t xml:space="preserve">generally </w:t>
      </w:r>
      <w:r w:rsidR="009767F8" w:rsidRPr="00BD0C57">
        <w:rPr>
          <w:rFonts w:ascii="Garamond" w:hAnsi="Garamond"/>
        </w:rPr>
        <w:t>do not pay the</w:t>
      </w:r>
      <w:r w:rsidR="00EC4D9A" w:rsidRPr="00BD0C57">
        <w:rPr>
          <w:rFonts w:ascii="Garamond" w:hAnsi="Garamond"/>
        </w:rPr>
        <w:t xml:space="preserve"> </w:t>
      </w:r>
      <w:r w:rsidR="009767F8" w:rsidRPr="00BD0C57">
        <w:rPr>
          <w:rFonts w:ascii="Garamond" w:hAnsi="Garamond"/>
        </w:rPr>
        <w:t>additional cost</w:t>
      </w:r>
      <w:r w:rsidR="00596BDD" w:rsidRPr="00BD0C57">
        <w:rPr>
          <w:rFonts w:ascii="Garamond" w:hAnsi="Garamond"/>
        </w:rPr>
        <w:t xml:space="preserve"> of that care</w:t>
      </w:r>
      <w:r w:rsidR="009767F8" w:rsidRPr="00BD0C57">
        <w:rPr>
          <w:rFonts w:ascii="Garamond" w:hAnsi="Garamond"/>
        </w:rPr>
        <w:t xml:space="preserve">. </w:t>
      </w:r>
      <w:r w:rsidR="004B1EB1">
        <w:rPr>
          <w:rFonts w:ascii="Garamond" w:hAnsi="Garamond"/>
        </w:rPr>
        <w:t xml:space="preserve"> </w:t>
      </w:r>
      <w:r w:rsidR="0032360B" w:rsidRPr="00BD0C57">
        <w:rPr>
          <w:rFonts w:ascii="Garamond" w:hAnsi="Garamond"/>
        </w:rPr>
        <w:t xml:space="preserve">Instead, the </w:t>
      </w:r>
      <w:r w:rsidR="009F004E" w:rsidRPr="00BD0C57">
        <w:rPr>
          <w:rFonts w:ascii="Garamond" w:hAnsi="Garamond"/>
        </w:rPr>
        <w:t>extra costs associated with</w:t>
      </w:r>
      <w:r w:rsidR="009767F8" w:rsidRPr="00BD0C57">
        <w:rPr>
          <w:rFonts w:ascii="Garamond" w:hAnsi="Garamond"/>
        </w:rPr>
        <w:t xml:space="preserve"> more expensive </w:t>
      </w:r>
      <w:r w:rsidR="00F21B7A" w:rsidRPr="00BD0C57">
        <w:rPr>
          <w:rFonts w:ascii="Garamond" w:hAnsi="Garamond"/>
        </w:rPr>
        <w:t xml:space="preserve">provider </w:t>
      </w:r>
      <w:r w:rsidR="009767F8" w:rsidRPr="00BD0C57">
        <w:rPr>
          <w:rFonts w:ascii="Garamond" w:hAnsi="Garamond"/>
        </w:rPr>
        <w:t xml:space="preserve">choices are paid by everyone </w:t>
      </w:r>
      <w:r w:rsidR="0096417A" w:rsidRPr="00BD0C57">
        <w:rPr>
          <w:rFonts w:ascii="Garamond" w:hAnsi="Garamond"/>
        </w:rPr>
        <w:t>through</w:t>
      </w:r>
      <w:r w:rsidR="009767F8" w:rsidRPr="00BD0C57">
        <w:rPr>
          <w:rFonts w:ascii="Garamond" w:hAnsi="Garamond"/>
        </w:rPr>
        <w:t xml:space="preserve"> </w:t>
      </w:r>
      <w:r w:rsidR="0096417A" w:rsidRPr="00BD0C57">
        <w:rPr>
          <w:rFonts w:ascii="Garamond" w:hAnsi="Garamond"/>
        </w:rPr>
        <w:t>increased</w:t>
      </w:r>
      <w:r w:rsidR="009767F8" w:rsidRPr="00BD0C57">
        <w:rPr>
          <w:rFonts w:ascii="Garamond" w:hAnsi="Garamond"/>
        </w:rPr>
        <w:t xml:space="preserve"> </w:t>
      </w:r>
      <w:r w:rsidR="0096417A" w:rsidRPr="00BD0C57">
        <w:rPr>
          <w:rFonts w:ascii="Garamond" w:hAnsi="Garamond"/>
        </w:rPr>
        <w:t xml:space="preserve">health insurance </w:t>
      </w:r>
      <w:r w:rsidR="009767F8" w:rsidRPr="00BD0C57">
        <w:rPr>
          <w:rFonts w:ascii="Garamond" w:hAnsi="Garamond"/>
        </w:rPr>
        <w:t>premiums.</w:t>
      </w:r>
      <w:r w:rsidR="008A249D" w:rsidRPr="00BD0C57">
        <w:rPr>
          <w:rStyle w:val="FootnoteReference"/>
          <w:rFonts w:ascii="Garamond" w:hAnsi="Garamond"/>
        </w:rPr>
        <w:footnoteReference w:id="4"/>
      </w:r>
      <w:r w:rsidR="005F2833" w:rsidRPr="00BD0C57">
        <w:rPr>
          <w:rFonts w:ascii="Garamond" w:hAnsi="Garamond"/>
        </w:rPr>
        <w:t xml:space="preserve">  </w:t>
      </w:r>
    </w:p>
    <w:p w14:paraId="7371BAA9" w14:textId="12B190C1" w:rsidR="00BD0C57" w:rsidRPr="00BD0C57" w:rsidRDefault="00F44DAB" w:rsidP="00963FAC">
      <w:pPr>
        <w:spacing w:after="120"/>
        <w:ind w:firstLine="720"/>
        <w:rPr>
          <w:rFonts w:ascii="Garamond" w:hAnsi="Garamond"/>
        </w:rPr>
      </w:pPr>
      <w:r w:rsidRPr="00BD0C57">
        <w:rPr>
          <w:rFonts w:ascii="Garamond" w:hAnsi="Garamond"/>
        </w:rPr>
        <w:t xml:space="preserve">Third, </w:t>
      </w:r>
      <w:r w:rsidR="004A0EB9" w:rsidRPr="00BD0C57">
        <w:rPr>
          <w:rFonts w:ascii="Garamond" w:hAnsi="Garamond"/>
        </w:rPr>
        <w:t>t</w:t>
      </w:r>
      <w:r w:rsidR="009767F8" w:rsidRPr="00BD0C57">
        <w:rPr>
          <w:rFonts w:ascii="Garamond" w:hAnsi="Garamond"/>
        </w:rPr>
        <w:t xml:space="preserve">he ICA does not account for the </w:t>
      </w:r>
      <w:r w:rsidR="0032360B" w:rsidRPr="00BD0C57">
        <w:rPr>
          <w:rFonts w:ascii="Garamond" w:hAnsi="Garamond"/>
        </w:rPr>
        <w:t xml:space="preserve">costs </w:t>
      </w:r>
      <w:r w:rsidR="006B0C00" w:rsidRPr="00BD0C57">
        <w:rPr>
          <w:rFonts w:ascii="Garamond" w:hAnsi="Garamond"/>
        </w:rPr>
        <w:t>associated with</w:t>
      </w:r>
      <w:r w:rsidR="00EE194B" w:rsidRPr="00BD0C57">
        <w:rPr>
          <w:rFonts w:ascii="Garamond" w:hAnsi="Garamond"/>
        </w:rPr>
        <w:t xml:space="preserve"> new </w:t>
      </w:r>
      <w:r w:rsidR="00547926" w:rsidRPr="00BD0C57">
        <w:rPr>
          <w:rFonts w:ascii="Garamond" w:hAnsi="Garamond"/>
        </w:rPr>
        <w:t xml:space="preserve">MGB </w:t>
      </w:r>
      <w:r w:rsidR="00946AF1" w:rsidRPr="00BD0C57">
        <w:rPr>
          <w:rFonts w:ascii="Garamond" w:hAnsi="Garamond"/>
        </w:rPr>
        <w:t xml:space="preserve">patient volume </w:t>
      </w:r>
      <w:r w:rsidR="005F0F11" w:rsidRPr="00BD0C57">
        <w:rPr>
          <w:rFonts w:ascii="Garamond" w:hAnsi="Garamond"/>
        </w:rPr>
        <w:t>that will</w:t>
      </w:r>
      <w:r w:rsidR="00EE194B" w:rsidRPr="00BD0C57">
        <w:rPr>
          <w:rFonts w:ascii="Garamond" w:hAnsi="Garamond"/>
        </w:rPr>
        <w:t xml:space="preserve"> fill </w:t>
      </w:r>
      <w:r w:rsidR="003764EB" w:rsidRPr="00BD0C57">
        <w:rPr>
          <w:rFonts w:ascii="Garamond" w:hAnsi="Garamond"/>
        </w:rPr>
        <w:t xml:space="preserve">(1) </w:t>
      </w:r>
      <w:r w:rsidR="00547926" w:rsidRPr="00BD0C57">
        <w:rPr>
          <w:rFonts w:ascii="Garamond" w:hAnsi="Garamond"/>
        </w:rPr>
        <w:t xml:space="preserve">MGB’s </w:t>
      </w:r>
      <w:r w:rsidR="00EE194B" w:rsidRPr="00BD0C57">
        <w:rPr>
          <w:rFonts w:ascii="Garamond" w:hAnsi="Garamond"/>
        </w:rPr>
        <w:t xml:space="preserve">inpatient beds </w:t>
      </w:r>
      <w:r w:rsidR="006B0C00" w:rsidRPr="00BD0C57">
        <w:rPr>
          <w:rFonts w:ascii="Garamond" w:hAnsi="Garamond"/>
        </w:rPr>
        <w:t xml:space="preserve">as </w:t>
      </w:r>
      <w:r w:rsidR="00547926" w:rsidRPr="00BD0C57">
        <w:rPr>
          <w:rFonts w:ascii="Garamond" w:hAnsi="Garamond"/>
        </w:rPr>
        <w:t>the system</w:t>
      </w:r>
      <w:r w:rsidR="006B0C00" w:rsidRPr="00BD0C57">
        <w:rPr>
          <w:rFonts w:ascii="Garamond" w:hAnsi="Garamond"/>
        </w:rPr>
        <w:t xml:space="preserve"> moves procedures from inpatient to outpatient sites, or </w:t>
      </w:r>
      <w:r w:rsidR="003764EB" w:rsidRPr="00BD0C57">
        <w:rPr>
          <w:rFonts w:ascii="Garamond" w:hAnsi="Garamond"/>
        </w:rPr>
        <w:t>(2)</w:t>
      </w:r>
      <w:r w:rsidR="00EE194B" w:rsidRPr="00BD0C57">
        <w:rPr>
          <w:rFonts w:ascii="Garamond" w:hAnsi="Garamond"/>
        </w:rPr>
        <w:t xml:space="preserve"> </w:t>
      </w:r>
      <w:r w:rsidR="00547926" w:rsidRPr="00BD0C57">
        <w:rPr>
          <w:rFonts w:ascii="Garamond" w:hAnsi="Garamond"/>
        </w:rPr>
        <w:t xml:space="preserve">MGB’s hospital </w:t>
      </w:r>
      <w:r w:rsidR="006B0C00" w:rsidRPr="00BD0C57">
        <w:rPr>
          <w:rFonts w:ascii="Garamond" w:hAnsi="Garamond"/>
        </w:rPr>
        <w:t xml:space="preserve">outpatient </w:t>
      </w:r>
      <w:r w:rsidR="00547926" w:rsidRPr="00BD0C57">
        <w:rPr>
          <w:rFonts w:ascii="Garamond" w:hAnsi="Garamond"/>
        </w:rPr>
        <w:t>departments</w:t>
      </w:r>
      <w:r w:rsidR="006B0C00" w:rsidRPr="00BD0C57">
        <w:rPr>
          <w:rFonts w:ascii="Garamond" w:hAnsi="Garamond"/>
        </w:rPr>
        <w:t xml:space="preserve"> as </w:t>
      </w:r>
      <w:r w:rsidR="00547926" w:rsidRPr="00BD0C57">
        <w:rPr>
          <w:rFonts w:ascii="Garamond" w:hAnsi="Garamond"/>
        </w:rPr>
        <w:t>the system</w:t>
      </w:r>
      <w:r w:rsidR="006B0C00" w:rsidRPr="00BD0C57">
        <w:rPr>
          <w:rFonts w:ascii="Garamond" w:hAnsi="Garamond"/>
        </w:rPr>
        <w:t xml:space="preserve"> moves some hospital-based ambulatory surgery and radiology patients to the new </w:t>
      </w:r>
      <w:r w:rsidR="00EE194B" w:rsidRPr="00BD0C57">
        <w:rPr>
          <w:rFonts w:ascii="Garamond" w:hAnsi="Garamond"/>
        </w:rPr>
        <w:t>ambulatory sites.</w:t>
      </w:r>
      <w:r w:rsidR="002E6CF7" w:rsidRPr="00BD0C57">
        <w:rPr>
          <w:rFonts w:ascii="Garamond" w:hAnsi="Garamond"/>
        </w:rPr>
        <w:t xml:space="preserve">  </w:t>
      </w:r>
      <w:r w:rsidR="00D629E6" w:rsidRPr="00BD0C57">
        <w:rPr>
          <w:rFonts w:ascii="Garamond" w:hAnsi="Garamond"/>
        </w:rPr>
        <w:t>If the capacity created by MGB</w:t>
      </w:r>
      <w:r w:rsidR="00412C31" w:rsidRPr="00BD0C57">
        <w:rPr>
          <w:rFonts w:ascii="Garamond" w:hAnsi="Garamond"/>
        </w:rPr>
        <w:t>’s</w:t>
      </w:r>
      <w:r w:rsidR="00D629E6" w:rsidRPr="00BD0C57">
        <w:rPr>
          <w:rFonts w:ascii="Garamond" w:hAnsi="Garamond"/>
        </w:rPr>
        <w:t xml:space="preserve"> shift</w:t>
      </w:r>
      <w:r w:rsidR="00412C31" w:rsidRPr="00BD0C57">
        <w:rPr>
          <w:rFonts w:ascii="Garamond" w:hAnsi="Garamond"/>
        </w:rPr>
        <w:t xml:space="preserve"> of</w:t>
      </w:r>
      <w:r w:rsidR="00D629E6" w:rsidRPr="00BD0C57">
        <w:rPr>
          <w:rFonts w:ascii="Garamond" w:hAnsi="Garamond"/>
        </w:rPr>
        <w:t xml:space="preserve"> hospital-based care to its new ambulatory sites is backfilled by volume that is currently treated by MGB’s lower-cost competitors, this </w:t>
      </w:r>
      <w:r w:rsidR="00413BFD" w:rsidRPr="00BD0C57">
        <w:rPr>
          <w:rFonts w:ascii="Garamond" w:hAnsi="Garamond"/>
        </w:rPr>
        <w:t xml:space="preserve">is likely to increase overall health care </w:t>
      </w:r>
      <w:r w:rsidR="006523B1" w:rsidRPr="00BD0C57">
        <w:rPr>
          <w:rFonts w:ascii="Garamond" w:hAnsi="Garamond"/>
        </w:rPr>
        <w:t>expenditures</w:t>
      </w:r>
      <w:r w:rsidR="0032360B" w:rsidRPr="00BD0C57">
        <w:rPr>
          <w:rFonts w:ascii="Garamond" w:hAnsi="Garamond"/>
        </w:rPr>
        <w:t>, even if overall utilization stays constant</w:t>
      </w:r>
      <w:r w:rsidR="00413BFD" w:rsidRPr="00BD0C57">
        <w:rPr>
          <w:rFonts w:ascii="Garamond" w:hAnsi="Garamond"/>
        </w:rPr>
        <w:t xml:space="preserve">.  </w:t>
      </w:r>
      <w:r w:rsidR="009767F8" w:rsidRPr="00BD0C57">
        <w:rPr>
          <w:rFonts w:ascii="Garamond" w:hAnsi="Garamond"/>
        </w:rPr>
        <w:t xml:space="preserve">MGB </w:t>
      </w:r>
      <w:r w:rsidR="00CB7F1E" w:rsidRPr="00BD0C57">
        <w:rPr>
          <w:rFonts w:ascii="Garamond" w:hAnsi="Garamond"/>
        </w:rPr>
        <w:t>has not announced plans</w:t>
      </w:r>
      <w:r w:rsidR="009767F8" w:rsidRPr="00BD0C57">
        <w:rPr>
          <w:rFonts w:ascii="Garamond" w:hAnsi="Garamond"/>
        </w:rPr>
        <w:t xml:space="preserve"> to decrease </w:t>
      </w:r>
      <w:r w:rsidR="00A86817" w:rsidRPr="00BD0C57">
        <w:rPr>
          <w:rFonts w:ascii="Garamond" w:hAnsi="Garamond"/>
        </w:rPr>
        <w:t xml:space="preserve">hospital </w:t>
      </w:r>
      <w:r w:rsidR="00902F44" w:rsidRPr="00BD0C57">
        <w:rPr>
          <w:rFonts w:ascii="Garamond" w:hAnsi="Garamond"/>
        </w:rPr>
        <w:t xml:space="preserve">inpatient or </w:t>
      </w:r>
      <w:r w:rsidR="00A86817" w:rsidRPr="00BD0C57">
        <w:rPr>
          <w:rFonts w:ascii="Garamond" w:hAnsi="Garamond"/>
        </w:rPr>
        <w:t xml:space="preserve">outpatient </w:t>
      </w:r>
      <w:r w:rsidR="009767F8" w:rsidRPr="00BD0C57">
        <w:rPr>
          <w:rFonts w:ascii="Garamond" w:hAnsi="Garamond"/>
        </w:rPr>
        <w:t xml:space="preserve">capacity </w:t>
      </w:r>
      <w:r w:rsidR="0099398C" w:rsidRPr="00BD0C57">
        <w:rPr>
          <w:rFonts w:ascii="Garamond" w:hAnsi="Garamond"/>
        </w:rPr>
        <w:t>commensurate</w:t>
      </w:r>
      <w:r w:rsidR="002E1C67" w:rsidRPr="00BD0C57">
        <w:rPr>
          <w:rFonts w:ascii="Garamond" w:hAnsi="Garamond"/>
        </w:rPr>
        <w:t xml:space="preserve"> with the new proposed capacity at the ambulatory sites</w:t>
      </w:r>
      <w:r w:rsidR="009767F8" w:rsidRPr="00BD0C57">
        <w:rPr>
          <w:rFonts w:ascii="Garamond" w:hAnsi="Garamond"/>
        </w:rPr>
        <w:t xml:space="preserve">.  </w:t>
      </w:r>
      <w:r w:rsidR="00136FCD" w:rsidRPr="00BD0C57">
        <w:rPr>
          <w:rFonts w:ascii="Garamond" w:hAnsi="Garamond"/>
        </w:rPr>
        <w:t xml:space="preserve">Instead, MGB is seeking to expand two of its </w:t>
      </w:r>
      <w:r w:rsidR="00A86817" w:rsidRPr="00BD0C57">
        <w:rPr>
          <w:rFonts w:ascii="Garamond" w:hAnsi="Garamond"/>
        </w:rPr>
        <w:t>hospitals</w:t>
      </w:r>
      <w:r w:rsidR="00570346" w:rsidRPr="00BD0C57">
        <w:rPr>
          <w:rFonts w:ascii="Garamond" w:hAnsi="Garamond"/>
        </w:rPr>
        <w:t>’</w:t>
      </w:r>
      <w:r w:rsidR="00A86817" w:rsidRPr="00BD0C57">
        <w:rPr>
          <w:rFonts w:ascii="Garamond" w:hAnsi="Garamond"/>
        </w:rPr>
        <w:t xml:space="preserve"> (Massachusetts General Hospital and Brigham and Women’s Faulkner Hospital) </w:t>
      </w:r>
      <w:r w:rsidR="00570346" w:rsidRPr="00BD0C57">
        <w:rPr>
          <w:rFonts w:ascii="Garamond" w:hAnsi="Garamond"/>
        </w:rPr>
        <w:t xml:space="preserve">inpatient and outpatient services </w:t>
      </w:r>
      <w:r w:rsidR="00A86817" w:rsidRPr="00BD0C57">
        <w:rPr>
          <w:rFonts w:ascii="Garamond" w:hAnsi="Garamond"/>
        </w:rPr>
        <w:t xml:space="preserve">in connection with separate </w:t>
      </w:r>
      <w:r w:rsidR="008C0D31" w:rsidRPr="00BD0C57">
        <w:rPr>
          <w:rFonts w:ascii="Garamond" w:hAnsi="Garamond"/>
        </w:rPr>
        <w:t xml:space="preserve">pending </w:t>
      </w:r>
      <w:r w:rsidR="00A86817" w:rsidRPr="00BD0C57">
        <w:rPr>
          <w:rFonts w:ascii="Garamond" w:hAnsi="Garamond"/>
        </w:rPr>
        <w:lastRenderedPageBreak/>
        <w:t>DoN applications</w:t>
      </w:r>
      <w:r w:rsidR="009767F8" w:rsidRPr="00BD0C57">
        <w:rPr>
          <w:rFonts w:ascii="Garamond" w:hAnsi="Garamond"/>
        </w:rPr>
        <w:t xml:space="preserve">. </w:t>
      </w:r>
      <w:r w:rsidR="00A86817" w:rsidRPr="00BD0C57">
        <w:rPr>
          <w:rFonts w:ascii="Garamond" w:hAnsi="Garamond"/>
        </w:rPr>
        <w:t xml:space="preserve"> </w:t>
      </w:r>
      <w:r w:rsidR="00636853" w:rsidRPr="00BD0C57">
        <w:rPr>
          <w:rFonts w:ascii="Garamond" w:hAnsi="Garamond"/>
        </w:rPr>
        <w:t>The ICA did not consider any of this increased hospital volume</w:t>
      </w:r>
      <w:r w:rsidR="00820FF4">
        <w:rPr>
          <w:rFonts w:ascii="Garamond" w:hAnsi="Garamond"/>
        </w:rPr>
        <w:t xml:space="preserve"> from new ambulatory center patients</w:t>
      </w:r>
      <w:r w:rsidR="00636853" w:rsidRPr="00BD0C57">
        <w:rPr>
          <w:rFonts w:ascii="Garamond" w:hAnsi="Garamond"/>
        </w:rPr>
        <w:t xml:space="preserve"> in its analysis of the cost impacts of the DoN.</w:t>
      </w:r>
      <w:r w:rsidR="005F2833" w:rsidRPr="00BD0C57">
        <w:rPr>
          <w:rFonts w:ascii="Garamond" w:hAnsi="Garamond"/>
        </w:rPr>
        <w:t xml:space="preserve">  </w:t>
      </w:r>
    </w:p>
    <w:p w14:paraId="41E65ADC" w14:textId="14329458" w:rsidR="008B17AB" w:rsidRPr="0051075C" w:rsidRDefault="008B17AB" w:rsidP="0051075C">
      <w:pPr>
        <w:pStyle w:val="ListParagraph"/>
        <w:numPr>
          <w:ilvl w:val="0"/>
          <w:numId w:val="6"/>
        </w:numPr>
        <w:spacing w:after="120"/>
        <w:rPr>
          <w:rFonts w:ascii="Garamond" w:hAnsi="Garamond"/>
        </w:rPr>
      </w:pPr>
      <w:r w:rsidRPr="0051075C">
        <w:rPr>
          <w:rFonts w:ascii="Garamond" w:hAnsi="Garamond"/>
        </w:rPr>
        <w:t>Access</w:t>
      </w:r>
      <w:r w:rsidR="001842FA" w:rsidRPr="0051075C">
        <w:rPr>
          <w:rFonts w:ascii="Garamond" w:hAnsi="Garamond"/>
        </w:rPr>
        <w:t xml:space="preserve"> to Health Care Services</w:t>
      </w:r>
    </w:p>
    <w:p w14:paraId="6979D7E0" w14:textId="2181B294" w:rsidR="009767F8" w:rsidRPr="00936C93" w:rsidRDefault="006C053E" w:rsidP="001C1530">
      <w:pPr>
        <w:spacing w:after="120"/>
        <w:ind w:firstLine="720"/>
        <w:rPr>
          <w:rFonts w:ascii="Garamond" w:hAnsi="Garamond"/>
        </w:rPr>
      </w:pPr>
      <w:r w:rsidRPr="00936C93">
        <w:rPr>
          <w:rFonts w:ascii="Garamond" w:hAnsi="Garamond"/>
        </w:rPr>
        <w:t xml:space="preserve">The ICA </w:t>
      </w:r>
      <w:r w:rsidR="007D379B" w:rsidRPr="00936C93">
        <w:rPr>
          <w:rFonts w:ascii="Garamond" w:hAnsi="Garamond"/>
        </w:rPr>
        <w:t>doe</w:t>
      </w:r>
      <w:r w:rsidR="00610D44" w:rsidRPr="00936C93">
        <w:rPr>
          <w:rFonts w:ascii="Garamond" w:hAnsi="Garamond"/>
        </w:rPr>
        <w:t xml:space="preserve">s not account for the impact </w:t>
      </w:r>
      <w:r w:rsidR="001E16D2" w:rsidRPr="00936C93">
        <w:rPr>
          <w:rFonts w:ascii="Garamond" w:hAnsi="Garamond"/>
        </w:rPr>
        <w:t>on access to services</w:t>
      </w:r>
      <w:r w:rsidR="00834069" w:rsidRPr="00936C93">
        <w:rPr>
          <w:rFonts w:ascii="Garamond" w:hAnsi="Garamond"/>
        </w:rPr>
        <w:t xml:space="preserve"> </w:t>
      </w:r>
      <w:r w:rsidR="00E16ED1" w:rsidRPr="00936C93">
        <w:rPr>
          <w:rFonts w:ascii="Garamond" w:hAnsi="Garamond"/>
        </w:rPr>
        <w:t xml:space="preserve">– particularly low margin services and services for </w:t>
      </w:r>
      <w:r w:rsidR="002632C8" w:rsidRPr="00936C93">
        <w:rPr>
          <w:rFonts w:ascii="Garamond" w:hAnsi="Garamond"/>
        </w:rPr>
        <w:t xml:space="preserve">publicly-insured patients – that </w:t>
      </w:r>
      <w:r w:rsidR="00DE2891" w:rsidRPr="00936C93">
        <w:rPr>
          <w:rFonts w:ascii="Garamond" w:hAnsi="Garamond"/>
        </w:rPr>
        <w:t>may</w:t>
      </w:r>
      <w:r w:rsidR="001E16D2" w:rsidRPr="00936C93">
        <w:rPr>
          <w:rFonts w:ascii="Garamond" w:hAnsi="Garamond"/>
        </w:rPr>
        <w:t xml:space="preserve"> arise from MGB’s </w:t>
      </w:r>
      <w:r w:rsidR="00061FCE" w:rsidRPr="00936C93">
        <w:rPr>
          <w:rFonts w:ascii="Garamond" w:hAnsi="Garamond"/>
        </w:rPr>
        <w:t xml:space="preserve">acquisition of commercial market share and its engagement of health care workforce needed to operate the new sites.  </w:t>
      </w:r>
      <w:r w:rsidR="00B310DB" w:rsidRPr="00936C93">
        <w:rPr>
          <w:rFonts w:ascii="Garamond" w:hAnsi="Garamond"/>
        </w:rPr>
        <w:t xml:space="preserve">First, </w:t>
      </w:r>
      <w:r w:rsidR="002D0DEA" w:rsidRPr="00936C93">
        <w:rPr>
          <w:rFonts w:ascii="Garamond" w:hAnsi="Garamond"/>
        </w:rPr>
        <w:t xml:space="preserve">in examining the </w:t>
      </w:r>
      <w:r w:rsidR="008700C3" w:rsidRPr="00936C93">
        <w:rPr>
          <w:rFonts w:ascii="Garamond" w:hAnsi="Garamond"/>
        </w:rPr>
        <w:t xml:space="preserve">capacity of Massachusetts providers to render needed services, </w:t>
      </w:r>
      <w:r w:rsidR="00B310DB" w:rsidRPr="00936C93">
        <w:rPr>
          <w:rFonts w:ascii="Garamond" w:hAnsi="Garamond"/>
        </w:rPr>
        <w:t>t</w:t>
      </w:r>
      <w:r w:rsidR="009767F8" w:rsidRPr="00936C93">
        <w:rPr>
          <w:rFonts w:ascii="Garamond" w:hAnsi="Garamond"/>
        </w:rPr>
        <w:t xml:space="preserve">he ICA does not account for </w:t>
      </w:r>
      <w:r w:rsidR="00B132A5" w:rsidRPr="00936C93">
        <w:rPr>
          <w:rFonts w:ascii="Garamond" w:hAnsi="Garamond"/>
        </w:rPr>
        <w:t>the health care system’s</w:t>
      </w:r>
      <w:r w:rsidR="009767F8" w:rsidRPr="00936C93">
        <w:rPr>
          <w:rFonts w:ascii="Garamond" w:hAnsi="Garamond"/>
        </w:rPr>
        <w:t xml:space="preserve"> reliance on cross-subsidization across services and payers</w:t>
      </w:r>
      <w:r w:rsidR="00237E70" w:rsidRPr="00936C93">
        <w:rPr>
          <w:rFonts w:ascii="Garamond" w:hAnsi="Garamond"/>
        </w:rPr>
        <w:t xml:space="preserve"> to achieve sustainable margins</w:t>
      </w:r>
      <w:r w:rsidR="009767F8" w:rsidRPr="00936C93">
        <w:rPr>
          <w:rFonts w:ascii="Garamond" w:hAnsi="Garamond"/>
        </w:rPr>
        <w:t xml:space="preserve">.  The ICA’s model projects that the proposed sites will draw ambulatory surgery and high-tech imaging away from providers like </w:t>
      </w:r>
      <w:r w:rsidR="00D73ADC" w:rsidRPr="00936C93">
        <w:rPr>
          <w:rFonts w:ascii="Garamond" w:hAnsi="Garamond"/>
        </w:rPr>
        <w:t xml:space="preserve">UMass Memorial, </w:t>
      </w:r>
      <w:r w:rsidR="009767F8" w:rsidRPr="00936C93">
        <w:rPr>
          <w:rFonts w:ascii="Garamond" w:hAnsi="Garamond"/>
        </w:rPr>
        <w:t xml:space="preserve">Wellforce, </w:t>
      </w:r>
      <w:r w:rsidR="003F011C" w:rsidRPr="00936C93">
        <w:rPr>
          <w:rFonts w:ascii="Garamond" w:hAnsi="Garamond"/>
        </w:rPr>
        <w:t>Boston Medical Center</w:t>
      </w:r>
      <w:r w:rsidR="009767F8" w:rsidRPr="00936C93">
        <w:rPr>
          <w:rFonts w:ascii="Garamond" w:hAnsi="Garamond"/>
        </w:rPr>
        <w:t>,</w:t>
      </w:r>
      <w:r w:rsidR="00D73ADC" w:rsidRPr="00936C93">
        <w:rPr>
          <w:rFonts w:ascii="Garamond" w:hAnsi="Garamond"/>
        </w:rPr>
        <w:t xml:space="preserve"> and</w:t>
      </w:r>
      <w:r w:rsidR="009767F8" w:rsidRPr="00936C93">
        <w:rPr>
          <w:rFonts w:ascii="Garamond" w:hAnsi="Garamond"/>
        </w:rPr>
        <w:t xml:space="preserve"> Steward, but does not analyze the impact of this </w:t>
      </w:r>
      <w:r w:rsidR="00691544" w:rsidRPr="00936C93">
        <w:rPr>
          <w:rFonts w:ascii="Garamond" w:hAnsi="Garamond"/>
        </w:rPr>
        <w:t>loss of</w:t>
      </w:r>
      <w:r w:rsidR="009767F8" w:rsidRPr="00936C93">
        <w:rPr>
          <w:rFonts w:ascii="Garamond" w:hAnsi="Garamond"/>
        </w:rPr>
        <w:t xml:space="preserve"> revenue on </w:t>
      </w:r>
      <w:r w:rsidR="004C7130" w:rsidRPr="00936C93">
        <w:rPr>
          <w:rFonts w:ascii="Garamond" w:hAnsi="Garamond"/>
        </w:rPr>
        <w:t xml:space="preserve">the </w:t>
      </w:r>
      <w:r w:rsidR="009767F8" w:rsidRPr="00936C93">
        <w:rPr>
          <w:rFonts w:ascii="Garamond" w:hAnsi="Garamond"/>
        </w:rPr>
        <w:t xml:space="preserve">lower-priced providers’ ability to </w:t>
      </w:r>
      <w:r w:rsidR="00874C31" w:rsidRPr="00936C93">
        <w:rPr>
          <w:rFonts w:ascii="Garamond" w:hAnsi="Garamond"/>
        </w:rPr>
        <w:t xml:space="preserve">maintain </w:t>
      </w:r>
      <w:r w:rsidR="000F2CA1" w:rsidRPr="00936C93">
        <w:rPr>
          <w:rFonts w:ascii="Garamond" w:hAnsi="Garamond"/>
        </w:rPr>
        <w:t>service offerings</w:t>
      </w:r>
      <w:r w:rsidR="00877280" w:rsidRPr="00936C93">
        <w:rPr>
          <w:rFonts w:ascii="Garamond" w:hAnsi="Garamond"/>
        </w:rPr>
        <w:t xml:space="preserve"> despite serving significantly higher percentages of MassHealth patients</w:t>
      </w:r>
      <w:r w:rsidR="004C7130" w:rsidRPr="00936C93">
        <w:rPr>
          <w:rFonts w:ascii="Garamond" w:hAnsi="Garamond"/>
        </w:rPr>
        <w:t xml:space="preserve"> than MGB</w:t>
      </w:r>
      <w:r w:rsidR="009767F8" w:rsidRPr="00936C93">
        <w:rPr>
          <w:rFonts w:ascii="Garamond" w:hAnsi="Garamond"/>
        </w:rPr>
        <w:t>.</w:t>
      </w:r>
      <w:r w:rsidR="00805C6F" w:rsidRPr="00936C93">
        <w:rPr>
          <w:rStyle w:val="FootnoteReference"/>
          <w:rFonts w:ascii="Garamond" w:hAnsi="Garamond"/>
        </w:rPr>
        <w:footnoteReference w:id="5"/>
      </w:r>
      <w:r w:rsidR="009767F8" w:rsidRPr="00936C93">
        <w:rPr>
          <w:rFonts w:ascii="Garamond" w:hAnsi="Garamond"/>
        </w:rPr>
        <w:t xml:space="preserve">  </w:t>
      </w:r>
      <w:r w:rsidR="00874BA6" w:rsidRPr="00936C93">
        <w:rPr>
          <w:rFonts w:ascii="Garamond" w:hAnsi="Garamond"/>
        </w:rPr>
        <w:t xml:space="preserve">This </w:t>
      </w:r>
      <w:r w:rsidR="00B732CD" w:rsidRPr="00936C93">
        <w:rPr>
          <w:rFonts w:ascii="Garamond" w:hAnsi="Garamond"/>
        </w:rPr>
        <w:t xml:space="preserve">limitation in the ICA is significant given that the services </w:t>
      </w:r>
      <w:r w:rsidR="00D07CA6" w:rsidRPr="00936C93">
        <w:rPr>
          <w:rFonts w:ascii="Garamond" w:hAnsi="Garamond"/>
        </w:rPr>
        <w:t>it focuses on</w:t>
      </w:r>
      <w:r w:rsidR="00B732CD" w:rsidRPr="00936C93">
        <w:rPr>
          <w:rFonts w:ascii="Garamond" w:hAnsi="Garamond"/>
        </w:rPr>
        <w:t xml:space="preserve"> – imaging and ambulatory surgery </w:t>
      </w:r>
      <w:r w:rsidR="00D23764" w:rsidRPr="00936C93">
        <w:rPr>
          <w:rFonts w:ascii="Garamond" w:hAnsi="Garamond"/>
        </w:rPr>
        <w:t>– generate some of the highest commercial margins in health care.</w:t>
      </w:r>
      <w:r w:rsidR="00D23764" w:rsidRPr="00936C93">
        <w:rPr>
          <w:rStyle w:val="FootnoteReference"/>
          <w:rFonts w:ascii="Garamond" w:hAnsi="Garamond"/>
        </w:rPr>
        <w:footnoteReference w:id="6"/>
      </w:r>
      <w:r w:rsidR="00D23764" w:rsidRPr="00936C93">
        <w:rPr>
          <w:rFonts w:ascii="Garamond" w:hAnsi="Garamond"/>
        </w:rPr>
        <w:t xml:space="preserve">  </w:t>
      </w:r>
      <w:r w:rsidR="00877734" w:rsidRPr="00936C93">
        <w:rPr>
          <w:rFonts w:ascii="Garamond" w:hAnsi="Garamond"/>
        </w:rPr>
        <w:t xml:space="preserve">Health care providers rely on the </w:t>
      </w:r>
      <w:r w:rsidR="0061207B" w:rsidRPr="00936C93">
        <w:rPr>
          <w:rFonts w:ascii="Garamond" w:hAnsi="Garamond"/>
        </w:rPr>
        <w:t xml:space="preserve">higher commercial </w:t>
      </w:r>
      <w:r w:rsidR="00877734" w:rsidRPr="00936C93">
        <w:rPr>
          <w:rFonts w:ascii="Garamond" w:hAnsi="Garamond"/>
        </w:rPr>
        <w:t xml:space="preserve">margins generated by services like high-tech imaging and ambulatory surgery to subsidize the provision of lower </w:t>
      </w:r>
      <w:r w:rsidR="002328E3" w:rsidRPr="00936C93">
        <w:rPr>
          <w:rFonts w:ascii="Garamond" w:hAnsi="Garamond"/>
        </w:rPr>
        <w:t xml:space="preserve">or negative public payer </w:t>
      </w:r>
      <w:r w:rsidR="00877734" w:rsidRPr="00936C93">
        <w:rPr>
          <w:rFonts w:ascii="Garamond" w:hAnsi="Garamond"/>
        </w:rPr>
        <w:t>margin</w:t>
      </w:r>
      <w:r w:rsidR="002328E3" w:rsidRPr="00936C93">
        <w:rPr>
          <w:rFonts w:ascii="Garamond" w:hAnsi="Garamond"/>
        </w:rPr>
        <w:t>s</w:t>
      </w:r>
      <w:r w:rsidR="00877734" w:rsidRPr="00936C93">
        <w:rPr>
          <w:rFonts w:ascii="Garamond" w:hAnsi="Garamond"/>
        </w:rPr>
        <w:t xml:space="preserve"> </w:t>
      </w:r>
      <w:r w:rsidR="00C12DE7" w:rsidRPr="00936C93">
        <w:rPr>
          <w:rFonts w:ascii="Garamond" w:hAnsi="Garamond"/>
        </w:rPr>
        <w:t xml:space="preserve">for </w:t>
      </w:r>
      <w:r w:rsidR="00877734" w:rsidRPr="00936C93">
        <w:rPr>
          <w:rFonts w:ascii="Garamond" w:hAnsi="Garamond"/>
        </w:rPr>
        <w:t>services like behavioral health</w:t>
      </w:r>
      <w:r w:rsidR="00C12DE7" w:rsidRPr="00936C93">
        <w:rPr>
          <w:rFonts w:ascii="Garamond" w:hAnsi="Garamond"/>
        </w:rPr>
        <w:t>, pediatrics, primary care, and women’s health services</w:t>
      </w:r>
      <w:r w:rsidR="00877734" w:rsidRPr="00936C93">
        <w:rPr>
          <w:rFonts w:ascii="Garamond" w:hAnsi="Garamond"/>
        </w:rPr>
        <w:t>.</w:t>
      </w:r>
      <w:r w:rsidR="003F011C" w:rsidRPr="00936C93">
        <w:rPr>
          <w:rFonts w:ascii="Garamond" w:hAnsi="Garamond"/>
        </w:rPr>
        <w:t xml:space="preserve">  </w:t>
      </w:r>
      <w:r w:rsidR="004C7130" w:rsidRPr="00936C93">
        <w:rPr>
          <w:rFonts w:ascii="Garamond" w:hAnsi="Garamond"/>
        </w:rPr>
        <w:t>Even small percent decreases in the highest margin services</w:t>
      </w:r>
      <w:r w:rsidR="00D8167D" w:rsidRPr="00936C93">
        <w:rPr>
          <w:rFonts w:ascii="Garamond" w:hAnsi="Garamond"/>
        </w:rPr>
        <w:t xml:space="preserve"> and commercial patient volume </w:t>
      </w:r>
      <w:r w:rsidR="004C7130" w:rsidRPr="00936C93">
        <w:rPr>
          <w:rFonts w:ascii="Garamond" w:hAnsi="Garamond"/>
        </w:rPr>
        <w:t xml:space="preserve">could </w:t>
      </w:r>
      <w:r w:rsidR="00A14D9B" w:rsidRPr="00936C93">
        <w:rPr>
          <w:rFonts w:ascii="Garamond" w:hAnsi="Garamond"/>
        </w:rPr>
        <w:t>harm</w:t>
      </w:r>
      <w:r w:rsidR="00E73FFF" w:rsidRPr="00936C93">
        <w:rPr>
          <w:rFonts w:ascii="Garamond" w:hAnsi="Garamond"/>
        </w:rPr>
        <w:t xml:space="preserve"> those providers’ ability to provide </w:t>
      </w:r>
      <w:r w:rsidR="00A14D9B" w:rsidRPr="00936C93">
        <w:rPr>
          <w:rFonts w:ascii="Garamond" w:hAnsi="Garamond"/>
        </w:rPr>
        <w:t xml:space="preserve">low-margin services or to cater to </w:t>
      </w:r>
      <w:r w:rsidR="00E319C2" w:rsidRPr="00936C93">
        <w:rPr>
          <w:rFonts w:ascii="Garamond" w:hAnsi="Garamond"/>
        </w:rPr>
        <w:t>MassHealth patients</w:t>
      </w:r>
      <w:r w:rsidR="00DF1688" w:rsidRPr="00936C93">
        <w:rPr>
          <w:rFonts w:ascii="Garamond" w:hAnsi="Garamond"/>
        </w:rPr>
        <w:t xml:space="preserve"> – which in turn could </w:t>
      </w:r>
      <w:r w:rsidR="009767F8" w:rsidRPr="00936C93">
        <w:rPr>
          <w:rFonts w:ascii="Garamond" w:hAnsi="Garamond"/>
        </w:rPr>
        <w:t>threaten access to health care services, increase costs in ways that are hard to model or predict, and further deepen inequities in the health care options available to the affluent and the poor</w:t>
      </w:r>
      <w:r w:rsidR="00D6167C" w:rsidRPr="00936C93">
        <w:rPr>
          <w:rFonts w:ascii="Garamond" w:hAnsi="Garamond"/>
        </w:rPr>
        <w:t>.</w:t>
      </w:r>
    </w:p>
    <w:p w14:paraId="785038A1" w14:textId="4DBEFF52" w:rsidR="00963FAC" w:rsidRPr="0051075C" w:rsidRDefault="00DB7EEF" w:rsidP="0051075C">
      <w:pPr>
        <w:spacing w:after="120"/>
        <w:ind w:firstLine="720"/>
        <w:rPr>
          <w:rFonts w:ascii="Garamond" w:hAnsi="Garamond"/>
        </w:rPr>
      </w:pPr>
      <w:r w:rsidRPr="0051075C">
        <w:rPr>
          <w:rFonts w:ascii="Garamond" w:hAnsi="Garamond"/>
        </w:rPr>
        <w:t>Second, t</w:t>
      </w:r>
      <w:r w:rsidR="009767F8" w:rsidRPr="0051075C">
        <w:rPr>
          <w:rFonts w:ascii="Garamond" w:hAnsi="Garamond"/>
        </w:rPr>
        <w:t>he ICA’s analysis of the health care labor force does not reflect current market conditions</w:t>
      </w:r>
      <w:r w:rsidR="00344A1C" w:rsidRPr="0051075C">
        <w:rPr>
          <w:rFonts w:ascii="Garamond" w:hAnsi="Garamond"/>
        </w:rPr>
        <w:t xml:space="preserve"> </w:t>
      </w:r>
      <w:r w:rsidR="009767F8" w:rsidRPr="0051075C">
        <w:rPr>
          <w:rFonts w:ascii="Garamond" w:hAnsi="Garamond"/>
        </w:rPr>
        <w:t>or the impact that staffing the proposed site</w:t>
      </w:r>
      <w:r w:rsidR="00DA068A" w:rsidRPr="0051075C">
        <w:rPr>
          <w:rFonts w:ascii="Garamond" w:hAnsi="Garamond"/>
        </w:rPr>
        <w:t>s</w:t>
      </w:r>
      <w:r w:rsidR="009767F8" w:rsidRPr="0051075C">
        <w:rPr>
          <w:rFonts w:ascii="Garamond" w:hAnsi="Garamond"/>
        </w:rPr>
        <w:t xml:space="preserve"> is likely to have on access to services in other health care settings.  </w:t>
      </w:r>
      <w:r w:rsidR="004C7130" w:rsidRPr="0051075C">
        <w:rPr>
          <w:rFonts w:ascii="Garamond" w:hAnsi="Garamond"/>
        </w:rPr>
        <w:t>Nearly two years into the Covid-19 pandemic, health care staffing in Massachusetts is in crisis.</w:t>
      </w:r>
      <w:r w:rsidR="004C7130" w:rsidRPr="00936C93">
        <w:rPr>
          <w:rStyle w:val="FootnoteReference"/>
          <w:rFonts w:ascii="Garamond" w:hAnsi="Garamond"/>
        </w:rPr>
        <w:footnoteReference w:id="7"/>
      </w:r>
      <w:r w:rsidR="004C7130" w:rsidRPr="0051075C">
        <w:rPr>
          <w:rFonts w:ascii="Garamond" w:hAnsi="Garamond"/>
        </w:rPr>
        <w:t xml:space="preserve">  </w:t>
      </w:r>
      <w:r w:rsidR="009767F8" w:rsidRPr="0051075C">
        <w:rPr>
          <w:rFonts w:ascii="Garamond" w:hAnsi="Garamond"/>
        </w:rPr>
        <w:t>The ICA</w:t>
      </w:r>
      <w:r w:rsidR="00A331D6" w:rsidRPr="0051075C">
        <w:rPr>
          <w:rFonts w:ascii="Garamond" w:hAnsi="Garamond"/>
        </w:rPr>
        <w:t>, however,</w:t>
      </w:r>
      <w:r w:rsidR="009767F8" w:rsidRPr="0051075C">
        <w:rPr>
          <w:rFonts w:ascii="Garamond" w:hAnsi="Garamond"/>
        </w:rPr>
        <w:t xml:space="preserve"> </w:t>
      </w:r>
      <w:r w:rsidR="00C606FF" w:rsidRPr="0051075C">
        <w:rPr>
          <w:rFonts w:ascii="Garamond" w:hAnsi="Garamond"/>
        </w:rPr>
        <w:t>relies on the</w:t>
      </w:r>
      <w:r w:rsidR="00344AA0" w:rsidRPr="0051075C">
        <w:rPr>
          <w:rFonts w:ascii="Garamond" w:hAnsi="Garamond"/>
        </w:rPr>
        <w:t xml:space="preserve"> CMS database of all providers with a registered provider ID</w:t>
      </w:r>
      <w:r w:rsidR="00941482" w:rsidRPr="0051075C">
        <w:rPr>
          <w:rFonts w:ascii="Garamond" w:hAnsi="Garamond"/>
        </w:rPr>
        <w:t xml:space="preserve"> </w:t>
      </w:r>
      <w:r w:rsidR="00663A4A" w:rsidRPr="0051075C">
        <w:rPr>
          <w:rFonts w:ascii="Garamond" w:hAnsi="Garamond"/>
        </w:rPr>
        <w:t xml:space="preserve">to estimate the supply of </w:t>
      </w:r>
      <w:r w:rsidR="000A74C7" w:rsidRPr="0051075C">
        <w:rPr>
          <w:rFonts w:ascii="Garamond" w:hAnsi="Garamond"/>
        </w:rPr>
        <w:t>workers</w:t>
      </w:r>
      <w:r w:rsidR="00A331D6" w:rsidRPr="0051075C">
        <w:rPr>
          <w:rFonts w:ascii="Garamond" w:hAnsi="Garamond"/>
        </w:rPr>
        <w:t>,</w:t>
      </w:r>
      <w:r w:rsidR="00E3536A" w:rsidRPr="0051075C">
        <w:rPr>
          <w:rFonts w:ascii="Garamond" w:hAnsi="Garamond"/>
        </w:rPr>
        <w:t xml:space="preserve"> </w:t>
      </w:r>
      <w:r w:rsidR="00A331D6" w:rsidRPr="0051075C">
        <w:rPr>
          <w:rFonts w:ascii="Garamond" w:hAnsi="Garamond"/>
        </w:rPr>
        <w:t xml:space="preserve">noting </w:t>
      </w:r>
      <w:r w:rsidR="00E3536A" w:rsidRPr="0051075C">
        <w:rPr>
          <w:rFonts w:ascii="Garamond" w:hAnsi="Garamond"/>
        </w:rPr>
        <w:t xml:space="preserve">that this database provides an “upper bound” on the number of providers as it may include individuals who are no longer in clinical practice.  For </w:t>
      </w:r>
      <w:r w:rsidR="00700995" w:rsidRPr="0051075C">
        <w:rPr>
          <w:rFonts w:ascii="Garamond" w:hAnsi="Garamond"/>
        </w:rPr>
        <w:t xml:space="preserve">health professionals </w:t>
      </w:r>
      <w:r w:rsidR="000A74C7" w:rsidRPr="0051075C">
        <w:rPr>
          <w:rFonts w:ascii="Garamond" w:hAnsi="Garamond"/>
        </w:rPr>
        <w:t xml:space="preserve">like nurses </w:t>
      </w:r>
      <w:r w:rsidR="00700995" w:rsidRPr="0051075C">
        <w:rPr>
          <w:rFonts w:ascii="Garamond" w:hAnsi="Garamond"/>
        </w:rPr>
        <w:t xml:space="preserve">for whom the CMS database may generate an undercount (because they do not typically bill claims directly), the ICA looks to </w:t>
      </w:r>
      <w:r w:rsidR="0009594D" w:rsidRPr="0051075C">
        <w:rPr>
          <w:rFonts w:ascii="Garamond" w:hAnsi="Garamond"/>
        </w:rPr>
        <w:t xml:space="preserve">state licensure data and Bureau of Labor Statistics estimates.  </w:t>
      </w:r>
      <w:r w:rsidR="00150464" w:rsidRPr="0051075C">
        <w:rPr>
          <w:rFonts w:ascii="Garamond" w:hAnsi="Garamond"/>
        </w:rPr>
        <w:t>None of t</w:t>
      </w:r>
      <w:r w:rsidR="00775D97" w:rsidRPr="0051075C">
        <w:rPr>
          <w:rFonts w:ascii="Garamond" w:hAnsi="Garamond"/>
        </w:rPr>
        <w:t xml:space="preserve">hese sources </w:t>
      </w:r>
      <w:r w:rsidR="00150464" w:rsidRPr="0051075C">
        <w:rPr>
          <w:rFonts w:ascii="Garamond" w:hAnsi="Garamond"/>
        </w:rPr>
        <w:t xml:space="preserve">gives a fair </w:t>
      </w:r>
      <w:r w:rsidR="00AD3D80" w:rsidRPr="0051075C">
        <w:rPr>
          <w:rFonts w:ascii="Garamond" w:hAnsi="Garamond"/>
        </w:rPr>
        <w:t xml:space="preserve">representation of the number of </w:t>
      </w:r>
      <w:r w:rsidR="00AC1D27" w:rsidRPr="0051075C">
        <w:rPr>
          <w:rFonts w:ascii="Garamond" w:hAnsi="Garamond"/>
        </w:rPr>
        <w:t xml:space="preserve">people </w:t>
      </w:r>
      <w:r w:rsidR="00775D97" w:rsidRPr="0051075C">
        <w:rPr>
          <w:rFonts w:ascii="Garamond" w:hAnsi="Garamond"/>
        </w:rPr>
        <w:t>currently in clinical practice</w:t>
      </w:r>
      <w:r w:rsidR="00AF444D" w:rsidRPr="0051075C">
        <w:rPr>
          <w:rFonts w:ascii="Garamond" w:hAnsi="Garamond"/>
        </w:rPr>
        <w:t xml:space="preserve">.  More timely </w:t>
      </w:r>
      <w:r w:rsidR="00311556" w:rsidRPr="0051075C">
        <w:rPr>
          <w:rFonts w:ascii="Garamond" w:hAnsi="Garamond"/>
        </w:rPr>
        <w:t xml:space="preserve">indicators of current health care workforce conditions, such as </w:t>
      </w:r>
      <w:r w:rsidR="009767F8" w:rsidRPr="0051075C">
        <w:rPr>
          <w:rFonts w:ascii="Garamond" w:hAnsi="Garamond"/>
        </w:rPr>
        <w:t xml:space="preserve">current unfilled postings for </w:t>
      </w:r>
      <w:r w:rsidR="0095011B" w:rsidRPr="0051075C">
        <w:rPr>
          <w:rFonts w:ascii="Garamond" w:hAnsi="Garamond"/>
        </w:rPr>
        <w:t>health care</w:t>
      </w:r>
      <w:r w:rsidR="009767F8" w:rsidRPr="0051075C">
        <w:rPr>
          <w:rFonts w:ascii="Garamond" w:hAnsi="Garamond"/>
        </w:rPr>
        <w:t xml:space="preserve"> staff </w:t>
      </w:r>
      <w:r w:rsidR="00095FDE" w:rsidRPr="0051075C">
        <w:rPr>
          <w:rFonts w:ascii="Garamond" w:hAnsi="Garamond"/>
        </w:rPr>
        <w:t xml:space="preserve">positions </w:t>
      </w:r>
      <w:r w:rsidR="009767F8" w:rsidRPr="0051075C">
        <w:rPr>
          <w:rFonts w:ascii="Garamond" w:hAnsi="Garamond"/>
        </w:rPr>
        <w:t xml:space="preserve">or </w:t>
      </w:r>
      <w:r w:rsidR="0095011B" w:rsidRPr="0051075C">
        <w:rPr>
          <w:rFonts w:ascii="Garamond" w:hAnsi="Garamond"/>
        </w:rPr>
        <w:t>Massachusetts</w:t>
      </w:r>
      <w:r w:rsidR="009767F8" w:rsidRPr="0051075C">
        <w:rPr>
          <w:rFonts w:ascii="Garamond" w:hAnsi="Garamond"/>
        </w:rPr>
        <w:t xml:space="preserve"> hospital beds </w:t>
      </w:r>
      <w:r w:rsidR="0095011B" w:rsidRPr="0051075C">
        <w:rPr>
          <w:rFonts w:ascii="Garamond" w:hAnsi="Garamond"/>
        </w:rPr>
        <w:t xml:space="preserve">currently </w:t>
      </w:r>
      <w:r w:rsidR="009767F8" w:rsidRPr="0051075C">
        <w:rPr>
          <w:rFonts w:ascii="Garamond" w:hAnsi="Garamond"/>
        </w:rPr>
        <w:t>offline due to staffing shortages</w:t>
      </w:r>
      <w:r w:rsidR="00095FDE" w:rsidRPr="0051075C">
        <w:rPr>
          <w:rFonts w:ascii="Garamond" w:hAnsi="Garamond"/>
        </w:rPr>
        <w:t>, go unmentioned</w:t>
      </w:r>
      <w:r w:rsidR="009767F8" w:rsidRPr="0051075C">
        <w:rPr>
          <w:rFonts w:ascii="Garamond" w:hAnsi="Garamond"/>
        </w:rPr>
        <w:t xml:space="preserve">.  The ICA </w:t>
      </w:r>
      <w:r w:rsidR="00A331D6" w:rsidRPr="0051075C">
        <w:rPr>
          <w:rFonts w:ascii="Garamond" w:hAnsi="Garamond"/>
        </w:rPr>
        <w:t xml:space="preserve">also </w:t>
      </w:r>
      <w:r w:rsidR="009767F8" w:rsidRPr="0051075C">
        <w:rPr>
          <w:rFonts w:ascii="Garamond" w:hAnsi="Garamond"/>
        </w:rPr>
        <w:t xml:space="preserve">does not account for literature projecting significant </w:t>
      </w:r>
      <w:r w:rsidR="007164FB" w:rsidRPr="0051075C">
        <w:rPr>
          <w:rFonts w:ascii="Garamond" w:hAnsi="Garamond"/>
        </w:rPr>
        <w:t xml:space="preserve">health care </w:t>
      </w:r>
      <w:r w:rsidR="009767F8" w:rsidRPr="0051075C">
        <w:rPr>
          <w:rFonts w:ascii="Garamond" w:hAnsi="Garamond"/>
        </w:rPr>
        <w:t xml:space="preserve">staffing shortages in </w:t>
      </w:r>
      <w:r w:rsidR="009767F8" w:rsidRPr="0051075C">
        <w:rPr>
          <w:rFonts w:ascii="Garamond" w:hAnsi="Garamond"/>
        </w:rPr>
        <w:lastRenderedPageBreak/>
        <w:t>M</w:t>
      </w:r>
      <w:r w:rsidR="00A331D6" w:rsidRPr="0051075C">
        <w:rPr>
          <w:rFonts w:ascii="Garamond" w:hAnsi="Garamond"/>
        </w:rPr>
        <w:t>assachusetts</w:t>
      </w:r>
      <w:r w:rsidR="006538ED" w:rsidRPr="0051075C">
        <w:rPr>
          <w:rFonts w:ascii="Garamond" w:hAnsi="Garamond"/>
        </w:rPr>
        <w:t>.</w:t>
      </w:r>
      <w:r w:rsidR="006538ED" w:rsidRPr="00936C93">
        <w:rPr>
          <w:rStyle w:val="FootnoteReference"/>
          <w:rFonts w:ascii="Garamond" w:hAnsi="Garamond"/>
        </w:rPr>
        <w:footnoteReference w:id="8"/>
      </w:r>
      <w:r w:rsidR="009767F8" w:rsidRPr="0051075C">
        <w:rPr>
          <w:rFonts w:ascii="Garamond" w:hAnsi="Garamond"/>
        </w:rPr>
        <w:t xml:space="preserve"> </w:t>
      </w:r>
      <w:r w:rsidR="00775D97" w:rsidRPr="0051075C">
        <w:rPr>
          <w:rFonts w:ascii="Garamond" w:hAnsi="Garamond"/>
        </w:rPr>
        <w:t xml:space="preserve"> </w:t>
      </w:r>
      <w:r w:rsidR="009767F8" w:rsidRPr="0051075C">
        <w:rPr>
          <w:rFonts w:ascii="Garamond" w:hAnsi="Garamond"/>
        </w:rPr>
        <w:t xml:space="preserve">The ICA </w:t>
      </w:r>
      <w:r w:rsidR="00775D97" w:rsidRPr="0051075C">
        <w:rPr>
          <w:rFonts w:ascii="Garamond" w:hAnsi="Garamond"/>
        </w:rPr>
        <w:t>concludes</w:t>
      </w:r>
      <w:r w:rsidR="009767F8" w:rsidRPr="0051075C">
        <w:rPr>
          <w:rFonts w:ascii="Garamond" w:hAnsi="Garamond"/>
        </w:rPr>
        <w:t xml:space="preserve"> that anticipated staffing needs for ACCs would “almost never comprise more than two percent of the existing labor supply” </w:t>
      </w:r>
      <w:r w:rsidR="00775D97" w:rsidRPr="0051075C">
        <w:rPr>
          <w:rFonts w:ascii="Garamond" w:hAnsi="Garamond"/>
        </w:rPr>
        <w:t>and finds without further explanation that such an increase</w:t>
      </w:r>
      <w:r w:rsidR="009767F8" w:rsidRPr="0051075C">
        <w:rPr>
          <w:rFonts w:ascii="Garamond" w:hAnsi="Garamond"/>
        </w:rPr>
        <w:t xml:space="preserve"> in demand for staff </w:t>
      </w:r>
      <w:r w:rsidR="00C76B5D" w:rsidRPr="0051075C">
        <w:rPr>
          <w:rFonts w:ascii="Garamond" w:hAnsi="Garamond"/>
        </w:rPr>
        <w:t>would be</w:t>
      </w:r>
      <w:r w:rsidR="009767F8" w:rsidRPr="0051075C">
        <w:rPr>
          <w:rFonts w:ascii="Garamond" w:hAnsi="Garamond"/>
        </w:rPr>
        <w:t xml:space="preserve"> “de minimis.”</w:t>
      </w:r>
      <w:r w:rsidR="00AD0F7F" w:rsidRPr="00936C93">
        <w:rPr>
          <w:rStyle w:val="FootnoteReference"/>
          <w:rFonts w:ascii="Garamond" w:hAnsi="Garamond"/>
        </w:rPr>
        <w:footnoteReference w:id="9"/>
      </w:r>
      <w:r w:rsidR="009767F8" w:rsidRPr="0051075C">
        <w:rPr>
          <w:rFonts w:ascii="Garamond" w:hAnsi="Garamond"/>
        </w:rPr>
        <w:t xml:space="preserve">  </w:t>
      </w:r>
      <w:r w:rsidR="009A4823" w:rsidRPr="0051075C">
        <w:rPr>
          <w:rFonts w:ascii="Garamond" w:hAnsi="Garamond"/>
        </w:rPr>
        <w:t>The ICA</w:t>
      </w:r>
      <w:r w:rsidR="00E24DA3" w:rsidRPr="0051075C">
        <w:rPr>
          <w:rFonts w:ascii="Garamond" w:hAnsi="Garamond"/>
        </w:rPr>
        <w:t xml:space="preserve"> suggests</w:t>
      </w:r>
      <w:r w:rsidR="009A4823" w:rsidRPr="0051075C">
        <w:rPr>
          <w:rFonts w:ascii="Garamond" w:hAnsi="Garamond"/>
        </w:rPr>
        <w:t xml:space="preserve"> </w:t>
      </w:r>
      <w:r w:rsidR="00D92ACC" w:rsidRPr="0051075C">
        <w:rPr>
          <w:rFonts w:ascii="Garamond" w:hAnsi="Garamond"/>
        </w:rPr>
        <w:t xml:space="preserve">ample health care workforce availability based </w:t>
      </w:r>
      <w:r w:rsidR="00686AA9" w:rsidRPr="0051075C">
        <w:rPr>
          <w:rFonts w:ascii="Garamond" w:hAnsi="Garamond"/>
        </w:rPr>
        <w:t xml:space="preserve">on </w:t>
      </w:r>
      <w:r w:rsidR="00BE243C" w:rsidRPr="0051075C">
        <w:rPr>
          <w:rFonts w:ascii="Garamond" w:hAnsi="Garamond"/>
        </w:rPr>
        <w:t xml:space="preserve">data sources relevant </w:t>
      </w:r>
      <w:r w:rsidR="003A7E5A" w:rsidRPr="0051075C">
        <w:rPr>
          <w:rFonts w:ascii="Garamond" w:hAnsi="Garamond"/>
        </w:rPr>
        <w:t xml:space="preserve">only </w:t>
      </w:r>
      <w:r w:rsidR="00BE243C" w:rsidRPr="0051075C">
        <w:rPr>
          <w:rFonts w:ascii="Garamond" w:hAnsi="Garamond"/>
        </w:rPr>
        <w:t>to authorizati</w:t>
      </w:r>
      <w:r w:rsidR="005215A5" w:rsidRPr="0051075C">
        <w:rPr>
          <w:rFonts w:ascii="Garamond" w:hAnsi="Garamond"/>
        </w:rPr>
        <w:t>on of clinical practice and billing</w:t>
      </w:r>
      <w:r w:rsidR="00983AA9" w:rsidRPr="0051075C">
        <w:rPr>
          <w:rFonts w:ascii="Garamond" w:hAnsi="Garamond"/>
        </w:rPr>
        <w:t>.  T</w:t>
      </w:r>
      <w:r w:rsidR="005215A5" w:rsidRPr="0051075C">
        <w:rPr>
          <w:rFonts w:ascii="Garamond" w:hAnsi="Garamond"/>
        </w:rPr>
        <w:t xml:space="preserve">he reality of health care workforce conditions </w:t>
      </w:r>
      <w:r w:rsidR="00157411" w:rsidRPr="0051075C">
        <w:rPr>
          <w:rFonts w:ascii="Garamond" w:hAnsi="Garamond"/>
        </w:rPr>
        <w:t>in Massachusetts points to a severe shortage</w:t>
      </w:r>
      <w:r w:rsidR="00126DC5" w:rsidRPr="0051075C">
        <w:rPr>
          <w:rFonts w:ascii="Garamond" w:hAnsi="Garamond"/>
        </w:rPr>
        <w:t xml:space="preserve">. </w:t>
      </w:r>
      <w:r w:rsidR="005215A5" w:rsidRPr="0051075C">
        <w:rPr>
          <w:rFonts w:ascii="Garamond" w:hAnsi="Garamond"/>
        </w:rPr>
        <w:t xml:space="preserve"> </w:t>
      </w:r>
      <w:r w:rsidR="00BD5EE0" w:rsidRPr="0051075C">
        <w:rPr>
          <w:rFonts w:ascii="Garamond" w:hAnsi="Garamond"/>
        </w:rPr>
        <w:t xml:space="preserve">At a time of health care staffing crisis in Massachusetts and around the country, </w:t>
      </w:r>
      <w:r w:rsidR="00F30451" w:rsidRPr="0051075C">
        <w:rPr>
          <w:rFonts w:ascii="Garamond" w:hAnsi="Garamond"/>
        </w:rPr>
        <w:t>this analysis fails to account for</w:t>
      </w:r>
      <w:r w:rsidR="009978B4" w:rsidRPr="0051075C">
        <w:rPr>
          <w:rFonts w:ascii="Garamond" w:hAnsi="Garamond"/>
        </w:rPr>
        <w:t xml:space="preserve"> </w:t>
      </w:r>
      <w:r w:rsidR="00E24DA3" w:rsidRPr="0051075C">
        <w:rPr>
          <w:rFonts w:ascii="Garamond" w:hAnsi="Garamond"/>
        </w:rPr>
        <w:t xml:space="preserve">the </w:t>
      </w:r>
      <w:r w:rsidR="009978B4" w:rsidRPr="0051075C">
        <w:rPr>
          <w:rFonts w:ascii="Garamond" w:hAnsi="Garamond"/>
        </w:rPr>
        <w:t>impact across the health care market</w:t>
      </w:r>
      <w:r w:rsidR="00D25177" w:rsidRPr="0051075C">
        <w:rPr>
          <w:rFonts w:ascii="Garamond" w:hAnsi="Garamond"/>
        </w:rPr>
        <w:t xml:space="preserve"> </w:t>
      </w:r>
      <w:r w:rsidR="00E24DA3" w:rsidRPr="0051075C">
        <w:rPr>
          <w:rFonts w:ascii="Garamond" w:hAnsi="Garamond"/>
        </w:rPr>
        <w:t xml:space="preserve">if </w:t>
      </w:r>
      <w:r w:rsidR="006E756C" w:rsidRPr="0051075C">
        <w:rPr>
          <w:rFonts w:ascii="Garamond" w:hAnsi="Garamond"/>
        </w:rPr>
        <w:t>447 health care workers</w:t>
      </w:r>
      <w:r w:rsidR="00007097" w:rsidRPr="00936C93">
        <w:rPr>
          <w:rStyle w:val="FootnoteReference"/>
          <w:rFonts w:ascii="Garamond" w:hAnsi="Garamond"/>
        </w:rPr>
        <w:footnoteReference w:id="10"/>
      </w:r>
      <w:r w:rsidR="006E756C" w:rsidRPr="0051075C">
        <w:rPr>
          <w:rFonts w:ascii="Garamond" w:hAnsi="Garamond"/>
        </w:rPr>
        <w:t xml:space="preserve"> </w:t>
      </w:r>
      <w:r w:rsidR="00C02111" w:rsidRPr="0051075C">
        <w:rPr>
          <w:rFonts w:ascii="Garamond" w:hAnsi="Garamond"/>
        </w:rPr>
        <w:t xml:space="preserve">left their current positions </w:t>
      </w:r>
      <w:r w:rsidR="006E756C" w:rsidRPr="0051075C">
        <w:rPr>
          <w:rFonts w:ascii="Garamond" w:hAnsi="Garamond"/>
        </w:rPr>
        <w:t>to s</w:t>
      </w:r>
      <w:r w:rsidR="00007097" w:rsidRPr="0051075C">
        <w:rPr>
          <w:rFonts w:ascii="Garamond" w:hAnsi="Garamond"/>
        </w:rPr>
        <w:t>taff the three new centers.</w:t>
      </w:r>
    </w:p>
    <w:p w14:paraId="598688D0" w14:textId="2D5A3281" w:rsidR="008B17AB" w:rsidRPr="00936C93" w:rsidRDefault="001842FA" w:rsidP="00FB3A6A">
      <w:pPr>
        <w:pStyle w:val="ListParagraph"/>
        <w:numPr>
          <w:ilvl w:val="0"/>
          <w:numId w:val="6"/>
        </w:numPr>
        <w:spacing w:after="120"/>
        <w:contextualSpacing w:val="0"/>
        <w:rPr>
          <w:rFonts w:ascii="Garamond" w:hAnsi="Garamond"/>
        </w:rPr>
      </w:pPr>
      <w:r w:rsidRPr="00936C93">
        <w:rPr>
          <w:rFonts w:ascii="Garamond" w:hAnsi="Garamond"/>
        </w:rPr>
        <w:t xml:space="preserve">Health </w:t>
      </w:r>
      <w:r w:rsidR="008B17AB" w:rsidRPr="00936C93">
        <w:rPr>
          <w:rFonts w:ascii="Garamond" w:hAnsi="Garamond"/>
        </w:rPr>
        <w:t>Equity</w:t>
      </w:r>
    </w:p>
    <w:p w14:paraId="12DE827D" w14:textId="3E261E01" w:rsidR="006002B4" w:rsidRPr="00936C93" w:rsidRDefault="00A331D6" w:rsidP="00FB3A6A">
      <w:pPr>
        <w:spacing w:after="120"/>
        <w:ind w:firstLine="720"/>
        <w:rPr>
          <w:rFonts w:ascii="Garamond" w:hAnsi="Garamond"/>
        </w:rPr>
      </w:pPr>
      <w:r w:rsidRPr="00936C93">
        <w:rPr>
          <w:rFonts w:ascii="Garamond" w:hAnsi="Garamond"/>
        </w:rPr>
        <w:t xml:space="preserve">The cost and access issues raised in this comment must also be considered through a health </w:t>
      </w:r>
      <w:r w:rsidR="0076387B" w:rsidRPr="00936C93">
        <w:rPr>
          <w:rFonts w:ascii="Garamond" w:hAnsi="Garamond"/>
        </w:rPr>
        <w:t xml:space="preserve">equity lens.  As health care becomes increasingly unaffordable and safety net community providers lose staff and shutter services, these burdens are not felt equally across the Commonwealth.  The proposed MGB ambulatory sites </w:t>
      </w:r>
      <w:r w:rsidR="00CF67A5" w:rsidRPr="00936C93">
        <w:rPr>
          <w:rFonts w:ascii="Garamond" w:hAnsi="Garamond"/>
        </w:rPr>
        <w:t>are in</w:t>
      </w:r>
      <w:r w:rsidR="0076387B" w:rsidRPr="00936C93">
        <w:rPr>
          <w:rFonts w:ascii="Garamond" w:hAnsi="Garamond"/>
        </w:rPr>
        <w:t xml:space="preserve"> higher-income, predominantly white communities with access to private transportation.  As MGB </w:t>
      </w:r>
      <w:r w:rsidR="00CF67A5" w:rsidRPr="00936C93">
        <w:rPr>
          <w:rFonts w:ascii="Garamond" w:hAnsi="Garamond"/>
        </w:rPr>
        <w:t>noted in its response to DPH’s questions</w:t>
      </w:r>
      <w:r w:rsidR="0076387B" w:rsidRPr="00936C93">
        <w:rPr>
          <w:rFonts w:ascii="Garamond" w:hAnsi="Garamond"/>
        </w:rPr>
        <w:t>, MGB considered local payer mix</w:t>
      </w:r>
      <w:r w:rsidR="00F70BC1" w:rsidRPr="00936C93">
        <w:rPr>
          <w:rFonts w:ascii="Garamond" w:hAnsi="Garamond"/>
        </w:rPr>
        <w:t xml:space="preserve"> – meaning the percent of the local population covered by commercial health insurance – </w:t>
      </w:r>
      <w:r w:rsidR="0076387B" w:rsidRPr="00936C93">
        <w:rPr>
          <w:rFonts w:ascii="Garamond" w:hAnsi="Garamond"/>
        </w:rPr>
        <w:t>of the siting communities when selecting where to locate the new ambulatory centers.</w:t>
      </w:r>
      <w:r w:rsidR="00CF67A5" w:rsidRPr="00936C93">
        <w:rPr>
          <w:rStyle w:val="FootnoteReference"/>
          <w:rFonts w:ascii="Garamond" w:hAnsi="Garamond"/>
        </w:rPr>
        <w:footnoteReference w:id="11"/>
      </w:r>
      <w:r w:rsidR="0076387B" w:rsidRPr="00936C93">
        <w:rPr>
          <w:rFonts w:ascii="Garamond" w:hAnsi="Garamond"/>
        </w:rPr>
        <w:t xml:space="preserve">  This makes sense in terms of maximizing revenue and return on investment, </w:t>
      </w:r>
      <w:r w:rsidR="00F70BC1" w:rsidRPr="00936C93">
        <w:rPr>
          <w:rFonts w:ascii="Garamond" w:hAnsi="Garamond"/>
        </w:rPr>
        <w:t xml:space="preserve">as </w:t>
      </w:r>
      <w:r w:rsidR="00D1544C" w:rsidRPr="00936C93">
        <w:rPr>
          <w:rFonts w:ascii="Garamond" w:hAnsi="Garamond"/>
        </w:rPr>
        <w:t xml:space="preserve">commercial health insurers pay higher rates than public payers.  However, this strategy </w:t>
      </w:r>
      <w:r w:rsidR="0076387B" w:rsidRPr="00936C93">
        <w:rPr>
          <w:rFonts w:ascii="Garamond" w:hAnsi="Garamond"/>
        </w:rPr>
        <w:t xml:space="preserve">raises questions about access and equity for </w:t>
      </w:r>
      <w:r w:rsidR="00051E07" w:rsidRPr="00936C93">
        <w:rPr>
          <w:rFonts w:ascii="Garamond" w:hAnsi="Garamond"/>
        </w:rPr>
        <w:t xml:space="preserve">lower income </w:t>
      </w:r>
      <w:r w:rsidR="0076387B" w:rsidRPr="00936C93">
        <w:rPr>
          <w:rFonts w:ascii="Garamond" w:hAnsi="Garamond"/>
        </w:rPr>
        <w:t>communitie</w:t>
      </w:r>
      <w:r w:rsidR="00051E07" w:rsidRPr="00936C93">
        <w:rPr>
          <w:rFonts w:ascii="Garamond" w:hAnsi="Garamond"/>
        </w:rPr>
        <w:t>s with MassHealth coverage</w:t>
      </w:r>
      <w:r w:rsidRPr="00936C93">
        <w:rPr>
          <w:rFonts w:ascii="Garamond" w:hAnsi="Garamond"/>
        </w:rPr>
        <w:t>, especially because people of color disproportionately have MassHealth, rather than commercial insurance</w:t>
      </w:r>
      <w:r w:rsidR="0076387B" w:rsidRPr="00936C93">
        <w:rPr>
          <w:rFonts w:ascii="Garamond" w:hAnsi="Garamond"/>
        </w:rPr>
        <w:t xml:space="preserve">.  </w:t>
      </w:r>
      <w:r w:rsidR="00081C59" w:rsidRPr="00936C93">
        <w:rPr>
          <w:rFonts w:ascii="Garamond" w:hAnsi="Garamond"/>
        </w:rPr>
        <w:t xml:space="preserve">This </w:t>
      </w:r>
      <w:r w:rsidR="005269DC" w:rsidRPr="00936C93">
        <w:rPr>
          <w:rFonts w:ascii="Garamond" w:hAnsi="Garamond"/>
        </w:rPr>
        <w:t>expansion proposal is poised to increase</w:t>
      </w:r>
      <w:r w:rsidR="00081C59" w:rsidRPr="00936C93">
        <w:rPr>
          <w:rFonts w:ascii="Garamond" w:hAnsi="Garamond"/>
        </w:rPr>
        <w:t xml:space="preserve"> access for a population that already ha</w:t>
      </w:r>
      <w:r w:rsidR="005269DC" w:rsidRPr="00936C93">
        <w:rPr>
          <w:rFonts w:ascii="Garamond" w:hAnsi="Garamond"/>
        </w:rPr>
        <w:t>s</w:t>
      </w:r>
      <w:r w:rsidR="00081C59" w:rsidRPr="00936C93">
        <w:rPr>
          <w:rFonts w:ascii="Garamond" w:hAnsi="Garamond"/>
        </w:rPr>
        <w:t xml:space="preserve"> disproportionately high access to care. </w:t>
      </w:r>
      <w:r w:rsidR="005269DC" w:rsidRPr="00936C93">
        <w:rPr>
          <w:rFonts w:ascii="Garamond" w:hAnsi="Garamond"/>
        </w:rPr>
        <w:t xml:space="preserve"> And </w:t>
      </w:r>
      <w:r w:rsidR="00A33495" w:rsidRPr="00936C93">
        <w:rPr>
          <w:rFonts w:ascii="Garamond" w:hAnsi="Garamond"/>
        </w:rPr>
        <w:t>any resources</w:t>
      </w:r>
      <w:r w:rsidR="005269DC" w:rsidRPr="00936C93">
        <w:rPr>
          <w:rFonts w:ascii="Garamond" w:hAnsi="Garamond"/>
        </w:rPr>
        <w:t xml:space="preserve"> (</w:t>
      </w:r>
      <w:r w:rsidR="001077C8" w:rsidRPr="00936C93">
        <w:rPr>
          <w:rFonts w:ascii="Garamond" w:hAnsi="Garamond"/>
        </w:rPr>
        <w:t xml:space="preserve">such as </w:t>
      </w:r>
      <w:r w:rsidR="008B4C03" w:rsidRPr="00936C93">
        <w:rPr>
          <w:rFonts w:ascii="Garamond" w:hAnsi="Garamond"/>
        </w:rPr>
        <w:t xml:space="preserve">commercial patients, high margin services, </w:t>
      </w:r>
      <w:r w:rsidR="001077C8" w:rsidRPr="00936C93">
        <w:rPr>
          <w:rFonts w:ascii="Garamond" w:hAnsi="Garamond"/>
        </w:rPr>
        <w:t xml:space="preserve">or </w:t>
      </w:r>
      <w:r w:rsidR="00964839" w:rsidRPr="00936C93">
        <w:rPr>
          <w:rFonts w:ascii="Garamond" w:hAnsi="Garamond"/>
        </w:rPr>
        <w:t>staff)</w:t>
      </w:r>
      <w:r w:rsidR="005269DC" w:rsidRPr="00936C93">
        <w:rPr>
          <w:rFonts w:ascii="Garamond" w:hAnsi="Garamond"/>
        </w:rPr>
        <w:t xml:space="preserve"> </w:t>
      </w:r>
      <w:r w:rsidR="00A33495" w:rsidRPr="00936C93">
        <w:rPr>
          <w:rFonts w:ascii="Garamond" w:hAnsi="Garamond"/>
        </w:rPr>
        <w:t xml:space="preserve">that these new sites draw </w:t>
      </w:r>
      <w:r w:rsidR="005269DC" w:rsidRPr="00936C93">
        <w:rPr>
          <w:rFonts w:ascii="Garamond" w:hAnsi="Garamond"/>
        </w:rPr>
        <w:t>away from lower-cost health care systems</w:t>
      </w:r>
      <w:r w:rsidR="00A33495" w:rsidRPr="00936C93">
        <w:rPr>
          <w:rFonts w:ascii="Garamond" w:hAnsi="Garamond"/>
        </w:rPr>
        <w:t xml:space="preserve"> </w:t>
      </w:r>
      <w:r w:rsidR="00964839" w:rsidRPr="00936C93">
        <w:rPr>
          <w:rFonts w:ascii="Garamond" w:hAnsi="Garamond"/>
        </w:rPr>
        <w:t>will harm access</w:t>
      </w:r>
      <w:r w:rsidR="00081C59" w:rsidRPr="00936C93">
        <w:rPr>
          <w:rFonts w:ascii="Garamond" w:hAnsi="Garamond"/>
        </w:rPr>
        <w:t xml:space="preserve"> for low-income</w:t>
      </w:r>
      <w:r w:rsidR="00964839" w:rsidRPr="00936C93">
        <w:rPr>
          <w:rFonts w:ascii="Garamond" w:hAnsi="Garamond"/>
        </w:rPr>
        <w:t xml:space="preserve"> patients</w:t>
      </w:r>
      <w:r w:rsidR="00081C59" w:rsidRPr="00936C93">
        <w:rPr>
          <w:rFonts w:ascii="Garamond" w:hAnsi="Garamond"/>
        </w:rPr>
        <w:t xml:space="preserve"> and patients of color.</w:t>
      </w:r>
    </w:p>
    <w:p w14:paraId="304686C7" w14:textId="38F42138" w:rsidR="00D34F52" w:rsidRPr="00936C93" w:rsidRDefault="0076387B" w:rsidP="00F329AA">
      <w:pPr>
        <w:spacing w:after="120"/>
        <w:ind w:firstLine="720"/>
        <w:rPr>
          <w:rFonts w:ascii="Garamond" w:hAnsi="Garamond"/>
        </w:rPr>
      </w:pPr>
      <w:r w:rsidRPr="00936C93">
        <w:rPr>
          <w:rFonts w:ascii="Garamond" w:hAnsi="Garamond"/>
        </w:rPr>
        <w:t>In our 2020 report entitled “Building Toward Racial Justice and Equity in Health: A Call to Action,” the AGO highlighted the health disparities facing communities of color and connected those longstanding inequities to the disparate effects of COVID-19 and the urgency of the nationwide racial justice movement.</w:t>
      </w:r>
      <w:r w:rsidR="002E1C67" w:rsidRPr="00936C93">
        <w:rPr>
          <w:rStyle w:val="FootnoteReference"/>
          <w:rFonts w:ascii="Garamond" w:hAnsi="Garamond"/>
        </w:rPr>
        <w:footnoteReference w:id="12"/>
      </w:r>
      <w:r w:rsidRPr="00936C93">
        <w:rPr>
          <w:rFonts w:ascii="Garamond" w:hAnsi="Garamond"/>
        </w:rPr>
        <w:t xml:space="preserve">  </w:t>
      </w:r>
      <w:r w:rsidR="00CC583B" w:rsidRPr="00936C93">
        <w:rPr>
          <w:rFonts w:ascii="Garamond" w:hAnsi="Garamond"/>
        </w:rPr>
        <w:t xml:space="preserve">Consistent with this call, we urge consideration of </w:t>
      </w:r>
      <w:r w:rsidR="005062EE" w:rsidRPr="00936C93">
        <w:rPr>
          <w:rFonts w:ascii="Garamond" w:hAnsi="Garamond"/>
        </w:rPr>
        <w:t>the equity impacts of</w:t>
      </w:r>
      <w:r w:rsidR="00A21D6E" w:rsidRPr="00936C93">
        <w:rPr>
          <w:rFonts w:ascii="Garamond" w:hAnsi="Garamond"/>
        </w:rPr>
        <w:t xml:space="preserve"> proposed</w:t>
      </w:r>
      <w:r w:rsidR="005062EE" w:rsidRPr="00936C93">
        <w:rPr>
          <w:rFonts w:ascii="Garamond" w:hAnsi="Garamond"/>
        </w:rPr>
        <w:t xml:space="preserve"> changes to the health care delivery system.</w:t>
      </w:r>
    </w:p>
    <w:p w14:paraId="26B49A22" w14:textId="677E875E" w:rsidR="00BD0C57" w:rsidRDefault="00E24DA3" w:rsidP="0051075C">
      <w:pPr>
        <w:ind w:firstLine="720"/>
        <w:rPr>
          <w:rFonts w:ascii="Garamond" w:hAnsi="Garamond"/>
        </w:rPr>
      </w:pPr>
      <w:r w:rsidRPr="00936C93">
        <w:rPr>
          <w:rFonts w:ascii="Garamond" w:hAnsi="Garamond"/>
        </w:rPr>
        <w:t>Thank you for your consideration of these comments.</w:t>
      </w:r>
    </w:p>
    <w:p w14:paraId="0FD034D0" w14:textId="77777777" w:rsidR="0068378B" w:rsidRDefault="00D24595" w:rsidP="0068378B">
      <w:pPr>
        <w:rPr>
          <w:rFonts w:ascii="Garamond" w:hAnsi="Garamond"/>
        </w:rPr>
      </w:pPr>
      <w:r w:rsidRPr="00936C93">
        <w:rPr>
          <w:rFonts w:ascii="Garamond" w:hAnsi="Garamond"/>
        </w:rPr>
        <w:t>OFFICE OF ATTORNEY GENERAL</w:t>
      </w:r>
    </w:p>
    <w:p w14:paraId="460460F0" w14:textId="3FE3F4CB" w:rsidR="0068378B" w:rsidRDefault="00D24595" w:rsidP="0068378B">
      <w:pPr>
        <w:rPr>
          <w:rFonts w:ascii="Garamond" w:hAnsi="Garamond"/>
        </w:rPr>
      </w:pPr>
      <w:r w:rsidRPr="00936C93">
        <w:rPr>
          <w:rFonts w:ascii="Garamond" w:hAnsi="Garamond"/>
        </w:rPr>
        <w:t>MAURA HEALEY</w:t>
      </w:r>
    </w:p>
    <w:p w14:paraId="542D99F5" w14:textId="4658AFE0" w:rsidR="0068378B" w:rsidRPr="00936C93" w:rsidRDefault="003310E3" w:rsidP="0068378B">
      <w:pPr>
        <w:rPr>
          <w:rFonts w:ascii="Garamond" w:hAnsi="Garamond"/>
        </w:rPr>
      </w:pPr>
      <w:r>
        <w:rPr>
          <w:rFonts w:ascii="Garamond" w:hAnsi="Garamond"/>
        </w:rPr>
        <w:t>/s/ Eric Gold</w:t>
      </w:r>
    </w:p>
    <w:p w14:paraId="65590B70" w14:textId="77777777" w:rsidR="0068378B" w:rsidRDefault="00D24595" w:rsidP="0068378B">
      <w:pPr>
        <w:rPr>
          <w:rFonts w:ascii="Garamond" w:hAnsi="Garamond"/>
        </w:rPr>
      </w:pPr>
      <w:r w:rsidRPr="00936C93">
        <w:rPr>
          <w:rFonts w:ascii="Garamond" w:hAnsi="Garamond"/>
        </w:rPr>
        <w:t>Eric Gold</w:t>
      </w:r>
    </w:p>
    <w:p w14:paraId="16503011" w14:textId="1ACDD45F" w:rsidR="00264844" w:rsidRPr="00936C93" w:rsidRDefault="00D24595" w:rsidP="0068378B">
      <w:pPr>
        <w:rPr>
          <w:rFonts w:ascii="Garamond" w:hAnsi="Garamond"/>
        </w:rPr>
      </w:pPr>
      <w:r w:rsidRPr="00936C93">
        <w:rPr>
          <w:rFonts w:ascii="Garamond" w:hAnsi="Garamond"/>
        </w:rPr>
        <w:t>Division Chief, Health Care Division</w:t>
      </w:r>
    </w:p>
    <w:sectPr w:rsidR="00264844" w:rsidRPr="00936C93" w:rsidSect="00504B14">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3D7A" w14:textId="77777777" w:rsidR="00A0343A" w:rsidRDefault="00A0343A" w:rsidP="008B17AB">
      <w:r>
        <w:separator/>
      </w:r>
    </w:p>
  </w:endnote>
  <w:endnote w:type="continuationSeparator" w:id="0">
    <w:p w14:paraId="338D8BBE" w14:textId="77777777" w:rsidR="00A0343A" w:rsidRDefault="00A0343A" w:rsidP="008B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72022324"/>
      <w:docPartObj>
        <w:docPartGallery w:val="Page Numbers (Bottom of Page)"/>
        <w:docPartUnique/>
      </w:docPartObj>
    </w:sdtPr>
    <w:sdtEndPr>
      <w:rPr>
        <w:noProof/>
      </w:rPr>
    </w:sdtEndPr>
    <w:sdtContent>
      <w:p w14:paraId="0260E7C5" w14:textId="7861D54E" w:rsidR="001155B1" w:rsidRPr="001155B1" w:rsidRDefault="001155B1">
        <w:pPr>
          <w:pStyle w:val="Footer"/>
          <w:jc w:val="center"/>
          <w:rPr>
            <w:rFonts w:ascii="Garamond" w:hAnsi="Garamond"/>
          </w:rPr>
        </w:pPr>
        <w:r w:rsidRPr="001155B1">
          <w:rPr>
            <w:rFonts w:ascii="Garamond" w:hAnsi="Garamond"/>
          </w:rPr>
          <w:fldChar w:fldCharType="begin"/>
        </w:r>
        <w:r w:rsidRPr="001155B1">
          <w:rPr>
            <w:rFonts w:ascii="Garamond" w:hAnsi="Garamond"/>
          </w:rPr>
          <w:instrText xml:space="preserve"> PAGE   \* MERGEFORMAT </w:instrText>
        </w:r>
        <w:r w:rsidRPr="001155B1">
          <w:rPr>
            <w:rFonts w:ascii="Garamond" w:hAnsi="Garamond"/>
          </w:rPr>
          <w:fldChar w:fldCharType="separate"/>
        </w:r>
        <w:r w:rsidR="008A260A">
          <w:rPr>
            <w:rFonts w:ascii="Garamond" w:hAnsi="Garamond"/>
            <w:noProof/>
          </w:rPr>
          <w:t>4</w:t>
        </w:r>
        <w:r w:rsidRPr="001155B1">
          <w:rPr>
            <w:rFonts w:ascii="Garamond" w:hAnsi="Garamond"/>
            <w:noProof/>
          </w:rPr>
          <w:fldChar w:fldCharType="end"/>
        </w:r>
      </w:p>
    </w:sdtContent>
  </w:sdt>
  <w:p w14:paraId="12A1EB7A" w14:textId="77777777" w:rsidR="008B17AB" w:rsidRDefault="008B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774E" w14:textId="77777777" w:rsidR="00A0343A" w:rsidRDefault="00A0343A" w:rsidP="008B17AB">
      <w:r>
        <w:separator/>
      </w:r>
    </w:p>
  </w:footnote>
  <w:footnote w:type="continuationSeparator" w:id="0">
    <w:p w14:paraId="38312105" w14:textId="77777777" w:rsidR="00A0343A" w:rsidRDefault="00A0343A" w:rsidP="008B17AB">
      <w:r>
        <w:continuationSeparator/>
      </w:r>
    </w:p>
  </w:footnote>
  <w:footnote w:id="1">
    <w:p w14:paraId="30B4953B" w14:textId="12E7A586" w:rsidR="00D645A3" w:rsidRPr="00936C93" w:rsidRDefault="00D645A3" w:rsidP="00D645A3">
      <w:pPr>
        <w:pStyle w:val="FootnoteText"/>
        <w:rPr>
          <w:rFonts w:ascii="Garamond" w:hAnsi="Garamond"/>
        </w:rPr>
      </w:pPr>
      <w:r w:rsidRPr="00BD0C57">
        <w:rPr>
          <w:rStyle w:val="FootnoteReference"/>
          <w:rFonts w:ascii="Garamond" w:hAnsi="Garamond"/>
        </w:rPr>
        <w:footnoteRef/>
      </w:r>
      <w:r w:rsidRPr="00BD0C57">
        <w:rPr>
          <w:rFonts w:ascii="Garamond" w:hAnsi="Garamond"/>
        </w:rPr>
        <w:t xml:space="preserve"> Reports on Health Care Cost Trends and Cost Drivers</w:t>
      </w:r>
      <w:r w:rsidR="00F25C29">
        <w:rPr>
          <w:rFonts w:ascii="Garamond" w:hAnsi="Garamond"/>
        </w:rPr>
        <w:t>, MA Attorney General’s Office</w:t>
      </w:r>
      <w:r w:rsidR="00E12DC3">
        <w:rPr>
          <w:rFonts w:ascii="Garamond" w:hAnsi="Garamond"/>
        </w:rPr>
        <w:t>,</w:t>
      </w:r>
      <w:r w:rsidR="00BC3E35" w:rsidRPr="00BD0C57">
        <w:rPr>
          <w:rFonts w:ascii="Garamond" w:hAnsi="Garamond"/>
        </w:rPr>
        <w:t xml:space="preserve"> </w:t>
      </w:r>
      <w:r w:rsidR="00BC3E35" w:rsidRPr="0051075C">
        <w:rPr>
          <w:rFonts w:ascii="Garamond" w:hAnsi="Garamond"/>
          <w:i/>
          <w:iCs/>
        </w:rPr>
        <w:t xml:space="preserve">available </w:t>
      </w:r>
      <w:hyperlink r:id="rId1" w:history="1">
        <w:r w:rsidR="00BB0950">
          <w:rPr>
            <w:rStyle w:val="Hyperlink"/>
            <w:rFonts w:ascii="Garamond" w:hAnsi="Garamond"/>
          </w:rPr>
          <w:t>at https://www.mass.gov/lists/reports-on-health-care-cost-trends-and-cost-drivers</w:t>
        </w:r>
      </w:hyperlink>
      <w:r w:rsidR="003D0684">
        <w:rPr>
          <w:rFonts w:ascii="Garamond" w:hAnsi="Garamond"/>
        </w:rPr>
        <w:t>.</w:t>
      </w:r>
    </w:p>
  </w:footnote>
  <w:footnote w:id="2">
    <w:p w14:paraId="49871326" w14:textId="77777777" w:rsidR="002D72F4" w:rsidRPr="0051075C" w:rsidRDefault="002D72F4" w:rsidP="002D72F4">
      <w:pPr>
        <w:pStyle w:val="FootnoteText"/>
        <w:rPr>
          <w:rFonts w:ascii="Garamond" w:hAnsi="Garamond"/>
        </w:rPr>
      </w:pPr>
      <w:r w:rsidRPr="0051075C">
        <w:rPr>
          <w:rStyle w:val="FootnoteReference"/>
          <w:rFonts w:ascii="Garamond" w:hAnsi="Garamond"/>
        </w:rPr>
        <w:footnoteRef/>
      </w:r>
      <w:r w:rsidRPr="0051075C">
        <w:rPr>
          <w:rFonts w:ascii="Garamond" w:hAnsi="Garamond"/>
        </w:rPr>
        <w:t xml:space="preserve"> While we submit this comment in connection with the ambulatory site expansion proposal, it relates to the combination of all three proposals currently before DPH.</w:t>
      </w:r>
    </w:p>
  </w:footnote>
  <w:footnote w:id="3">
    <w:p w14:paraId="19E1E861" w14:textId="3A8B36BA" w:rsidR="004B1EB1" w:rsidRDefault="004B1EB1">
      <w:pPr>
        <w:pStyle w:val="FootnoteText"/>
      </w:pPr>
      <w:r>
        <w:rPr>
          <w:rStyle w:val="FootnoteReference"/>
        </w:rPr>
        <w:footnoteRef/>
      </w:r>
      <w:r>
        <w:t xml:space="preserve"> </w:t>
      </w:r>
      <w:r w:rsidR="00185065">
        <w:rPr>
          <w:rFonts w:ascii="Garamond" w:hAnsi="Garamond"/>
        </w:rPr>
        <w:t xml:space="preserve">MA Attorney General’s Office, </w:t>
      </w:r>
      <w:r w:rsidR="00231FF8">
        <w:rPr>
          <w:rFonts w:ascii="Garamond" w:hAnsi="Garamond"/>
        </w:rPr>
        <w:t>Examination of Health Care Cost Trends and Cost Drivers (November 17, 2021)</w:t>
      </w:r>
      <w:r w:rsidR="00D32E9E">
        <w:rPr>
          <w:rFonts w:ascii="Garamond" w:hAnsi="Garamond"/>
        </w:rPr>
        <w:t>,</w:t>
      </w:r>
      <w:r w:rsidR="00231FF8">
        <w:rPr>
          <w:rFonts w:ascii="Garamond" w:hAnsi="Garamond"/>
        </w:rPr>
        <w:t xml:space="preserve"> </w:t>
      </w:r>
      <w:r w:rsidR="00231FF8" w:rsidRPr="00B76A9E">
        <w:rPr>
          <w:rFonts w:ascii="Garamond" w:hAnsi="Garamond"/>
          <w:i/>
          <w:iCs/>
        </w:rPr>
        <w:t xml:space="preserve">available </w:t>
      </w:r>
      <w:hyperlink r:id="rId2" w:history="1">
        <w:r w:rsidR="008F60FA">
          <w:rPr>
            <w:rStyle w:val="Hyperlink"/>
            <w:rFonts w:ascii="Garamond" w:hAnsi="Garamond"/>
          </w:rPr>
          <w:t>at https://www.mass.gov/doc/2021-examination-of-health-care-cost-trends-and-cost-drivers/download</w:t>
        </w:r>
      </w:hyperlink>
      <w:r w:rsidR="00231FF8">
        <w:rPr>
          <w:rFonts w:ascii="Garamond" w:hAnsi="Garamond"/>
        </w:rPr>
        <w:t>.</w:t>
      </w:r>
    </w:p>
  </w:footnote>
  <w:footnote w:id="4">
    <w:p w14:paraId="36AB3BB7" w14:textId="7E51C145" w:rsidR="008A249D" w:rsidRPr="00936C93" w:rsidRDefault="008A249D">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w:t>
      </w:r>
      <w:r w:rsidRPr="00936C93">
        <w:rPr>
          <w:rFonts w:ascii="Garamond" w:hAnsi="Garamond"/>
          <w:i/>
          <w:iCs/>
        </w:rPr>
        <w:t>See</w:t>
      </w:r>
      <w:r w:rsidR="00B76A9E" w:rsidRPr="00936C93">
        <w:rPr>
          <w:rFonts w:ascii="Garamond" w:hAnsi="Garamond"/>
        </w:rPr>
        <w:t xml:space="preserve"> </w:t>
      </w:r>
      <w:r w:rsidR="00185065" w:rsidRPr="00936C93">
        <w:rPr>
          <w:rFonts w:ascii="Garamond" w:hAnsi="Garamond"/>
        </w:rPr>
        <w:t>MA Attorney General’s Office</w:t>
      </w:r>
      <w:r w:rsidR="00185065">
        <w:rPr>
          <w:rFonts w:ascii="Garamond" w:hAnsi="Garamond"/>
        </w:rPr>
        <w:t xml:space="preserve">, </w:t>
      </w:r>
      <w:r w:rsidR="00B76A9E" w:rsidRPr="00936C93">
        <w:rPr>
          <w:rFonts w:ascii="Garamond" w:hAnsi="Garamond"/>
        </w:rPr>
        <w:t>Examination of Health Care Cost Trends and Cost Drivers (October 13, 2016)</w:t>
      </w:r>
      <w:r w:rsidR="00D32E9E">
        <w:rPr>
          <w:rFonts w:ascii="Garamond" w:hAnsi="Garamond"/>
        </w:rPr>
        <w:t>,</w:t>
      </w:r>
      <w:r w:rsidR="00B76A9E" w:rsidRPr="00936C93">
        <w:rPr>
          <w:rFonts w:ascii="Garamond" w:hAnsi="Garamond"/>
        </w:rPr>
        <w:t xml:space="preserve"> </w:t>
      </w:r>
      <w:r w:rsidR="00B76A9E" w:rsidRPr="00936C93">
        <w:rPr>
          <w:rFonts w:ascii="Garamond" w:hAnsi="Garamond"/>
          <w:i/>
          <w:iCs/>
        </w:rPr>
        <w:t xml:space="preserve">available </w:t>
      </w:r>
      <w:hyperlink r:id="rId3" w:history="1">
        <w:r w:rsidR="009016DD">
          <w:rPr>
            <w:rStyle w:val="Hyperlink"/>
            <w:rFonts w:ascii="Garamond" w:hAnsi="Garamond"/>
          </w:rPr>
          <w:t>at https://www.mass.gov/doc/2016-examination-of-market-health-care-cost-trends-and-cost-drivers/download</w:t>
        </w:r>
      </w:hyperlink>
      <w:r w:rsidR="006E4CD8" w:rsidRPr="00936C93">
        <w:rPr>
          <w:rFonts w:ascii="Garamond" w:hAnsi="Garamond"/>
        </w:rPr>
        <w:t xml:space="preserve"> (finding that health insurance premiums socialize </w:t>
      </w:r>
      <w:r w:rsidR="009F004E" w:rsidRPr="00936C93">
        <w:rPr>
          <w:rFonts w:ascii="Garamond" w:hAnsi="Garamond"/>
        </w:rPr>
        <w:t xml:space="preserve">across a shared risk pool </w:t>
      </w:r>
      <w:r w:rsidR="006E4CD8" w:rsidRPr="00936C93">
        <w:rPr>
          <w:rFonts w:ascii="Garamond" w:hAnsi="Garamond"/>
        </w:rPr>
        <w:t>not only the risk of getting sick but also the higher costs of some members’ use of high-priced provider</w:t>
      </w:r>
      <w:r w:rsidR="009F004E" w:rsidRPr="00936C93">
        <w:rPr>
          <w:rFonts w:ascii="Garamond" w:hAnsi="Garamond"/>
        </w:rPr>
        <w:t>s).</w:t>
      </w:r>
    </w:p>
  </w:footnote>
  <w:footnote w:id="5">
    <w:p w14:paraId="0ABAF4DF" w14:textId="00A958CC" w:rsidR="00805C6F" w:rsidRPr="00936C93" w:rsidRDefault="00805C6F">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Hospitals associated with these systems serve significantly higher percentages of MassHealth patients than MGB hospitals.  According to FY2019 data from the Center for Health Information and Analysis, MGB hospitals </w:t>
      </w:r>
      <w:r w:rsidR="00B84A95" w:rsidRPr="00936C93">
        <w:rPr>
          <w:rFonts w:ascii="Garamond" w:hAnsi="Garamond"/>
        </w:rPr>
        <w:t xml:space="preserve">had a </w:t>
      </w:r>
      <w:r w:rsidR="00466146">
        <w:rPr>
          <w:rFonts w:ascii="Garamond" w:hAnsi="Garamond"/>
        </w:rPr>
        <w:t xml:space="preserve">weighted average </w:t>
      </w:r>
      <w:r w:rsidR="00E126B2">
        <w:rPr>
          <w:rFonts w:ascii="Garamond" w:hAnsi="Garamond"/>
        </w:rPr>
        <w:t xml:space="preserve">inpatient and outpatient </w:t>
      </w:r>
      <w:r w:rsidR="00B84A95" w:rsidRPr="00936C93">
        <w:rPr>
          <w:rFonts w:ascii="Garamond" w:hAnsi="Garamond"/>
        </w:rPr>
        <w:t xml:space="preserve">MassHealth payer mix of </w:t>
      </w:r>
      <w:r w:rsidR="00E250F8" w:rsidRPr="00936C93">
        <w:rPr>
          <w:rFonts w:ascii="Garamond" w:hAnsi="Garamond"/>
        </w:rPr>
        <w:t>13</w:t>
      </w:r>
      <w:r w:rsidR="00B84A95" w:rsidRPr="00936C93">
        <w:rPr>
          <w:rFonts w:ascii="Garamond" w:hAnsi="Garamond"/>
        </w:rPr>
        <w:t>%</w:t>
      </w:r>
      <w:r w:rsidR="00B21417" w:rsidRPr="00936C93">
        <w:rPr>
          <w:rFonts w:ascii="Garamond" w:hAnsi="Garamond"/>
        </w:rPr>
        <w:t xml:space="preserve">.  The corresponding percentage for UMass Memorial hospitals </w:t>
      </w:r>
      <w:r w:rsidR="00900027" w:rsidRPr="00936C93">
        <w:rPr>
          <w:rFonts w:ascii="Garamond" w:hAnsi="Garamond"/>
        </w:rPr>
        <w:t>is</w:t>
      </w:r>
      <w:r w:rsidR="00B21417" w:rsidRPr="00936C93">
        <w:rPr>
          <w:rFonts w:ascii="Garamond" w:hAnsi="Garamond"/>
        </w:rPr>
        <w:t xml:space="preserve"> </w:t>
      </w:r>
      <w:r w:rsidR="00E0323E" w:rsidRPr="00936C93">
        <w:rPr>
          <w:rFonts w:ascii="Garamond" w:hAnsi="Garamond"/>
        </w:rPr>
        <w:t>24</w:t>
      </w:r>
      <w:r w:rsidR="00B21417" w:rsidRPr="00936C93">
        <w:rPr>
          <w:rFonts w:ascii="Garamond" w:hAnsi="Garamond"/>
        </w:rPr>
        <w:t xml:space="preserve">%, Steward </w:t>
      </w:r>
      <w:r w:rsidR="00E0323E" w:rsidRPr="00936C93">
        <w:rPr>
          <w:rFonts w:ascii="Garamond" w:hAnsi="Garamond"/>
        </w:rPr>
        <w:t>22</w:t>
      </w:r>
      <w:r w:rsidR="00B21417" w:rsidRPr="00936C93">
        <w:rPr>
          <w:rFonts w:ascii="Garamond" w:hAnsi="Garamond"/>
        </w:rPr>
        <w:t xml:space="preserve">%, Wellforce </w:t>
      </w:r>
      <w:r w:rsidR="00E0323E" w:rsidRPr="00936C93">
        <w:rPr>
          <w:rFonts w:ascii="Garamond" w:hAnsi="Garamond"/>
        </w:rPr>
        <w:t>24</w:t>
      </w:r>
      <w:r w:rsidR="00CE1992" w:rsidRPr="00936C93">
        <w:rPr>
          <w:rFonts w:ascii="Garamond" w:hAnsi="Garamond"/>
        </w:rPr>
        <w:t xml:space="preserve">%, Boston Medical Center </w:t>
      </w:r>
      <w:r w:rsidR="00160FE1" w:rsidRPr="00936C93">
        <w:rPr>
          <w:rFonts w:ascii="Garamond" w:hAnsi="Garamond"/>
        </w:rPr>
        <w:t>52</w:t>
      </w:r>
      <w:r w:rsidR="00CE1992" w:rsidRPr="00936C93">
        <w:rPr>
          <w:rFonts w:ascii="Garamond" w:hAnsi="Garamond"/>
        </w:rPr>
        <w:t>%.</w:t>
      </w:r>
      <w:r w:rsidR="00B84A95" w:rsidRPr="00936C93">
        <w:rPr>
          <w:rFonts w:ascii="Garamond" w:hAnsi="Garamond"/>
        </w:rPr>
        <w:t xml:space="preserve"> </w:t>
      </w:r>
      <w:r w:rsidR="007F0F81">
        <w:rPr>
          <w:rFonts w:ascii="Garamond" w:hAnsi="Garamond"/>
        </w:rPr>
        <w:t xml:space="preserve"> </w:t>
      </w:r>
    </w:p>
  </w:footnote>
  <w:footnote w:id="6">
    <w:p w14:paraId="7BC9CF15" w14:textId="0C18147B" w:rsidR="00D23764" w:rsidRPr="00936C93" w:rsidRDefault="00D23764">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According to pre-filed testimony submitted by MGB in connection with the 2019 </w:t>
      </w:r>
      <w:r w:rsidR="00CC1C5E">
        <w:rPr>
          <w:rFonts w:ascii="Garamond" w:hAnsi="Garamond"/>
        </w:rPr>
        <w:t xml:space="preserve">Health Care </w:t>
      </w:r>
      <w:r w:rsidRPr="00936C93">
        <w:rPr>
          <w:rFonts w:ascii="Garamond" w:hAnsi="Garamond"/>
        </w:rPr>
        <w:t xml:space="preserve">Cost Trends Hearing, ambulatory surgery and high-tech imaging accounted for </w:t>
      </w:r>
      <w:r w:rsidR="00AE547A" w:rsidRPr="00936C93">
        <w:rPr>
          <w:rFonts w:ascii="Garamond" w:hAnsi="Garamond"/>
        </w:rPr>
        <w:t xml:space="preserve">almost 20% of the </w:t>
      </w:r>
      <w:r w:rsidR="00213DD2" w:rsidRPr="00936C93">
        <w:rPr>
          <w:rFonts w:ascii="Garamond" w:hAnsi="Garamond"/>
        </w:rPr>
        <w:t xml:space="preserve">total </w:t>
      </w:r>
      <w:r w:rsidR="00AE547A" w:rsidRPr="00936C93">
        <w:rPr>
          <w:rFonts w:ascii="Garamond" w:hAnsi="Garamond"/>
        </w:rPr>
        <w:t xml:space="preserve">commercial margin </w:t>
      </w:r>
      <w:r w:rsidR="00213DD2" w:rsidRPr="00936C93">
        <w:rPr>
          <w:rFonts w:ascii="Garamond" w:hAnsi="Garamond"/>
        </w:rPr>
        <w:t>for</w:t>
      </w:r>
      <w:r w:rsidR="00AE547A" w:rsidRPr="00936C93">
        <w:rPr>
          <w:rFonts w:ascii="Garamond" w:hAnsi="Garamond"/>
        </w:rPr>
        <w:t xml:space="preserve"> Massachusetts General Hospital and Brigham and Women’s Hospital.  </w:t>
      </w:r>
      <w:r w:rsidR="00FE45E7">
        <w:rPr>
          <w:rFonts w:ascii="Garamond" w:hAnsi="Garamond"/>
        </w:rPr>
        <w:t xml:space="preserve">2019 </w:t>
      </w:r>
      <w:r w:rsidR="00FD331E">
        <w:rPr>
          <w:rFonts w:ascii="Garamond" w:hAnsi="Garamond"/>
        </w:rPr>
        <w:t xml:space="preserve">Pre-Filed Testimony, Partners HealthCare System, Inc., </w:t>
      </w:r>
      <w:r w:rsidR="00716352">
        <w:rPr>
          <w:rFonts w:ascii="Garamond" w:hAnsi="Garamond"/>
        </w:rPr>
        <w:t xml:space="preserve">AGO Provide Exhibit 2, </w:t>
      </w:r>
      <w:r w:rsidR="005A2CDE">
        <w:rPr>
          <w:rFonts w:ascii="Garamond" w:hAnsi="Garamond"/>
          <w:i/>
          <w:iCs/>
        </w:rPr>
        <w:t xml:space="preserve">available </w:t>
      </w:r>
      <w:hyperlink r:id="rId4" w:history="1">
        <w:r w:rsidR="005A2CDE">
          <w:rPr>
            <w:rStyle w:val="Hyperlink"/>
            <w:rFonts w:ascii="Garamond" w:hAnsi="Garamond"/>
          </w:rPr>
          <w:t>at https://www.mass.gov/doc/partners-healthcare-system-2019-pre-filed-testimony-ago-provider-exhibit-2/download</w:t>
        </w:r>
      </w:hyperlink>
      <w:r w:rsidR="00E126B2">
        <w:rPr>
          <w:rFonts w:ascii="Garamond" w:hAnsi="Garamond"/>
        </w:rPr>
        <w:t>.</w:t>
      </w:r>
    </w:p>
  </w:footnote>
  <w:footnote w:id="7">
    <w:p w14:paraId="43376BE6" w14:textId="5EB467EC" w:rsidR="004C7130" w:rsidRPr="0051075C" w:rsidRDefault="004C7130">
      <w:pPr>
        <w:pStyle w:val="FootnoteText"/>
        <w:rPr>
          <w:rFonts w:ascii="Garamond" w:hAnsi="Garamond"/>
        </w:rPr>
      </w:pPr>
      <w:r w:rsidRPr="0051075C">
        <w:rPr>
          <w:rStyle w:val="FootnoteReference"/>
          <w:rFonts w:ascii="Garamond" w:hAnsi="Garamond"/>
        </w:rPr>
        <w:footnoteRef/>
      </w:r>
      <w:r w:rsidRPr="0051075C">
        <w:rPr>
          <w:rFonts w:ascii="Garamond" w:hAnsi="Garamond"/>
        </w:rPr>
        <w:t xml:space="preserve"> </w:t>
      </w:r>
      <w:r w:rsidRPr="00936C93">
        <w:rPr>
          <w:rFonts w:ascii="Garamond" w:hAnsi="Garamond"/>
        </w:rPr>
        <w:t xml:space="preserve">Carey Goldberg and Jonathan Levi, </w:t>
      </w:r>
      <w:r w:rsidRPr="0051075C">
        <w:rPr>
          <w:rFonts w:ascii="Garamond" w:hAnsi="Garamond"/>
          <w:i/>
          <w:iCs/>
        </w:rPr>
        <w:t>Vaccine mandates hit amid historic health care staff shortage</w:t>
      </w:r>
      <w:r w:rsidRPr="00936C93">
        <w:rPr>
          <w:rFonts w:ascii="Garamond" w:hAnsi="Garamond"/>
        </w:rPr>
        <w:t xml:space="preserve">, </w:t>
      </w:r>
      <w:r w:rsidRPr="00936C93">
        <w:rPr>
          <w:rFonts w:ascii="Garamond" w:hAnsi="Garamond"/>
          <w:smallCaps/>
        </w:rPr>
        <w:t>The Boston Globe</w:t>
      </w:r>
      <w:r w:rsidRPr="00936C93">
        <w:rPr>
          <w:rFonts w:ascii="Garamond" w:hAnsi="Garamond"/>
        </w:rPr>
        <w:t xml:space="preserve"> (</w:t>
      </w:r>
      <w:r w:rsidR="00A331D6" w:rsidRPr="00936C93">
        <w:rPr>
          <w:rFonts w:ascii="Garamond" w:hAnsi="Garamond"/>
        </w:rPr>
        <w:t>Oct. 2, 2021)</w:t>
      </w:r>
      <w:r w:rsidR="00806F03">
        <w:rPr>
          <w:rFonts w:ascii="Garamond" w:hAnsi="Garamond"/>
        </w:rPr>
        <w:t xml:space="preserve">, </w:t>
      </w:r>
      <w:r w:rsidR="00C975A5">
        <w:rPr>
          <w:rFonts w:ascii="Garamond" w:hAnsi="Garamond"/>
          <w:i/>
          <w:iCs/>
        </w:rPr>
        <w:t xml:space="preserve">available </w:t>
      </w:r>
      <w:hyperlink r:id="rId5" w:history="1">
        <w:r w:rsidR="00C975A5">
          <w:rPr>
            <w:rStyle w:val="Hyperlink"/>
            <w:rFonts w:ascii="Garamond" w:hAnsi="Garamond"/>
          </w:rPr>
          <w:t>at https://www.bostonglobe.com/2021/10/02/business/vaccine-mandates-hit-amid-historic-health-care-staff-shortage</w:t>
        </w:r>
      </w:hyperlink>
      <w:r w:rsidR="00A331D6" w:rsidRPr="00936C93">
        <w:rPr>
          <w:rFonts w:ascii="Garamond" w:hAnsi="Garamond"/>
        </w:rPr>
        <w:t>.</w:t>
      </w:r>
    </w:p>
  </w:footnote>
  <w:footnote w:id="8">
    <w:p w14:paraId="25357E1F" w14:textId="187FE032" w:rsidR="006538ED" w:rsidRPr="00936C93" w:rsidRDefault="006538ED">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w:t>
      </w:r>
      <w:r w:rsidR="00D77DC1" w:rsidRPr="00936C93">
        <w:rPr>
          <w:rFonts w:ascii="Garamond" w:hAnsi="Garamond"/>
          <w:i/>
          <w:iCs/>
        </w:rPr>
        <w:t>See, e.g.,</w:t>
      </w:r>
      <w:r w:rsidR="00CC6B33" w:rsidRPr="00936C93">
        <w:rPr>
          <w:rFonts w:ascii="Garamond" w:hAnsi="Garamond"/>
        </w:rPr>
        <w:t xml:space="preserve"> US Healthcare Labor Market</w:t>
      </w:r>
      <w:r w:rsidR="00900027" w:rsidRPr="00936C93">
        <w:rPr>
          <w:rFonts w:ascii="Garamond" w:hAnsi="Garamond"/>
        </w:rPr>
        <w:t>, Mercer (2021)</w:t>
      </w:r>
      <w:r w:rsidR="00FA57B0" w:rsidRPr="00936C93">
        <w:rPr>
          <w:rFonts w:ascii="Garamond" w:hAnsi="Garamond"/>
        </w:rPr>
        <w:t xml:space="preserve">, </w:t>
      </w:r>
      <w:r w:rsidR="00074F39">
        <w:rPr>
          <w:rFonts w:ascii="Garamond" w:hAnsi="Garamond"/>
          <w:i/>
          <w:iCs/>
        </w:rPr>
        <w:t>available</w:t>
      </w:r>
      <w:r w:rsidRPr="00936C93">
        <w:rPr>
          <w:rFonts w:ascii="Garamond" w:hAnsi="Garamond"/>
        </w:rPr>
        <w:t xml:space="preserve"> </w:t>
      </w:r>
      <w:hyperlink r:id="rId6" w:history="1">
        <w:r w:rsidR="00074F39">
          <w:rPr>
            <w:rStyle w:val="Hyperlink"/>
            <w:rFonts w:ascii="Garamond" w:hAnsi="Garamond"/>
          </w:rPr>
          <w:t>at https://www.mercer.us/content/dam/mercer/assets/content-images/north-america/united-states/us-healthcare-news/us-2021-healthcare-labor-market-whitepaper.pdf</w:t>
        </w:r>
      </w:hyperlink>
      <w:r w:rsidR="00FF2BA1" w:rsidRPr="00936C93">
        <w:rPr>
          <w:rFonts w:ascii="Garamond" w:hAnsi="Garamond"/>
        </w:rPr>
        <w:t xml:space="preserve"> (</w:t>
      </w:r>
      <w:r w:rsidRPr="00936C93">
        <w:rPr>
          <w:rFonts w:ascii="Garamond" w:hAnsi="Garamond"/>
        </w:rPr>
        <w:t>study projecting MA will be among the worst five states in the country in terms of shortages of nurses and shortages of medical assistants/home health aides in next five years</w:t>
      </w:r>
      <w:r w:rsidR="00FF2BA1" w:rsidRPr="00936C93">
        <w:rPr>
          <w:rFonts w:ascii="Garamond" w:hAnsi="Garamond"/>
        </w:rPr>
        <w:t>).</w:t>
      </w:r>
    </w:p>
  </w:footnote>
  <w:footnote w:id="9">
    <w:p w14:paraId="7F8761B9" w14:textId="2CDB35C2" w:rsidR="00AD0F7F" w:rsidRPr="00936C93" w:rsidRDefault="00AD0F7F">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ICA ¶ 181.</w:t>
      </w:r>
    </w:p>
  </w:footnote>
  <w:footnote w:id="10">
    <w:p w14:paraId="45570DE4" w14:textId="7219B4A6" w:rsidR="006F7CDD" w:rsidRPr="00936C93" w:rsidRDefault="00007097" w:rsidP="006F7CDD">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The ICA reports that MGB </w:t>
      </w:r>
      <w:r w:rsidR="006F7CDD" w:rsidRPr="00936C93">
        <w:rPr>
          <w:rFonts w:ascii="Garamond" w:hAnsi="Garamond"/>
        </w:rPr>
        <w:t>estimated that it would need 110 full-time-equivalent workers at the Westwood</w:t>
      </w:r>
    </w:p>
    <w:p w14:paraId="0E247EC9" w14:textId="7229AD13" w:rsidR="00007097" w:rsidRPr="00936C93" w:rsidRDefault="006F7CDD" w:rsidP="006F7CDD">
      <w:pPr>
        <w:pStyle w:val="FootnoteText"/>
        <w:rPr>
          <w:rFonts w:ascii="Garamond" w:hAnsi="Garamond"/>
        </w:rPr>
      </w:pPr>
      <w:r w:rsidRPr="00936C93">
        <w:rPr>
          <w:rFonts w:ascii="Garamond" w:hAnsi="Garamond"/>
        </w:rPr>
        <w:t>Proposed Site, 163 at the Westborough Proposed Site, and 174 at the Woburn Proposed Site.  ICA ¶ 176.</w:t>
      </w:r>
    </w:p>
  </w:footnote>
  <w:footnote w:id="11">
    <w:p w14:paraId="123AE3C2" w14:textId="78431945" w:rsidR="00CF67A5" w:rsidRPr="00936C93" w:rsidRDefault="00CF67A5">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w:t>
      </w:r>
      <w:r w:rsidR="0042403E" w:rsidRPr="00936C93">
        <w:rPr>
          <w:rFonts w:ascii="Garamond" w:hAnsi="Garamond"/>
        </w:rPr>
        <w:t>Mass General Brigham Incorporated – Multisite – Responses to DoN Questions</w:t>
      </w:r>
      <w:r w:rsidR="00F70BC1" w:rsidRPr="00936C93">
        <w:rPr>
          <w:rFonts w:ascii="Garamond" w:hAnsi="Garamond"/>
        </w:rPr>
        <w:t>, p. 8</w:t>
      </w:r>
      <w:r w:rsidR="00F25C29">
        <w:rPr>
          <w:rFonts w:ascii="Garamond" w:hAnsi="Garamond"/>
        </w:rPr>
        <w:t xml:space="preserve">, </w:t>
      </w:r>
      <w:r w:rsidR="00D87FD7">
        <w:rPr>
          <w:rFonts w:ascii="Garamond" w:hAnsi="Garamond"/>
          <w:i/>
          <w:iCs/>
        </w:rPr>
        <w:t xml:space="preserve">available </w:t>
      </w:r>
      <w:hyperlink r:id="rId7" w:history="1">
        <w:r w:rsidR="00D87FD7">
          <w:rPr>
            <w:rStyle w:val="Hyperlink"/>
            <w:rFonts w:ascii="Garamond" w:hAnsi="Garamond"/>
          </w:rPr>
          <w:t>at https://www.mass.gov/doc/mass-general-brigham-incorporated-multisite-responses-to-don-questions-1/download</w:t>
        </w:r>
      </w:hyperlink>
      <w:r w:rsidR="00F25C29">
        <w:rPr>
          <w:rFonts w:ascii="Garamond" w:hAnsi="Garamond"/>
        </w:rPr>
        <w:t>.</w:t>
      </w:r>
    </w:p>
  </w:footnote>
  <w:footnote w:id="12">
    <w:p w14:paraId="69B122B9" w14:textId="73FAA388" w:rsidR="002E1C67" w:rsidRPr="00936C93" w:rsidRDefault="002E1C67">
      <w:pPr>
        <w:pStyle w:val="FootnoteText"/>
        <w:rPr>
          <w:rFonts w:ascii="Garamond" w:hAnsi="Garamond"/>
        </w:rPr>
      </w:pPr>
      <w:r w:rsidRPr="00936C93">
        <w:rPr>
          <w:rStyle w:val="FootnoteReference"/>
          <w:rFonts w:ascii="Garamond" w:hAnsi="Garamond"/>
        </w:rPr>
        <w:footnoteRef/>
      </w:r>
      <w:r w:rsidRPr="00936C93">
        <w:rPr>
          <w:rFonts w:ascii="Garamond" w:hAnsi="Garamond"/>
        </w:rPr>
        <w:t xml:space="preserve"> </w:t>
      </w:r>
      <w:r w:rsidR="009335B0">
        <w:rPr>
          <w:rFonts w:ascii="Garamond" w:hAnsi="Garamond"/>
        </w:rPr>
        <w:t>MA Attorney General’s Office</w:t>
      </w:r>
      <w:r w:rsidR="00185065">
        <w:rPr>
          <w:rFonts w:ascii="Garamond" w:hAnsi="Garamond"/>
        </w:rPr>
        <w:t>,</w:t>
      </w:r>
      <w:r w:rsidR="009335B0">
        <w:rPr>
          <w:rFonts w:ascii="Garamond" w:hAnsi="Garamond"/>
        </w:rPr>
        <w:t xml:space="preserve"> </w:t>
      </w:r>
      <w:r w:rsidR="00CC6B33" w:rsidRPr="00936C93">
        <w:rPr>
          <w:rFonts w:ascii="Garamond" w:hAnsi="Garamond"/>
        </w:rPr>
        <w:t>Building Toward Racial Justice and Equity in Health: A Call to Action</w:t>
      </w:r>
      <w:r w:rsidR="00F25C29">
        <w:rPr>
          <w:rFonts w:ascii="Garamond" w:hAnsi="Garamond"/>
        </w:rPr>
        <w:t xml:space="preserve">, </w:t>
      </w:r>
      <w:r w:rsidR="00CC6B33" w:rsidRPr="00936C93">
        <w:rPr>
          <w:rFonts w:ascii="Garamond" w:hAnsi="Garamond"/>
          <w:i/>
          <w:iCs/>
        </w:rPr>
        <w:t>available at</w:t>
      </w:r>
      <w:r w:rsidR="00CC6B33" w:rsidRPr="00936C93">
        <w:rPr>
          <w:rFonts w:ascii="Garamond" w:hAnsi="Garamond"/>
        </w:rPr>
        <w:t xml:space="preserve"> </w:t>
      </w:r>
      <w:hyperlink r:id="rId8" w:history="1">
        <w:r w:rsidR="003074E0">
          <w:rPr>
            <w:rStyle w:val="Hyperlink"/>
            <w:rFonts w:ascii="Garamond" w:hAnsi="Garamond"/>
          </w:rPr>
          <w:t>at https://www.mass.gov/doc/building-toward-racial-justice-and-equity-in-health-a-call-to-action/download</w:t>
        </w:r>
      </w:hyperlink>
      <w:r w:rsidR="00F25C29">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F70F" w14:textId="77777777" w:rsidR="002464F0" w:rsidRDefault="002464F0" w:rsidP="002464F0">
    <w:pPr>
      <w:pStyle w:val="Header"/>
    </w:pPr>
  </w:p>
  <w:p w14:paraId="72477F44" w14:textId="77777777" w:rsidR="002464F0" w:rsidRDefault="00246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2239" w14:textId="77777777" w:rsidR="00504B14" w:rsidRDefault="00504B14" w:rsidP="00504B14">
    <w:pPr>
      <w:ind w:left="720" w:firstLine="450"/>
      <w:jc w:val="center"/>
      <w:rPr>
        <w:smallCaps/>
        <w:sz w:val="42"/>
        <w:szCs w:val="42"/>
      </w:rPr>
    </w:pPr>
    <w:r>
      <w:rPr>
        <w:noProof/>
      </w:rPr>
      <w:drawing>
        <wp:inline distT="0" distB="0" distL="0" distR="0" wp14:anchorId="4437F2CA" wp14:editId="5B65AF03">
          <wp:extent cx="1409790" cy="1737360"/>
          <wp:effectExtent l="0" t="0" r="0" b="0"/>
          <wp:docPr id="3" name="Picture 3" descr="Commonwealth of Massachusetts seal&#10;Maura Healey, Attorney General" title="Commonwealth of Massachusetts seal, Maura Healey, Attorney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sea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9790" cy="1737360"/>
                  </a:xfrm>
                  <a:prstGeom prst="rect">
                    <a:avLst/>
                  </a:prstGeom>
                  <a:noFill/>
                  <a:ln w="9525">
                    <a:noFill/>
                    <a:miter lim="800000"/>
                    <a:headEnd/>
                    <a:tailEnd/>
                  </a:ln>
                </pic:spPr>
              </pic:pic>
            </a:graphicData>
          </a:graphic>
        </wp:inline>
      </w:drawing>
    </w:r>
    <w:r>
      <w:rPr>
        <w:smallCaps/>
        <w:sz w:val="42"/>
        <w:szCs w:val="42"/>
      </w:rPr>
      <w:t>The Commonwealth of Massachusetts</w:t>
    </w:r>
  </w:p>
  <w:p w14:paraId="44CA8F6B" w14:textId="77777777" w:rsidR="00504B14" w:rsidRDefault="00504B14" w:rsidP="00504B14">
    <w:pPr>
      <w:ind w:left="720" w:firstLine="450"/>
      <w:jc w:val="center"/>
      <w:rPr>
        <w:smallCaps/>
      </w:rPr>
    </w:pPr>
    <w:r>
      <w:rPr>
        <w:smallCaps/>
        <w:sz w:val="42"/>
        <w:szCs w:val="42"/>
      </w:rPr>
      <w:t>Office of the Attorney General</w:t>
    </w:r>
  </w:p>
  <w:p w14:paraId="29ECC3E1" w14:textId="77777777" w:rsidR="00504B14" w:rsidRPr="00AC4273" w:rsidRDefault="00504B14" w:rsidP="00504B14">
    <w:pPr>
      <w:ind w:left="720" w:firstLine="450"/>
      <w:jc w:val="center"/>
      <w:rPr>
        <w:smallCaps/>
        <w:sz w:val="28"/>
        <w:szCs w:val="28"/>
      </w:rPr>
    </w:pPr>
    <w:smartTag w:uri="urn:schemas-microsoft-com:office:smarttags" w:element="Street">
      <w:smartTag w:uri="urn:schemas-microsoft-com:office:smarttags" w:element="address">
        <w:r w:rsidRPr="00AC4273">
          <w:rPr>
            <w:smallCaps/>
            <w:sz w:val="28"/>
            <w:szCs w:val="28"/>
          </w:rPr>
          <w:t>ONE ASHBURTON PLACE</w:t>
        </w:r>
      </w:smartTag>
    </w:smartTag>
  </w:p>
  <w:p w14:paraId="7B235791" w14:textId="77777777" w:rsidR="00504B14" w:rsidRPr="00AC4273" w:rsidRDefault="00504B14" w:rsidP="00504B14">
    <w:pPr>
      <w:spacing w:after="120"/>
      <w:ind w:left="720" w:firstLine="450"/>
      <w:jc w:val="center"/>
      <w:rPr>
        <w:smallCaps/>
        <w:sz w:val="28"/>
        <w:szCs w:val="28"/>
      </w:rPr>
    </w:pPr>
    <w:smartTag w:uri="urn:schemas-microsoft-com:office:smarttags" w:element="place">
      <w:smartTag w:uri="urn:schemas-microsoft-com:office:smarttags" w:element="City">
        <w:r w:rsidRPr="00AC4273">
          <w:rPr>
            <w:smallCaps/>
            <w:sz w:val="28"/>
            <w:szCs w:val="28"/>
          </w:rPr>
          <w:t>BOSTON</w:t>
        </w:r>
      </w:smartTag>
      <w:r w:rsidRPr="00AC4273">
        <w:rPr>
          <w:smallCaps/>
          <w:sz w:val="28"/>
          <w:szCs w:val="28"/>
        </w:rPr>
        <w:t xml:space="preserve">, </w:t>
      </w:r>
      <w:smartTag w:uri="urn:schemas-microsoft-com:office:smarttags" w:element="State">
        <w:r w:rsidRPr="00AC4273">
          <w:rPr>
            <w:smallCaps/>
            <w:sz w:val="28"/>
            <w:szCs w:val="28"/>
          </w:rPr>
          <w:t>MASSACHUSETTS</w:t>
        </w:r>
      </w:smartTag>
      <w:r w:rsidRPr="00AC4273">
        <w:rPr>
          <w:smallCaps/>
          <w:sz w:val="28"/>
          <w:szCs w:val="28"/>
        </w:rPr>
        <w:t xml:space="preserve"> </w:t>
      </w:r>
      <w:smartTag w:uri="urn:schemas-microsoft-com:office:smarttags" w:element="PostalCode">
        <w:r w:rsidRPr="00AC4273">
          <w:rPr>
            <w:smallCaps/>
            <w:sz w:val="28"/>
            <w:szCs w:val="28"/>
          </w:rPr>
          <w:t>02108</w:t>
        </w:r>
      </w:smartTag>
    </w:smartTag>
  </w:p>
  <w:p w14:paraId="15E344CC" w14:textId="77777777" w:rsidR="00504B14" w:rsidRDefault="00504B14" w:rsidP="00504B14">
    <w:pPr>
      <w:tabs>
        <w:tab w:val="center" w:pos="8280"/>
      </w:tabs>
    </w:pPr>
    <w:r>
      <w:rPr>
        <w:smallCaps/>
        <w:sz w:val="28"/>
        <w:szCs w:val="28"/>
      </w:rPr>
      <w:tab/>
    </w:r>
    <w:r>
      <w:t>(617</w:t>
    </w:r>
    <w:r w:rsidRPr="00E35C08">
      <w:t xml:space="preserve">) </w:t>
    </w:r>
    <w:r>
      <w:t>727</w:t>
    </w:r>
    <w:r w:rsidRPr="00E35C08">
      <w:t>-</w:t>
    </w:r>
    <w:r>
      <w:t>2200</w:t>
    </w:r>
  </w:p>
  <w:p w14:paraId="4AD307F9" w14:textId="77777777" w:rsidR="00504B14" w:rsidRPr="00E35C08" w:rsidRDefault="00504B14" w:rsidP="00504B14">
    <w:pPr>
      <w:tabs>
        <w:tab w:val="center" w:pos="8280"/>
      </w:tabs>
    </w:pPr>
    <w:r>
      <w:tab/>
    </w:r>
    <w:r w:rsidRPr="00E35C08">
      <w:t>(</w:t>
    </w:r>
    <w:r w:rsidRPr="00AC4273">
      <w:t>617) 727-4765</w:t>
    </w:r>
    <w:r>
      <w:t xml:space="preserve"> TTY</w:t>
    </w:r>
  </w:p>
  <w:p w14:paraId="1CE5A856" w14:textId="77777777" w:rsidR="00504B14" w:rsidRDefault="00504B14" w:rsidP="00504B14">
    <w:pPr>
      <w:tabs>
        <w:tab w:val="center" w:pos="8280"/>
      </w:tabs>
    </w:pPr>
    <w:r>
      <w:tab/>
      <w:t>www.mass.gov/ago</w:t>
    </w:r>
  </w:p>
  <w:p w14:paraId="62019FEE" w14:textId="77777777" w:rsidR="00504B14" w:rsidRDefault="0050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7AC"/>
    <w:multiLevelType w:val="hybridMultilevel"/>
    <w:tmpl w:val="B0C4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39F2"/>
    <w:multiLevelType w:val="hybridMultilevel"/>
    <w:tmpl w:val="96B4DB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67261"/>
    <w:multiLevelType w:val="hybridMultilevel"/>
    <w:tmpl w:val="64AED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1105"/>
    <w:multiLevelType w:val="hybridMultilevel"/>
    <w:tmpl w:val="61264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C240E"/>
    <w:multiLevelType w:val="hybridMultilevel"/>
    <w:tmpl w:val="E96E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D101E"/>
    <w:multiLevelType w:val="hybridMultilevel"/>
    <w:tmpl w:val="4C20D898"/>
    <w:lvl w:ilvl="0" w:tplc="EF8C6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83D81"/>
    <w:multiLevelType w:val="hybridMultilevel"/>
    <w:tmpl w:val="B4C46B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04C98"/>
    <w:multiLevelType w:val="hybridMultilevel"/>
    <w:tmpl w:val="7074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2084B"/>
    <w:multiLevelType w:val="hybridMultilevel"/>
    <w:tmpl w:val="9F5E51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1"/>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88"/>
    <w:rsid w:val="0000042A"/>
    <w:rsid w:val="00001C6C"/>
    <w:rsid w:val="00002AA2"/>
    <w:rsid w:val="00003935"/>
    <w:rsid w:val="000066AA"/>
    <w:rsid w:val="00007097"/>
    <w:rsid w:val="0000758B"/>
    <w:rsid w:val="00007E7D"/>
    <w:rsid w:val="000145DA"/>
    <w:rsid w:val="00015902"/>
    <w:rsid w:val="00016E46"/>
    <w:rsid w:val="000201FB"/>
    <w:rsid w:val="0002193C"/>
    <w:rsid w:val="00022365"/>
    <w:rsid w:val="00022516"/>
    <w:rsid w:val="00024729"/>
    <w:rsid w:val="0002739D"/>
    <w:rsid w:val="000363A1"/>
    <w:rsid w:val="00043F31"/>
    <w:rsid w:val="000476E2"/>
    <w:rsid w:val="0005074B"/>
    <w:rsid w:val="00051E07"/>
    <w:rsid w:val="00061688"/>
    <w:rsid w:val="000618BF"/>
    <w:rsid w:val="00061FCE"/>
    <w:rsid w:val="0006549E"/>
    <w:rsid w:val="000702F5"/>
    <w:rsid w:val="00070D84"/>
    <w:rsid w:val="00074F39"/>
    <w:rsid w:val="00081C59"/>
    <w:rsid w:val="00093436"/>
    <w:rsid w:val="0009594D"/>
    <w:rsid w:val="00095FDE"/>
    <w:rsid w:val="000A74C7"/>
    <w:rsid w:val="000B3895"/>
    <w:rsid w:val="000B44C3"/>
    <w:rsid w:val="000B5C82"/>
    <w:rsid w:val="000C1CE3"/>
    <w:rsid w:val="000C27C8"/>
    <w:rsid w:val="000C3CA4"/>
    <w:rsid w:val="000D3DA1"/>
    <w:rsid w:val="000D6185"/>
    <w:rsid w:val="000D7EA4"/>
    <w:rsid w:val="000E4D4E"/>
    <w:rsid w:val="000E5578"/>
    <w:rsid w:val="000E5E35"/>
    <w:rsid w:val="000F2470"/>
    <w:rsid w:val="000F2CA1"/>
    <w:rsid w:val="000F56A1"/>
    <w:rsid w:val="000F6AC8"/>
    <w:rsid w:val="000F6E5C"/>
    <w:rsid w:val="001007C1"/>
    <w:rsid w:val="00101353"/>
    <w:rsid w:val="00105F45"/>
    <w:rsid w:val="001077C8"/>
    <w:rsid w:val="0011026D"/>
    <w:rsid w:val="00115301"/>
    <w:rsid w:val="001155B1"/>
    <w:rsid w:val="00120827"/>
    <w:rsid w:val="001230CB"/>
    <w:rsid w:val="00125D1C"/>
    <w:rsid w:val="00126DC5"/>
    <w:rsid w:val="00130CAF"/>
    <w:rsid w:val="00133D81"/>
    <w:rsid w:val="00136FCD"/>
    <w:rsid w:val="00142290"/>
    <w:rsid w:val="001440BC"/>
    <w:rsid w:val="001468B3"/>
    <w:rsid w:val="00150464"/>
    <w:rsid w:val="001525AA"/>
    <w:rsid w:val="00153B5E"/>
    <w:rsid w:val="0015679C"/>
    <w:rsid w:val="00157411"/>
    <w:rsid w:val="00157991"/>
    <w:rsid w:val="00160FE1"/>
    <w:rsid w:val="00161584"/>
    <w:rsid w:val="00164F1D"/>
    <w:rsid w:val="00165240"/>
    <w:rsid w:val="00165CBB"/>
    <w:rsid w:val="00166303"/>
    <w:rsid w:val="0018088A"/>
    <w:rsid w:val="00180A53"/>
    <w:rsid w:val="00183444"/>
    <w:rsid w:val="001842FA"/>
    <w:rsid w:val="00185065"/>
    <w:rsid w:val="001874C3"/>
    <w:rsid w:val="00190135"/>
    <w:rsid w:val="001925AA"/>
    <w:rsid w:val="00192957"/>
    <w:rsid w:val="00193FFF"/>
    <w:rsid w:val="00196E70"/>
    <w:rsid w:val="0019733D"/>
    <w:rsid w:val="001A0F7B"/>
    <w:rsid w:val="001A28C8"/>
    <w:rsid w:val="001A33E8"/>
    <w:rsid w:val="001B16C6"/>
    <w:rsid w:val="001B4807"/>
    <w:rsid w:val="001C1530"/>
    <w:rsid w:val="001C43A3"/>
    <w:rsid w:val="001D1BE3"/>
    <w:rsid w:val="001D659B"/>
    <w:rsid w:val="001D6B12"/>
    <w:rsid w:val="001E0C53"/>
    <w:rsid w:val="001E16D2"/>
    <w:rsid w:val="001E1A69"/>
    <w:rsid w:val="001E2DFF"/>
    <w:rsid w:val="001E56B0"/>
    <w:rsid w:val="001F021B"/>
    <w:rsid w:val="001F14A4"/>
    <w:rsid w:val="001F33BF"/>
    <w:rsid w:val="001F3A78"/>
    <w:rsid w:val="001F5E6D"/>
    <w:rsid w:val="001F6290"/>
    <w:rsid w:val="001F6A42"/>
    <w:rsid w:val="0020379A"/>
    <w:rsid w:val="00205856"/>
    <w:rsid w:val="0020770F"/>
    <w:rsid w:val="002134B6"/>
    <w:rsid w:val="00213600"/>
    <w:rsid w:val="00213DD2"/>
    <w:rsid w:val="00215813"/>
    <w:rsid w:val="0021697B"/>
    <w:rsid w:val="00220C15"/>
    <w:rsid w:val="0022141D"/>
    <w:rsid w:val="002251FA"/>
    <w:rsid w:val="0022527D"/>
    <w:rsid w:val="00231FF8"/>
    <w:rsid w:val="002328E3"/>
    <w:rsid w:val="002341D7"/>
    <w:rsid w:val="00237E70"/>
    <w:rsid w:val="00244A0D"/>
    <w:rsid w:val="00244DB2"/>
    <w:rsid w:val="002464F0"/>
    <w:rsid w:val="002470F3"/>
    <w:rsid w:val="002475B3"/>
    <w:rsid w:val="002518C3"/>
    <w:rsid w:val="00261C83"/>
    <w:rsid w:val="002632C8"/>
    <w:rsid w:val="00264605"/>
    <w:rsid w:val="00264844"/>
    <w:rsid w:val="002733AF"/>
    <w:rsid w:val="0027391B"/>
    <w:rsid w:val="00274D61"/>
    <w:rsid w:val="00285857"/>
    <w:rsid w:val="00286362"/>
    <w:rsid w:val="0028672C"/>
    <w:rsid w:val="0028721E"/>
    <w:rsid w:val="00290202"/>
    <w:rsid w:val="00292842"/>
    <w:rsid w:val="002A5334"/>
    <w:rsid w:val="002A53F2"/>
    <w:rsid w:val="002A62A7"/>
    <w:rsid w:val="002A62C5"/>
    <w:rsid w:val="002A7F54"/>
    <w:rsid w:val="002B0BF6"/>
    <w:rsid w:val="002B6F30"/>
    <w:rsid w:val="002B7059"/>
    <w:rsid w:val="002C0A13"/>
    <w:rsid w:val="002C6496"/>
    <w:rsid w:val="002D0DEA"/>
    <w:rsid w:val="002D5302"/>
    <w:rsid w:val="002D69B4"/>
    <w:rsid w:val="002D72F4"/>
    <w:rsid w:val="002E0177"/>
    <w:rsid w:val="002E1C67"/>
    <w:rsid w:val="002E280D"/>
    <w:rsid w:val="002E2C1D"/>
    <w:rsid w:val="002E4838"/>
    <w:rsid w:val="002E5B6C"/>
    <w:rsid w:val="002E6933"/>
    <w:rsid w:val="002E6CF7"/>
    <w:rsid w:val="002E6E6E"/>
    <w:rsid w:val="002E6EB6"/>
    <w:rsid w:val="002F1E6F"/>
    <w:rsid w:val="002F2437"/>
    <w:rsid w:val="00307156"/>
    <w:rsid w:val="003074E0"/>
    <w:rsid w:val="0031025E"/>
    <w:rsid w:val="003109C0"/>
    <w:rsid w:val="00311556"/>
    <w:rsid w:val="00311FB0"/>
    <w:rsid w:val="0031768E"/>
    <w:rsid w:val="00321AA4"/>
    <w:rsid w:val="0032360B"/>
    <w:rsid w:val="00325CA6"/>
    <w:rsid w:val="003310E3"/>
    <w:rsid w:val="00332FE4"/>
    <w:rsid w:val="00337579"/>
    <w:rsid w:val="00342DBF"/>
    <w:rsid w:val="00344A1C"/>
    <w:rsid w:val="00344AA0"/>
    <w:rsid w:val="00350F3B"/>
    <w:rsid w:val="003547A8"/>
    <w:rsid w:val="00356988"/>
    <w:rsid w:val="00356CCC"/>
    <w:rsid w:val="00357A01"/>
    <w:rsid w:val="00357A8F"/>
    <w:rsid w:val="00360E10"/>
    <w:rsid w:val="003621CF"/>
    <w:rsid w:val="0036551F"/>
    <w:rsid w:val="00373C2F"/>
    <w:rsid w:val="00374886"/>
    <w:rsid w:val="00374C34"/>
    <w:rsid w:val="003756B5"/>
    <w:rsid w:val="003764EB"/>
    <w:rsid w:val="00376CB1"/>
    <w:rsid w:val="00377D83"/>
    <w:rsid w:val="003837AE"/>
    <w:rsid w:val="00385013"/>
    <w:rsid w:val="00386CAA"/>
    <w:rsid w:val="00386F83"/>
    <w:rsid w:val="00390080"/>
    <w:rsid w:val="0039169E"/>
    <w:rsid w:val="00395165"/>
    <w:rsid w:val="00397FA8"/>
    <w:rsid w:val="003A1982"/>
    <w:rsid w:val="003A3094"/>
    <w:rsid w:val="003A32D1"/>
    <w:rsid w:val="003A57A9"/>
    <w:rsid w:val="003A5C73"/>
    <w:rsid w:val="003A622E"/>
    <w:rsid w:val="003A7E5A"/>
    <w:rsid w:val="003B2610"/>
    <w:rsid w:val="003B4D46"/>
    <w:rsid w:val="003B5ADF"/>
    <w:rsid w:val="003C7418"/>
    <w:rsid w:val="003C7AF7"/>
    <w:rsid w:val="003D0684"/>
    <w:rsid w:val="003D06D1"/>
    <w:rsid w:val="003D3E8F"/>
    <w:rsid w:val="003D46F5"/>
    <w:rsid w:val="003D4DD7"/>
    <w:rsid w:val="003D7EE0"/>
    <w:rsid w:val="003E22E3"/>
    <w:rsid w:val="003E4992"/>
    <w:rsid w:val="003E4E12"/>
    <w:rsid w:val="003E5F71"/>
    <w:rsid w:val="003E6E3D"/>
    <w:rsid w:val="003F011C"/>
    <w:rsid w:val="003F053B"/>
    <w:rsid w:val="003F26B6"/>
    <w:rsid w:val="003F276B"/>
    <w:rsid w:val="003F4279"/>
    <w:rsid w:val="0040258F"/>
    <w:rsid w:val="00404394"/>
    <w:rsid w:val="00405666"/>
    <w:rsid w:val="00412C31"/>
    <w:rsid w:val="00413220"/>
    <w:rsid w:val="00413BFD"/>
    <w:rsid w:val="004173E0"/>
    <w:rsid w:val="00421886"/>
    <w:rsid w:val="0042403E"/>
    <w:rsid w:val="00432B23"/>
    <w:rsid w:val="00433674"/>
    <w:rsid w:val="00437C59"/>
    <w:rsid w:val="00443987"/>
    <w:rsid w:val="0044438F"/>
    <w:rsid w:val="00445EA5"/>
    <w:rsid w:val="004467A2"/>
    <w:rsid w:val="0045378C"/>
    <w:rsid w:val="00453F06"/>
    <w:rsid w:val="00456C49"/>
    <w:rsid w:val="00457CAB"/>
    <w:rsid w:val="00460946"/>
    <w:rsid w:val="0046183A"/>
    <w:rsid w:val="00466146"/>
    <w:rsid w:val="004668D4"/>
    <w:rsid w:val="004700DF"/>
    <w:rsid w:val="00471E8F"/>
    <w:rsid w:val="00472CB5"/>
    <w:rsid w:val="00483EDC"/>
    <w:rsid w:val="00492C6B"/>
    <w:rsid w:val="00493BE5"/>
    <w:rsid w:val="004A0158"/>
    <w:rsid w:val="004A0EB9"/>
    <w:rsid w:val="004A303C"/>
    <w:rsid w:val="004A3D46"/>
    <w:rsid w:val="004A4483"/>
    <w:rsid w:val="004A68DE"/>
    <w:rsid w:val="004B0B5E"/>
    <w:rsid w:val="004B1EB1"/>
    <w:rsid w:val="004B72C3"/>
    <w:rsid w:val="004B761F"/>
    <w:rsid w:val="004C0447"/>
    <w:rsid w:val="004C0C62"/>
    <w:rsid w:val="004C1B81"/>
    <w:rsid w:val="004C67EC"/>
    <w:rsid w:val="004C7130"/>
    <w:rsid w:val="004E3216"/>
    <w:rsid w:val="004E54CA"/>
    <w:rsid w:val="004E5557"/>
    <w:rsid w:val="004E59A0"/>
    <w:rsid w:val="004E64F1"/>
    <w:rsid w:val="004E6CDF"/>
    <w:rsid w:val="004F0E30"/>
    <w:rsid w:val="004F2D41"/>
    <w:rsid w:val="004F3529"/>
    <w:rsid w:val="004F3E0B"/>
    <w:rsid w:val="005048CA"/>
    <w:rsid w:val="00504B14"/>
    <w:rsid w:val="00504F2E"/>
    <w:rsid w:val="005062EE"/>
    <w:rsid w:val="005074BA"/>
    <w:rsid w:val="00507C98"/>
    <w:rsid w:val="0051075C"/>
    <w:rsid w:val="00510B01"/>
    <w:rsid w:val="00520AAD"/>
    <w:rsid w:val="00521575"/>
    <w:rsid w:val="005215A5"/>
    <w:rsid w:val="005269DC"/>
    <w:rsid w:val="00535702"/>
    <w:rsid w:val="00536D8A"/>
    <w:rsid w:val="0054413D"/>
    <w:rsid w:val="00547926"/>
    <w:rsid w:val="00552C73"/>
    <w:rsid w:val="00553502"/>
    <w:rsid w:val="00554BC0"/>
    <w:rsid w:val="00556CD1"/>
    <w:rsid w:val="00560978"/>
    <w:rsid w:val="00570346"/>
    <w:rsid w:val="00572F14"/>
    <w:rsid w:val="00573661"/>
    <w:rsid w:val="005819BC"/>
    <w:rsid w:val="00582C3B"/>
    <w:rsid w:val="005837B2"/>
    <w:rsid w:val="00591DCF"/>
    <w:rsid w:val="00594915"/>
    <w:rsid w:val="00595220"/>
    <w:rsid w:val="00596256"/>
    <w:rsid w:val="00596BDD"/>
    <w:rsid w:val="005A16FF"/>
    <w:rsid w:val="005A2CDE"/>
    <w:rsid w:val="005A2EBD"/>
    <w:rsid w:val="005A3248"/>
    <w:rsid w:val="005A58E6"/>
    <w:rsid w:val="005B09FB"/>
    <w:rsid w:val="005B191E"/>
    <w:rsid w:val="005B43CF"/>
    <w:rsid w:val="005C0327"/>
    <w:rsid w:val="005C2FA4"/>
    <w:rsid w:val="005C7728"/>
    <w:rsid w:val="005D315C"/>
    <w:rsid w:val="005D53B7"/>
    <w:rsid w:val="005D57A1"/>
    <w:rsid w:val="005D5936"/>
    <w:rsid w:val="005D76B8"/>
    <w:rsid w:val="005E1E6B"/>
    <w:rsid w:val="005E2AD0"/>
    <w:rsid w:val="005E3A6F"/>
    <w:rsid w:val="005E5702"/>
    <w:rsid w:val="005F0F11"/>
    <w:rsid w:val="005F2833"/>
    <w:rsid w:val="005F2CF9"/>
    <w:rsid w:val="005F5213"/>
    <w:rsid w:val="006002B4"/>
    <w:rsid w:val="0060357F"/>
    <w:rsid w:val="00603C00"/>
    <w:rsid w:val="00604650"/>
    <w:rsid w:val="00610D44"/>
    <w:rsid w:val="0061207B"/>
    <w:rsid w:val="0062106B"/>
    <w:rsid w:val="006220A9"/>
    <w:rsid w:val="006226F5"/>
    <w:rsid w:val="00627B4B"/>
    <w:rsid w:val="0063124D"/>
    <w:rsid w:val="0063497E"/>
    <w:rsid w:val="00636853"/>
    <w:rsid w:val="00641773"/>
    <w:rsid w:val="006447A3"/>
    <w:rsid w:val="00645885"/>
    <w:rsid w:val="00646A23"/>
    <w:rsid w:val="0065194E"/>
    <w:rsid w:val="00651B09"/>
    <w:rsid w:val="006523B1"/>
    <w:rsid w:val="006538ED"/>
    <w:rsid w:val="0065458C"/>
    <w:rsid w:val="00661A96"/>
    <w:rsid w:val="006639CE"/>
    <w:rsid w:val="00663A4A"/>
    <w:rsid w:val="00664414"/>
    <w:rsid w:val="00667461"/>
    <w:rsid w:val="00673A01"/>
    <w:rsid w:val="00676DD0"/>
    <w:rsid w:val="00680F3C"/>
    <w:rsid w:val="00681A45"/>
    <w:rsid w:val="0068378B"/>
    <w:rsid w:val="00686AA9"/>
    <w:rsid w:val="00687861"/>
    <w:rsid w:val="00691544"/>
    <w:rsid w:val="006A034F"/>
    <w:rsid w:val="006A4878"/>
    <w:rsid w:val="006A5262"/>
    <w:rsid w:val="006A590E"/>
    <w:rsid w:val="006A658B"/>
    <w:rsid w:val="006A7ABF"/>
    <w:rsid w:val="006B0C00"/>
    <w:rsid w:val="006B48AC"/>
    <w:rsid w:val="006B5B76"/>
    <w:rsid w:val="006B6550"/>
    <w:rsid w:val="006B7334"/>
    <w:rsid w:val="006C053E"/>
    <w:rsid w:val="006C463D"/>
    <w:rsid w:val="006C794F"/>
    <w:rsid w:val="006D3A91"/>
    <w:rsid w:val="006D575D"/>
    <w:rsid w:val="006D6E5A"/>
    <w:rsid w:val="006D6FDE"/>
    <w:rsid w:val="006E4CD8"/>
    <w:rsid w:val="006E756C"/>
    <w:rsid w:val="006F10E4"/>
    <w:rsid w:val="006F300E"/>
    <w:rsid w:val="006F7CDD"/>
    <w:rsid w:val="0070013C"/>
    <w:rsid w:val="00700995"/>
    <w:rsid w:val="00702E37"/>
    <w:rsid w:val="00703296"/>
    <w:rsid w:val="007037B2"/>
    <w:rsid w:val="00713EBB"/>
    <w:rsid w:val="00714701"/>
    <w:rsid w:val="00716352"/>
    <w:rsid w:val="007164FB"/>
    <w:rsid w:val="0072067D"/>
    <w:rsid w:val="00726EB5"/>
    <w:rsid w:val="0073318F"/>
    <w:rsid w:val="0074329A"/>
    <w:rsid w:val="007442D0"/>
    <w:rsid w:val="00746BBE"/>
    <w:rsid w:val="00747E57"/>
    <w:rsid w:val="00747FC2"/>
    <w:rsid w:val="007516F1"/>
    <w:rsid w:val="00754052"/>
    <w:rsid w:val="00754BD7"/>
    <w:rsid w:val="00754C0E"/>
    <w:rsid w:val="007608DF"/>
    <w:rsid w:val="0076387B"/>
    <w:rsid w:val="00773F27"/>
    <w:rsid w:val="00775D97"/>
    <w:rsid w:val="00776BA6"/>
    <w:rsid w:val="00777809"/>
    <w:rsid w:val="00780BFD"/>
    <w:rsid w:val="00780CD6"/>
    <w:rsid w:val="007824C9"/>
    <w:rsid w:val="00785A1E"/>
    <w:rsid w:val="00786939"/>
    <w:rsid w:val="00790B4C"/>
    <w:rsid w:val="00790BDC"/>
    <w:rsid w:val="00791918"/>
    <w:rsid w:val="00792BEB"/>
    <w:rsid w:val="007933A7"/>
    <w:rsid w:val="00793ACC"/>
    <w:rsid w:val="00794167"/>
    <w:rsid w:val="007970EA"/>
    <w:rsid w:val="007A320E"/>
    <w:rsid w:val="007A4379"/>
    <w:rsid w:val="007A5277"/>
    <w:rsid w:val="007A75F6"/>
    <w:rsid w:val="007A78D9"/>
    <w:rsid w:val="007B2C1E"/>
    <w:rsid w:val="007B5066"/>
    <w:rsid w:val="007B66AB"/>
    <w:rsid w:val="007C58B9"/>
    <w:rsid w:val="007C7472"/>
    <w:rsid w:val="007C7496"/>
    <w:rsid w:val="007C7891"/>
    <w:rsid w:val="007C7A67"/>
    <w:rsid w:val="007D379B"/>
    <w:rsid w:val="007E1CB0"/>
    <w:rsid w:val="007E53A6"/>
    <w:rsid w:val="007E558F"/>
    <w:rsid w:val="007F0F81"/>
    <w:rsid w:val="007F4B17"/>
    <w:rsid w:val="00802201"/>
    <w:rsid w:val="0080226D"/>
    <w:rsid w:val="00804468"/>
    <w:rsid w:val="00805C6F"/>
    <w:rsid w:val="00806F03"/>
    <w:rsid w:val="00812D0A"/>
    <w:rsid w:val="0081417F"/>
    <w:rsid w:val="00817C7D"/>
    <w:rsid w:val="00820FF4"/>
    <w:rsid w:val="0082313A"/>
    <w:rsid w:val="00824183"/>
    <w:rsid w:val="008274EF"/>
    <w:rsid w:val="008320FF"/>
    <w:rsid w:val="00834069"/>
    <w:rsid w:val="008376A5"/>
    <w:rsid w:val="0084555C"/>
    <w:rsid w:val="0084585C"/>
    <w:rsid w:val="00846A55"/>
    <w:rsid w:val="008577A8"/>
    <w:rsid w:val="008639A2"/>
    <w:rsid w:val="00864144"/>
    <w:rsid w:val="00865B70"/>
    <w:rsid w:val="008700C3"/>
    <w:rsid w:val="00870CC1"/>
    <w:rsid w:val="008715B9"/>
    <w:rsid w:val="00874BA6"/>
    <w:rsid w:val="00874C31"/>
    <w:rsid w:val="00877280"/>
    <w:rsid w:val="00877734"/>
    <w:rsid w:val="00880EF1"/>
    <w:rsid w:val="00890260"/>
    <w:rsid w:val="00891ED1"/>
    <w:rsid w:val="008922AF"/>
    <w:rsid w:val="008A249D"/>
    <w:rsid w:val="008A260A"/>
    <w:rsid w:val="008A2A83"/>
    <w:rsid w:val="008A7EFC"/>
    <w:rsid w:val="008B17AB"/>
    <w:rsid w:val="008B3D50"/>
    <w:rsid w:val="008B4880"/>
    <w:rsid w:val="008B4C03"/>
    <w:rsid w:val="008C0D31"/>
    <w:rsid w:val="008C28B3"/>
    <w:rsid w:val="008C517F"/>
    <w:rsid w:val="008E0317"/>
    <w:rsid w:val="008E0D86"/>
    <w:rsid w:val="008E710D"/>
    <w:rsid w:val="008F136C"/>
    <w:rsid w:val="008F1F38"/>
    <w:rsid w:val="008F249F"/>
    <w:rsid w:val="008F45EF"/>
    <w:rsid w:val="008F60EB"/>
    <w:rsid w:val="008F60FA"/>
    <w:rsid w:val="008F7F32"/>
    <w:rsid w:val="00900027"/>
    <w:rsid w:val="009016DD"/>
    <w:rsid w:val="00902F44"/>
    <w:rsid w:val="00903B75"/>
    <w:rsid w:val="009101D3"/>
    <w:rsid w:val="00922FEE"/>
    <w:rsid w:val="00923B75"/>
    <w:rsid w:val="00924AF0"/>
    <w:rsid w:val="00924FF3"/>
    <w:rsid w:val="00931CBE"/>
    <w:rsid w:val="009335B0"/>
    <w:rsid w:val="00934F96"/>
    <w:rsid w:val="0093526E"/>
    <w:rsid w:val="00936C93"/>
    <w:rsid w:val="009405B3"/>
    <w:rsid w:val="00940971"/>
    <w:rsid w:val="00940BAC"/>
    <w:rsid w:val="00941482"/>
    <w:rsid w:val="009465C1"/>
    <w:rsid w:val="00946AF1"/>
    <w:rsid w:val="00947B6F"/>
    <w:rsid w:val="0095011B"/>
    <w:rsid w:val="009501A6"/>
    <w:rsid w:val="009507A0"/>
    <w:rsid w:val="0095794D"/>
    <w:rsid w:val="00963FAC"/>
    <w:rsid w:val="00964095"/>
    <w:rsid w:val="0096417A"/>
    <w:rsid w:val="00964238"/>
    <w:rsid w:val="00964839"/>
    <w:rsid w:val="00965FD2"/>
    <w:rsid w:val="00966E9E"/>
    <w:rsid w:val="00967BEE"/>
    <w:rsid w:val="00971648"/>
    <w:rsid w:val="00973CB5"/>
    <w:rsid w:val="009767F8"/>
    <w:rsid w:val="0098357A"/>
    <w:rsid w:val="00983AA9"/>
    <w:rsid w:val="00984B1A"/>
    <w:rsid w:val="00986C3B"/>
    <w:rsid w:val="00987228"/>
    <w:rsid w:val="00987F7D"/>
    <w:rsid w:val="009920A6"/>
    <w:rsid w:val="0099398C"/>
    <w:rsid w:val="009954E3"/>
    <w:rsid w:val="009978B4"/>
    <w:rsid w:val="0099794F"/>
    <w:rsid w:val="009A297F"/>
    <w:rsid w:val="009A3376"/>
    <w:rsid w:val="009A4823"/>
    <w:rsid w:val="009A6F48"/>
    <w:rsid w:val="009A792C"/>
    <w:rsid w:val="009B688A"/>
    <w:rsid w:val="009B7CCB"/>
    <w:rsid w:val="009D40CC"/>
    <w:rsid w:val="009D508E"/>
    <w:rsid w:val="009D64EC"/>
    <w:rsid w:val="009E4411"/>
    <w:rsid w:val="009E59B5"/>
    <w:rsid w:val="009F004E"/>
    <w:rsid w:val="009F1847"/>
    <w:rsid w:val="009F5808"/>
    <w:rsid w:val="00A0343A"/>
    <w:rsid w:val="00A03477"/>
    <w:rsid w:val="00A053A7"/>
    <w:rsid w:val="00A05F3C"/>
    <w:rsid w:val="00A13B5E"/>
    <w:rsid w:val="00A14D9B"/>
    <w:rsid w:val="00A1524D"/>
    <w:rsid w:val="00A20CC0"/>
    <w:rsid w:val="00A21D6E"/>
    <w:rsid w:val="00A21EBF"/>
    <w:rsid w:val="00A22EC9"/>
    <w:rsid w:val="00A25B42"/>
    <w:rsid w:val="00A26DBC"/>
    <w:rsid w:val="00A27D92"/>
    <w:rsid w:val="00A331D6"/>
    <w:rsid w:val="00A33495"/>
    <w:rsid w:val="00A34471"/>
    <w:rsid w:val="00A3512E"/>
    <w:rsid w:val="00A355F0"/>
    <w:rsid w:val="00A416E1"/>
    <w:rsid w:val="00A42D57"/>
    <w:rsid w:val="00A43048"/>
    <w:rsid w:val="00A533FA"/>
    <w:rsid w:val="00A55BAF"/>
    <w:rsid w:val="00A569E9"/>
    <w:rsid w:val="00A61B1F"/>
    <w:rsid w:val="00A61D2A"/>
    <w:rsid w:val="00A65AEA"/>
    <w:rsid w:val="00A77C78"/>
    <w:rsid w:val="00A80888"/>
    <w:rsid w:val="00A86817"/>
    <w:rsid w:val="00A86D1B"/>
    <w:rsid w:val="00A953A9"/>
    <w:rsid w:val="00A96123"/>
    <w:rsid w:val="00A9731F"/>
    <w:rsid w:val="00AA0FF7"/>
    <w:rsid w:val="00AA10B6"/>
    <w:rsid w:val="00AA1AF9"/>
    <w:rsid w:val="00AB2137"/>
    <w:rsid w:val="00AB3447"/>
    <w:rsid w:val="00AC1D27"/>
    <w:rsid w:val="00AC2E08"/>
    <w:rsid w:val="00AD0F7F"/>
    <w:rsid w:val="00AD249A"/>
    <w:rsid w:val="00AD24AA"/>
    <w:rsid w:val="00AD3D80"/>
    <w:rsid w:val="00AD4BDD"/>
    <w:rsid w:val="00AD5606"/>
    <w:rsid w:val="00AE024A"/>
    <w:rsid w:val="00AE4B7F"/>
    <w:rsid w:val="00AE547A"/>
    <w:rsid w:val="00AF1573"/>
    <w:rsid w:val="00AF176B"/>
    <w:rsid w:val="00AF3FB7"/>
    <w:rsid w:val="00AF444D"/>
    <w:rsid w:val="00AF50EB"/>
    <w:rsid w:val="00B00D28"/>
    <w:rsid w:val="00B02562"/>
    <w:rsid w:val="00B032D5"/>
    <w:rsid w:val="00B036BB"/>
    <w:rsid w:val="00B03985"/>
    <w:rsid w:val="00B111B9"/>
    <w:rsid w:val="00B11E86"/>
    <w:rsid w:val="00B122B4"/>
    <w:rsid w:val="00B132A5"/>
    <w:rsid w:val="00B17149"/>
    <w:rsid w:val="00B17DCF"/>
    <w:rsid w:val="00B21417"/>
    <w:rsid w:val="00B310DB"/>
    <w:rsid w:val="00B32E51"/>
    <w:rsid w:val="00B33B62"/>
    <w:rsid w:val="00B345FA"/>
    <w:rsid w:val="00B3488D"/>
    <w:rsid w:val="00B37B79"/>
    <w:rsid w:val="00B40F79"/>
    <w:rsid w:val="00B454E2"/>
    <w:rsid w:val="00B4599E"/>
    <w:rsid w:val="00B45C58"/>
    <w:rsid w:val="00B50353"/>
    <w:rsid w:val="00B52157"/>
    <w:rsid w:val="00B55641"/>
    <w:rsid w:val="00B55C7A"/>
    <w:rsid w:val="00B610A4"/>
    <w:rsid w:val="00B66C16"/>
    <w:rsid w:val="00B67212"/>
    <w:rsid w:val="00B7232B"/>
    <w:rsid w:val="00B732CD"/>
    <w:rsid w:val="00B73F21"/>
    <w:rsid w:val="00B74A96"/>
    <w:rsid w:val="00B76A9E"/>
    <w:rsid w:val="00B84A95"/>
    <w:rsid w:val="00B9164B"/>
    <w:rsid w:val="00B92829"/>
    <w:rsid w:val="00B942A3"/>
    <w:rsid w:val="00B956BD"/>
    <w:rsid w:val="00BA079F"/>
    <w:rsid w:val="00BA1E5F"/>
    <w:rsid w:val="00BA21B4"/>
    <w:rsid w:val="00BA5545"/>
    <w:rsid w:val="00BB012B"/>
    <w:rsid w:val="00BB0950"/>
    <w:rsid w:val="00BB2156"/>
    <w:rsid w:val="00BB4E8C"/>
    <w:rsid w:val="00BB51B5"/>
    <w:rsid w:val="00BC0AB9"/>
    <w:rsid w:val="00BC3E35"/>
    <w:rsid w:val="00BC46F5"/>
    <w:rsid w:val="00BC5B7F"/>
    <w:rsid w:val="00BD0C57"/>
    <w:rsid w:val="00BD0E86"/>
    <w:rsid w:val="00BD116A"/>
    <w:rsid w:val="00BD5863"/>
    <w:rsid w:val="00BD5EE0"/>
    <w:rsid w:val="00BE0449"/>
    <w:rsid w:val="00BE243C"/>
    <w:rsid w:val="00BE4B4D"/>
    <w:rsid w:val="00BF03C5"/>
    <w:rsid w:val="00BF1528"/>
    <w:rsid w:val="00C02111"/>
    <w:rsid w:val="00C024DD"/>
    <w:rsid w:val="00C0292E"/>
    <w:rsid w:val="00C052D5"/>
    <w:rsid w:val="00C07481"/>
    <w:rsid w:val="00C10DED"/>
    <w:rsid w:val="00C1121B"/>
    <w:rsid w:val="00C12DE7"/>
    <w:rsid w:val="00C201A2"/>
    <w:rsid w:val="00C24635"/>
    <w:rsid w:val="00C25A67"/>
    <w:rsid w:val="00C4038B"/>
    <w:rsid w:val="00C41B1D"/>
    <w:rsid w:val="00C519D1"/>
    <w:rsid w:val="00C544D7"/>
    <w:rsid w:val="00C606FF"/>
    <w:rsid w:val="00C64092"/>
    <w:rsid w:val="00C76B5D"/>
    <w:rsid w:val="00C833FF"/>
    <w:rsid w:val="00C84995"/>
    <w:rsid w:val="00C872A7"/>
    <w:rsid w:val="00C87458"/>
    <w:rsid w:val="00C96C06"/>
    <w:rsid w:val="00C975A5"/>
    <w:rsid w:val="00CA0561"/>
    <w:rsid w:val="00CA606C"/>
    <w:rsid w:val="00CB2161"/>
    <w:rsid w:val="00CB2C1E"/>
    <w:rsid w:val="00CB560E"/>
    <w:rsid w:val="00CB7F1E"/>
    <w:rsid w:val="00CC1721"/>
    <w:rsid w:val="00CC1C5E"/>
    <w:rsid w:val="00CC583B"/>
    <w:rsid w:val="00CC594D"/>
    <w:rsid w:val="00CC6B33"/>
    <w:rsid w:val="00CC7260"/>
    <w:rsid w:val="00CD3C7C"/>
    <w:rsid w:val="00CD4912"/>
    <w:rsid w:val="00CD61B9"/>
    <w:rsid w:val="00CD6281"/>
    <w:rsid w:val="00CD7CA1"/>
    <w:rsid w:val="00CE043A"/>
    <w:rsid w:val="00CE0463"/>
    <w:rsid w:val="00CE0CBF"/>
    <w:rsid w:val="00CE1992"/>
    <w:rsid w:val="00CE2365"/>
    <w:rsid w:val="00CE6D4C"/>
    <w:rsid w:val="00CF073E"/>
    <w:rsid w:val="00CF089D"/>
    <w:rsid w:val="00CF67A5"/>
    <w:rsid w:val="00D00DDC"/>
    <w:rsid w:val="00D01DC8"/>
    <w:rsid w:val="00D021D3"/>
    <w:rsid w:val="00D04397"/>
    <w:rsid w:val="00D06154"/>
    <w:rsid w:val="00D07CA6"/>
    <w:rsid w:val="00D12F1A"/>
    <w:rsid w:val="00D1544C"/>
    <w:rsid w:val="00D17CBB"/>
    <w:rsid w:val="00D20862"/>
    <w:rsid w:val="00D216F9"/>
    <w:rsid w:val="00D23764"/>
    <w:rsid w:val="00D23F05"/>
    <w:rsid w:val="00D24595"/>
    <w:rsid w:val="00D25177"/>
    <w:rsid w:val="00D25C7F"/>
    <w:rsid w:val="00D262F0"/>
    <w:rsid w:val="00D26438"/>
    <w:rsid w:val="00D26C2E"/>
    <w:rsid w:val="00D304E4"/>
    <w:rsid w:val="00D30640"/>
    <w:rsid w:val="00D30875"/>
    <w:rsid w:val="00D32E9E"/>
    <w:rsid w:val="00D34F52"/>
    <w:rsid w:val="00D43B6D"/>
    <w:rsid w:val="00D44963"/>
    <w:rsid w:val="00D4641E"/>
    <w:rsid w:val="00D47B04"/>
    <w:rsid w:val="00D55B9B"/>
    <w:rsid w:val="00D6167C"/>
    <w:rsid w:val="00D6249E"/>
    <w:rsid w:val="00D626CC"/>
    <w:rsid w:val="00D629E6"/>
    <w:rsid w:val="00D645A3"/>
    <w:rsid w:val="00D645ED"/>
    <w:rsid w:val="00D65650"/>
    <w:rsid w:val="00D70A7C"/>
    <w:rsid w:val="00D73628"/>
    <w:rsid w:val="00D73ADC"/>
    <w:rsid w:val="00D746CF"/>
    <w:rsid w:val="00D758FD"/>
    <w:rsid w:val="00D7645B"/>
    <w:rsid w:val="00D77DC1"/>
    <w:rsid w:val="00D8167D"/>
    <w:rsid w:val="00D8294F"/>
    <w:rsid w:val="00D8466E"/>
    <w:rsid w:val="00D85817"/>
    <w:rsid w:val="00D85A64"/>
    <w:rsid w:val="00D87FD7"/>
    <w:rsid w:val="00D92ACC"/>
    <w:rsid w:val="00D92C16"/>
    <w:rsid w:val="00D9367A"/>
    <w:rsid w:val="00D94D94"/>
    <w:rsid w:val="00D9726D"/>
    <w:rsid w:val="00DA068A"/>
    <w:rsid w:val="00DA6724"/>
    <w:rsid w:val="00DA6DCD"/>
    <w:rsid w:val="00DB0F76"/>
    <w:rsid w:val="00DB5430"/>
    <w:rsid w:val="00DB5FA8"/>
    <w:rsid w:val="00DB6641"/>
    <w:rsid w:val="00DB7EEF"/>
    <w:rsid w:val="00DC25D8"/>
    <w:rsid w:val="00DC2FE0"/>
    <w:rsid w:val="00DC64EE"/>
    <w:rsid w:val="00DC768A"/>
    <w:rsid w:val="00DD1C05"/>
    <w:rsid w:val="00DD5AD2"/>
    <w:rsid w:val="00DD6B29"/>
    <w:rsid w:val="00DD77D0"/>
    <w:rsid w:val="00DE2891"/>
    <w:rsid w:val="00DE4B93"/>
    <w:rsid w:val="00DE5990"/>
    <w:rsid w:val="00DF1688"/>
    <w:rsid w:val="00DF6D14"/>
    <w:rsid w:val="00DF78C5"/>
    <w:rsid w:val="00E01159"/>
    <w:rsid w:val="00E01BE6"/>
    <w:rsid w:val="00E0323E"/>
    <w:rsid w:val="00E041A4"/>
    <w:rsid w:val="00E045FC"/>
    <w:rsid w:val="00E04756"/>
    <w:rsid w:val="00E126B2"/>
    <w:rsid w:val="00E12DC3"/>
    <w:rsid w:val="00E12F80"/>
    <w:rsid w:val="00E146FC"/>
    <w:rsid w:val="00E16ED1"/>
    <w:rsid w:val="00E24DA3"/>
    <w:rsid w:val="00E250F8"/>
    <w:rsid w:val="00E304FC"/>
    <w:rsid w:val="00E310A8"/>
    <w:rsid w:val="00E319C2"/>
    <w:rsid w:val="00E3536A"/>
    <w:rsid w:val="00E353C3"/>
    <w:rsid w:val="00E40604"/>
    <w:rsid w:val="00E41D8E"/>
    <w:rsid w:val="00E4291D"/>
    <w:rsid w:val="00E5172E"/>
    <w:rsid w:val="00E55695"/>
    <w:rsid w:val="00E57C24"/>
    <w:rsid w:val="00E60F4F"/>
    <w:rsid w:val="00E6205D"/>
    <w:rsid w:val="00E62948"/>
    <w:rsid w:val="00E63778"/>
    <w:rsid w:val="00E64ACA"/>
    <w:rsid w:val="00E70FE1"/>
    <w:rsid w:val="00E73FFF"/>
    <w:rsid w:val="00E759D4"/>
    <w:rsid w:val="00E82BB2"/>
    <w:rsid w:val="00E8716E"/>
    <w:rsid w:val="00E923FA"/>
    <w:rsid w:val="00E957A7"/>
    <w:rsid w:val="00E96CB6"/>
    <w:rsid w:val="00EA6552"/>
    <w:rsid w:val="00EA70BA"/>
    <w:rsid w:val="00EA78E8"/>
    <w:rsid w:val="00EB0F11"/>
    <w:rsid w:val="00EB0FEB"/>
    <w:rsid w:val="00EB195C"/>
    <w:rsid w:val="00EB1FBD"/>
    <w:rsid w:val="00EB4F30"/>
    <w:rsid w:val="00EB58D1"/>
    <w:rsid w:val="00EB60B8"/>
    <w:rsid w:val="00EB6474"/>
    <w:rsid w:val="00EC1B99"/>
    <w:rsid w:val="00EC2EB4"/>
    <w:rsid w:val="00EC3423"/>
    <w:rsid w:val="00EC4D9A"/>
    <w:rsid w:val="00EC67FF"/>
    <w:rsid w:val="00ED7AB5"/>
    <w:rsid w:val="00EE194B"/>
    <w:rsid w:val="00EE3B8B"/>
    <w:rsid w:val="00EE5686"/>
    <w:rsid w:val="00F00C3D"/>
    <w:rsid w:val="00F06DF2"/>
    <w:rsid w:val="00F0725E"/>
    <w:rsid w:val="00F11826"/>
    <w:rsid w:val="00F155BB"/>
    <w:rsid w:val="00F16D02"/>
    <w:rsid w:val="00F21B7A"/>
    <w:rsid w:val="00F23BC8"/>
    <w:rsid w:val="00F252BD"/>
    <w:rsid w:val="00F25C29"/>
    <w:rsid w:val="00F30451"/>
    <w:rsid w:val="00F30A66"/>
    <w:rsid w:val="00F312C5"/>
    <w:rsid w:val="00F31954"/>
    <w:rsid w:val="00F329AA"/>
    <w:rsid w:val="00F4099A"/>
    <w:rsid w:val="00F42B14"/>
    <w:rsid w:val="00F44DAB"/>
    <w:rsid w:val="00F46A4B"/>
    <w:rsid w:val="00F62FD3"/>
    <w:rsid w:val="00F64F6B"/>
    <w:rsid w:val="00F667D0"/>
    <w:rsid w:val="00F66CB4"/>
    <w:rsid w:val="00F70BB0"/>
    <w:rsid w:val="00F70BC1"/>
    <w:rsid w:val="00F72A7B"/>
    <w:rsid w:val="00F772A0"/>
    <w:rsid w:val="00F8161C"/>
    <w:rsid w:val="00F85391"/>
    <w:rsid w:val="00F90EA4"/>
    <w:rsid w:val="00F9677B"/>
    <w:rsid w:val="00FA09F1"/>
    <w:rsid w:val="00FA13CA"/>
    <w:rsid w:val="00FA57B0"/>
    <w:rsid w:val="00FA6330"/>
    <w:rsid w:val="00FB193D"/>
    <w:rsid w:val="00FB3A6A"/>
    <w:rsid w:val="00FB4957"/>
    <w:rsid w:val="00FC2348"/>
    <w:rsid w:val="00FC244B"/>
    <w:rsid w:val="00FC674E"/>
    <w:rsid w:val="00FD1F35"/>
    <w:rsid w:val="00FD331E"/>
    <w:rsid w:val="00FD4B68"/>
    <w:rsid w:val="00FE070E"/>
    <w:rsid w:val="00FE45E7"/>
    <w:rsid w:val="00FE52B8"/>
    <w:rsid w:val="00FE5957"/>
    <w:rsid w:val="00FE631D"/>
    <w:rsid w:val="00FE79AD"/>
    <w:rsid w:val="00FF2BA1"/>
    <w:rsid w:val="00FF3BD9"/>
    <w:rsid w:val="00FF42E7"/>
    <w:rsid w:val="00FF5982"/>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6CD60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610"/>
    <w:pPr>
      <w:ind w:left="720"/>
      <w:contextualSpacing/>
    </w:pPr>
  </w:style>
  <w:style w:type="character" w:styleId="CommentReference">
    <w:name w:val="annotation reference"/>
    <w:basedOn w:val="DefaultParagraphFont"/>
    <w:uiPriority w:val="99"/>
    <w:semiHidden/>
    <w:unhideWhenUsed/>
    <w:rsid w:val="00D65650"/>
    <w:rPr>
      <w:sz w:val="16"/>
      <w:szCs w:val="16"/>
    </w:rPr>
  </w:style>
  <w:style w:type="paragraph" w:styleId="CommentText">
    <w:name w:val="annotation text"/>
    <w:basedOn w:val="Normal"/>
    <w:link w:val="CommentTextChar"/>
    <w:uiPriority w:val="99"/>
    <w:unhideWhenUsed/>
    <w:rsid w:val="00D65650"/>
    <w:rPr>
      <w:sz w:val="20"/>
      <w:szCs w:val="20"/>
    </w:rPr>
  </w:style>
  <w:style w:type="character" w:customStyle="1" w:styleId="CommentTextChar">
    <w:name w:val="Comment Text Char"/>
    <w:basedOn w:val="DefaultParagraphFont"/>
    <w:link w:val="CommentText"/>
    <w:uiPriority w:val="99"/>
    <w:rsid w:val="00D65650"/>
    <w:rPr>
      <w:sz w:val="20"/>
      <w:szCs w:val="20"/>
    </w:rPr>
  </w:style>
  <w:style w:type="paragraph" w:styleId="CommentSubject">
    <w:name w:val="annotation subject"/>
    <w:basedOn w:val="CommentText"/>
    <w:next w:val="CommentText"/>
    <w:link w:val="CommentSubjectChar"/>
    <w:uiPriority w:val="99"/>
    <w:semiHidden/>
    <w:unhideWhenUsed/>
    <w:rsid w:val="00D65650"/>
    <w:rPr>
      <w:b/>
      <w:bCs/>
    </w:rPr>
  </w:style>
  <w:style w:type="character" w:customStyle="1" w:styleId="CommentSubjectChar">
    <w:name w:val="Comment Subject Char"/>
    <w:basedOn w:val="CommentTextChar"/>
    <w:link w:val="CommentSubject"/>
    <w:uiPriority w:val="99"/>
    <w:semiHidden/>
    <w:rsid w:val="00D65650"/>
    <w:rPr>
      <w:b/>
      <w:bCs/>
      <w:sz w:val="20"/>
      <w:szCs w:val="20"/>
    </w:rPr>
  </w:style>
  <w:style w:type="character" w:styleId="Hyperlink">
    <w:name w:val="Hyperlink"/>
    <w:basedOn w:val="DefaultParagraphFont"/>
    <w:uiPriority w:val="99"/>
    <w:unhideWhenUsed/>
    <w:rsid w:val="00C0292E"/>
    <w:rPr>
      <w:color w:val="0563C1" w:themeColor="hyperlink"/>
      <w:u w:val="single"/>
    </w:rPr>
  </w:style>
  <w:style w:type="character" w:customStyle="1" w:styleId="UnresolvedMention">
    <w:name w:val="Unresolved Mention"/>
    <w:basedOn w:val="DefaultParagraphFont"/>
    <w:uiPriority w:val="99"/>
    <w:semiHidden/>
    <w:unhideWhenUsed/>
    <w:rsid w:val="00C0292E"/>
    <w:rPr>
      <w:color w:val="605E5C"/>
      <w:shd w:val="clear" w:color="auto" w:fill="E1DFDD"/>
    </w:rPr>
  </w:style>
  <w:style w:type="paragraph" w:styleId="Header">
    <w:name w:val="header"/>
    <w:basedOn w:val="Normal"/>
    <w:link w:val="HeaderChar"/>
    <w:unhideWhenUsed/>
    <w:rsid w:val="008B17AB"/>
    <w:pPr>
      <w:tabs>
        <w:tab w:val="center" w:pos="4680"/>
        <w:tab w:val="right" w:pos="9360"/>
      </w:tabs>
    </w:pPr>
  </w:style>
  <w:style w:type="character" w:customStyle="1" w:styleId="HeaderChar">
    <w:name w:val="Header Char"/>
    <w:basedOn w:val="DefaultParagraphFont"/>
    <w:link w:val="Header"/>
    <w:rsid w:val="008B17AB"/>
  </w:style>
  <w:style w:type="paragraph" w:styleId="Footer">
    <w:name w:val="footer"/>
    <w:basedOn w:val="Normal"/>
    <w:link w:val="FooterChar"/>
    <w:uiPriority w:val="99"/>
    <w:unhideWhenUsed/>
    <w:rsid w:val="008B17AB"/>
    <w:pPr>
      <w:tabs>
        <w:tab w:val="center" w:pos="4680"/>
        <w:tab w:val="right" w:pos="9360"/>
      </w:tabs>
    </w:pPr>
  </w:style>
  <w:style w:type="character" w:customStyle="1" w:styleId="FooterChar">
    <w:name w:val="Footer Char"/>
    <w:basedOn w:val="DefaultParagraphFont"/>
    <w:link w:val="Footer"/>
    <w:uiPriority w:val="99"/>
    <w:rsid w:val="008B17AB"/>
  </w:style>
  <w:style w:type="paragraph" w:styleId="FootnoteText">
    <w:name w:val="footnote text"/>
    <w:basedOn w:val="Normal"/>
    <w:link w:val="FootnoteTextChar"/>
    <w:uiPriority w:val="99"/>
    <w:semiHidden/>
    <w:unhideWhenUsed/>
    <w:rsid w:val="00024729"/>
    <w:rPr>
      <w:sz w:val="20"/>
      <w:szCs w:val="20"/>
    </w:rPr>
  </w:style>
  <w:style w:type="character" w:customStyle="1" w:styleId="FootnoteTextChar">
    <w:name w:val="Footnote Text Char"/>
    <w:basedOn w:val="DefaultParagraphFont"/>
    <w:link w:val="FootnoteText"/>
    <w:uiPriority w:val="99"/>
    <w:semiHidden/>
    <w:rsid w:val="00024729"/>
    <w:rPr>
      <w:sz w:val="20"/>
      <w:szCs w:val="20"/>
    </w:rPr>
  </w:style>
  <w:style w:type="character" w:styleId="FootnoteReference">
    <w:name w:val="footnote reference"/>
    <w:basedOn w:val="DefaultParagraphFont"/>
    <w:uiPriority w:val="99"/>
    <w:semiHidden/>
    <w:unhideWhenUsed/>
    <w:rsid w:val="00024729"/>
    <w:rPr>
      <w:vertAlign w:val="superscript"/>
    </w:rPr>
  </w:style>
  <w:style w:type="character" w:styleId="FollowedHyperlink">
    <w:name w:val="FollowedHyperlink"/>
    <w:basedOn w:val="DefaultParagraphFont"/>
    <w:uiPriority w:val="99"/>
    <w:semiHidden/>
    <w:unhideWhenUsed/>
    <w:rsid w:val="00AF176B"/>
    <w:rPr>
      <w:color w:val="954F72" w:themeColor="followedHyperlink"/>
      <w:u w:val="single"/>
    </w:rPr>
  </w:style>
  <w:style w:type="paragraph" w:styleId="Revision">
    <w:name w:val="Revision"/>
    <w:hidden/>
    <w:uiPriority w:val="99"/>
    <w:semiHidden/>
    <w:rsid w:val="0042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7804">
      <w:bodyDiv w:val="1"/>
      <w:marLeft w:val="0"/>
      <w:marRight w:val="0"/>
      <w:marTop w:val="0"/>
      <w:marBottom w:val="0"/>
      <w:divBdr>
        <w:top w:val="none" w:sz="0" w:space="0" w:color="auto"/>
        <w:left w:val="none" w:sz="0" w:space="0" w:color="auto"/>
        <w:bottom w:val="none" w:sz="0" w:space="0" w:color="auto"/>
        <w:right w:val="none" w:sz="0" w:space="0" w:color="auto"/>
      </w:divBdr>
    </w:div>
    <w:div w:id="16418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building-toward-racial-justice-and-equity-in-health-a-call-to-action/download" TargetMode="External"/><Relationship Id="rId3" Type="http://schemas.openxmlformats.org/officeDocument/2006/relationships/hyperlink" Target="https://www.mass.gov/doc/2016-examination-of-market-health-care-cost-trends-and-cost-drivers/download" TargetMode="External"/><Relationship Id="rId7" Type="http://schemas.openxmlformats.org/officeDocument/2006/relationships/hyperlink" Target="https://www.mass.gov/doc/mass-general-brigham-incorporated-multisite-responses-to-don-questions-1/download" TargetMode="External"/><Relationship Id="rId2" Type="http://schemas.openxmlformats.org/officeDocument/2006/relationships/hyperlink" Target="https://www.mass.gov/doc/2021-examination-of-health-care-cost-trends-and-cost-drivers/download" TargetMode="External"/><Relationship Id="rId1" Type="http://schemas.openxmlformats.org/officeDocument/2006/relationships/hyperlink" Target="https://www.mass.gov/lists/reports-on-health-care-cost-trends-and-cost-drivers" TargetMode="External"/><Relationship Id="rId6" Type="http://schemas.openxmlformats.org/officeDocument/2006/relationships/hyperlink" Target="https://www.mercer.us/content/dam/mercer/assets/content-images/north-america/united-states/us-healthcare-news/us-2021-healthcare-labor-market-whitepaper.pdf" TargetMode="External"/><Relationship Id="rId5" Type="http://schemas.openxmlformats.org/officeDocument/2006/relationships/hyperlink" Target="https://www.bostonglobe.com/2021/10/02/business/vaccine-mandates-hit-amid-historic-health-care-staff-shortage" TargetMode="External"/><Relationship Id="rId4" Type="http://schemas.openxmlformats.org/officeDocument/2006/relationships/hyperlink" Target="https://www.mass.gov/doc/partners-healthcare-system-2019-pre-filed-testimony-ago-provider-exhibit-2/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3448-44CA-4200-9193-42492586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2022-01-28T14:44:00Z</dcterms:created>
  <dcterms:modified xsi:type="dcterms:W3CDTF">2022-01-28T15:32:00Z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