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576" w:rsidRDefault="00DC4576" w:rsidP="00875C0E">
      <w:pPr>
        <w:spacing w:line="240" w:lineRule="auto"/>
        <w:ind w:firstLine="0"/>
        <w:rPr>
          <w:rFonts w:cs="Times New Roman"/>
          <w:b/>
        </w:rPr>
      </w:pPr>
      <w:bookmarkStart w:id="0" w:name="_GoBack"/>
      <w:bookmarkEnd w:id="0"/>
    </w:p>
    <w:p w:rsidR="00D02383" w:rsidRDefault="00D02383" w:rsidP="00875C0E">
      <w:pPr>
        <w:spacing w:line="240" w:lineRule="auto"/>
        <w:ind w:firstLine="0"/>
        <w:rPr>
          <w:rFonts w:cs="Times New Roman"/>
          <w:b/>
        </w:rPr>
      </w:pPr>
    </w:p>
    <w:p w:rsidR="00423CE5" w:rsidRPr="001E40EF" w:rsidRDefault="00875C0E" w:rsidP="00875C0E">
      <w:pPr>
        <w:spacing w:line="240" w:lineRule="auto"/>
        <w:ind w:firstLine="0"/>
        <w:rPr>
          <w:rFonts w:cs="Times New Roman"/>
        </w:rPr>
      </w:pPr>
      <w:r w:rsidRPr="00875C0E">
        <w:rPr>
          <w:rFonts w:cs="Times New Roman"/>
          <w:b/>
        </w:rPr>
        <w:t xml:space="preserve">Daniel </w:t>
      </w:r>
      <w:r w:rsidR="00311A30">
        <w:rPr>
          <w:rFonts w:cs="Times New Roman"/>
          <w:b/>
        </w:rPr>
        <w:t xml:space="preserve">S. </w:t>
      </w:r>
      <w:r w:rsidRPr="00875C0E">
        <w:rPr>
          <w:rFonts w:cs="Times New Roman"/>
          <w:b/>
        </w:rPr>
        <w:t>Auer</w:t>
      </w:r>
      <w:r w:rsidRPr="00311A30">
        <w:rPr>
          <w:rFonts w:cs="Times New Roman"/>
          <w:b/>
        </w:rPr>
        <w:t>,</w:t>
      </w:r>
      <w:r w:rsidR="00311A30" w:rsidRPr="00311A30">
        <w:rPr>
          <w:rFonts w:cs="Times New Roman"/>
          <w:b/>
        </w:rPr>
        <w:t xml:space="preserve"> Jr.</w:t>
      </w:r>
      <w:r w:rsidR="00311A30">
        <w:rPr>
          <w:rFonts w:cs="Times New Roman"/>
          <w:b/>
        </w:rPr>
        <w:t>,</w:t>
      </w:r>
    </w:p>
    <w:p w:rsidR="006318FA" w:rsidRDefault="00423CE5" w:rsidP="006318FA">
      <w:pPr>
        <w:spacing w:line="240" w:lineRule="auto"/>
        <w:rPr>
          <w:rFonts w:cs="Times New Roman"/>
        </w:rPr>
      </w:pPr>
      <w:r w:rsidRPr="001E40EF">
        <w:rPr>
          <w:rFonts w:cs="Times New Roman"/>
        </w:rPr>
        <w:t>Petitioner</w:t>
      </w:r>
    </w:p>
    <w:p w:rsidR="006318FA" w:rsidRDefault="006318FA" w:rsidP="006318FA">
      <w:pPr>
        <w:spacing w:line="240" w:lineRule="auto"/>
        <w:rPr>
          <w:rFonts w:cs="Times New Roman"/>
        </w:rPr>
      </w:pPr>
    </w:p>
    <w:p w:rsidR="00423CE5" w:rsidRDefault="00423CE5" w:rsidP="006318FA">
      <w:pPr>
        <w:spacing w:line="240" w:lineRule="auto"/>
        <w:rPr>
          <w:rFonts w:cs="Times New Roman"/>
        </w:rPr>
      </w:pPr>
      <w:r w:rsidRPr="001E40EF">
        <w:rPr>
          <w:rFonts w:cs="Times New Roman"/>
        </w:rPr>
        <w:t>v.</w:t>
      </w:r>
    </w:p>
    <w:p w:rsidR="006318FA" w:rsidRPr="001E40EF" w:rsidRDefault="006318FA" w:rsidP="006318FA">
      <w:pPr>
        <w:spacing w:line="240" w:lineRule="auto"/>
        <w:rPr>
          <w:rFonts w:cs="Times New Roman"/>
        </w:rPr>
      </w:pPr>
    </w:p>
    <w:p w:rsidR="00423CE5" w:rsidRPr="001E40EF" w:rsidRDefault="00875C0E" w:rsidP="00875C0E">
      <w:pPr>
        <w:spacing w:line="240" w:lineRule="auto"/>
        <w:ind w:firstLine="0"/>
        <w:rPr>
          <w:rFonts w:cs="Times New Roman"/>
        </w:rPr>
      </w:pPr>
      <w:r w:rsidRPr="00875C0E">
        <w:rPr>
          <w:rFonts w:cs="Times New Roman"/>
          <w:b/>
        </w:rPr>
        <w:t>State Board of Retirement</w:t>
      </w:r>
      <w:r w:rsidRPr="00311A30">
        <w:rPr>
          <w:rFonts w:cs="Times New Roman"/>
          <w:b/>
        </w:rPr>
        <w:t>,</w:t>
      </w:r>
    </w:p>
    <w:p w:rsidR="00423CE5" w:rsidRPr="001E40EF" w:rsidRDefault="00423CE5" w:rsidP="00875C0E">
      <w:pPr>
        <w:spacing w:line="240" w:lineRule="auto"/>
        <w:ind w:firstLine="0"/>
        <w:rPr>
          <w:rFonts w:cs="Times New Roman"/>
        </w:rPr>
      </w:pPr>
      <w:r w:rsidRPr="001E40EF">
        <w:rPr>
          <w:rFonts w:cs="Times New Roman"/>
        </w:rPr>
        <w:tab/>
        <w:t>Respondent</w:t>
      </w:r>
    </w:p>
    <w:p w:rsidR="00B05AB0" w:rsidRDefault="00423CE5" w:rsidP="00B05AB0">
      <w:pPr>
        <w:rPr>
          <w:rFonts w:cs="Times New Roman"/>
        </w:rPr>
      </w:pPr>
      <w:r w:rsidRPr="001E40EF">
        <w:rPr>
          <w:rFonts w:cs="Times New Roman"/>
        </w:rPr>
        <w:br w:type="column"/>
      </w:r>
    </w:p>
    <w:p w:rsidR="00D02383" w:rsidRDefault="00D02383" w:rsidP="00B05AB0">
      <w:pPr>
        <w:ind w:firstLine="0"/>
        <w:rPr>
          <w:rFonts w:cs="Times New Roman"/>
        </w:rPr>
      </w:pPr>
    </w:p>
    <w:p w:rsidR="00423CE5" w:rsidRPr="001E40EF" w:rsidRDefault="006318FA" w:rsidP="00B05AB0">
      <w:pPr>
        <w:ind w:firstLine="0"/>
        <w:rPr>
          <w:rFonts w:cs="Times New Roman"/>
        </w:rPr>
      </w:pPr>
      <w:r>
        <w:rPr>
          <w:rFonts w:cs="Times New Roman"/>
        </w:rPr>
        <w:t>D</w:t>
      </w:r>
      <w:r w:rsidR="00423CE5" w:rsidRPr="001E40EF">
        <w:rPr>
          <w:rFonts w:cs="Times New Roman"/>
        </w:rPr>
        <w:t>ocket No.</w:t>
      </w:r>
      <w:r w:rsidR="00875C0E">
        <w:rPr>
          <w:rFonts w:cs="Times New Roman"/>
        </w:rPr>
        <w:t xml:space="preserve"> CR-18-0247</w:t>
      </w:r>
    </w:p>
    <w:p w:rsidR="00423CE5" w:rsidRDefault="00423CE5" w:rsidP="00CB3041">
      <w:pPr>
        <w:ind w:firstLine="0"/>
        <w:rPr>
          <w:rFonts w:cs="Times New Roman"/>
        </w:rPr>
      </w:pPr>
      <w:r w:rsidRPr="001E40EF">
        <w:rPr>
          <w:rFonts w:cs="Times New Roman"/>
        </w:rPr>
        <w:t>Dated:</w:t>
      </w:r>
      <w:r w:rsidR="00CB3041">
        <w:rPr>
          <w:rFonts w:cs="Times New Roman"/>
        </w:rPr>
        <w:t xml:space="preserve"> September 27, 2019</w:t>
      </w:r>
    </w:p>
    <w:p w:rsidR="00CB3041" w:rsidRPr="001E40EF" w:rsidRDefault="00CB3041" w:rsidP="00CB3041">
      <w:pPr>
        <w:ind w:firstLine="0"/>
        <w:rPr>
          <w:rFonts w:cs="Times New Roman"/>
        </w:rPr>
        <w:sectPr w:rsidR="00CB3041" w:rsidRPr="001E40EF" w:rsidSect="00311A30">
          <w:headerReference w:type="default" r:id="rId9"/>
          <w:footerReference w:type="default" r:id="rId10"/>
          <w:headerReference w:type="first" r:id="rId11"/>
          <w:pgSz w:w="12240" w:h="15840"/>
          <w:pgMar w:top="1440" w:right="1440" w:bottom="1440" w:left="1440" w:header="720" w:footer="720" w:gutter="0"/>
          <w:cols w:num="2" w:space="720"/>
          <w:titlePg/>
          <w:docGrid w:linePitch="360"/>
        </w:sectPr>
      </w:pPr>
    </w:p>
    <w:p w:rsidR="00DC4576" w:rsidRDefault="00DC4576" w:rsidP="00DC4576">
      <w:pPr>
        <w:spacing w:line="240" w:lineRule="auto"/>
        <w:ind w:firstLine="0"/>
        <w:rPr>
          <w:rFonts w:cs="Times New Roman"/>
          <w:b/>
        </w:rPr>
      </w:pPr>
    </w:p>
    <w:p w:rsidR="00D02383" w:rsidRDefault="00D02383" w:rsidP="00DC4576">
      <w:pPr>
        <w:spacing w:line="240" w:lineRule="auto"/>
        <w:ind w:firstLine="0"/>
        <w:rPr>
          <w:rFonts w:cs="Times New Roman"/>
          <w:b/>
        </w:rPr>
      </w:pPr>
    </w:p>
    <w:p w:rsidR="008544CD" w:rsidRDefault="008544CD" w:rsidP="00DC4576">
      <w:pPr>
        <w:spacing w:line="240" w:lineRule="auto"/>
        <w:ind w:firstLine="0"/>
        <w:rPr>
          <w:rFonts w:cs="Times New Roman"/>
          <w:b/>
        </w:rPr>
      </w:pPr>
    </w:p>
    <w:p w:rsidR="00423CE5" w:rsidRPr="001E40EF" w:rsidRDefault="00B05AB0" w:rsidP="00DC4576">
      <w:pPr>
        <w:spacing w:line="240" w:lineRule="auto"/>
        <w:ind w:firstLine="0"/>
        <w:rPr>
          <w:rFonts w:cs="Times New Roman"/>
          <w:b/>
        </w:rPr>
      </w:pPr>
      <w:r>
        <w:rPr>
          <w:rFonts w:cs="Times New Roman"/>
          <w:b/>
        </w:rPr>
        <w:t>A</w:t>
      </w:r>
      <w:r w:rsidR="00423CE5" w:rsidRPr="001E40EF">
        <w:rPr>
          <w:rFonts w:cs="Times New Roman"/>
          <w:b/>
        </w:rPr>
        <w:t>ppearance for the Petitioner:</w:t>
      </w:r>
    </w:p>
    <w:p w:rsidR="00423CE5" w:rsidRDefault="00875C0E" w:rsidP="00B05AB0">
      <w:pPr>
        <w:spacing w:line="240" w:lineRule="auto"/>
        <w:ind w:firstLine="0"/>
        <w:rPr>
          <w:rFonts w:cs="Times New Roman"/>
        </w:rPr>
      </w:pPr>
      <w:r w:rsidRPr="00875C0E">
        <w:rPr>
          <w:rFonts w:cs="Times New Roman"/>
        </w:rPr>
        <w:t>Pro se</w:t>
      </w:r>
    </w:p>
    <w:p w:rsidR="00B05AB0" w:rsidRDefault="00B05AB0" w:rsidP="00B05AB0">
      <w:pPr>
        <w:spacing w:line="240" w:lineRule="auto"/>
        <w:ind w:firstLine="0"/>
        <w:rPr>
          <w:rFonts w:cs="Times New Roman"/>
        </w:rPr>
      </w:pPr>
      <w:r>
        <w:rPr>
          <w:rFonts w:cs="Times New Roman"/>
        </w:rPr>
        <w:t>30 Plain St.</w:t>
      </w:r>
    </w:p>
    <w:p w:rsidR="00B05AB0" w:rsidRPr="00875C0E" w:rsidRDefault="00B05AB0" w:rsidP="00B05AB0">
      <w:pPr>
        <w:spacing w:line="240" w:lineRule="auto"/>
        <w:ind w:firstLine="0"/>
        <w:rPr>
          <w:rFonts w:cs="Times New Roman"/>
        </w:rPr>
      </w:pPr>
      <w:r>
        <w:rPr>
          <w:rFonts w:cs="Times New Roman"/>
        </w:rPr>
        <w:t>Attleboro, MA 02703</w:t>
      </w:r>
    </w:p>
    <w:p w:rsidR="00B05AB0" w:rsidRDefault="00B05AB0" w:rsidP="00B05AB0">
      <w:pPr>
        <w:spacing w:line="240" w:lineRule="auto"/>
        <w:ind w:firstLine="0"/>
        <w:rPr>
          <w:rFonts w:cs="Times New Roman"/>
          <w:b/>
        </w:rPr>
      </w:pPr>
    </w:p>
    <w:p w:rsidR="00423CE5" w:rsidRPr="001E40EF" w:rsidRDefault="00423CE5" w:rsidP="00B05AB0">
      <w:pPr>
        <w:spacing w:line="240" w:lineRule="auto"/>
        <w:ind w:firstLine="0"/>
        <w:rPr>
          <w:rFonts w:cs="Times New Roman"/>
          <w:b/>
        </w:rPr>
      </w:pPr>
      <w:r w:rsidRPr="001E40EF">
        <w:rPr>
          <w:rFonts w:cs="Times New Roman"/>
          <w:b/>
        </w:rPr>
        <w:t>Appearance for the Respondent:</w:t>
      </w:r>
    </w:p>
    <w:p w:rsidR="00423CE5" w:rsidRDefault="00875C0E" w:rsidP="00875C0E">
      <w:pPr>
        <w:spacing w:line="240" w:lineRule="auto"/>
        <w:ind w:firstLine="0"/>
        <w:rPr>
          <w:rFonts w:cs="Times New Roman"/>
        </w:rPr>
      </w:pPr>
      <w:r>
        <w:rPr>
          <w:rFonts w:cs="Times New Roman"/>
        </w:rPr>
        <w:t>James Salvie, Esq.</w:t>
      </w:r>
    </w:p>
    <w:p w:rsidR="00875C0E" w:rsidRDefault="00875C0E" w:rsidP="00875C0E">
      <w:pPr>
        <w:spacing w:line="240" w:lineRule="auto"/>
        <w:ind w:firstLine="0"/>
        <w:rPr>
          <w:rFonts w:cs="Times New Roman"/>
        </w:rPr>
      </w:pPr>
      <w:r>
        <w:rPr>
          <w:rFonts w:cs="Times New Roman"/>
        </w:rPr>
        <w:t>State Board of Retirement</w:t>
      </w:r>
    </w:p>
    <w:p w:rsidR="00875C0E" w:rsidRDefault="00875C0E" w:rsidP="00875C0E">
      <w:pPr>
        <w:spacing w:line="240" w:lineRule="auto"/>
        <w:ind w:firstLine="0"/>
        <w:rPr>
          <w:rFonts w:cs="Times New Roman"/>
        </w:rPr>
      </w:pPr>
      <w:r>
        <w:rPr>
          <w:rFonts w:cs="Times New Roman"/>
        </w:rPr>
        <w:t>One Winter St.</w:t>
      </w:r>
    </w:p>
    <w:p w:rsidR="00875C0E" w:rsidRPr="00875C0E" w:rsidRDefault="00875C0E" w:rsidP="00875C0E">
      <w:pPr>
        <w:spacing w:line="240" w:lineRule="auto"/>
        <w:ind w:firstLine="0"/>
        <w:rPr>
          <w:rFonts w:cs="Times New Roman"/>
        </w:rPr>
      </w:pPr>
      <w:r>
        <w:rPr>
          <w:rFonts w:cs="Times New Roman"/>
        </w:rPr>
        <w:t>Boston, MA 02108</w:t>
      </w:r>
    </w:p>
    <w:p w:rsidR="00B05AB0" w:rsidRDefault="00B05AB0" w:rsidP="00B05AB0">
      <w:pPr>
        <w:spacing w:line="240" w:lineRule="auto"/>
        <w:ind w:firstLine="0"/>
        <w:rPr>
          <w:rFonts w:cs="Times New Roman"/>
          <w:b/>
        </w:rPr>
      </w:pPr>
    </w:p>
    <w:p w:rsidR="00423CE5" w:rsidRPr="001E40EF" w:rsidRDefault="00423CE5" w:rsidP="00B05AB0">
      <w:pPr>
        <w:spacing w:line="240" w:lineRule="auto"/>
        <w:ind w:firstLine="0"/>
        <w:rPr>
          <w:rFonts w:cs="Times New Roman"/>
          <w:b/>
        </w:rPr>
      </w:pPr>
      <w:r w:rsidRPr="001E40EF">
        <w:rPr>
          <w:rFonts w:cs="Times New Roman"/>
          <w:b/>
        </w:rPr>
        <w:t>Administrative Magistrate:</w:t>
      </w:r>
    </w:p>
    <w:p w:rsidR="00B05AB0" w:rsidRDefault="00B05AB0" w:rsidP="00B05AB0">
      <w:pPr>
        <w:spacing w:line="240" w:lineRule="auto"/>
        <w:ind w:firstLine="0"/>
        <w:rPr>
          <w:rFonts w:cs="Times New Roman"/>
          <w:b/>
        </w:rPr>
      </w:pPr>
    </w:p>
    <w:p w:rsidR="00423CE5" w:rsidRDefault="00423CE5" w:rsidP="00B05AB0">
      <w:pPr>
        <w:spacing w:line="240" w:lineRule="auto"/>
        <w:ind w:firstLine="0"/>
        <w:rPr>
          <w:rFonts w:cs="Times New Roman"/>
          <w:b/>
        </w:rPr>
      </w:pPr>
      <w:r w:rsidRPr="001E40EF">
        <w:rPr>
          <w:rFonts w:cs="Times New Roman"/>
          <w:b/>
        </w:rPr>
        <w:t>Kristin M. Palace, Esq.</w:t>
      </w:r>
    </w:p>
    <w:p w:rsidR="00B05AB0" w:rsidRDefault="00B05AB0" w:rsidP="00B05AB0">
      <w:pPr>
        <w:spacing w:line="240" w:lineRule="auto"/>
        <w:ind w:firstLine="0"/>
        <w:rPr>
          <w:rFonts w:cs="Times New Roman"/>
          <w:b/>
        </w:rPr>
      </w:pPr>
    </w:p>
    <w:p w:rsidR="00D02383" w:rsidRDefault="00D02383" w:rsidP="00B05AB0">
      <w:pPr>
        <w:spacing w:line="240" w:lineRule="auto"/>
        <w:ind w:firstLine="0"/>
        <w:rPr>
          <w:rFonts w:cs="Times New Roman"/>
          <w:b/>
        </w:rPr>
      </w:pPr>
    </w:p>
    <w:p w:rsidR="008544CD" w:rsidRPr="001E40EF" w:rsidRDefault="008544CD" w:rsidP="00B05AB0">
      <w:pPr>
        <w:spacing w:line="240" w:lineRule="auto"/>
        <w:ind w:firstLine="0"/>
        <w:rPr>
          <w:rFonts w:cs="Times New Roman"/>
          <w:b/>
        </w:rPr>
      </w:pPr>
    </w:p>
    <w:p w:rsidR="00423CE5" w:rsidRDefault="00423CE5" w:rsidP="00CB3041">
      <w:pPr>
        <w:ind w:firstLine="0"/>
        <w:jc w:val="center"/>
        <w:rPr>
          <w:rFonts w:cs="Times New Roman"/>
          <w:b/>
        </w:rPr>
      </w:pPr>
      <w:r w:rsidRPr="001E40EF">
        <w:rPr>
          <w:rFonts w:cs="Times New Roman"/>
          <w:b/>
        </w:rPr>
        <w:t>SUMMARY OF DECISION</w:t>
      </w:r>
      <w:r w:rsidR="00DC2816">
        <w:rPr>
          <w:rFonts w:cs="Times New Roman"/>
          <w:b/>
        </w:rPr>
        <w:t xml:space="preserve"> ON RECONSIDERATION</w:t>
      </w:r>
    </w:p>
    <w:p w:rsidR="009E6308" w:rsidRPr="009E6308" w:rsidRDefault="009E6308" w:rsidP="00DC4576">
      <w:pPr>
        <w:rPr>
          <w:rFonts w:cs="Times New Roman"/>
        </w:rPr>
      </w:pPr>
      <w:r>
        <w:rPr>
          <w:rFonts w:cs="Times New Roman"/>
        </w:rPr>
        <w:t>The State Board of Retirement</w:t>
      </w:r>
      <w:r w:rsidR="00D80E1C">
        <w:rPr>
          <w:rFonts w:cs="Times New Roman"/>
        </w:rPr>
        <w:t xml:space="preserve">’s motion for reconsideration of a decision reversing its </w:t>
      </w:r>
      <w:r>
        <w:rPr>
          <w:rFonts w:cs="Times New Roman"/>
        </w:rPr>
        <w:t xml:space="preserve"> calculat</w:t>
      </w:r>
      <w:r w:rsidR="00D80E1C">
        <w:rPr>
          <w:rFonts w:cs="Times New Roman"/>
        </w:rPr>
        <w:t>ion of</w:t>
      </w:r>
      <w:r>
        <w:rPr>
          <w:rFonts w:cs="Times New Roman"/>
        </w:rPr>
        <w:t xml:space="preserve"> a Correction Officer’s retirement allowance with reference to an 18 month period preceding retirement rather than the </w:t>
      </w:r>
      <w:r w:rsidR="00DC4576">
        <w:rPr>
          <w:rFonts w:cs="Times New Roman"/>
        </w:rPr>
        <w:t>12</w:t>
      </w:r>
      <w:r>
        <w:rPr>
          <w:rFonts w:cs="Times New Roman"/>
        </w:rPr>
        <w:t xml:space="preserve"> month period prescribed by M.G.L. c. 32, §</w:t>
      </w:r>
      <w:r w:rsidR="00C23ED3">
        <w:rPr>
          <w:rFonts w:cs="Times New Roman"/>
        </w:rPr>
        <w:t xml:space="preserve"> </w:t>
      </w:r>
      <w:r>
        <w:rPr>
          <w:rFonts w:cs="Times New Roman"/>
        </w:rPr>
        <w:t>28M</w:t>
      </w:r>
      <w:r w:rsidR="00D80E1C">
        <w:rPr>
          <w:rFonts w:cs="Times New Roman"/>
        </w:rPr>
        <w:t xml:space="preserve"> is denied. </w:t>
      </w:r>
    </w:p>
    <w:p w:rsidR="00423CE5" w:rsidRDefault="00423CE5" w:rsidP="00CB3041">
      <w:pPr>
        <w:ind w:firstLine="0"/>
        <w:jc w:val="center"/>
        <w:rPr>
          <w:rFonts w:cs="Times New Roman"/>
          <w:b/>
        </w:rPr>
      </w:pPr>
      <w:r w:rsidRPr="001E40EF">
        <w:rPr>
          <w:rFonts w:cs="Times New Roman"/>
          <w:b/>
        </w:rPr>
        <w:t>DECISION</w:t>
      </w:r>
      <w:r w:rsidR="00DC2816">
        <w:rPr>
          <w:rFonts w:cs="Times New Roman"/>
          <w:b/>
        </w:rPr>
        <w:t xml:space="preserve"> ON RECONSIDERATION</w:t>
      </w:r>
    </w:p>
    <w:p w:rsidR="00DC2816" w:rsidRDefault="00DC2816" w:rsidP="00875C0E">
      <w:pPr>
        <w:rPr>
          <w:rFonts w:cs="Times New Roman"/>
        </w:rPr>
      </w:pPr>
      <w:r>
        <w:rPr>
          <w:rFonts w:cs="Times New Roman"/>
        </w:rPr>
        <w:t>On August 2, 2019, I reversed a decision of the State Board of Retirement (the “Board”)</w:t>
      </w:r>
      <w:r w:rsidR="00DC4576">
        <w:rPr>
          <w:rFonts w:cs="Times New Roman"/>
        </w:rPr>
        <w:t>.</w:t>
      </w:r>
      <w:r>
        <w:rPr>
          <w:rFonts w:cs="Times New Roman"/>
        </w:rPr>
        <w:t xml:space="preserve"> </w:t>
      </w:r>
      <w:r w:rsidR="00DC4576">
        <w:rPr>
          <w:rFonts w:cs="Times New Roman"/>
        </w:rPr>
        <w:t>The Board’s decision had</w:t>
      </w:r>
      <w:r>
        <w:rPr>
          <w:rFonts w:cs="Times New Roman"/>
        </w:rPr>
        <w:t xml:space="preserve"> calculated</w:t>
      </w:r>
      <w:r w:rsidR="00DC4576">
        <w:rPr>
          <w:rFonts w:cs="Times New Roman"/>
        </w:rPr>
        <w:t xml:space="preserve"> the Petitioner’s </w:t>
      </w:r>
      <w:r>
        <w:rPr>
          <w:rFonts w:cs="Times New Roman"/>
        </w:rPr>
        <w:t xml:space="preserve">retirement allowance with reference to an </w:t>
      </w:r>
      <w:r>
        <w:rPr>
          <w:rFonts w:cs="Times New Roman"/>
        </w:rPr>
        <w:lastRenderedPageBreak/>
        <w:t xml:space="preserve">18 month period preceding his retirement rather than the </w:t>
      </w:r>
      <w:r w:rsidR="00DC4576">
        <w:rPr>
          <w:rFonts w:cs="Times New Roman"/>
        </w:rPr>
        <w:t>12</w:t>
      </w:r>
      <w:r>
        <w:rPr>
          <w:rFonts w:cs="Times New Roman"/>
        </w:rPr>
        <w:t xml:space="preserve"> month period prescribed by M.G.L. c. 32, § 28M.  On August 7, 2019, the Board moved for reconsideration.  Daniel Auer, the Petitioner, has not responded to the Board’s motion.</w:t>
      </w:r>
    </w:p>
    <w:p w:rsidR="00DC2816" w:rsidRDefault="00DC2816" w:rsidP="00AD5619">
      <w:pPr>
        <w:spacing w:after="240"/>
        <w:rPr>
          <w:rFonts w:cs="Times New Roman"/>
        </w:rPr>
      </w:pPr>
      <w:r>
        <w:rPr>
          <w:rFonts w:cs="Times New Roman"/>
        </w:rPr>
        <w:t xml:space="preserve">The Board advances two arguments in </w:t>
      </w:r>
      <w:r w:rsidR="005E3FD4">
        <w:rPr>
          <w:rFonts w:cs="Times New Roman"/>
        </w:rPr>
        <w:t>support</w:t>
      </w:r>
      <w:r>
        <w:rPr>
          <w:rFonts w:cs="Times New Roman"/>
        </w:rPr>
        <w:t xml:space="preserve"> of granting reconsideration and vacating the previous decision: first, that I overlooked a decision of the Contributory Retirement Appeals Board, affirmed by the Superior Court, that specifically approved of the methodology used by the Board to make its calculations, and second, that if the Board were to perform the calculation in a manner consistent with my decision, the Petitioner’s retirement allowance would be lower than the amount the Board had previously calculated.  For the reasons explained below, the Board’s motion for reconsideration is denied.</w:t>
      </w:r>
    </w:p>
    <w:p w:rsidR="00D80E1C" w:rsidRDefault="00D80E1C" w:rsidP="00D80E1C">
      <w:pPr>
        <w:pStyle w:val="ListParagraph"/>
        <w:numPr>
          <w:ilvl w:val="0"/>
          <w:numId w:val="4"/>
        </w:numPr>
        <w:rPr>
          <w:rFonts w:cs="Times New Roman"/>
        </w:rPr>
      </w:pPr>
      <w:r>
        <w:rPr>
          <w:rFonts w:cs="Times New Roman"/>
        </w:rPr>
        <w:t>Standard for Reconsideration</w:t>
      </w:r>
    </w:p>
    <w:p w:rsidR="00D80E1C" w:rsidRDefault="00D80E1C" w:rsidP="00AD5619">
      <w:pPr>
        <w:spacing w:after="240"/>
        <w:rPr>
          <w:rFonts w:cs="Times New Roman"/>
        </w:rPr>
      </w:pPr>
      <w:r>
        <w:rPr>
          <w:rFonts w:cs="Times New Roman"/>
        </w:rPr>
        <w:t>The Formal Rules of the Standard Adjudicatory Rules of Practice and Procedure, 801 CMR 1.01</w:t>
      </w:r>
      <w:r w:rsidR="007F3DA3">
        <w:rPr>
          <w:rFonts w:cs="Times New Roman"/>
        </w:rPr>
        <w:t>,</w:t>
      </w:r>
      <w:r w:rsidR="00B05AB0">
        <w:rPr>
          <w:rFonts w:cs="Times New Roman"/>
        </w:rPr>
        <w:t xml:space="preserve"> provide that any p</w:t>
      </w:r>
      <w:r w:rsidR="007F3DA3">
        <w:rPr>
          <w:rFonts w:cs="Times New Roman"/>
        </w:rPr>
        <w:t>arty</w:t>
      </w:r>
      <w:r w:rsidR="00B05AB0">
        <w:rPr>
          <w:rFonts w:cs="Times New Roman"/>
        </w:rPr>
        <w:t xml:space="preserve"> to a proceeding</w:t>
      </w:r>
      <w:r w:rsidR="007F3DA3">
        <w:rPr>
          <w:rFonts w:cs="Times New Roman"/>
        </w:rPr>
        <w:t xml:space="preserve"> may move for reconsideration after a decision has been rendered. In order to succeed, the moving party must identify either a “clerical or mechanical error” in the decision or “a significant factor” that has been overlooked by the </w:t>
      </w:r>
      <w:r w:rsidR="00B05AB0">
        <w:rPr>
          <w:rFonts w:cs="Times New Roman"/>
        </w:rPr>
        <w:t>DALA Magistrate</w:t>
      </w:r>
      <w:r w:rsidR="007F3DA3">
        <w:rPr>
          <w:rFonts w:cs="Times New Roman"/>
        </w:rPr>
        <w:t xml:space="preserve">. </w:t>
      </w:r>
      <w:r w:rsidR="003E4FBC">
        <w:rPr>
          <w:rFonts w:cs="Times New Roman"/>
        </w:rPr>
        <w:t xml:space="preserve"> </w:t>
      </w:r>
      <w:r w:rsidR="007F3DA3">
        <w:rPr>
          <w:rFonts w:cs="Times New Roman"/>
        </w:rPr>
        <w:t>801 CMR 1.01(7)(l).</w:t>
      </w:r>
      <w:r>
        <w:rPr>
          <w:rFonts w:cs="Times New Roman"/>
        </w:rPr>
        <w:t xml:space="preserve"> </w:t>
      </w:r>
    </w:p>
    <w:p w:rsidR="009F6CDC" w:rsidRDefault="009F6CDC" w:rsidP="009F6CDC">
      <w:pPr>
        <w:pStyle w:val="ListParagraph"/>
        <w:numPr>
          <w:ilvl w:val="0"/>
          <w:numId w:val="4"/>
        </w:numPr>
        <w:rPr>
          <w:rFonts w:cs="Times New Roman"/>
        </w:rPr>
      </w:pPr>
      <w:r>
        <w:rPr>
          <w:rFonts w:cs="Times New Roman"/>
        </w:rPr>
        <w:t>The DALA Decision</w:t>
      </w:r>
    </w:p>
    <w:p w:rsidR="009F6CDC" w:rsidRDefault="009F6CDC" w:rsidP="00AD5619">
      <w:pPr>
        <w:pStyle w:val="ListParagraph"/>
        <w:spacing w:after="240"/>
        <w:ind w:left="0"/>
      </w:pPr>
      <w:r>
        <w:rPr>
          <w:rFonts w:cs="Times New Roman"/>
        </w:rPr>
        <w:t xml:space="preserve">The Petitioner appealed to DALA contesting the methodology by which the Board calculated his differential pay for the purpose of calculating his retirement allowance.  </w:t>
      </w:r>
      <w:r w:rsidR="0055195C">
        <w:rPr>
          <w:rFonts w:cs="Times New Roman"/>
        </w:rPr>
        <w:t>As a Corrections Office</w:t>
      </w:r>
      <w:r w:rsidR="00EA2A3A">
        <w:rPr>
          <w:rFonts w:cs="Times New Roman"/>
        </w:rPr>
        <w:t>r</w:t>
      </w:r>
      <w:r w:rsidR="0055195C">
        <w:rPr>
          <w:rFonts w:cs="Times New Roman"/>
        </w:rPr>
        <w:t xml:space="preserve">, the Petitioner was paid a salary plus additional compensation (his “differential pay”) for </w:t>
      </w:r>
      <w:r w:rsidR="0055195C">
        <w:t>holidays worked, roll call</w:t>
      </w:r>
      <w:r w:rsidR="00417D10">
        <w:t>s</w:t>
      </w:r>
      <w:r w:rsidR="0055195C">
        <w:t>, shift differentials, and longevity.</w:t>
      </w:r>
      <w:r w:rsidR="0055195C">
        <w:rPr>
          <w:rFonts w:cs="Times New Roman"/>
        </w:rPr>
        <w:t xml:space="preserve">  </w:t>
      </w:r>
      <w:r>
        <w:t xml:space="preserve">In calculating the Petitioner’s retirement allowance, the Board referenced the 12 months of </w:t>
      </w:r>
      <w:r>
        <w:lastRenderedPageBreak/>
        <w:t xml:space="preserve">Petitioner’s regular salary immediately preceding his retirement and arrived at an annual average for that salary.  </w:t>
      </w:r>
      <w:r w:rsidR="00417D10">
        <w:t xml:space="preserve">The Board used a different approach to determine the rate of differential pay </w:t>
      </w:r>
      <w:r w:rsidR="00EA2A3A">
        <w:t>credited towards Petitioner’s retirement allowance</w:t>
      </w:r>
      <w:r w:rsidR="00417D10">
        <w:t>. For this calculation</w:t>
      </w:r>
      <w:r w:rsidR="00EA2A3A">
        <w:t>,</w:t>
      </w:r>
      <w:r>
        <w:t xml:space="preserve"> the Board referenced </w:t>
      </w:r>
      <w:r w:rsidR="00EA2A3A">
        <w:t xml:space="preserve">the differential pay earned in the </w:t>
      </w:r>
      <w:r>
        <w:t xml:space="preserve">18 months </w:t>
      </w:r>
      <w:r w:rsidR="00417D10">
        <w:t>prior to</w:t>
      </w:r>
      <w:r>
        <w:t xml:space="preserve"> the Petitioner’s retirement.</w:t>
      </w:r>
      <w:r w:rsidR="00BE0B97">
        <w:t xml:space="preserve"> </w:t>
      </w:r>
      <w:r w:rsidR="00EA2A3A">
        <w:t>This longer horizon decreased the</w:t>
      </w:r>
      <w:r w:rsidR="00F11F68">
        <w:t xml:space="preserve"> average</w:t>
      </w:r>
      <w:r w:rsidR="00EA2A3A">
        <w:t xml:space="preserve"> amount of differential pay credited to the Petitioner. </w:t>
      </w:r>
      <w:r w:rsidR="00BE0B97">
        <w:t xml:space="preserve">The Petitioner </w:t>
      </w:r>
      <w:r w:rsidR="00F11F68">
        <w:t xml:space="preserve">appealed, </w:t>
      </w:r>
      <w:r w:rsidR="00BE0B97">
        <w:t>disput</w:t>
      </w:r>
      <w:r w:rsidR="00F11F68">
        <w:t>ing</w:t>
      </w:r>
      <w:r w:rsidR="00BE0B97">
        <w:t xml:space="preserve"> the Board’s right to “look back” further than 12 months prior to his retirement.</w:t>
      </w:r>
      <w:r>
        <w:t xml:space="preserve"> </w:t>
      </w:r>
      <w:r w:rsidR="00BE0B97">
        <w:t xml:space="preserve"> After careful consideration,</w:t>
      </w:r>
      <w:r>
        <w:t xml:space="preserve"> I concluded that M.G.L. c. 32, §</w:t>
      </w:r>
      <w:r w:rsidR="00097C87">
        <w:t xml:space="preserve"> </w:t>
      </w:r>
      <w:r w:rsidR="00CF2367">
        <w:t>28M</w:t>
      </w:r>
      <w:r>
        <w:t xml:space="preserve">, the statutory section under which the Petitioner retired, did not permit the Board to </w:t>
      </w:r>
      <w:r w:rsidR="00097C87">
        <w:t>include</w:t>
      </w:r>
      <w:r>
        <w:t xml:space="preserve"> </w:t>
      </w:r>
      <w:r w:rsidR="00097C87">
        <w:t xml:space="preserve">in its calculations </w:t>
      </w:r>
      <w:r>
        <w:t xml:space="preserve">compensation earned more than 12 months prior to </w:t>
      </w:r>
      <w:r w:rsidR="00BE0B97">
        <w:t>the Petitioner’s retirement</w:t>
      </w:r>
      <w:r w:rsidR="00097C87">
        <w:t xml:space="preserve">, </w:t>
      </w:r>
      <w:r w:rsidR="00BE0B97">
        <w:t xml:space="preserve">and </w:t>
      </w:r>
      <w:r w:rsidR="003E4FBC">
        <w:t xml:space="preserve">I </w:t>
      </w:r>
      <w:r w:rsidR="00BE0B97">
        <w:t>ordered the Board to recalculate the Petitioner’s retirement allowance making reference only to the differential pay he earned in the 12 months immediately preceding his retirement.</w:t>
      </w:r>
    </w:p>
    <w:p w:rsidR="00AD5619" w:rsidRPr="009F6CDC" w:rsidRDefault="00AD5619" w:rsidP="00AD5619">
      <w:pPr>
        <w:pStyle w:val="ListParagraph"/>
        <w:spacing w:after="240" w:line="240" w:lineRule="auto"/>
        <w:ind w:left="0"/>
        <w:rPr>
          <w:rFonts w:cs="Times New Roman"/>
        </w:rPr>
      </w:pPr>
    </w:p>
    <w:p w:rsidR="008D27D7" w:rsidRPr="00AD5619" w:rsidRDefault="00AD5619" w:rsidP="00AD5619">
      <w:pPr>
        <w:pStyle w:val="ListParagraph"/>
        <w:numPr>
          <w:ilvl w:val="0"/>
          <w:numId w:val="4"/>
        </w:numPr>
        <w:spacing w:before="240"/>
        <w:rPr>
          <w:rFonts w:cs="Times New Roman"/>
        </w:rPr>
      </w:pPr>
      <w:r w:rsidRPr="00AD5619">
        <w:rPr>
          <w:rFonts w:cs="Times New Roman"/>
        </w:rPr>
        <w:t>T</w:t>
      </w:r>
      <w:r w:rsidR="008D27D7" w:rsidRPr="00AD5619">
        <w:rPr>
          <w:rFonts w:cs="Times New Roman"/>
        </w:rPr>
        <w:t>he Calculation Methodology</w:t>
      </w:r>
    </w:p>
    <w:p w:rsidR="008D27D7" w:rsidRPr="008D27D7" w:rsidRDefault="008D27D7" w:rsidP="008D27D7">
      <w:pPr>
        <w:pStyle w:val="ListParagraph"/>
        <w:numPr>
          <w:ilvl w:val="0"/>
          <w:numId w:val="5"/>
        </w:numPr>
        <w:rPr>
          <w:rFonts w:cs="Times New Roman"/>
        </w:rPr>
      </w:pPr>
      <w:r w:rsidRPr="008D27D7">
        <w:rPr>
          <w:u w:val="single"/>
        </w:rPr>
        <w:t>Annual salary calculation</w:t>
      </w:r>
      <w:r>
        <w:t xml:space="preserve">. </w:t>
      </w:r>
    </w:p>
    <w:p w:rsidR="008D27D7" w:rsidRDefault="008D27D7" w:rsidP="008D27D7">
      <w:pPr>
        <w:rPr>
          <w:rFonts w:cs="Times New Roman"/>
        </w:rPr>
      </w:pPr>
      <w:r>
        <w:t xml:space="preserve">The calculation for the annual salary was not contested by the Petitioner, and thus it was not examined in my August 2, 2019 decision. The annualization method used by the Board to compute the Petitioner’s salary likely </w:t>
      </w:r>
      <w:r w:rsidR="00101BAF">
        <w:t>yields</w:t>
      </w:r>
      <w:r>
        <w:t xml:space="preserve"> only a slightly different </w:t>
      </w:r>
      <w:r w:rsidR="00101BAF">
        <w:t>amount</w:t>
      </w:r>
      <w:r>
        <w:t xml:space="preserve"> from what the Petitioner actually earned, and for this reason the Petitioner may not have challenged it. (The record does not contain an accounting of what the Petitioner’s actual salary was for the period 7/1/16 to 6/30/17.)  Because the calculation of annual salary did not include amounts earned in any period other than the 12 month period immediately preceding retirement, it was unaffected by my August 2, 2019 decision.</w:t>
      </w:r>
      <w:r w:rsidR="00DC2816" w:rsidRPr="008D27D7">
        <w:rPr>
          <w:rFonts w:cs="Times New Roman"/>
        </w:rPr>
        <w:t xml:space="preserve">  </w:t>
      </w:r>
    </w:p>
    <w:p w:rsidR="004A5BCE" w:rsidRDefault="004A5BCE" w:rsidP="008D27D7">
      <w:pPr>
        <w:rPr>
          <w:rFonts w:cs="Times New Roman"/>
        </w:rPr>
      </w:pPr>
      <w:r>
        <w:rPr>
          <w:rFonts w:cs="Times New Roman"/>
        </w:rPr>
        <w:lastRenderedPageBreak/>
        <w:t>The B</w:t>
      </w:r>
      <w:r w:rsidRPr="004A5BCE">
        <w:rPr>
          <w:rFonts w:cs="Times New Roman"/>
        </w:rPr>
        <w:t xml:space="preserve">oard’s method </w:t>
      </w:r>
      <w:r>
        <w:rPr>
          <w:rFonts w:cs="Times New Roman"/>
        </w:rPr>
        <w:t xml:space="preserve">for calculating the Petitioner’s annual salary </w:t>
      </w:r>
      <w:r w:rsidRPr="004A5BCE">
        <w:rPr>
          <w:rFonts w:cs="Times New Roman"/>
        </w:rPr>
        <w:t>begins with the yearly annual salary rate for each part of the 12 month period immediately preceding</w:t>
      </w:r>
      <w:r>
        <w:rPr>
          <w:rFonts w:cs="Times New Roman"/>
        </w:rPr>
        <w:t xml:space="preserve"> his</w:t>
      </w:r>
      <w:r w:rsidRPr="004A5BCE">
        <w:rPr>
          <w:rFonts w:cs="Times New Roman"/>
        </w:rPr>
        <w:t xml:space="preserve"> retirement in which a different rate was applicable, multiplies that rate by the number of days worked at that rate, adds all of the </w:t>
      </w:r>
      <w:r w:rsidR="00FC5C1A">
        <w:rPr>
          <w:rFonts w:cs="Times New Roman"/>
        </w:rPr>
        <w:t>products</w:t>
      </w:r>
      <w:r w:rsidRPr="004A5BCE">
        <w:rPr>
          <w:rFonts w:cs="Times New Roman"/>
        </w:rPr>
        <w:t xml:space="preserve"> together, and then divides the total by 365 days to arrive at a yearly rate.  Using this methodology, without including the differential pay earned by the Petitioner, the Board’s method of calculation yields a figure of $82,575.66 </w:t>
      </w:r>
      <w:r w:rsidR="003E4FBC">
        <w:rPr>
          <w:rFonts w:cs="Times New Roman"/>
        </w:rPr>
        <w:t>as</w:t>
      </w:r>
      <w:r w:rsidRPr="004A5BCE">
        <w:rPr>
          <w:rFonts w:cs="Times New Roman"/>
        </w:rPr>
        <w:t xml:space="preserve"> the </w:t>
      </w:r>
      <w:r w:rsidR="003E4FBC">
        <w:rPr>
          <w:rFonts w:cs="Times New Roman"/>
        </w:rPr>
        <w:t xml:space="preserve">Petitioner’s </w:t>
      </w:r>
      <w:r w:rsidRPr="004A5BCE">
        <w:rPr>
          <w:rFonts w:cs="Times New Roman"/>
        </w:rPr>
        <w:t>average annual salary over 12 months.</w:t>
      </w:r>
      <w:r>
        <w:rPr>
          <w:rFonts w:cs="Times New Roman"/>
        </w:rPr>
        <w:t xml:space="preserve">  The table below illustrates the calculation.</w:t>
      </w:r>
    </w:p>
    <w:tbl>
      <w:tblPr>
        <w:tblStyle w:val="TableGrid"/>
        <w:tblW w:w="0" w:type="auto"/>
        <w:tblInd w:w="720" w:type="dxa"/>
        <w:tblLook w:val="04A0" w:firstRow="1" w:lastRow="0" w:firstColumn="1" w:lastColumn="0" w:noHBand="0" w:noVBand="1"/>
      </w:tblPr>
      <w:tblGrid>
        <w:gridCol w:w="2268"/>
        <w:gridCol w:w="1400"/>
        <w:gridCol w:w="1874"/>
        <w:gridCol w:w="2396"/>
      </w:tblGrid>
      <w:tr w:rsidR="004A5BCE" w:rsidRPr="004A5BCE" w:rsidTr="004A5BCE">
        <w:tc>
          <w:tcPr>
            <w:tcW w:w="2268" w:type="dxa"/>
          </w:tcPr>
          <w:p w:rsidR="004A5BCE" w:rsidRPr="004A5BCE" w:rsidRDefault="004A5BCE" w:rsidP="004A5BCE">
            <w:pPr>
              <w:spacing w:line="240" w:lineRule="auto"/>
              <w:ind w:firstLine="0"/>
              <w:contextualSpacing/>
            </w:pPr>
            <w:r w:rsidRPr="004A5BCE">
              <w:t>Period of time</w:t>
            </w:r>
          </w:p>
        </w:tc>
        <w:tc>
          <w:tcPr>
            <w:tcW w:w="1400" w:type="dxa"/>
          </w:tcPr>
          <w:p w:rsidR="004A5BCE" w:rsidRPr="004A5BCE" w:rsidRDefault="004A5BCE" w:rsidP="004A5BCE">
            <w:pPr>
              <w:spacing w:line="240" w:lineRule="auto"/>
              <w:ind w:firstLine="0"/>
              <w:contextualSpacing/>
            </w:pPr>
            <w:r w:rsidRPr="004A5BCE">
              <w:t># of days in period</w:t>
            </w:r>
          </w:p>
        </w:tc>
        <w:tc>
          <w:tcPr>
            <w:tcW w:w="1874" w:type="dxa"/>
          </w:tcPr>
          <w:p w:rsidR="004A5BCE" w:rsidRPr="004A5BCE" w:rsidRDefault="004A5BCE" w:rsidP="004A5BCE">
            <w:pPr>
              <w:spacing w:line="240" w:lineRule="auto"/>
              <w:ind w:firstLine="0"/>
              <w:contextualSpacing/>
            </w:pPr>
            <w:r w:rsidRPr="004A5BCE">
              <w:t>Yearly salary rate for period</w:t>
            </w:r>
          </w:p>
        </w:tc>
        <w:tc>
          <w:tcPr>
            <w:tcW w:w="2396" w:type="dxa"/>
          </w:tcPr>
          <w:p w:rsidR="004A5BCE" w:rsidRPr="004A5BCE" w:rsidRDefault="004A5BCE" w:rsidP="004A5BCE">
            <w:pPr>
              <w:spacing w:line="240" w:lineRule="auto"/>
              <w:ind w:firstLine="0"/>
              <w:contextualSpacing/>
            </w:pPr>
            <w:r w:rsidRPr="004A5BCE">
              <w:t>(Yearly salary) x (# of days paid that rate)</w:t>
            </w:r>
          </w:p>
        </w:tc>
      </w:tr>
      <w:tr w:rsidR="004A5BCE" w:rsidRPr="004A5BCE" w:rsidTr="004A5BCE">
        <w:tc>
          <w:tcPr>
            <w:tcW w:w="2268" w:type="dxa"/>
          </w:tcPr>
          <w:p w:rsidR="004A5BCE" w:rsidRPr="004A5BCE" w:rsidRDefault="004A5BCE" w:rsidP="004A5BCE">
            <w:pPr>
              <w:spacing w:line="240" w:lineRule="auto"/>
              <w:ind w:firstLine="0"/>
              <w:contextualSpacing/>
            </w:pPr>
            <w:r w:rsidRPr="004A5BCE">
              <w:t>7/1/16-7/9/16</w:t>
            </w:r>
          </w:p>
        </w:tc>
        <w:tc>
          <w:tcPr>
            <w:tcW w:w="1400" w:type="dxa"/>
          </w:tcPr>
          <w:p w:rsidR="004A5BCE" w:rsidRPr="004A5BCE" w:rsidRDefault="004A5BCE" w:rsidP="004A5BCE">
            <w:pPr>
              <w:spacing w:line="240" w:lineRule="auto"/>
              <w:ind w:firstLine="0"/>
              <w:contextualSpacing/>
            </w:pPr>
            <w:r w:rsidRPr="004A5BCE">
              <w:t>9</w:t>
            </w:r>
          </w:p>
        </w:tc>
        <w:tc>
          <w:tcPr>
            <w:tcW w:w="1874" w:type="dxa"/>
          </w:tcPr>
          <w:p w:rsidR="004A5BCE" w:rsidRPr="004A5BCE" w:rsidRDefault="004A5BCE" w:rsidP="004A5BCE">
            <w:pPr>
              <w:spacing w:line="240" w:lineRule="auto"/>
              <w:ind w:firstLine="0"/>
              <w:contextualSpacing/>
            </w:pPr>
            <w:r w:rsidRPr="004A5BCE">
              <w:t>$79,662.18</w:t>
            </w:r>
          </w:p>
        </w:tc>
        <w:tc>
          <w:tcPr>
            <w:tcW w:w="2396" w:type="dxa"/>
          </w:tcPr>
          <w:p w:rsidR="004A5BCE" w:rsidRPr="004A5BCE" w:rsidRDefault="004A5BCE" w:rsidP="004A5BCE">
            <w:pPr>
              <w:spacing w:line="240" w:lineRule="auto"/>
              <w:ind w:firstLine="0"/>
              <w:contextualSpacing/>
            </w:pPr>
            <w:r w:rsidRPr="004A5BCE">
              <w:t>$716,959.62</w:t>
            </w:r>
          </w:p>
        </w:tc>
      </w:tr>
      <w:tr w:rsidR="004A5BCE" w:rsidRPr="004A5BCE" w:rsidTr="004A5BCE">
        <w:tc>
          <w:tcPr>
            <w:tcW w:w="2268" w:type="dxa"/>
          </w:tcPr>
          <w:p w:rsidR="004A5BCE" w:rsidRPr="004A5BCE" w:rsidRDefault="004A5BCE" w:rsidP="004A5BCE">
            <w:pPr>
              <w:spacing w:line="240" w:lineRule="auto"/>
              <w:ind w:firstLine="0"/>
              <w:contextualSpacing/>
            </w:pPr>
            <w:r w:rsidRPr="004A5BCE">
              <w:t>7/10/16-12/31/16</w:t>
            </w:r>
          </w:p>
        </w:tc>
        <w:tc>
          <w:tcPr>
            <w:tcW w:w="1400" w:type="dxa"/>
          </w:tcPr>
          <w:p w:rsidR="004A5BCE" w:rsidRPr="004A5BCE" w:rsidRDefault="004A5BCE" w:rsidP="004A5BCE">
            <w:pPr>
              <w:spacing w:line="240" w:lineRule="auto"/>
              <w:ind w:firstLine="0"/>
              <w:contextualSpacing/>
            </w:pPr>
            <w:r w:rsidRPr="004A5BCE">
              <w:t>175</w:t>
            </w:r>
          </w:p>
        </w:tc>
        <w:tc>
          <w:tcPr>
            <w:tcW w:w="1874" w:type="dxa"/>
          </w:tcPr>
          <w:p w:rsidR="004A5BCE" w:rsidRPr="004A5BCE" w:rsidRDefault="004A5BCE" w:rsidP="004A5BCE">
            <w:pPr>
              <w:spacing w:line="240" w:lineRule="auto"/>
              <w:ind w:firstLine="0"/>
              <w:contextualSpacing/>
            </w:pPr>
            <w:r w:rsidRPr="004A5BCE">
              <w:t>$82,649.32</w:t>
            </w:r>
          </w:p>
        </w:tc>
        <w:tc>
          <w:tcPr>
            <w:tcW w:w="2396" w:type="dxa"/>
          </w:tcPr>
          <w:p w:rsidR="004A5BCE" w:rsidRPr="004A5BCE" w:rsidRDefault="004A5BCE" w:rsidP="004A5BCE">
            <w:pPr>
              <w:spacing w:line="240" w:lineRule="auto"/>
              <w:ind w:firstLine="0"/>
              <w:contextualSpacing/>
            </w:pPr>
            <w:r w:rsidRPr="004A5BCE">
              <w:t>$14,463,631.00</w:t>
            </w:r>
          </w:p>
        </w:tc>
      </w:tr>
      <w:tr w:rsidR="004A5BCE" w:rsidRPr="004A5BCE" w:rsidTr="004A5BCE">
        <w:tc>
          <w:tcPr>
            <w:tcW w:w="2268" w:type="dxa"/>
          </w:tcPr>
          <w:p w:rsidR="004A5BCE" w:rsidRPr="004A5BCE" w:rsidRDefault="004A5BCE" w:rsidP="004A5BCE">
            <w:pPr>
              <w:spacing w:line="240" w:lineRule="auto"/>
              <w:ind w:firstLine="0"/>
              <w:contextualSpacing/>
            </w:pPr>
            <w:r w:rsidRPr="004A5BCE">
              <w:t>1/1/17-6/30/17</w:t>
            </w:r>
          </w:p>
        </w:tc>
        <w:tc>
          <w:tcPr>
            <w:tcW w:w="1400" w:type="dxa"/>
          </w:tcPr>
          <w:p w:rsidR="004A5BCE" w:rsidRPr="004A5BCE" w:rsidRDefault="004A5BCE" w:rsidP="004A5BCE">
            <w:pPr>
              <w:spacing w:line="240" w:lineRule="auto"/>
              <w:ind w:firstLine="0"/>
              <w:contextualSpacing/>
            </w:pPr>
            <w:r w:rsidRPr="004A5BCE">
              <w:t>181</w:t>
            </w:r>
          </w:p>
        </w:tc>
        <w:tc>
          <w:tcPr>
            <w:tcW w:w="1874" w:type="dxa"/>
          </w:tcPr>
          <w:p w:rsidR="004A5BCE" w:rsidRPr="004A5BCE" w:rsidRDefault="004A5BCE" w:rsidP="004A5BCE">
            <w:pPr>
              <w:spacing w:line="240" w:lineRule="auto"/>
              <w:ind w:firstLine="0"/>
              <w:contextualSpacing/>
            </w:pPr>
            <w:r w:rsidRPr="004A5BCE">
              <w:t>$82,649.32</w:t>
            </w:r>
          </w:p>
        </w:tc>
        <w:tc>
          <w:tcPr>
            <w:tcW w:w="2396" w:type="dxa"/>
          </w:tcPr>
          <w:p w:rsidR="004A5BCE" w:rsidRPr="004A5BCE" w:rsidRDefault="004A5BCE" w:rsidP="004A5BCE">
            <w:pPr>
              <w:spacing w:line="240" w:lineRule="auto"/>
              <w:ind w:firstLine="0"/>
              <w:contextualSpacing/>
            </w:pPr>
            <w:r w:rsidRPr="004A5BCE">
              <w:t>$14,959,526.92</w:t>
            </w:r>
          </w:p>
        </w:tc>
      </w:tr>
      <w:tr w:rsidR="004A5BCE" w:rsidRPr="004A5BCE" w:rsidTr="004A5BCE">
        <w:tc>
          <w:tcPr>
            <w:tcW w:w="2268" w:type="dxa"/>
          </w:tcPr>
          <w:p w:rsidR="004A5BCE" w:rsidRPr="004A5BCE" w:rsidRDefault="004A5BCE" w:rsidP="004A5BCE">
            <w:pPr>
              <w:spacing w:line="240" w:lineRule="auto"/>
              <w:ind w:firstLine="0"/>
              <w:contextualSpacing/>
              <w:rPr>
                <w:b/>
              </w:rPr>
            </w:pPr>
            <w:r w:rsidRPr="004A5BCE">
              <w:rPr>
                <w:b/>
              </w:rPr>
              <w:t>Sum</w:t>
            </w:r>
          </w:p>
        </w:tc>
        <w:tc>
          <w:tcPr>
            <w:tcW w:w="1400" w:type="dxa"/>
          </w:tcPr>
          <w:p w:rsidR="004A5BCE" w:rsidRPr="004A5BCE" w:rsidRDefault="004A5BCE" w:rsidP="004A5BCE">
            <w:pPr>
              <w:spacing w:line="240" w:lineRule="auto"/>
              <w:ind w:firstLine="0"/>
              <w:contextualSpacing/>
              <w:rPr>
                <w:b/>
              </w:rPr>
            </w:pPr>
          </w:p>
        </w:tc>
        <w:tc>
          <w:tcPr>
            <w:tcW w:w="1874" w:type="dxa"/>
          </w:tcPr>
          <w:p w:rsidR="004A5BCE" w:rsidRPr="004A5BCE" w:rsidRDefault="004A5BCE" w:rsidP="004A5BCE">
            <w:pPr>
              <w:spacing w:line="240" w:lineRule="auto"/>
              <w:ind w:firstLine="0"/>
              <w:contextualSpacing/>
              <w:rPr>
                <w:b/>
              </w:rPr>
            </w:pPr>
          </w:p>
        </w:tc>
        <w:tc>
          <w:tcPr>
            <w:tcW w:w="2396" w:type="dxa"/>
          </w:tcPr>
          <w:p w:rsidR="004A5BCE" w:rsidRPr="004A5BCE" w:rsidRDefault="004A5BCE" w:rsidP="004A5BCE">
            <w:pPr>
              <w:spacing w:line="240" w:lineRule="auto"/>
              <w:ind w:firstLine="0"/>
              <w:contextualSpacing/>
              <w:rPr>
                <w:b/>
              </w:rPr>
            </w:pPr>
            <w:r w:rsidRPr="004A5BCE">
              <w:rPr>
                <w:b/>
              </w:rPr>
              <w:t>$30,140,117.54</w:t>
            </w:r>
          </w:p>
        </w:tc>
      </w:tr>
      <w:tr w:rsidR="004A5BCE" w:rsidRPr="004A5BCE" w:rsidTr="004A5BCE">
        <w:tc>
          <w:tcPr>
            <w:tcW w:w="2268" w:type="dxa"/>
          </w:tcPr>
          <w:p w:rsidR="004A5BCE" w:rsidRPr="004A5BCE" w:rsidRDefault="004A5BCE" w:rsidP="004A5BCE">
            <w:pPr>
              <w:spacing w:line="240" w:lineRule="auto"/>
              <w:ind w:firstLine="0"/>
              <w:contextualSpacing/>
              <w:rPr>
                <w:b/>
                <w:i/>
              </w:rPr>
            </w:pPr>
            <w:r w:rsidRPr="004A5BCE">
              <w:rPr>
                <w:b/>
                <w:i/>
              </w:rPr>
              <w:t>Annual rate (Sum/365)</w:t>
            </w:r>
          </w:p>
        </w:tc>
        <w:tc>
          <w:tcPr>
            <w:tcW w:w="1400" w:type="dxa"/>
          </w:tcPr>
          <w:p w:rsidR="004A5BCE" w:rsidRPr="004A5BCE" w:rsidRDefault="004A5BCE" w:rsidP="004A5BCE">
            <w:pPr>
              <w:spacing w:line="240" w:lineRule="auto"/>
              <w:ind w:firstLine="0"/>
              <w:contextualSpacing/>
              <w:rPr>
                <w:b/>
                <w:i/>
              </w:rPr>
            </w:pPr>
          </w:p>
        </w:tc>
        <w:tc>
          <w:tcPr>
            <w:tcW w:w="1874" w:type="dxa"/>
          </w:tcPr>
          <w:p w:rsidR="004A5BCE" w:rsidRPr="004A5BCE" w:rsidRDefault="004A5BCE" w:rsidP="004A5BCE">
            <w:pPr>
              <w:spacing w:line="240" w:lineRule="auto"/>
              <w:ind w:firstLine="0"/>
              <w:contextualSpacing/>
              <w:rPr>
                <w:b/>
                <w:i/>
              </w:rPr>
            </w:pPr>
          </w:p>
        </w:tc>
        <w:tc>
          <w:tcPr>
            <w:tcW w:w="2396" w:type="dxa"/>
          </w:tcPr>
          <w:p w:rsidR="004A5BCE" w:rsidRPr="004A5BCE" w:rsidRDefault="004A5BCE" w:rsidP="004A5BCE">
            <w:pPr>
              <w:spacing w:line="240" w:lineRule="auto"/>
              <w:ind w:firstLine="0"/>
              <w:contextualSpacing/>
              <w:rPr>
                <w:b/>
                <w:i/>
              </w:rPr>
            </w:pPr>
            <w:r w:rsidRPr="004A5BCE">
              <w:rPr>
                <w:b/>
                <w:i/>
              </w:rPr>
              <w:t>$82,575.66</w:t>
            </w:r>
          </w:p>
        </w:tc>
      </w:tr>
    </w:tbl>
    <w:p w:rsidR="00B11342" w:rsidRDefault="00B11342" w:rsidP="003E4FBC">
      <w:pPr>
        <w:spacing w:before="240" w:line="240" w:lineRule="auto"/>
        <w:contextualSpacing/>
        <w:rPr>
          <w:rFonts w:cs="Times New Roman"/>
        </w:rPr>
      </w:pPr>
    </w:p>
    <w:p w:rsidR="001B03D3" w:rsidRDefault="008E2049" w:rsidP="00AD5619">
      <w:pPr>
        <w:contextualSpacing/>
        <w:rPr>
          <w:rFonts w:cs="Times New Roman"/>
        </w:rPr>
      </w:pPr>
      <w:r>
        <w:rPr>
          <w:rFonts w:cs="Times New Roman"/>
        </w:rPr>
        <w:t>This is not the only way to arrive at an average annual salary over 12 months,</w:t>
      </w:r>
      <w:r>
        <w:rPr>
          <w:rStyle w:val="FootnoteReference"/>
          <w:rFonts w:cs="Times New Roman"/>
        </w:rPr>
        <w:footnoteReference w:id="1"/>
      </w:r>
      <w:r>
        <w:rPr>
          <w:rFonts w:cs="Times New Roman"/>
        </w:rPr>
        <w:t xml:space="preserve"> but there is nothing in this methodology that contradicts the instruction of M.G.L. c. 32, §</w:t>
      </w:r>
      <w:r w:rsidR="00CF2367">
        <w:rPr>
          <w:rFonts w:cs="Times New Roman"/>
        </w:rPr>
        <w:t xml:space="preserve"> 28M</w:t>
      </w:r>
      <w:r>
        <w:rPr>
          <w:rFonts w:cs="Times New Roman"/>
        </w:rPr>
        <w:t xml:space="preserve"> to calculate the retiring member’s allowance with reference to the 12 months immediately preceding a member’s retirement. It is thus an acceptable way to calculate the Petitioner’s average annual salary for the purposes of computing his retirement allowance. </w:t>
      </w:r>
    </w:p>
    <w:p w:rsidR="00D85F6A" w:rsidRDefault="00D85F6A" w:rsidP="00D85F6A">
      <w:pPr>
        <w:pStyle w:val="ListParagraph"/>
        <w:numPr>
          <w:ilvl w:val="0"/>
          <w:numId w:val="5"/>
        </w:numPr>
        <w:rPr>
          <w:rFonts w:cs="Times New Roman"/>
          <w:u w:val="single"/>
        </w:rPr>
      </w:pPr>
      <w:r>
        <w:rPr>
          <w:rFonts w:cs="Times New Roman"/>
          <w:u w:val="single"/>
        </w:rPr>
        <w:t>Differential pay calculation</w:t>
      </w:r>
      <w:r w:rsidR="00C77F32">
        <w:rPr>
          <w:rFonts w:cs="Times New Roman"/>
          <w:u w:val="single"/>
        </w:rPr>
        <w:t>.</w:t>
      </w:r>
    </w:p>
    <w:p w:rsidR="00CF2367" w:rsidRDefault="00D85F6A" w:rsidP="00D85F6A">
      <w:pPr>
        <w:rPr>
          <w:i/>
        </w:rPr>
      </w:pPr>
      <w:r>
        <w:t xml:space="preserve">The Board argues that I have invalidated an approved method for calculating Petitioner’s differential pay, citing </w:t>
      </w:r>
      <w:r>
        <w:rPr>
          <w:i/>
        </w:rPr>
        <w:t xml:space="preserve">Mirka v. State Board of Retirement, </w:t>
      </w:r>
      <w:r>
        <w:t xml:space="preserve">CR-11-026 (CRAB, December 21, </w:t>
      </w:r>
      <w:r>
        <w:lastRenderedPageBreak/>
        <w:t xml:space="preserve">2016), </w:t>
      </w:r>
      <w:r>
        <w:rPr>
          <w:i/>
        </w:rPr>
        <w:t xml:space="preserve">aff’d sub nom. Mirka v. CRAB et al., </w:t>
      </w:r>
      <w:r>
        <w:t>C.A. No. 1782CV00076 (Norfolk Superior Court, Sullivan, J., May 21, 2018)</w:t>
      </w:r>
      <w:r>
        <w:rPr>
          <w:i/>
        </w:rPr>
        <w:t>.</w:t>
      </w:r>
      <w:r w:rsidR="009C08A7">
        <w:t xml:space="preserve"> </w:t>
      </w:r>
      <w:r w:rsidR="00CF2367">
        <w:t xml:space="preserve"> The </w:t>
      </w:r>
      <w:r w:rsidR="00CF2367">
        <w:rPr>
          <w:i/>
        </w:rPr>
        <w:t>Mirka</w:t>
      </w:r>
      <w:r w:rsidR="00CF2367">
        <w:t xml:space="preserve"> case does not directly apply to this matter. </w:t>
      </w:r>
      <w:r>
        <w:rPr>
          <w:i/>
        </w:rPr>
        <w:t xml:space="preserve"> </w:t>
      </w:r>
      <w:r>
        <w:t xml:space="preserve">In </w:t>
      </w:r>
      <w:r>
        <w:rPr>
          <w:i/>
        </w:rPr>
        <w:t>Mirka</w:t>
      </w:r>
      <w:r>
        <w:t>, a civil engineer who retired under M.G.L. c. 32, §</w:t>
      </w:r>
      <w:r w:rsidR="00CF2367">
        <w:t xml:space="preserve"> </w:t>
      </w:r>
      <w:r>
        <w:t xml:space="preserve">5 argued that the Board should determine the amount of his retirement allowance based on his </w:t>
      </w:r>
      <w:r w:rsidRPr="00CF2367">
        <w:rPr>
          <w:i/>
        </w:rPr>
        <w:t>actual</w:t>
      </w:r>
      <w:r>
        <w:t xml:space="preserve"> salary earned over a three year period rather than on his </w:t>
      </w:r>
      <w:r w:rsidRPr="00CF2367">
        <w:rPr>
          <w:i/>
        </w:rPr>
        <w:t>average annual compensation rate</w:t>
      </w:r>
      <w:r>
        <w:t xml:space="preserve"> over a three year period. DALA, CRAB and the Norfolk Superior Court all agreed that</w:t>
      </w:r>
      <w:r w:rsidR="00CF2367">
        <w:t xml:space="preserve"> M.G.L.</w:t>
      </w:r>
      <w:r>
        <w:t xml:space="preserve"> c. 32, §</w:t>
      </w:r>
      <w:r w:rsidR="00C77F32">
        <w:t xml:space="preserve"> </w:t>
      </w:r>
      <w:r>
        <w:t xml:space="preserve">5 requires that a member’s retirement allowance be based on the average annual compensation rate over three years and not on the member’s actual earnings. The Board’s annualization technique, </w:t>
      </w:r>
      <w:r w:rsidR="00CF2367">
        <w:t>illustrated in the section</w:t>
      </w:r>
      <w:r>
        <w:t xml:space="preserve"> above, was thus approved for use in </w:t>
      </w:r>
      <w:r w:rsidR="00CF2367">
        <w:t xml:space="preserve">M.G.L. </w:t>
      </w:r>
      <w:r>
        <w:t>c. 32, §</w:t>
      </w:r>
      <w:r w:rsidR="00CF2367">
        <w:t xml:space="preserve"> </w:t>
      </w:r>
      <w:r>
        <w:t xml:space="preserve">5 cases by the reviewing bodies in </w:t>
      </w:r>
      <w:r>
        <w:rPr>
          <w:i/>
        </w:rPr>
        <w:t>Mirka.</w:t>
      </w:r>
    </w:p>
    <w:p w:rsidR="00D85F6A" w:rsidRDefault="00CF2367" w:rsidP="00D85F6A">
      <w:r>
        <w:t>U</w:t>
      </w:r>
      <w:r w:rsidR="00D85F6A">
        <w:t xml:space="preserve">nlike </w:t>
      </w:r>
      <w:r w:rsidR="00D85F6A">
        <w:rPr>
          <w:i/>
        </w:rPr>
        <w:t xml:space="preserve">Mirka, </w:t>
      </w:r>
      <w:r w:rsidR="00C77F32">
        <w:t>this matter co</w:t>
      </w:r>
      <w:r w:rsidR="00D85F6A">
        <w:t>ncerns a calculation made under M.G.L. c. 32, §</w:t>
      </w:r>
      <w:r w:rsidR="00C77F32">
        <w:t xml:space="preserve"> </w:t>
      </w:r>
      <w:r w:rsidR="00D85F6A">
        <w:t>28M</w:t>
      </w:r>
      <w:r w:rsidR="00C77F32">
        <w:t>. Section 28M</w:t>
      </w:r>
      <w:r w:rsidR="00D85F6A">
        <w:t xml:space="preserve"> </w:t>
      </w:r>
      <w:r w:rsidR="00C77F32">
        <w:t>instructs</w:t>
      </w:r>
      <w:r w:rsidR="00D85F6A">
        <w:t xml:space="preserve"> that a member’s retirement allowance shall be based on a “yearly amount equal to one-half the annual average rate of his regular compensations during the twelve month period of his creditable service immediately preceding the date his retirement allowance becomes effective.”  As I concluded in my earlier decision, §</w:t>
      </w:r>
      <w:r w:rsidR="00C77F32">
        <w:t xml:space="preserve"> </w:t>
      </w:r>
      <w:r w:rsidR="00D85F6A">
        <w:t xml:space="preserve">28M directs the Board to consider </w:t>
      </w:r>
      <w:r w:rsidR="00D85F6A" w:rsidRPr="005D7231">
        <w:rPr>
          <w:i/>
        </w:rPr>
        <w:t>only</w:t>
      </w:r>
      <w:r w:rsidR="00D85F6A">
        <w:t xml:space="preserve"> the compensations received in the twelve month period immediately preceding the member’s retirement.  </w:t>
      </w:r>
    </w:p>
    <w:p w:rsidR="00CF2367" w:rsidRDefault="006168D0" w:rsidP="00D85F6A">
      <w:r>
        <w:t>In reaching this conclusion, I did not invalidate the use of an annualization technique, only the data</w:t>
      </w:r>
      <w:r w:rsidR="00C77F32">
        <w:t xml:space="preserve"> the Board</w:t>
      </w:r>
      <w:r>
        <w:t xml:space="preserve"> used to achieve the calculations under the methodology.</w:t>
      </w:r>
      <w:r w:rsidR="00A278BB">
        <w:t xml:space="preserve">  That said, it would be simpler and consistent with M.G.L. c. 32, §</w:t>
      </w:r>
      <w:r w:rsidR="00C77F32">
        <w:t xml:space="preserve"> </w:t>
      </w:r>
      <w:r w:rsidR="00A278BB">
        <w:t xml:space="preserve">28M if the Board were to add the amount of salary the Petitioner actually earned in the 12 months preceding his retirement to the amount of differential pay that the Petitioner actually earned in the 12 months preceding his retirement and divide by two to arrive at an amount “equal to one-half the annual average rate of his regular compensations during the twelve month period of his creditable service immediately preceding </w:t>
      </w:r>
      <w:r w:rsidR="00A278BB">
        <w:lastRenderedPageBreak/>
        <w:t>the date his retirement allowance becomes effective.”</w:t>
      </w:r>
      <w:r w:rsidR="00C77F32">
        <w:t xml:space="preserve">  M.G.L. c. 32, § 28M.</w:t>
      </w:r>
      <w:r w:rsidR="008544CD" w:rsidRPr="008544CD">
        <w:rPr>
          <w:i/>
        </w:rPr>
        <w:t xml:space="preserve"> </w:t>
      </w:r>
      <w:r w:rsidR="008544CD">
        <w:rPr>
          <w:i/>
        </w:rPr>
        <w:t xml:space="preserve"> Cf. John Dunne v. Melrose Retirement Board and Public Employee Retirement Administration Commission, </w:t>
      </w:r>
      <w:r w:rsidR="008544CD">
        <w:t>Docket No. CR-16-97 (Div. of Admin. L. App., August 9, 2019).</w:t>
      </w:r>
    </w:p>
    <w:p w:rsidR="00A278BB" w:rsidRDefault="008551D2" w:rsidP="00D85F6A">
      <w:r>
        <w:t xml:space="preserve">If, however, the Board insists on using the annualization technique approved in </w:t>
      </w:r>
      <w:r w:rsidRPr="00B3094C">
        <w:rPr>
          <w:i/>
        </w:rPr>
        <w:t>M</w:t>
      </w:r>
      <w:r>
        <w:rPr>
          <w:i/>
        </w:rPr>
        <w:t>irka</w:t>
      </w:r>
      <w:r>
        <w:t xml:space="preserve">, </w:t>
      </w:r>
      <w:r>
        <w:rPr>
          <w:i/>
        </w:rPr>
        <w:t xml:space="preserve">supra, </w:t>
      </w:r>
      <w:r>
        <w:t xml:space="preserve">it must not penalize the Petitioner.  The Board argues that applying the annualization technique using </w:t>
      </w:r>
      <w:r w:rsidR="00EF60D9">
        <w:t xml:space="preserve">only </w:t>
      </w:r>
      <w:r>
        <w:t xml:space="preserve">the amounts earned by the Petitioner </w:t>
      </w:r>
      <w:r w:rsidR="00EF60D9">
        <w:t xml:space="preserve">in the 12 months preceding his retirement </w:t>
      </w:r>
      <w:r>
        <w:t xml:space="preserve">will result in a substantially lower amount being granted to the Petitioner, but the methodology the Board has proffered in their attachment to their Motion for Reconsideration demonstrating this result is flawed. The Board’s revised calculation takes the amount Petitioner earned in differential pay from the period 7/1/2016 to 12/31/2016 ($3,985.38) and attempts to treat it as though it was an annual rate of pay, i.e., that had the Petitioner worked a full year, he would have received $3,985.38.  Following this logic, Petitioner gets credited with only $2,009.07 of the $3,985.38 that he actually earned from 7/1/2016 to 12/31/2016 ($3,985.38 x 184 days = $733,309.92/365 days = $2,009.07). The calculation for the period </w:t>
      </w:r>
      <w:r w:rsidR="0029641A">
        <w:t xml:space="preserve">1/1/2017 to 6/30/2017 </w:t>
      </w:r>
      <w:r>
        <w:t xml:space="preserve">is similarly flawed. It takes the $4,373.38 that Petitioner actually earned </w:t>
      </w:r>
      <w:r w:rsidR="0029641A">
        <w:t>during that period</w:t>
      </w:r>
      <w:r>
        <w:t xml:space="preserve"> and </w:t>
      </w:r>
      <w:r w:rsidR="00C77F32">
        <w:t xml:space="preserve">also </w:t>
      </w:r>
      <w:r>
        <w:t xml:space="preserve">treats it as though it were an annual rate of pay.  Petitioner thus gets credited with only $2,168.72 of the $4,373.38 that he actually earned ($4,373.38 x181 days = $791,581.78/365 days = $2,168.72). The difference between what Petitioner </w:t>
      </w:r>
      <w:r>
        <w:rPr>
          <w:i/>
        </w:rPr>
        <w:t>actually</w:t>
      </w:r>
      <w:r>
        <w:t xml:space="preserve"> earned in differential pay in the 12 month period immediately preceding his retirement and what the Board calculates as his annual average is $4,1</w:t>
      </w:r>
      <w:r w:rsidR="00101BAF">
        <w:t>80</w:t>
      </w:r>
      <w:r>
        <w:t>.97, a substantial sum ($8,358.76 actual earnings – $4,177.79 annualized earnings = $4,180.97).</w:t>
      </w:r>
    </w:p>
    <w:p w:rsidR="0029641A" w:rsidRDefault="0029641A" w:rsidP="00D85F6A">
      <w:r>
        <w:t>In its calculations submitted as exhibits to support its original decision, the Board calculated the salary and differentials as follows:</w:t>
      </w:r>
    </w:p>
    <w:p w:rsidR="0029641A" w:rsidRDefault="006D768E" w:rsidP="0029641A">
      <w:pPr>
        <w:spacing w:line="240" w:lineRule="auto"/>
        <w:ind w:firstLine="0"/>
        <w:rPr>
          <w:u w:val="single"/>
        </w:rPr>
      </w:pPr>
      <w:r>
        <w:rPr>
          <w:u w:val="single"/>
        </w:rPr>
        <w:lastRenderedPageBreak/>
        <w:t>Original</w:t>
      </w:r>
      <w:r w:rsidR="0029641A" w:rsidRPr="0029641A">
        <w:rPr>
          <w:u w:val="single"/>
        </w:rPr>
        <w:t xml:space="preserve"> Differential Pay</w:t>
      </w:r>
      <w:r>
        <w:rPr>
          <w:u w:val="single"/>
        </w:rPr>
        <w:t xml:space="preserve"> Calculation</w:t>
      </w:r>
    </w:p>
    <w:p w:rsidR="0029641A" w:rsidRPr="0029641A" w:rsidRDefault="0029641A" w:rsidP="0029641A">
      <w:pPr>
        <w:spacing w:line="240" w:lineRule="auto"/>
        <w:ind w:left="720" w:firstLine="0"/>
        <w:contextualSpacing/>
        <w:rPr>
          <w:u w:val="single"/>
        </w:rPr>
      </w:pPr>
    </w:p>
    <w:tbl>
      <w:tblPr>
        <w:tblStyle w:val="TableGrid3"/>
        <w:tblW w:w="0" w:type="auto"/>
        <w:tblInd w:w="720" w:type="dxa"/>
        <w:tblLook w:val="04A0" w:firstRow="1" w:lastRow="0" w:firstColumn="1" w:lastColumn="0" w:noHBand="0" w:noVBand="1"/>
      </w:tblPr>
      <w:tblGrid>
        <w:gridCol w:w="1549"/>
        <w:gridCol w:w="1525"/>
        <w:gridCol w:w="1464"/>
        <w:gridCol w:w="4030"/>
      </w:tblGrid>
      <w:tr w:rsidR="0029641A" w:rsidRPr="0029641A" w:rsidTr="00B05AB0">
        <w:tc>
          <w:tcPr>
            <w:tcW w:w="1549" w:type="dxa"/>
          </w:tcPr>
          <w:p w:rsidR="0029641A" w:rsidRPr="0029641A" w:rsidRDefault="0029641A" w:rsidP="0029641A">
            <w:pPr>
              <w:spacing w:line="240" w:lineRule="auto"/>
              <w:ind w:firstLine="0"/>
              <w:contextualSpacing/>
            </w:pPr>
            <w:r w:rsidRPr="0029641A">
              <w:t>Period of time</w:t>
            </w:r>
          </w:p>
        </w:tc>
        <w:tc>
          <w:tcPr>
            <w:tcW w:w="1525" w:type="dxa"/>
          </w:tcPr>
          <w:p w:rsidR="0029641A" w:rsidRPr="0029641A" w:rsidRDefault="0029641A" w:rsidP="0029641A">
            <w:pPr>
              <w:spacing w:line="240" w:lineRule="auto"/>
              <w:ind w:firstLine="0"/>
              <w:contextualSpacing/>
            </w:pPr>
            <w:r w:rsidRPr="0029641A">
              <w:t>Actual amount paid</w:t>
            </w:r>
          </w:p>
        </w:tc>
        <w:tc>
          <w:tcPr>
            <w:tcW w:w="1464" w:type="dxa"/>
          </w:tcPr>
          <w:p w:rsidR="0029641A" w:rsidRPr="0029641A" w:rsidRDefault="0029641A" w:rsidP="0029641A">
            <w:pPr>
              <w:spacing w:line="240" w:lineRule="auto"/>
              <w:ind w:firstLine="0"/>
              <w:contextualSpacing/>
            </w:pPr>
            <w:r w:rsidRPr="0029641A">
              <w:t xml:space="preserve"> Total # of days</w:t>
            </w:r>
          </w:p>
        </w:tc>
        <w:tc>
          <w:tcPr>
            <w:tcW w:w="4030" w:type="dxa"/>
          </w:tcPr>
          <w:p w:rsidR="0029641A" w:rsidRPr="0029641A" w:rsidRDefault="0029641A" w:rsidP="0029641A">
            <w:pPr>
              <w:spacing w:line="240" w:lineRule="auto"/>
              <w:ind w:firstLine="0"/>
              <w:contextualSpacing/>
            </w:pPr>
            <w:r w:rsidRPr="0029641A">
              <w:t>Annualized amount</w:t>
            </w:r>
          </w:p>
        </w:tc>
      </w:tr>
      <w:tr w:rsidR="0029641A" w:rsidRPr="0029641A" w:rsidTr="00B05AB0">
        <w:tc>
          <w:tcPr>
            <w:tcW w:w="1549" w:type="dxa"/>
          </w:tcPr>
          <w:p w:rsidR="0029641A" w:rsidRPr="0029641A" w:rsidRDefault="0029641A" w:rsidP="0029641A">
            <w:pPr>
              <w:spacing w:line="240" w:lineRule="auto"/>
              <w:ind w:firstLine="0"/>
              <w:contextualSpacing/>
            </w:pPr>
            <w:r w:rsidRPr="0029641A">
              <w:t>1/1/2016-12/31/2016</w:t>
            </w:r>
            <w:r w:rsidR="006D768E">
              <w:t>*</w:t>
            </w:r>
          </w:p>
        </w:tc>
        <w:tc>
          <w:tcPr>
            <w:tcW w:w="1525" w:type="dxa"/>
          </w:tcPr>
          <w:p w:rsidR="0029641A" w:rsidRPr="0029641A" w:rsidRDefault="0029641A" w:rsidP="0029641A">
            <w:pPr>
              <w:spacing w:line="240" w:lineRule="auto"/>
              <w:ind w:firstLine="0"/>
              <w:contextualSpacing/>
            </w:pPr>
            <w:r w:rsidRPr="0029641A">
              <w:t>$6,104.34*</w:t>
            </w:r>
            <w:r w:rsidR="006D768E">
              <w:t>*</w:t>
            </w:r>
          </w:p>
        </w:tc>
        <w:tc>
          <w:tcPr>
            <w:tcW w:w="1464" w:type="dxa"/>
          </w:tcPr>
          <w:p w:rsidR="0029641A" w:rsidRPr="0029641A" w:rsidRDefault="0029641A" w:rsidP="0029641A">
            <w:pPr>
              <w:spacing w:line="240" w:lineRule="auto"/>
              <w:ind w:firstLine="0"/>
              <w:contextualSpacing/>
            </w:pPr>
            <w:r w:rsidRPr="0029641A">
              <w:t>366**</w:t>
            </w:r>
            <w:r w:rsidR="004D7413">
              <w:t>*</w:t>
            </w:r>
          </w:p>
        </w:tc>
        <w:tc>
          <w:tcPr>
            <w:tcW w:w="4030" w:type="dxa"/>
          </w:tcPr>
          <w:p w:rsidR="0029641A" w:rsidRPr="0029641A" w:rsidRDefault="0029641A" w:rsidP="0029641A">
            <w:pPr>
              <w:spacing w:line="240" w:lineRule="auto"/>
              <w:ind w:firstLine="0"/>
              <w:contextualSpacing/>
            </w:pPr>
            <w:r w:rsidRPr="0029641A">
              <w:t>$6,104.34 (this is the actual amount earned over the 2016 calendar year)</w:t>
            </w:r>
          </w:p>
        </w:tc>
      </w:tr>
      <w:tr w:rsidR="0029641A" w:rsidRPr="0029641A" w:rsidTr="00B05AB0">
        <w:tc>
          <w:tcPr>
            <w:tcW w:w="1549" w:type="dxa"/>
          </w:tcPr>
          <w:p w:rsidR="0029641A" w:rsidRPr="0029641A" w:rsidRDefault="0029641A" w:rsidP="0029641A">
            <w:pPr>
              <w:spacing w:line="240" w:lineRule="auto"/>
              <w:ind w:firstLine="0"/>
              <w:contextualSpacing/>
            </w:pPr>
            <w:r w:rsidRPr="0029641A">
              <w:t>1/1/2017-6/30/2017</w:t>
            </w:r>
          </w:p>
        </w:tc>
        <w:tc>
          <w:tcPr>
            <w:tcW w:w="1525" w:type="dxa"/>
          </w:tcPr>
          <w:p w:rsidR="0029641A" w:rsidRPr="0029641A" w:rsidRDefault="0029641A" w:rsidP="0029641A">
            <w:pPr>
              <w:spacing w:line="240" w:lineRule="auto"/>
              <w:ind w:firstLine="0"/>
              <w:contextualSpacing/>
            </w:pPr>
            <w:r w:rsidRPr="0029641A">
              <w:t>$4,373.38</w:t>
            </w:r>
          </w:p>
        </w:tc>
        <w:tc>
          <w:tcPr>
            <w:tcW w:w="1464" w:type="dxa"/>
          </w:tcPr>
          <w:p w:rsidR="0029641A" w:rsidRPr="0029641A" w:rsidRDefault="0029641A" w:rsidP="0029641A">
            <w:pPr>
              <w:spacing w:line="240" w:lineRule="auto"/>
              <w:ind w:firstLine="0"/>
              <w:contextualSpacing/>
            </w:pPr>
            <w:r w:rsidRPr="0029641A">
              <w:t>181</w:t>
            </w:r>
          </w:p>
        </w:tc>
        <w:tc>
          <w:tcPr>
            <w:tcW w:w="4030" w:type="dxa"/>
          </w:tcPr>
          <w:p w:rsidR="0029641A" w:rsidRPr="0029641A" w:rsidRDefault="0029641A" w:rsidP="0029641A">
            <w:pPr>
              <w:spacing w:line="240" w:lineRule="auto"/>
              <w:ind w:firstLine="0"/>
              <w:contextualSpacing/>
            </w:pPr>
            <w:r w:rsidRPr="0029641A">
              <w:t>$8819.25 ($4,373.38/181 days = $24.16 x 365 days = $8819.25)</w:t>
            </w:r>
          </w:p>
        </w:tc>
      </w:tr>
    </w:tbl>
    <w:p w:rsidR="00C77F32" w:rsidRDefault="006D768E" w:rsidP="00C77F32">
      <w:pPr>
        <w:spacing w:line="240" w:lineRule="auto"/>
        <w:ind w:left="720" w:firstLine="0"/>
        <w:contextualSpacing/>
      </w:pPr>
      <w:r>
        <w:t xml:space="preserve">*Note that the Board “reached back” to a period 13 to 18 months prior to the Petitioner’s retirement in order to annualize his differential </w:t>
      </w:r>
      <w:r w:rsidR="00C77F32">
        <w:t>pay</w:t>
      </w:r>
      <w:r>
        <w:t>.  It was the inclusion of the</w:t>
      </w:r>
      <w:r w:rsidR="00C77F32">
        <w:t xml:space="preserve"> pay earned during the</w:t>
      </w:r>
      <w:r>
        <w:t xml:space="preserve"> period 1/1/2016 to</w:t>
      </w:r>
      <w:r w:rsidR="00C77F32">
        <w:t xml:space="preserve"> </w:t>
      </w:r>
      <w:r>
        <w:t>6/30/2016 that I invalidated in my prior decision.</w:t>
      </w:r>
    </w:p>
    <w:p w:rsidR="0029641A" w:rsidRPr="0029641A" w:rsidRDefault="0029641A" w:rsidP="00C77F32">
      <w:pPr>
        <w:spacing w:line="240" w:lineRule="auto"/>
        <w:ind w:left="720" w:firstLine="0"/>
        <w:contextualSpacing/>
      </w:pPr>
      <w:r w:rsidRPr="0029641A">
        <w:t>*</w:t>
      </w:r>
      <w:r w:rsidR="006D768E">
        <w:t>*</w:t>
      </w:r>
      <w:r w:rsidRPr="0029641A">
        <w:t>The board made an arithmetic error that it has acknowledged.  The amount should be 6,19</w:t>
      </w:r>
      <w:r w:rsidR="005D7F9A">
        <w:t>4</w:t>
      </w:r>
      <w:r w:rsidRPr="0029641A">
        <w:t>.34.  For purposes of this analysis, the arithmetic error is immaterial.</w:t>
      </w:r>
    </w:p>
    <w:p w:rsidR="0029641A" w:rsidRDefault="0029641A" w:rsidP="00C77F32">
      <w:pPr>
        <w:spacing w:line="240" w:lineRule="auto"/>
        <w:ind w:left="720" w:firstLine="0"/>
        <w:contextualSpacing/>
      </w:pPr>
      <w:r w:rsidRPr="0029641A">
        <w:t>**</w:t>
      </w:r>
      <w:r w:rsidR="006D768E">
        <w:t>*</w:t>
      </w:r>
      <w:r w:rsidRPr="0029641A">
        <w:t>2016 was a leap year and had 366 days.</w:t>
      </w:r>
    </w:p>
    <w:p w:rsidR="0029641A" w:rsidRDefault="0029641A" w:rsidP="0029641A">
      <w:pPr>
        <w:spacing w:line="240" w:lineRule="auto"/>
        <w:ind w:firstLine="0"/>
        <w:contextualSpacing/>
      </w:pPr>
    </w:p>
    <w:p w:rsidR="0029641A" w:rsidRPr="0029641A" w:rsidRDefault="006D768E" w:rsidP="0029641A">
      <w:pPr>
        <w:spacing w:line="240" w:lineRule="auto"/>
        <w:ind w:firstLine="0"/>
        <w:contextualSpacing/>
        <w:rPr>
          <w:u w:val="single"/>
        </w:rPr>
      </w:pPr>
      <w:r>
        <w:rPr>
          <w:u w:val="single"/>
        </w:rPr>
        <w:t>Original</w:t>
      </w:r>
      <w:r w:rsidR="0029641A" w:rsidRPr="0029641A">
        <w:rPr>
          <w:u w:val="single"/>
        </w:rPr>
        <w:t xml:space="preserve"> Annual Pay</w:t>
      </w:r>
      <w:r>
        <w:rPr>
          <w:u w:val="single"/>
        </w:rPr>
        <w:t xml:space="preserve"> Calculation</w:t>
      </w:r>
      <w:r w:rsidR="0029641A" w:rsidRPr="0029641A">
        <w:rPr>
          <w:u w:val="single"/>
        </w:rPr>
        <w:t xml:space="preserve"> (including differentials)</w:t>
      </w:r>
    </w:p>
    <w:p w:rsidR="0029641A" w:rsidRPr="0029641A" w:rsidRDefault="0029641A" w:rsidP="0029641A">
      <w:pPr>
        <w:spacing w:line="240" w:lineRule="auto"/>
        <w:ind w:left="720" w:firstLine="0"/>
        <w:contextualSpacing/>
        <w:rPr>
          <w:u w:val="single"/>
        </w:rPr>
      </w:pPr>
    </w:p>
    <w:tbl>
      <w:tblPr>
        <w:tblStyle w:val="TableGrid2"/>
        <w:tblW w:w="0" w:type="auto"/>
        <w:tblInd w:w="720" w:type="dxa"/>
        <w:tblLook w:val="04A0" w:firstRow="1" w:lastRow="0" w:firstColumn="1" w:lastColumn="0" w:noHBand="0" w:noVBand="1"/>
      </w:tblPr>
      <w:tblGrid>
        <w:gridCol w:w="1728"/>
        <w:gridCol w:w="1350"/>
        <w:gridCol w:w="2970"/>
        <w:gridCol w:w="2520"/>
      </w:tblGrid>
      <w:tr w:rsidR="0029641A" w:rsidRPr="0029641A" w:rsidTr="00B05AB0">
        <w:tc>
          <w:tcPr>
            <w:tcW w:w="1728" w:type="dxa"/>
          </w:tcPr>
          <w:p w:rsidR="0029641A" w:rsidRPr="0029641A" w:rsidRDefault="0029641A" w:rsidP="0029641A">
            <w:pPr>
              <w:spacing w:line="240" w:lineRule="auto"/>
              <w:ind w:firstLine="0"/>
              <w:contextualSpacing/>
            </w:pPr>
            <w:r w:rsidRPr="0029641A">
              <w:t>Period of time</w:t>
            </w:r>
          </w:p>
        </w:tc>
        <w:tc>
          <w:tcPr>
            <w:tcW w:w="1350" w:type="dxa"/>
          </w:tcPr>
          <w:p w:rsidR="0029641A" w:rsidRPr="0029641A" w:rsidRDefault="0029641A" w:rsidP="0029641A">
            <w:pPr>
              <w:spacing w:line="240" w:lineRule="auto"/>
              <w:ind w:firstLine="0"/>
              <w:contextualSpacing/>
            </w:pPr>
            <w:r w:rsidRPr="0029641A">
              <w:t># of days in period</w:t>
            </w:r>
          </w:p>
        </w:tc>
        <w:tc>
          <w:tcPr>
            <w:tcW w:w="2970" w:type="dxa"/>
          </w:tcPr>
          <w:p w:rsidR="0029641A" w:rsidRPr="0029641A" w:rsidRDefault="0029641A" w:rsidP="0029641A">
            <w:pPr>
              <w:spacing w:line="240" w:lineRule="auto"/>
              <w:ind w:firstLine="0"/>
              <w:contextualSpacing/>
            </w:pPr>
            <w:r w:rsidRPr="0029641A">
              <w:t xml:space="preserve">Yearly salary rate for period </w:t>
            </w:r>
            <w:r w:rsidRPr="0029641A">
              <w:rPr>
                <w:i/>
              </w:rPr>
              <w:t>plus</w:t>
            </w:r>
            <w:r w:rsidRPr="0029641A">
              <w:t xml:space="preserve"> annualized differential amount</w:t>
            </w:r>
          </w:p>
        </w:tc>
        <w:tc>
          <w:tcPr>
            <w:tcW w:w="2520" w:type="dxa"/>
          </w:tcPr>
          <w:p w:rsidR="0029641A" w:rsidRPr="0029641A" w:rsidRDefault="0029641A" w:rsidP="008E1427">
            <w:pPr>
              <w:spacing w:line="240" w:lineRule="auto"/>
              <w:ind w:firstLine="0"/>
              <w:contextualSpacing/>
            </w:pPr>
            <w:r w:rsidRPr="0029641A">
              <w:t xml:space="preserve">(Yearly salary </w:t>
            </w:r>
            <w:r w:rsidR="008E1427">
              <w:t>plus</w:t>
            </w:r>
            <w:r w:rsidRPr="0029641A">
              <w:t xml:space="preserve"> differential pay)  x (# of days worked in period)</w:t>
            </w:r>
          </w:p>
        </w:tc>
      </w:tr>
      <w:tr w:rsidR="0029641A" w:rsidRPr="0029641A" w:rsidTr="00B05AB0">
        <w:tc>
          <w:tcPr>
            <w:tcW w:w="1728" w:type="dxa"/>
          </w:tcPr>
          <w:p w:rsidR="0029641A" w:rsidRPr="0029641A" w:rsidRDefault="0029641A" w:rsidP="0029641A">
            <w:pPr>
              <w:spacing w:line="240" w:lineRule="auto"/>
              <w:ind w:firstLine="0"/>
              <w:contextualSpacing/>
            </w:pPr>
            <w:r w:rsidRPr="0029641A">
              <w:t>7/1/16-7/9/16</w:t>
            </w:r>
          </w:p>
        </w:tc>
        <w:tc>
          <w:tcPr>
            <w:tcW w:w="1350" w:type="dxa"/>
          </w:tcPr>
          <w:p w:rsidR="0029641A" w:rsidRPr="0029641A" w:rsidRDefault="0029641A" w:rsidP="0029641A">
            <w:pPr>
              <w:spacing w:line="240" w:lineRule="auto"/>
              <w:ind w:firstLine="0"/>
              <w:contextualSpacing/>
            </w:pPr>
            <w:r w:rsidRPr="0029641A">
              <w:t>9</w:t>
            </w:r>
          </w:p>
        </w:tc>
        <w:tc>
          <w:tcPr>
            <w:tcW w:w="2970" w:type="dxa"/>
          </w:tcPr>
          <w:p w:rsidR="0029641A" w:rsidRPr="0029641A" w:rsidRDefault="0029641A" w:rsidP="0029641A">
            <w:pPr>
              <w:spacing w:line="240" w:lineRule="auto"/>
              <w:ind w:firstLine="0"/>
              <w:contextualSpacing/>
            </w:pPr>
            <w:r w:rsidRPr="0029641A">
              <w:t>$79,662.18 + $6104.34 = $85,766.52</w:t>
            </w:r>
          </w:p>
        </w:tc>
        <w:tc>
          <w:tcPr>
            <w:tcW w:w="2520" w:type="dxa"/>
          </w:tcPr>
          <w:p w:rsidR="0029641A" w:rsidRPr="0029641A" w:rsidRDefault="0029641A" w:rsidP="0029641A">
            <w:pPr>
              <w:spacing w:line="240" w:lineRule="auto"/>
              <w:ind w:firstLine="0"/>
              <w:contextualSpacing/>
            </w:pPr>
            <w:r w:rsidRPr="0029641A">
              <w:t>$771,898.68</w:t>
            </w:r>
          </w:p>
        </w:tc>
      </w:tr>
      <w:tr w:rsidR="0029641A" w:rsidRPr="0029641A" w:rsidTr="00B05AB0">
        <w:tc>
          <w:tcPr>
            <w:tcW w:w="1728" w:type="dxa"/>
          </w:tcPr>
          <w:p w:rsidR="0029641A" w:rsidRPr="0029641A" w:rsidRDefault="0029641A" w:rsidP="0029641A">
            <w:pPr>
              <w:spacing w:line="240" w:lineRule="auto"/>
              <w:ind w:firstLine="0"/>
              <w:contextualSpacing/>
            </w:pPr>
            <w:r w:rsidRPr="0029641A">
              <w:t>7/10/16-12/31/16</w:t>
            </w:r>
          </w:p>
        </w:tc>
        <w:tc>
          <w:tcPr>
            <w:tcW w:w="1350" w:type="dxa"/>
          </w:tcPr>
          <w:p w:rsidR="0029641A" w:rsidRPr="0029641A" w:rsidRDefault="0029641A" w:rsidP="0029641A">
            <w:pPr>
              <w:spacing w:line="240" w:lineRule="auto"/>
              <w:ind w:firstLine="0"/>
              <w:contextualSpacing/>
            </w:pPr>
            <w:r w:rsidRPr="0029641A">
              <w:t>175</w:t>
            </w:r>
          </w:p>
        </w:tc>
        <w:tc>
          <w:tcPr>
            <w:tcW w:w="2970" w:type="dxa"/>
          </w:tcPr>
          <w:p w:rsidR="0029641A" w:rsidRPr="0029641A" w:rsidRDefault="0029641A" w:rsidP="0029641A">
            <w:pPr>
              <w:spacing w:line="240" w:lineRule="auto"/>
              <w:ind w:firstLine="0"/>
              <w:contextualSpacing/>
            </w:pPr>
            <w:r w:rsidRPr="0029641A">
              <w:t>$82,649.32 + $6104.34 = $88,753.66</w:t>
            </w:r>
          </w:p>
        </w:tc>
        <w:tc>
          <w:tcPr>
            <w:tcW w:w="2520" w:type="dxa"/>
          </w:tcPr>
          <w:p w:rsidR="0029641A" w:rsidRPr="0029641A" w:rsidRDefault="0029641A" w:rsidP="0029641A">
            <w:pPr>
              <w:spacing w:line="240" w:lineRule="auto"/>
              <w:ind w:firstLine="0"/>
              <w:contextualSpacing/>
            </w:pPr>
            <w:r w:rsidRPr="0029641A">
              <w:t>$15,531,890.50</w:t>
            </w:r>
          </w:p>
        </w:tc>
      </w:tr>
      <w:tr w:rsidR="0029641A" w:rsidRPr="0029641A" w:rsidTr="00B05AB0">
        <w:tc>
          <w:tcPr>
            <w:tcW w:w="1728" w:type="dxa"/>
          </w:tcPr>
          <w:p w:rsidR="0029641A" w:rsidRPr="0029641A" w:rsidRDefault="0029641A" w:rsidP="0029641A">
            <w:pPr>
              <w:spacing w:line="240" w:lineRule="auto"/>
              <w:ind w:firstLine="0"/>
              <w:contextualSpacing/>
            </w:pPr>
            <w:r w:rsidRPr="0029641A">
              <w:t>1/1/17-6/30/17</w:t>
            </w:r>
          </w:p>
        </w:tc>
        <w:tc>
          <w:tcPr>
            <w:tcW w:w="1350" w:type="dxa"/>
          </w:tcPr>
          <w:p w:rsidR="0029641A" w:rsidRPr="0029641A" w:rsidRDefault="0029641A" w:rsidP="0029641A">
            <w:pPr>
              <w:spacing w:line="240" w:lineRule="auto"/>
              <w:ind w:firstLine="0"/>
              <w:contextualSpacing/>
            </w:pPr>
            <w:r w:rsidRPr="0029641A">
              <w:t>181</w:t>
            </w:r>
          </w:p>
        </w:tc>
        <w:tc>
          <w:tcPr>
            <w:tcW w:w="2970" w:type="dxa"/>
          </w:tcPr>
          <w:p w:rsidR="0029641A" w:rsidRPr="0029641A" w:rsidRDefault="0029641A" w:rsidP="0029641A">
            <w:pPr>
              <w:spacing w:line="240" w:lineRule="auto"/>
              <w:ind w:firstLine="0"/>
              <w:contextualSpacing/>
            </w:pPr>
            <w:r w:rsidRPr="0029641A">
              <w:t>$82,649.32 + $8819.25 = $91,468.57</w:t>
            </w:r>
          </w:p>
        </w:tc>
        <w:tc>
          <w:tcPr>
            <w:tcW w:w="2520" w:type="dxa"/>
          </w:tcPr>
          <w:p w:rsidR="0029641A" w:rsidRPr="0029641A" w:rsidRDefault="0029641A" w:rsidP="0029641A">
            <w:pPr>
              <w:spacing w:line="240" w:lineRule="auto"/>
              <w:ind w:firstLine="0"/>
              <w:contextualSpacing/>
            </w:pPr>
            <w:r w:rsidRPr="0029641A">
              <w:t>$16,555,811.17</w:t>
            </w:r>
          </w:p>
        </w:tc>
      </w:tr>
      <w:tr w:rsidR="0029641A" w:rsidRPr="0029641A" w:rsidTr="00B05AB0">
        <w:tc>
          <w:tcPr>
            <w:tcW w:w="1728" w:type="dxa"/>
          </w:tcPr>
          <w:p w:rsidR="0029641A" w:rsidRPr="0029641A" w:rsidRDefault="0029641A" w:rsidP="0029641A">
            <w:pPr>
              <w:spacing w:line="240" w:lineRule="auto"/>
              <w:ind w:firstLine="0"/>
              <w:contextualSpacing/>
              <w:rPr>
                <w:b/>
              </w:rPr>
            </w:pPr>
            <w:r w:rsidRPr="0029641A">
              <w:rPr>
                <w:b/>
              </w:rPr>
              <w:t>Sum</w:t>
            </w:r>
          </w:p>
        </w:tc>
        <w:tc>
          <w:tcPr>
            <w:tcW w:w="1350" w:type="dxa"/>
          </w:tcPr>
          <w:p w:rsidR="0029641A" w:rsidRPr="0029641A" w:rsidRDefault="0029641A" w:rsidP="0029641A">
            <w:pPr>
              <w:spacing w:line="240" w:lineRule="auto"/>
              <w:ind w:firstLine="0"/>
              <w:contextualSpacing/>
              <w:rPr>
                <w:b/>
              </w:rPr>
            </w:pPr>
          </w:p>
        </w:tc>
        <w:tc>
          <w:tcPr>
            <w:tcW w:w="2970" w:type="dxa"/>
          </w:tcPr>
          <w:p w:rsidR="0029641A" w:rsidRPr="0029641A" w:rsidRDefault="0029641A" w:rsidP="0029641A">
            <w:pPr>
              <w:spacing w:line="240" w:lineRule="auto"/>
              <w:ind w:firstLine="0"/>
              <w:contextualSpacing/>
              <w:rPr>
                <w:b/>
              </w:rPr>
            </w:pPr>
          </w:p>
        </w:tc>
        <w:tc>
          <w:tcPr>
            <w:tcW w:w="2520" w:type="dxa"/>
          </w:tcPr>
          <w:p w:rsidR="0029641A" w:rsidRPr="0029641A" w:rsidRDefault="0029641A" w:rsidP="0029641A">
            <w:pPr>
              <w:spacing w:line="240" w:lineRule="auto"/>
              <w:ind w:firstLine="0"/>
              <w:contextualSpacing/>
              <w:rPr>
                <w:b/>
              </w:rPr>
            </w:pPr>
            <w:r w:rsidRPr="0029641A">
              <w:rPr>
                <w:b/>
              </w:rPr>
              <w:t>$32,859,600.35</w:t>
            </w:r>
          </w:p>
        </w:tc>
      </w:tr>
      <w:tr w:rsidR="0029641A" w:rsidRPr="0029641A" w:rsidTr="00B05AB0">
        <w:tc>
          <w:tcPr>
            <w:tcW w:w="1728" w:type="dxa"/>
          </w:tcPr>
          <w:p w:rsidR="0029641A" w:rsidRPr="0029641A" w:rsidRDefault="0029641A" w:rsidP="0029641A">
            <w:pPr>
              <w:spacing w:line="240" w:lineRule="auto"/>
              <w:ind w:firstLine="0"/>
              <w:contextualSpacing/>
              <w:rPr>
                <w:b/>
                <w:i/>
              </w:rPr>
            </w:pPr>
            <w:r w:rsidRPr="0029641A">
              <w:rPr>
                <w:b/>
                <w:i/>
              </w:rPr>
              <w:t>Annual rate (Sum/365)</w:t>
            </w:r>
          </w:p>
        </w:tc>
        <w:tc>
          <w:tcPr>
            <w:tcW w:w="1350" w:type="dxa"/>
          </w:tcPr>
          <w:p w:rsidR="0029641A" w:rsidRPr="0029641A" w:rsidRDefault="0029641A" w:rsidP="0029641A">
            <w:pPr>
              <w:spacing w:line="240" w:lineRule="auto"/>
              <w:ind w:firstLine="0"/>
              <w:contextualSpacing/>
              <w:rPr>
                <w:b/>
                <w:i/>
              </w:rPr>
            </w:pPr>
          </w:p>
        </w:tc>
        <w:tc>
          <w:tcPr>
            <w:tcW w:w="2970" w:type="dxa"/>
          </w:tcPr>
          <w:p w:rsidR="0029641A" w:rsidRPr="0029641A" w:rsidRDefault="0029641A" w:rsidP="0029641A">
            <w:pPr>
              <w:spacing w:line="240" w:lineRule="auto"/>
              <w:ind w:firstLine="0"/>
              <w:contextualSpacing/>
              <w:rPr>
                <w:b/>
                <w:i/>
              </w:rPr>
            </w:pPr>
          </w:p>
        </w:tc>
        <w:tc>
          <w:tcPr>
            <w:tcW w:w="2520" w:type="dxa"/>
          </w:tcPr>
          <w:p w:rsidR="0029641A" w:rsidRPr="0029641A" w:rsidRDefault="0029641A" w:rsidP="006D768E">
            <w:pPr>
              <w:spacing w:line="240" w:lineRule="auto"/>
              <w:ind w:firstLine="0"/>
              <w:contextualSpacing/>
              <w:rPr>
                <w:b/>
                <w:i/>
              </w:rPr>
            </w:pPr>
            <w:r w:rsidRPr="0029641A">
              <w:rPr>
                <w:b/>
                <w:i/>
              </w:rPr>
              <w:t>$90,026.30</w:t>
            </w:r>
          </w:p>
        </w:tc>
      </w:tr>
    </w:tbl>
    <w:p w:rsidR="0029641A" w:rsidRDefault="0029641A" w:rsidP="006D768E">
      <w:pPr>
        <w:spacing w:line="240" w:lineRule="auto"/>
        <w:ind w:firstLine="0"/>
      </w:pPr>
    </w:p>
    <w:p w:rsidR="006D768E" w:rsidRPr="006D768E" w:rsidRDefault="006D768E" w:rsidP="006D768E">
      <w:pPr>
        <w:ind w:firstLine="0"/>
        <w:rPr>
          <w:rFonts w:cs="Times New Roman"/>
        </w:rPr>
      </w:pPr>
      <w:r w:rsidRPr="006D768E">
        <w:rPr>
          <w:rFonts w:cs="Times New Roman"/>
        </w:rPr>
        <w:t xml:space="preserve">In </w:t>
      </w:r>
      <w:r w:rsidR="00C77F32">
        <w:rPr>
          <w:rFonts w:cs="Times New Roman"/>
        </w:rPr>
        <w:t>these calculations</w:t>
      </w:r>
      <w:r w:rsidRPr="006D768E">
        <w:rPr>
          <w:rFonts w:cs="Times New Roman"/>
        </w:rPr>
        <w:t>, the Board annualized the Petitioner’s rate of pay for the period 1/1/2017 to 6/30/2017 by assuming that the Petitioner would have earned additional amounts of differentials for the latter half of 2017 when in fact he did not.  Accordingly, the Board assumed a constant rate of pay over 365 days so that it could arrive at an annualized amount.  Importantly, it did not penalize the Petitioner by attempting to annualize Petitioner’s 2017 differential pay by spreading what he had actually earned out over 12 months and dividing that amount by approximately half.</w:t>
      </w:r>
    </w:p>
    <w:p w:rsidR="00B11342" w:rsidRDefault="006D768E" w:rsidP="006D768E">
      <w:pPr>
        <w:rPr>
          <w:rFonts w:cs="Times New Roman"/>
        </w:rPr>
      </w:pPr>
      <w:r w:rsidRPr="006D768E">
        <w:rPr>
          <w:rFonts w:cs="Times New Roman"/>
        </w:rPr>
        <w:lastRenderedPageBreak/>
        <w:t>If the Board wishes to annualize Petitioner’s rate of pay for the period 7/1/2016 to 12/31/2016, it may use the same method.  It may take the amount Petitioner actually earned for that period ($3,985.38), divide it by the number of days actually worked at that amount (184), and multiply that amount by 365.  The calculation would be as follows: $3,985.38/184 = $21.66 x 365 days = $7,905.78. The revised full calculation would be as follows:</w:t>
      </w:r>
    </w:p>
    <w:tbl>
      <w:tblPr>
        <w:tblStyle w:val="TableGrid4"/>
        <w:tblW w:w="0" w:type="auto"/>
        <w:tblInd w:w="720" w:type="dxa"/>
        <w:tblLook w:val="04A0" w:firstRow="1" w:lastRow="0" w:firstColumn="1" w:lastColumn="0" w:noHBand="0" w:noVBand="1"/>
      </w:tblPr>
      <w:tblGrid>
        <w:gridCol w:w="1908"/>
        <w:gridCol w:w="1350"/>
        <w:gridCol w:w="2562"/>
        <w:gridCol w:w="2748"/>
      </w:tblGrid>
      <w:tr w:rsidR="006D768E" w:rsidRPr="006D768E" w:rsidTr="00B05AB0">
        <w:tc>
          <w:tcPr>
            <w:tcW w:w="1908" w:type="dxa"/>
          </w:tcPr>
          <w:p w:rsidR="006D768E" w:rsidRPr="006D768E" w:rsidRDefault="006D768E" w:rsidP="006D768E">
            <w:pPr>
              <w:spacing w:line="240" w:lineRule="auto"/>
              <w:ind w:firstLine="0"/>
              <w:contextualSpacing/>
            </w:pPr>
            <w:r w:rsidRPr="006D768E">
              <w:t>Period of time</w:t>
            </w:r>
          </w:p>
        </w:tc>
        <w:tc>
          <w:tcPr>
            <w:tcW w:w="1350" w:type="dxa"/>
          </w:tcPr>
          <w:p w:rsidR="006D768E" w:rsidRPr="006D768E" w:rsidRDefault="006D768E" w:rsidP="006D768E">
            <w:pPr>
              <w:spacing w:line="240" w:lineRule="auto"/>
              <w:ind w:firstLine="0"/>
              <w:contextualSpacing/>
            </w:pPr>
            <w:r w:rsidRPr="006D768E">
              <w:t># of days in period</w:t>
            </w:r>
          </w:p>
        </w:tc>
        <w:tc>
          <w:tcPr>
            <w:tcW w:w="2562" w:type="dxa"/>
          </w:tcPr>
          <w:p w:rsidR="006D768E" w:rsidRPr="006D768E" w:rsidRDefault="006D768E" w:rsidP="006D768E">
            <w:pPr>
              <w:spacing w:line="240" w:lineRule="auto"/>
              <w:ind w:firstLine="0"/>
              <w:contextualSpacing/>
            </w:pPr>
            <w:r w:rsidRPr="006D768E">
              <w:t xml:space="preserve">Yearly salary rate for period </w:t>
            </w:r>
            <w:r w:rsidRPr="006D768E">
              <w:rPr>
                <w:i/>
              </w:rPr>
              <w:t>plus</w:t>
            </w:r>
            <w:r w:rsidRPr="006D768E">
              <w:t xml:space="preserve"> annualized differential amount</w:t>
            </w:r>
          </w:p>
        </w:tc>
        <w:tc>
          <w:tcPr>
            <w:tcW w:w="2748" w:type="dxa"/>
          </w:tcPr>
          <w:p w:rsidR="006D768E" w:rsidRPr="006D768E" w:rsidRDefault="006D768E" w:rsidP="006D768E">
            <w:pPr>
              <w:spacing w:line="240" w:lineRule="auto"/>
              <w:ind w:firstLine="0"/>
              <w:contextualSpacing/>
            </w:pPr>
            <w:r w:rsidRPr="006D768E">
              <w:t>(Yearly salary and differential pay)  x (# of days worked in period)</w:t>
            </w:r>
          </w:p>
        </w:tc>
      </w:tr>
      <w:tr w:rsidR="006D768E" w:rsidRPr="006D768E" w:rsidTr="00B05AB0">
        <w:tc>
          <w:tcPr>
            <w:tcW w:w="1908" w:type="dxa"/>
          </w:tcPr>
          <w:p w:rsidR="006D768E" w:rsidRPr="006D768E" w:rsidRDefault="006D768E" w:rsidP="006D768E">
            <w:pPr>
              <w:spacing w:line="240" w:lineRule="auto"/>
              <w:ind w:firstLine="0"/>
              <w:contextualSpacing/>
            </w:pPr>
            <w:r w:rsidRPr="006D768E">
              <w:t>7/1/16-7/9/16</w:t>
            </w:r>
          </w:p>
        </w:tc>
        <w:tc>
          <w:tcPr>
            <w:tcW w:w="1350" w:type="dxa"/>
          </w:tcPr>
          <w:p w:rsidR="006D768E" w:rsidRPr="006D768E" w:rsidRDefault="006D768E" w:rsidP="006D768E">
            <w:pPr>
              <w:spacing w:line="240" w:lineRule="auto"/>
              <w:ind w:firstLine="0"/>
              <w:contextualSpacing/>
            </w:pPr>
            <w:r w:rsidRPr="006D768E">
              <w:t>9</w:t>
            </w:r>
          </w:p>
        </w:tc>
        <w:tc>
          <w:tcPr>
            <w:tcW w:w="2562" w:type="dxa"/>
          </w:tcPr>
          <w:p w:rsidR="006D768E" w:rsidRPr="006D768E" w:rsidRDefault="006D768E" w:rsidP="006D768E">
            <w:pPr>
              <w:spacing w:line="240" w:lineRule="auto"/>
              <w:ind w:firstLine="0"/>
              <w:contextualSpacing/>
            </w:pPr>
            <w:r w:rsidRPr="006D768E">
              <w:t>$79,662.18 + $7905.78 = $87,567.96</w:t>
            </w:r>
          </w:p>
        </w:tc>
        <w:tc>
          <w:tcPr>
            <w:tcW w:w="2748" w:type="dxa"/>
          </w:tcPr>
          <w:p w:rsidR="006D768E" w:rsidRPr="006D768E" w:rsidRDefault="006D768E" w:rsidP="006D768E">
            <w:pPr>
              <w:spacing w:line="240" w:lineRule="auto"/>
              <w:ind w:firstLine="0"/>
              <w:contextualSpacing/>
            </w:pPr>
            <w:r w:rsidRPr="006D768E">
              <w:t>$788,111.64</w:t>
            </w:r>
          </w:p>
        </w:tc>
      </w:tr>
      <w:tr w:rsidR="006D768E" w:rsidRPr="006D768E" w:rsidTr="00B05AB0">
        <w:tc>
          <w:tcPr>
            <w:tcW w:w="1908" w:type="dxa"/>
          </w:tcPr>
          <w:p w:rsidR="006D768E" w:rsidRPr="006D768E" w:rsidRDefault="006D768E" w:rsidP="006D768E">
            <w:pPr>
              <w:spacing w:line="240" w:lineRule="auto"/>
              <w:ind w:firstLine="0"/>
              <w:contextualSpacing/>
            </w:pPr>
            <w:r w:rsidRPr="006D768E">
              <w:t>7/10/16-12/31/16</w:t>
            </w:r>
          </w:p>
        </w:tc>
        <w:tc>
          <w:tcPr>
            <w:tcW w:w="1350" w:type="dxa"/>
          </w:tcPr>
          <w:p w:rsidR="006D768E" w:rsidRPr="006D768E" w:rsidRDefault="006D768E" w:rsidP="006D768E">
            <w:pPr>
              <w:spacing w:line="240" w:lineRule="auto"/>
              <w:ind w:firstLine="0"/>
              <w:contextualSpacing/>
            </w:pPr>
            <w:r w:rsidRPr="006D768E">
              <w:t>175</w:t>
            </w:r>
          </w:p>
        </w:tc>
        <w:tc>
          <w:tcPr>
            <w:tcW w:w="2562" w:type="dxa"/>
          </w:tcPr>
          <w:p w:rsidR="006D768E" w:rsidRPr="006D768E" w:rsidRDefault="006D768E" w:rsidP="006D768E">
            <w:pPr>
              <w:spacing w:line="240" w:lineRule="auto"/>
              <w:ind w:firstLine="0"/>
              <w:contextualSpacing/>
            </w:pPr>
            <w:r w:rsidRPr="006D768E">
              <w:t>$82,649.32 + $7905.78 = $90,555.10</w:t>
            </w:r>
          </w:p>
        </w:tc>
        <w:tc>
          <w:tcPr>
            <w:tcW w:w="2748" w:type="dxa"/>
          </w:tcPr>
          <w:p w:rsidR="006D768E" w:rsidRPr="006D768E" w:rsidRDefault="006D768E" w:rsidP="006D768E">
            <w:pPr>
              <w:spacing w:line="240" w:lineRule="auto"/>
              <w:ind w:firstLine="0"/>
              <w:contextualSpacing/>
            </w:pPr>
            <w:r w:rsidRPr="006D768E">
              <w:t>$15,847,142.50</w:t>
            </w:r>
          </w:p>
        </w:tc>
      </w:tr>
      <w:tr w:rsidR="006D768E" w:rsidRPr="006D768E" w:rsidTr="00B05AB0">
        <w:tc>
          <w:tcPr>
            <w:tcW w:w="1908" w:type="dxa"/>
          </w:tcPr>
          <w:p w:rsidR="006D768E" w:rsidRPr="006D768E" w:rsidRDefault="006D768E" w:rsidP="006D768E">
            <w:pPr>
              <w:spacing w:line="240" w:lineRule="auto"/>
              <w:ind w:firstLine="0"/>
              <w:contextualSpacing/>
            </w:pPr>
            <w:r w:rsidRPr="006D768E">
              <w:t>1/1/17-6/30/17</w:t>
            </w:r>
          </w:p>
        </w:tc>
        <w:tc>
          <w:tcPr>
            <w:tcW w:w="1350" w:type="dxa"/>
          </w:tcPr>
          <w:p w:rsidR="006D768E" w:rsidRPr="006D768E" w:rsidRDefault="006D768E" w:rsidP="006D768E">
            <w:pPr>
              <w:spacing w:line="240" w:lineRule="auto"/>
              <w:ind w:firstLine="0"/>
              <w:contextualSpacing/>
            </w:pPr>
            <w:r w:rsidRPr="006D768E">
              <w:t>181</w:t>
            </w:r>
          </w:p>
        </w:tc>
        <w:tc>
          <w:tcPr>
            <w:tcW w:w="2562" w:type="dxa"/>
          </w:tcPr>
          <w:p w:rsidR="006D768E" w:rsidRPr="006D768E" w:rsidRDefault="006D768E" w:rsidP="006D768E">
            <w:pPr>
              <w:spacing w:line="240" w:lineRule="auto"/>
              <w:ind w:firstLine="0"/>
              <w:contextualSpacing/>
            </w:pPr>
            <w:r w:rsidRPr="006D768E">
              <w:t>$82,649.32 + $8819.25 = $91,468.57</w:t>
            </w:r>
          </w:p>
        </w:tc>
        <w:tc>
          <w:tcPr>
            <w:tcW w:w="2748" w:type="dxa"/>
          </w:tcPr>
          <w:p w:rsidR="006D768E" w:rsidRPr="006D768E" w:rsidRDefault="006D768E" w:rsidP="006D768E">
            <w:pPr>
              <w:spacing w:line="240" w:lineRule="auto"/>
              <w:ind w:firstLine="0"/>
              <w:contextualSpacing/>
            </w:pPr>
            <w:r w:rsidRPr="006D768E">
              <w:t>$16,555,811.17</w:t>
            </w:r>
          </w:p>
        </w:tc>
      </w:tr>
      <w:tr w:rsidR="006D768E" w:rsidRPr="006D768E" w:rsidTr="00B05AB0">
        <w:tc>
          <w:tcPr>
            <w:tcW w:w="1908" w:type="dxa"/>
          </w:tcPr>
          <w:p w:rsidR="006D768E" w:rsidRPr="006D768E" w:rsidRDefault="006D768E" w:rsidP="006D768E">
            <w:pPr>
              <w:spacing w:line="240" w:lineRule="auto"/>
              <w:ind w:firstLine="0"/>
              <w:contextualSpacing/>
              <w:rPr>
                <w:b/>
              </w:rPr>
            </w:pPr>
            <w:r w:rsidRPr="006D768E">
              <w:rPr>
                <w:b/>
              </w:rPr>
              <w:t>Sum</w:t>
            </w:r>
          </w:p>
        </w:tc>
        <w:tc>
          <w:tcPr>
            <w:tcW w:w="1350" w:type="dxa"/>
          </w:tcPr>
          <w:p w:rsidR="006D768E" w:rsidRPr="006D768E" w:rsidRDefault="006D768E" w:rsidP="006D768E">
            <w:pPr>
              <w:spacing w:line="240" w:lineRule="auto"/>
              <w:ind w:firstLine="0"/>
              <w:contextualSpacing/>
              <w:rPr>
                <w:b/>
              </w:rPr>
            </w:pPr>
          </w:p>
        </w:tc>
        <w:tc>
          <w:tcPr>
            <w:tcW w:w="2562" w:type="dxa"/>
          </w:tcPr>
          <w:p w:rsidR="006D768E" w:rsidRPr="006D768E" w:rsidRDefault="006D768E" w:rsidP="006D768E">
            <w:pPr>
              <w:spacing w:line="240" w:lineRule="auto"/>
              <w:ind w:firstLine="0"/>
              <w:contextualSpacing/>
              <w:rPr>
                <w:b/>
              </w:rPr>
            </w:pPr>
          </w:p>
        </w:tc>
        <w:tc>
          <w:tcPr>
            <w:tcW w:w="2748" w:type="dxa"/>
          </w:tcPr>
          <w:p w:rsidR="006D768E" w:rsidRPr="006D768E" w:rsidRDefault="006D768E" w:rsidP="006D768E">
            <w:pPr>
              <w:spacing w:line="240" w:lineRule="auto"/>
              <w:ind w:firstLine="0"/>
              <w:contextualSpacing/>
              <w:rPr>
                <w:b/>
              </w:rPr>
            </w:pPr>
            <w:r w:rsidRPr="006D768E">
              <w:rPr>
                <w:b/>
              </w:rPr>
              <w:t>$33,191,065.31</w:t>
            </w:r>
          </w:p>
        </w:tc>
      </w:tr>
      <w:tr w:rsidR="006D768E" w:rsidRPr="006D768E" w:rsidTr="00B05AB0">
        <w:tc>
          <w:tcPr>
            <w:tcW w:w="1908" w:type="dxa"/>
          </w:tcPr>
          <w:p w:rsidR="006D768E" w:rsidRPr="006D768E" w:rsidRDefault="006D768E" w:rsidP="006D768E">
            <w:pPr>
              <w:spacing w:line="240" w:lineRule="auto"/>
              <w:ind w:firstLine="0"/>
              <w:contextualSpacing/>
              <w:rPr>
                <w:b/>
                <w:i/>
              </w:rPr>
            </w:pPr>
            <w:r w:rsidRPr="006D768E">
              <w:rPr>
                <w:b/>
                <w:i/>
              </w:rPr>
              <w:t>Annual rate (Sum/365)</w:t>
            </w:r>
          </w:p>
        </w:tc>
        <w:tc>
          <w:tcPr>
            <w:tcW w:w="1350" w:type="dxa"/>
          </w:tcPr>
          <w:p w:rsidR="006D768E" w:rsidRPr="006D768E" w:rsidRDefault="006D768E" w:rsidP="006D768E">
            <w:pPr>
              <w:spacing w:line="240" w:lineRule="auto"/>
              <w:ind w:firstLine="0"/>
              <w:contextualSpacing/>
              <w:rPr>
                <w:b/>
                <w:i/>
              </w:rPr>
            </w:pPr>
          </w:p>
        </w:tc>
        <w:tc>
          <w:tcPr>
            <w:tcW w:w="2562" w:type="dxa"/>
          </w:tcPr>
          <w:p w:rsidR="006D768E" w:rsidRPr="006D768E" w:rsidRDefault="006D768E" w:rsidP="006D768E">
            <w:pPr>
              <w:spacing w:line="240" w:lineRule="auto"/>
              <w:ind w:firstLine="0"/>
              <w:contextualSpacing/>
              <w:rPr>
                <w:b/>
                <w:i/>
              </w:rPr>
            </w:pPr>
          </w:p>
        </w:tc>
        <w:tc>
          <w:tcPr>
            <w:tcW w:w="2748" w:type="dxa"/>
          </w:tcPr>
          <w:p w:rsidR="006D768E" w:rsidRPr="006D768E" w:rsidRDefault="006D768E" w:rsidP="006D768E">
            <w:pPr>
              <w:spacing w:line="240" w:lineRule="auto"/>
              <w:ind w:firstLine="0"/>
              <w:contextualSpacing/>
              <w:rPr>
                <w:b/>
                <w:i/>
              </w:rPr>
            </w:pPr>
            <w:r w:rsidRPr="006D768E">
              <w:rPr>
                <w:b/>
                <w:i/>
              </w:rPr>
              <w:t>$90,934.43</w:t>
            </w:r>
          </w:p>
        </w:tc>
      </w:tr>
    </w:tbl>
    <w:p w:rsidR="006D768E" w:rsidRDefault="006D768E" w:rsidP="00C77F32">
      <w:pPr>
        <w:spacing w:line="240" w:lineRule="auto"/>
        <w:rPr>
          <w:rFonts w:cs="Times New Roman"/>
        </w:rPr>
      </w:pPr>
    </w:p>
    <w:p w:rsidR="006D768E" w:rsidRPr="006D768E" w:rsidRDefault="00803FFD" w:rsidP="006D768E">
      <w:pPr>
        <w:contextualSpacing/>
        <w:rPr>
          <w:rFonts w:cs="Times New Roman"/>
        </w:rPr>
      </w:pPr>
      <w:r>
        <w:rPr>
          <w:rFonts w:cs="Times New Roman"/>
        </w:rPr>
        <w:t>Alternatively, i</w:t>
      </w:r>
      <w:r w:rsidR="006D768E" w:rsidRPr="006D768E">
        <w:rPr>
          <w:rFonts w:cs="Times New Roman"/>
        </w:rPr>
        <w:t>f the Board were to add the actual differential pay earned</w:t>
      </w:r>
      <w:r>
        <w:rPr>
          <w:rFonts w:cs="Times New Roman"/>
        </w:rPr>
        <w:t xml:space="preserve"> by the Petitioner</w:t>
      </w:r>
      <w:r w:rsidR="006D768E" w:rsidRPr="006D768E">
        <w:rPr>
          <w:rFonts w:cs="Times New Roman"/>
        </w:rPr>
        <w:t xml:space="preserve"> during the period from 7/1/16 to 6/30/17 to the total amount of annualized salary it had calculated for that period, the total number would be $90,934.42 ($82,575.66 + $3,985.38 + $4,373.38 = $90,934.42).</w:t>
      </w:r>
    </w:p>
    <w:p w:rsidR="00AD5619" w:rsidRDefault="006D768E" w:rsidP="006D768E">
      <w:pPr>
        <w:contextualSpacing/>
        <w:rPr>
          <w:rFonts w:cs="Times New Roman"/>
        </w:rPr>
      </w:pPr>
      <w:r w:rsidRPr="006D768E">
        <w:rPr>
          <w:rFonts w:cs="Times New Roman"/>
        </w:rPr>
        <w:t xml:space="preserve">The Board may use an annualized calculation as long as doing </w:t>
      </w:r>
      <w:r w:rsidR="008E1427" w:rsidRPr="006D768E">
        <w:rPr>
          <w:rFonts w:cs="Times New Roman"/>
        </w:rPr>
        <w:t xml:space="preserve">so </w:t>
      </w:r>
      <w:r w:rsidRPr="006D768E">
        <w:rPr>
          <w:rFonts w:cs="Times New Roman"/>
        </w:rPr>
        <w:t xml:space="preserve">does not decrease the amount of pay a member </w:t>
      </w:r>
      <w:r w:rsidR="008E1427">
        <w:rPr>
          <w:rFonts w:cs="Times New Roman"/>
        </w:rPr>
        <w:t xml:space="preserve">actually </w:t>
      </w:r>
      <w:r w:rsidRPr="006D768E">
        <w:rPr>
          <w:rFonts w:cs="Times New Roman"/>
        </w:rPr>
        <w:t>earned by equating compensation earned</w:t>
      </w:r>
      <w:r w:rsidR="008E1427">
        <w:rPr>
          <w:rFonts w:cs="Times New Roman"/>
        </w:rPr>
        <w:t xml:space="preserve"> over a less than 12 month period</w:t>
      </w:r>
      <w:r w:rsidRPr="006D768E">
        <w:rPr>
          <w:rFonts w:cs="Times New Roman"/>
        </w:rPr>
        <w:t xml:space="preserve"> with the average annual compensation rate. Further, the Board may not, consistent with my prior decision, reach back in time to include in its calculation compensation earned prior to the 12 month period </w:t>
      </w:r>
      <w:r w:rsidR="008E1427">
        <w:rPr>
          <w:rFonts w:cs="Times New Roman"/>
        </w:rPr>
        <w:t>that</w:t>
      </w:r>
      <w:r w:rsidRPr="006D768E">
        <w:rPr>
          <w:rFonts w:cs="Times New Roman"/>
        </w:rPr>
        <w:t xml:space="preserve"> immediately precedes the member’s retirement.</w:t>
      </w:r>
    </w:p>
    <w:p w:rsidR="00AD5619" w:rsidRDefault="00AD5619">
      <w:pPr>
        <w:spacing w:line="240" w:lineRule="auto"/>
        <w:ind w:firstLine="0"/>
        <w:rPr>
          <w:rFonts w:cs="Times New Roman"/>
        </w:rPr>
      </w:pPr>
      <w:r>
        <w:rPr>
          <w:rFonts w:cs="Times New Roman"/>
        </w:rPr>
        <w:br w:type="page"/>
      </w:r>
    </w:p>
    <w:p w:rsidR="00D60341" w:rsidRDefault="006D768E" w:rsidP="00514B48">
      <w:pPr>
        <w:ind w:firstLine="0"/>
        <w:jc w:val="center"/>
        <w:rPr>
          <w:rFonts w:cs="Times New Roman"/>
        </w:rPr>
      </w:pPr>
      <w:r>
        <w:rPr>
          <w:rFonts w:cs="Times New Roman"/>
          <w:b/>
        </w:rPr>
        <w:lastRenderedPageBreak/>
        <w:t>CONCLUSION AND ORDER</w:t>
      </w:r>
    </w:p>
    <w:p w:rsidR="006D768E" w:rsidRDefault="00B05AB0" w:rsidP="00423CE5">
      <w:pPr>
        <w:rPr>
          <w:rFonts w:cs="Times New Roman"/>
        </w:rPr>
      </w:pPr>
      <w:r>
        <w:rPr>
          <w:rFonts w:cs="Times New Roman"/>
        </w:rPr>
        <w:t>The Board’s</w:t>
      </w:r>
      <w:r w:rsidRPr="00B05AB0">
        <w:rPr>
          <w:rFonts w:cs="Times New Roman"/>
        </w:rPr>
        <w:t xml:space="preserve"> motion for reconsideration shows neither a “clerical or mechanical error</w:t>
      </w:r>
      <w:r>
        <w:rPr>
          <w:rFonts w:cs="Times New Roman"/>
        </w:rPr>
        <w:t>”</w:t>
      </w:r>
      <w:r w:rsidRPr="00B05AB0">
        <w:rPr>
          <w:rFonts w:cs="Times New Roman"/>
        </w:rPr>
        <w:t xml:space="preserve"> in </w:t>
      </w:r>
      <w:r>
        <w:rPr>
          <w:rFonts w:cs="Times New Roman"/>
        </w:rPr>
        <w:t>the Decision</w:t>
      </w:r>
      <w:r w:rsidRPr="00B05AB0">
        <w:rPr>
          <w:rFonts w:cs="Times New Roman"/>
        </w:rPr>
        <w:t xml:space="preserve"> requiring correction nor “a significant factor” that the DALA Magistrate “may have overlooked” in deciding the case, the grounds for reconsideration specified by 801 CMR 1.01(7)(l). </w:t>
      </w:r>
      <w:r w:rsidR="006D768E">
        <w:rPr>
          <w:rFonts w:cs="Times New Roman"/>
        </w:rPr>
        <w:t>The Board’s Motion for Reconsideration is</w:t>
      </w:r>
      <w:r>
        <w:rPr>
          <w:rFonts w:cs="Times New Roman"/>
        </w:rPr>
        <w:t xml:space="preserve"> accordingly</w:t>
      </w:r>
      <w:r w:rsidR="006D768E">
        <w:rPr>
          <w:rFonts w:cs="Times New Roman"/>
        </w:rPr>
        <w:t xml:space="preserve"> denied.</w:t>
      </w:r>
    </w:p>
    <w:p w:rsidR="00423CE5" w:rsidRPr="001E40EF" w:rsidRDefault="00D60341" w:rsidP="00423CE5">
      <w:pPr>
        <w:rPr>
          <w:rFonts w:cs="Times New Roman"/>
        </w:rPr>
      </w:pPr>
      <w:r>
        <w:rPr>
          <w:rFonts w:cs="Times New Roman"/>
        </w:rPr>
        <w:t>SO ORDERED.</w:t>
      </w:r>
    </w:p>
    <w:p w:rsidR="00D60341" w:rsidRDefault="001E40EF" w:rsidP="001E40EF">
      <w:pPr>
        <w:rPr>
          <w:rFonts w:cs="Times New Roman"/>
        </w:rPr>
      </w:pPr>
      <w:r>
        <w:rPr>
          <w:rFonts w:cs="Times New Roman"/>
        </w:rPr>
        <w:tab/>
      </w:r>
      <w:r>
        <w:rPr>
          <w:rFonts w:cs="Times New Roman"/>
        </w:rPr>
        <w:tab/>
      </w:r>
    </w:p>
    <w:p w:rsidR="00423CE5" w:rsidRPr="001E40EF" w:rsidRDefault="00423CE5" w:rsidP="00D60341">
      <w:pPr>
        <w:ind w:left="720"/>
        <w:rPr>
          <w:rFonts w:cs="Times New Roman"/>
        </w:rPr>
      </w:pPr>
      <w:r w:rsidRPr="001E40EF">
        <w:rPr>
          <w:rFonts w:cs="Times New Roman"/>
        </w:rPr>
        <w:t>DIVISION OF ADMINISTRATIVE LAW APPEALS</w:t>
      </w:r>
    </w:p>
    <w:p w:rsidR="00D60341" w:rsidRDefault="00D60341" w:rsidP="00D60341">
      <w:pPr>
        <w:ind w:firstLine="0"/>
        <w:rPr>
          <w:rFonts w:cs="Times New Roman"/>
        </w:rPr>
      </w:pPr>
      <w:r>
        <w:rPr>
          <w:rFonts w:cs="Times New Roman"/>
        </w:rPr>
        <w:tab/>
      </w:r>
      <w:r w:rsidR="00423CE5" w:rsidRPr="001E40EF">
        <w:rPr>
          <w:rFonts w:cs="Times New Roman"/>
        </w:rPr>
        <w:tab/>
      </w:r>
      <w:r w:rsidR="00423CE5" w:rsidRPr="001E40EF">
        <w:rPr>
          <w:rFonts w:cs="Times New Roman"/>
        </w:rPr>
        <w:tab/>
      </w:r>
      <w:r w:rsidR="00423CE5" w:rsidRPr="001E40EF">
        <w:rPr>
          <w:rFonts w:cs="Times New Roman"/>
        </w:rPr>
        <w:tab/>
      </w:r>
      <w:r w:rsidR="00423CE5" w:rsidRPr="001E40EF">
        <w:rPr>
          <w:rFonts w:cs="Times New Roman"/>
        </w:rPr>
        <w:tab/>
      </w:r>
      <w:r w:rsidR="001E40EF">
        <w:rPr>
          <w:rFonts w:cs="Times New Roman"/>
        </w:rPr>
        <w:tab/>
      </w:r>
      <w:r w:rsidR="001E40EF">
        <w:rPr>
          <w:rFonts w:cs="Times New Roman"/>
        </w:rPr>
        <w:tab/>
      </w:r>
      <w:r w:rsidR="001E40EF">
        <w:rPr>
          <w:rFonts w:cs="Times New Roman"/>
        </w:rPr>
        <w:tab/>
      </w:r>
      <w:r w:rsidR="001E40EF">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____________________________________________</w:t>
      </w:r>
    </w:p>
    <w:p w:rsidR="00423CE5" w:rsidRPr="001E40EF" w:rsidRDefault="00423CE5" w:rsidP="00D60341">
      <w:pPr>
        <w:spacing w:line="240" w:lineRule="auto"/>
        <w:ind w:left="720"/>
        <w:rPr>
          <w:rFonts w:cs="Times New Roman"/>
        </w:rPr>
      </w:pPr>
      <w:r w:rsidRPr="001E40EF">
        <w:rPr>
          <w:rFonts w:cs="Times New Roman"/>
        </w:rPr>
        <w:t>Kristin M. Palace</w:t>
      </w:r>
    </w:p>
    <w:p w:rsidR="00423CE5" w:rsidRPr="001E40EF" w:rsidRDefault="001E40EF" w:rsidP="00423CE5">
      <w:pPr>
        <w:rPr>
          <w:rFonts w:cs="Times New Roman"/>
        </w:rPr>
      </w:pPr>
      <w:r>
        <w:rPr>
          <w:rFonts w:cs="Times New Roman"/>
        </w:rPr>
        <w:tab/>
      </w:r>
      <w:r w:rsidR="00423CE5" w:rsidRPr="001E40EF">
        <w:rPr>
          <w:rFonts w:cs="Times New Roman"/>
        </w:rPr>
        <w:t>Administrative Magistrate</w:t>
      </w:r>
    </w:p>
    <w:p w:rsidR="00423CE5" w:rsidRPr="001E40EF" w:rsidRDefault="00423CE5" w:rsidP="00423CE5">
      <w:pPr>
        <w:rPr>
          <w:rFonts w:cs="Times New Roman"/>
        </w:rPr>
      </w:pPr>
    </w:p>
    <w:sectPr w:rsidR="00423CE5" w:rsidRPr="001E40EF" w:rsidSect="00311A3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FA" w:rsidRDefault="002826FA" w:rsidP="00423CE5">
      <w:r>
        <w:separator/>
      </w:r>
    </w:p>
  </w:endnote>
  <w:endnote w:type="continuationSeparator" w:id="0">
    <w:p w:rsidR="002826FA" w:rsidRDefault="002826FA" w:rsidP="0042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368577"/>
      <w:docPartObj>
        <w:docPartGallery w:val="Page Numbers (Bottom of Page)"/>
        <w:docPartUnique/>
      </w:docPartObj>
    </w:sdtPr>
    <w:sdtEndPr>
      <w:rPr>
        <w:noProof/>
      </w:rPr>
    </w:sdtEndPr>
    <w:sdtContent>
      <w:p w:rsidR="00C23ED3" w:rsidRDefault="00C23ED3">
        <w:pPr>
          <w:pStyle w:val="Footer"/>
          <w:jc w:val="center"/>
        </w:pPr>
        <w:r>
          <w:fldChar w:fldCharType="begin"/>
        </w:r>
        <w:r>
          <w:instrText xml:space="preserve"> PAGE   \* MERGEFORMAT </w:instrText>
        </w:r>
        <w:r>
          <w:fldChar w:fldCharType="separate"/>
        </w:r>
        <w:r w:rsidR="00E97DF8">
          <w:rPr>
            <w:noProof/>
          </w:rPr>
          <w:t>9</w:t>
        </w:r>
        <w:r>
          <w:rPr>
            <w:noProof/>
          </w:rPr>
          <w:fldChar w:fldCharType="end"/>
        </w:r>
      </w:p>
    </w:sdtContent>
  </w:sdt>
  <w:p w:rsidR="00C23ED3" w:rsidRDefault="00C23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FA" w:rsidRDefault="002826FA" w:rsidP="00423CE5">
      <w:r>
        <w:separator/>
      </w:r>
    </w:p>
  </w:footnote>
  <w:footnote w:type="continuationSeparator" w:id="0">
    <w:p w:rsidR="002826FA" w:rsidRDefault="002826FA" w:rsidP="00423CE5">
      <w:r>
        <w:continuationSeparator/>
      </w:r>
    </w:p>
  </w:footnote>
  <w:footnote w:id="1">
    <w:p w:rsidR="008E2049" w:rsidRDefault="008E2049" w:rsidP="008E2049">
      <w:pPr>
        <w:pStyle w:val="FootnoteText"/>
        <w:contextualSpacing/>
      </w:pPr>
      <w:r>
        <w:rPr>
          <w:rStyle w:val="FootnoteReference"/>
        </w:rPr>
        <w:footnoteRef/>
      </w:r>
      <w:r>
        <w:t xml:space="preserve"> For example, a</w:t>
      </w:r>
      <w:r w:rsidRPr="008E2049">
        <w:t xml:space="preserve">nother method to calculate the average annual salary over 12 months would be to derive a daily rate for each annual salary amount by dividing the annual rate by 365, multiplying that daily rate by the number of days worked at that rate, and finally adding the sums together.  Using this methodology, without including the differential pay earned by the Petitioner, the </w:t>
      </w:r>
      <w:r w:rsidR="00C77F32">
        <w:t xml:space="preserve">Petitioner’s </w:t>
      </w:r>
      <w:r w:rsidRPr="008E2049">
        <w:t>average annual salary over 12 months would be $82,576.89.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CE5" w:rsidRPr="00311A30" w:rsidRDefault="00311A30" w:rsidP="00C23ED3">
    <w:pPr>
      <w:pStyle w:val="Header"/>
      <w:ind w:firstLine="0"/>
      <w:rPr>
        <w:i/>
      </w:rPr>
    </w:pPr>
    <w:r>
      <w:rPr>
        <w:i/>
      </w:rPr>
      <w:t>Matter of Daniel S. Auer, Jr.</w:t>
    </w:r>
    <w:r>
      <w:rPr>
        <w:i/>
      </w:rPr>
      <w:tab/>
    </w:r>
    <w:r>
      <w:rPr>
        <w:i/>
      </w:rPr>
      <w:tab/>
      <w:t>CR-18-0247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A30" w:rsidRPr="001E40EF" w:rsidRDefault="00311A30" w:rsidP="00862B11">
    <w:pPr>
      <w:pStyle w:val="Header"/>
      <w:jc w:val="center"/>
      <w:rPr>
        <w:rFonts w:cs="Times New Roman"/>
        <w:b/>
        <w:szCs w:val="24"/>
      </w:rPr>
    </w:pPr>
    <w:r w:rsidRPr="001E40EF">
      <w:rPr>
        <w:rFonts w:cs="Times New Roman"/>
        <w:b/>
        <w:szCs w:val="24"/>
      </w:rPr>
      <w:t>COMMONWEALTH OF MASSACHUSETTS</w:t>
    </w:r>
  </w:p>
  <w:p w:rsidR="00311A30" w:rsidRPr="001E40EF" w:rsidRDefault="00311A30" w:rsidP="00862B11">
    <w:pPr>
      <w:pStyle w:val="Header"/>
      <w:ind w:firstLine="0"/>
      <w:jc w:val="center"/>
      <w:rPr>
        <w:rFonts w:cs="Times New Roman"/>
        <w:szCs w:val="24"/>
      </w:rPr>
    </w:pPr>
    <w:r>
      <w:rPr>
        <w:rFonts w:cs="Times New Roman"/>
        <w:szCs w:val="24"/>
      </w:rPr>
      <w:t>Middlesex</w:t>
    </w:r>
    <w:r w:rsidRPr="001E40EF">
      <w:rPr>
        <w:rFonts w:cs="Times New Roman"/>
        <w:szCs w:val="24"/>
      </w:rPr>
      <w:t>, ss.</w:t>
    </w:r>
    <w:r w:rsidRPr="001E40EF">
      <w:rPr>
        <w:rFonts w:cs="Times New Roman"/>
        <w:szCs w:val="24"/>
      </w:rPr>
      <w:tab/>
    </w:r>
    <w:r w:rsidRPr="001E40EF">
      <w:rPr>
        <w:rFonts w:cs="Times New Roman"/>
        <w:szCs w:val="24"/>
      </w:rPr>
      <w:tab/>
    </w:r>
    <w:r w:rsidRPr="001E40EF">
      <w:rPr>
        <w:rFonts w:cs="Times New Roman"/>
        <w:b/>
        <w:szCs w:val="24"/>
      </w:rPr>
      <w:t>Division of Administrative Law Appeals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D4D8B"/>
    <w:multiLevelType w:val="hybridMultilevel"/>
    <w:tmpl w:val="DF3A3E36"/>
    <w:lvl w:ilvl="0" w:tplc="20189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C96B3B"/>
    <w:multiLevelType w:val="hybridMultilevel"/>
    <w:tmpl w:val="898E7C10"/>
    <w:lvl w:ilvl="0" w:tplc="21EE05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142447"/>
    <w:multiLevelType w:val="hybridMultilevel"/>
    <w:tmpl w:val="D654E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D31844"/>
    <w:multiLevelType w:val="hybridMultilevel"/>
    <w:tmpl w:val="32A2E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B253A49"/>
    <w:multiLevelType w:val="hybridMultilevel"/>
    <w:tmpl w:val="65BC559E"/>
    <w:lvl w:ilvl="0" w:tplc="5AEC87CE">
      <w:start w:val="1"/>
      <w:numFmt w:val="upperLetter"/>
      <w:lvlText w:val="%1."/>
      <w:lvlJc w:val="left"/>
      <w:pPr>
        <w:ind w:left="1080" w:hanging="360"/>
      </w:pPr>
      <w:rPr>
        <w:rFonts w:cstheme="minorBid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E5"/>
    <w:rsid w:val="00024912"/>
    <w:rsid w:val="00026D82"/>
    <w:rsid w:val="00031AF1"/>
    <w:rsid w:val="00053B8A"/>
    <w:rsid w:val="00097C87"/>
    <w:rsid w:val="000E4BE2"/>
    <w:rsid w:val="000F24C8"/>
    <w:rsid w:val="000F34F9"/>
    <w:rsid w:val="000F6E63"/>
    <w:rsid w:val="00101BAF"/>
    <w:rsid w:val="00130412"/>
    <w:rsid w:val="00135C20"/>
    <w:rsid w:val="00180270"/>
    <w:rsid w:val="001A0625"/>
    <w:rsid w:val="001A394D"/>
    <w:rsid w:val="001A61DF"/>
    <w:rsid w:val="001A6C11"/>
    <w:rsid w:val="001B03D3"/>
    <w:rsid w:val="001E40EF"/>
    <w:rsid w:val="001F67CB"/>
    <w:rsid w:val="00225B6C"/>
    <w:rsid w:val="00233D79"/>
    <w:rsid w:val="00244F5B"/>
    <w:rsid w:val="0025723E"/>
    <w:rsid w:val="002573F4"/>
    <w:rsid w:val="00270F87"/>
    <w:rsid w:val="002826FA"/>
    <w:rsid w:val="0029641A"/>
    <w:rsid w:val="002B6B15"/>
    <w:rsid w:val="002D7D61"/>
    <w:rsid w:val="00311A30"/>
    <w:rsid w:val="00314CB9"/>
    <w:rsid w:val="00320FFC"/>
    <w:rsid w:val="0033160A"/>
    <w:rsid w:val="00340849"/>
    <w:rsid w:val="003A0AC7"/>
    <w:rsid w:val="003B2CFC"/>
    <w:rsid w:val="003C51AC"/>
    <w:rsid w:val="003E4FBC"/>
    <w:rsid w:val="00411394"/>
    <w:rsid w:val="00417D10"/>
    <w:rsid w:val="00423CE5"/>
    <w:rsid w:val="004858A3"/>
    <w:rsid w:val="004A5BCE"/>
    <w:rsid w:val="004B35BC"/>
    <w:rsid w:val="004D7413"/>
    <w:rsid w:val="004E599E"/>
    <w:rsid w:val="004F4365"/>
    <w:rsid w:val="00502F48"/>
    <w:rsid w:val="00514B48"/>
    <w:rsid w:val="005172DC"/>
    <w:rsid w:val="00522638"/>
    <w:rsid w:val="0055195C"/>
    <w:rsid w:val="0057224E"/>
    <w:rsid w:val="005842E4"/>
    <w:rsid w:val="005D07CE"/>
    <w:rsid w:val="005D7F9A"/>
    <w:rsid w:val="005E391F"/>
    <w:rsid w:val="005E3FD4"/>
    <w:rsid w:val="006168D0"/>
    <w:rsid w:val="006318FA"/>
    <w:rsid w:val="00643059"/>
    <w:rsid w:val="006470C3"/>
    <w:rsid w:val="0067770A"/>
    <w:rsid w:val="00686103"/>
    <w:rsid w:val="006B400F"/>
    <w:rsid w:val="006B59CD"/>
    <w:rsid w:val="006C69D1"/>
    <w:rsid w:val="006D768E"/>
    <w:rsid w:val="00727382"/>
    <w:rsid w:val="00744554"/>
    <w:rsid w:val="00753AE6"/>
    <w:rsid w:val="00770BAA"/>
    <w:rsid w:val="00790B9A"/>
    <w:rsid w:val="007F3DA3"/>
    <w:rsid w:val="00803FFD"/>
    <w:rsid w:val="0081607C"/>
    <w:rsid w:val="00834BF9"/>
    <w:rsid w:val="00836972"/>
    <w:rsid w:val="008544CD"/>
    <w:rsid w:val="008551D2"/>
    <w:rsid w:val="00862B11"/>
    <w:rsid w:val="00875C0E"/>
    <w:rsid w:val="00877596"/>
    <w:rsid w:val="00887191"/>
    <w:rsid w:val="008D27D7"/>
    <w:rsid w:val="008E1427"/>
    <w:rsid w:val="008E2049"/>
    <w:rsid w:val="008F0302"/>
    <w:rsid w:val="008F43B7"/>
    <w:rsid w:val="008F6D42"/>
    <w:rsid w:val="008F6FBF"/>
    <w:rsid w:val="00907062"/>
    <w:rsid w:val="0099091B"/>
    <w:rsid w:val="009A29F4"/>
    <w:rsid w:val="009C08A7"/>
    <w:rsid w:val="009C2CFF"/>
    <w:rsid w:val="009D575C"/>
    <w:rsid w:val="009E6308"/>
    <w:rsid w:val="009F6CDC"/>
    <w:rsid w:val="00A00277"/>
    <w:rsid w:val="00A10BEA"/>
    <w:rsid w:val="00A278BB"/>
    <w:rsid w:val="00A3749A"/>
    <w:rsid w:val="00A40E34"/>
    <w:rsid w:val="00A543AC"/>
    <w:rsid w:val="00A55BBD"/>
    <w:rsid w:val="00A63F7B"/>
    <w:rsid w:val="00AD04B0"/>
    <w:rsid w:val="00AD5619"/>
    <w:rsid w:val="00B052F5"/>
    <w:rsid w:val="00B05AB0"/>
    <w:rsid w:val="00B11342"/>
    <w:rsid w:val="00B171E2"/>
    <w:rsid w:val="00B7330A"/>
    <w:rsid w:val="00B92BB8"/>
    <w:rsid w:val="00BB72DD"/>
    <w:rsid w:val="00BE0B97"/>
    <w:rsid w:val="00BE1E2A"/>
    <w:rsid w:val="00C10825"/>
    <w:rsid w:val="00C20B0B"/>
    <w:rsid w:val="00C23ED3"/>
    <w:rsid w:val="00C57C82"/>
    <w:rsid w:val="00C77F32"/>
    <w:rsid w:val="00C8546D"/>
    <w:rsid w:val="00CA04EF"/>
    <w:rsid w:val="00CA1605"/>
    <w:rsid w:val="00CB286D"/>
    <w:rsid w:val="00CB3041"/>
    <w:rsid w:val="00CC715C"/>
    <w:rsid w:val="00CF15ED"/>
    <w:rsid w:val="00CF2367"/>
    <w:rsid w:val="00D02383"/>
    <w:rsid w:val="00D10C37"/>
    <w:rsid w:val="00D159FE"/>
    <w:rsid w:val="00D2279A"/>
    <w:rsid w:val="00D60341"/>
    <w:rsid w:val="00D643BA"/>
    <w:rsid w:val="00D80E1C"/>
    <w:rsid w:val="00D85F6A"/>
    <w:rsid w:val="00D95074"/>
    <w:rsid w:val="00DC2816"/>
    <w:rsid w:val="00DC4576"/>
    <w:rsid w:val="00DC6249"/>
    <w:rsid w:val="00DD2279"/>
    <w:rsid w:val="00DD2A67"/>
    <w:rsid w:val="00DE58B7"/>
    <w:rsid w:val="00DF4FA6"/>
    <w:rsid w:val="00E11998"/>
    <w:rsid w:val="00E128D7"/>
    <w:rsid w:val="00E27215"/>
    <w:rsid w:val="00E623B5"/>
    <w:rsid w:val="00E86222"/>
    <w:rsid w:val="00E97DF8"/>
    <w:rsid w:val="00EA2A3A"/>
    <w:rsid w:val="00EF3EDA"/>
    <w:rsid w:val="00EF60D9"/>
    <w:rsid w:val="00F11F68"/>
    <w:rsid w:val="00F209D8"/>
    <w:rsid w:val="00F228F1"/>
    <w:rsid w:val="00F27EB0"/>
    <w:rsid w:val="00F44900"/>
    <w:rsid w:val="00F70AA3"/>
    <w:rsid w:val="00FA5762"/>
    <w:rsid w:val="00FB0C7E"/>
    <w:rsid w:val="00FC171F"/>
    <w:rsid w:val="00FC5C1A"/>
    <w:rsid w:val="00FE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C7"/>
    <w:pPr>
      <w:spacing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E5"/>
    <w:pPr>
      <w:tabs>
        <w:tab w:val="center" w:pos="4680"/>
        <w:tab w:val="right" w:pos="9360"/>
      </w:tabs>
    </w:pPr>
  </w:style>
  <w:style w:type="character" w:customStyle="1" w:styleId="HeaderChar">
    <w:name w:val="Header Char"/>
    <w:basedOn w:val="DefaultParagraphFont"/>
    <w:link w:val="Header"/>
    <w:uiPriority w:val="99"/>
    <w:rsid w:val="00423CE5"/>
  </w:style>
  <w:style w:type="paragraph" w:styleId="Footer">
    <w:name w:val="footer"/>
    <w:basedOn w:val="Normal"/>
    <w:link w:val="FooterChar"/>
    <w:uiPriority w:val="99"/>
    <w:unhideWhenUsed/>
    <w:rsid w:val="00423CE5"/>
    <w:pPr>
      <w:tabs>
        <w:tab w:val="center" w:pos="4680"/>
        <w:tab w:val="right" w:pos="9360"/>
      </w:tabs>
    </w:pPr>
  </w:style>
  <w:style w:type="character" w:customStyle="1" w:styleId="FooterChar">
    <w:name w:val="Footer Char"/>
    <w:basedOn w:val="DefaultParagraphFont"/>
    <w:link w:val="Footer"/>
    <w:uiPriority w:val="99"/>
    <w:rsid w:val="00423CE5"/>
  </w:style>
  <w:style w:type="paragraph" w:styleId="ListParagraph">
    <w:name w:val="List Paragraph"/>
    <w:basedOn w:val="Normal"/>
    <w:uiPriority w:val="34"/>
    <w:qFormat/>
    <w:rsid w:val="00875C0E"/>
    <w:pPr>
      <w:ind w:left="720"/>
      <w:contextualSpacing/>
    </w:pPr>
  </w:style>
  <w:style w:type="paragraph" w:styleId="FootnoteText">
    <w:name w:val="footnote text"/>
    <w:basedOn w:val="Normal"/>
    <w:link w:val="FootnoteTextChar"/>
    <w:uiPriority w:val="99"/>
    <w:semiHidden/>
    <w:unhideWhenUsed/>
    <w:rsid w:val="00C8546D"/>
    <w:pPr>
      <w:spacing w:line="240" w:lineRule="auto"/>
    </w:pPr>
    <w:rPr>
      <w:sz w:val="20"/>
      <w:szCs w:val="20"/>
    </w:rPr>
  </w:style>
  <w:style w:type="character" w:customStyle="1" w:styleId="FootnoteTextChar">
    <w:name w:val="Footnote Text Char"/>
    <w:basedOn w:val="DefaultParagraphFont"/>
    <w:link w:val="FootnoteText"/>
    <w:uiPriority w:val="99"/>
    <w:semiHidden/>
    <w:rsid w:val="00C8546D"/>
    <w:rPr>
      <w:rFonts w:ascii="Times New Roman" w:hAnsi="Times New Roman"/>
      <w:sz w:val="20"/>
      <w:szCs w:val="20"/>
    </w:rPr>
  </w:style>
  <w:style w:type="character" w:styleId="FootnoteReference">
    <w:name w:val="footnote reference"/>
    <w:basedOn w:val="DefaultParagraphFont"/>
    <w:uiPriority w:val="99"/>
    <w:semiHidden/>
    <w:unhideWhenUsed/>
    <w:rsid w:val="00C8546D"/>
    <w:rPr>
      <w:vertAlign w:val="superscript"/>
    </w:rPr>
  </w:style>
  <w:style w:type="table" w:styleId="TableGrid">
    <w:name w:val="Table Grid"/>
    <w:basedOn w:val="TableNormal"/>
    <w:uiPriority w:val="59"/>
    <w:rsid w:val="004A5BCE"/>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641A"/>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641A"/>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9641A"/>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D768E"/>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F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F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C7"/>
    <w:pPr>
      <w:spacing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E5"/>
    <w:pPr>
      <w:tabs>
        <w:tab w:val="center" w:pos="4680"/>
        <w:tab w:val="right" w:pos="9360"/>
      </w:tabs>
    </w:pPr>
  </w:style>
  <w:style w:type="character" w:customStyle="1" w:styleId="HeaderChar">
    <w:name w:val="Header Char"/>
    <w:basedOn w:val="DefaultParagraphFont"/>
    <w:link w:val="Header"/>
    <w:uiPriority w:val="99"/>
    <w:rsid w:val="00423CE5"/>
  </w:style>
  <w:style w:type="paragraph" w:styleId="Footer">
    <w:name w:val="footer"/>
    <w:basedOn w:val="Normal"/>
    <w:link w:val="FooterChar"/>
    <w:uiPriority w:val="99"/>
    <w:unhideWhenUsed/>
    <w:rsid w:val="00423CE5"/>
    <w:pPr>
      <w:tabs>
        <w:tab w:val="center" w:pos="4680"/>
        <w:tab w:val="right" w:pos="9360"/>
      </w:tabs>
    </w:pPr>
  </w:style>
  <w:style w:type="character" w:customStyle="1" w:styleId="FooterChar">
    <w:name w:val="Footer Char"/>
    <w:basedOn w:val="DefaultParagraphFont"/>
    <w:link w:val="Footer"/>
    <w:uiPriority w:val="99"/>
    <w:rsid w:val="00423CE5"/>
  </w:style>
  <w:style w:type="paragraph" w:styleId="ListParagraph">
    <w:name w:val="List Paragraph"/>
    <w:basedOn w:val="Normal"/>
    <w:uiPriority w:val="34"/>
    <w:qFormat/>
    <w:rsid w:val="00875C0E"/>
    <w:pPr>
      <w:ind w:left="720"/>
      <w:contextualSpacing/>
    </w:pPr>
  </w:style>
  <w:style w:type="paragraph" w:styleId="FootnoteText">
    <w:name w:val="footnote text"/>
    <w:basedOn w:val="Normal"/>
    <w:link w:val="FootnoteTextChar"/>
    <w:uiPriority w:val="99"/>
    <w:semiHidden/>
    <w:unhideWhenUsed/>
    <w:rsid w:val="00C8546D"/>
    <w:pPr>
      <w:spacing w:line="240" w:lineRule="auto"/>
    </w:pPr>
    <w:rPr>
      <w:sz w:val="20"/>
      <w:szCs w:val="20"/>
    </w:rPr>
  </w:style>
  <w:style w:type="character" w:customStyle="1" w:styleId="FootnoteTextChar">
    <w:name w:val="Footnote Text Char"/>
    <w:basedOn w:val="DefaultParagraphFont"/>
    <w:link w:val="FootnoteText"/>
    <w:uiPriority w:val="99"/>
    <w:semiHidden/>
    <w:rsid w:val="00C8546D"/>
    <w:rPr>
      <w:rFonts w:ascii="Times New Roman" w:hAnsi="Times New Roman"/>
      <w:sz w:val="20"/>
      <w:szCs w:val="20"/>
    </w:rPr>
  </w:style>
  <w:style w:type="character" w:styleId="FootnoteReference">
    <w:name w:val="footnote reference"/>
    <w:basedOn w:val="DefaultParagraphFont"/>
    <w:uiPriority w:val="99"/>
    <w:semiHidden/>
    <w:unhideWhenUsed/>
    <w:rsid w:val="00C8546D"/>
    <w:rPr>
      <w:vertAlign w:val="superscript"/>
    </w:rPr>
  </w:style>
  <w:style w:type="table" w:styleId="TableGrid">
    <w:name w:val="Table Grid"/>
    <w:basedOn w:val="TableNormal"/>
    <w:uiPriority w:val="59"/>
    <w:rsid w:val="004A5BCE"/>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641A"/>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641A"/>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9641A"/>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D768E"/>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F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B44EA-6027-436B-89D9-1F8792DE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2019-09-27T19:29:00Z</cp:lastPrinted>
  <dcterms:created xsi:type="dcterms:W3CDTF">2019-09-27T19:36:00Z</dcterms:created>
  <dcterms:modified xsi:type="dcterms:W3CDTF">2019-09-27T19:36:00Z</dcterms:modified>
</cp:coreProperties>
</file>