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30" w:rsidRDefault="00311A30" w:rsidP="00875C0E">
      <w:pPr>
        <w:spacing w:line="240" w:lineRule="auto"/>
        <w:ind w:firstLine="0"/>
        <w:rPr>
          <w:rFonts w:cs="Times New Roman"/>
          <w:b/>
        </w:rPr>
      </w:pPr>
      <w:bookmarkStart w:id="0" w:name="_GoBack"/>
      <w:bookmarkEnd w:id="0"/>
    </w:p>
    <w:p w:rsidR="00423CE5" w:rsidRPr="001E40EF" w:rsidRDefault="00875C0E" w:rsidP="00875C0E">
      <w:pPr>
        <w:spacing w:line="240" w:lineRule="auto"/>
        <w:ind w:firstLine="0"/>
        <w:rPr>
          <w:rFonts w:cs="Times New Roman"/>
        </w:rPr>
      </w:pPr>
      <w:r w:rsidRPr="00875C0E">
        <w:rPr>
          <w:rFonts w:cs="Times New Roman"/>
          <w:b/>
        </w:rPr>
        <w:t xml:space="preserve">Daniel </w:t>
      </w:r>
      <w:r w:rsidR="00311A30">
        <w:rPr>
          <w:rFonts w:cs="Times New Roman"/>
          <w:b/>
        </w:rPr>
        <w:t xml:space="preserve">S. </w:t>
      </w:r>
      <w:r w:rsidRPr="00875C0E">
        <w:rPr>
          <w:rFonts w:cs="Times New Roman"/>
          <w:b/>
        </w:rPr>
        <w:t>Auer</w:t>
      </w:r>
      <w:r w:rsidRPr="00311A30">
        <w:rPr>
          <w:rFonts w:cs="Times New Roman"/>
          <w:b/>
        </w:rPr>
        <w:t>,</w:t>
      </w:r>
      <w:r w:rsidR="00311A30" w:rsidRPr="00311A30">
        <w:rPr>
          <w:rFonts w:cs="Times New Roman"/>
          <w:b/>
        </w:rPr>
        <w:t xml:space="preserve"> Jr.</w:t>
      </w:r>
      <w:r w:rsidR="00311A30">
        <w:rPr>
          <w:rFonts w:cs="Times New Roman"/>
          <w:b/>
        </w:rPr>
        <w:t>,</w:t>
      </w:r>
    </w:p>
    <w:p w:rsidR="006318FA" w:rsidRDefault="00423CE5" w:rsidP="006318FA">
      <w:pPr>
        <w:spacing w:line="240" w:lineRule="auto"/>
        <w:rPr>
          <w:rFonts w:cs="Times New Roman"/>
        </w:rPr>
      </w:pPr>
      <w:r w:rsidRPr="001E40EF">
        <w:rPr>
          <w:rFonts w:cs="Times New Roman"/>
        </w:rPr>
        <w:t>Petitioner</w:t>
      </w:r>
    </w:p>
    <w:p w:rsidR="006318FA" w:rsidRDefault="006318FA" w:rsidP="006318FA">
      <w:pPr>
        <w:spacing w:line="240" w:lineRule="auto"/>
        <w:rPr>
          <w:rFonts w:cs="Times New Roman"/>
        </w:rPr>
      </w:pPr>
    </w:p>
    <w:p w:rsidR="00423CE5" w:rsidRDefault="00423CE5" w:rsidP="006318FA">
      <w:pPr>
        <w:spacing w:line="240" w:lineRule="auto"/>
        <w:rPr>
          <w:rFonts w:cs="Times New Roman"/>
        </w:rPr>
      </w:pPr>
      <w:r w:rsidRPr="001E40EF">
        <w:rPr>
          <w:rFonts w:cs="Times New Roman"/>
        </w:rPr>
        <w:t>v.</w:t>
      </w:r>
    </w:p>
    <w:p w:rsidR="006318FA" w:rsidRPr="001E40EF" w:rsidRDefault="006318FA" w:rsidP="006318FA">
      <w:pPr>
        <w:spacing w:line="240" w:lineRule="auto"/>
        <w:rPr>
          <w:rFonts w:cs="Times New Roman"/>
        </w:rPr>
      </w:pPr>
    </w:p>
    <w:p w:rsidR="00423CE5" w:rsidRPr="001E40EF" w:rsidRDefault="00875C0E" w:rsidP="00875C0E">
      <w:pPr>
        <w:spacing w:line="240" w:lineRule="auto"/>
        <w:ind w:firstLine="0"/>
        <w:rPr>
          <w:rFonts w:cs="Times New Roman"/>
        </w:rPr>
      </w:pPr>
      <w:r w:rsidRPr="00875C0E">
        <w:rPr>
          <w:rFonts w:cs="Times New Roman"/>
          <w:b/>
        </w:rPr>
        <w:t>State Board of Retirement</w:t>
      </w:r>
      <w:r w:rsidRPr="00311A30">
        <w:rPr>
          <w:rFonts w:cs="Times New Roman"/>
          <w:b/>
        </w:rPr>
        <w:t>,</w:t>
      </w:r>
    </w:p>
    <w:p w:rsidR="00423CE5" w:rsidRPr="001E40EF" w:rsidRDefault="00423CE5" w:rsidP="00875C0E">
      <w:pPr>
        <w:spacing w:line="240" w:lineRule="auto"/>
        <w:ind w:firstLine="0"/>
        <w:rPr>
          <w:rFonts w:cs="Times New Roman"/>
        </w:rPr>
      </w:pPr>
      <w:r w:rsidRPr="001E40EF">
        <w:rPr>
          <w:rFonts w:cs="Times New Roman"/>
        </w:rPr>
        <w:tab/>
        <w:t>Respondent</w:t>
      </w:r>
    </w:p>
    <w:p w:rsidR="00423CE5" w:rsidRPr="001E40EF" w:rsidRDefault="00423CE5" w:rsidP="00423CE5">
      <w:pPr>
        <w:rPr>
          <w:rFonts w:cs="Times New Roman"/>
        </w:rPr>
      </w:pPr>
      <w:r w:rsidRPr="001E40EF">
        <w:rPr>
          <w:rFonts w:cs="Times New Roman"/>
        </w:rPr>
        <w:br w:type="column"/>
      </w:r>
    </w:p>
    <w:p w:rsidR="00423CE5" w:rsidRPr="001E40EF" w:rsidRDefault="006318FA" w:rsidP="00875C0E">
      <w:pPr>
        <w:ind w:firstLine="0"/>
        <w:rPr>
          <w:rFonts w:cs="Times New Roman"/>
        </w:rPr>
      </w:pPr>
      <w:r>
        <w:rPr>
          <w:rFonts w:cs="Times New Roman"/>
        </w:rPr>
        <w:t>D</w:t>
      </w:r>
      <w:r w:rsidR="00423CE5" w:rsidRPr="001E40EF">
        <w:rPr>
          <w:rFonts w:cs="Times New Roman"/>
        </w:rPr>
        <w:t>ocket No.</w:t>
      </w:r>
      <w:r w:rsidR="00875C0E">
        <w:rPr>
          <w:rFonts w:cs="Times New Roman"/>
        </w:rPr>
        <w:t xml:space="preserve"> CR-18-0247</w:t>
      </w:r>
    </w:p>
    <w:p w:rsidR="00423CE5" w:rsidRPr="001E40EF" w:rsidRDefault="00423CE5" w:rsidP="00875C0E">
      <w:pPr>
        <w:ind w:firstLine="0"/>
        <w:rPr>
          <w:rFonts w:cs="Times New Roman"/>
        </w:rPr>
      </w:pPr>
      <w:r w:rsidRPr="001E40EF">
        <w:rPr>
          <w:rFonts w:cs="Times New Roman"/>
        </w:rPr>
        <w:t>Dated:</w:t>
      </w:r>
      <w:r w:rsidR="005842E4" w:rsidRPr="005842E4">
        <w:rPr>
          <w:rFonts w:cs="Times New Roman"/>
        </w:rPr>
        <w:t xml:space="preserve"> </w:t>
      </w:r>
      <w:r w:rsidR="005842E4">
        <w:rPr>
          <w:rFonts w:cs="Times New Roman"/>
        </w:rPr>
        <w:t>August 2, 2019</w:t>
      </w:r>
    </w:p>
    <w:p w:rsidR="00423CE5" w:rsidRPr="001E40EF" w:rsidRDefault="00423CE5" w:rsidP="00423CE5">
      <w:pPr>
        <w:rPr>
          <w:rFonts w:cs="Times New Roman"/>
        </w:rPr>
        <w:sectPr w:rsidR="00423CE5" w:rsidRPr="001E40EF" w:rsidSect="00311A30">
          <w:headerReference w:type="default" r:id="rId9"/>
          <w:footerReference w:type="default" r:id="rId10"/>
          <w:headerReference w:type="first" r:id="rId11"/>
          <w:pgSz w:w="12240" w:h="15840"/>
          <w:pgMar w:top="1440" w:right="1440" w:bottom="1440" w:left="1440" w:header="720" w:footer="720" w:gutter="0"/>
          <w:cols w:num="2" w:space="720"/>
          <w:titlePg/>
          <w:docGrid w:linePitch="360"/>
        </w:sectPr>
      </w:pPr>
    </w:p>
    <w:p w:rsidR="00423CE5" w:rsidRPr="001E40EF" w:rsidRDefault="00423CE5" w:rsidP="00875C0E">
      <w:pPr>
        <w:ind w:firstLine="0"/>
        <w:rPr>
          <w:rFonts w:cs="Times New Roman"/>
        </w:rPr>
      </w:pPr>
    </w:p>
    <w:p w:rsidR="00423CE5" w:rsidRPr="001E40EF" w:rsidRDefault="00423CE5" w:rsidP="00875C0E">
      <w:pPr>
        <w:ind w:firstLine="0"/>
        <w:rPr>
          <w:rFonts w:cs="Times New Roman"/>
          <w:b/>
        </w:rPr>
      </w:pPr>
      <w:r w:rsidRPr="001E40EF">
        <w:rPr>
          <w:rFonts w:cs="Times New Roman"/>
          <w:b/>
        </w:rPr>
        <w:t>Appearance for the Petitioner:</w:t>
      </w:r>
    </w:p>
    <w:p w:rsidR="00423CE5" w:rsidRPr="00875C0E" w:rsidRDefault="00875C0E" w:rsidP="00875C0E">
      <w:pPr>
        <w:ind w:firstLine="0"/>
        <w:rPr>
          <w:rFonts w:cs="Times New Roman"/>
        </w:rPr>
      </w:pPr>
      <w:r w:rsidRPr="00875C0E">
        <w:rPr>
          <w:rFonts w:cs="Times New Roman"/>
        </w:rPr>
        <w:t>Pro se</w:t>
      </w:r>
    </w:p>
    <w:p w:rsidR="00423CE5" w:rsidRPr="001E40EF" w:rsidRDefault="00423CE5" w:rsidP="00875C0E">
      <w:pPr>
        <w:ind w:firstLine="0"/>
        <w:rPr>
          <w:rFonts w:cs="Times New Roman"/>
          <w:b/>
        </w:rPr>
      </w:pPr>
      <w:r w:rsidRPr="001E40EF">
        <w:rPr>
          <w:rFonts w:cs="Times New Roman"/>
          <w:b/>
        </w:rPr>
        <w:t>Appearance for the Respondent:</w:t>
      </w:r>
    </w:p>
    <w:p w:rsidR="00423CE5" w:rsidRDefault="00875C0E" w:rsidP="00875C0E">
      <w:pPr>
        <w:spacing w:line="240" w:lineRule="auto"/>
        <w:ind w:firstLine="0"/>
        <w:rPr>
          <w:rFonts w:cs="Times New Roman"/>
        </w:rPr>
      </w:pPr>
      <w:r>
        <w:rPr>
          <w:rFonts w:cs="Times New Roman"/>
        </w:rPr>
        <w:t>James Salvie, Esq.</w:t>
      </w:r>
    </w:p>
    <w:p w:rsidR="00875C0E" w:rsidRDefault="00875C0E" w:rsidP="00875C0E">
      <w:pPr>
        <w:spacing w:line="240" w:lineRule="auto"/>
        <w:ind w:firstLine="0"/>
        <w:rPr>
          <w:rFonts w:cs="Times New Roman"/>
        </w:rPr>
      </w:pPr>
      <w:r>
        <w:rPr>
          <w:rFonts w:cs="Times New Roman"/>
        </w:rPr>
        <w:t>State Board of Retirement</w:t>
      </w:r>
    </w:p>
    <w:p w:rsidR="00875C0E" w:rsidRDefault="00875C0E" w:rsidP="00875C0E">
      <w:pPr>
        <w:spacing w:line="240" w:lineRule="auto"/>
        <w:ind w:firstLine="0"/>
        <w:rPr>
          <w:rFonts w:cs="Times New Roman"/>
        </w:rPr>
      </w:pPr>
      <w:r>
        <w:rPr>
          <w:rFonts w:cs="Times New Roman"/>
        </w:rPr>
        <w:t>One Winter St.</w:t>
      </w:r>
    </w:p>
    <w:p w:rsidR="00875C0E" w:rsidRPr="00875C0E" w:rsidRDefault="00875C0E" w:rsidP="00875C0E">
      <w:pPr>
        <w:spacing w:line="240" w:lineRule="auto"/>
        <w:ind w:firstLine="0"/>
        <w:rPr>
          <w:rFonts w:cs="Times New Roman"/>
        </w:rPr>
      </w:pPr>
      <w:r>
        <w:rPr>
          <w:rFonts w:cs="Times New Roman"/>
        </w:rPr>
        <w:t>Boston, MA 02108</w:t>
      </w:r>
    </w:p>
    <w:p w:rsidR="00423CE5" w:rsidRPr="001E40EF" w:rsidRDefault="00423CE5" w:rsidP="00423CE5">
      <w:pPr>
        <w:rPr>
          <w:rFonts w:cs="Times New Roman"/>
          <w:b/>
        </w:rPr>
      </w:pPr>
    </w:p>
    <w:p w:rsidR="00423CE5" w:rsidRPr="001E40EF" w:rsidRDefault="00423CE5" w:rsidP="00875C0E">
      <w:pPr>
        <w:ind w:firstLine="0"/>
        <w:rPr>
          <w:rFonts w:cs="Times New Roman"/>
          <w:b/>
        </w:rPr>
      </w:pPr>
      <w:r w:rsidRPr="001E40EF">
        <w:rPr>
          <w:rFonts w:cs="Times New Roman"/>
          <w:b/>
        </w:rPr>
        <w:t>Administrative Magistrate:</w:t>
      </w:r>
    </w:p>
    <w:p w:rsidR="00423CE5" w:rsidRPr="001E40EF" w:rsidRDefault="00423CE5" w:rsidP="00875C0E">
      <w:pPr>
        <w:ind w:firstLine="0"/>
        <w:rPr>
          <w:rFonts w:cs="Times New Roman"/>
          <w:b/>
        </w:rPr>
      </w:pPr>
      <w:r w:rsidRPr="001E40EF">
        <w:rPr>
          <w:rFonts w:cs="Times New Roman"/>
          <w:b/>
        </w:rPr>
        <w:t>Kristin M. Palace, Esq.</w:t>
      </w:r>
    </w:p>
    <w:p w:rsidR="00423CE5" w:rsidRDefault="00423CE5" w:rsidP="00423CE5">
      <w:pPr>
        <w:jc w:val="center"/>
        <w:rPr>
          <w:rFonts w:cs="Times New Roman"/>
          <w:b/>
        </w:rPr>
      </w:pPr>
      <w:r w:rsidRPr="001E40EF">
        <w:rPr>
          <w:rFonts w:cs="Times New Roman"/>
          <w:b/>
        </w:rPr>
        <w:t>SUMMARY OF DECISION</w:t>
      </w:r>
    </w:p>
    <w:p w:rsidR="009E6308" w:rsidRPr="009E6308" w:rsidRDefault="009E6308" w:rsidP="009E6308">
      <w:pPr>
        <w:rPr>
          <w:rFonts w:cs="Times New Roman"/>
        </w:rPr>
      </w:pPr>
      <w:r>
        <w:rPr>
          <w:rFonts w:cs="Times New Roman"/>
        </w:rPr>
        <w:t>The State Board of Retirement calculated a Correction Officer’s retirement allowance with reference to an 18 month period preceding his retirement rather than the twelve month period prescribed by M.G.L. c. 32, §</w:t>
      </w:r>
      <w:r w:rsidR="00C23ED3">
        <w:rPr>
          <w:rFonts w:cs="Times New Roman"/>
        </w:rPr>
        <w:t xml:space="preserve"> </w:t>
      </w:r>
      <w:r>
        <w:rPr>
          <w:rFonts w:cs="Times New Roman"/>
        </w:rPr>
        <w:t>28M.  The Board’s decision is reversed.</w:t>
      </w:r>
    </w:p>
    <w:p w:rsidR="00423CE5" w:rsidRDefault="00423CE5" w:rsidP="00423CE5">
      <w:pPr>
        <w:jc w:val="center"/>
        <w:rPr>
          <w:rFonts w:cs="Times New Roman"/>
          <w:b/>
        </w:rPr>
      </w:pPr>
      <w:r w:rsidRPr="001E40EF">
        <w:rPr>
          <w:rFonts w:cs="Times New Roman"/>
          <w:b/>
        </w:rPr>
        <w:t>DECISION</w:t>
      </w:r>
    </w:p>
    <w:p w:rsidR="00875C0E" w:rsidRDefault="0033160A" w:rsidP="00875C0E">
      <w:pPr>
        <w:rPr>
          <w:rFonts w:cs="Times New Roman"/>
        </w:rPr>
      </w:pPr>
      <w:r>
        <w:rPr>
          <w:rFonts w:cs="Times New Roman"/>
        </w:rPr>
        <w:t xml:space="preserve">This matter involves a dispute between the Petitioner Daniel </w:t>
      </w:r>
      <w:r w:rsidR="00311A30">
        <w:rPr>
          <w:rFonts w:cs="Times New Roman"/>
        </w:rPr>
        <w:t xml:space="preserve">S. </w:t>
      </w:r>
      <w:r>
        <w:rPr>
          <w:rFonts w:cs="Times New Roman"/>
        </w:rPr>
        <w:t>Auer</w:t>
      </w:r>
      <w:r w:rsidR="00311A30">
        <w:rPr>
          <w:rFonts w:cs="Times New Roman"/>
        </w:rPr>
        <w:t>, Jr.</w:t>
      </w:r>
      <w:r>
        <w:rPr>
          <w:rFonts w:cs="Times New Roman"/>
        </w:rPr>
        <w:t xml:space="preserve"> and the State Board</w:t>
      </w:r>
      <w:r w:rsidR="00C23ED3">
        <w:rPr>
          <w:rFonts w:cs="Times New Roman"/>
        </w:rPr>
        <w:t xml:space="preserve"> of</w:t>
      </w:r>
      <w:r>
        <w:rPr>
          <w:rFonts w:cs="Times New Roman"/>
        </w:rPr>
        <w:t xml:space="preserve"> </w:t>
      </w:r>
      <w:r w:rsidR="00C23ED3">
        <w:rPr>
          <w:rFonts w:cs="Times New Roman"/>
        </w:rPr>
        <w:t xml:space="preserve">Retirement </w:t>
      </w:r>
      <w:r>
        <w:rPr>
          <w:rFonts w:cs="Times New Roman"/>
        </w:rPr>
        <w:t xml:space="preserve">(“Board”) regarding the appropriate method for calculating </w:t>
      </w:r>
      <w:r w:rsidR="00130412">
        <w:rPr>
          <w:rFonts w:cs="Times New Roman"/>
        </w:rPr>
        <w:t>Petitioner's</w:t>
      </w:r>
      <w:r>
        <w:rPr>
          <w:rFonts w:cs="Times New Roman"/>
        </w:rPr>
        <w:t xml:space="preserve"> regular compensation.  On September 4, 2018, First Administrative Magistrate James P. Rooney ordered the parties to explain why this case should not be decided without a hearing and upon the record pursuant to </w:t>
      </w:r>
      <w:r w:rsidR="00C23ED3">
        <w:rPr>
          <w:rFonts w:cs="Times New Roman"/>
        </w:rPr>
        <w:t>801</w:t>
      </w:r>
      <w:r>
        <w:rPr>
          <w:rFonts w:cs="Times New Roman"/>
        </w:rPr>
        <w:t xml:space="preserve"> CMR 1.01 (10)(c). On January 15, 2019, the Board filed a memorandum </w:t>
      </w:r>
      <w:r>
        <w:rPr>
          <w:rFonts w:cs="Times New Roman"/>
        </w:rPr>
        <w:lastRenderedPageBreak/>
        <w:t xml:space="preserve">containing a statement of undisputed facts, legal argument, and </w:t>
      </w:r>
      <w:r w:rsidR="00311A30">
        <w:rPr>
          <w:rFonts w:cs="Times New Roman"/>
        </w:rPr>
        <w:t>seven</w:t>
      </w:r>
      <w:r>
        <w:rPr>
          <w:rFonts w:cs="Times New Roman"/>
        </w:rPr>
        <w:t xml:space="preserve"> proposed exhibits.  The Board stated that that it believed there were no facts in di</w:t>
      </w:r>
      <w:r w:rsidR="00DD2A67">
        <w:rPr>
          <w:rFonts w:cs="Times New Roman"/>
        </w:rPr>
        <w:t>spute and that the case involved</w:t>
      </w:r>
      <w:r>
        <w:rPr>
          <w:rFonts w:cs="Times New Roman"/>
        </w:rPr>
        <w:t xml:space="preserve"> only statutory interpretation.  On February 22, 2019, Petitioner filed </w:t>
      </w:r>
      <w:r w:rsidR="00C57C82">
        <w:rPr>
          <w:rFonts w:cs="Times New Roman"/>
        </w:rPr>
        <w:t>a</w:t>
      </w:r>
      <w:r>
        <w:rPr>
          <w:rFonts w:cs="Times New Roman"/>
        </w:rPr>
        <w:t xml:space="preserve"> response </w:t>
      </w:r>
      <w:r w:rsidR="00C57C82">
        <w:rPr>
          <w:rFonts w:cs="Times New Roman"/>
        </w:rPr>
        <w:t>consisting of</w:t>
      </w:r>
      <w:r>
        <w:rPr>
          <w:rFonts w:cs="Times New Roman"/>
        </w:rPr>
        <w:t xml:space="preserve"> a brief argument</w:t>
      </w:r>
      <w:r w:rsidR="00311A30">
        <w:rPr>
          <w:rFonts w:cs="Times New Roman"/>
        </w:rPr>
        <w:t xml:space="preserve"> and five proposed exhibits. Petitioner requested that a hearing be held so that he could “argue [his] case.”</w:t>
      </w:r>
      <w:r w:rsidR="00130412">
        <w:rPr>
          <w:rFonts w:cs="Times New Roman"/>
        </w:rPr>
        <w:t xml:space="preserve">  Subsequently, this case was assigned to me.</w:t>
      </w:r>
      <w:r w:rsidR="006318FA">
        <w:rPr>
          <w:rFonts w:cs="Times New Roman"/>
        </w:rPr>
        <w:t xml:space="preserve"> Upon review of the record, I am convinced that there are no factual issues to be determined</w:t>
      </w:r>
      <w:r w:rsidR="00D643BA">
        <w:rPr>
          <w:rFonts w:cs="Times New Roman"/>
        </w:rPr>
        <w:t>,</w:t>
      </w:r>
      <w:r w:rsidR="006318FA">
        <w:rPr>
          <w:rFonts w:cs="Times New Roman"/>
        </w:rPr>
        <w:t xml:space="preserve"> that I understand fully the arguments advanced by both parties</w:t>
      </w:r>
      <w:r w:rsidR="00D643BA" w:rsidRPr="00D643BA">
        <w:t xml:space="preserve"> </w:t>
      </w:r>
      <w:r w:rsidR="00D643BA">
        <w:t>concerning the calculation methodology, and all that remains to determine is whether the Board’s chosen procedure for computing Petitioner’s compensation is consistent with M.G.L. c. 32, §</w:t>
      </w:r>
      <w:r w:rsidR="00C23ED3">
        <w:t xml:space="preserve"> </w:t>
      </w:r>
      <w:r w:rsidR="00D643BA">
        <w:t>28M.</w:t>
      </w:r>
      <w:r w:rsidR="006318FA">
        <w:rPr>
          <w:rFonts w:cs="Times New Roman"/>
        </w:rPr>
        <w:t xml:space="preserve">  Accordingly, I issue this decision upon the record pursuant to </w:t>
      </w:r>
      <w:r w:rsidR="00C23ED3">
        <w:rPr>
          <w:rFonts w:cs="Times New Roman"/>
        </w:rPr>
        <w:t>801</w:t>
      </w:r>
      <w:r w:rsidR="006318FA">
        <w:rPr>
          <w:rFonts w:cs="Times New Roman"/>
        </w:rPr>
        <w:t xml:space="preserve"> CMR 1.01(10)(c).</w:t>
      </w:r>
    </w:p>
    <w:p w:rsidR="00311A30" w:rsidRDefault="00311A30" w:rsidP="00875C0E">
      <w:pPr>
        <w:rPr>
          <w:rFonts w:cs="Times New Roman"/>
        </w:rPr>
      </w:pPr>
      <w:r>
        <w:rPr>
          <w:rFonts w:cs="Times New Roman"/>
        </w:rPr>
        <w:t xml:space="preserve">I </w:t>
      </w:r>
      <w:r w:rsidR="006318FA">
        <w:rPr>
          <w:rFonts w:cs="Times New Roman"/>
        </w:rPr>
        <w:t xml:space="preserve">have </w:t>
      </w:r>
      <w:r>
        <w:rPr>
          <w:rFonts w:cs="Times New Roman"/>
        </w:rPr>
        <w:t>marked the Board</w:t>
      </w:r>
      <w:r w:rsidR="00DD2A67">
        <w:rPr>
          <w:rFonts w:cs="Times New Roman"/>
        </w:rPr>
        <w:t>’s</w:t>
      </w:r>
      <w:r>
        <w:rPr>
          <w:rFonts w:cs="Times New Roman"/>
        </w:rPr>
        <w:t xml:space="preserve"> memorandum “A” and the Petitioner’s memorandum “B.” I </w:t>
      </w:r>
      <w:r w:rsidR="006318FA">
        <w:rPr>
          <w:rFonts w:cs="Times New Roman"/>
        </w:rPr>
        <w:t xml:space="preserve">have </w:t>
      </w:r>
      <w:r>
        <w:rPr>
          <w:rFonts w:cs="Times New Roman"/>
        </w:rPr>
        <w:t>admitted the following documents into evidence:</w:t>
      </w:r>
    </w:p>
    <w:p w:rsidR="00311A30" w:rsidRDefault="00311A30" w:rsidP="00311A30">
      <w:pPr>
        <w:pStyle w:val="ListParagraph"/>
        <w:numPr>
          <w:ilvl w:val="0"/>
          <w:numId w:val="3"/>
        </w:numPr>
        <w:rPr>
          <w:rFonts w:cs="Times New Roman"/>
        </w:rPr>
      </w:pPr>
      <w:r>
        <w:rPr>
          <w:rFonts w:cs="Times New Roman"/>
        </w:rPr>
        <w:t>Petitioner’s application for superannuation retirement dated April 28, 2017</w:t>
      </w:r>
    </w:p>
    <w:p w:rsidR="00753AE6" w:rsidRDefault="00753AE6" w:rsidP="00311A30">
      <w:pPr>
        <w:pStyle w:val="ListParagraph"/>
        <w:numPr>
          <w:ilvl w:val="0"/>
          <w:numId w:val="3"/>
        </w:numPr>
        <w:rPr>
          <w:rFonts w:cs="Times New Roman"/>
        </w:rPr>
      </w:pPr>
      <w:r>
        <w:rPr>
          <w:rFonts w:cs="Times New Roman"/>
        </w:rPr>
        <w:t>Salary Request and Release Form from the Board to the Department of Corrections dated June 8, 2017</w:t>
      </w:r>
    </w:p>
    <w:p w:rsidR="00753AE6" w:rsidRDefault="00753AE6" w:rsidP="00311A30">
      <w:pPr>
        <w:pStyle w:val="ListParagraph"/>
        <w:numPr>
          <w:ilvl w:val="0"/>
          <w:numId w:val="3"/>
        </w:numPr>
        <w:rPr>
          <w:rFonts w:cs="Times New Roman"/>
        </w:rPr>
      </w:pPr>
      <w:r>
        <w:rPr>
          <w:rFonts w:cs="Times New Roman"/>
        </w:rPr>
        <w:t>Spreadsheet compiled by the Board illustrating calculation of Petitioner’s regular compensation</w:t>
      </w:r>
      <w:r w:rsidR="000F24C8">
        <w:rPr>
          <w:rFonts w:cs="Times New Roman"/>
        </w:rPr>
        <w:t xml:space="preserve"> (submitted by both parties)</w:t>
      </w:r>
    </w:p>
    <w:p w:rsidR="00753AE6" w:rsidRDefault="00753AE6" w:rsidP="00311A30">
      <w:pPr>
        <w:pStyle w:val="ListParagraph"/>
        <w:numPr>
          <w:ilvl w:val="0"/>
          <w:numId w:val="3"/>
        </w:numPr>
        <w:rPr>
          <w:rFonts w:cs="Times New Roman"/>
        </w:rPr>
      </w:pPr>
      <w:r>
        <w:rPr>
          <w:rFonts w:cs="Times New Roman"/>
        </w:rPr>
        <w:t>Data for annuity and pension from the Board concerning Petitioner</w:t>
      </w:r>
    </w:p>
    <w:p w:rsidR="00753AE6" w:rsidRDefault="00753AE6" w:rsidP="00311A30">
      <w:pPr>
        <w:pStyle w:val="ListParagraph"/>
        <w:numPr>
          <w:ilvl w:val="0"/>
          <w:numId w:val="3"/>
        </w:numPr>
        <w:rPr>
          <w:rFonts w:cs="Times New Roman"/>
        </w:rPr>
      </w:pPr>
      <w:r>
        <w:rPr>
          <w:rFonts w:cs="Times New Roman"/>
        </w:rPr>
        <w:t>Letter from the Board to Petitioner dated February 20, 2018</w:t>
      </w:r>
    </w:p>
    <w:p w:rsidR="00753AE6" w:rsidRDefault="00753AE6" w:rsidP="00311A30">
      <w:pPr>
        <w:pStyle w:val="ListParagraph"/>
        <w:numPr>
          <w:ilvl w:val="0"/>
          <w:numId w:val="3"/>
        </w:numPr>
        <w:rPr>
          <w:rFonts w:cs="Times New Roman"/>
        </w:rPr>
      </w:pPr>
      <w:r>
        <w:rPr>
          <w:rFonts w:cs="Times New Roman"/>
        </w:rPr>
        <w:t>Letter from Petitioner to Nicola Favorito, Executive Director of the Board</w:t>
      </w:r>
      <w:r w:rsidR="004E599E">
        <w:rPr>
          <w:rFonts w:cs="Times New Roman"/>
        </w:rPr>
        <w:t xml:space="preserve">, undated </w:t>
      </w:r>
    </w:p>
    <w:p w:rsidR="004E599E" w:rsidRDefault="004E599E" w:rsidP="00311A30">
      <w:pPr>
        <w:pStyle w:val="ListParagraph"/>
        <w:numPr>
          <w:ilvl w:val="0"/>
          <w:numId w:val="3"/>
        </w:numPr>
        <w:rPr>
          <w:rFonts w:cs="Times New Roman"/>
        </w:rPr>
      </w:pPr>
      <w:r>
        <w:rPr>
          <w:rFonts w:cs="Times New Roman"/>
        </w:rPr>
        <w:t>Denial letter from Board to Petitioner dated December 29, 2017</w:t>
      </w:r>
    </w:p>
    <w:p w:rsidR="004E599E" w:rsidRDefault="004E599E" w:rsidP="00311A30">
      <w:pPr>
        <w:pStyle w:val="ListParagraph"/>
        <w:numPr>
          <w:ilvl w:val="0"/>
          <w:numId w:val="3"/>
        </w:numPr>
        <w:rPr>
          <w:rFonts w:cs="Times New Roman"/>
        </w:rPr>
      </w:pPr>
      <w:r>
        <w:rPr>
          <w:rFonts w:cs="Times New Roman"/>
        </w:rPr>
        <w:t>Petitioner’s calculation of “differentials”</w:t>
      </w:r>
    </w:p>
    <w:p w:rsidR="004E599E" w:rsidRDefault="004E599E" w:rsidP="00311A30">
      <w:pPr>
        <w:pStyle w:val="ListParagraph"/>
        <w:numPr>
          <w:ilvl w:val="0"/>
          <w:numId w:val="3"/>
        </w:numPr>
        <w:rPr>
          <w:rFonts w:cs="Times New Roman"/>
        </w:rPr>
      </w:pPr>
      <w:r>
        <w:rPr>
          <w:rFonts w:cs="Times New Roman"/>
        </w:rPr>
        <w:t>Board’s estimate of Petitioner’s retirement benefits dated April 28, 2017</w:t>
      </w:r>
      <w:r w:rsidRPr="004E599E">
        <w:rPr>
          <w:rFonts w:cs="Times New Roman"/>
        </w:rPr>
        <w:t xml:space="preserve"> </w:t>
      </w:r>
    </w:p>
    <w:p w:rsidR="000F24C8" w:rsidRDefault="004E599E" w:rsidP="000F24C8">
      <w:pPr>
        <w:pStyle w:val="ListParagraph"/>
        <w:numPr>
          <w:ilvl w:val="0"/>
          <w:numId w:val="3"/>
        </w:numPr>
        <w:rPr>
          <w:rFonts w:cs="Times New Roman"/>
        </w:rPr>
      </w:pPr>
      <w:r>
        <w:rPr>
          <w:rFonts w:cs="Times New Roman"/>
        </w:rPr>
        <w:lastRenderedPageBreak/>
        <w:t>Chart reflecting the incentive/differential pay amounts Petitioner received for 2016 and 2017</w:t>
      </w:r>
    </w:p>
    <w:p w:rsidR="00340849" w:rsidRDefault="00340849" w:rsidP="000F24C8">
      <w:pPr>
        <w:pStyle w:val="ListParagraph"/>
        <w:numPr>
          <w:ilvl w:val="0"/>
          <w:numId w:val="3"/>
        </w:numPr>
        <w:rPr>
          <w:rFonts w:cs="Times New Roman"/>
        </w:rPr>
      </w:pPr>
      <w:r>
        <w:rPr>
          <w:rFonts w:cs="Times New Roman"/>
        </w:rPr>
        <w:t>Denial (clarification) from Board to Pet</w:t>
      </w:r>
      <w:r w:rsidR="00FE6503">
        <w:rPr>
          <w:rFonts w:cs="Times New Roman"/>
        </w:rPr>
        <w:t>itioner dated February 27, 2018</w:t>
      </w:r>
    </w:p>
    <w:p w:rsidR="00180270" w:rsidRDefault="00180270" w:rsidP="000F24C8">
      <w:pPr>
        <w:pStyle w:val="ListParagraph"/>
        <w:numPr>
          <w:ilvl w:val="0"/>
          <w:numId w:val="3"/>
        </w:numPr>
        <w:rPr>
          <w:rFonts w:cs="Times New Roman"/>
        </w:rPr>
      </w:pPr>
      <w:r>
        <w:rPr>
          <w:rFonts w:cs="Times New Roman"/>
        </w:rPr>
        <w:t>Petitioner’s notic</w:t>
      </w:r>
      <w:r w:rsidR="00FE6503">
        <w:rPr>
          <w:rFonts w:cs="Times New Roman"/>
        </w:rPr>
        <w:t>e of appeal dated March 6, 2018</w:t>
      </w:r>
    </w:p>
    <w:p w:rsidR="004B35BC" w:rsidRPr="004B35BC" w:rsidRDefault="004B35BC" w:rsidP="004B35BC">
      <w:pPr>
        <w:ind w:firstLine="0"/>
        <w:jc w:val="center"/>
        <w:rPr>
          <w:rFonts w:cs="Times New Roman"/>
          <w:b/>
          <w:szCs w:val="24"/>
        </w:rPr>
      </w:pPr>
      <w:r w:rsidRPr="004B35BC">
        <w:rPr>
          <w:rFonts w:cs="Times New Roman"/>
          <w:b/>
          <w:szCs w:val="24"/>
        </w:rPr>
        <w:t>FINDINGS OF FACT</w:t>
      </w:r>
    </w:p>
    <w:p w:rsidR="00875C0E" w:rsidRDefault="004B35BC" w:rsidP="00875C0E">
      <w:r w:rsidRPr="00BD451C">
        <w:rPr>
          <w:rFonts w:cs="Times New Roman"/>
          <w:szCs w:val="24"/>
        </w:rPr>
        <w:t>Based on the evidence presented in the exhibits and pleadings, and reasonable inferences drawn from them, I find the following facts:</w:t>
      </w:r>
    </w:p>
    <w:p w:rsidR="00875C0E" w:rsidRDefault="00875C0E" w:rsidP="00875C0E">
      <w:pPr>
        <w:pStyle w:val="ListParagraph"/>
        <w:numPr>
          <w:ilvl w:val="0"/>
          <w:numId w:val="2"/>
        </w:numPr>
        <w:rPr>
          <w:rFonts w:cs="Times New Roman"/>
        </w:rPr>
      </w:pPr>
      <w:r>
        <w:rPr>
          <w:rFonts w:cs="Times New Roman"/>
        </w:rPr>
        <w:t xml:space="preserve">Petitioner served as a Correction Officer for the Commonwealth of Massachusetts from approximately February 16, 1997 </w:t>
      </w:r>
      <w:r w:rsidR="00D643BA">
        <w:rPr>
          <w:rFonts w:cs="Times New Roman"/>
        </w:rPr>
        <w:t>until</w:t>
      </w:r>
      <w:r>
        <w:rPr>
          <w:rFonts w:cs="Times New Roman"/>
        </w:rPr>
        <w:t xml:space="preserve"> his retirement on June 30, 2017.</w:t>
      </w:r>
      <w:r w:rsidR="00E27215">
        <w:rPr>
          <w:rFonts w:cs="Times New Roman"/>
        </w:rPr>
        <w:t xml:space="preserve"> (Exh. 1</w:t>
      </w:r>
      <w:r w:rsidR="00340849">
        <w:rPr>
          <w:rFonts w:cs="Times New Roman"/>
        </w:rPr>
        <w:t>.)</w:t>
      </w:r>
    </w:p>
    <w:p w:rsidR="00875C0E" w:rsidRDefault="00E27215" w:rsidP="00E27215">
      <w:pPr>
        <w:pStyle w:val="ListParagraph"/>
        <w:numPr>
          <w:ilvl w:val="0"/>
          <w:numId w:val="2"/>
        </w:numPr>
      </w:pPr>
      <w:r>
        <w:rPr>
          <w:rFonts w:cs="Times New Roman"/>
        </w:rPr>
        <w:t>Petitioner elected to retire under the provisions of M.G.L. c. 32, §</w:t>
      </w:r>
      <w:r w:rsidR="00C23ED3">
        <w:rPr>
          <w:rFonts w:cs="Times New Roman"/>
        </w:rPr>
        <w:t xml:space="preserve"> </w:t>
      </w:r>
      <w:r>
        <w:rPr>
          <w:rFonts w:cs="Times New Roman"/>
        </w:rPr>
        <w:t xml:space="preserve">28M, sometimes known as the “20/50” provision because it allows state correction officers with 20 years of service to retire at 50% of the </w:t>
      </w:r>
      <w:r w:rsidR="00DD2A67">
        <w:rPr>
          <w:rFonts w:cs="Times New Roman"/>
        </w:rPr>
        <w:t>pay</w:t>
      </w:r>
      <w:r w:rsidR="00D643BA">
        <w:rPr>
          <w:rFonts w:cs="Times New Roman"/>
        </w:rPr>
        <w:t xml:space="preserve"> they</w:t>
      </w:r>
      <w:r w:rsidR="00DD2A67">
        <w:rPr>
          <w:rFonts w:cs="Times New Roman"/>
        </w:rPr>
        <w:t xml:space="preserve"> earned</w:t>
      </w:r>
      <w:r w:rsidR="00CA04EF">
        <w:rPr>
          <w:rFonts w:cs="Times New Roman"/>
        </w:rPr>
        <w:t xml:space="preserve"> during the 12 months immediately preceding retirement. (Exh. 4, 6, 7</w:t>
      </w:r>
      <w:r w:rsidR="00340849">
        <w:rPr>
          <w:rFonts w:cs="Times New Roman"/>
        </w:rPr>
        <w:t>.)</w:t>
      </w:r>
      <w:r>
        <w:t xml:space="preserve"> </w:t>
      </w:r>
    </w:p>
    <w:p w:rsidR="00E27215" w:rsidRDefault="00E27215" w:rsidP="00E27215">
      <w:pPr>
        <w:pStyle w:val="ListParagraph"/>
        <w:numPr>
          <w:ilvl w:val="0"/>
          <w:numId w:val="2"/>
        </w:numPr>
      </w:pPr>
      <w:r>
        <w:t>Two annual salary rates were in effect for Petitioner during his last year of service</w:t>
      </w:r>
      <w:r w:rsidR="00C23ED3">
        <w:t>,</w:t>
      </w:r>
      <w:r w:rsidR="00DD2A67">
        <w:t xml:space="preserve"> which ran </w:t>
      </w:r>
      <w:r>
        <w:t>from July 1, 201</w:t>
      </w:r>
      <w:r w:rsidR="00A543AC">
        <w:t>6</w:t>
      </w:r>
      <w:r>
        <w:t xml:space="preserve"> to June 30, 2017.  From July 1, 2016 to July 9, 2016 (9 days), Petitioner was paid according to an annual sala</w:t>
      </w:r>
      <w:r w:rsidR="008F0302">
        <w:t>ry rate of $79,662.18.  From Ju</w:t>
      </w:r>
      <w:r>
        <w:t xml:space="preserve">ly 10, </w:t>
      </w:r>
      <w:r w:rsidR="008F0302">
        <w:t>2016 until he retired on June 30, 2017, Petitioner’s annual salary rate was $82,649.32</w:t>
      </w:r>
      <w:r w:rsidR="00A543AC">
        <w:t xml:space="preserve"> (356 days)</w:t>
      </w:r>
      <w:r w:rsidR="008F0302">
        <w:t>. (Exh. 2</w:t>
      </w:r>
      <w:r w:rsidR="00340849">
        <w:t>.)</w:t>
      </w:r>
    </w:p>
    <w:p w:rsidR="008F0302" w:rsidRDefault="008F0302" w:rsidP="00E27215">
      <w:pPr>
        <w:pStyle w:val="ListParagraph"/>
        <w:numPr>
          <w:ilvl w:val="0"/>
          <w:numId w:val="2"/>
        </w:numPr>
      </w:pPr>
      <w:r>
        <w:t xml:space="preserve">During 2016 and 2017, Petitioner also received, in addition to his salary, holiday pay for holidays worked, roll call pay, pay for shift differentials, and longevity pay (collectively hereafter referred to as </w:t>
      </w:r>
      <w:r w:rsidR="00DD2A67">
        <w:t>“differential pay”</w:t>
      </w:r>
      <w:r>
        <w:t xml:space="preserve">).  From January 1, 2016 to June 30, 2016, Petitioner received $2,208.96 </w:t>
      </w:r>
      <w:r w:rsidR="00727382">
        <w:t xml:space="preserve">in </w:t>
      </w:r>
      <w:r>
        <w:t xml:space="preserve">differential pay.  </w:t>
      </w:r>
      <w:r w:rsidR="00EF3EDA">
        <w:t>From</w:t>
      </w:r>
      <w:r>
        <w:t xml:space="preserve"> July 1, 2016 to </w:t>
      </w:r>
      <w:r>
        <w:lastRenderedPageBreak/>
        <w:t>December 31, 2016</w:t>
      </w:r>
      <w:r w:rsidR="00D643BA">
        <w:t>,</w:t>
      </w:r>
      <w:r>
        <w:t xml:space="preserve"> </w:t>
      </w:r>
      <w:r w:rsidR="00C10825">
        <w:t>Petitioner received $3</w:t>
      </w:r>
      <w:r w:rsidR="00C23ED3">
        <w:t>,</w:t>
      </w:r>
      <w:r w:rsidR="00C10825">
        <w:t>985.38</w:t>
      </w:r>
      <w:r w:rsidR="00727382">
        <w:t xml:space="preserve"> in differential pay</w:t>
      </w:r>
      <w:r w:rsidR="00C10825">
        <w:t>.  From</w:t>
      </w:r>
      <w:r>
        <w:t xml:space="preserve"> January 1, 2017 to June 30 2017, </w:t>
      </w:r>
      <w:r w:rsidR="00C10825">
        <w:t>Petitioner received</w:t>
      </w:r>
      <w:r>
        <w:t xml:space="preserve"> $4,373.38 in differential pay. (Exhibit 3</w:t>
      </w:r>
      <w:r w:rsidR="00340849">
        <w:t>.)</w:t>
      </w:r>
    </w:p>
    <w:p w:rsidR="008F0302" w:rsidRDefault="00A55BBD" w:rsidP="00E27215">
      <w:pPr>
        <w:pStyle w:val="ListParagraph"/>
        <w:numPr>
          <w:ilvl w:val="0"/>
          <w:numId w:val="2"/>
        </w:numPr>
      </w:pPr>
      <w:r>
        <w:t>The Board calculated Petitioner’s</w:t>
      </w:r>
      <w:r w:rsidR="00A543AC">
        <w:t xml:space="preserve"> average salary by weighting the two different amounts based on the number of days each rate applied during the period July 1, 2016 to June 30, 2017. (Exh. 3</w:t>
      </w:r>
      <w:r w:rsidR="00340849">
        <w:t>.)</w:t>
      </w:r>
    </w:p>
    <w:p w:rsidR="00A543AC" w:rsidRDefault="00A543AC" w:rsidP="00E27215">
      <w:pPr>
        <w:pStyle w:val="ListParagraph"/>
        <w:numPr>
          <w:ilvl w:val="0"/>
          <w:numId w:val="2"/>
        </w:numPr>
      </w:pPr>
      <w:r>
        <w:t>The Board calculated Petitioner</w:t>
      </w:r>
      <w:r w:rsidR="00CA04EF">
        <w:t>’</w:t>
      </w:r>
      <w:r>
        <w:t xml:space="preserve">s differential pay using a different period of reference. </w:t>
      </w:r>
      <w:r w:rsidR="00CC715C">
        <w:t xml:space="preserve">The </w:t>
      </w:r>
      <w:r w:rsidR="00FE6503">
        <w:t>Board</w:t>
      </w:r>
      <w:r w:rsidR="00CC715C">
        <w:t xml:space="preserve"> referenced the entire calendar year for 2016, reaching back to January 1, 2016, rather than limiting its calculation to the period July 1, 2016 to June 30, 2017.  The </w:t>
      </w:r>
      <w:r w:rsidR="00FE6503">
        <w:t>Board</w:t>
      </w:r>
      <w:r w:rsidR="00CC715C">
        <w:t xml:space="preserve"> used the entire differential pay earned for the calendar year 2016 to calculate an average daily rate to be used for the s</w:t>
      </w:r>
      <w:r w:rsidR="00FE6503">
        <w:t>ix</w:t>
      </w:r>
      <w:r w:rsidR="00CC715C">
        <w:t xml:space="preserve"> month period July 1, 2016 to December 31, 2016.  </w:t>
      </w:r>
      <w:r w:rsidR="00EF3EDA">
        <w:t xml:space="preserve">Because Petitioner received significantly more differential pay </w:t>
      </w:r>
      <w:r w:rsidR="009A29F4">
        <w:t xml:space="preserve">in the last </w:t>
      </w:r>
      <w:r w:rsidR="00FE6503">
        <w:t>six</w:t>
      </w:r>
      <w:r w:rsidR="009A29F4">
        <w:t xml:space="preserve"> months of 2016</w:t>
      </w:r>
      <w:r w:rsidR="00EF3EDA">
        <w:t xml:space="preserve"> than in the first </w:t>
      </w:r>
      <w:r w:rsidR="00FE6503">
        <w:t>six</w:t>
      </w:r>
      <w:r w:rsidR="00EF3EDA">
        <w:t xml:space="preserve"> months, t</w:t>
      </w:r>
      <w:r w:rsidR="00CC715C">
        <w:t xml:space="preserve">he </w:t>
      </w:r>
      <w:r w:rsidR="00EF3EDA">
        <w:t xml:space="preserve">Board’s </w:t>
      </w:r>
      <w:r w:rsidR="00CC715C">
        <w:t>calculation resulted in a lesser amount being credited to Petitioner’s differential pay for July 1, 2016 to December 31, 2016 than he actually earned during those months.  (Exh. 3</w:t>
      </w:r>
      <w:r w:rsidR="00340849">
        <w:t>.)</w:t>
      </w:r>
    </w:p>
    <w:p w:rsidR="00CC715C" w:rsidRDefault="00340849" w:rsidP="00E27215">
      <w:pPr>
        <w:pStyle w:val="ListParagraph"/>
        <w:numPr>
          <w:ilvl w:val="0"/>
          <w:numId w:val="2"/>
        </w:numPr>
      </w:pPr>
      <w:r>
        <w:t>Petitioner asked the Board to review the way in which it had calculated the differential</w:t>
      </w:r>
      <w:r w:rsidR="00DD2A67">
        <w:t xml:space="preserve"> pay</w:t>
      </w:r>
      <w:r>
        <w:t>. (Exh. 6.)</w:t>
      </w:r>
    </w:p>
    <w:p w:rsidR="00340849" w:rsidRDefault="00340849" w:rsidP="00E27215">
      <w:pPr>
        <w:pStyle w:val="ListParagraph"/>
        <w:numPr>
          <w:ilvl w:val="0"/>
          <w:numId w:val="2"/>
        </w:numPr>
      </w:pPr>
      <w:r>
        <w:t>On December 29, 2017, the Board confirmed its calculation and advised Petitioner of his appeal rights.  (Exh. 7.)</w:t>
      </w:r>
    </w:p>
    <w:p w:rsidR="00340849" w:rsidRDefault="00340849" w:rsidP="00E27215">
      <w:pPr>
        <w:pStyle w:val="ListParagraph"/>
        <w:numPr>
          <w:ilvl w:val="0"/>
          <w:numId w:val="2"/>
        </w:numPr>
      </w:pPr>
      <w:r>
        <w:t>Petitioner asked the Board to clarify its opinion, and it did so</w:t>
      </w:r>
      <w:r w:rsidR="00180270">
        <w:t xml:space="preserve"> on February 29, 2018.  The Board stated that it had discovered an error in its worksheet that resulted in a lower benefit being calculated.  The Board stated that it had corrected that error, but </w:t>
      </w:r>
      <w:r w:rsidR="00180270">
        <w:lastRenderedPageBreak/>
        <w:t>that it stood by its original calculation methodology</w:t>
      </w:r>
      <w:r w:rsidR="00DD2A67">
        <w:t xml:space="preserve"> for the differential pay</w:t>
      </w:r>
      <w:r w:rsidR="00180270">
        <w:t>.  The Board advised Petitioner of his appeal rights. (Exh. 11.)</w:t>
      </w:r>
    </w:p>
    <w:p w:rsidR="00180270" w:rsidRDefault="00180270" w:rsidP="00E27215">
      <w:pPr>
        <w:pStyle w:val="ListParagraph"/>
        <w:numPr>
          <w:ilvl w:val="0"/>
          <w:numId w:val="2"/>
        </w:numPr>
      </w:pPr>
      <w:r>
        <w:t>Petitioner filed a timely appeal of that decision on March 9, 2018.</w:t>
      </w:r>
    </w:p>
    <w:p w:rsidR="00875C0E" w:rsidRDefault="000E4BE2" w:rsidP="000E4BE2">
      <w:pPr>
        <w:ind w:firstLine="0"/>
        <w:jc w:val="center"/>
        <w:rPr>
          <w:b/>
        </w:rPr>
      </w:pPr>
      <w:r w:rsidRPr="000E4BE2">
        <w:rPr>
          <w:b/>
        </w:rPr>
        <w:t>CONCLUSION AND ORDER</w:t>
      </w:r>
    </w:p>
    <w:p w:rsidR="001A394D" w:rsidRDefault="0099091B" w:rsidP="0099091B">
      <w:pPr>
        <w:ind w:firstLine="0"/>
      </w:pPr>
      <w:r>
        <w:rPr>
          <w:b/>
        </w:rPr>
        <w:tab/>
      </w:r>
      <w:r>
        <w:t xml:space="preserve">This dispute is a narrow one.  </w:t>
      </w:r>
      <w:r w:rsidR="004F4365">
        <w:t xml:space="preserve">There is no disagreement about Petitioner’s salary figures or the way in which the Board used the salary amounts in calculating Petitioner’s compensation. There is also no disagreement </w:t>
      </w:r>
      <w:r w:rsidR="001A394D">
        <w:t>about the amount of</w:t>
      </w:r>
      <w:r w:rsidR="004F4365">
        <w:t xml:space="preserve"> differential pay that Petitioner received</w:t>
      </w:r>
      <w:r w:rsidR="001A394D">
        <w:t xml:space="preserve"> or whether the differential pay</w:t>
      </w:r>
      <w:r w:rsidR="004F4365">
        <w:t xml:space="preserve"> should be considered part of Petitioner’s </w:t>
      </w:r>
      <w:r w:rsidR="00C23ED3">
        <w:t xml:space="preserve">regular </w:t>
      </w:r>
      <w:r w:rsidR="004F4365">
        <w:t>compensation</w:t>
      </w:r>
      <w:r w:rsidR="001A394D">
        <w:t xml:space="preserve">: both parties agree that it should. The only dispute is the manner in which the Board calculated the amount of differential pay that it credited to Petitioner for the July 1, 2016 to June 30, 2017 period. </w:t>
      </w:r>
    </w:p>
    <w:p w:rsidR="00244F5B" w:rsidRDefault="00AD04B0" w:rsidP="00244F5B">
      <w:r>
        <w:t>Petitioner retired</w:t>
      </w:r>
      <w:r w:rsidR="004F4365">
        <w:t xml:space="preserve"> </w:t>
      </w:r>
      <w:r>
        <w:t>pursuant to the “20/50” law, M.G.L. c. 32, §28M</w:t>
      </w:r>
      <w:r w:rsidR="00877596">
        <w:t xml:space="preserve">, a statute that provides enhanced retirement benefits for certain </w:t>
      </w:r>
      <w:r w:rsidR="001A0625">
        <w:t>Department of C</w:t>
      </w:r>
      <w:r w:rsidR="00877596">
        <w:t>orrection employees</w:t>
      </w:r>
      <w:r>
        <w:t>. That section provides:</w:t>
      </w:r>
    </w:p>
    <w:p w:rsidR="00244F5B" w:rsidRDefault="00AD04B0" w:rsidP="00C23ED3">
      <w:pPr>
        <w:spacing w:after="240" w:line="240" w:lineRule="auto"/>
        <w:ind w:left="720" w:right="720" w:firstLine="0"/>
        <w:rPr>
          <w:rFonts w:cs="Times New Roman"/>
          <w:b/>
        </w:rPr>
      </w:pPr>
      <w:r>
        <w:t xml:space="preserve">  </w:t>
      </w:r>
      <w:r w:rsidR="00D2279A">
        <w:t>… [</w:t>
      </w:r>
      <w:r>
        <w:t xml:space="preserve">a]ny employee of the department of correction, classified under Group 4 … who has performed services in the department of correction for not less than twenty years shall, at his own request, be retired by said retirement board.  Upon retirement under the provisions of this section a member shall receive a retirement allowance to become effective on the date of his retirement. </w:t>
      </w:r>
      <w:r w:rsidRPr="001A0625">
        <w:t>Payments under such allowance shall be made as provided for in section twelve and thirteen</w:t>
      </w:r>
      <w:r w:rsidRPr="00244F5B">
        <w:rPr>
          <w:i/>
        </w:rPr>
        <w:t xml:space="preserve"> and the normal yearly amount thereof shall be equal to one-half of the annual average rate of his regular compensations during the twelve month period of his creditable service</w:t>
      </w:r>
      <w:r w:rsidR="00244F5B" w:rsidRPr="00244F5B">
        <w:rPr>
          <w:i/>
        </w:rPr>
        <w:t xml:space="preserve"> immediately preceding the date his retirement allowance becomes effective</w:t>
      </w:r>
      <w:r w:rsidR="00244F5B">
        <w:t xml:space="preserve"> … </w:t>
      </w:r>
    </w:p>
    <w:p w:rsidR="00244F5B" w:rsidRDefault="00C23ED3" w:rsidP="00C23ED3">
      <w:pPr>
        <w:ind w:firstLine="0"/>
        <w:rPr>
          <w:rFonts w:cs="Times New Roman"/>
          <w:b/>
        </w:rPr>
      </w:pPr>
      <w:r>
        <w:t>(Emphasis supplied.)</w:t>
      </w:r>
    </w:p>
    <w:p w:rsidR="002B6B15" w:rsidRDefault="00244F5B" w:rsidP="002B6B15">
      <w:pPr>
        <w:rPr>
          <w:rFonts w:cs="Times New Roman"/>
        </w:rPr>
      </w:pPr>
      <w:r>
        <w:rPr>
          <w:rFonts w:cs="Times New Roman"/>
        </w:rPr>
        <w:t>The Board</w:t>
      </w:r>
      <w:r w:rsidR="002573F4">
        <w:rPr>
          <w:rFonts w:cs="Times New Roman"/>
        </w:rPr>
        <w:t xml:space="preserve"> focuses on the words “annual average rate</w:t>
      </w:r>
      <w:r w:rsidR="002B6B15">
        <w:rPr>
          <w:rFonts w:cs="Times New Roman"/>
        </w:rPr>
        <w:t xml:space="preserve"> of his regular compensations</w:t>
      </w:r>
      <w:r w:rsidR="002573F4">
        <w:rPr>
          <w:rFonts w:cs="Times New Roman"/>
        </w:rPr>
        <w:t xml:space="preserve">” to argue that its calculations </w:t>
      </w:r>
      <w:r w:rsidR="002B6B15">
        <w:rPr>
          <w:rFonts w:cs="Times New Roman"/>
        </w:rPr>
        <w:t>must</w:t>
      </w:r>
      <w:r w:rsidR="002573F4">
        <w:rPr>
          <w:rFonts w:cs="Times New Roman"/>
        </w:rPr>
        <w:t xml:space="preserve"> reference the six month period prior to July 1, 2016 in order to </w:t>
      </w:r>
      <w:r w:rsidR="002573F4">
        <w:rPr>
          <w:rFonts w:cs="Times New Roman"/>
        </w:rPr>
        <w:lastRenderedPageBreak/>
        <w:t xml:space="preserve">arrive at an annual average rate for the </w:t>
      </w:r>
      <w:r w:rsidR="002B6B15">
        <w:rPr>
          <w:rFonts w:cs="Times New Roman"/>
        </w:rPr>
        <w:t xml:space="preserve">latter half of the </w:t>
      </w:r>
      <w:r w:rsidR="002573F4">
        <w:rPr>
          <w:rFonts w:cs="Times New Roman"/>
        </w:rPr>
        <w:t xml:space="preserve">2016 calendar year.  </w:t>
      </w:r>
      <w:r w:rsidR="002B6B15">
        <w:rPr>
          <w:rFonts w:cs="Times New Roman"/>
        </w:rPr>
        <w:t>The Board argues that the legislature did not set out a mathematical formula for the Board to use in making these calculations</w:t>
      </w:r>
      <w:r w:rsidR="001A0625">
        <w:rPr>
          <w:rFonts w:cs="Times New Roman"/>
        </w:rPr>
        <w:t>. It</w:t>
      </w:r>
      <w:r w:rsidR="002B6B15">
        <w:rPr>
          <w:rFonts w:cs="Times New Roman"/>
        </w:rPr>
        <w:t xml:space="preserve"> states that the Board is attempting to fulfill the legislature’s intent by arriving at a mathematical daily average </w:t>
      </w:r>
      <w:r w:rsidR="001A0625">
        <w:rPr>
          <w:rFonts w:cs="Times New Roman"/>
        </w:rPr>
        <w:t xml:space="preserve">for the calendar year 2016 </w:t>
      </w:r>
      <w:r w:rsidR="002B6B15">
        <w:rPr>
          <w:rFonts w:cs="Times New Roman"/>
        </w:rPr>
        <w:t>of the differential pay the Petitioner received</w:t>
      </w:r>
      <w:r w:rsidR="001A0625">
        <w:rPr>
          <w:rFonts w:cs="Times New Roman"/>
        </w:rPr>
        <w:t xml:space="preserve"> by</w:t>
      </w:r>
      <w:r w:rsidR="002B6B15">
        <w:rPr>
          <w:rFonts w:cs="Times New Roman"/>
        </w:rPr>
        <w:t xml:space="preserve"> using payments made </w:t>
      </w:r>
      <w:r w:rsidR="00F209D8">
        <w:rPr>
          <w:rFonts w:cs="Times New Roman"/>
        </w:rPr>
        <w:t>seven</w:t>
      </w:r>
      <w:r w:rsidR="002B6B15">
        <w:rPr>
          <w:rFonts w:cs="Times New Roman"/>
        </w:rPr>
        <w:t xml:space="preserve"> to eighteen months</w:t>
      </w:r>
      <w:r w:rsidR="001A0625">
        <w:rPr>
          <w:rStyle w:val="FootnoteReference"/>
          <w:rFonts w:cs="Times New Roman"/>
        </w:rPr>
        <w:footnoteReference w:id="1"/>
      </w:r>
      <w:r w:rsidR="002B6B15">
        <w:rPr>
          <w:rFonts w:cs="Times New Roman"/>
        </w:rPr>
        <w:t xml:space="preserve"> prior to Petitioner’s retirement. The Board urges that to fail to include the payments </w:t>
      </w:r>
      <w:r w:rsidR="00F209D8">
        <w:rPr>
          <w:rFonts w:cs="Times New Roman"/>
        </w:rPr>
        <w:t>Petitioner received thirteen</w:t>
      </w:r>
      <w:r w:rsidR="002B6B15">
        <w:rPr>
          <w:rFonts w:cs="Times New Roman"/>
        </w:rPr>
        <w:t xml:space="preserve"> to eighteen months </w:t>
      </w:r>
      <w:r w:rsidR="00F209D8">
        <w:rPr>
          <w:rFonts w:cs="Times New Roman"/>
        </w:rPr>
        <w:t xml:space="preserve">prior to his retirement </w:t>
      </w:r>
      <w:r w:rsidR="002B6B15">
        <w:rPr>
          <w:rFonts w:cs="Times New Roman"/>
        </w:rPr>
        <w:t>would be to ignore the directive of the legislature that the calculations be based on the “annual average” rate of compensations.</w:t>
      </w:r>
    </w:p>
    <w:p w:rsidR="00244F5B" w:rsidRDefault="002573F4" w:rsidP="00423CE5">
      <w:pPr>
        <w:rPr>
          <w:rFonts w:cs="Times New Roman"/>
        </w:rPr>
      </w:pPr>
      <w:r>
        <w:rPr>
          <w:rFonts w:cs="Times New Roman"/>
        </w:rPr>
        <w:t>Petitioner, on the other hand, focuses on the words “during the twelve months of his creditable service immediately preceding the date his retirement allowance becomes effective” to support his argument that the Board exceeded its authority when i</w:t>
      </w:r>
      <w:r w:rsidR="0081607C">
        <w:rPr>
          <w:rFonts w:cs="Times New Roman"/>
        </w:rPr>
        <w:t>t</w:t>
      </w:r>
      <w:r>
        <w:rPr>
          <w:rFonts w:cs="Times New Roman"/>
        </w:rPr>
        <w:t xml:space="preserve"> </w:t>
      </w:r>
      <w:r w:rsidR="0081607C">
        <w:rPr>
          <w:rFonts w:cs="Times New Roman"/>
        </w:rPr>
        <w:t>included in its calculation the</w:t>
      </w:r>
      <w:r>
        <w:rPr>
          <w:rFonts w:cs="Times New Roman"/>
        </w:rPr>
        <w:t xml:space="preserve"> differential pay </w:t>
      </w:r>
      <w:r w:rsidR="0081607C">
        <w:rPr>
          <w:rFonts w:cs="Times New Roman"/>
        </w:rPr>
        <w:t xml:space="preserve">Petitioner </w:t>
      </w:r>
      <w:r>
        <w:rPr>
          <w:rFonts w:cs="Times New Roman"/>
        </w:rPr>
        <w:t>earned thirteen to eighteen months prior to Petitioner’s date of retirement.</w:t>
      </w:r>
      <w:r w:rsidR="002B6B15">
        <w:rPr>
          <w:rFonts w:cs="Times New Roman"/>
        </w:rPr>
        <w:t xml:space="preserve"> In the Petitioner’s view, the clear meaning of the statute is that the Board is to consider only </w:t>
      </w:r>
      <w:r w:rsidR="0081607C">
        <w:rPr>
          <w:rFonts w:cs="Times New Roman"/>
        </w:rPr>
        <w:t>the</w:t>
      </w:r>
      <w:r w:rsidR="002B6B15">
        <w:rPr>
          <w:rFonts w:cs="Times New Roman"/>
        </w:rPr>
        <w:t xml:space="preserve"> compensation earned in the twelve months immediately before </w:t>
      </w:r>
      <w:r w:rsidR="0081607C">
        <w:rPr>
          <w:rFonts w:cs="Times New Roman"/>
        </w:rPr>
        <w:t>Petitioner</w:t>
      </w:r>
      <w:r w:rsidR="002B6B15">
        <w:rPr>
          <w:rFonts w:cs="Times New Roman"/>
        </w:rPr>
        <w:t xml:space="preserve"> retired and base its calculations only on that time period.</w:t>
      </w:r>
    </w:p>
    <w:p w:rsidR="0025723E" w:rsidRDefault="002B6B15" w:rsidP="00B052F5">
      <w:pPr>
        <w:rPr>
          <w:rFonts w:cs="Times New Roman"/>
        </w:rPr>
      </w:pPr>
      <w:r>
        <w:rPr>
          <w:rFonts w:cs="Times New Roman"/>
        </w:rPr>
        <w:t xml:space="preserve">There is scant caselaw to assist in this </w:t>
      </w:r>
      <w:r w:rsidR="0081607C">
        <w:rPr>
          <w:rFonts w:cs="Times New Roman"/>
        </w:rPr>
        <w:t>decision</w:t>
      </w:r>
      <w:r>
        <w:rPr>
          <w:rFonts w:cs="Times New Roman"/>
        </w:rPr>
        <w:t xml:space="preserve">. </w:t>
      </w:r>
      <w:r w:rsidR="00E11998">
        <w:rPr>
          <w:rFonts w:cs="Times New Roman"/>
        </w:rPr>
        <w:t xml:space="preserve">In </w:t>
      </w:r>
      <w:r w:rsidR="00E11998">
        <w:rPr>
          <w:rFonts w:cs="Times New Roman"/>
          <w:i/>
        </w:rPr>
        <w:t xml:space="preserve">Silverthorne v. Massachusetts Teachers’ Retirement Board, </w:t>
      </w:r>
      <w:r w:rsidR="00E11998" w:rsidRPr="00E11998">
        <w:rPr>
          <w:rFonts w:cs="Times New Roman"/>
        </w:rPr>
        <w:t>Docket No. CR-03-154</w:t>
      </w:r>
      <w:r w:rsidR="00E11998">
        <w:rPr>
          <w:rFonts w:cs="Times New Roman"/>
        </w:rPr>
        <w:t xml:space="preserve"> (CRAB decision, November 15, 2004), CRAB </w:t>
      </w:r>
      <w:r w:rsidR="00B052F5">
        <w:rPr>
          <w:rFonts w:cs="Times New Roman"/>
        </w:rPr>
        <w:t>interpreted c. 32, §</w:t>
      </w:r>
      <w:r w:rsidR="00C23ED3">
        <w:rPr>
          <w:rFonts w:cs="Times New Roman"/>
        </w:rPr>
        <w:t xml:space="preserve"> </w:t>
      </w:r>
      <w:r w:rsidR="00B052F5">
        <w:rPr>
          <w:rFonts w:cs="Times New Roman"/>
        </w:rPr>
        <w:t>5(2),</w:t>
      </w:r>
      <w:r w:rsidR="0025723E">
        <w:rPr>
          <w:rFonts w:cs="Times New Roman"/>
        </w:rPr>
        <w:t xml:space="preserve"> a</w:t>
      </w:r>
      <w:r w:rsidR="00B052F5">
        <w:rPr>
          <w:rFonts w:cs="Times New Roman"/>
        </w:rPr>
        <w:t xml:space="preserve"> different but similar</w:t>
      </w:r>
      <w:r w:rsidR="0025723E">
        <w:rPr>
          <w:rFonts w:cs="Times New Roman"/>
        </w:rPr>
        <w:t xml:space="preserve"> provision which </w:t>
      </w:r>
      <w:r w:rsidR="00B052F5">
        <w:rPr>
          <w:rFonts w:cs="Times New Roman"/>
        </w:rPr>
        <w:t>governs</w:t>
      </w:r>
      <w:r w:rsidR="0025723E">
        <w:rPr>
          <w:rFonts w:cs="Times New Roman"/>
        </w:rPr>
        <w:t xml:space="preserve"> how retirement benefits are to be calculated</w:t>
      </w:r>
      <w:r w:rsidR="001A6C11">
        <w:rPr>
          <w:rFonts w:cs="Times New Roman"/>
        </w:rPr>
        <w:t xml:space="preserve"> for those members not covered by </w:t>
      </w:r>
      <w:r w:rsidR="004858A3">
        <w:rPr>
          <w:rFonts w:cs="Times New Roman"/>
        </w:rPr>
        <w:t xml:space="preserve">the </w:t>
      </w:r>
      <w:r w:rsidR="001A6C11">
        <w:rPr>
          <w:rFonts w:cs="Times New Roman"/>
        </w:rPr>
        <w:t>enhanced retirement pro</w:t>
      </w:r>
      <w:r w:rsidR="00B052F5">
        <w:rPr>
          <w:rFonts w:cs="Times New Roman"/>
        </w:rPr>
        <w:t>vision</w:t>
      </w:r>
      <w:r w:rsidR="004858A3">
        <w:rPr>
          <w:rFonts w:cs="Times New Roman"/>
        </w:rPr>
        <w:t xml:space="preserve"> of</w:t>
      </w:r>
      <w:r w:rsidR="00B052F5">
        <w:rPr>
          <w:rFonts w:cs="Times New Roman"/>
        </w:rPr>
        <w:t xml:space="preserve"> </w:t>
      </w:r>
      <w:r w:rsidR="001A6C11">
        <w:rPr>
          <w:rFonts w:cs="Times New Roman"/>
        </w:rPr>
        <w:t>§</w:t>
      </w:r>
      <w:r w:rsidR="00C23ED3">
        <w:rPr>
          <w:rFonts w:cs="Times New Roman"/>
        </w:rPr>
        <w:t xml:space="preserve"> </w:t>
      </w:r>
      <w:r w:rsidR="001A6C11">
        <w:rPr>
          <w:rFonts w:cs="Times New Roman"/>
        </w:rPr>
        <w:t>28M</w:t>
      </w:r>
      <w:r w:rsidR="0025723E">
        <w:rPr>
          <w:rFonts w:cs="Times New Roman"/>
        </w:rPr>
        <w:t>. Section 5(2) provides that a memb</w:t>
      </w:r>
      <w:r w:rsidR="00B052F5">
        <w:rPr>
          <w:rFonts w:cs="Times New Roman"/>
        </w:rPr>
        <w:t>er’s retirement allowance</w:t>
      </w:r>
    </w:p>
    <w:p w:rsidR="00E11998" w:rsidRPr="00E11998" w:rsidRDefault="00B052F5" w:rsidP="0025723E">
      <w:pPr>
        <w:spacing w:line="240" w:lineRule="auto"/>
        <w:ind w:left="720" w:right="720" w:firstLine="0"/>
        <w:rPr>
          <w:rFonts w:cs="Times New Roman"/>
        </w:rPr>
      </w:pPr>
      <w:r>
        <w:rPr>
          <w:rFonts w:cs="Times New Roman"/>
        </w:rPr>
        <w:t xml:space="preserve">shall … be based on </w:t>
      </w:r>
      <w:r w:rsidR="0025723E" w:rsidRPr="0025723E">
        <w:rPr>
          <w:rFonts w:cs="Times New Roman"/>
        </w:rPr>
        <w:t>the average annual rate of regular compensation received by</w:t>
      </w:r>
      <w:r w:rsidR="0025723E">
        <w:rPr>
          <w:rFonts w:cs="Times New Roman"/>
        </w:rPr>
        <w:t xml:space="preserve"> </w:t>
      </w:r>
      <w:r w:rsidR="0025723E" w:rsidRPr="0025723E">
        <w:rPr>
          <w:rFonts w:cs="Times New Roman"/>
        </w:rPr>
        <w:t>such member during any period of three consecutive years of creditable</w:t>
      </w:r>
      <w:r w:rsidR="0025723E">
        <w:rPr>
          <w:rFonts w:cs="Times New Roman"/>
        </w:rPr>
        <w:t xml:space="preserve"> </w:t>
      </w:r>
      <w:r w:rsidR="0025723E" w:rsidRPr="0025723E">
        <w:rPr>
          <w:rFonts w:cs="Times New Roman"/>
        </w:rPr>
        <w:t xml:space="preserve">service </w:t>
      </w:r>
      <w:r w:rsidR="0025723E" w:rsidRPr="0025723E">
        <w:rPr>
          <w:rFonts w:cs="Times New Roman"/>
        </w:rPr>
        <w:lastRenderedPageBreak/>
        <w:t>for which such rate of compensation was the highest, or on the</w:t>
      </w:r>
      <w:r w:rsidR="0025723E">
        <w:rPr>
          <w:rFonts w:cs="Times New Roman"/>
        </w:rPr>
        <w:t xml:space="preserve"> </w:t>
      </w:r>
      <w:r w:rsidR="0025723E" w:rsidRPr="0025723E">
        <w:rPr>
          <w:rFonts w:cs="Times New Roman"/>
        </w:rPr>
        <w:t>average annual rate of regular compensation received by such member during</w:t>
      </w:r>
      <w:r w:rsidR="0025723E">
        <w:rPr>
          <w:rFonts w:cs="Times New Roman"/>
        </w:rPr>
        <w:t xml:space="preserve"> </w:t>
      </w:r>
      <w:r w:rsidR="0025723E" w:rsidRPr="0025723E">
        <w:rPr>
          <w:rFonts w:cs="Times New Roman"/>
        </w:rPr>
        <w:t>the period or periods, whether consecutive or not, constituting his last</w:t>
      </w:r>
      <w:r w:rsidR="0025723E">
        <w:rPr>
          <w:rFonts w:cs="Times New Roman"/>
        </w:rPr>
        <w:t xml:space="preserve"> </w:t>
      </w:r>
      <w:r w:rsidR="0025723E" w:rsidRPr="0025723E">
        <w:rPr>
          <w:rFonts w:cs="Times New Roman"/>
        </w:rPr>
        <w:t>three years of creditable service preceding retirement, whichever is the</w:t>
      </w:r>
      <w:r w:rsidR="0025723E">
        <w:rPr>
          <w:rFonts w:cs="Times New Roman"/>
        </w:rPr>
        <w:t xml:space="preserve"> </w:t>
      </w:r>
      <w:r w:rsidR="0025723E" w:rsidRPr="0025723E">
        <w:rPr>
          <w:rFonts w:cs="Times New Roman"/>
        </w:rPr>
        <w:t>greater....</w:t>
      </w:r>
    </w:p>
    <w:p w:rsidR="00FB0C7E" w:rsidRDefault="0025723E" w:rsidP="009D575C">
      <w:pPr>
        <w:spacing w:before="240"/>
        <w:ind w:firstLine="0"/>
        <w:rPr>
          <w:rFonts w:cs="Times New Roman"/>
        </w:rPr>
      </w:pPr>
      <w:r>
        <w:rPr>
          <w:rFonts w:cs="Times New Roman"/>
        </w:rPr>
        <w:t xml:space="preserve">In this case, CRAB </w:t>
      </w:r>
      <w:r w:rsidR="00643059">
        <w:rPr>
          <w:rFonts w:cs="Times New Roman"/>
        </w:rPr>
        <w:t xml:space="preserve">was </w:t>
      </w:r>
      <w:r w:rsidR="004858A3">
        <w:rPr>
          <w:rFonts w:cs="Times New Roman"/>
        </w:rPr>
        <w:t>required</w:t>
      </w:r>
      <w:r w:rsidR="00643059">
        <w:rPr>
          <w:rFonts w:cs="Times New Roman"/>
        </w:rPr>
        <w:t xml:space="preserve"> to decide</w:t>
      </w:r>
      <w:r>
        <w:rPr>
          <w:rFonts w:cs="Times New Roman"/>
        </w:rPr>
        <w:t xml:space="preserve"> the proper calculation of a part-time teacher’s retirement benefit so as not to penalize the teacher by combining a part-time creditable service determination with a part-time salary.</w:t>
      </w:r>
      <w:r w:rsidR="00643059">
        <w:rPr>
          <w:rStyle w:val="FootnoteReference"/>
          <w:rFonts w:cs="Times New Roman"/>
        </w:rPr>
        <w:footnoteReference w:id="2"/>
      </w:r>
      <w:r>
        <w:rPr>
          <w:rFonts w:cs="Times New Roman"/>
        </w:rPr>
        <w:t xml:space="preserve"> Two calculation methods</w:t>
      </w:r>
      <w:r w:rsidR="00CB286D">
        <w:rPr>
          <w:rFonts w:cs="Times New Roman"/>
        </w:rPr>
        <w:t xml:space="preserve"> to avoid this undue penal</w:t>
      </w:r>
      <w:r w:rsidR="004858A3">
        <w:rPr>
          <w:rFonts w:cs="Times New Roman"/>
        </w:rPr>
        <w:t>ty</w:t>
      </w:r>
      <w:r>
        <w:rPr>
          <w:rFonts w:cs="Times New Roman"/>
        </w:rPr>
        <w:t xml:space="preserve"> were proposed.  In one, the teacher’s </w:t>
      </w:r>
      <w:r w:rsidR="004858A3">
        <w:rPr>
          <w:rFonts w:cs="Times New Roman"/>
        </w:rPr>
        <w:t>years</w:t>
      </w:r>
      <w:r>
        <w:rPr>
          <w:rFonts w:cs="Times New Roman"/>
        </w:rPr>
        <w:t xml:space="preserve"> of part-time service </w:t>
      </w:r>
      <w:r w:rsidR="00CB286D">
        <w:rPr>
          <w:rFonts w:cs="Times New Roman"/>
        </w:rPr>
        <w:t>would be</w:t>
      </w:r>
      <w:r>
        <w:rPr>
          <w:rFonts w:cs="Times New Roman"/>
        </w:rPr>
        <w:t xml:space="preserve"> added together until those </w:t>
      </w:r>
      <w:r w:rsidR="00FE6503">
        <w:rPr>
          <w:rFonts w:cs="Times New Roman"/>
        </w:rPr>
        <w:t xml:space="preserve">part-time </w:t>
      </w:r>
      <w:r w:rsidR="004858A3">
        <w:rPr>
          <w:rFonts w:cs="Times New Roman"/>
        </w:rPr>
        <w:t>years</w:t>
      </w:r>
      <w:r>
        <w:rPr>
          <w:rFonts w:cs="Times New Roman"/>
        </w:rPr>
        <w:t xml:space="preserve"> reached an equivalent of three years of full-time service</w:t>
      </w:r>
      <w:r w:rsidR="00522638">
        <w:rPr>
          <w:rFonts w:cs="Times New Roman"/>
        </w:rPr>
        <w:t xml:space="preserve"> (in this case, that period was four years)</w:t>
      </w:r>
      <w:r>
        <w:rPr>
          <w:rFonts w:cs="Times New Roman"/>
        </w:rPr>
        <w:t xml:space="preserve">, and the salary actually received in those three-plus years </w:t>
      </w:r>
      <w:r w:rsidR="00CB286D">
        <w:rPr>
          <w:rFonts w:cs="Times New Roman"/>
        </w:rPr>
        <w:t>would</w:t>
      </w:r>
      <w:r>
        <w:rPr>
          <w:rFonts w:cs="Times New Roman"/>
        </w:rPr>
        <w:t xml:space="preserve"> then </w:t>
      </w:r>
      <w:r w:rsidR="00CB286D">
        <w:rPr>
          <w:rFonts w:cs="Times New Roman"/>
        </w:rPr>
        <w:t xml:space="preserve">be </w:t>
      </w:r>
      <w:r>
        <w:rPr>
          <w:rFonts w:cs="Times New Roman"/>
        </w:rPr>
        <w:t>divided by three to arrive at an average salary for three years.</w:t>
      </w:r>
      <w:r w:rsidR="00E623B5">
        <w:rPr>
          <w:rFonts w:cs="Times New Roman"/>
        </w:rPr>
        <w:t xml:space="preserve"> In the other, the teacher’s salary that she would have been paid had she worked full-time for the three year period preceding her retirement </w:t>
      </w:r>
      <w:r w:rsidR="00CB286D">
        <w:rPr>
          <w:rFonts w:cs="Times New Roman"/>
        </w:rPr>
        <w:t>would be</w:t>
      </w:r>
      <w:r w:rsidR="00E623B5">
        <w:rPr>
          <w:rFonts w:cs="Times New Roman"/>
        </w:rPr>
        <w:t xml:space="preserve"> substituted for the part-time salary that she actually received during that three year period, and that three-year total </w:t>
      </w:r>
      <w:r w:rsidR="00CB286D">
        <w:rPr>
          <w:rFonts w:cs="Times New Roman"/>
        </w:rPr>
        <w:t>would be</w:t>
      </w:r>
      <w:r w:rsidR="00E623B5">
        <w:rPr>
          <w:rFonts w:cs="Times New Roman"/>
        </w:rPr>
        <w:t xml:space="preserve"> divided by three to arrive at an average salary for three years.  The different calculations yielded different results, with the former method resulting in a calculation that </w:t>
      </w:r>
      <w:r w:rsidR="004858A3">
        <w:rPr>
          <w:rFonts w:cs="Times New Roman"/>
        </w:rPr>
        <w:t xml:space="preserve">was </w:t>
      </w:r>
      <w:r w:rsidR="00E623B5">
        <w:rPr>
          <w:rFonts w:cs="Times New Roman"/>
        </w:rPr>
        <w:t>approximately $1100 less than the latter method.</w:t>
      </w:r>
      <w:r w:rsidR="00834BF9">
        <w:rPr>
          <w:rFonts w:cs="Times New Roman"/>
        </w:rPr>
        <w:t xml:space="preserve"> CRAB held that the first method that yielded the lower number was the proper method:  “</w:t>
      </w:r>
      <w:r w:rsidR="00834BF9" w:rsidRPr="00834BF9">
        <w:rPr>
          <w:rFonts w:cs="Times New Roman"/>
        </w:rPr>
        <w:t>Section 5(2) requires that a member's retirement calculation be based on</w:t>
      </w:r>
      <w:r w:rsidR="00834BF9">
        <w:rPr>
          <w:rFonts w:cs="Times New Roman"/>
        </w:rPr>
        <w:t xml:space="preserve"> </w:t>
      </w:r>
      <w:r w:rsidR="00834BF9" w:rsidRPr="00834BF9">
        <w:rPr>
          <w:rFonts w:cs="Times New Roman"/>
        </w:rPr>
        <w:t>the compensa</w:t>
      </w:r>
      <w:r w:rsidR="00834BF9">
        <w:rPr>
          <w:rFonts w:cs="Times New Roman"/>
        </w:rPr>
        <w:t>tion actually ‘received’</w:t>
      </w:r>
      <w:r w:rsidR="00834BF9" w:rsidRPr="00834BF9">
        <w:rPr>
          <w:rFonts w:cs="Times New Roman"/>
        </w:rPr>
        <w:t xml:space="preserve"> by the member, not upon some</w:t>
      </w:r>
      <w:r w:rsidR="00834BF9">
        <w:rPr>
          <w:rFonts w:cs="Times New Roman"/>
        </w:rPr>
        <w:t xml:space="preserve"> </w:t>
      </w:r>
      <w:r w:rsidR="00834BF9" w:rsidRPr="00834BF9">
        <w:rPr>
          <w:rFonts w:cs="Times New Roman"/>
        </w:rPr>
        <w:t xml:space="preserve">theoretical rate that </w:t>
      </w:r>
      <w:r w:rsidR="00834BF9">
        <w:rPr>
          <w:rFonts w:cs="Times New Roman"/>
        </w:rPr>
        <w:t>‘</w:t>
      </w:r>
      <w:r w:rsidR="00834BF9" w:rsidRPr="00834BF9">
        <w:rPr>
          <w:rFonts w:cs="Times New Roman"/>
        </w:rPr>
        <w:t>would have been received</w:t>
      </w:r>
      <w:r w:rsidR="00834BF9">
        <w:rPr>
          <w:rFonts w:cs="Times New Roman"/>
        </w:rPr>
        <w:t>’</w:t>
      </w:r>
      <w:r w:rsidR="00834BF9" w:rsidRPr="00834BF9">
        <w:rPr>
          <w:rFonts w:cs="Times New Roman"/>
        </w:rPr>
        <w:t xml:space="preserve"> if the facts were different</w:t>
      </w:r>
      <w:r w:rsidR="00834BF9">
        <w:rPr>
          <w:rFonts w:cs="Times New Roman"/>
        </w:rPr>
        <w:t xml:space="preserve"> </w:t>
      </w:r>
      <w:r w:rsidR="00834BF9" w:rsidRPr="00834BF9">
        <w:rPr>
          <w:rFonts w:cs="Times New Roman"/>
        </w:rPr>
        <w:t>from what actually occurred.</w:t>
      </w:r>
      <w:r w:rsidR="00834BF9">
        <w:rPr>
          <w:rFonts w:cs="Times New Roman"/>
        </w:rPr>
        <w:t xml:space="preserve">” </w:t>
      </w:r>
      <w:r w:rsidR="00834BF9">
        <w:rPr>
          <w:rFonts w:cs="Times New Roman"/>
          <w:i/>
        </w:rPr>
        <w:t>Silverthorne</w:t>
      </w:r>
      <w:r w:rsidR="00834BF9">
        <w:rPr>
          <w:rFonts w:cs="Times New Roman"/>
        </w:rPr>
        <w:t xml:space="preserve"> at 2. Although the Petitioner </w:t>
      </w:r>
      <w:r w:rsidR="00834BF9">
        <w:rPr>
          <w:rFonts w:cs="Times New Roman"/>
        </w:rPr>
        <w:lastRenderedPageBreak/>
        <w:t xml:space="preserve">argued that the </w:t>
      </w:r>
      <w:r w:rsidR="009D575C">
        <w:rPr>
          <w:rFonts w:cs="Times New Roman"/>
        </w:rPr>
        <w:t xml:space="preserve">word </w:t>
      </w:r>
      <w:r w:rsidR="00834BF9">
        <w:rPr>
          <w:rFonts w:cs="Times New Roman"/>
        </w:rPr>
        <w:t>“rate”</w:t>
      </w:r>
      <w:r w:rsidR="009D575C">
        <w:rPr>
          <w:rFonts w:cs="Times New Roman"/>
        </w:rPr>
        <w:t xml:space="preserve"> supported an extrapolation</w:t>
      </w:r>
      <w:r w:rsidR="009D575C">
        <w:rPr>
          <w:rFonts w:cs="Times New Roman"/>
          <w:b/>
        </w:rPr>
        <w:t xml:space="preserve"> </w:t>
      </w:r>
      <w:r w:rsidR="009D575C">
        <w:rPr>
          <w:rFonts w:cs="Times New Roman"/>
        </w:rPr>
        <w:t xml:space="preserve">of her part time salary to a full-time one, the Board rejected that approach stating that “the term ‘average annual rate’ refers to the fact that the calculation is determined as an annual average over a period of three years.” </w:t>
      </w:r>
      <w:r w:rsidR="009D575C">
        <w:rPr>
          <w:rFonts w:cs="Times New Roman"/>
          <w:i/>
        </w:rPr>
        <w:t>Id.</w:t>
      </w:r>
      <w:r w:rsidR="009D575C">
        <w:rPr>
          <w:rFonts w:cs="Times New Roman"/>
        </w:rPr>
        <w:t xml:space="preserve"> at 3. </w:t>
      </w:r>
    </w:p>
    <w:p w:rsidR="000F34F9" w:rsidRPr="00314CB9" w:rsidRDefault="003A0AC7" w:rsidP="003A0AC7">
      <w:pPr>
        <w:rPr>
          <w:i/>
        </w:rPr>
      </w:pPr>
      <w:r>
        <w:t xml:space="preserve">At first blush, </w:t>
      </w:r>
      <w:r>
        <w:rPr>
          <w:i/>
        </w:rPr>
        <w:t>Silverthorne</w:t>
      </w:r>
      <w:r>
        <w:t xml:space="preserve"> would appea</w:t>
      </w:r>
      <w:r w:rsidR="00522638">
        <w:t>r</w:t>
      </w:r>
      <w:r>
        <w:t xml:space="preserve"> to support the Board’s contention that it is permitted to </w:t>
      </w:r>
      <w:r w:rsidR="00522638">
        <w:t xml:space="preserve">reach back beyond the specified statutory period in order to find Petitioner’s average annual compensation rate.  </w:t>
      </w:r>
      <w:r w:rsidR="000F34F9">
        <w:t xml:space="preserve">However, the facts of </w:t>
      </w:r>
      <w:r w:rsidR="000F34F9">
        <w:rPr>
          <w:i/>
        </w:rPr>
        <w:t>Silverthorne</w:t>
      </w:r>
      <w:r w:rsidR="000F34F9">
        <w:t xml:space="preserve"> distinguish it from this case.  In considering how to calculate a part-time teacher’s retirement allowance, CRAB was faced with three conflicting principles.  The first, mandated by the </w:t>
      </w:r>
      <w:r w:rsidR="00FE6503">
        <w:t xml:space="preserve">Appeals </w:t>
      </w:r>
      <w:r w:rsidR="000F34F9">
        <w:t xml:space="preserve">Court in </w:t>
      </w:r>
      <w:r w:rsidR="000F34F9">
        <w:rPr>
          <w:i/>
        </w:rPr>
        <w:t>O’Brien,</w:t>
      </w:r>
      <w:r w:rsidR="000F34F9">
        <w:t xml:space="preserve"> </w:t>
      </w:r>
      <w:r w:rsidR="00FE6503">
        <w:t>wa</w:t>
      </w:r>
      <w:r w:rsidR="004858A3">
        <w:t>s</w:t>
      </w:r>
      <w:r w:rsidR="000F34F9">
        <w:t xml:space="preserve"> that whatever calculation it chose, CRAB could not arrive at a result that arbitrarily reduce</w:t>
      </w:r>
      <w:r w:rsidR="00D159FE">
        <w:t>d</w:t>
      </w:r>
      <w:r w:rsidR="000F34F9">
        <w:t xml:space="preserve"> a part-time employee’s allowance.</w:t>
      </w:r>
      <w:r w:rsidR="000F34F9">
        <w:rPr>
          <w:i/>
        </w:rPr>
        <w:t xml:space="preserve"> </w:t>
      </w:r>
      <w:r w:rsidR="000F34F9" w:rsidRPr="00C23ED3">
        <w:t>27 Mass. App. Ct</w:t>
      </w:r>
      <w:r w:rsidR="00F228F1" w:rsidRPr="00C23ED3">
        <w:t xml:space="preserve">. at </w:t>
      </w:r>
      <w:r w:rsidR="000F34F9" w:rsidRPr="00C23ED3">
        <w:t>1127, n.3.</w:t>
      </w:r>
      <w:r w:rsidR="000F34F9">
        <w:rPr>
          <w:i/>
        </w:rPr>
        <w:t xml:space="preserve"> </w:t>
      </w:r>
      <w:r w:rsidR="000F34F9" w:rsidRPr="00C23ED3">
        <w:t xml:space="preserve"> </w:t>
      </w:r>
      <w:r w:rsidR="005172DC">
        <w:t xml:space="preserve">The second </w:t>
      </w:r>
      <w:r w:rsidR="00FE6503">
        <w:t>wa</w:t>
      </w:r>
      <w:r w:rsidR="005172DC">
        <w:t xml:space="preserve">s </w:t>
      </w:r>
      <w:r w:rsidR="00D159FE">
        <w:t xml:space="preserve">that </w:t>
      </w:r>
      <w:r w:rsidR="005172DC">
        <w:t>the statutory language clearly states that the retirement allowance should be based on the average compensation that a member actually rec</w:t>
      </w:r>
      <w:r w:rsidR="00FE6503">
        <w:t>eived. The final consideration wa</w:t>
      </w:r>
      <w:r w:rsidR="005172DC">
        <w:t xml:space="preserve">s that this statutory section prescribes a three-year period over which to average the compensation.  There was no way for CRAB to harmonize the second and the third principle without compromising the first.  If it chose to average the amount of compensation the teacher actually received over the three year period, it would violate the instruction of </w:t>
      </w:r>
      <w:r w:rsidR="005172DC">
        <w:rPr>
          <w:i/>
        </w:rPr>
        <w:t>O’Brien</w:t>
      </w:r>
      <w:r w:rsidR="005172DC">
        <w:t xml:space="preserve"> to avoid an arbitrary reduction in the teacher’s retirement allowance.  If it reached back beyond the three year period to include more years, it ran afoul of the instruction to consider a three year period. </w:t>
      </w:r>
      <w:r w:rsidR="00314CB9">
        <w:t>CRAB decided to</w:t>
      </w:r>
      <w:r w:rsidR="00F228F1">
        <w:t xml:space="preserve"> add together the teacher’s work time until it reached the equivalent of three years, determin</w:t>
      </w:r>
      <w:r w:rsidR="00314CB9">
        <w:t xml:space="preserve">e </w:t>
      </w:r>
      <w:r w:rsidR="00F228F1">
        <w:t>a gross compensation number for that time period, and averag</w:t>
      </w:r>
      <w:r w:rsidR="00314CB9">
        <w:t>e</w:t>
      </w:r>
      <w:r w:rsidR="00F228F1">
        <w:t xml:space="preserve"> out that number over three years</w:t>
      </w:r>
      <w:r w:rsidR="00314CB9">
        <w:t>. This was</w:t>
      </w:r>
      <w:r w:rsidR="00F228F1">
        <w:t xml:space="preserve"> </w:t>
      </w:r>
      <w:r w:rsidR="00314CB9">
        <w:t>CRAB’s best path.  It achieved</w:t>
      </w:r>
      <w:r w:rsidR="00F228F1">
        <w:t xml:space="preserve"> a solution that treated the part-time teacher fairly while </w:t>
      </w:r>
      <w:r w:rsidR="00314CB9">
        <w:t>respecting the statutory</w:t>
      </w:r>
      <w:r w:rsidR="00F228F1">
        <w:t xml:space="preserve"> requirement that the retirement allowance be based on compensation </w:t>
      </w:r>
      <w:r w:rsidR="00314CB9">
        <w:lastRenderedPageBreak/>
        <w:t>actually receive</w:t>
      </w:r>
      <w:r w:rsidR="00F228F1">
        <w:t>d</w:t>
      </w:r>
      <w:r w:rsidR="00314CB9">
        <w:t xml:space="preserve"> and honoring the spirit of the law that the allowance be calculated with reference to a</w:t>
      </w:r>
      <w:r w:rsidR="00F228F1">
        <w:t xml:space="preserve"> three year </w:t>
      </w:r>
      <w:r w:rsidR="00314CB9">
        <w:t>average</w:t>
      </w:r>
      <w:r w:rsidR="00F228F1">
        <w:t>.</w:t>
      </w:r>
      <w:r w:rsidR="00314CB9">
        <w:t xml:space="preserve">  </w:t>
      </w:r>
      <w:r w:rsidR="00314CB9">
        <w:rPr>
          <w:i/>
        </w:rPr>
        <w:t>Silverthorne.</w:t>
      </w:r>
    </w:p>
    <w:p w:rsidR="003A0AC7" w:rsidRDefault="004858A3" w:rsidP="004858A3">
      <w:r>
        <w:t>T</w:t>
      </w:r>
      <w:r w:rsidR="00E128D7">
        <w:t>he</w:t>
      </w:r>
      <w:r w:rsidR="00522638">
        <w:t xml:space="preserve"> </w:t>
      </w:r>
      <w:r w:rsidR="00502F48">
        <w:t xml:space="preserve">statutory </w:t>
      </w:r>
      <w:r>
        <w:t xml:space="preserve">language of section 5(2)(a) also distinguishes </w:t>
      </w:r>
      <w:r>
        <w:rPr>
          <w:i/>
        </w:rPr>
        <w:t xml:space="preserve">Silverthorne. </w:t>
      </w:r>
      <w:r>
        <w:t xml:space="preserve">The statutory </w:t>
      </w:r>
      <w:r w:rsidR="008F6D42">
        <w:t>section</w:t>
      </w:r>
      <w:r w:rsidR="00E128D7">
        <w:t>s applicable to</w:t>
      </w:r>
      <w:r w:rsidR="00A40E34">
        <w:t xml:space="preserve"> </w:t>
      </w:r>
      <w:r w:rsidR="00A40E34">
        <w:rPr>
          <w:i/>
        </w:rPr>
        <w:t>Silverthorne</w:t>
      </w:r>
      <w:r w:rsidR="00E128D7">
        <w:t xml:space="preserve"> and this case are not i</w:t>
      </w:r>
      <w:r w:rsidR="008F6D42">
        <w:t>dentical</w:t>
      </w:r>
      <w:r w:rsidR="006470C3">
        <w:t>.</w:t>
      </w:r>
      <w:r w:rsidR="008F6D42">
        <w:t xml:space="preserve"> </w:t>
      </w:r>
      <w:r w:rsidR="006470C3">
        <w:t>The</w:t>
      </w:r>
      <w:r w:rsidR="00024912">
        <w:t xml:space="preserve"> differences in</w:t>
      </w:r>
      <w:r w:rsidR="00A40E34">
        <w:t xml:space="preserve"> language </w:t>
      </w:r>
      <w:r w:rsidR="006470C3">
        <w:t>suggest that the legislature intended</w:t>
      </w:r>
      <w:r w:rsidR="00A40E34">
        <w:t xml:space="preserve"> a</w:t>
      </w:r>
      <w:r w:rsidR="008F6D42">
        <w:t xml:space="preserve"> different approach to the calculation</w:t>
      </w:r>
      <w:r w:rsidR="00024912">
        <w:t xml:space="preserve"> of the retirement allowance</w:t>
      </w:r>
      <w:r w:rsidR="008F6D42">
        <w:t xml:space="preserve">. </w:t>
      </w:r>
      <w:r w:rsidR="00522638">
        <w:t>Section 5(2)(a) of c. 32 provides that a member</w:t>
      </w:r>
      <w:r w:rsidR="00DE58B7">
        <w:t>’</w:t>
      </w:r>
      <w:r w:rsidR="00522638">
        <w:t xml:space="preserve">s retirement allowance shall be </w:t>
      </w:r>
      <w:r w:rsidR="00522638">
        <w:rPr>
          <w:i/>
        </w:rPr>
        <w:t>based on</w:t>
      </w:r>
      <w:r w:rsidR="00522638">
        <w:t xml:space="preserve"> an annual rate of </w:t>
      </w:r>
      <w:r w:rsidR="00DE58B7">
        <w:t xml:space="preserve">the </w:t>
      </w:r>
      <w:r w:rsidR="00522638">
        <w:t>compensation</w:t>
      </w:r>
      <w:r w:rsidR="00DE58B7">
        <w:t xml:space="preserve"> </w:t>
      </w:r>
      <w:r w:rsidR="00DE58B7">
        <w:rPr>
          <w:i/>
        </w:rPr>
        <w:t xml:space="preserve">received by the member </w:t>
      </w:r>
      <w:r w:rsidR="00DE58B7" w:rsidRPr="00DE58B7">
        <w:t>and</w:t>
      </w:r>
      <w:r w:rsidR="00522638">
        <w:t xml:space="preserve"> derived from averaging </w:t>
      </w:r>
      <w:r w:rsidR="00522638">
        <w:rPr>
          <w:i/>
        </w:rPr>
        <w:t>a three year period</w:t>
      </w:r>
      <w:r w:rsidR="00502F48">
        <w:rPr>
          <w:i/>
        </w:rPr>
        <w:t xml:space="preserve"> </w:t>
      </w:r>
      <w:r w:rsidR="00502F48" w:rsidRPr="00502F48">
        <w:t>preceding retir</w:t>
      </w:r>
      <w:r w:rsidR="00502F48">
        <w:t>e</w:t>
      </w:r>
      <w:r w:rsidR="00502F48" w:rsidRPr="00502F48">
        <w:t>ment</w:t>
      </w:r>
      <w:r w:rsidR="00522638">
        <w:t xml:space="preserve">.  In contrast, </w:t>
      </w:r>
      <w:r w:rsidR="00E128D7">
        <w:t xml:space="preserve">section </w:t>
      </w:r>
      <w:r w:rsidR="00522638">
        <w:t>28M</w:t>
      </w:r>
      <w:r w:rsidR="00DE58B7">
        <w:t xml:space="preserve"> states that a correction officer’s retirement shall be </w:t>
      </w:r>
      <w:r w:rsidR="00DE58B7">
        <w:rPr>
          <w:i/>
        </w:rPr>
        <w:t>equal to</w:t>
      </w:r>
      <w:r w:rsidR="00DE58B7">
        <w:t xml:space="preserve"> one-half of his annual rate of compensation </w:t>
      </w:r>
      <w:r w:rsidR="00DE58B7">
        <w:rPr>
          <w:i/>
        </w:rPr>
        <w:t xml:space="preserve">during the twelve month period that immediately precedes </w:t>
      </w:r>
      <w:r w:rsidR="00DE58B7" w:rsidRPr="00502F48">
        <w:t>the date of his retirement</w:t>
      </w:r>
      <w:r w:rsidR="00DE58B7">
        <w:rPr>
          <w:i/>
        </w:rPr>
        <w:t>.</w:t>
      </w:r>
      <w:r w:rsidR="00502F48">
        <w:t xml:space="preserve"> </w:t>
      </w:r>
      <w:r w:rsidR="008F43B7">
        <w:t xml:space="preserve">Section 28M’s language is more specific than that of section 5(2)(a). Use of the words “equal to” suggests less of a calculation than a reference to what was earned. Furthermore, the choice of a twelve month period indicates an intent to significantly limit the frame of reference when contrasted with section 5(2)(a).  </w:t>
      </w:r>
    </w:p>
    <w:p w:rsidR="008F43B7" w:rsidRPr="00FC171F" w:rsidRDefault="00D10C37" w:rsidP="008F43B7">
      <w:pPr>
        <w:rPr>
          <w:rFonts w:cs="Times New Roman"/>
          <w:i/>
        </w:rPr>
      </w:pPr>
      <w:r>
        <w:rPr>
          <w:rFonts w:cs="Times New Roman"/>
        </w:rPr>
        <w:t>The</w:t>
      </w:r>
      <w:r w:rsidR="008F43B7">
        <w:rPr>
          <w:rFonts w:cs="Times New Roman"/>
        </w:rPr>
        <w:t xml:space="preserve"> Board</w:t>
      </w:r>
      <w:r>
        <w:rPr>
          <w:rFonts w:cs="Times New Roman"/>
        </w:rPr>
        <w:t xml:space="preserve"> urges that</w:t>
      </w:r>
      <w:r w:rsidR="008F43B7">
        <w:rPr>
          <w:rFonts w:cs="Times New Roman"/>
        </w:rPr>
        <w:t xml:space="preserve"> I should pay close attention to the words “annual average”</w:t>
      </w:r>
      <w:r>
        <w:rPr>
          <w:rFonts w:cs="Times New Roman"/>
        </w:rPr>
        <w:t xml:space="preserve"> in section 28M and give those words great weight.  The difficulty with the Board’s</w:t>
      </w:r>
      <w:r w:rsidR="008F43B7">
        <w:rPr>
          <w:rFonts w:cs="Times New Roman"/>
        </w:rPr>
        <w:t xml:space="preserve"> </w:t>
      </w:r>
      <w:r>
        <w:rPr>
          <w:rFonts w:cs="Times New Roman"/>
        </w:rPr>
        <w:t>argument is twofold.  First,</w:t>
      </w:r>
      <w:r w:rsidR="008F43B7">
        <w:rPr>
          <w:rFonts w:cs="Times New Roman"/>
        </w:rPr>
        <w:t xml:space="preserve"> it forces me to ignore the even more specific legislative directive that the rate of compensations that should be considered are those compensations earned in the twelve month period immediately preceding the date of retirement.</w:t>
      </w:r>
      <w:r w:rsidR="00FC171F">
        <w:rPr>
          <w:rFonts w:cs="Times New Roman"/>
        </w:rPr>
        <w:t xml:space="preserve"> Second, it results in different treatment of the two forms of Petitioner’s compensation.  Under the Board’s formulation, Petitioner’s salary information is calculated pursuant to the twelve month period immediately preceding Petitioner’s date of retirement, whereas the differential pay is calculated pursuant to the eighteen month period immediately preceding Petitioner’s date of retirement.  The statute makes no such distinction, but refers to all payments as “compensations.” A statute’s plain words cannot be </w:t>
      </w:r>
      <w:r w:rsidR="00FC171F">
        <w:rPr>
          <w:rFonts w:cs="Times New Roman"/>
        </w:rPr>
        <w:lastRenderedPageBreak/>
        <w:t xml:space="preserve">ignored or construed to produce an illogical result.  </w:t>
      </w:r>
      <w:r w:rsidR="00FC171F">
        <w:rPr>
          <w:rFonts w:cs="Times New Roman"/>
          <w:i/>
        </w:rPr>
        <w:t xml:space="preserve">Hollum, Jr. v. Contributory Retirement Appeal Board, </w:t>
      </w:r>
      <w:r w:rsidR="00FC171F">
        <w:rPr>
          <w:rFonts w:cs="Times New Roman"/>
        </w:rPr>
        <w:t xml:space="preserve">68 Mass. App. Ct. 220, 225 (2001). </w:t>
      </w:r>
      <w:r w:rsidR="008F43B7">
        <w:rPr>
          <w:rFonts w:cs="Times New Roman"/>
        </w:rPr>
        <w:t xml:space="preserve"> Had the legislature intended that the different types of compensation be treated differently, and had the legislature intended that the differential compensation yield a lesser benefit, it could have so provided.  It did not.  </w:t>
      </w:r>
      <w:r w:rsidR="00FC171F">
        <w:rPr>
          <w:rFonts w:cs="Times New Roman"/>
          <w:i/>
        </w:rPr>
        <w:t xml:space="preserve">See </w:t>
      </w:r>
      <w:r w:rsidR="00FC171F" w:rsidRPr="00053B8A">
        <w:rPr>
          <w:rFonts w:cs="Times New Roman"/>
          <w:i/>
        </w:rPr>
        <w:t>Parker, Jr. v. Barnstable County Retirement Board</w:t>
      </w:r>
      <w:r w:rsidR="00FC171F">
        <w:rPr>
          <w:rFonts w:cs="Times New Roman"/>
        </w:rPr>
        <w:t xml:space="preserve">, Docket No. CR-95-596 (Div. of Admin. L. App., August 6, 1996 at 5; </w:t>
      </w:r>
      <w:r w:rsidR="00FC171F">
        <w:rPr>
          <w:rFonts w:cs="Times New Roman"/>
          <w:i/>
        </w:rPr>
        <w:t>aff’d in result by CRAB</w:t>
      </w:r>
      <w:r w:rsidR="00FC171F">
        <w:rPr>
          <w:rFonts w:cs="Times New Roman"/>
        </w:rPr>
        <w:t xml:space="preserve"> February 5, 1997),</w:t>
      </w:r>
    </w:p>
    <w:p w:rsidR="00D60341" w:rsidRDefault="00D60341" w:rsidP="00423CE5">
      <w:pPr>
        <w:rPr>
          <w:rFonts w:cs="Times New Roman"/>
        </w:rPr>
      </w:pPr>
      <w:r>
        <w:rPr>
          <w:rFonts w:cs="Times New Roman"/>
        </w:rPr>
        <w:t>I conclude that the Board’s calculation is inconsistent with M.G.L. c. 32, §</w:t>
      </w:r>
      <w:r w:rsidR="00C23ED3">
        <w:rPr>
          <w:rFonts w:cs="Times New Roman"/>
        </w:rPr>
        <w:t xml:space="preserve"> </w:t>
      </w:r>
      <w:r>
        <w:rPr>
          <w:rFonts w:cs="Times New Roman"/>
        </w:rPr>
        <w:t xml:space="preserve">28M. </w:t>
      </w:r>
      <w:r w:rsidR="00FE6503">
        <w:rPr>
          <w:rFonts w:cs="Times New Roman"/>
        </w:rPr>
        <w:t xml:space="preserve">The Board’s decision is reversed. </w:t>
      </w:r>
      <w:r>
        <w:rPr>
          <w:rFonts w:cs="Times New Roman"/>
        </w:rPr>
        <w:t xml:space="preserve">The Board is ordered to revise its calculations to consider only the differential pay Petitioner earned during the twelve month period of time immediately preceding </w:t>
      </w:r>
      <w:r w:rsidR="00FE6503">
        <w:rPr>
          <w:rFonts w:cs="Times New Roman"/>
        </w:rPr>
        <w:t>the</w:t>
      </w:r>
      <w:r>
        <w:rPr>
          <w:rFonts w:cs="Times New Roman"/>
        </w:rPr>
        <w:t xml:space="preserve"> date </w:t>
      </w:r>
      <w:r w:rsidR="00FE6503">
        <w:rPr>
          <w:rFonts w:cs="Times New Roman"/>
        </w:rPr>
        <w:t>his</w:t>
      </w:r>
      <w:r>
        <w:rPr>
          <w:rFonts w:cs="Times New Roman"/>
        </w:rPr>
        <w:t xml:space="preserve"> retirement</w:t>
      </w:r>
      <w:r w:rsidR="00FE6503">
        <w:rPr>
          <w:rFonts w:cs="Times New Roman"/>
        </w:rPr>
        <w:t xml:space="preserve"> allowance became effective</w:t>
      </w:r>
      <w:r>
        <w:rPr>
          <w:rFonts w:cs="Times New Roman"/>
        </w:rPr>
        <w:t xml:space="preserve">. </w:t>
      </w:r>
    </w:p>
    <w:p w:rsidR="00423CE5" w:rsidRPr="001E40EF" w:rsidRDefault="00D60341" w:rsidP="00423CE5">
      <w:pPr>
        <w:rPr>
          <w:rFonts w:cs="Times New Roman"/>
        </w:rPr>
      </w:pPr>
      <w:r>
        <w:rPr>
          <w:rFonts w:cs="Times New Roman"/>
        </w:rPr>
        <w:t>SO ORDERED.</w:t>
      </w:r>
    </w:p>
    <w:p w:rsidR="00D60341" w:rsidRDefault="001E40EF" w:rsidP="001E40EF">
      <w:pPr>
        <w:rPr>
          <w:rFonts w:cs="Times New Roman"/>
        </w:rPr>
      </w:pPr>
      <w:r>
        <w:rPr>
          <w:rFonts w:cs="Times New Roman"/>
        </w:rPr>
        <w:tab/>
      </w:r>
      <w:r>
        <w:rPr>
          <w:rFonts w:cs="Times New Roman"/>
        </w:rPr>
        <w:tab/>
      </w:r>
    </w:p>
    <w:p w:rsidR="00423CE5" w:rsidRPr="001E40EF" w:rsidRDefault="00423CE5" w:rsidP="00D60341">
      <w:pPr>
        <w:ind w:left="720"/>
        <w:rPr>
          <w:rFonts w:cs="Times New Roman"/>
        </w:rPr>
      </w:pPr>
      <w:r w:rsidRPr="001E40EF">
        <w:rPr>
          <w:rFonts w:cs="Times New Roman"/>
        </w:rPr>
        <w:t>DIVISION OF ADMINISTRATIVE LAW APPEALS</w:t>
      </w:r>
    </w:p>
    <w:p w:rsidR="00D60341" w:rsidRDefault="00D60341" w:rsidP="00D60341">
      <w:pPr>
        <w:ind w:firstLine="0"/>
        <w:rPr>
          <w:rFonts w:cs="Times New Roman"/>
        </w:rPr>
      </w:pPr>
      <w:r>
        <w:rPr>
          <w:rFonts w:cs="Times New Roman"/>
        </w:rPr>
        <w:tab/>
      </w:r>
      <w:r w:rsidR="00423CE5" w:rsidRPr="001E40EF">
        <w:rPr>
          <w:rFonts w:cs="Times New Roman"/>
        </w:rPr>
        <w:tab/>
      </w:r>
      <w:r w:rsidR="00423CE5" w:rsidRPr="001E40EF">
        <w:rPr>
          <w:rFonts w:cs="Times New Roman"/>
        </w:rPr>
        <w:tab/>
      </w:r>
      <w:r w:rsidR="00423CE5" w:rsidRPr="001E40EF">
        <w:rPr>
          <w:rFonts w:cs="Times New Roman"/>
        </w:rPr>
        <w:tab/>
      </w:r>
      <w:r w:rsidR="00423CE5" w:rsidRPr="001E40EF">
        <w:rPr>
          <w:rFonts w:cs="Times New Roman"/>
        </w:rPr>
        <w:tab/>
      </w:r>
      <w:r w:rsidR="001E40EF">
        <w:rPr>
          <w:rFonts w:cs="Times New Roman"/>
        </w:rPr>
        <w:tab/>
      </w:r>
      <w:r w:rsidR="001E40EF">
        <w:rPr>
          <w:rFonts w:cs="Times New Roman"/>
        </w:rPr>
        <w:tab/>
      </w:r>
      <w:r w:rsidR="001E40EF">
        <w:rPr>
          <w:rFonts w:cs="Times New Roman"/>
        </w:rPr>
        <w:tab/>
      </w:r>
      <w:r w:rsidR="001E40EF">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____________________________________________</w:t>
      </w:r>
    </w:p>
    <w:p w:rsidR="00423CE5" w:rsidRPr="001E40EF" w:rsidRDefault="00423CE5" w:rsidP="00D60341">
      <w:pPr>
        <w:spacing w:line="240" w:lineRule="auto"/>
        <w:ind w:left="720"/>
        <w:rPr>
          <w:rFonts w:cs="Times New Roman"/>
        </w:rPr>
      </w:pPr>
      <w:r w:rsidRPr="001E40EF">
        <w:rPr>
          <w:rFonts w:cs="Times New Roman"/>
        </w:rPr>
        <w:t>Kristin M. Palace</w:t>
      </w:r>
    </w:p>
    <w:p w:rsidR="00423CE5" w:rsidRPr="001E40EF" w:rsidRDefault="001E40EF" w:rsidP="00423CE5">
      <w:pPr>
        <w:rPr>
          <w:rFonts w:cs="Times New Roman"/>
        </w:rPr>
      </w:pPr>
      <w:r>
        <w:rPr>
          <w:rFonts w:cs="Times New Roman"/>
        </w:rPr>
        <w:tab/>
      </w:r>
      <w:r w:rsidR="00423CE5" w:rsidRPr="001E40EF">
        <w:rPr>
          <w:rFonts w:cs="Times New Roman"/>
        </w:rPr>
        <w:t>Administrative Magistrate</w:t>
      </w:r>
    </w:p>
    <w:p w:rsidR="00423CE5" w:rsidRPr="001E40EF" w:rsidRDefault="00423CE5" w:rsidP="00423CE5">
      <w:pPr>
        <w:rPr>
          <w:rFonts w:cs="Times New Roman"/>
        </w:rPr>
      </w:pPr>
    </w:p>
    <w:sectPr w:rsidR="00423CE5" w:rsidRPr="001E40EF" w:rsidSect="00311A3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01" w:rsidRDefault="004E0501" w:rsidP="00423CE5">
      <w:r>
        <w:separator/>
      </w:r>
    </w:p>
  </w:endnote>
  <w:endnote w:type="continuationSeparator" w:id="0">
    <w:p w:rsidR="004E0501" w:rsidRDefault="004E0501" w:rsidP="0042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68577"/>
      <w:docPartObj>
        <w:docPartGallery w:val="Page Numbers (Bottom of Page)"/>
        <w:docPartUnique/>
      </w:docPartObj>
    </w:sdtPr>
    <w:sdtEndPr>
      <w:rPr>
        <w:noProof/>
      </w:rPr>
    </w:sdtEndPr>
    <w:sdtContent>
      <w:p w:rsidR="00C23ED3" w:rsidRDefault="00C23ED3">
        <w:pPr>
          <w:pStyle w:val="Footer"/>
          <w:jc w:val="center"/>
        </w:pPr>
        <w:r>
          <w:fldChar w:fldCharType="begin"/>
        </w:r>
        <w:r>
          <w:instrText xml:space="preserve"> PAGE   \* MERGEFORMAT </w:instrText>
        </w:r>
        <w:r>
          <w:fldChar w:fldCharType="separate"/>
        </w:r>
        <w:r w:rsidR="00A20879">
          <w:rPr>
            <w:noProof/>
          </w:rPr>
          <w:t>2</w:t>
        </w:r>
        <w:r>
          <w:rPr>
            <w:noProof/>
          </w:rPr>
          <w:fldChar w:fldCharType="end"/>
        </w:r>
      </w:p>
    </w:sdtContent>
  </w:sdt>
  <w:p w:rsidR="00C23ED3" w:rsidRDefault="00C2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01" w:rsidRDefault="004E0501" w:rsidP="00423CE5">
      <w:r>
        <w:separator/>
      </w:r>
    </w:p>
  </w:footnote>
  <w:footnote w:type="continuationSeparator" w:id="0">
    <w:p w:rsidR="004E0501" w:rsidRDefault="004E0501" w:rsidP="00423CE5">
      <w:r>
        <w:continuationSeparator/>
      </w:r>
    </w:p>
  </w:footnote>
  <w:footnote w:id="1">
    <w:p w:rsidR="001A0625" w:rsidRDefault="001A0625">
      <w:pPr>
        <w:pStyle w:val="FootnoteText"/>
      </w:pPr>
      <w:r>
        <w:rPr>
          <w:rStyle w:val="FootnoteReference"/>
        </w:rPr>
        <w:footnoteRef/>
      </w:r>
      <w:r>
        <w:t xml:space="preserve"> January 1, 2016 to December 31, 2016.</w:t>
      </w:r>
    </w:p>
  </w:footnote>
  <w:footnote w:id="2">
    <w:p w:rsidR="00643059" w:rsidRDefault="00643059">
      <w:pPr>
        <w:pStyle w:val="FootnoteText"/>
      </w:pPr>
      <w:r>
        <w:rPr>
          <w:rStyle w:val="FootnoteReference"/>
        </w:rPr>
        <w:footnoteRef/>
      </w:r>
      <w:r>
        <w:t xml:space="preserve"> The calculation of </w:t>
      </w:r>
      <w:r w:rsidR="00FA5762">
        <w:t xml:space="preserve">the retirement allowance for </w:t>
      </w:r>
      <w:r>
        <w:t xml:space="preserve">a member with part-time service requires special consideration.  </w:t>
      </w:r>
      <w:r w:rsidR="00FA5762">
        <w:t>A</w:t>
      </w:r>
      <w:r>
        <w:t xml:space="preserve"> member working half-time for 20 years contributes the same percentage of her salary as a full time member. If, upon calculation of her retirement benefit, she is credited with only the actual number of years that she worked </w:t>
      </w:r>
      <w:r w:rsidR="004858A3">
        <w:t>(</w:t>
      </w:r>
      <w:r>
        <w:t>i.e., 10 years</w:t>
      </w:r>
      <w:r w:rsidR="004858A3">
        <w:t>)</w:t>
      </w:r>
      <w:r>
        <w:t xml:space="preserve"> and her salary is calculated as the salary that she actually received (i.e., 50% of full-time), then her retirement allowance </w:t>
      </w:r>
      <w:r w:rsidR="00FA5762">
        <w:t>will</w:t>
      </w:r>
      <w:r>
        <w:t xml:space="preserve"> be</w:t>
      </w:r>
      <w:r w:rsidR="00FA5762">
        <w:t xml:space="preserve"> one-quarter of the retirement allowance received by a full-time teacher</w:t>
      </w:r>
      <w:r w:rsidR="004858A3">
        <w:t>, even though she worked half-time</w:t>
      </w:r>
      <w:r w:rsidR="00FA5762">
        <w:t>. Such a result, according to the Appeals Court, is “arbitrary and unfair.”</w:t>
      </w:r>
      <w:r>
        <w:rPr>
          <w:rFonts w:cs="Times New Roman"/>
          <w:i/>
        </w:rPr>
        <w:t xml:space="preserve"> O’Brien v. </w:t>
      </w:r>
      <w:r w:rsidR="00D2279A">
        <w:rPr>
          <w:rFonts w:cs="Times New Roman"/>
          <w:i/>
        </w:rPr>
        <w:t>Contributory Retirement Appeals Board</w:t>
      </w:r>
      <w:r>
        <w:rPr>
          <w:rFonts w:cs="Times New Roman"/>
          <w:i/>
        </w:rPr>
        <w:t xml:space="preserve">, </w:t>
      </w:r>
      <w:r>
        <w:rPr>
          <w:rFonts w:cs="Times New Roman"/>
        </w:rPr>
        <w:t>27 Mass. App. Ct. 1124</w:t>
      </w:r>
      <w:r w:rsidR="00D2279A">
        <w:rPr>
          <w:rFonts w:cs="Times New Roman"/>
        </w:rPr>
        <w:t>, 1127</w:t>
      </w:r>
      <w:r>
        <w:rPr>
          <w:rFonts w:cs="Times New Roman"/>
        </w:rPr>
        <w:t xml:space="preserve"> (1989), f.n.3.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E5" w:rsidRPr="00311A30" w:rsidRDefault="00311A30" w:rsidP="00C23ED3">
    <w:pPr>
      <w:pStyle w:val="Header"/>
      <w:ind w:firstLine="0"/>
      <w:rPr>
        <w:i/>
      </w:rPr>
    </w:pPr>
    <w:r>
      <w:rPr>
        <w:i/>
      </w:rPr>
      <w:t>Matter of Daniel S. Auer, Jr.</w:t>
    </w:r>
    <w:r>
      <w:rPr>
        <w:i/>
      </w:rPr>
      <w:tab/>
    </w:r>
    <w:r>
      <w:rPr>
        <w:i/>
      </w:rPr>
      <w:tab/>
      <w:t>CR-18-0247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30" w:rsidRPr="001E40EF" w:rsidRDefault="00311A30" w:rsidP="00862B11">
    <w:pPr>
      <w:pStyle w:val="Header"/>
      <w:jc w:val="center"/>
      <w:rPr>
        <w:rFonts w:cs="Times New Roman"/>
        <w:b/>
        <w:szCs w:val="24"/>
      </w:rPr>
    </w:pPr>
    <w:r w:rsidRPr="001E40EF">
      <w:rPr>
        <w:rFonts w:cs="Times New Roman"/>
        <w:b/>
        <w:szCs w:val="24"/>
      </w:rPr>
      <w:t>COMMONWEALTH OF MASSACHUSETTS</w:t>
    </w:r>
  </w:p>
  <w:p w:rsidR="00311A30" w:rsidRPr="001E40EF" w:rsidRDefault="00311A30" w:rsidP="00862B11">
    <w:pPr>
      <w:pStyle w:val="Header"/>
      <w:ind w:firstLine="0"/>
      <w:jc w:val="center"/>
      <w:rPr>
        <w:rFonts w:cs="Times New Roman"/>
        <w:szCs w:val="24"/>
      </w:rPr>
    </w:pPr>
    <w:r>
      <w:rPr>
        <w:rFonts w:cs="Times New Roman"/>
        <w:szCs w:val="24"/>
      </w:rPr>
      <w:t>Middlesex</w:t>
    </w:r>
    <w:r w:rsidRPr="001E40EF">
      <w:rPr>
        <w:rFonts w:cs="Times New Roman"/>
        <w:szCs w:val="24"/>
      </w:rPr>
      <w:t>, ss.</w:t>
    </w:r>
    <w:r w:rsidRPr="001E40EF">
      <w:rPr>
        <w:rFonts w:cs="Times New Roman"/>
        <w:szCs w:val="24"/>
      </w:rPr>
      <w:tab/>
    </w:r>
    <w:r w:rsidRPr="001E40EF">
      <w:rPr>
        <w:rFonts w:cs="Times New Roman"/>
        <w:szCs w:val="24"/>
      </w:rPr>
      <w:tab/>
    </w:r>
    <w:r w:rsidRPr="001E40EF">
      <w:rPr>
        <w:rFonts w:cs="Times New Roman"/>
        <w:b/>
        <w:szCs w:val="24"/>
      </w:rPr>
      <w:t>Division of Administrative Law Appeals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4D8B"/>
    <w:multiLevelType w:val="hybridMultilevel"/>
    <w:tmpl w:val="DF3A3E36"/>
    <w:lvl w:ilvl="0" w:tplc="2018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142447"/>
    <w:multiLevelType w:val="hybridMultilevel"/>
    <w:tmpl w:val="D654E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D31844"/>
    <w:multiLevelType w:val="hybridMultilevel"/>
    <w:tmpl w:val="32A2E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E5"/>
    <w:rsid w:val="00024912"/>
    <w:rsid w:val="00026D82"/>
    <w:rsid w:val="00031AF1"/>
    <w:rsid w:val="00053B8A"/>
    <w:rsid w:val="000E4BE2"/>
    <w:rsid w:val="000F24C8"/>
    <w:rsid w:val="000F34F9"/>
    <w:rsid w:val="000F6E63"/>
    <w:rsid w:val="00130412"/>
    <w:rsid w:val="00135C20"/>
    <w:rsid w:val="00180270"/>
    <w:rsid w:val="001A0625"/>
    <w:rsid w:val="001A394D"/>
    <w:rsid w:val="001A61DF"/>
    <w:rsid w:val="001A6C11"/>
    <w:rsid w:val="001E40EF"/>
    <w:rsid w:val="001F67CB"/>
    <w:rsid w:val="00225B6C"/>
    <w:rsid w:val="00233D79"/>
    <w:rsid w:val="00244F5B"/>
    <w:rsid w:val="0025723E"/>
    <w:rsid w:val="002573F4"/>
    <w:rsid w:val="00270F87"/>
    <w:rsid w:val="002B6B15"/>
    <w:rsid w:val="00311A30"/>
    <w:rsid w:val="00314CB9"/>
    <w:rsid w:val="00320FFC"/>
    <w:rsid w:val="0033160A"/>
    <w:rsid w:val="00340849"/>
    <w:rsid w:val="003A0AC7"/>
    <w:rsid w:val="003B2CFC"/>
    <w:rsid w:val="003C51AC"/>
    <w:rsid w:val="00411394"/>
    <w:rsid w:val="00423CE5"/>
    <w:rsid w:val="004858A3"/>
    <w:rsid w:val="004B35BC"/>
    <w:rsid w:val="004E0501"/>
    <w:rsid w:val="004E599E"/>
    <w:rsid w:val="004F4365"/>
    <w:rsid w:val="00502F48"/>
    <w:rsid w:val="005172DC"/>
    <w:rsid w:val="00522638"/>
    <w:rsid w:val="0057224E"/>
    <w:rsid w:val="005842E4"/>
    <w:rsid w:val="005D07CE"/>
    <w:rsid w:val="005E391F"/>
    <w:rsid w:val="006318FA"/>
    <w:rsid w:val="00643059"/>
    <w:rsid w:val="006470C3"/>
    <w:rsid w:val="00686103"/>
    <w:rsid w:val="006B400F"/>
    <w:rsid w:val="00727382"/>
    <w:rsid w:val="00744554"/>
    <w:rsid w:val="00753AE6"/>
    <w:rsid w:val="00770BAA"/>
    <w:rsid w:val="00790B9A"/>
    <w:rsid w:val="0081607C"/>
    <w:rsid w:val="00834BF9"/>
    <w:rsid w:val="00836972"/>
    <w:rsid w:val="00862B11"/>
    <w:rsid w:val="00875C0E"/>
    <w:rsid w:val="00877596"/>
    <w:rsid w:val="00887191"/>
    <w:rsid w:val="008F0302"/>
    <w:rsid w:val="008F43B7"/>
    <w:rsid w:val="008F6D42"/>
    <w:rsid w:val="008F6FBF"/>
    <w:rsid w:val="0099091B"/>
    <w:rsid w:val="009A29F4"/>
    <w:rsid w:val="009D575C"/>
    <w:rsid w:val="009E6308"/>
    <w:rsid w:val="00A00277"/>
    <w:rsid w:val="00A10BEA"/>
    <w:rsid w:val="00A20879"/>
    <w:rsid w:val="00A40E34"/>
    <w:rsid w:val="00A543AC"/>
    <w:rsid w:val="00A55BBD"/>
    <w:rsid w:val="00A63F7B"/>
    <w:rsid w:val="00AD04B0"/>
    <w:rsid w:val="00B052F5"/>
    <w:rsid w:val="00B171E2"/>
    <w:rsid w:val="00B7330A"/>
    <w:rsid w:val="00B92BB8"/>
    <w:rsid w:val="00BB72DD"/>
    <w:rsid w:val="00BE1E2A"/>
    <w:rsid w:val="00C10825"/>
    <w:rsid w:val="00C20B0B"/>
    <w:rsid w:val="00C23ED3"/>
    <w:rsid w:val="00C57C82"/>
    <w:rsid w:val="00C8546D"/>
    <w:rsid w:val="00CA04EF"/>
    <w:rsid w:val="00CA1605"/>
    <w:rsid w:val="00CB286D"/>
    <w:rsid w:val="00CC715C"/>
    <w:rsid w:val="00CF15ED"/>
    <w:rsid w:val="00D10C37"/>
    <w:rsid w:val="00D159FE"/>
    <w:rsid w:val="00D2279A"/>
    <w:rsid w:val="00D60341"/>
    <w:rsid w:val="00D643BA"/>
    <w:rsid w:val="00DC6249"/>
    <w:rsid w:val="00DD2A67"/>
    <w:rsid w:val="00DE58B7"/>
    <w:rsid w:val="00DF4FA6"/>
    <w:rsid w:val="00E11998"/>
    <w:rsid w:val="00E128D7"/>
    <w:rsid w:val="00E27215"/>
    <w:rsid w:val="00E623B5"/>
    <w:rsid w:val="00EF3EDA"/>
    <w:rsid w:val="00F209D8"/>
    <w:rsid w:val="00F228F1"/>
    <w:rsid w:val="00F27EB0"/>
    <w:rsid w:val="00F44900"/>
    <w:rsid w:val="00F70AA3"/>
    <w:rsid w:val="00FA5762"/>
    <w:rsid w:val="00FB0C7E"/>
    <w:rsid w:val="00FC171F"/>
    <w:rsid w:val="00FE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C7"/>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paragraph" w:styleId="ListParagraph">
    <w:name w:val="List Paragraph"/>
    <w:basedOn w:val="Normal"/>
    <w:uiPriority w:val="34"/>
    <w:qFormat/>
    <w:rsid w:val="00875C0E"/>
    <w:pPr>
      <w:ind w:left="720"/>
      <w:contextualSpacing/>
    </w:pPr>
  </w:style>
  <w:style w:type="paragraph" w:styleId="FootnoteText">
    <w:name w:val="footnote text"/>
    <w:basedOn w:val="Normal"/>
    <w:link w:val="FootnoteTextChar"/>
    <w:uiPriority w:val="99"/>
    <w:semiHidden/>
    <w:unhideWhenUsed/>
    <w:rsid w:val="00C8546D"/>
    <w:pPr>
      <w:spacing w:line="240" w:lineRule="auto"/>
    </w:pPr>
    <w:rPr>
      <w:sz w:val="20"/>
      <w:szCs w:val="20"/>
    </w:rPr>
  </w:style>
  <w:style w:type="character" w:customStyle="1" w:styleId="FootnoteTextChar">
    <w:name w:val="Footnote Text Char"/>
    <w:basedOn w:val="DefaultParagraphFont"/>
    <w:link w:val="FootnoteText"/>
    <w:uiPriority w:val="99"/>
    <w:semiHidden/>
    <w:rsid w:val="00C8546D"/>
    <w:rPr>
      <w:rFonts w:ascii="Times New Roman" w:hAnsi="Times New Roman"/>
      <w:sz w:val="20"/>
      <w:szCs w:val="20"/>
    </w:rPr>
  </w:style>
  <w:style w:type="character" w:styleId="FootnoteReference">
    <w:name w:val="footnote reference"/>
    <w:basedOn w:val="DefaultParagraphFont"/>
    <w:uiPriority w:val="99"/>
    <w:semiHidden/>
    <w:unhideWhenUsed/>
    <w:rsid w:val="00C854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C7"/>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paragraph" w:styleId="ListParagraph">
    <w:name w:val="List Paragraph"/>
    <w:basedOn w:val="Normal"/>
    <w:uiPriority w:val="34"/>
    <w:qFormat/>
    <w:rsid w:val="00875C0E"/>
    <w:pPr>
      <w:ind w:left="720"/>
      <w:contextualSpacing/>
    </w:pPr>
  </w:style>
  <w:style w:type="paragraph" w:styleId="FootnoteText">
    <w:name w:val="footnote text"/>
    <w:basedOn w:val="Normal"/>
    <w:link w:val="FootnoteTextChar"/>
    <w:uiPriority w:val="99"/>
    <w:semiHidden/>
    <w:unhideWhenUsed/>
    <w:rsid w:val="00C8546D"/>
    <w:pPr>
      <w:spacing w:line="240" w:lineRule="auto"/>
    </w:pPr>
    <w:rPr>
      <w:sz w:val="20"/>
      <w:szCs w:val="20"/>
    </w:rPr>
  </w:style>
  <w:style w:type="character" w:customStyle="1" w:styleId="FootnoteTextChar">
    <w:name w:val="Footnote Text Char"/>
    <w:basedOn w:val="DefaultParagraphFont"/>
    <w:link w:val="FootnoteText"/>
    <w:uiPriority w:val="99"/>
    <w:semiHidden/>
    <w:rsid w:val="00C8546D"/>
    <w:rPr>
      <w:rFonts w:ascii="Times New Roman" w:hAnsi="Times New Roman"/>
      <w:sz w:val="20"/>
      <w:szCs w:val="20"/>
    </w:rPr>
  </w:style>
  <w:style w:type="character" w:styleId="FootnoteReference">
    <w:name w:val="footnote reference"/>
    <w:basedOn w:val="DefaultParagraphFont"/>
    <w:uiPriority w:val="99"/>
    <w:semiHidden/>
    <w:unhideWhenUsed/>
    <w:rsid w:val="00C85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3320-3394-4137-A3BD-64F01757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2019-09-27T21:01:00Z</dcterms:created>
  <dcterms:modified xsi:type="dcterms:W3CDTF">2019-09-27T21:01:00Z</dcterms:modified>
</cp:coreProperties>
</file>