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65EA4F0F" w14:textId="0ADCE3F4" w:rsidR="009D1CCE" w:rsidRDefault="009D1CCE" w:rsidP="009D1CCE">
      <w:pPr>
        <w:widowControl w:val="0"/>
        <w:tabs>
          <w:tab w:val="left" w:pos="1980"/>
        </w:tabs>
        <w:autoSpaceDE w:val="0"/>
        <w:autoSpaceDN w:val="0"/>
        <w:spacing w:line="480" w:lineRule="auto"/>
        <w:ind w:left="540" w:right="4398"/>
        <w:jc w:val="center"/>
        <w:rPr>
          <w:b/>
          <w:spacing w:val="-2"/>
          <w:szCs w:val="22"/>
        </w:rPr>
      </w:pPr>
      <w:r>
        <w:rPr>
          <w:b/>
          <w:spacing w:val="-2"/>
          <w:szCs w:val="22"/>
        </w:rPr>
        <w:tab/>
      </w:r>
      <w:r>
        <w:rPr>
          <w:b/>
          <w:spacing w:val="-2"/>
          <w:szCs w:val="22"/>
        </w:rPr>
        <w:tab/>
      </w:r>
      <w:r>
        <w:rPr>
          <w:b/>
          <w:spacing w:val="-2"/>
          <w:szCs w:val="22"/>
        </w:rPr>
        <w:tab/>
      </w:r>
      <w:r w:rsidRPr="009D1CCE">
        <w:rPr>
          <w:b/>
          <w:spacing w:val="-2"/>
          <w:szCs w:val="22"/>
        </w:rPr>
        <w:t xml:space="preserve">Memorandum </w:t>
      </w:r>
    </w:p>
    <w:p w14:paraId="7C35D36C" w14:textId="154DCCD5" w:rsidR="009D1CCE" w:rsidRDefault="009D1CCE" w:rsidP="009D1CCE">
      <w:pPr>
        <w:widowControl w:val="0"/>
        <w:tabs>
          <w:tab w:val="left" w:pos="1980"/>
        </w:tabs>
        <w:autoSpaceDE w:val="0"/>
        <w:autoSpaceDN w:val="0"/>
        <w:spacing w:line="480" w:lineRule="auto"/>
        <w:ind w:left="540" w:right="4398"/>
        <w:rPr>
          <w:szCs w:val="24"/>
        </w:rPr>
      </w:pPr>
      <w:r w:rsidRPr="009D1CCE">
        <w:rPr>
          <w:b/>
          <w:spacing w:val="-4"/>
          <w:szCs w:val="24"/>
        </w:rPr>
        <w:t>TO:</w:t>
      </w:r>
      <w:r>
        <w:rPr>
          <w:b/>
          <w:szCs w:val="24"/>
        </w:rPr>
        <w:t xml:space="preserve"> </w:t>
      </w:r>
      <w:r w:rsidRPr="009D1CCE">
        <w:rPr>
          <w:szCs w:val="24"/>
        </w:rPr>
        <w:t>Long-Term Care Facility Administrators</w:t>
      </w:r>
    </w:p>
    <w:p w14:paraId="2C6FDF18" w14:textId="24467C84" w:rsidR="00DC5685" w:rsidRDefault="00DC5685" w:rsidP="00DC5685">
      <w:pPr>
        <w:autoSpaceDE w:val="0"/>
        <w:autoSpaceDN w:val="0"/>
        <w:adjustRightInd w:val="0"/>
        <w:ind w:firstLine="540"/>
        <w:rPr>
          <w:rFonts w:eastAsia="@Batang"/>
        </w:rPr>
      </w:pPr>
      <w:r>
        <w:rPr>
          <w:rFonts w:eastAsia="@Batang"/>
          <w:b/>
        </w:rPr>
        <w:t>FROM:</w:t>
      </w:r>
      <w:r>
        <w:rPr>
          <w:rFonts w:eastAsia="@Batang"/>
        </w:rPr>
        <w:t xml:space="preserve"> Teryl Smith, RN, MPH, Director</w:t>
      </w:r>
      <w:r>
        <w:t xml:space="preserve"> </w:t>
      </w:r>
    </w:p>
    <w:p w14:paraId="5ACE6D3D" w14:textId="77777777" w:rsidR="00DC5685" w:rsidRDefault="00DC5685" w:rsidP="00DC5685">
      <w:pPr>
        <w:autoSpaceDE w:val="0"/>
        <w:autoSpaceDN w:val="0"/>
        <w:adjustRightInd w:val="0"/>
        <w:ind w:left="720" w:firstLine="720"/>
        <w:rPr>
          <w:rFonts w:eastAsia="@Batang"/>
        </w:rPr>
      </w:pPr>
      <w:r>
        <w:rPr>
          <w:rFonts w:eastAsia="@Batang"/>
        </w:rPr>
        <w:t>Bureau of Health Care Safety and Quality</w:t>
      </w:r>
      <w:r>
        <w:rPr>
          <w:rFonts w:eastAsia="@Batang"/>
        </w:rPr>
        <w:tab/>
      </w:r>
    </w:p>
    <w:p w14:paraId="3C41AEFA" w14:textId="77777777" w:rsidR="00DC5685" w:rsidRDefault="00DC5685" w:rsidP="00DC5685">
      <w:pPr>
        <w:autoSpaceDE w:val="0"/>
        <w:autoSpaceDN w:val="0"/>
        <w:adjustRightInd w:val="0"/>
        <w:ind w:left="720" w:firstLine="720"/>
        <w:rPr>
          <w:rFonts w:eastAsia="@Batang"/>
        </w:rPr>
      </w:pPr>
    </w:p>
    <w:p w14:paraId="5A465520" w14:textId="3946323E" w:rsidR="009D1CCE" w:rsidRPr="009D1CCE" w:rsidRDefault="009D1CCE" w:rsidP="009D1CCE">
      <w:pPr>
        <w:widowControl w:val="0"/>
        <w:tabs>
          <w:tab w:val="left" w:pos="1980"/>
        </w:tabs>
        <w:autoSpaceDE w:val="0"/>
        <w:autoSpaceDN w:val="0"/>
        <w:ind w:left="1980" w:right="223" w:hanging="1441"/>
        <w:rPr>
          <w:b/>
          <w:bCs/>
          <w:szCs w:val="24"/>
        </w:rPr>
      </w:pPr>
      <w:r w:rsidRPr="009D1CCE">
        <w:rPr>
          <w:b/>
          <w:bCs/>
          <w:spacing w:val="-2"/>
          <w:szCs w:val="24"/>
        </w:rPr>
        <w:t>SUBJECT:</w:t>
      </w:r>
      <w:r>
        <w:rPr>
          <w:b/>
          <w:szCs w:val="24"/>
        </w:rPr>
        <w:t xml:space="preserve"> </w:t>
      </w:r>
      <w:r w:rsidRPr="009D1CCE">
        <w:rPr>
          <w:szCs w:val="24"/>
        </w:rPr>
        <w:t>UPDATE: Admission</w:t>
      </w:r>
      <w:r w:rsidRPr="009D1CCE">
        <w:rPr>
          <w:spacing w:val="-4"/>
          <w:szCs w:val="24"/>
        </w:rPr>
        <w:t xml:space="preserve"> </w:t>
      </w:r>
      <w:r w:rsidRPr="009D1CCE">
        <w:rPr>
          <w:szCs w:val="24"/>
        </w:rPr>
        <w:t>of</w:t>
      </w:r>
      <w:r w:rsidRPr="009D1CCE">
        <w:rPr>
          <w:spacing w:val="-4"/>
          <w:szCs w:val="24"/>
        </w:rPr>
        <w:t xml:space="preserve"> </w:t>
      </w:r>
      <w:r w:rsidRPr="009D1CCE">
        <w:rPr>
          <w:szCs w:val="24"/>
        </w:rPr>
        <w:t>Residents</w:t>
      </w:r>
      <w:r w:rsidRPr="009D1CCE">
        <w:rPr>
          <w:spacing w:val="-4"/>
          <w:szCs w:val="24"/>
        </w:rPr>
        <w:t xml:space="preserve"> </w:t>
      </w:r>
      <w:proofErr w:type="gramStart"/>
      <w:r w:rsidRPr="009D1CCE">
        <w:rPr>
          <w:szCs w:val="24"/>
        </w:rPr>
        <w:t>on</w:t>
      </w:r>
      <w:proofErr w:type="gramEnd"/>
      <w:r w:rsidRPr="009D1CCE">
        <w:rPr>
          <w:spacing w:val="-4"/>
          <w:szCs w:val="24"/>
        </w:rPr>
        <w:t xml:space="preserve"> </w:t>
      </w:r>
      <w:r w:rsidRPr="009D1CCE">
        <w:rPr>
          <w:szCs w:val="24"/>
        </w:rPr>
        <w:t>Medication</w:t>
      </w:r>
      <w:r w:rsidRPr="009D1CCE">
        <w:rPr>
          <w:spacing w:val="-4"/>
          <w:szCs w:val="24"/>
        </w:rPr>
        <w:t xml:space="preserve"> </w:t>
      </w:r>
      <w:r w:rsidRPr="009D1CCE">
        <w:rPr>
          <w:szCs w:val="24"/>
        </w:rPr>
        <w:t>for</w:t>
      </w:r>
      <w:r w:rsidRPr="009D1CCE">
        <w:rPr>
          <w:spacing w:val="-4"/>
          <w:szCs w:val="24"/>
        </w:rPr>
        <w:t xml:space="preserve"> </w:t>
      </w:r>
      <w:r w:rsidRPr="009D1CCE">
        <w:rPr>
          <w:szCs w:val="24"/>
        </w:rPr>
        <w:t>Opioid</w:t>
      </w:r>
      <w:r w:rsidRPr="009D1CCE">
        <w:rPr>
          <w:spacing w:val="-4"/>
          <w:szCs w:val="24"/>
        </w:rPr>
        <w:t xml:space="preserve"> </w:t>
      </w:r>
      <w:r w:rsidRPr="009D1CCE">
        <w:rPr>
          <w:szCs w:val="24"/>
        </w:rPr>
        <w:t>Use</w:t>
      </w:r>
      <w:r w:rsidRPr="009D1CCE">
        <w:rPr>
          <w:spacing w:val="-6"/>
          <w:szCs w:val="24"/>
        </w:rPr>
        <w:t xml:space="preserve"> </w:t>
      </w:r>
      <w:r w:rsidRPr="009D1CCE">
        <w:rPr>
          <w:szCs w:val="24"/>
        </w:rPr>
        <w:t>Disorder</w:t>
      </w:r>
      <w:r w:rsidRPr="009D1CCE">
        <w:rPr>
          <w:spacing w:val="-1"/>
          <w:szCs w:val="24"/>
        </w:rPr>
        <w:t xml:space="preserve"> </w:t>
      </w:r>
      <w:r w:rsidRPr="009D1CCE">
        <w:rPr>
          <w:szCs w:val="24"/>
        </w:rPr>
        <w:t>(MOUD)</w:t>
      </w:r>
      <w:r w:rsidRPr="009D1CCE">
        <w:rPr>
          <w:spacing w:val="-2"/>
          <w:szCs w:val="24"/>
        </w:rPr>
        <w:t xml:space="preserve"> </w:t>
      </w:r>
      <w:r w:rsidRPr="009D1CCE">
        <w:rPr>
          <w:szCs w:val="24"/>
        </w:rPr>
        <w:t>to</w:t>
      </w:r>
      <w:r w:rsidRPr="009D1CCE">
        <w:rPr>
          <w:spacing w:val="-4"/>
          <w:szCs w:val="24"/>
        </w:rPr>
        <w:t xml:space="preserve"> </w:t>
      </w:r>
      <w:r w:rsidRPr="009D1CCE">
        <w:rPr>
          <w:szCs w:val="24"/>
        </w:rPr>
        <w:t>Long-Term Care Facilities</w:t>
      </w:r>
    </w:p>
    <w:p w14:paraId="6ECE278D" w14:textId="77777777" w:rsidR="000A30A1" w:rsidRDefault="000A30A1" w:rsidP="009D1CCE">
      <w:pPr>
        <w:widowControl w:val="0"/>
        <w:tabs>
          <w:tab w:val="left" w:pos="1980"/>
        </w:tabs>
        <w:autoSpaceDE w:val="0"/>
        <w:autoSpaceDN w:val="0"/>
        <w:ind w:left="540"/>
        <w:rPr>
          <w:b/>
          <w:spacing w:val="-2"/>
          <w:szCs w:val="24"/>
        </w:rPr>
      </w:pPr>
    </w:p>
    <w:p w14:paraId="4C914044" w14:textId="4425878E" w:rsidR="009D1CCE" w:rsidRPr="009D1CCE" w:rsidRDefault="009D1CCE" w:rsidP="009D1CCE">
      <w:pPr>
        <w:widowControl w:val="0"/>
        <w:tabs>
          <w:tab w:val="left" w:pos="1980"/>
        </w:tabs>
        <w:autoSpaceDE w:val="0"/>
        <w:autoSpaceDN w:val="0"/>
        <w:ind w:left="540"/>
        <w:rPr>
          <w:szCs w:val="24"/>
        </w:rPr>
      </w:pPr>
      <w:r w:rsidRPr="009D1CCE">
        <w:rPr>
          <w:b/>
          <w:spacing w:val="-2"/>
          <w:szCs w:val="24"/>
        </w:rPr>
        <w:t>DATE:</w:t>
      </w:r>
      <w:r>
        <w:rPr>
          <w:b/>
          <w:szCs w:val="24"/>
        </w:rPr>
        <w:t xml:space="preserve"> </w:t>
      </w:r>
      <w:r>
        <w:rPr>
          <w:szCs w:val="24"/>
        </w:rPr>
        <w:t>August 14, 2025</w:t>
      </w:r>
    </w:p>
    <w:p w14:paraId="7B5B54CE" w14:textId="77777777" w:rsidR="009D1CCE" w:rsidRPr="009D1CCE" w:rsidRDefault="009D1CCE" w:rsidP="009D1CCE">
      <w:pPr>
        <w:widowControl w:val="0"/>
        <w:autoSpaceDE w:val="0"/>
        <w:autoSpaceDN w:val="0"/>
        <w:rPr>
          <w:szCs w:val="24"/>
        </w:rPr>
      </w:pPr>
    </w:p>
    <w:p w14:paraId="79D15672" w14:textId="77777777" w:rsidR="009D1CCE" w:rsidRPr="009D1CCE" w:rsidRDefault="009D1CCE" w:rsidP="009D1CCE">
      <w:pPr>
        <w:widowControl w:val="0"/>
        <w:autoSpaceDE w:val="0"/>
        <w:autoSpaceDN w:val="0"/>
        <w:ind w:left="540"/>
        <w:outlineLvl w:val="0"/>
        <w:rPr>
          <w:b/>
          <w:bCs/>
          <w:color w:val="131313"/>
          <w:spacing w:val="-2"/>
          <w:szCs w:val="24"/>
        </w:rPr>
      </w:pPr>
      <w:r w:rsidRPr="009D1CCE">
        <w:rPr>
          <w:b/>
          <w:bCs/>
          <w:color w:val="131313"/>
          <w:spacing w:val="-2"/>
          <w:szCs w:val="24"/>
        </w:rPr>
        <w:t>Introduction</w:t>
      </w:r>
    </w:p>
    <w:p w14:paraId="6EEE5E1B" w14:textId="77777777" w:rsidR="009D1CCE" w:rsidRPr="009D1CCE" w:rsidRDefault="009D1CCE" w:rsidP="009D1CCE">
      <w:pPr>
        <w:widowControl w:val="0"/>
        <w:autoSpaceDE w:val="0"/>
        <w:autoSpaceDN w:val="0"/>
        <w:ind w:left="540"/>
        <w:outlineLvl w:val="0"/>
        <w:rPr>
          <w:b/>
          <w:bCs/>
          <w:color w:val="131313"/>
          <w:spacing w:val="-2"/>
          <w:szCs w:val="24"/>
        </w:rPr>
      </w:pPr>
    </w:p>
    <w:p w14:paraId="499D140A" w14:textId="77777777" w:rsidR="009D1CCE" w:rsidRPr="009D1CCE" w:rsidRDefault="009D1CCE" w:rsidP="009D1CCE">
      <w:pPr>
        <w:widowControl w:val="0"/>
        <w:autoSpaceDE w:val="0"/>
        <w:autoSpaceDN w:val="0"/>
        <w:ind w:left="540"/>
        <w:outlineLvl w:val="0"/>
        <w:rPr>
          <w:color w:val="131313"/>
          <w:spacing w:val="-2"/>
          <w:szCs w:val="24"/>
        </w:rPr>
      </w:pPr>
      <w:r w:rsidRPr="009D1CCE">
        <w:rPr>
          <w:color w:val="131313"/>
          <w:spacing w:val="-2"/>
          <w:szCs w:val="24"/>
        </w:rPr>
        <w:t xml:space="preserve">This memorandum updates the September 12, </w:t>
      </w:r>
      <w:proofErr w:type="gramStart"/>
      <w:r w:rsidRPr="009D1CCE">
        <w:rPr>
          <w:color w:val="131313"/>
          <w:spacing w:val="-2"/>
          <w:szCs w:val="24"/>
        </w:rPr>
        <w:t>2022</w:t>
      </w:r>
      <w:proofErr w:type="gramEnd"/>
      <w:r w:rsidRPr="009D1CCE">
        <w:rPr>
          <w:color w:val="131313"/>
          <w:spacing w:val="-2"/>
          <w:szCs w:val="24"/>
        </w:rPr>
        <w:t xml:space="preserve"> memorandum issued by the Department of Public Health (Department) entitled </w:t>
      </w:r>
      <w:r w:rsidRPr="009D1CCE">
        <w:rPr>
          <w:i/>
          <w:iCs/>
          <w:color w:val="131313"/>
          <w:spacing w:val="-2"/>
          <w:szCs w:val="24"/>
        </w:rPr>
        <w:t>Admissions of Residents on Medication for Opioid Use Disorder (MOUD) to Long-Term Care Facilities</w:t>
      </w:r>
      <w:r w:rsidRPr="009D1CCE">
        <w:rPr>
          <w:color w:val="131313"/>
          <w:spacing w:val="-2"/>
          <w:szCs w:val="24"/>
        </w:rPr>
        <w:t>. Changes include:</w:t>
      </w:r>
    </w:p>
    <w:p w14:paraId="2A16A292" w14:textId="77777777" w:rsidR="009D1CCE" w:rsidRPr="009D1CCE" w:rsidRDefault="009D1CCE" w:rsidP="009D1CCE">
      <w:pPr>
        <w:widowControl w:val="0"/>
        <w:numPr>
          <w:ilvl w:val="0"/>
          <w:numId w:val="13"/>
        </w:numPr>
        <w:autoSpaceDE w:val="0"/>
        <w:autoSpaceDN w:val="0"/>
        <w:outlineLvl w:val="0"/>
        <w:rPr>
          <w:color w:val="131313"/>
          <w:spacing w:val="-2"/>
          <w:szCs w:val="24"/>
        </w:rPr>
      </w:pPr>
      <w:r w:rsidRPr="009D1CCE">
        <w:rPr>
          <w:color w:val="131313"/>
          <w:szCs w:val="24"/>
        </w:rPr>
        <w:t xml:space="preserve">Alignment to new federal </w:t>
      </w:r>
      <w:proofErr w:type="gramStart"/>
      <w:r w:rsidRPr="009D1CCE">
        <w:rPr>
          <w:color w:val="131313"/>
          <w:szCs w:val="24"/>
        </w:rPr>
        <w:t>requirements;</w:t>
      </w:r>
      <w:proofErr w:type="gramEnd"/>
    </w:p>
    <w:p w14:paraId="416773D6" w14:textId="77777777" w:rsidR="009D1CCE" w:rsidRPr="009D1CCE" w:rsidRDefault="009D1CCE" w:rsidP="009D1CCE">
      <w:pPr>
        <w:widowControl w:val="0"/>
        <w:numPr>
          <w:ilvl w:val="0"/>
          <w:numId w:val="13"/>
        </w:numPr>
        <w:autoSpaceDE w:val="0"/>
        <w:autoSpaceDN w:val="0"/>
        <w:outlineLvl w:val="0"/>
        <w:rPr>
          <w:color w:val="131313"/>
          <w:spacing w:val="-2"/>
          <w:szCs w:val="24"/>
        </w:rPr>
      </w:pPr>
      <w:r w:rsidRPr="009D1CCE">
        <w:rPr>
          <w:color w:val="131313"/>
          <w:spacing w:val="-2"/>
          <w:szCs w:val="24"/>
        </w:rPr>
        <w:t>Revisions to policies and procedures; and</w:t>
      </w:r>
    </w:p>
    <w:p w14:paraId="38D3A672" w14:textId="77777777" w:rsidR="009D1CCE" w:rsidRPr="009D1CCE" w:rsidRDefault="009D1CCE" w:rsidP="009D1CCE">
      <w:pPr>
        <w:widowControl w:val="0"/>
        <w:numPr>
          <w:ilvl w:val="0"/>
          <w:numId w:val="13"/>
        </w:numPr>
        <w:autoSpaceDE w:val="0"/>
        <w:autoSpaceDN w:val="0"/>
        <w:outlineLvl w:val="0"/>
        <w:rPr>
          <w:color w:val="131313"/>
          <w:spacing w:val="-2"/>
          <w:szCs w:val="24"/>
        </w:rPr>
      </w:pPr>
      <w:r w:rsidRPr="009D1CCE">
        <w:rPr>
          <w:color w:val="131313"/>
          <w:spacing w:val="-2"/>
          <w:szCs w:val="24"/>
        </w:rPr>
        <w:t xml:space="preserve">Revisions to medication order practices. </w:t>
      </w:r>
    </w:p>
    <w:p w14:paraId="2AA524C1" w14:textId="77777777" w:rsidR="009D1CCE" w:rsidRPr="009D1CCE" w:rsidRDefault="009D1CCE" w:rsidP="009D1CCE">
      <w:pPr>
        <w:widowControl w:val="0"/>
        <w:autoSpaceDE w:val="0"/>
        <w:autoSpaceDN w:val="0"/>
        <w:ind w:left="540"/>
        <w:outlineLvl w:val="0"/>
        <w:rPr>
          <w:b/>
          <w:bCs/>
          <w:color w:val="131313"/>
          <w:spacing w:val="-2"/>
          <w:szCs w:val="24"/>
        </w:rPr>
      </w:pPr>
    </w:p>
    <w:p w14:paraId="1C7FC294" w14:textId="77777777" w:rsidR="009D1CCE" w:rsidRPr="009D1CCE" w:rsidRDefault="009D1CCE" w:rsidP="009D1CCE">
      <w:pPr>
        <w:widowControl w:val="0"/>
        <w:autoSpaceDE w:val="0"/>
        <w:autoSpaceDN w:val="0"/>
        <w:ind w:left="540"/>
        <w:outlineLvl w:val="0"/>
        <w:rPr>
          <w:b/>
          <w:bCs/>
          <w:szCs w:val="24"/>
        </w:rPr>
      </w:pPr>
      <w:r w:rsidRPr="009D1CCE">
        <w:rPr>
          <w:b/>
          <w:bCs/>
          <w:color w:val="131313"/>
          <w:spacing w:val="-2"/>
          <w:szCs w:val="24"/>
        </w:rPr>
        <w:t>Purpose</w:t>
      </w:r>
    </w:p>
    <w:p w14:paraId="6C585FA9" w14:textId="77777777" w:rsidR="009D1CCE" w:rsidRPr="009D1CCE" w:rsidRDefault="009D1CCE" w:rsidP="009D1CCE">
      <w:pPr>
        <w:widowControl w:val="0"/>
        <w:autoSpaceDE w:val="0"/>
        <w:autoSpaceDN w:val="0"/>
        <w:spacing w:before="3"/>
        <w:rPr>
          <w:b/>
          <w:szCs w:val="24"/>
        </w:rPr>
      </w:pPr>
    </w:p>
    <w:p w14:paraId="155AC391" w14:textId="77777777" w:rsidR="009D1CCE" w:rsidRPr="009D1CCE" w:rsidRDefault="009D1CCE" w:rsidP="009D1CCE">
      <w:pPr>
        <w:widowControl w:val="0"/>
        <w:autoSpaceDE w:val="0"/>
        <w:autoSpaceDN w:val="0"/>
        <w:ind w:left="540" w:right="223"/>
        <w:rPr>
          <w:szCs w:val="24"/>
        </w:rPr>
      </w:pPr>
      <w:r w:rsidRPr="009D1CCE">
        <w:rPr>
          <w:szCs w:val="24"/>
        </w:rPr>
        <w:t>The purpose of this memorandum is to update guidance for long-term care facilities (LTCF) caring for residents who also receive medication</w:t>
      </w:r>
      <w:r w:rsidRPr="009D1CCE">
        <w:rPr>
          <w:spacing w:val="-2"/>
          <w:szCs w:val="24"/>
        </w:rPr>
        <w:t xml:space="preserve"> </w:t>
      </w:r>
      <w:r w:rsidRPr="009D1CCE">
        <w:rPr>
          <w:szCs w:val="24"/>
        </w:rPr>
        <w:t>for</w:t>
      </w:r>
      <w:r w:rsidRPr="009D1CCE">
        <w:rPr>
          <w:spacing w:val="-5"/>
          <w:szCs w:val="24"/>
        </w:rPr>
        <w:t xml:space="preserve"> </w:t>
      </w:r>
      <w:r w:rsidRPr="009D1CCE">
        <w:rPr>
          <w:szCs w:val="24"/>
        </w:rPr>
        <w:t>opioid</w:t>
      </w:r>
      <w:r w:rsidRPr="009D1CCE">
        <w:rPr>
          <w:spacing w:val="-3"/>
          <w:szCs w:val="24"/>
        </w:rPr>
        <w:t xml:space="preserve"> </w:t>
      </w:r>
      <w:r w:rsidRPr="009D1CCE">
        <w:rPr>
          <w:szCs w:val="24"/>
        </w:rPr>
        <w:t>use</w:t>
      </w:r>
      <w:r w:rsidRPr="009D1CCE">
        <w:rPr>
          <w:spacing w:val="-4"/>
          <w:szCs w:val="24"/>
        </w:rPr>
        <w:t xml:space="preserve"> </w:t>
      </w:r>
      <w:r w:rsidRPr="009D1CCE">
        <w:rPr>
          <w:szCs w:val="24"/>
        </w:rPr>
        <w:t>disorder</w:t>
      </w:r>
      <w:r w:rsidRPr="009D1CCE">
        <w:rPr>
          <w:spacing w:val="-3"/>
          <w:szCs w:val="24"/>
        </w:rPr>
        <w:t xml:space="preserve"> </w:t>
      </w:r>
      <w:r w:rsidRPr="009D1CCE">
        <w:rPr>
          <w:szCs w:val="24"/>
        </w:rPr>
        <w:t>(MOUD)</w:t>
      </w:r>
      <w:r w:rsidRPr="009D1CCE">
        <w:rPr>
          <w:spacing w:val="-4"/>
          <w:szCs w:val="24"/>
        </w:rPr>
        <w:t xml:space="preserve"> </w:t>
      </w:r>
      <w:r w:rsidRPr="009D1CCE">
        <w:rPr>
          <w:szCs w:val="24"/>
        </w:rPr>
        <w:t>to</w:t>
      </w:r>
      <w:r w:rsidRPr="009D1CCE">
        <w:rPr>
          <w:spacing w:val="-3"/>
          <w:szCs w:val="24"/>
        </w:rPr>
        <w:t xml:space="preserve"> </w:t>
      </w:r>
      <w:r w:rsidRPr="009D1CCE">
        <w:rPr>
          <w:szCs w:val="24"/>
        </w:rPr>
        <w:t>ensure</w:t>
      </w:r>
      <w:r w:rsidRPr="009D1CCE">
        <w:rPr>
          <w:spacing w:val="-5"/>
          <w:szCs w:val="24"/>
        </w:rPr>
        <w:t xml:space="preserve"> </w:t>
      </w:r>
      <w:r w:rsidRPr="009D1CCE">
        <w:rPr>
          <w:szCs w:val="24"/>
        </w:rPr>
        <w:t>residents</w:t>
      </w:r>
      <w:r w:rsidRPr="009D1CCE">
        <w:rPr>
          <w:spacing w:val="-3"/>
          <w:szCs w:val="24"/>
        </w:rPr>
        <w:t xml:space="preserve"> </w:t>
      </w:r>
      <w:r w:rsidRPr="009D1CCE">
        <w:rPr>
          <w:szCs w:val="24"/>
        </w:rPr>
        <w:t>receive</w:t>
      </w:r>
      <w:r w:rsidRPr="009D1CCE">
        <w:rPr>
          <w:spacing w:val="-3"/>
          <w:szCs w:val="24"/>
        </w:rPr>
        <w:t xml:space="preserve"> </w:t>
      </w:r>
      <w:r w:rsidRPr="009D1CCE">
        <w:rPr>
          <w:szCs w:val="24"/>
        </w:rPr>
        <w:t>safe,</w:t>
      </w:r>
      <w:r w:rsidRPr="009D1CCE">
        <w:rPr>
          <w:spacing w:val="-1"/>
          <w:szCs w:val="24"/>
        </w:rPr>
        <w:t xml:space="preserve"> </w:t>
      </w:r>
      <w:r w:rsidRPr="009D1CCE">
        <w:rPr>
          <w:szCs w:val="24"/>
        </w:rPr>
        <w:t>evidence-based</w:t>
      </w:r>
      <w:r w:rsidRPr="009D1CCE">
        <w:rPr>
          <w:spacing w:val="-3"/>
          <w:szCs w:val="24"/>
        </w:rPr>
        <w:t xml:space="preserve"> </w:t>
      </w:r>
      <w:r w:rsidRPr="009D1CCE">
        <w:rPr>
          <w:szCs w:val="24"/>
        </w:rPr>
        <w:t xml:space="preserve">care in accordance with changes enacted federally under </w:t>
      </w:r>
      <w:r w:rsidRPr="009D1CCE">
        <w:rPr>
          <w:color w:val="13548F"/>
          <w:szCs w:val="24"/>
          <w:u w:val="single"/>
        </w:rPr>
        <w:t>The Consolidated Appropriations Act of 2023</w:t>
      </w:r>
      <w:r w:rsidRPr="009D1CCE">
        <w:rPr>
          <w:szCs w:val="24"/>
        </w:rPr>
        <w:t>.</w:t>
      </w:r>
    </w:p>
    <w:p w14:paraId="560D5E2D" w14:textId="77777777" w:rsidR="009D1CCE" w:rsidRPr="009D1CCE" w:rsidRDefault="009D1CCE" w:rsidP="009D1CCE">
      <w:pPr>
        <w:widowControl w:val="0"/>
        <w:autoSpaceDE w:val="0"/>
        <w:autoSpaceDN w:val="0"/>
        <w:spacing w:before="5"/>
        <w:rPr>
          <w:szCs w:val="24"/>
        </w:rPr>
      </w:pPr>
    </w:p>
    <w:p w14:paraId="59E2CFA5" w14:textId="77777777" w:rsidR="009D1CCE" w:rsidRPr="009D1CCE" w:rsidRDefault="009D1CCE" w:rsidP="009D1CCE">
      <w:pPr>
        <w:widowControl w:val="0"/>
        <w:autoSpaceDE w:val="0"/>
        <w:autoSpaceDN w:val="0"/>
        <w:ind w:left="540"/>
        <w:outlineLvl w:val="0"/>
        <w:rPr>
          <w:b/>
          <w:bCs/>
          <w:szCs w:val="24"/>
        </w:rPr>
      </w:pPr>
      <w:r w:rsidRPr="009D1CCE">
        <w:rPr>
          <w:b/>
          <w:bCs/>
          <w:color w:val="131313"/>
          <w:spacing w:val="-2"/>
          <w:szCs w:val="24"/>
        </w:rPr>
        <w:t>Background</w:t>
      </w:r>
    </w:p>
    <w:p w14:paraId="6D44CAF9" w14:textId="77777777" w:rsidR="009D1CCE" w:rsidRPr="009D1CCE" w:rsidRDefault="009D1CCE" w:rsidP="009D1CCE">
      <w:pPr>
        <w:widowControl w:val="0"/>
        <w:autoSpaceDE w:val="0"/>
        <w:autoSpaceDN w:val="0"/>
        <w:spacing w:before="5"/>
        <w:rPr>
          <w:b/>
          <w:szCs w:val="24"/>
        </w:rPr>
      </w:pPr>
    </w:p>
    <w:p w14:paraId="032BB117" w14:textId="77777777" w:rsidR="009D1CCE" w:rsidRPr="009D1CCE" w:rsidRDefault="009D1CCE" w:rsidP="009D1CCE">
      <w:pPr>
        <w:widowControl w:val="0"/>
        <w:autoSpaceDE w:val="0"/>
        <w:autoSpaceDN w:val="0"/>
        <w:ind w:left="540" w:right="223"/>
        <w:rPr>
          <w:color w:val="131313"/>
          <w:szCs w:val="24"/>
        </w:rPr>
      </w:pPr>
      <w:r w:rsidRPr="009D1CCE">
        <w:rPr>
          <w:szCs w:val="24"/>
        </w:rPr>
        <w:t>Opioid use</w:t>
      </w:r>
      <w:r w:rsidRPr="009D1CCE">
        <w:rPr>
          <w:spacing w:val="-4"/>
          <w:szCs w:val="24"/>
        </w:rPr>
        <w:t xml:space="preserve"> </w:t>
      </w:r>
      <w:r w:rsidRPr="009D1CCE">
        <w:rPr>
          <w:szCs w:val="24"/>
        </w:rPr>
        <w:t>disorders</w:t>
      </w:r>
      <w:r w:rsidRPr="009D1CCE">
        <w:rPr>
          <w:spacing w:val="-3"/>
          <w:szCs w:val="24"/>
        </w:rPr>
        <w:t xml:space="preserve"> </w:t>
      </w:r>
      <w:r w:rsidRPr="009D1CCE">
        <w:rPr>
          <w:szCs w:val="24"/>
        </w:rPr>
        <w:t>are chronic treatable</w:t>
      </w:r>
      <w:r w:rsidRPr="009D1CCE">
        <w:rPr>
          <w:spacing w:val="-4"/>
          <w:szCs w:val="24"/>
        </w:rPr>
        <w:t xml:space="preserve"> </w:t>
      </w:r>
      <w:r w:rsidRPr="009D1CCE">
        <w:rPr>
          <w:szCs w:val="24"/>
        </w:rPr>
        <w:t>illnesses.</w:t>
      </w:r>
      <w:r w:rsidRPr="009D1CCE">
        <w:rPr>
          <w:spacing w:val="-3"/>
          <w:szCs w:val="24"/>
        </w:rPr>
        <w:t xml:space="preserve"> </w:t>
      </w:r>
      <w:r w:rsidRPr="009D1CCE">
        <w:rPr>
          <w:color w:val="131313"/>
          <w:szCs w:val="24"/>
        </w:rPr>
        <w:t>Individuals may</w:t>
      </w:r>
      <w:r w:rsidRPr="009D1CCE">
        <w:rPr>
          <w:color w:val="131313"/>
          <w:spacing w:val="-1"/>
          <w:szCs w:val="24"/>
        </w:rPr>
        <w:t xml:space="preserve"> </w:t>
      </w:r>
      <w:r w:rsidRPr="009D1CCE">
        <w:rPr>
          <w:color w:val="131313"/>
          <w:szCs w:val="24"/>
        </w:rPr>
        <w:t>choose</w:t>
      </w:r>
      <w:r w:rsidRPr="009D1CCE">
        <w:rPr>
          <w:color w:val="131313"/>
          <w:spacing w:val="-4"/>
          <w:szCs w:val="24"/>
        </w:rPr>
        <w:t xml:space="preserve"> </w:t>
      </w:r>
      <w:r w:rsidRPr="009D1CCE">
        <w:rPr>
          <w:color w:val="131313"/>
          <w:szCs w:val="24"/>
        </w:rPr>
        <w:t>different</w:t>
      </w:r>
      <w:r w:rsidRPr="009D1CCE">
        <w:rPr>
          <w:color w:val="131313"/>
          <w:spacing w:val="-3"/>
          <w:szCs w:val="24"/>
        </w:rPr>
        <w:t xml:space="preserve"> </w:t>
      </w:r>
      <w:r w:rsidRPr="009D1CCE">
        <w:rPr>
          <w:color w:val="131313"/>
          <w:szCs w:val="24"/>
        </w:rPr>
        <w:t>treatments</w:t>
      </w:r>
      <w:r w:rsidRPr="009D1CCE">
        <w:rPr>
          <w:color w:val="131313"/>
          <w:spacing w:val="-1"/>
          <w:szCs w:val="24"/>
        </w:rPr>
        <w:t xml:space="preserve"> </w:t>
      </w:r>
      <w:r w:rsidRPr="009D1CCE">
        <w:rPr>
          <w:color w:val="131313"/>
          <w:szCs w:val="24"/>
        </w:rPr>
        <w:t xml:space="preserve">and paths for their treatment and recovery. Some individuals use medication as part of their treatment for addiction, including for opioid use disorder, as clinically appropriate. FDA-approved MOUD </w:t>
      </w:r>
      <w:proofErr w:type="gramStart"/>
      <w:r w:rsidRPr="009D1CCE">
        <w:rPr>
          <w:color w:val="131313"/>
          <w:szCs w:val="24"/>
        </w:rPr>
        <w:t>include</w:t>
      </w:r>
      <w:proofErr w:type="gramEnd"/>
      <w:r w:rsidRPr="009D1CCE">
        <w:rPr>
          <w:color w:val="131313"/>
          <w:szCs w:val="24"/>
        </w:rPr>
        <w:t xml:space="preserve"> methadone,</w:t>
      </w:r>
      <w:r w:rsidRPr="009D1CCE">
        <w:rPr>
          <w:color w:val="131313"/>
          <w:szCs w:val="24"/>
          <w:vertAlign w:val="superscript"/>
        </w:rPr>
        <w:footnoteReference w:id="1"/>
      </w:r>
      <w:r w:rsidRPr="009D1CCE">
        <w:rPr>
          <w:color w:val="131313"/>
          <w:szCs w:val="24"/>
        </w:rPr>
        <w:t xml:space="preserve"> buprenorphine, </w:t>
      </w:r>
      <w:r w:rsidRPr="009D1CCE">
        <w:rPr>
          <w:color w:val="131313"/>
          <w:szCs w:val="24"/>
        </w:rPr>
        <w:lastRenderedPageBreak/>
        <w:t>buprenorphine/naloxone, and</w:t>
      </w:r>
      <w:r w:rsidRPr="009D1CCE" w:rsidDel="002351C3">
        <w:rPr>
          <w:color w:val="131313"/>
          <w:szCs w:val="24"/>
        </w:rPr>
        <w:t xml:space="preserve"> </w:t>
      </w:r>
      <w:r w:rsidRPr="009D1CCE">
        <w:rPr>
          <w:color w:val="131313"/>
          <w:szCs w:val="24"/>
        </w:rPr>
        <w:t xml:space="preserve">naltrexone. MOUD Treatment can be short-term or long-term (known as continuous medication treatment or maintenance treatment). Residents can receive MOUD from an opioid treatment program (OTP), an </w:t>
      </w:r>
      <w:r w:rsidRPr="009D1CCE">
        <w:rPr>
          <w:szCs w:val="24"/>
        </w:rPr>
        <w:t>office-based opioid treatment/office-based addiction treatment (OBOT/ OBAT) program, or a prescriber. In an OTP, MOUD is dispensed rather than prescribed. This means patients who attend an OTP must go to the OTP for observed dispensing unless they are eligible for and receive take-home medication. Most OTP patients who reside in a LTCF can receive take-home medication. Patients receiving MOUD outside of an OTP are prescribed medication, which will not include methadone.</w:t>
      </w:r>
    </w:p>
    <w:p w14:paraId="3E3571EF" w14:textId="77777777" w:rsidR="009D1CCE" w:rsidRPr="009D1CCE" w:rsidRDefault="009D1CCE" w:rsidP="009D1CCE">
      <w:pPr>
        <w:widowControl w:val="0"/>
        <w:autoSpaceDE w:val="0"/>
        <w:autoSpaceDN w:val="0"/>
        <w:spacing w:before="3"/>
        <w:rPr>
          <w:szCs w:val="24"/>
        </w:rPr>
      </w:pPr>
    </w:p>
    <w:p w14:paraId="2360A89B" w14:textId="77777777" w:rsidR="009D1CCE" w:rsidRPr="009D1CCE" w:rsidRDefault="009D1CCE" w:rsidP="009D1CCE">
      <w:pPr>
        <w:widowControl w:val="0"/>
        <w:autoSpaceDE w:val="0"/>
        <w:autoSpaceDN w:val="0"/>
        <w:spacing w:line="259" w:lineRule="auto"/>
        <w:ind w:left="540" w:right="128"/>
        <w:rPr>
          <w:b/>
          <w:bCs/>
          <w:szCs w:val="24"/>
        </w:rPr>
      </w:pPr>
      <w:r w:rsidRPr="009D1CCE">
        <w:rPr>
          <w:szCs w:val="24"/>
        </w:rPr>
        <w:t xml:space="preserve">Individuals requiring care in an LTCF may require treatment for opioid use disorder, which includes MOUD such as methadone, buprenorphine, buprenorphine/naloxone, or naltrexone. 105 CMR 150.000: </w:t>
      </w:r>
      <w:r w:rsidRPr="009D1CCE">
        <w:rPr>
          <w:i/>
          <w:iCs/>
          <w:szCs w:val="24"/>
        </w:rPr>
        <w:t xml:space="preserve">Standards for Long-Term Care Facilities </w:t>
      </w:r>
      <w:proofErr w:type="gramStart"/>
      <w:r w:rsidRPr="009D1CCE">
        <w:rPr>
          <w:szCs w:val="24"/>
        </w:rPr>
        <w:t>requires</w:t>
      </w:r>
      <w:proofErr w:type="gramEnd"/>
      <w:r w:rsidRPr="009D1CCE">
        <w:rPr>
          <w:szCs w:val="24"/>
        </w:rPr>
        <w:t xml:space="preserve"> LTCFs to provide care and services to meet the resident’s physical, emotional, behavioral, and social needs, </w:t>
      </w:r>
      <w:r w:rsidRPr="009D1CCE">
        <w:rPr>
          <w:b/>
          <w:bCs/>
          <w:szCs w:val="24"/>
        </w:rPr>
        <w:t>including</w:t>
      </w:r>
      <w:r w:rsidRPr="009D1CCE">
        <w:rPr>
          <w:szCs w:val="24"/>
        </w:rPr>
        <w:t xml:space="preserve"> </w:t>
      </w:r>
      <w:r w:rsidRPr="009D1CCE">
        <w:rPr>
          <w:b/>
          <w:bCs/>
          <w:szCs w:val="24"/>
        </w:rPr>
        <w:t>access</w:t>
      </w:r>
      <w:r w:rsidRPr="009D1CCE">
        <w:rPr>
          <w:b/>
          <w:bCs/>
          <w:spacing w:val="-3"/>
          <w:szCs w:val="24"/>
        </w:rPr>
        <w:t xml:space="preserve"> </w:t>
      </w:r>
      <w:r w:rsidRPr="009D1CCE">
        <w:rPr>
          <w:b/>
          <w:bCs/>
          <w:szCs w:val="24"/>
        </w:rPr>
        <w:t>to</w:t>
      </w:r>
      <w:r w:rsidRPr="009D1CCE">
        <w:rPr>
          <w:b/>
          <w:bCs/>
          <w:spacing w:val="-3"/>
          <w:szCs w:val="24"/>
        </w:rPr>
        <w:t xml:space="preserve"> </w:t>
      </w:r>
      <w:r w:rsidRPr="009D1CCE">
        <w:rPr>
          <w:b/>
          <w:bCs/>
          <w:szCs w:val="24"/>
        </w:rPr>
        <w:t xml:space="preserve">MOUD while a resident. </w:t>
      </w:r>
    </w:p>
    <w:p w14:paraId="4E31176D" w14:textId="77777777" w:rsidR="009D1CCE" w:rsidRPr="009D1CCE" w:rsidRDefault="009D1CCE" w:rsidP="009D1CCE">
      <w:pPr>
        <w:widowControl w:val="0"/>
        <w:autoSpaceDE w:val="0"/>
        <w:autoSpaceDN w:val="0"/>
        <w:spacing w:line="259" w:lineRule="auto"/>
        <w:ind w:left="540" w:right="128"/>
        <w:rPr>
          <w:b/>
          <w:bCs/>
          <w:szCs w:val="24"/>
        </w:rPr>
      </w:pPr>
    </w:p>
    <w:p w14:paraId="4C5C97A0" w14:textId="77777777" w:rsidR="009D1CCE" w:rsidRPr="009D1CCE" w:rsidRDefault="009D1CCE" w:rsidP="009D1CCE">
      <w:pPr>
        <w:widowControl w:val="0"/>
        <w:autoSpaceDE w:val="0"/>
        <w:autoSpaceDN w:val="0"/>
        <w:spacing w:line="259" w:lineRule="auto"/>
        <w:ind w:left="540" w:right="128"/>
        <w:rPr>
          <w:szCs w:val="24"/>
        </w:rPr>
      </w:pPr>
      <w:r w:rsidRPr="009D1CCE">
        <w:rPr>
          <w:szCs w:val="24"/>
        </w:rPr>
        <w:t xml:space="preserve">Pursuant to 105 CMR 150.003, LTCFs must admit residents in accordance with policies and procedures acceptable to the Department and must apply admissions criteria equally to all potential admissions where those placements are medically and socially appropriate. </w:t>
      </w:r>
      <w:r w:rsidRPr="009D1CCE">
        <w:rPr>
          <w:b/>
          <w:bCs/>
          <w:szCs w:val="24"/>
        </w:rPr>
        <w:t>A LTCF’s denial of admission shall not be based on an individual’s treatment for opioid use disorder</w:t>
      </w:r>
      <w:r w:rsidRPr="009D1CCE">
        <w:rPr>
          <w:szCs w:val="24"/>
        </w:rPr>
        <w:t>. Where admission is otherwise appropriate, a LTCF shall admit and care for the</w:t>
      </w:r>
      <w:r w:rsidRPr="009D1CCE">
        <w:rPr>
          <w:spacing w:val="-3"/>
          <w:szCs w:val="24"/>
        </w:rPr>
        <w:t xml:space="preserve"> </w:t>
      </w:r>
      <w:r w:rsidRPr="009D1CCE">
        <w:rPr>
          <w:szCs w:val="24"/>
        </w:rPr>
        <w:t>resident</w:t>
      </w:r>
      <w:r w:rsidRPr="009D1CCE">
        <w:rPr>
          <w:spacing w:val="-1"/>
          <w:szCs w:val="24"/>
        </w:rPr>
        <w:t xml:space="preserve"> </w:t>
      </w:r>
      <w:r w:rsidRPr="009D1CCE">
        <w:rPr>
          <w:b/>
          <w:bCs/>
          <w:szCs w:val="24"/>
        </w:rPr>
        <w:t>and</w:t>
      </w:r>
      <w:r w:rsidRPr="009D1CCE">
        <w:rPr>
          <w:b/>
          <w:bCs/>
          <w:spacing w:val="-1"/>
          <w:szCs w:val="24"/>
        </w:rPr>
        <w:t xml:space="preserve"> </w:t>
      </w:r>
      <w:r w:rsidRPr="009D1CCE">
        <w:rPr>
          <w:szCs w:val="24"/>
        </w:rPr>
        <w:t>shall provide</w:t>
      </w:r>
      <w:r w:rsidRPr="009D1CCE">
        <w:rPr>
          <w:spacing w:val="-3"/>
          <w:szCs w:val="24"/>
        </w:rPr>
        <w:t xml:space="preserve"> </w:t>
      </w:r>
      <w:r w:rsidRPr="009D1CCE">
        <w:rPr>
          <w:szCs w:val="24"/>
        </w:rPr>
        <w:t>access</w:t>
      </w:r>
      <w:r w:rsidRPr="009D1CCE">
        <w:rPr>
          <w:spacing w:val="-2"/>
          <w:szCs w:val="24"/>
        </w:rPr>
        <w:t xml:space="preserve"> </w:t>
      </w:r>
      <w:r w:rsidRPr="009D1CCE">
        <w:rPr>
          <w:szCs w:val="24"/>
        </w:rPr>
        <w:t>to</w:t>
      </w:r>
      <w:r w:rsidRPr="009D1CCE">
        <w:rPr>
          <w:spacing w:val="-1"/>
          <w:szCs w:val="24"/>
        </w:rPr>
        <w:t xml:space="preserve"> </w:t>
      </w:r>
      <w:r w:rsidRPr="009D1CCE">
        <w:rPr>
          <w:szCs w:val="24"/>
        </w:rPr>
        <w:t>administration</w:t>
      </w:r>
      <w:r w:rsidRPr="009D1CCE">
        <w:rPr>
          <w:spacing w:val="-2"/>
          <w:szCs w:val="24"/>
        </w:rPr>
        <w:t xml:space="preserve"> </w:t>
      </w:r>
      <w:r w:rsidRPr="009D1CCE">
        <w:rPr>
          <w:szCs w:val="24"/>
        </w:rPr>
        <w:t>of MOUD as directed by the resident’s opioid treatment program (OTP) or office-based opioid treatment/office-based addiction treatment (OBOT/ OBAT) program, or a prescriber in the LTCF.</w:t>
      </w:r>
    </w:p>
    <w:p w14:paraId="1731A59A" w14:textId="77777777" w:rsidR="009D1CCE" w:rsidRPr="009D1CCE" w:rsidRDefault="009D1CCE" w:rsidP="009D1CCE">
      <w:pPr>
        <w:widowControl w:val="0"/>
        <w:autoSpaceDE w:val="0"/>
        <w:autoSpaceDN w:val="0"/>
        <w:ind w:left="540"/>
        <w:rPr>
          <w:color w:val="13548F"/>
          <w:spacing w:val="-2"/>
          <w:szCs w:val="24"/>
          <w:u w:val="single" w:color="13548F"/>
        </w:rPr>
      </w:pPr>
    </w:p>
    <w:p w14:paraId="66AABB91" w14:textId="77777777" w:rsidR="009D1CCE" w:rsidRPr="009D1CCE" w:rsidRDefault="009D1CCE" w:rsidP="009D1CCE">
      <w:pPr>
        <w:widowControl w:val="0"/>
        <w:autoSpaceDE w:val="0"/>
        <w:autoSpaceDN w:val="0"/>
        <w:ind w:left="540"/>
        <w:rPr>
          <w:color w:val="000000"/>
          <w:spacing w:val="-2"/>
          <w:szCs w:val="24"/>
          <w:u w:color="13548F"/>
        </w:rPr>
      </w:pPr>
      <w:r w:rsidRPr="009D1CCE">
        <w:rPr>
          <w:color w:val="000000"/>
          <w:spacing w:val="-2"/>
          <w:szCs w:val="24"/>
          <w:u w:color="13548F"/>
        </w:rPr>
        <w:t xml:space="preserve">The Consolidated Appropriations Act of 2023 (the Act), which took effect on January 23, 2023, </w:t>
      </w:r>
      <w:r w:rsidRPr="009D1CCE">
        <w:rPr>
          <w:b/>
          <w:color w:val="000000"/>
          <w:spacing w:val="-2"/>
          <w:szCs w:val="24"/>
          <w:u w:color="13548F"/>
        </w:rPr>
        <w:t>enables any practitioner with a current DEA registration and Schedule III authority to prescribe buprenorphine.</w:t>
      </w:r>
      <w:r w:rsidRPr="009D1CCE">
        <w:rPr>
          <w:color w:val="000000"/>
          <w:spacing w:val="-2"/>
          <w:szCs w:val="24"/>
          <w:u w:color="13548F"/>
        </w:rPr>
        <w:t xml:space="preserve"> This Act removed all limits on the number of patients that a practitioner can treat with buprenorphine. The Act also established a new requirement for all DEA-registered practitioners to complete eight (8) hours of training on the treatment and management of patients with opioid and other substance use disorders.</w:t>
      </w:r>
      <w:r w:rsidRPr="009D1CCE">
        <w:rPr>
          <w:color w:val="000000"/>
          <w:spacing w:val="-2"/>
          <w:szCs w:val="24"/>
          <w:u w:color="13548F"/>
          <w:vertAlign w:val="superscript"/>
        </w:rPr>
        <w:footnoteReference w:id="2"/>
      </w:r>
      <w:r w:rsidRPr="009D1CCE">
        <w:rPr>
          <w:color w:val="000000"/>
          <w:spacing w:val="-2"/>
          <w:szCs w:val="24"/>
          <w:u w:color="13548F"/>
        </w:rPr>
        <w:t xml:space="preserve"> </w:t>
      </w:r>
    </w:p>
    <w:p w14:paraId="3EEA937A" w14:textId="77777777" w:rsidR="009D1CCE" w:rsidRPr="009D1CCE" w:rsidRDefault="009D1CCE" w:rsidP="009D1CCE">
      <w:pPr>
        <w:widowControl w:val="0"/>
        <w:autoSpaceDE w:val="0"/>
        <w:autoSpaceDN w:val="0"/>
        <w:spacing w:before="3"/>
        <w:rPr>
          <w:szCs w:val="24"/>
        </w:rPr>
      </w:pPr>
    </w:p>
    <w:p w14:paraId="48287514" w14:textId="77777777" w:rsidR="009D1CCE" w:rsidRPr="009D1CCE" w:rsidRDefault="009D1CCE" w:rsidP="009D1CCE">
      <w:pPr>
        <w:widowControl w:val="0"/>
        <w:autoSpaceDE w:val="0"/>
        <w:autoSpaceDN w:val="0"/>
        <w:ind w:left="540"/>
        <w:outlineLvl w:val="0"/>
        <w:rPr>
          <w:b/>
          <w:bCs/>
          <w:szCs w:val="24"/>
        </w:rPr>
      </w:pPr>
      <w:r w:rsidRPr="009D1CCE">
        <w:rPr>
          <w:b/>
          <w:bCs/>
          <w:color w:val="131313"/>
          <w:spacing w:val="-2"/>
          <w:szCs w:val="24"/>
        </w:rPr>
        <w:t>Methadone</w:t>
      </w:r>
    </w:p>
    <w:p w14:paraId="53205E3A" w14:textId="77777777" w:rsidR="009D1CCE" w:rsidRPr="009D1CCE" w:rsidRDefault="009D1CCE" w:rsidP="009D1CCE">
      <w:pPr>
        <w:widowControl w:val="0"/>
        <w:autoSpaceDE w:val="0"/>
        <w:autoSpaceDN w:val="0"/>
        <w:spacing w:before="4"/>
        <w:rPr>
          <w:b/>
          <w:szCs w:val="24"/>
        </w:rPr>
      </w:pPr>
    </w:p>
    <w:p w14:paraId="1BCBA85F" w14:textId="77777777" w:rsidR="009D1CCE" w:rsidRPr="009D1CCE" w:rsidRDefault="009D1CCE" w:rsidP="009D1CCE">
      <w:pPr>
        <w:widowControl w:val="0"/>
        <w:autoSpaceDE w:val="0"/>
        <w:autoSpaceDN w:val="0"/>
        <w:spacing w:before="1"/>
        <w:ind w:left="540" w:right="187"/>
        <w:rPr>
          <w:szCs w:val="24"/>
        </w:rPr>
      </w:pPr>
      <w:r w:rsidRPr="009D1CCE">
        <w:rPr>
          <w:szCs w:val="24"/>
        </w:rPr>
        <w:t>As</w:t>
      </w:r>
      <w:r w:rsidRPr="009D1CCE">
        <w:rPr>
          <w:spacing w:val="-3"/>
          <w:szCs w:val="24"/>
        </w:rPr>
        <w:t xml:space="preserve"> </w:t>
      </w:r>
      <w:r w:rsidRPr="009D1CCE">
        <w:rPr>
          <w:szCs w:val="24"/>
        </w:rPr>
        <w:t>part</w:t>
      </w:r>
      <w:r w:rsidRPr="009D1CCE">
        <w:rPr>
          <w:spacing w:val="-3"/>
          <w:szCs w:val="24"/>
        </w:rPr>
        <w:t xml:space="preserve"> </w:t>
      </w:r>
      <w:r w:rsidRPr="009D1CCE">
        <w:rPr>
          <w:szCs w:val="24"/>
        </w:rPr>
        <w:t>of</w:t>
      </w:r>
      <w:r w:rsidRPr="009D1CCE">
        <w:rPr>
          <w:spacing w:val="-4"/>
          <w:szCs w:val="24"/>
        </w:rPr>
        <w:t xml:space="preserve"> </w:t>
      </w:r>
      <w:r w:rsidRPr="009D1CCE">
        <w:rPr>
          <w:szCs w:val="24"/>
        </w:rPr>
        <w:t>the</w:t>
      </w:r>
      <w:r w:rsidRPr="009D1CCE">
        <w:rPr>
          <w:spacing w:val="-3"/>
          <w:szCs w:val="24"/>
        </w:rPr>
        <w:t xml:space="preserve"> </w:t>
      </w:r>
      <w:r w:rsidRPr="009D1CCE">
        <w:rPr>
          <w:szCs w:val="24"/>
        </w:rPr>
        <w:t>LTCF</w:t>
      </w:r>
      <w:r w:rsidRPr="009D1CCE">
        <w:rPr>
          <w:spacing w:val="-5"/>
          <w:szCs w:val="24"/>
        </w:rPr>
        <w:t xml:space="preserve"> </w:t>
      </w:r>
      <w:r w:rsidRPr="009D1CCE">
        <w:rPr>
          <w:szCs w:val="24"/>
        </w:rPr>
        <w:t>admission</w:t>
      </w:r>
      <w:r w:rsidRPr="009D1CCE">
        <w:rPr>
          <w:spacing w:val="-3"/>
          <w:szCs w:val="24"/>
        </w:rPr>
        <w:t xml:space="preserve"> </w:t>
      </w:r>
      <w:r w:rsidRPr="009D1CCE">
        <w:rPr>
          <w:szCs w:val="24"/>
        </w:rPr>
        <w:t>process,</w:t>
      </w:r>
      <w:r w:rsidRPr="009D1CCE">
        <w:rPr>
          <w:spacing w:val="-3"/>
          <w:szCs w:val="24"/>
        </w:rPr>
        <w:t xml:space="preserve"> </w:t>
      </w:r>
      <w:r w:rsidRPr="009D1CCE">
        <w:rPr>
          <w:szCs w:val="24"/>
        </w:rPr>
        <w:t>and</w:t>
      </w:r>
      <w:r w:rsidRPr="009D1CCE">
        <w:rPr>
          <w:spacing w:val="-3"/>
          <w:szCs w:val="24"/>
        </w:rPr>
        <w:t xml:space="preserve"> </w:t>
      </w:r>
      <w:r w:rsidRPr="009D1CCE">
        <w:rPr>
          <w:szCs w:val="24"/>
        </w:rPr>
        <w:t>prior</w:t>
      </w:r>
      <w:r w:rsidRPr="009D1CCE">
        <w:rPr>
          <w:spacing w:val="-2"/>
          <w:szCs w:val="24"/>
        </w:rPr>
        <w:t xml:space="preserve"> </w:t>
      </w:r>
      <w:r w:rsidRPr="009D1CCE">
        <w:rPr>
          <w:szCs w:val="24"/>
        </w:rPr>
        <w:t>to</w:t>
      </w:r>
      <w:r w:rsidRPr="009D1CCE">
        <w:rPr>
          <w:spacing w:val="-3"/>
          <w:szCs w:val="24"/>
        </w:rPr>
        <w:t xml:space="preserve"> </w:t>
      </w:r>
      <w:r w:rsidRPr="009D1CCE">
        <w:rPr>
          <w:szCs w:val="24"/>
        </w:rPr>
        <w:t>allowing patients</w:t>
      </w:r>
      <w:r w:rsidRPr="009D1CCE">
        <w:rPr>
          <w:spacing w:val="-3"/>
          <w:szCs w:val="24"/>
        </w:rPr>
        <w:t xml:space="preserve"> </w:t>
      </w:r>
      <w:r w:rsidRPr="009D1CCE">
        <w:rPr>
          <w:szCs w:val="24"/>
        </w:rPr>
        <w:t>to</w:t>
      </w:r>
      <w:r w:rsidRPr="009D1CCE">
        <w:rPr>
          <w:spacing w:val="-3"/>
          <w:szCs w:val="24"/>
        </w:rPr>
        <w:t xml:space="preserve"> </w:t>
      </w:r>
      <w:r w:rsidRPr="009D1CCE">
        <w:rPr>
          <w:szCs w:val="24"/>
        </w:rPr>
        <w:t>self-administer</w:t>
      </w:r>
      <w:r w:rsidRPr="009D1CCE">
        <w:rPr>
          <w:spacing w:val="-3"/>
          <w:szCs w:val="24"/>
        </w:rPr>
        <w:t xml:space="preserve"> </w:t>
      </w:r>
      <w:r w:rsidRPr="009D1CCE">
        <w:rPr>
          <w:szCs w:val="24"/>
        </w:rPr>
        <w:t>any</w:t>
      </w:r>
      <w:r w:rsidRPr="009D1CCE">
        <w:rPr>
          <w:spacing w:val="-2"/>
          <w:szCs w:val="24"/>
        </w:rPr>
        <w:t xml:space="preserve"> </w:t>
      </w:r>
      <w:r w:rsidRPr="009D1CCE">
        <w:rPr>
          <w:szCs w:val="24"/>
        </w:rPr>
        <w:t xml:space="preserve">pre-poured take-home methadone, the LTCF shall review all existing prescription orders, including the take-home </w:t>
      </w:r>
      <w:proofErr w:type="gramStart"/>
      <w:r w:rsidRPr="009D1CCE">
        <w:rPr>
          <w:szCs w:val="24"/>
        </w:rPr>
        <w:t>methadone</w:t>
      </w:r>
      <w:r w:rsidRPr="009D1CCE">
        <w:rPr>
          <w:spacing w:val="-4"/>
          <w:szCs w:val="24"/>
        </w:rPr>
        <w:t xml:space="preserve"> </w:t>
      </w:r>
      <w:r w:rsidRPr="009D1CCE">
        <w:rPr>
          <w:szCs w:val="24"/>
        </w:rPr>
        <w:t>documentation</w:t>
      </w:r>
      <w:proofErr w:type="gramEnd"/>
      <w:r w:rsidRPr="009D1CCE">
        <w:rPr>
          <w:spacing w:val="-4"/>
          <w:szCs w:val="24"/>
        </w:rPr>
        <w:t xml:space="preserve"> </w:t>
      </w:r>
      <w:r w:rsidRPr="009D1CCE">
        <w:rPr>
          <w:szCs w:val="24"/>
        </w:rPr>
        <w:t>obtained</w:t>
      </w:r>
      <w:r w:rsidRPr="009D1CCE">
        <w:rPr>
          <w:spacing w:val="-4"/>
          <w:szCs w:val="24"/>
        </w:rPr>
        <w:t xml:space="preserve"> </w:t>
      </w:r>
      <w:r w:rsidRPr="009D1CCE">
        <w:rPr>
          <w:szCs w:val="24"/>
        </w:rPr>
        <w:t>from</w:t>
      </w:r>
      <w:r w:rsidRPr="009D1CCE">
        <w:rPr>
          <w:spacing w:val="-4"/>
          <w:szCs w:val="24"/>
        </w:rPr>
        <w:t xml:space="preserve"> </w:t>
      </w:r>
      <w:r w:rsidRPr="009D1CCE">
        <w:rPr>
          <w:szCs w:val="24"/>
        </w:rPr>
        <w:t>the</w:t>
      </w:r>
      <w:r w:rsidRPr="009D1CCE">
        <w:rPr>
          <w:spacing w:val="-4"/>
          <w:szCs w:val="24"/>
        </w:rPr>
        <w:t xml:space="preserve"> </w:t>
      </w:r>
      <w:r w:rsidRPr="009D1CCE">
        <w:rPr>
          <w:szCs w:val="24"/>
        </w:rPr>
        <w:t>OTP,</w:t>
      </w:r>
      <w:r w:rsidRPr="009D1CCE">
        <w:rPr>
          <w:spacing w:val="-4"/>
          <w:szCs w:val="24"/>
        </w:rPr>
        <w:t xml:space="preserve"> </w:t>
      </w:r>
      <w:r w:rsidRPr="009D1CCE">
        <w:rPr>
          <w:szCs w:val="24"/>
        </w:rPr>
        <w:t>to</w:t>
      </w:r>
      <w:r w:rsidRPr="009D1CCE">
        <w:rPr>
          <w:spacing w:val="-4"/>
          <w:szCs w:val="24"/>
        </w:rPr>
        <w:t xml:space="preserve"> </w:t>
      </w:r>
      <w:r w:rsidRPr="009D1CCE">
        <w:rPr>
          <w:szCs w:val="24"/>
        </w:rPr>
        <w:t>ensure</w:t>
      </w:r>
      <w:r w:rsidRPr="009D1CCE">
        <w:rPr>
          <w:spacing w:val="-4"/>
          <w:szCs w:val="24"/>
        </w:rPr>
        <w:t xml:space="preserve"> </w:t>
      </w:r>
      <w:r w:rsidRPr="009D1CCE">
        <w:rPr>
          <w:szCs w:val="24"/>
        </w:rPr>
        <w:t>that</w:t>
      </w:r>
      <w:r w:rsidRPr="009D1CCE">
        <w:rPr>
          <w:spacing w:val="-1"/>
          <w:szCs w:val="24"/>
        </w:rPr>
        <w:t xml:space="preserve"> </w:t>
      </w:r>
      <w:r w:rsidRPr="009D1CCE">
        <w:rPr>
          <w:szCs w:val="24"/>
        </w:rPr>
        <w:t>other</w:t>
      </w:r>
      <w:r w:rsidRPr="009D1CCE">
        <w:rPr>
          <w:spacing w:val="-5"/>
          <w:szCs w:val="24"/>
        </w:rPr>
        <w:t xml:space="preserve"> </w:t>
      </w:r>
      <w:r w:rsidRPr="009D1CCE">
        <w:rPr>
          <w:szCs w:val="24"/>
        </w:rPr>
        <w:t>medications</w:t>
      </w:r>
      <w:r w:rsidRPr="009D1CCE">
        <w:rPr>
          <w:spacing w:val="-3"/>
          <w:szCs w:val="24"/>
        </w:rPr>
        <w:t xml:space="preserve"> </w:t>
      </w:r>
      <w:r w:rsidRPr="009D1CCE">
        <w:rPr>
          <w:szCs w:val="24"/>
        </w:rPr>
        <w:t>currently</w:t>
      </w:r>
      <w:r w:rsidRPr="009D1CCE">
        <w:rPr>
          <w:spacing w:val="-4"/>
          <w:szCs w:val="24"/>
        </w:rPr>
        <w:t xml:space="preserve"> </w:t>
      </w:r>
      <w:r w:rsidRPr="009D1CCE">
        <w:rPr>
          <w:szCs w:val="24"/>
        </w:rPr>
        <w:t>prescribed are</w:t>
      </w:r>
      <w:r w:rsidRPr="009D1CCE">
        <w:rPr>
          <w:spacing w:val="-4"/>
          <w:szCs w:val="24"/>
        </w:rPr>
        <w:t xml:space="preserve"> </w:t>
      </w:r>
      <w:r w:rsidRPr="009D1CCE">
        <w:rPr>
          <w:szCs w:val="24"/>
        </w:rPr>
        <w:t>not</w:t>
      </w:r>
      <w:r w:rsidRPr="009D1CCE">
        <w:rPr>
          <w:spacing w:val="-2"/>
          <w:szCs w:val="24"/>
        </w:rPr>
        <w:t xml:space="preserve"> </w:t>
      </w:r>
      <w:r w:rsidRPr="009D1CCE">
        <w:rPr>
          <w:szCs w:val="24"/>
        </w:rPr>
        <w:t>contraindicated</w:t>
      </w:r>
      <w:r w:rsidRPr="009D1CCE">
        <w:rPr>
          <w:spacing w:val="-2"/>
          <w:szCs w:val="24"/>
        </w:rPr>
        <w:t xml:space="preserve"> </w:t>
      </w:r>
      <w:r w:rsidRPr="009D1CCE">
        <w:rPr>
          <w:szCs w:val="24"/>
        </w:rPr>
        <w:t>due</w:t>
      </w:r>
      <w:r w:rsidRPr="009D1CCE">
        <w:rPr>
          <w:spacing w:val="-3"/>
          <w:szCs w:val="24"/>
        </w:rPr>
        <w:t xml:space="preserve"> </w:t>
      </w:r>
      <w:r w:rsidRPr="009D1CCE">
        <w:rPr>
          <w:szCs w:val="24"/>
        </w:rPr>
        <w:t>to</w:t>
      </w:r>
      <w:r w:rsidRPr="009D1CCE">
        <w:rPr>
          <w:spacing w:val="-2"/>
          <w:szCs w:val="24"/>
        </w:rPr>
        <w:t xml:space="preserve"> </w:t>
      </w:r>
      <w:r w:rsidRPr="009D1CCE">
        <w:rPr>
          <w:szCs w:val="24"/>
        </w:rPr>
        <w:t>interactions</w:t>
      </w:r>
      <w:r w:rsidRPr="009D1CCE">
        <w:rPr>
          <w:spacing w:val="-1"/>
          <w:szCs w:val="24"/>
        </w:rPr>
        <w:t xml:space="preserve"> </w:t>
      </w:r>
      <w:r w:rsidRPr="009D1CCE">
        <w:rPr>
          <w:szCs w:val="24"/>
        </w:rPr>
        <w:t>between</w:t>
      </w:r>
      <w:r w:rsidRPr="009D1CCE">
        <w:rPr>
          <w:spacing w:val="-2"/>
          <w:szCs w:val="24"/>
        </w:rPr>
        <w:t xml:space="preserve"> </w:t>
      </w:r>
      <w:r w:rsidRPr="009D1CCE">
        <w:rPr>
          <w:szCs w:val="24"/>
        </w:rPr>
        <w:t>methadone</w:t>
      </w:r>
      <w:r w:rsidRPr="009D1CCE">
        <w:rPr>
          <w:spacing w:val="-3"/>
          <w:szCs w:val="24"/>
        </w:rPr>
        <w:t xml:space="preserve"> </w:t>
      </w:r>
      <w:r w:rsidRPr="009D1CCE">
        <w:rPr>
          <w:szCs w:val="24"/>
        </w:rPr>
        <w:t>and</w:t>
      </w:r>
      <w:r w:rsidRPr="009D1CCE">
        <w:rPr>
          <w:spacing w:val="-2"/>
          <w:szCs w:val="24"/>
        </w:rPr>
        <w:t xml:space="preserve"> </w:t>
      </w:r>
      <w:r w:rsidRPr="009D1CCE">
        <w:rPr>
          <w:szCs w:val="24"/>
        </w:rPr>
        <w:t>the</w:t>
      </w:r>
      <w:r w:rsidRPr="009D1CCE">
        <w:rPr>
          <w:spacing w:val="-1"/>
          <w:szCs w:val="24"/>
        </w:rPr>
        <w:t xml:space="preserve"> </w:t>
      </w:r>
      <w:r w:rsidRPr="009D1CCE">
        <w:rPr>
          <w:szCs w:val="24"/>
        </w:rPr>
        <w:t>currently</w:t>
      </w:r>
      <w:r w:rsidRPr="009D1CCE">
        <w:rPr>
          <w:spacing w:val="-2"/>
          <w:szCs w:val="24"/>
        </w:rPr>
        <w:t xml:space="preserve"> </w:t>
      </w:r>
      <w:r w:rsidRPr="009D1CCE">
        <w:rPr>
          <w:szCs w:val="24"/>
        </w:rPr>
        <w:t>prescribed</w:t>
      </w:r>
      <w:r w:rsidRPr="009D1CCE">
        <w:rPr>
          <w:spacing w:val="-2"/>
          <w:szCs w:val="24"/>
        </w:rPr>
        <w:t xml:space="preserve"> </w:t>
      </w:r>
      <w:r w:rsidRPr="009D1CCE">
        <w:rPr>
          <w:szCs w:val="24"/>
        </w:rPr>
        <w:t xml:space="preserve">medications for medical conditions. Medication changes should be communicated to the </w:t>
      </w:r>
      <w:proofErr w:type="gramStart"/>
      <w:r w:rsidRPr="009D1CCE">
        <w:rPr>
          <w:szCs w:val="24"/>
        </w:rPr>
        <w:t>resident's</w:t>
      </w:r>
      <w:proofErr w:type="gramEnd"/>
      <w:r w:rsidRPr="009D1CCE">
        <w:rPr>
          <w:szCs w:val="24"/>
        </w:rPr>
        <w:t xml:space="preserve"> OTP provider. </w:t>
      </w:r>
    </w:p>
    <w:p w14:paraId="6F06FB0F" w14:textId="77777777" w:rsidR="009D1CCE" w:rsidRPr="009D1CCE" w:rsidRDefault="009D1CCE" w:rsidP="009D1CCE">
      <w:pPr>
        <w:widowControl w:val="0"/>
        <w:autoSpaceDE w:val="0"/>
        <w:autoSpaceDN w:val="0"/>
        <w:spacing w:before="5"/>
        <w:rPr>
          <w:szCs w:val="24"/>
        </w:rPr>
      </w:pPr>
    </w:p>
    <w:p w14:paraId="79DA5147" w14:textId="77777777" w:rsidR="009D1CCE" w:rsidRPr="009D1CCE" w:rsidRDefault="009D1CCE" w:rsidP="009D1CCE">
      <w:pPr>
        <w:widowControl w:val="0"/>
        <w:autoSpaceDE w:val="0"/>
        <w:autoSpaceDN w:val="0"/>
        <w:ind w:left="540"/>
        <w:rPr>
          <w:szCs w:val="24"/>
        </w:rPr>
      </w:pPr>
      <w:r w:rsidRPr="009D1CCE">
        <w:rPr>
          <w:szCs w:val="24"/>
        </w:rPr>
        <w:t>Pursuant to 105 CMR 150.008(A),</w:t>
      </w:r>
      <w:r w:rsidRPr="009D1CCE">
        <w:rPr>
          <w:spacing w:val="-3"/>
          <w:szCs w:val="24"/>
        </w:rPr>
        <w:t xml:space="preserve"> </w:t>
      </w:r>
      <w:r w:rsidRPr="009D1CCE">
        <w:rPr>
          <w:szCs w:val="24"/>
        </w:rPr>
        <w:t>LTCFs</w:t>
      </w:r>
      <w:r w:rsidRPr="009D1CCE">
        <w:rPr>
          <w:spacing w:val="-2"/>
          <w:szCs w:val="24"/>
        </w:rPr>
        <w:t xml:space="preserve"> </w:t>
      </w:r>
      <w:r w:rsidRPr="009D1CCE">
        <w:rPr>
          <w:szCs w:val="24"/>
        </w:rPr>
        <w:t xml:space="preserve">shall maintain procedures regarding the procurement, storage, dispensing, administration, and recording of drugs and medication, </w:t>
      </w:r>
      <w:r w:rsidRPr="009D1CCE">
        <w:rPr>
          <w:szCs w:val="24"/>
        </w:rPr>
        <w:lastRenderedPageBreak/>
        <w:t>including procedures</w:t>
      </w:r>
      <w:r w:rsidRPr="009D1CCE">
        <w:rPr>
          <w:spacing w:val="-3"/>
          <w:szCs w:val="24"/>
        </w:rPr>
        <w:t xml:space="preserve"> </w:t>
      </w:r>
      <w:r w:rsidRPr="009D1CCE">
        <w:rPr>
          <w:szCs w:val="24"/>
        </w:rPr>
        <w:t>for obtaining</w:t>
      </w:r>
      <w:r w:rsidRPr="009D1CCE">
        <w:rPr>
          <w:spacing w:val="2"/>
          <w:szCs w:val="24"/>
        </w:rPr>
        <w:t xml:space="preserve"> </w:t>
      </w:r>
      <w:r w:rsidRPr="009D1CCE">
        <w:rPr>
          <w:szCs w:val="24"/>
        </w:rPr>
        <w:t>individually</w:t>
      </w:r>
      <w:r w:rsidRPr="009D1CCE">
        <w:rPr>
          <w:spacing w:val="-1"/>
          <w:szCs w:val="24"/>
        </w:rPr>
        <w:t xml:space="preserve"> </w:t>
      </w:r>
      <w:r w:rsidRPr="009D1CCE">
        <w:rPr>
          <w:szCs w:val="24"/>
        </w:rPr>
        <w:t>labeled pre-poured take-</w:t>
      </w:r>
      <w:r w:rsidRPr="009D1CCE">
        <w:rPr>
          <w:spacing w:val="-4"/>
          <w:szCs w:val="24"/>
        </w:rPr>
        <w:t>home</w:t>
      </w:r>
      <w:r w:rsidRPr="009D1CCE">
        <w:rPr>
          <w:szCs w:val="24"/>
        </w:rPr>
        <w:t xml:space="preserve"> methadone doses for residents, where clinically appropriate.</w:t>
      </w:r>
      <w:r w:rsidRPr="009D1CCE">
        <w:rPr>
          <w:spacing w:val="80"/>
          <w:szCs w:val="24"/>
        </w:rPr>
        <w:t xml:space="preserve"> </w:t>
      </w:r>
      <w:r w:rsidRPr="009D1CCE">
        <w:rPr>
          <w:szCs w:val="24"/>
        </w:rPr>
        <w:t>The medication procedure shall include instructions for the acquisition of resident medication, including transportation. The procedure shall comply with all applicable state and federal laws, including required</w:t>
      </w:r>
      <w:r w:rsidRPr="009D1CCE">
        <w:rPr>
          <w:spacing w:val="-2"/>
          <w:szCs w:val="24"/>
        </w:rPr>
        <w:t xml:space="preserve"> </w:t>
      </w:r>
      <w:r w:rsidRPr="009D1CCE">
        <w:rPr>
          <w:szCs w:val="24"/>
        </w:rPr>
        <w:t>transfer</w:t>
      </w:r>
      <w:r w:rsidRPr="009D1CCE">
        <w:rPr>
          <w:spacing w:val="-2"/>
          <w:szCs w:val="24"/>
        </w:rPr>
        <w:t xml:space="preserve"> </w:t>
      </w:r>
      <w:r w:rsidRPr="009D1CCE">
        <w:rPr>
          <w:szCs w:val="24"/>
        </w:rPr>
        <w:t>documentation,</w:t>
      </w:r>
      <w:r w:rsidRPr="009D1CCE">
        <w:rPr>
          <w:spacing w:val="-2"/>
          <w:szCs w:val="24"/>
        </w:rPr>
        <w:t xml:space="preserve"> </w:t>
      </w:r>
      <w:r w:rsidRPr="009D1CCE">
        <w:rPr>
          <w:szCs w:val="24"/>
        </w:rPr>
        <w:t>chain</w:t>
      </w:r>
      <w:r w:rsidRPr="009D1CCE">
        <w:rPr>
          <w:spacing w:val="-2"/>
          <w:szCs w:val="24"/>
        </w:rPr>
        <w:t xml:space="preserve"> </w:t>
      </w:r>
      <w:r w:rsidRPr="009D1CCE">
        <w:rPr>
          <w:szCs w:val="24"/>
        </w:rPr>
        <w:t>of</w:t>
      </w:r>
      <w:r w:rsidRPr="009D1CCE">
        <w:rPr>
          <w:spacing w:val="-2"/>
          <w:szCs w:val="24"/>
        </w:rPr>
        <w:t xml:space="preserve"> </w:t>
      </w:r>
      <w:r w:rsidRPr="009D1CCE">
        <w:rPr>
          <w:szCs w:val="24"/>
        </w:rPr>
        <w:t>custody</w:t>
      </w:r>
      <w:r w:rsidRPr="009D1CCE">
        <w:rPr>
          <w:spacing w:val="-2"/>
          <w:szCs w:val="24"/>
        </w:rPr>
        <w:t xml:space="preserve"> </w:t>
      </w:r>
      <w:r w:rsidRPr="009D1CCE">
        <w:rPr>
          <w:szCs w:val="24"/>
        </w:rPr>
        <w:t xml:space="preserve">forms, and authorizations for release of information from both the LTCF and OTP to allow for care coordination between the facilities in alignment with Health Insurance Portability and Accountability Act (HIPAA) requirements and 42 CFR Part 2: Confidentiality of Substance Use Disorder Patient Records. </w:t>
      </w:r>
    </w:p>
    <w:p w14:paraId="476D011C" w14:textId="77777777" w:rsidR="009D1CCE" w:rsidRPr="009D1CCE" w:rsidRDefault="009D1CCE" w:rsidP="009D1CCE">
      <w:pPr>
        <w:widowControl w:val="0"/>
        <w:autoSpaceDE w:val="0"/>
        <w:autoSpaceDN w:val="0"/>
        <w:ind w:left="540"/>
        <w:rPr>
          <w:szCs w:val="24"/>
        </w:rPr>
      </w:pPr>
    </w:p>
    <w:p w14:paraId="3BD073CD" w14:textId="77777777" w:rsidR="009D1CCE" w:rsidRPr="009D1CCE" w:rsidRDefault="009D1CCE" w:rsidP="009D1CCE">
      <w:pPr>
        <w:widowControl w:val="0"/>
        <w:autoSpaceDE w:val="0"/>
        <w:autoSpaceDN w:val="0"/>
        <w:ind w:left="540"/>
        <w:rPr>
          <w:szCs w:val="24"/>
        </w:rPr>
      </w:pPr>
      <w:r w:rsidRPr="009D1CCE">
        <w:rPr>
          <w:szCs w:val="24"/>
        </w:rPr>
        <w:t xml:space="preserve">LTCFs should have </w:t>
      </w:r>
      <w:proofErr w:type="gramStart"/>
      <w:r w:rsidRPr="009D1CCE">
        <w:rPr>
          <w:szCs w:val="24"/>
        </w:rPr>
        <w:t>a signed</w:t>
      </w:r>
      <w:proofErr w:type="gramEnd"/>
      <w:r w:rsidRPr="009D1CCE">
        <w:rPr>
          <w:szCs w:val="24"/>
        </w:rPr>
        <w:t xml:space="preserve"> qualified service organization agreement (QSOA) with each OTP. The LTCF must have a written policy and procedure for the safe storage, documentation, monitoring, and disposal of medications, including methadone in accordance with 105 CMR 150.008. The policy and procedure must establish a clear chain of custody. Chain of custody is the process of tracking the possession of a medication, such as take-home methadone, to prevent misuse, tampering, and diversion. It is the responsibility of the OTP to ensure that documentation of chain of custody is maintained. The procedure should require </w:t>
      </w:r>
      <w:proofErr w:type="gramStart"/>
      <w:r w:rsidRPr="009D1CCE">
        <w:rPr>
          <w:szCs w:val="24"/>
        </w:rPr>
        <w:t>the LTCF</w:t>
      </w:r>
      <w:proofErr w:type="gramEnd"/>
      <w:r w:rsidRPr="009D1CCE">
        <w:rPr>
          <w:szCs w:val="24"/>
        </w:rPr>
        <w:t xml:space="preserve"> to ensure that all take-home methadone doses received from the OTP are properly packaged and labeled.</w:t>
      </w:r>
      <w:r w:rsidRPr="009D1CCE">
        <w:rPr>
          <w:spacing w:val="40"/>
          <w:szCs w:val="24"/>
        </w:rPr>
        <w:t xml:space="preserve"> </w:t>
      </w:r>
    </w:p>
    <w:p w14:paraId="46F75723" w14:textId="77777777" w:rsidR="009D1CCE" w:rsidRPr="009D1CCE" w:rsidRDefault="009D1CCE" w:rsidP="009D1CCE">
      <w:pPr>
        <w:widowControl w:val="0"/>
        <w:autoSpaceDE w:val="0"/>
        <w:autoSpaceDN w:val="0"/>
        <w:ind w:left="540"/>
        <w:rPr>
          <w:szCs w:val="24"/>
        </w:rPr>
      </w:pPr>
    </w:p>
    <w:p w14:paraId="19D6C77D" w14:textId="77777777" w:rsidR="009D1CCE" w:rsidRPr="009D1CCE" w:rsidRDefault="009D1CCE" w:rsidP="009D1CCE">
      <w:pPr>
        <w:widowControl w:val="0"/>
        <w:autoSpaceDE w:val="0"/>
        <w:autoSpaceDN w:val="0"/>
        <w:ind w:left="540"/>
        <w:rPr>
          <w:szCs w:val="24"/>
        </w:rPr>
      </w:pPr>
      <w:r w:rsidRPr="009D1CCE">
        <w:rPr>
          <w:szCs w:val="24"/>
        </w:rPr>
        <w:t>Once the methadone is in the custody of the LTCF, the facility shall: 1) Store the medication in a double-locked secure area in the nursing</w:t>
      </w:r>
      <w:r w:rsidRPr="009D1CCE">
        <w:rPr>
          <w:spacing w:val="-3"/>
          <w:szCs w:val="24"/>
        </w:rPr>
        <w:t xml:space="preserve"> </w:t>
      </w:r>
      <w:r w:rsidRPr="009D1CCE">
        <w:rPr>
          <w:szCs w:val="24"/>
        </w:rPr>
        <w:t>unit</w:t>
      </w:r>
      <w:r w:rsidRPr="009D1CCE">
        <w:rPr>
          <w:spacing w:val="-2"/>
          <w:szCs w:val="24"/>
        </w:rPr>
        <w:t xml:space="preserve"> </w:t>
      </w:r>
      <w:r w:rsidRPr="009D1CCE">
        <w:rPr>
          <w:szCs w:val="24"/>
        </w:rPr>
        <w:t>as</w:t>
      </w:r>
      <w:r w:rsidRPr="009D1CCE">
        <w:rPr>
          <w:spacing w:val="-3"/>
          <w:szCs w:val="24"/>
        </w:rPr>
        <w:t xml:space="preserve"> </w:t>
      </w:r>
      <w:r w:rsidRPr="009D1CCE">
        <w:rPr>
          <w:szCs w:val="24"/>
        </w:rPr>
        <w:t>required</w:t>
      </w:r>
      <w:r w:rsidRPr="009D1CCE">
        <w:rPr>
          <w:spacing w:val="-3"/>
          <w:szCs w:val="24"/>
        </w:rPr>
        <w:t xml:space="preserve"> </w:t>
      </w:r>
      <w:r w:rsidRPr="009D1CCE">
        <w:rPr>
          <w:szCs w:val="24"/>
        </w:rPr>
        <w:t>by</w:t>
      </w:r>
      <w:r w:rsidRPr="009D1CCE">
        <w:rPr>
          <w:spacing w:val="-3"/>
          <w:szCs w:val="24"/>
        </w:rPr>
        <w:t xml:space="preserve"> </w:t>
      </w:r>
      <w:r w:rsidRPr="009D1CCE">
        <w:rPr>
          <w:szCs w:val="24"/>
        </w:rPr>
        <w:t>105</w:t>
      </w:r>
      <w:r w:rsidRPr="009D1CCE">
        <w:rPr>
          <w:spacing w:val="-3"/>
          <w:szCs w:val="24"/>
        </w:rPr>
        <w:t xml:space="preserve"> </w:t>
      </w:r>
      <w:r w:rsidRPr="009D1CCE">
        <w:rPr>
          <w:szCs w:val="24"/>
        </w:rPr>
        <w:t>CMR</w:t>
      </w:r>
      <w:r w:rsidRPr="009D1CCE">
        <w:rPr>
          <w:spacing w:val="-3"/>
          <w:szCs w:val="24"/>
        </w:rPr>
        <w:t xml:space="preserve"> </w:t>
      </w:r>
      <w:r w:rsidRPr="009D1CCE">
        <w:rPr>
          <w:szCs w:val="24"/>
        </w:rPr>
        <w:t>150.008(D); 2) administer</w:t>
      </w:r>
      <w:r w:rsidRPr="009D1CCE">
        <w:rPr>
          <w:spacing w:val="-3"/>
          <w:szCs w:val="24"/>
        </w:rPr>
        <w:t xml:space="preserve"> </w:t>
      </w:r>
      <w:r w:rsidRPr="009D1CCE">
        <w:rPr>
          <w:szCs w:val="24"/>
        </w:rPr>
        <w:t>the</w:t>
      </w:r>
      <w:r w:rsidRPr="009D1CCE">
        <w:rPr>
          <w:spacing w:val="-4"/>
          <w:szCs w:val="24"/>
        </w:rPr>
        <w:t xml:space="preserve"> </w:t>
      </w:r>
      <w:r w:rsidRPr="009D1CCE">
        <w:rPr>
          <w:szCs w:val="24"/>
        </w:rPr>
        <w:t>medication</w:t>
      </w:r>
      <w:r w:rsidRPr="009D1CCE">
        <w:rPr>
          <w:spacing w:val="-3"/>
          <w:szCs w:val="24"/>
        </w:rPr>
        <w:t xml:space="preserve"> </w:t>
      </w:r>
      <w:r w:rsidRPr="009D1CCE">
        <w:rPr>
          <w:szCs w:val="24"/>
        </w:rPr>
        <w:t>consistent</w:t>
      </w:r>
      <w:r w:rsidRPr="009D1CCE">
        <w:rPr>
          <w:spacing w:val="-3"/>
          <w:szCs w:val="24"/>
        </w:rPr>
        <w:t xml:space="preserve"> </w:t>
      </w:r>
      <w:r w:rsidRPr="009D1CCE">
        <w:rPr>
          <w:szCs w:val="24"/>
        </w:rPr>
        <w:t>with</w:t>
      </w:r>
      <w:r w:rsidRPr="009D1CCE">
        <w:rPr>
          <w:spacing w:val="-3"/>
          <w:szCs w:val="24"/>
        </w:rPr>
        <w:t xml:space="preserve"> </w:t>
      </w:r>
      <w:r w:rsidRPr="009D1CCE">
        <w:rPr>
          <w:szCs w:val="24"/>
        </w:rPr>
        <w:t xml:space="preserve">Department regulations at 105 CMR 700.000 and 105 CMR 150.008 and applicable federal regulations; and 3) document each administration in the resident’s record as required by 105 CMR 150.008(C)(4). </w:t>
      </w:r>
    </w:p>
    <w:p w14:paraId="5FAFBDDB" w14:textId="77777777" w:rsidR="009D1CCE" w:rsidRPr="009D1CCE" w:rsidRDefault="009D1CCE" w:rsidP="009D1CCE">
      <w:pPr>
        <w:widowControl w:val="0"/>
        <w:autoSpaceDE w:val="0"/>
        <w:autoSpaceDN w:val="0"/>
        <w:ind w:left="540" w:right="104"/>
        <w:rPr>
          <w:szCs w:val="24"/>
        </w:rPr>
      </w:pPr>
    </w:p>
    <w:p w14:paraId="74136448" w14:textId="77777777" w:rsidR="009D1CCE" w:rsidRPr="009D1CCE" w:rsidRDefault="009D1CCE" w:rsidP="009D1CCE">
      <w:pPr>
        <w:widowControl w:val="0"/>
        <w:autoSpaceDE w:val="0"/>
        <w:autoSpaceDN w:val="0"/>
        <w:ind w:left="540" w:right="104"/>
        <w:rPr>
          <w:szCs w:val="24"/>
        </w:rPr>
      </w:pPr>
      <w:r w:rsidRPr="009D1CCE">
        <w:rPr>
          <w:szCs w:val="24"/>
        </w:rPr>
        <w:t xml:space="preserve">The LTCF shall establish a procedure for communicating with the OTP regarding the </w:t>
      </w:r>
      <w:proofErr w:type="gramStart"/>
      <w:r w:rsidRPr="009D1CCE">
        <w:rPr>
          <w:szCs w:val="24"/>
        </w:rPr>
        <w:t>resident’s</w:t>
      </w:r>
      <w:proofErr w:type="gramEnd"/>
      <w:r w:rsidRPr="009D1CCE">
        <w:rPr>
          <w:spacing w:val="-4"/>
          <w:szCs w:val="24"/>
        </w:rPr>
        <w:t xml:space="preserve"> </w:t>
      </w:r>
      <w:r w:rsidRPr="009D1CCE">
        <w:rPr>
          <w:szCs w:val="24"/>
        </w:rPr>
        <w:t>overall</w:t>
      </w:r>
      <w:r w:rsidRPr="009D1CCE">
        <w:rPr>
          <w:spacing w:val="-3"/>
          <w:szCs w:val="24"/>
        </w:rPr>
        <w:t xml:space="preserve"> </w:t>
      </w:r>
      <w:r w:rsidRPr="009D1CCE">
        <w:rPr>
          <w:szCs w:val="24"/>
        </w:rPr>
        <w:t>well-being during their tenure. This procedure shall require the LTCF to convey</w:t>
      </w:r>
      <w:r w:rsidRPr="009D1CCE">
        <w:rPr>
          <w:spacing w:val="-3"/>
          <w:szCs w:val="24"/>
        </w:rPr>
        <w:t xml:space="preserve"> </w:t>
      </w:r>
      <w:r w:rsidRPr="009D1CCE">
        <w:rPr>
          <w:szCs w:val="24"/>
        </w:rPr>
        <w:t>pertinent</w:t>
      </w:r>
      <w:r w:rsidRPr="009D1CCE">
        <w:rPr>
          <w:spacing w:val="-3"/>
          <w:szCs w:val="24"/>
        </w:rPr>
        <w:t xml:space="preserve"> </w:t>
      </w:r>
      <w:r w:rsidRPr="009D1CCE">
        <w:rPr>
          <w:szCs w:val="24"/>
        </w:rPr>
        <w:t>information</w:t>
      </w:r>
      <w:r w:rsidRPr="009D1CCE">
        <w:rPr>
          <w:spacing w:val="-3"/>
          <w:szCs w:val="24"/>
        </w:rPr>
        <w:t xml:space="preserve"> </w:t>
      </w:r>
      <w:r w:rsidRPr="009D1CCE">
        <w:rPr>
          <w:szCs w:val="24"/>
        </w:rPr>
        <w:t>to</w:t>
      </w:r>
      <w:r w:rsidRPr="009D1CCE">
        <w:rPr>
          <w:spacing w:val="-3"/>
          <w:szCs w:val="24"/>
        </w:rPr>
        <w:t xml:space="preserve"> </w:t>
      </w:r>
      <w:r w:rsidRPr="009D1CCE">
        <w:rPr>
          <w:szCs w:val="24"/>
        </w:rPr>
        <w:t>the</w:t>
      </w:r>
      <w:r w:rsidRPr="009D1CCE">
        <w:rPr>
          <w:spacing w:val="-3"/>
          <w:szCs w:val="24"/>
        </w:rPr>
        <w:t xml:space="preserve"> </w:t>
      </w:r>
      <w:r w:rsidRPr="009D1CCE">
        <w:rPr>
          <w:szCs w:val="24"/>
        </w:rPr>
        <w:t>OTP</w:t>
      </w:r>
      <w:r w:rsidRPr="009D1CCE">
        <w:rPr>
          <w:spacing w:val="-3"/>
          <w:szCs w:val="24"/>
        </w:rPr>
        <w:t xml:space="preserve"> </w:t>
      </w:r>
      <w:r w:rsidRPr="009D1CCE">
        <w:rPr>
          <w:szCs w:val="24"/>
        </w:rPr>
        <w:t>regarding</w:t>
      </w:r>
      <w:r w:rsidRPr="009D1CCE">
        <w:rPr>
          <w:spacing w:val="-3"/>
          <w:szCs w:val="24"/>
        </w:rPr>
        <w:t xml:space="preserve"> </w:t>
      </w:r>
      <w:r w:rsidRPr="009D1CCE">
        <w:rPr>
          <w:szCs w:val="24"/>
        </w:rPr>
        <w:t>the</w:t>
      </w:r>
      <w:r w:rsidRPr="009D1CCE">
        <w:rPr>
          <w:spacing w:val="-3"/>
          <w:szCs w:val="24"/>
        </w:rPr>
        <w:t xml:space="preserve"> </w:t>
      </w:r>
      <w:r w:rsidRPr="009D1CCE">
        <w:rPr>
          <w:szCs w:val="24"/>
        </w:rPr>
        <w:t xml:space="preserve">resident, including medication changes and any concerns regarding the </w:t>
      </w:r>
      <w:proofErr w:type="spellStart"/>
      <w:r w:rsidRPr="009D1CCE">
        <w:rPr>
          <w:szCs w:val="24"/>
        </w:rPr>
        <w:t>resident’s</w:t>
      </w:r>
      <w:proofErr w:type="spellEnd"/>
      <w:r w:rsidRPr="009D1CCE">
        <w:rPr>
          <w:szCs w:val="24"/>
        </w:rPr>
        <w:t xml:space="preserve"> health, in accordance with 105 CMR 150.004 (D). </w:t>
      </w:r>
    </w:p>
    <w:p w14:paraId="26FB0350" w14:textId="77777777" w:rsidR="009D1CCE" w:rsidRPr="009D1CCE" w:rsidRDefault="009D1CCE" w:rsidP="009D1CCE">
      <w:pPr>
        <w:widowControl w:val="0"/>
        <w:autoSpaceDE w:val="0"/>
        <w:autoSpaceDN w:val="0"/>
        <w:ind w:left="540" w:right="104"/>
        <w:rPr>
          <w:szCs w:val="24"/>
        </w:rPr>
      </w:pPr>
    </w:p>
    <w:p w14:paraId="06BACFEF" w14:textId="77777777" w:rsidR="009D1CCE" w:rsidRPr="009D1CCE" w:rsidDel="00CD5C91" w:rsidRDefault="009D1CCE" w:rsidP="009D1CCE">
      <w:pPr>
        <w:widowControl w:val="0"/>
        <w:autoSpaceDE w:val="0"/>
        <w:autoSpaceDN w:val="0"/>
        <w:ind w:left="540" w:right="104"/>
        <w:rPr>
          <w:szCs w:val="24"/>
        </w:rPr>
      </w:pPr>
      <w:r w:rsidRPr="009D1CCE">
        <w:rPr>
          <w:szCs w:val="24"/>
        </w:rPr>
        <w:t xml:space="preserve">This procedure shall also include a process for communicating with the OTP prior to </w:t>
      </w:r>
      <w:proofErr w:type="gramStart"/>
      <w:r w:rsidRPr="009D1CCE">
        <w:rPr>
          <w:szCs w:val="24"/>
        </w:rPr>
        <w:t>resident’s</w:t>
      </w:r>
      <w:proofErr w:type="gramEnd"/>
      <w:r w:rsidRPr="009D1CCE">
        <w:rPr>
          <w:szCs w:val="24"/>
        </w:rPr>
        <w:t xml:space="preserve"> discharge and upon discharge from the LTCF to ensure uninterrupted treatment, create </w:t>
      </w:r>
      <w:r w:rsidRPr="009D1CCE" w:rsidDel="00DF5795">
        <w:rPr>
          <w:szCs w:val="24"/>
        </w:rPr>
        <w:t xml:space="preserve">a </w:t>
      </w:r>
      <w:r w:rsidRPr="009D1CCE">
        <w:rPr>
          <w:szCs w:val="24"/>
        </w:rPr>
        <w:t xml:space="preserve">plan for patient follow-up with OTP upon discharge, and </w:t>
      </w:r>
      <w:bookmarkStart w:id="1" w:name="_Int_4hF8lY4O"/>
      <w:r w:rsidRPr="009D1CCE">
        <w:rPr>
          <w:szCs w:val="24"/>
        </w:rPr>
        <w:t>determine</w:t>
      </w:r>
      <w:bookmarkEnd w:id="1"/>
      <w:r w:rsidRPr="009D1CCE">
        <w:rPr>
          <w:szCs w:val="24"/>
        </w:rPr>
        <w:t xml:space="preserve"> the appropriateness of releasing pre-poured take-home methadone doses to residents. </w:t>
      </w:r>
    </w:p>
    <w:p w14:paraId="47C7BC52" w14:textId="77777777" w:rsidR="009D1CCE" w:rsidRPr="009D1CCE" w:rsidDel="00CD5C91" w:rsidRDefault="009D1CCE" w:rsidP="009D1CCE">
      <w:pPr>
        <w:widowControl w:val="0"/>
        <w:autoSpaceDE w:val="0"/>
        <w:autoSpaceDN w:val="0"/>
        <w:spacing w:before="2"/>
        <w:rPr>
          <w:szCs w:val="24"/>
        </w:rPr>
      </w:pPr>
    </w:p>
    <w:p w14:paraId="54906DFB" w14:textId="77777777" w:rsidR="009D1CCE" w:rsidRPr="009D1CCE" w:rsidRDefault="009D1CCE" w:rsidP="009D1CCE">
      <w:pPr>
        <w:widowControl w:val="0"/>
        <w:autoSpaceDE w:val="0"/>
        <w:autoSpaceDN w:val="0"/>
        <w:spacing w:before="79"/>
        <w:ind w:left="540" w:right="143"/>
        <w:rPr>
          <w:spacing w:val="40"/>
          <w:szCs w:val="24"/>
        </w:rPr>
      </w:pPr>
      <w:r w:rsidRPr="009D1CCE" w:rsidDel="00CD5C91">
        <w:rPr>
          <w:szCs w:val="24"/>
        </w:rPr>
        <w:t>When</w:t>
      </w:r>
      <w:r w:rsidRPr="009D1CCE" w:rsidDel="00CD5C91">
        <w:rPr>
          <w:spacing w:val="-3"/>
          <w:szCs w:val="24"/>
        </w:rPr>
        <w:t xml:space="preserve"> </w:t>
      </w:r>
      <w:r w:rsidRPr="009D1CCE" w:rsidDel="00CD5C91">
        <w:rPr>
          <w:szCs w:val="24"/>
        </w:rPr>
        <w:t>residents</w:t>
      </w:r>
      <w:r w:rsidRPr="009D1CCE" w:rsidDel="00CD5C91">
        <w:rPr>
          <w:spacing w:val="-3"/>
          <w:szCs w:val="24"/>
        </w:rPr>
        <w:t xml:space="preserve"> </w:t>
      </w:r>
      <w:r w:rsidRPr="009D1CCE" w:rsidDel="00CD5C91">
        <w:rPr>
          <w:szCs w:val="24"/>
        </w:rPr>
        <w:t>using</w:t>
      </w:r>
      <w:r w:rsidRPr="009D1CCE" w:rsidDel="00CD5C91">
        <w:rPr>
          <w:spacing w:val="-3"/>
          <w:szCs w:val="24"/>
        </w:rPr>
        <w:t xml:space="preserve"> </w:t>
      </w:r>
      <w:r w:rsidRPr="009D1CCE" w:rsidDel="00CD5C91">
        <w:rPr>
          <w:szCs w:val="24"/>
        </w:rPr>
        <w:t>methadone</w:t>
      </w:r>
      <w:r w:rsidRPr="009D1CCE" w:rsidDel="00CD5C91">
        <w:rPr>
          <w:spacing w:val="-3"/>
          <w:szCs w:val="24"/>
        </w:rPr>
        <w:t xml:space="preserve"> </w:t>
      </w:r>
      <w:r w:rsidRPr="009D1CCE" w:rsidDel="00CD5C91">
        <w:rPr>
          <w:szCs w:val="24"/>
        </w:rPr>
        <w:t>as</w:t>
      </w:r>
      <w:r w:rsidRPr="009D1CCE" w:rsidDel="00CD5C91">
        <w:rPr>
          <w:spacing w:val="-3"/>
          <w:szCs w:val="24"/>
        </w:rPr>
        <w:t xml:space="preserve"> </w:t>
      </w:r>
      <w:r w:rsidRPr="009D1CCE" w:rsidDel="00CD5C91">
        <w:rPr>
          <w:szCs w:val="24"/>
        </w:rPr>
        <w:t>MOUD</w:t>
      </w:r>
      <w:r w:rsidRPr="009D1CCE" w:rsidDel="00CD5C91">
        <w:rPr>
          <w:spacing w:val="-3"/>
          <w:szCs w:val="24"/>
        </w:rPr>
        <w:t xml:space="preserve"> </w:t>
      </w:r>
      <w:r w:rsidRPr="009D1CCE" w:rsidDel="00CD5C91">
        <w:rPr>
          <w:szCs w:val="24"/>
        </w:rPr>
        <w:t>are</w:t>
      </w:r>
      <w:r w:rsidRPr="009D1CCE" w:rsidDel="00CD5C91">
        <w:rPr>
          <w:spacing w:val="-4"/>
          <w:szCs w:val="24"/>
        </w:rPr>
        <w:t xml:space="preserve"> </w:t>
      </w:r>
      <w:r w:rsidRPr="009D1CCE" w:rsidDel="00CD5C91">
        <w:rPr>
          <w:szCs w:val="24"/>
        </w:rPr>
        <w:t>discharged</w:t>
      </w:r>
      <w:r w:rsidRPr="009D1CCE" w:rsidDel="00CD5C91">
        <w:rPr>
          <w:spacing w:val="-2"/>
          <w:szCs w:val="24"/>
        </w:rPr>
        <w:t xml:space="preserve"> </w:t>
      </w:r>
      <w:r w:rsidRPr="009D1CCE" w:rsidDel="00CD5C91">
        <w:rPr>
          <w:szCs w:val="24"/>
        </w:rPr>
        <w:t>from</w:t>
      </w:r>
      <w:r w:rsidRPr="009D1CCE" w:rsidDel="00CD5C91">
        <w:rPr>
          <w:spacing w:val="-3"/>
          <w:szCs w:val="24"/>
        </w:rPr>
        <w:t xml:space="preserve"> </w:t>
      </w:r>
      <w:r w:rsidRPr="009D1CCE" w:rsidDel="00CD5C91">
        <w:rPr>
          <w:szCs w:val="24"/>
        </w:rPr>
        <w:t>the</w:t>
      </w:r>
      <w:r w:rsidRPr="009D1CCE" w:rsidDel="00CD5C91">
        <w:rPr>
          <w:spacing w:val="-3"/>
          <w:szCs w:val="24"/>
        </w:rPr>
        <w:t xml:space="preserve"> </w:t>
      </w:r>
      <w:r w:rsidRPr="009D1CCE" w:rsidDel="00CD5C91">
        <w:rPr>
          <w:szCs w:val="24"/>
        </w:rPr>
        <w:t>LTCF,</w:t>
      </w:r>
      <w:r w:rsidRPr="009D1CCE" w:rsidDel="00CD5C91">
        <w:rPr>
          <w:spacing w:val="-2"/>
          <w:szCs w:val="24"/>
        </w:rPr>
        <w:t xml:space="preserve"> </w:t>
      </w:r>
      <w:r w:rsidRPr="009D1CCE" w:rsidDel="00CD5C91">
        <w:rPr>
          <w:szCs w:val="24"/>
        </w:rPr>
        <w:t>they</w:t>
      </w:r>
      <w:r w:rsidRPr="009D1CCE" w:rsidDel="00CD5C91">
        <w:rPr>
          <w:spacing w:val="-4"/>
          <w:szCs w:val="24"/>
        </w:rPr>
        <w:t xml:space="preserve"> </w:t>
      </w:r>
      <w:r w:rsidRPr="009D1CCE" w:rsidDel="00CD5C91">
        <w:rPr>
          <w:szCs w:val="24"/>
        </w:rPr>
        <w:t>may</w:t>
      </w:r>
      <w:r w:rsidRPr="009D1CCE" w:rsidDel="00CD5C91">
        <w:rPr>
          <w:spacing w:val="-3"/>
          <w:szCs w:val="24"/>
        </w:rPr>
        <w:t xml:space="preserve"> </w:t>
      </w:r>
      <w:r w:rsidRPr="009D1CCE" w:rsidDel="00CD5C91">
        <w:rPr>
          <w:szCs w:val="24"/>
        </w:rPr>
        <w:t>take</w:t>
      </w:r>
      <w:r w:rsidRPr="009D1CCE" w:rsidDel="00CD5C91">
        <w:rPr>
          <w:spacing w:val="-4"/>
          <w:szCs w:val="24"/>
        </w:rPr>
        <w:t xml:space="preserve"> the </w:t>
      </w:r>
      <w:r w:rsidRPr="009D1CCE" w:rsidDel="00CD5C91">
        <w:rPr>
          <w:szCs w:val="24"/>
        </w:rPr>
        <w:t xml:space="preserve">remaining methadone doses with them, </w:t>
      </w:r>
      <w:r w:rsidRPr="009D1CCE" w:rsidDel="0091414F">
        <w:rPr>
          <w:szCs w:val="24"/>
        </w:rPr>
        <w:t>as determined</w:t>
      </w:r>
      <w:r w:rsidRPr="009D1CCE" w:rsidDel="00CD5C91">
        <w:rPr>
          <w:szCs w:val="24"/>
        </w:rPr>
        <w:t xml:space="preserve"> by the OTP</w:t>
      </w:r>
      <w:r w:rsidRPr="009D1CCE" w:rsidDel="0091414F">
        <w:rPr>
          <w:szCs w:val="24"/>
        </w:rPr>
        <w:t>’s medical director, physician, or practitioner</w:t>
      </w:r>
      <w:r w:rsidRPr="009D1CCE" w:rsidDel="00CD5C91">
        <w:rPr>
          <w:szCs w:val="24"/>
        </w:rPr>
        <w:t>.</w:t>
      </w:r>
      <w:r w:rsidRPr="009D1CCE" w:rsidDel="00CD5C91">
        <w:rPr>
          <w:spacing w:val="40"/>
          <w:szCs w:val="24"/>
        </w:rPr>
        <w:t xml:space="preserve"> </w:t>
      </w:r>
    </w:p>
    <w:p w14:paraId="43D80801" w14:textId="77777777" w:rsidR="009D1CCE" w:rsidRPr="009D1CCE" w:rsidRDefault="009D1CCE" w:rsidP="009D1CCE">
      <w:pPr>
        <w:widowControl w:val="0"/>
        <w:autoSpaceDE w:val="0"/>
        <w:autoSpaceDN w:val="0"/>
        <w:spacing w:before="79"/>
        <w:ind w:left="540" w:right="143"/>
        <w:rPr>
          <w:spacing w:val="40"/>
          <w:szCs w:val="24"/>
        </w:rPr>
      </w:pPr>
    </w:p>
    <w:p w14:paraId="51B7F5B0" w14:textId="77777777" w:rsidR="009D1CCE" w:rsidRPr="009D1CCE" w:rsidRDefault="009D1CCE" w:rsidP="009D1CCE">
      <w:pPr>
        <w:widowControl w:val="0"/>
        <w:autoSpaceDE w:val="0"/>
        <w:autoSpaceDN w:val="0"/>
        <w:spacing w:before="79"/>
        <w:ind w:left="540" w:right="143"/>
        <w:rPr>
          <w:szCs w:val="24"/>
        </w:rPr>
      </w:pPr>
      <w:r w:rsidRPr="009D1CCE">
        <w:rPr>
          <w:szCs w:val="24"/>
        </w:rPr>
        <w:t xml:space="preserve">The determination to return or not return the methadone to the patient/resident should be made in collaboration with the OTP and based on the individual’s stability and capacity to manage methadone safely and appropriately at the time of discharge. Providing a “Last Dose Letter” at discharge is a best practice. A Last Dose Letter is a formal document confirming the last dose of methadone ingested by a patient/resident. The Last Dose </w:t>
      </w:r>
      <w:r w:rsidRPr="009D1CCE">
        <w:rPr>
          <w:szCs w:val="24"/>
        </w:rPr>
        <w:lastRenderedPageBreak/>
        <w:t>Letter will assist the patient/resident admission process when returning to an OTP or transferring to a new or prior OTP.</w:t>
      </w:r>
    </w:p>
    <w:p w14:paraId="19594D49" w14:textId="77777777" w:rsidR="009D1CCE" w:rsidRPr="009D1CCE" w:rsidRDefault="009D1CCE" w:rsidP="009D1CCE">
      <w:pPr>
        <w:widowControl w:val="0"/>
        <w:autoSpaceDE w:val="0"/>
        <w:autoSpaceDN w:val="0"/>
        <w:ind w:left="540" w:right="104"/>
        <w:rPr>
          <w:szCs w:val="24"/>
        </w:rPr>
      </w:pPr>
    </w:p>
    <w:p w14:paraId="11F6B606" w14:textId="77777777" w:rsidR="009D1CCE" w:rsidRPr="009D1CCE" w:rsidRDefault="009D1CCE" w:rsidP="009D1CCE">
      <w:pPr>
        <w:widowControl w:val="0"/>
        <w:autoSpaceDE w:val="0"/>
        <w:autoSpaceDN w:val="0"/>
        <w:ind w:left="540" w:right="104"/>
        <w:rPr>
          <w:szCs w:val="24"/>
        </w:rPr>
      </w:pPr>
      <w:r w:rsidRPr="009D1CCE">
        <w:rPr>
          <w:szCs w:val="24"/>
        </w:rPr>
        <w:t xml:space="preserve">The chain of custody </w:t>
      </w:r>
      <w:proofErr w:type="gramStart"/>
      <w:r w:rsidRPr="009D1CCE">
        <w:rPr>
          <w:szCs w:val="24"/>
        </w:rPr>
        <w:t>form</w:t>
      </w:r>
      <w:proofErr w:type="gramEnd"/>
      <w:r w:rsidRPr="009D1CCE">
        <w:rPr>
          <w:szCs w:val="24"/>
        </w:rPr>
        <w:t xml:space="preserve"> should be completed by the LTCF and faxed to the OTP confirming the destruction of unused take-home doses of methadone. If</w:t>
      </w:r>
      <w:r w:rsidRPr="009D1CCE">
        <w:rPr>
          <w:spacing w:val="-1"/>
          <w:szCs w:val="24"/>
        </w:rPr>
        <w:t xml:space="preserve"> </w:t>
      </w:r>
      <w:r w:rsidRPr="009D1CCE">
        <w:rPr>
          <w:szCs w:val="24"/>
        </w:rPr>
        <w:t>the</w:t>
      </w:r>
      <w:r w:rsidRPr="009D1CCE">
        <w:rPr>
          <w:spacing w:val="-1"/>
          <w:szCs w:val="24"/>
        </w:rPr>
        <w:t xml:space="preserve"> </w:t>
      </w:r>
      <w:r w:rsidRPr="009D1CCE">
        <w:rPr>
          <w:szCs w:val="24"/>
        </w:rPr>
        <w:t>resident</w:t>
      </w:r>
      <w:r w:rsidRPr="009D1CCE">
        <w:rPr>
          <w:spacing w:val="-1"/>
          <w:szCs w:val="24"/>
        </w:rPr>
        <w:t xml:space="preserve"> </w:t>
      </w:r>
      <w:r w:rsidRPr="009D1CCE">
        <w:rPr>
          <w:szCs w:val="24"/>
        </w:rPr>
        <w:t>dies</w:t>
      </w:r>
      <w:r w:rsidRPr="009D1CCE">
        <w:rPr>
          <w:spacing w:val="-1"/>
          <w:szCs w:val="24"/>
        </w:rPr>
        <w:t xml:space="preserve"> </w:t>
      </w:r>
      <w:r w:rsidRPr="009D1CCE">
        <w:rPr>
          <w:szCs w:val="24"/>
        </w:rPr>
        <w:t>or</w:t>
      </w:r>
      <w:r w:rsidRPr="009D1CCE">
        <w:rPr>
          <w:spacing w:val="-1"/>
          <w:szCs w:val="24"/>
        </w:rPr>
        <w:t xml:space="preserve"> </w:t>
      </w:r>
      <w:r w:rsidRPr="009D1CCE">
        <w:rPr>
          <w:szCs w:val="24"/>
        </w:rPr>
        <w:t>the</w:t>
      </w:r>
      <w:r w:rsidRPr="009D1CCE">
        <w:rPr>
          <w:spacing w:val="-2"/>
          <w:szCs w:val="24"/>
        </w:rPr>
        <w:t xml:space="preserve"> </w:t>
      </w:r>
      <w:r w:rsidRPr="009D1CCE">
        <w:rPr>
          <w:szCs w:val="24"/>
        </w:rPr>
        <w:t>medication</w:t>
      </w:r>
      <w:r w:rsidRPr="009D1CCE">
        <w:rPr>
          <w:spacing w:val="-1"/>
          <w:szCs w:val="24"/>
        </w:rPr>
        <w:t xml:space="preserve"> </w:t>
      </w:r>
      <w:r w:rsidRPr="009D1CCE">
        <w:rPr>
          <w:szCs w:val="24"/>
        </w:rPr>
        <w:t>is</w:t>
      </w:r>
      <w:r w:rsidRPr="009D1CCE">
        <w:rPr>
          <w:spacing w:val="-1"/>
          <w:szCs w:val="24"/>
        </w:rPr>
        <w:t xml:space="preserve"> </w:t>
      </w:r>
      <w:r w:rsidRPr="009D1CCE">
        <w:rPr>
          <w:szCs w:val="24"/>
        </w:rPr>
        <w:t>discontinued,</w:t>
      </w:r>
      <w:r w:rsidRPr="009D1CCE">
        <w:rPr>
          <w:spacing w:val="-1"/>
          <w:szCs w:val="24"/>
        </w:rPr>
        <w:t xml:space="preserve"> </w:t>
      </w:r>
      <w:r w:rsidRPr="009D1CCE">
        <w:rPr>
          <w:szCs w:val="24"/>
        </w:rPr>
        <w:t>the</w:t>
      </w:r>
      <w:r w:rsidRPr="009D1CCE">
        <w:rPr>
          <w:spacing w:val="-1"/>
          <w:szCs w:val="24"/>
        </w:rPr>
        <w:t xml:space="preserve"> </w:t>
      </w:r>
      <w:r w:rsidRPr="009D1CCE">
        <w:rPr>
          <w:szCs w:val="24"/>
        </w:rPr>
        <w:t>LTCF</w:t>
      </w:r>
      <w:r w:rsidRPr="009D1CCE">
        <w:rPr>
          <w:spacing w:val="-2"/>
          <w:szCs w:val="24"/>
        </w:rPr>
        <w:t xml:space="preserve"> </w:t>
      </w:r>
      <w:r w:rsidRPr="009D1CCE">
        <w:rPr>
          <w:szCs w:val="24"/>
        </w:rPr>
        <w:t>shall dispose of the remaining medication in accordance with Department guidance.</w:t>
      </w:r>
    </w:p>
    <w:p w14:paraId="40B1C91D" w14:textId="77777777" w:rsidR="009D1CCE" w:rsidRPr="009D1CCE" w:rsidRDefault="009D1CCE" w:rsidP="009D1CCE">
      <w:pPr>
        <w:widowControl w:val="0"/>
        <w:autoSpaceDE w:val="0"/>
        <w:autoSpaceDN w:val="0"/>
        <w:spacing w:before="5"/>
        <w:rPr>
          <w:szCs w:val="24"/>
        </w:rPr>
      </w:pPr>
    </w:p>
    <w:p w14:paraId="7F7D3B91" w14:textId="77777777" w:rsidR="009D1CCE" w:rsidRPr="009D1CCE" w:rsidRDefault="009D1CCE" w:rsidP="009D1CCE">
      <w:pPr>
        <w:widowControl w:val="0"/>
        <w:autoSpaceDE w:val="0"/>
        <w:autoSpaceDN w:val="0"/>
        <w:ind w:left="540"/>
        <w:outlineLvl w:val="0"/>
        <w:rPr>
          <w:b/>
          <w:bCs/>
          <w:szCs w:val="24"/>
        </w:rPr>
      </w:pPr>
      <w:r w:rsidRPr="009D1CCE">
        <w:rPr>
          <w:b/>
          <w:bCs/>
          <w:color w:val="131313"/>
          <w:spacing w:val="-2"/>
          <w:szCs w:val="24"/>
        </w:rPr>
        <w:t>Buprenorphine</w:t>
      </w:r>
    </w:p>
    <w:p w14:paraId="0263284F" w14:textId="77777777" w:rsidR="009D1CCE" w:rsidRPr="009D1CCE" w:rsidRDefault="009D1CCE" w:rsidP="009D1CCE">
      <w:pPr>
        <w:widowControl w:val="0"/>
        <w:autoSpaceDE w:val="0"/>
        <w:autoSpaceDN w:val="0"/>
        <w:spacing w:before="3"/>
        <w:rPr>
          <w:b/>
          <w:szCs w:val="24"/>
        </w:rPr>
      </w:pPr>
    </w:p>
    <w:p w14:paraId="310E1147" w14:textId="77777777" w:rsidR="009D1CCE" w:rsidRPr="009D1CCE" w:rsidRDefault="009D1CCE" w:rsidP="009D1CCE">
      <w:pPr>
        <w:widowControl w:val="0"/>
        <w:autoSpaceDE w:val="0"/>
        <w:autoSpaceDN w:val="0"/>
        <w:spacing w:before="1"/>
        <w:ind w:left="540"/>
        <w:rPr>
          <w:szCs w:val="24"/>
        </w:rPr>
      </w:pPr>
      <w:r w:rsidRPr="009D1CCE">
        <w:rPr>
          <w:szCs w:val="24"/>
        </w:rPr>
        <w:t xml:space="preserve">A LTCF shall establish procedures to support continued treatment of residents receiving buprenorphine or buprenorphine/naloxone where clinically appropriate, including facilitating or coordinating care with an outside prescriber. If the prescription for buprenorphine or buprenorphine/naloxone comes from an outside </w:t>
      </w:r>
      <w:r w:rsidRPr="009D1CCE" w:rsidDel="00625488">
        <w:rPr>
          <w:szCs w:val="24"/>
        </w:rPr>
        <w:t>prescriber</w:t>
      </w:r>
      <w:r w:rsidRPr="009D1CCE">
        <w:rPr>
          <w:szCs w:val="24"/>
        </w:rPr>
        <w:t>, then the prescription shall be</w:t>
      </w:r>
      <w:r w:rsidRPr="009D1CCE">
        <w:rPr>
          <w:spacing w:val="-1"/>
          <w:szCs w:val="24"/>
        </w:rPr>
        <w:t xml:space="preserve"> </w:t>
      </w:r>
      <w:r w:rsidRPr="009D1CCE">
        <w:rPr>
          <w:szCs w:val="24"/>
        </w:rPr>
        <w:t>reviewed by the</w:t>
      </w:r>
      <w:r w:rsidRPr="009D1CCE">
        <w:rPr>
          <w:spacing w:val="-1"/>
          <w:szCs w:val="24"/>
        </w:rPr>
        <w:t xml:space="preserve"> </w:t>
      </w:r>
      <w:r w:rsidRPr="009D1CCE">
        <w:rPr>
          <w:szCs w:val="24"/>
        </w:rPr>
        <w:t>resident’s primary care provider</w:t>
      </w:r>
      <w:r w:rsidRPr="009D1CCE">
        <w:rPr>
          <w:szCs w:val="24"/>
          <w:vertAlign w:val="superscript"/>
        </w:rPr>
        <w:footnoteReference w:id="3"/>
      </w:r>
      <w:r w:rsidRPr="009D1CCE">
        <w:rPr>
          <w:szCs w:val="24"/>
        </w:rPr>
        <w:t xml:space="preserve">  for the purpose of care coordination. The LTCF shall facilitate procurement, storage, dispensing, administration, and recording of buprenorphine in accordance with 105 CMR 150.008(A). The Department encourages eligible medical providers at LTCFs to develop and maintain competency in prescribing buprenorphine.</w:t>
      </w:r>
      <w:r w:rsidRPr="009D1CCE">
        <w:rPr>
          <w:spacing w:val="-1"/>
          <w:szCs w:val="24"/>
        </w:rPr>
        <w:t xml:space="preserve"> </w:t>
      </w:r>
      <w:r w:rsidRPr="009D1CCE">
        <w:rPr>
          <w:szCs w:val="24"/>
        </w:rPr>
        <w:fldChar w:fldCharType="begin"/>
      </w:r>
      <w:r w:rsidRPr="009D1CCE">
        <w:rPr>
          <w:szCs w:val="24"/>
        </w:rPr>
        <w:fldChar w:fldCharType="separate"/>
      </w:r>
      <w:r w:rsidRPr="009D1CCE" w:rsidDel="002351C3">
        <w:rPr>
          <w:color w:val="4471C4"/>
          <w:szCs w:val="24"/>
          <w:u w:val="single"/>
        </w:rPr>
        <w:t>https://www.samhsa.gov/medication-assisted-treatment/become-buprenorphine-waivered-practitioner</w:t>
      </w:r>
      <w:r w:rsidRPr="009D1CCE">
        <w:rPr>
          <w:szCs w:val="24"/>
        </w:rPr>
        <w:fldChar w:fldCharType="end"/>
      </w:r>
    </w:p>
    <w:p w14:paraId="03B99B94" w14:textId="77777777" w:rsidR="009D1CCE" w:rsidRPr="009D1CCE" w:rsidRDefault="009D1CCE" w:rsidP="009D1CCE">
      <w:pPr>
        <w:widowControl w:val="0"/>
        <w:autoSpaceDE w:val="0"/>
        <w:autoSpaceDN w:val="0"/>
        <w:spacing w:before="1"/>
        <w:ind w:left="540"/>
        <w:rPr>
          <w:szCs w:val="24"/>
        </w:rPr>
      </w:pPr>
    </w:p>
    <w:p w14:paraId="02922B86" w14:textId="77777777" w:rsidR="009D1CCE" w:rsidRPr="009D1CCE" w:rsidRDefault="009D1CCE" w:rsidP="009D1CCE">
      <w:pPr>
        <w:widowControl w:val="0"/>
        <w:autoSpaceDE w:val="0"/>
        <w:autoSpaceDN w:val="0"/>
        <w:spacing w:before="1"/>
        <w:ind w:left="540"/>
        <w:rPr>
          <w:color w:val="4471C4"/>
          <w:szCs w:val="24"/>
          <w:u w:val="single"/>
        </w:rPr>
      </w:pPr>
      <w:r w:rsidRPr="009D1CCE">
        <w:rPr>
          <w:szCs w:val="24"/>
        </w:rPr>
        <w:t>For</w:t>
      </w:r>
      <w:r w:rsidRPr="009D1CCE">
        <w:rPr>
          <w:spacing w:val="-4"/>
          <w:szCs w:val="24"/>
        </w:rPr>
        <w:t xml:space="preserve"> </w:t>
      </w:r>
      <w:r w:rsidRPr="009D1CCE">
        <w:rPr>
          <w:szCs w:val="24"/>
        </w:rPr>
        <w:t>residents</w:t>
      </w:r>
      <w:r w:rsidRPr="009D1CCE">
        <w:rPr>
          <w:spacing w:val="-3"/>
          <w:szCs w:val="24"/>
        </w:rPr>
        <w:t xml:space="preserve"> </w:t>
      </w:r>
      <w:r w:rsidRPr="009D1CCE">
        <w:rPr>
          <w:szCs w:val="24"/>
        </w:rPr>
        <w:t>receiving</w:t>
      </w:r>
      <w:r w:rsidRPr="009D1CCE">
        <w:rPr>
          <w:spacing w:val="-3"/>
          <w:szCs w:val="24"/>
        </w:rPr>
        <w:t xml:space="preserve"> </w:t>
      </w:r>
      <w:r w:rsidRPr="009D1CCE">
        <w:rPr>
          <w:szCs w:val="24"/>
        </w:rPr>
        <w:t>buprenorphine</w:t>
      </w:r>
      <w:r w:rsidRPr="009D1CCE">
        <w:rPr>
          <w:spacing w:val="-3"/>
          <w:szCs w:val="24"/>
        </w:rPr>
        <w:t xml:space="preserve"> </w:t>
      </w:r>
      <w:r w:rsidRPr="009D1CCE">
        <w:rPr>
          <w:szCs w:val="24"/>
        </w:rPr>
        <w:t>through</w:t>
      </w:r>
      <w:r w:rsidRPr="009D1CCE">
        <w:rPr>
          <w:spacing w:val="-1"/>
          <w:szCs w:val="24"/>
        </w:rPr>
        <w:t xml:space="preserve"> </w:t>
      </w:r>
      <w:r w:rsidRPr="009D1CCE">
        <w:rPr>
          <w:szCs w:val="24"/>
        </w:rPr>
        <w:t>OTPs,</w:t>
      </w:r>
      <w:r w:rsidRPr="009D1CCE">
        <w:rPr>
          <w:spacing w:val="-3"/>
          <w:szCs w:val="24"/>
        </w:rPr>
        <w:t xml:space="preserve"> </w:t>
      </w:r>
      <w:r w:rsidRPr="009D1CCE">
        <w:rPr>
          <w:szCs w:val="24"/>
        </w:rPr>
        <w:t>the</w:t>
      </w:r>
      <w:r w:rsidRPr="009D1CCE">
        <w:rPr>
          <w:spacing w:val="-3"/>
          <w:szCs w:val="24"/>
        </w:rPr>
        <w:t xml:space="preserve"> </w:t>
      </w:r>
      <w:r w:rsidRPr="009D1CCE">
        <w:rPr>
          <w:szCs w:val="24"/>
        </w:rPr>
        <w:t>LTCF</w:t>
      </w:r>
      <w:r w:rsidRPr="009D1CCE">
        <w:rPr>
          <w:spacing w:val="-5"/>
          <w:szCs w:val="24"/>
        </w:rPr>
        <w:t xml:space="preserve"> </w:t>
      </w:r>
      <w:r w:rsidRPr="009D1CCE">
        <w:rPr>
          <w:szCs w:val="24"/>
        </w:rPr>
        <w:t>staff</w:t>
      </w:r>
      <w:r w:rsidRPr="009D1CCE">
        <w:rPr>
          <w:spacing w:val="-3"/>
          <w:szCs w:val="24"/>
        </w:rPr>
        <w:t xml:space="preserve"> </w:t>
      </w:r>
      <w:r w:rsidRPr="009D1CCE">
        <w:rPr>
          <w:szCs w:val="24"/>
        </w:rPr>
        <w:t>must follow</w:t>
      </w:r>
      <w:r w:rsidRPr="009D1CCE">
        <w:rPr>
          <w:spacing w:val="-3"/>
          <w:szCs w:val="24"/>
        </w:rPr>
        <w:t xml:space="preserve"> </w:t>
      </w:r>
      <w:r w:rsidRPr="009D1CCE">
        <w:rPr>
          <w:szCs w:val="24"/>
        </w:rPr>
        <w:t>the</w:t>
      </w:r>
      <w:r w:rsidRPr="009D1CCE">
        <w:rPr>
          <w:spacing w:val="-4"/>
          <w:szCs w:val="24"/>
        </w:rPr>
        <w:t xml:space="preserve"> </w:t>
      </w:r>
      <w:r w:rsidRPr="009D1CCE">
        <w:rPr>
          <w:szCs w:val="24"/>
        </w:rPr>
        <w:t>same</w:t>
      </w:r>
      <w:r w:rsidRPr="009D1CCE">
        <w:rPr>
          <w:spacing w:val="-3"/>
          <w:szCs w:val="24"/>
        </w:rPr>
        <w:t xml:space="preserve"> </w:t>
      </w:r>
      <w:r w:rsidRPr="009D1CCE">
        <w:rPr>
          <w:szCs w:val="24"/>
        </w:rPr>
        <w:t>chain</w:t>
      </w:r>
      <w:r w:rsidRPr="009D1CCE">
        <w:rPr>
          <w:spacing w:val="-3"/>
          <w:szCs w:val="24"/>
        </w:rPr>
        <w:t xml:space="preserve"> </w:t>
      </w:r>
      <w:r w:rsidRPr="009D1CCE">
        <w:rPr>
          <w:szCs w:val="24"/>
        </w:rPr>
        <w:t xml:space="preserve">of custody protocol as described above for methadone take-home medication. If the patient has an individual prescription from a non-OTP prescriber, the chain of custody protocol is not </w:t>
      </w:r>
      <w:r w:rsidRPr="009D1CCE">
        <w:rPr>
          <w:spacing w:val="-2"/>
          <w:szCs w:val="24"/>
        </w:rPr>
        <w:t>necessary.</w:t>
      </w:r>
    </w:p>
    <w:p w14:paraId="3C9C7458" w14:textId="77777777" w:rsidR="009D1CCE" w:rsidRPr="009D1CCE" w:rsidRDefault="009D1CCE" w:rsidP="009D1CCE">
      <w:pPr>
        <w:widowControl w:val="0"/>
        <w:autoSpaceDE w:val="0"/>
        <w:autoSpaceDN w:val="0"/>
        <w:rPr>
          <w:szCs w:val="24"/>
        </w:rPr>
      </w:pPr>
    </w:p>
    <w:p w14:paraId="59282471" w14:textId="77777777" w:rsidR="009D1CCE" w:rsidRPr="009D1CCE" w:rsidRDefault="009D1CCE" w:rsidP="009D1CCE">
      <w:pPr>
        <w:widowControl w:val="0"/>
        <w:autoSpaceDE w:val="0"/>
        <w:autoSpaceDN w:val="0"/>
        <w:ind w:left="540"/>
        <w:outlineLvl w:val="0"/>
        <w:rPr>
          <w:b/>
          <w:bCs/>
          <w:szCs w:val="24"/>
        </w:rPr>
      </w:pPr>
      <w:r w:rsidRPr="009D1CCE">
        <w:rPr>
          <w:b/>
          <w:bCs/>
          <w:color w:val="131313"/>
          <w:szCs w:val="24"/>
        </w:rPr>
        <w:t>Extended-Release</w:t>
      </w:r>
      <w:r w:rsidRPr="009D1CCE">
        <w:rPr>
          <w:b/>
          <w:bCs/>
          <w:color w:val="131313"/>
          <w:spacing w:val="-6"/>
          <w:szCs w:val="24"/>
        </w:rPr>
        <w:t xml:space="preserve"> </w:t>
      </w:r>
      <w:r w:rsidRPr="009D1CCE">
        <w:rPr>
          <w:b/>
          <w:bCs/>
          <w:color w:val="131313"/>
          <w:szCs w:val="24"/>
        </w:rPr>
        <w:t>Injectable</w:t>
      </w:r>
      <w:r w:rsidRPr="009D1CCE">
        <w:rPr>
          <w:b/>
          <w:bCs/>
          <w:color w:val="131313"/>
          <w:spacing w:val="-3"/>
          <w:szCs w:val="24"/>
        </w:rPr>
        <w:t xml:space="preserve"> </w:t>
      </w:r>
      <w:r w:rsidRPr="009D1CCE">
        <w:rPr>
          <w:b/>
          <w:bCs/>
          <w:color w:val="131313"/>
          <w:spacing w:val="-2"/>
          <w:szCs w:val="24"/>
        </w:rPr>
        <w:t>Naltrexone</w:t>
      </w:r>
    </w:p>
    <w:p w14:paraId="740AF709" w14:textId="77777777" w:rsidR="009D1CCE" w:rsidRPr="009D1CCE" w:rsidRDefault="009D1CCE" w:rsidP="009D1CCE">
      <w:pPr>
        <w:widowControl w:val="0"/>
        <w:autoSpaceDE w:val="0"/>
        <w:autoSpaceDN w:val="0"/>
        <w:spacing w:before="5"/>
        <w:rPr>
          <w:b/>
          <w:szCs w:val="24"/>
        </w:rPr>
      </w:pPr>
    </w:p>
    <w:p w14:paraId="63B41B5D" w14:textId="77777777" w:rsidR="009D1CCE" w:rsidRPr="009D1CCE" w:rsidRDefault="009D1CCE" w:rsidP="009D1CCE">
      <w:pPr>
        <w:widowControl w:val="0"/>
        <w:autoSpaceDE w:val="0"/>
        <w:autoSpaceDN w:val="0"/>
        <w:ind w:left="540" w:right="128"/>
        <w:rPr>
          <w:szCs w:val="24"/>
        </w:rPr>
      </w:pPr>
      <w:r w:rsidRPr="009D1CCE">
        <w:rPr>
          <w:szCs w:val="24"/>
        </w:rPr>
        <w:t>A LTCF shall establish procedures to support continued treatment of residents receiving injectable naltrexone treatment where clinically appropriate, including facilitating or coordinating care with an outside prescriber. All prescriptions for injectable naltrexone treatment shall be reviewed by the resident’s primary care provider. The LTCF shall facilitate procurement, storage, dispensing, administration and recording of buprenorphine in accordance with 105 CMR 150.008(A).</w:t>
      </w:r>
    </w:p>
    <w:p w14:paraId="0F8AABCF" w14:textId="77777777" w:rsidR="009D1CCE" w:rsidRPr="009D1CCE" w:rsidRDefault="009D1CCE" w:rsidP="009D1CCE">
      <w:pPr>
        <w:widowControl w:val="0"/>
        <w:autoSpaceDE w:val="0"/>
        <w:autoSpaceDN w:val="0"/>
        <w:spacing w:before="3"/>
        <w:rPr>
          <w:szCs w:val="24"/>
        </w:rPr>
      </w:pPr>
    </w:p>
    <w:p w14:paraId="55EDE2B0" w14:textId="77777777" w:rsidR="009D1CCE" w:rsidRPr="009D1CCE" w:rsidRDefault="009D1CCE" w:rsidP="009D1CCE">
      <w:pPr>
        <w:widowControl w:val="0"/>
        <w:autoSpaceDE w:val="0"/>
        <w:autoSpaceDN w:val="0"/>
        <w:ind w:left="540"/>
        <w:outlineLvl w:val="0"/>
        <w:rPr>
          <w:b/>
          <w:bCs/>
          <w:szCs w:val="24"/>
        </w:rPr>
      </w:pPr>
      <w:r w:rsidRPr="009D1CCE">
        <w:rPr>
          <w:b/>
          <w:bCs/>
          <w:color w:val="131313"/>
          <w:szCs w:val="24"/>
        </w:rPr>
        <w:t>Use</w:t>
      </w:r>
      <w:r w:rsidRPr="009D1CCE">
        <w:rPr>
          <w:b/>
          <w:bCs/>
          <w:color w:val="131313"/>
          <w:spacing w:val="-3"/>
          <w:szCs w:val="24"/>
        </w:rPr>
        <w:t xml:space="preserve"> </w:t>
      </w:r>
      <w:r w:rsidRPr="009D1CCE">
        <w:rPr>
          <w:b/>
          <w:bCs/>
          <w:color w:val="131313"/>
          <w:szCs w:val="24"/>
        </w:rPr>
        <w:t>and Storage</w:t>
      </w:r>
      <w:r w:rsidRPr="009D1CCE">
        <w:rPr>
          <w:b/>
          <w:bCs/>
          <w:color w:val="131313"/>
          <w:spacing w:val="-2"/>
          <w:szCs w:val="24"/>
        </w:rPr>
        <w:t xml:space="preserve"> </w:t>
      </w:r>
      <w:r w:rsidRPr="009D1CCE">
        <w:rPr>
          <w:b/>
          <w:bCs/>
          <w:color w:val="131313"/>
          <w:szCs w:val="24"/>
        </w:rPr>
        <w:t xml:space="preserve">of </w:t>
      </w:r>
      <w:r w:rsidRPr="009D1CCE">
        <w:rPr>
          <w:b/>
          <w:bCs/>
          <w:color w:val="131313"/>
          <w:spacing w:val="-2"/>
          <w:szCs w:val="24"/>
        </w:rPr>
        <w:t>Naloxone</w:t>
      </w:r>
    </w:p>
    <w:p w14:paraId="221E6683" w14:textId="77777777" w:rsidR="009D1CCE" w:rsidRPr="009D1CCE" w:rsidRDefault="009D1CCE" w:rsidP="009D1CCE">
      <w:pPr>
        <w:widowControl w:val="0"/>
        <w:autoSpaceDE w:val="0"/>
        <w:autoSpaceDN w:val="0"/>
        <w:spacing w:before="5"/>
        <w:rPr>
          <w:b/>
          <w:szCs w:val="24"/>
        </w:rPr>
      </w:pPr>
    </w:p>
    <w:p w14:paraId="034F6AA3" w14:textId="77777777" w:rsidR="009D1CCE" w:rsidRPr="009D1CCE" w:rsidRDefault="009D1CCE" w:rsidP="009D1CCE">
      <w:pPr>
        <w:widowControl w:val="0"/>
        <w:autoSpaceDE w:val="0"/>
        <w:autoSpaceDN w:val="0"/>
        <w:ind w:left="540" w:right="223"/>
        <w:rPr>
          <w:szCs w:val="24"/>
        </w:rPr>
      </w:pPr>
      <w:r w:rsidRPr="009D1CCE">
        <w:rPr>
          <w:szCs w:val="24"/>
        </w:rPr>
        <w:t>Given</w:t>
      </w:r>
      <w:r w:rsidRPr="009D1CCE">
        <w:rPr>
          <w:spacing w:val="-3"/>
          <w:szCs w:val="24"/>
        </w:rPr>
        <w:t xml:space="preserve"> </w:t>
      </w:r>
      <w:r w:rsidRPr="009D1CCE">
        <w:rPr>
          <w:szCs w:val="24"/>
        </w:rPr>
        <w:t>the</w:t>
      </w:r>
      <w:r w:rsidRPr="009D1CCE">
        <w:rPr>
          <w:spacing w:val="-3"/>
          <w:szCs w:val="24"/>
        </w:rPr>
        <w:t xml:space="preserve"> </w:t>
      </w:r>
      <w:r w:rsidRPr="009D1CCE">
        <w:rPr>
          <w:szCs w:val="24"/>
        </w:rPr>
        <w:t>widespread</w:t>
      </w:r>
      <w:r w:rsidRPr="009D1CCE">
        <w:rPr>
          <w:spacing w:val="-3"/>
          <w:szCs w:val="24"/>
        </w:rPr>
        <w:t xml:space="preserve"> </w:t>
      </w:r>
      <w:r w:rsidRPr="009D1CCE">
        <w:rPr>
          <w:szCs w:val="24"/>
        </w:rPr>
        <w:t>use</w:t>
      </w:r>
      <w:r w:rsidRPr="009D1CCE">
        <w:rPr>
          <w:spacing w:val="-4"/>
          <w:szCs w:val="24"/>
        </w:rPr>
        <w:t xml:space="preserve"> </w:t>
      </w:r>
      <w:r w:rsidRPr="009D1CCE">
        <w:rPr>
          <w:szCs w:val="24"/>
        </w:rPr>
        <w:t>of</w:t>
      </w:r>
      <w:r w:rsidRPr="009D1CCE">
        <w:rPr>
          <w:spacing w:val="-3"/>
          <w:szCs w:val="24"/>
        </w:rPr>
        <w:t xml:space="preserve"> </w:t>
      </w:r>
      <w:r w:rsidRPr="009D1CCE">
        <w:rPr>
          <w:szCs w:val="24"/>
        </w:rPr>
        <w:t>opioids</w:t>
      </w:r>
      <w:r w:rsidRPr="009D1CCE">
        <w:rPr>
          <w:spacing w:val="-3"/>
          <w:szCs w:val="24"/>
        </w:rPr>
        <w:t xml:space="preserve"> </w:t>
      </w:r>
      <w:r w:rsidRPr="009D1CCE">
        <w:rPr>
          <w:szCs w:val="24"/>
        </w:rPr>
        <w:t>in</w:t>
      </w:r>
      <w:r w:rsidRPr="009D1CCE">
        <w:rPr>
          <w:spacing w:val="-1"/>
          <w:szCs w:val="24"/>
        </w:rPr>
        <w:t xml:space="preserve"> </w:t>
      </w:r>
      <w:r w:rsidRPr="009D1CCE">
        <w:rPr>
          <w:szCs w:val="24"/>
        </w:rPr>
        <w:t>LTCFs</w:t>
      </w:r>
      <w:r w:rsidRPr="009D1CCE">
        <w:rPr>
          <w:spacing w:val="-3"/>
          <w:szCs w:val="24"/>
        </w:rPr>
        <w:t xml:space="preserve"> </w:t>
      </w:r>
      <w:r w:rsidRPr="009D1CCE">
        <w:rPr>
          <w:szCs w:val="24"/>
        </w:rPr>
        <w:t>and</w:t>
      </w:r>
      <w:r w:rsidRPr="009D1CCE">
        <w:rPr>
          <w:spacing w:val="-3"/>
          <w:szCs w:val="24"/>
        </w:rPr>
        <w:t xml:space="preserve"> </w:t>
      </w:r>
      <w:r w:rsidRPr="009D1CCE">
        <w:rPr>
          <w:szCs w:val="24"/>
        </w:rPr>
        <w:t>the</w:t>
      </w:r>
      <w:r w:rsidRPr="009D1CCE">
        <w:rPr>
          <w:spacing w:val="-4"/>
          <w:szCs w:val="24"/>
        </w:rPr>
        <w:t xml:space="preserve"> </w:t>
      </w:r>
      <w:r w:rsidRPr="009D1CCE">
        <w:rPr>
          <w:szCs w:val="24"/>
        </w:rPr>
        <w:t>surrounding</w:t>
      </w:r>
      <w:r w:rsidRPr="009D1CCE">
        <w:rPr>
          <w:spacing w:val="-3"/>
          <w:szCs w:val="24"/>
        </w:rPr>
        <w:t xml:space="preserve"> </w:t>
      </w:r>
      <w:r w:rsidRPr="009D1CCE">
        <w:rPr>
          <w:szCs w:val="24"/>
        </w:rPr>
        <w:t>communities,</w:t>
      </w:r>
      <w:r w:rsidRPr="009D1CCE">
        <w:rPr>
          <w:spacing w:val="-3"/>
          <w:szCs w:val="24"/>
        </w:rPr>
        <w:t xml:space="preserve"> </w:t>
      </w:r>
      <w:r w:rsidRPr="009D1CCE">
        <w:rPr>
          <w:szCs w:val="24"/>
        </w:rPr>
        <w:t>LTCFs shall store naloxone,</w:t>
      </w:r>
      <w:r w:rsidRPr="009D1CCE">
        <w:rPr>
          <w:spacing w:val="-3"/>
          <w:szCs w:val="24"/>
        </w:rPr>
        <w:t xml:space="preserve"> </w:t>
      </w:r>
      <w:r w:rsidRPr="009D1CCE">
        <w:rPr>
          <w:szCs w:val="24"/>
        </w:rPr>
        <w:t>a</w:t>
      </w:r>
      <w:r w:rsidRPr="009D1CCE">
        <w:rPr>
          <w:spacing w:val="-5"/>
          <w:szCs w:val="24"/>
        </w:rPr>
        <w:t xml:space="preserve"> </w:t>
      </w:r>
      <w:r w:rsidRPr="009D1CCE">
        <w:rPr>
          <w:szCs w:val="24"/>
        </w:rPr>
        <w:t>schedule VI</w:t>
      </w:r>
      <w:r w:rsidRPr="009D1CCE">
        <w:rPr>
          <w:spacing w:val="-4"/>
          <w:szCs w:val="24"/>
        </w:rPr>
        <w:t xml:space="preserve"> </w:t>
      </w:r>
      <w:r w:rsidRPr="009D1CCE" w:rsidDel="00E1186E">
        <w:rPr>
          <w:szCs w:val="24"/>
        </w:rPr>
        <w:t xml:space="preserve">medication, </w:t>
      </w:r>
      <w:r w:rsidRPr="009D1CCE">
        <w:rPr>
          <w:szCs w:val="24"/>
        </w:rPr>
        <w:t>for</w:t>
      </w:r>
      <w:r w:rsidRPr="009D1CCE">
        <w:rPr>
          <w:spacing w:val="-2"/>
          <w:szCs w:val="24"/>
        </w:rPr>
        <w:t xml:space="preserve"> </w:t>
      </w:r>
      <w:r w:rsidRPr="009D1CCE">
        <w:rPr>
          <w:szCs w:val="24"/>
        </w:rPr>
        <w:t xml:space="preserve">emergencies pursuant to 105 CMR 150.008(E). Administrators shall meet with the facility's medical director and pharmacy service to ensure the availability of naloxone in case of an emergency and develop standing orders for each resident, pursuant to the attached Department Policy on the Use of Standing Orders for Administering Naloxone in an Emergency </w:t>
      </w:r>
      <w:r w:rsidRPr="009D1CCE" w:rsidDel="00E1186E">
        <w:rPr>
          <w:szCs w:val="24"/>
        </w:rPr>
        <w:t xml:space="preserve">Situation </w:t>
      </w:r>
      <w:r w:rsidRPr="009D1CCE">
        <w:rPr>
          <w:szCs w:val="24"/>
        </w:rPr>
        <w:t xml:space="preserve">(See Appendix A). LTCFs should ensure two doses of Naloxone are provided to residents receiving MOUD upon discharge to the community. </w:t>
      </w:r>
    </w:p>
    <w:p w14:paraId="18BAA7CA" w14:textId="77777777" w:rsidR="009D1CCE" w:rsidRPr="009D1CCE" w:rsidRDefault="009D1CCE" w:rsidP="009D1CCE">
      <w:pPr>
        <w:widowControl w:val="0"/>
        <w:autoSpaceDE w:val="0"/>
        <w:autoSpaceDN w:val="0"/>
        <w:ind w:left="540" w:right="137"/>
        <w:rPr>
          <w:szCs w:val="24"/>
        </w:rPr>
      </w:pPr>
    </w:p>
    <w:p w14:paraId="4BC3A92E" w14:textId="77777777" w:rsidR="009D1CCE" w:rsidRPr="009D1CCE" w:rsidRDefault="009D1CCE" w:rsidP="009D1CCE">
      <w:pPr>
        <w:widowControl w:val="0"/>
        <w:autoSpaceDE w:val="0"/>
        <w:autoSpaceDN w:val="0"/>
        <w:ind w:left="540" w:right="137"/>
        <w:rPr>
          <w:szCs w:val="24"/>
        </w:rPr>
      </w:pPr>
      <w:r w:rsidRPr="009D1CCE">
        <w:rPr>
          <w:szCs w:val="24"/>
        </w:rPr>
        <w:t>Commonly</w:t>
      </w:r>
      <w:r w:rsidRPr="009D1CCE">
        <w:rPr>
          <w:spacing w:val="-3"/>
          <w:szCs w:val="24"/>
        </w:rPr>
        <w:t xml:space="preserve"> </w:t>
      </w:r>
      <w:r w:rsidRPr="009D1CCE">
        <w:rPr>
          <w:szCs w:val="24"/>
        </w:rPr>
        <w:t>used</w:t>
      </w:r>
      <w:r w:rsidRPr="009D1CCE">
        <w:rPr>
          <w:spacing w:val="-3"/>
          <w:szCs w:val="24"/>
        </w:rPr>
        <w:t xml:space="preserve"> </w:t>
      </w:r>
      <w:r w:rsidRPr="009D1CCE">
        <w:rPr>
          <w:szCs w:val="24"/>
        </w:rPr>
        <w:t>trade</w:t>
      </w:r>
      <w:r w:rsidRPr="009D1CCE">
        <w:rPr>
          <w:spacing w:val="-4"/>
          <w:szCs w:val="24"/>
        </w:rPr>
        <w:t xml:space="preserve"> </w:t>
      </w:r>
      <w:r w:rsidRPr="009D1CCE">
        <w:rPr>
          <w:szCs w:val="24"/>
        </w:rPr>
        <w:t>names</w:t>
      </w:r>
      <w:r w:rsidRPr="009D1CCE">
        <w:rPr>
          <w:spacing w:val="-3"/>
          <w:szCs w:val="24"/>
        </w:rPr>
        <w:t xml:space="preserve"> </w:t>
      </w:r>
      <w:r w:rsidRPr="009D1CCE">
        <w:rPr>
          <w:szCs w:val="24"/>
        </w:rPr>
        <w:t>for</w:t>
      </w:r>
      <w:r w:rsidRPr="009D1CCE">
        <w:rPr>
          <w:spacing w:val="-3"/>
          <w:szCs w:val="24"/>
        </w:rPr>
        <w:t xml:space="preserve"> </w:t>
      </w:r>
      <w:r w:rsidRPr="009D1CCE">
        <w:rPr>
          <w:szCs w:val="24"/>
        </w:rPr>
        <w:t>buprenorphine/naloxone</w:t>
      </w:r>
      <w:r w:rsidRPr="009D1CCE">
        <w:rPr>
          <w:spacing w:val="-3"/>
          <w:szCs w:val="24"/>
        </w:rPr>
        <w:t xml:space="preserve"> </w:t>
      </w:r>
      <w:r w:rsidRPr="009D1CCE">
        <w:rPr>
          <w:szCs w:val="24"/>
        </w:rPr>
        <w:t>are</w:t>
      </w:r>
      <w:r w:rsidRPr="009D1CCE">
        <w:rPr>
          <w:spacing w:val="-4"/>
          <w:szCs w:val="24"/>
        </w:rPr>
        <w:t xml:space="preserve"> </w:t>
      </w:r>
      <w:r w:rsidRPr="009D1CCE">
        <w:rPr>
          <w:szCs w:val="24"/>
        </w:rPr>
        <w:t>Suboxone®</w:t>
      </w:r>
      <w:r w:rsidRPr="009D1CCE">
        <w:rPr>
          <w:spacing w:val="-1"/>
          <w:szCs w:val="24"/>
        </w:rPr>
        <w:t xml:space="preserve"> </w:t>
      </w:r>
      <w:r w:rsidRPr="009D1CCE">
        <w:rPr>
          <w:szCs w:val="24"/>
        </w:rPr>
        <w:t>and</w:t>
      </w:r>
      <w:r w:rsidRPr="009D1CCE">
        <w:rPr>
          <w:spacing w:val="-3"/>
          <w:szCs w:val="24"/>
        </w:rPr>
        <w:t xml:space="preserve"> </w:t>
      </w:r>
      <w:proofErr w:type="spellStart"/>
      <w:r w:rsidRPr="009D1CCE">
        <w:rPr>
          <w:szCs w:val="24"/>
        </w:rPr>
        <w:t>Zubsolv</w:t>
      </w:r>
      <w:proofErr w:type="spellEnd"/>
      <w:r w:rsidRPr="009D1CCE">
        <w:rPr>
          <w:szCs w:val="24"/>
        </w:rPr>
        <w:t>®.</w:t>
      </w:r>
      <w:r w:rsidRPr="009D1CCE">
        <w:rPr>
          <w:spacing w:val="-3"/>
          <w:szCs w:val="24"/>
        </w:rPr>
        <w:t xml:space="preserve"> </w:t>
      </w:r>
      <w:r w:rsidRPr="009D1CCE">
        <w:rPr>
          <w:szCs w:val="24"/>
        </w:rPr>
        <w:t>The commonly used trade name for buprenorphine is Subutex®. There</w:t>
      </w:r>
      <w:r w:rsidRPr="009D1CCE">
        <w:rPr>
          <w:spacing w:val="-5"/>
          <w:szCs w:val="24"/>
        </w:rPr>
        <w:t xml:space="preserve"> </w:t>
      </w:r>
      <w:r w:rsidRPr="009D1CCE">
        <w:rPr>
          <w:szCs w:val="24"/>
        </w:rPr>
        <w:t>are also</w:t>
      </w:r>
      <w:r w:rsidRPr="009D1CCE">
        <w:rPr>
          <w:spacing w:val="-3"/>
          <w:szCs w:val="24"/>
        </w:rPr>
        <w:t xml:space="preserve"> </w:t>
      </w:r>
      <w:r w:rsidRPr="009D1CCE">
        <w:rPr>
          <w:szCs w:val="24"/>
        </w:rPr>
        <w:t xml:space="preserve">two long-acting monthly injectable formulations of buprenorphine with the trade names </w:t>
      </w:r>
      <w:proofErr w:type="spellStart"/>
      <w:r w:rsidRPr="009D1CCE">
        <w:rPr>
          <w:szCs w:val="24"/>
        </w:rPr>
        <w:t>Brixadi</w:t>
      </w:r>
      <w:proofErr w:type="spellEnd"/>
      <w:r w:rsidRPr="009D1CCE">
        <w:rPr>
          <w:szCs w:val="24"/>
        </w:rPr>
        <w:t xml:space="preserve">® and </w:t>
      </w:r>
      <w:proofErr w:type="spellStart"/>
      <w:r w:rsidRPr="009D1CCE">
        <w:rPr>
          <w:szCs w:val="24"/>
        </w:rPr>
        <w:t>Sublocade</w:t>
      </w:r>
      <w:proofErr w:type="spellEnd"/>
      <w:r w:rsidRPr="009D1CCE">
        <w:rPr>
          <w:szCs w:val="24"/>
        </w:rPr>
        <w:t>®. The commonly used trade name for injectable</w:t>
      </w:r>
      <w:r w:rsidRPr="009D1CCE">
        <w:rPr>
          <w:spacing w:val="-4"/>
          <w:szCs w:val="24"/>
        </w:rPr>
        <w:t xml:space="preserve"> </w:t>
      </w:r>
      <w:r w:rsidRPr="009D1CCE">
        <w:rPr>
          <w:szCs w:val="24"/>
        </w:rPr>
        <w:t>naltrexone</w:t>
      </w:r>
      <w:r w:rsidRPr="009D1CCE">
        <w:rPr>
          <w:spacing w:val="-4"/>
          <w:szCs w:val="24"/>
        </w:rPr>
        <w:t xml:space="preserve"> </w:t>
      </w:r>
      <w:r w:rsidRPr="009D1CCE">
        <w:rPr>
          <w:szCs w:val="24"/>
        </w:rPr>
        <w:t>is</w:t>
      </w:r>
      <w:r w:rsidRPr="009D1CCE">
        <w:rPr>
          <w:spacing w:val="-4"/>
          <w:szCs w:val="24"/>
        </w:rPr>
        <w:t xml:space="preserve"> </w:t>
      </w:r>
      <w:r w:rsidRPr="009D1CCE">
        <w:rPr>
          <w:szCs w:val="24"/>
        </w:rPr>
        <w:t>Vivitrol®.</w:t>
      </w:r>
      <w:r w:rsidRPr="009D1CCE">
        <w:rPr>
          <w:spacing w:val="-3"/>
          <w:szCs w:val="24"/>
        </w:rPr>
        <w:t xml:space="preserve"> </w:t>
      </w:r>
      <w:r w:rsidRPr="009D1CCE">
        <w:rPr>
          <w:szCs w:val="24"/>
        </w:rPr>
        <w:t>See</w:t>
      </w:r>
      <w:r w:rsidRPr="009D1CCE">
        <w:rPr>
          <w:spacing w:val="-4"/>
          <w:szCs w:val="24"/>
        </w:rPr>
        <w:t xml:space="preserve"> </w:t>
      </w:r>
      <w:r w:rsidRPr="009D1CCE">
        <w:rPr>
          <w:szCs w:val="24"/>
        </w:rPr>
        <w:t>SAMHSA’s</w:t>
      </w:r>
      <w:r w:rsidRPr="009D1CCE">
        <w:rPr>
          <w:spacing w:val="-4"/>
          <w:szCs w:val="24"/>
        </w:rPr>
        <w:t xml:space="preserve"> </w:t>
      </w:r>
      <w:r w:rsidRPr="009D1CCE">
        <w:rPr>
          <w:szCs w:val="24"/>
        </w:rPr>
        <w:t>website</w:t>
      </w:r>
      <w:r w:rsidRPr="009D1CCE">
        <w:rPr>
          <w:spacing w:val="-4"/>
          <w:szCs w:val="24"/>
        </w:rPr>
        <w:t xml:space="preserve"> </w:t>
      </w:r>
      <w:r w:rsidRPr="009D1CCE">
        <w:rPr>
          <w:szCs w:val="24"/>
        </w:rPr>
        <w:t>for</w:t>
      </w:r>
      <w:r w:rsidRPr="009D1CCE">
        <w:rPr>
          <w:spacing w:val="-3"/>
          <w:szCs w:val="24"/>
        </w:rPr>
        <w:t xml:space="preserve"> </w:t>
      </w:r>
      <w:r w:rsidRPr="009D1CCE">
        <w:rPr>
          <w:szCs w:val="24"/>
        </w:rPr>
        <w:t>MAT</w:t>
      </w:r>
      <w:r w:rsidRPr="009D1CCE">
        <w:rPr>
          <w:spacing w:val="-3"/>
          <w:szCs w:val="24"/>
        </w:rPr>
        <w:t xml:space="preserve"> </w:t>
      </w:r>
      <w:r w:rsidRPr="009D1CCE">
        <w:rPr>
          <w:szCs w:val="24"/>
        </w:rPr>
        <w:t>under</w:t>
      </w:r>
      <w:r w:rsidRPr="009D1CCE">
        <w:rPr>
          <w:spacing w:val="-1"/>
          <w:szCs w:val="24"/>
        </w:rPr>
        <w:t xml:space="preserve"> </w:t>
      </w:r>
      <w:r w:rsidRPr="009D1CCE">
        <w:rPr>
          <w:szCs w:val="24"/>
        </w:rPr>
        <w:t>“Resources”</w:t>
      </w:r>
      <w:r w:rsidRPr="009D1CCE">
        <w:rPr>
          <w:spacing w:val="-2"/>
          <w:szCs w:val="24"/>
        </w:rPr>
        <w:t xml:space="preserve"> </w:t>
      </w:r>
      <w:r w:rsidRPr="009D1CCE">
        <w:rPr>
          <w:szCs w:val="24"/>
        </w:rPr>
        <w:t>for</w:t>
      </w:r>
      <w:r w:rsidRPr="009D1CCE">
        <w:rPr>
          <w:spacing w:val="-5"/>
          <w:szCs w:val="24"/>
        </w:rPr>
        <w:t xml:space="preserve"> </w:t>
      </w:r>
      <w:r w:rsidRPr="009D1CCE">
        <w:rPr>
          <w:szCs w:val="24"/>
        </w:rPr>
        <w:t xml:space="preserve">further </w:t>
      </w:r>
      <w:r w:rsidRPr="009D1CCE">
        <w:rPr>
          <w:spacing w:val="-2"/>
          <w:szCs w:val="24"/>
        </w:rPr>
        <w:t>information</w:t>
      </w:r>
      <w:r w:rsidRPr="009D1CCE">
        <w:rPr>
          <w:szCs w:val="24"/>
        </w:rPr>
        <w:t>.</w:t>
      </w:r>
    </w:p>
    <w:p w14:paraId="2C3E2E6B" w14:textId="77777777" w:rsidR="009D1CCE" w:rsidRPr="009D1CCE" w:rsidRDefault="009D1CCE" w:rsidP="009D1CCE">
      <w:pPr>
        <w:widowControl w:val="0"/>
        <w:autoSpaceDE w:val="0"/>
        <w:autoSpaceDN w:val="0"/>
        <w:spacing w:before="5"/>
        <w:rPr>
          <w:szCs w:val="24"/>
        </w:rPr>
      </w:pPr>
    </w:p>
    <w:p w14:paraId="68877724" w14:textId="77777777" w:rsidR="009D1CCE" w:rsidRPr="009D1CCE" w:rsidRDefault="009D1CCE" w:rsidP="009D1CCE">
      <w:pPr>
        <w:widowControl w:val="0"/>
        <w:autoSpaceDE w:val="0"/>
        <w:autoSpaceDN w:val="0"/>
        <w:ind w:left="540"/>
        <w:outlineLvl w:val="0"/>
        <w:rPr>
          <w:b/>
          <w:bCs/>
          <w:szCs w:val="24"/>
        </w:rPr>
      </w:pPr>
      <w:r w:rsidRPr="009D1CCE">
        <w:rPr>
          <w:b/>
          <w:bCs/>
          <w:color w:val="131313"/>
          <w:szCs w:val="24"/>
        </w:rPr>
        <w:t>Contact</w:t>
      </w:r>
      <w:r w:rsidRPr="009D1CCE">
        <w:rPr>
          <w:b/>
          <w:bCs/>
          <w:color w:val="131313"/>
          <w:spacing w:val="-2"/>
          <w:szCs w:val="24"/>
        </w:rPr>
        <w:t xml:space="preserve"> Information</w:t>
      </w:r>
    </w:p>
    <w:p w14:paraId="2FF289BA" w14:textId="77777777" w:rsidR="009D1CCE" w:rsidRPr="009D1CCE" w:rsidRDefault="009D1CCE" w:rsidP="009D1CCE">
      <w:pPr>
        <w:widowControl w:val="0"/>
        <w:autoSpaceDE w:val="0"/>
        <w:autoSpaceDN w:val="0"/>
        <w:spacing w:before="2"/>
        <w:rPr>
          <w:b/>
          <w:szCs w:val="24"/>
        </w:rPr>
      </w:pPr>
    </w:p>
    <w:p w14:paraId="069A82C2" w14:textId="77777777" w:rsidR="009D1CCE" w:rsidRPr="009D1CCE" w:rsidRDefault="009D1CCE" w:rsidP="009D1CCE">
      <w:pPr>
        <w:widowControl w:val="0"/>
        <w:autoSpaceDE w:val="0"/>
        <w:autoSpaceDN w:val="0"/>
        <w:spacing w:before="1"/>
        <w:ind w:left="540" w:right="223"/>
        <w:rPr>
          <w:color w:val="0000FF"/>
          <w:spacing w:val="-1"/>
          <w:szCs w:val="24"/>
        </w:rPr>
      </w:pPr>
      <w:r w:rsidRPr="009D1CCE">
        <w:rPr>
          <w:szCs w:val="24"/>
        </w:rPr>
        <w:t>For</w:t>
      </w:r>
      <w:r w:rsidRPr="009D1CCE">
        <w:rPr>
          <w:spacing w:val="-3"/>
          <w:szCs w:val="24"/>
        </w:rPr>
        <w:t xml:space="preserve"> </w:t>
      </w:r>
      <w:r w:rsidRPr="009D1CCE">
        <w:rPr>
          <w:szCs w:val="24"/>
        </w:rPr>
        <w:t>more</w:t>
      </w:r>
      <w:r w:rsidRPr="009D1CCE">
        <w:rPr>
          <w:spacing w:val="-4"/>
          <w:szCs w:val="24"/>
        </w:rPr>
        <w:t xml:space="preserve"> </w:t>
      </w:r>
      <w:r w:rsidRPr="009D1CCE">
        <w:rPr>
          <w:szCs w:val="24"/>
        </w:rPr>
        <w:t>information,</w:t>
      </w:r>
      <w:r w:rsidRPr="009D1CCE">
        <w:rPr>
          <w:spacing w:val="-3"/>
          <w:szCs w:val="24"/>
        </w:rPr>
        <w:t xml:space="preserve"> </w:t>
      </w:r>
      <w:r w:rsidRPr="009D1CCE">
        <w:rPr>
          <w:szCs w:val="24"/>
        </w:rPr>
        <w:t>or</w:t>
      </w:r>
      <w:r w:rsidRPr="009D1CCE">
        <w:rPr>
          <w:spacing w:val="-2"/>
          <w:szCs w:val="24"/>
        </w:rPr>
        <w:t xml:space="preserve"> </w:t>
      </w:r>
      <w:r w:rsidRPr="009D1CCE">
        <w:rPr>
          <w:szCs w:val="24"/>
        </w:rPr>
        <w:t>if</w:t>
      </w:r>
      <w:r w:rsidRPr="009D1CCE">
        <w:rPr>
          <w:spacing w:val="-3"/>
          <w:szCs w:val="24"/>
        </w:rPr>
        <w:t xml:space="preserve"> </w:t>
      </w:r>
      <w:r w:rsidRPr="009D1CCE">
        <w:rPr>
          <w:szCs w:val="24"/>
        </w:rPr>
        <w:t>you</w:t>
      </w:r>
      <w:r w:rsidRPr="009D1CCE">
        <w:rPr>
          <w:spacing w:val="-3"/>
          <w:szCs w:val="24"/>
        </w:rPr>
        <w:t xml:space="preserve"> </w:t>
      </w:r>
      <w:r w:rsidRPr="009D1CCE">
        <w:rPr>
          <w:szCs w:val="24"/>
        </w:rPr>
        <w:t>have</w:t>
      </w:r>
      <w:r w:rsidRPr="009D1CCE">
        <w:rPr>
          <w:spacing w:val="-4"/>
          <w:szCs w:val="24"/>
        </w:rPr>
        <w:t xml:space="preserve"> </w:t>
      </w:r>
      <w:r w:rsidRPr="009D1CCE">
        <w:rPr>
          <w:szCs w:val="24"/>
        </w:rPr>
        <w:t>any</w:t>
      </w:r>
      <w:r w:rsidRPr="009D1CCE">
        <w:rPr>
          <w:spacing w:val="-3"/>
          <w:szCs w:val="24"/>
        </w:rPr>
        <w:t xml:space="preserve"> </w:t>
      </w:r>
      <w:r w:rsidRPr="009D1CCE">
        <w:rPr>
          <w:szCs w:val="24"/>
        </w:rPr>
        <w:t>questions</w:t>
      </w:r>
      <w:r w:rsidRPr="009D1CCE">
        <w:rPr>
          <w:spacing w:val="-3"/>
          <w:szCs w:val="24"/>
        </w:rPr>
        <w:t xml:space="preserve"> </w:t>
      </w:r>
      <w:r w:rsidRPr="009D1CCE">
        <w:rPr>
          <w:szCs w:val="24"/>
        </w:rPr>
        <w:t>on</w:t>
      </w:r>
      <w:r w:rsidRPr="009D1CCE">
        <w:rPr>
          <w:spacing w:val="-3"/>
          <w:szCs w:val="24"/>
        </w:rPr>
        <w:t xml:space="preserve"> </w:t>
      </w:r>
      <w:r w:rsidRPr="009D1CCE">
        <w:rPr>
          <w:szCs w:val="24"/>
        </w:rPr>
        <w:t>this</w:t>
      </w:r>
      <w:r w:rsidRPr="009D1CCE">
        <w:rPr>
          <w:spacing w:val="-3"/>
          <w:szCs w:val="24"/>
        </w:rPr>
        <w:t xml:space="preserve"> </w:t>
      </w:r>
      <w:r w:rsidRPr="009D1CCE">
        <w:rPr>
          <w:szCs w:val="24"/>
        </w:rPr>
        <w:t>guidance,</w:t>
      </w:r>
      <w:r w:rsidRPr="009D1CCE">
        <w:rPr>
          <w:spacing w:val="-3"/>
          <w:szCs w:val="24"/>
        </w:rPr>
        <w:t xml:space="preserve"> </w:t>
      </w:r>
      <w:r w:rsidRPr="009D1CCE">
        <w:rPr>
          <w:szCs w:val="24"/>
        </w:rPr>
        <w:t>please</w:t>
      </w:r>
      <w:r w:rsidRPr="009D1CCE">
        <w:rPr>
          <w:spacing w:val="-2"/>
          <w:szCs w:val="24"/>
        </w:rPr>
        <w:t xml:space="preserve"> </w:t>
      </w:r>
      <w:r w:rsidRPr="009D1CCE">
        <w:rPr>
          <w:szCs w:val="24"/>
        </w:rPr>
        <w:t>contact</w:t>
      </w:r>
      <w:r w:rsidRPr="009D1CCE">
        <w:rPr>
          <w:spacing w:val="-3"/>
          <w:szCs w:val="24"/>
        </w:rPr>
        <w:t xml:space="preserve"> </w:t>
      </w:r>
      <w:r w:rsidRPr="009D1CCE" w:rsidDel="00DC5E4C">
        <w:rPr>
          <w:szCs w:val="24"/>
        </w:rPr>
        <w:t>the</w:t>
      </w:r>
      <w:r w:rsidRPr="009D1CCE" w:rsidDel="00DC5E4C">
        <w:rPr>
          <w:spacing w:val="-4"/>
          <w:szCs w:val="24"/>
        </w:rPr>
        <w:t xml:space="preserve"> </w:t>
      </w:r>
      <w:r w:rsidRPr="009D1CCE">
        <w:rPr>
          <w:szCs w:val="24"/>
        </w:rPr>
        <w:t>Bureau of Healthcare Safety and Quality via email at</w:t>
      </w:r>
      <w:r w:rsidRPr="009D1CCE">
        <w:rPr>
          <w:spacing w:val="58"/>
          <w:szCs w:val="24"/>
        </w:rPr>
        <w:t xml:space="preserve"> </w:t>
      </w:r>
      <w:hyperlink r:id="rId11">
        <w:r w:rsidRPr="009D1CCE">
          <w:rPr>
            <w:color w:val="0000FF"/>
            <w:szCs w:val="24"/>
            <w:u w:val="single" w:color="0000FF"/>
          </w:rPr>
          <w:t>DPH.BHCSQ@Mass.gov</w:t>
        </w:r>
      </w:hyperlink>
      <w:r w:rsidRPr="009D1CCE">
        <w:rPr>
          <w:color w:val="0000FF"/>
          <w:szCs w:val="24"/>
          <w:u w:val="single" w:color="0000FF"/>
        </w:rPr>
        <w:t>.</w:t>
      </w:r>
      <w:r w:rsidRPr="009D1CCE">
        <w:rPr>
          <w:color w:val="0000FF"/>
          <w:szCs w:val="24"/>
        </w:rPr>
        <w:t xml:space="preserve"> </w:t>
      </w:r>
    </w:p>
    <w:p w14:paraId="05C8E77D" w14:textId="77777777" w:rsidR="009D1CCE" w:rsidRPr="009D1CCE" w:rsidRDefault="009D1CCE" w:rsidP="009D1CCE">
      <w:pPr>
        <w:widowControl w:val="0"/>
        <w:autoSpaceDE w:val="0"/>
        <w:autoSpaceDN w:val="0"/>
        <w:ind w:left="540"/>
        <w:rPr>
          <w:spacing w:val="-4"/>
          <w:szCs w:val="24"/>
        </w:rPr>
      </w:pPr>
    </w:p>
    <w:p w14:paraId="07656CC6" w14:textId="77777777" w:rsidR="009D1CCE" w:rsidRPr="009D1CCE" w:rsidRDefault="009D1CCE" w:rsidP="009D1CCE">
      <w:pPr>
        <w:widowControl w:val="0"/>
        <w:autoSpaceDE w:val="0"/>
        <w:autoSpaceDN w:val="0"/>
        <w:ind w:left="540"/>
        <w:rPr>
          <w:spacing w:val="-4"/>
          <w:szCs w:val="24"/>
        </w:rPr>
      </w:pPr>
    </w:p>
    <w:p w14:paraId="590A8A8C" w14:textId="77777777" w:rsidR="009D1CCE" w:rsidRPr="009D1CCE" w:rsidRDefault="009D1CCE" w:rsidP="009D1CCE">
      <w:pPr>
        <w:widowControl w:val="0"/>
        <w:autoSpaceDE w:val="0"/>
        <w:autoSpaceDN w:val="0"/>
        <w:spacing w:before="1"/>
        <w:ind w:firstLine="540"/>
        <w:outlineLvl w:val="0"/>
        <w:rPr>
          <w:b/>
          <w:bCs/>
          <w:szCs w:val="24"/>
        </w:rPr>
      </w:pPr>
      <w:r w:rsidRPr="009D1CCE">
        <w:rPr>
          <w:b/>
          <w:bCs/>
          <w:color w:val="131313"/>
          <w:spacing w:val="-2"/>
          <w:szCs w:val="24"/>
        </w:rPr>
        <w:t>Resources</w:t>
      </w:r>
    </w:p>
    <w:p w14:paraId="0471F38E" w14:textId="77777777" w:rsidR="009D1CCE" w:rsidRPr="009D1CCE" w:rsidRDefault="009D1CCE" w:rsidP="009D1CCE">
      <w:pPr>
        <w:widowControl w:val="0"/>
        <w:autoSpaceDE w:val="0"/>
        <w:autoSpaceDN w:val="0"/>
        <w:spacing w:before="5"/>
        <w:rPr>
          <w:b/>
          <w:szCs w:val="24"/>
        </w:rPr>
      </w:pPr>
    </w:p>
    <w:p w14:paraId="22994822" w14:textId="77777777" w:rsidR="009D1CCE" w:rsidRPr="009D1CCE" w:rsidRDefault="009D1CCE" w:rsidP="009D1CCE">
      <w:pPr>
        <w:widowControl w:val="0"/>
        <w:autoSpaceDE w:val="0"/>
        <w:autoSpaceDN w:val="0"/>
        <w:ind w:left="540"/>
        <w:rPr>
          <w:szCs w:val="24"/>
        </w:rPr>
      </w:pPr>
      <w:r w:rsidRPr="009D1CCE">
        <w:rPr>
          <w:szCs w:val="24"/>
        </w:rPr>
        <w:t>Below</w:t>
      </w:r>
      <w:r w:rsidRPr="009D1CCE">
        <w:rPr>
          <w:spacing w:val="-1"/>
          <w:szCs w:val="24"/>
        </w:rPr>
        <w:t xml:space="preserve"> </w:t>
      </w:r>
      <w:r w:rsidRPr="009D1CCE">
        <w:rPr>
          <w:szCs w:val="24"/>
        </w:rPr>
        <w:t>are</w:t>
      </w:r>
      <w:r w:rsidRPr="009D1CCE">
        <w:rPr>
          <w:spacing w:val="-1"/>
          <w:szCs w:val="24"/>
        </w:rPr>
        <w:t xml:space="preserve"> </w:t>
      </w:r>
      <w:r w:rsidRPr="009D1CCE">
        <w:rPr>
          <w:szCs w:val="24"/>
        </w:rPr>
        <w:t>links</w:t>
      </w:r>
      <w:r w:rsidRPr="009D1CCE">
        <w:rPr>
          <w:spacing w:val="-1"/>
          <w:szCs w:val="24"/>
        </w:rPr>
        <w:t xml:space="preserve"> </w:t>
      </w:r>
      <w:r w:rsidRPr="009D1CCE">
        <w:rPr>
          <w:szCs w:val="24"/>
        </w:rPr>
        <w:t xml:space="preserve">to training </w:t>
      </w:r>
      <w:r w:rsidRPr="009D1CCE">
        <w:rPr>
          <w:spacing w:val="-2"/>
          <w:szCs w:val="24"/>
        </w:rPr>
        <w:t>resources:</w:t>
      </w:r>
    </w:p>
    <w:p w14:paraId="6D710702" w14:textId="77777777" w:rsidR="009D1CCE" w:rsidRPr="009D1CCE" w:rsidRDefault="009D1CCE" w:rsidP="009D1CCE">
      <w:pPr>
        <w:widowControl w:val="0"/>
        <w:autoSpaceDE w:val="0"/>
        <w:autoSpaceDN w:val="0"/>
        <w:spacing w:before="2"/>
        <w:rPr>
          <w:szCs w:val="24"/>
        </w:rPr>
      </w:pPr>
    </w:p>
    <w:p w14:paraId="2426BC95" w14:textId="77777777" w:rsidR="009D1CCE" w:rsidRPr="009D1CCE" w:rsidRDefault="009D1CCE" w:rsidP="009D1CCE">
      <w:pPr>
        <w:widowControl w:val="0"/>
        <w:numPr>
          <w:ilvl w:val="0"/>
          <w:numId w:val="12"/>
        </w:numPr>
        <w:tabs>
          <w:tab w:val="left" w:pos="1260"/>
        </w:tabs>
        <w:autoSpaceDE w:val="0"/>
        <w:autoSpaceDN w:val="0"/>
        <w:ind w:right="679"/>
        <w:rPr>
          <w:szCs w:val="24"/>
        </w:rPr>
      </w:pPr>
      <w:hyperlink r:id="rId12">
        <w:r w:rsidRPr="009D1CCE">
          <w:rPr>
            <w:color w:val="0000FF"/>
            <w:szCs w:val="24"/>
            <w:u w:val="single" w:color="0000FF"/>
          </w:rPr>
          <w:t>The</w:t>
        </w:r>
        <w:r w:rsidRPr="009D1CCE">
          <w:rPr>
            <w:color w:val="0000FF"/>
            <w:spacing w:val="-5"/>
            <w:szCs w:val="24"/>
            <w:u w:val="single" w:color="0000FF"/>
          </w:rPr>
          <w:t xml:space="preserve"> </w:t>
        </w:r>
        <w:r w:rsidRPr="009D1CCE">
          <w:rPr>
            <w:color w:val="0000FF"/>
            <w:szCs w:val="24"/>
            <w:u w:val="single" w:color="0000FF"/>
          </w:rPr>
          <w:t>Care</w:t>
        </w:r>
        <w:r w:rsidRPr="009D1CCE">
          <w:rPr>
            <w:color w:val="0000FF"/>
            <w:spacing w:val="-5"/>
            <w:szCs w:val="24"/>
            <w:u w:val="single" w:color="0000FF"/>
          </w:rPr>
          <w:t xml:space="preserve"> </w:t>
        </w:r>
        <w:r w:rsidRPr="009D1CCE">
          <w:rPr>
            <w:color w:val="0000FF"/>
            <w:szCs w:val="24"/>
            <w:u w:val="single" w:color="0000FF"/>
          </w:rPr>
          <w:t>of</w:t>
        </w:r>
        <w:r w:rsidRPr="009D1CCE">
          <w:rPr>
            <w:color w:val="0000FF"/>
            <w:spacing w:val="-3"/>
            <w:szCs w:val="24"/>
            <w:u w:val="single" w:color="0000FF"/>
          </w:rPr>
          <w:t xml:space="preserve"> </w:t>
        </w:r>
        <w:r w:rsidRPr="009D1CCE">
          <w:rPr>
            <w:color w:val="0000FF"/>
            <w:szCs w:val="24"/>
            <w:u w:val="single" w:color="0000FF"/>
          </w:rPr>
          <w:t>Residents</w:t>
        </w:r>
        <w:r w:rsidRPr="009D1CCE">
          <w:rPr>
            <w:color w:val="0000FF"/>
            <w:spacing w:val="-3"/>
            <w:szCs w:val="24"/>
            <w:u w:val="single" w:color="0000FF"/>
          </w:rPr>
          <w:t xml:space="preserve"> </w:t>
        </w:r>
        <w:r w:rsidRPr="009D1CCE">
          <w:rPr>
            <w:color w:val="0000FF"/>
            <w:szCs w:val="24"/>
            <w:u w:val="single" w:color="0000FF"/>
          </w:rPr>
          <w:t>with</w:t>
        </w:r>
        <w:r w:rsidRPr="009D1CCE">
          <w:rPr>
            <w:color w:val="0000FF"/>
            <w:spacing w:val="-3"/>
            <w:szCs w:val="24"/>
            <w:u w:val="single" w:color="0000FF"/>
          </w:rPr>
          <w:t xml:space="preserve"> </w:t>
        </w:r>
        <w:r w:rsidRPr="009D1CCE">
          <w:rPr>
            <w:color w:val="0000FF"/>
            <w:szCs w:val="24"/>
            <w:u w:val="single" w:color="0000FF"/>
          </w:rPr>
          <w:t>Opioid</w:t>
        </w:r>
        <w:r w:rsidRPr="009D1CCE">
          <w:rPr>
            <w:color w:val="0000FF"/>
            <w:spacing w:val="-3"/>
            <w:szCs w:val="24"/>
            <w:u w:val="single" w:color="0000FF"/>
          </w:rPr>
          <w:t xml:space="preserve"> </w:t>
        </w:r>
        <w:r w:rsidRPr="009D1CCE">
          <w:rPr>
            <w:color w:val="0000FF"/>
            <w:szCs w:val="24"/>
            <w:u w:val="single" w:color="0000FF"/>
          </w:rPr>
          <w:t>&amp;</w:t>
        </w:r>
        <w:r w:rsidRPr="009D1CCE">
          <w:rPr>
            <w:color w:val="0000FF"/>
            <w:spacing w:val="-3"/>
            <w:szCs w:val="24"/>
            <w:u w:val="single" w:color="0000FF"/>
          </w:rPr>
          <w:t xml:space="preserve"> </w:t>
        </w:r>
        <w:r w:rsidRPr="009D1CCE">
          <w:rPr>
            <w:color w:val="0000FF"/>
            <w:szCs w:val="24"/>
            <w:u w:val="single" w:color="0000FF"/>
          </w:rPr>
          <w:t>Stimulant</w:t>
        </w:r>
        <w:r w:rsidRPr="009D1CCE">
          <w:rPr>
            <w:color w:val="0000FF"/>
            <w:spacing w:val="-3"/>
            <w:szCs w:val="24"/>
            <w:u w:val="single" w:color="0000FF"/>
          </w:rPr>
          <w:t xml:space="preserve"> </w:t>
        </w:r>
        <w:r w:rsidRPr="009D1CCE">
          <w:rPr>
            <w:color w:val="0000FF"/>
            <w:szCs w:val="24"/>
            <w:u w:val="single" w:color="0000FF"/>
          </w:rPr>
          <w:t>Use</w:t>
        </w:r>
        <w:r w:rsidRPr="009D1CCE">
          <w:rPr>
            <w:color w:val="0000FF"/>
            <w:spacing w:val="-4"/>
            <w:szCs w:val="24"/>
            <w:u w:val="single" w:color="0000FF"/>
          </w:rPr>
          <w:t xml:space="preserve"> </w:t>
        </w:r>
        <w:r w:rsidRPr="009D1CCE">
          <w:rPr>
            <w:color w:val="0000FF"/>
            <w:szCs w:val="24"/>
            <w:u w:val="single" w:color="0000FF"/>
          </w:rPr>
          <w:t>Disorders</w:t>
        </w:r>
        <w:r w:rsidRPr="009D1CCE">
          <w:rPr>
            <w:color w:val="0000FF"/>
            <w:spacing w:val="-3"/>
            <w:szCs w:val="24"/>
            <w:u w:val="single" w:color="0000FF"/>
          </w:rPr>
          <w:t xml:space="preserve"> </w:t>
        </w:r>
        <w:r w:rsidRPr="009D1CCE">
          <w:rPr>
            <w:color w:val="0000FF"/>
            <w:szCs w:val="24"/>
            <w:u w:val="single" w:color="0000FF"/>
          </w:rPr>
          <w:t>in</w:t>
        </w:r>
        <w:r w:rsidRPr="009D1CCE">
          <w:rPr>
            <w:color w:val="0000FF"/>
            <w:spacing w:val="-3"/>
            <w:szCs w:val="24"/>
            <w:u w:val="single" w:color="0000FF"/>
          </w:rPr>
          <w:t xml:space="preserve"> </w:t>
        </w:r>
        <w:r w:rsidRPr="009D1CCE">
          <w:rPr>
            <w:color w:val="0000FF"/>
            <w:szCs w:val="24"/>
            <w:u w:val="single" w:color="0000FF"/>
          </w:rPr>
          <w:t>Long-Term</w:t>
        </w:r>
        <w:r w:rsidRPr="009D1CCE">
          <w:rPr>
            <w:color w:val="0000FF"/>
            <w:spacing w:val="-3"/>
            <w:szCs w:val="24"/>
            <w:u w:val="single" w:color="0000FF"/>
          </w:rPr>
          <w:t xml:space="preserve"> </w:t>
        </w:r>
        <w:r w:rsidRPr="009D1CCE">
          <w:rPr>
            <w:color w:val="0000FF"/>
            <w:szCs w:val="24"/>
            <w:u w:val="single" w:color="0000FF"/>
          </w:rPr>
          <w:t>Care</w:t>
        </w:r>
        <w:r w:rsidRPr="009D1CCE">
          <w:rPr>
            <w:color w:val="0000FF"/>
            <w:spacing w:val="-5"/>
            <w:szCs w:val="24"/>
            <w:u w:val="single" w:color="0000FF"/>
          </w:rPr>
          <w:t xml:space="preserve"> </w:t>
        </w:r>
        <w:r w:rsidRPr="009D1CCE">
          <w:rPr>
            <w:color w:val="0000FF"/>
            <w:szCs w:val="24"/>
            <w:u w:val="single" w:color="0000FF"/>
          </w:rPr>
          <w:t>Settings</w:t>
        </w:r>
      </w:hyperlink>
      <w:r w:rsidRPr="009D1CCE">
        <w:rPr>
          <w:color w:val="0000FF"/>
          <w:szCs w:val="24"/>
        </w:rPr>
        <w:t xml:space="preserve"> </w:t>
      </w:r>
      <w:hyperlink r:id="rId13">
        <w:r w:rsidRPr="009D1CCE">
          <w:rPr>
            <w:color w:val="0000FF"/>
            <w:spacing w:val="-2"/>
            <w:szCs w:val="24"/>
            <w:u w:val="single" w:color="0000FF"/>
          </w:rPr>
          <w:t>Toolkit</w:t>
        </w:r>
      </w:hyperlink>
    </w:p>
    <w:p w14:paraId="7D1D667C" w14:textId="77777777" w:rsidR="009D1CCE" w:rsidRPr="009D1CCE" w:rsidRDefault="009D1CCE" w:rsidP="009D1CCE">
      <w:pPr>
        <w:widowControl w:val="0"/>
        <w:numPr>
          <w:ilvl w:val="0"/>
          <w:numId w:val="12"/>
        </w:numPr>
        <w:tabs>
          <w:tab w:val="left" w:pos="1260"/>
        </w:tabs>
        <w:autoSpaceDE w:val="0"/>
        <w:autoSpaceDN w:val="0"/>
        <w:spacing w:before="120"/>
        <w:rPr>
          <w:szCs w:val="24"/>
        </w:rPr>
      </w:pPr>
      <w:hyperlink r:id="rId14">
        <w:r w:rsidRPr="009D1CCE">
          <w:rPr>
            <w:color w:val="0000FF"/>
            <w:szCs w:val="24"/>
            <w:u w:val="single" w:color="0000FF"/>
          </w:rPr>
          <w:t>Massachusetts</w:t>
        </w:r>
        <w:r w:rsidRPr="009D1CCE">
          <w:rPr>
            <w:color w:val="0000FF"/>
            <w:spacing w:val="-2"/>
            <w:szCs w:val="24"/>
            <w:u w:val="single" w:color="0000FF"/>
          </w:rPr>
          <w:t xml:space="preserve"> </w:t>
        </w:r>
        <w:r w:rsidRPr="009D1CCE">
          <w:rPr>
            <w:color w:val="0000FF"/>
            <w:szCs w:val="24"/>
            <w:u w:val="single" w:color="0000FF"/>
          </w:rPr>
          <w:t>Consultation</w:t>
        </w:r>
        <w:r w:rsidRPr="009D1CCE">
          <w:rPr>
            <w:color w:val="0000FF"/>
            <w:spacing w:val="-1"/>
            <w:szCs w:val="24"/>
            <w:u w:val="single" w:color="0000FF"/>
          </w:rPr>
          <w:t xml:space="preserve"> </w:t>
        </w:r>
        <w:r w:rsidRPr="009D1CCE">
          <w:rPr>
            <w:color w:val="0000FF"/>
            <w:szCs w:val="24"/>
            <w:u w:val="single" w:color="0000FF"/>
          </w:rPr>
          <w:t>Service</w:t>
        </w:r>
        <w:r w:rsidRPr="009D1CCE">
          <w:rPr>
            <w:color w:val="0000FF"/>
            <w:spacing w:val="-2"/>
            <w:szCs w:val="24"/>
            <w:u w:val="single" w:color="0000FF"/>
          </w:rPr>
          <w:t xml:space="preserve"> </w:t>
        </w:r>
        <w:r w:rsidRPr="009D1CCE">
          <w:rPr>
            <w:color w:val="0000FF"/>
            <w:szCs w:val="24"/>
            <w:u w:val="single" w:color="0000FF"/>
          </w:rPr>
          <w:t>for</w:t>
        </w:r>
        <w:r w:rsidRPr="009D1CCE">
          <w:rPr>
            <w:color w:val="0000FF"/>
            <w:spacing w:val="-1"/>
            <w:szCs w:val="24"/>
            <w:u w:val="single" w:color="0000FF"/>
          </w:rPr>
          <w:t xml:space="preserve"> </w:t>
        </w:r>
        <w:r w:rsidRPr="009D1CCE">
          <w:rPr>
            <w:color w:val="0000FF"/>
            <w:szCs w:val="24"/>
            <w:u w:val="single" w:color="0000FF"/>
          </w:rPr>
          <w:t>Treatment</w:t>
        </w:r>
        <w:r w:rsidRPr="009D1CCE">
          <w:rPr>
            <w:color w:val="0000FF"/>
            <w:spacing w:val="-1"/>
            <w:szCs w:val="24"/>
            <w:u w:val="single" w:color="0000FF"/>
          </w:rPr>
          <w:t xml:space="preserve"> </w:t>
        </w:r>
        <w:r w:rsidRPr="009D1CCE">
          <w:rPr>
            <w:color w:val="0000FF"/>
            <w:szCs w:val="24"/>
            <w:u w:val="single" w:color="0000FF"/>
          </w:rPr>
          <w:t>of</w:t>
        </w:r>
        <w:r w:rsidRPr="009D1CCE">
          <w:rPr>
            <w:color w:val="0000FF"/>
            <w:spacing w:val="-1"/>
            <w:szCs w:val="24"/>
            <w:u w:val="single" w:color="0000FF"/>
          </w:rPr>
          <w:t xml:space="preserve"> </w:t>
        </w:r>
        <w:r w:rsidRPr="009D1CCE">
          <w:rPr>
            <w:color w:val="0000FF"/>
            <w:szCs w:val="24"/>
            <w:u w:val="single" w:color="0000FF"/>
          </w:rPr>
          <w:t>Addiction</w:t>
        </w:r>
        <w:r w:rsidRPr="009D1CCE">
          <w:rPr>
            <w:color w:val="0000FF"/>
            <w:spacing w:val="-1"/>
            <w:szCs w:val="24"/>
            <w:u w:val="single" w:color="0000FF"/>
          </w:rPr>
          <w:t xml:space="preserve"> </w:t>
        </w:r>
        <w:r w:rsidRPr="009D1CCE">
          <w:rPr>
            <w:color w:val="0000FF"/>
            <w:szCs w:val="24"/>
            <w:u w:val="single" w:color="0000FF"/>
          </w:rPr>
          <w:t>and</w:t>
        </w:r>
        <w:r w:rsidRPr="009D1CCE">
          <w:rPr>
            <w:color w:val="0000FF"/>
            <w:spacing w:val="-1"/>
            <w:szCs w:val="24"/>
            <w:u w:val="single" w:color="0000FF"/>
          </w:rPr>
          <w:t xml:space="preserve"> </w:t>
        </w:r>
        <w:r w:rsidRPr="009D1CCE">
          <w:rPr>
            <w:color w:val="0000FF"/>
            <w:spacing w:val="-4"/>
            <w:szCs w:val="24"/>
            <w:u w:val="single" w:color="0000FF"/>
          </w:rPr>
          <w:t>Pain</w:t>
        </w:r>
      </w:hyperlink>
      <w:r w:rsidRPr="009D1CCE">
        <w:rPr>
          <w:szCs w:val="24"/>
        </w:rPr>
        <w:t xml:space="preserve"> (clinical consultation related to buprenorphine, buprenorphine/naloxone, and naltrexone). </w:t>
      </w:r>
    </w:p>
    <w:p w14:paraId="6BF19263" w14:textId="77777777" w:rsidR="009D1CCE" w:rsidRPr="009D1CCE" w:rsidRDefault="009D1CCE" w:rsidP="009D1CCE">
      <w:pPr>
        <w:widowControl w:val="0"/>
        <w:numPr>
          <w:ilvl w:val="1"/>
          <w:numId w:val="12"/>
        </w:numPr>
        <w:tabs>
          <w:tab w:val="left" w:pos="1260"/>
        </w:tabs>
        <w:autoSpaceDE w:val="0"/>
        <w:autoSpaceDN w:val="0"/>
        <w:spacing w:before="120"/>
        <w:rPr>
          <w:szCs w:val="24"/>
        </w:rPr>
      </w:pPr>
      <w:r w:rsidRPr="009D1CCE">
        <w:rPr>
          <w:szCs w:val="24"/>
        </w:rPr>
        <w:t>Providers may call MCSTAP at 1-833-PAIN-SUD (1-833-724-6783) Monday through Friday from 9 am to 5 pm for a provider consultation on safe prescribing and managing care for adult patients with chronic pain, substance use disorders, or both.</w:t>
      </w:r>
    </w:p>
    <w:p w14:paraId="2D89DD2C" w14:textId="77777777" w:rsidR="009D1CCE" w:rsidRPr="009D1CCE" w:rsidRDefault="009D1CCE" w:rsidP="009D1CCE">
      <w:pPr>
        <w:widowControl w:val="0"/>
        <w:numPr>
          <w:ilvl w:val="0"/>
          <w:numId w:val="12"/>
        </w:numPr>
        <w:tabs>
          <w:tab w:val="left" w:pos="1260"/>
        </w:tabs>
        <w:autoSpaceDE w:val="0"/>
        <w:autoSpaceDN w:val="0"/>
        <w:rPr>
          <w:szCs w:val="24"/>
        </w:rPr>
      </w:pPr>
      <w:r w:rsidRPr="009D1CCE">
        <w:rPr>
          <w:noProof/>
          <w:szCs w:val="24"/>
        </w:rPr>
        <mc:AlternateContent>
          <mc:Choice Requires="wps">
            <w:drawing>
              <wp:anchor distT="0" distB="0" distL="0" distR="0" simplePos="0" relativeHeight="251659264" behindDoc="0" locked="0" layoutInCell="1" allowOverlap="1" wp14:anchorId="1AAB2454" wp14:editId="329D5B98">
                <wp:simplePos x="0" y="0"/>
                <wp:positionH relativeFrom="page">
                  <wp:posOffset>2641726</wp:posOffset>
                </wp:positionH>
                <wp:positionV relativeFrom="paragraph">
                  <wp:posOffset>235740</wp:posOffset>
                </wp:positionV>
                <wp:extent cx="38100"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1F487C"/>
                        </a:solidFill>
                      </wps:spPr>
                      <wps:bodyPr wrap="square" lIns="0" tIns="0" rIns="0" bIns="0" rtlCol="0">
                        <a:prstTxWarp prst="textNoShape">
                          <a:avLst/>
                        </a:prstTxWarp>
                        <a:noAutofit/>
                      </wps:bodyPr>
                    </wps:wsp>
                  </a:graphicData>
                </a:graphic>
              </wp:anchor>
            </w:drawing>
          </mc:Choice>
          <mc:Fallback>
            <w:pict>
              <v:shape w14:anchorId="35189589" id="Graphic 4" o:spid="_x0000_s1026" style="position:absolute;margin-left:208pt;margin-top:18.55pt;width:3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" path="m38100,l,,,7620r38100,l38100,xe" fillcolor="#1f487c" stroked="f">
                <v:path arrowok="t"/>
                <w10:wrap anchorx="page"/>
              </v:shape>
            </w:pict>
          </mc:Fallback>
        </mc:AlternateContent>
      </w:r>
      <w:r w:rsidRPr="009D1CCE">
        <w:rPr>
          <w:szCs w:val="24"/>
        </w:rPr>
        <w:t>Substance</w:t>
      </w:r>
      <w:r w:rsidRPr="009D1CCE">
        <w:rPr>
          <w:spacing w:val="-2"/>
          <w:szCs w:val="24"/>
        </w:rPr>
        <w:t xml:space="preserve"> </w:t>
      </w:r>
      <w:r w:rsidRPr="009D1CCE">
        <w:rPr>
          <w:szCs w:val="24"/>
        </w:rPr>
        <w:t>Use</w:t>
      </w:r>
      <w:r w:rsidRPr="009D1CCE">
        <w:rPr>
          <w:spacing w:val="-3"/>
          <w:szCs w:val="24"/>
        </w:rPr>
        <w:t xml:space="preserve"> </w:t>
      </w:r>
      <w:r w:rsidRPr="009D1CCE">
        <w:rPr>
          <w:szCs w:val="24"/>
        </w:rPr>
        <w:t>Helpline</w:t>
      </w:r>
      <w:r w:rsidRPr="009D1CCE">
        <w:rPr>
          <w:color w:val="1F487C"/>
          <w:szCs w:val="24"/>
        </w:rPr>
        <w:t>:</w:t>
      </w:r>
      <w:r w:rsidRPr="009D1CCE">
        <w:rPr>
          <w:color w:val="0000FF"/>
          <w:spacing w:val="1"/>
          <w:szCs w:val="24"/>
        </w:rPr>
        <w:t xml:space="preserve"> </w:t>
      </w:r>
      <w:hyperlink r:id="rId15">
        <w:r w:rsidRPr="009D1CCE">
          <w:rPr>
            <w:color w:val="0000FF"/>
            <w:spacing w:val="-2"/>
            <w:szCs w:val="24"/>
            <w:u w:val="single" w:color="07459A"/>
          </w:rPr>
          <w:t>https://helplinema.org/</w:t>
        </w:r>
      </w:hyperlink>
    </w:p>
    <w:p w14:paraId="1CF6A88B" w14:textId="77777777" w:rsidR="009D1CCE" w:rsidRPr="009D1CCE" w:rsidRDefault="009D1CCE" w:rsidP="009D1CCE">
      <w:pPr>
        <w:widowControl w:val="0"/>
        <w:numPr>
          <w:ilvl w:val="0"/>
          <w:numId w:val="12"/>
        </w:numPr>
        <w:tabs>
          <w:tab w:val="left" w:pos="1260"/>
        </w:tabs>
        <w:autoSpaceDE w:val="0"/>
        <w:autoSpaceDN w:val="0"/>
        <w:ind w:right="1072"/>
        <w:rPr>
          <w:szCs w:val="24"/>
        </w:rPr>
      </w:pPr>
      <w:hyperlink r:id="rId16" w:history="1">
        <w:r w:rsidRPr="009D1CCE">
          <w:rPr>
            <w:color w:val="0000FF"/>
            <w:szCs w:val="24"/>
            <w:u w:val="single"/>
          </w:rPr>
          <w:t>Information for licensed substance use disorder treatment programs</w:t>
        </w:r>
      </w:hyperlink>
    </w:p>
    <w:p w14:paraId="3DACA1E1" w14:textId="77777777" w:rsidR="009D1CCE" w:rsidRPr="009D1CCE" w:rsidRDefault="009D1CCE" w:rsidP="009D1CCE">
      <w:pPr>
        <w:widowControl w:val="0"/>
        <w:numPr>
          <w:ilvl w:val="0"/>
          <w:numId w:val="12"/>
        </w:numPr>
        <w:tabs>
          <w:tab w:val="left" w:pos="1260"/>
        </w:tabs>
        <w:autoSpaceDE w:val="0"/>
        <w:autoSpaceDN w:val="0"/>
        <w:ind w:right="1072"/>
        <w:rPr>
          <w:color w:val="0000FF"/>
          <w:szCs w:val="24"/>
        </w:rPr>
      </w:pPr>
      <w:hyperlink r:id="rId17" w:history="1">
        <w:r w:rsidRPr="009D1CCE">
          <w:rPr>
            <w:color w:val="0000FF"/>
            <w:szCs w:val="24"/>
            <w:u w:val="single"/>
          </w:rPr>
          <w:t>DEA Narcotic Treatment Manual</w:t>
        </w:r>
      </w:hyperlink>
    </w:p>
    <w:p w14:paraId="22CB1639" w14:textId="77777777" w:rsidR="009D1CCE" w:rsidRPr="009D1CCE" w:rsidRDefault="009D1CCE" w:rsidP="009D1CCE">
      <w:pPr>
        <w:widowControl w:val="0"/>
        <w:numPr>
          <w:ilvl w:val="0"/>
          <w:numId w:val="12"/>
        </w:numPr>
        <w:tabs>
          <w:tab w:val="left" w:pos="1260"/>
        </w:tabs>
        <w:autoSpaceDE w:val="0"/>
        <w:autoSpaceDN w:val="0"/>
        <w:ind w:right="1072"/>
        <w:rPr>
          <w:color w:val="0000FF"/>
          <w:szCs w:val="24"/>
        </w:rPr>
      </w:pPr>
      <w:hyperlink r:id="rId18" w:history="1">
        <w:r w:rsidRPr="009D1CCE">
          <w:rPr>
            <w:color w:val="0000FF"/>
            <w:szCs w:val="24"/>
            <w:u w:val="single"/>
          </w:rPr>
          <w:t>42 CFR Part 8: Opioid Treatment Programs</w:t>
        </w:r>
      </w:hyperlink>
      <w:r w:rsidRPr="009D1CCE">
        <w:rPr>
          <w:color w:val="0000FF"/>
          <w:szCs w:val="24"/>
        </w:rPr>
        <w:t xml:space="preserve"> </w:t>
      </w:r>
    </w:p>
    <w:p w14:paraId="6420483F" w14:textId="77777777" w:rsidR="009D1CCE" w:rsidRPr="009D1CCE" w:rsidRDefault="009D1CCE" w:rsidP="009D1CCE">
      <w:pPr>
        <w:widowControl w:val="0"/>
        <w:numPr>
          <w:ilvl w:val="0"/>
          <w:numId w:val="12"/>
        </w:numPr>
        <w:tabs>
          <w:tab w:val="left" w:pos="1260"/>
        </w:tabs>
        <w:autoSpaceDE w:val="0"/>
        <w:autoSpaceDN w:val="0"/>
        <w:rPr>
          <w:color w:val="0000FF"/>
          <w:szCs w:val="24"/>
        </w:rPr>
      </w:pPr>
      <w:hyperlink r:id="rId19">
        <w:r w:rsidRPr="009D1CCE">
          <w:rPr>
            <w:color w:val="0000FF"/>
            <w:szCs w:val="24"/>
            <w:u w:val="single" w:color="13548F"/>
          </w:rPr>
          <w:t>BSAS</w:t>
        </w:r>
        <w:r w:rsidRPr="009D1CCE">
          <w:rPr>
            <w:color w:val="0000FF"/>
            <w:spacing w:val="-3"/>
            <w:szCs w:val="24"/>
            <w:u w:val="single" w:color="13548F"/>
          </w:rPr>
          <w:t xml:space="preserve"> </w:t>
        </w:r>
        <w:r w:rsidRPr="009D1CCE">
          <w:rPr>
            <w:color w:val="0000FF"/>
            <w:szCs w:val="24"/>
            <w:u w:val="single" w:color="13548F"/>
          </w:rPr>
          <w:t>website</w:t>
        </w:r>
        <w:r w:rsidRPr="009D1CCE">
          <w:rPr>
            <w:color w:val="0000FF"/>
            <w:spacing w:val="-2"/>
            <w:szCs w:val="24"/>
            <w:u w:val="single" w:color="13548F"/>
          </w:rPr>
          <w:t xml:space="preserve"> </w:t>
        </w:r>
        <w:r w:rsidRPr="009D1CCE">
          <w:rPr>
            <w:color w:val="0000FF"/>
            <w:szCs w:val="24"/>
            <w:u w:val="single" w:color="13548F"/>
          </w:rPr>
          <w:t>on Practice</w:t>
        </w:r>
        <w:r w:rsidRPr="009D1CCE">
          <w:rPr>
            <w:color w:val="0000FF"/>
            <w:spacing w:val="-2"/>
            <w:szCs w:val="24"/>
            <w:u w:val="single" w:color="13548F"/>
          </w:rPr>
          <w:t xml:space="preserve"> </w:t>
        </w:r>
        <w:r w:rsidRPr="009D1CCE">
          <w:rPr>
            <w:color w:val="0000FF"/>
            <w:szCs w:val="24"/>
            <w:u w:val="single" w:color="13548F"/>
          </w:rPr>
          <w:t>Guidance</w:t>
        </w:r>
        <w:r w:rsidRPr="009D1CCE">
          <w:rPr>
            <w:color w:val="0000FF"/>
            <w:spacing w:val="-1"/>
            <w:szCs w:val="24"/>
            <w:u w:val="single" w:color="13548F"/>
          </w:rPr>
          <w:t xml:space="preserve"> </w:t>
        </w:r>
        <w:r w:rsidRPr="009D1CCE">
          <w:rPr>
            <w:color w:val="0000FF"/>
            <w:szCs w:val="24"/>
            <w:u w:val="single" w:color="13548F"/>
          </w:rPr>
          <w:t>documents</w:t>
        </w:r>
        <w:r w:rsidRPr="009D1CCE">
          <w:rPr>
            <w:color w:val="0000FF"/>
            <w:spacing w:val="-1"/>
            <w:szCs w:val="24"/>
            <w:u w:val="single" w:color="13548F"/>
          </w:rPr>
          <w:t xml:space="preserve"> </w:t>
        </w:r>
        <w:r w:rsidRPr="009D1CCE">
          <w:rPr>
            <w:color w:val="0000FF"/>
            <w:szCs w:val="24"/>
            <w:u w:val="single" w:color="13548F"/>
          </w:rPr>
          <w:t>on MAT</w:t>
        </w:r>
        <w:r w:rsidRPr="009D1CCE">
          <w:rPr>
            <w:color w:val="0000FF"/>
            <w:spacing w:val="-1"/>
            <w:szCs w:val="24"/>
            <w:u w:val="single" w:color="13548F"/>
          </w:rPr>
          <w:t xml:space="preserve"> </w:t>
        </w:r>
        <w:r w:rsidRPr="009D1CCE">
          <w:rPr>
            <w:color w:val="0000FF"/>
            <w:szCs w:val="24"/>
            <w:u w:val="single" w:color="13548F"/>
          </w:rPr>
          <w:t>and other</w:t>
        </w:r>
        <w:r w:rsidRPr="009D1CCE">
          <w:rPr>
            <w:color w:val="0000FF"/>
            <w:spacing w:val="-3"/>
            <w:szCs w:val="24"/>
            <w:u w:val="single" w:color="13548F"/>
          </w:rPr>
          <w:t xml:space="preserve"> </w:t>
        </w:r>
        <w:r w:rsidRPr="009D1CCE">
          <w:rPr>
            <w:color w:val="0000FF"/>
            <w:szCs w:val="24"/>
            <w:u w:val="single" w:color="13548F"/>
          </w:rPr>
          <w:t xml:space="preserve">relevant </w:t>
        </w:r>
        <w:r w:rsidRPr="009D1CCE">
          <w:rPr>
            <w:color w:val="0000FF"/>
            <w:spacing w:val="-2"/>
            <w:szCs w:val="24"/>
            <w:u w:val="single" w:color="13548F"/>
          </w:rPr>
          <w:t>topics</w:t>
        </w:r>
      </w:hyperlink>
    </w:p>
    <w:p w14:paraId="458073ED" w14:textId="77777777" w:rsidR="009D1CCE" w:rsidRPr="009D1CCE" w:rsidRDefault="009D1CCE" w:rsidP="009D1CCE">
      <w:pPr>
        <w:widowControl w:val="0"/>
        <w:numPr>
          <w:ilvl w:val="0"/>
          <w:numId w:val="12"/>
        </w:numPr>
        <w:tabs>
          <w:tab w:val="left" w:pos="1260"/>
        </w:tabs>
        <w:autoSpaceDE w:val="0"/>
        <w:autoSpaceDN w:val="0"/>
        <w:rPr>
          <w:color w:val="0000FF"/>
          <w:szCs w:val="24"/>
        </w:rPr>
      </w:pPr>
      <w:hyperlink r:id="rId20">
        <w:r w:rsidRPr="009D1CCE">
          <w:rPr>
            <w:color w:val="0000FF"/>
            <w:szCs w:val="24"/>
            <w:u w:val="single" w:color="13548F"/>
          </w:rPr>
          <w:t>Relevant</w:t>
        </w:r>
        <w:r w:rsidRPr="009D1CCE">
          <w:rPr>
            <w:color w:val="0000FF"/>
            <w:spacing w:val="-2"/>
            <w:szCs w:val="24"/>
            <w:u w:val="single" w:color="13548F"/>
          </w:rPr>
          <w:t xml:space="preserve"> </w:t>
        </w:r>
        <w:r w:rsidRPr="009D1CCE">
          <w:rPr>
            <w:color w:val="0000FF"/>
            <w:szCs w:val="24"/>
            <w:u w:val="single" w:color="13548F"/>
          </w:rPr>
          <w:t>training</w:t>
        </w:r>
        <w:r w:rsidRPr="009D1CCE">
          <w:rPr>
            <w:color w:val="0000FF"/>
            <w:spacing w:val="-1"/>
            <w:szCs w:val="24"/>
            <w:u w:val="single" w:color="13548F"/>
          </w:rPr>
          <w:t xml:space="preserve"> </w:t>
        </w:r>
        <w:r w:rsidRPr="009D1CCE">
          <w:rPr>
            <w:color w:val="0000FF"/>
            <w:szCs w:val="24"/>
            <w:u w:val="single" w:color="13548F"/>
          </w:rPr>
          <w:t>programs</w:t>
        </w:r>
        <w:r w:rsidRPr="009D1CCE">
          <w:rPr>
            <w:color w:val="0000FF"/>
            <w:spacing w:val="-1"/>
            <w:szCs w:val="24"/>
            <w:u w:val="single" w:color="13548F"/>
          </w:rPr>
          <w:t xml:space="preserve"> </w:t>
        </w:r>
        <w:r w:rsidRPr="009D1CCE">
          <w:rPr>
            <w:color w:val="0000FF"/>
            <w:szCs w:val="24"/>
            <w:u w:val="single" w:color="13548F"/>
          </w:rPr>
          <w:t>sponsored</w:t>
        </w:r>
        <w:r w:rsidRPr="009D1CCE">
          <w:rPr>
            <w:color w:val="0000FF"/>
            <w:spacing w:val="-1"/>
            <w:szCs w:val="24"/>
            <w:u w:val="single" w:color="13548F"/>
          </w:rPr>
          <w:t xml:space="preserve"> </w:t>
        </w:r>
        <w:r w:rsidRPr="009D1CCE">
          <w:rPr>
            <w:color w:val="0000FF"/>
            <w:szCs w:val="24"/>
            <w:u w:val="single" w:color="13548F"/>
          </w:rPr>
          <w:t>by</w:t>
        </w:r>
        <w:r w:rsidRPr="009D1CCE">
          <w:rPr>
            <w:color w:val="0000FF"/>
            <w:spacing w:val="1"/>
            <w:szCs w:val="24"/>
            <w:u w:val="single" w:color="13548F"/>
          </w:rPr>
          <w:t xml:space="preserve"> </w:t>
        </w:r>
        <w:r w:rsidRPr="009D1CCE">
          <w:rPr>
            <w:color w:val="0000FF"/>
            <w:spacing w:val="-4"/>
            <w:szCs w:val="24"/>
            <w:u w:val="single" w:color="13548F"/>
          </w:rPr>
          <w:t>BSAS</w:t>
        </w:r>
      </w:hyperlink>
    </w:p>
    <w:p w14:paraId="6BEC192C" w14:textId="77777777" w:rsidR="009D1CCE" w:rsidRPr="009D1CCE" w:rsidRDefault="009D1CCE" w:rsidP="009D1CCE">
      <w:pPr>
        <w:widowControl w:val="0"/>
        <w:numPr>
          <w:ilvl w:val="0"/>
          <w:numId w:val="12"/>
        </w:numPr>
        <w:tabs>
          <w:tab w:val="left" w:pos="1260"/>
        </w:tabs>
        <w:autoSpaceDE w:val="0"/>
        <w:autoSpaceDN w:val="0"/>
        <w:rPr>
          <w:color w:val="0000FF"/>
          <w:szCs w:val="24"/>
        </w:rPr>
      </w:pPr>
      <w:hyperlink r:id="rId21">
        <w:r w:rsidRPr="009D1CCE">
          <w:rPr>
            <w:color w:val="0000FF"/>
            <w:spacing w:val="-5"/>
            <w:szCs w:val="24"/>
            <w:u w:val="single" w:color="13548F"/>
          </w:rPr>
          <w:t>SAMHSA - Substance Use Disorder Treatment Options</w:t>
        </w:r>
      </w:hyperlink>
    </w:p>
    <w:p w14:paraId="0D6C4920" w14:textId="77777777" w:rsidR="00B62A57" w:rsidRDefault="009D1CCE" w:rsidP="00C37336">
      <w:pPr>
        <w:widowControl w:val="0"/>
        <w:numPr>
          <w:ilvl w:val="0"/>
          <w:numId w:val="12"/>
        </w:numPr>
        <w:tabs>
          <w:tab w:val="left" w:pos="1260"/>
        </w:tabs>
        <w:autoSpaceDE w:val="0"/>
        <w:autoSpaceDN w:val="0"/>
        <w:rPr>
          <w:color w:val="0000FF"/>
          <w:szCs w:val="24"/>
        </w:rPr>
      </w:pPr>
      <w:hyperlink r:id="rId22">
        <w:r w:rsidRPr="009D1CCE">
          <w:rPr>
            <w:color w:val="0000FF"/>
            <w:spacing w:val="-2"/>
            <w:szCs w:val="24"/>
            <w:u w:val="single" w:color="13548F"/>
          </w:rPr>
          <w:t>Providers Clinical Support System - Medications for Opioid Use Disorders</w:t>
        </w:r>
      </w:hyperlink>
    </w:p>
    <w:p w14:paraId="13C192BE" w14:textId="760087F2" w:rsidR="009D1CCE" w:rsidRPr="00C37336" w:rsidRDefault="009D1CCE" w:rsidP="00C37336">
      <w:pPr>
        <w:widowControl w:val="0"/>
        <w:numPr>
          <w:ilvl w:val="0"/>
          <w:numId w:val="12"/>
        </w:numPr>
        <w:tabs>
          <w:tab w:val="left" w:pos="1260"/>
        </w:tabs>
        <w:autoSpaceDE w:val="0"/>
        <w:autoSpaceDN w:val="0"/>
        <w:rPr>
          <w:color w:val="0000FF"/>
          <w:szCs w:val="24"/>
        </w:rPr>
      </w:pPr>
      <w:hyperlink r:id="rId23">
        <w:r w:rsidRPr="00C37336">
          <w:rPr>
            <w:color w:val="0000FF"/>
            <w:szCs w:val="24"/>
            <w:u w:val="single" w:color="13548F"/>
          </w:rPr>
          <w:t>SAMHSA'</w:t>
        </w:r>
        <w:r w:rsidRPr="00C37336">
          <w:rPr>
            <w:color w:val="0000FF"/>
            <w:spacing w:val="-4"/>
            <w:szCs w:val="24"/>
            <w:u w:val="single" w:color="13548F"/>
          </w:rPr>
          <w:t xml:space="preserve"> </w:t>
        </w:r>
        <w:r w:rsidRPr="00C37336">
          <w:rPr>
            <w:color w:val="0000FF"/>
            <w:szCs w:val="24"/>
            <w:u w:val="single" w:color="13548F"/>
          </w:rPr>
          <w:t>s</w:t>
        </w:r>
        <w:r w:rsidRPr="00C37336">
          <w:rPr>
            <w:color w:val="0000FF"/>
            <w:spacing w:val="-1"/>
            <w:szCs w:val="24"/>
            <w:u w:val="single" w:color="13548F"/>
          </w:rPr>
          <w:t xml:space="preserve"> </w:t>
        </w:r>
        <w:r w:rsidRPr="00C37336">
          <w:rPr>
            <w:color w:val="0000FF"/>
            <w:szCs w:val="24"/>
            <w:u w:val="single" w:color="13548F"/>
          </w:rPr>
          <w:t>website</w:t>
        </w:r>
        <w:r w:rsidRPr="00C37336">
          <w:rPr>
            <w:color w:val="0000FF"/>
            <w:spacing w:val="-2"/>
            <w:szCs w:val="24"/>
            <w:u w:val="single" w:color="13548F"/>
          </w:rPr>
          <w:t xml:space="preserve"> </w:t>
        </w:r>
        <w:r w:rsidRPr="00C37336">
          <w:rPr>
            <w:color w:val="0000FF"/>
            <w:szCs w:val="24"/>
            <w:u w:val="single" w:color="13548F"/>
          </w:rPr>
          <w:t>on</w:t>
        </w:r>
        <w:r w:rsidRPr="00C37336">
          <w:rPr>
            <w:color w:val="0000FF"/>
            <w:spacing w:val="-1"/>
            <w:szCs w:val="24"/>
            <w:u w:val="single" w:color="13548F"/>
          </w:rPr>
          <w:t xml:space="preserve"> </w:t>
        </w:r>
        <w:r w:rsidRPr="00C37336">
          <w:rPr>
            <w:color w:val="0000FF"/>
            <w:szCs w:val="24"/>
            <w:u w:val="single" w:color="13548F"/>
          </w:rPr>
          <w:t>resources</w:t>
        </w:r>
        <w:r w:rsidRPr="00C37336">
          <w:rPr>
            <w:color w:val="0000FF"/>
            <w:spacing w:val="1"/>
            <w:szCs w:val="24"/>
            <w:u w:val="single" w:color="13548F"/>
          </w:rPr>
          <w:t xml:space="preserve"> </w:t>
        </w:r>
        <w:r w:rsidRPr="00C37336">
          <w:rPr>
            <w:color w:val="0000FF"/>
            <w:szCs w:val="24"/>
            <w:u w:val="single" w:color="13548F"/>
          </w:rPr>
          <w:t>for</w:t>
        </w:r>
        <w:r w:rsidRPr="00C37336">
          <w:rPr>
            <w:color w:val="0000FF"/>
            <w:spacing w:val="-3"/>
            <w:szCs w:val="24"/>
            <w:u w:val="single" w:color="13548F"/>
          </w:rPr>
          <w:t xml:space="preserve"> </w:t>
        </w:r>
        <w:r w:rsidRPr="00C37336">
          <w:rPr>
            <w:color w:val="0000FF"/>
            <w:szCs w:val="24"/>
            <w:u w:val="single" w:color="13548F"/>
          </w:rPr>
          <w:t>integrating</w:t>
        </w:r>
        <w:r w:rsidRPr="00C37336">
          <w:rPr>
            <w:color w:val="0000FF"/>
            <w:spacing w:val="-1"/>
            <w:szCs w:val="24"/>
            <w:u w:val="single" w:color="13548F"/>
          </w:rPr>
          <w:t xml:space="preserve"> </w:t>
        </w:r>
        <w:r w:rsidRPr="00C37336">
          <w:rPr>
            <w:color w:val="0000FF"/>
            <w:szCs w:val="24"/>
            <w:u w:val="single" w:color="13548F"/>
          </w:rPr>
          <w:t>primary</w:t>
        </w:r>
        <w:r w:rsidRPr="00C37336">
          <w:rPr>
            <w:color w:val="0000FF"/>
            <w:spacing w:val="-1"/>
            <w:szCs w:val="24"/>
            <w:u w:val="single" w:color="13548F"/>
          </w:rPr>
          <w:t xml:space="preserve"> </w:t>
        </w:r>
        <w:r w:rsidRPr="00C37336">
          <w:rPr>
            <w:color w:val="0000FF"/>
            <w:szCs w:val="24"/>
            <w:u w:val="single" w:color="13548F"/>
          </w:rPr>
          <w:t>care</w:t>
        </w:r>
        <w:r w:rsidRPr="00C37336">
          <w:rPr>
            <w:color w:val="0000FF"/>
            <w:spacing w:val="-3"/>
            <w:szCs w:val="24"/>
            <w:u w:val="single" w:color="13548F"/>
          </w:rPr>
          <w:t xml:space="preserve"> </w:t>
        </w:r>
        <w:r w:rsidRPr="00C37336">
          <w:rPr>
            <w:color w:val="0000FF"/>
            <w:szCs w:val="24"/>
            <w:u w:val="single" w:color="13548F"/>
          </w:rPr>
          <w:t>and</w:t>
        </w:r>
        <w:r w:rsidRPr="00C37336">
          <w:rPr>
            <w:color w:val="0000FF"/>
            <w:spacing w:val="-1"/>
            <w:szCs w:val="24"/>
            <w:u w:val="single" w:color="13548F"/>
          </w:rPr>
          <w:t xml:space="preserve"> </w:t>
        </w:r>
        <w:r w:rsidRPr="00C37336">
          <w:rPr>
            <w:color w:val="0000FF"/>
            <w:szCs w:val="24"/>
            <w:u w:val="single" w:color="13548F"/>
          </w:rPr>
          <w:t>behavioral</w:t>
        </w:r>
        <w:r w:rsidRPr="00C37336">
          <w:rPr>
            <w:color w:val="0000FF"/>
            <w:spacing w:val="-1"/>
            <w:szCs w:val="24"/>
            <w:u w:val="single" w:color="13548F"/>
          </w:rPr>
          <w:t xml:space="preserve"> </w:t>
        </w:r>
        <w:r w:rsidRPr="00C37336">
          <w:rPr>
            <w:color w:val="0000FF"/>
            <w:szCs w:val="24"/>
            <w:u w:val="single" w:color="13548F"/>
          </w:rPr>
          <w:t>health</w:t>
        </w:r>
        <w:r w:rsidRPr="00C37336">
          <w:rPr>
            <w:color w:val="0000FF"/>
            <w:spacing w:val="-1"/>
            <w:szCs w:val="24"/>
            <w:u w:val="single" w:color="13548F"/>
          </w:rPr>
          <w:t xml:space="preserve"> </w:t>
        </w:r>
        <w:r w:rsidRPr="00C37336">
          <w:rPr>
            <w:color w:val="0000FF"/>
            <w:spacing w:val="-2"/>
            <w:szCs w:val="24"/>
            <w:u w:val="single" w:color="13548F"/>
          </w:rPr>
          <w:t>services</w:t>
        </w:r>
      </w:hyperlink>
    </w:p>
    <w:p w14:paraId="705F92CA" w14:textId="77777777" w:rsidR="009D1CCE" w:rsidRDefault="009D1CCE" w:rsidP="009D1CCE">
      <w:pPr>
        <w:jc w:val="center"/>
        <w:rPr>
          <w:szCs w:val="24"/>
        </w:rPr>
      </w:pPr>
    </w:p>
    <w:p w14:paraId="3FC73EC2" w14:textId="77777777" w:rsidR="005B2DFC" w:rsidRDefault="005B2DFC" w:rsidP="005B2DFC">
      <w:pPr>
        <w:pStyle w:val="Heading1"/>
        <w:spacing w:before="79"/>
        <w:rPr>
          <w:color w:val="131313"/>
        </w:rPr>
      </w:pPr>
    </w:p>
    <w:p w14:paraId="6EE79912" w14:textId="77777777" w:rsidR="005B2DFC" w:rsidRDefault="005B2DFC" w:rsidP="005B2DFC">
      <w:pPr>
        <w:pStyle w:val="Heading1"/>
        <w:spacing w:before="79"/>
        <w:rPr>
          <w:color w:val="131313"/>
        </w:rPr>
      </w:pPr>
    </w:p>
    <w:p w14:paraId="7782FEE5" w14:textId="77777777" w:rsidR="005B2DFC" w:rsidRDefault="005B2DFC" w:rsidP="005B2DFC">
      <w:pPr>
        <w:pStyle w:val="Heading1"/>
        <w:spacing w:before="79"/>
        <w:rPr>
          <w:color w:val="131313"/>
        </w:rPr>
      </w:pPr>
    </w:p>
    <w:p w14:paraId="0AD7DBBA" w14:textId="77777777" w:rsidR="005B2DFC" w:rsidRDefault="005B2DFC" w:rsidP="005B2DFC">
      <w:pPr>
        <w:pStyle w:val="Heading1"/>
        <w:spacing w:before="79"/>
        <w:rPr>
          <w:color w:val="131313"/>
        </w:rPr>
      </w:pPr>
    </w:p>
    <w:p w14:paraId="42D682E5" w14:textId="77777777" w:rsidR="005B2DFC" w:rsidRDefault="005B2DFC" w:rsidP="005B2DFC">
      <w:pPr>
        <w:pStyle w:val="Heading1"/>
        <w:spacing w:before="79"/>
        <w:rPr>
          <w:color w:val="131313"/>
        </w:rPr>
      </w:pPr>
    </w:p>
    <w:p w14:paraId="5209F4CD" w14:textId="77777777" w:rsidR="005B2DFC" w:rsidRDefault="005B2DFC" w:rsidP="005B2DFC">
      <w:pPr>
        <w:pStyle w:val="Heading1"/>
        <w:spacing w:before="79"/>
        <w:rPr>
          <w:color w:val="131313"/>
        </w:rPr>
      </w:pPr>
    </w:p>
    <w:p w14:paraId="428755F9" w14:textId="77777777" w:rsidR="005B2DFC" w:rsidRDefault="005B2DFC" w:rsidP="005B2DFC">
      <w:pPr>
        <w:pStyle w:val="Heading1"/>
        <w:spacing w:before="79"/>
        <w:rPr>
          <w:color w:val="131313"/>
        </w:rPr>
      </w:pPr>
    </w:p>
    <w:p w14:paraId="7AD417BE" w14:textId="6301437F" w:rsidR="005B2DFC" w:rsidRPr="003543B2" w:rsidRDefault="005B2DFC" w:rsidP="005B2DFC">
      <w:pPr>
        <w:pStyle w:val="Heading1"/>
        <w:spacing w:before="79"/>
        <w:ind w:left="3420" w:firstLine="180"/>
      </w:pPr>
      <w:r w:rsidRPr="003543B2">
        <w:rPr>
          <w:color w:val="131313"/>
        </w:rPr>
        <w:lastRenderedPageBreak/>
        <w:t xml:space="preserve">Appendix </w:t>
      </w:r>
      <w:r w:rsidRPr="003543B2">
        <w:rPr>
          <w:color w:val="131313"/>
          <w:spacing w:val="-10"/>
        </w:rPr>
        <w:t>A</w:t>
      </w:r>
    </w:p>
    <w:p w14:paraId="359FCC49" w14:textId="77777777" w:rsidR="005B2DFC" w:rsidRPr="003543B2" w:rsidRDefault="005B2DFC" w:rsidP="005B2DFC">
      <w:pPr>
        <w:pStyle w:val="BodyText"/>
        <w:spacing w:before="5"/>
        <w:rPr>
          <w:b/>
        </w:rPr>
      </w:pPr>
    </w:p>
    <w:p w14:paraId="4E6CD486" w14:textId="77777777" w:rsidR="005B2DFC" w:rsidRPr="003543B2" w:rsidRDefault="005B2DFC" w:rsidP="005B2DFC">
      <w:pPr>
        <w:ind w:left="540"/>
        <w:rPr>
          <w:b/>
          <w:szCs w:val="24"/>
        </w:rPr>
      </w:pPr>
      <w:r w:rsidRPr="003543B2">
        <w:rPr>
          <w:b/>
          <w:color w:val="131313"/>
          <w:szCs w:val="24"/>
        </w:rPr>
        <w:t>Policy</w:t>
      </w:r>
      <w:r w:rsidRPr="003543B2">
        <w:rPr>
          <w:b/>
          <w:color w:val="131313"/>
          <w:spacing w:val="-2"/>
          <w:szCs w:val="24"/>
        </w:rPr>
        <w:t xml:space="preserve"> </w:t>
      </w:r>
      <w:r w:rsidRPr="003543B2">
        <w:rPr>
          <w:b/>
          <w:color w:val="131313"/>
          <w:szCs w:val="24"/>
        </w:rPr>
        <w:t>on the</w:t>
      </w:r>
      <w:r w:rsidRPr="003543B2">
        <w:rPr>
          <w:b/>
          <w:color w:val="131313"/>
          <w:spacing w:val="-1"/>
          <w:szCs w:val="24"/>
        </w:rPr>
        <w:t xml:space="preserve"> </w:t>
      </w:r>
      <w:r w:rsidRPr="003543B2">
        <w:rPr>
          <w:b/>
          <w:color w:val="131313"/>
          <w:szCs w:val="24"/>
        </w:rPr>
        <w:t>Use</w:t>
      </w:r>
      <w:r w:rsidRPr="003543B2">
        <w:rPr>
          <w:b/>
          <w:color w:val="131313"/>
          <w:spacing w:val="-2"/>
          <w:szCs w:val="24"/>
        </w:rPr>
        <w:t xml:space="preserve"> </w:t>
      </w:r>
      <w:r w:rsidRPr="003543B2">
        <w:rPr>
          <w:b/>
          <w:color w:val="131313"/>
          <w:szCs w:val="24"/>
        </w:rPr>
        <w:t>of Standing</w:t>
      </w:r>
      <w:r w:rsidRPr="003543B2">
        <w:rPr>
          <w:b/>
          <w:color w:val="131313"/>
          <w:spacing w:val="-3"/>
          <w:szCs w:val="24"/>
        </w:rPr>
        <w:t xml:space="preserve"> </w:t>
      </w:r>
      <w:r w:rsidRPr="003543B2">
        <w:rPr>
          <w:b/>
          <w:color w:val="131313"/>
          <w:szCs w:val="24"/>
        </w:rPr>
        <w:t>Orders for</w:t>
      </w:r>
      <w:r w:rsidRPr="003543B2">
        <w:rPr>
          <w:b/>
          <w:color w:val="131313"/>
          <w:spacing w:val="-2"/>
          <w:szCs w:val="24"/>
        </w:rPr>
        <w:t xml:space="preserve"> </w:t>
      </w:r>
      <w:r w:rsidRPr="003543B2">
        <w:rPr>
          <w:b/>
          <w:bCs/>
          <w:color w:val="131313"/>
          <w:szCs w:val="24"/>
        </w:rPr>
        <w:t>Administering</w:t>
      </w:r>
      <w:r w:rsidRPr="003543B2">
        <w:rPr>
          <w:b/>
          <w:color w:val="131313"/>
          <w:szCs w:val="24"/>
        </w:rPr>
        <w:t xml:space="preserve"> </w:t>
      </w:r>
      <w:r w:rsidRPr="003543B2">
        <w:rPr>
          <w:b/>
          <w:color w:val="131313"/>
          <w:spacing w:val="-2"/>
          <w:szCs w:val="24"/>
        </w:rPr>
        <w:t>Naloxone</w:t>
      </w:r>
      <w:r w:rsidRPr="003543B2">
        <w:rPr>
          <w:b/>
          <w:color w:val="131313"/>
          <w:szCs w:val="24"/>
        </w:rPr>
        <w:t xml:space="preserve"> in an Emergency Situation</w:t>
      </w:r>
    </w:p>
    <w:p w14:paraId="402207E0" w14:textId="77777777" w:rsidR="005B2DFC" w:rsidRPr="003543B2" w:rsidRDefault="005B2DFC" w:rsidP="005B2DFC">
      <w:pPr>
        <w:pStyle w:val="BodyText"/>
        <w:spacing w:before="240"/>
        <w:ind w:left="540"/>
      </w:pPr>
      <w:r>
        <w:t xml:space="preserve">Medication lists often include a “standing order” to administer a medication, immunization or treatment as part of admission orders, or annual renewal of orders. This order indicates the resident is medically </w:t>
      </w:r>
      <w:proofErr w:type="gramStart"/>
      <w:r>
        <w:t>cleared, and</w:t>
      </w:r>
      <w:proofErr w:type="gramEnd"/>
      <w:r>
        <w:t xml:space="preserve"> authorizes the administration.</w:t>
      </w:r>
    </w:p>
    <w:p w14:paraId="7494E521" w14:textId="77777777" w:rsidR="005B2DFC" w:rsidRPr="003543B2" w:rsidRDefault="005B2DFC" w:rsidP="005B2DFC">
      <w:pPr>
        <w:pStyle w:val="BodyText"/>
        <w:spacing w:before="240"/>
        <w:ind w:left="540"/>
      </w:pPr>
      <w:r w:rsidRPr="003543B2">
        <w:t>The</w:t>
      </w:r>
      <w:r w:rsidRPr="003543B2">
        <w:rPr>
          <w:spacing w:val="-4"/>
        </w:rPr>
        <w:t xml:space="preserve"> </w:t>
      </w:r>
      <w:r w:rsidRPr="003543B2">
        <w:t>Department recommends</w:t>
      </w:r>
      <w:r w:rsidRPr="003543B2">
        <w:rPr>
          <w:spacing w:val="-1"/>
        </w:rPr>
        <w:t xml:space="preserve"> </w:t>
      </w:r>
      <w:r w:rsidRPr="003543B2">
        <w:t>that</w:t>
      </w:r>
      <w:r w:rsidRPr="003543B2">
        <w:rPr>
          <w:spacing w:val="-2"/>
        </w:rPr>
        <w:t xml:space="preserve"> </w:t>
      </w:r>
      <w:r w:rsidRPr="003543B2">
        <w:t>LTCFs</w:t>
      </w:r>
      <w:r w:rsidRPr="003543B2">
        <w:rPr>
          <w:spacing w:val="-4"/>
        </w:rPr>
        <w:t xml:space="preserve"> </w:t>
      </w:r>
      <w:r w:rsidRPr="003543B2">
        <w:t>develop</w:t>
      </w:r>
      <w:r w:rsidRPr="003543B2">
        <w:rPr>
          <w:spacing w:val="-3"/>
        </w:rPr>
        <w:t xml:space="preserve"> </w:t>
      </w:r>
      <w:r w:rsidRPr="003543B2">
        <w:t>Standing</w:t>
      </w:r>
      <w:r w:rsidRPr="003543B2">
        <w:rPr>
          <w:spacing w:val="-3"/>
        </w:rPr>
        <w:t xml:space="preserve"> </w:t>
      </w:r>
      <w:r w:rsidRPr="003543B2">
        <w:t>Orders</w:t>
      </w:r>
      <w:r w:rsidRPr="003543B2">
        <w:rPr>
          <w:spacing w:val="-3"/>
        </w:rPr>
        <w:t xml:space="preserve"> </w:t>
      </w:r>
      <w:r w:rsidRPr="003543B2">
        <w:t>for</w:t>
      </w:r>
      <w:r w:rsidRPr="003543B2">
        <w:rPr>
          <w:spacing w:val="-3"/>
        </w:rPr>
        <w:t xml:space="preserve"> </w:t>
      </w:r>
      <w:r w:rsidRPr="003543B2">
        <w:t>the</w:t>
      </w:r>
      <w:r w:rsidRPr="003543B2">
        <w:rPr>
          <w:spacing w:val="-4"/>
        </w:rPr>
        <w:t xml:space="preserve"> </w:t>
      </w:r>
      <w:r w:rsidRPr="003543B2">
        <w:t>use</w:t>
      </w:r>
      <w:r w:rsidRPr="003543B2">
        <w:rPr>
          <w:spacing w:val="-4"/>
        </w:rPr>
        <w:t xml:space="preserve"> </w:t>
      </w:r>
      <w:r w:rsidRPr="003543B2">
        <w:t>of</w:t>
      </w:r>
      <w:r w:rsidRPr="003543B2">
        <w:rPr>
          <w:spacing w:val="-3"/>
        </w:rPr>
        <w:t xml:space="preserve"> </w:t>
      </w:r>
      <w:r w:rsidRPr="003543B2">
        <w:t>naloxone in emergency situations,</w:t>
      </w:r>
      <w:r w:rsidRPr="003543B2">
        <w:rPr>
          <w:spacing w:val="-3"/>
        </w:rPr>
        <w:t xml:space="preserve"> </w:t>
      </w:r>
      <w:r w:rsidRPr="003543B2">
        <w:t>subject</w:t>
      </w:r>
      <w:r w:rsidRPr="003543B2">
        <w:rPr>
          <w:spacing w:val="-3"/>
        </w:rPr>
        <w:t xml:space="preserve"> </w:t>
      </w:r>
      <w:r w:rsidRPr="003543B2">
        <w:t>to the following conditions:</w:t>
      </w:r>
    </w:p>
    <w:p w14:paraId="0F270B24" w14:textId="77777777" w:rsidR="005B2DFC" w:rsidRPr="003543B2" w:rsidRDefault="005B2DFC" w:rsidP="005B2DFC">
      <w:pPr>
        <w:pStyle w:val="BodyText"/>
        <w:spacing w:before="2"/>
      </w:pPr>
    </w:p>
    <w:p w14:paraId="67E32A22" w14:textId="77777777" w:rsidR="005B2DFC" w:rsidRPr="005B2DFC" w:rsidRDefault="005B2DFC" w:rsidP="005B2DFC">
      <w:pPr>
        <w:pStyle w:val="ListParagraph"/>
        <w:widowControl w:val="0"/>
        <w:numPr>
          <w:ilvl w:val="0"/>
          <w:numId w:val="14"/>
        </w:numPr>
        <w:tabs>
          <w:tab w:val="left" w:pos="1260"/>
        </w:tabs>
        <w:autoSpaceDE w:val="0"/>
        <w:autoSpaceDN w:val="0"/>
        <w:spacing w:before="1" w:after="0" w:line="240" w:lineRule="auto"/>
        <w:ind w:right="241"/>
        <w:contextualSpacing w:val="0"/>
        <w:rPr>
          <w:rFonts w:ascii="Times New Roman" w:hAnsi="Times New Roman" w:cs="Times New Roman"/>
          <w:sz w:val="24"/>
          <w:szCs w:val="24"/>
        </w:rPr>
      </w:pPr>
      <w:r w:rsidRPr="005B2DFC">
        <w:rPr>
          <w:rFonts w:ascii="Times New Roman" w:hAnsi="Times New Roman" w:cs="Times New Roman"/>
          <w:sz w:val="24"/>
          <w:szCs w:val="24"/>
        </w:rPr>
        <w:t xml:space="preserve">The Standing Order should be part of </w:t>
      </w:r>
      <w:proofErr w:type="gramStart"/>
      <w:r w:rsidRPr="005B2DFC">
        <w:rPr>
          <w:rFonts w:ascii="Times New Roman" w:hAnsi="Times New Roman" w:cs="Times New Roman"/>
          <w:sz w:val="24"/>
          <w:szCs w:val="24"/>
        </w:rPr>
        <w:t>the LTCF’s</w:t>
      </w:r>
      <w:proofErr w:type="gramEnd"/>
      <w:r w:rsidRPr="005B2DFC">
        <w:rPr>
          <w:rFonts w:ascii="Times New Roman" w:hAnsi="Times New Roman" w:cs="Times New Roman"/>
          <w:sz w:val="24"/>
          <w:szCs w:val="24"/>
        </w:rPr>
        <w:t xml:space="preserve"> policies and procedures. The policy statement shall reference current standards and/or guidelines for the use of Naloxone. The accountability for development,</w:t>
      </w:r>
      <w:r w:rsidRPr="005B2DFC">
        <w:rPr>
          <w:rFonts w:ascii="Times New Roman" w:hAnsi="Times New Roman" w:cs="Times New Roman"/>
          <w:spacing w:val="-3"/>
          <w:sz w:val="24"/>
          <w:szCs w:val="24"/>
        </w:rPr>
        <w:t xml:space="preserve"> </w:t>
      </w:r>
      <w:r w:rsidRPr="005B2DFC">
        <w:rPr>
          <w:rFonts w:ascii="Times New Roman" w:hAnsi="Times New Roman" w:cs="Times New Roman"/>
          <w:sz w:val="24"/>
          <w:szCs w:val="24"/>
        </w:rPr>
        <w:t>training</w:t>
      </w:r>
      <w:r w:rsidRPr="005B2DFC">
        <w:rPr>
          <w:rFonts w:ascii="Times New Roman" w:hAnsi="Times New Roman" w:cs="Times New Roman"/>
          <w:spacing w:val="-2"/>
          <w:sz w:val="24"/>
          <w:szCs w:val="24"/>
        </w:rPr>
        <w:t xml:space="preserve"> </w:t>
      </w:r>
      <w:r w:rsidRPr="005B2DFC">
        <w:rPr>
          <w:rFonts w:ascii="Times New Roman" w:hAnsi="Times New Roman" w:cs="Times New Roman"/>
          <w:sz w:val="24"/>
          <w:szCs w:val="24"/>
        </w:rPr>
        <w:t>and</w:t>
      </w:r>
      <w:r w:rsidRPr="005B2DFC">
        <w:rPr>
          <w:rFonts w:ascii="Times New Roman" w:hAnsi="Times New Roman" w:cs="Times New Roman"/>
          <w:spacing w:val="-3"/>
          <w:sz w:val="24"/>
          <w:szCs w:val="24"/>
        </w:rPr>
        <w:t xml:space="preserve"> </w:t>
      </w:r>
      <w:r w:rsidRPr="005B2DFC">
        <w:rPr>
          <w:rFonts w:ascii="Times New Roman" w:hAnsi="Times New Roman" w:cs="Times New Roman"/>
          <w:sz w:val="24"/>
          <w:szCs w:val="24"/>
        </w:rPr>
        <w:t>implementation</w:t>
      </w:r>
      <w:r w:rsidRPr="005B2DFC">
        <w:rPr>
          <w:rFonts w:ascii="Times New Roman" w:hAnsi="Times New Roman" w:cs="Times New Roman"/>
          <w:spacing w:val="-3"/>
          <w:sz w:val="24"/>
          <w:szCs w:val="24"/>
        </w:rPr>
        <w:t xml:space="preserve"> </w:t>
      </w:r>
      <w:r w:rsidRPr="005B2DFC">
        <w:rPr>
          <w:rFonts w:ascii="Times New Roman" w:hAnsi="Times New Roman" w:cs="Times New Roman"/>
          <w:sz w:val="24"/>
          <w:szCs w:val="24"/>
        </w:rPr>
        <w:t>of</w:t>
      </w:r>
      <w:r w:rsidRPr="005B2DFC">
        <w:rPr>
          <w:rFonts w:ascii="Times New Roman" w:hAnsi="Times New Roman" w:cs="Times New Roman"/>
          <w:spacing w:val="-3"/>
          <w:sz w:val="24"/>
          <w:szCs w:val="24"/>
        </w:rPr>
        <w:t xml:space="preserve"> </w:t>
      </w:r>
      <w:r w:rsidRPr="005B2DFC">
        <w:rPr>
          <w:rFonts w:ascii="Times New Roman" w:hAnsi="Times New Roman" w:cs="Times New Roman"/>
          <w:sz w:val="24"/>
          <w:szCs w:val="24"/>
        </w:rPr>
        <w:t>the</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policy</w:t>
      </w:r>
      <w:r w:rsidRPr="005B2DFC">
        <w:rPr>
          <w:rFonts w:ascii="Times New Roman" w:hAnsi="Times New Roman" w:cs="Times New Roman"/>
          <w:spacing w:val="-3"/>
          <w:sz w:val="24"/>
          <w:szCs w:val="24"/>
        </w:rPr>
        <w:t xml:space="preserve"> </w:t>
      </w:r>
      <w:r w:rsidRPr="005B2DFC">
        <w:rPr>
          <w:rFonts w:ascii="Times New Roman" w:hAnsi="Times New Roman" w:cs="Times New Roman"/>
          <w:sz w:val="24"/>
          <w:szCs w:val="24"/>
        </w:rPr>
        <w:t>within</w:t>
      </w:r>
      <w:r w:rsidRPr="005B2DFC">
        <w:rPr>
          <w:rFonts w:ascii="Times New Roman" w:hAnsi="Times New Roman" w:cs="Times New Roman"/>
          <w:spacing w:val="-3"/>
          <w:sz w:val="24"/>
          <w:szCs w:val="24"/>
        </w:rPr>
        <w:t xml:space="preserve"> </w:t>
      </w:r>
      <w:r w:rsidRPr="005B2DFC">
        <w:rPr>
          <w:rFonts w:ascii="Times New Roman" w:hAnsi="Times New Roman" w:cs="Times New Roman"/>
          <w:sz w:val="24"/>
          <w:szCs w:val="24"/>
        </w:rPr>
        <w:t>the</w:t>
      </w:r>
      <w:r w:rsidRPr="005B2DFC">
        <w:rPr>
          <w:rFonts w:ascii="Times New Roman" w:hAnsi="Times New Roman" w:cs="Times New Roman"/>
          <w:spacing w:val="-2"/>
          <w:sz w:val="24"/>
          <w:szCs w:val="24"/>
        </w:rPr>
        <w:t xml:space="preserve"> </w:t>
      </w:r>
      <w:r w:rsidRPr="005B2DFC">
        <w:rPr>
          <w:rFonts w:ascii="Times New Roman" w:hAnsi="Times New Roman" w:cs="Times New Roman"/>
          <w:sz w:val="24"/>
          <w:szCs w:val="24"/>
        </w:rPr>
        <w:t>LTCF</w:t>
      </w:r>
      <w:r w:rsidRPr="005B2DFC">
        <w:rPr>
          <w:rFonts w:ascii="Times New Roman" w:hAnsi="Times New Roman" w:cs="Times New Roman"/>
          <w:spacing w:val="-5"/>
          <w:sz w:val="24"/>
          <w:szCs w:val="24"/>
        </w:rPr>
        <w:t xml:space="preserve"> </w:t>
      </w:r>
      <w:r w:rsidRPr="005B2DFC">
        <w:rPr>
          <w:rFonts w:ascii="Times New Roman" w:hAnsi="Times New Roman" w:cs="Times New Roman"/>
          <w:sz w:val="24"/>
          <w:szCs w:val="24"/>
        </w:rPr>
        <w:t>shall</w:t>
      </w:r>
      <w:r w:rsidRPr="005B2DFC">
        <w:rPr>
          <w:rFonts w:ascii="Times New Roman" w:hAnsi="Times New Roman" w:cs="Times New Roman"/>
          <w:spacing w:val="-3"/>
          <w:sz w:val="24"/>
          <w:szCs w:val="24"/>
        </w:rPr>
        <w:t xml:space="preserve"> </w:t>
      </w:r>
      <w:r w:rsidRPr="005B2DFC">
        <w:rPr>
          <w:rFonts w:ascii="Times New Roman" w:hAnsi="Times New Roman" w:cs="Times New Roman"/>
          <w:sz w:val="24"/>
          <w:szCs w:val="24"/>
        </w:rPr>
        <w:t>be</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clearly</w:t>
      </w:r>
      <w:r w:rsidRPr="005B2DFC">
        <w:rPr>
          <w:rFonts w:ascii="Times New Roman" w:hAnsi="Times New Roman" w:cs="Times New Roman"/>
          <w:spacing w:val="-3"/>
          <w:sz w:val="24"/>
          <w:szCs w:val="24"/>
        </w:rPr>
        <w:t xml:space="preserve"> </w:t>
      </w:r>
      <w:r w:rsidRPr="005B2DFC">
        <w:rPr>
          <w:rFonts w:ascii="Times New Roman" w:hAnsi="Times New Roman" w:cs="Times New Roman"/>
          <w:sz w:val="24"/>
          <w:szCs w:val="24"/>
        </w:rPr>
        <w:t>stated.</w:t>
      </w:r>
    </w:p>
    <w:p w14:paraId="10D45430" w14:textId="77777777" w:rsidR="005B2DFC" w:rsidRPr="005B2DFC" w:rsidRDefault="005B2DFC" w:rsidP="005B2DFC">
      <w:pPr>
        <w:pStyle w:val="ListParagraph"/>
        <w:widowControl w:val="0"/>
        <w:numPr>
          <w:ilvl w:val="0"/>
          <w:numId w:val="14"/>
        </w:numPr>
        <w:tabs>
          <w:tab w:val="left" w:pos="1260"/>
        </w:tabs>
        <w:autoSpaceDE w:val="0"/>
        <w:autoSpaceDN w:val="0"/>
        <w:spacing w:before="120" w:after="0" w:line="240" w:lineRule="auto"/>
        <w:ind w:right="398"/>
        <w:contextualSpacing w:val="0"/>
        <w:rPr>
          <w:rFonts w:ascii="Times New Roman" w:hAnsi="Times New Roman" w:cs="Times New Roman"/>
          <w:sz w:val="24"/>
          <w:szCs w:val="24"/>
        </w:rPr>
      </w:pPr>
      <w:r w:rsidRPr="005B2DFC">
        <w:rPr>
          <w:rFonts w:ascii="Times New Roman" w:hAnsi="Times New Roman" w:cs="Times New Roman"/>
          <w:sz w:val="24"/>
          <w:szCs w:val="24"/>
        </w:rPr>
        <w:t>Each Standing Order developed for a Resident receiving medications for opioid use disorder should include Naloxone.</w:t>
      </w:r>
    </w:p>
    <w:p w14:paraId="3CAE7640" w14:textId="77777777" w:rsidR="005B2DFC" w:rsidRPr="005B2DFC" w:rsidRDefault="005B2DFC" w:rsidP="005B2DFC">
      <w:pPr>
        <w:pStyle w:val="ListParagraph"/>
        <w:widowControl w:val="0"/>
        <w:numPr>
          <w:ilvl w:val="0"/>
          <w:numId w:val="14"/>
        </w:numPr>
        <w:tabs>
          <w:tab w:val="left" w:pos="1260"/>
        </w:tabs>
        <w:autoSpaceDE w:val="0"/>
        <w:autoSpaceDN w:val="0"/>
        <w:spacing w:before="120" w:after="0" w:line="240" w:lineRule="auto"/>
        <w:ind w:right="1070"/>
        <w:contextualSpacing w:val="0"/>
        <w:rPr>
          <w:rFonts w:ascii="Times New Roman" w:hAnsi="Times New Roman" w:cs="Times New Roman"/>
          <w:sz w:val="24"/>
          <w:szCs w:val="24"/>
        </w:rPr>
      </w:pPr>
      <w:r w:rsidRPr="005B2DFC">
        <w:rPr>
          <w:rFonts w:ascii="Times New Roman" w:hAnsi="Times New Roman" w:cs="Times New Roman"/>
          <w:sz w:val="24"/>
          <w:szCs w:val="24"/>
        </w:rPr>
        <w:t>In addition, Standing Order policies</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should</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include</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parameters</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for</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use,</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including, but not limited to,</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eligible</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residents for</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whom</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the</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order</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is appropriate, and any restrictions or exclusions.</w:t>
      </w:r>
    </w:p>
    <w:p w14:paraId="0BFB53AA" w14:textId="77777777" w:rsidR="005B2DFC" w:rsidRPr="005B2DFC" w:rsidRDefault="005B2DFC" w:rsidP="005B2DFC">
      <w:pPr>
        <w:pStyle w:val="ListParagraph"/>
        <w:widowControl w:val="0"/>
        <w:numPr>
          <w:ilvl w:val="0"/>
          <w:numId w:val="14"/>
        </w:numPr>
        <w:tabs>
          <w:tab w:val="left" w:pos="1260"/>
        </w:tabs>
        <w:autoSpaceDE w:val="0"/>
        <w:autoSpaceDN w:val="0"/>
        <w:spacing w:before="120" w:after="0" w:line="240" w:lineRule="auto"/>
        <w:ind w:right="611"/>
        <w:contextualSpacing w:val="0"/>
        <w:rPr>
          <w:rFonts w:ascii="Times New Roman" w:hAnsi="Times New Roman" w:cs="Times New Roman"/>
          <w:sz w:val="24"/>
          <w:szCs w:val="24"/>
        </w:rPr>
      </w:pPr>
      <w:r w:rsidRPr="005B2DFC">
        <w:rPr>
          <w:rFonts w:ascii="Times New Roman" w:hAnsi="Times New Roman" w:cs="Times New Roman"/>
          <w:sz w:val="24"/>
          <w:szCs w:val="24"/>
        </w:rPr>
        <w:t>Standing Order policies</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and</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procedures</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should</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include</w:t>
      </w:r>
      <w:r w:rsidRPr="005B2DFC">
        <w:rPr>
          <w:rFonts w:ascii="Times New Roman" w:hAnsi="Times New Roman" w:cs="Times New Roman"/>
          <w:spacing w:val="-5"/>
          <w:sz w:val="24"/>
          <w:szCs w:val="24"/>
        </w:rPr>
        <w:t xml:space="preserve"> </w:t>
      </w:r>
      <w:r w:rsidRPr="005B2DFC">
        <w:rPr>
          <w:rFonts w:ascii="Times New Roman" w:hAnsi="Times New Roman" w:cs="Times New Roman"/>
          <w:sz w:val="24"/>
          <w:szCs w:val="24"/>
        </w:rPr>
        <w:t>requirements</w:t>
      </w:r>
      <w:r w:rsidRPr="005B2DFC">
        <w:rPr>
          <w:rFonts w:ascii="Times New Roman" w:hAnsi="Times New Roman" w:cs="Times New Roman"/>
          <w:spacing w:val="-4"/>
          <w:sz w:val="24"/>
          <w:szCs w:val="24"/>
        </w:rPr>
        <w:t xml:space="preserve"> </w:t>
      </w:r>
      <w:r w:rsidRPr="005B2DFC">
        <w:rPr>
          <w:rFonts w:ascii="Times New Roman" w:hAnsi="Times New Roman" w:cs="Times New Roman"/>
          <w:sz w:val="24"/>
          <w:szCs w:val="24"/>
        </w:rPr>
        <w:t>for</w:t>
      </w:r>
      <w:r w:rsidRPr="005B2DFC">
        <w:rPr>
          <w:rFonts w:ascii="Times New Roman" w:hAnsi="Times New Roman" w:cs="Times New Roman"/>
          <w:spacing w:val="-6"/>
          <w:sz w:val="24"/>
          <w:szCs w:val="24"/>
        </w:rPr>
        <w:t xml:space="preserve"> </w:t>
      </w:r>
      <w:r w:rsidRPr="005B2DFC">
        <w:rPr>
          <w:rFonts w:ascii="Times New Roman" w:hAnsi="Times New Roman" w:cs="Times New Roman"/>
          <w:sz w:val="24"/>
          <w:szCs w:val="24"/>
        </w:rPr>
        <w:t>documentation in the resident’s medical record following the administration of Naloxone.</w:t>
      </w:r>
    </w:p>
    <w:p w14:paraId="43C54F23" w14:textId="77777777" w:rsidR="005B2DFC" w:rsidRPr="003543B2" w:rsidRDefault="005B2DFC" w:rsidP="005B2DFC">
      <w:pPr>
        <w:pStyle w:val="ListParagraph"/>
        <w:tabs>
          <w:tab w:val="left" w:pos="1260"/>
        </w:tabs>
        <w:ind w:right="611"/>
        <w:rPr>
          <w:sz w:val="24"/>
          <w:szCs w:val="24"/>
        </w:rPr>
      </w:pPr>
    </w:p>
    <w:p w14:paraId="0379DC44" w14:textId="77777777" w:rsidR="005B2DFC" w:rsidRPr="003543B2" w:rsidRDefault="005B2DFC" w:rsidP="005B2DFC">
      <w:pPr>
        <w:tabs>
          <w:tab w:val="left" w:pos="1260"/>
        </w:tabs>
        <w:spacing w:before="121"/>
        <w:ind w:left="720" w:right="1010"/>
        <w:rPr>
          <w:szCs w:val="24"/>
        </w:rPr>
      </w:pPr>
      <w:r w:rsidRPr="5DA8ABE7">
        <w:rPr>
          <w:szCs w:val="24"/>
        </w:rPr>
        <w:t xml:space="preserve">In addition to the administration of Naloxone pursuant Standing Orders, the Department recommends that LTCFs store Naloxone in a location readily accessible to any staff member and permit administration of Naloxone to any individual, including staff, residents, and visitors in the event of </w:t>
      </w:r>
      <w:proofErr w:type="gramStart"/>
      <w:r w:rsidRPr="5DA8ABE7">
        <w:rPr>
          <w:szCs w:val="24"/>
        </w:rPr>
        <w:t>an emergency situation</w:t>
      </w:r>
      <w:proofErr w:type="gramEnd"/>
      <w:r w:rsidRPr="5DA8ABE7">
        <w:rPr>
          <w:szCs w:val="24"/>
        </w:rPr>
        <w:t xml:space="preserve">, as appropriate. </w:t>
      </w:r>
    </w:p>
    <w:p w14:paraId="7503DB6A" w14:textId="77777777" w:rsidR="005B2DFC" w:rsidRPr="003543B2" w:rsidRDefault="005B2DFC" w:rsidP="005B2DFC">
      <w:pPr>
        <w:pStyle w:val="ListParagraph"/>
        <w:tabs>
          <w:tab w:val="left" w:pos="1260"/>
        </w:tabs>
        <w:spacing w:before="121"/>
        <w:ind w:right="1010"/>
        <w:jc w:val="both"/>
        <w:rPr>
          <w:sz w:val="24"/>
          <w:szCs w:val="24"/>
        </w:rPr>
      </w:pP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E7759" w14:textId="77777777" w:rsidR="00B40373" w:rsidRDefault="00B40373" w:rsidP="001968B8">
      <w:r>
        <w:separator/>
      </w:r>
    </w:p>
  </w:endnote>
  <w:endnote w:type="continuationSeparator" w:id="0">
    <w:p w14:paraId="35C1723B" w14:textId="77777777" w:rsidR="00B40373" w:rsidRDefault="00B40373" w:rsidP="001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2134" w14:textId="77777777" w:rsidR="00B40373" w:rsidRDefault="00B40373" w:rsidP="001968B8">
      <w:r>
        <w:separator/>
      </w:r>
    </w:p>
  </w:footnote>
  <w:footnote w:type="continuationSeparator" w:id="0">
    <w:p w14:paraId="55A22C24" w14:textId="77777777" w:rsidR="00B40373" w:rsidRDefault="00B40373" w:rsidP="001968B8">
      <w:r>
        <w:continuationSeparator/>
      </w:r>
    </w:p>
  </w:footnote>
  <w:footnote w:id="1">
    <w:p w14:paraId="59CFAF15" w14:textId="77777777" w:rsidR="009D1CCE" w:rsidRDefault="009D1CCE" w:rsidP="009D1CCE">
      <w:pPr>
        <w:pStyle w:val="FootnoteText"/>
      </w:pPr>
      <w:r>
        <w:rPr>
          <w:rStyle w:val="FootnoteReference"/>
        </w:rPr>
        <w:footnoteRef/>
      </w:r>
      <w:r>
        <w:t xml:space="preserve"> </w:t>
      </w:r>
      <w:r w:rsidRPr="00A306B7">
        <w:t>This memorandum does not address the prescription of methadone for pain management, which should be handled in the same manner as any other medication prescribed for pain management.</w:t>
      </w:r>
    </w:p>
  </w:footnote>
  <w:footnote w:id="2">
    <w:p w14:paraId="0F7CA2CE" w14:textId="77777777" w:rsidR="009D1CCE" w:rsidRDefault="009D1CCE" w:rsidP="009D1CCE">
      <w:pPr>
        <w:pStyle w:val="FootnoteText"/>
      </w:pPr>
      <w:r>
        <w:rPr>
          <w:rStyle w:val="FootnoteReference"/>
        </w:rPr>
        <w:footnoteRef/>
      </w:r>
      <w:r>
        <w:t xml:space="preserve"> </w:t>
      </w:r>
      <w:hyperlink r:id="rId1" w:history="1">
        <w:r>
          <w:rPr>
            <w:rStyle w:val="Hyperlink"/>
            <w:spacing w:val="-2"/>
          </w:rPr>
          <w:t>https://www.samhsa.gov/substance-use/treatment/statutes-regulations-guidelines/mat-act</w:t>
        </w:r>
      </w:hyperlink>
    </w:p>
  </w:footnote>
  <w:footnote w:id="3">
    <w:p w14:paraId="3B7E7B13" w14:textId="77777777" w:rsidR="009D1CCE" w:rsidRDefault="009D1CCE" w:rsidP="009D1CCE">
      <w:pPr>
        <w:pStyle w:val="FootnoteText"/>
      </w:pPr>
      <w:r w:rsidRPr="588BE6A5">
        <w:rPr>
          <w:rStyle w:val="FootnoteReference"/>
        </w:rPr>
        <w:footnoteRef/>
      </w:r>
      <w:r>
        <w:t xml:space="preserve"> 105 CMR 150.001 defines that Primary Care Provider shall mean the physician, physician assistant or nurse practitioner responsible for the resident’s continuing medical care and periodic reevaluation.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E52"/>
    <w:multiLevelType w:val="multilevel"/>
    <w:tmpl w:val="6828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27120"/>
    <w:multiLevelType w:val="hybridMultilevel"/>
    <w:tmpl w:val="76087E4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0F710942"/>
    <w:multiLevelType w:val="hybridMultilevel"/>
    <w:tmpl w:val="CDBC2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02104"/>
    <w:multiLevelType w:val="hybridMultilevel"/>
    <w:tmpl w:val="2C8E9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B2E86"/>
    <w:multiLevelType w:val="hybridMultilevel"/>
    <w:tmpl w:val="6C8E222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9F59CE"/>
    <w:multiLevelType w:val="hybridMultilevel"/>
    <w:tmpl w:val="8C369B1C"/>
    <w:lvl w:ilvl="0" w:tplc="F77E5512">
      <w:numFmt w:val="bullet"/>
      <w:lvlText w:val=""/>
      <w:lvlJc w:val="left"/>
      <w:pPr>
        <w:ind w:left="1260" w:hanging="360"/>
      </w:pPr>
      <w:rPr>
        <w:rFonts w:ascii="Symbol" w:eastAsia="Symbol" w:hAnsi="Symbol" w:cs="Symbol" w:hint="default"/>
        <w:b w:val="0"/>
        <w:bCs w:val="0"/>
        <w:i w:val="0"/>
        <w:iCs w:val="0"/>
        <w:color w:val="auto"/>
        <w:spacing w:val="0"/>
        <w:w w:val="99"/>
        <w:sz w:val="20"/>
        <w:szCs w:val="20"/>
        <w:lang w:val="en-US" w:eastAsia="en-US" w:bidi="ar-SA"/>
      </w:rPr>
    </w:lvl>
    <w:lvl w:ilvl="1" w:tplc="E70E931E">
      <w:numFmt w:val="bullet"/>
      <w:lvlText w:val="•"/>
      <w:lvlJc w:val="left"/>
      <w:pPr>
        <w:ind w:left="2206" w:hanging="360"/>
      </w:pPr>
      <w:rPr>
        <w:rFonts w:hint="default"/>
        <w:lang w:val="en-US" w:eastAsia="en-US" w:bidi="ar-SA"/>
      </w:rPr>
    </w:lvl>
    <w:lvl w:ilvl="2" w:tplc="6BCE28B6">
      <w:numFmt w:val="bullet"/>
      <w:lvlText w:val="•"/>
      <w:lvlJc w:val="left"/>
      <w:pPr>
        <w:ind w:left="3152" w:hanging="360"/>
      </w:pPr>
      <w:rPr>
        <w:rFonts w:hint="default"/>
        <w:lang w:val="en-US" w:eastAsia="en-US" w:bidi="ar-SA"/>
      </w:rPr>
    </w:lvl>
    <w:lvl w:ilvl="3" w:tplc="21A4EB50">
      <w:numFmt w:val="bullet"/>
      <w:lvlText w:val="•"/>
      <w:lvlJc w:val="left"/>
      <w:pPr>
        <w:ind w:left="4098" w:hanging="360"/>
      </w:pPr>
      <w:rPr>
        <w:rFonts w:hint="default"/>
        <w:lang w:val="en-US" w:eastAsia="en-US" w:bidi="ar-SA"/>
      </w:rPr>
    </w:lvl>
    <w:lvl w:ilvl="4" w:tplc="00AAC7A4">
      <w:numFmt w:val="bullet"/>
      <w:lvlText w:val="•"/>
      <w:lvlJc w:val="left"/>
      <w:pPr>
        <w:ind w:left="5044" w:hanging="360"/>
      </w:pPr>
      <w:rPr>
        <w:rFonts w:hint="default"/>
        <w:lang w:val="en-US" w:eastAsia="en-US" w:bidi="ar-SA"/>
      </w:rPr>
    </w:lvl>
    <w:lvl w:ilvl="5" w:tplc="69182FFA">
      <w:numFmt w:val="bullet"/>
      <w:lvlText w:val="•"/>
      <w:lvlJc w:val="left"/>
      <w:pPr>
        <w:ind w:left="5990" w:hanging="360"/>
      </w:pPr>
      <w:rPr>
        <w:rFonts w:hint="default"/>
        <w:lang w:val="en-US" w:eastAsia="en-US" w:bidi="ar-SA"/>
      </w:rPr>
    </w:lvl>
    <w:lvl w:ilvl="6" w:tplc="EAFC5A04">
      <w:numFmt w:val="bullet"/>
      <w:lvlText w:val="•"/>
      <w:lvlJc w:val="left"/>
      <w:pPr>
        <w:ind w:left="6936" w:hanging="360"/>
      </w:pPr>
      <w:rPr>
        <w:rFonts w:hint="default"/>
        <w:lang w:val="en-US" w:eastAsia="en-US" w:bidi="ar-SA"/>
      </w:rPr>
    </w:lvl>
    <w:lvl w:ilvl="7" w:tplc="DBFAC498">
      <w:numFmt w:val="bullet"/>
      <w:lvlText w:val="•"/>
      <w:lvlJc w:val="left"/>
      <w:pPr>
        <w:ind w:left="7882" w:hanging="360"/>
      </w:pPr>
      <w:rPr>
        <w:rFonts w:hint="default"/>
        <w:lang w:val="en-US" w:eastAsia="en-US" w:bidi="ar-SA"/>
      </w:rPr>
    </w:lvl>
    <w:lvl w:ilvl="8" w:tplc="73F29B5A">
      <w:numFmt w:val="bullet"/>
      <w:lvlText w:val="•"/>
      <w:lvlJc w:val="left"/>
      <w:pPr>
        <w:ind w:left="8828" w:hanging="360"/>
      </w:pPr>
      <w:rPr>
        <w:rFonts w:hint="default"/>
        <w:lang w:val="en-US" w:eastAsia="en-US" w:bidi="ar-SA"/>
      </w:rPr>
    </w:lvl>
  </w:abstractNum>
  <w:abstractNum w:abstractNumId="6" w15:restartNumberingAfterBreak="0">
    <w:nsid w:val="367619F5"/>
    <w:multiLevelType w:val="multilevel"/>
    <w:tmpl w:val="B776D0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6204B1"/>
    <w:multiLevelType w:val="hybridMultilevel"/>
    <w:tmpl w:val="5712AC4E"/>
    <w:lvl w:ilvl="0" w:tplc="D71614A0">
      <w:start w:val="1"/>
      <w:numFmt w:val="decimal"/>
      <w:lvlText w:val="%1."/>
      <w:lvlJc w:val="left"/>
      <w:pPr>
        <w:ind w:left="12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1524946">
      <w:numFmt w:val="bullet"/>
      <w:lvlText w:val="•"/>
      <w:lvlJc w:val="left"/>
      <w:pPr>
        <w:ind w:left="2206" w:hanging="360"/>
      </w:pPr>
      <w:rPr>
        <w:rFonts w:hint="default"/>
        <w:lang w:val="en-US" w:eastAsia="en-US" w:bidi="ar-SA"/>
      </w:rPr>
    </w:lvl>
    <w:lvl w:ilvl="2" w:tplc="5B064A68">
      <w:numFmt w:val="bullet"/>
      <w:lvlText w:val="•"/>
      <w:lvlJc w:val="left"/>
      <w:pPr>
        <w:ind w:left="3152" w:hanging="360"/>
      </w:pPr>
      <w:rPr>
        <w:rFonts w:hint="default"/>
        <w:lang w:val="en-US" w:eastAsia="en-US" w:bidi="ar-SA"/>
      </w:rPr>
    </w:lvl>
    <w:lvl w:ilvl="3" w:tplc="CC0EB394">
      <w:numFmt w:val="bullet"/>
      <w:lvlText w:val="•"/>
      <w:lvlJc w:val="left"/>
      <w:pPr>
        <w:ind w:left="4098" w:hanging="360"/>
      </w:pPr>
      <w:rPr>
        <w:rFonts w:hint="default"/>
        <w:lang w:val="en-US" w:eastAsia="en-US" w:bidi="ar-SA"/>
      </w:rPr>
    </w:lvl>
    <w:lvl w:ilvl="4" w:tplc="EC8A2658">
      <w:numFmt w:val="bullet"/>
      <w:lvlText w:val="•"/>
      <w:lvlJc w:val="left"/>
      <w:pPr>
        <w:ind w:left="5044" w:hanging="360"/>
      </w:pPr>
      <w:rPr>
        <w:rFonts w:hint="default"/>
        <w:lang w:val="en-US" w:eastAsia="en-US" w:bidi="ar-SA"/>
      </w:rPr>
    </w:lvl>
    <w:lvl w:ilvl="5" w:tplc="6F94ED9A">
      <w:numFmt w:val="bullet"/>
      <w:lvlText w:val="•"/>
      <w:lvlJc w:val="left"/>
      <w:pPr>
        <w:ind w:left="5990" w:hanging="360"/>
      </w:pPr>
      <w:rPr>
        <w:rFonts w:hint="default"/>
        <w:lang w:val="en-US" w:eastAsia="en-US" w:bidi="ar-SA"/>
      </w:rPr>
    </w:lvl>
    <w:lvl w:ilvl="6" w:tplc="D436BABC">
      <w:numFmt w:val="bullet"/>
      <w:lvlText w:val="•"/>
      <w:lvlJc w:val="left"/>
      <w:pPr>
        <w:ind w:left="6936" w:hanging="360"/>
      </w:pPr>
      <w:rPr>
        <w:rFonts w:hint="default"/>
        <w:lang w:val="en-US" w:eastAsia="en-US" w:bidi="ar-SA"/>
      </w:rPr>
    </w:lvl>
    <w:lvl w:ilvl="7" w:tplc="3DF07366">
      <w:numFmt w:val="bullet"/>
      <w:lvlText w:val="•"/>
      <w:lvlJc w:val="left"/>
      <w:pPr>
        <w:ind w:left="7882" w:hanging="360"/>
      </w:pPr>
      <w:rPr>
        <w:rFonts w:hint="default"/>
        <w:lang w:val="en-US" w:eastAsia="en-US" w:bidi="ar-SA"/>
      </w:rPr>
    </w:lvl>
    <w:lvl w:ilvl="8" w:tplc="95DED622">
      <w:numFmt w:val="bullet"/>
      <w:lvlText w:val="•"/>
      <w:lvlJc w:val="left"/>
      <w:pPr>
        <w:ind w:left="8828" w:hanging="360"/>
      </w:pPr>
      <w:rPr>
        <w:rFonts w:hint="default"/>
        <w:lang w:val="en-US" w:eastAsia="en-US" w:bidi="ar-SA"/>
      </w:rPr>
    </w:lvl>
  </w:abstractNum>
  <w:abstractNum w:abstractNumId="8" w15:restartNumberingAfterBreak="0">
    <w:nsid w:val="5E5108D6"/>
    <w:multiLevelType w:val="hybridMultilevel"/>
    <w:tmpl w:val="CD362730"/>
    <w:lvl w:ilvl="0" w:tplc="C9009EA2">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853A95"/>
    <w:multiLevelType w:val="multilevel"/>
    <w:tmpl w:val="B6B8248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A35CED"/>
    <w:multiLevelType w:val="multilevel"/>
    <w:tmpl w:val="8F12447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0A7AC6"/>
    <w:multiLevelType w:val="multilevel"/>
    <w:tmpl w:val="24AE8CE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6D24A0"/>
    <w:multiLevelType w:val="multilevel"/>
    <w:tmpl w:val="A866CDA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A12654"/>
    <w:multiLevelType w:val="multilevel"/>
    <w:tmpl w:val="CB400A1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5347918">
    <w:abstractNumId w:val="4"/>
  </w:num>
  <w:num w:numId="2" w16cid:durableId="481509329">
    <w:abstractNumId w:val="0"/>
  </w:num>
  <w:num w:numId="3" w16cid:durableId="51854789">
    <w:abstractNumId w:val="10"/>
  </w:num>
  <w:num w:numId="4" w16cid:durableId="442383698">
    <w:abstractNumId w:val="11"/>
  </w:num>
  <w:num w:numId="5" w16cid:durableId="1616209065">
    <w:abstractNumId w:val="6"/>
  </w:num>
  <w:num w:numId="6" w16cid:durableId="993951251">
    <w:abstractNumId w:val="12"/>
  </w:num>
  <w:num w:numId="7" w16cid:durableId="341902781">
    <w:abstractNumId w:val="13"/>
  </w:num>
  <w:num w:numId="8" w16cid:durableId="1183320959">
    <w:abstractNumId w:val="9"/>
  </w:num>
  <w:num w:numId="9" w16cid:durableId="512648295">
    <w:abstractNumId w:val="3"/>
  </w:num>
  <w:num w:numId="10" w16cid:durableId="1758474959">
    <w:abstractNumId w:val="8"/>
  </w:num>
  <w:num w:numId="11" w16cid:durableId="364912104">
    <w:abstractNumId w:val="2"/>
  </w:num>
  <w:num w:numId="12" w16cid:durableId="1074204832">
    <w:abstractNumId w:val="5"/>
  </w:num>
  <w:num w:numId="13" w16cid:durableId="1348947556">
    <w:abstractNumId w:val="1"/>
  </w:num>
  <w:num w:numId="14" w16cid:durableId="249698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7C96"/>
    <w:rsid w:val="00016046"/>
    <w:rsid w:val="000164B3"/>
    <w:rsid w:val="00017A69"/>
    <w:rsid w:val="00022BFA"/>
    <w:rsid w:val="00033154"/>
    <w:rsid w:val="00042048"/>
    <w:rsid w:val="000537DA"/>
    <w:rsid w:val="00073319"/>
    <w:rsid w:val="000745F8"/>
    <w:rsid w:val="000A1DE1"/>
    <w:rsid w:val="000A30A1"/>
    <w:rsid w:val="000B2068"/>
    <w:rsid w:val="000B7D96"/>
    <w:rsid w:val="000C2E20"/>
    <w:rsid w:val="000F315B"/>
    <w:rsid w:val="000F3D09"/>
    <w:rsid w:val="00101859"/>
    <w:rsid w:val="00106470"/>
    <w:rsid w:val="001125C0"/>
    <w:rsid w:val="001269BC"/>
    <w:rsid w:val="0014396A"/>
    <w:rsid w:val="0015268B"/>
    <w:rsid w:val="0015709E"/>
    <w:rsid w:val="00160B25"/>
    <w:rsid w:val="0017749A"/>
    <w:rsid w:val="00177C77"/>
    <w:rsid w:val="001968B8"/>
    <w:rsid w:val="001A7E66"/>
    <w:rsid w:val="001B458D"/>
    <w:rsid w:val="001B6127"/>
    <w:rsid w:val="001B6693"/>
    <w:rsid w:val="00200975"/>
    <w:rsid w:val="0021141F"/>
    <w:rsid w:val="0021698C"/>
    <w:rsid w:val="00237280"/>
    <w:rsid w:val="002607D4"/>
    <w:rsid w:val="00260D54"/>
    <w:rsid w:val="00264430"/>
    <w:rsid w:val="00273324"/>
    <w:rsid w:val="0027595A"/>
    <w:rsid w:val="00276957"/>
    <w:rsid w:val="00276DCC"/>
    <w:rsid w:val="00292EE7"/>
    <w:rsid w:val="002A132F"/>
    <w:rsid w:val="002A2955"/>
    <w:rsid w:val="002B2DD8"/>
    <w:rsid w:val="002D1C21"/>
    <w:rsid w:val="002E0C11"/>
    <w:rsid w:val="00301022"/>
    <w:rsid w:val="00303507"/>
    <w:rsid w:val="00324137"/>
    <w:rsid w:val="00325D4D"/>
    <w:rsid w:val="003349ED"/>
    <w:rsid w:val="00353A71"/>
    <w:rsid w:val="00357A68"/>
    <w:rsid w:val="00361666"/>
    <w:rsid w:val="00361721"/>
    <w:rsid w:val="00371A1A"/>
    <w:rsid w:val="00375EAD"/>
    <w:rsid w:val="0038024D"/>
    <w:rsid w:val="0038068E"/>
    <w:rsid w:val="00385812"/>
    <w:rsid w:val="00392D0B"/>
    <w:rsid w:val="003A0774"/>
    <w:rsid w:val="003A7AFC"/>
    <w:rsid w:val="003B0161"/>
    <w:rsid w:val="003B2FF6"/>
    <w:rsid w:val="003C60EF"/>
    <w:rsid w:val="003D637B"/>
    <w:rsid w:val="003F3430"/>
    <w:rsid w:val="003F45BB"/>
    <w:rsid w:val="004031BC"/>
    <w:rsid w:val="00414285"/>
    <w:rsid w:val="00421E98"/>
    <w:rsid w:val="00435BA4"/>
    <w:rsid w:val="00440D11"/>
    <w:rsid w:val="0047064D"/>
    <w:rsid w:val="004813AC"/>
    <w:rsid w:val="00483828"/>
    <w:rsid w:val="004870C5"/>
    <w:rsid w:val="004B043D"/>
    <w:rsid w:val="004B1976"/>
    <w:rsid w:val="004B37A0"/>
    <w:rsid w:val="004B541F"/>
    <w:rsid w:val="004B5CFB"/>
    <w:rsid w:val="004C1186"/>
    <w:rsid w:val="004D6B39"/>
    <w:rsid w:val="004E0C3F"/>
    <w:rsid w:val="004F4994"/>
    <w:rsid w:val="00512956"/>
    <w:rsid w:val="00530145"/>
    <w:rsid w:val="005448AA"/>
    <w:rsid w:val="00572A6E"/>
    <w:rsid w:val="00581BC8"/>
    <w:rsid w:val="005A3250"/>
    <w:rsid w:val="005A7CD4"/>
    <w:rsid w:val="005B2DFC"/>
    <w:rsid w:val="005E19F6"/>
    <w:rsid w:val="00603D00"/>
    <w:rsid w:val="006146E5"/>
    <w:rsid w:val="00617D2E"/>
    <w:rsid w:val="00627F92"/>
    <w:rsid w:val="0065440D"/>
    <w:rsid w:val="0068360D"/>
    <w:rsid w:val="006A4BD2"/>
    <w:rsid w:val="006B7869"/>
    <w:rsid w:val="006D06D9"/>
    <w:rsid w:val="006D77A6"/>
    <w:rsid w:val="006F79A4"/>
    <w:rsid w:val="00702109"/>
    <w:rsid w:val="00705634"/>
    <w:rsid w:val="00720D0E"/>
    <w:rsid w:val="007210FB"/>
    <w:rsid w:val="0072610D"/>
    <w:rsid w:val="007359C3"/>
    <w:rsid w:val="00757006"/>
    <w:rsid w:val="00761589"/>
    <w:rsid w:val="00771FEB"/>
    <w:rsid w:val="00775410"/>
    <w:rsid w:val="0077654A"/>
    <w:rsid w:val="007803AD"/>
    <w:rsid w:val="00786045"/>
    <w:rsid w:val="007B3F4B"/>
    <w:rsid w:val="007B7347"/>
    <w:rsid w:val="007D008A"/>
    <w:rsid w:val="007D10F3"/>
    <w:rsid w:val="007D1D51"/>
    <w:rsid w:val="007D226B"/>
    <w:rsid w:val="007E06B4"/>
    <w:rsid w:val="007F3CDB"/>
    <w:rsid w:val="00802852"/>
    <w:rsid w:val="00807ED0"/>
    <w:rsid w:val="00840AE1"/>
    <w:rsid w:val="00844FC2"/>
    <w:rsid w:val="0084654C"/>
    <w:rsid w:val="00850407"/>
    <w:rsid w:val="00850B0F"/>
    <w:rsid w:val="008577AC"/>
    <w:rsid w:val="008674C8"/>
    <w:rsid w:val="0088305B"/>
    <w:rsid w:val="00883B27"/>
    <w:rsid w:val="008E43B7"/>
    <w:rsid w:val="008F07EA"/>
    <w:rsid w:val="00906A4F"/>
    <w:rsid w:val="00922EE4"/>
    <w:rsid w:val="009379F3"/>
    <w:rsid w:val="0094640C"/>
    <w:rsid w:val="00951305"/>
    <w:rsid w:val="00966EE6"/>
    <w:rsid w:val="009730E5"/>
    <w:rsid w:val="009731FB"/>
    <w:rsid w:val="00973A17"/>
    <w:rsid w:val="0097573F"/>
    <w:rsid w:val="009908FF"/>
    <w:rsid w:val="00995505"/>
    <w:rsid w:val="009B2E53"/>
    <w:rsid w:val="009C4428"/>
    <w:rsid w:val="009D1021"/>
    <w:rsid w:val="009D1CCE"/>
    <w:rsid w:val="009D21F9"/>
    <w:rsid w:val="009D48CD"/>
    <w:rsid w:val="00A02479"/>
    <w:rsid w:val="00A206C6"/>
    <w:rsid w:val="00A40D5D"/>
    <w:rsid w:val="00A473B7"/>
    <w:rsid w:val="00A5547C"/>
    <w:rsid w:val="00A65101"/>
    <w:rsid w:val="00A90B61"/>
    <w:rsid w:val="00AB64DC"/>
    <w:rsid w:val="00B135A8"/>
    <w:rsid w:val="00B40373"/>
    <w:rsid w:val="00B403BF"/>
    <w:rsid w:val="00B46CE1"/>
    <w:rsid w:val="00B504A1"/>
    <w:rsid w:val="00B54543"/>
    <w:rsid w:val="00B608D9"/>
    <w:rsid w:val="00B62A57"/>
    <w:rsid w:val="00B84D33"/>
    <w:rsid w:val="00BA15C5"/>
    <w:rsid w:val="00BA4055"/>
    <w:rsid w:val="00BA7FB6"/>
    <w:rsid w:val="00BB2006"/>
    <w:rsid w:val="00BD1037"/>
    <w:rsid w:val="00BD7E1D"/>
    <w:rsid w:val="00BE1BED"/>
    <w:rsid w:val="00C0463E"/>
    <w:rsid w:val="00C20BFE"/>
    <w:rsid w:val="00C37336"/>
    <w:rsid w:val="00C46D29"/>
    <w:rsid w:val="00C5783E"/>
    <w:rsid w:val="00C91353"/>
    <w:rsid w:val="00CC1778"/>
    <w:rsid w:val="00CD65D8"/>
    <w:rsid w:val="00CE51AF"/>
    <w:rsid w:val="00CE575B"/>
    <w:rsid w:val="00CE762A"/>
    <w:rsid w:val="00CF3DE8"/>
    <w:rsid w:val="00D0493F"/>
    <w:rsid w:val="00D10DDE"/>
    <w:rsid w:val="00D56F91"/>
    <w:rsid w:val="00D76119"/>
    <w:rsid w:val="00D77B32"/>
    <w:rsid w:val="00D8671C"/>
    <w:rsid w:val="00D91390"/>
    <w:rsid w:val="00D95ED6"/>
    <w:rsid w:val="00DA0845"/>
    <w:rsid w:val="00DA57C3"/>
    <w:rsid w:val="00DB1661"/>
    <w:rsid w:val="00DB2FF7"/>
    <w:rsid w:val="00DB492D"/>
    <w:rsid w:val="00DC3855"/>
    <w:rsid w:val="00DC4F69"/>
    <w:rsid w:val="00DC5685"/>
    <w:rsid w:val="00DD7CFE"/>
    <w:rsid w:val="00E11AE2"/>
    <w:rsid w:val="00E242A8"/>
    <w:rsid w:val="00E274B8"/>
    <w:rsid w:val="00E30F8C"/>
    <w:rsid w:val="00E4594A"/>
    <w:rsid w:val="00E459B5"/>
    <w:rsid w:val="00E50C94"/>
    <w:rsid w:val="00E72707"/>
    <w:rsid w:val="00E814A1"/>
    <w:rsid w:val="00E816A0"/>
    <w:rsid w:val="00E85A6C"/>
    <w:rsid w:val="00E92038"/>
    <w:rsid w:val="00EA3D0B"/>
    <w:rsid w:val="00EA7E54"/>
    <w:rsid w:val="00EC35CA"/>
    <w:rsid w:val="00EE3732"/>
    <w:rsid w:val="00EE4999"/>
    <w:rsid w:val="00EF0780"/>
    <w:rsid w:val="00EF7647"/>
    <w:rsid w:val="00F0586E"/>
    <w:rsid w:val="00F216DE"/>
    <w:rsid w:val="00F22F1D"/>
    <w:rsid w:val="00F33250"/>
    <w:rsid w:val="00F362A6"/>
    <w:rsid w:val="00F43932"/>
    <w:rsid w:val="00F64A29"/>
    <w:rsid w:val="00F72C9D"/>
    <w:rsid w:val="00F90BBF"/>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B624FE22-F424-41BC-A899-F89D0509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5B2DFC"/>
    <w:pPr>
      <w:widowControl w:val="0"/>
      <w:autoSpaceDE w:val="0"/>
      <w:autoSpaceDN w:val="0"/>
      <w:ind w:left="54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1"/>
    <w:qFormat/>
    <w:rsid w:val="001968B8"/>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1968B8"/>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1968B8"/>
    <w:rPr>
      <w:rFonts w:asciiTheme="minorHAnsi" w:eastAsiaTheme="minorHAnsi" w:hAnsiTheme="minorHAnsi" w:cstheme="minorBidi"/>
    </w:rPr>
  </w:style>
  <w:style w:type="character" w:styleId="FootnoteReference">
    <w:name w:val="footnote reference"/>
    <w:basedOn w:val="DefaultParagraphFont"/>
    <w:uiPriority w:val="99"/>
    <w:unhideWhenUsed/>
    <w:rsid w:val="001968B8"/>
    <w:rPr>
      <w:vertAlign w:val="superscript"/>
    </w:rPr>
  </w:style>
  <w:style w:type="character" w:styleId="CommentReference">
    <w:name w:val="annotation reference"/>
    <w:basedOn w:val="DefaultParagraphFont"/>
    <w:uiPriority w:val="99"/>
    <w:unhideWhenUsed/>
    <w:rsid w:val="00440D11"/>
    <w:rPr>
      <w:sz w:val="16"/>
      <w:szCs w:val="16"/>
    </w:rPr>
  </w:style>
  <w:style w:type="paragraph" w:styleId="CommentText">
    <w:name w:val="annotation text"/>
    <w:basedOn w:val="Normal"/>
    <w:link w:val="CommentTextChar"/>
    <w:uiPriority w:val="99"/>
    <w:unhideWhenUsed/>
    <w:rsid w:val="00440D11"/>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0D11"/>
    <w:rPr>
      <w:rFonts w:asciiTheme="minorHAnsi" w:eastAsiaTheme="minorHAnsi" w:hAnsiTheme="minorHAnsi" w:cstheme="minorBidi"/>
    </w:rPr>
  </w:style>
  <w:style w:type="paragraph" w:styleId="CommentSubject">
    <w:name w:val="annotation subject"/>
    <w:basedOn w:val="CommentText"/>
    <w:next w:val="CommentText"/>
    <w:link w:val="CommentSubjectChar"/>
    <w:rsid w:val="006A4BD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6A4BD2"/>
    <w:rPr>
      <w:rFonts w:asciiTheme="minorHAnsi" w:eastAsiaTheme="minorHAnsi" w:hAnsiTheme="minorHAnsi" w:cstheme="minorBidi"/>
      <w:b/>
      <w:bCs/>
    </w:rPr>
  </w:style>
  <w:style w:type="paragraph" w:styleId="Header">
    <w:name w:val="header"/>
    <w:basedOn w:val="Normal"/>
    <w:link w:val="HeaderChar"/>
    <w:rsid w:val="00906A4F"/>
    <w:pPr>
      <w:tabs>
        <w:tab w:val="center" w:pos="4680"/>
        <w:tab w:val="right" w:pos="9360"/>
      </w:tabs>
    </w:pPr>
  </w:style>
  <w:style w:type="character" w:customStyle="1" w:styleId="HeaderChar">
    <w:name w:val="Header Char"/>
    <w:basedOn w:val="DefaultParagraphFont"/>
    <w:link w:val="Header"/>
    <w:rsid w:val="00906A4F"/>
    <w:rPr>
      <w:sz w:val="24"/>
    </w:rPr>
  </w:style>
  <w:style w:type="paragraph" w:styleId="Footer">
    <w:name w:val="footer"/>
    <w:basedOn w:val="Normal"/>
    <w:link w:val="FooterChar"/>
    <w:rsid w:val="00906A4F"/>
    <w:pPr>
      <w:tabs>
        <w:tab w:val="center" w:pos="4680"/>
        <w:tab w:val="right" w:pos="9360"/>
      </w:tabs>
    </w:pPr>
  </w:style>
  <w:style w:type="character" w:customStyle="1" w:styleId="FooterChar">
    <w:name w:val="Footer Char"/>
    <w:basedOn w:val="DefaultParagraphFont"/>
    <w:link w:val="Footer"/>
    <w:rsid w:val="00906A4F"/>
    <w:rPr>
      <w:sz w:val="24"/>
    </w:rPr>
  </w:style>
  <w:style w:type="character" w:styleId="Mention">
    <w:name w:val="Mention"/>
    <w:basedOn w:val="DefaultParagraphFont"/>
    <w:uiPriority w:val="99"/>
    <w:unhideWhenUsed/>
    <w:rsid w:val="00CD65D8"/>
    <w:rPr>
      <w:color w:val="2B579A"/>
      <w:shd w:val="clear" w:color="auto" w:fill="E1DFDD"/>
    </w:rPr>
  </w:style>
  <w:style w:type="character" w:customStyle="1" w:styleId="Heading1Char">
    <w:name w:val="Heading 1 Char"/>
    <w:basedOn w:val="DefaultParagraphFont"/>
    <w:link w:val="Heading1"/>
    <w:uiPriority w:val="9"/>
    <w:rsid w:val="005B2DFC"/>
    <w:rPr>
      <w:b/>
      <w:bCs/>
      <w:sz w:val="24"/>
      <w:szCs w:val="24"/>
    </w:rPr>
  </w:style>
  <w:style w:type="paragraph" w:styleId="BodyText">
    <w:name w:val="Body Text"/>
    <w:basedOn w:val="Normal"/>
    <w:link w:val="BodyTextChar"/>
    <w:uiPriority w:val="1"/>
    <w:qFormat/>
    <w:rsid w:val="005B2DFC"/>
    <w:pPr>
      <w:widowControl w:val="0"/>
      <w:autoSpaceDE w:val="0"/>
      <w:autoSpaceDN w:val="0"/>
    </w:pPr>
    <w:rPr>
      <w:szCs w:val="24"/>
    </w:rPr>
  </w:style>
  <w:style w:type="character" w:customStyle="1" w:styleId="BodyTextChar">
    <w:name w:val="Body Text Char"/>
    <w:basedOn w:val="DefaultParagraphFont"/>
    <w:link w:val="BodyText"/>
    <w:uiPriority w:val="1"/>
    <w:rsid w:val="005B2D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info-details/the-care-of-residents-with-opioid-stimulant-use-disorders-in-long-term-care-settings-toolkit" TargetMode="External"/><Relationship Id="rId18" Type="http://schemas.openxmlformats.org/officeDocument/2006/relationships/hyperlink" Target="https://www.samhsa.gov/substance-use/treatment/opioid-treatment-program/42-cfr-part-8" TargetMode="External"/><Relationship Id="rId3" Type="http://schemas.openxmlformats.org/officeDocument/2006/relationships/customXml" Target="../customXml/item3.xml"/><Relationship Id="rId21" Type="http://schemas.openxmlformats.org/officeDocument/2006/relationships/hyperlink" Target="http://www.samhsa.gov/medication-assisted-treatment" TargetMode="External"/><Relationship Id="rId7" Type="http://schemas.openxmlformats.org/officeDocument/2006/relationships/webSettings" Target="webSettings.xml"/><Relationship Id="rId12" Type="http://schemas.openxmlformats.org/officeDocument/2006/relationships/hyperlink" Target="https://www.mass.gov/info-details/the-care-of-residents-with-opioid-stimulant-use-disorders-in-long-term-care-settings-toolkit" TargetMode="External"/><Relationship Id="rId17" Type="http://schemas.openxmlformats.org/officeDocument/2006/relationships/hyperlink" Target="https://www.deadiversion.usdoj.gov/GDP/(DEA-DC-056)(EO-DEA169)_NTP_manual_Final.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info-details/information-for-licensed-substance-use-disorder-treatment-programs" TargetMode="External"/><Relationship Id="rId20" Type="http://schemas.openxmlformats.org/officeDocument/2006/relationships/hyperlink" Target="https://bmcobat.org/training/register/index.php?category=120&amp;dat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H.BHCSQ@Mass.gov"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helplinema.org/" TargetMode="External"/><Relationship Id="rId23" Type="http://schemas.openxmlformats.org/officeDocument/2006/relationships/hyperlink" Target="https://www.samhsa.gov/integrated-health-solutions" TargetMode="External"/><Relationship Id="rId10" Type="http://schemas.openxmlformats.org/officeDocument/2006/relationships/image" Target="media/image1.png"/><Relationship Id="rId19" Type="http://schemas.openxmlformats.org/officeDocument/2006/relationships/hyperlink" Target="https://www.mass.gov/orgs/bureau-of-substance-addiction-ser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cstap.com/" TargetMode="External"/><Relationship Id="rId22" Type="http://schemas.openxmlformats.org/officeDocument/2006/relationships/hyperlink" Target="https://pcssnow.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amhsa.gov/substance-use/treatment/statutes-regulations-guidelines/mat-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6</Pages>
  <Words>2224</Words>
  <Characters>12677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Fillo, Katherine</dc:creator>
  <cp:keywords/>
  <cp:lastModifiedBy>Harrison, Deborah (EHS)</cp:lastModifiedBy>
  <cp:revision>2</cp:revision>
  <cp:lastPrinted>2015-01-29T14:50:00Z</cp:lastPrinted>
  <dcterms:created xsi:type="dcterms:W3CDTF">2025-08-27T11:49:00Z</dcterms:created>
  <dcterms:modified xsi:type="dcterms:W3CDTF">2025-08-27T11:49:00Z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