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4B2C4" w14:textId="77777777" w:rsidR="00CA0BA8" w:rsidRDefault="00CA0BA8">
      <w:pPr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1F652ABC" w14:textId="47DB82CD" w:rsidR="00CA0BA8" w:rsidRDefault="00CA0BA8" w:rsidP="00CA0BA8">
      <w:pPr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B35C964" wp14:editId="3FD14D20">
            <wp:extent cx="3859781" cy="648245"/>
            <wp:effectExtent l="0" t="0" r="0" b="0"/>
            <wp:docPr id="2032952192" name="Picture 1" descr="Text&#10;&#10;The Commonwealth of Massachusetts&#10;Executive Office of Health and Human Services&#10;Office of Medicaid, Health Safety 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52192" name="Picture 1" descr="Text&#10;&#10;The Commonwealth of Massachusetts&#10;Executive Office of Health and Human Services&#10;Office of Medicaid, Health Safety Ne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6004" cy="6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56306" w14:textId="77777777" w:rsidR="00CA0BA8" w:rsidRDefault="00CA0BA8" w:rsidP="00D6372F">
      <w:pPr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373DFF0B" w14:textId="4186C702" w:rsidR="00D6372F" w:rsidRDefault="00D6372F" w:rsidP="00D6372F">
      <w:pPr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August 27, 2024</w:t>
      </w:r>
    </w:p>
    <w:p w14:paraId="5F539A91" w14:textId="77777777" w:rsidR="00CA0BA8" w:rsidRDefault="00CA0BA8" w:rsidP="00CA0BA8">
      <w:pPr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3B94B8F7" w14:textId="6654D3F0" w:rsidR="00CA0BA8" w:rsidRDefault="00CA0BA8" w:rsidP="00CA0BA8">
      <w:pPr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 w:rsidRPr="00CA0BA8">
        <w:rPr>
          <w:rFonts w:ascii="Arial" w:hAnsi="Arial" w:cs="Arial"/>
          <w:b/>
          <w:bCs/>
          <w:noProof/>
          <w:color w:val="000000"/>
          <w:sz w:val="24"/>
          <w:szCs w:val="24"/>
        </w:rPr>
        <w:t>HEALTH SAFETY NET AUGUST 2024 REMITTANCE ADVICE CORRECTIONS</w:t>
      </w:r>
    </w:p>
    <w:p w14:paraId="3F3B9DFF" w14:textId="564C469A" w:rsidR="00CA0BA8" w:rsidRDefault="00CA0BA8" w:rsidP="00CA0BA8">
      <w:pPr>
        <w:jc w:val="center"/>
        <w:rPr>
          <w:rFonts w:ascii="Arial" w:hAnsi="Arial" w:cs="Arial"/>
          <w:b/>
          <w:bCs/>
          <w:noProof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t>August 2024</w:t>
      </w:r>
    </w:p>
    <w:p w14:paraId="196F8EC1" w14:textId="77777777" w:rsidR="00CA0BA8" w:rsidRPr="00CA0BA8" w:rsidRDefault="00CA0BA8">
      <w:pPr>
        <w:rPr>
          <w:rFonts w:ascii="Arial" w:hAnsi="Arial" w:cs="Arial"/>
          <w:b/>
          <w:bCs/>
          <w:noProof/>
          <w:color w:val="000000"/>
          <w:sz w:val="24"/>
          <w:szCs w:val="24"/>
        </w:rPr>
      </w:pPr>
    </w:p>
    <w:p w14:paraId="045F37FD" w14:textId="75CA59AA" w:rsidR="001F7602" w:rsidRPr="00CA0BA8" w:rsidRDefault="001F7602">
      <w:pPr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The Health Safety Net has discovered an internal problem with the </w:t>
      </w:r>
      <w:r w:rsidR="00AF389D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August 2024 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837P remittance advice for the pay period </w:t>
      </w:r>
      <w:r w:rsidR="00F45F7C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June 2024</w:t>
      </w:r>
      <w:r w:rsidR="00D6372F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currently posted in INET</w:t>
      </w:r>
      <w:r w:rsidR="00F45F7C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.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 </w:t>
      </w:r>
    </w:p>
    <w:p w14:paraId="05A37F54" w14:textId="6E2D0A6B" w:rsidR="00F45F7C" w:rsidRPr="00CA0BA8" w:rsidRDefault="00F45F7C">
      <w:pPr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The issue </w:t>
      </w:r>
      <w:r w:rsidR="00D6372F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pertains to the a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djustment reasons which had been truncated</w:t>
      </w:r>
      <w:r w:rsidR="00D6372F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resulting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in report users not able to </w:t>
      </w:r>
      <w:r w:rsidR="00D6372F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view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the full report content.  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Our IT team has </w:t>
      </w:r>
      <w:r w:rsidR="00CA0BA8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corrected </w:t>
      </w:r>
      <w:r w:rsidR="00D6372F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the issue </w:t>
      </w:r>
      <w:r w:rsidR="00CA0BA8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and 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recreated these remittance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reports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.  </w:t>
      </w:r>
    </w:p>
    <w:p w14:paraId="65D3494A" w14:textId="003B0A41" w:rsidR="001F7602" w:rsidRPr="00CA0BA8" w:rsidRDefault="00F45F7C">
      <w:pPr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The Health Safety Net 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recommend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s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that you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r facility access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INET and download the second remit so you will</w:t>
      </w:r>
      <w:r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have the latest updated copy available for your use</w:t>
      </w:r>
      <w:r w:rsidR="001F7602" w:rsidRPr="00CA0BA8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.</w:t>
      </w:r>
      <w:r w:rsidR="00D6372F"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 xml:space="preserve">  </w:t>
      </w:r>
    </w:p>
    <w:p w14:paraId="0A45D110" w14:textId="48F86549" w:rsidR="00F45F7C" w:rsidRPr="00D6372F" w:rsidRDefault="00F45F7C">
      <w:pPr>
        <w:rPr>
          <w:rFonts w:ascii="Arial" w:hAnsi="Arial" w:cs="Arial"/>
          <w:b/>
          <w:bCs/>
          <w:color w:val="000000"/>
          <w:sz w:val="24"/>
          <w:szCs w:val="24"/>
          <w:u w:val="single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 w:rsidRPr="00D6372F">
        <w:rPr>
          <w:rFonts w:ascii="Arial" w:hAnsi="Arial" w:cs="Arial"/>
          <w:b/>
          <w:bCs/>
          <w:color w:val="000000"/>
          <w:sz w:val="24"/>
          <w:szCs w:val="24"/>
          <w:u w:val="single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Please note, do not post these payments a second time as this updated report has only been reloaded to provide the complete adjustment reason language for your use.</w:t>
      </w:r>
    </w:p>
    <w:p w14:paraId="01EB08D6" w14:textId="14AD7F67" w:rsidR="00D6372F" w:rsidRDefault="00D6372F">
      <w:pPr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t>As a reminder, if your facility utilizes a Billing Intermediary, please ensure that you have communicated the above issue and the updated remittances available within INET.</w:t>
      </w:r>
    </w:p>
    <w:p w14:paraId="1B61AD8B" w14:textId="77777777" w:rsidR="00D6372F" w:rsidRPr="00CA0BA8" w:rsidRDefault="00D6372F">
      <w:pPr>
        <w:rPr>
          <w:rFonts w:ascii="Arial" w:hAnsi="Arial" w:cs="Arial"/>
          <w:b/>
          <w:bCs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</w:p>
    <w:p w14:paraId="21622AD1" w14:textId="77777777" w:rsidR="00F45F7C" w:rsidRPr="00F45F7C" w:rsidRDefault="00F45F7C">
      <w:pPr>
        <w:rPr>
          <w:b/>
          <w:bCs/>
          <w:color w:val="0033CC"/>
          <w:sz w:val="24"/>
          <w:szCs w:val="24"/>
          <w14:textFill>
            <w14:solidFill>
              <w14:srgbClr w14:val="0033CC">
                <w14:lumMod w14:val="75000"/>
                <w14:lumOff w14:val="25000"/>
              </w14:srgbClr>
            </w14:solidFill>
          </w14:textFill>
        </w:rPr>
      </w:pPr>
    </w:p>
    <w:sectPr w:rsidR="00F45F7C" w:rsidRPr="00F4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02"/>
    <w:rsid w:val="00005F7A"/>
    <w:rsid w:val="00114E37"/>
    <w:rsid w:val="001E7003"/>
    <w:rsid w:val="001F7602"/>
    <w:rsid w:val="0034326C"/>
    <w:rsid w:val="003D32B2"/>
    <w:rsid w:val="00410594"/>
    <w:rsid w:val="005F02BF"/>
    <w:rsid w:val="008A7A99"/>
    <w:rsid w:val="009A4B6D"/>
    <w:rsid w:val="00AF389D"/>
    <w:rsid w:val="00BA6BC8"/>
    <w:rsid w:val="00CA0BA8"/>
    <w:rsid w:val="00D6372F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F730"/>
  <w15:chartTrackingRefBased/>
  <w15:docId w15:val="{8D230B15-4CD7-4F0E-8DF2-8D9983DD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Patricia A. (EHS)</dc:creator>
  <cp:keywords/>
  <dc:description/>
  <cp:lastModifiedBy>Sousa, Pam (EHS)</cp:lastModifiedBy>
  <cp:revision>3</cp:revision>
  <dcterms:created xsi:type="dcterms:W3CDTF">2024-08-28T14:26:00Z</dcterms:created>
  <dcterms:modified xsi:type="dcterms:W3CDTF">2024-08-28T14:41:00Z</dcterms:modified>
</cp:coreProperties>
</file>