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09C63" w14:textId="77777777" w:rsidR="007A28DB" w:rsidRPr="00694CBA" w:rsidRDefault="007A28DB" w:rsidP="007A28DB">
      <w:pPr>
        <w:spacing w:after="0" w:line="240" w:lineRule="auto"/>
        <w:jc w:val="center"/>
        <w:rPr>
          <w:rFonts w:cstheme="minorHAnsi"/>
          <w:sz w:val="24"/>
          <w:szCs w:val="24"/>
        </w:rPr>
      </w:pPr>
      <w:r w:rsidRPr="00694CBA">
        <w:rPr>
          <w:rFonts w:cstheme="minorHAnsi"/>
          <w:sz w:val="24"/>
          <w:szCs w:val="24"/>
        </w:rPr>
        <w:t xml:space="preserve">Massachusetts Autism Commission </w:t>
      </w:r>
    </w:p>
    <w:p w14:paraId="4D6C744E" w14:textId="77777777" w:rsidR="007A28DB" w:rsidRPr="00694CBA" w:rsidRDefault="007A28DB" w:rsidP="007A28DB">
      <w:pPr>
        <w:spacing w:after="0" w:line="240" w:lineRule="auto"/>
        <w:jc w:val="center"/>
        <w:rPr>
          <w:rFonts w:cstheme="minorHAnsi"/>
          <w:sz w:val="24"/>
          <w:szCs w:val="24"/>
        </w:rPr>
      </w:pPr>
      <w:r w:rsidRPr="00694CBA">
        <w:rPr>
          <w:rFonts w:cstheme="minorHAnsi"/>
          <w:sz w:val="24"/>
          <w:szCs w:val="24"/>
        </w:rPr>
        <w:t>Meeting Minutes</w:t>
      </w:r>
    </w:p>
    <w:p w14:paraId="54B6B55E" w14:textId="709EE739" w:rsidR="007A28DB" w:rsidRPr="00694CBA" w:rsidRDefault="007A28DB" w:rsidP="007A28DB">
      <w:pPr>
        <w:spacing w:after="0" w:line="240" w:lineRule="auto"/>
        <w:jc w:val="center"/>
        <w:rPr>
          <w:rFonts w:cstheme="minorHAnsi"/>
          <w:sz w:val="24"/>
          <w:szCs w:val="24"/>
        </w:rPr>
      </w:pPr>
      <w:r>
        <w:rPr>
          <w:rFonts w:cstheme="minorHAnsi"/>
          <w:sz w:val="24"/>
          <w:szCs w:val="24"/>
        </w:rPr>
        <w:t>February 15, 2024, 1</w:t>
      </w:r>
      <w:r w:rsidRPr="00694CBA">
        <w:rPr>
          <w:rFonts w:cstheme="minorHAnsi"/>
          <w:sz w:val="24"/>
          <w:szCs w:val="24"/>
        </w:rPr>
        <w:t xml:space="preserve">:00 p.m.– </w:t>
      </w:r>
      <w:r>
        <w:rPr>
          <w:rFonts w:cstheme="minorHAnsi"/>
          <w:sz w:val="24"/>
          <w:szCs w:val="24"/>
        </w:rPr>
        <w:t>2:3</w:t>
      </w:r>
      <w:r w:rsidRPr="00694CBA">
        <w:rPr>
          <w:rFonts w:cstheme="minorHAnsi"/>
          <w:sz w:val="24"/>
          <w:szCs w:val="24"/>
        </w:rPr>
        <w:t>0 p.m.</w:t>
      </w:r>
    </w:p>
    <w:p w14:paraId="0058B99C" w14:textId="77777777" w:rsidR="007A28DB" w:rsidRPr="00694CBA" w:rsidRDefault="007A28DB" w:rsidP="007A28DB">
      <w:pPr>
        <w:tabs>
          <w:tab w:val="center" w:pos="4680"/>
          <w:tab w:val="left" w:pos="5560"/>
        </w:tabs>
        <w:spacing w:after="0" w:line="240" w:lineRule="auto"/>
        <w:jc w:val="center"/>
        <w:rPr>
          <w:rFonts w:cstheme="minorHAnsi"/>
          <w:sz w:val="24"/>
          <w:szCs w:val="24"/>
        </w:rPr>
      </w:pPr>
      <w:r w:rsidRPr="00694CBA">
        <w:rPr>
          <w:rFonts w:cstheme="minorHAnsi"/>
          <w:sz w:val="24"/>
          <w:szCs w:val="24"/>
        </w:rPr>
        <w:t>Via Zoom</w:t>
      </w:r>
    </w:p>
    <w:p w14:paraId="66D53CB5" w14:textId="77777777" w:rsidR="007A28DB" w:rsidRPr="00694CBA" w:rsidRDefault="007A28DB" w:rsidP="007A28DB">
      <w:pPr>
        <w:spacing w:after="0" w:line="240" w:lineRule="auto"/>
        <w:jc w:val="center"/>
        <w:rPr>
          <w:rFonts w:cstheme="minorHAnsi"/>
          <w:sz w:val="24"/>
          <w:szCs w:val="24"/>
        </w:rPr>
      </w:pPr>
    </w:p>
    <w:p w14:paraId="1D86DDF3" w14:textId="4765B402" w:rsidR="007A28DB" w:rsidRDefault="007A28DB" w:rsidP="007A28DB">
      <w:pPr>
        <w:spacing w:after="0" w:line="240" w:lineRule="auto"/>
        <w:rPr>
          <w:rFonts w:cstheme="minorHAnsi"/>
          <w:sz w:val="24"/>
          <w:szCs w:val="24"/>
        </w:rPr>
      </w:pPr>
      <w:r w:rsidRPr="00694CBA">
        <w:rPr>
          <w:rFonts w:cstheme="minorHAnsi"/>
          <w:sz w:val="24"/>
          <w:szCs w:val="24"/>
          <w:u w:val="single"/>
        </w:rPr>
        <w:t>Autism Commission Members Present</w:t>
      </w:r>
      <w:r w:rsidRPr="00694CBA">
        <w:rPr>
          <w:rFonts w:cstheme="minorHAnsi"/>
          <w:sz w:val="24"/>
          <w:szCs w:val="24"/>
        </w:rPr>
        <w:t xml:space="preserve">:  </w:t>
      </w:r>
      <w:r>
        <w:rPr>
          <w:rFonts w:cstheme="minorHAnsi"/>
          <w:sz w:val="24"/>
          <w:szCs w:val="24"/>
        </w:rPr>
        <w:t xml:space="preserve">Undersecretary Mary McGeown, Michelle Harris </w:t>
      </w:r>
      <w:r w:rsidRPr="00694CBA">
        <w:rPr>
          <w:rFonts w:cstheme="minorHAnsi"/>
          <w:sz w:val="24"/>
          <w:szCs w:val="24"/>
        </w:rPr>
        <w:t xml:space="preserve">(DDS), Carolyn Kain (EHS), </w:t>
      </w:r>
      <w:r>
        <w:rPr>
          <w:rFonts w:cstheme="minorHAnsi"/>
          <w:sz w:val="24"/>
          <w:szCs w:val="24"/>
        </w:rPr>
        <w:t>Jane Ryder (DDS),</w:t>
      </w:r>
      <w:r w:rsidR="00976CC2">
        <w:rPr>
          <w:rFonts w:cstheme="minorHAnsi"/>
          <w:sz w:val="24"/>
          <w:szCs w:val="24"/>
        </w:rPr>
        <w:t xml:space="preserve"> Elizabeth Morse,</w:t>
      </w:r>
      <w:r>
        <w:rPr>
          <w:rFonts w:cstheme="minorHAnsi"/>
          <w:sz w:val="24"/>
          <w:szCs w:val="24"/>
        </w:rPr>
        <w:t xml:space="preserve"> </w:t>
      </w:r>
      <w:r w:rsidRPr="00694CBA">
        <w:rPr>
          <w:rFonts w:cstheme="minorHAnsi"/>
          <w:sz w:val="24"/>
          <w:szCs w:val="24"/>
        </w:rPr>
        <w:t xml:space="preserve">Rep. Christine Barber (HOU), </w:t>
      </w:r>
      <w:r>
        <w:rPr>
          <w:rFonts w:cstheme="minorHAnsi"/>
          <w:sz w:val="24"/>
          <w:szCs w:val="24"/>
        </w:rPr>
        <w:t xml:space="preserve"> Mia-</w:t>
      </w:r>
      <w:proofErr w:type="spellStart"/>
      <w:r>
        <w:rPr>
          <w:rFonts w:cstheme="minorHAnsi"/>
          <w:sz w:val="24"/>
          <w:szCs w:val="24"/>
        </w:rPr>
        <w:t>Haita</w:t>
      </w:r>
      <w:proofErr w:type="spellEnd"/>
      <w:r>
        <w:rPr>
          <w:rFonts w:cstheme="minorHAnsi"/>
          <w:sz w:val="24"/>
          <w:szCs w:val="24"/>
        </w:rPr>
        <w:t xml:space="preserve"> James</w:t>
      </w:r>
      <w:r w:rsidRPr="00694CBA">
        <w:rPr>
          <w:rFonts w:cstheme="minorHAnsi"/>
          <w:sz w:val="24"/>
          <w:szCs w:val="24"/>
        </w:rPr>
        <w:t xml:space="preserve"> (EHS), Kathy Sanders (DMH), </w:t>
      </w:r>
      <w:r>
        <w:rPr>
          <w:rFonts w:cstheme="minorHAnsi"/>
          <w:sz w:val="24"/>
          <w:szCs w:val="24"/>
        </w:rPr>
        <w:t xml:space="preserve">Toni Wolf (MRC), </w:t>
      </w:r>
      <w:r w:rsidRPr="00694CBA">
        <w:rPr>
          <w:rFonts w:cstheme="minorHAnsi"/>
          <w:sz w:val="24"/>
          <w:szCs w:val="24"/>
        </w:rPr>
        <w:t xml:space="preserve">Christine Hubbard, Bronia Clifton (DHCD), </w:t>
      </w:r>
      <w:r>
        <w:rPr>
          <w:rFonts w:cstheme="minorHAnsi"/>
          <w:sz w:val="24"/>
          <w:szCs w:val="24"/>
        </w:rPr>
        <w:t>A</w:t>
      </w:r>
      <w:r w:rsidR="00976CC2">
        <w:rPr>
          <w:rFonts w:cstheme="minorHAnsi"/>
          <w:sz w:val="24"/>
          <w:szCs w:val="24"/>
        </w:rPr>
        <w:t>ndrew Rome</w:t>
      </w:r>
      <w:r>
        <w:rPr>
          <w:rFonts w:cstheme="minorHAnsi"/>
          <w:sz w:val="24"/>
          <w:szCs w:val="24"/>
        </w:rPr>
        <w:t xml:space="preserve"> (EEC), Emily White (DPH), Heidi Gold (EOE), Karen Wylie (EOEA), Sen. Joan Lovely (SEN), </w:t>
      </w:r>
      <w:r w:rsidR="00976CC2">
        <w:rPr>
          <w:rFonts w:cstheme="minorHAnsi"/>
          <w:sz w:val="24"/>
          <w:szCs w:val="24"/>
        </w:rPr>
        <w:t xml:space="preserve">James Vander Hooven, Ann Neumeyer, </w:t>
      </w:r>
      <w:r>
        <w:rPr>
          <w:rFonts w:cstheme="minorHAnsi"/>
          <w:sz w:val="24"/>
          <w:szCs w:val="24"/>
        </w:rPr>
        <w:t>Jo Ann Simons,</w:t>
      </w:r>
      <w:r w:rsidR="00F65079">
        <w:rPr>
          <w:rFonts w:cstheme="minorHAnsi"/>
          <w:sz w:val="24"/>
          <w:szCs w:val="24"/>
        </w:rPr>
        <w:t xml:space="preserve"> </w:t>
      </w:r>
      <w:r w:rsidRPr="00694CBA">
        <w:rPr>
          <w:rFonts w:cstheme="minorHAnsi"/>
          <w:sz w:val="24"/>
          <w:szCs w:val="24"/>
        </w:rPr>
        <w:t xml:space="preserve"> </w:t>
      </w:r>
      <w:r>
        <w:rPr>
          <w:rFonts w:cstheme="minorHAnsi"/>
          <w:sz w:val="24"/>
          <w:szCs w:val="24"/>
        </w:rPr>
        <w:t xml:space="preserve">Laurie Anastopoulos, Julia Landau, Janet Barbieri and Amy Weinstock </w:t>
      </w:r>
    </w:p>
    <w:p w14:paraId="59FD6E3F" w14:textId="77777777" w:rsidR="007A28DB" w:rsidRDefault="007A28DB" w:rsidP="007A28DB">
      <w:pPr>
        <w:spacing w:after="0" w:line="240" w:lineRule="auto"/>
        <w:rPr>
          <w:rFonts w:cstheme="minorHAnsi"/>
          <w:sz w:val="24"/>
          <w:szCs w:val="24"/>
        </w:rPr>
      </w:pPr>
    </w:p>
    <w:p w14:paraId="6A7B3EDA" w14:textId="0525A26E" w:rsidR="007A28DB" w:rsidRPr="00694CBA" w:rsidRDefault="007A28DB" w:rsidP="007A28DB">
      <w:pPr>
        <w:spacing w:after="0" w:line="240" w:lineRule="auto"/>
        <w:rPr>
          <w:rFonts w:cstheme="minorHAnsi"/>
          <w:sz w:val="24"/>
          <w:szCs w:val="24"/>
        </w:rPr>
      </w:pPr>
      <w:r w:rsidRPr="0013370B">
        <w:rPr>
          <w:rFonts w:cstheme="minorHAnsi"/>
          <w:sz w:val="24"/>
          <w:szCs w:val="24"/>
          <w:u w:val="single"/>
        </w:rPr>
        <w:t>Guests:</w:t>
      </w:r>
      <w:r>
        <w:rPr>
          <w:rFonts w:cstheme="minorHAnsi"/>
          <w:sz w:val="24"/>
          <w:szCs w:val="24"/>
        </w:rPr>
        <w:t xml:space="preserve">   </w:t>
      </w:r>
      <w:r w:rsidR="00F65079">
        <w:rPr>
          <w:rFonts w:cstheme="minorHAnsi"/>
          <w:sz w:val="24"/>
          <w:szCs w:val="24"/>
        </w:rPr>
        <w:t xml:space="preserve"> Emily Camizz</w:t>
      </w:r>
      <w:r w:rsidR="00AF4FDA">
        <w:rPr>
          <w:rFonts w:cstheme="minorHAnsi"/>
          <w:sz w:val="24"/>
          <w:szCs w:val="24"/>
        </w:rPr>
        <w:t>i,</w:t>
      </w:r>
      <w:r w:rsidR="00F65079">
        <w:rPr>
          <w:rFonts w:cstheme="minorHAnsi"/>
          <w:sz w:val="24"/>
          <w:szCs w:val="24"/>
        </w:rPr>
        <w:t xml:space="preserve"> Rita Gardne</w:t>
      </w:r>
      <w:r w:rsidR="00976CC2">
        <w:rPr>
          <w:rFonts w:cstheme="minorHAnsi"/>
          <w:sz w:val="24"/>
          <w:szCs w:val="24"/>
        </w:rPr>
        <w:t>r, Dana DeShiro</w:t>
      </w:r>
    </w:p>
    <w:p w14:paraId="1527147A" w14:textId="77777777" w:rsidR="007A28DB" w:rsidRDefault="007A28DB" w:rsidP="007A28DB">
      <w:pPr>
        <w:spacing w:after="0" w:line="240" w:lineRule="auto"/>
        <w:rPr>
          <w:rFonts w:cstheme="minorHAnsi"/>
          <w:sz w:val="24"/>
          <w:szCs w:val="24"/>
          <w:u w:val="single"/>
        </w:rPr>
      </w:pPr>
    </w:p>
    <w:p w14:paraId="174959A6" w14:textId="77777777" w:rsidR="007A28DB" w:rsidRPr="00694CBA" w:rsidRDefault="007A28DB" w:rsidP="007A28DB">
      <w:pPr>
        <w:spacing w:after="0" w:line="240" w:lineRule="auto"/>
        <w:rPr>
          <w:rFonts w:cstheme="minorHAnsi"/>
          <w:sz w:val="24"/>
          <w:szCs w:val="24"/>
        </w:rPr>
      </w:pPr>
      <w:r w:rsidRPr="00694CBA">
        <w:rPr>
          <w:rFonts w:cstheme="minorHAnsi"/>
          <w:sz w:val="24"/>
          <w:szCs w:val="24"/>
          <w:u w:val="single"/>
        </w:rPr>
        <w:t>Meeting Minutes</w:t>
      </w:r>
      <w:r w:rsidRPr="00694CBA">
        <w:rPr>
          <w:rFonts w:cstheme="minorHAnsi"/>
          <w:sz w:val="24"/>
          <w:szCs w:val="24"/>
        </w:rPr>
        <w:t>:  Dianne Lescinskas (EHS)</w:t>
      </w:r>
    </w:p>
    <w:p w14:paraId="7400FA29" w14:textId="77777777" w:rsidR="007A28DB" w:rsidRPr="00694CBA" w:rsidRDefault="007A28DB" w:rsidP="007A28DB">
      <w:pPr>
        <w:spacing w:after="0" w:line="240" w:lineRule="auto"/>
        <w:rPr>
          <w:rFonts w:cstheme="minorHAnsi"/>
          <w:sz w:val="24"/>
          <w:szCs w:val="24"/>
        </w:rPr>
      </w:pPr>
    </w:p>
    <w:p w14:paraId="6489F453" w14:textId="60F99454" w:rsidR="007A28DB" w:rsidRDefault="007A28DB" w:rsidP="007A28DB">
      <w:pPr>
        <w:rPr>
          <w:rFonts w:cstheme="minorHAnsi"/>
          <w:sz w:val="24"/>
          <w:szCs w:val="24"/>
          <w:u w:val="single"/>
        </w:rPr>
      </w:pPr>
      <w:r>
        <w:rPr>
          <w:rFonts w:cstheme="minorHAnsi"/>
          <w:sz w:val="24"/>
          <w:szCs w:val="24"/>
          <w:u w:val="single"/>
        </w:rPr>
        <w:t xml:space="preserve">Welcome and </w:t>
      </w:r>
      <w:r w:rsidRPr="00D7240B">
        <w:rPr>
          <w:rFonts w:cstheme="minorHAnsi"/>
          <w:sz w:val="24"/>
          <w:szCs w:val="24"/>
          <w:u w:val="single"/>
        </w:rPr>
        <w:t xml:space="preserve">Approval of the Minutes from </w:t>
      </w:r>
      <w:r w:rsidR="00976CC2">
        <w:rPr>
          <w:rFonts w:cstheme="minorHAnsi"/>
          <w:sz w:val="24"/>
          <w:szCs w:val="24"/>
          <w:u w:val="single"/>
        </w:rPr>
        <w:t xml:space="preserve">December </w:t>
      </w:r>
      <w:r w:rsidR="001B1625">
        <w:rPr>
          <w:rFonts w:cstheme="minorHAnsi"/>
          <w:sz w:val="24"/>
          <w:szCs w:val="24"/>
          <w:u w:val="single"/>
        </w:rPr>
        <w:t>12, 2023</w:t>
      </w:r>
    </w:p>
    <w:p w14:paraId="1B6EF0B1" w14:textId="2D3329B5" w:rsidR="007A28DB" w:rsidRDefault="007A28DB" w:rsidP="007A28DB">
      <w:pPr>
        <w:rPr>
          <w:rFonts w:cstheme="minorHAnsi"/>
          <w:sz w:val="24"/>
          <w:szCs w:val="24"/>
        </w:rPr>
      </w:pPr>
      <w:r>
        <w:rPr>
          <w:rFonts w:cstheme="minorHAnsi"/>
          <w:sz w:val="24"/>
          <w:szCs w:val="24"/>
        </w:rPr>
        <w:t>Undersecretary Mary McGeown called the meeting to order and welcomed the members of the Autism Commission.</w:t>
      </w:r>
      <w:r w:rsidR="00976CC2">
        <w:rPr>
          <w:rFonts w:cstheme="minorHAnsi"/>
          <w:sz w:val="24"/>
          <w:szCs w:val="24"/>
        </w:rPr>
        <w:t xml:space="preserve">  She discussed completing and filing this report and how it will shape </w:t>
      </w:r>
      <w:r w:rsidR="001B1625">
        <w:rPr>
          <w:rFonts w:cstheme="minorHAnsi"/>
          <w:sz w:val="24"/>
          <w:szCs w:val="24"/>
        </w:rPr>
        <w:t xml:space="preserve">the </w:t>
      </w:r>
      <w:r w:rsidR="00976CC2">
        <w:rPr>
          <w:rFonts w:cstheme="minorHAnsi"/>
          <w:sz w:val="24"/>
          <w:szCs w:val="24"/>
        </w:rPr>
        <w:t>work over the next year.  She also thanked the autism commission members for the commitment and work being done.</w:t>
      </w:r>
    </w:p>
    <w:p w14:paraId="0A14764B" w14:textId="33EFA173" w:rsidR="007A28DB" w:rsidRDefault="007A28DB" w:rsidP="007A28DB">
      <w:pPr>
        <w:rPr>
          <w:rFonts w:cstheme="minorHAnsi"/>
          <w:sz w:val="24"/>
          <w:szCs w:val="24"/>
        </w:rPr>
      </w:pPr>
      <w:r>
        <w:rPr>
          <w:rFonts w:cstheme="minorHAnsi"/>
          <w:sz w:val="24"/>
          <w:szCs w:val="24"/>
        </w:rPr>
        <w:t xml:space="preserve">Ms. Kain asked for a motion to approve the meeting minutes from the Autism Commission meeting on </w:t>
      </w:r>
      <w:r w:rsidR="00976CC2">
        <w:rPr>
          <w:rFonts w:cstheme="minorHAnsi"/>
          <w:sz w:val="24"/>
          <w:szCs w:val="24"/>
        </w:rPr>
        <w:t>December</w:t>
      </w:r>
      <w:r w:rsidR="001B1625">
        <w:rPr>
          <w:rFonts w:cstheme="minorHAnsi"/>
          <w:sz w:val="24"/>
          <w:szCs w:val="24"/>
        </w:rPr>
        <w:t xml:space="preserve"> 12</w:t>
      </w:r>
      <w:r>
        <w:rPr>
          <w:rFonts w:cstheme="minorHAnsi"/>
          <w:sz w:val="24"/>
          <w:szCs w:val="24"/>
        </w:rPr>
        <w:t>, 2023.  Ms.</w:t>
      </w:r>
      <w:r w:rsidR="001B1625">
        <w:rPr>
          <w:rFonts w:cstheme="minorHAnsi"/>
          <w:sz w:val="24"/>
          <w:szCs w:val="24"/>
        </w:rPr>
        <w:t xml:space="preserve"> Weinstock </w:t>
      </w:r>
      <w:r>
        <w:rPr>
          <w:rFonts w:cstheme="minorHAnsi"/>
          <w:sz w:val="24"/>
          <w:szCs w:val="24"/>
        </w:rPr>
        <w:t>made a motion to approve the minutes and</w:t>
      </w:r>
      <w:r w:rsidR="009446D9">
        <w:rPr>
          <w:rFonts w:cstheme="minorHAnsi"/>
          <w:sz w:val="24"/>
          <w:szCs w:val="24"/>
        </w:rPr>
        <w:t xml:space="preserve"> </w:t>
      </w:r>
      <w:r>
        <w:rPr>
          <w:rFonts w:cstheme="minorHAnsi"/>
          <w:sz w:val="24"/>
          <w:szCs w:val="24"/>
        </w:rPr>
        <w:t>Ms. H</w:t>
      </w:r>
      <w:r w:rsidR="001B1625">
        <w:rPr>
          <w:rFonts w:cstheme="minorHAnsi"/>
          <w:sz w:val="24"/>
          <w:szCs w:val="24"/>
        </w:rPr>
        <w:t xml:space="preserve">arris </w:t>
      </w:r>
      <w:r>
        <w:rPr>
          <w:rFonts w:cstheme="minorHAnsi"/>
          <w:sz w:val="24"/>
          <w:szCs w:val="24"/>
        </w:rPr>
        <w:t xml:space="preserve">seconded the motion. Ms. Kain asked if there were any questions or comments on the minutes and seeing none, </w:t>
      </w:r>
      <w:r w:rsidRPr="00694CBA">
        <w:rPr>
          <w:rFonts w:cstheme="minorHAnsi"/>
          <w:sz w:val="24"/>
          <w:szCs w:val="24"/>
        </w:rPr>
        <w:t>a roll call was done</w:t>
      </w:r>
      <w:r>
        <w:rPr>
          <w:rFonts w:cstheme="minorHAnsi"/>
          <w:sz w:val="24"/>
          <w:szCs w:val="24"/>
        </w:rPr>
        <w:t xml:space="preserve">. </w:t>
      </w:r>
      <w:r w:rsidRPr="00694CBA">
        <w:rPr>
          <w:rFonts w:cstheme="minorHAnsi"/>
          <w:sz w:val="24"/>
          <w:szCs w:val="24"/>
        </w:rPr>
        <w:t xml:space="preserve"> </w:t>
      </w:r>
      <w:r w:rsidR="001B1625">
        <w:rPr>
          <w:rFonts w:cstheme="minorHAnsi"/>
          <w:sz w:val="24"/>
          <w:szCs w:val="24"/>
        </w:rPr>
        <w:t xml:space="preserve">Rep. Barbar </w:t>
      </w:r>
      <w:r>
        <w:rPr>
          <w:rFonts w:cstheme="minorHAnsi"/>
          <w:sz w:val="24"/>
          <w:szCs w:val="24"/>
        </w:rPr>
        <w:t>abstained</w:t>
      </w:r>
      <w:r w:rsidR="00AF4FDA">
        <w:rPr>
          <w:rFonts w:cstheme="minorHAnsi"/>
          <w:sz w:val="24"/>
          <w:szCs w:val="24"/>
        </w:rPr>
        <w:t xml:space="preserve"> from the vote. </w:t>
      </w:r>
      <w:r>
        <w:rPr>
          <w:rFonts w:cstheme="minorHAnsi"/>
          <w:sz w:val="24"/>
          <w:szCs w:val="24"/>
        </w:rPr>
        <w:t xml:space="preserve"> The m</w:t>
      </w:r>
      <w:r w:rsidRPr="00694CBA">
        <w:rPr>
          <w:rFonts w:cstheme="minorHAnsi"/>
          <w:sz w:val="24"/>
          <w:szCs w:val="24"/>
        </w:rPr>
        <w:t xml:space="preserve">inutes from </w:t>
      </w:r>
      <w:r w:rsidR="001B1625">
        <w:rPr>
          <w:rFonts w:cstheme="minorHAnsi"/>
          <w:sz w:val="24"/>
          <w:szCs w:val="24"/>
        </w:rPr>
        <w:t>December 12</w:t>
      </w:r>
      <w:r>
        <w:rPr>
          <w:rFonts w:cstheme="minorHAnsi"/>
          <w:sz w:val="24"/>
          <w:szCs w:val="24"/>
        </w:rPr>
        <w:t>, 2023,</w:t>
      </w:r>
      <w:r w:rsidRPr="00694CBA">
        <w:rPr>
          <w:rFonts w:cstheme="minorHAnsi"/>
          <w:sz w:val="24"/>
          <w:szCs w:val="24"/>
        </w:rPr>
        <w:t xml:space="preserve"> were approved</w:t>
      </w:r>
      <w:r>
        <w:rPr>
          <w:rFonts w:cstheme="minorHAnsi"/>
          <w:sz w:val="24"/>
          <w:szCs w:val="24"/>
        </w:rPr>
        <w:t>.</w:t>
      </w:r>
    </w:p>
    <w:p w14:paraId="6BC6F99E" w14:textId="787EF313" w:rsidR="00303238" w:rsidRDefault="00303238" w:rsidP="007A28DB">
      <w:pPr>
        <w:rPr>
          <w:rFonts w:cstheme="minorHAnsi"/>
          <w:sz w:val="24"/>
          <w:szCs w:val="24"/>
        </w:rPr>
      </w:pPr>
      <w:r>
        <w:rPr>
          <w:rFonts w:cstheme="minorHAnsi"/>
          <w:sz w:val="24"/>
          <w:szCs w:val="24"/>
        </w:rPr>
        <w:t xml:space="preserve">Rep. Barbar thanked Ms. Kain for the data that does exist and is included in the Annual Report.  She discussed the </w:t>
      </w:r>
      <w:r w:rsidR="007B2E59">
        <w:rPr>
          <w:rFonts w:cstheme="minorHAnsi"/>
          <w:sz w:val="24"/>
          <w:szCs w:val="24"/>
        </w:rPr>
        <w:t>legislation that</w:t>
      </w:r>
      <w:r>
        <w:rPr>
          <w:rFonts w:cstheme="minorHAnsi"/>
          <w:sz w:val="24"/>
          <w:szCs w:val="24"/>
        </w:rPr>
        <w:t xml:space="preserve"> was passe</w:t>
      </w:r>
      <w:r w:rsidR="007B2E59">
        <w:rPr>
          <w:rFonts w:cstheme="minorHAnsi"/>
          <w:sz w:val="24"/>
          <w:szCs w:val="24"/>
        </w:rPr>
        <w:t xml:space="preserve">d </w:t>
      </w:r>
      <w:r>
        <w:rPr>
          <w:rFonts w:cstheme="minorHAnsi"/>
          <w:sz w:val="24"/>
          <w:szCs w:val="24"/>
        </w:rPr>
        <w:t xml:space="preserve">in 2021 and the ability of the commission to make a recommendation to prioritize the use of existing data from their communities to look at </w:t>
      </w:r>
      <w:r w:rsidR="00386D08">
        <w:rPr>
          <w:rFonts w:cstheme="minorHAnsi"/>
          <w:sz w:val="24"/>
          <w:szCs w:val="24"/>
        </w:rPr>
        <w:t>communities that</w:t>
      </w:r>
      <w:r>
        <w:rPr>
          <w:rFonts w:cstheme="minorHAnsi"/>
          <w:sz w:val="24"/>
          <w:szCs w:val="24"/>
        </w:rPr>
        <w:t xml:space="preserve"> were </w:t>
      </w:r>
      <w:r w:rsidR="007B2E59">
        <w:rPr>
          <w:rFonts w:cstheme="minorHAnsi"/>
          <w:sz w:val="24"/>
          <w:szCs w:val="24"/>
        </w:rPr>
        <w:t>disproportionately</w:t>
      </w:r>
      <w:r>
        <w:rPr>
          <w:rFonts w:cstheme="minorHAnsi"/>
          <w:sz w:val="24"/>
          <w:szCs w:val="24"/>
        </w:rPr>
        <w:t xml:space="preserve"> impacted by the pandemic.</w:t>
      </w:r>
    </w:p>
    <w:p w14:paraId="28EEA64E" w14:textId="38ACAAB3" w:rsidR="00303238" w:rsidRDefault="00303238" w:rsidP="007A28DB">
      <w:pPr>
        <w:rPr>
          <w:rFonts w:cstheme="minorHAnsi"/>
          <w:sz w:val="24"/>
          <w:szCs w:val="24"/>
        </w:rPr>
      </w:pPr>
      <w:r>
        <w:rPr>
          <w:rFonts w:cstheme="minorHAnsi"/>
          <w:sz w:val="24"/>
          <w:szCs w:val="24"/>
        </w:rPr>
        <w:t xml:space="preserve">Ms. Kain discussed that each subcommittee looked at the data that they </w:t>
      </w:r>
      <w:r w:rsidR="007B2E59">
        <w:rPr>
          <w:rFonts w:cstheme="minorHAnsi"/>
          <w:sz w:val="24"/>
          <w:szCs w:val="24"/>
        </w:rPr>
        <w:t xml:space="preserve">currently </w:t>
      </w:r>
      <w:r w:rsidR="009446D9">
        <w:rPr>
          <w:rFonts w:cstheme="minorHAnsi"/>
          <w:sz w:val="24"/>
          <w:szCs w:val="24"/>
        </w:rPr>
        <w:t>have,</w:t>
      </w:r>
      <w:r>
        <w:rPr>
          <w:rFonts w:cstheme="minorHAnsi"/>
          <w:sz w:val="24"/>
          <w:szCs w:val="24"/>
        </w:rPr>
        <w:t xml:space="preserve"> and the 14-22 subcommittee did a deep dive </w:t>
      </w:r>
      <w:proofErr w:type="gramStart"/>
      <w:r>
        <w:rPr>
          <w:rFonts w:cstheme="minorHAnsi"/>
          <w:sz w:val="24"/>
          <w:szCs w:val="24"/>
        </w:rPr>
        <w:t>on</w:t>
      </w:r>
      <w:proofErr w:type="gramEnd"/>
      <w:r>
        <w:rPr>
          <w:rFonts w:cstheme="minorHAnsi"/>
          <w:sz w:val="24"/>
          <w:szCs w:val="24"/>
        </w:rPr>
        <w:t xml:space="preserve"> DEI data </w:t>
      </w:r>
      <w:proofErr w:type="gramStart"/>
      <w:r w:rsidR="0013370B">
        <w:rPr>
          <w:rFonts w:cstheme="minorHAnsi"/>
          <w:sz w:val="24"/>
          <w:szCs w:val="24"/>
        </w:rPr>
        <w:t>in regard to</w:t>
      </w:r>
      <w:proofErr w:type="gramEnd"/>
      <w:r>
        <w:rPr>
          <w:rFonts w:cstheme="minorHAnsi"/>
          <w:sz w:val="24"/>
          <w:szCs w:val="24"/>
        </w:rPr>
        <w:t xml:space="preserve"> student placement in classroom </w:t>
      </w:r>
      <w:r w:rsidR="0013370B">
        <w:rPr>
          <w:rFonts w:cstheme="minorHAnsi"/>
          <w:sz w:val="24"/>
          <w:szCs w:val="24"/>
        </w:rPr>
        <w:t xml:space="preserve">settings, </w:t>
      </w:r>
      <w:r>
        <w:rPr>
          <w:rFonts w:cstheme="minorHAnsi"/>
          <w:sz w:val="24"/>
          <w:szCs w:val="24"/>
        </w:rPr>
        <w:t xml:space="preserve">as well as equal access to after school programs.  The DEI conversation is </w:t>
      </w:r>
      <w:r w:rsidR="007B2E59">
        <w:rPr>
          <w:rFonts w:cstheme="minorHAnsi"/>
          <w:sz w:val="24"/>
          <w:szCs w:val="24"/>
        </w:rPr>
        <w:t>ongoing,</w:t>
      </w:r>
      <w:r>
        <w:rPr>
          <w:rFonts w:cstheme="minorHAnsi"/>
          <w:sz w:val="24"/>
          <w:szCs w:val="24"/>
        </w:rPr>
        <w:t xml:space="preserve"> and the state agencies are committed to expanding the way they collect data.  It is important to address the use of the data and the inequities that we find from the data.</w:t>
      </w:r>
    </w:p>
    <w:p w14:paraId="302F51B0" w14:textId="7DEB72D0" w:rsidR="00303238" w:rsidRDefault="00303238" w:rsidP="007A28DB">
      <w:pPr>
        <w:rPr>
          <w:rFonts w:cstheme="minorHAnsi"/>
          <w:sz w:val="24"/>
          <w:szCs w:val="24"/>
        </w:rPr>
      </w:pPr>
      <w:r>
        <w:rPr>
          <w:rFonts w:cstheme="minorHAnsi"/>
          <w:sz w:val="24"/>
          <w:szCs w:val="24"/>
        </w:rPr>
        <w:t>As for a recommendation in the report, it c</w:t>
      </w:r>
      <w:r w:rsidR="009446D9">
        <w:rPr>
          <w:rFonts w:cstheme="minorHAnsi"/>
          <w:sz w:val="24"/>
          <w:szCs w:val="24"/>
        </w:rPr>
        <w:t xml:space="preserve">ould </w:t>
      </w:r>
      <w:r>
        <w:rPr>
          <w:rFonts w:cstheme="minorHAnsi"/>
          <w:sz w:val="24"/>
          <w:szCs w:val="24"/>
        </w:rPr>
        <w:t>go under “data collection” – this is what we are doing now, and this is what we will do in the future with the additional data.  Ms. Kain will draft the language and send it out to the commission members.</w:t>
      </w:r>
    </w:p>
    <w:p w14:paraId="6DCE8A1A" w14:textId="148C0408" w:rsidR="00386D08" w:rsidRDefault="00386D08" w:rsidP="007A28DB">
      <w:pPr>
        <w:rPr>
          <w:rFonts w:cstheme="minorHAnsi"/>
          <w:sz w:val="24"/>
          <w:szCs w:val="24"/>
        </w:rPr>
      </w:pPr>
      <w:r>
        <w:rPr>
          <w:rFonts w:cstheme="minorHAnsi"/>
          <w:sz w:val="24"/>
          <w:szCs w:val="24"/>
        </w:rPr>
        <w:t>Ms. Kain commented that the agencies collect data in different ways and some individuals are involved in multiple agencies which will create duplication in some areas. A charge of this commission will be getting data and understanding what direction the data will lead us – looking at what the data is telling us.</w:t>
      </w:r>
    </w:p>
    <w:p w14:paraId="31DD3172" w14:textId="16D41A0C" w:rsidR="00386D08" w:rsidRDefault="00386D08" w:rsidP="007A28DB">
      <w:pPr>
        <w:rPr>
          <w:rFonts w:cstheme="minorHAnsi"/>
          <w:sz w:val="24"/>
          <w:szCs w:val="24"/>
        </w:rPr>
      </w:pPr>
      <w:r>
        <w:rPr>
          <w:rFonts w:cstheme="minorHAnsi"/>
          <w:sz w:val="24"/>
          <w:szCs w:val="24"/>
        </w:rPr>
        <w:t xml:space="preserve">Ms. Kain also discussed equal access and how to reach more people to let them know what they may be eligible for.  The Autism Commission created brochures in 6 different languages to help families by bringing information in one place – an overarching goal is to get information </w:t>
      </w:r>
      <w:r w:rsidR="009446D9">
        <w:rPr>
          <w:rFonts w:cstheme="minorHAnsi"/>
          <w:sz w:val="24"/>
          <w:szCs w:val="24"/>
        </w:rPr>
        <w:t>out,</w:t>
      </w:r>
      <w:r>
        <w:rPr>
          <w:rFonts w:cstheme="minorHAnsi"/>
          <w:sz w:val="24"/>
          <w:szCs w:val="24"/>
        </w:rPr>
        <w:t xml:space="preserve"> so individuals </w:t>
      </w:r>
      <w:r w:rsidR="0013370B">
        <w:rPr>
          <w:rFonts w:cstheme="minorHAnsi"/>
          <w:sz w:val="24"/>
          <w:szCs w:val="24"/>
        </w:rPr>
        <w:t>can</w:t>
      </w:r>
      <w:r>
        <w:rPr>
          <w:rFonts w:cstheme="minorHAnsi"/>
          <w:sz w:val="24"/>
          <w:szCs w:val="24"/>
        </w:rPr>
        <w:t xml:space="preserve"> access additional resources/information.</w:t>
      </w:r>
    </w:p>
    <w:p w14:paraId="5BE627EB" w14:textId="4043899D" w:rsidR="00386D08" w:rsidRDefault="00386D08" w:rsidP="007A28DB">
      <w:pPr>
        <w:rPr>
          <w:rFonts w:cstheme="minorHAnsi"/>
          <w:b/>
          <w:bCs/>
          <w:sz w:val="24"/>
          <w:szCs w:val="24"/>
          <w:u w:val="single"/>
        </w:rPr>
      </w:pPr>
      <w:r w:rsidRPr="00E829B9">
        <w:rPr>
          <w:rFonts w:cstheme="minorHAnsi"/>
          <w:b/>
          <w:bCs/>
          <w:sz w:val="24"/>
          <w:szCs w:val="24"/>
          <w:u w:val="single"/>
        </w:rPr>
        <w:t>Review of PowerPoint Presentation with Updated Data for Comparison</w:t>
      </w:r>
    </w:p>
    <w:p w14:paraId="060C9735" w14:textId="162E0A42" w:rsidR="0013370B" w:rsidRPr="0013370B" w:rsidRDefault="0013370B" w:rsidP="007A28DB">
      <w:pPr>
        <w:rPr>
          <w:rFonts w:cstheme="minorHAnsi"/>
          <w:sz w:val="24"/>
          <w:szCs w:val="24"/>
        </w:rPr>
      </w:pPr>
      <w:r w:rsidRPr="0013370B">
        <w:rPr>
          <w:rFonts w:cstheme="minorHAnsi"/>
          <w:sz w:val="24"/>
          <w:szCs w:val="24"/>
        </w:rPr>
        <w:t>Ms. Kain</w:t>
      </w:r>
      <w:r>
        <w:rPr>
          <w:rFonts w:cstheme="minorHAnsi"/>
          <w:sz w:val="24"/>
          <w:szCs w:val="24"/>
        </w:rPr>
        <w:t xml:space="preserve"> went through the slides </w:t>
      </w:r>
      <w:r w:rsidR="00C710BA">
        <w:rPr>
          <w:rFonts w:cstheme="minorHAnsi"/>
          <w:sz w:val="24"/>
          <w:szCs w:val="24"/>
        </w:rPr>
        <w:t>and discussed</w:t>
      </w:r>
      <w:r>
        <w:rPr>
          <w:rFonts w:cstheme="minorHAnsi"/>
          <w:sz w:val="24"/>
          <w:szCs w:val="24"/>
        </w:rPr>
        <w:t xml:space="preserve"> the additional data that was added for comparison purposes.</w:t>
      </w:r>
    </w:p>
    <w:p w14:paraId="6455651E" w14:textId="71734A0C" w:rsidR="00386D08" w:rsidRDefault="00E829B9" w:rsidP="007A28DB">
      <w:pPr>
        <w:rPr>
          <w:rFonts w:cstheme="minorHAnsi"/>
          <w:sz w:val="24"/>
          <w:szCs w:val="24"/>
        </w:rPr>
      </w:pPr>
      <w:r>
        <w:rPr>
          <w:rFonts w:cstheme="minorHAnsi"/>
          <w:sz w:val="24"/>
          <w:szCs w:val="24"/>
        </w:rPr>
        <w:t>It was asked if MassHealth could break down their numbers to include individuals ages 18-20 years old – the information is provided below.</w:t>
      </w:r>
      <w:r w:rsidR="00245E9E">
        <w:rPr>
          <w:rFonts w:cstheme="minorHAnsi"/>
          <w:sz w:val="24"/>
          <w:szCs w:val="24"/>
        </w:rPr>
        <w:t xml:space="preserve">  MassHealth covers ABA up until age 21 and a recommendation of the Healthcare Committee is to increase the coverage of ABA to over the age of 21.</w:t>
      </w:r>
    </w:p>
    <w:p w14:paraId="266C5AB1" w14:textId="77777777" w:rsidR="00E829B9" w:rsidRPr="00E829B9" w:rsidRDefault="00E829B9" w:rsidP="00E829B9">
      <w:pPr>
        <w:rPr>
          <w:rFonts w:cstheme="minorHAnsi"/>
        </w:rPr>
      </w:pPr>
      <w:r w:rsidRPr="00E829B9">
        <w:rPr>
          <w:rFonts w:cstheme="minorHAnsi"/>
          <w:sz w:val="24"/>
          <w:szCs w:val="24"/>
        </w:rPr>
        <w:t xml:space="preserve">MassHealth implemented coverage for ABA in June 2015. </w:t>
      </w:r>
      <w:r w:rsidRPr="00E829B9">
        <w:rPr>
          <w:rFonts w:cstheme="minorHAnsi"/>
          <w:b/>
          <w:bCs/>
          <w:sz w:val="24"/>
          <w:szCs w:val="24"/>
        </w:rPr>
        <w:t xml:space="preserve">In FY2022, </w:t>
      </w:r>
      <w:r w:rsidRPr="00E829B9">
        <w:rPr>
          <w:rFonts w:cstheme="minorHAnsi"/>
          <w:b/>
          <w:bCs/>
          <w:i/>
          <w:iCs/>
          <w:sz w:val="24"/>
          <w:szCs w:val="24"/>
        </w:rPr>
        <w:t>MassHealth spent a total of</w:t>
      </w:r>
      <w:r w:rsidRPr="00E829B9">
        <w:rPr>
          <w:rFonts w:cstheme="minorHAnsi"/>
          <w:b/>
          <w:bCs/>
          <w:sz w:val="24"/>
          <w:szCs w:val="24"/>
        </w:rPr>
        <w:t xml:space="preserve"> $185.4M </w:t>
      </w:r>
      <w:r w:rsidRPr="00E829B9">
        <w:rPr>
          <w:rFonts w:cstheme="minorHAnsi"/>
          <w:sz w:val="24"/>
          <w:szCs w:val="24"/>
        </w:rPr>
        <w:t xml:space="preserve">for </w:t>
      </w:r>
      <w:r w:rsidRPr="00E829B9">
        <w:rPr>
          <w:rFonts w:cstheme="minorHAnsi"/>
          <w:b/>
          <w:bCs/>
          <w:sz w:val="24"/>
          <w:szCs w:val="24"/>
        </w:rPr>
        <w:t xml:space="preserve">7,917 </w:t>
      </w:r>
      <w:r w:rsidRPr="00E829B9">
        <w:rPr>
          <w:rFonts w:cstheme="minorHAnsi"/>
          <w:sz w:val="24"/>
          <w:szCs w:val="24"/>
        </w:rPr>
        <w:t>members</w:t>
      </w:r>
      <w:r w:rsidRPr="00E829B9">
        <w:rPr>
          <w:rFonts w:cstheme="minorHAnsi"/>
        </w:rPr>
        <w:t>.</w:t>
      </w:r>
    </w:p>
    <w:p w14:paraId="25E00E3F" w14:textId="77777777" w:rsidR="00E829B9" w:rsidRDefault="00E829B9" w:rsidP="00E829B9">
      <w:pPr>
        <w:rPr>
          <w:rFonts w:cstheme="minorHAnsi"/>
        </w:rPr>
      </w:pPr>
      <w:r w:rsidRPr="00E829B9">
        <w:rPr>
          <w:rFonts w:cstheme="minorHAnsi"/>
          <w:b/>
          <w:bCs/>
          <w:sz w:val="24"/>
          <w:szCs w:val="24"/>
        </w:rPr>
        <w:t>In FY2023</w:t>
      </w:r>
      <w:r w:rsidRPr="00E829B9">
        <w:rPr>
          <w:rFonts w:cstheme="minorHAnsi"/>
          <w:sz w:val="24"/>
          <w:szCs w:val="24"/>
        </w:rPr>
        <w:t xml:space="preserve">, MassHealth spending on ABA services was </w:t>
      </w:r>
      <w:r w:rsidRPr="00E829B9">
        <w:rPr>
          <w:rFonts w:cstheme="minorHAnsi"/>
          <w:b/>
          <w:bCs/>
          <w:sz w:val="24"/>
          <w:szCs w:val="24"/>
        </w:rPr>
        <w:t xml:space="preserve">$188,711,817. </w:t>
      </w:r>
      <w:r w:rsidRPr="00E829B9">
        <w:rPr>
          <w:rFonts w:cstheme="minorHAnsi"/>
          <w:sz w:val="24"/>
          <w:szCs w:val="24"/>
        </w:rPr>
        <w:t xml:space="preserve">for </w:t>
      </w:r>
      <w:r w:rsidRPr="00E829B9">
        <w:rPr>
          <w:rFonts w:cstheme="minorHAnsi"/>
          <w:b/>
          <w:bCs/>
          <w:sz w:val="24"/>
          <w:szCs w:val="24"/>
        </w:rPr>
        <w:t xml:space="preserve">9,328 </w:t>
      </w:r>
      <w:r w:rsidRPr="00E829B9">
        <w:rPr>
          <w:rFonts w:cstheme="minorHAnsi"/>
          <w:sz w:val="24"/>
          <w:szCs w:val="24"/>
        </w:rPr>
        <w:t xml:space="preserve">members. </w:t>
      </w:r>
      <w:r w:rsidRPr="00E829B9">
        <w:rPr>
          <w:rFonts w:cstheme="minorHAnsi"/>
          <w:b/>
          <w:bCs/>
          <w:sz w:val="24"/>
          <w:szCs w:val="24"/>
        </w:rPr>
        <w:t xml:space="preserve">  The FY2023 </w:t>
      </w:r>
      <w:r w:rsidRPr="00E829B9">
        <w:rPr>
          <w:rFonts w:cstheme="minorHAnsi"/>
          <w:sz w:val="24"/>
          <w:szCs w:val="24"/>
        </w:rPr>
        <w:t>breakdown of the ages of the children is found on the table, below</w:t>
      </w:r>
      <w:r w:rsidRPr="00E829B9">
        <w:rPr>
          <w:rFonts w:cstheme="minorHAnsi"/>
        </w:rPr>
        <w:t>.</w:t>
      </w:r>
    </w:p>
    <w:p w14:paraId="7D0B603F" w14:textId="77777777" w:rsidR="000B3D6B" w:rsidRPr="00E829B9" w:rsidRDefault="000B3D6B" w:rsidP="00E829B9">
      <w:pPr>
        <w:rPr>
          <w:rFonts w:cstheme="minorHAnsi"/>
        </w:rPr>
      </w:pPr>
    </w:p>
    <w:tbl>
      <w:tblPr>
        <w:tblpPr w:leftFromText="180" w:rightFromText="180" w:vertAnchor="page" w:horzAnchor="margin" w:tblpY="15947"/>
        <w:tblW w:w="6350" w:type="dxa"/>
        <w:tblCellMar>
          <w:left w:w="0" w:type="dxa"/>
          <w:right w:w="0" w:type="dxa"/>
        </w:tblCellMar>
        <w:tblLook w:val="04A0" w:firstRow="1" w:lastRow="0" w:firstColumn="1" w:lastColumn="0" w:noHBand="0" w:noVBand="1"/>
      </w:tblPr>
      <w:tblGrid>
        <w:gridCol w:w="1002"/>
        <w:gridCol w:w="2674"/>
        <w:gridCol w:w="2674"/>
      </w:tblGrid>
      <w:tr w:rsidR="00E829B9" w:rsidRPr="00E829B9" w14:paraId="3649B7D3" w14:textId="77777777" w:rsidTr="00E829B9">
        <w:trPr>
          <w:trHeight w:val="286"/>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F1BC4D" w14:textId="77777777" w:rsidR="00E829B9" w:rsidRPr="00E829B9" w:rsidRDefault="00E829B9" w:rsidP="00E829B9">
            <w:pPr>
              <w:rPr>
                <w:rFonts w:cstheme="minorHAnsi"/>
                <w:sz w:val="16"/>
                <w:szCs w:val="16"/>
              </w:rPr>
            </w:pPr>
            <w:r w:rsidRPr="00E829B9">
              <w:rPr>
                <w:rFonts w:cstheme="minorHAnsi"/>
                <w:b/>
                <w:bCs/>
                <w:sz w:val="16"/>
                <w:szCs w:val="16"/>
              </w:rPr>
              <w:t>Age</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D1D02E" w14:textId="77777777" w:rsidR="00E829B9" w:rsidRPr="00E829B9" w:rsidRDefault="00E829B9" w:rsidP="00E829B9">
            <w:pPr>
              <w:rPr>
                <w:rFonts w:cstheme="minorHAnsi"/>
                <w:sz w:val="16"/>
                <w:szCs w:val="16"/>
              </w:rPr>
            </w:pPr>
            <w:r w:rsidRPr="00E829B9">
              <w:rPr>
                <w:rFonts w:cstheme="minorHAnsi"/>
                <w:b/>
                <w:bCs/>
                <w:sz w:val="16"/>
                <w:szCs w:val="16"/>
              </w:rPr>
              <w:t># of children served</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2C5870" w14:textId="77777777" w:rsidR="00E829B9" w:rsidRPr="00E829B9" w:rsidRDefault="00E829B9" w:rsidP="00E829B9">
            <w:pPr>
              <w:rPr>
                <w:rFonts w:cstheme="minorHAnsi"/>
                <w:sz w:val="16"/>
                <w:szCs w:val="16"/>
              </w:rPr>
            </w:pPr>
            <w:r w:rsidRPr="00E829B9">
              <w:rPr>
                <w:rFonts w:cstheme="minorHAnsi"/>
                <w:b/>
                <w:bCs/>
                <w:sz w:val="16"/>
                <w:szCs w:val="16"/>
              </w:rPr>
              <w:t>Amount Paid</w:t>
            </w:r>
          </w:p>
        </w:tc>
      </w:tr>
      <w:tr w:rsidR="00E829B9" w:rsidRPr="00E829B9" w14:paraId="72395998" w14:textId="77777777" w:rsidTr="00E829B9">
        <w:trPr>
          <w:trHeight w:val="238"/>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1DEC4C" w14:textId="77777777" w:rsidR="00E829B9" w:rsidRPr="00E829B9" w:rsidRDefault="00E829B9" w:rsidP="00E829B9">
            <w:pPr>
              <w:rPr>
                <w:rFonts w:cstheme="minorHAnsi"/>
                <w:sz w:val="16"/>
                <w:szCs w:val="16"/>
              </w:rPr>
            </w:pPr>
            <w:r w:rsidRPr="00E829B9">
              <w:rPr>
                <w:rFonts w:cstheme="minorHAnsi"/>
                <w:sz w:val="16"/>
                <w:szCs w:val="16"/>
              </w:rPr>
              <w:t>0-5</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FF06DD" w14:textId="77777777" w:rsidR="00E829B9" w:rsidRPr="00E829B9" w:rsidRDefault="00E829B9" w:rsidP="00E829B9">
            <w:pPr>
              <w:rPr>
                <w:rFonts w:cstheme="minorHAnsi"/>
                <w:sz w:val="16"/>
                <w:szCs w:val="16"/>
              </w:rPr>
            </w:pPr>
            <w:r w:rsidRPr="00E829B9">
              <w:rPr>
                <w:rFonts w:cstheme="minorHAnsi"/>
                <w:sz w:val="16"/>
                <w:szCs w:val="16"/>
              </w:rPr>
              <w:t>4812</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B70B4C" w14:textId="77777777" w:rsidR="00E829B9" w:rsidRPr="00E829B9" w:rsidRDefault="00E829B9" w:rsidP="00E829B9">
            <w:pPr>
              <w:rPr>
                <w:rFonts w:cstheme="minorHAnsi"/>
                <w:sz w:val="16"/>
                <w:szCs w:val="16"/>
              </w:rPr>
            </w:pPr>
            <w:r w:rsidRPr="00E829B9">
              <w:rPr>
                <w:rFonts w:cstheme="minorHAnsi"/>
                <w:sz w:val="16"/>
                <w:szCs w:val="16"/>
              </w:rPr>
              <w:t>$106,040,993</w:t>
            </w:r>
          </w:p>
        </w:tc>
      </w:tr>
      <w:tr w:rsidR="00E829B9" w:rsidRPr="00E829B9" w14:paraId="78EE9A03" w14:textId="77777777" w:rsidTr="00E829B9">
        <w:trPr>
          <w:trHeight w:val="238"/>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2F0725" w14:textId="77777777" w:rsidR="00E829B9" w:rsidRPr="00E829B9" w:rsidRDefault="00E829B9" w:rsidP="00E829B9">
            <w:pPr>
              <w:rPr>
                <w:rFonts w:cstheme="minorHAnsi"/>
                <w:sz w:val="16"/>
                <w:szCs w:val="16"/>
              </w:rPr>
            </w:pPr>
            <w:r w:rsidRPr="00E829B9">
              <w:rPr>
                <w:rFonts w:cstheme="minorHAnsi"/>
                <w:sz w:val="16"/>
                <w:szCs w:val="16"/>
              </w:rPr>
              <w:t>6-12</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31D1B6" w14:textId="77777777" w:rsidR="00E829B9" w:rsidRPr="00E829B9" w:rsidRDefault="00E829B9" w:rsidP="00E829B9">
            <w:pPr>
              <w:rPr>
                <w:rFonts w:cstheme="minorHAnsi"/>
                <w:sz w:val="16"/>
                <w:szCs w:val="16"/>
              </w:rPr>
            </w:pPr>
            <w:r w:rsidRPr="00E829B9">
              <w:rPr>
                <w:rFonts w:cstheme="minorHAnsi"/>
                <w:sz w:val="16"/>
                <w:szCs w:val="16"/>
              </w:rPr>
              <w:t>3518</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470099" w14:textId="77777777" w:rsidR="00E829B9" w:rsidRPr="00E829B9" w:rsidRDefault="00E829B9" w:rsidP="00E829B9">
            <w:pPr>
              <w:rPr>
                <w:rFonts w:cstheme="minorHAnsi"/>
                <w:sz w:val="16"/>
                <w:szCs w:val="16"/>
              </w:rPr>
            </w:pPr>
            <w:r w:rsidRPr="00E829B9">
              <w:rPr>
                <w:rFonts w:cstheme="minorHAnsi"/>
                <w:sz w:val="16"/>
                <w:szCs w:val="16"/>
              </w:rPr>
              <w:t>$66,541.986</w:t>
            </w:r>
          </w:p>
        </w:tc>
      </w:tr>
      <w:tr w:rsidR="00E829B9" w:rsidRPr="00E829B9" w14:paraId="2CFE0688" w14:textId="77777777" w:rsidTr="00E829B9">
        <w:trPr>
          <w:trHeight w:val="494"/>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975A47" w14:textId="77777777" w:rsidR="00E829B9" w:rsidRPr="00E829B9" w:rsidRDefault="00E829B9" w:rsidP="00E829B9">
            <w:pPr>
              <w:rPr>
                <w:rFonts w:cstheme="minorHAnsi"/>
                <w:sz w:val="16"/>
                <w:szCs w:val="16"/>
              </w:rPr>
            </w:pPr>
            <w:r w:rsidRPr="00E829B9">
              <w:rPr>
                <w:rFonts w:cstheme="minorHAnsi"/>
                <w:sz w:val="16"/>
                <w:szCs w:val="16"/>
              </w:rPr>
              <w:t>13-17</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6F4A01" w14:textId="77777777" w:rsidR="00E829B9" w:rsidRPr="00E829B9" w:rsidRDefault="00E829B9" w:rsidP="00E829B9">
            <w:pPr>
              <w:rPr>
                <w:rFonts w:cstheme="minorHAnsi"/>
                <w:sz w:val="16"/>
                <w:szCs w:val="16"/>
              </w:rPr>
            </w:pPr>
            <w:r w:rsidRPr="00E829B9">
              <w:rPr>
                <w:rFonts w:cstheme="minorHAnsi"/>
                <w:sz w:val="16"/>
                <w:szCs w:val="16"/>
              </w:rPr>
              <w:t>786</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76FE13" w14:textId="77777777" w:rsidR="00E829B9" w:rsidRPr="00E829B9" w:rsidRDefault="00E829B9" w:rsidP="00E829B9">
            <w:pPr>
              <w:rPr>
                <w:rFonts w:cstheme="minorHAnsi"/>
                <w:sz w:val="16"/>
                <w:szCs w:val="16"/>
              </w:rPr>
            </w:pPr>
            <w:r w:rsidRPr="00E829B9">
              <w:rPr>
                <w:rFonts w:cstheme="minorHAnsi"/>
                <w:sz w:val="16"/>
                <w:szCs w:val="16"/>
              </w:rPr>
              <w:t>$12,093,578</w:t>
            </w:r>
          </w:p>
        </w:tc>
      </w:tr>
      <w:tr w:rsidR="00E829B9" w:rsidRPr="00E829B9" w14:paraId="151B9FB7" w14:textId="77777777" w:rsidTr="00E829B9">
        <w:trPr>
          <w:trHeight w:val="494"/>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4D4AE7" w14:textId="77777777" w:rsidR="00E829B9" w:rsidRPr="00E829B9" w:rsidRDefault="00E829B9" w:rsidP="00E829B9">
            <w:pPr>
              <w:rPr>
                <w:rFonts w:cstheme="minorHAnsi"/>
                <w:sz w:val="16"/>
                <w:szCs w:val="16"/>
              </w:rPr>
            </w:pPr>
            <w:r w:rsidRPr="00E829B9">
              <w:rPr>
                <w:rFonts w:cstheme="minorHAnsi"/>
                <w:sz w:val="16"/>
                <w:szCs w:val="16"/>
              </w:rPr>
              <w:t>18-20</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3F3BF0" w14:textId="77777777" w:rsidR="00E829B9" w:rsidRPr="00E829B9" w:rsidRDefault="00E829B9" w:rsidP="00E829B9">
            <w:pPr>
              <w:rPr>
                <w:rFonts w:cstheme="minorHAnsi"/>
                <w:sz w:val="16"/>
                <w:szCs w:val="16"/>
              </w:rPr>
            </w:pPr>
            <w:r w:rsidRPr="00E829B9">
              <w:rPr>
                <w:rFonts w:cstheme="minorHAnsi"/>
                <w:sz w:val="16"/>
                <w:szCs w:val="16"/>
              </w:rPr>
              <w:t>212</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EB2C9E" w14:textId="77777777" w:rsidR="00E829B9" w:rsidRPr="00E829B9" w:rsidRDefault="00E829B9" w:rsidP="00E829B9">
            <w:pPr>
              <w:rPr>
                <w:rFonts w:cstheme="minorHAnsi"/>
                <w:sz w:val="16"/>
                <w:szCs w:val="16"/>
              </w:rPr>
            </w:pPr>
            <w:r w:rsidRPr="00E829B9">
              <w:rPr>
                <w:rFonts w:cstheme="minorHAnsi"/>
                <w:sz w:val="16"/>
                <w:szCs w:val="16"/>
              </w:rPr>
              <w:t>$4,035,260</w:t>
            </w:r>
          </w:p>
        </w:tc>
      </w:tr>
      <w:tr w:rsidR="00E829B9" w:rsidRPr="00E829B9" w14:paraId="05C3FEEC" w14:textId="77777777" w:rsidTr="00E829B9">
        <w:trPr>
          <w:trHeight w:val="238"/>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CADBC3" w14:textId="77777777" w:rsidR="00E829B9" w:rsidRPr="00E829B9" w:rsidRDefault="00E829B9" w:rsidP="00E829B9">
            <w:pPr>
              <w:rPr>
                <w:rFonts w:cstheme="minorHAnsi"/>
                <w:sz w:val="16"/>
                <w:szCs w:val="16"/>
              </w:rPr>
            </w:pPr>
            <w:r w:rsidRPr="00E829B9">
              <w:rPr>
                <w:rFonts w:cstheme="minorHAnsi"/>
                <w:sz w:val="16"/>
                <w:szCs w:val="16"/>
              </w:rPr>
              <w:t>Total</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5DAF18" w14:textId="77777777" w:rsidR="00E829B9" w:rsidRPr="00E829B9" w:rsidRDefault="00E829B9" w:rsidP="00E829B9">
            <w:pPr>
              <w:rPr>
                <w:rFonts w:cstheme="minorHAnsi"/>
                <w:sz w:val="16"/>
                <w:szCs w:val="16"/>
              </w:rPr>
            </w:pPr>
            <w:r w:rsidRPr="00E829B9">
              <w:rPr>
                <w:rFonts w:cstheme="minorHAnsi"/>
                <w:b/>
                <w:bCs/>
                <w:sz w:val="16"/>
                <w:szCs w:val="16"/>
              </w:rPr>
              <w:t>9,328</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12EABC" w14:textId="77777777" w:rsidR="00E829B9" w:rsidRPr="00E829B9" w:rsidRDefault="00E829B9" w:rsidP="00E829B9">
            <w:pPr>
              <w:rPr>
                <w:rFonts w:cstheme="minorHAnsi"/>
                <w:sz w:val="16"/>
                <w:szCs w:val="16"/>
              </w:rPr>
            </w:pPr>
            <w:r w:rsidRPr="00E829B9">
              <w:rPr>
                <w:rFonts w:cstheme="minorHAnsi"/>
                <w:b/>
                <w:bCs/>
                <w:sz w:val="16"/>
                <w:szCs w:val="16"/>
              </w:rPr>
              <w:t>$188, 711,817</w:t>
            </w:r>
          </w:p>
        </w:tc>
      </w:tr>
    </w:tbl>
    <w:p w14:paraId="2504165A" w14:textId="060FCB84" w:rsidR="007A28DB" w:rsidRPr="00A548E2" w:rsidRDefault="007A28DB" w:rsidP="007A28DB">
      <w:pPr>
        <w:rPr>
          <w:rFonts w:cstheme="minorHAnsi"/>
          <w:b/>
          <w:bCs/>
          <w:sz w:val="24"/>
          <w:szCs w:val="24"/>
          <w:u w:val="single"/>
        </w:rPr>
      </w:pPr>
    </w:p>
    <w:p w14:paraId="436E0EB8" w14:textId="77777777" w:rsidR="000E44B8" w:rsidRDefault="000E44B8"/>
    <w:p w14:paraId="50C176C3" w14:textId="77777777" w:rsidR="00245E9E" w:rsidRDefault="00245E9E"/>
    <w:p w14:paraId="011312E0" w14:textId="77777777" w:rsidR="00245E9E" w:rsidRDefault="00245E9E"/>
    <w:p w14:paraId="6903375A" w14:textId="2B377643" w:rsidR="00245E9E" w:rsidRPr="0013370B" w:rsidRDefault="00245E9E">
      <w:pPr>
        <w:rPr>
          <w:b/>
          <w:bCs/>
          <w:sz w:val="24"/>
          <w:szCs w:val="24"/>
          <w:u w:val="single"/>
        </w:rPr>
      </w:pPr>
      <w:r w:rsidRPr="0013370B">
        <w:rPr>
          <w:b/>
          <w:bCs/>
          <w:sz w:val="24"/>
          <w:szCs w:val="24"/>
          <w:u w:val="single"/>
        </w:rPr>
        <w:t>Nondedicated Devices</w:t>
      </w:r>
    </w:p>
    <w:p w14:paraId="335138BF" w14:textId="77777777" w:rsidR="00245E9E" w:rsidRPr="00245E9E" w:rsidRDefault="00245E9E" w:rsidP="00245E9E">
      <w:r w:rsidRPr="00245E9E">
        <w:rPr>
          <w:sz w:val="24"/>
          <w:szCs w:val="24"/>
        </w:rPr>
        <w:t xml:space="preserve">In </w:t>
      </w:r>
      <w:r w:rsidRPr="00245E9E">
        <w:rPr>
          <w:b/>
          <w:bCs/>
          <w:sz w:val="24"/>
          <w:szCs w:val="24"/>
        </w:rPr>
        <w:t>FY22</w:t>
      </w:r>
      <w:r w:rsidRPr="00245E9E">
        <w:rPr>
          <w:sz w:val="24"/>
          <w:szCs w:val="24"/>
        </w:rPr>
        <w:t xml:space="preserve">, MassHealth issued </w:t>
      </w:r>
      <w:r w:rsidRPr="00245E9E">
        <w:rPr>
          <w:b/>
          <w:bCs/>
          <w:sz w:val="24"/>
          <w:szCs w:val="24"/>
        </w:rPr>
        <w:t>87</w:t>
      </w:r>
      <w:r w:rsidRPr="00245E9E">
        <w:rPr>
          <w:sz w:val="24"/>
          <w:szCs w:val="24"/>
        </w:rPr>
        <w:t xml:space="preserve"> dedicated speech generating devices (SGDs) to individuals with ASD and </w:t>
      </w:r>
      <w:r w:rsidRPr="00245E9E">
        <w:rPr>
          <w:b/>
          <w:bCs/>
          <w:sz w:val="24"/>
          <w:szCs w:val="24"/>
        </w:rPr>
        <w:t>5</w:t>
      </w:r>
      <w:r w:rsidRPr="00245E9E">
        <w:rPr>
          <w:sz w:val="24"/>
          <w:szCs w:val="24"/>
        </w:rPr>
        <w:t xml:space="preserve"> non-dedicated devices. In </w:t>
      </w:r>
      <w:r w:rsidRPr="00245E9E">
        <w:rPr>
          <w:b/>
          <w:bCs/>
          <w:sz w:val="24"/>
          <w:szCs w:val="24"/>
        </w:rPr>
        <w:t>FY23</w:t>
      </w:r>
      <w:r w:rsidRPr="00245E9E">
        <w:rPr>
          <w:sz w:val="24"/>
          <w:szCs w:val="24"/>
        </w:rPr>
        <w:t>, MassHealth issued</w:t>
      </w:r>
      <w:r w:rsidRPr="00245E9E">
        <w:rPr>
          <w:b/>
          <w:bCs/>
          <w:sz w:val="24"/>
          <w:szCs w:val="24"/>
        </w:rPr>
        <w:t xml:space="preserve"> 110 dedicated speech generating devices (SGDs) to individuals with ASD and 4 non-dedicated devices</w:t>
      </w:r>
      <w:r w:rsidRPr="00245E9E">
        <w:rPr>
          <w:sz w:val="24"/>
          <w:szCs w:val="24"/>
        </w:rPr>
        <w:t xml:space="preserve">.  MassHealth has partnered with a Speech Language Pathology clinic that has two locations to pilot the improvement of accessing non-dedicated devices. To date, MassHealth is also working with 6 other Speech Language Pathology clinics to implement this process. MassHealth is working with a new IT company to assist with setting up all the technical components of the devices, before delivering them to the clinics. The goal remains that providers will maintain a stock of non-dedicated devices and cases to allow MH eligible members to trial them and, once authorized, get a device directly from their provider. </w:t>
      </w:r>
      <w:r w:rsidRPr="00245E9E">
        <w:rPr>
          <w:b/>
          <w:bCs/>
          <w:sz w:val="24"/>
          <w:szCs w:val="24"/>
        </w:rPr>
        <w:t>In 2024</w:t>
      </w:r>
      <w:r w:rsidRPr="00245E9E">
        <w:rPr>
          <w:sz w:val="24"/>
          <w:szCs w:val="24"/>
        </w:rPr>
        <w:t>, MassHealth will be posting a Request for Applications (RFA) for any MassHealth Enrolled Speech Language Pathology clinic who would like to apply to assist with accessing non-dedicated devices to MassHealth members. MassHealth appreciates the partnership of the provider community and anticipates that this program will increase access to the devices</w:t>
      </w:r>
      <w:r w:rsidRPr="00245E9E">
        <w:t>.</w:t>
      </w:r>
    </w:p>
    <w:p w14:paraId="4361CAD2" w14:textId="79FCE908" w:rsidR="00245E9E" w:rsidRPr="0013370B" w:rsidRDefault="00245E9E">
      <w:pPr>
        <w:rPr>
          <w:i/>
          <w:iCs/>
          <w:sz w:val="24"/>
          <w:szCs w:val="24"/>
          <w:u w:val="single"/>
        </w:rPr>
      </w:pPr>
      <w:r w:rsidRPr="0013370B">
        <w:rPr>
          <w:i/>
          <w:iCs/>
          <w:sz w:val="24"/>
          <w:szCs w:val="24"/>
          <w:u w:val="single"/>
        </w:rPr>
        <w:t xml:space="preserve">Discussion </w:t>
      </w:r>
    </w:p>
    <w:p w14:paraId="61271EB5" w14:textId="29353181" w:rsidR="00245E9E" w:rsidRPr="0013370B" w:rsidRDefault="00245E9E" w:rsidP="00245E9E">
      <w:pPr>
        <w:pStyle w:val="ListParagraph"/>
        <w:numPr>
          <w:ilvl w:val="0"/>
          <w:numId w:val="1"/>
        </w:numPr>
        <w:rPr>
          <w:sz w:val="24"/>
          <w:szCs w:val="24"/>
        </w:rPr>
      </w:pPr>
      <w:r w:rsidRPr="0013370B">
        <w:rPr>
          <w:sz w:val="24"/>
          <w:szCs w:val="24"/>
        </w:rPr>
        <w:t xml:space="preserve">It is a challenge for individuals to </w:t>
      </w:r>
      <w:r w:rsidR="00C710BA">
        <w:rPr>
          <w:sz w:val="24"/>
          <w:szCs w:val="24"/>
        </w:rPr>
        <w:t xml:space="preserve">get </w:t>
      </w:r>
      <w:r w:rsidRPr="0013370B">
        <w:rPr>
          <w:sz w:val="24"/>
          <w:szCs w:val="24"/>
        </w:rPr>
        <w:t xml:space="preserve">the </w:t>
      </w:r>
      <w:r w:rsidR="009446D9" w:rsidRPr="0013370B">
        <w:rPr>
          <w:sz w:val="24"/>
          <w:szCs w:val="24"/>
        </w:rPr>
        <w:t>information.</w:t>
      </w:r>
    </w:p>
    <w:p w14:paraId="43B7F78F" w14:textId="7CCAF3C6" w:rsidR="00245E9E" w:rsidRPr="0013370B" w:rsidRDefault="00245E9E" w:rsidP="00245E9E">
      <w:pPr>
        <w:pStyle w:val="ListParagraph"/>
        <w:numPr>
          <w:ilvl w:val="0"/>
          <w:numId w:val="1"/>
        </w:numPr>
        <w:rPr>
          <w:sz w:val="24"/>
          <w:szCs w:val="24"/>
        </w:rPr>
      </w:pPr>
      <w:r w:rsidRPr="0013370B">
        <w:rPr>
          <w:sz w:val="24"/>
          <w:szCs w:val="24"/>
        </w:rPr>
        <w:t xml:space="preserve">Ms. Kain has met with MH to address the barriers that individuals and families </w:t>
      </w:r>
      <w:r w:rsidR="009446D9" w:rsidRPr="0013370B">
        <w:rPr>
          <w:sz w:val="24"/>
          <w:szCs w:val="24"/>
        </w:rPr>
        <w:t>face.</w:t>
      </w:r>
    </w:p>
    <w:p w14:paraId="2B70FCF8" w14:textId="0822DF5B" w:rsidR="00245E9E" w:rsidRPr="0013370B" w:rsidRDefault="00245E9E" w:rsidP="00245E9E">
      <w:pPr>
        <w:pStyle w:val="ListParagraph"/>
        <w:numPr>
          <w:ilvl w:val="0"/>
          <w:numId w:val="1"/>
        </w:numPr>
        <w:rPr>
          <w:sz w:val="24"/>
          <w:szCs w:val="24"/>
        </w:rPr>
      </w:pPr>
      <w:r w:rsidRPr="0013370B">
        <w:rPr>
          <w:sz w:val="24"/>
          <w:szCs w:val="24"/>
        </w:rPr>
        <w:t>Ms. Kain will continue her discussion with MH and update the Healthcare Subcommittee</w:t>
      </w:r>
    </w:p>
    <w:p w14:paraId="39A30549" w14:textId="0484B22F" w:rsidR="004373EC" w:rsidRPr="0013370B" w:rsidRDefault="004373EC" w:rsidP="004373EC">
      <w:pPr>
        <w:rPr>
          <w:b/>
          <w:bCs/>
          <w:sz w:val="24"/>
          <w:szCs w:val="24"/>
          <w:u w:val="single"/>
        </w:rPr>
      </w:pPr>
      <w:r w:rsidRPr="0013370B">
        <w:rPr>
          <w:b/>
          <w:bCs/>
          <w:sz w:val="24"/>
          <w:szCs w:val="24"/>
          <w:u w:val="single"/>
        </w:rPr>
        <w:t>MRC Data/NexGen</w:t>
      </w:r>
    </w:p>
    <w:p w14:paraId="308B6C6A" w14:textId="77777777" w:rsidR="004373EC" w:rsidRPr="0013370B" w:rsidRDefault="004373EC" w:rsidP="004373EC">
      <w:pPr>
        <w:rPr>
          <w:sz w:val="24"/>
          <w:szCs w:val="24"/>
        </w:rPr>
      </w:pPr>
      <w:r w:rsidRPr="004373EC">
        <w:rPr>
          <w:sz w:val="24"/>
          <w:szCs w:val="24"/>
        </w:rPr>
        <w:t>MRC is currently operating a 5-year federal demonstration grant known as NextGen Careers. Individuals with ASD are a target population for this project. NextGen will focus on serving young adults ages 18 to 30 with the goal of evaluating a new model for VR services designed to lead to employment outcomes with higher wages and career pathway opportunities in fields such as STEM.  As of June 30</w:t>
      </w:r>
      <w:r w:rsidRPr="004373EC">
        <w:rPr>
          <w:sz w:val="24"/>
          <w:szCs w:val="24"/>
          <w:vertAlign w:val="superscript"/>
        </w:rPr>
        <w:t>th</w:t>
      </w:r>
      <w:r w:rsidRPr="004373EC">
        <w:rPr>
          <w:sz w:val="24"/>
          <w:szCs w:val="24"/>
        </w:rPr>
        <w:t xml:space="preserve">, </w:t>
      </w:r>
      <w:r w:rsidRPr="004373EC">
        <w:rPr>
          <w:b/>
          <w:bCs/>
          <w:sz w:val="24"/>
          <w:szCs w:val="24"/>
        </w:rPr>
        <w:t>346</w:t>
      </w:r>
      <w:r w:rsidRPr="004373EC">
        <w:rPr>
          <w:sz w:val="24"/>
          <w:szCs w:val="24"/>
        </w:rPr>
        <w:t xml:space="preserve"> individuals had enrolled in NextGen, of these, a total of </w:t>
      </w:r>
      <w:r w:rsidRPr="004373EC">
        <w:rPr>
          <w:b/>
          <w:bCs/>
          <w:sz w:val="24"/>
          <w:szCs w:val="24"/>
        </w:rPr>
        <w:t>109</w:t>
      </w:r>
      <w:r w:rsidRPr="004373EC">
        <w:rPr>
          <w:sz w:val="24"/>
          <w:szCs w:val="24"/>
        </w:rPr>
        <w:t xml:space="preserve"> </w:t>
      </w:r>
      <w:r w:rsidRPr="004373EC">
        <w:rPr>
          <w:b/>
          <w:bCs/>
          <w:sz w:val="24"/>
          <w:szCs w:val="24"/>
        </w:rPr>
        <w:t xml:space="preserve">(33%) </w:t>
      </w:r>
      <w:r w:rsidRPr="004373EC">
        <w:rPr>
          <w:sz w:val="24"/>
          <w:szCs w:val="24"/>
        </w:rPr>
        <w:t>are individuals with ASD.</w:t>
      </w:r>
    </w:p>
    <w:p w14:paraId="1D4C3084" w14:textId="4531E310" w:rsidR="004373EC" w:rsidRPr="0013370B" w:rsidRDefault="004373EC" w:rsidP="004373EC">
      <w:pPr>
        <w:rPr>
          <w:i/>
          <w:iCs/>
          <w:sz w:val="24"/>
          <w:szCs w:val="24"/>
          <w:u w:val="single"/>
        </w:rPr>
      </w:pPr>
      <w:r w:rsidRPr="0013370B">
        <w:rPr>
          <w:i/>
          <w:iCs/>
          <w:sz w:val="24"/>
          <w:szCs w:val="24"/>
          <w:u w:val="single"/>
        </w:rPr>
        <w:t>Discussion</w:t>
      </w:r>
    </w:p>
    <w:p w14:paraId="38FFB403" w14:textId="03694BD3" w:rsidR="004373EC" w:rsidRPr="0013370B" w:rsidRDefault="004373EC" w:rsidP="004373EC">
      <w:pPr>
        <w:pStyle w:val="ListParagraph"/>
        <w:numPr>
          <w:ilvl w:val="0"/>
          <w:numId w:val="3"/>
        </w:numPr>
        <w:rPr>
          <w:sz w:val="24"/>
          <w:szCs w:val="24"/>
        </w:rPr>
      </w:pPr>
      <w:r w:rsidRPr="0013370B">
        <w:rPr>
          <w:sz w:val="24"/>
          <w:szCs w:val="24"/>
        </w:rPr>
        <w:t xml:space="preserve">Commissioner Wolf discussed NextGen and additional data that could be useful – they are using a different type of outreach to specific communities.  The lessons learned here can be maximized </w:t>
      </w:r>
      <w:r w:rsidR="009446D9" w:rsidRPr="0013370B">
        <w:rPr>
          <w:sz w:val="24"/>
          <w:szCs w:val="24"/>
        </w:rPr>
        <w:t>elsewhere.</w:t>
      </w:r>
    </w:p>
    <w:p w14:paraId="0F4CCCF7" w14:textId="2F896890" w:rsidR="004373EC" w:rsidRPr="0013370B" w:rsidRDefault="004373EC" w:rsidP="004373EC">
      <w:pPr>
        <w:pStyle w:val="ListParagraph"/>
        <w:numPr>
          <w:ilvl w:val="0"/>
          <w:numId w:val="3"/>
        </w:numPr>
        <w:rPr>
          <w:sz w:val="24"/>
          <w:szCs w:val="24"/>
        </w:rPr>
      </w:pPr>
      <w:r w:rsidRPr="0013370B">
        <w:rPr>
          <w:sz w:val="24"/>
          <w:szCs w:val="24"/>
        </w:rPr>
        <w:t xml:space="preserve">MRC has the most robust </w:t>
      </w:r>
      <w:r w:rsidR="006E0C0B" w:rsidRPr="0013370B">
        <w:rPr>
          <w:sz w:val="24"/>
          <w:szCs w:val="24"/>
        </w:rPr>
        <w:t>data,</w:t>
      </w:r>
      <w:r w:rsidRPr="0013370B">
        <w:rPr>
          <w:sz w:val="24"/>
          <w:szCs w:val="24"/>
        </w:rPr>
        <w:t xml:space="preserve"> and it is used in its’ decision </w:t>
      </w:r>
      <w:r w:rsidR="009446D9" w:rsidRPr="0013370B">
        <w:rPr>
          <w:sz w:val="24"/>
          <w:szCs w:val="24"/>
        </w:rPr>
        <w:t>making.</w:t>
      </w:r>
    </w:p>
    <w:p w14:paraId="555DF222" w14:textId="6AD75289" w:rsidR="004373EC" w:rsidRPr="0013370B" w:rsidRDefault="004373EC" w:rsidP="004373EC">
      <w:pPr>
        <w:rPr>
          <w:b/>
          <w:bCs/>
          <w:sz w:val="24"/>
          <w:szCs w:val="24"/>
          <w:u w:val="single"/>
        </w:rPr>
      </w:pPr>
      <w:r w:rsidRPr="0013370B">
        <w:rPr>
          <w:b/>
          <w:bCs/>
          <w:sz w:val="24"/>
          <w:szCs w:val="24"/>
          <w:u w:val="single"/>
        </w:rPr>
        <w:t>Roll Call Vote for Annual Report</w:t>
      </w:r>
    </w:p>
    <w:p w14:paraId="33215FE9" w14:textId="48CCC1AD" w:rsidR="0015732D" w:rsidRPr="0013370B" w:rsidRDefault="0015732D" w:rsidP="004373EC">
      <w:pPr>
        <w:rPr>
          <w:sz w:val="24"/>
          <w:szCs w:val="24"/>
        </w:rPr>
      </w:pPr>
      <w:r w:rsidRPr="0013370B">
        <w:rPr>
          <w:sz w:val="24"/>
          <w:szCs w:val="24"/>
        </w:rPr>
        <w:t xml:space="preserve">Ms. Kain </w:t>
      </w:r>
      <w:r w:rsidR="000B3D6B">
        <w:rPr>
          <w:sz w:val="24"/>
          <w:szCs w:val="24"/>
        </w:rPr>
        <w:t>asked for a</w:t>
      </w:r>
      <w:r w:rsidRPr="0013370B">
        <w:rPr>
          <w:sz w:val="24"/>
          <w:szCs w:val="24"/>
        </w:rPr>
        <w:t xml:space="preserve"> motion to approve the Annual Report as presented with additional recommendation to look at existing data and continue to look at DEI and work with the agencies to increase data collection.  Commissioner Ryder m</w:t>
      </w:r>
      <w:r w:rsidR="000B3D6B">
        <w:rPr>
          <w:sz w:val="24"/>
          <w:szCs w:val="24"/>
        </w:rPr>
        <w:t>ade</w:t>
      </w:r>
      <w:r w:rsidRPr="0013370B">
        <w:rPr>
          <w:sz w:val="24"/>
          <w:szCs w:val="24"/>
        </w:rPr>
        <w:t xml:space="preserve"> the motion </w:t>
      </w:r>
      <w:r w:rsidR="000B3D6B">
        <w:rPr>
          <w:sz w:val="24"/>
          <w:szCs w:val="24"/>
        </w:rPr>
        <w:t xml:space="preserve">to approve the annual report </w:t>
      </w:r>
      <w:r w:rsidRPr="0013370B">
        <w:rPr>
          <w:sz w:val="24"/>
          <w:szCs w:val="24"/>
        </w:rPr>
        <w:t xml:space="preserve">and </w:t>
      </w:r>
      <w:r w:rsidR="000B3D6B">
        <w:rPr>
          <w:sz w:val="24"/>
          <w:szCs w:val="24"/>
        </w:rPr>
        <w:t>Dr</w:t>
      </w:r>
      <w:r w:rsidRPr="0013370B">
        <w:rPr>
          <w:sz w:val="24"/>
          <w:szCs w:val="24"/>
        </w:rPr>
        <w:t>. Sanders seconded the motion.  A role call was done with all members approving the Annual Report.</w:t>
      </w:r>
    </w:p>
    <w:p w14:paraId="3F55E9DC" w14:textId="77777777" w:rsidR="00C746B9" w:rsidRPr="0013370B" w:rsidRDefault="00C746B9" w:rsidP="00C746B9">
      <w:pPr>
        <w:rPr>
          <w:sz w:val="24"/>
          <w:szCs w:val="24"/>
        </w:rPr>
      </w:pPr>
      <w:r w:rsidRPr="0013370B">
        <w:rPr>
          <w:sz w:val="24"/>
          <w:szCs w:val="24"/>
        </w:rPr>
        <w:t xml:space="preserve">After voting Ms. Landau </w:t>
      </w:r>
      <w:r>
        <w:rPr>
          <w:sz w:val="24"/>
          <w:szCs w:val="24"/>
        </w:rPr>
        <w:t xml:space="preserve">asked about </w:t>
      </w:r>
      <w:r w:rsidRPr="0013370B">
        <w:rPr>
          <w:sz w:val="24"/>
          <w:szCs w:val="24"/>
        </w:rPr>
        <w:t>add</w:t>
      </w:r>
      <w:r>
        <w:rPr>
          <w:sz w:val="24"/>
          <w:szCs w:val="24"/>
        </w:rPr>
        <w:t xml:space="preserve">ing </w:t>
      </w:r>
      <w:r w:rsidRPr="0013370B">
        <w:rPr>
          <w:sz w:val="24"/>
          <w:szCs w:val="24"/>
        </w:rPr>
        <w:t xml:space="preserve">language in the chat that would address data collection, </w:t>
      </w:r>
      <w:proofErr w:type="gramStart"/>
      <w:r w:rsidRPr="0013370B">
        <w:rPr>
          <w:sz w:val="24"/>
          <w:szCs w:val="24"/>
        </w:rPr>
        <w:t>DEI</w:t>
      </w:r>
      <w:proofErr w:type="gramEnd"/>
      <w:r w:rsidRPr="0013370B">
        <w:rPr>
          <w:sz w:val="24"/>
          <w:szCs w:val="24"/>
        </w:rPr>
        <w:t xml:space="preserve"> and inequitable impact during COVID.</w:t>
      </w:r>
      <w:r>
        <w:rPr>
          <w:sz w:val="24"/>
          <w:szCs w:val="24"/>
        </w:rPr>
        <w:t xml:space="preserve"> Ms. Kain again explained that data had not been collected during COVID as agencies were focused on the delivery of remote services during that time and issues like PPE and a gradual return to in-person services.  </w:t>
      </w:r>
    </w:p>
    <w:p w14:paraId="5DF97363" w14:textId="77777777" w:rsidR="00C746B9" w:rsidRPr="0013370B" w:rsidRDefault="00C746B9" w:rsidP="00C746B9">
      <w:pPr>
        <w:rPr>
          <w:sz w:val="24"/>
          <w:szCs w:val="24"/>
        </w:rPr>
      </w:pPr>
      <w:r>
        <w:rPr>
          <w:sz w:val="24"/>
          <w:szCs w:val="24"/>
        </w:rPr>
        <w:t xml:space="preserve">Ms. Landua asked </w:t>
      </w:r>
      <w:r w:rsidRPr="002725EE">
        <w:rPr>
          <w:rFonts w:cstheme="minorHAnsi"/>
          <w:sz w:val="24"/>
          <w:szCs w:val="24"/>
        </w:rPr>
        <w:t xml:space="preserve">about also adding something that reflects statutory requirements, </w:t>
      </w:r>
      <w:proofErr w:type="spellStart"/>
      <w:r w:rsidRPr="002725EE">
        <w:rPr>
          <w:rFonts w:cstheme="minorHAnsi"/>
          <w:sz w:val="24"/>
          <w:szCs w:val="24"/>
        </w:rPr>
        <w:t>ie</w:t>
      </w:r>
      <w:proofErr w:type="spellEnd"/>
      <w:r w:rsidRPr="002725EE">
        <w:rPr>
          <w:rFonts w:cstheme="minorHAnsi"/>
          <w:sz w:val="24"/>
          <w:szCs w:val="24"/>
        </w:rPr>
        <w:t>. The commission will use the data being collected as a baseline measure to inform potential interventions to improve access to equitable services, and the commission shall make recommendations to address identified inequities including, but not be limited to establishing periodic benchmarks, recommendations and cost estimates for a coordinated system-wide response and any recommendations for regulatory and legislative actions</w:t>
      </w:r>
      <w:r>
        <w:rPr>
          <w:rFonts w:cstheme="minorHAnsi"/>
          <w:sz w:val="24"/>
          <w:szCs w:val="24"/>
        </w:rPr>
        <w:t>.”  Ms.</w:t>
      </w:r>
      <w:r w:rsidRPr="002725EE">
        <w:rPr>
          <w:rFonts w:cstheme="minorHAnsi"/>
          <w:sz w:val="24"/>
          <w:szCs w:val="24"/>
        </w:rPr>
        <w:t xml:space="preserve"> Weinstock endorsed the language proposed by Ms. Landau and Rep. Barbar agreed with it as well.</w:t>
      </w:r>
      <w:r w:rsidRPr="0013370B">
        <w:rPr>
          <w:sz w:val="24"/>
          <w:szCs w:val="24"/>
        </w:rPr>
        <w:t xml:space="preserve">  </w:t>
      </w:r>
      <w:r>
        <w:rPr>
          <w:sz w:val="24"/>
          <w:szCs w:val="24"/>
        </w:rPr>
        <w:t xml:space="preserve">Ms. Kain said she would review Ms. Landau’s language as well as the language from Ms. Gardner and send a proposed recommendation out to members, and members would respond directly to her with their agreement or any questions or concerns. </w:t>
      </w:r>
    </w:p>
    <w:p w14:paraId="62F7A818" w14:textId="703C0BE9" w:rsidR="00F70017" w:rsidRPr="0013370B" w:rsidRDefault="00F70017" w:rsidP="004373EC">
      <w:pPr>
        <w:rPr>
          <w:b/>
          <w:bCs/>
          <w:sz w:val="24"/>
          <w:szCs w:val="24"/>
          <w:u w:val="single"/>
        </w:rPr>
      </w:pPr>
      <w:r w:rsidRPr="0013370B">
        <w:rPr>
          <w:b/>
          <w:bCs/>
          <w:sz w:val="24"/>
          <w:szCs w:val="24"/>
          <w:u w:val="single"/>
        </w:rPr>
        <w:t>Other Business</w:t>
      </w:r>
    </w:p>
    <w:p w14:paraId="097874ED" w14:textId="3F9FDACD" w:rsidR="00F70017" w:rsidRPr="0013370B" w:rsidRDefault="00F70017" w:rsidP="0013370B">
      <w:pPr>
        <w:pStyle w:val="ListParagraph"/>
        <w:numPr>
          <w:ilvl w:val="0"/>
          <w:numId w:val="4"/>
        </w:numPr>
        <w:rPr>
          <w:sz w:val="24"/>
          <w:szCs w:val="24"/>
        </w:rPr>
      </w:pPr>
      <w:r w:rsidRPr="0013370B">
        <w:rPr>
          <w:sz w:val="24"/>
          <w:szCs w:val="24"/>
        </w:rPr>
        <w:t xml:space="preserve">Ms. Weinstock discussed barriers in accessing </w:t>
      </w:r>
      <w:proofErr w:type="gramStart"/>
      <w:r w:rsidRPr="0013370B">
        <w:rPr>
          <w:sz w:val="24"/>
          <w:szCs w:val="24"/>
        </w:rPr>
        <w:t>a</w:t>
      </w:r>
      <w:proofErr w:type="gramEnd"/>
      <w:r w:rsidRPr="0013370B">
        <w:rPr>
          <w:sz w:val="24"/>
          <w:szCs w:val="24"/>
        </w:rPr>
        <w:t xml:space="preserve"> ASD diagnosis and announced there will be a summit on May 9</w:t>
      </w:r>
      <w:r w:rsidRPr="0013370B">
        <w:rPr>
          <w:sz w:val="24"/>
          <w:szCs w:val="24"/>
          <w:vertAlign w:val="superscript"/>
        </w:rPr>
        <w:t>th</w:t>
      </w:r>
      <w:r w:rsidRPr="0013370B">
        <w:rPr>
          <w:sz w:val="24"/>
          <w:szCs w:val="24"/>
        </w:rPr>
        <w:t xml:space="preserve">, in person, to brainstorm on ways to get more </w:t>
      </w:r>
      <w:r w:rsidR="0013370B" w:rsidRPr="0013370B">
        <w:rPr>
          <w:sz w:val="24"/>
          <w:szCs w:val="24"/>
        </w:rPr>
        <w:t>pediatricians</w:t>
      </w:r>
      <w:r w:rsidRPr="0013370B">
        <w:rPr>
          <w:sz w:val="24"/>
          <w:szCs w:val="24"/>
        </w:rPr>
        <w:t xml:space="preserve"> involved with </w:t>
      </w:r>
      <w:r w:rsidR="0013370B" w:rsidRPr="0013370B">
        <w:rPr>
          <w:sz w:val="24"/>
          <w:szCs w:val="24"/>
        </w:rPr>
        <w:t>diagnosing.</w:t>
      </w:r>
      <w:r w:rsidRPr="0013370B">
        <w:rPr>
          <w:sz w:val="24"/>
          <w:szCs w:val="24"/>
        </w:rPr>
        <w:t xml:space="preserve">  This will be an invite by email to a small group.  Connect with Ms. Weinstock if interested in attending.</w:t>
      </w:r>
    </w:p>
    <w:p w14:paraId="792EB9F7" w14:textId="671D232E" w:rsidR="0013370B" w:rsidRPr="0013370B" w:rsidRDefault="0013370B" w:rsidP="0013370B">
      <w:pPr>
        <w:pStyle w:val="ListParagraph"/>
        <w:numPr>
          <w:ilvl w:val="0"/>
          <w:numId w:val="4"/>
        </w:numPr>
        <w:rPr>
          <w:sz w:val="24"/>
          <w:szCs w:val="24"/>
        </w:rPr>
      </w:pPr>
      <w:r w:rsidRPr="0013370B">
        <w:rPr>
          <w:sz w:val="24"/>
          <w:szCs w:val="24"/>
        </w:rPr>
        <w:t>Ms. Gold discussed an interagency group that will increase the use of ASQ and data collection.</w:t>
      </w:r>
    </w:p>
    <w:p w14:paraId="7A8356FB" w14:textId="77777777" w:rsidR="0013370B" w:rsidRPr="0013370B" w:rsidRDefault="0013370B" w:rsidP="004373EC">
      <w:pPr>
        <w:rPr>
          <w:sz w:val="24"/>
          <w:szCs w:val="24"/>
        </w:rPr>
      </w:pPr>
    </w:p>
    <w:p w14:paraId="4DEB3EDB" w14:textId="6FE51097" w:rsidR="0013370B" w:rsidRPr="0013370B" w:rsidRDefault="0013370B" w:rsidP="004373EC">
      <w:pPr>
        <w:rPr>
          <w:sz w:val="24"/>
          <w:szCs w:val="24"/>
        </w:rPr>
      </w:pPr>
      <w:r w:rsidRPr="0013370B">
        <w:rPr>
          <w:sz w:val="24"/>
          <w:szCs w:val="24"/>
        </w:rPr>
        <w:t>Motion to adjourn the meeting.  With no further discussion, the meeting was adjourned.</w:t>
      </w:r>
    </w:p>
    <w:p w14:paraId="53211A93" w14:textId="77777777" w:rsidR="0013370B" w:rsidRPr="004373EC" w:rsidRDefault="0013370B" w:rsidP="004373EC"/>
    <w:p w14:paraId="07454215" w14:textId="77777777" w:rsidR="004373EC" w:rsidRDefault="004373EC" w:rsidP="004373EC"/>
    <w:sectPr w:rsidR="004373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C0655" w14:textId="77777777" w:rsidR="00696C38" w:rsidRDefault="00696C38" w:rsidP="002725EE">
      <w:pPr>
        <w:spacing w:after="0" w:line="240" w:lineRule="auto"/>
      </w:pPr>
      <w:r>
        <w:separator/>
      </w:r>
    </w:p>
  </w:endnote>
  <w:endnote w:type="continuationSeparator" w:id="0">
    <w:p w14:paraId="779C161D" w14:textId="77777777" w:rsidR="00696C38" w:rsidRDefault="00696C38" w:rsidP="0027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20957" w14:textId="77777777" w:rsidR="002725EE" w:rsidRDefault="0027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E783" w14:textId="77777777" w:rsidR="002725EE" w:rsidRDefault="00272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C014" w14:textId="77777777" w:rsidR="002725EE" w:rsidRDefault="0027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1FCC2" w14:textId="77777777" w:rsidR="00696C38" w:rsidRDefault="00696C38" w:rsidP="002725EE">
      <w:pPr>
        <w:spacing w:after="0" w:line="240" w:lineRule="auto"/>
      </w:pPr>
      <w:r>
        <w:separator/>
      </w:r>
    </w:p>
  </w:footnote>
  <w:footnote w:type="continuationSeparator" w:id="0">
    <w:p w14:paraId="3F1764D3" w14:textId="77777777" w:rsidR="00696C38" w:rsidRDefault="00696C38" w:rsidP="00272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0656C" w14:textId="77777777" w:rsidR="002725EE" w:rsidRDefault="0027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C33E" w14:textId="68C159A1" w:rsidR="002725EE" w:rsidRDefault="00272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A100D" w14:textId="77777777" w:rsidR="002725EE" w:rsidRDefault="00272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F1010"/>
    <w:multiLevelType w:val="hybridMultilevel"/>
    <w:tmpl w:val="BD6A24EE"/>
    <w:lvl w:ilvl="0" w:tplc="3D88E83C">
      <w:start w:val="1"/>
      <w:numFmt w:val="bullet"/>
      <w:lvlText w:val="•"/>
      <w:lvlJc w:val="left"/>
      <w:pPr>
        <w:tabs>
          <w:tab w:val="num" w:pos="360"/>
        </w:tabs>
        <w:ind w:left="360" w:hanging="360"/>
      </w:pPr>
      <w:rPr>
        <w:rFonts w:ascii="Arial" w:hAnsi="Arial" w:hint="default"/>
      </w:rPr>
    </w:lvl>
    <w:lvl w:ilvl="1" w:tplc="D5DE6420" w:tentative="1">
      <w:start w:val="1"/>
      <w:numFmt w:val="bullet"/>
      <w:lvlText w:val="•"/>
      <w:lvlJc w:val="left"/>
      <w:pPr>
        <w:tabs>
          <w:tab w:val="num" w:pos="1080"/>
        </w:tabs>
        <w:ind w:left="1080" w:hanging="360"/>
      </w:pPr>
      <w:rPr>
        <w:rFonts w:ascii="Arial" w:hAnsi="Arial" w:hint="default"/>
      </w:rPr>
    </w:lvl>
    <w:lvl w:ilvl="2" w:tplc="A126D38A" w:tentative="1">
      <w:start w:val="1"/>
      <w:numFmt w:val="bullet"/>
      <w:lvlText w:val="•"/>
      <w:lvlJc w:val="left"/>
      <w:pPr>
        <w:tabs>
          <w:tab w:val="num" w:pos="1800"/>
        </w:tabs>
        <w:ind w:left="1800" w:hanging="360"/>
      </w:pPr>
      <w:rPr>
        <w:rFonts w:ascii="Arial" w:hAnsi="Arial" w:hint="default"/>
      </w:rPr>
    </w:lvl>
    <w:lvl w:ilvl="3" w:tplc="F3F8F8AA" w:tentative="1">
      <w:start w:val="1"/>
      <w:numFmt w:val="bullet"/>
      <w:lvlText w:val="•"/>
      <w:lvlJc w:val="left"/>
      <w:pPr>
        <w:tabs>
          <w:tab w:val="num" w:pos="2520"/>
        </w:tabs>
        <w:ind w:left="2520" w:hanging="360"/>
      </w:pPr>
      <w:rPr>
        <w:rFonts w:ascii="Arial" w:hAnsi="Arial" w:hint="default"/>
      </w:rPr>
    </w:lvl>
    <w:lvl w:ilvl="4" w:tplc="54C6BD62" w:tentative="1">
      <w:start w:val="1"/>
      <w:numFmt w:val="bullet"/>
      <w:lvlText w:val="•"/>
      <w:lvlJc w:val="left"/>
      <w:pPr>
        <w:tabs>
          <w:tab w:val="num" w:pos="3240"/>
        </w:tabs>
        <w:ind w:left="3240" w:hanging="360"/>
      </w:pPr>
      <w:rPr>
        <w:rFonts w:ascii="Arial" w:hAnsi="Arial" w:hint="default"/>
      </w:rPr>
    </w:lvl>
    <w:lvl w:ilvl="5" w:tplc="F7D69426" w:tentative="1">
      <w:start w:val="1"/>
      <w:numFmt w:val="bullet"/>
      <w:lvlText w:val="•"/>
      <w:lvlJc w:val="left"/>
      <w:pPr>
        <w:tabs>
          <w:tab w:val="num" w:pos="3960"/>
        </w:tabs>
        <w:ind w:left="3960" w:hanging="360"/>
      </w:pPr>
      <w:rPr>
        <w:rFonts w:ascii="Arial" w:hAnsi="Arial" w:hint="default"/>
      </w:rPr>
    </w:lvl>
    <w:lvl w:ilvl="6" w:tplc="0BD080CA" w:tentative="1">
      <w:start w:val="1"/>
      <w:numFmt w:val="bullet"/>
      <w:lvlText w:val="•"/>
      <w:lvlJc w:val="left"/>
      <w:pPr>
        <w:tabs>
          <w:tab w:val="num" w:pos="4680"/>
        </w:tabs>
        <w:ind w:left="4680" w:hanging="360"/>
      </w:pPr>
      <w:rPr>
        <w:rFonts w:ascii="Arial" w:hAnsi="Arial" w:hint="default"/>
      </w:rPr>
    </w:lvl>
    <w:lvl w:ilvl="7" w:tplc="3A844BAC" w:tentative="1">
      <w:start w:val="1"/>
      <w:numFmt w:val="bullet"/>
      <w:lvlText w:val="•"/>
      <w:lvlJc w:val="left"/>
      <w:pPr>
        <w:tabs>
          <w:tab w:val="num" w:pos="5400"/>
        </w:tabs>
        <w:ind w:left="5400" w:hanging="360"/>
      </w:pPr>
      <w:rPr>
        <w:rFonts w:ascii="Arial" w:hAnsi="Arial" w:hint="default"/>
      </w:rPr>
    </w:lvl>
    <w:lvl w:ilvl="8" w:tplc="83D0224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4A11242B"/>
    <w:multiLevelType w:val="hybridMultilevel"/>
    <w:tmpl w:val="91E4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443E"/>
    <w:multiLevelType w:val="hybridMultilevel"/>
    <w:tmpl w:val="875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B27E6"/>
    <w:multiLevelType w:val="hybridMultilevel"/>
    <w:tmpl w:val="6FFE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42459">
    <w:abstractNumId w:val="2"/>
  </w:num>
  <w:num w:numId="2" w16cid:durableId="926235890">
    <w:abstractNumId w:val="0"/>
  </w:num>
  <w:num w:numId="3" w16cid:durableId="325330774">
    <w:abstractNumId w:val="1"/>
  </w:num>
  <w:num w:numId="4" w16cid:durableId="509372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DB"/>
    <w:rsid w:val="000B3D6B"/>
    <w:rsid w:val="000E44B8"/>
    <w:rsid w:val="0013370B"/>
    <w:rsid w:val="0015732D"/>
    <w:rsid w:val="00173A7B"/>
    <w:rsid w:val="00180688"/>
    <w:rsid w:val="00186C6C"/>
    <w:rsid w:val="001B1625"/>
    <w:rsid w:val="001F5D6B"/>
    <w:rsid w:val="00245E9E"/>
    <w:rsid w:val="002725EE"/>
    <w:rsid w:val="00303238"/>
    <w:rsid w:val="00380C3D"/>
    <w:rsid w:val="00386D08"/>
    <w:rsid w:val="004373EC"/>
    <w:rsid w:val="004E3117"/>
    <w:rsid w:val="00535F9D"/>
    <w:rsid w:val="0058297B"/>
    <w:rsid w:val="00696C38"/>
    <w:rsid w:val="006E0C0B"/>
    <w:rsid w:val="0075701B"/>
    <w:rsid w:val="007A28DB"/>
    <w:rsid w:val="007B2E59"/>
    <w:rsid w:val="00836E9D"/>
    <w:rsid w:val="008C13E5"/>
    <w:rsid w:val="009446D9"/>
    <w:rsid w:val="00976CC2"/>
    <w:rsid w:val="00990320"/>
    <w:rsid w:val="00AD7026"/>
    <w:rsid w:val="00AE15D7"/>
    <w:rsid w:val="00AF4FDA"/>
    <w:rsid w:val="00C710BA"/>
    <w:rsid w:val="00C746B9"/>
    <w:rsid w:val="00D7033C"/>
    <w:rsid w:val="00E7030E"/>
    <w:rsid w:val="00E829B9"/>
    <w:rsid w:val="00F65079"/>
    <w:rsid w:val="00F70017"/>
    <w:rsid w:val="00F9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DFE2"/>
  <w15:chartTrackingRefBased/>
  <w15:docId w15:val="{3CE50A39-23BC-4F6B-80CD-A322318C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8D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E9E"/>
    <w:pPr>
      <w:ind w:left="720"/>
      <w:contextualSpacing/>
    </w:pPr>
  </w:style>
  <w:style w:type="paragraph" w:styleId="Header">
    <w:name w:val="header"/>
    <w:basedOn w:val="Normal"/>
    <w:link w:val="HeaderChar"/>
    <w:uiPriority w:val="99"/>
    <w:unhideWhenUsed/>
    <w:rsid w:val="00272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5EE"/>
    <w:rPr>
      <w:kern w:val="0"/>
      <w14:ligatures w14:val="none"/>
    </w:rPr>
  </w:style>
  <w:style w:type="paragraph" w:styleId="Footer">
    <w:name w:val="footer"/>
    <w:basedOn w:val="Normal"/>
    <w:link w:val="FooterChar"/>
    <w:uiPriority w:val="99"/>
    <w:unhideWhenUsed/>
    <w:rsid w:val="00272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5E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880149">
      <w:bodyDiv w:val="1"/>
      <w:marLeft w:val="0"/>
      <w:marRight w:val="0"/>
      <w:marTop w:val="0"/>
      <w:marBottom w:val="0"/>
      <w:divBdr>
        <w:top w:val="none" w:sz="0" w:space="0" w:color="auto"/>
        <w:left w:val="none" w:sz="0" w:space="0" w:color="auto"/>
        <w:bottom w:val="none" w:sz="0" w:space="0" w:color="auto"/>
        <w:right w:val="none" w:sz="0" w:space="0" w:color="auto"/>
      </w:divBdr>
    </w:div>
    <w:div w:id="1555238753">
      <w:bodyDiv w:val="1"/>
      <w:marLeft w:val="0"/>
      <w:marRight w:val="0"/>
      <w:marTop w:val="0"/>
      <w:marBottom w:val="0"/>
      <w:divBdr>
        <w:top w:val="none" w:sz="0" w:space="0" w:color="auto"/>
        <w:left w:val="none" w:sz="0" w:space="0" w:color="auto"/>
        <w:bottom w:val="none" w:sz="0" w:space="0" w:color="auto"/>
        <w:right w:val="none" w:sz="0" w:space="0" w:color="auto"/>
      </w:divBdr>
    </w:div>
    <w:div w:id="1786071688">
      <w:bodyDiv w:val="1"/>
      <w:marLeft w:val="0"/>
      <w:marRight w:val="0"/>
      <w:marTop w:val="0"/>
      <w:marBottom w:val="0"/>
      <w:divBdr>
        <w:top w:val="none" w:sz="0" w:space="0" w:color="auto"/>
        <w:left w:val="none" w:sz="0" w:space="0" w:color="auto"/>
        <w:bottom w:val="none" w:sz="0" w:space="0" w:color="auto"/>
        <w:right w:val="none" w:sz="0" w:space="0" w:color="auto"/>
      </w:divBdr>
      <w:divsChild>
        <w:div w:id="547375362">
          <w:marLeft w:val="446"/>
          <w:marRight w:val="0"/>
          <w:marTop w:val="0"/>
          <w:marBottom w:val="200"/>
          <w:divBdr>
            <w:top w:val="none" w:sz="0" w:space="0" w:color="auto"/>
            <w:left w:val="none" w:sz="0" w:space="0" w:color="auto"/>
            <w:bottom w:val="none" w:sz="0" w:space="0" w:color="auto"/>
            <w:right w:val="none" w:sz="0" w:space="0" w:color="auto"/>
          </w:divBdr>
        </w:div>
      </w:divsChild>
    </w:div>
    <w:div w:id="18553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1265</Words>
  <Characters>7212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2024-05-17T14:05:00Z</dcterms:created>
  <dcterms:modified xsi:type="dcterms:W3CDTF">2024-05-17T14:05:00Z</dcterms:modified>
</cp:coreProperties>
</file>