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A9A9B" w14:textId="77777777" w:rsidR="00B2305D" w:rsidRPr="00B2305D" w:rsidRDefault="00B2305D" w:rsidP="00B2305D">
      <w:pPr>
        <w:spacing w:before="100" w:beforeAutospacing="1" w:after="480"/>
        <w:ind w:left="-1584"/>
      </w:pPr>
      <w:r w:rsidRPr="00B2305D">
        <w:rPr>
          <w:noProof/>
        </w:rPr>
        <w:drawing>
          <wp:anchor distT="0" distB="0" distL="114300" distR="114300" simplePos="0" relativeHeight="251659264" behindDoc="1" locked="0" layoutInCell="1" allowOverlap="1" wp14:anchorId="518889FF" wp14:editId="7E22DF23">
            <wp:simplePos x="0" y="0"/>
            <wp:positionH relativeFrom="column">
              <wp:posOffset>-793115</wp:posOffset>
            </wp:positionH>
            <wp:positionV relativeFrom="paragraph">
              <wp:posOffset>-539750</wp:posOffset>
            </wp:positionV>
            <wp:extent cx="7566660" cy="9792335"/>
            <wp:effectExtent l="514350" t="438150" r="796290" b="79946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_repor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660" cy="9792335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solidFill>
                        <a:sysClr val="window" lastClr="FFFFFF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.</w:t>
      </w:r>
      <w:r w:rsidRPr="00B2305D">
        <w:rPr>
          <w:noProof/>
        </w:rPr>
        <w:t xml:space="preserve"> </w:t>
      </w:r>
    </w:p>
    <w:p w14:paraId="6BC9E6E7" w14:textId="77777777" w:rsidR="00B2305D" w:rsidRPr="00B2305D" w:rsidRDefault="00B2305D" w:rsidP="00B2305D">
      <w:pPr>
        <w:spacing w:before="100" w:beforeAutospacing="1" w:after="480"/>
        <w:ind w:left="-1584"/>
      </w:pPr>
    </w:p>
    <w:p w14:paraId="3BAC1E69" w14:textId="77777777" w:rsidR="00B2305D" w:rsidRPr="00B2305D" w:rsidRDefault="00B2305D" w:rsidP="00B2305D">
      <w:pPr>
        <w:spacing w:before="100" w:beforeAutospacing="1" w:after="480"/>
        <w:ind w:left="-1584"/>
      </w:pPr>
    </w:p>
    <w:p w14:paraId="55176A99" w14:textId="77777777" w:rsidR="00B2305D" w:rsidRPr="00B2305D" w:rsidRDefault="00B2305D" w:rsidP="00B2305D">
      <w:pPr>
        <w:spacing w:before="100" w:beforeAutospacing="1" w:after="480"/>
        <w:ind w:left="-1584"/>
      </w:pPr>
    </w:p>
    <w:p w14:paraId="7E616238" w14:textId="77777777" w:rsidR="00B2305D" w:rsidRPr="00B2305D" w:rsidRDefault="00B2305D" w:rsidP="00B2305D">
      <w:pPr>
        <w:tabs>
          <w:tab w:val="left" w:pos="2913"/>
        </w:tabs>
        <w:spacing w:before="100" w:beforeAutospacing="1" w:after="480"/>
        <w:ind w:left="-1584"/>
      </w:pPr>
      <w:r w:rsidRPr="00B2305D">
        <w:tab/>
      </w:r>
    </w:p>
    <w:p w14:paraId="7901FB19" w14:textId="77777777" w:rsidR="00B2305D" w:rsidRPr="00B2305D" w:rsidRDefault="00B2305D" w:rsidP="00B2305D">
      <w:pPr>
        <w:spacing w:before="100" w:beforeAutospacing="1" w:after="480"/>
        <w:ind w:left="-1584"/>
      </w:pPr>
      <w:r w:rsidRPr="00B2305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D74A50" wp14:editId="504A97A2">
                <wp:simplePos x="0" y="0"/>
                <wp:positionH relativeFrom="column">
                  <wp:posOffset>38100</wp:posOffset>
                </wp:positionH>
                <wp:positionV relativeFrom="paragraph">
                  <wp:posOffset>287020</wp:posOffset>
                </wp:positionV>
                <wp:extent cx="5791200" cy="3046095"/>
                <wp:effectExtent l="0" t="0" r="0" b="19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304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13615" w14:textId="20CA5784" w:rsidR="000C5DA0" w:rsidRPr="000C5DA0" w:rsidRDefault="000C5DA0" w:rsidP="000C5DA0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line="800" w:lineRule="exact"/>
                              <w:jc w:val="center"/>
                              <w:rPr>
                                <w:rFonts w:ascii="Adobe garamo" w:eastAsia="Times New Roman" w:hAnsi="Adobe garamo" w:cs="Times New Roman"/>
                                <w:b/>
                                <w:color w:val="000000"/>
                                <w:sz w:val="52"/>
                                <w:szCs w:val="52"/>
                                <w:u w:color="000000"/>
                                <w:bdr w:val="nil"/>
                              </w:rPr>
                            </w:pPr>
                            <w:r w:rsidRPr="000C5DA0">
                              <w:rPr>
                                <w:rFonts w:ascii="Adobe garamo" w:eastAsia="Times New Roman" w:hAnsi="Adobe garamo" w:cs="Times New Roman"/>
                                <w:b/>
                                <w:color w:val="000000"/>
                                <w:sz w:val="52"/>
                                <w:szCs w:val="52"/>
                                <w:u w:color="000000"/>
                                <w:bdr w:val="nil"/>
                              </w:rPr>
                              <w:t>FY</w:t>
                            </w:r>
                            <w:r w:rsidR="00D35F6A">
                              <w:rPr>
                                <w:rFonts w:ascii="Adobe garamo" w:eastAsia="Times New Roman" w:hAnsi="Adobe garamo" w:cs="Times New Roman"/>
                                <w:b/>
                                <w:color w:val="000000"/>
                                <w:sz w:val="52"/>
                                <w:szCs w:val="52"/>
                                <w:u w:color="000000"/>
                                <w:bdr w:val="nil"/>
                              </w:rPr>
                              <w:t>2</w:t>
                            </w:r>
                            <w:r w:rsidR="00A31A54">
                              <w:rPr>
                                <w:rFonts w:ascii="Adobe garamo" w:eastAsia="Times New Roman" w:hAnsi="Adobe garamo" w:cs="Times New Roman"/>
                                <w:b/>
                                <w:color w:val="000000"/>
                                <w:sz w:val="52"/>
                                <w:szCs w:val="52"/>
                                <w:u w:color="000000"/>
                                <w:bdr w:val="nil"/>
                              </w:rPr>
                              <w:t>1</w:t>
                            </w:r>
                            <w:r w:rsidRPr="000C5DA0">
                              <w:rPr>
                                <w:rFonts w:ascii="Adobe garamo" w:eastAsia="Times New Roman" w:hAnsi="Adobe garamo" w:cs="Times New Roman"/>
                                <w:b/>
                                <w:color w:val="000000"/>
                                <w:sz w:val="52"/>
                                <w:szCs w:val="52"/>
                                <w:u w:color="000000"/>
                                <w:bdr w:val="nil"/>
                              </w:rPr>
                              <w:t xml:space="preserve"> Quarter </w:t>
                            </w:r>
                            <w:r w:rsidR="00915780">
                              <w:rPr>
                                <w:rFonts w:ascii="Adobe garamo" w:eastAsia="Times New Roman" w:hAnsi="Adobe garamo" w:cs="Times New Roman"/>
                                <w:b/>
                                <w:color w:val="000000"/>
                                <w:sz w:val="52"/>
                                <w:szCs w:val="52"/>
                                <w:u w:color="000000"/>
                                <w:bdr w:val="nil"/>
                              </w:rPr>
                              <w:t>1-</w:t>
                            </w:r>
                            <w:r w:rsidR="00A774A5">
                              <w:rPr>
                                <w:rFonts w:ascii="Adobe garamo" w:eastAsia="Times New Roman" w:hAnsi="Adobe garamo" w:cs="Times New Roman"/>
                                <w:b/>
                                <w:color w:val="000000"/>
                                <w:sz w:val="52"/>
                                <w:szCs w:val="52"/>
                                <w:u w:color="000000"/>
                                <w:bdr w:val="nil"/>
                              </w:rPr>
                              <w:t>4</w:t>
                            </w:r>
                            <w:r w:rsidRPr="000C5DA0">
                              <w:rPr>
                                <w:rFonts w:ascii="Adobe garamo" w:eastAsia="Times New Roman" w:hAnsi="Adobe garamo" w:cs="Times New Roman"/>
                                <w:b/>
                                <w:color w:val="000000"/>
                                <w:sz w:val="52"/>
                                <w:szCs w:val="52"/>
                                <w:u w:color="000000"/>
                                <w:bdr w:val="nil"/>
                              </w:rPr>
                              <w:t xml:space="preserve"> Report </w:t>
                            </w:r>
                            <w:r w:rsidR="000F57BB" w:rsidRPr="000C5DA0">
                              <w:rPr>
                                <w:rFonts w:ascii="Adobe garamo" w:eastAsia="Times New Roman" w:hAnsi="Adobe garamo" w:cs="Times New Roman"/>
                                <w:b/>
                                <w:color w:val="000000"/>
                                <w:sz w:val="52"/>
                                <w:szCs w:val="52"/>
                                <w:u w:color="000000"/>
                                <w:bdr w:val="nil"/>
                              </w:rPr>
                              <w:t>on</w:t>
                            </w:r>
                            <w:r w:rsidRPr="000C5DA0">
                              <w:rPr>
                                <w:rFonts w:ascii="Adobe garamo" w:eastAsia="Times New Roman" w:hAnsi="Adobe garamo" w:cs="Times New Roman"/>
                                <w:b/>
                                <w:color w:val="000000"/>
                                <w:sz w:val="52"/>
                                <w:szCs w:val="52"/>
                                <w:u w:color="000000"/>
                                <w:bdr w:val="nil"/>
                              </w:rPr>
                              <w:t xml:space="preserve">  DDS Services for Individuals with Autism, Smith-Magenis Syndrome, and Prader-Willi Syndrome</w:t>
                            </w:r>
                          </w:p>
                          <w:p w14:paraId="7724AC73" w14:textId="77777777" w:rsidR="00B2305D" w:rsidRPr="00E02475" w:rsidRDefault="00B2305D" w:rsidP="00B2305D">
                            <w:pPr>
                              <w:tabs>
                                <w:tab w:val="left" w:pos="2076"/>
                              </w:tabs>
                              <w:spacing w:line="1080" w:lineRule="exact"/>
                              <w:jc w:val="center"/>
                              <w:rPr>
                                <w:rFonts w:ascii="Adobe Garamond Pro Bold" w:hAnsi="Adobe Garamond Pro Bold" w:cs="Times New Roman"/>
                                <w:b/>
                                <w:color w:val="043064"/>
                                <w:sz w:val="72"/>
                                <w:szCs w:val="72"/>
                              </w:rPr>
                            </w:pPr>
                          </w:p>
                          <w:p w14:paraId="54F8BC66" w14:textId="77777777" w:rsidR="00B2305D" w:rsidRDefault="00B2305D" w:rsidP="00B2305D">
                            <w:pPr>
                              <w:spacing w:line="80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74A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pt;margin-top:22.6pt;width:456pt;height:23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" stroked="f">
                <v:textbox>
                  <w:txbxContent>
                    <w:p w14:paraId="4A213615" w14:textId="20CA5784" w:rsidR="000C5DA0" w:rsidRPr="000C5DA0" w:rsidRDefault="000C5DA0" w:rsidP="000C5DA0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line="800" w:lineRule="exact"/>
                        <w:jc w:val="center"/>
                        <w:rPr>
                          <w:rFonts w:ascii="Adobe garamo" w:eastAsia="Times New Roman" w:hAnsi="Adobe garamo" w:cs="Times New Roman"/>
                          <w:b/>
                          <w:color w:val="000000"/>
                          <w:sz w:val="52"/>
                          <w:szCs w:val="52"/>
                          <w:u w:color="000000"/>
                          <w:bdr w:val="nil"/>
                        </w:rPr>
                      </w:pPr>
                      <w:r w:rsidRPr="000C5DA0">
                        <w:rPr>
                          <w:rFonts w:ascii="Adobe garamo" w:eastAsia="Times New Roman" w:hAnsi="Adobe garamo" w:cs="Times New Roman"/>
                          <w:b/>
                          <w:color w:val="000000"/>
                          <w:sz w:val="52"/>
                          <w:szCs w:val="52"/>
                          <w:u w:color="000000"/>
                          <w:bdr w:val="nil"/>
                        </w:rPr>
                        <w:t>FY</w:t>
                      </w:r>
                      <w:r w:rsidR="00D35F6A">
                        <w:rPr>
                          <w:rFonts w:ascii="Adobe garamo" w:eastAsia="Times New Roman" w:hAnsi="Adobe garamo" w:cs="Times New Roman"/>
                          <w:b/>
                          <w:color w:val="000000"/>
                          <w:sz w:val="52"/>
                          <w:szCs w:val="52"/>
                          <w:u w:color="000000"/>
                          <w:bdr w:val="nil"/>
                        </w:rPr>
                        <w:t>2</w:t>
                      </w:r>
                      <w:r w:rsidR="00A31A54">
                        <w:rPr>
                          <w:rFonts w:ascii="Adobe garamo" w:eastAsia="Times New Roman" w:hAnsi="Adobe garamo" w:cs="Times New Roman"/>
                          <w:b/>
                          <w:color w:val="000000"/>
                          <w:sz w:val="52"/>
                          <w:szCs w:val="52"/>
                          <w:u w:color="000000"/>
                          <w:bdr w:val="nil"/>
                        </w:rPr>
                        <w:t>1</w:t>
                      </w:r>
                      <w:r w:rsidRPr="000C5DA0">
                        <w:rPr>
                          <w:rFonts w:ascii="Adobe garamo" w:eastAsia="Times New Roman" w:hAnsi="Adobe garamo" w:cs="Times New Roman"/>
                          <w:b/>
                          <w:color w:val="000000"/>
                          <w:sz w:val="52"/>
                          <w:szCs w:val="52"/>
                          <w:u w:color="000000"/>
                          <w:bdr w:val="nil"/>
                        </w:rPr>
                        <w:t xml:space="preserve"> Quarter </w:t>
                      </w:r>
                      <w:r w:rsidR="00915780">
                        <w:rPr>
                          <w:rFonts w:ascii="Adobe garamo" w:eastAsia="Times New Roman" w:hAnsi="Adobe garamo" w:cs="Times New Roman"/>
                          <w:b/>
                          <w:color w:val="000000"/>
                          <w:sz w:val="52"/>
                          <w:szCs w:val="52"/>
                          <w:u w:color="000000"/>
                          <w:bdr w:val="nil"/>
                        </w:rPr>
                        <w:t>1-</w:t>
                      </w:r>
                      <w:r w:rsidR="00A774A5">
                        <w:rPr>
                          <w:rFonts w:ascii="Adobe garamo" w:eastAsia="Times New Roman" w:hAnsi="Adobe garamo" w:cs="Times New Roman"/>
                          <w:b/>
                          <w:color w:val="000000"/>
                          <w:sz w:val="52"/>
                          <w:szCs w:val="52"/>
                          <w:u w:color="000000"/>
                          <w:bdr w:val="nil"/>
                        </w:rPr>
                        <w:t>4</w:t>
                      </w:r>
                      <w:r w:rsidRPr="000C5DA0">
                        <w:rPr>
                          <w:rFonts w:ascii="Adobe garamo" w:eastAsia="Times New Roman" w:hAnsi="Adobe garamo" w:cs="Times New Roman"/>
                          <w:b/>
                          <w:color w:val="000000"/>
                          <w:sz w:val="52"/>
                          <w:szCs w:val="52"/>
                          <w:u w:color="000000"/>
                          <w:bdr w:val="nil"/>
                        </w:rPr>
                        <w:t xml:space="preserve"> Report </w:t>
                      </w:r>
                      <w:r w:rsidR="000F57BB" w:rsidRPr="000C5DA0">
                        <w:rPr>
                          <w:rFonts w:ascii="Adobe garamo" w:eastAsia="Times New Roman" w:hAnsi="Adobe garamo" w:cs="Times New Roman"/>
                          <w:b/>
                          <w:color w:val="000000"/>
                          <w:sz w:val="52"/>
                          <w:szCs w:val="52"/>
                          <w:u w:color="000000"/>
                          <w:bdr w:val="nil"/>
                        </w:rPr>
                        <w:t>on</w:t>
                      </w:r>
                      <w:r w:rsidRPr="000C5DA0">
                        <w:rPr>
                          <w:rFonts w:ascii="Adobe garamo" w:eastAsia="Times New Roman" w:hAnsi="Adobe garamo" w:cs="Times New Roman"/>
                          <w:b/>
                          <w:color w:val="000000"/>
                          <w:sz w:val="52"/>
                          <w:szCs w:val="52"/>
                          <w:u w:color="000000"/>
                          <w:bdr w:val="nil"/>
                        </w:rPr>
                        <w:t xml:space="preserve">  DDS Services for Individuals with Autism, Smith-Magenis Syndrome, and Prader-Willi Syndrome</w:t>
                      </w:r>
                    </w:p>
                    <w:p w14:paraId="7724AC73" w14:textId="77777777" w:rsidR="00B2305D" w:rsidRPr="00E02475" w:rsidRDefault="00B2305D" w:rsidP="00B2305D">
                      <w:pPr>
                        <w:tabs>
                          <w:tab w:val="left" w:pos="2076"/>
                        </w:tabs>
                        <w:spacing w:line="1080" w:lineRule="exact"/>
                        <w:jc w:val="center"/>
                        <w:rPr>
                          <w:rFonts w:ascii="Adobe Garamond Pro Bold" w:hAnsi="Adobe Garamond Pro Bold" w:cs="Times New Roman"/>
                          <w:b/>
                          <w:color w:val="043064"/>
                          <w:sz w:val="72"/>
                          <w:szCs w:val="72"/>
                        </w:rPr>
                      </w:pPr>
                    </w:p>
                    <w:p w14:paraId="54F8BC66" w14:textId="77777777" w:rsidR="00B2305D" w:rsidRDefault="00B2305D" w:rsidP="00B2305D">
                      <w:pPr>
                        <w:spacing w:line="800" w:lineRule="exact"/>
                      </w:pPr>
                    </w:p>
                  </w:txbxContent>
                </v:textbox>
              </v:shape>
            </w:pict>
          </mc:Fallback>
        </mc:AlternateContent>
      </w:r>
    </w:p>
    <w:p w14:paraId="5C0AD88E" w14:textId="77777777" w:rsidR="00B2305D" w:rsidRPr="00B2305D" w:rsidRDefault="00B2305D" w:rsidP="00B2305D">
      <w:pPr>
        <w:spacing w:before="100" w:beforeAutospacing="1" w:after="480"/>
        <w:ind w:left="-1584"/>
      </w:pPr>
    </w:p>
    <w:p w14:paraId="27229DC6" w14:textId="77777777" w:rsidR="00B2305D" w:rsidRPr="00B2305D" w:rsidRDefault="00B2305D" w:rsidP="00B2305D">
      <w:pPr>
        <w:tabs>
          <w:tab w:val="left" w:pos="3433"/>
        </w:tabs>
        <w:spacing w:before="100" w:beforeAutospacing="1" w:after="480"/>
        <w:ind w:left="-1584"/>
      </w:pPr>
    </w:p>
    <w:p w14:paraId="760B74C4" w14:textId="77777777" w:rsidR="00B2305D" w:rsidRPr="00B2305D" w:rsidRDefault="00B2305D" w:rsidP="00B2305D">
      <w:pPr>
        <w:spacing w:before="100" w:beforeAutospacing="1" w:after="480"/>
        <w:ind w:left="-1584"/>
      </w:pPr>
    </w:p>
    <w:p w14:paraId="308B7A1E" w14:textId="77777777" w:rsidR="00B2305D" w:rsidRPr="00B2305D" w:rsidRDefault="00B2305D" w:rsidP="00B2305D">
      <w:pPr>
        <w:spacing w:before="100" w:beforeAutospacing="1" w:after="480"/>
        <w:ind w:left="-1584"/>
      </w:pPr>
    </w:p>
    <w:p w14:paraId="71D88E90" w14:textId="77777777" w:rsidR="00B2305D" w:rsidRPr="00B2305D" w:rsidRDefault="00B2305D" w:rsidP="00B2305D">
      <w:pPr>
        <w:spacing w:after="200"/>
      </w:pPr>
      <w:r w:rsidRPr="00B2305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A80102" wp14:editId="403B9DCA">
                <wp:simplePos x="0" y="0"/>
                <wp:positionH relativeFrom="column">
                  <wp:posOffset>1797768</wp:posOffset>
                </wp:positionH>
                <wp:positionV relativeFrom="paragraph">
                  <wp:posOffset>2272665</wp:posOffset>
                </wp:positionV>
                <wp:extent cx="2481580" cy="967105"/>
                <wp:effectExtent l="0" t="0" r="0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1580" cy="967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E9988" w14:textId="082532FD" w:rsidR="00433B53" w:rsidRDefault="00A774A5" w:rsidP="00B2305D">
                            <w:pPr>
                              <w:jc w:val="center"/>
                              <w:rPr>
                                <w:rFonts w:ascii="Adobe Garamond Pro Bold" w:hAnsi="Adobe Garamond Pro Bold" w:cs="Times New Roman"/>
                                <w:b/>
                                <w:color w:val="04306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dobe Garamond Pro Bold" w:hAnsi="Adobe Garamond Pro Bold" w:cs="Times New Roman"/>
                                <w:b/>
                                <w:color w:val="043064"/>
                                <w:sz w:val="48"/>
                                <w:szCs w:val="48"/>
                              </w:rPr>
                              <w:t>November</w:t>
                            </w:r>
                          </w:p>
                          <w:p w14:paraId="4276773D" w14:textId="750B7987" w:rsidR="00B2305D" w:rsidRPr="00E02475" w:rsidRDefault="00D35F6A" w:rsidP="00B2305D">
                            <w:pPr>
                              <w:jc w:val="center"/>
                              <w:rPr>
                                <w:rFonts w:ascii="Adobe Garamond Pro Bold" w:hAnsi="Adobe Garamond Pro Bol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dobe Garamond Pro Bold" w:hAnsi="Adobe Garamond Pro Bold" w:cs="Times New Roman"/>
                                <w:b/>
                                <w:color w:val="043064"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0E17F1">
                              <w:rPr>
                                <w:rFonts w:ascii="Adobe Garamond Pro Bold" w:hAnsi="Adobe Garamond Pro Bold" w:cs="Times New Roman"/>
                                <w:b/>
                                <w:color w:val="043064"/>
                                <w:sz w:val="48"/>
                                <w:szCs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80102" id="_x0000_s1027" type="#_x0000_t202" style="position:absolute;margin-left:141.55pt;margin-top:178.95pt;width:195.4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" stroked="f">
                <v:textbox>
                  <w:txbxContent>
                    <w:p w14:paraId="6CDE9988" w14:textId="082532FD" w:rsidR="00433B53" w:rsidRDefault="00A774A5" w:rsidP="00B2305D">
                      <w:pPr>
                        <w:jc w:val="center"/>
                        <w:rPr>
                          <w:rFonts w:ascii="Adobe Garamond Pro Bold" w:hAnsi="Adobe Garamond Pro Bold" w:cs="Times New Roman"/>
                          <w:b/>
                          <w:color w:val="043064"/>
                          <w:sz w:val="48"/>
                          <w:szCs w:val="48"/>
                        </w:rPr>
                      </w:pPr>
                      <w:r>
                        <w:rPr>
                          <w:rFonts w:ascii="Adobe Garamond Pro Bold" w:hAnsi="Adobe Garamond Pro Bold" w:cs="Times New Roman"/>
                          <w:b/>
                          <w:color w:val="043064"/>
                          <w:sz w:val="48"/>
                          <w:szCs w:val="48"/>
                        </w:rPr>
                        <w:t>November</w:t>
                      </w:r>
                    </w:p>
                    <w:p w14:paraId="4276773D" w14:textId="750B7987" w:rsidR="00B2305D" w:rsidRPr="00E02475" w:rsidRDefault="00D35F6A" w:rsidP="00B2305D">
                      <w:pPr>
                        <w:jc w:val="center"/>
                        <w:rPr>
                          <w:rFonts w:ascii="Adobe Garamond Pro Bold" w:hAnsi="Adobe Garamond Pro Bold"/>
                          <w:sz w:val="48"/>
                          <w:szCs w:val="48"/>
                        </w:rPr>
                      </w:pPr>
                      <w:r>
                        <w:rPr>
                          <w:rFonts w:ascii="Adobe Garamond Pro Bold" w:hAnsi="Adobe Garamond Pro Bold" w:cs="Times New Roman"/>
                          <w:b/>
                          <w:color w:val="043064"/>
                          <w:sz w:val="48"/>
                          <w:szCs w:val="48"/>
                        </w:rPr>
                        <w:t xml:space="preserve"> 202</w:t>
                      </w:r>
                      <w:r w:rsidR="000E17F1">
                        <w:rPr>
                          <w:rFonts w:ascii="Adobe Garamond Pro Bold" w:hAnsi="Adobe Garamond Pro Bold" w:cs="Times New Roman"/>
                          <w:b/>
                          <w:color w:val="043064"/>
                          <w:sz w:val="48"/>
                          <w:szCs w:val="4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BE216F6" w14:textId="77777777" w:rsidR="00B741D2" w:rsidRDefault="00B741D2"/>
    <w:p w14:paraId="4B979D87" w14:textId="77777777" w:rsidR="00B2305D" w:rsidRDefault="00B2305D"/>
    <w:p w14:paraId="12832CCC" w14:textId="77777777" w:rsidR="00B2305D" w:rsidRDefault="00B2305D"/>
    <w:p w14:paraId="4D5A3F09" w14:textId="77777777" w:rsidR="00B2305D" w:rsidRDefault="00B2305D"/>
    <w:p w14:paraId="1A312D90" w14:textId="77777777" w:rsidR="00B2305D" w:rsidRDefault="00B2305D"/>
    <w:p w14:paraId="6BADB95D" w14:textId="77777777" w:rsidR="00B2305D" w:rsidRDefault="00B2305D"/>
    <w:p w14:paraId="02AD0CA4" w14:textId="77777777" w:rsidR="00B2305D" w:rsidRDefault="00B2305D"/>
    <w:p w14:paraId="43CA99C3" w14:textId="77777777" w:rsidR="00B2305D" w:rsidRDefault="00B2305D"/>
    <w:p w14:paraId="4E79B1CC" w14:textId="77777777" w:rsidR="00B2305D" w:rsidRDefault="00B2305D"/>
    <w:p w14:paraId="2DA6B56E" w14:textId="77777777" w:rsidR="00B2305D" w:rsidRDefault="00B2305D"/>
    <w:p w14:paraId="6F8AFA06" w14:textId="77777777" w:rsidR="00B2305D" w:rsidRDefault="00B2305D"/>
    <w:p w14:paraId="41A6B9CE" w14:textId="77777777" w:rsidR="00B2305D" w:rsidRDefault="00B2305D"/>
    <w:p w14:paraId="3432F6F8" w14:textId="77777777" w:rsidR="00B2305D" w:rsidRDefault="00B2305D"/>
    <w:p w14:paraId="2239477C" w14:textId="77777777" w:rsidR="00B2305D" w:rsidRDefault="00B2305D"/>
    <w:p w14:paraId="0A782D27" w14:textId="77777777" w:rsidR="00B2305D" w:rsidRDefault="00B2305D"/>
    <w:p w14:paraId="3F68E11F" w14:textId="77777777" w:rsidR="00B2305D" w:rsidRDefault="00B2305D"/>
    <w:p w14:paraId="359145B1" w14:textId="77777777" w:rsidR="00B2305D" w:rsidRDefault="00B2305D"/>
    <w:p w14:paraId="212B7291" w14:textId="77777777" w:rsidR="002019B7" w:rsidRDefault="002019B7" w:rsidP="000C5DA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Arial" w:eastAsia="Arial" w:hAnsi="Arial" w:cs="Arial"/>
          <w:color w:val="000000"/>
          <w:sz w:val="26"/>
          <w:szCs w:val="26"/>
          <w:u w:color="000000"/>
          <w:bdr w:val="nil"/>
        </w:rPr>
      </w:pPr>
    </w:p>
    <w:p w14:paraId="1AD6E14C" w14:textId="77777777" w:rsidR="002019B7" w:rsidRDefault="002019B7" w:rsidP="000C5DA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Arial" w:eastAsia="Arial" w:hAnsi="Arial" w:cs="Arial"/>
          <w:color w:val="000000"/>
          <w:sz w:val="26"/>
          <w:szCs w:val="26"/>
          <w:u w:color="000000"/>
          <w:bdr w:val="nil"/>
        </w:rPr>
      </w:pPr>
    </w:p>
    <w:p w14:paraId="408DD210" w14:textId="77777777" w:rsidR="002019B7" w:rsidRDefault="002019B7" w:rsidP="000C5DA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Arial" w:eastAsia="Arial" w:hAnsi="Arial" w:cs="Arial"/>
          <w:color w:val="000000"/>
          <w:sz w:val="26"/>
          <w:szCs w:val="26"/>
          <w:u w:color="000000"/>
          <w:bdr w:val="nil"/>
        </w:rPr>
      </w:pPr>
    </w:p>
    <w:p w14:paraId="1BC08529" w14:textId="062AC7F7" w:rsidR="000C5DA0" w:rsidRPr="001552D2" w:rsidRDefault="000C5DA0" w:rsidP="000C5DA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lastRenderedPageBreak/>
        <w:t>The Honorable</w:t>
      </w:r>
      <w:r w:rsidR="00822B98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</w:t>
      </w:r>
      <w:r w:rsidR="00F5725F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Michael Rodrigues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, Chair</w:t>
      </w:r>
    </w:p>
    <w:p w14:paraId="43C12519" w14:textId="77777777" w:rsidR="000C5DA0" w:rsidRPr="001552D2" w:rsidRDefault="000C5DA0" w:rsidP="000C5DA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Senate Committee on Ways and Means</w:t>
      </w:r>
    </w:p>
    <w:p w14:paraId="63B91A8E" w14:textId="77777777" w:rsidR="000C5DA0" w:rsidRPr="001552D2" w:rsidRDefault="000C5DA0" w:rsidP="000C5DA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State House, Room 212</w:t>
      </w:r>
    </w:p>
    <w:p w14:paraId="4F3C97B2" w14:textId="77777777" w:rsidR="000C5DA0" w:rsidRPr="001552D2" w:rsidRDefault="000C5DA0" w:rsidP="000C5DA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Boston, MA 02133</w:t>
      </w:r>
    </w:p>
    <w:p w14:paraId="629466E5" w14:textId="77777777" w:rsidR="000C5DA0" w:rsidRPr="001552D2" w:rsidRDefault="000C5DA0" w:rsidP="000C5DA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</w:p>
    <w:p w14:paraId="723C5A39" w14:textId="7B8F9AFF" w:rsidR="000C5DA0" w:rsidRPr="001552D2" w:rsidRDefault="000C5DA0" w:rsidP="000C5DA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The Honorable </w:t>
      </w:r>
      <w:r w:rsidR="00F5725F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Aaron Michlewitz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, Chair</w:t>
      </w:r>
    </w:p>
    <w:p w14:paraId="105E204A" w14:textId="77777777" w:rsidR="000C5DA0" w:rsidRPr="001552D2" w:rsidRDefault="000C5DA0" w:rsidP="000C5DA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House Committee on Ways and Means</w:t>
      </w:r>
    </w:p>
    <w:p w14:paraId="060979CC" w14:textId="77777777" w:rsidR="000C5DA0" w:rsidRPr="001552D2" w:rsidRDefault="000C5DA0" w:rsidP="000C5DA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State House, Room 243</w:t>
      </w:r>
    </w:p>
    <w:p w14:paraId="34924274" w14:textId="77777777" w:rsidR="000C5DA0" w:rsidRPr="001552D2" w:rsidRDefault="000C5DA0" w:rsidP="000C5DA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Boston, MA 02133</w:t>
      </w:r>
    </w:p>
    <w:p w14:paraId="6A0C3095" w14:textId="77777777" w:rsidR="000C5DA0" w:rsidRPr="001552D2" w:rsidRDefault="000C5DA0" w:rsidP="000C5DA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</w:p>
    <w:p w14:paraId="70B0B92A" w14:textId="04F4F9BD" w:rsidR="000C5DA0" w:rsidRPr="001552D2" w:rsidRDefault="000C5DA0" w:rsidP="000C5DA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Dear Chair</w:t>
      </w:r>
      <w:r w:rsidR="00F5725F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Rodrigues and Michlewitz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:</w:t>
      </w:r>
    </w:p>
    <w:p w14:paraId="46BC75D2" w14:textId="77777777" w:rsidR="000C5DA0" w:rsidRPr="001552D2" w:rsidRDefault="000C5DA0" w:rsidP="000C5DA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</w:p>
    <w:p w14:paraId="4700D2FA" w14:textId="057F9CA7" w:rsidR="000C5DA0" w:rsidRPr="001552D2" w:rsidRDefault="00A144C7" w:rsidP="000C5DA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Line-item language for the Department of Developmental Services (“DDS” or “the Department”) included in the Fiscal Year 20</w:t>
      </w:r>
      <w:r w:rsidR="00D35F6A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2</w:t>
      </w:r>
      <w:r w:rsidR="00C026CF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1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</w:t>
      </w:r>
      <w:r w:rsidR="000522DF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(FY21) 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General Appropriation Act </w:t>
      </w:r>
      <w:r w:rsidR="000522DF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l</w:t>
      </w:r>
      <w:r w:rsidR="000C5DA0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ine item 5920-3020 requires that the “…</w:t>
      </w:r>
      <w:commentRangeStart w:id="0"/>
      <w:r w:rsidR="00F3151E" w:rsidRPr="001552D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the department shall submit quarterly reports </w:t>
      </w:r>
      <w:commentRangeEnd w:id="0"/>
      <w:r w:rsidR="00F3151E" w:rsidRPr="001552D2">
        <w:rPr>
          <w:rStyle w:val="CommentReference"/>
          <w:sz w:val="28"/>
          <w:szCs w:val="28"/>
        </w:rPr>
        <w:commentReference w:id="0"/>
      </w:r>
      <w:r w:rsidR="00F3151E" w:rsidRPr="001552D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to the house and senate committees on ways and means detailing: (i) the number of individuals eligible for services; (ii) the number of eligible individuals served; (iii) the type of services provided; (iv) the </w:t>
      </w:r>
      <w:commentRangeStart w:id="1"/>
      <w:commentRangeStart w:id="2"/>
      <w:r w:rsidR="00F3151E" w:rsidRPr="001552D2">
        <w:rPr>
          <w:rFonts w:ascii="Arial" w:hAnsi="Arial" w:cs="Arial"/>
          <w:color w:val="333333"/>
          <w:sz w:val="28"/>
          <w:szCs w:val="28"/>
          <w:shd w:val="clear" w:color="auto" w:fill="FFFFFF"/>
        </w:rPr>
        <w:t>cost per service</w:t>
      </w:r>
      <w:commentRangeEnd w:id="1"/>
      <w:r w:rsidR="00F3151E" w:rsidRPr="001552D2">
        <w:rPr>
          <w:rStyle w:val="CommentReference"/>
          <w:sz w:val="28"/>
          <w:szCs w:val="28"/>
        </w:rPr>
        <w:commentReference w:id="1"/>
      </w:r>
      <w:commentRangeEnd w:id="2"/>
      <w:r w:rsidR="00576A82" w:rsidRPr="001552D2">
        <w:rPr>
          <w:rStyle w:val="CommentReference"/>
          <w:sz w:val="28"/>
          <w:szCs w:val="28"/>
        </w:rPr>
        <w:commentReference w:id="2"/>
      </w:r>
      <w:r w:rsidR="00F3151E" w:rsidRPr="001552D2">
        <w:rPr>
          <w:rFonts w:ascii="Arial" w:hAnsi="Arial" w:cs="Arial"/>
          <w:color w:val="333333"/>
          <w:sz w:val="28"/>
          <w:szCs w:val="28"/>
          <w:shd w:val="clear" w:color="auto" w:fill="FFFFFF"/>
        </w:rPr>
        <w:t>; and (v) the cost per individual</w:t>
      </w:r>
      <w:r w:rsidR="000C5DA0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…”.</w:t>
      </w:r>
    </w:p>
    <w:p w14:paraId="05AAAAEC" w14:textId="77777777" w:rsidR="000C5DA0" w:rsidRPr="001552D2" w:rsidRDefault="000C5DA0" w:rsidP="000C5DA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</w:p>
    <w:p w14:paraId="7F6BDB00" w14:textId="228BF2BF" w:rsidR="000C5DA0" w:rsidRPr="001552D2" w:rsidRDefault="00C90883" w:rsidP="000C5DA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DDS</w:t>
      </w:r>
      <w:r w:rsidR="000C5DA0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has been working diligently to implement the expanded eligibility requirements 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since</w:t>
      </w:r>
      <w:r w:rsidR="000C5DA0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signed into 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l</w:t>
      </w:r>
      <w:r w:rsidR="000C5DA0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aw in August 2014. To support the eligibility changes, DDS 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designed materials including applications, fact sheets, and assessment processes to and </w:t>
      </w:r>
      <w:r w:rsidR="000C5DA0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trained its Regional Eligibility Teams in these new activities.  Most importantly, the Department has </w:t>
      </w:r>
      <w:r w:rsidR="003057F7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implemented </w:t>
      </w:r>
      <w:r w:rsidR="000C5DA0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regulations that provide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</w:t>
      </w:r>
      <w:r w:rsidR="000C5DA0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the administrative framework for the statute.</w:t>
      </w:r>
    </w:p>
    <w:p w14:paraId="67BD82D6" w14:textId="77777777" w:rsidR="000C5DA0" w:rsidRPr="001552D2" w:rsidRDefault="000C5DA0" w:rsidP="000C5DA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</w:p>
    <w:p w14:paraId="6C51450C" w14:textId="7C99C524" w:rsidR="000C5DA0" w:rsidRPr="001552D2" w:rsidRDefault="000C5DA0" w:rsidP="000C5DA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Many of the </w:t>
      </w:r>
      <w:r w:rsidR="00F5725F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individuals 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age 18-21 with an eligibility determination of Autism/DD ha</w:t>
      </w:r>
      <w:r w:rsidR="00C90883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ve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service enrollments prior to the</w:t>
      </w:r>
      <w:r w:rsidR="003057F7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ir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Autism determination date</w:t>
      </w:r>
      <w:r w:rsidR="00F3151E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, and are still in school</w:t>
      </w:r>
      <w:r w:rsidR="00C90883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. These enrollments include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DDS children’s services</w:t>
      </w:r>
      <w:r w:rsidR="00C90883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and 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family support. Of the Autism eligible individuals age 22+</w:t>
      </w:r>
      <w:r w:rsidR="00F5725F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,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many are currently receiving DDS services through the 5920-3020 </w:t>
      </w:r>
      <w:r w:rsidR="00F5725F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Autism Services 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account. These services are broken out on the appended chart</w:t>
      </w:r>
      <w:r w:rsidR="001552D2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of the 5920-3020 account,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with many</w:t>
      </w:r>
      <w:r w:rsidR="001552D2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individuals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receiving more than one service. </w:t>
      </w:r>
      <w:r w:rsidR="001552D2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The direct cost per the service is also detailed. </w:t>
      </w:r>
      <w:r w:rsidR="00F3151E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O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ther</w:t>
      </w:r>
      <w:r w:rsidR="001552D2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individuals not receiving services in the 5920-3020 account 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are exploring </w:t>
      </w:r>
      <w:r w:rsidR="001552D2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the 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DDS services </w:t>
      </w:r>
      <w:r w:rsidR="001552D2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offered 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or are not </w:t>
      </w:r>
      <w:r w:rsidR="00C90883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currently 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requesting </w:t>
      </w:r>
      <w:r w:rsidR="001552D2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services from 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DDS.</w:t>
      </w:r>
    </w:p>
    <w:p w14:paraId="05C78C0F" w14:textId="7DAC5121" w:rsidR="00F3151E" w:rsidRPr="001552D2" w:rsidRDefault="00F3151E" w:rsidP="000C5DA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</w:p>
    <w:p w14:paraId="0018D46D" w14:textId="77777777" w:rsidR="001552D2" w:rsidRDefault="001552D2" w:rsidP="000C5DA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</w:p>
    <w:p w14:paraId="57A6C711" w14:textId="77777777" w:rsidR="001552D2" w:rsidRDefault="001552D2" w:rsidP="000C5DA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</w:p>
    <w:p w14:paraId="260E07F6" w14:textId="77777777" w:rsidR="001552D2" w:rsidRDefault="001552D2" w:rsidP="000C5DA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</w:p>
    <w:p w14:paraId="4FF5FA06" w14:textId="77777777" w:rsidR="001552D2" w:rsidRDefault="001552D2" w:rsidP="000C5DA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</w:p>
    <w:p w14:paraId="62288804" w14:textId="77777777" w:rsidR="001552D2" w:rsidRDefault="001552D2" w:rsidP="000C5DA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</w:p>
    <w:p w14:paraId="56B16DA7" w14:textId="2A859818" w:rsidR="00F3151E" w:rsidRPr="001552D2" w:rsidRDefault="00F3151E" w:rsidP="000C5DA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lastRenderedPageBreak/>
        <w:t xml:space="preserve">See below for FY21 Quarters 1, 2, and 3 updates:   </w:t>
      </w:r>
    </w:p>
    <w:p w14:paraId="7095A83C" w14:textId="3863E688" w:rsidR="000522DF" w:rsidRPr="001552D2" w:rsidRDefault="000522DF" w:rsidP="000C5DA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</w:p>
    <w:p w14:paraId="04D2E07D" w14:textId="531A4FBB" w:rsidR="000C5DA0" w:rsidRPr="001552D2" w:rsidRDefault="000522DF" w:rsidP="000C5DA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  <w:r w:rsidRPr="001552D2">
        <w:rPr>
          <w:rFonts w:ascii="Arial" w:eastAsia="Arial" w:hAnsi="Arial" w:cs="Arial"/>
          <w:b/>
          <w:color w:val="000000"/>
          <w:sz w:val="28"/>
          <w:szCs w:val="28"/>
          <w:u w:val="single" w:color="000000"/>
          <w:bdr w:val="nil"/>
        </w:rPr>
        <w:t>FY21 Quarter 1</w:t>
      </w:r>
    </w:p>
    <w:p w14:paraId="28FACA18" w14:textId="1185BA28" w:rsidR="000C5DA0" w:rsidRPr="001552D2" w:rsidRDefault="000C5DA0" w:rsidP="000C5DA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As of 9/30/</w:t>
      </w:r>
      <w:r w:rsidR="00A31A54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20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, </w:t>
      </w:r>
      <w:r w:rsidR="00D35F6A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2,</w:t>
      </w:r>
      <w:r w:rsidR="00C026CF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724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adults (18+) </w:t>
      </w:r>
      <w:r w:rsidR="000522DF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were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found DDS eligible with </w:t>
      </w:r>
      <w:r w:rsidR="00D35F6A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2,</w:t>
      </w:r>
      <w:r w:rsidR="00C026CF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714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as adult Autism eligible</w:t>
      </w:r>
      <w:r w:rsidR="00134EF8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, 2 Smith Magenis eligible 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and </w:t>
      </w:r>
      <w:r w:rsidR="00C026CF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10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adult Prader Willi </w:t>
      </w:r>
      <w:commentRangeStart w:id="3"/>
      <w:commentRangeStart w:id="4"/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eligible</w:t>
      </w:r>
      <w:commentRangeEnd w:id="3"/>
      <w:r w:rsidR="00BA38F0" w:rsidRPr="001552D2">
        <w:rPr>
          <w:rStyle w:val="CommentReference"/>
          <w:sz w:val="28"/>
          <w:szCs w:val="28"/>
        </w:rPr>
        <w:commentReference w:id="3"/>
      </w:r>
      <w:commentRangeEnd w:id="4"/>
      <w:r w:rsidR="00134EF8" w:rsidRPr="001552D2">
        <w:rPr>
          <w:rStyle w:val="CommentReference"/>
          <w:sz w:val="28"/>
          <w:szCs w:val="28"/>
        </w:rPr>
        <w:commentReference w:id="4"/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. </w:t>
      </w:r>
    </w:p>
    <w:p w14:paraId="3827B46A" w14:textId="2D66838D" w:rsidR="000C5DA0" w:rsidRPr="001552D2" w:rsidRDefault="000C5DA0" w:rsidP="000C5D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contextualSpacing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Of the </w:t>
      </w:r>
      <w:r w:rsidR="00C026CF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1,032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individuals age 18-21 with an eligibility determination of Autism/DD, </w:t>
      </w:r>
      <w:r w:rsidR="00C026CF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543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are currently enrolled in a combination of </w:t>
      </w:r>
      <w:r w:rsidR="00C026CF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1,178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DDS services.</w:t>
      </w:r>
    </w:p>
    <w:p w14:paraId="66411B1A" w14:textId="357AA097" w:rsidR="000C5DA0" w:rsidRPr="001552D2" w:rsidRDefault="000C5DA0" w:rsidP="000C5D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contextualSpacing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Of the </w:t>
      </w:r>
      <w:r w:rsidR="00D35F6A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1,</w:t>
      </w:r>
      <w:r w:rsidR="00C026CF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692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individuals age 22+ there are currently </w:t>
      </w:r>
      <w:r w:rsidR="00C026CF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1,204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individuals currently receiving a total of </w:t>
      </w:r>
      <w:r w:rsidR="005F7342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2,</w:t>
      </w:r>
      <w:r w:rsidR="00667168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826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DDS services through the 5920-3020 account.</w:t>
      </w:r>
    </w:p>
    <w:p w14:paraId="6BFEB367" w14:textId="29268FF0" w:rsidR="000C5DA0" w:rsidRPr="001552D2" w:rsidRDefault="000C5DA0" w:rsidP="000C5D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contextualSpacing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As of F</w:t>
      </w:r>
      <w:r w:rsidR="003057F7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Y</w:t>
      </w:r>
      <w:r w:rsidR="00D35F6A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2</w:t>
      </w:r>
      <w:r w:rsidR="000E17F1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1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Q1</w:t>
      </w:r>
      <w:r w:rsidR="000522DF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,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the average cost per individual from the 5920-3020 account is $</w:t>
      </w:r>
      <w:r w:rsidR="00C026CF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3,289</w:t>
      </w:r>
      <w:r w:rsidR="000522DF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.</w:t>
      </w:r>
    </w:p>
    <w:p w14:paraId="4141B142" w14:textId="1039FFE1" w:rsidR="000E17F1" w:rsidRPr="001552D2" w:rsidRDefault="000E17F1" w:rsidP="000E17F1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contextualSpacing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</w:p>
    <w:p w14:paraId="547FFC14" w14:textId="476CAA53" w:rsidR="000E17F1" w:rsidRPr="001552D2" w:rsidRDefault="000522DF" w:rsidP="000E17F1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contextualSpacing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  <w:r w:rsidRPr="001552D2">
        <w:rPr>
          <w:rFonts w:ascii="Arial" w:eastAsia="Arial" w:hAnsi="Arial" w:cs="Arial"/>
          <w:b/>
          <w:color w:val="000000"/>
          <w:sz w:val="28"/>
          <w:szCs w:val="28"/>
          <w:u w:val="single" w:color="000000"/>
          <w:bdr w:val="nil"/>
        </w:rPr>
        <w:t>FY21 Quarter 2</w:t>
      </w:r>
    </w:p>
    <w:p w14:paraId="5C3A4AC4" w14:textId="12022D3C" w:rsidR="000E17F1" w:rsidRPr="001552D2" w:rsidRDefault="000E17F1" w:rsidP="000E17F1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  <w:bookmarkStart w:id="5" w:name="_Hlk70083947"/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As of 12/31/20, 2,836 adults (18+) </w:t>
      </w:r>
      <w:r w:rsidR="000522DF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were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found DDS eligible with 2,825 as adult Autism eligible</w:t>
      </w:r>
      <w:r w:rsidR="00134EF8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, 2 Smith Magenis eligible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and 11 adult Prader Willi eligible. </w:t>
      </w:r>
    </w:p>
    <w:p w14:paraId="43531B6B" w14:textId="7AB3215E" w:rsidR="000E17F1" w:rsidRPr="001552D2" w:rsidRDefault="000E17F1" w:rsidP="000E17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contextualSpacing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Of the 1,049 individuals age 18-21 with an eligibility determination of Autism/DD, 536 are currently enrolled in a combination of 1,211 DDS services.</w:t>
      </w:r>
    </w:p>
    <w:p w14:paraId="664FA605" w14:textId="7D4FFB46" w:rsidR="000E17F1" w:rsidRPr="001552D2" w:rsidRDefault="000E17F1" w:rsidP="000E17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contextualSpacing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Of the 1,787 individuals age 22+ there are currently 1,271 individuals currently receiving a total of </w:t>
      </w:r>
      <w:r w:rsidR="005F7342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2,</w:t>
      </w:r>
      <w:r w:rsidR="00667168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952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DDS services through the 5920-3020 account.</w:t>
      </w:r>
    </w:p>
    <w:p w14:paraId="18A0F8F7" w14:textId="7D80DCEF" w:rsidR="000E17F1" w:rsidRPr="001552D2" w:rsidRDefault="000E17F1" w:rsidP="000E17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contextualSpacing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As of FY21 Q2 the average cost per individual from the #5920-3020 account is $4,322</w:t>
      </w:r>
    </w:p>
    <w:bookmarkEnd w:id="5"/>
    <w:p w14:paraId="23C54C28" w14:textId="4378D227" w:rsidR="000E17F1" w:rsidRPr="001552D2" w:rsidRDefault="000E17F1" w:rsidP="000E17F1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contextualSpacing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</w:p>
    <w:p w14:paraId="0D2303F4" w14:textId="7DEDC6D1" w:rsidR="000522DF" w:rsidRPr="001552D2" w:rsidRDefault="000522DF" w:rsidP="000E17F1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contextualSpacing/>
        <w:rPr>
          <w:rFonts w:ascii="Arial" w:eastAsia="Arial" w:hAnsi="Arial" w:cs="Arial"/>
          <w:b/>
          <w:color w:val="000000"/>
          <w:sz w:val="28"/>
          <w:szCs w:val="28"/>
          <w:u w:val="single" w:color="000000"/>
          <w:bdr w:val="nil"/>
        </w:rPr>
      </w:pPr>
      <w:bookmarkStart w:id="6" w:name="_Hlk88040857"/>
      <w:r w:rsidRPr="001552D2">
        <w:rPr>
          <w:rFonts w:ascii="Arial" w:eastAsia="Arial" w:hAnsi="Arial" w:cs="Arial"/>
          <w:b/>
          <w:color w:val="000000"/>
          <w:sz w:val="28"/>
          <w:szCs w:val="28"/>
          <w:u w:val="single" w:color="000000"/>
          <w:bdr w:val="nil"/>
        </w:rPr>
        <w:t>FY21 Quarter 3</w:t>
      </w:r>
    </w:p>
    <w:p w14:paraId="165BD1D3" w14:textId="7893E047" w:rsidR="00915780" w:rsidRPr="001552D2" w:rsidRDefault="00915780" w:rsidP="00915780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As of 03/31/21, 2,943 adults (18+) </w:t>
      </w:r>
      <w:r w:rsidR="000522DF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were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found DDS eligible with 2,932 as adult Autism eligible</w:t>
      </w:r>
      <w:r w:rsidR="00134EF8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, 2 Smith Magenis eligible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and 11 adult Prader Willi eligible. </w:t>
      </w:r>
    </w:p>
    <w:p w14:paraId="5B8D4A37" w14:textId="45B01A34" w:rsidR="00915780" w:rsidRPr="001552D2" w:rsidRDefault="00915780" w:rsidP="009157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contextualSpacing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Of the 1,088 individuals age 18-21 with an eligibility determination of Autism/DD, 553 are currently enrolled in a combination of 1,118 DDS services.</w:t>
      </w:r>
    </w:p>
    <w:p w14:paraId="56651385" w14:textId="421A3DAE" w:rsidR="00915780" w:rsidRPr="001552D2" w:rsidRDefault="00915780" w:rsidP="009157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contextualSpacing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Of the 1,855 individuals age 22+ there are currently 1,340 individuals currently receiving a total of </w:t>
      </w:r>
      <w:r w:rsidR="00667168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3,081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DDS services through the 5920-3020 account.</w:t>
      </w:r>
    </w:p>
    <w:p w14:paraId="7EAAB299" w14:textId="50D35335" w:rsidR="00915780" w:rsidRDefault="00915780" w:rsidP="009157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contextualSpacing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As of FY21 Q3 the average cost per individual from the #5920-3020 account is $4,</w:t>
      </w:r>
      <w:r w:rsidR="006B0984"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68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2</w:t>
      </w:r>
    </w:p>
    <w:bookmarkEnd w:id="6"/>
    <w:p w14:paraId="562C002E" w14:textId="710FBC13" w:rsidR="006E558C" w:rsidRDefault="006E558C" w:rsidP="006E558C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contextualSpacing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</w:p>
    <w:p w14:paraId="03AF1D2B" w14:textId="6FFE9C43" w:rsidR="006E558C" w:rsidRDefault="006E558C" w:rsidP="006E558C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contextualSpacing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</w:p>
    <w:p w14:paraId="15BDA589" w14:textId="27844187" w:rsidR="006E558C" w:rsidRDefault="006E558C" w:rsidP="006E558C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contextualSpacing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</w:p>
    <w:p w14:paraId="17D299D5" w14:textId="0564464A" w:rsidR="006E558C" w:rsidRDefault="006E558C" w:rsidP="006E558C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contextualSpacing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</w:p>
    <w:p w14:paraId="72E94A6A" w14:textId="7AD8B3EC" w:rsidR="006E558C" w:rsidRDefault="006E558C" w:rsidP="006E558C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contextualSpacing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</w:p>
    <w:p w14:paraId="10580285" w14:textId="6D4F83A9" w:rsidR="006E558C" w:rsidRPr="001552D2" w:rsidRDefault="006E558C" w:rsidP="006E558C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contextualSpacing/>
        <w:rPr>
          <w:rFonts w:ascii="Arial" w:eastAsia="Arial" w:hAnsi="Arial" w:cs="Arial"/>
          <w:b/>
          <w:color w:val="000000"/>
          <w:sz w:val="28"/>
          <w:szCs w:val="28"/>
          <w:u w:val="single" w:color="000000"/>
          <w:bdr w:val="nil"/>
        </w:rPr>
      </w:pPr>
      <w:r w:rsidRPr="001552D2">
        <w:rPr>
          <w:rFonts w:ascii="Arial" w:eastAsia="Arial" w:hAnsi="Arial" w:cs="Arial"/>
          <w:b/>
          <w:color w:val="000000"/>
          <w:sz w:val="28"/>
          <w:szCs w:val="28"/>
          <w:u w:val="single" w:color="000000"/>
          <w:bdr w:val="nil"/>
        </w:rPr>
        <w:t xml:space="preserve">FY21 Quarter </w:t>
      </w:r>
      <w:r>
        <w:rPr>
          <w:rFonts w:ascii="Arial" w:eastAsia="Arial" w:hAnsi="Arial" w:cs="Arial"/>
          <w:b/>
          <w:color w:val="000000"/>
          <w:sz w:val="28"/>
          <w:szCs w:val="28"/>
          <w:u w:val="single" w:color="000000"/>
          <w:bdr w:val="nil"/>
        </w:rPr>
        <w:t>4</w:t>
      </w:r>
    </w:p>
    <w:p w14:paraId="1B6565AF" w14:textId="068E181D" w:rsidR="006E558C" w:rsidRPr="001552D2" w:rsidRDefault="006E558C" w:rsidP="006E558C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As of 0</w:t>
      </w:r>
      <w:r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6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/3</w:t>
      </w:r>
      <w:r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0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/21, </w:t>
      </w:r>
      <w:r w:rsidR="00B206B5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3,088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adults (18+) were found DDS eligible with </w:t>
      </w:r>
      <w:r w:rsidR="00B206B5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3,076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as adult Autism eligible, </w:t>
      </w:r>
      <w:r w:rsidR="00B206B5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1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Smith Magenis eligible and 11 adult Prader Willi eligible. </w:t>
      </w:r>
    </w:p>
    <w:p w14:paraId="1BFABB59" w14:textId="0C2906DA" w:rsidR="006E558C" w:rsidRPr="001552D2" w:rsidRDefault="006E558C" w:rsidP="006E55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contextualSpacing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Of the 1,</w:t>
      </w:r>
      <w:r w:rsidR="00A774A5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135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individuals age 18-21 with an eligibility determination of Autism/DD, 5</w:t>
      </w:r>
      <w:r w:rsidR="00A774A5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39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are currently enrolled in a combination of 1,1</w:t>
      </w:r>
      <w:r w:rsidR="00A774A5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5</w:t>
      </w:r>
      <w:r w:rsidR="00B206B5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5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DDS services.</w:t>
      </w:r>
    </w:p>
    <w:p w14:paraId="7CF217D3" w14:textId="06AC6EFD" w:rsidR="006E558C" w:rsidRPr="001552D2" w:rsidRDefault="006E558C" w:rsidP="006E55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contextualSpacing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Of the 1,</w:t>
      </w:r>
      <w:r w:rsidR="00B206B5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953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individuals age 22+ there are currently 1,</w:t>
      </w:r>
      <w:r w:rsidR="001401E4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413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individuals currently receiving a total of </w:t>
      </w:r>
      <w:r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3,</w:t>
      </w:r>
      <w:r w:rsidR="001401E4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1</w:t>
      </w:r>
      <w:r w:rsidR="00A774A5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3</w:t>
      </w:r>
      <w:r w:rsidR="001401E4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1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DDS services through the 5920-3020 account.</w:t>
      </w:r>
    </w:p>
    <w:p w14:paraId="6E88F954" w14:textId="3EECD8D8" w:rsidR="006E558C" w:rsidRDefault="006E558C" w:rsidP="006E55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contextualSpacing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As of FY21 Q</w:t>
      </w:r>
      <w:r w:rsidR="001401E4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4</w:t>
      </w:r>
      <w:r w:rsidRPr="001552D2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 xml:space="preserve"> the average cost per individual from the #5920-3020 account is $</w:t>
      </w:r>
      <w:r w:rsidR="00E04F1B"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t>5,451</w:t>
      </w:r>
    </w:p>
    <w:p w14:paraId="667B68D5" w14:textId="27719636" w:rsidR="006E558C" w:rsidRDefault="006E558C">
      <w:pPr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  <w:r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  <w:br w:type="page"/>
      </w:r>
    </w:p>
    <w:p w14:paraId="4B9C5F7F" w14:textId="77777777" w:rsidR="006E558C" w:rsidRPr="001552D2" w:rsidRDefault="006E558C" w:rsidP="006E558C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contextualSpacing/>
        <w:rPr>
          <w:rFonts w:ascii="Arial" w:eastAsia="Arial" w:hAnsi="Arial" w:cs="Arial"/>
          <w:color w:val="000000"/>
          <w:sz w:val="28"/>
          <w:szCs w:val="28"/>
          <w:u w:color="000000"/>
          <w:bdr w:val="nil"/>
        </w:rPr>
      </w:pPr>
    </w:p>
    <w:p w14:paraId="25357726" w14:textId="77777777" w:rsidR="004D50EF" w:rsidRDefault="004D50EF" w:rsidP="000C5DA0">
      <w:pPr>
        <w:spacing w:after="200"/>
        <w:rPr>
          <w:rFonts w:ascii="Arial" w:eastAsia="Arial" w:hAnsi="Arial" w:cs="Arial"/>
          <w:color w:val="000000"/>
          <w:sz w:val="26"/>
          <w:szCs w:val="26"/>
          <w:u w:color="000000"/>
          <w:bdr w:val="nil"/>
        </w:rPr>
      </w:pPr>
    </w:p>
    <w:p w14:paraId="502994BF" w14:textId="77777777" w:rsidR="00433B53" w:rsidRPr="000C5DA0" w:rsidRDefault="00433B53" w:rsidP="00433B53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40" w:lineRule="auto"/>
        <w:contextualSpacing/>
        <w:rPr>
          <w:rFonts w:ascii="Arial" w:eastAsia="Arial" w:hAnsi="Arial" w:cs="Arial"/>
          <w:sz w:val="26"/>
          <w:szCs w:val="26"/>
          <w:u w:color="000000"/>
          <w:bdr w:val="nil"/>
        </w:rPr>
      </w:pPr>
    </w:p>
    <w:p w14:paraId="1A170D4A" w14:textId="77777777" w:rsidR="000C5DA0" w:rsidRPr="000C5DA0" w:rsidRDefault="000C5DA0" w:rsidP="008A0A6D">
      <w:pPr>
        <w:spacing w:after="200" w:line="240" w:lineRule="auto"/>
        <w:rPr>
          <w:rFonts w:ascii="Arial" w:eastAsia="Arial" w:hAnsi="Arial" w:cs="Arial"/>
          <w:color w:val="000000"/>
          <w:sz w:val="26"/>
          <w:szCs w:val="26"/>
          <w:u w:color="000000"/>
          <w:bdr w:val="nil"/>
        </w:rPr>
      </w:pPr>
    </w:p>
    <w:p w14:paraId="67981C74" w14:textId="366262AC" w:rsidR="00B2305D" w:rsidRDefault="00E04F1B" w:rsidP="00667168">
      <w:r w:rsidRPr="00E04F1B">
        <w:drawing>
          <wp:inline distT="0" distB="0" distL="0" distR="0" wp14:anchorId="2BE36778" wp14:editId="5DA9D81B">
            <wp:extent cx="6172200" cy="65278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652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305D" w:rsidSect="004A5B7F">
      <w:footerReference w:type="default" r:id="rId14"/>
      <w:type w:val="continuous"/>
      <w:pgSz w:w="12240" w:h="15840" w:code="1"/>
      <w:pgMar w:top="864" w:right="1080" w:bottom="288" w:left="1440" w:header="432" w:footer="360" w:gutter="0"/>
      <w:cols w:space="72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hompson, Christopher D (DDS)" w:date="2021-05-07T14:47:00Z" w:initials="TCD(">
    <w:p w14:paraId="17719085" w14:textId="25B654A0" w:rsidR="00F3151E" w:rsidRDefault="00F3151E">
      <w:pPr>
        <w:pStyle w:val="CommentText"/>
      </w:pPr>
      <w:r>
        <w:rPr>
          <w:rStyle w:val="CommentReference"/>
        </w:rPr>
        <w:annotationRef/>
      </w:r>
      <w:r w:rsidR="00BA38F0">
        <w:rPr>
          <w:noProof/>
        </w:rPr>
        <w:t xml:space="preserve">this is the language from the FY21 line-item (please check the current year’s language to cofirm it hasn’t changed from prior year) </w:t>
      </w:r>
    </w:p>
  </w:comment>
  <w:comment w:id="1" w:author="Thompson, Christopher D (DDS)" w:date="2021-05-07T14:48:00Z" w:initials="TCD(">
    <w:p w14:paraId="2E5905F5" w14:textId="36C18643" w:rsidR="00F3151E" w:rsidRDefault="00F3151E">
      <w:pPr>
        <w:pStyle w:val="CommentText"/>
      </w:pPr>
      <w:r>
        <w:rPr>
          <w:rStyle w:val="CommentReference"/>
        </w:rPr>
        <w:annotationRef/>
      </w:r>
      <w:r w:rsidR="00BA38F0">
        <w:rPr>
          <w:noProof/>
        </w:rPr>
        <w:t xml:space="preserve">we do not provide this in the report – please add </w:t>
      </w:r>
    </w:p>
  </w:comment>
  <w:comment w:id="2" w:author="Hernandez, Victor (DDS)" w:date="2021-05-28T13:49:00Z" w:initials="HV(">
    <w:p w14:paraId="25D878FC" w14:textId="14191D7E" w:rsidR="00576A82" w:rsidRDefault="00576A82">
      <w:pPr>
        <w:pStyle w:val="CommentText"/>
      </w:pPr>
      <w:r>
        <w:rPr>
          <w:rStyle w:val="CommentReference"/>
        </w:rPr>
        <w:annotationRef/>
      </w:r>
      <w:r>
        <w:t>added</w:t>
      </w:r>
    </w:p>
  </w:comment>
  <w:comment w:id="3" w:author="Thompson, Christopher D (DDS)" w:date="2021-05-07T14:57:00Z" w:initials="TCD(">
    <w:p w14:paraId="036443C3" w14:textId="760409BE" w:rsidR="00BA38F0" w:rsidRDefault="00BA38F0">
      <w:pPr>
        <w:pStyle w:val="CommentText"/>
      </w:pPr>
      <w:r>
        <w:rPr>
          <w:rStyle w:val="CommentReference"/>
        </w:rPr>
        <w:annotationRef/>
      </w:r>
      <w:r>
        <w:rPr>
          <w:noProof/>
        </w:rPr>
        <w:t xml:space="preserve">no Smith Magenis? If not, let's say that </w:t>
      </w:r>
    </w:p>
  </w:comment>
  <w:comment w:id="4" w:author="Hernandez, Victor (DDS)" w:date="2021-05-28T13:53:00Z" w:initials="HV(">
    <w:p w14:paraId="5C0FF48F" w14:textId="3154F7F2" w:rsidR="00134EF8" w:rsidRDefault="00134EF8">
      <w:pPr>
        <w:pStyle w:val="CommentText"/>
      </w:pPr>
      <w:r>
        <w:rPr>
          <w:rStyle w:val="CommentReference"/>
        </w:rPr>
        <w:annotationRef/>
      </w:r>
      <w:r>
        <w:t>SM added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719085" w15:done="0"/>
  <w15:commentEx w15:paraId="2E5905F5" w15:done="0"/>
  <w15:commentEx w15:paraId="25D878FC" w15:paraIdParent="2E5905F5" w15:done="0"/>
  <w15:commentEx w15:paraId="036443C3" w15:done="0"/>
  <w15:commentEx w15:paraId="5C0FF48F" w15:paraIdParent="036443C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B735B" w16cex:dateUtc="2021-05-28T17:49:00Z"/>
  <w16cex:commentExtensible w16cex:durableId="245B7464" w16cex:dateUtc="2021-05-28T1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719085" w16cid:durableId="243FD19F"/>
  <w16cid:commentId w16cid:paraId="2E5905F5" w16cid:durableId="243FD1D2"/>
  <w16cid:commentId w16cid:paraId="25D878FC" w16cid:durableId="245B735B"/>
  <w16cid:commentId w16cid:paraId="036443C3" w16cid:durableId="243FD3DE"/>
  <w16cid:commentId w16cid:paraId="5C0FF48F" w16cid:durableId="245B74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67E04" w14:textId="77777777" w:rsidR="00C90883" w:rsidRDefault="00C90883" w:rsidP="00C90883">
      <w:pPr>
        <w:spacing w:line="240" w:lineRule="auto"/>
      </w:pPr>
      <w:r>
        <w:separator/>
      </w:r>
    </w:p>
  </w:endnote>
  <w:endnote w:type="continuationSeparator" w:id="0">
    <w:p w14:paraId="3B06ECC6" w14:textId="77777777" w:rsidR="00C90883" w:rsidRDefault="00C90883" w:rsidP="00C908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">
    <w:altName w:val="Times New Roman"/>
    <w:panose1 w:val="00000000000000000000"/>
    <w:charset w:val="00"/>
    <w:family w:val="roman"/>
    <w:notTrueType/>
    <w:pitch w:val="default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48801286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1318CC" w14:textId="1A2A577A" w:rsidR="00C90883" w:rsidRPr="005F7342" w:rsidRDefault="00C90883">
            <w:pPr>
              <w:pStyle w:val="Footer"/>
              <w:jc w:val="right"/>
              <w:rPr>
                <w:rFonts w:ascii="Arial" w:hAnsi="Arial" w:cs="Arial"/>
              </w:rPr>
            </w:pPr>
            <w:r w:rsidRPr="005F7342">
              <w:rPr>
                <w:rFonts w:ascii="Arial" w:hAnsi="Arial" w:cs="Arial"/>
              </w:rPr>
              <w:t xml:space="preserve">Page </w:t>
            </w:r>
            <w:r w:rsidRPr="005F73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F7342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5F73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F7342">
              <w:rPr>
                <w:rFonts w:ascii="Arial" w:hAnsi="Arial" w:cs="Arial"/>
                <w:b/>
                <w:bCs/>
                <w:noProof/>
              </w:rPr>
              <w:t>2</w:t>
            </w:r>
            <w:r w:rsidRPr="005F73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5F7342">
              <w:rPr>
                <w:rFonts w:ascii="Arial" w:hAnsi="Arial" w:cs="Arial"/>
              </w:rPr>
              <w:t xml:space="preserve"> of </w:t>
            </w:r>
            <w:r w:rsidRPr="005F73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5F7342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5F73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5F7342">
              <w:rPr>
                <w:rFonts w:ascii="Arial" w:hAnsi="Arial" w:cs="Arial"/>
                <w:b/>
                <w:bCs/>
                <w:noProof/>
              </w:rPr>
              <w:t>2</w:t>
            </w:r>
            <w:r w:rsidRPr="005F734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9A99DD" w14:textId="77777777" w:rsidR="00C90883" w:rsidRDefault="00C90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DB28E" w14:textId="77777777" w:rsidR="00C90883" w:rsidRDefault="00C90883" w:rsidP="00C90883">
      <w:pPr>
        <w:spacing w:line="240" w:lineRule="auto"/>
      </w:pPr>
      <w:r>
        <w:separator/>
      </w:r>
    </w:p>
  </w:footnote>
  <w:footnote w:type="continuationSeparator" w:id="0">
    <w:p w14:paraId="65958946" w14:textId="77777777" w:rsidR="00C90883" w:rsidRDefault="00C90883" w:rsidP="00C908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236D76"/>
    <w:multiLevelType w:val="hybridMultilevel"/>
    <w:tmpl w:val="500C6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pson, Christopher D (DDS)">
    <w15:presenceInfo w15:providerId="AD" w15:userId="S::Christopher.D.Thompson@massmail.state.ma.us::38ff843b-d77f-4685-9962-a3ee63406d7d"/>
  </w15:person>
  <w15:person w15:author="Hernandez, Victor (DDS)">
    <w15:presenceInfo w15:providerId="AD" w15:userId="S::victor.hernandez@mass.gov::6dabaeb8-faeb-4590-b9b8-882b0b0687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5D"/>
    <w:rsid w:val="000056AF"/>
    <w:rsid w:val="000522DF"/>
    <w:rsid w:val="00076936"/>
    <w:rsid w:val="00094033"/>
    <w:rsid w:val="000A408C"/>
    <w:rsid w:val="000A5846"/>
    <w:rsid w:val="000C5DA0"/>
    <w:rsid w:val="000E17F1"/>
    <w:rsid w:val="000F57BB"/>
    <w:rsid w:val="00134EF8"/>
    <w:rsid w:val="001401E4"/>
    <w:rsid w:val="001552D2"/>
    <w:rsid w:val="001D4277"/>
    <w:rsid w:val="001E1C8C"/>
    <w:rsid w:val="002019B7"/>
    <w:rsid w:val="002379D8"/>
    <w:rsid w:val="00244A76"/>
    <w:rsid w:val="00245D2D"/>
    <w:rsid w:val="003004F4"/>
    <w:rsid w:val="003057F7"/>
    <w:rsid w:val="0042481B"/>
    <w:rsid w:val="00433B53"/>
    <w:rsid w:val="004A0D7A"/>
    <w:rsid w:val="004A5B7F"/>
    <w:rsid w:val="004D50EF"/>
    <w:rsid w:val="00576A82"/>
    <w:rsid w:val="005A7CD2"/>
    <w:rsid w:val="005B0E29"/>
    <w:rsid w:val="005F7342"/>
    <w:rsid w:val="00640756"/>
    <w:rsid w:val="00654291"/>
    <w:rsid w:val="0065568C"/>
    <w:rsid w:val="00667168"/>
    <w:rsid w:val="00686147"/>
    <w:rsid w:val="006B0984"/>
    <w:rsid w:val="006E558C"/>
    <w:rsid w:val="00717B30"/>
    <w:rsid w:val="00736A3A"/>
    <w:rsid w:val="007C581A"/>
    <w:rsid w:val="00822B98"/>
    <w:rsid w:val="008A0A6D"/>
    <w:rsid w:val="008C368F"/>
    <w:rsid w:val="00915780"/>
    <w:rsid w:val="009251E4"/>
    <w:rsid w:val="00A11E03"/>
    <w:rsid w:val="00A144C7"/>
    <w:rsid w:val="00A239F2"/>
    <w:rsid w:val="00A31A54"/>
    <w:rsid w:val="00A66313"/>
    <w:rsid w:val="00A774A5"/>
    <w:rsid w:val="00B00B89"/>
    <w:rsid w:val="00B206B5"/>
    <w:rsid w:val="00B2305D"/>
    <w:rsid w:val="00B7003D"/>
    <w:rsid w:val="00B741D2"/>
    <w:rsid w:val="00BA38F0"/>
    <w:rsid w:val="00C0119C"/>
    <w:rsid w:val="00C026CF"/>
    <w:rsid w:val="00C26BF2"/>
    <w:rsid w:val="00C65A7E"/>
    <w:rsid w:val="00C90883"/>
    <w:rsid w:val="00CA148E"/>
    <w:rsid w:val="00D35F6A"/>
    <w:rsid w:val="00D47BDD"/>
    <w:rsid w:val="00D62A30"/>
    <w:rsid w:val="00D83D8D"/>
    <w:rsid w:val="00D917E4"/>
    <w:rsid w:val="00DB0B6F"/>
    <w:rsid w:val="00E04F1B"/>
    <w:rsid w:val="00E16A85"/>
    <w:rsid w:val="00E879AB"/>
    <w:rsid w:val="00F11066"/>
    <w:rsid w:val="00F1641F"/>
    <w:rsid w:val="00F3151E"/>
    <w:rsid w:val="00F410CC"/>
    <w:rsid w:val="00F5725F"/>
    <w:rsid w:val="00F744E5"/>
    <w:rsid w:val="00F951DF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4BEB0"/>
  <w15:docId w15:val="{E68878BD-94A7-47E8-8D14-EC0900F0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5D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3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3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088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883"/>
  </w:style>
  <w:style w:type="paragraph" w:styleId="Footer">
    <w:name w:val="footer"/>
    <w:basedOn w:val="Normal"/>
    <w:link w:val="FooterChar"/>
    <w:uiPriority w:val="99"/>
    <w:unhideWhenUsed/>
    <w:rsid w:val="00C9088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883"/>
  </w:style>
  <w:style w:type="character" w:styleId="CommentReference">
    <w:name w:val="annotation reference"/>
    <w:basedOn w:val="DefaultParagraphFont"/>
    <w:uiPriority w:val="99"/>
    <w:semiHidden/>
    <w:unhideWhenUsed/>
    <w:rsid w:val="00F315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5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5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5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5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151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02DAB-2581-4E4D-895C-8FDAF9740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Hernandez</dc:creator>
  <cp:lastModifiedBy>Hernandez, Victor (DDS)</cp:lastModifiedBy>
  <cp:revision>3</cp:revision>
  <cp:lastPrinted>2021-11-19T14:37:00Z</cp:lastPrinted>
  <dcterms:created xsi:type="dcterms:W3CDTF">2021-11-17T20:37:00Z</dcterms:created>
  <dcterms:modified xsi:type="dcterms:W3CDTF">2021-11-19T14:48:00Z</dcterms:modified>
</cp:coreProperties>
</file>