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42" w:rsidRDefault="00423842" w:rsidP="0042384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Autism Commission</w:t>
      </w:r>
    </w:p>
    <w:p w:rsidR="00423842" w:rsidRDefault="00423842" w:rsidP="0042384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Housing Sub-Committee meeting Minutes</w:t>
      </w:r>
    </w:p>
    <w:p w:rsidR="00423842" w:rsidRDefault="00423842" w:rsidP="0042384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10, 2017, 1:00pm – 3:00pm</w:t>
      </w:r>
    </w:p>
    <w:p w:rsidR="00423842" w:rsidRDefault="00423842" w:rsidP="00423842">
      <w:pPr>
        <w:spacing w:after="0" w:line="240" w:lineRule="auto"/>
        <w:jc w:val="center"/>
      </w:pPr>
      <w:r>
        <w:rPr>
          <w:sz w:val="24"/>
          <w:szCs w:val="24"/>
        </w:rPr>
        <w:t>500 Harrison Avenue</w:t>
      </w:r>
    </w:p>
    <w:p w:rsidR="00423842" w:rsidRDefault="00423842" w:rsidP="00423842">
      <w:pPr>
        <w:spacing w:after="0" w:line="240" w:lineRule="auto"/>
        <w:jc w:val="center"/>
      </w:pPr>
    </w:p>
    <w:p w:rsidR="00423842" w:rsidRDefault="00423842" w:rsidP="00423842">
      <w:pPr>
        <w:spacing w:after="0" w:line="240" w:lineRule="auto"/>
      </w:pPr>
    </w:p>
    <w:p w:rsidR="00423842" w:rsidRDefault="00423842" w:rsidP="00423842">
      <w:pPr>
        <w:rPr>
          <w:sz w:val="24"/>
          <w:szCs w:val="24"/>
        </w:rPr>
      </w:pPr>
      <w:r>
        <w:rPr>
          <w:sz w:val="24"/>
          <w:szCs w:val="24"/>
        </w:rPr>
        <w:t>Members present: Dan Burke, Carolyn Kain, Janet George, Nan Leonard, Kevin Barrett, Lea Hill, Victor Hernandez, Karen Mariscal, Joseph Valley, Cathy Boyle, Michelle Brait, Dafna-Krouk Gordon, Linn Torto, and Dianne Lescinskas</w:t>
      </w:r>
    </w:p>
    <w:p w:rsidR="00423842" w:rsidRDefault="00423842" w:rsidP="00423842">
      <w:pPr>
        <w:rPr>
          <w:sz w:val="24"/>
          <w:szCs w:val="24"/>
        </w:rPr>
      </w:pPr>
      <w:r>
        <w:rPr>
          <w:sz w:val="24"/>
          <w:szCs w:val="24"/>
        </w:rPr>
        <w:t>Members accessing the meeting remotely:  Ayana Gonzalez, Michelle Harris and Lisa Sloane (TAC)</w:t>
      </w:r>
    </w:p>
    <w:p w:rsidR="00423842" w:rsidRDefault="00423842" w:rsidP="004238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 Burke, the Chair, called the meeting to order at 1:05pm and welcomed the members to the meeting of this Sub-Committee.  Mr. Burke stated that the meeting was subject to the Open Meeting Law and that the Sub-Committee members present would need to vote to approve the remote participation of some members because of their geographic location, whenever any members were utilizing video and/or tele-conferencing.  Remote access was approved unanimously.    Minutes from last meeting in March were reviewed and approved unanimously.</w:t>
      </w:r>
    </w:p>
    <w:p w:rsidR="00423842" w:rsidRDefault="00423842" w:rsidP="00423842">
      <w:pPr>
        <w:spacing w:after="0" w:line="240" w:lineRule="auto"/>
        <w:rPr>
          <w:sz w:val="24"/>
          <w:szCs w:val="24"/>
        </w:rPr>
      </w:pPr>
    </w:p>
    <w:p w:rsidR="00423842" w:rsidRPr="008B08A4" w:rsidRDefault="008B08A4" w:rsidP="00423842">
      <w:pPr>
        <w:spacing w:after="0" w:line="240" w:lineRule="auto"/>
        <w:rPr>
          <w:b/>
          <w:sz w:val="24"/>
          <w:szCs w:val="24"/>
          <w:u w:val="single"/>
        </w:rPr>
      </w:pPr>
      <w:r w:rsidRPr="008B08A4">
        <w:rPr>
          <w:b/>
          <w:sz w:val="24"/>
          <w:szCs w:val="24"/>
          <w:u w:val="single"/>
        </w:rPr>
        <w:t>Review of draft survey information from TAC</w:t>
      </w:r>
    </w:p>
    <w:p w:rsidR="00423842" w:rsidRDefault="00423842" w:rsidP="00423842">
      <w:pPr>
        <w:spacing w:after="0" w:line="240" w:lineRule="auto"/>
        <w:rPr>
          <w:sz w:val="24"/>
          <w:szCs w:val="24"/>
        </w:rPr>
      </w:pPr>
    </w:p>
    <w:p w:rsidR="00423842" w:rsidRDefault="008B08A4" w:rsidP="004238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Lisa Sloane from TAC sent out draft documents for this sub-committee to review and discuss.  TAC will</w:t>
      </w:r>
      <w:r w:rsidR="00315F41">
        <w:rPr>
          <w:sz w:val="24"/>
          <w:szCs w:val="24"/>
        </w:rPr>
        <w:t xml:space="preserve"> conduct a survey to identify supportive housing units for ASD by using two different survey</w:t>
      </w:r>
      <w:r w:rsidR="009A4AF2">
        <w:rPr>
          <w:sz w:val="24"/>
          <w:szCs w:val="24"/>
        </w:rPr>
        <w:t>s</w:t>
      </w:r>
      <w:r w:rsidR="00315F41">
        <w:rPr>
          <w:sz w:val="24"/>
          <w:szCs w:val="24"/>
        </w:rPr>
        <w:t xml:space="preserve"> and will also conduct family and consumer focus groups.</w:t>
      </w:r>
    </w:p>
    <w:p w:rsidR="00315F41" w:rsidRDefault="00315F41" w:rsidP="00423842">
      <w:pPr>
        <w:spacing w:after="0" w:line="240" w:lineRule="auto"/>
        <w:rPr>
          <w:sz w:val="24"/>
          <w:szCs w:val="24"/>
        </w:rPr>
      </w:pPr>
    </w:p>
    <w:p w:rsidR="00315F41" w:rsidRDefault="00315F41" w:rsidP="00315F4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Provider Survey (will be done over the phone) and there is a list of 19 potential providers.</w:t>
      </w:r>
    </w:p>
    <w:p w:rsidR="00315F41" w:rsidRDefault="00315F41" w:rsidP="00315F4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Service Coordinator Survey (survey monkey – 4 questions)</w:t>
      </w:r>
    </w:p>
    <w:p w:rsidR="00315F41" w:rsidRDefault="00315F41" w:rsidP="00315F4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from Carolyn to the agencies</w:t>
      </w:r>
    </w:p>
    <w:p w:rsidR="00315F41" w:rsidRDefault="00315F41" w:rsidP="00315F4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 of 19 potential agencies to be contacted</w:t>
      </w:r>
    </w:p>
    <w:p w:rsidR="00315F41" w:rsidRDefault="00315F41" w:rsidP="00315F41">
      <w:pPr>
        <w:spacing w:after="0" w:line="240" w:lineRule="auto"/>
        <w:rPr>
          <w:sz w:val="24"/>
          <w:szCs w:val="24"/>
        </w:rPr>
      </w:pPr>
    </w:p>
    <w:p w:rsidR="00315F41" w:rsidRDefault="00315F41" w:rsidP="00315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Lisa said she would send the service coordinator survey (once approved by this sub-committee) to Victor Hernandez from DDS to distribute to the appropriate group</w:t>
      </w:r>
      <w:r w:rsidR="000E42EF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FD2816" w:rsidRDefault="00FD2816" w:rsidP="00315F41">
      <w:pPr>
        <w:spacing w:after="0" w:line="240" w:lineRule="auto"/>
        <w:rPr>
          <w:sz w:val="24"/>
          <w:szCs w:val="24"/>
        </w:rPr>
      </w:pPr>
    </w:p>
    <w:p w:rsidR="00FD2816" w:rsidRDefault="00FD2816" w:rsidP="00315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Ms. Go</w:t>
      </w:r>
      <w:r w:rsidR="0065541C">
        <w:rPr>
          <w:sz w:val="24"/>
          <w:szCs w:val="24"/>
        </w:rPr>
        <w:t>nz</w:t>
      </w:r>
      <w:r>
        <w:rPr>
          <w:sz w:val="24"/>
          <w:szCs w:val="24"/>
        </w:rPr>
        <w:t>ale</w:t>
      </w:r>
      <w:r w:rsidR="0065541C">
        <w:rPr>
          <w:sz w:val="24"/>
          <w:szCs w:val="24"/>
        </w:rPr>
        <w:t>z</w:t>
      </w:r>
      <w:r>
        <w:rPr>
          <w:sz w:val="24"/>
          <w:szCs w:val="24"/>
        </w:rPr>
        <w:t xml:space="preserve"> commented to the sub-committee that this group, as well as the commission, is underrepresented by people of color and asked if we could collectively work towards being more inclusive.</w:t>
      </w:r>
    </w:p>
    <w:p w:rsidR="00315F41" w:rsidRDefault="00315F41" w:rsidP="00315F4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15F41" w:rsidRDefault="009A4AF2" w:rsidP="00315F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Provider Survey comment/questions</w:t>
      </w:r>
    </w:p>
    <w:p w:rsidR="009A4AF2" w:rsidRDefault="009A4AF2" w:rsidP="00315F41">
      <w:pPr>
        <w:spacing w:after="0" w:line="240" w:lineRule="auto"/>
        <w:rPr>
          <w:b/>
          <w:sz w:val="24"/>
          <w:szCs w:val="24"/>
          <w:u w:val="single"/>
        </w:rPr>
      </w:pPr>
    </w:p>
    <w:p w:rsidR="009A4AF2" w:rsidRPr="006E0B35" w:rsidRDefault="006E0B35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Question 1(i) – concerns over the language on DDS  funded group homes – clarify the wording</w:t>
      </w:r>
    </w:p>
    <w:p w:rsidR="006E0B35" w:rsidRPr="006E0B35" w:rsidRDefault="006E0B35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Question 7 – units and beds could mean different things – the question should be broken into 2 parts separating units and beds.</w:t>
      </w:r>
      <w:r w:rsidR="00181743">
        <w:rPr>
          <w:sz w:val="24"/>
          <w:szCs w:val="24"/>
        </w:rPr>
        <w:t xml:space="preserve"> (this will be changed and will do the same for Question 8 and 9)</w:t>
      </w:r>
    </w:p>
    <w:p w:rsidR="006E0B35" w:rsidRPr="006E0B35" w:rsidRDefault="006E0B35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is the definition of a DDS funded home</w:t>
      </w:r>
    </w:p>
    <w:p w:rsidR="006E0B35" w:rsidRPr="00181743" w:rsidRDefault="006E0B35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Question 5 – some may not know how to answer the rent question since the number changes frequently</w:t>
      </w:r>
      <w:r w:rsidR="00181743">
        <w:rPr>
          <w:sz w:val="24"/>
          <w:szCs w:val="24"/>
        </w:rPr>
        <w:t xml:space="preserve"> (that language will be changed and will ask if it is below market and if so, how is it subsidized) </w:t>
      </w:r>
    </w:p>
    <w:p w:rsidR="00181743" w:rsidRPr="00181743" w:rsidRDefault="00181743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Question 12 – it was asked if this should be changed to Question 1 because if it is answered with a NO response they may not have to continue with the survey (this will be changed)</w:t>
      </w:r>
    </w:p>
    <w:p w:rsidR="00181743" w:rsidRPr="00181743" w:rsidRDefault="00181743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Should there be a list of in-home supports to go along with Question 12 – this could be a good discussion and could be put in as a recommendation as part of the report</w:t>
      </w:r>
    </w:p>
    <w:p w:rsidR="00181743" w:rsidRPr="00181743" w:rsidRDefault="00181743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provider questions will be done by phone and they can be flexible with descriptions and guiding through the questions</w:t>
      </w:r>
    </w:p>
    <w:p w:rsidR="00181743" w:rsidRPr="000E42EF" w:rsidRDefault="00181743" w:rsidP="009A4A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TAC will start by making 2-3 calls for the survey and then reassess and revamp the questions if needed</w:t>
      </w:r>
    </w:p>
    <w:p w:rsidR="000E42EF" w:rsidRDefault="000E42EF" w:rsidP="000E42EF">
      <w:pPr>
        <w:spacing w:after="0" w:line="240" w:lineRule="auto"/>
        <w:rPr>
          <w:b/>
          <w:sz w:val="24"/>
          <w:szCs w:val="24"/>
          <w:u w:val="single"/>
        </w:rPr>
      </w:pPr>
    </w:p>
    <w:p w:rsidR="000E42EF" w:rsidRDefault="000E42EF" w:rsidP="000E42E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Comments/Addit</w:t>
      </w:r>
      <w:r w:rsidR="007F17C2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ons to Provider List</w:t>
      </w:r>
    </w:p>
    <w:p w:rsidR="000E42EF" w:rsidRDefault="000E42EF" w:rsidP="000E42EF">
      <w:pPr>
        <w:spacing w:after="0" w:line="240" w:lineRule="auto"/>
        <w:rPr>
          <w:b/>
          <w:sz w:val="24"/>
          <w:szCs w:val="24"/>
          <w:u w:val="single"/>
        </w:rPr>
      </w:pPr>
    </w:p>
    <w:p w:rsidR="000E42EF" w:rsidRPr="000E42EF" w:rsidRDefault="000E42EF" w:rsidP="000E42E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provider list was created by TAC and they found the providers through looking at reports, the Commission website and other websites</w:t>
      </w:r>
      <w:r w:rsidR="007F17C2">
        <w:rPr>
          <w:sz w:val="24"/>
          <w:szCs w:val="24"/>
        </w:rPr>
        <w:t>, sub-committee members, google and</w:t>
      </w:r>
      <w:r>
        <w:rPr>
          <w:sz w:val="24"/>
          <w:szCs w:val="24"/>
        </w:rPr>
        <w:t xml:space="preserve"> their own research</w:t>
      </w:r>
    </w:p>
    <w:p w:rsidR="000E42EF" w:rsidRPr="000E42EF" w:rsidRDefault="000E42EF" w:rsidP="000E42E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Additional providers were added to the list and include: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Shared Living Collaborative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CapeAbilities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Amego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L’Arche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Nupath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Road to Responsibility</w:t>
      </w:r>
    </w:p>
    <w:p w:rsidR="000E42EF" w:rsidRPr="000E42EF" w:rsidRDefault="000E42EF" w:rsidP="000E42E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NEEDS</w:t>
      </w:r>
    </w:p>
    <w:p w:rsidR="000E42EF" w:rsidRPr="007F17C2" w:rsidRDefault="000E42EF" w:rsidP="000E42EF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Questions were raised on adding large property developers to this list like Avalon and Beacon – Lisa responded that once we identify the need and supply we could go back and ask if there is an interest in providing supportive housing</w:t>
      </w:r>
    </w:p>
    <w:p w:rsidR="007F17C2" w:rsidRDefault="007F17C2" w:rsidP="007F17C2">
      <w:pPr>
        <w:spacing w:after="0" w:line="240" w:lineRule="auto"/>
        <w:rPr>
          <w:b/>
          <w:sz w:val="24"/>
          <w:szCs w:val="24"/>
          <w:u w:val="single"/>
        </w:rPr>
      </w:pPr>
    </w:p>
    <w:p w:rsidR="007F17C2" w:rsidRDefault="007F17C2" w:rsidP="007F17C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Family and Consumer Focus Groups</w:t>
      </w:r>
    </w:p>
    <w:p w:rsidR="00A07F82" w:rsidRDefault="00A07F82" w:rsidP="007F17C2">
      <w:pPr>
        <w:spacing w:after="0" w:line="240" w:lineRule="auto"/>
        <w:rPr>
          <w:b/>
          <w:sz w:val="24"/>
          <w:szCs w:val="24"/>
          <w:u w:val="single"/>
        </w:rPr>
      </w:pPr>
    </w:p>
    <w:p w:rsidR="00301654" w:rsidRDefault="00A07F82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Outreach to target the appropriate group – Autism Support Centers </w:t>
      </w:r>
      <w:r w:rsidR="00301654">
        <w:rPr>
          <w:sz w:val="24"/>
          <w:szCs w:val="24"/>
        </w:rPr>
        <w:t xml:space="preserve">and area offices </w:t>
      </w:r>
    </w:p>
    <w:p w:rsidR="00A07F82" w:rsidRDefault="00465A34" w:rsidP="0030165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</w:t>
      </w:r>
      <w:r w:rsidR="00A07F82">
        <w:rPr>
          <w:sz w:val="24"/>
          <w:szCs w:val="24"/>
        </w:rPr>
        <w:t xml:space="preserve"> send out email blasts</w:t>
      </w:r>
    </w:p>
    <w:p w:rsidR="00301654" w:rsidRDefault="00301654" w:rsidP="0030165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flyer will be created and will be sent to members of this sub-committee for distribution at least 3 weeks prior to the focus group</w:t>
      </w:r>
    </w:p>
    <w:p w:rsidR="00D00E8D" w:rsidRDefault="00301654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sites were discussed for the foc</w:t>
      </w:r>
      <w:r w:rsidR="007C1845">
        <w:rPr>
          <w:sz w:val="24"/>
          <w:szCs w:val="24"/>
        </w:rPr>
        <w:t>u</w:t>
      </w:r>
      <w:r>
        <w:rPr>
          <w:sz w:val="24"/>
          <w:szCs w:val="24"/>
        </w:rPr>
        <w:t>s groups:  Natick Public Library, Orchard Garden Library in Dorchester and Nashoba Learning Group</w:t>
      </w:r>
    </w:p>
    <w:p w:rsidR="00301654" w:rsidRDefault="00301654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Two dates were discussed for the focus groups: June 6</w:t>
      </w:r>
      <w:r w:rsidRPr="0030165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7</w:t>
      </w:r>
      <w:r w:rsidRPr="00301654">
        <w:rPr>
          <w:sz w:val="24"/>
          <w:szCs w:val="24"/>
          <w:vertAlign w:val="superscript"/>
        </w:rPr>
        <w:t>th</w:t>
      </w:r>
    </w:p>
    <w:p w:rsidR="00301654" w:rsidRDefault="00301654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TAC will put together a draft PowerPoint for this committee to review and the content will contain the background on the Commission, legislation and the survey and background on disabilities and housing needs</w:t>
      </w:r>
    </w:p>
    <w:p w:rsidR="00301654" w:rsidRDefault="00301654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TAC will draft 5 questions for conversation starters for the focus group – once the questions are created Ms. Sloane from TAC will send to Dan Burke and Carolyn Kain to get feedback from this sub-committee.  </w:t>
      </w:r>
    </w:p>
    <w:p w:rsidR="00301654" w:rsidRDefault="00301654" w:rsidP="0030165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Questions were raised around registration due to space  - Ms. Sloane will speak with Carolyn Kain but may be able to do a registration</w:t>
      </w:r>
    </w:p>
    <w:p w:rsidR="00301654" w:rsidRDefault="00301654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comments regarding the focus group and the attendees that may be non-verbal  - could TAC provide visuals, an array of picture cards </w:t>
      </w:r>
      <w:r w:rsidR="007C1845">
        <w:rPr>
          <w:sz w:val="24"/>
          <w:szCs w:val="24"/>
        </w:rPr>
        <w:t>(for those more impacted by their disability)</w:t>
      </w:r>
    </w:p>
    <w:p w:rsidR="007C1845" w:rsidRDefault="007C1845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Ms. Sloane did not include registration, interpretation and visuals in the original contract – she will follow up with Ms. Kain on these issues</w:t>
      </w:r>
    </w:p>
    <w:p w:rsidR="007C1845" w:rsidRDefault="007C1845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TAC does work with a range of people with disabilities </w:t>
      </w:r>
    </w:p>
    <w:p w:rsidR="007C1845" w:rsidRDefault="007C1845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DDS does provide interpretation services for its’ clients</w:t>
      </w:r>
    </w:p>
    <w:p w:rsidR="00F949C4" w:rsidRDefault="00F949C4" w:rsidP="00A07F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Cathy Boyle sent Ms. Kain draft questions for review for the focus group – Ms. Kain will send the questions to Ms. Sloane</w:t>
      </w:r>
    </w:p>
    <w:p w:rsidR="00F949C4" w:rsidRDefault="00F949C4" w:rsidP="00F949C4">
      <w:pPr>
        <w:spacing w:after="0" w:line="240" w:lineRule="auto"/>
        <w:rPr>
          <w:sz w:val="24"/>
          <w:szCs w:val="24"/>
        </w:rPr>
      </w:pPr>
    </w:p>
    <w:p w:rsidR="00FF3A57" w:rsidRPr="00FF3A57" w:rsidRDefault="00F949C4" w:rsidP="00FF3A57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There was conversation around information that was sent to this sub-committee by Chris Supple regarding set-asides and how we as a group or a full commission, could advocate effectively.  It was said that Linn Torto could be helpful on this issue and we should ask if she could present more information regarding set-asides at a future meeting.</w:t>
      </w:r>
      <w:r w:rsidR="00465A34">
        <w:rPr>
          <w:sz w:val="24"/>
          <w:szCs w:val="24"/>
        </w:rPr>
        <w:t xml:space="preserve"> </w:t>
      </w:r>
      <w:r w:rsidR="00FF3A57" w:rsidRPr="00FF3A57">
        <w:t xml:space="preserve"> </w:t>
      </w:r>
      <w:r w:rsidR="00FF3A57" w:rsidRPr="00FF3A57">
        <w:rPr>
          <w:sz w:val="24"/>
          <w:szCs w:val="24"/>
        </w:rPr>
        <w:t xml:space="preserve">Also, the Governor filed a 1.3 billion, five- year housing bill that includes supportive housing and housing serving vulnerable populations.  </w:t>
      </w:r>
      <w:r w:rsidR="00465A34">
        <w:rPr>
          <w:sz w:val="24"/>
          <w:szCs w:val="24"/>
        </w:rPr>
        <w:t>Again – how can we advocate for the ASD population as a commission.</w:t>
      </w:r>
    </w:p>
    <w:p w:rsidR="00FF3A57" w:rsidRDefault="00FF3A57" w:rsidP="00F949C4">
      <w:pPr>
        <w:spacing w:after="0" w:line="240" w:lineRule="auto"/>
        <w:rPr>
          <w:sz w:val="24"/>
          <w:szCs w:val="24"/>
        </w:rPr>
      </w:pPr>
    </w:p>
    <w:p w:rsidR="00F949C4" w:rsidRDefault="00F949C4" w:rsidP="00F949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Tax credits were also discussed and it was mentioned that it is fertile ground for our group to look - we could ask Ayanna if she could do a presentation on tax credits for a future meeting.</w:t>
      </w:r>
    </w:p>
    <w:p w:rsidR="00F1730B" w:rsidRDefault="00F1730B" w:rsidP="00F949C4">
      <w:pPr>
        <w:spacing w:after="0" w:line="240" w:lineRule="auto"/>
        <w:rPr>
          <w:sz w:val="24"/>
          <w:szCs w:val="24"/>
        </w:rPr>
      </w:pPr>
    </w:p>
    <w:p w:rsidR="00F1730B" w:rsidRPr="00465A34" w:rsidRDefault="00F1730B" w:rsidP="00F949C4">
      <w:pPr>
        <w:spacing w:after="0" w:line="240" w:lineRule="auto"/>
        <w:rPr>
          <w:b/>
          <w:sz w:val="24"/>
          <w:szCs w:val="24"/>
          <w:u w:val="single"/>
        </w:rPr>
      </w:pPr>
      <w:r w:rsidRPr="00465A34">
        <w:rPr>
          <w:b/>
          <w:sz w:val="24"/>
          <w:szCs w:val="24"/>
          <w:u w:val="single"/>
        </w:rPr>
        <w:t>Possible Agenda Items for Next Meeting</w:t>
      </w:r>
    </w:p>
    <w:p w:rsidR="00F1730B" w:rsidRDefault="00F1730B" w:rsidP="00F949C4">
      <w:pPr>
        <w:spacing w:after="0" w:line="240" w:lineRule="auto"/>
        <w:rPr>
          <w:sz w:val="24"/>
          <w:szCs w:val="24"/>
        </w:rPr>
      </w:pPr>
    </w:p>
    <w:p w:rsidR="00F1730B" w:rsidRDefault="00F1730B" w:rsidP="00F1730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 by Ayanna Gonsalves on Tax Credits and CDAC</w:t>
      </w:r>
    </w:p>
    <w:p w:rsidR="00F1730B" w:rsidRDefault="00F1730B" w:rsidP="00F1730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 by Linn Torto on set-asides</w:t>
      </w:r>
    </w:p>
    <w:p w:rsidR="00F1730B" w:rsidRDefault="00F1730B" w:rsidP="00F1730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the </w:t>
      </w:r>
      <w:r w:rsidR="00E218BA">
        <w:rPr>
          <w:sz w:val="24"/>
          <w:szCs w:val="24"/>
        </w:rPr>
        <w:t>Think Tank Recommendations</w:t>
      </w:r>
    </w:p>
    <w:p w:rsidR="00465A34" w:rsidRDefault="00465A34" w:rsidP="00465A34">
      <w:pPr>
        <w:spacing w:after="0" w:line="240" w:lineRule="auto"/>
        <w:rPr>
          <w:sz w:val="24"/>
          <w:szCs w:val="24"/>
        </w:rPr>
      </w:pPr>
    </w:p>
    <w:p w:rsidR="00465A34" w:rsidRPr="00465A34" w:rsidRDefault="00465A34" w:rsidP="00465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next meeting for this sub-committee was scheduled for July 19</w:t>
      </w:r>
      <w:r w:rsidRPr="00465A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1:00-3:00pm.  The meeting was adjourned at 2:55pm.</w:t>
      </w:r>
    </w:p>
    <w:p w:rsidR="00E218BA" w:rsidRDefault="00E218BA" w:rsidP="00E218BA">
      <w:pPr>
        <w:pStyle w:val="ListParagraph"/>
        <w:spacing w:after="0" w:line="240" w:lineRule="auto"/>
        <w:rPr>
          <w:sz w:val="24"/>
          <w:szCs w:val="24"/>
        </w:rPr>
      </w:pPr>
    </w:p>
    <w:p w:rsidR="00E218BA" w:rsidRPr="00E218BA" w:rsidRDefault="00E218BA" w:rsidP="00E218BA">
      <w:pPr>
        <w:spacing w:after="0" w:line="240" w:lineRule="auto"/>
        <w:rPr>
          <w:sz w:val="24"/>
          <w:szCs w:val="24"/>
        </w:rPr>
      </w:pPr>
    </w:p>
    <w:p w:rsidR="00F1730B" w:rsidRDefault="00F1730B" w:rsidP="00F949C4">
      <w:pPr>
        <w:spacing w:after="0" w:line="240" w:lineRule="auto"/>
        <w:rPr>
          <w:sz w:val="24"/>
          <w:szCs w:val="24"/>
        </w:rPr>
      </w:pPr>
    </w:p>
    <w:p w:rsidR="00F1730B" w:rsidRPr="00F949C4" w:rsidRDefault="00F1730B" w:rsidP="00F949C4">
      <w:pPr>
        <w:spacing w:after="0" w:line="240" w:lineRule="auto"/>
        <w:rPr>
          <w:sz w:val="24"/>
          <w:szCs w:val="24"/>
        </w:rPr>
      </w:pPr>
    </w:p>
    <w:p w:rsidR="003024C1" w:rsidRDefault="003024C1" w:rsidP="003024C1">
      <w:pPr>
        <w:spacing w:after="0" w:line="240" w:lineRule="auto"/>
        <w:rPr>
          <w:sz w:val="24"/>
          <w:szCs w:val="24"/>
        </w:rPr>
      </w:pPr>
    </w:p>
    <w:p w:rsidR="003024C1" w:rsidRPr="003024C1" w:rsidRDefault="003024C1" w:rsidP="003024C1">
      <w:pPr>
        <w:spacing w:after="0" w:line="240" w:lineRule="auto"/>
        <w:rPr>
          <w:sz w:val="24"/>
          <w:szCs w:val="24"/>
        </w:rPr>
      </w:pPr>
    </w:p>
    <w:p w:rsidR="003024C1" w:rsidRDefault="003024C1" w:rsidP="003024C1">
      <w:pPr>
        <w:spacing w:after="0" w:line="240" w:lineRule="auto"/>
        <w:ind w:left="360"/>
        <w:rPr>
          <w:sz w:val="24"/>
          <w:szCs w:val="24"/>
        </w:rPr>
      </w:pPr>
    </w:p>
    <w:p w:rsidR="003024C1" w:rsidRDefault="003024C1" w:rsidP="003024C1">
      <w:pPr>
        <w:spacing w:after="0" w:line="240" w:lineRule="auto"/>
        <w:ind w:left="360"/>
        <w:rPr>
          <w:sz w:val="24"/>
          <w:szCs w:val="24"/>
        </w:rPr>
      </w:pPr>
    </w:p>
    <w:p w:rsidR="003024C1" w:rsidRPr="003024C1" w:rsidRDefault="003024C1" w:rsidP="003024C1">
      <w:pPr>
        <w:spacing w:after="0" w:line="240" w:lineRule="auto"/>
        <w:ind w:left="360"/>
        <w:rPr>
          <w:sz w:val="24"/>
          <w:szCs w:val="24"/>
        </w:rPr>
      </w:pPr>
    </w:p>
    <w:p w:rsidR="000E42EF" w:rsidRPr="000E42EF" w:rsidRDefault="000E42EF" w:rsidP="000E42EF">
      <w:pPr>
        <w:spacing w:after="0" w:line="240" w:lineRule="auto"/>
        <w:rPr>
          <w:b/>
          <w:sz w:val="24"/>
          <w:szCs w:val="24"/>
          <w:u w:val="single"/>
        </w:rPr>
      </w:pPr>
    </w:p>
    <w:p w:rsidR="00315F41" w:rsidRPr="00315F41" w:rsidRDefault="00315F41" w:rsidP="00315F41">
      <w:pPr>
        <w:spacing w:after="0" w:line="240" w:lineRule="auto"/>
        <w:rPr>
          <w:sz w:val="24"/>
          <w:szCs w:val="24"/>
        </w:rPr>
      </w:pPr>
    </w:p>
    <w:p w:rsidR="002D2369" w:rsidRDefault="00FC30A0"/>
    <w:sectPr w:rsidR="002D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A0" w:rsidRDefault="00FC30A0" w:rsidP="00465A34">
      <w:pPr>
        <w:spacing w:after="0" w:line="240" w:lineRule="auto"/>
      </w:pPr>
      <w:r>
        <w:separator/>
      </w:r>
    </w:p>
  </w:endnote>
  <w:endnote w:type="continuationSeparator" w:id="0">
    <w:p w:rsidR="00FC30A0" w:rsidRDefault="00FC30A0" w:rsidP="0046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34" w:rsidRDefault="00465A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34" w:rsidRDefault="00465A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34" w:rsidRDefault="00465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A0" w:rsidRDefault="00FC30A0" w:rsidP="00465A34">
      <w:pPr>
        <w:spacing w:after="0" w:line="240" w:lineRule="auto"/>
      </w:pPr>
      <w:r>
        <w:separator/>
      </w:r>
    </w:p>
  </w:footnote>
  <w:footnote w:type="continuationSeparator" w:id="0">
    <w:p w:rsidR="00FC30A0" w:rsidRDefault="00FC30A0" w:rsidP="0046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34" w:rsidRDefault="00465A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443581"/>
      <w:docPartObj>
        <w:docPartGallery w:val="Watermarks"/>
        <w:docPartUnique/>
      </w:docPartObj>
    </w:sdtPr>
    <w:sdtEndPr/>
    <w:sdtContent>
      <w:p w:rsidR="00465A34" w:rsidRDefault="00FC30A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34" w:rsidRDefault="00465A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C90"/>
    <w:multiLevelType w:val="hybridMultilevel"/>
    <w:tmpl w:val="5040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7070A"/>
    <w:multiLevelType w:val="hybridMultilevel"/>
    <w:tmpl w:val="A0102E82"/>
    <w:lvl w:ilvl="0" w:tplc="B7DC0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CB6CF4"/>
    <w:multiLevelType w:val="hybridMultilevel"/>
    <w:tmpl w:val="FB3E1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32EC"/>
    <w:multiLevelType w:val="hybridMultilevel"/>
    <w:tmpl w:val="90F4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D377A"/>
    <w:multiLevelType w:val="hybridMultilevel"/>
    <w:tmpl w:val="CAE4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136F0"/>
    <w:multiLevelType w:val="hybridMultilevel"/>
    <w:tmpl w:val="B65C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42"/>
    <w:rsid w:val="000B428C"/>
    <w:rsid w:val="000E42EF"/>
    <w:rsid w:val="00181743"/>
    <w:rsid w:val="00301654"/>
    <w:rsid w:val="003024C1"/>
    <w:rsid w:val="00315F41"/>
    <w:rsid w:val="00423842"/>
    <w:rsid w:val="00465A34"/>
    <w:rsid w:val="00465C99"/>
    <w:rsid w:val="0065541C"/>
    <w:rsid w:val="006C7BAA"/>
    <w:rsid w:val="006E0B35"/>
    <w:rsid w:val="007C1845"/>
    <w:rsid w:val="007F17C2"/>
    <w:rsid w:val="00854A8F"/>
    <w:rsid w:val="008B08A4"/>
    <w:rsid w:val="009A4AF2"/>
    <w:rsid w:val="00A07F82"/>
    <w:rsid w:val="00D00E8D"/>
    <w:rsid w:val="00DB1235"/>
    <w:rsid w:val="00E218BA"/>
    <w:rsid w:val="00F1730B"/>
    <w:rsid w:val="00F949C4"/>
    <w:rsid w:val="00FC30A0"/>
    <w:rsid w:val="00FD2816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4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F3A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3A57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46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34"/>
  </w:style>
  <w:style w:type="paragraph" w:styleId="Footer">
    <w:name w:val="footer"/>
    <w:basedOn w:val="Normal"/>
    <w:link w:val="FooterChar"/>
    <w:uiPriority w:val="99"/>
    <w:unhideWhenUsed/>
    <w:rsid w:val="0046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4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F3A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3A57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46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34"/>
  </w:style>
  <w:style w:type="paragraph" w:styleId="Footer">
    <w:name w:val="footer"/>
    <w:basedOn w:val="Normal"/>
    <w:link w:val="FooterChar"/>
    <w:uiPriority w:val="99"/>
    <w:unhideWhenUsed/>
    <w:rsid w:val="0046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2017-07-11T16:02:00Z</dcterms:created>
  <dc:creator>Lescinskas, Dianne (EHS)</dc:creator>
  <lastModifiedBy/>
  <dcterms:modified xsi:type="dcterms:W3CDTF">2017-07-11T16:02:00Z</dcterms:modified>
  <revision>2</revision>
</coreProperties>
</file>