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CE430" w14:textId="23013999" w:rsidR="00375670" w:rsidRPr="008F3244" w:rsidRDefault="00547C0E" w:rsidP="00052784">
      <w:pPr>
        <w:tabs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              </w:t>
      </w:r>
      <w:r w:rsidR="00375670" w:rsidRPr="008F3244">
        <w:rPr>
          <w:rFonts w:asciiTheme="minorHAnsi" w:hAnsiTheme="minorHAnsi" w:cstheme="minorHAnsi"/>
          <w:bCs/>
          <w:sz w:val="22"/>
          <w:szCs w:val="22"/>
        </w:rPr>
        <w:t>Massachusetts Department of Public Health (</w:t>
      </w:r>
      <w:r w:rsidR="00455E18" w:rsidRPr="008F3244">
        <w:rPr>
          <w:rFonts w:asciiTheme="minorHAnsi" w:hAnsiTheme="minorHAnsi" w:cstheme="minorHAnsi"/>
          <w:bCs/>
          <w:sz w:val="22"/>
          <w:szCs w:val="22"/>
        </w:rPr>
        <w:t>M</w:t>
      </w:r>
      <w:r w:rsidR="00375670" w:rsidRPr="008F3244">
        <w:rPr>
          <w:rFonts w:asciiTheme="minorHAnsi" w:hAnsiTheme="minorHAnsi" w:cstheme="minorHAnsi"/>
          <w:bCs/>
          <w:sz w:val="22"/>
          <w:szCs w:val="22"/>
        </w:rPr>
        <w:t>DPH)</w:t>
      </w:r>
    </w:p>
    <w:p w14:paraId="453AD084" w14:textId="2597A210" w:rsidR="00375670" w:rsidRPr="008F3244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8F3244">
        <w:rPr>
          <w:rFonts w:asciiTheme="minorHAnsi" w:hAnsiTheme="minorHAnsi" w:cstheme="minorHAnsi"/>
          <w:bCs/>
          <w:sz w:val="22"/>
          <w:szCs w:val="22"/>
        </w:rPr>
        <w:t xml:space="preserve">Immunization </w:t>
      </w:r>
      <w:r w:rsidR="003B3715">
        <w:rPr>
          <w:rFonts w:asciiTheme="minorHAnsi" w:hAnsiTheme="minorHAnsi" w:cstheme="minorHAnsi"/>
          <w:bCs/>
          <w:sz w:val="22"/>
          <w:szCs w:val="22"/>
        </w:rPr>
        <w:t>Division</w:t>
      </w:r>
    </w:p>
    <w:p w14:paraId="7C5E31F0" w14:textId="77777777" w:rsidR="00D508B3" w:rsidRPr="008F3244" w:rsidRDefault="00D508B3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  <w:sz w:val="12"/>
          <w:szCs w:val="12"/>
        </w:rPr>
      </w:pPr>
    </w:p>
    <w:p w14:paraId="44AECA29" w14:textId="52FECF23" w:rsidR="00375670" w:rsidRPr="0098350E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  <w:sz w:val="36"/>
          <w:szCs w:val="36"/>
        </w:rPr>
      </w:pPr>
      <w:r w:rsidRPr="0098350E">
        <w:rPr>
          <w:rFonts w:asciiTheme="minorHAnsi" w:hAnsiTheme="minorHAnsi" w:cstheme="minorHAnsi"/>
          <w:b/>
          <w:bCs/>
          <w:sz w:val="36"/>
          <w:szCs w:val="36"/>
        </w:rPr>
        <w:t>Childhood Vaccine Availability Table</w:t>
      </w:r>
    </w:p>
    <w:p w14:paraId="008E580C" w14:textId="61545109" w:rsidR="005B5CF2" w:rsidRPr="0098350E" w:rsidRDefault="00625C05" w:rsidP="7D37420F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Bidi"/>
          <w:b/>
          <w:bCs/>
          <w:sz w:val="32"/>
          <w:szCs w:val="32"/>
        </w:rPr>
      </w:pPr>
      <w:r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– </w:t>
      </w:r>
      <w:r w:rsidR="00C75CA0" w:rsidRPr="7D37420F">
        <w:rPr>
          <w:rFonts w:asciiTheme="minorHAnsi" w:hAnsiTheme="minorHAnsi" w:cstheme="minorBidi"/>
          <w:b/>
          <w:bCs/>
          <w:sz w:val="32"/>
          <w:szCs w:val="32"/>
        </w:rPr>
        <w:t>Effective</w:t>
      </w:r>
      <w:r w:rsidR="00A90014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977A69">
        <w:rPr>
          <w:rFonts w:asciiTheme="minorHAnsi" w:hAnsiTheme="minorHAnsi" w:cstheme="minorBidi"/>
          <w:b/>
          <w:bCs/>
          <w:sz w:val="32"/>
          <w:szCs w:val="32"/>
        </w:rPr>
        <w:t>October</w:t>
      </w:r>
      <w:r w:rsidR="00384E94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5A5266" w:rsidRPr="7D37420F">
        <w:rPr>
          <w:rFonts w:asciiTheme="minorHAnsi" w:hAnsiTheme="minorHAnsi" w:cstheme="minorBidi"/>
          <w:b/>
          <w:bCs/>
          <w:sz w:val="32"/>
          <w:szCs w:val="32"/>
        </w:rPr>
        <w:t>202</w:t>
      </w:r>
      <w:r w:rsidR="7CE055AA" w:rsidRPr="7D37420F">
        <w:rPr>
          <w:rFonts w:asciiTheme="minorHAnsi" w:hAnsiTheme="minorHAnsi" w:cstheme="minorBidi"/>
          <w:b/>
          <w:bCs/>
          <w:sz w:val="32"/>
          <w:szCs w:val="32"/>
        </w:rPr>
        <w:t>5</w:t>
      </w:r>
      <w:r w:rsidR="00C75CA0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 </w:t>
      </w:r>
      <w:r w:rsidR="005B5CF2" w:rsidRPr="7D37420F">
        <w:rPr>
          <w:rFonts w:asciiTheme="minorHAnsi" w:hAnsiTheme="minorHAnsi" w:cstheme="minorBidi"/>
          <w:b/>
          <w:bCs/>
          <w:sz w:val="32"/>
          <w:szCs w:val="32"/>
        </w:rPr>
        <w:t xml:space="preserve">– </w:t>
      </w:r>
    </w:p>
    <w:p w14:paraId="6FD46CF8" w14:textId="77777777" w:rsidR="00386822" w:rsidRPr="008F3244" w:rsidRDefault="00386822" w:rsidP="00052784">
      <w:pPr>
        <w:tabs>
          <w:tab w:val="left" w:pos="1716"/>
          <w:tab w:val="left" w:pos="4308"/>
          <w:tab w:val="left" w:pos="6468"/>
          <w:tab w:val="left" w:pos="10668"/>
        </w:tabs>
        <w:jc w:val="center"/>
        <w:outlineLvl w:val="0"/>
        <w:rPr>
          <w:rFonts w:asciiTheme="minorHAnsi" w:hAnsiTheme="minorHAnsi" w:cstheme="minorHAnsi"/>
          <w:b/>
          <w:bCs/>
        </w:rPr>
      </w:pPr>
    </w:p>
    <w:p w14:paraId="4365512B" w14:textId="77777777" w:rsidR="00375670" w:rsidRPr="008F3244" w:rsidRDefault="00375670" w:rsidP="00052784">
      <w:pPr>
        <w:tabs>
          <w:tab w:val="left" w:pos="1716"/>
          <w:tab w:val="left" w:pos="4308"/>
          <w:tab w:val="left" w:pos="6468"/>
          <w:tab w:val="left" w:pos="10668"/>
        </w:tabs>
        <w:outlineLvl w:val="0"/>
        <w:rPr>
          <w:rFonts w:asciiTheme="minorHAnsi" w:hAnsiTheme="minorHAnsi" w:cstheme="minorHAnsi"/>
          <w:b/>
          <w:bCs/>
        </w:rPr>
      </w:pPr>
      <w:r w:rsidRPr="008F3244">
        <w:rPr>
          <w:rFonts w:asciiTheme="minorHAnsi" w:hAnsiTheme="minorHAnsi" w:cstheme="minorHAnsi"/>
          <w:b/>
          <w:bCs/>
        </w:rPr>
        <w:t>Eligibility</w:t>
      </w:r>
      <w:r w:rsidR="00E67D25" w:rsidRPr="008F3244">
        <w:rPr>
          <w:rFonts w:asciiTheme="minorHAnsi" w:hAnsiTheme="minorHAnsi" w:cstheme="minorHAnsi"/>
          <w:b/>
          <w:bCs/>
        </w:rPr>
        <w:t xml:space="preserve"> Categories</w:t>
      </w:r>
      <w:r w:rsidR="002816B0" w:rsidRPr="008F3244">
        <w:rPr>
          <w:rFonts w:asciiTheme="minorHAnsi" w:hAnsiTheme="minorHAnsi" w:cstheme="minorHAnsi"/>
          <w:b/>
          <w:bCs/>
        </w:rPr>
        <w:t>:</w:t>
      </w:r>
    </w:p>
    <w:p w14:paraId="20E7B35E" w14:textId="2B6F3444" w:rsidR="00375670" w:rsidRPr="008F3244" w:rsidRDefault="00375670" w:rsidP="007840B8">
      <w:pPr>
        <w:numPr>
          <w:ilvl w:val="0"/>
          <w:numId w:val="1"/>
        </w:numPr>
        <w:tabs>
          <w:tab w:val="left" w:pos="1716"/>
          <w:tab w:val="left" w:pos="4308"/>
          <w:tab w:val="left" w:pos="6468"/>
          <w:tab w:val="left" w:pos="10668"/>
        </w:tabs>
        <w:spacing w:line="259" w:lineRule="auto"/>
        <w:rPr>
          <w:rFonts w:asciiTheme="minorHAnsi" w:hAnsiTheme="minorHAnsi" w:cstheme="minorBidi"/>
        </w:rPr>
      </w:pPr>
      <w:r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All Children: </w:t>
      </w:r>
      <w:r w:rsidRPr="7D37420F">
        <w:rPr>
          <w:rFonts w:asciiTheme="minorHAnsi" w:hAnsiTheme="minorHAnsi" w:cstheme="minorBidi"/>
          <w:sz w:val="22"/>
          <w:szCs w:val="22"/>
        </w:rPr>
        <w:t xml:space="preserve">Vaccine provided by </w:t>
      </w:r>
      <w:r w:rsidR="223E9F59" w:rsidRPr="007840B8">
        <w:rPr>
          <w:rFonts w:asciiTheme="minorHAnsi" w:hAnsiTheme="minorHAnsi" w:cstheme="minorBidi"/>
          <w:sz w:val="22"/>
          <w:szCs w:val="22"/>
        </w:rPr>
        <w:t>the Vaccine Program</w:t>
      </w:r>
      <w:r w:rsidRPr="7D37420F">
        <w:rPr>
          <w:rFonts w:asciiTheme="minorHAnsi" w:hAnsiTheme="minorHAnsi" w:cstheme="minorBidi"/>
          <w:sz w:val="22"/>
          <w:szCs w:val="22"/>
        </w:rPr>
        <w:t xml:space="preserve"> for identified cohorts</w:t>
      </w:r>
      <w:r w:rsidR="006253D3" w:rsidRPr="7D37420F">
        <w:rPr>
          <w:rFonts w:asciiTheme="minorHAnsi" w:hAnsiTheme="minorHAnsi" w:cstheme="minorBidi"/>
          <w:sz w:val="22"/>
          <w:szCs w:val="22"/>
        </w:rPr>
        <w:t>,</w:t>
      </w:r>
      <w:r w:rsidRPr="7D37420F">
        <w:rPr>
          <w:rFonts w:asciiTheme="minorHAnsi" w:hAnsiTheme="minorHAnsi" w:cstheme="minorBidi"/>
          <w:sz w:val="22"/>
          <w:szCs w:val="22"/>
        </w:rPr>
        <w:t xml:space="preserve"> regardless of insurance status.</w:t>
      </w:r>
    </w:p>
    <w:p w14:paraId="3FFF3F3B" w14:textId="0504C370" w:rsidR="00625C05" w:rsidRPr="008F3244" w:rsidRDefault="00375670" w:rsidP="007840B8">
      <w:pPr>
        <w:numPr>
          <w:ilvl w:val="0"/>
          <w:numId w:val="1"/>
        </w:numPr>
        <w:tabs>
          <w:tab w:val="left" w:pos="960"/>
          <w:tab w:val="left" w:pos="4308"/>
          <w:tab w:val="left" w:pos="6468"/>
          <w:tab w:val="left" w:pos="11040"/>
        </w:tabs>
        <w:spacing w:line="259" w:lineRule="auto"/>
        <w:ind w:right="-240"/>
        <w:rPr>
          <w:rFonts w:asciiTheme="minorHAnsi" w:hAnsiTheme="minorHAnsi" w:cstheme="minorBidi"/>
        </w:rPr>
      </w:pPr>
      <w:r w:rsidRPr="7D37420F">
        <w:rPr>
          <w:rFonts w:asciiTheme="minorHAnsi" w:hAnsiTheme="minorHAnsi" w:cstheme="minorBidi"/>
          <w:b/>
          <w:bCs/>
          <w:sz w:val="22"/>
          <w:szCs w:val="22"/>
        </w:rPr>
        <w:t>V</w:t>
      </w:r>
      <w:r w:rsidR="00487C36" w:rsidRPr="7D37420F">
        <w:rPr>
          <w:rFonts w:asciiTheme="minorHAnsi" w:hAnsiTheme="minorHAnsi" w:cstheme="minorBidi"/>
          <w:b/>
          <w:bCs/>
          <w:sz w:val="22"/>
          <w:szCs w:val="22"/>
        </w:rPr>
        <w:t>accine</w:t>
      </w:r>
      <w:r w:rsidR="008F5D59" w:rsidRPr="7D37420F">
        <w:rPr>
          <w:rFonts w:asciiTheme="minorHAnsi" w:hAnsiTheme="minorHAnsi" w:cstheme="minorBidi"/>
          <w:b/>
          <w:bCs/>
          <w:sz w:val="22"/>
          <w:szCs w:val="22"/>
        </w:rPr>
        <w:t>s</w:t>
      </w:r>
      <w:r w:rsidR="00487C36"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 for Children (VFC) </w:t>
      </w:r>
      <w:r w:rsidR="1D14C36D"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Eligible </w:t>
      </w:r>
      <w:r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Only: </w:t>
      </w:r>
      <w:r w:rsidRPr="7D37420F">
        <w:rPr>
          <w:rFonts w:asciiTheme="minorHAnsi" w:hAnsiTheme="minorHAnsi" w:cstheme="minorBidi"/>
          <w:sz w:val="22"/>
          <w:szCs w:val="22"/>
        </w:rPr>
        <w:t xml:space="preserve">Vaccine provided by </w:t>
      </w:r>
      <w:r w:rsidR="277F7F7E" w:rsidRPr="007840B8">
        <w:rPr>
          <w:rFonts w:asciiTheme="minorHAnsi" w:hAnsiTheme="minorHAnsi" w:cstheme="minorBidi"/>
          <w:sz w:val="22"/>
          <w:szCs w:val="22"/>
        </w:rPr>
        <w:t>the Vaccine Program</w:t>
      </w:r>
      <w:r w:rsidR="277F7F7E"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</w:rPr>
        <w:t>for identified cohorts who are</w:t>
      </w:r>
      <w:r w:rsidR="00A50964" w:rsidRPr="7D37420F">
        <w:rPr>
          <w:rFonts w:asciiTheme="minorHAnsi" w:hAnsiTheme="minorHAnsi" w:cstheme="minorBidi"/>
          <w:sz w:val="22"/>
          <w:szCs w:val="22"/>
        </w:rPr>
        <w:t xml:space="preserve">: 1) </w:t>
      </w:r>
      <w:r w:rsidR="00C13A96" w:rsidRPr="7D37420F">
        <w:rPr>
          <w:rFonts w:asciiTheme="minorHAnsi" w:hAnsiTheme="minorHAnsi" w:cstheme="minorBidi"/>
          <w:sz w:val="22"/>
          <w:szCs w:val="22"/>
        </w:rPr>
        <w:t>uninsured;</w:t>
      </w:r>
      <w:r w:rsidR="005112AB"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00A50964" w:rsidRPr="7D37420F">
        <w:rPr>
          <w:rFonts w:asciiTheme="minorHAnsi" w:hAnsiTheme="minorHAnsi" w:cstheme="minorBidi"/>
          <w:sz w:val="22"/>
          <w:szCs w:val="22"/>
        </w:rPr>
        <w:t>2)</w:t>
      </w:r>
      <w:r w:rsidR="00EC5AF5"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</w:rPr>
        <w:t xml:space="preserve">enrolled in </w:t>
      </w:r>
      <w:r w:rsidR="00317029" w:rsidRPr="7D37420F">
        <w:rPr>
          <w:rFonts w:asciiTheme="minorHAnsi" w:hAnsiTheme="minorHAnsi" w:cstheme="minorBidi"/>
          <w:sz w:val="22"/>
          <w:szCs w:val="22"/>
        </w:rPr>
        <w:t>MassHealth/</w:t>
      </w:r>
      <w:r w:rsidR="00C13A96" w:rsidRPr="7D37420F">
        <w:rPr>
          <w:rFonts w:asciiTheme="minorHAnsi" w:hAnsiTheme="minorHAnsi" w:cstheme="minorBidi"/>
          <w:sz w:val="22"/>
          <w:szCs w:val="22"/>
        </w:rPr>
        <w:t>Medicaid;</w:t>
      </w:r>
      <w:r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00A50964" w:rsidRPr="7D37420F">
        <w:rPr>
          <w:rFonts w:asciiTheme="minorHAnsi" w:hAnsiTheme="minorHAnsi" w:cstheme="minorBidi"/>
          <w:sz w:val="22"/>
          <w:szCs w:val="22"/>
        </w:rPr>
        <w:t xml:space="preserve">3) </w:t>
      </w:r>
      <w:r w:rsidRPr="7D37420F">
        <w:rPr>
          <w:rFonts w:asciiTheme="minorHAnsi" w:hAnsiTheme="minorHAnsi" w:cstheme="minorBidi"/>
          <w:sz w:val="22"/>
          <w:szCs w:val="22"/>
        </w:rPr>
        <w:t>A</w:t>
      </w:r>
      <w:r w:rsidR="00C13A96" w:rsidRPr="7D37420F">
        <w:rPr>
          <w:rFonts w:asciiTheme="minorHAnsi" w:hAnsiTheme="minorHAnsi" w:cstheme="minorBidi"/>
          <w:sz w:val="22"/>
          <w:szCs w:val="22"/>
        </w:rPr>
        <w:t>merican Indian or Alaska Native;</w:t>
      </w:r>
      <w:r w:rsidR="00052784" w:rsidRPr="7D37420F">
        <w:rPr>
          <w:rFonts w:asciiTheme="minorHAnsi" w:hAnsiTheme="minorHAnsi" w:cstheme="minorBidi"/>
          <w:sz w:val="22"/>
          <w:szCs w:val="22"/>
        </w:rPr>
        <w:t xml:space="preserve"> or</w:t>
      </w:r>
      <w:r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00A50964" w:rsidRPr="7D37420F">
        <w:rPr>
          <w:rFonts w:asciiTheme="minorHAnsi" w:hAnsiTheme="minorHAnsi" w:cstheme="minorBidi"/>
          <w:sz w:val="22"/>
          <w:szCs w:val="22"/>
        </w:rPr>
        <w:t xml:space="preserve">4) </w:t>
      </w:r>
      <w:r w:rsidRPr="7D37420F">
        <w:rPr>
          <w:rFonts w:asciiTheme="minorHAnsi" w:hAnsiTheme="minorHAnsi" w:cstheme="minorBidi"/>
          <w:sz w:val="22"/>
          <w:szCs w:val="22"/>
        </w:rPr>
        <w:t>underinsured</w:t>
      </w:r>
      <w:r w:rsidR="003B7C7B" w:rsidRPr="7D37420F">
        <w:rPr>
          <w:rFonts w:asciiTheme="minorHAnsi" w:hAnsiTheme="minorHAnsi" w:cstheme="minorBidi"/>
          <w:sz w:val="22"/>
          <w:szCs w:val="22"/>
        </w:rPr>
        <w:t xml:space="preserve"> (insurance does not cover </w:t>
      </w:r>
      <w:r w:rsidR="00AC4397" w:rsidRPr="7D37420F">
        <w:rPr>
          <w:rFonts w:asciiTheme="minorHAnsi" w:hAnsiTheme="minorHAnsi" w:cstheme="minorBidi"/>
          <w:sz w:val="22"/>
          <w:szCs w:val="22"/>
        </w:rPr>
        <w:t xml:space="preserve">any </w:t>
      </w:r>
      <w:r w:rsidR="00052784" w:rsidRPr="7D37420F">
        <w:rPr>
          <w:rFonts w:asciiTheme="minorHAnsi" w:hAnsiTheme="minorHAnsi" w:cstheme="minorBidi"/>
          <w:sz w:val="22"/>
          <w:szCs w:val="22"/>
        </w:rPr>
        <w:t>vaccine</w:t>
      </w:r>
      <w:r w:rsidR="00AC4397" w:rsidRPr="7D37420F">
        <w:rPr>
          <w:rFonts w:asciiTheme="minorHAnsi" w:hAnsiTheme="minorHAnsi" w:cstheme="minorBidi"/>
          <w:sz w:val="22"/>
          <w:szCs w:val="22"/>
        </w:rPr>
        <w:t>s or only covers selected vaccines or does not provide first-dollar coverage</w:t>
      </w:r>
      <w:r w:rsidR="00BA5A3F" w:rsidRPr="7D37420F">
        <w:rPr>
          <w:rFonts w:asciiTheme="minorHAnsi" w:hAnsiTheme="minorHAnsi" w:cstheme="minorBidi"/>
          <w:sz w:val="22"/>
          <w:szCs w:val="22"/>
          <w:vertAlign w:val="superscript"/>
        </w:rPr>
        <w:t>1</w:t>
      </w:r>
      <w:r w:rsidR="00AC4397" w:rsidRPr="7D37420F">
        <w:rPr>
          <w:rFonts w:asciiTheme="minorHAnsi" w:hAnsiTheme="minorHAnsi" w:cstheme="minorBidi"/>
          <w:sz w:val="22"/>
          <w:szCs w:val="22"/>
        </w:rPr>
        <w:t xml:space="preserve"> for vaccines</w:t>
      </w:r>
      <w:r w:rsidR="00052784" w:rsidRPr="7D37420F">
        <w:rPr>
          <w:rFonts w:asciiTheme="minorHAnsi" w:hAnsiTheme="minorHAnsi" w:cstheme="minorBidi"/>
          <w:sz w:val="22"/>
          <w:szCs w:val="22"/>
        </w:rPr>
        <w:t>)</w:t>
      </w:r>
      <w:r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  <w:u w:val="single"/>
        </w:rPr>
        <w:t>and</w:t>
      </w:r>
      <w:r w:rsidRPr="7D37420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D37420F">
        <w:rPr>
          <w:rFonts w:asciiTheme="minorHAnsi" w:hAnsiTheme="minorHAnsi" w:cstheme="minorBidi"/>
          <w:sz w:val="22"/>
          <w:szCs w:val="22"/>
        </w:rPr>
        <w:t>seen at a federally qualified community health center.</w:t>
      </w:r>
      <w:r w:rsidR="00317029" w:rsidRPr="7D37420F">
        <w:rPr>
          <w:rFonts w:asciiTheme="minorHAnsi" w:hAnsiTheme="minorHAnsi" w:cstheme="minorBidi"/>
          <w:sz w:val="22"/>
          <w:szCs w:val="22"/>
        </w:rPr>
        <w:t xml:space="preserve"> </w:t>
      </w:r>
      <w:r w:rsidR="66BD5DC8" w:rsidRPr="7D37420F">
        <w:rPr>
          <w:rFonts w:asciiTheme="minorHAnsi" w:hAnsiTheme="minorHAnsi" w:cstheme="minorBidi"/>
          <w:sz w:val="22"/>
          <w:szCs w:val="22"/>
        </w:rPr>
        <w:t xml:space="preserve">Children who are enrolled in secondary MassHealth </w:t>
      </w:r>
      <w:r w:rsidR="5193B354" w:rsidRPr="7D37420F">
        <w:rPr>
          <w:rFonts w:asciiTheme="minorHAnsi" w:hAnsiTheme="minorHAnsi" w:cstheme="minorBidi"/>
          <w:sz w:val="22"/>
          <w:szCs w:val="22"/>
        </w:rPr>
        <w:t>insurance</w:t>
      </w:r>
      <w:r w:rsidR="66BD5DC8" w:rsidRPr="7D37420F">
        <w:rPr>
          <w:rFonts w:asciiTheme="minorHAnsi" w:hAnsiTheme="minorHAnsi" w:cstheme="minorBidi"/>
          <w:sz w:val="22"/>
          <w:szCs w:val="22"/>
        </w:rPr>
        <w:t xml:space="preserve"> should also be screened as VFC Eligible. </w:t>
      </w:r>
      <w:r w:rsidR="00380C9C" w:rsidRPr="7D37420F">
        <w:rPr>
          <w:rFonts w:asciiTheme="minorHAnsi" w:hAnsiTheme="minorHAnsi" w:cstheme="minorBidi"/>
          <w:sz w:val="22"/>
          <w:szCs w:val="22"/>
        </w:rPr>
        <w:t xml:space="preserve">Children enrolled in </w:t>
      </w:r>
      <w:proofErr w:type="spellStart"/>
      <w:r w:rsidR="00380C9C" w:rsidRPr="7D37420F">
        <w:rPr>
          <w:rFonts w:asciiTheme="minorHAnsi" w:hAnsiTheme="minorHAnsi" w:cstheme="minorBidi"/>
          <w:sz w:val="22"/>
          <w:szCs w:val="22"/>
        </w:rPr>
        <w:t>sCHIP</w:t>
      </w:r>
      <w:proofErr w:type="spellEnd"/>
      <w:r w:rsidR="00380C9C" w:rsidRPr="7D37420F">
        <w:rPr>
          <w:rFonts w:asciiTheme="minorHAnsi" w:hAnsiTheme="minorHAnsi" w:cstheme="minorBidi"/>
          <w:sz w:val="22"/>
          <w:szCs w:val="22"/>
        </w:rPr>
        <w:t>, or the Children’s Medical Security Plan (CMSP) may receive all vaccines on the Childhood Availability Table but are not considered VFC eligible when screening or assessing for VFC eligibility.</w:t>
      </w:r>
    </w:p>
    <w:p w14:paraId="4456D83F" w14:textId="77777777" w:rsidR="000242A0" w:rsidRPr="008F3244" w:rsidRDefault="000242A0" w:rsidP="000242A0">
      <w:pPr>
        <w:tabs>
          <w:tab w:val="left" w:pos="960"/>
          <w:tab w:val="left" w:pos="4308"/>
          <w:tab w:val="left" w:pos="6468"/>
          <w:tab w:val="left" w:pos="11040"/>
        </w:tabs>
        <w:ind w:left="360" w:right="-240"/>
        <w:rPr>
          <w:rFonts w:asciiTheme="minorHAnsi" w:hAnsiTheme="minorHAnsi" w:cstheme="minorHAnsi"/>
          <w:sz w:val="22"/>
          <w:szCs w:val="22"/>
        </w:rPr>
      </w:pPr>
    </w:p>
    <w:p w14:paraId="4FC30BD0" w14:textId="6CC627AC" w:rsidR="00386822" w:rsidRPr="008F3244" w:rsidRDefault="00375670" w:rsidP="00D132D0">
      <w:pPr>
        <w:tabs>
          <w:tab w:val="left" w:pos="960"/>
          <w:tab w:val="left" w:pos="4308"/>
          <w:tab w:val="left" w:pos="6468"/>
          <w:tab w:val="left" w:pos="11040"/>
        </w:tabs>
        <w:ind w:right="108"/>
        <w:jc w:val="center"/>
        <w:rPr>
          <w:rFonts w:asciiTheme="minorHAnsi" w:hAnsiTheme="minorHAnsi" w:cstheme="minorHAnsi"/>
          <w:sz w:val="22"/>
          <w:szCs w:val="22"/>
        </w:rPr>
      </w:pPr>
      <w:r w:rsidRPr="008F3244">
        <w:rPr>
          <w:rFonts w:asciiTheme="minorHAnsi" w:hAnsiTheme="minorHAnsi" w:cstheme="minorHAnsi"/>
          <w:sz w:val="22"/>
          <w:szCs w:val="22"/>
        </w:rPr>
        <w:t>(Please n</w:t>
      </w:r>
      <w:r w:rsidR="00D103FA" w:rsidRPr="008F3244">
        <w:rPr>
          <w:rFonts w:asciiTheme="minorHAnsi" w:hAnsiTheme="minorHAnsi" w:cstheme="minorHAnsi"/>
          <w:sz w:val="22"/>
          <w:szCs w:val="22"/>
        </w:rPr>
        <w:t xml:space="preserve">ote </w:t>
      </w:r>
      <w:r w:rsidRPr="008F3244">
        <w:rPr>
          <w:rFonts w:asciiTheme="minorHAnsi" w:hAnsiTheme="minorHAnsi" w:cstheme="minorHAnsi"/>
          <w:sz w:val="22"/>
          <w:szCs w:val="22"/>
        </w:rPr>
        <w:t xml:space="preserve">vaccines available </w:t>
      </w:r>
      <w:r w:rsidR="006253D3" w:rsidRPr="008F3244">
        <w:rPr>
          <w:rFonts w:asciiTheme="minorHAnsi" w:hAnsiTheme="minorHAnsi" w:cstheme="minorHAnsi"/>
          <w:sz w:val="22"/>
          <w:szCs w:val="22"/>
        </w:rPr>
        <w:t xml:space="preserve">only for VFC eligible groups </w:t>
      </w:r>
      <w:r w:rsidRPr="008F3244">
        <w:rPr>
          <w:rFonts w:asciiTheme="minorHAnsi" w:hAnsiTheme="minorHAnsi" w:cstheme="minorHAnsi"/>
          <w:sz w:val="22"/>
          <w:szCs w:val="22"/>
        </w:rPr>
        <w:t>appear shaded)</w:t>
      </w:r>
    </w:p>
    <w:p w14:paraId="2CCED228" w14:textId="77777777" w:rsidR="000242A0" w:rsidRPr="008F3244" w:rsidRDefault="000242A0" w:rsidP="00D132D0">
      <w:pPr>
        <w:tabs>
          <w:tab w:val="left" w:pos="960"/>
          <w:tab w:val="left" w:pos="4308"/>
          <w:tab w:val="left" w:pos="6468"/>
          <w:tab w:val="left" w:pos="11040"/>
        </w:tabs>
        <w:ind w:right="108"/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110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55"/>
        <w:gridCol w:w="1170"/>
        <w:gridCol w:w="7778"/>
      </w:tblGrid>
      <w:tr w:rsidR="00375670" w:rsidRPr="008F3244" w14:paraId="5E288F4A" w14:textId="77777777" w:rsidTr="4D59FB64">
        <w:trPr>
          <w:trHeight w:val="339"/>
          <w:jc w:val="center"/>
        </w:trPr>
        <w:tc>
          <w:tcPr>
            <w:tcW w:w="2055" w:type="dxa"/>
            <w:shd w:val="clear" w:color="auto" w:fill="000000" w:themeFill="text1"/>
            <w:vAlign w:val="center"/>
          </w:tcPr>
          <w:p w14:paraId="08A90681" w14:textId="77777777" w:rsidR="00375670" w:rsidRPr="008F3244" w:rsidRDefault="00375670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1170" w:type="dxa"/>
            <w:shd w:val="clear" w:color="auto" w:fill="000000" w:themeFill="text1"/>
            <w:vAlign w:val="center"/>
          </w:tcPr>
          <w:p w14:paraId="576B3178" w14:textId="77777777" w:rsidR="00375670" w:rsidRPr="008F3244" w:rsidRDefault="00B40014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778" w:type="dxa"/>
            <w:shd w:val="clear" w:color="auto" w:fill="000000" w:themeFill="text1"/>
            <w:vAlign w:val="center"/>
          </w:tcPr>
          <w:p w14:paraId="4655A1AF" w14:textId="77777777" w:rsidR="00375670" w:rsidRPr="008F3244" w:rsidRDefault="00507234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</w:t>
            </w:r>
            <w:r w:rsidR="00E67D25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375670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Supplied Vaccine Available For</w:t>
            </w:r>
            <w:r w:rsidR="00E67D25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</w:tr>
      <w:tr w:rsidR="00375670" w:rsidRPr="008F3244" w14:paraId="7CCF901E" w14:textId="77777777" w:rsidTr="00395446">
        <w:trPr>
          <w:trHeight w:val="332"/>
          <w:jc w:val="center"/>
        </w:trPr>
        <w:tc>
          <w:tcPr>
            <w:tcW w:w="2055" w:type="dxa"/>
            <w:vAlign w:val="center"/>
          </w:tcPr>
          <w:p w14:paraId="2705938B" w14:textId="49CBFA96" w:rsidR="00375670" w:rsidRPr="00F8024C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COVID-19</w:t>
            </w:r>
          </w:p>
        </w:tc>
        <w:tc>
          <w:tcPr>
            <w:tcW w:w="1170" w:type="dxa"/>
            <w:vAlign w:val="center"/>
          </w:tcPr>
          <w:p w14:paraId="1BFA0048" w14:textId="77777777" w:rsidR="00375670" w:rsidRPr="00F8024C" w:rsidRDefault="00375670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60E99A41" w14:textId="7862022E" w:rsidR="00375670" w:rsidRPr="000E0228" w:rsidRDefault="0037567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</w:t>
            </w:r>
            <w:r w:rsidR="003E2E5D" w:rsidRPr="000E0228">
              <w:rPr>
                <w:rFonts w:asciiTheme="minorHAnsi" w:hAnsiTheme="minorHAnsi" w:cstheme="minorHAnsi"/>
              </w:rPr>
              <w:t xml:space="preserve">aged </w:t>
            </w:r>
            <w:r w:rsidR="00341F3C" w:rsidRPr="000E0228">
              <w:rPr>
                <w:rFonts w:asciiTheme="minorHAnsi" w:hAnsiTheme="minorHAnsi" w:cstheme="minorHAnsi"/>
              </w:rPr>
              <w:t>6</w:t>
            </w:r>
            <w:r w:rsidR="00274E54" w:rsidRPr="000E0228">
              <w:rPr>
                <w:rFonts w:asciiTheme="minorHAnsi" w:hAnsiTheme="minorHAnsi" w:cstheme="minorHAnsi"/>
              </w:rPr>
              <w:t xml:space="preserve"> months</w:t>
            </w:r>
            <w:r w:rsidR="00386822" w:rsidRPr="000E0228">
              <w:rPr>
                <w:rFonts w:asciiTheme="minorHAnsi" w:hAnsiTheme="minorHAnsi" w:cstheme="minorHAnsi"/>
              </w:rPr>
              <w:t xml:space="preserve"> – </w:t>
            </w:r>
            <w:r w:rsidR="00341F3C" w:rsidRPr="000E0228">
              <w:rPr>
                <w:rFonts w:asciiTheme="minorHAnsi" w:hAnsiTheme="minorHAnsi" w:cstheme="minorHAnsi"/>
              </w:rPr>
              <w:t>18</w:t>
            </w:r>
            <w:r w:rsidRPr="000E0228">
              <w:rPr>
                <w:rFonts w:asciiTheme="minorHAnsi" w:hAnsiTheme="minorHAnsi" w:cstheme="minorHAnsi"/>
              </w:rPr>
              <w:t xml:space="preserve"> years </w:t>
            </w:r>
          </w:p>
        </w:tc>
      </w:tr>
      <w:tr w:rsidR="00341F3C" w:rsidRPr="008F3244" w14:paraId="46602F7E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24CEEA08" w14:textId="1BC49025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DTaP</w:t>
            </w:r>
          </w:p>
        </w:tc>
        <w:tc>
          <w:tcPr>
            <w:tcW w:w="1170" w:type="dxa"/>
            <w:vAlign w:val="center"/>
          </w:tcPr>
          <w:p w14:paraId="30F50980" w14:textId="5EDAA698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37A501D" w14:textId="0535F62E" w:rsidR="00341F3C" w:rsidRPr="000E0228" w:rsidRDefault="00341F3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aged 2 months – 6 years </w:t>
            </w:r>
          </w:p>
        </w:tc>
      </w:tr>
      <w:tr w:rsidR="00341F3C" w:rsidRPr="008F3244" w14:paraId="6220F845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41D8CD4D" w14:textId="177298AB" w:rsidR="00341F3C" w:rsidRPr="008F3244" w:rsidRDefault="00341F3C" w:rsidP="000E02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DTaP-Hep B-IPV </w:t>
            </w:r>
          </w:p>
        </w:tc>
        <w:tc>
          <w:tcPr>
            <w:tcW w:w="1170" w:type="dxa"/>
            <w:vAlign w:val="center"/>
          </w:tcPr>
          <w:p w14:paraId="3548ED4C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9C44CC8" w14:textId="77777777" w:rsidR="00341F3C" w:rsidRPr="000E0228" w:rsidRDefault="00341F3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aged 2 months – 6 years for the first 3 doses of DTaP and IPV and any dose of Hep B at 2, 4 and 6 months</w:t>
            </w:r>
          </w:p>
          <w:p w14:paraId="0AC27C23" w14:textId="77777777" w:rsidR="00341F3C" w:rsidRPr="000E0228" w:rsidRDefault="00341F3C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  <w:bCs/>
              </w:rPr>
              <w:t>Not</w:t>
            </w:r>
            <w:r w:rsidRPr="000E0228">
              <w:rPr>
                <w:rFonts w:asciiTheme="minorHAnsi" w:hAnsiTheme="minorHAnsi" w:cstheme="minorHAnsi"/>
              </w:rPr>
              <w:t xml:space="preserve"> approved for dose 4 or 5 of the DTaP series </w:t>
            </w:r>
            <w:r w:rsidRPr="000E0228">
              <w:rPr>
                <w:rFonts w:asciiTheme="minorHAnsi" w:hAnsiTheme="minorHAnsi" w:cstheme="minorHAnsi"/>
                <w:u w:val="single"/>
              </w:rPr>
              <w:t>or</w:t>
            </w:r>
            <w:r w:rsidRPr="000E0228">
              <w:rPr>
                <w:rFonts w:asciiTheme="minorHAnsi" w:hAnsiTheme="minorHAnsi" w:cstheme="minorHAnsi"/>
              </w:rPr>
              <w:t xml:space="preserve"> dose 4 of the IPV series</w:t>
            </w:r>
          </w:p>
        </w:tc>
      </w:tr>
      <w:tr w:rsidR="00341F3C" w:rsidRPr="008F3244" w14:paraId="4F529EC2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513AA0FC" w14:textId="719166A2" w:rsidR="00341F3C" w:rsidRPr="008F3244" w:rsidRDefault="00961442" w:rsidP="000E02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DTaP-IPV-Hib        </w:t>
            </w:r>
          </w:p>
        </w:tc>
        <w:tc>
          <w:tcPr>
            <w:tcW w:w="1170" w:type="dxa"/>
            <w:vAlign w:val="center"/>
          </w:tcPr>
          <w:p w14:paraId="513EBA8A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6E87158C" w14:textId="77777777" w:rsidR="00341F3C" w:rsidRPr="000E0228" w:rsidRDefault="00341F3C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aged 2 months – 4 years for the first 4 doses of DTaP, IPV and Hib at 2, 4, 6 and 15 – 18 months </w:t>
            </w:r>
          </w:p>
        </w:tc>
      </w:tr>
      <w:tr w:rsidR="00341F3C" w:rsidRPr="008F3244" w14:paraId="75528E46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5CC2A95F" w14:textId="1ECF9D26" w:rsidR="00341F3C" w:rsidRPr="008F3244" w:rsidRDefault="00961442" w:rsidP="000E0228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DTaP-IPV        </w:t>
            </w:r>
          </w:p>
        </w:tc>
        <w:tc>
          <w:tcPr>
            <w:tcW w:w="1170" w:type="dxa"/>
            <w:vAlign w:val="center"/>
          </w:tcPr>
          <w:p w14:paraId="32E8791B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1B7AC140" w14:textId="77777777" w:rsidR="00341F3C" w:rsidRPr="008F3244" w:rsidRDefault="00341F3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</w:rPr>
            </w:pPr>
            <w:r w:rsidRPr="008F3244">
              <w:rPr>
                <w:rFonts w:asciiTheme="minorHAnsi" w:hAnsiTheme="minorHAnsi" w:cstheme="minorHAnsi"/>
                <w:sz w:val="22"/>
              </w:rPr>
              <w:t>All children aged 4</w:t>
            </w: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Pr="008F3244">
              <w:rPr>
                <w:rFonts w:asciiTheme="minorHAnsi" w:hAnsiTheme="minorHAnsi" w:cstheme="minorHAnsi"/>
                <w:sz w:val="22"/>
              </w:rPr>
              <w:t>6 years for routine immunization for the 5</w:t>
            </w:r>
            <w:r w:rsidRPr="008F3244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8F3244">
              <w:rPr>
                <w:rFonts w:asciiTheme="minorHAnsi" w:hAnsiTheme="minorHAnsi" w:cstheme="minorHAnsi"/>
                <w:sz w:val="22"/>
              </w:rPr>
              <w:t xml:space="preserve"> dose of the DTaP series and 4</w:t>
            </w:r>
            <w:r w:rsidRPr="008F3244">
              <w:rPr>
                <w:rFonts w:asciiTheme="minorHAnsi" w:hAnsiTheme="minorHAnsi" w:cstheme="minorHAnsi"/>
                <w:sz w:val="22"/>
                <w:vertAlign w:val="superscript"/>
              </w:rPr>
              <w:t>th</w:t>
            </w:r>
            <w:r w:rsidRPr="008F3244">
              <w:rPr>
                <w:rFonts w:asciiTheme="minorHAnsi" w:hAnsiTheme="minorHAnsi" w:cstheme="minorHAnsi"/>
                <w:sz w:val="22"/>
              </w:rPr>
              <w:t xml:space="preserve"> dose of the IPV series</w:t>
            </w:r>
          </w:p>
          <w:p w14:paraId="4F546FD1" w14:textId="77777777" w:rsidR="00341F3C" w:rsidRPr="008F3244" w:rsidRDefault="00341F3C">
            <w:pPr>
              <w:numPr>
                <w:ilvl w:val="0"/>
                <w:numId w:val="1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color w:val="000000"/>
                <w:sz w:val="22"/>
              </w:rPr>
              <w:t xml:space="preserve">Not approved for the first 3 doses of DTaP and IPV </w:t>
            </w:r>
            <w:r w:rsidRPr="008F3244">
              <w:rPr>
                <w:rFonts w:asciiTheme="minorHAnsi" w:hAnsiTheme="minorHAnsi" w:cstheme="minorHAnsi"/>
                <w:color w:val="000000"/>
                <w:sz w:val="22"/>
                <w:u w:val="single"/>
              </w:rPr>
              <w:t xml:space="preserve">or </w:t>
            </w:r>
            <w:r w:rsidRPr="008F3244">
              <w:rPr>
                <w:rFonts w:asciiTheme="minorHAnsi" w:hAnsiTheme="minorHAnsi" w:cstheme="minorHAnsi"/>
                <w:color w:val="000000"/>
                <w:sz w:val="22"/>
              </w:rPr>
              <w:t>dose 4 of the DTaP series</w:t>
            </w:r>
          </w:p>
        </w:tc>
      </w:tr>
      <w:tr w:rsidR="00341F3C" w:rsidRPr="008F3244" w14:paraId="69509BC7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1DCB5CEE" w14:textId="69B14B93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DTaP-IPV-Hib-Hep B        </w:t>
            </w:r>
          </w:p>
        </w:tc>
        <w:tc>
          <w:tcPr>
            <w:tcW w:w="1170" w:type="dxa"/>
            <w:vAlign w:val="center"/>
          </w:tcPr>
          <w:p w14:paraId="1DB8C631" w14:textId="46CC43AF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736AA265" w14:textId="77777777" w:rsidR="00341F3C" w:rsidRPr="000E0228" w:rsidRDefault="00341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aged 6 weeks through 4 years for the first 3 doses of DTaP, Polio and Hib at 2, 4 and 6 months.</w:t>
            </w:r>
          </w:p>
          <w:p w14:paraId="5CE4FC71" w14:textId="77777777" w:rsidR="00341F3C" w:rsidRPr="000E0228" w:rsidRDefault="00341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Not approved for the hepatitis B birth dose. </w:t>
            </w:r>
          </w:p>
          <w:p w14:paraId="54981453" w14:textId="7AFD29AD" w:rsidR="00341F3C" w:rsidRPr="000E0228" w:rsidRDefault="00341F3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Not approved for dose 4 or 5 of DTaP or dose 4 of IPV or dose 4 of Hib.</w:t>
            </w:r>
          </w:p>
        </w:tc>
      </w:tr>
      <w:tr w:rsidR="00341F3C" w:rsidRPr="008F3244" w14:paraId="31AF9AD3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7B28FC1A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Hep A</w:t>
            </w:r>
          </w:p>
        </w:tc>
        <w:tc>
          <w:tcPr>
            <w:tcW w:w="1170" w:type="dxa"/>
            <w:vAlign w:val="center"/>
          </w:tcPr>
          <w:p w14:paraId="6E5C6834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  <w:p w14:paraId="6A168F58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7778" w:type="dxa"/>
          </w:tcPr>
          <w:p w14:paraId="7E8617EE" w14:textId="77777777" w:rsidR="00341F3C" w:rsidRPr="008F3244" w:rsidRDefault="00341F3C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Routine vaccination of the 1</w:t>
            </w:r>
            <w:r w:rsidRPr="008F324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st</w:t>
            </w: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 xml:space="preserve">  and 2</w:t>
            </w:r>
            <w:r w:rsidRPr="008F3244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nd</w:t>
            </w: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 xml:space="preserve"> dose for children aged 12 – 23 months </w:t>
            </w:r>
          </w:p>
          <w:p w14:paraId="7BC20DC9" w14:textId="74205AC9" w:rsidR="00341F3C" w:rsidRPr="008F3244" w:rsidRDefault="00341F3C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Catch-up vaccination of children aged 2 – 18 years</w:t>
            </w:r>
          </w:p>
          <w:p w14:paraId="7950F40D" w14:textId="056615FD" w:rsidR="00341F3C" w:rsidRPr="008F3244" w:rsidRDefault="00341F3C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Infants 6-11 months, one dose before international travel; revaccinate with 2-dose series at 12-23 months.</w:t>
            </w:r>
          </w:p>
        </w:tc>
      </w:tr>
      <w:tr w:rsidR="00341F3C" w:rsidRPr="008F3244" w14:paraId="3E7FF094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38D34D1F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Hep B</w:t>
            </w:r>
          </w:p>
        </w:tc>
        <w:tc>
          <w:tcPr>
            <w:tcW w:w="1170" w:type="dxa"/>
            <w:vAlign w:val="center"/>
          </w:tcPr>
          <w:p w14:paraId="1D426825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17A20AAB" w14:textId="77777777" w:rsidR="00341F3C" w:rsidRPr="000E0228" w:rsidRDefault="00341F3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through 18 years of age</w:t>
            </w:r>
          </w:p>
        </w:tc>
      </w:tr>
      <w:tr w:rsidR="00341F3C" w:rsidRPr="008F3244" w14:paraId="06692CEC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4D3D28EB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Hib</w:t>
            </w:r>
          </w:p>
        </w:tc>
        <w:tc>
          <w:tcPr>
            <w:tcW w:w="1170" w:type="dxa"/>
            <w:vAlign w:val="center"/>
          </w:tcPr>
          <w:p w14:paraId="3E57A054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2AE9201" w14:textId="77777777" w:rsidR="00341F3C" w:rsidRPr="000E0228" w:rsidRDefault="00341F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 xml:space="preserve">All children aged 2 – 59 months </w:t>
            </w:r>
          </w:p>
          <w:p w14:paraId="3E2401E3" w14:textId="5A34661B" w:rsidR="00341F3C" w:rsidRPr="000E0228" w:rsidRDefault="00341F3C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Children aged &gt; 5 years in a</w:t>
            </w:r>
            <w:r w:rsidR="0092734F">
              <w:rPr>
                <w:rFonts w:asciiTheme="minorHAnsi" w:hAnsiTheme="minorHAnsi" w:cstheme="minorHAnsi"/>
              </w:rPr>
              <w:t xml:space="preserve"> </w:t>
            </w:r>
            <w:r w:rsidRPr="000E0228">
              <w:rPr>
                <w:rFonts w:asciiTheme="minorHAnsi" w:hAnsiTheme="minorHAnsi" w:cstheme="minorHAnsi"/>
              </w:rPr>
              <w:t>recommended group*</w:t>
            </w:r>
          </w:p>
        </w:tc>
      </w:tr>
      <w:tr w:rsidR="00A52C1D" w:rsidRPr="008F3244" w14:paraId="4BDBC784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1725A7C6" w14:textId="741B9D20" w:rsidR="00A52C1D" w:rsidRPr="008F3244" w:rsidRDefault="00A52C1D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HPV</w:t>
            </w:r>
          </w:p>
        </w:tc>
        <w:tc>
          <w:tcPr>
            <w:tcW w:w="1170" w:type="dxa"/>
            <w:vAlign w:val="center"/>
          </w:tcPr>
          <w:p w14:paraId="1AA209BC" w14:textId="419EFBA6" w:rsidR="00A52C1D" w:rsidRPr="008F3244" w:rsidRDefault="00A52C1D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555C2A9E" w14:textId="3F6E940A" w:rsidR="00A52C1D" w:rsidRPr="000E0228" w:rsidRDefault="00A52C1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9 – 18 years of age</w:t>
            </w:r>
          </w:p>
        </w:tc>
      </w:tr>
      <w:tr w:rsidR="00341F3C" w:rsidRPr="008F3244" w14:paraId="72E4E6A6" w14:textId="77777777" w:rsidTr="4D59FB64">
        <w:trPr>
          <w:trHeight w:val="332"/>
          <w:jc w:val="center"/>
        </w:trPr>
        <w:tc>
          <w:tcPr>
            <w:tcW w:w="2055" w:type="dxa"/>
            <w:vAlign w:val="center"/>
          </w:tcPr>
          <w:p w14:paraId="331D6B92" w14:textId="77777777" w:rsidR="00341F3C" w:rsidRPr="008F3244" w:rsidRDefault="00341F3C" w:rsidP="000E022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Influenza</w:t>
            </w:r>
          </w:p>
        </w:tc>
        <w:tc>
          <w:tcPr>
            <w:tcW w:w="1170" w:type="dxa"/>
            <w:vAlign w:val="center"/>
          </w:tcPr>
          <w:p w14:paraId="0AB4874D" w14:textId="77777777" w:rsidR="00341F3C" w:rsidRPr="008F3244" w:rsidRDefault="00341F3C" w:rsidP="000E022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778" w:type="dxa"/>
          </w:tcPr>
          <w:p w14:paraId="4AB73E7C" w14:textId="77777777" w:rsidR="00341F3C" w:rsidRPr="000E0228" w:rsidRDefault="00341F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</w:rPr>
              <w:t>All children aged 6 months through 18 years</w:t>
            </w:r>
          </w:p>
        </w:tc>
      </w:tr>
    </w:tbl>
    <w:p w14:paraId="33B51FEC" w14:textId="7E901442" w:rsidR="00375670" w:rsidRPr="008F3244" w:rsidRDefault="0037567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78661D89" w14:textId="008810D4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7EFA3275" w14:textId="5F6EC177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3700ED7D" w14:textId="39A3A688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56388C3E" w14:textId="52690262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218D5DF8" w14:textId="475AA9F1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7C365AE3" w14:textId="4C49BC96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43D4A5BA" w14:textId="6B6E9938" w:rsidR="000E0228" w:rsidRDefault="000E0228">
      <w:pPr>
        <w:rPr>
          <w:rFonts w:asciiTheme="minorHAnsi" w:hAnsiTheme="minorHAnsi" w:cstheme="minorHAnsi"/>
          <w:b/>
          <w:bCs/>
          <w:sz w:val="10"/>
          <w:szCs w:val="10"/>
        </w:rPr>
      </w:pPr>
      <w:r>
        <w:rPr>
          <w:rFonts w:asciiTheme="minorHAnsi" w:hAnsiTheme="minorHAnsi" w:cstheme="minorHAnsi"/>
          <w:b/>
          <w:bCs/>
          <w:sz w:val="10"/>
          <w:szCs w:val="10"/>
        </w:rPr>
        <w:br w:type="page"/>
      </w:r>
    </w:p>
    <w:p w14:paraId="0CF8EF82" w14:textId="77777777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p w14:paraId="5E5DF8BD" w14:textId="561C53DC" w:rsidR="000242A0" w:rsidRPr="008F3244" w:rsidRDefault="000242A0" w:rsidP="00375670">
      <w:pPr>
        <w:tabs>
          <w:tab w:val="left" w:pos="1716"/>
          <w:tab w:val="left" w:pos="4308"/>
          <w:tab w:val="left" w:pos="6468"/>
          <w:tab w:val="left" w:pos="10668"/>
        </w:tabs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W w:w="11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7"/>
        <w:gridCol w:w="1260"/>
        <w:gridCol w:w="7813"/>
      </w:tblGrid>
      <w:tr w:rsidR="00375670" w:rsidRPr="008F3244" w14:paraId="10D4D56E" w14:textId="77777777" w:rsidTr="7D37420F">
        <w:trPr>
          <w:trHeight w:val="332"/>
          <w:jc w:val="center"/>
        </w:trPr>
        <w:tc>
          <w:tcPr>
            <w:tcW w:w="2177" w:type="dxa"/>
            <w:shd w:val="clear" w:color="auto" w:fill="000000" w:themeFill="text1"/>
            <w:vAlign w:val="center"/>
          </w:tcPr>
          <w:p w14:paraId="69AAC3ED" w14:textId="77777777" w:rsidR="00375670" w:rsidRPr="008F3244" w:rsidRDefault="00375670" w:rsidP="00D42C42">
            <w:pPr>
              <w:spacing w:before="120" w:after="60" w:line="20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0" w:name="_Hlk173335644"/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Vaccine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572B3E74" w14:textId="77777777" w:rsidR="00375670" w:rsidRPr="008F3244" w:rsidRDefault="00455E18" w:rsidP="00D42C42">
            <w:pPr>
              <w:spacing w:before="12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813" w:type="dxa"/>
            <w:shd w:val="clear" w:color="auto" w:fill="000000" w:themeFill="text1"/>
            <w:vAlign w:val="center"/>
          </w:tcPr>
          <w:p w14:paraId="3107BC70" w14:textId="77777777" w:rsidR="00375670" w:rsidRPr="008F3244" w:rsidRDefault="00E67D25" w:rsidP="00D42C42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Supplied Vaccine Available For:</w:t>
            </w:r>
          </w:p>
        </w:tc>
      </w:tr>
      <w:bookmarkEnd w:id="0"/>
      <w:tr w:rsidR="000242A0" w:rsidRPr="008F3244" w14:paraId="36968FCC" w14:textId="77777777" w:rsidTr="7D37420F">
        <w:trPr>
          <w:trHeight w:val="240"/>
          <w:jc w:val="center"/>
        </w:trPr>
        <w:tc>
          <w:tcPr>
            <w:tcW w:w="2177" w:type="dxa"/>
            <w:vAlign w:val="center"/>
          </w:tcPr>
          <w:p w14:paraId="13F29335" w14:textId="77777777" w:rsidR="000242A0" w:rsidRPr="00F8024C" w:rsidRDefault="000242A0" w:rsidP="00647692">
            <w:p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MCV4-ACWY</w:t>
            </w:r>
          </w:p>
          <w:p w14:paraId="70C5E20A" w14:textId="0597BBED" w:rsidR="000242A0" w:rsidRPr="00F8024C" w:rsidRDefault="000242A0" w:rsidP="00647692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7D9650" w14:textId="3C1A1177" w:rsidR="000242A0" w:rsidRDefault="000242A0" w:rsidP="00647692">
            <w:pPr>
              <w:spacing w:before="3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1CD58D" w14:textId="77777777" w:rsidR="00C255CF" w:rsidRPr="00F8024C" w:rsidRDefault="00C255CF" w:rsidP="00647692">
            <w:pPr>
              <w:spacing w:before="3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6FC5E7E" w14:textId="77777777" w:rsidR="000242A0" w:rsidRPr="00F8024C" w:rsidRDefault="000242A0" w:rsidP="00647692">
            <w:pPr>
              <w:spacing w:before="3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2AC1E31D" w14:textId="77777777" w:rsidR="000242A0" w:rsidRPr="008F3244" w:rsidRDefault="000242A0">
            <w:pPr>
              <w:numPr>
                <w:ilvl w:val="0"/>
                <w:numId w:val="6"/>
              </w:numPr>
              <w:spacing w:before="8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sz w:val="22"/>
                <w:szCs w:val="22"/>
              </w:rPr>
              <w:t>All adolescents 11 – 18 years of age</w:t>
            </w:r>
          </w:p>
          <w:p w14:paraId="6B32931E" w14:textId="50F5F94B" w:rsidR="000242A0" w:rsidRPr="002868F8" w:rsidRDefault="000242A0" w:rsidP="002868F8">
            <w:pPr>
              <w:spacing w:before="80" w:after="60"/>
              <w:rPr>
                <w:rFonts w:asciiTheme="minorHAnsi" w:hAnsiTheme="minorHAnsi" w:cstheme="minorHAnsi"/>
                <w:sz w:val="18"/>
                <w:szCs w:val="18"/>
              </w:rPr>
            </w:pP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Note: first dose routinely recommended at 7</w:t>
            </w:r>
            <w:r w:rsidRPr="002868F8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th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grade entry, 11 – 12 years of age, and second dose at </w:t>
            </w:r>
            <w:r w:rsidR="00547C0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16 – 18 years of age </w:t>
            </w:r>
          </w:p>
          <w:p w14:paraId="3384C7DC" w14:textId="19DB33FD" w:rsidR="004016DC" w:rsidRPr="008F3244" w:rsidRDefault="000242A0">
            <w:pPr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</w:rPr>
            </w:pPr>
            <w:r w:rsidRPr="008F3244">
              <w:rPr>
                <w:rFonts w:asciiTheme="minorHAnsi" w:hAnsiTheme="minorHAnsi" w:cstheme="minorHAnsi"/>
                <w:sz w:val="22"/>
              </w:rPr>
              <w:t>High risk* children 2 months - 18 years, all doses, including boosters. Schedule depends on age and formulation.</w:t>
            </w:r>
            <w:r w:rsidR="002868F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A75BCD"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High risk </w:t>
            </w:r>
            <w:proofErr w:type="gramStart"/>
            <w:r w:rsidR="00A75BCD" w:rsidRPr="008F3244">
              <w:rPr>
                <w:rFonts w:asciiTheme="minorHAnsi" w:hAnsiTheme="minorHAnsi" w:cstheme="minorHAnsi"/>
                <w:sz w:val="18"/>
                <w:szCs w:val="18"/>
              </w:rPr>
              <w:t>includes:</w:t>
            </w:r>
            <w:proofErr w:type="gramEnd"/>
            <w:r w:rsidR="00A75BCD"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functional or anatomic asplenia (sickle cell), complement deficiencies, travelers, occupational risk, outbreaks.</w:t>
            </w:r>
          </w:p>
          <w:p w14:paraId="7291B94B" w14:textId="77777777" w:rsidR="00407AE3" w:rsidRPr="008F3244" w:rsidRDefault="00407AE3" w:rsidP="00A52C1D">
            <w:pPr>
              <w:ind w:left="230"/>
              <w:rPr>
                <w:rFonts w:asciiTheme="minorHAnsi" w:hAnsiTheme="minorHAnsi" w:cstheme="minorHAnsi"/>
                <w:sz w:val="6"/>
                <w:szCs w:val="8"/>
              </w:rPr>
            </w:pPr>
          </w:p>
          <w:p w14:paraId="17F8A940" w14:textId="04554A9E" w:rsidR="00407AE3" w:rsidRPr="008F3244" w:rsidRDefault="00407AE3" w:rsidP="000E0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>Note:</w:t>
            </w:r>
          </w:p>
          <w:p w14:paraId="39C404BD" w14:textId="2258AD1B" w:rsidR="004016DC" w:rsidRPr="008F3244" w:rsidRDefault="004016DC" w:rsidP="00A75BCD">
            <w:pPr>
              <w:ind w:left="230"/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4E55CA8F" w14:textId="50DB8D5A" w:rsidR="00407AE3" w:rsidRPr="000E0228" w:rsidRDefault="000A1C3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E0228">
              <w:rPr>
                <w:rFonts w:asciiTheme="minorHAnsi" w:hAnsiTheme="minorHAnsi" w:cstheme="minorHAnsi"/>
                <w:sz w:val="18"/>
                <w:szCs w:val="18"/>
              </w:rPr>
              <w:t xml:space="preserve">Menveo (one-vial formulation) approved beginning at 10 years </w:t>
            </w:r>
          </w:p>
          <w:p w14:paraId="19956858" w14:textId="5F4C9A37" w:rsidR="00407AE3" w:rsidRPr="000E0228" w:rsidRDefault="000A1C3F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0E0228">
              <w:rPr>
                <w:rFonts w:asciiTheme="minorHAnsi" w:hAnsiTheme="minorHAnsi" w:cstheme="minorHAnsi"/>
                <w:sz w:val="18"/>
                <w:szCs w:val="18"/>
              </w:rPr>
              <w:t>MenQuadfi approved beginning at 2 years</w:t>
            </w:r>
          </w:p>
          <w:p w14:paraId="0E42DFF6" w14:textId="1E204DB4" w:rsidR="000A1C3F" w:rsidRPr="000E0228" w:rsidRDefault="000A1C3F" w:rsidP="00E0189A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Theme="minorHAnsi" w:hAnsiTheme="minorHAnsi" w:cstheme="minorHAnsi"/>
              </w:rPr>
            </w:pPr>
            <w:r w:rsidRPr="000E0228">
              <w:rPr>
                <w:rFonts w:asciiTheme="minorHAnsi" w:hAnsiTheme="minorHAnsi" w:cstheme="minorHAnsi"/>
                <w:sz w:val="18"/>
                <w:szCs w:val="18"/>
              </w:rPr>
              <w:t xml:space="preserve">Menveo (two-vial) approved beginning at 2 months – </w:t>
            </w:r>
            <w:r w:rsidRPr="000E0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this formulation should be prioritized for 2 </w:t>
            </w:r>
            <w:proofErr w:type="gramStart"/>
            <w:r w:rsidRPr="000E0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month</w:t>
            </w:r>
            <w:proofErr w:type="gramEnd"/>
            <w:r w:rsidRPr="000E0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to </w:t>
            </w:r>
            <w:proofErr w:type="gramStart"/>
            <w:r w:rsidRPr="000E0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2 year olds</w:t>
            </w:r>
            <w:proofErr w:type="gramEnd"/>
            <w:r w:rsidRPr="000E022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as it is the only formulation approved for this age group</w:t>
            </w:r>
          </w:p>
        </w:tc>
      </w:tr>
      <w:tr w:rsidR="00A90014" w:rsidRPr="008F3244" w14:paraId="183B6751" w14:textId="77777777" w:rsidTr="7D37420F">
        <w:trPr>
          <w:trHeight w:val="332"/>
          <w:jc w:val="center"/>
        </w:trPr>
        <w:tc>
          <w:tcPr>
            <w:tcW w:w="2177" w:type="dxa"/>
            <w:vMerge w:val="restart"/>
            <w:vAlign w:val="center"/>
          </w:tcPr>
          <w:p w14:paraId="500C8E0A" w14:textId="77777777" w:rsidR="00A90014" w:rsidRPr="008F3244" w:rsidRDefault="00A90014" w:rsidP="00B2740B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i/>
                <w:color w:val="FF0000"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MenB</w:t>
            </w:r>
            <w:r w:rsidR="00C90006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0CB1EE80" w14:textId="77777777" w:rsidR="00064C58" w:rsidRPr="008F3244" w:rsidRDefault="00064C58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30CE84" w14:textId="77777777" w:rsidR="00384E94" w:rsidRDefault="00384E94">
            <w:pPr>
              <w:spacing w:before="60" w:after="60" w:line="24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0036CD49" w14:textId="77777777" w:rsidR="00BE12B0" w:rsidRPr="00BB732F" w:rsidRDefault="00BE12B0" w:rsidP="00BB732F">
            <w:pPr>
              <w:spacing w:before="60" w:after="60" w:line="240" w:lineRule="exac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  <w:p w14:paraId="7A985E53" w14:textId="1E08016F" w:rsidR="00A90014" w:rsidRPr="008F3244" w:rsidRDefault="0D6F5E4B" w:rsidP="00384E94">
            <w:pPr>
              <w:spacing w:before="60" w:after="60" w:line="240" w:lineRule="exact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7840B8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All </w:t>
            </w:r>
          </w:p>
        </w:tc>
        <w:tc>
          <w:tcPr>
            <w:tcW w:w="7813" w:type="dxa"/>
          </w:tcPr>
          <w:p w14:paraId="256177F8" w14:textId="34B35032" w:rsidR="00595362" w:rsidRPr="00BB732F" w:rsidRDefault="00595362" w:rsidP="00BF49B6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Bidi"/>
              </w:rPr>
            </w:pPr>
            <w:r w:rsidRPr="00BB732F">
              <w:rPr>
                <w:rFonts w:asciiTheme="minorHAnsi" w:hAnsiTheme="minorHAnsi" w:cstheme="minorBidi"/>
              </w:rPr>
              <w:t xml:space="preserve">All adolescents 10-18 years of age who have functional or anatomic asplenia (including sickle cell disease), persistent complement component deficiency (an immune system disorder) or who take a complement inhibitor (examples include eculizumab [Soliris], </w:t>
            </w:r>
            <w:proofErr w:type="spellStart"/>
            <w:r w:rsidRPr="00BB732F">
              <w:rPr>
                <w:rFonts w:asciiTheme="minorHAnsi" w:hAnsiTheme="minorHAnsi" w:cstheme="minorBidi"/>
              </w:rPr>
              <w:t>ravulizumab</w:t>
            </w:r>
            <w:proofErr w:type="spellEnd"/>
            <w:r w:rsidRPr="00BB732F">
              <w:rPr>
                <w:rFonts w:asciiTheme="minorHAnsi" w:hAnsiTheme="minorHAnsi" w:cstheme="minorBidi"/>
              </w:rPr>
              <w:t xml:space="preserve"> [</w:t>
            </w:r>
            <w:proofErr w:type="spellStart"/>
            <w:r w:rsidRPr="00BB732F">
              <w:rPr>
                <w:rFonts w:asciiTheme="minorHAnsi" w:hAnsiTheme="minorHAnsi" w:cstheme="minorBidi"/>
              </w:rPr>
              <w:t>Ultomiris</w:t>
            </w:r>
            <w:proofErr w:type="spellEnd"/>
            <w:r w:rsidRPr="00BB732F">
              <w:rPr>
                <w:rFonts w:asciiTheme="minorHAnsi" w:hAnsiTheme="minorHAnsi" w:cstheme="minorBidi"/>
              </w:rPr>
              <w:t xml:space="preserve">], and </w:t>
            </w:r>
            <w:proofErr w:type="spellStart"/>
            <w:r w:rsidRPr="00BB732F">
              <w:rPr>
                <w:rFonts w:asciiTheme="minorHAnsi" w:hAnsiTheme="minorHAnsi" w:cstheme="minorBidi"/>
              </w:rPr>
              <w:t>sutimlimab</w:t>
            </w:r>
            <w:proofErr w:type="spellEnd"/>
            <w:r w:rsidRPr="00BB732F">
              <w:rPr>
                <w:rFonts w:asciiTheme="minorHAnsi" w:hAnsiTheme="minorHAnsi" w:cstheme="minorBidi"/>
              </w:rPr>
              <w:t xml:space="preserve"> [Sanofi])</w:t>
            </w:r>
          </w:p>
          <w:p w14:paraId="3DF26C8E" w14:textId="072EEB7C" w:rsidR="00595362" w:rsidRPr="00BE12B0" w:rsidRDefault="00595362" w:rsidP="00BB732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BB732F">
              <w:rPr>
                <w:rFonts w:asciiTheme="minorHAnsi" w:hAnsiTheme="minorHAnsi" w:cstheme="minorBidi"/>
              </w:rPr>
              <w:t>All adolescents 10-18 years of age who are exposed during an outbreak caused by serogroup B</w:t>
            </w:r>
          </w:p>
        </w:tc>
      </w:tr>
      <w:tr w:rsidR="00A90014" w:rsidRPr="008F3244" w14:paraId="52717C65" w14:textId="77777777" w:rsidTr="7D37420F">
        <w:trPr>
          <w:trHeight w:val="332"/>
          <w:jc w:val="center"/>
        </w:trPr>
        <w:tc>
          <w:tcPr>
            <w:tcW w:w="2177" w:type="dxa"/>
            <w:vMerge/>
            <w:vAlign w:val="center"/>
          </w:tcPr>
          <w:p w14:paraId="39F75F33" w14:textId="77777777" w:rsidR="00A90014" w:rsidRPr="008F3244" w:rsidRDefault="00A90014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shd w:val="clear" w:color="auto" w:fill="CCCCCC"/>
            <w:vAlign w:val="center"/>
          </w:tcPr>
          <w:p w14:paraId="620BFA06" w14:textId="77777777" w:rsidR="00A90014" w:rsidRPr="008F3244" w:rsidRDefault="00A90014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VFC Only</w:t>
            </w:r>
          </w:p>
        </w:tc>
        <w:tc>
          <w:tcPr>
            <w:tcW w:w="7813" w:type="dxa"/>
            <w:shd w:val="clear" w:color="auto" w:fill="CCCCCC"/>
          </w:tcPr>
          <w:p w14:paraId="00839180" w14:textId="6892120F" w:rsidR="00A90014" w:rsidRPr="002868F8" w:rsidRDefault="00232B2E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May</w:t>
            </w:r>
            <w:r w:rsidR="00532838" w:rsidRPr="002868F8">
              <w:rPr>
                <w:rFonts w:asciiTheme="minorHAnsi" w:hAnsiTheme="minorHAnsi" w:cstheme="minorHAnsi"/>
              </w:rPr>
              <w:t xml:space="preserve"> </w:t>
            </w:r>
            <w:r w:rsidRPr="002868F8">
              <w:rPr>
                <w:rFonts w:asciiTheme="minorHAnsi" w:hAnsiTheme="minorHAnsi" w:cstheme="minorHAnsi"/>
              </w:rPr>
              <w:t xml:space="preserve">be </w:t>
            </w:r>
            <w:r w:rsidR="00722BEA" w:rsidRPr="002868F8">
              <w:rPr>
                <w:rFonts w:asciiTheme="minorHAnsi" w:hAnsiTheme="minorHAnsi" w:cstheme="minorHAnsi"/>
              </w:rPr>
              <w:t xml:space="preserve">considered for healthy </w:t>
            </w:r>
            <w:r w:rsidRPr="002868F8">
              <w:rPr>
                <w:rFonts w:asciiTheme="minorHAnsi" w:hAnsiTheme="minorHAnsi" w:cstheme="minorHAnsi"/>
              </w:rPr>
              <w:t xml:space="preserve">adolescents </w:t>
            </w:r>
            <w:r w:rsidR="00BE5663" w:rsidRPr="002868F8">
              <w:rPr>
                <w:rFonts w:asciiTheme="minorHAnsi" w:hAnsiTheme="minorHAnsi" w:cstheme="minorHAnsi"/>
              </w:rPr>
              <w:t>16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="006F2A2C" w:rsidRPr="002868F8">
              <w:rPr>
                <w:rFonts w:asciiTheme="minorHAnsi" w:hAnsiTheme="minorHAnsi" w:cstheme="minorHAnsi"/>
              </w:rPr>
              <w:t>18</w:t>
            </w:r>
            <w:r w:rsidRPr="002868F8">
              <w:rPr>
                <w:rFonts w:asciiTheme="minorHAnsi" w:hAnsiTheme="minorHAnsi" w:cstheme="minorHAnsi"/>
              </w:rPr>
              <w:t xml:space="preserve"> years of age to provide short term protection against most strains of serogroup B meningococcal disease</w:t>
            </w:r>
            <w:r w:rsidR="00C90006" w:rsidRPr="002868F8">
              <w:rPr>
                <w:rFonts w:asciiTheme="minorHAnsi" w:hAnsiTheme="minorHAnsi" w:cstheme="minorHAnsi"/>
              </w:rPr>
              <w:t xml:space="preserve"> (permissive recommendation</w:t>
            </w:r>
            <w:r w:rsidR="00C76EFA">
              <w:rPr>
                <w:rFonts w:asciiTheme="minorHAnsi" w:hAnsiTheme="minorHAnsi" w:cstheme="minorHAnsi"/>
              </w:rPr>
              <w:t xml:space="preserve"> based on shared clinical decision-making</w:t>
            </w:r>
            <w:r w:rsidR="00C90006" w:rsidRPr="002868F8">
              <w:rPr>
                <w:rFonts w:asciiTheme="minorHAnsi" w:hAnsiTheme="minorHAnsi" w:cstheme="minorHAnsi"/>
              </w:rPr>
              <w:t>)</w:t>
            </w:r>
            <w:r w:rsidR="006F2A2C" w:rsidRPr="002868F8">
              <w:rPr>
                <w:rFonts w:asciiTheme="minorHAnsi" w:hAnsiTheme="minorHAnsi" w:cstheme="minorHAnsi"/>
              </w:rPr>
              <w:t>.</w:t>
            </w:r>
            <w:r w:rsidR="00064C58" w:rsidRPr="002868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2784" w:rsidRPr="008F3244" w14:paraId="6815448F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66BDFE90" w14:textId="77777777" w:rsidR="00052784" w:rsidRPr="008F3244" w:rsidRDefault="00052784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MMR</w:t>
            </w:r>
          </w:p>
        </w:tc>
        <w:tc>
          <w:tcPr>
            <w:tcW w:w="1260" w:type="dxa"/>
          </w:tcPr>
          <w:p w14:paraId="44946369" w14:textId="77777777" w:rsidR="00B339BF" w:rsidRDefault="00B339BF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DBD7BF" w14:textId="0AE9C0C1" w:rsidR="00052784" w:rsidRPr="008F3244" w:rsidRDefault="00052784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6EBAD119" w14:textId="338D17E7" w:rsidR="00052784" w:rsidRPr="002868F8" w:rsidRDefault="00052784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12 months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>18 years</w:t>
            </w:r>
            <w:r w:rsidR="00D003DC" w:rsidRPr="002868F8">
              <w:rPr>
                <w:rFonts w:asciiTheme="minorHAnsi" w:hAnsiTheme="minorHAnsi" w:cstheme="minorHAnsi"/>
              </w:rPr>
              <w:t xml:space="preserve"> </w:t>
            </w:r>
          </w:p>
          <w:p w14:paraId="09F0706A" w14:textId="22F4D0DE" w:rsidR="00052784" w:rsidRPr="002868F8" w:rsidRDefault="11A26C83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Infants 6 – 11 months, 1 dose before any international travel; revaccinate with 2-dose series at </w:t>
            </w:r>
            <w:r w:rsidR="64A0B201" w:rsidRPr="002868F8">
              <w:rPr>
                <w:rFonts w:asciiTheme="minorHAnsi" w:hAnsiTheme="minorHAnsi" w:cstheme="minorHAnsi"/>
              </w:rPr>
              <w:t>age 12-15 months</w:t>
            </w:r>
          </w:p>
        </w:tc>
      </w:tr>
      <w:tr w:rsidR="0080707A" w:rsidRPr="008F3244" w14:paraId="602F59C0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12F408AE" w14:textId="77777777" w:rsidR="0080707A" w:rsidRPr="008F3244" w:rsidRDefault="00B119A9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MMR</w:t>
            </w:r>
            <w:r w:rsidR="0080707A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</w:t>
            </w:r>
            <w:r w:rsidR="001D1A7E"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260" w:type="dxa"/>
          </w:tcPr>
          <w:p w14:paraId="36FDAFD0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D4E85AC" w14:textId="77777777" w:rsidR="00226F90" w:rsidRPr="008F3244" w:rsidRDefault="00226F90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86AD96D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  <w:p w14:paraId="0623D815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7813" w:type="dxa"/>
          </w:tcPr>
          <w:p w14:paraId="28255AEC" w14:textId="77777777" w:rsidR="00880CED" w:rsidRPr="002868F8" w:rsidRDefault="00880CE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12 months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>1</w:t>
            </w:r>
            <w:r w:rsidR="00320791" w:rsidRPr="002868F8">
              <w:rPr>
                <w:rFonts w:asciiTheme="minorHAnsi" w:hAnsiTheme="minorHAnsi" w:cstheme="minorHAnsi"/>
              </w:rPr>
              <w:t>2</w:t>
            </w:r>
            <w:r w:rsidRPr="002868F8">
              <w:rPr>
                <w:rFonts w:asciiTheme="minorHAnsi" w:hAnsiTheme="minorHAnsi" w:cstheme="minorHAnsi"/>
              </w:rPr>
              <w:t xml:space="preserve"> years who require both MMR and varicella vaccines </w:t>
            </w:r>
          </w:p>
          <w:p w14:paraId="3C1DD98A" w14:textId="6EB31BD3" w:rsidR="00724D3F" w:rsidRPr="008F3244" w:rsidRDefault="008E0E8E" w:rsidP="002868F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Note: </w:t>
            </w:r>
            <w:r w:rsidR="00D83669">
              <w:rPr>
                <w:rFonts w:asciiTheme="minorHAnsi" w:hAnsiTheme="minorHAnsi" w:cstheme="minorHAnsi"/>
                <w:sz w:val="18"/>
                <w:szCs w:val="18"/>
              </w:rPr>
              <w:t>MDPH</w:t>
            </w: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recommends the 1st dose in the series for children 12</w:t>
            </w:r>
            <w:r w:rsidR="00386822"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="007414D4" w:rsidRPr="008F3244">
              <w:rPr>
                <w:rFonts w:asciiTheme="minorHAnsi" w:hAnsiTheme="minorHAnsi" w:cstheme="minorHAnsi"/>
                <w:sz w:val="18"/>
                <w:szCs w:val="18"/>
              </w:rPr>
              <w:t>47 months</w:t>
            </w:r>
            <w:r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be given as separate injections of MMR and varicella vaccines</w:t>
            </w:r>
            <w:r w:rsidR="00D8366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3B7C7B" w:rsidRPr="008F324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D83669" w:rsidRPr="00D83669">
              <w:rPr>
                <w:rFonts w:asciiTheme="minorHAnsi" w:hAnsiTheme="minorHAnsi" w:cstheme="minorHAnsi"/>
                <w:sz w:val="18"/>
                <w:szCs w:val="18"/>
              </w:rPr>
              <w:t>MMRV may be used if parents or caregivers express a preference.</w:t>
            </w:r>
          </w:p>
        </w:tc>
      </w:tr>
      <w:tr w:rsidR="00F8024C" w:rsidRPr="008F3244" w14:paraId="75240024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1C3E7EFF" w14:textId="267ED19A" w:rsidR="00F8024C" w:rsidRPr="008F3244" w:rsidRDefault="00F8024C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Mpox</w:t>
            </w:r>
          </w:p>
        </w:tc>
        <w:tc>
          <w:tcPr>
            <w:tcW w:w="1260" w:type="dxa"/>
          </w:tcPr>
          <w:p w14:paraId="249AADB7" w14:textId="7F58EAA4" w:rsidR="00F8024C" w:rsidRPr="008F3244" w:rsidRDefault="00F8024C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5D071E58" w14:textId="5846E1B4" w:rsidR="00F8024C" w:rsidRPr="002868F8" w:rsidRDefault="00F8024C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High risk* children aged 18 years</w:t>
            </w:r>
          </w:p>
        </w:tc>
      </w:tr>
      <w:tr w:rsidR="0080707A" w:rsidRPr="008F3244" w14:paraId="1D61994A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1392F3B1" w14:textId="014FC761" w:rsidR="0080707A" w:rsidRPr="00F8024C" w:rsidRDefault="00341F3C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PCV20</w:t>
            </w:r>
          </w:p>
          <w:p w14:paraId="079B9815" w14:textId="77777777" w:rsidR="0080707A" w:rsidRPr="00F8024C" w:rsidRDefault="0080707A" w:rsidP="00D42C42">
            <w:pPr>
              <w:spacing w:before="60" w:after="60" w:line="240" w:lineRule="exac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Cs/>
                <w:sz w:val="22"/>
                <w:szCs w:val="22"/>
              </w:rPr>
              <w:t>(Pneumococcal Conjugate)</w:t>
            </w:r>
          </w:p>
        </w:tc>
        <w:tc>
          <w:tcPr>
            <w:tcW w:w="1260" w:type="dxa"/>
            <w:vAlign w:val="center"/>
          </w:tcPr>
          <w:p w14:paraId="77261BBE" w14:textId="77777777" w:rsidR="0080707A" w:rsidRPr="00F8024C" w:rsidRDefault="0080707A" w:rsidP="13520E03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</w:t>
            </w:r>
            <w:r w:rsidR="003B7C7B"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</w:t>
            </w:r>
          </w:p>
        </w:tc>
        <w:tc>
          <w:tcPr>
            <w:tcW w:w="7813" w:type="dxa"/>
            <w:vAlign w:val="center"/>
          </w:tcPr>
          <w:p w14:paraId="0C03381F" w14:textId="77777777" w:rsidR="0080707A" w:rsidRPr="002868F8" w:rsidRDefault="0080707A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2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 xml:space="preserve">59 months </w:t>
            </w:r>
          </w:p>
          <w:p w14:paraId="18DE25EC" w14:textId="34EBA294" w:rsidR="0080707A" w:rsidRPr="00DA0DB2" w:rsidRDefault="0080707A" w:rsidP="002868F8">
            <w:pPr>
              <w:pStyle w:val="ListParagraph"/>
              <w:numPr>
                <w:ilvl w:val="0"/>
                <w:numId w:val="3"/>
              </w:numPr>
              <w:spacing w:after="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High risk* children through age </w:t>
            </w:r>
            <w:r w:rsidR="00344864" w:rsidRPr="002868F8">
              <w:rPr>
                <w:rFonts w:asciiTheme="minorHAnsi" w:hAnsiTheme="minorHAnsi" w:cstheme="minorHAnsi"/>
              </w:rPr>
              <w:t>18 years</w:t>
            </w:r>
          </w:p>
        </w:tc>
      </w:tr>
      <w:tr w:rsidR="0080707A" w:rsidRPr="008F3244" w14:paraId="7DFDA82D" w14:textId="77777777" w:rsidTr="7D37420F">
        <w:trPr>
          <w:trHeight w:val="708"/>
          <w:jc w:val="center"/>
        </w:trPr>
        <w:tc>
          <w:tcPr>
            <w:tcW w:w="2177" w:type="dxa"/>
            <w:vAlign w:val="center"/>
          </w:tcPr>
          <w:p w14:paraId="44427B75" w14:textId="77777777" w:rsidR="0080707A" w:rsidRPr="008F3244" w:rsidRDefault="0080707A" w:rsidP="000527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PPSV23</w:t>
            </w:r>
          </w:p>
          <w:p w14:paraId="45870D99" w14:textId="77777777" w:rsidR="0080707A" w:rsidRPr="008F3244" w:rsidRDefault="0080707A" w:rsidP="00052784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F3244">
              <w:rPr>
                <w:rFonts w:asciiTheme="minorHAnsi" w:hAnsiTheme="minorHAnsi" w:cstheme="minorHAnsi"/>
                <w:bCs/>
                <w:sz w:val="22"/>
                <w:szCs w:val="20"/>
              </w:rPr>
              <w:t>(Pneumococcal Polysaccharide)</w:t>
            </w:r>
          </w:p>
        </w:tc>
        <w:tc>
          <w:tcPr>
            <w:tcW w:w="1260" w:type="dxa"/>
            <w:vAlign w:val="center"/>
          </w:tcPr>
          <w:p w14:paraId="6921751B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4396746F" w14:textId="199904AA" w:rsidR="0080707A" w:rsidRPr="002868F8" w:rsidRDefault="00C265A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C</w:t>
            </w:r>
            <w:r w:rsidR="00AA3868" w:rsidRPr="002868F8">
              <w:rPr>
                <w:rFonts w:asciiTheme="minorHAnsi" w:hAnsiTheme="minorHAnsi" w:cstheme="minorHAnsi"/>
              </w:rPr>
              <w:t xml:space="preserve">hildren 2 through 18 years old </w:t>
            </w:r>
            <w:r w:rsidR="003B0BEE" w:rsidRPr="002868F8">
              <w:rPr>
                <w:rFonts w:asciiTheme="minorHAnsi" w:hAnsiTheme="minorHAnsi" w:cstheme="minorHAnsi"/>
              </w:rPr>
              <w:t xml:space="preserve">with </w:t>
            </w:r>
            <w:r w:rsidRPr="002868F8">
              <w:rPr>
                <w:rFonts w:asciiTheme="minorHAnsi" w:hAnsiTheme="minorHAnsi" w:cstheme="minorHAnsi"/>
              </w:rPr>
              <w:t xml:space="preserve">certain risk* conditions </w:t>
            </w:r>
            <w:r w:rsidR="00AA3868" w:rsidRPr="002868F8">
              <w:rPr>
                <w:rFonts w:asciiTheme="minorHAnsi" w:hAnsiTheme="minorHAnsi" w:cstheme="minorHAnsi"/>
              </w:rPr>
              <w:t xml:space="preserve">who </w:t>
            </w:r>
            <w:r w:rsidR="00965CC3" w:rsidRPr="002868F8">
              <w:rPr>
                <w:rFonts w:asciiTheme="minorHAnsi" w:hAnsiTheme="minorHAnsi" w:cstheme="minorHAnsi"/>
              </w:rPr>
              <w:t>receive/received</w:t>
            </w:r>
            <w:r w:rsidR="00530E90" w:rsidRPr="002868F8">
              <w:rPr>
                <w:rFonts w:asciiTheme="minorHAnsi" w:hAnsiTheme="minorHAnsi" w:cstheme="minorHAnsi"/>
              </w:rPr>
              <w:t xml:space="preserve"> PCV13 or</w:t>
            </w:r>
            <w:r w:rsidR="00AA3868" w:rsidRPr="002868F8">
              <w:rPr>
                <w:rFonts w:asciiTheme="minorHAnsi" w:hAnsiTheme="minorHAnsi" w:cstheme="minorHAnsi"/>
              </w:rPr>
              <w:t xml:space="preserve"> PCV15</w:t>
            </w:r>
            <w:r w:rsidR="003B0BEE" w:rsidRPr="002868F8">
              <w:rPr>
                <w:rFonts w:asciiTheme="minorHAnsi" w:hAnsiTheme="minorHAnsi" w:cstheme="minorHAnsi"/>
              </w:rPr>
              <w:t xml:space="preserve"> only</w:t>
            </w:r>
          </w:p>
        </w:tc>
      </w:tr>
      <w:tr w:rsidR="0080707A" w:rsidRPr="008F3244" w14:paraId="4595655C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0729CF18" w14:textId="77777777" w:rsidR="0080707A" w:rsidRPr="008F3244" w:rsidRDefault="0080707A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Polio</w:t>
            </w:r>
          </w:p>
        </w:tc>
        <w:tc>
          <w:tcPr>
            <w:tcW w:w="1260" w:type="dxa"/>
            <w:vAlign w:val="center"/>
          </w:tcPr>
          <w:p w14:paraId="69FA9239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4CC891FD" w14:textId="77777777" w:rsidR="0080707A" w:rsidRPr="002868F8" w:rsidRDefault="0080707A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2 months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</w:rPr>
              <w:t xml:space="preserve">18 years </w:t>
            </w:r>
          </w:p>
        </w:tc>
      </w:tr>
      <w:tr w:rsidR="0080707A" w:rsidRPr="008F3244" w14:paraId="1832BB5D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0F5E5B15" w14:textId="77777777" w:rsidR="0080707A" w:rsidRPr="008F3244" w:rsidRDefault="0080707A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Rotavirus</w:t>
            </w:r>
          </w:p>
        </w:tc>
        <w:tc>
          <w:tcPr>
            <w:tcW w:w="1260" w:type="dxa"/>
            <w:vAlign w:val="center"/>
          </w:tcPr>
          <w:p w14:paraId="31D8F43F" w14:textId="77777777" w:rsidR="0080707A" w:rsidRPr="008F3244" w:rsidRDefault="0080707A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6B1ED087" w14:textId="77777777" w:rsidR="0080707A" w:rsidRPr="002868F8" w:rsidRDefault="0080707A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i</w:t>
            </w:r>
            <w:r w:rsidR="441BFDBB" w:rsidRPr="002868F8">
              <w:rPr>
                <w:rFonts w:asciiTheme="minorHAnsi" w:hAnsiTheme="minorHAnsi" w:cstheme="minorHAnsi"/>
              </w:rPr>
              <w:t>nfants aged 6 weeks</w:t>
            </w:r>
            <w:r w:rsidR="00386822" w:rsidRPr="002868F8">
              <w:rPr>
                <w:rFonts w:asciiTheme="minorHAnsi" w:hAnsiTheme="minorHAnsi" w:cstheme="minorHAnsi"/>
              </w:rPr>
              <w:t xml:space="preserve"> – </w:t>
            </w:r>
            <w:r w:rsidR="441BFDBB" w:rsidRPr="002868F8">
              <w:rPr>
                <w:rFonts w:asciiTheme="minorHAnsi" w:hAnsiTheme="minorHAnsi" w:cstheme="minorHAnsi"/>
              </w:rPr>
              <w:t>8 months 0 days</w:t>
            </w:r>
            <w:r w:rsidRPr="002868F8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02E95" w:rsidRPr="008F3244" w14:paraId="2DB8349B" w14:textId="77777777" w:rsidTr="7D37420F">
        <w:trPr>
          <w:trHeight w:val="332"/>
          <w:jc w:val="center"/>
        </w:trPr>
        <w:tc>
          <w:tcPr>
            <w:tcW w:w="2177" w:type="dxa"/>
            <w:vAlign w:val="center"/>
          </w:tcPr>
          <w:p w14:paraId="2D8586C1" w14:textId="55D45DE7" w:rsidR="00102E95" w:rsidRPr="008F3244" w:rsidRDefault="00102E95" w:rsidP="00D42C42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 (Abrysvo)</w:t>
            </w:r>
          </w:p>
        </w:tc>
        <w:tc>
          <w:tcPr>
            <w:tcW w:w="1260" w:type="dxa"/>
            <w:vAlign w:val="center"/>
          </w:tcPr>
          <w:p w14:paraId="768F78BF" w14:textId="75B0D371" w:rsidR="00102E95" w:rsidRPr="008F3244" w:rsidRDefault="00102E95" w:rsidP="00D42C42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64940E51" w14:textId="702ACE96" w:rsidR="00102E95" w:rsidRPr="002868F8" w:rsidRDefault="0098350E">
            <w:pPr>
              <w:pStyle w:val="ListParagraph"/>
              <w:numPr>
                <w:ilvl w:val="0"/>
                <w:numId w:val="3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P</w:t>
            </w:r>
            <w:r w:rsidR="00597C58" w:rsidRPr="002868F8">
              <w:rPr>
                <w:rFonts w:asciiTheme="minorHAnsi" w:hAnsiTheme="minorHAnsi" w:cstheme="minorHAnsi"/>
              </w:rPr>
              <w:t>regnant persons through 18 years old</w:t>
            </w:r>
          </w:p>
          <w:p w14:paraId="2752ECEF" w14:textId="01EEEEFE" w:rsidR="00597C58" w:rsidRDefault="00597C58">
            <w:pPr>
              <w:numPr>
                <w:ilvl w:val="0"/>
                <w:numId w:val="2"/>
              </w:num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Pregnant at 32 weeks 0 days through 36 weeks and 6 days gestation from </w:t>
            </w:r>
            <w:r w:rsidR="00A73569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September through January</w:t>
            </w:r>
          </w:p>
          <w:p w14:paraId="68AB5AFF" w14:textId="77777777" w:rsidR="00597C58" w:rsidRDefault="00597C58" w:rsidP="77698E3C">
            <w:pPr>
              <w:numPr>
                <w:ilvl w:val="0"/>
                <w:numId w:val="2"/>
              </w:numPr>
              <w:spacing w:before="60" w:after="60" w:line="240" w:lineRule="exact"/>
              <w:rPr>
                <w:rFonts w:asciiTheme="minorHAnsi" w:hAnsiTheme="minorHAnsi" w:cstheme="minorBidi"/>
                <w:sz w:val="22"/>
                <w:szCs w:val="22"/>
              </w:rPr>
            </w:pPr>
            <w:r w:rsidRPr="7D37420F">
              <w:rPr>
                <w:rFonts w:asciiTheme="minorHAnsi" w:hAnsiTheme="minorHAnsi" w:cstheme="minorBidi"/>
                <w:sz w:val="22"/>
                <w:szCs w:val="22"/>
              </w:rPr>
              <w:t>Either maternal RSV vaccination or infant immunization with nirsevimab is recommended to prevent RSV infection in infants</w:t>
            </w:r>
          </w:p>
          <w:p w14:paraId="79182108" w14:textId="7C8B5A77" w:rsidR="00597C58" w:rsidRPr="008F3244" w:rsidRDefault="00597C58">
            <w:pPr>
              <w:numPr>
                <w:ilvl w:val="0"/>
                <w:numId w:val="2"/>
              </w:numPr>
              <w:spacing w:before="60" w:after="60" w:line="24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Current recommendations are for a single maternal dose only. There are no recs for maternal RSV vaccination in subsequent pregnancies.</w:t>
            </w:r>
          </w:p>
        </w:tc>
      </w:tr>
    </w:tbl>
    <w:p w14:paraId="7B0FF893" w14:textId="77777777" w:rsidR="002868F8" w:rsidRDefault="002868F8">
      <w:r>
        <w:br w:type="page"/>
      </w:r>
    </w:p>
    <w:tbl>
      <w:tblPr>
        <w:tblW w:w="112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77"/>
        <w:gridCol w:w="1260"/>
        <w:gridCol w:w="7813"/>
      </w:tblGrid>
      <w:tr w:rsidR="000E0228" w:rsidRPr="008F3244" w14:paraId="465EEB96" w14:textId="77777777" w:rsidTr="633FC4D2">
        <w:trPr>
          <w:trHeight w:val="332"/>
          <w:jc w:val="center"/>
        </w:trPr>
        <w:tc>
          <w:tcPr>
            <w:tcW w:w="2177" w:type="dxa"/>
            <w:shd w:val="clear" w:color="auto" w:fill="000000" w:themeFill="text1"/>
            <w:vAlign w:val="center"/>
          </w:tcPr>
          <w:p w14:paraId="2DB3B66D" w14:textId="732A4304" w:rsidR="000E0228" w:rsidRPr="008F3244" w:rsidRDefault="000E0228" w:rsidP="633FC4D2">
            <w:pPr>
              <w:spacing w:before="120" w:after="60" w:line="200" w:lineRule="exact"/>
              <w:jc w:val="center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633FC4D2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lastRenderedPageBreak/>
              <w:t>Vaccine</w:t>
            </w:r>
          </w:p>
        </w:tc>
        <w:tc>
          <w:tcPr>
            <w:tcW w:w="1260" w:type="dxa"/>
            <w:shd w:val="clear" w:color="auto" w:fill="000000" w:themeFill="text1"/>
            <w:vAlign w:val="center"/>
          </w:tcPr>
          <w:p w14:paraId="626A43FE" w14:textId="77777777" w:rsidR="000E0228" w:rsidRPr="008F3244" w:rsidRDefault="000E0228" w:rsidP="00194EAC">
            <w:pPr>
              <w:spacing w:before="12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Eligibility</w:t>
            </w:r>
          </w:p>
        </w:tc>
        <w:tc>
          <w:tcPr>
            <w:tcW w:w="7813" w:type="dxa"/>
            <w:shd w:val="clear" w:color="auto" w:fill="000000" w:themeFill="text1"/>
            <w:vAlign w:val="center"/>
          </w:tcPr>
          <w:p w14:paraId="21BF63A8" w14:textId="77777777" w:rsidR="000E0228" w:rsidRPr="008F3244" w:rsidRDefault="000E0228" w:rsidP="00194EAC">
            <w:pPr>
              <w:spacing w:before="120"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DPH Supplied Vaccine Available For:</w:t>
            </w:r>
          </w:p>
        </w:tc>
      </w:tr>
      <w:tr w:rsidR="000E0228" w:rsidRPr="008F3244" w14:paraId="7D0FBD1A" w14:textId="77777777" w:rsidTr="633FC4D2">
        <w:trPr>
          <w:trHeight w:val="332"/>
          <w:jc w:val="center"/>
        </w:trPr>
        <w:tc>
          <w:tcPr>
            <w:tcW w:w="2177" w:type="dxa"/>
            <w:vAlign w:val="center"/>
          </w:tcPr>
          <w:p w14:paraId="7E022323" w14:textId="63F3852B" w:rsidR="000E0228" w:rsidRPr="00F8024C" w:rsidRDefault="000E0228" w:rsidP="000E0228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 (</w:t>
            </w:r>
            <w:r w:rsidR="009120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clesrovimab</w:t>
            </w: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260" w:type="dxa"/>
            <w:vAlign w:val="center"/>
          </w:tcPr>
          <w:p w14:paraId="330AE6DC" w14:textId="072A218D" w:rsidR="000E0228" w:rsidRPr="00F8024C" w:rsidRDefault="000E0228" w:rsidP="000E0228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</w:t>
            </w:r>
          </w:p>
        </w:tc>
        <w:tc>
          <w:tcPr>
            <w:tcW w:w="7813" w:type="dxa"/>
            <w:vAlign w:val="center"/>
          </w:tcPr>
          <w:p w14:paraId="5B7F5FB7" w14:textId="51227D3B" w:rsidR="000E0228" w:rsidRDefault="000030AA" w:rsidP="00DA0DB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All </w:t>
            </w:r>
            <w:r w:rsidR="00D34593" w:rsidRPr="00D34593">
              <w:rPr>
                <w:rFonts w:asciiTheme="minorHAnsi" w:hAnsiTheme="minorHAnsi" w:cstheme="minorHAnsi"/>
              </w:rPr>
              <w:t xml:space="preserve">infants aged &lt;8 months born during or </w:t>
            </w:r>
            <w:proofErr w:type="gramStart"/>
            <w:r w:rsidR="00D34593" w:rsidRPr="00D34593">
              <w:rPr>
                <w:rFonts w:asciiTheme="minorHAnsi" w:hAnsiTheme="minorHAnsi" w:cstheme="minorHAnsi"/>
              </w:rPr>
              <w:t>entering</w:t>
            </w:r>
            <w:proofErr w:type="gramEnd"/>
            <w:r w:rsidR="00D34593" w:rsidRPr="00D34593">
              <w:rPr>
                <w:rFonts w:asciiTheme="minorHAnsi" w:hAnsiTheme="minorHAnsi" w:cstheme="minorHAnsi"/>
              </w:rPr>
              <w:t xml:space="preserve"> their first RSV season</w:t>
            </w:r>
          </w:p>
          <w:p w14:paraId="44474430" w14:textId="17F1293E" w:rsidR="00044516" w:rsidRPr="00DA0DB2" w:rsidRDefault="00044516" w:rsidP="00D723AF">
            <w:pPr>
              <w:pStyle w:val="ListParagraph"/>
              <w:spacing w:after="0" w:line="240" w:lineRule="auto"/>
              <w:ind w:left="360"/>
              <w:rPr>
                <w:rFonts w:asciiTheme="minorHAnsi" w:hAnsiTheme="minorHAnsi" w:cstheme="minorHAnsi"/>
              </w:rPr>
            </w:pPr>
            <w:r w:rsidRPr="00D723AF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="001103DB" w:rsidRPr="00D723AF">
              <w:rPr>
                <w:rFonts w:asciiTheme="minorHAnsi" w:hAnsiTheme="minorHAnsi" w:cstheme="minorHAnsi"/>
                <w:sz w:val="18"/>
                <w:szCs w:val="18"/>
              </w:rPr>
              <w:t>105 mg dosage for all infants)</w:t>
            </w:r>
          </w:p>
        </w:tc>
      </w:tr>
      <w:tr w:rsidR="00912009" w:rsidRPr="008F3244" w14:paraId="32539FEA" w14:textId="77777777" w:rsidTr="633FC4D2">
        <w:trPr>
          <w:trHeight w:val="332"/>
          <w:jc w:val="center"/>
        </w:trPr>
        <w:tc>
          <w:tcPr>
            <w:tcW w:w="2177" w:type="dxa"/>
            <w:vAlign w:val="center"/>
          </w:tcPr>
          <w:p w14:paraId="52D4D3BC" w14:textId="6E505441" w:rsidR="00912009" w:rsidRPr="00F8024C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RSV (nirsevimab)</w:t>
            </w:r>
          </w:p>
        </w:tc>
        <w:tc>
          <w:tcPr>
            <w:tcW w:w="1260" w:type="dxa"/>
            <w:vAlign w:val="center"/>
          </w:tcPr>
          <w:p w14:paraId="49CBC4BD" w14:textId="1ABD28A4" w:rsidR="00912009" w:rsidRPr="00F8024C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802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ll</w:t>
            </w:r>
          </w:p>
        </w:tc>
        <w:tc>
          <w:tcPr>
            <w:tcW w:w="7813" w:type="dxa"/>
            <w:vAlign w:val="center"/>
          </w:tcPr>
          <w:p w14:paraId="65CCEC20" w14:textId="77777777" w:rsidR="00912009" w:rsidRPr="002868F8" w:rsidRDefault="00912009" w:rsidP="009120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All infants aged &lt;8 months born during or entering their first RSV season                  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        (50 mg  for infants weighing &lt;5 kg/&lt;11 </w:t>
            </w:r>
            <w:proofErr w:type="spellStart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lb</w:t>
            </w:r>
            <w:proofErr w:type="spellEnd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and 100 mg for infants weighing ≥5 kg/≥11 </w:t>
            </w:r>
            <w:proofErr w:type="spellStart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lb</w:t>
            </w:r>
            <w:proofErr w:type="spellEnd"/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294760A7" w14:textId="018B6B95" w:rsidR="00912009" w:rsidRPr="002868F8" w:rsidRDefault="00912009" w:rsidP="0091200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 xml:space="preserve">Infants and children aged 8–19 months who are at increased risk* for severe RSV disease and entering their second RSV season                                                                         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>(200 mg, administered as two 100 mg injections given at the same time at different injection sites)</w:t>
            </w:r>
          </w:p>
        </w:tc>
      </w:tr>
      <w:tr w:rsidR="00912009" w:rsidRPr="008F3244" w14:paraId="47124BD9" w14:textId="77777777" w:rsidTr="633FC4D2">
        <w:trPr>
          <w:trHeight w:val="332"/>
          <w:jc w:val="center"/>
        </w:trPr>
        <w:tc>
          <w:tcPr>
            <w:tcW w:w="2177" w:type="dxa"/>
            <w:vAlign w:val="center"/>
          </w:tcPr>
          <w:p w14:paraId="6D4A9D0C" w14:textId="77777777" w:rsidR="00912009" w:rsidRPr="008F3244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Td</w:t>
            </w:r>
          </w:p>
        </w:tc>
        <w:tc>
          <w:tcPr>
            <w:tcW w:w="1260" w:type="dxa"/>
            <w:vAlign w:val="center"/>
          </w:tcPr>
          <w:p w14:paraId="6277D363" w14:textId="77777777" w:rsidR="00912009" w:rsidRPr="008F3244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  <w:vAlign w:val="center"/>
          </w:tcPr>
          <w:p w14:paraId="29F56AE3" w14:textId="77777777" w:rsidR="00912009" w:rsidRPr="002868F8" w:rsidRDefault="00912009" w:rsidP="00912009">
            <w:pPr>
              <w:pStyle w:val="ListParagraph"/>
              <w:numPr>
                <w:ilvl w:val="0"/>
                <w:numId w:val="4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7 – 18 years</w:t>
            </w:r>
          </w:p>
        </w:tc>
      </w:tr>
      <w:tr w:rsidR="00912009" w:rsidRPr="008F3244" w14:paraId="7A4EA4B7" w14:textId="77777777" w:rsidTr="633FC4D2">
        <w:trPr>
          <w:trHeight w:val="609"/>
          <w:jc w:val="center"/>
        </w:trPr>
        <w:tc>
          <w:tcPr>
            <w:tcW w:w="2177" w:type="dxa"/>
            <w:vAlign w:val="center"/>
          </w:tcPr>
          <w:p w14:paraId="23F4A551" w14:textId="77777777" w:rsidR="00912009" w:rsidRPr="008F3244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Tdap</w:t>
            </w:r>
          </w:p>
        </w:tc>
        <w:tc>
          <w:tcPr>
            <w:tcW w:w="1260" w:type="dxa"/>
          </w:tcPr>
          <w:p w14:paraId="7B76D3F6" w14:textId="77777777" w:rsidR="00912009" w:rsidRPr="008F3244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bookmarkStart w:id="1" w:name="Check29"/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  <w:bookmarkEnd w:id="1"/>
          </w:p>
        </w:tc>
        <w:tc>
          <w:tcPr>
            <w:tcW w:w="7813" w:type="dxa"/>
            <w:vAlign w:val="center"/>
          </w:tcPr>
          <w:p w14:paraId="18AE85C5" w14:textId="77777777" w:rsidR="00912009" w:rsidRPr="002868F8" w:rsidRDefault="00912009" w:rsidP="0091200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  <w:bCs/>
              </w:rPr>
              <w:t>All children aged 7</w:t>
            </w:r>
            <w:r w:rsidRPr="002868F8">
              <w:rPr>
                <w:rFonts w:asciiTheme="minorHAnsi" w:hAnsiTheme="minorHAnsi" w:cstheme="minorHAnsi"/>
              </w:rPr>
              <w:t xml:space="preserve"> – </w:t>
            </w:r>
            <w:r w:rsidRPr="002868F8">
              <w:rPr>
                <w:rFonts w:asciiTheme="minorHAnsi" w:hAnsiTheme="minorHAnsi" w:cstheme="minorHAnsi"/>
                <w:bCs/>
              </w:rPr>
              <w:t xml:space="preserve">18 years </w:t>
            </w:r>
            <w:r w:rsidRPr="002868F8">
              <w:rPr>
                <w:rFonts w:asciiTheme="minorHAnsi" w:hAnsiTheme="minorHAnsi" w:cstheme="minorHAnsi"/>
                <w:bCs/>
              </w:rPr>
              <w:br/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</w:rPr>
              <w:t>Note: routinely recommended at 7</w:t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  <w:vertAlign w:val="superscript"/>
              </w:rPr>
              <w:t>th</w:t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grade entry, 11</w:t>
            </w:r>
            <w:r w:rsidRPr="002868F8">
              <w:rPr>
                <w:rFonts w:asciiTheme="minorHAnsi" w:hAnsiTheme="minorHAnsi" w:cstheme="minorHAnsi"/>
                <w:sz w:val="18"/>
                <w:szCs w:val="18"/>
              </w:rPr>
              <w:t xml:space="preserve"> – </w:t>
            </w:r>
            <w:r w:rsidRPr="002868F8">
              <w:rPr>
                <w:rFonts w:asciiTheme="minorHAnsi" w:hAnsiTheme="minorHAnsi" w:cstheme="minorHAnsi"/>
                <w:bCs/>
                <w:sz w:val="18"/>
                <w:szCs w:val="18"/>
              </w:rPr>
              <w:t>12 years of age</w:t>
            </w:r>
          </w:p>
        </w:tc>
      </w:tr>
      <w:tr w:rsidR="00912009" w:rsidRPr="008F3244" w14:paraId="7715C1D2" w14:textId="77777777" w:rsidTr="633FC4D2">
        <w:trPr>
          <w:trHeight w:val="330"/>
          <w:jc w:val="center"/>
        </w:trPr>
        <w:tc>
          <w:tcPr>
            <w:tcW w:w="2177" w:type="dxa"/>
            <w:vAlign w:val="center"/>
          </w:tcPr>
          <w:p w14:paraId="3611EBA1" w14:textId="77777777" w:rsidR="00912009" w:rsidRPr="008F3244" w:rsidRDefault="00912009" w:rsidP="00912009">
            <w:pPr>
              <w:spacing w:before="60" w:after="60" w:line="240" w:lineRule="exac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Varicella</w:t>
            </w:r>
          </w:p>
        </w:tc>
        <w:tc>
          <w:tcPr>
            <w:tcW w:w="1260" w:type="dxa"/>
          </w:tcPr>
          <w:p w14:paraId="68894FBC" w14:textId="77777777" w:rsidR="00912009" w:rsidRPr="008F3244" w:rsidRDefault="00912009" w:rsidP="00912009">
            <w:pPr>
              <w:spacing w:before="60" w:after="60" w:line="24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324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All</w:t>
            </w:r>
          </w:p>
        </w:tc>
        <w:tc>
          <w:tcPr>
            <w:tcW w:w="7813" w:type="dxa"/>
          </w:tcPr>
          <w:p w14:paraId="76C4CDBD" w14:textId="77777777" w:rsidR="00912009" w:rsidRPr="002868F8" w:rsidRDefault="00912009" w:rsidP="00912009">
            <w:pPr>
              <w:pStyle w:val="ListParagraph"/>
              <w:numPr>
                <w:ilvl w:val="0"/>
                <w:numId w:val="4"/>
              </w:numPr>
              <w:spacing w:before="60" w:after="60" w:line="240" w:lineRule="exact"/>
              <w:rPr>
                <w:rFonts w:asciiTheme="minorHAnsi" w:hAnsiTheme="minorHAnsi" w:cstheme="minorHAnsi"/>
              </w:rPr>
            </w:pPr>
            <w:r w:rsidRPr="002868F8">
              <w:rPr>
                <w:rFonts w:asciiTheme="minorHAnsi" w:hAnsiTheme="minorHAnsi" w:cstheme="minorHAnsi"/>
              </w:rPr>
              <w:t>All children aged 12 months – 18 years</w:t>
            </w:r>
          </w:p>
        </w:tc>
      </w:tr>
    </w:tbl>
    <w:p w14:paraId="18B9805D" w14:textId="77777777" w:rsidR="00386822" w:rsidRPr="008F3244" w:rsidRDefault="00386822" w:rsidP="003B7C7B">
      <w:pPr>
        <w:rPr>
          <w:rFonts w:asciiTheme="minorHAnsi" w:hAnsiTheme="minorHAnsi" w:cstheme="minorHAnsi"/>
          <w:sz w:val="22"/>
          <w:szCs w:val="22"/>
        </w:rPr>
      </w:pPr>
    </w:p>
    <w:p w14:paraId="1F7E38FE" w14:textId="5073D0F3" w:rsidR="003B7C7B" w:rsidRDefault="00D5355D" w:rsidP="003B7C7B">
      <w:pPr>
        <w:rPr>
          <w:rFonts w:asciiTheme="minorHAnsi" w:hAnsiTheme="minorHAnsi" w:cstheme="minorHAnsi"/>
          <w:sz w:val="22"/>
          <w:szCs w:val="22"/>
        </w:rPr>
      </w:pPr>
      <w:r w:rsidRPr="008F3244">
        <w:rPr>
          <w:rFonts w:asciiTheme="minorHAnsi" w:hAnsiTheme="minorHAnsi" w:cstheme="minorHAnsi"/>
          <w:sz w:val="22"/>
          <w:szCs w:val="22"/>
        </w:rPr>
        <w:t>*</w:t>
      </w:r>
      <w:r w:rsidR="0092734F" w:rsidRPr="0092734F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="0092734F">
        <w:rPr>
          <w:rFonts w:asciiTheme="minorHAnsi" w:hAnsiTheme="minorHAnsi" w:cstheme="minorBidi"/>
          <w:b/>
          <w:bCs/>
          <w:sz w:val="22"/>
          <w:szCs w:val="22"/>
        </w:rPr>
        <w:t>Recommended</w:t>
      </w:r>
      <w:r w:rsidR="0092734F" w:rsidRPr="3300457D">
        <w:rPr>
          <w:rFonts w:asciiTheme="minorHAnsi" w:hAnsiTheme="minorHAnsi" w:cstheme="minorBidi"/>
          <w:b/>
          <w:bCs/>
          <w:sz w:val="22"/>
          <w:szCs w:val="22"/>
        </w:rPr>
        <w:t xml:space="preserve"> Groups</w:t>
      </w:r>
      <w:r w:rsidR="0092734F" w:rsidRPr="3300457D">
        <w:rPr>
          <w:rFonts w:asciiTheme="minorHAnsi" w:hAnsiTheme="minorHAnsi" w:cstheme="minorBidi"/>
          <w:sz w:val="22"/>
          <w:szCs w:val="22"/>
        </w:rPr>
        <w:t xml:space="preserve">:  </w:t>
      </w:r>
      <w:r w:rsidR="0092734F">
        <w:rPr>
          <w:rFonts w:asciiTheme="minorHAnsi" w:hAnsiTheme="minorHAnsi" w:cstheme="minorBidi"/>
          <w:sz w:val="22"/>
          <w:szCs w:val="22"/>
        </w:rPr>
        <w:t xml:space="preserve">Groups that are recommended for vaccines </w:t>
      </w:r>
      <w:r w:rsidR="0092734F" w:rsidRPr="00690A7C">
        <w:rPr>
          <w:rFonts w:asciiTheme="minorHAnsi" w:hAnsiTheme="minorHAnsi" w:cstheme="minorBidi"/>
          <w:sz w:val="22"/>
          <w:szCs w:val="22"/>
        </w:rPr>
        <w:t xml:space="preserve">have been recommended for routine use </w:t>
      </w:r>
      <w:r w:rsidR="0092734F">
        <w:rPr>
          <w:rFonts w:asciiTheme="minorHAnsi" w:hAnsiTheme="minorHAnsi" w:cstheme="minorBidi"/>
          <w:sz w:val="22"/>
          <w:szCs w:val="22"/>
        </w:rPr>
        <w:t xml:space="preserve">either by the CDC’s Advisory Committee for Immunization Practices or </w:t>
      </w:r>
      <w:r w:rsidR="0092734F" w:rsidRPr="00690A7C">
        <w:rPr>
          <w:rFonts w:asciiTheme="minorHAnsi" w:hAnsiTheme="minorHAnsi" w:cstheme="minorBidi"/>
          <w:sz w:val="22"/>
          <w:szCs w:val="22"/>
        </w:rPr>
        <w:t>by the DPH Commissioner</w:t>
      </w:r>
      <w:r w:rsidR="0092734F">
        <w:rPr>
          <w:rFonts w:asciiTheme="minorHAnsi" w:hAnsiTheme="minorHAnsi" w:cstheme="minorBidi"/>
          <w:sz w:val="22"/>
          <w:szCs w:val="22"/>
        </w:rPr>
        <w:t xml:space="preserve"> as outlined at: </w:t>
      </w:r>
      <w:hyperlink r:id="rId11" w:history="1">
        <w:r w:rsidR="0092734F" w:rsidRPr="009846E6">
          <w:rPr>
            <w:rStyle w:val="Hyperlink"/>
            <w:rFonts w:asciiTheme="minorHAnsi" w:hAnsiTheme="minorHAnsi" w:cstheme="minorBidi"/>
            <w:sz w:val="22"/>
            <w:szCs w:val="22"/>
          </w:rPr>
          <w:t>https://www.mass.gov/info-details/dph-recommended-guidance-for-vaccines</w:t>
        </w:r>
      </w:hyperlink>
      <w:r w:rsidR="0086429E" w:rsidRPr="008F3244">
        <w:rPr>
          <w:rFonts w:asciiTheme="minorHAnsi" w:hAnsiTheme="minorHAnsi" w:cstheme="minorHAnsi"/>
          <w:sz w:val="22"/>
          <w:szCs w:val="22"/>
        </w:rPr>
        <w:t>.</w:t>
      </w:r>
      <w:r w:rsidRPr="008F324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7A99F3" w14:textId="2AE1B065" w:rsidR="00BA5A3F" w:rsidRDefault="00BA5A3F" w:rsidP="003B7C7B">
      <w:pPr>
        <w:rPr>
          <w:rFonts w:asciiTheme="minorHAnsi" w:hAnsiTheme="minorHAnsi" w:cstheme="minorHAnsi"/>
          <w:sz w:val="22"/>
          <w:szCs w:val="22"/>
        </w:rPr>
      </w:pPr>
    </w:p>
    <w:p w14:paraId="2F38CDA9" w14:textId="4518CD2B" w:rsidR="00BA5A3F" w:rsidRPr="00BA5A3F" w:rsidRDefault="00BA5A3F" w:rsidP="003B7C7B">
      <w:pPr>
        <w:rPr>
          <w:rFonts w:asciiTheme="minorHAnsi" w:hAnsiTheme="minorHAnsi" w:cstheme="minorHAnsi"/>
          <w:sz w:val="22"/>
          <w:szCs w:val="22"/>
        </w:rPr>
      </w:pPr>
      <w:r w:rsidRPr="00744CB8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</w:t>
      </w:r>
      <w:r w:rsidRPr="00744CB8">
        <w:rPr>
          <w:rFonts w:asciiTheme="minorHAnsi" w:hAnsiTheme="minorHAnsi" w:cstheme="minorHAnsi"/>
          <w:b/>
          <w:bCs/>
          <w:sz w:val="22"/>
          <w:szCs w:val="22"/>
        </w:rPr>
        <w:t>First Dollar Coverage</w:t>
      </w:r>
      <w:r>
        <w:rPr>
          <w:rFonts w:asciiTheme="minorHAnsi" w:hAnsiTheme="minorHAnsi" w:cstheme="minorHAnsi"/>
          <w:sz w:val="22"/>
          <w:szCs w:val="22"/>
        </w:rPr>
        <w:t>: Copays, coinsurance or deductibles will not apply for the administration of any recommended vaccines.</w:t>
      </w:r>
    </w:p>
    <w:p w14:paraId="4B2F33B7" w14:textId="6CDFD170" w:rsidR="005A5266" w:rsidRPr="008F3244" w:rsidRDefault="005A5266" w:rsidP="003B7C7B">
      <w:pPr>
        <w:rPr>
          <w:rFonts w:asciiTheme="minorHAnsi" w:hAnsiTheme="minorHAnsi" w:cstheme="minorHAnsi"/>
          <w:sz w:val="22"/>
          <w:szCs w:val="22"/>
        </w:rPr>
      </w:pPr>
    </w:p>
    <w:p w14:paraId="6172AD59" w14:textId="06D34E16" w:rsidR="005A5266" w:rsidRPr="008F3244" w:rsidRDefault="005A5266" w:rsidP="003B7C7B">
      <w:pPr>
        <w:rPr>
          <w:rFonts w:asciiTheme="minorHAnsi" w:hAnsiTheme="minorHAnsi" w:cstheme="minorHAnsi"/>
          <w:sz w:val="22"/>
          <w:szCs w:val="22"/>
        </w:rPr>
      </w:pPr>
    </w:p>
    <w:sectPr w:rsidR="005A5266" w:rsidRPr="008F3244" w:rsidSect="00E019D8">
      <w:headerReference w:type="default" r:id="rId12"/>
      <w:footerReference w:type="even" r:id="rId13"/>
      <w:footerReference w:type="default" r:id="rId14"/>
      <w:pgSz w:w="12240" w:h="15840" w:code="1"/>
      <w:pgMar w:top="576" w:right="432" w:bottom="576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43ECC" w14:textId="77777777" w:rsidR="005944AD" w:rsidRDefault="005944AD">
      <w:r>
        <w:separator/>
      </w:r>
    </w:p>
  </w:endnote>
  <w:endnote w:type="continuationSeparator" w:id="0">
    <w:p w14:paraId="3BBA879A" w14:textId="77777777" w:rsidR="005944AD" w:rsidRDefault="005944AD">
      <w:r>
        <w:continuationSeparator/>
      </w:r>
    </w:p>
  </w:endnote>
  <w:endnote w:type="continuationNotice" w:id="1">
    <w:p w14:paraId="1D578D4B" w14:textId="77777777" w:rsidR="005944AD" w:rsidRDefault="005944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ED94" w14:textId="6707BA86" w:rsidR="00A310C5" w:rsidRDefault="00A310C5" w:rsidP="00A561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446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182374" w14:textId="77777777" w:rsidR="00A310C5" w:rsidRDefault="00A310C5" w:rsidP="001F7C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4D6B" w14:textId="2845DE51" w:rsidR="00A310C5" w:rsidRPr="00D450C7" w:rsidRDefault="00201757" w:rsidP="7D37420F">
    <w:pPr>
      <w:tabs>
        <w:tab w:val="left" w:pos="5580"/>
        <w:tab w:val="left" w:pos="9000"/>
        <w:tab w:val="left" w:pos="10260"/>
      </w:tabs>
      <w:outlineLvl w:val="0"/>
      <w:rPr>
        <w:sz w:val="20"/>
        <w:szCs w:val="20"/>
      </w:rPr>
    </w:pPr>
    <w:r>
      <w:rPr>
        <w:sz w:val="20"/>
        <w:szCs w:val="20"/>
      </w:rPr>
      <w:t>Vaccine Program October 2025</w:t>
    </w:r>
    <w:r w:rsidR="7D37420F" w:rsidRPr="7D37420F">
      <w:rPr>
        <w:sz w:val="18"/>
        <w:szCs w:val="18"/>
      </w:rPr>
      <w:t xml:space="preserve">                                                   </w:t>
    </w:r>
    <w:r w:rsidR="00D450C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D3F23" w14:textId="77777777" w:rsidR="005944AD" w:rsidRDefault="005944AD">
      <w:r>
        <w:separator/>
      </w:r>
    </w:p>
  </w:footnote>
  <w:footnote w:type="continuationSeparator" w:id="0">
    <w:p w14:paraId="4FC5878A" w14:textId="77777777" w:rsidR="005944AD" w:rsidRDefault="005944AD">
      <w:r>
        <w:continuationSeparator/>
      </w:r>
    </w:p>
  </w:footnote>
  <w:footnote w:type="continuationNotice" w:id="1">
    <w:p w14:paraId="1F1558AD" w14:textId="77777777" w:rsidR="005944AD" w:rsidRDefault="005944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790"/>
      <w:gridCol w:w="3790"/>
      <w:gridCol w:w="3790"/>
    </w:tblGrid>
    <w:tr w:rsidR="7D37420F" w14:paraId="354126EF" w14:textId="77777777" w:rsidTr="007840B8">
      <w:trPr>
        <w:trHeight w:val="300"/>
      </w:trPr>
      <w:tc>
        <w:tcPr>
          <w:tcW w:w="3790" w:type="dxa"/>
        </w:tcPr>
        <w:p w14:paraId="077EEF09" w14:textId="1DFE4460" w:rsidR="7D37420F" w:rsidRDefault="7D37420F" w:rsidP="007840B8">
          <w:pPr>
            <w:pStyle w:val="Header"/>
            <w:ind w:left="-115"/>
          </w:pPr>
        </w:p>
      </w:tc>
      <w:tc>
        <w:tcPr>
          <w:tcW w:w="3790" w:type="dxa"/>
        </w:tcPr>
        <w:p w14:paraId="2580F133" w14:textId="32FE9FBA" w:rsidR="7D37420F" w:rsidRDefault="7D37420F" w:rsidP="007840B8">
          <w:pPr>
            <w:pStyle w:val="Header"/>
            <w:jc w:val="center"/>
          </w:pPr>
        </w:p>
      </w:tc>
      <w:tc>
        <w:tcPr>
          <w:tcW w:w="3790" w:type="dxa"/>
        </w:tcPr>
        <w:p w14:paraId="4618A276" w14:textId="05EFAF19" w:rsidR="7D37420F" w:rsidRDefault="7D37420F" w:rsidP="007840B8">
          <w:pPr>
            <w:pStyle w:val="Header"/>
            <w:ind w:right="-115"/>
            <w:jc w:val="right"/>
          </w:pPr>
        </w:p>
      </w:tc>
    </w:tr>
  </w:tbl>
  <w:p w14:paraId="74DF24F1" w14:textId="60215B3A" w:rsidR="7D37420F" w:rsidRDefault="7D37420F" w:rsidP="007840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53485"/>
    <w:multiLevelType w:val="hybridMultilevel"/>
    <w:tmpl w:val="2CE6D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C2695A"/>
    <w:multiLevelType w:val="hybridMultilevel"/>
    <w:tmpl w:val="DFB02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E20AA8"/>
    <w:multiLevelType w:val="hybridMultilevel"/>
    <w:tmpl w:val="10B09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26F1B"/>
    <w:multiLevelType w:val="hybridMultilevel"/>
    <w:tmpl w:val="D6E0E6BE"/>
    <w:lvl w:ilvl="0" w:tplc="E10C36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D079C4"/>
    <w:multiLevelType w:val="hybridMultilevel"/>
    <w:tmpl w:val="FEC69250"/>
    <w:lvl w:ilvl="0" w:tplc="AE1E3B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9A50C2"/>
    <w:multiLevelType w:val="hybridMultilevel"/>
    <w:tmpl w:val="CAA236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2A078D"/>
    <w:multiLevelType w:val="hybridMultilevel"/>
    <w:tmpl w:val="EEB63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D04B2D"/>
    <w:multiLevelType w:val="hybridMultilevel"/>
    <w:tmpl w:val="77E88976"/>
    <w:lvl w:ilvl="0" w:tplc="F3C45C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6CA0CC6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4CBAEA8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18C4C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B232B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668C46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28A0E5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22B4C9E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04FA3F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2FA92EE9"/>
    <w:multiLevelType w:val="hybridMultilevel"/>
    <w:tmpl w:val="9AA43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FDD68E8"/>
    <w:multiLevelType w:val="hybridMultilevel"/>
    <w:tmpl w:val="90ACA8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861036"/>
    <w:multiLevelType w:val="hybridMultilevel"/>
    <w:tmpl w:val="45B0DE8C"/>
    <w:lvl w:ilvl="0" w:tplc="AE1E3B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05F9E"/>
    <w:multiLevelType w:val="hybridMultilevel"/>
    <w:tmpl w:val="0AE2CB98"/>
    <w:lvl w:ilvl="0" w:tplc="04090001">
      <w:start w:val="1"/>
      <w:numFmt w:val="bullet"/>
      <w:lvlText w:val=""/>
      <w:lvlJc w:val="left"/>
      <w:pPr>
        <w:tabs>
          <w:tab w:val="num" w:pos="372"/>
        </w:tabs>
        <w:ind w:left="372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38577F"/>
    <w:multiLevelType w:val="hybridMultilevel"/>
    <w:tmpl w:val="DB26DAF6"/>
    <w:lvl w:ilvl="0" w:tplc="4ED2464E">
      <w:start w:val="30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1D4370D"/>
    <w:multiLevelType w:val="hybridMultilevel"/>
    <w:tmpl w:val="6A000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3A0256"/>
    <w:multiLevelType w:val="hybridMultilevel"/>
    <w:tmpl w:val="B06A5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7917FF9"/>
    <w:multiLevelType w:val="hybridMultilevel"/>
    <w:tmpl w:val="AF20C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454292"/>
    <w:multiLevelType w:val="hybridMultilevel"/>
    <w:tmpl w:val="2384F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C32669"/>
    <w:multiLevelType w:val="hybridMultilevel"/>
    <w:tmpl w:val="1416CC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427EB"/>
    <w:multiLevelType w:val="hybridMultilevel"/>
    <w:tmpl w:val="2D14C7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5631873">
    <w:abstractNumId w:val="3"/>
  </w:num>
  <w:num w:numId="2" w16cid:durableId="519860787">
    <w:abstractNumId w:val="10"/>
  </w:num>
  <w:num w:numId="3" w16cid:durableId="542256199">
    <w:abstractNumId w:val="4"/>
  </w:num>
  <w:num w:numId="4" w16cid:durableId="1328093365">
    <w:abstractNumId w:val="5"/>
  </w:num>
  <w:num w:numId="5" w16cid:durableId="1983919752">
    <w:abstractNumId w:val="17"/>
  </w:num>
  <w:num w:numId="6" w16cid:durableId="2068676300">
    <w:abstractNumId w:val="16"/>
  </w:num>
  <w:num w:numId="7" w16cid:durableId="1763377911">
    <w:abstractNumId w:val="9"/>
  </w:num>
  <w:num w:numId="8" w16cid:durableId="677272263">
    <w:abstractNumId w:val="6"/>
  </w:num>
  <w:num w:numId="9" w16cid:durableId="709962348">
    <w:abstractNumId w:val="8"/>
  </w:num>
  <w:num w:numId="10" w16cid:durableId="1446073460">
    <w:abstractNumId w:val="0"/>
  </w:num>
  <w:num w:numId="11" w16cid:durableId="1045909925">
    <w:abstractNumId w:val="13"/>
  </w:num>
  <w:num w:numId="12" w16cid:durableId="1019039247">
    <w:abstractNumId w:val="18"/>
  </w:num>
  <w:num w:numId="13" w16cid:durableId="1103763449">
    <w:abstractNumId w:val="12"/>
  </w:num>
  <w:num w:numId="14" w16cid:durableId="547685502">
    <w:abstractNumId w:val="11"/>
  </w:num>
  <w:num w:numId="15" w16cid:durableId="1049718611">
    <w:abstractNumId w:val="2"/>
  </w:num>
  <w:num w:numId="16" w16cid:durableId="1102535167">
    <w:abstractNumId w:val="15"/>
  </w:num>
  <w:num w:numId="17" w16cid:durableId="1284187637">
    <w:abstractNumId w:val="14"/>
  </w:num>
  <w:num w:numId="18" w16cid:durableId="749424593">
    <w:abstractNumId w:val="1"/>
  </w:num>
  <w:num w:numId="19" w16cid:durableId="284241258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ExM7cwNrI0NjK0tDRT0lEKTi0uzszPAykwrwUAp/mw3ywAAAA="/>
  </w:docVars>
  <w:rsids>
    <w:rsidRoot w:val="00375670"/>
    <w:rsid w:val="000030AA"/>
    <w:rsid w:val="000037FB"/>
    <w:rsid w:val="000057BE"/>
    <w:rsid w:val="00010C29"/>
    <w:rsid w:val="00011929"/>
    <w:rsid w:val="000171C3"/>
    <w:rsid w:val="000242A0"/>
    <w:rsid w:val="000340A6"/>
    <w:rsid w:val="00034195"/>
    <w:rsid w:val="00035E9D"/>
    <w:rsid w:val="00041BB3"/>
    <w:rsid w:val="000434A4"/>
    <w:rsid w:val="00044516"/>
    <w:rsid w:val="0004547A"/>
    <w:rsid w:val="0005059C"/>
    <w:rsid w:val="00052784"/>
    <w:rsid w:val="00054326"/>
    <w:rsid w:val="000616C2"/>
    <w:rsid w:val="00064C58"/>
    <w:rsid w:val="0006581E"/>
    <w:rsid w:val="0007069D"/>
    <w:rsid w:val="00071D58"/>
    <w:rsid w:val="000800DF"/>
    <w:rsid w:val="00080C53"/>
    <w:rsid w:val="000839E9"/>
    <w:rsid w:val="00086F4F"/>
    <w:rsid w:val="00095AE4"/>
    <w:rsid w:val="000A0022"/>
    <w:rsid w:val="000A1C3F"/>
    <w:rsid w:val="000A28CF"/>
    <w:rsid w:val="000A4F1F"/>
    <w:rsid w:val="000B61F5"/>
    <w:rsid w:val="000C4309"/>
    <w:rsid w:val="000D1FC6"/>
    <w:rsid w:val="000D2231"/>
    <w:rsid w:val="000E00E2"/>
    <w:rsid w:val="000E0228"/>
    <w:rsid w:val="000E22F1"/>
    <w:rsid w:val="000F037A"/>
    <w:rsid w:val="000F2021"/>
    <w:rsid w:val="000F7284"/>
    <w:rsid w:val="00101013"/>
    <w:rsid w:val="00102314"/>
    <w:rsid w:val="00102E95"/>
    <w:rsid w:val="00106581"/>
    <w:rsid w:val="0010712F"/>
    <w:rsid w:val="00107B08"/>
    <w:rsid w:val="001103DB"/>
    <w:rsid w:val="0011065B"/>
    <w:rsid w:val="001136F2"/>
    <w:rsid w:val="001253C3"/>
    <w:rsid w:val="00132E56"/>
    <w:rsid w:val="00132F1D"/>
    <w:rsid w:val="00136446"/>
    <w:rsid w:val="001473FE"/>
    <w:rsid w:val="001514C9"/>
    <w:rsid w:val="001517A8"/>
    <w:rsid w:val="001564A6"/>
    <w:rsid w:val="001629CF"/>
    <w:rsid w:val="001670FF"/>
    <w:rsid w:val="00171D26"/>
    <w:rsid w:val="00172DC8"/>
    <w:rsid w:val="0018148F"/>
    <w:rsid w:val="00182488"/>
    <w:rsid w:val="00183DDC"/>
    <w:rsid w:val="001857A0"/>
    <w:rsid w:val="001A10B3"/>
    <w:rsid w:val="001A6827"/>
    <w:rsid w:val="001D030B"/>
    <w:rsid w:val="001D1A7E"/>
    <w:rsid w:val="001E738C"/>
    <w:rsid w:val="001F569D"/>
    <w:rsid w:val="001F6D58"/>
    <w:rsid w:val="001F7C93"/>
    <w:rsid w:val="00201757"/>
    <w:rsid w:val="00210D3F"/>
    <w:rsid w:val="00214764"/>
    <w:rsid w:val="002155AF"/>
    <w:rsid w:val="0021730C"/>
    <w:rsid w:val="00220D22"/>
    <w:rsid w:val="00226F90"/>
    <w:rsid w:val="002306CB"/>
    <w:rsid w:val="00232B2E"/>
    <w:rsid w:val="002336A5"/>
    <w:rsid w:val="00243149"/>
    <w:rsid w:val="002441C9"/>
    <w:rsid w:val="00244F01"/>
    <w:rsid w:val="00263889"/>
    <w:rsid w:val="00274E54"/>
    <w:rsid w:val="002816B0"/>
    <w:rsid w:val="00285EB8"/>
    <w:rsid w:val="002868F8"/>
    <w:rsid w:val="0029137C"/>
    <w:rsid w:val="0029460C"/>
    <w:rsid w:val="00294728"/>
    <w:rsid w:val="002A2EA6"/>
    <w:rsid w:val="002A5663"/>
    <w:rsid w:val="002A6D8B"/>
    <w:rsid w:val="002C3772"/>
    <w:rsid w:val="002D1710"/>
    <w:rsid w:val="002E1246"/>
    <w:rsid w:val="002E455B"/>
    <w:rsid w:val="002F1F78"/>
    <w:rsid w:val="002F2A53"/>
    <w:rsid w:val="002F77BB"/>
    <w:rsid w:val="0030043B"/>
    <w:rsid w:val="003116B7"/>
    <w:rsid w:val="00317029"/>
    <w:rsid w:val="00320791"/>
    <w:rsid w:val="00323F4C"/>
    <w:rsid w:val="00327681"/>
    <w:rsid w:val="00330712"/>
    <w:rsid w:val="003417E5"/>
    <w:rsid w:val="00341F3C"/>
    <w:rsid w:val="00344864"/>
    <w:rsid w:val="00344EBF"/>
    <w:rsid w:val="00345D53"/>
    <w:rsid w:val="00345E7D"/>
    <w:rsid w:val="00352C2B"/>
    <w:rsid w:val="00354064"/>
    <w:rsid w:val="00354555"/>
    <w:rsid w:val="00355456"/>
    <w:rsid w:val="00375670"/>
    <w:rsid w:val="00376125"/>
    <w:rsid w:val="00380C9C"/>
    <w:rsid w:val="00381EA2"/>
    <w:rsid w:val="00384E94"/>
    <w:rsid w:val="00386822"/>
    <w:rsid w:val="003875AC"/>
    <w:rsid w:val="00394EEC"/>
    <w:rsid w:val="00395446"/>
    <w:rsid w:val="003A1B75"/>
    <w:rsid w:val="003A51E8"/>
    <w:rsid w:val="003B0BEE"/>
    <w:rsid w:val="003B2553"/>
    <w:rsid w:val="003B3715"/>
    <w:rsid w:val="003B4A0B"/>
    <w:rsid w:val="003B7C7B"/>
    <w:rsid w:val="003C2BBB"/>
    <w:rsid w:val="003C6896"/>
    <w:rsid w:val="003D1F80"/>
    <w:rsid w:val="003D777F"/>
    <w:rsid w:val="003E2E5D"/>
    <w:rsid w:val="003E6521"/>
    <w:rsid w:val="003E7C02"/>
    <w:rsid w:val="003F1C36"/>
    <w:rsid w:val="003F43A2"/>
    <w:rsid w:val="00400432"/>
    <w:rsid w:val="004016DC"/>
    <w:rsid w:val="00407AE3"/>
    <w:rsid w:val="004174AA"/>
    <w:rsid w:val="00417BD1"/>
    <w:rsid w:val="00424C70"/>
    <w:rsid w:val="00433267"/>
    <w:rsid w:val="00441B90"/>
    <w:rsid w:val="004446BE"/>
    <w:rsid w:val="004455FF"/>
    <w:rsid w:val="00445B92"/>
    <w:rsid w:val="004512C9"/>
    <w:rsid w:val="00455E18"/>
    <w:rsid w:val="004629B9"/>
    <w:rsid w:val="00462E1D"/>
    <w:rsid w:val="0046455F"/>
    <w:rsid w:val="00467776"/>
    <w:rsid w:val="00475B68"/>
    <w:rsid w:val="00487C36"/>
    <w:rsid w:val="004903C4"/>
    <w:rsid w:val="00494840"/>
    <w:rsid w:val="004960B1"/>
    <w:rsid w:val="004A0770"/>
    <w:rsid w:val="004A2F05"/>
    <w:rsid w:val="004B34F1"/>
    <w:rsid w:val="004B5194"/>
    <w:rsid w:val="004B581E"/>
    <w:rsid w:val="004D4098"/>
    <w:rsid w:val="004E630C"/>
    <w:rsid w:val="005034C9"/>
    <w:rsid w:val="00504BAE"/>
    <w:rsid w:val="00504F5E"/>
    <w:rsid w:val="00506602"/>
    <w:rsid w:val="00507234"/>
    <w:rsid w:val="005112AB"/>
    <w:rsid w:val="00513428"/>
    <w:rsid w:val="00517D3A"/>
    <w:rsid w:val="005207AA"/>
    <w:rsid w:val="0052478A"/>
    <w:rsid w:val="00530709"/>
    <w:rsid w:val="00530E90"/>
    <w:rsid w:val="00532838"/>
    <w:rsid w:val="00532D0A"/>
    <w:rsid w:val="005349B2"/>
    <w:rsid w:val="00535B1F"/>
    <w:rsid w:val="00546B8B"/>
    <w:rsid w:val="00547C0E"/>
    <w:rsid w:val="005639BD"/>
    <w:rsid w:val="005704DE"/>
    <w:rsid w:val="005724F4"/>
    <w:rsid w:val="005737FF"/>
    <w:rsid w:val="00576F97"/>
    <w:rsid w:val="00586B3D"/>
    <w:rsid w:val="00586BF7"/>
    <w:rsid w:val="005944AD"/>
    <w:rsid w:val="00595362"/>
    <w:rsid w:val="00597C58"/>
    <w:rsid w:val="005A09F9"/>
    <w:rsid w:val="005A5266"/>
    <w:rsid w:val="005B0AF4"/>
    <w:rsid w:val="005B5CF2"/>
    <w:rsid w:val="005C4B42"/>
    <w:rsid w:val="005C6FB4"/>
    <w:rsid w:val="005C71DF"/>
    <w:rsid w:val="005D29FF"/>
    <w:rsid w:val="005D31ED"/>
    <w:rsid w:val="005D4254"/>
    <w:rsid w:val="005D4609"/>
    <w:rsid w:val="005D6BC6"/>
    <w:rsid w:val="005E00DC"/>
    <w:rsid w:val="005E204F"/>
    <w:rsid w:val="005F17C2"/>
    <w:rsid w:val="005F4912"/>
    <w:rsid w:val="00601A2A"/>
    <w:rsid w:val="00607BEC"/>
    <w:rsid w:val="0061226B"/>
    <w:rsid w:val="00621319"/>
    <w:rsid w:val="006249F4"/>
    <w:rsid w:val="006253D3"/>
    <w:rsid w:val="00625C05"/>
    <w:rsid w:val="00625CBB"/>
    <w:rsid w:val="00634C29"/>
    <w:rsid w:val="00637C76"/>
    <w:rsid w:val="00647503"/>
    <w:rsid w:val="00647D32"/>
    <w:rsid w:val="006551D9"/>
    <w:rsid w:val="00655261"/>
    <w:rsid w:val="006554C0"/>
    <w:rsid w:val="00660680"/>
    <w:rsid w:val="00667971"/>
    <w:rsid w:val="00676697"/>
    <w:rsid w:val="00683715"/>
    <w:rsid w:val="00687D9F"/>
    <w:rsid w:val="00692E54"/>
    <w:rsid w:val="00696BC2"/>
    <w:rsid w:val="00696E85"/>
    <w:rsid w:val="00697018"/>
    <w:rsid w:val="006A3DDE"/>
    <w:rsid w:val="006A425C"/>
    <w:rsid w:val="006C14FA"/>
    <w:rsid w:val="006C2976"/>
    <w:rsid w:val="006C2DB2"/>
    <w:rsid w:val="006C4096"/>
    <w:rsid w:val="006C44F5"/>
    <w:rsid w:val="006D218B"/>
    <w:rsid w:val="006D54A7"/>
    <w:rsid w:val="006E0481"/>
    <w:rsid w:val="006E47AD"/>
    <w:rsid w:val="006F01E1"/>
    <w:rsid w:val="006F1637"/>
    <w:rsid w:val="006F2A2C"/>
    <w:rsid w:val="00703DCA"/>
    <w:rsid w:val="00706B35"/>
    <w:rsid w:val="00707073"/>
    <w:rsid w:val="007103B3"/>
    <w:rsid w:val="00716406"/>
    <w:rsid w:val="007214A7"/>
    <w:rsid w:val="00722BEA"/>
    <w:rsid w:val="00724D3F"/>
    <w:rsid w:val="00726AD1"/>
    <w:rsid w:val="00734001"/>
    <w:rsid w:val="00737FAA"/>
    <w:rsid w:val="007414D4"/>
    <w:rsid w:val="0074452B"/>
    <w:rsid w:val="00744CB8"/>
    <w:rsid w:val="00746D6A"/>
    <w:rsid w:val="007613C2"/>
    <w:rsid w:val="00763303"/>
    <w:rsid w:val="007673BB"/>
    <w:rsid w:val="007840B8"/>
    <w:rsid w:val="00790A8F"/>
    <w:rsid w:val="00792439"/>
    <w:rsid w:val="00796393"/>
    <w:rsid w:val="007A0E8D"/>
    <w:rsid w:val="007A5173"/>
    <w:rsid w:val="007A53C2"/>
    <w:rsid w:val="007C06CA"/>
    <w:rsid w:val="007C3E5C"/>
    <w:rsid w:val="007D0520"/>
    <w:rsid w:val="007D5E76"/>
    <w:rsid w:val="007D676E"/>
    <w:rsid w:val="007E3399"/>
    <w:rsid w:val="007F7A84"/>
    <w:rsid w:val="0080707A"/>
    <w:rsid w:val="00814726"/>
    <w:rsid w:val="00814BF2"/>
    <w:rsid w:val="00816DA5"/>
    <w:rsid w:val="0082032A"/>
    <w:rsid w:val="00821C6B"/>
    <w:rsid w:val="00834E35"/>
    <w:rsid w:val="00836DC6"/>
    <w:rsid w:val="008432C8"/>
    <w:rsid w:val="00844DBB"/>
    <w:rsid w:val="00846769"/>
    <w:rsid w:val="00852A1B"/>
    <w:rsid w:val="00855D32"/>
    <w:rsid w:val="0085780F"/>
    <w:rsid w:val="0086429E"/>
    <w:rsid w:val="008647B8"/>
    <w:rsid w:val="00864BD5"/>
    <w:rsid w:val="00871FC1"/>
    <w:rsid w:val="00877A34"/>
    <w:rsid w:val="00880CED"/>
    <w:rsid w:val="00883A89"/>
    <w:rsid w:val="00883D59"/>
    <w:rsid w:val="00890301"/>
    <w:rsid w:val="00890FFC"/>
    <w:rsid w:val="0089675F"/>
    <w:rsid w:val="008B01CD"/>
    <w:rsid w:val="008B0806"/>
    <w:rsid w:val="008B13F0"/>
    <w:rsid w:val="008B1AE1"/>
    <w:rsid w:val="008B1BF0"/>
    <w:rsid w:val="008B42A2"/>
    <w:rsid w:val="008C16C7"/>
    <w:rsid w:val="008C381E"/>
    <w:rsid w:val="008C6873"/>
    <w:rsid w:val="008D3563"/>
    <w:rsid w:val="008E0E8E"/>
    <w:rsid w:val="008E3BAA"/>
    <w:rsid w:val="008E5048"/>
    <w:rsid w:val="008F3244"/>
    <w:rsid w:val="008F5D59"/>
    <w:rsid w:val="008F7AC8"/>
    <w:rsid w:val="00912009"/>
    <w:rsid w:val="0092003C"/>
    <w:rsid w:val="009254B9"/>
    <w:rsid w:val="00925D75"/>
    <w:rsid w:val="0092734F"/>
    <w:rsid w:val="00933556"/>
    <w:rsid w:val="00934B3E"/>
    <w:rsid w:val="00935523"/>
    <w:rsid w:val="00950580"/>
    <w:rsid w:val="009521C6"/>
    <w:rsid w:val="00957CE2"/>
    <w:rsid w:val="00961442"/>
    <w:rsid w:val="00965CC3"/>
    <w:rsid w:val="00970F94"/>
    <w:rsid w:val="00972251"/>
    <w:rsid w:val="00975485"/>
    <w:rsid w:val="00977A69"/>
    <w:rsid w:val="00980B09"/>
    <w:rsid w:val="00980C3D"/>
    <w:rsid w:val="0098350E"/>
    <w:rsid w:val="009862DE"/>
    <w:rsid w:val="009915EE"/>
    <w:rsid w:val="00994108"/>
    <w:rsid w:val="00994BF8"/>
    <w:rsid w:val="009956A8"/>
    <w:rsid w:val="00996411"/>
    <w:rsid w:val="009A7C1C"/>
    <w:rsid w:val="009B094F"/>
    <w:rsid w:val="009B7912"/>
    <w:rsid w:val="009D3C9F"/>
    <w:rsid w:val="009D3CDF"/>
    <w:rsid w:val="009D7819"/>
    <w:rsid w:val="009E7435"/>
    <w:rsid w:val="009F0F32"/>
    <w:rsid w:val="00A20603"/>
    <w:rsid w:val="00A25E85"/>
    <w:rsid w:val="00A30C04"/>
    <w:rsid w:val="00A310C5"/>
    <w:rsid w:val="00A32A5D"/>
    <w:rsid w:val="00A32D11"/>
    <w:rsid w:val="00A50964"/>
    <w:rsid w:val="00A52C1D"/>
    <w:rsid w:val="00A5619F"/>
    <w:rsid w:val="00A636D2"/>
    <w:rsid w:val="00A7249E"/>
    <w:rsid w:val="00A7335D"/>
    <w:rsid w:val="00A73569"/>
    <w:rsid w:val="00A74A2F"/>
    <w:rsid w:val="00A75BCD"/>
    <w:rsid w:val="00A75E83"/>
    <w:rsid w:val="00A80CE4"/>
    <w:rsid w:val="00A81C63"/>
    <w:rsid w:val="00A82EF4"/>
    <w:rsid w:val="00A85264"/>
    <w:rsid w:val="00A90014"/>
    <w:rsid w:val="00A91D26"/>
    <w:rsid w:val="00A96A25"/>
    <w:rsid w:val="00AA31E2"/>
    <w:rsid w:val="00AA3868"/>
    <w:rsid w:val="00AB47A0"/>
    <w:rsid w:val="00AC2EA4"/>
    <w:rsid w:val="00AC4397"/>
    <w:rsid w:val="00AD7241"/>
    <w:rsid w:val="00AE21C5"/>
    <w:rsid w:val="00B0201D"/>
    <w:rsid w:val="00B07CCD"/>
    <w:rsid w:val="00B119A9"/>
    <w:rsid w:val="00B209AF"/>
    <w:rsid w:val="00B22AAE"/>
    <w:rsid w:val="00B256F8"/>
    <w:rsid w:val="00B2740B"/>
    <w:rsid w:val="00B32788"/>
    <w:rsid w:val="00B339BF"/>
    <w:rsid w:val="00B35D6E"/>
    <w:rsid w:val="00B40014"/>
    <w:rsid w:val="00B41259"/>
    <w:rsid w:val="00B4202D"/>
    <w:rsid w:val="00B46A4F"/>
    <w:rsid w:val="00B60311"/>
    <w:rsid w:val="00B70431"/>
    <w:rsid w:val="00B7318E"/>
    <w:rsid w:val="00B93133"/>
    <w:rsid w:val="00BA59BD"/>
    <w:rsid w:val="00BA5A3F"/>
    <w:rsid w:val="00BB0DBA"/>
    <w:rsid w:val="00BB5EEA"/>
    <w:rsid w:val="00BB6CA8"/>
    <w:rsid w:val="00BB732F"/>
    <w:rsid w:val="00BB7711"/>
    <w:rsid w:val="00BC2521"/>
    <w:rsid w:val="00BC3AF6"/>
    <w:rsid w:val="00BC7C5E"/>
    <w:rsid w:val="00BD1025"/>
    <w:rsid w:val="00BD2394"/>
    <w:rsid w:val="00BD3147"/>
    <w:rsid w:val="00BD5F28"/>
    <w:rsid w:val="00BD6534"/>
    <w:rsid w:val="00BD7271"/>
    <w:rsid w:val="00BE12B0"/>
    <w:rsid w:val="00BE19FB"/>
    <w:rsid w:val="00BE5663"/>
    <w:rsid w:val="00BF065C"/>
    <w:rsid w:val="00BF31F1"/>
    <w:rsid w:val="00BF49B6"/>
    <w:rsid w:val="00BF5FAA"/>
    <w:rsid w:val="00BF6CBD"/>
    <w:rsid w:val="00C04C5E"/>
    <w:rsid w:val="00C07857"/>
    <w:rsid w:val="00C13A96"/>
    <w:rsid w:val="00C16604"/>
    <w:rsid w:val="00C171B5"/>
    <w:rsid w:val="00C179C8"/>
    <w:rsid w:val="00C255CF"/>
    <w:rsid w:val="00C265AC"/>
    <w:rsid w:val="00C3050C"/>
    <w:rsid w:val="00C33E57"/>
    <w:rsid w:val="00C35642"/>
    <w:rsid w:val="00C51289"/>
    <w:rsid w:val="00C5383F"/>
    <w:rsid w:val="00C53FD2"/>
    <w:rsid w:val="00C54848"/>
    <w:rsid w:val="00C55C5E"/>
    <w:rsid w:val="00C65740"/>
    <w:rsid w:val="00C70585"/>
    <w:rsid w:val="00C706E3"/>
    <w:rsid w:val="00C732F2"/>
    <w:rsid w:val="00C75CA0"/>
    <w:rsid w:val="00C76EFA"/>
    <w:rsid w:val="00C77CD4"/>
    <w:rsid w:val="00C804D0"/>
    <w:rsid w:val="00C825E8"/>
    <w:rsid w:val="00C835A4"/>
    <w:rsid w:val="00C83C61"/>
    <w:rsid w:val="00C84A50"/>
    <w:rsid w:val="00C86929"/>
    <w:rsid w:val="00C87CCE"/>
    <w:rsid w:val="00C90006"/>
    <w:rsid w:val="00C93116"/>
    <w:rsid w:val="00C93BAD"/>
    <w:rsid w:val="00C93E6B"/>
    <w:rsid w:val="00CA138F"/>
    <w:rsid w:val="00CA14C3"/>
    <w:rsid w:val="00CA7D10"/>
    <w:rsid w:val="00CB026D"/>
    <w:rsid w:val="00CB2FC2"/>
    <w:rsid w:val="00CC4E27"/>
    <w:rsid w:val="00CD472E"/>
    <w:rsid w:val="00CD6136"/>
    <w:rsid w:val="00CE188C"/>
    <w:rsid w:val="00D003DC"/>
    <w:rsid w:val="00D103FA"/>
    <w:rsid w:val="00D10D33"/>
    <w:rsid w:val="00D11134"/>
    <w:rsid w:val="00D132D0"/>
    <w:rsid w:val="00D14A3F"/>
    <w:rsid w:val="00D27F34"/>
    <w:rsid w:val="00D3410A"/>
    <w:rsid w:val="00D34593"/>
    <w:rsid w:val="00D374EB"/>
    <w:rsid w:val="00D42C42"/>
    <w:rsid w:val="00D44AF2"/>
    <w:rsid w:val="00D450C7"/>
    <w:rsid w:val="00D4694D"/>
    <w:rsid w:val="00D508B3"/>
    <w:rsid w:val="00D50B79"/>
    <w:rsid w:val="00D50C54"/>
    <w:rsid w:val="00D524A0"/>
    <w:rsid w:val="00D5355D"/>
    <w:rsid w:val="00D723AF"/>
    <w:rsid w:val="00D83669"/>
    <w:rsid w:val="00D84441"/>
    <w:rsid w:val="00D8461C"/>
    <w:rsid w:val="00D97A81"/>
    <w:rsid w:val="00DA0D75"/>
    <w:rsid w:val="00DA0DB2"/>
    <w:rsid w:val="00DA2844"/>
    <w:rsid w:val="00DA4614"/>
    <w:rsid w:val="00DB7E53"/>
    <w:rsid w:val="00DD1D71"/>
    <w:rsid w:val="00DF3F1C"/>
    <w:rsid w:val="00E0189A"/>
    <w:rsid w:val="00E019D8"/>
    <w:rsid w:val="00E10094"/>
    <w:rsid w:val="00E13608"/>
    <w:rsid w:val="00E17BFF"/>
    <w:rsid w:val="00E31B47"/>
    <w:rsid w:val="00E31D7F"/>
    <w:rsid w:val="00E5019D"/>
    <w:rsid w:val="00E567F2"/>
    <w:rsid w:val="00E57D5E"/>
    <w:rsid w:val="00E57F53"/>
    <w:rsid w:val="00E64F78"/>
    <w:rsid w:val="00E6742F"/>
    <w:rsid w:val="00E67D25"/>
    <w:rsid w:val="00E72D10"/>
    <w:rsid w:val="00E9075F"/>
    <w:rsid w:val="00E95863"/>
    <w:rsid w:val="00EB046C"/>
    <w:rsid w:val="00EB54C1"/>
    <w:rsid w:val="00EB54F7"/>
    <w:rsid w:val="00EC4F2F"/>
    <w:rsid w:val="00EC5AF5"/>
    <w:rsid w:val="00ED6A98"/>
    <w:rsid w:val="00ED795C"/>
    <w:rsid w:val="00EF0EE2"/>
    <w:rsid w:val="00EF15DE"/>
    <w:rsid w:val="00EF5546"/>
    <w:rsid w:val="00EF64A3"/>
    <w:rsid w:val="00F0235F"/>
    <w:rsid w:val="00F06E11"/>
    <w:rsid w:val="00F13E12"/>
    <w:rsid w:val="00F1632F"/>
    <w:rsid w:val="00F50D05"/>
    <w:rsid w:val="00F54E2D"/>
    <w:rsid w:val="00F5573C"/>
    <w:rsid w:val="00F638A5"/>
    <w:rsid w:val="00F71E68"/>
    <w:rsid w:val="00F75C12"/>
    <w:rsid w:val="00F8024C"/>
    <w:rsid w:val="00F834AF"/>
    <w:rsid w:val="00F83AAD"/>
    <w:rsid w:val="00F84DA1"/>
    <w:rsid w:val="00F91480"/>
    <w:rsid w:val="00F936B6"/>
    <w:rsid w:val="00FA3AF1"/>
    <w:rsid w:val="00FA3D13"/>
    <w:rsid w:val="00FA5BF4"/>
    <w:rsid w:val="00FA6740"/>
    <w:rsid w:val="00FA6EB9"/>
    <w:rsid w:val="00FB336E"/>
    <w:rsid w:val="00FB63FA"/>
    <w:rsid w:val="00FC1C72"/>
    <w:rsid w:val="00FC3BE0"/>
    <w:rsid w:val="00FC55C5"/>
    <w:rsid w:val="00FE27CE"/>
    <w:rsid w:val="00FF6A60"/>
    <w:rsid w:val="00FF7235"/>
    <w:rsid w:val="05F7F389"/>
    <w:rsid w:val="08B64ADF"/>
    <w:rsid w:val="098C3141"/>
    <w:rsid w:val="0BCD9FF0"/>
    <w:rsid w:val="0D6F5E4B"/>
    <w:rsid w:val="0DC3E860"/>
    <w:rsid w:val="11A26C83"/>
    <w:rsid w:val="13520E03"/>
    <w:rsid w:val="150DC464"/>
    <w:rsid w:val="15A820FC"/>
    <w:rsid w:val="15F7C043"/>
    <w:rsid w:val="16068EEA"/>
    <w:rsid w:val="176AE1D6"/>
    <w:rsid w:val="18A3CB06"/>
    <w:rsid w:val="1B938C7D"/>
    <w:rsid w:val="1D14C36D"/>
    <w:rsid w:val="1DA1B1D1"/>
    <w:rsid w:val="209DF0C7"/>
    <w:rsid w:val="212222E9"/>
    <w:rsid w:val="223E9F59"/>
    <w:rsid w:val="2564CB35"/>
    <w:rsid w:val="263BE62C"/>
    <w:rsid w:val="265DD0F8"/>
    <w:rsid w:val="27630432"/>
    <w:rsid w:val="277F7F7E"/>
    <w:rsid w:val="29ABEF8F"/>
    <w:rsid w:val="2A5DACB7"/>
    <w:rsid w:val="2C62B94B"/>
    <w:rsid w:val="2C755D5D"/>
    <w:rsid w:val="2C7E28A9"/>
    <w:rsid w:val="2F425127"/>
    <w:rsid w:val="30FD08BD"/>
    <w:rsid w:val="34DD769E"/>
    <w:rsid w:val="35028388"/>
    <w:rsid w:val="3571AE2D"/>
    <w:rsid w:val="35F5283D"/>
    <w:rsid w:val="3758FDDA"/>
    <w:rsid w:val="3AE549C5"/>
    <w:rsid w:val="3D0363D5"/>
    <w:rsid w:val="3D337E57"/>
    <w:rsid w:val="3EE2F0C2"/>
    <w:rsid w:val="403C9F62"/>
    <w:rsid w:val="408E5F10"/>
    <w:rsid w:val="40E7D762"/>
    <w:rsid w:val="40F5719E"/>
    <w:rsid w:val="411B1A0D"/>
    <w:rsid w:val="419D9521"/>
    <w:rsid w:val="420C04A4"/>
    <w:rsid w:val="441457DD"/>
    <w:rsid w:val="441BFDBB"/>
    <w:rsid w:val="46CD7BE4"/>
    <w:rsid w:val="49B07E77"/>
    <w:rsid w:val="4A7AEE41"/>
    <w:rsid w:val="4B9016D7"/>
    <w:rsid w:val="4D59FB64"/>
    <w:rsid w:val="4E032721"/>
    <w:rsid w:val="4E0F6A78"/>
    <w:rsid w:val="4ED32A1D"/>
    <w:rsid w:val="4F569CAA"/>
    <w:rsid w:val="5193B354"/>
    <w:rsid w:val="57AC37C8"/>
    <w:rsid w:val="5A25D654"/>
    <w:rsid w:val="5E2D7BC8"/>
    <w:rsid w:val="5FDE8344"/>
    <w:rsid w:val="6012CC47"/>
    <w:rsid w:val="610A573D"/>
    <w:rsid w:val="633FC4D2"/>
    <w:rsid w:val="64A0B201"/>
    <w:rsid w:val="64DA75B9"/>
    <w:rsid w:val="64DD856B"/>
    <w:rsid w:val="6651D701"/>
    <w:rsid w:val="66BD5DC8"/>
    <w:rsid w:val="69980E2E"/>
    <w:rsid w:val="6F3AEE5A"/>
    <w:rsid w:val="6FA041CD"/>
    <w:rsid w:val="772A2853"/>
    <w:rsid w:val="77698E3C"/>
    <w:rsid w:val="7A60ECCF"/>
    <w:rsid w:val="7A61AE6C"/>
    <w:rsid w:val="7A8AE387"/>
    <w:rsid w:val="7BCDC770"/>
    <w:rsid w:val="7CE055AA"/>
    <w:rsid w:val="7D37420F"/>
    <w:rsid w:val="7E0C2A5F"/>
    <w:rsid w:val="7EA9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47AD40"/>
  <w14:defaultImageDpi w14:val="96"/>
  <w15:chartTrackingRefBased/>
  <w15:docId w15:val="{1599783B-31C7-497D-8307-ABDF13E7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22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5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</w:rPr>
  </w:style>
  <w:style w:type="character" w:styleId="Hyperlink">
    <w:name w:val="Hyperlink"/>
    <w:uiPriority w:val="99"/>
    <w:rsid w:val="00375670"/>
    <w:rPr>
      <w:rFonts w:cs="Times New Roman"/>
      <w:color w:val="0000FF"/>
      <w:u w:val="single"/>
    </w:rPr>
  </w:style>
  <w:style w:type="character" w:styleId="PageNumber">
    <w:name w:val="page number"/>
    <w:uiPriority w:val="99"/>
    <w:rsid w:val="0037567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37567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D508B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7103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imes New Roman"/>
      <w:sz w:val="16"/>
    </w:rPr>
  </w:style>
  <w:style w:type="character" w:styleId="CommentReference">
    <w:name w:val="annotation reference"/>
    <w:semiHidden/>
    <w:rsid w:val="00532D0A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532D0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32D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Pr>
      <w:rFonts w:cs="Times New Roman"/>
      <w:b/>
    </w:rPr>
  </w:style>
  <w:style w:type="character" w:styleId="FollowedHyperlink">
    <w:name w:val="FollowedHyperlink"/>
    <w:uiPriority w:val="99"/>
    <w:rsid w:val="00417BD1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9941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Revision">
    <w:name w:val="Revision"/>
    <w:hidden/>
    <w:uiPriority w:val="99"/>
    <w:semiHidden/>
    <w:rsid w:val="00504BAE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70F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6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info-details/dph-recommended-guidance-for-vaccine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82362c-0017-44d2-8700-f603c3e5ed9a">
      <Terms xmlns="http://schemas.microsoft.com/office/infopath/2007/PartnerControls"/>
    </lcf76f155ced4ddcb4097134ff3c332f>
    <TaxCatchAll xmlns="78ea2335-8007-4ae4-b674-628de3bfd6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5a6988bc82efc16dbc4fef89c0970097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f757d18a715390f3da1f93b167fc760a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36CD51-E402-4C4E-92D1-F77C0BD21E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AAC7C-420E-4B76-892A-E2E4CDD057BE}">
  <ds:schemaRefs>
    <ds:schemaRef ds:uri="http://schemas.microsoft.com/office/2006/metadata/properties"/>
    <ds:schemaRef ds:uri="http://schemas.microsoft.com/office/infopath/2007/PartnerControls"/>
    <ds:schemaRef ds:uri="a782362c-0017-44d2-8700-f603c3e5ed9a"/>
    <ds:schemaRef ds:uri="78ea2335-8007-4ae4-b674-628de3bfd69a"/>
  </ds:schemaRefs>
</ds:datastoreItem>
</file>

<file path=customXml/itemProps3.xml><?xml version="1.0" encoding="utf-8"?>
<ds:datastoreItem xmlns:ds="http://schemas.openxmlformats.org/officeDocument/2006/customXml" ds:itemID="{F5B559EA-8984-490C-B570-8DFA166956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605450-6CF0-4040-8142-C71469A03C3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Public Health (MDPH)</vt:lpstr>
    </vt:vector>
  </TitlesOfParts>
  <Company>Commonwealth of Massachusetts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Public Health (MDPH)</dc:title>
  <dc:subject/>
  <dc:creator>Courtney, Laurie A. (DPH)</dc:creator>
  <cp:keywords/>
  <cp:lastModifiedBy>Kirby, Dylan N. (DPH)</cp:lastModifiedBy>
  <cp:revision>2</cp:revision>
  <cp:lastPrinted>2013-12-21T00:39:00Z</cp:lastPrinted>
  <dcterms:created xsi:type="dcterms:W3CDTF">2025-10-10T15:27:00Z</dcterms:created>
  <dcterms:modified xsi:type="dcterms:W3CDTF">2025-10-10T15:27:00Z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