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DB3D6" w14:textId="1531DEFF" w:rsidR="00E81424" w:rsidRDefault="00D64156" w:rsidP="005E26E0">
      <w:pPr>
        <w:spacing w:line="240" w:lineRule="auto"/>
        <w:jc w:val="center"/>
        <w:rPr>
          <w:b/>
          <w:sz w:val="40"/>
        </w:rPr>
      </w:pPr>
      <w:r>
        <w:rPr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5D48BD0A" wp14:editId="138D7B6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8D595" w14:textId="77777777" w:rsidR="00E81424" w:rsidRDefault="00E81424" w:rsidP="005E26E0">
      <w:pPr>
        <w:spacing w:line="240" w:lineRule="auto"/>
        <w:jc w:val="center"/>
        <w:rPr>
          <w:b/>
          <w:sz w:val="40"/>
        </w:rPr>
      </w:pPr>
    </w:p>
    <w:p w14:paraId="5833D17A" w14:textId="77777777" w:rsidR="00D64156" w:rsidRDefault="00D64156" w:rsidP="005E26E0">
      <w:pPr>
        <w:spacing w:line="240" w:lineRule="auto"/>
        <w:jc w:val="center"/>
        <w:rPr>
          <w:b/>
          <w:sz w:val="40"/>
        </w:rPr>
      </w:pPr>
    </w:p>
    <w:p w14:paraId="0561C9F5" w14:textId="77777777" w:rsidR="00D64156" w:rsidRDefault="00D64156" w:rsidP="005E26E0">
      <w:pPr>
        <w:spacing w:line="240" w:lineRule="auto"/>
        <w:jc w:val="center"/>
        <w:rPr>
          <w:b/>
          <w:sz w:val="40"/>
        </w:rPr>
      </w:pPr>
    </w:p>
    <w:p w14:paraId="6A6FDC11" w14:textId="67655B8F" w:rsidR="005E26E0" w:rsidRPr="009A3409" w:rsidRDefault="009A3409" w:rsidP="009A3409">
      <w:pPr>
        <w:spacing w:line="240" w:lineRule="auto"/>
        <w:rPr>
          <w:rFonts w:asciiTheme="minorEastAsia" w:eastAsiaTheme="minorEastAsia" w:hAnsiTheme="minorEastAsia"/>
          <w:b/>
          <w:sz w:val="36"/>
          <w:lang w:eastAsia="ja-JP"/>
        </w:rPr>
      </w:pPr>
      <w:r>
        <w:rPr>
          <w:rFonts w:ascii="MS Gothic" w:eastAsia="MS Gothic" w:hAnsi="MS Gothic" w:cs="MS Gothic" w:hint="eastAsia"/>
          <w:b/>
          <w:sz w:val="40"/>
          <w:lang w:eastAsia="ja-JP"/>
        </w:rPr>
        <w:t xml:space="preserve">　　　　　　</w:t>
      </w:r>
      <w:r w:rsidRPr="009A3409">
        <w:rPr>
          <w:rFonts w:asciiTheme="minorEastAsia" w:eastAsiaTheme="minorEastAsia" w:hAnsiTheme="minorEastAsia" w:cs="MS Gothic" w:hint="eastAsia"/>
          <w:b/>
          <w:sz w:val="36"/>
          <w:szCs w:val="21"/>
          <w:lang w:eastAsia="ja-JP"/>
        </w:rPr>
        <w:t>選択肢のあるエージェンシー</w:t>
      </w:r>
    </w:p>
    <w:p w14:paraId="605A6F29" w14:textId="77777777" w:rsidR="00B16B6A" w:rsidRPr="00040CDD" w:rsidRDefault="00B16B6A" w:rsidP="00B16B6A">
      <w:pPr>
        <w:spacing w:line="240" w:lineRule="auto"/>
        <w:jc w:val="center"/>
        <w:rPr>
          <w:lang w:eastAsia="ja-JP"/>
        </w:rPr>
      </w:pPr>
    </w:p>
    <w:p w14:paraId="086762D2" w14:textId="4B36B3A9" w:rsidR="00D410AA" w:rsidRPr="00040CDD" w:rsidRDefault="003B34EE" w:rsidP="005F16E3">
      <w:pPr>
        <w:spacing w:line="240" w:lineRule="auto"/>
        <w:rPr>
          <w:sz w:val="24"/>
          <w:lang w:eastAsia="ja-JP"/>
        </w:rPr>
      </w:pPr>
      <w:r w:rsidRPr="00120F6C">
        <w:rPr>
          <w:sz w:val="24"/>
          <w:lang w:eastAsia="ja-JP"/>
        </w:rPr>
        <w:t>A</w:t>
      </w:r>
      <w:r w:rsidR="00120F6C" w:rsidRPr="00120F6C">
        <w:rPr>
          <w:sz w:val="24"/>
          <w:lang w:eastAsia="ja-JP"/>
        </w:rPr>
        <w:t>g</w:t>
      </w:r>
      <w:r w:rsidR="00120F6C">
        <w:rPr>
          <w:sz w:val="24"/>
          <w:lang w:eastAsia="ja-JP"/>
        </w:rPr>
        <w:t xml:space="preserve">ency with </w:t>
      </w:r>
      <w:r w:rsidR="00120F6C" w:rsidRPr="000B21AD">
        <w:rPr>
          <w:sz w:val="24"/>
          <w:lang w:eastAsia="ja-JP"/>
        </w:rPr>
        <w:t>Choice</w:t>
      </w:r>
      <w:bookmarkStart w:id="0" w:name="_Hlk123917506"/>
      <w:r w:rsidR="00C3513B" w:rsidRPr="000B21AD">
        <w:rPr>
          <w:rFonts w:hint="eastAsia"/>
          <w:sz w:val="24"/>
          <w:lang w:eastAsia="ja-JP"/>
        </w:rPr>
        <w:t>（</w:t>
      </w:r>
      <w:r w:rsidR="00C3513B" w:rsidRPr="000B21AD">
        <w:rPr>
          <w:rFonts w:asciiTheme="minorEastAsia" w:eastAsiaTheme="minorEastAsia" w:hAnsiTheme="minorEastAsia" w:hint="eastAsia"/>
          <w:szCs w:val="21"/>
          <w:lang w:eastAsia="ja-JP"/>
        </w:rPr>
        <w:t>選択肢のあるエージェンシー）</w:t>
      </w:r>
      <w:bookmarkEnd w:id="0"/>
      <w:r w:rsidR="00C3513B" w:rsidRPr="000B21AD">
        <w:rPr>
          <w:rFonts w:asciiTheme="minorEastAsia" w:eastAsiaTheme="minorEastAsia" w:hAnsiTheme="minorEastAsia" w:hint="eastAsia"/>
          <w:szCs w:val="21"/>
          <w:lang w:eastAsia="ja-JP"/>
        </w:rPr>
        <w:t>は、エージェンシーとパートナーシップを組むという選択肢を提供します。サポート スタッフを選択</w:t>
      </w:r>
      <w:r w:rsidR="00C3513B" w:rsidRPr="00C3513B">
        <w:rPr>
          <w:rFonts w:asciiTheme="minorEastAsia" w:eastAsiaTheme="minorEastAsia" w:hAnsiTheme="minorEastAsia" w:hint="eastAsia"/>
          <w:szCs w:val="21"/>
          <w:lang w:eastAsia="ja-JP"/>
        </w:rPr>
        <w:t>し、日々の活動を指示する責任を分担したいとお考えの方は、選択肢のあるエージェンシー</w:t>
      </w:r>
      <w:r w:rsidR="00FB4F85">
        <w:rPr>
          <w:rFonts w:asciiTheme="minorEastAsia" w:eastAsiaTheme="minorEastAsia" w:hAnsiTheme="minorEastAsia" w:hint="eastAsia"/>
          <w:szCs w:val="21"/>
          <w:lang w:eastAsia="ja-JP"/>
        </w:rPr>
        <w:t>•</w:t>
      </w:r>
      <w:r w:rsidR="00C3513B" w:rsidRPr="00C3513B">
        <w:rPr>
          <w:rFonts w:asciiTheme="minorEastAsia" w:eastAsiaTheme="minorEastAsia" w:hAnsiTheme="minorEastAsia" w:hint="eastAsia"/>
          <w:szCs w:val="21"/>
          <w:lang w:eastAsia="ja-JP"/>
        </w:rPr>
        <w:t>モデルをご検討いただくこと</w:t>
      </w:r>
      <w:r w:rsidR="00081AF6">
        <w:rPr>
          <w:rFonts w:asciiTheme="minorEastAsia" w:eastAsiaTheme="minorEastAsia" w:hAnsiTheme="minorEastAsia" w:hint="eastAsia"/>
          <w:szCs w:val="21"/>
          <w:lang w:eastAsia="ja-JP"/>
        </w:rPr>
        <w:t>が、</w:t>
      </w:r>
      <w:r w:rsidR="00C3513B" w:rsidRPr="00C3513B">
        <w:rPr>
          <w:rFonts w:asciiTheme="minorEastAsia" w:eastAsiaTheme="minorEastAsia" w:hAnsiTheme="minorEastAsia" w:hint="eastAsia"/>
          <w:szCs w:val="21"/>
          <w:lang w:eastAsia="ja-JP"/>
        </w:rPr>
        <w:t>できます。</w:t>
      </w:r>
    </w:p>
    <w:p w14:paraId="1445D48F" w14:textId="7959CF29" w:rsidR="000A2856" w:rsidRPr="007A4E2D" w:rsidRDefault="005E1EC0" w:rsidP="005F16E3">
      <w:pPr>
        <w:spacing w:line="240" w:lineRule="auto"/>
        <w:rPr>
          <w:szCs w:val="21"/>
          <w:lang w:eastAsia="ja-JP"/>
        </w:rPr>
      </w:pPr>
      <w:r w:rsidRPr="007A4E2D">
        <w:rPr>
          <w:rFonts w:hint="eastAsia"/>
          <w:szCs w:val="21"/>
          <w:lang w:eastAsia="ja-JP"/>
        </w:rPr>
        <w:t>この支援モデルを選択した場合、</w:t>
      </w:r>
      <w:r w:rsidR="00EB4C40">
        <w:rPr>
          <w:rFonts w:hint="eastAsia"/>
          <w:szCs w:val="21"/>
          <w:lang w:eastAsia="ja-JP"/>
        </w:rPr>
        <w:t>ご</w:t>
      </w:r>
      <w:r w:rsidRPr="007A4E2D">
        <w:rPr>
          <w:rFonts w:hint="eastAsia"/>
          <w:szCs w:val="21"/>
          <w:lang w:eastAsia="ja-JP"/>
        </w:rPr>
        <w:t>自分のニーズに合ったサービスを購入するための予算が割り当てられます。</w:t>
      </w:r>
      <w:r w:rsidRPr="007A4E2D">
        <w:rPr>
          <w:rFonts w:hint="eastAsia"/>
          <w:szCs w:val="21"/>
          <w:lang w:eastAsia="ja-JP"/>
        </w:rPr>
        <w:t xml:space="preserve"> </w:t>
      </w:r>
      <w:r w:rsidR="004A0905">
        <w:rPr>
          <w:rFonts w:hint="eastAsia"/>
          <w:szCs w:val="21"/>
          <w:lang w:eastAsia="ja-JP"/>
        </w:rPr>
        <w:t>参加者</w:t>
      </w:r>
      <w:r w:rsidRPr="007A4E2D">
        <w:rPr>
          <w:rFonts w:hint="eastAsia"/>
          <w:szCs w:val="21"/>
          <w:lang w:eastAsia="ja-JP"/>
        </w:rPr>
        <w:t>/</w:t>
      </w:r>
      <w:r w:rsidRPr="007A4E2D">
        <w:rPr>
          <w:rFonts w:hint="eastAsia"/>
          <w:szCs w:val="21"/>
          <w:lang w:eastAsia="ja-JP"/>
        </w:rPr>
        <w:t>家族は、雇用したい人物を選択し、雇用プロセス、給与管理、その他の関連業務</w:t>
      </w:r>
      <w:r w:rsidR="00EB4C40">
        <w:rPr>
          <w:rFonts w:hint="eastAsia"/>
          <w:szCs w:val="21"/>
          <w:lang w:eastAsia="ja-JP"/>
        </w:rPr>
        <w:t>に関するサポートを</w:t>
      </w:r>
      <w:r w:rsidRPr="007A4E2D">
        <w:rPr>
          <w:rFonts w:hint="eastAsia"/>
          <w:szCs w:val="21"/>
          <w:lang w:eastAsia="ja-JP"/>
        </w:rPr>
        <w:t>エージェンシー</w:t>
      </w:r>
      <w:r w:rsidR="00EB4C40">
        <w:rPr>
          <w:rFonts w:hint="eastAsia"/>
          <w:szCs w:val="21"/>
          <w:lang w:eastAsia="ja-JP"/>
        </w:rPr>
        <w:t>から</w:t>
      </w:r>
      <w:r w:rsidRPr="007A4E2D">
        <w:rPr>
          <w:rFonts w:hint="eastAsia"/>
          <w:szCs w:val="21"/>
          <w:lang w:eastAsia="ja-JP"/>
        </w:rPr>
        <w:t>受けることができます。</w:t>
      </w:r>
    </w:p>
    <w:p w14:paraId="61382B46" w14:textId="77777777" w:rsidR="0024465F" w:rsidRDefault="0024465F" w:rsidP="005F16E3">
      <w:pPr>
        <w:spacing w:line="240" w:lineRule="auto"/>
        <w:rPr>
          <w:b/>
          <w:sz w:val="24"/>
          <w:lang w:eastAsia="ja-JP"/>
        </w:rPr>
      </w:pPr>
    </w:p>
    <w:p w14:paraId="55F82281" w14:textId="07123998" w:rsidR="00D410AA" w:rsidRPr="00BB3B13" w:rsidRDefault="00D410AA" w:rsidP="005F16E3">
      <w:pPr>
        <w:spacing w:line="240" w:lineRule="auto"/>
        <w:rPr>
          <w:b/>
          <w:szCs w:val="21"/>
          <w:lang w:eastAsia="ja-JP"/>
        </w:rPr>
      </w:pPr>
      <w:r w:rsidRPr="00040CDD">
        <w:rPr>
          <w:b/>
          <w:sz w:val="24"/>
          <w:lang w:eastAsia="ja-JP"/>
        </w:rPr>
        <w:t xml:space="preserve"> </w:t>
      </w:r>
      <w:r w:rsidR="00040CDD">
        <w:rPr>
          <w:b/>
          <w:sz w:val="24"/>
          <w:lang w:eastAsia="ja-JP"/>
        </w:rPr>
        <w:t>Agency w</w:t>
      </w:r>
      <w:r w:rsidR="000A2856" w:rsidRPr="00040CDD">
        <w:rPr>
          <w:b/>
          <w:sz w:val="24"/>
          <w:lang w:eastAsia="ja-JP"/>
        </w:rPr>
        <w:t xml:space="preserve">ith Choice </w:t>
      </w:r>
      <w:r w:rsidR="00FE6DE4" w:rsidRPr="00BB3B13">
        <w:rPr>
          <w:rFonts w:hint="eastAsia"/>
          <w:b/>
          <w:szCs w:val="21"/>
          <w:lang w:eastAsia="ja-JP"/>
        </w:rPr>
        <w:t>（選択肢のあるエージェンシー）</w:t>
      </w:r>
      <w:r w:rsidR="00FE6DE4" w:rsidRPr="00BB3B13">
        <w:rPr>
          <w:rFonts w:asciiTheme="minorEastAsia" w:eastAsiaTheme="minorEastAsia" w:hAnsiTheme="minorEastAsia" w:hint="eastAsia"/>
          <w:b/>
          <w:sz w:val="21"/>
          <w:szCs w:val="20"/>
          <w:lang w:eastAsia="ja-JP"/>
        </w:rPr>
        <w:t>プログラムでは、以下のようなサービスを提供しています</w:t>
      </w:r>
      <w:r w:rsidRPr="00BB3B13">
        <w:rPr>
          <w:b/>
          <w:szCs w:val="21"/>
          <w:lang w:eastAsia="ja-JP"/>
        </w:rPr>
        <w:t>:</w:t>
      </w:r>
    </w:p>
    <w:p w14:paraId="2B5088D1" w14:textId="241A26CA" w:rsidR="00B16B6A" w:rsidRPr="00EE766C" w:rsidRDefault="007A4E2D" w:rsidP="005F16E3">
      <w:pPr>
        <w:pStyle w:val="ListParagraph"/>
        <w:numPr>
          <w:ilvl w:val="0"/>
          <w:numId w:val="1"/>
        </w:numPr>
        <w:spacing w:line="240" w:lineRule="auto"/>
        <w:rPr>
          <w:rFonts w:asciiTheme="minorEastAsia" w:eastAsiaTheme="minorEastAsia" w:hAnsiTheme="minorEastAsia"/>
          <w:szCs w:val="21"/>
          <w:lang w:eastAsia="ja-JP"/>
        </w:rPr>
      </w:pPr>
      <w:r w:rsidRPr="00EE766C">
        <w:rPr>
          <w:rFonts w:asciiTheme="minorEastAsia" w:eastAsiaTheme="minorEastAsia" w:hAnsiTheme="minorEastAsia" w:hint="eastAsia"/>
          <w:szCs w:val="21"/>
          <w:lang w:eastAsia="ja-JP"/>
        </w:rPr>
        <w:t>エージェンシーが雇用主となり、個人とパートナーになって従業員の訓練と管理を支援する共同雇用モデル</w:t>
      </w:r>
      <w:r w:rsidR="00EB4C40">
        <w:rPr>
          <w:rFonts w:asciiTheme="minorEastAsia" w:eastAsiaTheme="minorEastAsia" w:hAnsiTheme="minorEastAsia" w:hint="eastAsia"/>
          <w:szCs w:val="21"/>
          <w:lang w:eastAsia="ja-JP"/>
        </w:rPr>
        <w:t>となっています</w:t>
      </w:r>
      <w:r w:rsidRPr="00EE766C">
        <w:rPr>
          <w:rFonts w:asciiTheme="minorEastAsia" w:eastAsiaTheme="minorEastAsia" w:hAnsiTheme="minorEastAsia" w:hint="eastAsia"/>
          <w:szCs w:val="21"/>
          <w:lang w:eastAsia="ja-JP"/>
        </w:rPr>
        <w:t>。</w:t>
      </w:r>
    </w:p>
    <w:p w14:paraId="4B9D82E8" w14:textId="1105A62D" w:rsidR="000A2856" w:rsidRPr="00EE766C" w:rsidRDefault="00EE766C" w:rsidP="005F16E3">
      <w:pPr>
        <w:pStyle w:val="ListParagraph"/>
        <w:numPr>
          <w:ilvl w:val="0"/>
          <w:numId w:val="1"/>
        </w:numPr>
        <w:spacing w:line="240" w:lineRule="auto"/>
        <w:rPr>
          <w:rFonts w:asciiTheme="minorEastAsia" w:eastAsiaTheme="minorEastAsia" w:hAnsiTheme="minorEastAsia"/>
          <w:szCs w:val="21"/>
          <w:lang w:eastAsia="ja-JP"/>
        </w:rPr>
      </w:pPr>
      <w:r w:rsidRPr="00EE766C">
        <w:rPr>
          <w:rFonts w:asciiTheme="minorEastAsia" w:eastAsiaTheme="minorEastAsia" w:hAnsiTheme="minorEastAsia" w:hint="eastAsia"/>
          <w:szCs w:val="21"/>
          <w:lang w:eastAsia="ja-JP"/>
        </w:rPr>
        <w:t>エージェンシーは、エージェンシーの人事方針に従って、</w:t>
      </w:r>
      <w:r w:rsidR="004A0905">
        <w:rPr>
          <w:rFonts w:asciiTheme="minorEastAsia" w:eastAsiaTheme="minorEastAsia" w:hAnsiTheme="minorEastAsia" w:hint="eastAsia"/>
          <w:szCs w:val="21"/>
          <w:lang w:eastAsia="ja-JP"/>
        </w:rPr>
        <w:t>参加者</w:t>
      </w:r>
      <w:r w:rsidRPr="00EE766C">
        <w:rPr>
          <w:rFonts w:asciiTheme="minorEastAsia" w:eastAsiaTheme="minorEastAsia" w:hAnsiTheme="minorEastAsia" w:hint="eastAsia"/>
          <w:szCs w:val="21"/>
          <w:lang w:eastAsia="ja-JP"/>
        </w:rPr>
        <w:t>／家族が指定した従業員の面接、雇用、賃金交渉などのサポートを行います。</w:t>
      </w:r>
    </w:p>
    <w:p w14:paraId="74B3D4F8" w14:textId="70635621" w:rsidR="00F847CC" w:rsidRPr="007B51FE" w:rsidRDefault="004A0905" w:rsidP="005F16E3">
      <w:pPr>
        <w:pStyle w:val="ListParagraph"/>
        <w:numPr>
          <w:ilvl w:val="0"/>
          <w:numId w:val="1"/>
        </w:numPr>
        <w:spacing w:line="240" w:lineRule="auto"/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参加者</w:t>
      </w:r>
      <w:r w:rsidR="004402B8" w:rsidRPr="004402B8">
        <w:rPr>
          <w:rFonts w:hint="eastAsia"/>
          <w:szCs w:val="21"/>
          <w:lang w:eastAsia="ja-JP"/>
        </w:rPr>
        <w:t>/</w:t>
      </w:r>
      <w:r w:rsidR="004402B8" w:rsidRPr="004402B8">
        <w:rPr>
          <w:rFonts w:hint="eastAsia"/>
          <w:szCs w:val="21"/>
          <w:lang w:eastAsia="ja-JP"/>
        </w:rPr>
        <w:t>家族</w:t>
      </w:r>
      <w:r w:rsidR="004402B8">
        <w:rPr>
          <w:rFonts w:hint="eastAsia"/>
          <w:szCs w:val="21"/>
          <w:lang w:eastAsia="ja-JP"/>
        </w:rPr>
        <w:t>に</w:t>
      </w:r>
      <w:r w:rsidR="004402B8" w:rsidRPr="004402B8">
        <w:rPr>
          <w:rFonts w:hint="eastAsia"/>
          <w:szCs w:val="21"/>
          <w:lang w:eastAsia="ja-JP"/>
        </w:rPr>
        <w:t>は、従業員を日常的に監督する責任があります。</w:t>
      </w:r>
    </w:p>
    <w:p w14:paraId="31FE345E" w14:textId="0A8BEAD0" w:rsidR="00277FFD" w:rsidRPr="00445CE7" w:rsidRDefault="004E0597" w:rsidP="005F16E3">
      <w:pPr>
        <w:pStyle w:val="ListParagraph"/>
        <w:numPr>
          <w:ilvl w:val="0"/>
          <w:numId w:val="1"/>
        </w:numPr>
        <w:spacing w:line="240" w:lineRule="auto"/>
        <w:rPr>
          <w:rFonts w:asciiTheme="minorEastAsia" w:eastAsiaTheme="minorEastAsia" w:hAnsiTheme="minorEastAsia"/>
          <w:szCs w:val="21"/>
          <w:lang w:eastAsia="ja-JP"/>
        </w:rPr>
      </w:pPr>
      <w:r w:rsidRPr="00445CE7">
        <w:rPr>
          <w:rFonts w:asciiTheme="minorEastAsia" w:eastAsiaTheme="minorEastAsia" w:hAnsiTheme="minorEastAsia" w:hint="eastAsia"/>
          <w:szCs w:val="21"/>
          <w:lang w:eastAsia="ja-JP"/>
        </w:rPr>
        <w:t>エージェンシーは、連邦・州所得税および雇用税の源泉徴収、申告、支払い、労災保険の提供など、従業員への支払いに関する責任を負います。</w:t>
      </w:r>
    </w:p>
    <w:p w14:paraId="002BC0CF" w14:textId="49D24D86" w:rsidR="00277FFD" w:rsidRPr="00C71E5F" w:rsidRDefault="00C71E5F" w:rsidP="005F16E3">
      <w:pPr>
        <w:pStyle w:val="ListParagraph"/>
        <w:numPr>
          <w:ilvl w:val="0"/>
          <w:numId w:val="1"/>
        </w:numPr>
        <w:spacing w:line="240" w:lineRule="auto"/>
        <w:rPr>
          <w:rFonts w:asciiTheme="minorEastAsia" w:eastAsiaTheme="minorEastAsia" w:hAnsiTheme="minorEastAsia"/>
          <w:szCs w:val="21"/>
          <w:lang w:eastAsia="ja-JP"/>
        </w:rPr>
      </w:pPr>
      <w:r w:rsidRPr="00C71E5F">
        <w:rPr>
          <w:rFonts w:asciiTheme="minorEastAsia" w:eastAsiaTheme="minorEastAsia" w:hAnsiTheme="minorEastAsia" w:hint="eastAsia"/>
          <w:szCs w:val="21"/>
          <w:lang w:eastAsia="ja-JP"/>
        </w:rPr>
        <w:t>エージェンシーは、毎月の財務報告書を提供し、計画通りに支出が行われていることを認識し、必要に応じて調整できるように</w:t>
      </w:r>
      <w:r w:rsidR="00EB4C40">
        <w:rPr>
          <w:rFonts w:asciiTheme="minorEastAsia" w:eastAsiaTheme="minorEastAsia" w:hAnsiTheme="minorEastAsia" w:hint="eastAsia"/>
          <w:szCs w:val="21"/>
          <w:lang w:eastAsia="ja-JP"/>
        </w:rPr>
        <w:t>支援</w:t>
      </w:r>
      <w:r w:rsidRPr="00C71E5F">
        <w:rPr>
          <w:rFonts w:asciiTheme="minorEastAsia" w:eastAsiaTheme="minorEastAsia" w:hAnsiTheme="minorEastAsia" w:hint="eastAsia"/>
          <w:szCs w:val="21"/>
          <w:lang w:eastAsia="ja-JP"/>
        </w:rPr>
        <w:t>します。</w:t>
      </w:r>
    </w:p>
    <w:p w14:paraId="299083B1" w14:textId="13179D45" w:rsidR="00277FFD" w:rsidRPr="007B51FE" w:rsidRDefault="00C159D6" w:rsidP="005F16E3">
      <w:pPr>
        <w:pStyle w:val="ListParagraph"/>
        <w:numPr>
          <w:ilvl w:val="0"/>
          <w:numId w:val="1"/>
        </w:numPr>
        <w:spacing w:line="240" w:lineRule="auto"/>
        <w:rPr>
          <w:szCs w:val="21"/>
          <w:lang w:eastAsia="ja-JP"/>
        </w:rPr>
      </w:pPr>
      <w:r w:rsidRPr="00C159D6">
        <w:rPr>
          <w:rFonts w:hint="eastAsia"/>
          <w:szCs w:val="21"/>
          <w:lang w:eastAsia="ja-JP"/>
        </w:rPr>
        <w:t xml:space="preserve">Agency with Choice </w:t>
      </w:r>
      <w:r w:rsidRPr="00C159D6">
        <w:rPr>
          <w:rFonts w:hint="eastAsia"/>
          <w:szCs w:val="21"/>
          <w:lang w:eastAsia="ja-JP"/>
        </w:rPr>
        <w:t>（選択肢のあるエージェンシー）プログラム</w:t>
      </w:r>
      <w:r>
        <w:rPr>
          <w:rFonts w:hint="eastAsia"/>
          <w:szCs w:val="21"/>
          <w:lang w:eastAsia="ja-JP"/>
        </w:rPr>
        <w:t>のモデル</w:t>
      </w:r>
      <w:r w:rsidRPr="00C159D6">
        <w:rPr>
          <w:rFonts w:hint="eastAsia"/>
          <w:szCs w:val="21"/>
          <w:lang w:eastAsia="ja-JP"/>
        </w:rPr>
        <w:t>には、以下のようなサービス・オプションがあります</w:t>
      </w:r>
      <w:r w:rsidR="00277FFD" w:rsidRPr="007B51FE">
        <w:rPr>
          <w:szCs w:val="21"/>
          <w:lang w:eastAsia="ja-JP"/>
        </w:rPr>
        <w:t>:</w:t>
      </w:r>
    </w:p>
    <w:p w14:paraId="2818E383" w14:textId="77777777" w:rsidR="007E6FEF" w:rsidRPr="007B51FE" w:rsidRDefault="007E6FEF" w:rsidP="005F16E3">
      <w:pPr>
        <w:pStyle w:val="ListParagraph"/>
        <w:spacing w:line="240" w:lineRule="auto"/>
        <w:rPr>
          <w:szCs w:val="21"/>
          <w:lang w:eastAsia="ja-JP"/>
        </w:rPr>
      </w:pPr>
    </w:p>
    <w:p w14:paraId="5DDCE205" w14:textId="17302415" w:rsidR="001F26B4" w:rsidRPr="00E62E2A" w:rsidRDefault="00E62E2A" w:rsidP="005F16E3">
      <w:pPr>
        <w:pStyle w:val="ListParagraph"/>
        <w:numPr>
          <w:ilvl w:val="1"/>
          <w:numId w:val="1"/>
        </w:numPr>
        <w:spacing w:line="240" w:lineRule="auto"/>
        <w:rPr>
          <w:rFonts w:asciiTheme="minorEastAsia" w:eastAsiaTheme="minorEastAsia" w:hAnsiTheme="minorEastAsia"/>
          <w:szCs w:val="21"/>
          <w:lang w:eastAsia="ja-JP"/>
        </w:rPr>
      </w:pPr>
      <w:r w:rsidRPr="00E62E2A">
        <w:rPr>
          <w:rFonts w:asciiTheme="minorEastAsia" w:eastAsiaTheme="minorEastAsia" w:hAnsiTheme="minorEastAsia" w:hint="eastAsia"/>
          <w:szCs w:val="21"/>
          <w:lang w:eastAsia="ja-JP"/>
        </w:rPr>
        <w:t>サービス•ナビゲーション</w:t>
      </w:r>
    </w:p>
    <w:p w14:paraId="7DD7B3F4" w14:textId="788DF6F0" w:rsidR="00277FFD" w:rsidRPr="00E62E2A" w:rsidRDefault="00E62E2A" w:rsidP="005F16E3">
      <w:pPr>
        <w:pStyle w:val="ListParagraph"/>
        <w:numPr>
          <w:ilvl w:val="1"/>
          <w:numId w:val="1"/>
        </w:numPr>
        <w:spacing w:line="240" w:lineRule="auto"/>
        <w:rPr>
          <w:rFonts w:asciiTheme="minorEastAsia" w:eastAsiaTheme="minorEastAsia" w:hAnsiTheme="minorEastAsia"/>
          <w:szCs w:val="21"/>
        </w:rPr>
      </w:pPr>
      <w:proofErr w:type="spellStart"/>
      <w:r w:rsidRPr="00E62E2A">
        <w:rPr>
          <w:rFonts w:asciiTheme="minorEastAsia" w:eastAsiaTheme="minorEastAsia" w:hAnsiTheme="minorEastAsia" w:hint="eastAsia"/>
          <w:szCs w:val="21"/>
        </w:rPr>
        <w:t>個別の在宅サポート</w:t>
      </w:r>
      <w:proofErr w:type="spellEnd"/>
    </w:p>
    <w:p w14:paraId="571F852F" w14:textId="0564FA20" w:rsidR="00277FFD" w:rsidRPr="00E62E2A" w:rsidRDefault="00E62E2A" w:rsidP="005F16E3">
      <w:pPr>
        <w:pStyle w:val="ListParagraph"/>
        <w:numPr>
          <w:ilvl w:val="1"/>
          <w:numId w:val="1"/>
        </w:numPr>
        <w:spacing w:line="240" w:lineRule="auto"/>
        <w:rPr>
          <w:rFonts w:asciiTheme="minorEastAsia" w:eastAsiaTheme="minorEastAsia" w:hAnsiTheme="minorEastAsia"/>
          <w:szCs w:val="21"/>
          <w:lang w:eastAsia="ja-JP"/>
        </w:rPr>
      </w:pPr>
      <w:r w:rsidRPr="00E62E2A">
        <w:rPr>
          <w:rFonts w:asciiTheme="minorEastAsia" w:eastAsiaTheme="minorEastAsia" w:hAnsiTheme="minorEastAsia" w:hint="eastAsia"/>
          <w:szCs w:val="21"/>
          <w:lang w:eastAsia="ja-JP"/>
        </w:rPr>
        <w:t>個別のデイ・サポート</w:t>
      </w:r>
    </w:p>
    <w:p w14:paraId="6F454B7D" w14:textId="36CEEB98" w:rsidR="00277FFD" w:rsidRPr="00E62E2A" w:rsidRDefault="00E62E2A" w:rsidP="005F16E3">
      <w:pPr>
        <w:pStyle w:val="ListParagraph"/>
        <w:numPr>
          <w:ilvl w:val="1"/>
          <w:numId w:val="1"/>
        </w:numPr>
        <w:spacing w:line="240" w:lineRule="auto"/>
        <w:rPr>
          <w:rFonts w:asciiTheme="minorEastAsia" w:eastAsiaTheme="minorEastAsia" w:hAnsiTheme="minorEastAsia"/>
          <w:szCs w:val="21"/>
        </w:rPr>
      </w:pPr>
      <w:proofErr w:type="spellStart"/>
      <w:r w:rsidRPr="00E62E2A">
        <w:rPr>
          <w:rFonts w:asciiTheme="minorEastAsia" w:eastAsiaTheme="minorEastAsia" w:hAnsiTheme="minorEastAsia" w:hint="eastAsia"/>
          <w:szCs w:val="21"/>
        </w:rPr>
        <w:t>柔軟な資金調達</w:t>
      </w:r>
      <w:proofErr w:type="spellEnd"/>
    </w:p>
    <w:p w14:paraId="444596CA" w14:textId="77777777" w:rsidR="00277FFD" w:rsidRPr="007B51FE" w:rsidRDefault="00277FFD" w:rsidP="005F16E3">
      <w:pPr>
        <w:pStyle w:val="ListParagraph"/>
        <w:spacing w:line="240" w:lineRule="auto"/>
        <w:ind w:left="1440"/>
        <w:rPr>
          <w:szCs w:val="21"/>
        </w:rPr>
      </w:pPr>
    </w:p>
    <w:p w14:paraId="47AFDF45" w14:textId="77777777" w:rsidR="00277FFD" w:rsidRPr="00B16B6A" w:rsidRDefault="00277FFD" w:rsidP="00277FFD">
      <w:pPr>
        <w:pStyle w:val="ListParagraph"/>
        <w:spacing w:line="240" w:lineRule="auto"/>
        <w:ind w:left="1440"/>
        <w:jc w:val="both"/>
        <w:rPr>
          <w:sz w:val="24"/>
        </w:rPr>
      </w:pPr>
    </w:p>
    <w:p w14:paraId="74ED4CEA" w14:textId="77777777" w:rsidR="00A876BE" w:rsidRPr="00C61F2E" w:rsidRDefault="00A876BE" w:rsidP="0027449F">
      <w:pPr>
        <w:spacing w:line="240" w:lineRule="auto"/>
        <w:ind w:left="360"/>
        <w:jc w:val="center"/>
        <w:rPr>
          <w:rFonts w:asciiTheme="minorEastAsia" w:eastAsiaTheme="minorEastAsia" w:hAnsiTheme="minorEastAsia"/>
          <w:b/>
          <w:sz w:val="24"/>
          <w:szCs w:val="21"/>
        </w:rPr>
      </w:pPr>
    </w:p>
    <w:p w14:paraId="411522AC" w14:textId="6D974D2C" w:rsidR="0027449F" w:rsidRPr="00C61F2E" w:rsidRDefault="00C61F2E" w:rsidP="0027449F">
      <w:pPr>
        <w:spacing w:line="240" w:lineRule="auto"/>
        <w:ind w:left="360"/>
        <w:jc w:val="center"/>
        <w:rPr>
          <w:rFonts w:asciiTheme="minorEastAsia" w:eastAsiaTheme="minorEastAsia" w:hAnsiTheme="minorEastAsia"/>
          <w:szCs w:val="21"/>
          <w:lang w:eastAsia="ja-JP"/>
        </w:rPr>
      </w:pPr>
      <w:r w:rsidRPr="00C61F2E">
        <w:rPr>
          <w:rFonts w:asciiTheme="minorEastAsia" w:eastAsiaTheme="minorEastAsia" w:hAnsiTheme="minorEastAsia" w:hint="eastAsia"/>
          <w:b/>
          <w:sz w:val="24"/>
          <w:szCs w:val="21"/>
          <w:lang w:eastAsia="ja-JP"/>
        </w:rPr>
        <w:t>マサチューセッツ州発達障害</w:t>
      </w:r>
      <w:r w:rsidR="000B21AD">
        <w:rPr>
          <w:rFonts w:asciiTheme="minorEastAsia" w:eastAsiaTheme="minorEastAsia" w:hAnsiTheme="minorEastAsia" w:hint="eastAsia"/>
          <w:b/>
          <w:sz w:val="24"/>
          <w:szCs w:val="21"/>
          <w:lang w:eastAsia="ja-JP"/>
        </w:rPr>
        <w:t>支援</w:t>
      </w:r>
      <w:r w:rsidRPr="00C61F2E">
        <w:rPr>
          <w:rFonts w:asciiTheme="minorEastAsia" w:eastAsiaTheme="minorEastAsia" w:hAnsiTheme="minorEastAsia" w:hint="eastAsia"/>
          <w:b/>
          <w:sz w:val="24"/>
          <w:szCs w:val="21"/>
          <w:lang w:eastAsia="ja-JP"/>
        </w:rPr>
        <w:t>局</w:t>
      </w:r>
    </w:p>
    <w:sectPr w:rsidR="0027449F" w:rsidRPr="00C61F2E" w:rsidSect="0027449F">
      <w:pgSz w:w="12240" w:h="15840"/>
      <w:pgMar w:top="1152" w:right="1440" w:bottom="720" w:left="1440" w:header="720" w:footer="720" w:gutter="0"/>
      <w:pgBorders w:offsetFrom="page">
        <w:top w:val="thinThickThinLargeGap" w:sz="48" w:space="24" w:color="auto"/>
        <w:left w:val="thinThickThinLargeGap" w:sz="48" w:space="24" w:color="auto"/>
        <w:bottom w:val="thinThickThinLargeGap" w:sz="48" w:space="24" w:color="auto"/>
        <w:right w:val="thinThickThinLargeGap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7D14"/>
    <w:multiLevelType w:val="hybridMultilevel"/>
    <w:tmpl w:val="94A4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76645"/>
    <w:multiLevelType w:val="hybridMultilevel"/>
    <w:tmpl w:val="7B62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418619">
    <w:abstractNumId w:val="0"/>
  </w:num>
  <w:num w:numId="2" w16cid:durableId="520051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AA"/>
    <w:rsid w:val="00040CDD"/>
    <w:rsid w:val="00051622"/>
    <w:rsid w:val="00081AF6"/>
    <w:rsid w:val="000A2856"/>
    <w:rsid w:val="000B21AD"/>
    <w:rsid w:val="00120F6C"/>
    <w:rsid w:val="001C3896"/>
    <w:rsid w:val="001F26B4"/>
    <w:rsid w:val="0024465F"/>
    <w:rsid w:val="0027449F"/>
    <w:rsid w:val="00277FFD"/>
    <w:rsid w:val="00291658"/>
    <w:rsid w:val="00375696"/>
    <w:rsid w:val="003A62E7"/>
    <w:rsid w:val="003B34EE"/>
    <w:rsid w:val="004402B8"/>
    <w:rsid w:val="00445CE7"/>
    <w:rsid w:val="004A0905"/>
    <w:rsid w:val="004E0597"/>
    <w:rsid w:val="004E736E"/>
    <w:rsid w:val="005E1EC0"/>
    <w:rsid w:val="005E26E0"/>
    <w:rsid w:val="005F16E3"/>
    <w:rsid w:val="006C4F7F"/>
    <w:rsid w:val="007A4E2D"/>
    <w:rsid w:val="007B51FE"/>
    <w:rsid w:val="007E6FEF"/>
    <w:rsid w:val="00973B62"/>
    <w:rsid w:val="009A3409"/>
    <w:rsid w:val="009D5F75"/>
    <w:rsid w:val="00A876BE"/>
    <w:rsid w:val="00AF4B8E"/>
    <w:rsid w:val="00AF6D76"/>
    <w:rsid w:val="00B16B6A"/>
    <w:rsid w:val="00BB3B13"/>
    <w:rsid w:val="00BD1FC9"/>
    <w:rsid w:val="00C159D6"/>
    <w:rsid w:val="00C3513B"/>
    <w:rsid w:val="00C61F2E"/>
    <w:rsid w:val="00C71E5F"/>
    <w:rsid w:val="00D410AA"/>
    <w:rsid w:val="00D64156"/>
    <w:rsid w:val="00D65135"/>
    <w:rsid w:val="00E62E2A"/>
    <w:rsid w:val="00E81424"/>
    <w:rsid w:val="00EB4C40"/>
    <w:rsid w:val="00EE766C"/>
    <w:rsid w:val="00F847CC"/>
    <w:rsid w:val="00FB4F85"/>
    <w:rsid w:val="00FE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732D"/>
  <w15:docId w15:val="{3DFBF5BD-1078-4DE8-A640-EE38C48F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B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Benoit, Jennifer R (DDS)</dc:creator>
  <cp:lastModifiedBy>Jessica Mullins</cp:lastModifiedBy>
  <cp:revision>3</cp:revision>
  <cp:lastPrinted>2019-06-10T13:36:00Z</cp:lastPrinted>
  <dcterms:created xsi:type="dcterms:W3CDTF">2023-01-09T13:41:00Z</dcterms:created>
  <dcterms:modified xsi:type="dcterms:W3CDTF">2023-01-09T17:49:00Z</dcterms:modified>
</cp:coreProperties>
</file>