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7E6" w:rsidRPr="003E27E6" w:rsidRDefault="006662AC" w:rsidP="003E27E6">
      <w:pPr>
        <w:framePr w:hSpace="180" w:wrap="auto" w:vAnchor="text" w:hAnchor="page" w:x="1702" w:y="-899"/>
        <w:tabs>
          <w:tab w:val="left" w:pos="900"/>
        </w:tabs>
        <w:jc w:val="both"/>
        <w:rPr>
          <w:rFonts w:eastAsia="Times New Roman"/>
          <w:szCs w:val="20"/>
        </w:rPr>
      </w:pPr>
      <w:bookmarkStart w:id="0" w:name="_GoBack"/>
      <w:bookmarkEnd w:id="0"/>
      <w:r>
        <w:rPr>
          <w:rFonts w:ascii="Arial" w:eastAsia="Times New Roman" w:hAnsi="Arial"/>
          <w:sz w:val="16"/>
          <w:szCs w:val="20"/>
        </w:rPr>
        <w:t xml:space="preserve"> </w:t>
      </w:r>
      <w:r w:rsidR="00DE66D2" w:rsidRPr="00DE66D2">
        <w:rPr>
          <w:rFonts w:ascii="Arial" w:eastAsia="Times New Roman" w:hAnsi="Arial"/>
          <w:sz w:val="16"/>
          <w:szCs w:val="20"/>
        </w:rPr>
        <w:tab/>
      </w:r>
      <w:r w:rsidR="00DE66D2" w:rsidRPr="00DE66D2">
        <w:rPr>
          <w:rFonts w:ascii="Arial" w:eastAsia="Times New Roman" w:hAnsi="Arial"/>
          <w:sz w:val="16"/>
          <w:szCs w:val="20"/>
        </w:rPr>
        <w:tab/>
      </w:r>
      <w:r w:rsidR="00DE66D2" w:rsidRPr="00DE66D2">
        <w:rPr>
          <w:rFonts w:ascii="Arial" w:eastAsia="Times New Roman" w:hAnsi="Arial"/>
          <w:sz w:val="16"/>
          <w:szCs w:val="20"/>
        </w:rPr>
        <w:tab/>
        <w:t xml:space="preserve"> </w:t>
      </w:r>
      <w:r w:rsidR="00DE66D2" w:rsidRPr="00DE66D2">
        <w:rPr>
          <w:rFonts w:ascii="Arial" w:eastAsia="Times New Roman" w:hAnsi="Arial"/>
          <w:sz w:val="16"/>
          <w:szCs w:val="20"/>
        </w:rPr>
        <w:tab/>
      </w:r>
    </w:p>
    <w:p w:rsidR="003E27E6" w:rsidRPr="003E27E6" w:rsidRDefault="003E27E6" w:rsidP="003E27E6">
      <w:pPr>
        <w:framePr w:hSpace="180" w:wrap="auto" w:vAnchor="text" w:hAnchor="page" w:x="1702" w:y="-899"/>
        <w:rPr>
          <w:rFonts w:eastAsia="Times New Roman"/>
          <w:szCs w:val="20"/>
        </w:rPr>
      </w:pPr>
      <w:r w:rsidRPr="003E27E6">
        <w:rPr>
          <w:rFonts w:eastAsia="Times New Roman"/>
          <w:noProof/>
          <w:szCs w:val="20"/>
        </w:rPr>
        <w:drawing>
          <wp:inline distT="0" distB="0" distL="0" distR="0" wp14:anchorId="3B88C308" wp14:editId="08AED1C4">
            <wp:extent cx="822960" cy="10287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22960" cy="1028700"/>
                    </a:xfrm>
                    <a:prstGeom prst="rect">
                      <a:avLst/>
                    </a:prstGeom>
                    <a:noFill/>
                    <a:ln w="9525">
                      <a:noFill/>
                      <a:miter lim="800000"/>
                      <a:headEnd/>
                      <a:tailEnd/>
                    </a:ln>
                  </pic:spPr>
                </pic:pic>
              </a:graphicData>
            </a:graphic>
          </wp:inline>
        </w:drawing>
      </w:r>
    </w:p>
    <w:p w:rsidR="003E27E6" w:rsidRPr="003E27E6" w:rsidRDefault="003E27E6" w:rsidP="003E27E6">
      <w:pPr>
        <w:framePr w:w="7049" w:h="1433" w:hSpace="180" w:wrap="auto" w:vAnchor="text" w:hAnchor="page" w:x="3169" w:y="-711"/>
        <w:jc w:val="center"/>
        <w:rPr>
          <w:rFonts w:ascii="Arial" w:eastAsia="Times New Roman" w:hAnsi="Arial"/>
          <w:b/>
          <w:sz w:val="28"/>
          <w:szCs w:val="20"/>
        </w:rPr>
      </w:pPr>
      <w:r w:rsidRPr="003E27E6">
        <w:rPr>
          <w:rFonts w:ascii="Arial" w:eastAsia="Times New Roman" w:hAnsi="Arial"/>
          <w:b/>
          <w:sz w:val="28"/>
          <w:szCs w:val="20"/>
        </w:rPr>
        <w:t>COMMONWEALTH OF MASSACHUSETTS</w:t>
      </w:r>
    </w:p>
    <w:p w:rsidR="003E27E6" w:rsidRPr="003E27E6" w:rsidRDefault="003E27E6" w:rsidP="003E27E6">
      <w:pPr>
        <w:framePr w:w="7049" w:h="1433" w:hSpace="180" w:wrap="auto" w:vAnchor="text" w:hAnchor="page" w:x="3169" w:y="-711"/>
        <w:jc w:val="center"/>
        <w:rPr>
          <w:rFonts w:ascii="Arial" w:eastAsia="Times New Roman" w:hAnsi="Arial"/>
          <w:b/>
          <w:szCs w:val="20"/>
        </w:rPr>
      </w:pPr>
      <w:r w:rsidRPr="003E27E6">
        <w:rPr>
          <w:rFonts w:ascii="Arial" w:eastAsia="Times New Roman" w:hAnsi="Arial"/>
          <w:b/>
          <w:szCs w:val="20"/>
        </w:rPr>
        <w:t>Office of Consumer Affairs and Business Regulation</w:t>
      </w:r>
    </w:p>
    <w:p w:rsidR="003E27E6" w:rsidRPr="003E27E6" w:rsidRDefault="003E27E6" w:rsidP="003E27E6">
      <w:pPr>
        <w:framePr w:w="7049" w:h="1433" w:hSpace="180" w:wrap="auto" w:vAnchor="text" w:hAnchor="page" w:x="3169" w:y="-711"/>
        <w:jc w:val="center"/>
        <w:rPr>
          <w:rFonts w:ascii="Arial" w:eastAsia="Times New Roman" w:hAnsi="Arial"/>
          <w:b/>
          <w:szCs w:val="20"/>
        </w:rPr>
      </w:pPr>
      <w:r w:rsidRPr="003E27E6">
        <w:rPr>
          <w:rFonts w:ascii="Arial" w:eastAsia="Times New Roman" w:hAnsi="Arial"/>
          <w:b/>
          <w:szCs w:val="20"/>
        </w:rPr>
        <w:t xml:space="preserve">DIVISION OF INSURANCE </w:t>
      </w:r>
    </w:p>
    <w:p w:rsidR="003E27E6" w:rsidRPr="003E27E6" w:rsidRDefault="003E27E6" w:rsidP="003E27E6">
      <w:pPr>
        <w:framePr w:w="7049" w:h="1433" w:hSpace="180" w:wrap="auto" w:vAnchor="text" w:hAnchor="page" w:x="3169" w:y="-711"/>
        <w:jc w:val="center"/>
        <w:rPr>
          <w:rFonts w:ascii="Arial" w:eastAsia="Times New Roman" w:hAnsi="Arial"/>
          <w:sz w:val="16"/>
          <w:szCs w:val="20"/>
        </w:rPr>
      </w:pPr>
      <w:r w:rsidRPr="003E27E6">
        <w:rPr>
          <w:rFonts w:ascii="Arial" w:eastAsia="Times New Roman" w:hAnsi="Arial"/>
          <w:sz w:val="16"/>
          <w:szCs w:val="20"/>
        </w:rPr>
        <w:t>1000 Washington Street • Suite 810 • Boston, MA  02118-6200</w:t>
      </w:r>
    </w:p>
    <w:p w:rsidR="003E27E6" w:rsidRPr="003E27E6" w:rsidRDefault="003E27E6" w:rsidP="003E27E6">
      <w:pPr>
        <w:framePr w:w="7049" w:h="1433" w:hSpace="180" w:wrap="auto" w:vAnchor="text" w:hAnchor="page" w:x="3169" w:y="-711"/>
        <w:jc w:val="center"/>
        <w:rPr>
          <w:rFonts w:ascii="Arial" w:eastAsia="Times New Roman" w:hAnsi="Arial"/>
          <w:sz w:val="16"/>
          <w:szCs w:val="20"/>
        </w:rPr>
      </w:pPr>
      <w:r w:rsidRPr="003E27E6">
        <w:rPr>
          <w:rFonts w:ascii="Arial" w:eastAsia="Times New Roman" w:hAnsi="Arial"/>
          <w:sz w:val="16"/>
          <w:szCs w:val="20"/>
        </w:rPr>
        <w:t>(617) 521-7794 • FAX (617) 521-7475</w:t>
      </w:r>
    </w:p>
    <w:p w:rsidR="003E27E6" w:rsidRPr="003E27E6" w:rsidRDefault="003E27E6" w:rsidP="003E27E6">
      <w:pPr>
        <w:framePr w:w="7049" w:h="1433" w:hSpace="180" w:wrap="auto" w:vAnchor="text" w:hAnchor="page" w:x="3169" w:y="-711"/>
        <w:jc w:val="center"/>
        <w:rPr>
          <w:rFonts w:ascii="Arial" w:eastAsia="Times New Roman" w:hAnsi="Arial"/>
          <w:szCs w:val="20"/>
        </w:rPr>
      </w:pPr>
      <w:r w:rsidRPr="003E27E6">
        <w:rPr>
          <w:rFonts w:ascii="Arial" w:eastAsia="Times New Roman" w:hAnsi="Arial"/>
          <w:sz w:val="16"/>
          <w:szCs w:val="20"/>
        </w:rPr>
        <w:t>http://www.mass.gov/doi</w:t>
      </w:r>
    </w:p>
    <w:p w:rsidR="003E27E6" w:rsidRPr="003E27E6" w:rsidRDefault="003E27E6" w:rsidP="003E27E6">
      <w:pPr>
        <w:tabs>
          <w:tab w:val="center" w:pos="990"/>
          <w:tab w:val="center" w:pos="7920"/>
        </w:tabs>
        <w:rPr>
          <w:rFonts w:ascii="Arial" w:eastAsia="Times New Roman" w:hAnsi="Arial"/>
          <w:sz w:val="16"/>
          <w:szCs w:val="20"/>
        </w:rPr>
      </w:pPr>
      <w:r w:rsidRPr="003E27E6">
        <w:rPr>
          <w:rFonts w:ascii="Arial" w:eastAsia="Times New Roman" w:hAnsi="Arial"/>
          <w:sz w:val="16"/>
          <w:szCs w:val="20"/>
        </w:rPr>
        <w:t xml:space="preserve">      CHARLES D. BAKER</w:t>
      </w:r>
      <w:r w:rsidRPr="003E27E6">
        <w:rPr>
          <w:rFonts w:ascii="Arial" w:eastAsia="Times New Roman" w:hAnsi="Arial"/>
          <w:sz w:val="16"/>
          <w:szCs w:val="20"/>
        </w:rPr>
        <w:tab/>
        <w:t>JAY ASH</w:t>
      </w:r>
    </w:p>
    <w:p w:rsidR="003E27E6" w:rsidRPr="003E27E6" w:rsidRDefault="003E27E6" w:rsidP="003E27E6">
      <w:pPr>
        <w:tabs>
          <w:tab w:val="center" w:pos="990"/>
          <w:tab w:val="center" w:pos="7920"/>
        </w:tabs>
        <w:rPr>
          <w:rFonts w:ascii="Arial" w:eastAsia="Times New Roman" w:hAnsi="Arial"/>
          <w:sz w:val="12"/>
          <w:szCs w:val="20"/>
        </w:rPr>
      </w:pPr>
      <w:r w:rsidRPr="003E27E6">
        <w:rPr>
          <w:rFonts w:ascii="Arial" w:eastAsia="Times New Roman" w:hAnsi="Arial"/>
          <w:sz w:val="12"/>
          <w:szCs w:val="20"/>
        </w:rPr>
        <w:t xml:space="preserve">                 GOVERNOR </w:t>
      </w:r>
      <w:r w:rsidRPr="003E27E6">
        <w:rPr>
          <w:rFonts w:ascii="Arial" w:eastAsia="Times New Roman" w:hAnsi="Arial"/>
          <w:sz w:val="12"/>
          <w:szCs w:val="20"/>
        </w:rPr>
        <w:tab/>
        <w:t>SECRETARY OF HOUSING AND</w:t>
      </w:r>
    </w:p>
    <w:p w:rsidR="003E27E6" w:rsidRPr="003E27E6" w:rsidRDefault="003E27E6" w:rsidP="003E27E6">
      <w:pPr>
        <w:tabs>
          <w:tab w:val="center" w:pos="990"/>
          <w:tab w:val="center" w:pos="7920"/>
        </w:tabs>
        <w:rPr>
          <w:rFonts w:ascii="Arial" w:eastAsia="Times New Roman" w:hAnsi="Arial"/>
          <w:sz w:val="12"/>
          <w:szCs w:val="20"/>
        </w:rPr>
      </w:pPr>
      <w:r w:rsidRPr="003E27E6">
        <w:rPr>
          <w:rFonts w:ascii="Arial" w:eastAsia="Times New Roman" w:hAnsi="Arial"/>
          <w:sz w:val="12"/>
          <w:szCs w:val="20"/>
        </w:rPr>
        <w:tab/>
      </w:r>
      <w:r w:rsidRPr="003E27E6">
        <w:rPr>
          <w:rFonts w:ascii="Arial" w:eastAsia="Times New Roman" w:hAnsi="Arial"/>
          <w:sz w:val="12"/>
          <w:szCs w:val="20"/>
        </w:rPr>
        <w:tab/>
        <w:t>ECONOMIC DEVELOPMENT</w:t>
      </w:r>
    </w:p>
    <w:p w:rsidR="003E27E6" w:rsidRPr="003E27E6" w:rsidRDefault="003E27E6" w:rsidP="003E27E6">
      <w:pPr>
        <w:tabs>
          <w:tab w:val="center" w:pos="990"/>
          <w:tab w:val="center" w:pos="7920"/>
        </w:tabs>
        <w:rPr>
          <w:rFonts w:ascii="Arial" w:eastAsia="Times New Roman" w:hAnsi="Arial"/>
          <w:sz w:val="16"/>
          <w:szCs w:val="20"/>
        </w:rPr>
      </w:pPr>
      <w:r w:rsidRPr="003E27E6">
        <w:rPr>
          <w:rFonts w:ascii="Arial" w:eastAsia="Times New Roman" w:hAnsi="Arial"/>
          <w:sz w:val="16"/>
          <w:szCs w:val="20"/>
        </w:rPr>
        <w:t xml:space="preserve">    </w:t>
      </w:r>
    </w:p>
    <w:p w:rsidR="003E27E6" w:rsidRPr="003E27E6" w:rsidRDefault="003E27E6" w:rsidP="003E27E6">
      <w:pPr>
        <w:tabs>
          <w:tab w:val="center" w:pos="990"/>
          <w:tab w:val="center" w:pos="7920"/>
        </w:tabs>
        <w:rPr>
          <w:rFonts w:ascii="Arial" w:eastAsia="Times New Roman" w:hAnsi="Arial"/>
          <w:sz w:val="16"/>
          <w:szCs w:val="20"/>
        </w:rPr>
      </w:pPr>
      <w:r w:rsidRPr="003E27E6">
        <w:rPr>
          <w:rFonts w:ascii="Arial" w:eastAsia="Times New Roman" w:hAnsi="Arial"/>
          <w:sz w:val="16"/>
          <w:szCs w:val="20"/>
        </w:rPr>
        <w:t xml:space="preserve">        KARYN E. POLITO</w:t>
      </w:r>
      <w:r w:rsidRPr="003E27E6">
        <w:rPr>
          <w:rFonts w:ascii="Arial" w:eastAsia="Times New Roman" w:hAnsi="Arial"/>
          <w:sz w:val="16"/>
          <w:szCs w:val="20"/>
        </w:rPr>
        <w:tab/>
        <w:t>JOHN C. CHAPMAN</w:t>
      </w:r>
    </w:p>
    <w:p w:rsidR="003E27E6" w:rsidRPr="003E27E6" w:rsidRDefault="003E27E6" w:rsidP="003E27E6">
      <w:pPr>
        <w:tabs>
          <w:tab w:val="center" w:pos="990"/>
          <w:tab w:val="center" w:pos="7920"/>
        </w:tabs>
        <w:rPr>
          <w:rFonts w:ascii="Arial" w:eastAsia="Times New Roman" w:hAnsi="Arial"/>
          <w:sz w:val="12"/>
          <w:szCs w:val="20"/>
        </w:rPr>
      </w:pPr>
      <w:r w:rsidRPr="003E27E6">
        <w:rPr>
          <w:rFonts w:ascii="Arial" w:eastAsia="Times New Roman" w:hAnsi="Arial"/>
          <w:sz w:val="12"/>
          <w:szCs w:val="20"/>
        </w:rPr>
        <w:t xml:space="preserve">         LIEUTENANT GOVERNOR </w:t>
      </w:r>
      <w:r w:rsidRPr="003E27E6">
        <w:rPr>
          <w:rFonts w:ascii="Arial" w:eastAsia="Times New Roman" w:hAnsi="Arial"/>
          <w:sz w:val="12"/>
          <w:szCs w:val="20"/>
        </w:rPr>
        <w:tab/>
        <w:t>UNDERSECRETARY</w:t>
      </w:r>
    </w:p>
    <w:p w:rsidR="003E27E6" w:rsidRPr="003E27E6" w:rsidRDefault="003E27E6" w:rsidP="003E27E6">
      <w:pPr>
        <w:tabs>
          <w:tab w:val="center" w:pos="990"/>
          <w:tab w:val="center" w:pos="7920"/>
        </w:tabs>
        <w:rPr>
          <w:rFonts w:ascii="Arial" w:eastAsia="Times New Roman" w:hAnsi="Arial"/>
          <w:sz w:val="12"/>
          <w:szCs w:val="20"/>
        </w:rPr>
      </w:pPr>
    </w:p>
    <w:p w:rsidR="003E27E6" w:rsidRPr="003E27E6" w:rsidRDefault="003E27E6" w:rsidP="003E27E6">
      <w:pPr>
        <w:tabs>
          <w:tab w:val="center" w:pos="990"/>
          <w:tab w:val="center" w:pos="7920"/>
        </w:tabs>
        <w:rPr>
          <w:rFonts w:ascii="Arial" w:eastAsia="Times New Roman" w:hAnsi="Arial"/>
          <w:sz w:val="16"/>
          <w:szCs w:val="20"/>
        </w:rPr>
      </w:pPr>
      <w:r w:rsidRPr="003E27E6">
        <w:rPr>
          <w:rFonts w:ascii="Arial" w:eastAsia="Times New Roman" w:hAnsi="Arial"/>
          <w:sz w:val="16"/>
          <w:szCs w:val="20"/>
        </w:rPr>
        <w:tab/>
      </w:r>
      <w:r w:rsidRPr="003E27E6">
        <w:rPr>
          <w:rFonts w:ascii="Arial" w:eastAsia="Times New Roman" w:hAnsi="Arial"/>
          <w:sz w:val="16"/>
          <w:szCs w:val="20"/>
        </w:rPr>
        <w:tab/>
      </w:r>
      <w:r w:rsidR="00267701">
        <w:rPr>
          <w:rFonts w:ascii="Arial" w:eastAsia="Times New Roman" w:hAnsi="Arial"/>
          <w:sz w:val="16"/>
          <w:szCs w:val="20"/>
        </w:rPr>
        <w:t xml:space="preserve">GARY </w:t>
      </w:r>
      <w:r w:rsidRPr="003E27E6">
        <w:rPr>
          <w:rFonts w:ascii="Arial" w:eastAsia="Times New Roman" w:hAnsi="Arial"/>
          <w:sz w:val="16"/>
          <w:szCs w:val="20"/>
        </w:rPr>
        <w:t>D</w:t>
      </w:r>
      <w:r w:rsidR="00267701">
        <w:rPr>
          <w:rFonts w:ascii="Arial" w:eastAsia="Times New Roman" w:hAnsi="Arial"/>
          <w:sz w:val="16"/>
          <w:szCs w:val="20"/>
        </w:rPr>
        <w:t xml:space="preserve">. </w:t>
      </w:r>
      <w:r w:rsidRPr="003E27E6">
        <w:rPr>
          <w:rFonts w:ascii="Arial" w:eastAsia="Times New Roman" w:hAnsi="Arial"/>
          <w:sz w:val="16"/>
          <w:szCs w:val="20"/>
        </w:rPr>
        <w:t>AN</w:t>
      </w:r>
      <w:r w:rsidR="00267701">
        <w:rPr>
          <w:rFonts w:ascii="Arial" w:eastAsia="Times New Roman" w:hAnsi="Arial"/>
          <w:sz w:val="16"/>
          <w:szCs w:val="20"/>
        </w:rPr>
        <w:t>D</w:t>
      </w:r>
      <w:r w:rsidRPr="003E27E6">
        <w:rPr>
          <w:rFonts w:ascii="Arial" w:eastAsia="Times New Roman" w:hAnsi="Arial"/>
          <w:sz w:val="16"/>
          <w:szCs w:val="20"/>
        </w:rPr>
        <w:t>ERSON</w:t>
      </w:r>
    </w:p>
    <w:p w:rsidR="003E27E6" w:rsidRPr="003E27E6" w:rsidRDefault="003E27E6" w:rsidP="003E27E6">
      <w:pPr>
        <w:tabs>
          <w:tab w:val="center" w:pos="990"/>
          <w:tab w:val="center" w:pos="7920"/>
        </w:tabs>
        <w:rPr>
          <w:rFonts w:ascii="Arial" w:eastAsia="Times New Roman" w:hAnsi="Arial"/>
          <w:sz w:val="16"/>
          <w:szCs w:val="20"/>
        </w:rPr>
      </w:pPr>
      <w:r w:rsidRPr="003E27E6">
        <w:rPr>
          <w:rFonts w:ascii="Arial" w:eastAsia="Times New Roman" w:hAnsi="Arial"/>
          <w:sz w:val="12"/>
          <w:szCs w:val="20"/>
        </w:rPr>
        <w:t xml:space="preserve">          </w:t>
      </w:r>
      <w:r w:rsidRPr="003E27E6">
        <w:rPr>
          <w:rFonts w:ascii="Arial" w:eastAsia="Times New Roman" w:hAnsi="Arial"/>
          <w:sz w:val="12"/>
          <w:szCs w:val="20"/>
        </w:rPr>
        <w:tab/>
        <w:t xml:space="preserve">  </w:t>
      </w:r>
      <w:r w:rsidRPr="003E27E6">
        <w:rPr>
          <w:rFonts w:ascii="Arial" w:eastAsia="Times New Roman" w:hAnsi="Arial"/>
          <w:sz w:val="12"/>
          <w:szCs w:val="20"/>
        </w:rPr>
        <w:tab/>
      </w:r>
      <w:r w:rsidR="00267701">
        <w:rPr>
          <w:rFonts w:ascii="Arial" w:eastAsia="Times New Roman" w:hAnsi="Arial"/>
          <w:sz w:val="12"/>
          <w:szCs w:val="20"/>
        </w:rPr>
        <w:t xml:space="preserve">ACTING </w:t>
      </w:r>
      <w:r w:rsidRPr="003E27E6">
        <w:rPr>
          <w:rFonts w:ascii="Arial" w:eastAsia="Times New Roman" w:hAnsi="Arial"/>
          <w:sz w:val="12"/>
          <w:szCs w:val="20"/>
        </w:rPr>
        <w:t>COMMISSIONER OF INSURANCE</w:t>
      </w:r>
      <w:r w:rsidRPr="003E27E6">
        <w:rPr>
          <w:rFonts w:ascii="Arial" w:eastAsia="Times New Roman" w:hAnsi="Arial"/>
          <w:sz w:val="16"/>
          <w:szCs w:val="20"/>
        </w:rPr>
        <w:tab/>
      </w:r>
      <w:r w:rsidRPr="003E27E6">
        <w:rPr>
          <w:rFonts w:ascii="Arial" w:eastAsia="Times New Roman" w:hAnsi="Arial"/>
          <w:sz w:val="16"/>
          <w:szCs w:val="20"/>
        </w:rPr>
        <w:tab/>
      </w:r>
      <w:r w:rsidRPr="003E27E6">
        <w:rPr>
          <w:rFonts w:ascii="Arial" w:eastAsia="Times New Roman" w:hAnsi="Arial"/>
          <w:sz w:val="16"/>
          <w:szCs w:val="20"/>
        </w:rPr>
        <w:tab/>
        <w:t xml:space="preserve"> </w:t>
      </w:r>
      <w:r w:rsidRPr="003E27E6">
        <w:rPr>
          <w:rFonts w:ascii="Arial" w:eastAsia="Times New Roman" w:hAnsi="Arial"/>
          <w:sz w:val="16"/>
          <w:szCs w:val="20"/>
        </w:rPr>
        <w:tab/>
      </w:r>
      <w:r w:rsidRPr="003E27E6">
        <w:rPr>
          <w:rFonts w:ascii="Arial" w:eastAsia="Times New Roman" w:hAnsi="Arial"/>
          <w:sz w:val="16"/>
          <w:szCs w:val="20"/>
        </w:rPr>
        <w:tab/>
      </w:r>
    </w:p>
    <w:p w:rsidR="003E27E6" w:rsidRPr="003E27E6" w:rsidRDefault="003E27E6" w:rsidP="003E27E6">
      <w:pPr>
        <w:rPr>
          <w:rFonts w:eastAsia="Times New Roman"/>
        </w:rPr>
      </w:pPr>
      <w:r w:rsidRPr="003E27E6">
        <w:rPr>
          <w:rFonts w:eastAsia="Times New Roman"/>
        </w:rPr>
        <w:tab/>
      </w:r>
      <w:r w:rsidRPr="003E27E6">
        <w:rPr>
          <w:rFonts w:eastAsia="Times New Roman"/>
        </w:rPr>
        <w:tab/>
      </w:r>
      <w:r w:rsidRPr="003E27E6">
        <w:rPr>
          <w:rFonts w:eastAsia="Times New Roman"/>
        </w:rPr>
        <w:tab/>
      </w:r>
      <w:r w:rsidRPr="003E27E6">
        <w:rPr>
          <w:rFonts w:eastAsia="Times New Roman"/>
        </w:rPr>
        <w:tab/>
      </w:r>
      <w:r w:rsidRPr="003E27E6">
        <w:rPr>
          <w:rFonts w:eastAsia="Times New Roman"/>
        </w:rPr>
        <w:tab/>
      </w:r>
      <w:r w:rsidRPr="003E27E6">
        <w:rPr>
          <w:rFonts w:eastAsia="Times New Roman"/>
        </w:rPr>
        <w:tab/>
      </w:r>
      <w:r w:rsidRPr="003E27E6">
        <w:rPr>
          <w:rFonts w:eastAsia="Times New Roman"/>
        </w:rPr>
        <w:tab/>
      </w:r>
    </w:p>
    <w:p w:rsidR="00DE66D2" w:rsidRPr="00DE66D2" w:rsidRDefault="00DE66D2" w:rsidP="00DE66D2">
      <w:pPr>
        <w:pBdr>
          <w:bottom w:val="single" w:sz="12" w:space="1" w:color="auto"/>
        </w:pBdr>
        <w:tabs>
          <w:tab w:val="center" w:pos="990"/>
          <w:tab w:val="center" w:pos="7920"/>
        </w:tabs>
        <w:rPr>
          <w:rFonts w:ascii="Arial" w:eastAsia="Times New Roman" w:hAnsi="Arial"/>
          <w:sz w:val="16"/>
          <w:szCs w:val="20"/>
        </w:rPr>
      </w:pPr>
      <w:r w:rsidRPr="00DE66D2">
        <w:rPr>
          <w:rFonts w:ascii="Arial" w:eastAsia="Times New Roman" w:hAnsi="Arial"/>
          <w:sz w:val="16"/>
          <w:szCs w:val="20"/>
        </w:rPr>
        <w:tab/>
      </w:r>
    </w:p>
    <w:p w:rsidR="00DE66D2" w:rsidRPr="00DE66D2" w:rsidRDefault="00DE66D2" w:rsidP="00DE66D2">
      <w:pPr>
        <w:rPr>
          <w:rFonts w:eastAsia="Times New Roman"/>
          <w:szCs w:val="20"/>
        </w:rPr>
      </w:pPr>
    </w:p>
    <w:p w:rsidR="00DE66D2" w:rsidRPr="00DE66D2" w:rsidRDefault="00DE66D2" w:rsidP="00DE66D2">
      <w:pPr>
        <w:jc w:val="center"/>
        <w:rPr>
          <w:rFonts w:eastAsia="Times New Roman"/>
          <w:b/>
        </w:rPr>
      </w:pPr>
      <w:r w:rsidRPr="00DE66D2">
        <w:rPr>
          <w:rFonts w:eastAsia="Times New Roman"/>
          <w:b/>
        </w:rPr>
        <w:t>Cohen, Silvestri &amp; Hammer, P.C. and Michael P. Adams, D.D.S.</w:t>
      </w:r>
    </w:p>
    <w:p w:rsidR="00DE66D2" w:rsidRPr="00DE66D2" w:rsidRDefault="00DE66D2" w:rsidP="00DE66D2">
      <w:pPr>
        <w:jc w:val="center"/>
        <w:rPr>
          <w:rFonts w:eastAsia="Times New Roman"/>
          <w:b/>
        </w:rPr>
      </w:pPr>
      <w:r w:rsidRPr="00DE66D2">
        <w:rPr>
          <w:rFonts w:eastAsia="Times New Roman"/>
          <w:b/>
        </w:rPr>
        <w:t>v.</w:t>
      </w:r>
    </w:p>
    <w:p w:rsidR="00DE66D2" w:rsidRPr="00DE66D2" w:rsidRDefault="00DE66D2" w:rsidP="00DE66D2">
      <w:pPr>
        <w:jc w:val="center"/>
        <w:rPr>
          <w:rFonts w:eastAsia="Times New Roman"/>
          <w:b/>
        </w:rPr>
      </w:pPr>
      <w:r w:rsidRPr="00DE66D2">
        <w:rPr>
          <w:rFonts w:eastAsia="Times New Roman"/>
          <w:b/>
        </w:rPr>
        <w:t>Dental Service of Massachusetts, Inc., d/b/a Delta Dental Plan of Massachusetts</w:t>
      </w:r>
    </w:p>
    <w:p w:rsidR="00DE66D2" w:rsidRPr="00DE66D2" w:rsidRDefault="00DE66D2" w:rsidP="00DE66D2">
      <w:pPr>
        <w:jc w:val="center"/>
        <w:rPr>
          <w:rFonts w:eastAsia="Times New Roman"/>
          <w:b/>
        </w:rPr>
      </w:pPr>
    </w:p>
    <w:p w:rsidR="00DE66D2" w:rsidRPr="00DE66D2" w:rsidRDefault="00DE66D2" w:rsidP="00DE66D2">
      <w:pPr>
        <w:pBdr>
          <w:bottom w:val="single" w:sz="12" w:space="1" w:color="auto"/>
        </w:pBdr>
        <w:jc w:val="center"/>
        <w:rPr>
          <w:rFonts w:eastAsia="Times New Roman"/>
          <w:b/>
        </w:rPr>
      </w:pPr>
      <w:r w:rsidRPr="00DE66D2">
        <w:rPr>
          <w:rFonts w:eastAsia="Times New Roman"/>
          <w:b/>
        </w:rPr>
        <w:t>Docket No. B2014-01</w:t>
      </w:r>
    </w:p>
    <w:p w:rsidR="00DE66D2" w:rsidRPr="00DE66D2" w:rsidRDefault="00DE66D2" w:rsidP="00DE66D2">
      <w:pPr>
        <w:pBdr>
          <w:bottom w:val="single" w:sz="12" w:space="1" w:color="auto"/>
        </w:pBdr>
        <w:jc w:val="center"/>
        <w:rPr>
          <w:rFonts w:eastAsia="Times New Roman"/>
        </w:rPr>
      </w:pPr>
    </w:p>
    <w:p w:rsidR="00DE66D2" w:rsidRDefault="00DE66D2" w:rsidP="00DE66D2">
      <w:pPr>
        <w:rPr>
          <w:rFonts w:eastAsia="Times New Roman"/>
          <w:b/>
          <w:szCs w:val="20"/>
        </w:rPr>
      </w:pPr>
    </w:p>
    <w:p w:rsidR="00DE66D2" w:rsidRDefault="00DE66D2" w:rsidP="00DE66D2">
      <w:pPr>
        <w:rPr>
          <w:rFonts w:eastAsia="Times New Roman"/>
          <w:b/>
          <w:szCs w:val="20"/>
        </w:rPr>
      </w:pPr>
    </w:p>
    <w:p w:rsidR="00DE66D2" w:rsidRDefault="00DE66D2" w:rsidP="002C0CCE">
      <w:pPr>
        <w:jc w:val="center"/>
        <w:rPr>
          <w:rFonts w:eastAsia="Times New Roman"/>
          <w:b/>
          <w:szCs w:val="20"/>
        </w:rPr>
      </w:pPr>
      <w:r>
        <w:rPr>
          <w:rFonts w:eastAsia="Times New Roman"/>
          <w:b/>
          <w:szCs w:val="20"/>
        </w:rPr>
        <w:t>Order on Respondent’s Motion for Summary Decision</w:t>
      </w:r>
    </w:p>
    <w:p w:rsidR="00BB3E74" w:rsidRDefault="00BB3E74" w:rsidP="00BB3E74">
      <w:pPr>
        <w:rPr>
          <w:rFonts w:eastAsia="Times New Roman"/>
          <w:b/>
          <w:szCs w:val="20"/>
        </w:rPr>
      </w:pPr>
    </w:p>
    <w:p w:rsidR="00BB3E74" w:rsidRPr="00DE66D2" w:rsidRDefault="00BB3E74" w:rsidP="00BB3E74">
      <w:pPr>
        <w:rPr>
          <w:rFonts w:eastAsia="Times New Roman"/>
          <w:b/>
          <w:szCs w:val="20"/>
        </w:rPr>
      </w:pPr>
      <w:r>
        <w:rPr>
          <w:rFonts w:eastAsia="Times New Roman"/>
          <w:b/>
          <w:szCs w:val="20"/>
        </w:rPr>
        <w:t xml:space="preserve">Procedural History </w:t>
      </w:r>
    </w:p>
    <w:p w:rsidR="00DE66D2" w:rsidRPr="00DE66D2" w:rsidRDefault="00DE66D2" w:rsidP="00DE66D2">
      <w:pPr>
        <w:rPr>
          <w:rFonts w:eastAsia="Times New Roman"/>
          <w:b/>
          <w:szCs w:val="20"/>
        </w:rPr>
      </w:pPr>
    </w:p>
    <w:p w:rsidR="00DE66D2" w:rsidRDefault="00DE66D2" w:rsidP="00DE66D2">
      <w:pPr>
        <w:spacing w:after="120"/>
        <w:rPr>
          <w:rFonts w:eastAsia="Times New Roman"/>
          <w:szCs w:val="20"/>
        </w:rPr>
      </w:pPr>
      <w:r w:rsidRPr="00DE66D2">
        <w:rPr>
          <w:rFonts w:eastAsia="Times New Roman"/>
          <w:szCs w:val="20"/>
        </w:rPr>
        <w:tab/>
        <w:t xml:space="preserve">On July 11, 2014, Cohen, Silvestri &amp; Hammer, P.C. (“CSH”) and Michael P. Adams, D.D.S. (“Dr. Adams”) (collectively, the “Petitioners”) sent to the Commissioner of Insurance (“Commissioner”) a copy of a complaint that CSH had filed </w:t>
      </w:r>
      <w:r w:rsidR="005A61BE">
        <w:rPr>
          <w:rFonts w:eastAsia="Times New Roman"/>
          <w:szCs w:val="20"/>
        </w:rPr>
        <w:t>on May 9</w:t>
      </w:r>
      <w:r>
        <w:rPr>
          <w:rFonts w:eastAsia="Times New Roman"/>
          <w:szCs w:val="20"/>
        </w:rPr>
        <w:t xml:space="preserve">, 2012 </w:t>
      </w:r>
      <w:r w:rsidRPr="00DE66D2">
        <w:rPr>
          <w:rFonts w:eastAsia="Times New Roman"/>
          <w:szCs w:val="20"/>
        </w:rPr>
        <w:t>in the Massachusetts Superior Court for Suffolk County against Dental Service of Massachusetts, Inc., d/b/a Delta Dental Plan of Massachusetts (“Delta Dental”).  Because the trial court had</w:t>
      </w:r>
      <w:r w:rsidR="003965C1">
        <w:rPr>
          <w:rFonts w:eastAsia="Times New Roman"/>
          <w:szCs w:val="20"/>
        </w:rPr>
        <w:t xml:space="preserve"> dismissed the case,</w:t>
      </w:r>
      <w:r w:rsidRPr="00DE66D2">
        <w:rPr>
          <w:rFonts w:eastAsia="Times New Roman"/>
          <w:szCs w:val="20"/>
        </w:rPr>
        <w:t xml:space="preserve"> declin</w:t>
      </w:r>
      <w:r w:rsidR="003965C1">
        <w:rPr>
          <w:rFonts w:eastAsia="Times New Roman"/>
          <w:szCs w:val="20"/>
        </w:rPr>
        <w:t>ing</w:t>
      </w:r>
      <w:r w:rsidRPr="00DE66D2">
        <w:rPr>
          <w:rFonts w:eastAsia="Times New Roman"/>
          <w:szCs w:val="20"/>
        </w:rPr>
        <w:t xml:space="preserve"> jurisdiction on the ground that Petitioners had failed to exhaust their administrative remedies, Petitioners sought  a hearing before </w:t>
      </w:r>
      <w:r w:rsidR="002C0CCE">
        <w:rPr>
          <w:rFonts w:eastAsia="Times New Roman"/>
          <w:szCs w:val="20"/>
        </w:rPr>
        <w:t>the</w:t>
      </w:r>
      <w:r w:rsidRPr="00DE66D2">
        <w:rPr>
          <w:rFonts w:eastAsia="Times New Roman"/>
          <w:szCs w:val="20"/>
        </w:rPr>
        <w:t xml:space="preserve"> Board of Review (“Board”) </w:t>
      </w:r>
      <w:r w:rsidR="002C0CCE">
        <w:rPr>
          <w:rFonts w:eastAsia="Times New Roman"/>
          <w:szCs w:val="20"/>
        </w:rPr>
        <w:t>in the Division of Insurance</w:t>
      </w:r>
      <w:r w:rsidR="0069508F">
        <w:rPr>
          <w:rFonts w:eastAsia="Times New Roman"/>
          <w:szCs w:val="20"/>
        </w:rPr>
        <w:t xml:space="preserve"> (“Division”)</w:t>
      </w:r>
      <w:r w:rsidR="002C0CCE">
        <w:rPr>
          <w:rFonts w:eastAsia="Times New Roman"/>
          <w:szCs w:val="20"/>
        </w:rPr>
        <w:t xml:space="preserve"> </w:t>
      </w:r>
      <w:r w:rsidRPr="00DE66D2">
        <w:rPr>
          <w:rFonts w:eastAsia="Times New Roman"/>
          <w:szCs w:val="20"/>
        </w:rPr>
        <w:t>pursuant to</w:t>
      </w:r>
      <w:r w:rsidR="001B7998">
        <w:rPr>
          <w:rFonts w:eastAsia="Times New Roman"/>
          <w:szCs w:val="20"/>
        </w:rPr>
        <w:t xml:space="preserve"> M.</w:t>
      </w:r>
      <w:r w:rsidRPr="00DE66D2">
        <w:rPr>
          <w:rFonts w:eastAsia="Times New Roman"/>
          <w:szCs w:val="20"/>
        </w:rPr>
        <w:t>G.L. c. 176E, §12</w:t>
      </w:r>
      <w:r w:rsidR="00D80872">
        <w:rPr>
          <w:rFonts w:eastAsia="Times New Roman"/>
          <w:szCs w:val="20"/>
        </w:rPr>
        <w:t xml:space="preserve"> (“</w:t>
      </w:r>
      <w:r w:rsidR="00D80872" w:rsidRPr="00DE66D2">
        <w:rPr>
          <w:rFonts w:eastAsia="Times New Roman"/>
          <w:szCs w:val="20"/>
        </w:rPr>
        <w:t>§12</w:t>
      </w:r>
      <w:r w:rsidR="00D80872">
        <w:rPr>
          <w:rFonts w:eastAsia="Times New Roman"/>
          <w:szCs w:val="20"/>
        </w:rPr>
        <w:t>”)</w:t>
      </w:r>
      <w:r w:rsidRPr="00DE66D2">
        <w:rPr>
          <w:rFonts w:eastAsia="Times New Roman"/>
          <w:szCs w:val="20"/>
        </w:rPr>
        <w:t>.</w:t>
      </w:r>
    </w:p>
    <w:p w:rsidR="00DE66D2" w:rsidRDefault="00DE66D2" w:rsidP="001B7998">
      <w:pPr>
        <w:spacing w:after="120"/>
        <w:ind w:firstLine="720"/>
        <w:rPr>
          <w:rFonts w:eastAsia="Times New Roman"/>
          <w:szCs w:val="20"/>
        </w:rPr>
      </w:pPr>
      <w:r>
        <w:t>On October 15, 2014</w:t>
      </w:r>
      <w:r w:rsidR="001B7998">
        <w:t>,</w:t>
      </w:r>
      <w:r>
        <w:t xml:space="preserve"> the Chair of the Board notified the Petitioners and Delta Dental that the matter had been docketed and that she would convene a Board as </w:t>
      </w:r>
      <w:r w:rsidR="004A6042">
        <w:t>prescribed</w:t>
      </w:r>
      <w:r>
        <w:t xml:space="preserve"> by</w:t>
      </w:r>
      <w:r w:rsidR="0058539E">
        <w:t xml:space="preserve"> </w:t>
      </w:r>
      <w:r w:rsidR="0058539E" w:rsidRPr="00DE66D2">
        <w:rPr>
          <w:rFonts w:eastAsia="Times New Roman"/>
          <w:szCs w:val="20"/>
        </w:rPr>
        <w:t>§12</w:t>
      </w:r>
      <w:r>
        <w:t>.  On April 1, 2015</w:t>
      </w:r>
      <w:r w:rsidR="001B7998">
        <w:t>,</w:t>
      </w:r>
      <w:r>
        <w:t xml:space="preserve"> she advised the parties that members of the Board had been </w:t>
      </w:r>
      <w:r w:rsidR="004A6042">
        <w:t>appointed</w:t>
      </w:r>
      <w:r>
        <w:t xml:space="preserve"> and issued an initial order</w:t>
      </w:r>
      <w:r w:rsidR="00F62E4A">
        <w:t xml:space="preserve"> that </w:t>
      </w:r>
      <w:r>
        <w:t>requi</w:t>
      </w:r>
      <w:r w:rsidR="00F62E4A">
        <w:t xml:space="preserve">red </w:t>
      </w:r>
      <w:r>
        <w:t>Petitioners to submit a prehearing statement by April 30, 2015</w:t>
      </w:r>
      <w:r w:rsidR="001B7998">
        <w:t>,</w:t>
      </w:r>
      <w:r>
        <w:t xml:space="preserve"> and Delta Dental to submit a response by June 1, 2015.</w:t>
      </w:r>
      <w:r w:rsidR="004A6042">
        <w:rPr>
          <w:rStyle w:val="FootnoteReference"/>
        </w:rPr>
        <w:footnoteReference w:id="1"/>
      </w:r>
      <w:r>
        <w:t xml:space="preserve">  Petitioners timely filed their statement; Delta Dental </w:t>
      </w:r>
      <w:r w:rsidRPr="00DE66D2">
        <w:rPr>
          <w:rFonts w:eastAsia="Times New Roman"/>
          <w:szCs w:val="20"/>
        </w:rPr>
        <w:t>respon</w:t>
      </w:r>
      <w:r w:rsidR="004D1866">
        <w:rPr>
          <w:rFonts w:eastAsia="Times New Roman"/>
          <w:szCs w:val="20"/>
        </w:rPr>
        <w:t xml:space="preserve">ded by filing a </w:t>
      </w:r>
      <w:r w:rsidRPr="00DE66D2">
        <w:rPr>
          <w:rFonts w:eastAsia="Times New Roman"/>
          <w:szCs w:val="20"/>
        </w:rPr>
        <w:t xml:space="preserve">motion for summary decision.  </w:t>
      </w:r>
    </w:p>
    <w:p w:rsidR="00E07AD0" w:rsidRDefault="00DE66D2" w:rsidP="00DE66D2">
      <w:pPr>
        <w:ind w:firstLine="720"/>
        <w:rPr>
          <w:rFonts w:eastAsia="Times New Roman"/>
          <w:szCs w:val="20"/>
        </w:rPr>
      </w:pPr>
      <w:r>
        <w:t xml:space="preserve">Delta Dental did not request a hearing on its motion.  </w:t>
      </w:r>
      <w:r w:rsidRPr="00DE66D2">
        <w:rPr>
          <w:rFonts w:eastAsia="Times New Roman"/>
          <w:szCs w:val="20"/>
        </w:rPr>
        <w:t>Petitioners submitted an opposition to that motion</w:t>
      </w:r>
      <w:r w:rsidR="00DD5B94">
        <w:rPr>
          <w:rFonts w:eastAsia="Times New Roman"/>
          <w:szCs w:val="20"/>
        </w:rPr>
        <w:t xml:space="preserve"> on June 25</w:t>
      </w:r>
      <w:r w:rsidR="002C0CCE">
        <w:rPr>
          <w:rFonts w:eastAsia="Times New Roman"/>
          <w:szCs w:val="20"/>
        </w:rPr>
        <w:t>,</w:t>
      </w:r>
      <w:r w:rsidR="00DE764A">
        <w:rPr>
          <w:rFonts w:eastAsia="Times New Roman"/>
          <w:szCs w:val="20"/>
        </w:rPr>
        <w:t xml:space="preserve"> 2015,</w:t>
      </w:r>
      <w:r w:rsidR="002C0CCE">
        <w:rPr>
          <w:rFonts w:eastAsia="Times New Roman"/>
          <w:szCs w:val="20"/>
        </w:rPr>
        <w:t xml:space="preserve"> but did not request a hearing at that time.  </w:t>
      </w:r>
      <w:r w:rsidR="00DD5B94">
        <w:rPr>
          <w:rFonts w:eastAsia="Times New Roman"/>
          <w:szCs w:val="20"/>
        </w:rPr>
        <w:t xml:space="preserve">On July 10, </w:t>
      </w:r>
      <w:r w:rsidRPr="00DE66D2">
        <w:rPr>
          <w:rFonts w:eastAsia="Times New Roman"/>
          <w:szCs w:val="20"/>
        </w:rPr>
        <w:t>Delta Dental</w:t>
      </w:r>
      <w:r w:rsidR="002C0CCE">
        <w:rPr>
          <w:rFonts w:eastAsia="Times New Roman"/>
          <w:szCs w:val="20"/>
        </w:rPr>
        <w:t xml:space="preserve"> </w:t>
      </w:r>
      <w:r w:rsidRPr="00DE66D2">
        <w:rPr>
          <w:rFonts w:eastAsia="Times New Roman"/>
          <w:szCs w:val="20"/>
        </w:rPr>
        <w:t xml:space="preserve">filed a memorandum responding to </w:t>
      </w:r>
      <w:r w:rsidR="002C0CCE">
        <w:rPr>
          <w:rFonts w:eastAsia="Times New Roman"/>
          <w:szCs w:val="20"/>
        </w:rPr>
        <w:t xml:space="preserve">the Petitioners’ </w:t>
      </w:r>
      <w:r w:rsidRPr="00DE66D2">
        <w:rPr>
          <w:rFonts w:eastAsia="Times New Roman"/>
          <w:szCs w:val="20"/>
        </w:rPr>
        <w:t xml:space="preserve">opposition. </w:t>
      </w:r>
      <w:r w:rsidR="00BB3E74">
        <w:rPr>
          <w:rFonts w:eastAsia="Times New Roman"/>
          <w:szCs w:val="20"/>
        </w:rPr>
        <w:t xml:space="preserve"> Petitioners</w:t>
      </w:r>
      <w:r w:rsidR="00911E65">
        <w:rPr>
          <w:rFonts w:eastAsia="Times New Roman"/>
          <w:szCs w:val="20"/>
        </w:rPr>
        <w:t>, on July 15</w:t>
      </w:r>
      <w:r w:rsidR="00D80872">
        <w:rPr>
          <w:rFonts w:eastAsia="Times New Roman"/>
          <w:szCs w:val="20"/>
        </w:rPr>
        <w:t>,</w:t>
      </w:r>
      <w:r w:rsidR="00DE764A">
        <w:rPr>
          <w:rFonts w:eastAsia="Times New Roman"/>
          <w:szCs w:val="20"/>
        </w:rPr>
        <w:t xml:space="preserve"> filed a motion to amend their petition to include the amended complaint it had filed in Superior </w:t>
      </w:r>
      <w:r w:rsidR="00DE764A">
        <w:rPr>
          <w:rFonts w:eastAsia="Times New Roman"/>
          <w:szCs w:val="20"/>
        </w:rPr>
        <w:lastRenderedPageBreak/>
        <w:t>Court and a motion to schedule oral argument.</w:t>
      </w:r>
      <w:r w:rsidR="001B7998">
        <w:rPr>
          <w:rStyle w:val="FootnoteReference"/>
          <w:rFonts w:eastAsia="Times New Roman"/>
          <w:szCs w:val="20"/>
        </w:rPr>
        <w:footnoteReference w:id="2"/>
      </w:r>
      <w:r w:rsidR="00DE764A">
        <w:rPr>
          <w:rFonts w:eastAsia="Times New Roman"/>
          <w:szCs w:val="20"/>
        </w:rPr>
        <w:t xml:space="preserve">  </w:t>
      </w:r>
      <w:r w:rsidR="00BB3E74">
        <w:rPr>
          <w:rFonts w:eastAsia="Times New Roman"/>
          <w:szCs w:val="20"/>
        </w:rPr>
        <w:t xml:space="preserve">Delta Dental </w:t>
      </w:r>
      <w:r w:rsidR="00DE764A">
        <w:rPr>
          <w:rFonts w:eastAsia="Times New Roman"/>
          <w:szCs w:val="20"/>
        </w:rPr>
        <w:t>opposed the motion to amend</w:t>
      </w:r>
      <w:r w:rsidR="001B7998">
        <w:rPr>
          <w:rFonts w:eastAsia="Times New Roman"/>
          <w:szCs w:val="20"/>
        </w:rPr>
        <w:t>.  O</w:t>
      </w:r>
      <w:r w:rsidR="00DE764A">
        <w:rPr>
          <w:rFonts w:eastAsia="Times New Roman"/>
          <w:szCs w:val="20"/>
        </w:rPr>
        <w:t>n July 29, 2015,</w:t>
      </w:r>
      <w:r w:rsidR="001B7998" w:rsidRPr="001B7998">
        <w:rPr>
          <w:rFonts w:eastAsia="Times New Roman"/>
        </w:rPr>
        <w:t xml:space="preserve"> </w:t>
      </w:r>
      <w:r w:rsidR="001B7998">
        <w:rPr>
          <w:rFonts w:eastAsia="Times New Roman"/>
        </w:rPr>
        <w:t>after reviewing both the motion and Delta Dental’s opposition,</w:t>
      </w:r>
      <w:r w:rsidR="001B7998">
        <w:rPr>
          <w:rFonts w:eastAsia="Times New Roman"/>
          <w:szCs w:val="20"/>
        </w:rPr>
        <w:t xml:space="preserve"> </w:t>
      </w:r>
      <w:r w:rsidR="00DE764A">
        <w:rPr>
          <w:rFonts w:eastAsia="Times New Roman"/>
          <w:szCs w:val="20"/>
        </w:rPr>
        <w:t xml:space="preserve">the Board issued an order allowing the motion to amend.  Delta </w:t>
      </w:r>
      <w:r w:rsidR="00244AA6">
        <w:rPr>
          <w:rFonts w:eastAsia="Times New Roman"/>
          <w:szCs w:val="20"/>
        </w:rPr>
        <w:t>Dental did</w:t>
      </w:r>
      <w:r w:rsidR="00BB3E74">
        <w:rPr>
          <w:rFonts w:eastAsia="Times New Roman"/>
          <w:szCs w:val="20"/>
        </w:rPr>
        <w:t xml:space="preserve"> not oppose th</w:t>
      </w:r>
      <w:r w:rsidR="00DE764A">
        <w:rPr>
          <w:rFonts w:eastAsia="Times New Roman"/>
          <w:szCs w:val="20"/>
        </w:rPr>
        <w:t xml:space="preserve">e motion for oral argument.  </w:t>
      </w:r>
      <w:r w:rsidR="00BB3E74">
        <w:rPr>
          <w:rFonts w:eastAsia="Times New Roman"/>
          <w:szCs w:val="20"/>
        </w:rPr>
        <w:t>The hearing</w:t>
      </w:r>
      <w:r w:rsidR="00DE764A">
        <w:rPr>
          <w:rFonts w:eastAsia="Times New Roman"/>
          <w:szCs w:val="20"/>
        </w:rPr>
        <w:t>, initially scheduled for</w:t>
      </w:r>
      <w:r w:rsidR="00244AA6">
        <w:rPr>
          <w:rFonts w:eastAsia="Times New Roman"/>
          <w:szCs w:val="20"/>
        </w:rPr>
        <w:t xml:space="preserve"> June 15, 2016,</w:t>
      </w:r>
      <w:r w:rsidR="00BB3E74">
        <w:rPr>
          <w:rFonts w:eastAsia="Times New Roman"/>
          <w:szCs w:val="20"/>
        </w:rPr>
        <w:t xml:space="preserve"> took place on July 28, 2016.</w:t>
      </w:r>
    </w:p>
    <w:p w:rsidR="00DE66D2" w:rsidRDefault="00BB3E74" w:rsidP="00DE66D2">
      <w:pPr>
        <w:ind w:firstLine="720"/>
      </w:pPr>
      <w:r>
        <w:rPr>
          <w:rFonts w:eastAsia="Times New Roman"/>
          <w:szCs w:val="20"/>
        </w:rPr>
        <w:t xml:space="preserve">  </w:t>
      </w:r>
      <w:r w:rsidR="00DE66D2" w:rsidRPr="00DE66D2">
        <w:rPr>
          <w:rFonts w:eastAsia="Times New Roman"/>
          <w:szCs w:val="20"/>
        </w:rPr>
        <w:t xml:space="preserve"> </w:t>
      </w:r>
      <w:r w:rsidR="00DE66D2">
        <w:t xml:space="preserve"> </w:t>
      </w:r>
    </w:p>
    <w:p w:rsidR="00DE66D2" w:rsidRDefault="00505C2E" w:rsidP="00CD4093">
      <w:pPr>
        <w:rPr>
          <w:rFonts w:eastAsia="Times New Roman"/>
          <w:b/>
          <w:szCs w:val="20"/>
        </w:rPr>
      </w:pPr>
      <w:r w:rsidRPr="00267701">
        <w:rPr>
          <w:rFonts w:eastAsia="Times New Roman"/>
          <w:b/>
          <w:szCs w:val="20"/>
        </w:rPr>
        <w:t>Prior</w:t>
      </w:r>
      <w:r w:rsidR="00122D41" w:rsidRPr="00267701">
        <w:rPr>
          <w:rFonts w:eastAsia="Times New Roman"/>
          <w:b/>
          <w:szCs w:val="20"/>
        </w:rPr>
        <w:t xml:space="preserve"> Judicial</w:t>
      </w:r>
      <w:r w:rsidRPr="00267701">
        <w:rPr>
          <w:rFonts w:eastAsia="Times New Roman"/>
          <w:b/>
          <w:szCs w:val="20"/>
        </w:rPr>
        <w:t xml:space="preserve"> Proceedings</w:t>
      </w:r>
    </w:p>
    <w:p w:rsidR="00CD4093" w:rsidRPr="00267701" w:rsidRDefault="00CD4093" w:rsidP="00CD4093">
      <w:pPr>
        <w:rPr>
          <w:rFonts w:eastAsia="Times New Roman"/>
          <w:b/>
          <w:szCs w:val="20"/>
        </w:rPr>
      </w:pPr>
    </w:p>
    <w:p w:rsidR="00EA3994" w:rsidRDefault="00DE66D2" w:rsidP="00993AFB">
      <w:pPr>
        <w:spacing w:after="120"/>
      </w:pPr>
      <w:r w:rsidRPr="00DE66D2">
        <w:rPr>
          <w:rFonts w:eastAsia="Times New Roman"/>
          <w:szCs w:val="20"/>
        </w:rPr>
        <w:t xml:space="preserve"> </w:t>
      </w:r>
      <w:r w:rsidR="00993AFB">
        <w:rPr>
          <w:rFonts w:eastAsia="Times New Roman"/>
          <w:szCs w:val="20"/>
        </w:rPr>
        <w:tab/>
      </w:r>
      <w:r w:rsidR="00505C2E">
        <w:t>On May 9, 2012, CSH filed a c</w:t>
      </w:r>
      <w:r w:rsidR="00C57157">
        <w:t>omplaint against De</w:t>
      </w:r>
      <w:r w:rsidR="00D80872">
        <w:t>lta</w:t>
      </w:r>
      <w:r w:rsidR="00C57157">
        <w:t xml:space="preserve"> </w:t>
      </w:r>
      <w:r w:rsidR="00505C2E">
        <w:t>Dental</w:t>
      </w:r>
      <w:r w:rsidR="003965C1">
        <w:t xml:space="preserve"> in the Superior Court</w:t>
      </w:r>
      <w:r w:rsidR="00505C2E">
        <w:t xml:space="preserve">; </w:t>
      </w:r>
      <w:r w:rsidR="00E16C15">
        <w:t>on May 30, 2012</w:t>
      </w:r>
      <w:r w:rsidR="00CD4093">
        <w:t>,</w:t>
      </w:r>
      <w:r w:rsidR="00E16C15">
        <w:t xml:space="preserve"> it </w:t>
      </w:r>
      <w:r w:rsidR="00505C2E">
        <w:t>amended</w:t>
      </w:r>
      <w:r w:rsidR="00E16C15">
        <w:t xml:space="preserve"> that</w:t>
      </w:r>
      <w:r w:rsidR="00505C2E">
        <w:t xml:space="preserve"> complaint </w:t>
      </w:r>
      <w:r w:rsidR="00E16C15">
        <w:t xml:space="preserve">to add </w:t>
      </w:r>
      <w:r w:rsidR="00505C2E">
        <w:t>Dr. Adams as a plaintiff</w:t>
      </w:r>
      <w:r w:rsidR="00E16C15">
        <w:t>.</w:t>
      </w:r>
      <w:r w:rsidR="00505C2E">
        <w:t xml:space="preserve">  The complaint</w:t>
      </w:r>
      <w:r w:rsidR="007740B8">
        <w:t xml:space="preserve"> was brought on behalf of a putative class of Massachusetts dentists and dental practices and</w:t>
      </w:r>
      <w:r w:rsidR="00505C2E">
        <w:t xml:space="preserve">, in brief, </w:t>
      </w:r>
      <w:r w:rsidR="007740B8">
        <w:t>alleged th</w:t>
      </w:r>
      <w:r w:rsidR="002170D0">
        <w:t xml:space="preserve">at:  1) </w:t>
      </w:r>
      <w:r w:rsidR="007740B8">
        <w:t>Delta Dental breached its provider contracts by limiting reimbursement rates</w:t>
      </w:r>
      <w:r w:rsidR="002170D0">
        <w:t>,</w:t>
      </w:r>
      <w:r w:rsidR="007740B8">
        <w:t xml:space="preserve"> or increases to those rates</w:t>
      </w:r>
      <w:r w:rsidR="002170D0">
        <w:t>,</w:t>
      </w:r>
      <w:r w:rsidR="007740B8">
        <w:t xml:space="preserve"> </w:t>
      </w:r>
      <w:r w:rsidR="002170D0">
        <w:t>through application of data from the Consumer Price Index</w:t>
      </w:r>
      <w:r w:rsidR="0094022E">
        <w:t xml:space="preserve"> (“CPI”)</w:t>
      </w:r>
      <w:r w:rsidR="002170D0">
        <w:t xml:space="preserve"> to data on dentists’ actual charges; 2) </w:t>
      </w:r>
      <w:r w:rsidR="006662AC">
        <w:t>t</w:t>
      </w:r>
      <w:r w:rsidR="0069508F">
        <w:t>he cont</w:t>
      </w:r>
      <w:r w:rsidR="00E80436">
        <w:t>r</w:t>
      </w:r>
      <w:r w:rsidR="0069508F">
        <w:t xml:space="preserve">acts did not permit application of such a limitation, nor was it approved by the Division; 3) </w:t>
      </w:r>
      <w:r w:rsidR="002170D0">
        <w:t>even if Delta Dental were allowed to apply a CPI adjustment</w:t>
      </w:r>
      <w:r w:rsidR="0094022E">
        <w:t xml:space="preserve"> to cap the maximum allowed payment</w:t>
      </w:r>
      <w:r w:rsidR="002170D0">
        <w:t xml:space="preserve">, it breached its contract by applying a CPI that did not relate specifically to </w:t>
      </w:r>
      <w:r w:rsidR="0069508F">
        <w:t>the practice of dentistry; and 4</w:t>
      </w:r>
      <w:r w:rsidR="002170D0">
        <w:t xml:space="preserve">) Delta Dental’s alleged acts were unfair and deceptive practices that violated M. G. L. c. 93A, </w:t>
      </w:r>
      <w:r w:rsidR="0016011A">
        <w:t>§</w:t>
      </w:r>
      <w:r w:rsidR="002170D0">
        <w:t xml:space="preserve">11. </w:t>
      </w:r>
      <w:r w:rsidR="00804919">
        <w:t xml:space="preserve"> Petitioners s</w:t>
      </w:r>
      <w:r w:rsidR="00122D41">
        <w:t>ought</w:t>
      </w:r>
      <w:r w:rsidR="00804919">
        <w:t xml:space="preserve"> certification of a class, ent</w:t>
      </w:r>
      <w:r w:rsidR="0094022E">
        <w:t>ry of</w:t>
      </w:r>
      <w:r w:rsidR="00804919">
        <w:t xml:space="preserve"> judgment in favor of that class, </w:t>
      </w:r>
      <w:r w:rsidR="0016011A">
        <w:t>double or tr</w:t>
      </w:r>
      <w:r w:rsidR="00AF2B4F">
        <w:t>eble</w:t>
      </w:r>
      <w:r w:rsidR="0016011A">
        <w:t xml:space="preserve"> damages as permitted under</w:t>
      </w:r>
      <w:r w:rsidR="003965C1">
        <w:t xml:space="preserve"> M.G. L.</w:t>
      </w:r>
      <w:r w:rsidR="0016011A">
        <w:t xml:space="preserve"> c. 93A</w:t>
      </w:r>
      <w:r w:rsidR="003965C1">
        <w:t xml:space="preserve"> (“c. 93A”)</w:t>
      </w:r>
      <w:r w:rsidR="0016011A">
        <w:t xml:space="preserve">, and an award of attorneys’ fees.   </w:t>
      </w:r>
    </w:p>
    <w:p w:rsidR="00C57157" w:rsidRPr="00CD4093" w:rsidRDefault="00C57157" w:rsidP="00CD4093">
      <w:pPr>
        <w:spacing w:after="120"/>
        <w:ind w:firstLine="720"/>
      </w:pPr>
      <w:r>
        <w:t>Delta Dental</w:t>
      </w:r>
      <w:r w:rsidR="002170D0">
        <w:t xml:space="preserve"> moved</w:t>
      </w:r>
      <w:r>
        <w:t xml:space="preserve"> to dismiss the </w:t>
      </w:r>
      <w:r w:rsidR="0016011A">
        <w:t xml:space="preserve">Superior Court </w:t>
      </w:r>
      <w:r>
        <w:t>complaint on the grounds that it alleged matters which, pursuant to M</w:t>
      </w:r>
      <w:r w:rsidR="0094022E">
        <w:t>.</w:t>
      </w:r>
      <w:r>
        <w:t xml:space="preserve"> G</w:t>
      </w:r>
      <w:r w:rsidR="0094022E">
        <w:t>.</w:t>
      </w:r>
      <w:r>
        <w:t xml:space="preserve"> L</w:t>
      </w:r>
      <w:r w:rsidR="0094022E">
        <w:t>. c.</w:t>
      </w:r>
      <w:r>
        <w:t xml:space="preserve"> 176E, §4, lie within the Commissioner’s purview and that Petitioners had failed to exhaust their administrative remedies under §12</w:t>
      </w:r>
      <w:r w:rsidR="00D80872">
        <w:t>.</w:t>
      </w:r>
      <w:r>
        <w:t xml:space="preserve"> </w:t>
      </w:r>
      <w:r w:rsidR="002170D0">
        <w:t>On November 19, 2012, the Superior Court allowed Delta Dental’</w:t>
      </w:r>
      <w:r w:rsidR="00993AFB">
        <w:t>s</w:t>
      </w:r>
      <w:r>
        <w:t xml:space="preserve"> </w:t>
      </w:r>
      <w:r w:rsidR="002170D0">
        <w:t xml:space="preserve">motion.  </w:t>
      </w:r>
      <w:r>
        <w:t>On January 24, 2014</w:t>
      </w:r>
      <w:r w:rsidR="0094022E">
        <w:t>,</w:t>
      </w:r>
      <w:r>
        <w:t xml:space="preserve"> the Appeals Court affirmed the Superior Co</w:t>
      </w:r>
      <w:r w:rsidR="00D80872">
        <w:t>urt’s decision; on June 10, 201</w:t>
      </w:r>
      <w:r w:rsidR="0058539E">
        <w:t>4</w:t>
      </w:r>
      <w:r>
        <w:t>, the Supreme Judicial Court denied further appellate review</w:t>
      </w:r>
      <w:r w:rsidR="00CD4093">
        <w:t>.</w:t>
      </w:r>
      <w:r w:rsidR="005E17C3">
        <w:rPr>
          <w:rStyle w:val="FootnoteReference"/>
        </w:rPr>
        <w:footnoteReference w:id="3"/>
      </w:r>
      <w:r>
        <w:t xml:space="preserve"> </w:t>
      </w:r>
      <w:r w:rsidR="00993AFB">
        <w:t xml:space="preserve"> </w:t>
      </w:r>
    </w:p>
    <w:p w:rsidR="00EA3994" w:rsidRDefault="00EA3994" w:rsidP="00EA3994">
      <w:pPr>
        <w:rPr>
          <w:b/>
        </w:rPr>
      </w:pPr>
      <w:r w:rsidRPr="00267701">
        <w:rPr>
          <w:b/>
        </w:rPr>
        <w:t xml:space="preserve">The </w:t>
      </w:r>
      <w:r w:rsidR="00085841" w:rsidRPr="00267701">
        <w:rPr>
          <w:b/>
        </w:rPr>
        <w:t>Administrative Proceeding</w:t>
      </w:r>
    </w:p>
    <w:p w:rsidR="00CD4093" w:rsidRDefault="00CD4093" w:rsidP="00EA3994">
      <w:pPr>
        <w:rPr>
          <w:b/>
        </w:rPr>
      </w:pPr>
    </w:p>
    <w:p w:rsidR="00BF6DFC" w:rsidRPr="00267701" w:rsidRDefault="00BF6DFC" w:rsidP="00CD4093">
      <w:pPr>
        <w:ind w:firstLine="720"/>
        <w:rPr>
          <w:b/>
        </w:rPr>
      </w:pPr>
      <w:r w:rsidRPr="00267701">
        <w:rPr>
          <w:b/>
        </w:rPr>
        <w:t>Petitioners’ Arguments</w:t>
      </w:r>
    </w:p>
    <w:p w:rsidR="00BF6DFC" w:rsidRPr="00267701" w:rsidRDefault="00BF6DFC" w:rsidP="00EA3994">
      <w:pPr>
        <w:rPr>
          <w:b/>
        </w:rPr>
      </w:pPr>
    </w:p>
    <w:p w:rsidR="00F8083F" w:rsidRDefault="006945FF" w:rsidP="00EA3994">
      <w:pPr>
        <w:spacing w:after="120"/>
        <w:ind w:firstLine="720"/>
        <w:rPr>
          <w:rFonts w:eastAsia="Times New Roman"/>
          <w:szCs w:val="20"/>
        </w:rPr>
      </w:pPr>
      <w:r>
        <w:rPr>
          <w:rFonts w:eastAsia="Times New Roman"/>
          <w:szCs w:val="20"/>
        </w:rPr>
        <w:t xml:space="preserve">The </w:t>
      </w:r>
      <w:r w:rsidR="00E16C15">
        <w:rPr>
          <w:rFonts w:eastAsia="Times New Roman"/>
          <w:szCs w:val="20"/>
        </w:rPr>
        <w:t xml:space="preserve">Petitioners’ </w:t>
      </w:r>
      <w:r>
        <w:rPr>
          <w:rFonts w:eastAsia="Times New Roman"/>
          <w:szCs w:val="20"/>
        </w:rPr>
        <w:t>prehearing statement</w:t>
      </w:r>
      <w:r w:rsidR="00BA5A0B">
        <w:rPr>
          <w:rFonts w:eastAsia="Times New Roman"/>
          <w:szCs w:val="20"/>
        </w:rPr>
        <w:t xml:space="preserve"> </w:t>
      </w:r>
      <w:r>
        <w:rPr>
          <w:rFonts w:eastAsia="Times New Roman"/>
          <w:szCs w:val="20"/>
        </w:rPr>
        <w:t>i</w:t>
      </w:r>
      <w:r w:rsidR="00AD35BA">
        <w:rPr>
          <w:rFonts w:eastAsia="Times New Roman"/>
          <w:szCs w:val="20"/>
        </w:rPr>
        <w:t>n response to the Board’s</w:t>
      </w:r>
      <w:r w:rsidR="00085841">
        <w:rPr>
          <w:rFonts w:eastAsia="Times New Roman"/>
          <w:szCs w:val="20"/>
        </w:rPr>
        <w:t xml:space="preserve"> April 1, </w:t>
      </w:r>
      <w:r w:rsidR="00EA3994" w:rsidRPr="00DE66D2">
        <w:rPr>
          <w:rFonts w:eastAsia="Times New Roman"/>
          <w:szCs w:val="20"/>
        </w:rPr>
        <w:t>2015</w:t>
      </w:r>
      <w:r w:rsidR="00085841">
        <w:rPr>
          <w:rFonts w:eastAsia="Times New Roman"/>
          <w:szCs w:val="20"/>
        </w:rPr>
        <w:t xml:space="preserve"> orde</w:t>
      </w:r>
      <w:r w:rsidR="00BA5A0B">
        <w:rPr>
          <w:rFonts w:eastAsia="Times New Roman"/>
          <w:szCs w:val="20"/>
        </w:rPr>
        <w:t>r</w:t>
      </w:r>
      <w:r>
        <w:rPr>
          <w:rFonts w:eastAsia="Times New Roman"/>
          <w:szCs w:val="20"/>
        </w:rPr>
        <w:t xml:space="preserve"> </w:t>
      </w:r>
      <w:r w:rsidR="0069508F">
        <w:rPr>
          <w:rFonts w:eastAsia="Times New Roman"/>
          <w:szCs w:val="20"/>
        </w:rPr>
        <w:t>expanded on the allegations in the Superior Court complaint.</w:t>
      </w:r>
      <w:r w:rsidR="00065150">
        <w:rPr>
          <w:rFonts w:eastAsia="Times New Roman"/>
          <w:szCs w:val="20"/>
        </w:rPr>
        <w:t xml:space="preserve">  To the</w:t>
      </w:r>
      <w:r w:rsidR="00C500CA">
        <w:rPr>
          <w:rFonts w:eastAsia="Times New Roman"/>
          <w:szCs w:val="20"/>
        </w:rPr>
        <w:t>ir</w:t>
      </w:r>
      <w:r w:rsidR="00065150">
        <w:rPr>
          <w:rFonts w:eastAsia="Times New Roman"/>
          <w:szCs w:val="20"/>
        </w:rPr>
        <w:t xml:space="preserve"> breach of</w:t>
      </w:r>
      <w:r w:rsidR="00520798">
        <w:rPr>
          <w:rFonts w:eastAsia="Times New Roman"/>
          <w:szCs w:val="20"/>
        </w:rPr>
        <w:t xml:space="preserve"> contract and c. 93A claims, Petitioners add claims for frau</w:t>
      </w:r>
      <w:r w:rsidR="005A540F">
        <w:rPr>
          <w:rFonts w:eastAsia="Times New Roman"/>
          <w:szCs w:val="20"/>
        </w:rPr>
        <w:t>d</w:t>
      </w:r>
      <w:r w:rsidR="00520798">
        <w:rPr>
          <w:rFonts w:eastAsia="Times New Roman"/>
          <w:szCs w:val="20"/>
        </w:rPr>
        <w:t xml:space="preserve">, promissory estoppel and unjust enrichment. </w:t>
      </w:r>
      <w:r w:rsidR="0069508F">
        <w:rPr>
          <w:rFonts w:eastAsia="Times New Roman"/>
          <w:szCs w:val="20"/>
        </w:rPr>
        <w:t xml:space="preserve"> </w:t>
      </w:r>
      <w:r w:rsidR="00122D41">
        <w:rPr>
          <w:rFonts w:eastAsia="Times New Roman"/>
          <w:szCs w:val="20"/>
        </w:rPr>
        <w:t>Petitioners</w:t>
      </w:r>
      <w:r w:rsidR="00BA5A0B">
        <w:rPr>
          <w:rFonts w:eastAsia="Times New Roman"/>
          <w:szCs w:val="20"/>
        </w:rPr>
        <w:t xml:space="preserve"> contend</w:t>
      </w:r>
      <w:r w:rsidR="00CA758C">
        <w:rPr>
          <w:rFonts w:eastAsia="Times New Roman"/>
          <w:szCs w:val="20"/>
        </w:rPr>
        <w:t xml:space="preserve"> that Delta Dental adopted a change to the reimburs</w:t>
      </w:r>
      <w:r w:rsidR="00F8083F">
        <w:rPr>
          <w:rFonts w:eastAsia="Times New Roman"/>
          <w:szCs w:val="20"/>
        </w:rPr>
        <w:t xml:space="preserve">ement formula in April 1990, </w:t>
      </w:r>
      <w:r w:rsidR="00122D41">
        <w:rPr>
          <w:rFonts w:eastAsia="Times New Roman"/>
          <w:szCs w:val="20"/>
        </w:rPr>
        <w:t>implemented that methodological change without first obtaining the Division’s approval and</w:t>
      </w:r>
      <w:r w:rsidR="00CA758C">
        <w:rPr>
          <w:rFonts w:eastAsia="Times New Roman"/>
          <w:szCs w:val="20"/>
        </w:rPr>
        <w:t xml:space="preserve"> did not communicate</w:t>
      </w:r>
      <w:r w:rsidR="00122D41">
        <w:rPr>
          <w:rFonts w:eastAsia="Times New Roman"/>
          <w:szCs w:val="20"/>
        </w:rPr>
        <w:t xml:space="preserve"> it</w:t>
      </w:r>
      <w:r w:rsidR="00CA758C">
        <w:rPr>
          <w:rFonts w:eastAsia="Times New Roman"/>
          <w:szCs w:val="20"/>
        </w:rPr>
        <w:t xml:space="preserve"> to participating dentists</w:t>
      </w:r>
      <w:r w:rsidR="00660531">
        <w:rPr>
          <w:rFonts w:eastAsia="Times New Roman"/>
          <w:szCs w:val="20"/>
        </w:rPr>
        <w:t xml:space="preserve">.  Petitioners </w:t>
      </w:r>
      <w:r w:rsidR="005A540F">
        <w:rPr>
          <w:rFonts w:eastAsia="Times New Roman"/>
          <w:szCs w:val="20"/>
        </w:rPr>
        <w:t>assert</w:t>
      </w:r>
      <w:r w:rsidR="00660531">
        <w:rPr>
          <w:rFonts w:eastAsia="Times New Roman"/>
          <w:szCs w:val="20"/>
        </w:rPr>
        <w:t xml:space="preserve"> that as a result of </w:t>
      </w:r>
      <w:r w:rsidR="00122D41">
        <w:rPr>
          <w:rFonts w:eastAsia="Times New Roman"/>
          <w:szCs w:val="20"/>
        </w:rPr>
        <w:t xml:space="preserve">Delta Dental’s action </w:t>
      </w:r>
      <w:r w:rsidR="00660531">
        <w:rPr>
          <w:rFonts w:eastAsia="Times New Roman"/>
          <w:szCs w:val="20"/>
        </w:rPr>
        <w:t>the</w:t>
      </w:r>
      <w:r w:rsidR="00122D41">
        <w:rPr>
          <w:rFonts w:eastAsia="Times New Roman"/>
          <w:szCs w:val="20"/>
        </w:rPr>
        <w:t>ir</w:t>
      </w:r>
      <w:r w:rsidR="00F8083F">
        <w:rPr>
          <w:rFonts w:eastAsia="Times New Roman"/>
          <w:szCs w:val="20"/>
        </w:rPr>
        <w:t xml:space="preserve"> payments from Delta Dental were reduced. </w:t>
      </w:r>
      <w:r w:rsidR="00984992">
        <w:rPr>
          <w:rFonts w:eastAsia="Times New Roman"/>
          <w:szCs w:val="20"/>
        </w:rPr>
        <w:t xml:space="preserve"> </w:t>
      </w:r>
      <w:r w:rsidR="00F8083F">
        <w:rPr>
          <w:rFonts w:eastAsia="Times New Roman"/>
          <w:szCs w:val="20"/>
        </w:rPr>
        <w:t xml:space="preserve"> </w:t>
      </w:r>
    </w:p>
    <w:p w:rsidR="00267701" w:rsidRDefault="00F725A1" w:rsidP="00267701">
      <w:pPr>
        <w:spacing w:after="120"/>
        <w:ind w:firstLine="720"/>
        <w:rPr>
          <w:rFonts w:eastAsia="Times New Roman"/>
          <w:szCs w:val="20"/>
        </w:rPr>
      </w:pPr>
      <w:r>
        <w:rPr>
          <w:rFonts w:eastAsia="Times New Roman"/>
          <w:szCs w:val="20"/>
        </w:rPr>
        <w:t xml:space="preserve">The </w:t>
      </w:r>
      <w:r w:rsidR="002C49CF">
        <w:rPr>
          <w:rFonts w:eastAsia="Times New Roman"/>
          <w:szCs w:val="20"/>
        </w:rPr>
        <w:t>Petitioners</w:t>
      </w:r>
      <w:r w:rsidR="00CD4093">
        <w:rPr>
          <w:rFonts w:eastAsia="Times New Roman"/>
          <w:szCs w:val="20"/>
        </w:rPr>
        <w:t>’</w:t>
      </w:r>
      <w:r w:rsidR="00222D2E">
        <w:rPr>
          <w:rFonts w:eastAsia="Times New Roman"/>
          <w:szCs w:val="20"/>
        </w:rPr>
        <w:t xml:space="preserve"> </w:t>
      </w:r>
      <w:r w:rsidR="00065150">
        <w:rPr>
          <w:rFonts w:eastAsia="Times New Roman"/>
          <w:szCs w:val="20"/>
        </w:rPr>
        <w:t xml:space="preserve">dispute </w:t>
      </w:r>
      <w:r w:rsidR="00F8083F">
        <w:rPr>
          <w:rFonts w:eastAsia="Times New Roman"/>
          <w:szCs w:val="20"/>
        </w:rPr>
        <w:t xml:space="preserve">arises from </w:t>
      </w:r>
      <w:r w:rsidR="002C49CF">
        <w:rPr>
          <w:rFonts w:eastAsia="Times New Roman"/>
          <w:szCs w:val="20"/>
        </w:rPr>
        <w:t xml:space="preserve">Delta Dental’s </w:t>
      </w:r>
      <w:r w:rsidR="00015E0B">
        <w:rPr>
          <w:rFonts w:eastAsia="Times New Roman"/>
          <w:szCs w:val="20"/>
        </w:rPr>
        <w:t xml:space="preserve">approach to </w:t>
      </w:r>
      <w:r w:rsidR="002C49CF">
        <w:rPr>
          <w:rFonts w:eastAsia="Times New Roman"/>
          <w:szCs w:val="20"/>
        </w:rPr>
        <w:t>calculati</w:t>
      </w:r>
      <w:r w:rsidR="00015E0B">
        <w:rPr>
          <w:rFonts w:eastAsia="Times New Roman"/>
          <w:szCs w:val="20"/>
        </w:rPr>
        <w:t>ng</w:t>
      </w:r>
      <w:r w:rsidR="002C49CF">
        <w:rPr>
          <w:rFonts w:eastAsia="Times New Roman"/>
          <w:szCs w:val="20"/>
        </w:rPr>
        <w:t xml:space="preserve"> “customary” fees</w:t>
      </w:r>
      <w:r w:rsidR="00222D2E">
        <w:rPr>
          <w:rFonts w:eastAsia="Times New Roman"/>
          <w:szCs w:val="20"/>
        </w:rPr>
        <w:t xml:space="preserve">, a construct that, in effect, sets an upper bound on payments to dentists who participate in </w:t>
      </w:r>
      <w:r w:rsidR="00222D2E">
        <w:rPr>
          <w:rFonts w:eastAsia="Times New Roman"/>
          <w:szCs w:val="20"/>
        </w:rPr>
        <w:lastRenderedPageBreak/>
        <w:t>the Delta Premier program.</w:t>
      </w:r>
      <w:r w:rsidR="00222D2E">
        <w:rPr>
          <w:rStyle w:val="FootnoteReference"/>
          <w:rFonts w:eastAsia="Times New Roman"/>
          <w:szCs w:val="20"/>
        </w:rPr>
        <w:footnoteReference w:id="4"/>
      </w:r>
      <w:r w:rsidR="00267701">
        <w:rPr>
          <w:rFonts w:eastAsia="Times New Roman"/>
          <w:szCs w:val="20"/>
        </w:rPr>
        <w:t xml:space="preserve"> </w:t>
      </w:r>
      <w:r w:rsidR="00222D2E">
        <w:rPr>
          <w:rFonts w:eastAsia="Times New Roman"/>
          <w:szCs w:val="20"/>
        </w:rPr>
        <w:t xml:space="preserve"> </w:t>
      </w:r>
      <w:r w:rsidR="00267701">
        <w:rPr>
          <w:rFonts w:eastAsia="Times New Roman"/>
          <w:szCs w:val="20"/>
        </w:rPr>
        <w:t>The Petitioners chronicle Delta Dental’s approaches to methodologies through a series of documents, including documents and decisions in administrative proceedings considering those methodologies that were held in 1996 and 2008.</w:t>
      </w:r>
      <w:r w:rsidR="00207D03">
        <w:rPr>
          <w:rStyle w:val="FootnoteReference"/>
          <w:rFonts w:eastAsia="Times New Roman"/>
          <w:szCs w:val="20"/>
        </w:rPr>
        <w:footnoteReference w:id="5"/>
      </w:r>
    </w:p>
    <w:p w:rsidR="00D561EA" w:rsidRDefault="00C41FE2" w:rsidP="00A455A5">
      <w:pPr>
        <w:spacing w:after="120"/>
        <w:ind w:firstLine="720"/>
        <w:rPr>
          <w:rFonts w:eastAsia="Times New Roman"/>
          <w:szCs w:val="20"/>
        </w:rPr>
      </w:pPr>
      <w:r>
        <w:rPr>
          <w:rFonts w:eastAsia="Times New Roman"/>
          <w:szCs w:val="20"/>
        </w:rPr>
        <w:t xml:space="preserve">The methodology for developing Premier plan fees has two principal components.   </w:t>
      </w:r>
      <w:r w:rsidR="00122D41">
        <w:rPr>
          <w:rFonts w:eastAsia="Times New Roman"/>
          <w:szCs w:val="20"/>
        </w:rPr>
        <w:t xml:space="preserve">For each participating dentist or dental practice group, Delta Dental </w:t>
      </w:r>
      <w:r w:rsidR="002000DD">
        <w:rPr>
          <w:rFonts w:eastAsia="Times New Roman"/>
          <w:szCs w:val="20"/>
        </w:rPr>
        <w:t xml:space="preserve">calculates a “usual” fee profile, </w:t>
      </w:r>
      <w:r w:rsidR="00122D41">
        <w:rPr>
          <w:rFonts w:eastAsia="Times New Roman"/>
          <w:szCs w:val="20"/>
        </w:rPr>
        <w:t xml:space="preserve">a value </w:t>
      </w:r>
      <w:r w:rsidR="00D754A0">
        <w:rPr>
          <w:rFonts w:eastAsia="Times New Roman"/>
          <w:szCs w:val="20"/>
        </w:rPr>
        <w:t xml:space="preserve">derived from what </w:t>
      </w:r>
      <w:r w:rsidR="00122D41">
        <w:rPr>
          <w:rFonts w:eastAsia="Times New Roman"/>
          <w:szCs w:val="20"/>
        </w:rPr>
        <w:t xml:space="preserve">the individual dentist or the group practice </w:t>
      </w:r>
      <w:r w:rsidR="002000DD">
        <w:rPr>
          <w:rFonts w:eastAsia="Times New Roman"/>
          <w:szCs w:val="20"/>
        </w:rPr>
        <w:t>actually charges patients</w:t>
      </w:r>
      <w:r w:rsidR="005A540F">
        <w:rPr>
          <w:rFonts w:eastAsia="Times New Roman"/>
          <w:szCs w:val="20"/>
        </w:rPr>
        <w:t xml:space="preserve"> for a particular procedure</w:t>
      </w:r>
      <w:r w:rsidR="002000DD">
        <w:rPr>
          <w:rFonts w:eastAsia="Times New Roman"/>
          <w:szCs w:val="20"/>
        </w:rPr>
        <w:t>.  A</w:t>
      </w:r>
      <w:r w:rsidR="00D22F34">
        <w:rPr>
          <w:rFonts w:eastAsia="Times New Roman"/>
          <w:szCs w:val="20"/>
        </w:rPr>
        <w:t xml:space="preserve"> </w:t>
      </w:r>
      <w:r w:rsidR="00803ADA">
        <w:rPr>
          <w:rFonts w:eastAsia="Times New Roman"/>
          <w:szCs w:val="20"/>
        </w:rPr>
        <w:t>“</w:t>
      </w:r>
      <w:r w:rsidR="00D22F34">
        <w:rPr>
          <w:rFonts w:eastAsia="Times New Roman"/>
          <w:szCs w:val="20"/>
        </w:rPr>
        <w:t>customary</w:t>
      </w:r>
      <w:r w:rsidR="00803ADA">
        <w:rPr>
          <w:rFonts w:eastAsia="Times New Roman"/>
          <w:szCs w:val="20"/>
        </w:rPr>
        <w:t>”</w:t>
      </w:r>
      <w:r w:rsidR="00D22F34">
        <w:rPr>
          <w:rFonts w:eastAsia="Times New Roman"/>
          <w:szCs w:val="20"/>
        </w:rPr>
        <w:t xml:space="preserve"> fee</w:t>
      </w:r>
      <w:r>
        <w:rPr>
          <w:rFonts w:eastAsia="Times New Roman"/>
          <w:szCs w:val="20"/>
        </w:rPr>
        <w:t>, applicable to determining fees for all participating dentists,</w:t>
      </w:r>
      <w:r w:rsidR="00D22F34">
        <w:rPr>
          <w:rFonts w:eastAsia="Times New Roman"/>
          <w:szCs w:val="20"/>
        </w:rPr>
        <w:t xml:space="preserve"> is </w:t>
      </w:r>
      <w:r>
        <w:rPr>
          <w:rFonts w:eastAsia="Times New Roman"/>
          <w:szCs w:val="20"/>
        </w:rPr>
        <w:t xml:space="preserve">then </w:t>
      </w:r>
      <w:r w:rsidR="002000DD">
        <w:rPr>
          <w:rFonts w:eastAsia="Times New Roman"/>
          <w:szCs w:val="20"/>
        </w:rPr>
        <w:t xml:space="preserve">calculated at </w:t>
      </w:r>
      <w:r w:rsidR="00D22F34">
        <w:rPr>
          <w:rFonts w:eastAsia="Times New Roman"/>
          <w:szCs w:val="20"/>
        </w:rPr>
        <w:t>the 90</w:t>
      </w:r>
      <w:r w:rsidR="00D22F34" w:rsidRPr="00D22F34">
        <w:rPr>
          <w:rFonts w:eastAsia="Times New Roman"/>
          <w:szCs w:val="20"/>
          <w:vertAlign w:val="superscript"/>
        </w:rPr>
        <w:t>th</w:t>
      </w:r>
      <w:r w:rsidR="00D22F34">
        <w:rPr>
          <w:rFonts w:eastAsia="Times New Roman"/>
          <w:szCs w:val="20"/>
        </w:rPr>
        <w:t xml:space="preserve"> percentile of</w:t>
      </w:r>
      <w:r w:rsidR="00525A15">
        <w:rPr>
          <w:rFonts w:eastAsia="Times New Roman"/>
          <w:szCs w:val="20"/>
        </w:rPr>
        <w:t xml:space="preserve"> </w:t>
      </w:r>
      <w:r w:rsidR="009C3BCB">
        <w:rPr>
          <w:rFonts w:eastAsia="Times New Roman"/>
          <w:szCs w:val="20"/>
        </w:rPr>
        <w:t xml:space="preserve">Massachusetts dentists’ </w:t>
      </w:r>
      <w:r w:rsidR="00D22F34">
        <w:rPr>
          <w:rFonts w:eastAsia="Times New Roman"/>
          <w:szCs w:val="20"/>
        </w:rPr>
        <w:t xml:space="preserve">aggregate </w:t>
      </w:r>
      <w:r w:rsidR="00525A15">
        <w:rPr>
          <w:rFonts w:eastAsia="Times New Roman"/>
          <w:szCs w:val="20"/>
        </w:rPr>
        <w:t xml:space="preserve">“usual” </w:t>
      </w:r>
      <w:r w:rsidR="00D22F34">
        <w:rPr>
          <w:rFonts w:eastAsia="Times New Roman"/>
          <w:szCs w:val="20"/>
        </w:rPr>
        <w:t>charges for a particular procedure</w:t>
      </w:r>
      <w:r w:rsidR="00525A15">
        <w:rPr>
          <w:rFonts w:eastAsia="Times New Roman"/>
          <w:szCs w:val="20"/>
        </w:rPr>
        <w:t>.  I</w:t>
      </w:r>
      <w:r w:rsidR="00D22F34">
        <w:rPr>
          <w:rFonts w:eastAsia="Times New Roman"/>
          <w:szCs w:val="20"/>
        </w:rPr>
        <w:t xml:space="preserve">f </w:t>
      </w:r>
      <w:r w:rsidR="00653267">
        <w:rPr>
          <w:rFonts w:eastAsia="Times New Roman"/>
          <w:szCs w:val="20"/>
        </w:rPr>
        <w:t xml:space="preserve">the participating </w:t>
      </w:r>
      <w:r w:rsidR="00D22F34">
        <w:rPr>
          <w:rFonts w:eastAsia="Times New Roman"/>
          <w:szCs w:val="20"/>
        </w:rPr>
        <w:t>dentist</w:t>
      </w:r>
      <w:r w:rsidR="00653267">
        <w:rPr>
          <w:rFonts w:eastAsia="Times New Roman"/>
          <w:szCs w:val="20"/>
        </w:rPr>
        <w:t xml:space="preserve"> </w:t>
      </w:r>
      <w:r w:rsidR="00525A15">
        <w:rPr>
          <w:rFonts w:eastAsia="Times New Roman"/>
          <w:szCs w:val="20"/>
        </w:rPr>
        <w:t xml:space="preserve">or </w:t>
      </w:r>
      <w:r w:rsidR="00653267">
        <w:rPr>
          <w:rFonts w:eastAsia="Times New Roman"/>
          <w:szCs w:val="20"/>
        </w:rPr>
        <w:t xml:space="preserve">dental practice </w:t>
      </w:r>
      <w:r w:rsidR="00525A15">
        <w:rPr>
          <w:rFonts w:eastAsia="Times New Roman"/>
          <w:szCs w:val="20"/>
        </w:rPr>
        <w:t>group</w:t>
      </w:r>
      <w:r w:rsidR="00E26EC1">
        <w:rPr>
          <w:rFonts w:eastAsia="Times New Roman"/>
          <w:szCs w:val="20"/>
        </w:rPr>
        <w:t>’s</w:t>
      </w:r>
      <w:r w:rsidR="00D22F34">
        <w:rPr>
          <w:rFonts w:eastAsia="Times New Roman"/>
          <w:szCs w:val="20"/>
        </w:rPr>
        <w:t xml:space="preserve"> “usual” fee exceeds the </w:t>
      </w:r>
      <w:r w:rsidR="006C7BB9">
        <w:rPr>
          <w:rFonts w:eastAsia="Times New Roman"/>
          <w:szCs w:val="20"/>
        </w:rPr>
        <w:t>customary fee, Delta Dental reduces the payment to no more than the customary fee.</w:t>
      </w:r>
      <w:r w:rsidR="007E3990">
        <w:rPr>
          <w:rStyle w:val="FootnoteReference"/>
          <w:rFonts w:eastAsia="Times New Roman"/>
          <w:szCs w:val="20"/>
        </w:rPr>
        <w:footnoteReference w:id="6"/>
      </w:r>
      <w:r w:rsidR="006C7BB9">
        <w:rPr>
          <w:rFonts w:eastAsia="Times New Roman"/>
          <w:szCs w:val="20"/>
        </w:rPr>
        <w:t xml:space="preserve"> </w:t>
      </w:r>
      <w:r w:rsidR="003D5C4E">
        <w:rPr>
          <w:rFonts w:eastAsia="Times New Roman"/>
          <w:szCs w:val="20"/>
        </w:rPr>
        <w:t xml:space="preserve"> </w:t>
      </w:r>
      <w:r w:rsidR="006E380C">
        <w:rPr>
          <w:rFonts w:eastAsia="Times New Roman"/>
          <w:szCs w:val="20"/>
        </w:rPr>
        <w:t xml:space="preserve">Both the “usual” and “customary” fees are adjusted periodically </w:t>
      </w:r>
      <w:r w:rsidR="003C2EB4">
        <w:rPr>
          <w:rFonts w:eastAsia="Times New Roman"/>
          <w:szCs w:val="20"/>
        </w:rPr>
        <w:t xml:space="preserve">to reflect fee </w:t>
      </w:r>
      <w:r w:rsidR="006E380C">
        <w:rPr>
          <w:rFonts w:eastAsia="Times New Roman"/>
          <w:szCs w:val="20"/>
        </w:rPr>
        <w:t>data that dentists report to Delta Dental.</w:t>
      </w:r>
      <w:r w:rsidR="00074898">
        <w:rPr>
          <w:rStyle w:val="FootnoteReference"/>
          <w:rFonts w:eastAsia="Times New Roman"/>
          <w:szCs w:val="20"/>
        </w:rPr>
        <w:footnoteReference w:id="7"/>
      </w:r>
      <w:r w:rsidR="00CD4093">
        <w:rPr>
          <w:rFonts w:eastAsia="Times New Roman"/>
          <w:szCs w:val="20"/>
        </w:rPr>
        <w:t xml:space="preserve"> </w:t>
      </w:r>
      <w:r w:rsidR="00D561EA">
        <w:rPr>
          <w:rFonts w:eastAsia="Times New Roman"/>
          <w:szCs w:val="20"/>
        </w:rPr>
        <w:t xml:space="preserve"> Before implementing the adjusted fees, Delta Dental files a statement </w:t>
      </w:r>
      <w:r w:rsidR="00CD4093">
        <w:rPr>
          <w:rFonts w:eastAsia="Times New Roman"/>
          <w:szCs w:val="20"/>
        </w:rPr>
        <w:t>at</w:t>
      </w:r>
      <w:r w:rsidR="00D561EA">
        <w:rPr>
          <w:rFonts w:eastAsia="Times New Roman"/>
          <w:szCs w:val="20"/>
        </w:rPr>
        <w:t xml:space="preserve"> the </w:t>
      </w:r>
      <w:r w:rsidR="00CD4093">
        <w:rPr>
          <w:rFonts w:eastAsia="Times New Roman"/>
          <w:szCs w:val="20"/>
        </w:rPr>
        <w:t>Division of Insurance</w:t>
      </w:r>
      <w:r w:rsidR="00D561EA">
        <w:rPr>
          <w:rFonts w:eastAsia="Times New Roman"/>
          <w:szCs w:val="20"/>
        </w:rPr>
        <w:t xml:space="preserve"> reporting the proposed fee </w:t>
      </w:r>
      <w:r>
        <w:rPr>
          <w:rFonts w:eastAsia="Times New Roman"/>
          <w:szCs w:val="20"/>
        </w:rPr>
        <w:t xml:space="preserve">changes </w:t>
      </w:r>
      <w:r w:rsidR="00CD4093">
        <w:rPr>
          <w:rFonts w:eastAsia="Times New Roman"/>
          <w:szCs w:val="20"/>
        </w:rPr>
        <w:t>in the Premier p</w:t>
      </w:r>
      <w:r w:rsidR="00D561EA">
        <w:rPr>
          <w:rFonts w:eastAsia="Times New Roman"/>
          <w:szCs w:val="20"/>
        </w:rPr>
        <w:t>lan.</w:t>
      </w:r>
      <w:r w:rsidR="00D561EA">
        <w:rPr>
          <w:rStyle w:val="FootnoteReference"/>
          <w:rFonts w:eastAsia="Times New Roman"/>
          <w:szCs w:val="20"/>
        </w:rPr>
        <w:footnoteReference w:id="8"/>
      </w:r>
      <w:r w:rsidR="00342DD5">
        <w:rPr>
          <w:rFonts w:eastAsia="Times New Roman"/>
          <w:szCs w:val="20"/>
        </w:rPr>
        <w:t xml:space="preserve">  It attaches an “Outline of Reimbursement for Participating and Nonparticipating Dentists and Participating Group Practices” to its agreement with participating dentists.</w:t>
      </w:r>
      <w:r w:rsidR="00342DD5">
        <w:rPr>
          <w:rStyle w:val="FootnoteReference"/>
          <w:rFonts w:eastAsia="Times New Roman"/>
          <w:szCs w:val="20"/>
        </w:rPr>
        <w:footnoteReference w:id="9"/>
      </w:r>
      <w:r w:rsidR="00342DD5">
        <w:rPr>
          <w:rFonts w:eastAsia="Times New Roman"/>
          <w:szCs w:val="20"/>
        </w:rPr>
        <w:t xml:space="preserve">   </w:t>
      </w:r>
      <w:r w:rsidR="00D561EA">
        <w:rPr>
          <w:rFonts w:eastAsia="Times New Roman"/>
          <w:szCs w:val="20"/>
        </w:rPr>
        <w:t xml:space="preserve"> </w:t>
      </w:r>
    </w:p>
    <w:p w:rsidR="00E66BE0" w:rsidRDefault="00E92DD6" w:rsidP="00656255">
      <w:pPr>
        <w:spacing w:after="120"/>
        <w:ind w:firstLine="720"/>
        <w:rPr>
          <w:rFonts w:eastAsia="Times New Roman"/>
          <w:szCs w:val="20"/>
        </w:rPr>
      </w:pPr>
      <w:r>
        <w:rPr>
          <w:rFonts w:eastAsia="Times New Roman"/>
          <w:szCs w:val="20"/>
        </w:rPr>
        <w:t>Beginning in April 1990, in adjusting its customary fees, Delta Dental calculate</w:t>
      </w:r>
      <w:r w:rsidR="00342DD5">
        <w:rPr>
          <w:rFonts w:eastAsia="Times New Roman"/>
          <w:szCs w:val="20"/>
        </w:rPr>
        <w:t>d</w:t>
      </w:r>
      <w:r>
        <w:rPr>
          <w:rFonts w:eastAsia="Times New Roman"/>
          <w:szCs w:val="20"/>
        </w:rPr>
        <w:t xml:space="preserve"> the effect of </w:t>
      </w:r>
      <w:r w:rsidR="00D561EA">
        <w:rPr>
          <w:rFonts w:eastAsia="Times New Roman"/>
          <w:szCs w:val="20"/>
        </w:rPr>
        <w:t xml:space="preserve">the CPI on the most recent </w:t>
      </w:r>
      <w:r w:rsidR="00E07AD0">
        <w:rPr>
          <w:rFonts w:eastAsia="Times New Roman"/>
          <w:szCs w:val="20"/>
        </w:rPr>
        <w:t xml:space="preserve">periodic </w:t>
      </w:r>
      <w:r>
        <w:rPr>
          <w:rFonts w:eastAsia="Times New Roman"/>
          <w:szCs w:val="20"/>
        </w:rPr>
        <w:t>set of customary fees</w:t>
      </w:r>
      <w:r w:rsidR="00267701">
        <w:rPr>
          <w:rFonts w:eastAsia="Times New Roman"/>
          <w:szCs w:val="20"/>
        </w:rPr>
        <w:t xml:space="preserve">, comparing it to </w:t>
      </w:r>
      <w:r w:rsidR="003965C1">
        <w:rPr>
          <w:rFonts w:eastAsia="Times New Roman"/>
          <w:szCs w:val="20"/>
        </w:rPr>
        <w:t>the effect</w:t>
      </w:r>
      <w:r w:rsidR="00CD4093">
        <w:rPr>
          <w:rFonts w:eastAsia="Times New Roman"/>
          <w:szCs w:val="20"/>
        </w:rPr>
        <w:t>,</w:t>
      </w:r>
      <w:r w:rsidR="003965C1">
        <w:rPr>
          <w:rFonts w:eastAsia="Times New Roman"/>
          <w:szCs w:val="20"/>
        </w:rPr>
        <w:t xml:space="preserve"> </w:t>
      </w:r>
      <w:r w:rsidR="00342DD5">
        <w:rPr>
          <w:rFonts w:eastAsia="Times New Roman"/>
          <w:szCs w:val="20"/>
        </w:rPr>
        <w:t>on that same set of customary fees</w:t>
      </w:r>
      <w:r w:rsidR="00CD4093">
        <w:rPr>
          <w:rFonts w:eastAsia="Times New Roman"/>
          <w:szCs w:val="20"/>
        </w:rPr>
        <w:t>,</w:t>
      </w:r>
      <w:r w:rsidR="00342DD5">
        <w:rPr>
          <w:rFonts w:eastAsia="Times New Roman"/>
          <w:szCs w:val="20"/>
        </w:rPr>
        <w:t xml:space="preserve"> </w:t>
      </w:r>
      <w:r w:rsidR="003965C1">
        <w:rPr>
          <w:rFonts w:eastAsia="Times New Roman"/>
          <w:szCs w:val="20"/>
        </w:rPr>
        <w:t>of increased usual fees reported by participating providers.</w:t>
      </w:r>
      <w:r>
        <w:rPr>
          <w:rFonts w:eastAsia="Times New Roman"/>
          <w:szCs w:val="20"/>
        </w:rPr>
        <w:t xml:space="preserve">  If </w:t>
      </w:r>
      <w:r w:rsidR="00803ADA">
        <w:rPr>
          <w:rFonts w:eastAsia="Times New Roman"/>
          <w:szCs w:val="20"/>
        </w:rPr>
        <w:t>the latter exceeded the former, Delta Dental limited the customary fee adjustment to</w:t>
      </w:r>
      <w:r>
        <w:rPr>
          <w:rFonts w:eastAsia="Times New Roman"/>
          <w:szCs w:val="20"/>
        </w:rPr>
        <w:t xml:space="preserve"> the </w:t>
      </w:r>
      <w:r w:rsidR="00803ADA">
        <w:rPr>
          <w:rFonts w:eastAsia="Times New Roman"/>
          <w:szCs w:val="20"/>
        </w:rPr>
        <w:t xml:space="preserve">CPI </w:t>
      </w:r>
      <w:r>
        <w:rPr>
          <w:rFonts w:eastAsia="Times New Roman"/>
          <w:szCs w:val="20"/>
        </w:rPr>
        <w:t>increase</w:t>
      </w:r>
      <w:r w:rsidR="00803ADA">
        <w:rPr>
          <w:rFonts w:eastAsia="Times New Roman"/>
          <w:szCs w:val="20"/>
        </w:rPr>
        <w:t>.</w:t>
      </w:r>
      <w:r w:rsidR="00656255">
        <w:rPr>
          <w:rFonts w:eastAsia="Times New Roman"/>
          <w:szCs w:val="20"/>
        </w:rPr>
        <w:t xml:space="preserve">  </w:t>
      </w:r>
      <w:r w:rsidR="00342DD5">
        <w:rPr>
          <w:rFonts w:eastAsia="Times New Roman"/>
          <w:szCs w:val="20"/>
        </w:rPr>
        <w:t xml:space="preserve"> The Petitioners’ dispute with Delta Dental arises from that </w:t>
      </w:r>
      <w:r w:rsidR="001571CC">
        <w:rPr>
          <w:rFonts w:eastAsia="Times New Roman"/>
          <w:szCs w:val="20"/>
        </w:rPr>
        <w:t>choice</w:t>
      </w:r>
      <w:r w:rsidR="00342DD5">
        <w:rPr>
          <w:rFonts w:eastAsia="Times New Roman"/>
          <w:szCs w:val="20"/>
        </w:rPr>
        <w:t xml:space="preserve">. </w:t>
      </w:r>
    </w:p>
    <w:p w:rsidR="00C116B6" w:rsidRDefault="00C57157" w:rsidP="00C116B6">
      <w:pPr>
        <w:spacing w:after="120"/>
        <w:ind w:firstLine="720"/>
        <w:rPr>
          <w:rFonts w:eastAsia="Times New Roman"/>
          <w:szCs w:val="20"/>
        </w:rPr>
      </w:pPr>
      <w:r>
        <w:t xml:space="preserve">The Petitioners’ </w:t>
      </w:r>
      <w:r w:rsidR="006B5CA7">
        <w:t xml:space="preserve">petition to the Board echoes the complaint filed in the Superior Court.  They </w:t>
      </w:r>
      <w:r>
        <w:t>assert that, following th</w:t>
      </w:r>
      <w:r w:rsidR="00E16C15">
        <w:t xml:space="preserve">e </w:t>
      </w:r>
      <w:r>
        <w:t xml:space="preserve">court decisions, “it appears that [the Commissioner] has the authority to hear class claims and claims under 93A.” </w:t>
      </w:r>
      <w:r w:rsidR="005610A2">
        <w:t>They reiterate th</w:t>
      </w:r>
      <w:r w:rsidR="006B5CA7">
        <w:t>at</w:t>
      </w:r>
      <w:r w:rsidR="005610A2">
        <w:t xml:space="preserve"> position in the</w:t>
      </w:r>
      <w:r w:rsidR="006B5CA7">
        <w:t>ir</w:t>
      </w:r>
      <w:r w:rsidR="005610A2">
        <w:t xml:space="preserve"> Prehearing Statement, a</w:t>
      </w:r>
      <w:r w:rsidR="006B5CA7">
        <w:t>rguing</w:t>
      </w:r>
      <w:r w:rsidR="005610A2">
        <w:t xml:space="preserve"> that the Appeals Court ruled that the Division has the authority to hear class action claims.  Further, </w:t>
      </w:r>
      <w:r w:rsidR="006B5CA7">
        <w:t xml:space="preserve">Petitioners </w:t>
      </w:r>
      <w:r w:rsidR="005610A2">
        <w:t>contend, the class action complaint is timely because M.G.L. c. 176E, §4 has no time limitation.  In any event, they argue, any statute of limitation is tolled w</w:t>
      </w:r>
      <w:r w:rsidR="00755B1F">
        <w:t>hen a class action is pending.  They assert as well that the discovery</w:t>
      </w:r>
      <w:r w:rsidR="005610A2">
        <w:t xml:space="preserve"> </w:t>
      </w:r>
      <w:r w:rsidR="00755B1F">
        <w:t xml:space="preserve">rule applies to their </w:t>
      </w:r>
      <w:r w:rsidR="006B5CA7">
        <w:t xml:space="preserve">allegations of </w:t>
      </w:r>
      <w:r w:rsidR="00755B1F">
        <w:t xml:space="preserve">breach of contract and fraud.   Petitioners ultimately seek the same relief from the Board as that requested in the Superior Court:  1) certification of a class; 2) </w:t>
      </w:r>
      <w:r w:rsidR="00755B1F">
        <w:lastRenderedPageBreak/>
        <w:t xml:space="preserve">judgment in their behalf pursuant to their contract and related claims under c. 176E, §4; 3) </w:t>
      </w:r>
      <w:r w:rsidR="00077A60">
        <w:t>a ruling that Delta Dental</w:t>
      </w:r>
      <w:r w:rsidR="00BF6DFC">
        <w:t xml:space="preserve"> knowingly or willfully viol</w:t>
      </w:r>
      <w:r w:rsidR="00755B1F">
        <w:t>ated c. 93A</w:t>
      </w:r>
      <w:r w:rsidR="00BF6DFC">
        <w:t xml:space="preserve"> and an award of treble damages and attorney’s fee</w:t>
      </w:r>
      <w:r w:rsidR="00C116B6">
        <w:t xml:space="preserve">; and 4) an order requiring </w:t>
      </w:r>
      <w:r w:rsidR="006B5CA7">
        <w:t xml:space="preserve">that </w:t>
      </w:r>
      <w:r w:rsidR="00C116B6">
        <w:rPr>
          <w:rFonts w:eastAsia="Times New Roman"/>
          <w:szCs w:val="20"/>
        </w:rPr>
        <w:t xml:space="preserve">Delta Dental provide each of its dentists with an accounting for all payments made to them between April 1, 1990 and December 31, 2010.    </w:t>
      </w:r>
    </w:p>
    <w:p w:rsidR="00BF6DFC" w:rsidRPr="004952BB" w:rsidRDefault="00BF6DFC" w:rsidP="00E07AD0">
      <w:pPr>
        <w:spacing w:after="120"/>
        <w:ind w:firstLine="720"/>
        <w:rPr>
          <w:b/>
        </w:rPr>
      </w:pPr>
      <w:r w:rsidRPr="004952BB">
        <w:rPr>
          <w:b/>
        </w:rPr>
        <w:t>Delta Dental’s Response</w:t>
      </w:r>
    </w:p>
    <w:p w:rsidR="00297A87" w:rsidRDefault="00BF6DFC" w:rsidP="00297A87">
      <w:pPr>
        <w:spacing w:after="120"/>
        <w:ind w:firstLine="720"/>
      </w:pPr>
      <w:r>
        <w:t xml:space="preserve">Delta Dental </w:t>
      </w:r>
      <w:r w:rsidR="00E16C15">
        <w:t xml:space="preserve">moved </w:t>
      </w:r>
      <w:r w:rsidR="00081956">
        <w:t>for summary decision on May 29, 2015, contending, in brief, that Petitioners’ claims are time-barred and therefore should be dismissed.  Delta Dental</w:t>
      </w:r>
      <w:r w:rsidR="007F0D27">
        <w:t xml:space="preserve"> po</w:t>
      </w:r>
      <w:r w:rsidR="0069588A">
        <w:t>ints out that §</w:t>
      </w:r>
      <w:r w:rsidR="006B5CA7">
        <w:t xml:space="preserve">12 permits </w:t>
      </w:r>
      <w:r w:rsidR="00E07AD0">
        <w:t>disputes between</w:t>
      </w:r>
      <w:r w:rsidR="007F0D27">
        <w:t xml:space="preserve"> </w:t>
      </w:r>
      <w:r w:rsidR="00E07AD0">
        <w:t xml:space="preserve">participating dentists and a </w:t>
      </w:r>
      <w:r w:rsidR="007F0D27">
        <w:t xml:space="preserve">dental service corporation </w:t>
      </w:r>
      <w:r w:rsidR="006B5CA7">
        <w:t xml:space="preserve">to </w:t>
      </w:r>
      <w:r w:rsidR="007F0D27">
        <w:t xml:space="preserve">be submitted to a Board within </w:t>
      </w:r>
      <w:r w:rsidR="004F0838">
        <w:t>30</w:t>
      </w:r>
      <w:r w:rsidR="007F0D27">
        <w:t xml:space="preserve"> days after the </w:t>
      </w:r>
      <w:r w:rsidR="004F0838">
        <w:t xml:space="preserve">date on which the </w:t>
      </w:r>
      <w:r w:rsidR="007F0D27">
        <w:t xml:space="preserve">dispute or controversy arises.  </w:t>
      </w:r>
      <w:r w:rsidR="004F0838">
        <w:t>In this matter, it argues, the essence of the dispute is Delta Dental’s application of a CPI in calculati</w:t>
      </w:r>
      <w:r w:rsidR="00E07AD0">
        <w:t>ng increases to</w:t>
      </w:r>
      <w:r w:rsidR="004F0838">
        <w:t xml:space="preserve"> customary fees.  </w:t>
      </w:r>
      <w:r w:rsidR="00E07AD0">
        <w:t xml:space="preserve">Delta Dental comments </w:t>
      </w:r>
      <w:r w:rsidR="00297A87">
        <w:t xml:space="preserve">that Petitioners do not identify any actions occurring later than January 1, 2011 as the basis for their claims.  </w:t>
      </w:r>
    </w:p>
    <w:p w:rsidR="00297A87" w:rsidRDefault="00E07AD0" w:rsidP="00755B1F">
      <w:pPr>
        <w:spacing w:after="120"/>
        <w:ind w:firstLine="720"/>
      </w:pPr>
      <w:r>
        <w:t xml:space="preserve">Delta Dental </w:t>
      </w:r>
      <w:r w:rsidR="007F0D27">
        <w:t>contends that any dispute between the Petitioners and Delta Dental over the use of</w:t>
      </w:r>
      <w:r w:rsidR="0056224D">
        <w:t xml:space="preserve"> a CPI to ca</w:t>
      </w:r>
      <w:r w:rsidR="006B5CA7">
        <w:t xml:space="preserve">lculate </w:t>
      </w:r>
      <w:r w:rsidR="0056224D">
        <w:t>increases in customary fees arose in 1990, and terminated well before the Petitioners’ submitted this dispute to the Board.  Delta Dental points out that the</w:t>
      </w:r>
      <w:r w:rsidR="00653267">
        <w:t xml:space="preserve"> Commissioner </w:t>
      </w:r>
      <w:r w:rsidR="004F0838">
        <w:t xml:space="preserve">considered </w:t>
      </w:r>
      <w:r w:rsidR="00653267">
        <w:t>the u</w:t>
      </w:r>
      <w:r w:rsidR="0056224D">
        <w:t xml:space="preserve">se of such a cap </w:t>
      </w:r>
      <w:r w:rsidR="00653267">
        <w:t>in a</w:t>
      </w:r>
      <w:r w:rsidR="00AF2B4F">
        <w:t xml:space="preserve">n administrative </w:t>
      </w:r>
      <w:r w:rsidR="00653267">
        <w:t>proceeding</w:t>
      </w:r>
      <w:r w:rsidR="0056224D">
        <w:t xml:space="preserve"> initiated by the </w:t>
      </w:r>
      <w:r w:rsidR="00BC373C">
        <w:t>Massachusetts Dental Society in 2008</w:t>
      </w:r>
      <w:r w:rsidR="00761284">
        <w:t>, and that it stopped applying a CPI cap on December 31, 2010</w:t>
      </w:r>
      <w:r w:rsidR="00653267">
        <w:t>.</w:t>
      </w:r>
      <w:r w:rsidR="00653267">
        <w:rPr>
          <w:rStyle w:val="FootnoteReference"/>
        </w:rPr>
        <w:footnoteReference w:id="10"/>
      </w:r>
      <w:r w:rsidR="00653267">
        <w:t xml:space="preserve">  </w:t>
      </w:r>
    </w:p>
    <w:p w:rsidR="00B714DA" w:rsidRDefault="00BC373C" w:rsidP="00755B1F">
      <w:pPr>
        <w:spacing w:after="120"/>
        <w:ind w:firstLine="720"/>
      </w:pPr>
      <w:r>
        <w:t xml:space="preserve"> Delta Dental argues that Petitioners attempted to avoid application of the limitations period in </w:t>
      </w:r>
      <w:r w:rsidR="00AF2B4F">
        <w:t>§</w:t>
      </w:r>
      <w:r>
        <w:t xml:space="preserve">12 by </w:t>
      </w:r>
      <w:r w:rsidR="00011926">
        <w:t xml:space="preserve">filing a complaint with the Superior Court, </w:t>
      </w:r>
      <w:r w:rsidR="004F0838">
        <w:t xml:space="preserve">requesting a </w:t>
      </w:r>
      <w:r w:rsidR="00AF2B4F">
        <w:t xml:space="preserve">hearing before a </w:t>
      </w:r>
      <w:r w:rsidR="00011926">
        <w:t xml:space="preserve">Board </w:t>
      </w:r>
      <w:r w:rsidR="00B714DA">
        <w:t>only</w:t>
      </w:r>
      <w:r w:rsidR="00011926">
        <w:t xml:space="preserve"> after </w:t>
      </w:r>
      <w:r w:rsidR="004F0838">
        <w:t xml:space="preserve">the </w:t>
      </w:r>
      <w:r w:rsidR="00B714DA">
        <w:t xml:space="preserve">judicial action was dismissed on the ground that Petitioners failed to exhaust their administrative remedies. </w:t>
      </w:r>
      <w:r w:rsidR="00297A87">
        <w:t xml:space="preserve"> Massachusetts law,</w:t>
      </w:r>
      <w:r w:rsidR="00E07AD0">
        <w:t xml:space="preserve"> it asserts,</w:t>
      </w:r>
      <w:r w:rsidR="00184687">
        <w:t xml:space="preserve"> in such circumstances</w:t>
      </w:r>
      <w:r w:rsidR="00E07AD0">
        <w:t xml:space="preserve"> bars </w:t>
      </w:r>
      <w:r w:rsidR="00297A87">
        <w:t>a litigant who did not pursue its administrative remedy within the applicable time frame</w:t>
      </w:r>
      <w:r w:rsidR="00184687">
        <w:t xml:space="preserve"> from initiating an administrative action after </w:t>
      </w:r>
      <w:r w:rsidR="00E07AD0">
        <w:t>such</w:t>
      </w:r>
      <w:r w:rsidR="00184687">
        <w:t xml:space="preserve"> dismissal.  </w:t>
      </w:r>
    </w:p>
    <w:p w:rsidR="0080738F" w:rsidRPr="004952BB" w:rsidRDefault="00093597" w:rsidP="004952BB">
      <w:pPr>
        <w:rPr>
          <w:b/>
        </w:rPr>
      </w:pPr>
      <w:r w:rsidRPr="004952BB">
        <w:rPr>
          <w:b/>
        </w:rPr>
        <w:t>Jurisdictional Issues</w:t>
      </w:r>
    </w:p>
    <w:p w:rsidR="0080738F" w:rsidRDefault="0080738F" w:rsidP="00C57157">
      <w:pPr>
        <w:ind w:firstLine="720"/>
      </w:pPr>
    </w:p>
    <w:p w:rsidR="00C3578D" w:rsidRDefault="0080738F" w:rsidP="0080738F">
      <w:pPr>
        <w:ind w:firstLine="720"/>
      </w:pPr>
      <w:r>
        <w:t>The Petitioners</w:t>
      </w:r>
      <w:r w:rsidR="006C36C2">
        <w:t xml:space="preserve"> offer no legal support for the premise that two of the four specific forms of relief they seek are available from the Board.  They ask for certification as representatives of a class pursuant to Mass. R. Civ. P. 23.1,  and they seek rulings that Respondent violated c. 93A</w:t>
      </w:r>
      <w:r w:rsidR="002E5446">
        <w:t xml:space="preserve"> </w:t>
      </w:r>
      <w:r w:rsidR="006C36C2">
        <w:t>and that those alleged violations support an award of treble damages and attorney’s fees.  Petitioners, in their petit</w:t>
      </w:r>
      <w:r w:rsidR="002E5446">
        <w:t>ion for a Board hearing, contend</w:t>
      </w:r>
      <w:r w:rsidR="006C36C2">
        <w:t xml:space="preserve"> that they initially filed a civil action in the Superior Court because they did not believe the </w:t>
      </w:r>
      <w:r w:rsidR="002E5446">
        <w:t xml:space="preserve">Division </w:t>
      </w:r>
      <w:r w:rsidR="00717312">
        <w:t>provided</w:t>
      </w:r>
      <w:r w:rsidR="002E5446">
        <w:t xml:space="preserve"> the proper forum for class claims and that by statute it did not have jurisdiction over c. 93A claims.  Because the Superior Court </w:t>
      </w:r>
      <w:r w:rsidR="00C3578D">
        <w:t>dismissed the action for failure to exhaust administrative remedies, a decision that the Appeals Court</w:t>
      </w:r>
      <w:r w:rsidR="00A455A5">
        <w:t xml:space="preserve"> affirmed</w:t>
      </w:r>
      <w:r w:rsidR="00C3578D">
        <w:t xml:space="preserve"> and that the Supreme Judicial Court declined to review furth</w:t>
      </w:r>
      <w:r w:rsidR="0020389A">
        <w:t xml:space="preserve">er, Petitioners suggest that </w:t>
      </w:r>
      <w:r w:rsidR="00717312">
        <w:t xml:space="preserve">the Appeals Court </w:t>
      </w:r>
      <w:r w:rsidR="00FF0B13">
        <w:t>ruled that the Division of Insurance</w:t>
      </w:r>
      <w:r w:rsidR="00C3578D">
        <w:t xml:space="preserve"> has authority to conduct a class action an</w:t>
      </w:r>
      <w:r w:rsidR="00FF0B13">
        <w:t>d to hear 93A claims.</w:t>
      </w:r>
      <w:r w:rsidR="00FF0B13">
        <w:rPr>
          <w:rStyle w:val="FootnoteReference"/>
        </w:rPr>
        <w:footnoteReference w:id="11"/>
      </w:r>
      <w:r w:rsidR="00C3578D">
        <w:t xml:space="preserve"> Their arguments are not persuasive. </w:t>
      </w:r>
    </w:p>
    <w:p w:rsidR="00C3578D" w:rsidRDefault="00C3578D" w:rsidP="0080738F">
      <w:pPr>
        <w:ind w:firstLine="720"/>
      </w:pPr>
      <w:r>
        <w:t xml:space="preserve"> </w:t>
      </w:r>
    </w:p>
    <w:p w:rsidR="00ED051E" w:rsidRDefault="008A4313" w:rsidP="0080738F">
      <w:pPr>
        <w:ind w:firstLine="720"/>
      </w:pPr>
      <w:r>
        <w:t xml:space="preserve">In </w:t>
      </w:r>
      <w:r w:rsidRPr="00FB265B">
        <w:rPr>
          <w:i/>
        </w:rPr>
        <w:t xml:space="preserve">Massachusetts State Pharmaceutical Association </w:t>
      </w:r>
      <w:r w:rsidR="00FB265B" w:rsidRPr="00FB265B">
        <w:rPr>
          <w:i/>
        </w:rPr>
        <w:t>v. Rate Setting Commission</w:t>
      </w:r>
      <w:r w:rsidR="00FB265B">
        <w:t xml:space="preserve">, 387 Mass. 122 (1982), the Supreme Judicial Court affirmed a decision by the Division of Hearing </w:t>
      </w:r>
      <w:r w:rsidR="00FB265B">
        <w:lastRenderedPageBreak/>
        <w:t>Officers (“Division”) that it had no authority to consider a class action.</w:t>
      </w:r>
      <w:r w:rsidR="00FB265B">
        <w:rPr>
          <w:rStyle w:val="FootnoteReference"/>
        </w:rPr>
        <w:footnoteReference w:id="12"/>
      </w:r>
      <w:r w:rsidR="00FB265B">
        <w:t xml:space="preserve">  The court pointed out that the Divis</w:t>
      </w:r>
      <w:r w:rsidR="00173608">
        <w:t>i</w:t>
      </w:r>
      <w:r w:rsidR="00FB265B">
        <w:t xml:space="preserve">on had no rule permitting such actions, and that absent any statutory authorization or agency rule the class action aspect of the </w:t>
      </w:r>
      <w:r w:rsidR="00A455A5">
        <w:t xml:space="preserve">plaintiff’s </w:t>
      </w:r>
      <w:r w:rsidR="00FB265B">
        <w:t>appeal was properly dismiss</w:t>
      </w:r>
      <w:r w:rsidR="00173608">
        <w:t>ed.</w:t>
      </w:r>
      <w:r w:rsidR="00440ACC">
        <w:rPr>
          <w:rStyle w:val="FootnoteReference"/>
        </w:rPr>
        <w:footnoteReference w:id="13"/>
      </w:r>
      <w:r w:rsidR="00173608">
        <w:t xml:space="preserve"> </w:t>
      </w:r>
      <w:r w:rsidR="00FB265B">
        <w:t xml:space="preserve"> </w:t>
      </w:r>
      <w:r w:rsidR="00A455A5">
        <w:t>Hearing</w:t>
      </w:r>
      <w:r w:rsidR="001823EC">
        <w:t xml:space="preserve">s on petitions </w:t>
      </w:r>
      <w:r w:rsidR="00C57157">
        <w:t>before the Bo</w:t>
      </w:r>
      <w:r w:rsidR="00093597">
        <w:t>ard</w:t>
      </w:r>
      <w:r w:rsidR="00C57157">
        <w:t xml:space="preserve"> are conducted as adjudicatory proceedings pursuant to </w:t>
      </w:r>
      <w:r w:rsidR="00173608">
        <w:t>M.G.L. c.</w:t>
      </w:r>
      <w:r w:rsidR="00A455A5">
        <w:t xml:space="preserve"> </w:t>
      </w:r>
      <w:r w:rsidR="00C57157">
        <w:t xml:space="preserve">30A and the Standard Adjudicatory Rules of Practice and Procedure, 801 CMR 1.01 and 1.03. </w:t>
      </w:r>
      <w:r w:rsidR="00430437">
        <w:t xml:space="preserve"> Those rules </w:t>
      </w:r>
      <w:r w:rsidR="00173608">
        <w:t>make no provision for class actions.</w:t>
      </w:r>
      <w:r w:rsidR="00ED051E">
        <w:rPr>
          <w:rStyle w:val="FootnoteReference"/>
        </w:rPr>
        <w:footnoteReference w:id="14"/>
      </w:r>
      <w:r w:rsidR="00173608">
        <w:t xml:space="preserve"> </w:t>
      </w:r>
    </w:p>
    <w:p w:rsidR="00ED051E" w:rsidRDefault="00ED051E" w:rsidP="0080738F">
      <w:pPr>
        <w:ind w:firstLine="720"/>
      </w:pPr>
    </w:p>
    <w:p w:rsidR="00C57157" w:rsidRDefault="00173608" w:rsidP="0080738F">
      <w:pPr>
        <w:ind w:firstLine="720"/>
      </w:pPr>
      <w:r>
        <w:t>With respect to Petitioners</w:t>
      </w:r>
      <w:r w:rsidR="0011697B">
        <w:t>’</w:t>
      </w:r>
      <w:r>
        <w:t xml:space="preserve"> claims under c. 93A, the statute </w:t>
      </w:r>
      <w:r w:rsidR="00C84642">
        <w:t xml:space="preserve">confers jurisdiction on </w:t>
      </w:r>
      <w:r w:rsidR="000C605D">
        <w:t>the superior court or the housing court.  It creates no jurisdiction in administrative agencies.  The Petitioners offer no</w:t>
      </w:r>
      <w:r w:rsidR="00C84642">
        <w:t xml:space="preserve"> support for setting aside the principle</w:t>
      </w:r>
      <w:r w:rsidR="004952BB">
        <w:t xml:space="preserve">s on class actions </w:t>
      </w:r>
      <w:r w:rsidR="00C84642">
        <w:t>articulated by the Supreme Judicial Court or the statutory</w:t>
      </w:r>
      <w:r w:rsidR="00FF0B13">
        <w:t xml:space="preserve"> jurisdictional</w:t>
      </w:r>
      <w:r w:rsidR="00C84642">
        <w:t xml:space="preserve"> requirements</w:t>
      </w:r>
      <w:r w:rsidR="00FF0B13">
        <w:t xml:space="preserve"> for claims under c. 93A</w:t>
      </w:r>
      <w:r w:rsidR="00C84642">
        <w:t xml:space="preserve">.  For those reasons, the Petitioners claims for certification as a class action and for a hearing on claims under c. 93A are hereby dismissed.  </w:t>
      </w:r>
      <w:r w:rsidR="000C605D">
        <w:t xml:space="preserve"> </w:t>
      </w:r>
      <w:r w:rsidR="00430437">
        <w:t xml:space="preserve"> </w:t>
      </w:r>
      <w:r w:rsidR="00C57157">
        <w:t xml:space="preserve"> </w:t>
      </w:r>
      <w:r w:rsidR="00093597">
        <w:t xml:space="preserve"> </w:t>
      </w:r>
    </w:p>
    <w:p w:rsidR="00C114DE" w:rsidRDefault="00C114DE" w:rsidP="00C57157">
      <w:pPr>
        <w:ind w:firstLine="720"/>
      </w:pPr>
    </w:p>
    <w:p w:rsidR="00C114DE" w:rsidRPr="004952BB" w:rsidRDefault="00C84642" w:rsidP="004952BB">
      <w:pPr>
        <w:rPr>
          <w:b/>
        </w:rPr>
      </w:pPr>
      <w:r w:rsidRPr="004952BB">
        <w:rPr>
          <w:b/>
        </w:rPr>
        <w:t>Petitioners Claims under M.G L. c. 176E, §4</w:t>
      </w:r>
    </w:p>
    <w:p w:rsidR="00184687" w:rsidRPr="004952BB" w:rsidRDefault="00184687" w:rsidP="00C57157">
      <w:pPr>
        <w:ind w:firstLine="720"/>
        <w:rPr>
          <w:b/>
        </w:rPr>
      </w:pPr>
    </w:p>
    <w:p w:rsidR="00184687" w:rsidRDefault="00184687" w:rsidP="00974A78">
      <w:pPr>
        <w:ind w:firstLine="720"/>
      </w:pPr>
      <w:r>
        <w:t xml:space="preserve">The </w:t>
      </w:r>
      <w:r w:rsidR="0011697B">
        <w:t>Petitioners</w:t>
      </w:r>
      <w:r>
        <w:t xml:space="preserve"> base their claims on c. 176E, §4, which addresses a range of issues, among them regulatory oversight of a dental service corporation’s contracts and fee arrangements with participating dentists.  The form of the agreement with participating dentists is subject to the Commissioner’s written approval; the fees, or the method of determining such fees, </w:t>
      </w:r>
      <w:r w:rsidR="004D1B6C">
        <w:t>are</w:t>
      </w:r>
      <w:r>
        <w:t xml:space="preserve"> subject to a public hearing under M.G.L. c. 30A, §2 and the Commissioner’s written approval.</w:t>
      </w:r>
      <w:r>
        <w:rPr>
          <w:rStyle w:val="FootnoteReference"/>
        </w:rPr>
        <w:footnoteReference w:id="15"/>
      </w:r>
      <w:r>
        <w:t xml:space="preserve">  </w:t>
      </w:r>
      <w:r w:rsidR="00E07AD0">
        <w:t>By statute, t</w:t>
      </w:r>
      <w:r>
        <w:t xml:space="preserve">hose fees may not be equal to or higher than the fees participating dentists on average charge patients who are not Delta Dental subscribers.  Section 4 also sets a schedule for paying claims submitted by participating dentists; if payment is not made within 45 days after Delta Dental receives the notice of claim, it must specify to the dentist the reasons for nonpayment or what must be submitted to support payment of the claim.  </w:t>
      </w:r>
      <w:r w:rsidR="00814BF7">
        <w:t xml:space="preserve">Chapter 176E, §4 does not create a framework for participating dentists to contest, in an administrative forum, the </w:t>
      </w:r>
      <w:r w:rsidR="0020389A">
        <w:t xml:space="preserve">fees </w:t>
      </w:r>
      <w:r w:rsidR="00814BF7">
        <w:t>they</w:t>
      </w:r>
      <w:r w:rsidR="002079CD">
        <w:t xml:space="preserve"> personally</w:t>
      </w:r>
      <w:r w:rsidR="00814BF7">
        <w:t xml:space="preserve"> receive from Delta Dental.  Under §12, such disputes may be submitted to the Board </w:t>
      </w:r>
      <w:r w:rsidR="0020389A">
        <w:t xml:space="preserve">in compliance with </w:t>
      </w:r>
      <w:r w:rsidR="00814BF7">
        <w:t>the time frame prescribed by</w:t>
      </w:r>
      <w:r w:rsidR="0020389A">
        <w:t xml:space="preserve"> that</w:t>
      </w:r>
      <w:r w:rsidR="00814BF7">
        <w:t xml:space="preserve"> statute.  </w:t>
      </w:r>
    </w:p>
    <w:p w:rsidR="00C84642" w:rsidRDefault="00C84642" w:rsidP="00C57157">
      <w:pPr>
        <w:ind w:firstLine="720"/>
      </w:pPr>
    </w:p>
    <w:p w:rsidR="00DC69D1" w:rsidRDefault="00911E39" w:rsidP="00814BF7">
      <w:pPr>
        <w:spacing w:after="120"/>
        <w:ind w:firstLine="720"/>
      </w:pPr>
      <w:r>
        <w:t>Delta Dental moved for summary decision, arguing that the petition should be dismissed because it was not filed within the statutory time limits</w:t>
      </w:r>
      <w:r w:rsidR="002079CD">
        <w:t xml:space="preserve"> applicable to petitioners for Board hearings</w:t>
      </w:r>
      <w:r>
        <w:t xml:space="preserve">.  It points out that the underlying issue, </w:t>
      </w:r>
      <w:r w:rsidR="00DC69D1">
        <w:t>Delta Dental’s use of the CPI in calculating the “customary” fees for dentists participating in its Premier Plan, was the subject of a public hearing at the Division initiated in 2008 and decided in 2009</w:t>
      </w:r>
      <w:r w:rsidR="00E500B1">
        <w:t>.</w:t>
      </w:r>
      <w:r w:rsidR="00E8787F">
        <w:rPr>
          <w:rStyle w:val="FootnoteReference"/>
        </w:rPr>
        <w:footnoteReference w:id="16"/>
      </w:r>
      <w:r w:rsidR="00E8787F">
        <w:t xml:space="preserve"> </w:t>
      </w:r>
      <w:r w:rsidR="00DC69D1">
        <w:t xml:space="preserve"> </w:t>
      </w:r>
      <w:r w:rsidR="000A2526">
        <w:t xml:space="preserve">Delta Dental </w:t>
      </w:r>
      <w:r w:rsidR="00DC69D1">
        <w:t>argues</w:t>
      </w:r>
      <w:r w:rsidR="004D1B6C">
        <w:t>, further,</w:t>
      </w:r>
      <w:r w:rsidR="00DC69D1">
        <w:t xml:space="preserve"> that some years earlier the CPI</w:t>
      </w:r>
      <w:r w:rsidR="000A2526">
        <w:t xml:space="preserve"> issue</w:t>
      </w:r>
      <w:r w:rsidR="00DC69D1">
        <w:t xml:space="preserve"> was </w:t>
      </w:r>
      <w:r w:rsidR="000A2526">
        <w:t xml:space="preserve">widely </w:t>
      </w:r>
      <w:r w:rsidR="00DC69D1">
        <w:t>know</w:t>
      </w:r>
      <w:r w:rsidR="000A2526">
        <w:t xml:space="preserve">n </w:t>
      </w:r>
      <w:r w:rsidR="00DC69D1">
        <w:t>in the dental community</w:t>
      </w:r>
      <w:r w:rsidR="000A2526">
        <w:t>.</w:t>
      </w:r>
      <w:r w:rsidR="000A2526">
        <w:rPr>
          <w:rStyle w:val="FootnoteReference"/>
        </w:rPr>
        <w:footnoteReference w:id="17"/>
      </w:r>
      <w:r w:rsidR="00DC69D1">
        <w:t xml:space="preserve"> </w:t>
      </w:r>
      <w:r w:rsidR="000A2526">
        <w:t xml:space="preserve">   </w:t>
      </w:r>
      <w:r w:rsidR="00DC69D1">
        <w:t xml:space="preserve">  </w:t>
      </w:r>
      <w:r>
        <w:t xml:space="preserve">   </w:t>
      </w:r>
    </w:p>
    <w:p w:rsidR="00EE6123" w:rsidRDefault="00E26A83" w:rsidP="00814BF7">
      <w:pPr>
        <w:spacing w:after="120"/>
        <w:ind w:firstLine="720"/>
        <w:rPr>
          <w:rFonts w:eastAsia="Times New Roman"/>
          <w:szCs w:val="20"/>
        </w:rPr>
      </w:pPr>
      <w:r>
        <w:t xml:space="preserve">The Petitioners </w:t>
      </w:r>
      <w:r w:rsidR="000A2526">
        <w:t>oppose summary decision, contending that their petition was timely submitted to the</w:t>
      </w:r>
      <w:r w:rsidR="00467A00">
        <w:t xml:space="preserve"> Board</w:t>
      </w:r>
      <w:r w:rsidR="00060433">
        <w:t>.  T</w:t>
      </w:r>
      <w:r w:rsidR="00937852">
        <w:t xml:space="preserve">hey </w:t>
      </w:r>
      <w:r>
        <w:t>allege that</w:t>
      </w:r>
      <w:r w:rsidR="00440ACC">
        <w:t xml:space="preserve">, in April 1990, </w:t>
      </w:r>
      <w:r>
        <w:t xml:space="preserve"> </w:t>
      </w:r>
      <w:r>
        <w:rPr>
          <w:rFonts w:eastAsia="Times New Roman"/>
          <w:szCs w:val="20"/>
        </w:rPr>
        <w:t xml:space="preserve">Delta Dental </w:t>
      </w:r>
      <w:r w:rsidR="009A7668">
        <w:rPr>
          <w:rFonts w:eastAsia="Times New Roman"/>
          <w:szCs w:val="20"/>
        </w:rPr>
        <w:t xml:space="preserve">implemented </w:t>
      </w:r>
      <w:r>
        <w:rPr>
          <w:rFonts w:eastAsia="Times New Roman"/>
          <w:szCs w:val="20"/>
        </w:rPr>
        <w:t>a</w:t>
      </w:r>
      <w:r w:rsidR="00440ACC">
        <w:rPr>
          <w:rFonts w:eastAsia="Times New Roman"/>
          <w:szCs w:val="20"/>
        </w:rPr>
        <w:t xml:space="preserve"> methodological </w:t>
      </w:r>
      <w:r>
        <w:rPr>
          <w:rFonts w:eastAsia="Times New Roman"/>
          <w:szCs w:val="20"/>
        </w:rPr>
        <w:t>change to the formula used to calculate</w:t>
      </w:r>
      <w:r w:rsidR="00440ACC">
        <w:rPr>
          <w:rFonts w:eastAsia="Times New Roman"/>
          <w:szCs w:val="20"/>
        </w:rPr>
        <w:t xml:space="preserve"> </w:t>
      </w:r>
      <w:r w:rsidR="0020389A">
        <w:rPr>
          <w:rFonts w:eastAsia="Times New Roman"/>
          <w:szCs w:val="20"/>
        </w:rPr>
        <w:t>the “customary” component</w:t>
      </w:r>
      <w:r w:rsidR="002C0002">
        <w:rPr>
          <w:rFonts w:eastAsia="Times New Roman"/>
          <w:szCs w:val="20"/>
        </w:rPr>
        <w:t xml:space="preserve"> of </w:t>
      </w:r>
      <w:r w:rsidR="0020389A">
        <w:rPr>
          <w:rFonts w:eastAsia="Times New Roman"/>
          <w:szCs w:val="20"/>
        </w:rPr>
        <w:t xml:space="preserve">fee </w:t>
      </w:r>
      <w:r w:rsidR="00440ACC">
        <w:rPr>
          <w:rFonts w:eastAsia="Times New Roman"/>
          <w:szCs w:val="20"/>
        </w:rPr>
        <w:t>payments to dentists participati</w:t>
      </w:r>
      <w:r w:rsidR="009A7668">
        <w:rPr>
          <w:rFonts w:eastAsia="Times New Roman"/>
          <w:szCs w:val="20"/>
        </w:rPr>
        <w:t xml:space="preserve">ng in its Premier Network plan </w:t>
      </w:r>
      <w:r>
        <w:rPr>
          <w:rFonts w:eastAsia="Times New Roman"/>
          <w:szCs w:val="20"/>
        </w:rPr>
        <w:t xml:space="preserve">without first obtaining the </w:t>
      </w:r>
      <w:r w:rsidR="004D1B6C">
        <w:rPr>
          <w:rFonts w:eastAsia="Times New Roman"/>
          <w:szCs w:val="20"/>
        </w:rPr>
        <w:t>Commissioner’s</w:t>
      </w:r>
      <w:r>
        <w:rPr>
          <w:rFonts w:eastAsia="Times New Roman"/>
          <w:szCs w:val="20"/>
        </w:rPr>
        <w:t xml:space="preserve"> approval</w:t>
      </w:r>
      <w:r w:rsidR="00440ACC">
        <w:rPr>
          <w:rFonts w:eastAsia="Times New Roman"/>
          <w:szCs w:val="20"/>
        </w:rPr>
        <w:t>,</w:t>
      </w:r>
      <w:r>
        <w:rPr>
          <w:rFonts w:eastAsia="Times New Roman"/>
          <w:szCs w:val="20"/>
        </w:rPr>
        <w:t xml:space="preserve"> and did not communicate </w:t>
      </w:r>
      <w:r w:rsidR="00440ACC">
        <w:rPr>
          <w:rFonts w:eastAsia="Times New Roman"/>
          <w:szCs w:val="20"/>
        </w:rPr>
        <w:t xml:space="preserve">the change </w:t>
      </w:r>
      <w:r>
        <w:rPr>
          <w:rFonts w:eastAsia="Times New Roman"/>
          <w:szCs w:val="20"/>
        </w:rPr>
        <w:t>to its participating dentists.</w:t>
      </w:r>
      <w:r w:rsidR="002079CD">
        <w:rPr>
          <w:rFonts w:eastAsia="Times New Roman"/>
          <w:szCs w:val="20"/>
        </w:rPr>
        <w:t xml:space="preserve"> </w:t>
      </w:r>
      <w:r w:rsidR="00060433">
        <w:t xml:space="preserve"> </w:t>
      </w:r>
      <w:r w:rsidR="00060433">
        <w:rPr>
          <w:rFonts w:eastAsia="Times New Roman"/>
          <w:szCs w:val="20"/>
        </w:rPr>
        <w:t xml:space="preserve">Framing those events as a breach of the contract between Delta Dental and its participating providers, </w:t>
      </w:r>
      <w:r>
        <w:rPr>
          <w:rFonts w:eastAsia="Times New Roman"/>
          <w:szCs w:val="20"/>
        </w:rPr>
        <w:t xml:space="preserve">Petitioners </w:t>
      </w:r>
      <w:r w:rsidR="00440ACC">
        <w:rPr>
          <w:rFonts w:eastAsia="Times New Roman"/>
          <w:szCs w:val="20"/>
        </w:rPr>
        <w:t xml:space="preserve">contend </w:t>
      </w:r>
      <w:r>
        <w:rPr>
          <w:rFonts w:eastAsia="Times New Roman"/>
          <w:szCs w:val="20"/>
        </w:rPr>
        <w:t>that</w:t>
      </w:r>
      <w:r w:rsidR="00440ACC">
        <w:rPr>
          <w:rFonts w:eastAsia="Times New Roman"/>
          <w:szCs w:val="20"/>
        </w:rPr>
        <w:t xml:space="preserve">, </w:t>
      </w:r>
      <w:r>
        <w:rPr>
          <w:rFonts w:eastAsia="Times New Roman"/>
          <w:szCs w:val="20"/>
        </w:rPr>
        <w:t>as a result</w:t>
      </w:r>
      <w:r w:rsidR="001B7FBC">
        <w:rPr>
          <w:rFonts w:eastAsia="Times New Roman"/>
          <w:szCs w:val="20"/>
        </w:rPr>
        <w:t xml:space="preserve"> of that breach</w:t>
      </w:r>
      <w:r w:rsidR="00440ACC">
        <w:rPr>
          <w:rFonts w:eastAsia="Times New Roman"/>
          <w:szCs w:val="20"/>
        </w:rPr>
        <w:t xml:space="preserve">, </w:t>
      </w:r>
      <w:r>
        <w:rPr>
          <w:rFonts w:eastAsia="Times New Roman"/>
          <w:szCs w:val="20"/>
        </w:rPr>
        <w:t>the</w:t>
      </w:r>
      <w:r w:rsidR="00060433">
        <w:rPr>
          <w:rFonts w:eastAsia="Times New Roman"/>
          <w:szCs w:val="20"/>
        </w:rPr>
        <w:t xml:space="preserve">y incurred monetary </w:t>
      </w:r>
      <w:r w:rsidR="00263F4B">
        <w:rPr>
          <w:rFonts w:eastAsia="Times New Roman"/>
          <w:szCs w:val="20"/>
        </w:rPr>
        <w:t>losses</w:t>
      </w:r>
      <w:r w:rsidR="00060433">
        <w:rPr>
          <w:rFonts w:eastAsia="Times New Roman"/>
          <w:szCs w:val="20"/>
        </w:rPr>
        <w:t xml:space="preserve"> in the form of reduced </w:t>
      </w:r>
      <w:r>
        <w:rPr>
          <w:rFonts w:eastAsia="Times New Roman"/>
          <w:szCs w:val="20"/>
        </w:rPr>
        <w:t>payments from Delta Dental</w:t>
      </w:r>
      <w:r w:rsidR="00060433">
        <w:rPr>
          <w:rFonts w:eastAsia="Times New Roman"/>
          <w:szCs w:val="20"/>
        </w:rPr>
        <w:t>.</w:t>
      </w:r>
      <w:r>
        <w:rPr>
          <w:rFonts w:eastAsia="Times New Roman"/>
          <w:szCs w:val="20"/>
        </w:rPr>
        <w:t xml:space="preserve"> </w:t>
      </w:r>
      <w:r w:rsidR="00060433">
        <w:rPr>
          <w:rFonts w:eastAsia="Times New Roman"/>
          <w:szCs w:val="20"/>
        </w:rPr>
        <w:t xml:space="preserve"> Petitioners argue that</w:t>
      </w:r>
      <w:r w:rsidR="002623EB">
        <w:rPr>
          <w:rFonts w:eastAsia="Times New Roman"/>
          <w:szCs w:val="20"/>
        </w:rPr>
        <w:t xml:space="preserve"> between 1990 and 200</w:t>
      </w:r>
      <w:r w:rsidR="00761284">
        <w:rPr>
          <w:rFonts w:eastAsia="Times New Roman"/>
          <w:szCs w:val="20"/>
        </w:rPr>
        <w:t>8</w:t>
      </w:r>
      <w:r w:rsidR="002623EB">
        <w:rPr>
          <w:rFonts w:eastAsia="Times New Roman"/>
          <w:szCs w:val="20"/>
        </w:rPr>
        <w:t xml:space="preserve"> Delta Dental failed to comply with an obligation to inform them of </w:t>
      </w:r>
      <w:r w:rsidR="00821BAE">
        <w:rPr>
          <w:rFonts w:eastAsia="Times New Roman"/>
          <w:szCs w:val="20"/>
        </w:rPr>
        <w:t xml:space="preserve">alleged </w:t>
      </w:r>
      <w:r w:rsidR="002623EB">
        <w:rPr>
          <w:rFonts w:eastAsia="Times New Roman"/>
          <w:szCs w:val="20"/>
        </w:rPr>
        <w:t>changes in its reimbursement formula</w:t>
      </w:r>
      <w:r w:rsidR="00612BB2">
        <w:rPr>
          <w:rFonts w:eastAsia="Times New Roman"/>
          <w:szCs w:val="20"/>
        </w:rPr>
        <w:t xml:space="preserve">, </w:t>
      </w:r>
      <w:r w:rsidR="002C0002">
        <w:rPr>
          <w:rFonts w:eastAsia="Times New Roman"/>
          <w:szCs w:val="20"/>
        </w:rPr>
        <w:t xml:space="preserve">asserting </w:t>
      </w:r>
      <w:r w:rsidR="00612BB2">
        <w:rPr>
          <w:rFonts w:eastAsia="Times New Roman"/>
          <w:szCs w:val="20"/>
        </w:rPr>
        <w:t>that it did not revise the Outline of Reimbursement for Participating and Nonparticipating Dentists and Participatin</w:t>
      </w:r>
      <w:r w:rsidR="00DF660B">
        <w:rPr>
          <w:rFonts w:eastAsia="Times New Roman"/>
          <w:szCs w:val="20"/>
        </w:rPr>
        <w:t>g Group Practices</w:t>
      </w:r>
      <w:r w:rsidR="00612BB2">
        <w:rPr>
          <w:rFonts w:eastAsia="Times New Roman"/>
          <w:szCs w:val="20"/>
        </w:rPr>
        <w:t xml:space="preserve"> to include a </w:t>
      </w:r>
      <w:r w:rsidR="002C0002">
        <w:rPr>
          <w:rFonts w:eastAsia="Times New Roman"/>
          <w:szCs w:val="20"/>
        </w:rPr>
        <w:t xml:space="preserve">specific </w:t>
      </w:r>
      <w:r w:rsidR="00612BB2">
        <w:rPr>
          <w:rFonts w:eastAsia="Times New Roman"/>
          <w:szCs w:val="20"/>
        </w:rPr>
        <w:t>reference to use of</w:t>
      </w:r>
      <w:r w:rsidR="00216827">
        <w:rPr>
          <w:rFonts w:eastAsia="Times New Roman"/>
          <w:szCs w:val="20"/>
        </w:rPr>
        <w:t xml:space="preserve"> a</w:t>
      </w:r>
      <w:r w:rsidR="00612BB2">
        <w:rPr>
          <w:rFonts w:eastAsia="Times New Roman"/>
          <w:szCs w:val="20"/>
        </w:rPr>
        <w:t xml:space="preserve"> CPI to measure increases to the customary fee range</w:t>
      </w:r>
      <w:r w:rsidR="00EE6123">
        <w:rPr>
          <w:rFonts w:eastAsia="Times New Roman"/>
          <w:szCs w:val="20"/>
        </w:rPr>
        <w:t>.</w:t>
      </w:r>
      <w:r w:rsidR="002079CD">
        <w:rPr>
          <w:rStyle w:val="FootnoteReference"/>
          <w:rFonts w:eastAsia="Times New Roman"/>
          <w:szCs w:val="20"/>
        </w:rPr>
        <w:footnoteReference w:id="18"/>
      </w:r>
      <w:r w:rsidR="00EE6123">
        <w:rPr>
          <w:rFonts w:eastAsia="Times New Roman"/>
          <w:szCs w:val="20"/>
        </w:rPr>
        <w:t xml:space="preserve">  </w:t>
      </w:r>
      <w:r w:rsidR="00C73A92">
        <w:rPr>
          <w:rFonts w:eastAsia="Times New Roman"/>
          <w:szCs w:val="20"/>
        </w:rPr>
        <w:t>They assert that they became aware of their breach of contract claim</w:t>
      </w:r>
      <w:r w:rsidR="002C0002">
        <w:rPr>
          <w:rFonts w:eastAsia="Times New Roman"/>
          <w:szCs w:val="20"/>
        </w:rPr>
        <w:t xml:space="preserve"> only</w:t>
      </w:r>
      <w:r w:rsidR="00C73A92">
        <w:rPr>
          <w:rFonts w:eastAsia="Times New Roman"/>
          <w:szCs w:val="20"/>
        </w:rPr>
        <w:t xml:space="preserve"> in 2012, shortly before filing their suit in the Suffolk Superior Court.  </w:t>
      </w:r>
    </w:p>
    <w:p w:rsidR="00F87B1A" w:rsidRDefault="00EE6123" w:rsidP="00F87B1A">
      <w:pPr>
        <w:spacing w:after="120"/>
        <w:ind w:firstLine="720"/>
        <w:rPr>
          <w:rFonts w:eastAsia="Times New Roman"/>
          <w:szCs w:val="20"/>
        </w:rPr>
      </w:pPr>
      <w:r>
        <w:rPr>
          <w:rFonts w:eastAsia="Times New Roman"/>
          <w:szCs w:val="20"/>
        </w:rPr>
        <w:t xml:space="preserve">Petitioners’ claims are based on assertions about Delta Dental’s rate filings over </w:t>
      </w:r>
      <w:r w:rsidR="00E973CF">
        <w:rPr>
          <w:rFonts w:eastAsia="Times New Roman"/>
          <w:szCs w:val="20"/>
        </w:rPr>
        <w:t>an eighteen year period that ended in 2008</w:t>
      </w:r>
      <w:r w:rsidR="001823EC">
        <w:rPr>
          <w:rFonts w:eastAsia="Times New Roman"/>
          <w:szCs w:val="20"/>
        </w:rPr>
        <w:t>,</w:t>
      </w:r>
      <w:r w:rsidR="00E973CF">
        <w:rPr>
          <w:rFonts w:eastAsia="Times New Roman"/>
          <w:szCs w:val="20"/>
        </w:rPr>
        <w:t xml:space="preserve"> and the purported effect of those filings on reimbursements to the</w:t>
      </w:r>
      <w:r w:rsidR="00CB1BEB">
        <w:rPr>
          <w:rFonts w:eastAsia="Times New Roman"/>
          <w:szCs w:val="20"/>
        </w:rPr>
        <w:t xml:space="preserve">m as </w:t>
      </w:r>
      <w:r w:rsidR="00E973CF">
        <w:rPr>
          <w:rFonts w:eastAsia="Times New Roman"/>
          <w:szCs w:val="20"/>
        </w:rPr>
        <w:t>participating dentists.</w:t>
      </w:r>
      <w:r w:rsidR="00B50351">
        <w:rPr>
          <w:rStyle w:val="FootnoteReference"/>
          <w:rFonts w:eastAsia="Times New Roman"/>
          <w:szCs w:val="20"/>
        </w:rPr>
        <w:footnoteReference w:id="19"/>
      </w:r>
      <w:r w:rsidR="00E973CF">
        <w:rPr>
          <w:rFonts w:eastAsia="Times New Roman"/>
          <w:szCs w:val="20"/>
        </w:rPr>
        <w:t xml:space="preserve">  </w:t>
      </w:r>
      <w:r w:rsidR="00F87B1A">
        <w:rPr>
          <w:rFonts w:eastAsia="Times New Roman"/>
          <w:szCs w:val="20"/>
        </w:rPr>
        <w:t>Petitioners argue that because they frame their complaints as a breach of contract and under c. 93A, the statutes of limitation applicable to such actions should apply.  They offer no support for that theory.</w:t>
      </w:r>
      <w:r w:rsidR="002079CD">
        <w:rPr>
          <w:rStyle w:val="FootnoteReference"/>
          <w:rFonts w:eastAsia="Times New Roman"/>
          <w:szCs w:val="20"/>
        </w:rPr>
        <w:footnoteReference w:id="20"/>
      </w:r>
      <w:r w:rsidR="00F87B1A">
        <w:rPr>
          <w:rFonts w:eastAsia="Times New Roman"/>
          <w:szCs w:val="20"/>
        </w:rPr>
        <w:t xml:space="preserve"> </w:t>
      </w:r>
      <w:r w:rsidR="002079CD">
        <w:rPr>
          <w:rFonts w:eastAsia="Times New Roman"/>
          <w:szCs w:val="20"/>
        </w:rPr>
        <w:t xml:space="preserve"> </w:t>
      </w:r>
      <w:r w:rsidR="00F87B1A">
        <w:rPr>
          <w:rFonts w:eastAsia="Times New Roman"/>
          <w:szCs w:val="20"/>
        </w:rPr>
        <w:t xml:space="preserve"> </w:t>
      </w:r>
    </w:p>
    <w:p w:rsidR="00AB0AFF" w:rsidRDefault="00F87B1A" w:rsidP="00814BF7">
      <w:pPr>
        <w:spacing w:after="120"/>
        <w:ind w:firstLine="720"/>
        <w:rPr>
          <w:rFonts w:eastAsia="Times New Roman"/>
          <w:szCs w:val="20"/>
        </w:rPr>
      </w:pPr>
      <w:r>
        <w:rPr>
          <w:rFonts w:eastAsia="Times New Roman"/>
          <w:szCs w:val="20"/>
        </w:rPr>
        <w:t>Petitioners’</w:t>
      </w:r>
      <w:r w:rsidR="001823EC">
        <w:rPr>
          <w:rFonts w:eastAsia="Times New Roman"/>
          <w:szCs w:val="20"/>
        </w:rPr>
        <w:t xml:space="preserve"> </w:t>
      </w:r>
      <w:r>
        <w:rPr>
          <w:rFonts w:eastAsia="Times New Roman"/>
          <w:szCs w:val="20"/>
        </w:rPr>
        <w:t xml:space="preserve">seek relief before a Board convened pursuant to §12.  That statute establishes its own timeliness requirement for bringing a matter to the Board.  Petitioners </w:t>
      </w:r>
      <w:r w:rsidR="00C73A92">
        <w:rPr>
          <w:rFonts w:eastAsia="Times New Roman"/>
          <w:szCs w:val="20"/>
        </w:rPr>
        <w:t>offer no persuasive evidence that they were unaware of the 2008 proceeding</w:t>
      </w:r>
      <w:r w:rsidR="00906360">
        <w:rPr>
          <w:rFonts w:eastAsia="Times New Roman"/>
          <w:szCs w:val="20"/>
        </w:rPr>
        <w:t xml:space="preserve">, </w:t>
      </w:r>
      <w:r w:rsidR="00C01327">
        <w:rPr>
          <w:rFonts w:eastAsia="Times New Roman"/>
          <w:szCs w:val="20"/>
        </w:rPr>
        <w:t xml:space="preserve">or Delta Dental’s March 2008 revision to the reimbursement guidelines, </w:t>
      </w:r>
      <w:r w:rsidR="001823EC">
        <w:rPr>
          <w:rFonts w:eastAsia="Times New Roman"/>
          <w:szCs w:val="20"/>
        </w:rPr>
        <w:t>asserting</w:t>
      </w:r>
      <w:r>
        <w:rPr>
          <w:rFonts w:eastAsia="Times New Roman"/>
          <w:szCs w:val="20"/>
        </w:rPr>
        <w:t xml:space="preserve"> that they were unaware of the basis for complaints </w:t>
      </w:r>
      <w:r>
        <w:rPr>
          <w:rFonts w:eastAsia="Times New Roman"/>
          <w:szCs w:val="20"/>
        </w:rPr>
        <w:lastRenderedPageBreak/>
        <w:t>against Delta Dental until the spring of 2012</w:t>
      </w:r>
      <w:r w:rsidR="001823EC">
        <w:rPr>
          <w:rFonts w:eastAsia="Times New Roman"/>
          <w:szCs w:val="20"/>
        </w:rPr>
        <w:t xml:space="preserve">. </w:t>
      </w:r>
      <w:r w:rsidR="00C73A92">
        <w:rPr>
          <w:rFonts w:eastAsia="Times New Roman"/>
          <w:szCs w:val="20"/>
        </w:rPr>
        <w:t xml:space="preserve"> </w:t>
      </w:r>
      <w:r>
        <w:rPr>
          <w:rFonts w:eastAsia="Times New Roman"/>
          <w:szCs w:val="20"/>
        </w:rPr>
        <w:t>They offer no</w:t>
      </w:r>
      <w:r w:rsidR="00CB1BEB">
        <w:rPr>
          <w:rFonts w:eastAsia="Times New Roman"/>
          <w:szCs w:val="20"/>
        </w:rPr>
        <w:t xml:space="preserve"> explanation for the</w:t>
      </w:r>
      <w:r>
        <w:rPr>
          <w:rFonts w:eastAsia="Times New Roman"/>
          <w:szCs w:val="20"/>
        </w:rPr>
        <w:t xml:space="preserve"> </w:t>
      </w:r>
      <w:r w:rsidR="00CB1BEB">
        <w:rPr>
          <w:rFonts w:eastAsia="Times New Roman"/>
          <w:szCs w:val="20"/>
        </w:rPr>
        <w:t>delay</w:t>
      </w:r>
      <w:r>
        <w:rPr>
          <w:rFonts w:eastAsia="Times New Roman"/>
          <w:szCs w:val="20"/>
        </w:rPr>
        <w:t xml:space="preserve">ed assertion of </w:t>
      </w:r>
      <w:r w:rsidR="005D102A">
        <w:rPr>
          <w:rFonts w:eastAsia="Times New Roman"/>
          <w:szCs w:val="20"/>
        </w:rPr>
        <w:t>a</w:t>
      </w:r>
      <w:r>
        <w:rPr>
          <w:rFonts w:eastAsia="Times New Roman"/>
          <w:szCs w:val="20"/>
        </w:rPr>
        <w:t xml:space="preserve"> connection</w:t>
      </w:r>
      <w:r w:rsidR="00CB1BEB">
        <w:rPr>
          <w:rFonts w:eastAsia="Times New Roman"/>
          <w:szCs w:val="20"/>
        </w:rPr>
        <w:t xml:space="preserve"> between</w:t>
      </w:r>
      <w:r w:rsidR="00C01327">
        <w:rPr>
          <w:rFonts w:eastAsia="Times New Roman"/>
          <w:szCs w:val="20"/>
        </w:rPr>
        <w:t xml:space="preserve"> their reimbursement levels and </w:t>
      </w:r>
      <w:r w:rsidR="00CB1BEB">
        <w:rPr>
          <w:rFonts w:eastAsia="Times New Roman"/>
          <w:szCs w:val="20"/>
        </w:rPr>
        <w:t>the issues raised in th</w:t>
      </w:r>
      <w:r>
        <w:rPr>
          <w:rFonts w:eastAsia="Times New Roman"/>
          <w:szCs w:val="20"/>
        </w:rPr>
        <w:t xml:space="preserve">e 2008 </w:t>
      </w:r>
      <w:r w:rsidR="00CB1BEB">
        <w:rPr>
          <w:rFonts w:eastAsia="Times New Roman"/>
          <w:szCs w:val="20"/>
        </w:rPr>
        <w:t>proceeding</w:t>
      </w:r>
      <w:r w:rsidR="00C01327">
        <w:rPr>
          <w:rFonts w:eastAsia="Times New Roman"/>
          <w:szCs w:val="20"/>
        </w:rPr>
        <w:t>.</w:t>
      </w:r>
      <w:r w:rsidR="00906360">
        <w:rPr>
          <w:rFonts w:eastAsia="Times New Roman"/>
          <w:szCs w:val="20"/>
        </w:rPr>
        <w:t xml:space="preserve"> </w:t>
      </w:r>
    </w:p>
    <w:p w:rsidR="00AB0AFF" w:rsidRDefault="00AB0AFF" w:rsidP="00AB0AFF">
      <w:pPr>
        <w:spacing w:after="120"/>
        <w:rPr>
          <w:rFonts w:eastAsia="Times New Roman"/>
          <w:b/>
          <w:szCs w:val="20"/>
        </w:rPr>
      </w:pPr>
      <w:r w:rsidRPr="00AB0AFF">
        <w:rPr>
          <w:rFonts w:eastAsia="Times New Roman"/>
          <w:b/>
          <w:szCs w:val="20"/>
        </w:rPr>
        <w:t>Conclusion</w:t>
      </w:r>
    </w:p>
    <w:p w:rsidR="002C5CFE" w:rsidRDefault="00AB0AFF" w:rsidP="00AB0AFF">
      <w:pPr>
        <w:spacing w:after="120"/>
        <w:rPr>
          <w:rFonts w:eastAsia="Times New Roman"/>
          <w:szCs w:val="20"/>
        </w:rPr>
      </w:pPr>
      <w:r>
        <w:rPr>
          <w:rFonts w:eastAsia="Times New Roman"/>
          <w:b/>
          <w:szCs w:val="20"/>
        </w:rPr>
        <w:tab/>
      </w:r>
      <w:r w:rsidRPr="00AB0AFF">
        <w:rPr>
          <w:rFonts w:eastAsia="Times New Roman"/>
          <w:szCs w:val="20"/>
        </w:rPr>
        <w:t>On the record in this</w:t>
      </w:r>
      <w:r w:rsidR="00F3708F">
        <w:rPr>
          <w:rFonts w:eastAsia="Times New Roman"/>
          <w:szCs w:val="20"/>
        </w:rPr>
        <w:t xml:space="preserve"> proceeding, we </w:t>
      </w:r>
      <w:r w:rsidR="001271C6">
        <w:rPr>
          <w:rFonts w:eastAsia="Times New Roman"/>
          <w:szCs w:val="20"/>
        </w:rPr>
        <w:t>conclude that Petitioners’ dispute over Delta Dental’s use of a CPI factor to adjust the customary fees that serve as an upper bound on fees for dentists</w:t>
      </w:r>
      <w:r w:rsidR="00AA40E5">
        <w:rPr>
          <w:rFonts w:eastAsia="Times New Roman"/>
          <w:szCs w:val="20"/>
        </w:rPr>
        <w:t xml:space="preserve"> participating in its Premier plan arose before May 2012, when it filed its civil suit in Suffolk Superior Court.  At that time, Petitioners elected to pursue their claims through the judicial system.</w:t>
      </w:r>
      <w:r w:rsidR="00AA40E5">
        <w:rPr>
          <w:rStyle w:val="FootnoteReference"/>
          <w:rFonts w:eastAsia="Times New Roman"/>
          <w:szCs w:val="20"/>
        </w:rPr>
        <w:footnoteReference w:id="21"/>
      </w:r>
      <w:r w:rsidR="00F94CA2">
        <w:rPr>
          <w:rFonts w:eastAsia="Times New Roman"/>
          <w:szCs w:val="20"/>
        </w:rPr>
        <w:t xml:space="preserve">  Petitioners offer no support for their attempt to </w:t>
      </w:r>
      <w:r w:rsidR="00B54A5A">
        <w:rPr>
          <w:rFonts w:eastAsia="Times New Roman"/>
          <w:szCs w:val="20"/>
        </w:rPr>
        <w:t xml:space="preserve">revive their option for </w:t>
      </w:r>
      <w:r w:rsidR="00F94CA2">
        <w:rPr>
          <w:rFonts w:eastAsia="Times New Roman"/>
          <w:szCs w:val="20"/>
        </w:rPr>
        <w:t>a</w:t>
      </w:r>
      <w:r w:rsidR="00B54A5A">
        <w:rPr>
          <w:rFonts w:eastAsia="Times New Roman"/>
          <w:szCs w:val="20"/>
        </w:rPr>
        <w:t>n</w:t>
      </w:r>
      <w:r w:rsidR="00F94CA2">
        <w:rPr>
          <w:rFonts w:eastAsia="Times New Roman"/>
          <w:szCs w:val="20"/>
        </w:rPr>
        <w:t xml:space="preserve"> administrative </w:t>
      </w:r>
      <w:r w:rsidR="00B54A5A">
        <w:rPr>
          <w:rFonts w:eastAsia="Times New Roman"/>
          <w:szCs w:val="20"/>
        </w:rPr>
        <w:t xml:space="preserve">proceeding under </w:t>
      </w:r>
      <w:r w:rsidR="00C01327">
        <w:rPr>
          <w:rFonts w:eastAsia="Times New Roman"/>
          <w:szCs w:val="20"/>
        </w:rPr>
        <w:t>§</w:t>
      </w:r>
      <w:r w:rsidR="00B54A5A">
        <w:rPr>
          <w:rFonts w:eastAsia="Times New Roman"/>
          <w:szCs w:val="20"/>
        </w:rPr>
        <w:t xml:space="preserve">12.  Even if that were permissible, in light of prior Division hearings and decisions on Delta Dental’s use of a CPI factor, we find that </w:t>
      </w:r>
      <w:r w:rsidR="00D327E1">
        <w:rPr>
          <w:rFonts w:eastAsia="Times New Roman"/>
          <w:szCs w:val="20"/>
        </w:rPr>
        <w:t>the a</w:t>
      </w:r>
      <w:r w:rsidR="00C01327">
        <w:rPr>
          <w:rFonts w:eastAsia="Times New Roman"/>
          <w:szCs w:val="20"/>
        </w:rPr>
        <w:t>lleged actions that form</w:t>
      </w:r>
      <w:r w:rsidR="00D327E1">
        <w:rPr>
          <w:rFonts w:eastAsia="Times New Roman"/>
          <w:szCs w:val="20"/>
        </w:rPr>
        <w:t xml:space="preserve"> the basis for this dispute had been abandoned long before Petitioners sought a hearing at the Board.  Petitioners </w:t>
      </w:r>
      <w:r w:rsidR="00D76213">
        <w:rPr>
          <w:rFonts w:eastAsia="Times New Roman"/>
          <w:szCs w:val="20"/>
        </w:rPr>
        <w:t xml:space="preserve">identify </w:t>
      </w:r>
      <w:r w:rsidR="00D327E1">
        <w:rPr>
          <w:rFonts w:eastAsia="Times New Roman"/>
          <w:szCs w:val="20"/>
        </w:rPr>
        <w:t xml:space="preserve">no event occurring </w:t>
      </w:r>
      <w:r w:rsidR="001823EC">
        <w:rPr>
          <w:rFonts w:eastAsia="Times New Roman"/>
          <w:szCs w:val="20"/>
        </w:rPr>
        <w:t xml:space="preserve">within </w:t>
      </w:r>
      <w:r w:rsidR="00D327E1">
        <w:rPr>
          <w:rFonts w:eastAsia="Times New Roman"/>
          <w:szCs w:val="20"/>
        </w:rPr>
        <w:t xml:space="preserve">thirty days before they sought </w:t>
      </w:r>
      <w:r w:rsidR="00C01327">
        <w:rPr>
          <w:rFonts w:eastAsia="Times New Roman"/>
          <w:szCs w:val="20"/>
        </w:rPr>
        <w:t>this</w:t>
      </w:r>
      <w:r w:rsidR="00D327E1">
        <w:rPr>
          <w:rFonts w:eastAsia="Times New Roman"/>
          <w:szCs w:val="20"/>
        </w:rPr>
        <w:t xml:space="preserve"> hearing that affec</w:t>
      </w:r>
      <w:r w:rsidR="00D76213">
        <w:rPr>
          <w:rFonts w:eastAsia="Times New Roman"/>
          <w:szCs w:val="20"/>
        </w:rPr>
        <w:t xml:space="preserve">ted their reimbursement levels.  Their efforts to construct a framework to justify their delayed </w:t>
      </w:r>
      <w:r w:rsidR="00C01327">
        <w:rPr>
          <w:rFonts w:eastAsia="Times New Roman"/>
          <w:szCs w:val="20"/>
        </w:rPr>
        <w:t>petition</w:t>
      </w:r>
      <w:r w:rsidR="00D76213">
        <w:rPr>
          <w:rFonts w:eastAsia="Times New Roman"/>
          <w:szCs w:val="20"/>
        </w:rPr>
        <w:t xml:space="preserve"> are not persuasive.  </w:t>
      </w:r>
    </w:p>
    <w:p w:rsidR="00267701" w:rsidRPr="00AB0AFF" w:rsidRDefault="002C5CFE" w:rsidP="00AB0AFF">
      <w:pPr>
        <w:spacing w:after="120"/>
        <w:rPr>
          <w:rFonts w:eastAsia="Times New Roman"/>
          <w:szCs w:val="20"/>
        </w:rPr>
      </w:pPr>
      <w:r>
        <w:rPr>
          <w:rFonts w:eastAsia="Times New Roman"/>
          <w:szCs w:val="20"/>
        </w:rPr>
        <w:tab/>
        <w:t xml:space="preserve">For the above reasons, Delta Dental’s motion for summary decision is allowed.  The Petitioners’ request is hereby dismissed.  </w:t>
      </w:r>
      <w:r w:rsidR="00D76213">
        <w:rPr>
          <w:rFonts w:eastAsia="Times New Roman"/>
          <w:szCs w:val="20"/>
        </w:rPr>
        <w:t xml:space="preserve"> </w:t>
      </w:r>
      <w:r w:rsidR="00AA40E5">
        <w:rPr>
          <w:rFonts w:eastAsia="Times New Roman"/>
          <w:szCs w:val="20"/>
        </w:rPr>
        <w:t xml:space="preserve">  </w:t>
      </w:r>
      <w:r w:rsidR="001271C6">
        <w:rPr>
          <w:rFonts w:eastAsia="Times New Roman"/>
          <w:szCs w:val="20"/>
        </w:rPr>
        <w:t xml:space="preserve"> </w:t>
      </w:r>
      <w:r w:rsidR="00F3708F">
        <w:rPr>
          <w:rFonts w:eastAsia="Times New Roman"/>
          <w:szCs w:val="20"/>
        </w:rPr>
        <w:t xml:space="preserve"> </w:t>
      </w:r>
      <w:r w:rsidR="00AB0AFF">
        <w:rPr>
          <w:rFonts w:eastAsia="Times New Roman"/>
          <w:szCs w:val="20"/>
        </w:rPr>
        <w:t xml:space="preserve"> </w:t>
      </w:r>
      <w:r w:rsidR="00AB0AFF" w:rsidRPr="00AB0AFF">
        <w:rPr>
          <w:rFonts w:eastAsia="Times New Roman"/>
          <w:szCs w:val="20"/>
        </w:rPr>
        <w:t xml:space="preserve"> </w:t>
      </w:r>
      <w:r w:rsidR="00906360" w:rsidRPr="00AB0AFF">
        <w:rPr>
          <w:rFonts w:eastAsia="Times New Roman"/>
          <w:szCs w:val="20"/>
        </w:rPr>
        <w:t xml:space="preserve"> </w:t>
      </w:r>
    </w:p>
    <w:p w:rsidR="00340FD2" w:rsidRDefault="005D102A" w:rsidP="00814BF7">
      <w:pPr>
        <w:spacing w:after="120"/>
        <w:ind w:firstLine="720"/>
      </w:pPr>
      <w:r>
        <w:rPr>
          <w:rFonts w:eastAsia="Times New Roman"/>
          <w:szCs w:val="20"/>
        </w:rPr>
        <w:t xml:space="preserve">  </w:t>
      </w:r>
    </w:p>
    <w:p w:rsidR="00E26A83" w:rsidRPr="002C5CFE" w:rsidRDefault="002C5CFE" w:rsidP="002C5CFE">
      <w:pPr>
        <w:spacing w:after="120"/>
        <w:ind w:firstLine="720"/>
      </w:pPr>
      <w:r>
        <w:t>Date:</w:t>
      </w:r>
      <w:r w:rsidR="00932095">
        <w:t xml:space="preserve">  October </w:t>
      </w:r>
      <w:r w:rsidR="00675A2A">
        <w:t>23</w:t>
      </w:r>
      <w:r w:rsidR="00932095">
        <w:t>, 2017</w:t>
      </w:r>
    </w:p>
    <w:p w:rsidR="00C84642" w:rsidRDefault="00E26A83" w:rsidP="00C57157">
      <w:pPr>
        <w:ind w:firstLine="720"/>
      </w:pPr>
      <w:r>
        <w:t xml:space="preserve"> </w:t>
      </w:r>
      <w:r w:rsidR="002C5CFE">
        <w:tab/>
      </w:r>
      <w:r w:rsidR="002C5CFE">
        <w:tab/>
      </w:r>
      <w:r w:rsidR="002C5CFE">
        <w:tab/>
      </w:r>
      <w:r w:rsidR="002C5CFE">
        <w:tab/>
      </w:r>
      <w:r w:rsidR="002C5CFE">
        <w:tab/>
      </w:r>
      <w:r w:rsidR="002C5CFE">
        <w:tab/>
        <w:t>_________________________________</w:t>
      </w:r>
    </w:p>
    <w:p w:rsidR="00505C2E" w:rsidRPr="002C5CFE" w:rsidRDefault="00505C2E" w:rsidP="002C5CFE">
      <w:pPr>
        <w:ind w:left="4320" w:firstLine="720"/>
      </w:pPr>
      <w:r w:rsidRPr="00DE66D2">
        <w:rPr>
          <w:rFonts w:eastAsia="Times New Roman"/>
          <w:szCs w:val="20"/>
        </w:rPr>
        <w:t>Jean F. Farrington</w:t>
      </w:r>
      <w:r w:rsidR="002C5CFE">
        <w:rPr>
          <w:rFonts w:eastAsia="Times New Roman"/>
          <w:szCs w:val="20"/>
        </w:rPr>
        <w:t>, Esq.</w:t>
      </w:r>
    </w:p>
    <w:p w:rsidR="002C5CFE" w:rsidRDefault="00505C2E" w:rsidP="00505C2E">
      <w:pPr>
        <w:rPr>
          <w:rFonts w:eastAsia="Times New Roman"/>
          <w:szCs w:val="20"/>
        </w:rPr>
      </w:pPr>
      <w:r w:rsidRPr="00DE66D2">
        <w:rPr>
          <w:rFonts w:eastAsia="Times New Roman"/>
          <w:szCs w:val="20"/>
        </w:rPr>
        <w:tab/>
      </w:r>
      <w:r w:rsidRPr="00DE66D2">
        <w:rPr>
          <w:rFonts w:eastAsia="Times New Roman"/>
          <w:szCs w:val="20"/>
        </w:rPr>
        <w:tab/>
      </w:r>
      <w:r w:rsidRPr="00DE66D2">
        <w:rPr>
          <w:rFonts w:eastAsia="Times New Roman"/>
          <w:szCs w:val="20"/>
        </w:rPr>
        <w:tab/>
      </w:r>
      <w:r w:rsidRPr="00DE66D2">
        <w:rPr>
          <w:rFonts w:eastAsia="Times New Roman"/>
          <w:szCs w:val="20"/>
        </w:rPr>
        <w:tab/>
      </w:r>
      <w:r w:rsidRPr="00DE66D2">
        <w:rPr>
          <w:rFonts w:eastAsia="Times New Roman"/>
          <w:szCs w:val="20"/>
        </w:rPr>
        <w:tab/>
      </w:r>
      <w:r w:rsidRPr="00DE66D2">
        <w:rPr>
          <w:rFonts w:eastAsia="Times New Roman"/>
          <w:szCs w:val="20"/>
        </w:rPr>
        <w:tab/>
      </w:r>
      <w:r w:rsidRPr="00DE66D2">
        <w:rPr>
          <w:rFonts w:eastAsia="Times New Roman"/>
          <w:szCs w:val="20"/>
        </w:rPr>
        <w:tab/>
        <w:t xml:space="preserve">Chair, Board of Review </w:t>
      </w:r>
    </w:p>
    <w:p w:rsidR="002C5CFE" w:rsidRDefault="002C5CFE" w:rsidP="00505C2E">
      <w:pPr>
        <w:rPr>
          <w:rFonts w:eastAsia="Times New Roman"/>
          <w:szCs w:val="20"/>
        </w:rPr>
      </w:pPr>
    </w:p>
    <w:p w:rsidR="002C5CFE" w:rsidRDefault="002C5CFE" w:rsidP="00505C2E">
      <w:pPr>
        <w:rPr>
          <w:rFonts w:eastAsia="Times New Roman"/>
          <w:szCs w:val="20"/>
        </w:rPr>
      </w:pPr>
    </w:p>
    <w:p w:rsidR="002C5CFE" w:rsidRDefault="002C5CFE" w:rsidP="00505C2E">
      <w:pPr>
        <w:rPr>
          <w:rFonts w:eastAsia="Times New Roman"/>
          <w:szCs w:val="20"/>
        </w:rPr>
      </w:pPr>
    </w:p>
    <w:p w:rsidR="002C5CFE" w:rsidRDefault="002C5CFE" w:rsidP="00505C2E">
      <w:pPr>
        <w:rPr>
          <w:rFonts w:eastAsia="Times New Roman"/>
          <w:szCs w:val="20"/>
        </w:rPr>
      </w:pP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_________________________________</w:t>
      </w:r>
    </w:p>
    <w:p w:rsidR="002C5CFE" w:rsidRDefault="002C5CFE" w:rsidP="00505C2E">
      <w:pPr>
        <w:rPr>
          <w:rFonts w:eastAsia="Times New Roman"/>
          <w:szCs w:val="20"/>
        </w:rPr>
      </w:pP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Samuel Leadholm, Esq.</w:t>
      </w:r>
    </w:p>
    <w:p w:rsidR="002C5CFE" w:rsidRDefault="002C5CFE" w:rsidP="00505C2E">
      <w:pPr>
        <w:rPr>
          <w:rFonts w:eastAsia="Times New Roman"/>
          <w:szCs w:val="20"/>
        </w:rPr>
      </w:pP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Board of Review</w:t>
      </w:r>
    </w:p>
    <w:p w:rsidR="002C5CFE" w:rsidRDefault="002C5CFE" w:rsidP="00505C2E">
      <w:pPr>
        <w:rPr>
          <w:rFonts w:eastAsia="Times New Roman"/>
          <w:szCs w:val="20"/>
        </w:rPr>
      </w:pPr>
    </w:p>
    <w:p w:rsidR="002C5CFE" w:rsidRDefault="002C5CFE" w:rsidP="00505C2E">
      <w:pPr>
        <w:rPr>
          <w:rFonts w:eastAsia="Times New Roman"/>
          <w:szCs w:val="20"/>
        </w:rPr>
      </w:pPr>
    </w:p>
    <w:p w:rsidR="002C5CFE" w:rsidRDefault="002C5CFE" w:rsidP="00505C2E">
      <w:pPr>
        <w:rPr>
          <w:rFonts w:eastAsia="Times New Roman"/>
          <w:szCs w:val="20"/>
        </w:rPr>
      </w:pPr>
    </w:p>
    <w:p w:rsidR="002C5CFE" w:rsidRDefault="002C5CFE" w:rsidP="00505C2E">
      <w:pPr>
        <w:rPr>
          <w:rFonts w:eastAsia="Times New Roman"/>
          <w:szCs w:val="20"/>
        </w:rPr>
      </w:pP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_________________________________</w:t>
      </w:r>
    </w:p>
    <w:p w:rsidR="001823EC" w:rsidRDefault="001823EC" w:rsidP="001823EC">
      <w:pPr>
        <w:rPr>
          <w:rFonts w:eastAsia="Times New Roman"/>
          <w:szCs w:val="20"/>
        </w:rPr>
      </w:pP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Emily Gabrault, Esq.</w:t>
      </w:r>
      <w:r w:rsidR="002C5CFE">
        <w:rPr>
          <w:rFonts w:eastAsia="Times New Roman"/>
          <w:szCs w:val="20"/>
        </w:rPr>
        <w:t xml:space="preserve">                                     </w:t>
      </w:r>
    </w:p>
    <w:p w:rsidR="00505C2E" w:rsidRPr="00DE66D2" w:rsidRDefault="002C5CFE" w:rsidP="00505C2E">
      <w:pPr>
        <w:rPr>
          <w:rFonts w:eastAsia="Times New Roman"/>
          <w:szCs w:val="20"/>
        </w:rPr>
      </w:pP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sidR="001823EC">
        <w:rPr>
          <w:rFonts w:eastAsia="Times New Roman"/>
          <w:szCs w:val="20"/>
        </w:rPr>
        <w:tab/>
      </w:r>
      <w:r>
        <w:rPr>
          <w:rFonts w:eastAsia="Times New Roman"/>
          <w:szCs w:val="20"/>
        </w:rPr>
        <w:t>Board of Review</w:t>
      </w:r>
      <w:r w:rsidR="00505C2E" w:rsidRPr="00DE66D2">
        <w:rPr>
          <w:rFonts w:eastAsia="Times New Roman"/>
          <w:szCs w:val="20"/>
        </w:rPr>
        <w:t xml:space="preserve"> </w:t>
      </w:r>
    </w:p>
    <w:sectPr w:rsidR="00505C2E" w:rsidRPr="00DE66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C22" w:rsidRDefault="009E7C22" w:rsidP="00C57157">
      <w:r>
        <w:separator/>
      </w:r>
    </w:p>
  </w:endnote>
  <w:endnote w:type="continuationSeparator" w:id="0">
    <w:p w:rsidR="009E7C22" w:rsidRDefault="009E7C22" w:rsidP="00C5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069643"/>
      <w:docPartObj>
        <w:docPartGallery w:val="Page Numbers (Bottom of Page)"/>
        <w:docPartUnique/>
      </w:docPartObj>
    </w:sdtPr>
    <w:sdtEndPr>
      <w:rPr>
        <w:noProof/>
      </w:rPr>
    </w:sdtEndPr>
    <w:sdtContent>
      <w:p w:rsidR="00BF6DFC" w:rsidRDefault="00BF6DFC">
        <w:pPr>
          <w:pStyle w:val="Footer"/>
          <w:jc w:val="right"/>
        </w:pPr>
        <w:r>
          <w:fldChar w:fldCharType="begin"/>
        </w:r>
        <w:r>
          <w:instrText xml:space="preserve"> PAGE   \* MERGEFORMAT </w:instrText>
        </w:r>
        <w:r>
          <w:fldChar w:fldCharType="separate"/>
        </w:r>
        <w:r w:rsidR="00BE24BE">
          <w:rPr>
            <w:noProof/>
          </w:rPr>
          <w:t>1</w:t>
        </w:r>
        <w:r>
          <w:rPr>
            <w:noProof/>
          </w:rPr>
          <w:fldChar w:fldCharType="end"/>
        </w:r>
      </w:p>
    </w:sdtContent>
  </w:sdt>
  <w:p w:rsidR="00BF6DFC" w:rsidRDefault="00BF6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C22" w:rsidRDefault="009E7C22" w:rsidP="00C57157">
      <w:r>
        <w:separator/>
      </w:r>
    </w:p>
  </w:footnote>
  <w:footnote w:type="continuationSeparator" w:id="0">
    <w:p w:rsidR="009E7C22" w:rsidRDefault="009E7C22" w:rsidP="00C57157">
      <w:r>
        <w:continuationSeparator/>
      </w:r>
    </w:p>
  </w:footnote>
  <w:footnote w:id="1">
    <w:p w:rsidR="004A6042" w:rsidRDefault="004A6042">
      <w:pPr>
        <w:pStyle w:val="FootnoteText"/>
      </w:pPr>
      <w:r>
        <w:rPr>
          <w:rStyle w:val="FootnoteReference"/>
        </w:rPr>
        <w:footnoteRef/>
      </w:r>
      <w:r>
        <w:t xml:space="preserve"> Members of the Board are Jean F. Farrington, Esq., Counsel to the Commissioner of Insurance, who serves as the Chair, Emily Gabrault, Esq., appointed by the Attorney General, and Samuel Leadholm, Esq., </w:t>
      </w:r>
      <w:r w:rsidR="00A455A5">
        <w:t xml:space="preserve">designee of the Chair of the </w:t>
      </w:r>
      <w:r>
        <w:t xml:space="preserve">Board of Registration in Dentistry.  </w:t>
      </w:r>
    </w:p>
  </w:footnote>
  <w:footnote w:id="2">
    <w:p w:rsidR="001B7998" w:rsidRDefault="001B7998" w:rsidP="001B7998">
      <w:pPr>
        <w:pStyle w:val="FootnoteText"/>
      </w:pPr>
      <w:r>
        <w:rPr>
          <w:rStyle w:val="FootnoteReference"/>
        </w:rPr>
        <w:footnoteRef/>
      </w:r>
      <w:r w:rsidR="00CD4093">
        <w:rPr>
          <w:rFonts w:eastAsia="Times New Roman"/>
        </w:rPr>
        <w:t xml:space="preserve"> </w:t>
      </w:r>
      <w:r w:rsidRPr="00DE66D2">
        <w:rPr>
          <w:rFonts w:eastAsia="Times New Roman"/>
        </w:rPr>
        <w:t xml:space="preserve">In that memorandum, Delta Dental pointed out that the complaint Petitioners submitted on July 11, 2014 was their initial class action complaint, which did not name Dr. Adams as a party.  </w:t>
      </w:r>
      <w:r>
        <w:rPr>
          <w:rFonts w:eastAsia="Times New Roman"/>
        </w:rPr>
        <w:t xml:space="preserve"> Petitioners, on July 15, moved to substitute the Amended Complaint that had been filed in the Superior Court on May 30, 2012.                                                                                                                                                                                                                                                                                                                                                                                                                                                                                                                                                                                                                                                                                                                                                                                                                                                                                                                                                                                                                                                                                                                                                                                                                                                                                                                                                                                                                                                                                                                                                                                                                                                                                                                                                                                                                                                                                                                                                                                                                                                                                                                                                                                                                                                                                                                                                                                                         </w:t>
      </w:r>
      <w:r>
        <w:t xml:space="preserve"> </w:t>
      </w:r>
    </w:p>
  </w:footnote>
  <w:footnote w:id="3">
    <w:p w:rsidR="005E17C3" w:rsidRDefault="005E17C3">
      <w:pPr>
        <w:pStyle w:val="FootnoteText"/>
      </w:pPr>
      <w:r>
        <w:rPr>
          <w:rStyle w:val="FootnoteReference"/>
        </w:rPr>
        <w:footnoteRef/>
      </w:r>
      <w:r>
        <w:t xml:space="preserve"> Petitioners submitted, as part of their prehearing statement, records of the proceedings at the Superior Court and Appellate Courts.  </w:t>
      </w:r>
    </w:p>
  </w:footnote>
  <w:footnote w:id="4">
    <w:p w:rsidR="00222D2E" w:rsidRDefault="00222D2E">
      <w:pPr>
        <w:pStyle w:val="FootnoteText"/>
      </w:pPr>
      <w:r>
        <w:rPr>
          <w:rStyle w:val="FootnoteReference"/>
        </w:rPr>
        <w:footnoteRef/>
      </w:r>
      <w:r>
        <w:t xml:space="preserve"> Delta Dental does not have a </w:t>
      </w:r>
      <w:r w:rsidR="00035E9F">
        <w:t xml:space="preserve">single </w:t>
      </w:r>
      <w:r w:rsidR="00122D41">
        <w:t>methodology</w:t>
      </w:r>
      <w:r>
        <w:t xml:space="preserve"> for compensating participating dentists.  </w:t>
      </w:r>
      <w:r w:rsidR="00035E9F">
        <w:t>Plans</w:t>
      </w:r>
      <w:r w:rsidR="00122D41">
        <w:t>, for example,</w:t>
      </w:r>
      <w:r w:rsidR="00035E9F">
        <w:t xml:space="preserve"> may </w:t>
      </w:r>
      <w:r w:rsidR="00122D41">
        <w:t>pay participating dentists</w:t>
      </w:r>
      <w:r w:rsidR="00035E9F">
        <w:t xml:space="preserve"> according to a Table of Allowances, or a Schedule of Maximum Covered Charges.</w:t>
      </w:r>
      <w:r w:rsidR="00122D41">
        <w:t xml:space="preserve">  Some plans require the patient to pay a portion of the dentist’s charges. </w:t>
      </w:r>
      <w:r w:rsidR="00035E9F">
        <w:t xml:space="preserve">  </w:t>
      </w:r>
      <w:r w:rsidR="00F8083F">
        <w:t>Petitioners</w:t>
      </w:r>
      <w:r w:rsidR="007F0D27">
        <w:t>’</w:t>
      </w:r>
      <w:r w:rsidR="00F8083F">
        <w:t xml:space="preserve"> complaint relate</w:t>
      </w:r>
      <w:r w:rsidR="00122D41">
        <w:t>s</w:t>
      </w:r>
      <w:r w:rsidR="00F8083F">
        <w:t xml:space="preserve"> only to Delta Premier.  </w:t>
      </w:r>
      <w:r w:rsidR="00035E9F">
        <w:t xml:space="preserve"> </w:t>
      </w:r>
      <w:r>
        <w:t xml:space="preserve">  </w:t>
      </w:r>
    </w:p>
  </w:footnote>
  <w:footnote w:id="5">
    <w:p w:rsidR="00207D03" w:rsidRDefault="00207D03">
      <w:pPr>
        <w:pStyle w:val="FootnoteText"/>
      </w:pPr>
      <w:r>
        <w:rPr>
          <w:rStyle w:val="FootnoteReference"/>
        </w:rPr>
        <w:footnoteRef/>
      </w:r>
      <w:r>
        <w:t xml:space="preserve"> Pursuant to M.G.L. c. 176E, §4, the </w:t>
      </w:r>
      <w:r w:rsidR="0069588A">
        <w:t xml:space="preserve">fees that </w:t>
      </w:r>
      <w:r w:rsidR="007C69BB">
        <w:t>Delta Dental pay</w:t>
      </w:r>
      <w:r w:rsidR="0069588A">
        <w:t>s</w:t>
      </w:r>
      <w:r w:rsidR="007C69BB">
        <w:t xml:space="preserve"> to </w:t>
      </w:r>
      <w:r>
        <w:t>participating</w:t>
      </w:r>
      <w:r w:rsidR="007C69BB">
        <w:t xml:space="preserve"> providers, or the methodology for determining such fees, is subject to a public hearing.  Such hearings are administrative proceedings</w:t>
      </w:r>
      <w:r w:rsidR="00AF2B4F">
        <w:t>,</w:t>
      </w:r>
      <w:r w:rsidR="007C69BB">
        <w:t xml:space="preserve"> conducted by the Commissioner or his or her designee pursuant to M.G.L. c. 30A, §2</w:t>
      </w:r>
      <w:r w:rsidR="00AF2B4F">
        <w:t xml:space="preserve">, that focus on whether the proposed methodology will produce rates that satisfy the statutory standards.  In contrast, a proceeding before the Board reflects a dispute between a participating dentist and a dental service corporation. </w:t>
      </w:r>
      <w:r w:rsidR="007C69BB">
        <w:t xml:space="preserve"> </w:t>
      </w:r>
      <w:r>
        <w:t xml:space="preserve"> </w:t>
      </w:r>
    </w:p>
  </w:footnote>
  <w:footnote w:id="6">
    <w:p w:rsidR="007E3990" w:rsidRDefault="007E3990">
      <w:pPr>
        <w:pStyle w:val="FootnoteText"/>
      </w:pPr>
      <w:r>
        <w:rPr>
          <w:rStyle w:val="FootnoteReference"/>
        </w:rPr>
        <w:footnoteRef/>
      </w:r>
      <w:r w:rsidR="006E380C">
        <w:t xml:space="preserve"> According to the material</w:t>
      </w:r>
      <w:r w:rsidR="00BA5A0B">
        <w:t>s</w:t>
      </w:r>
      <w:r>
        <w:t xml:space="preserve"> submitted by the Petitioners, the payment must be within the 90</w:t>
      </w:r>
      <w:r w:rsidRPr="007E3990">
        <w:rPr>
          <w:vertAlign w:val="superscript"/>
        </w:rPr>
        <w:t>th</w:t>
      </w:r>
      <w:r>
        <w:t xml:space="preserve"> percentile. </w:t>
      </w:r>
      <w:r w:rsidR="00BA5A0B">
        <w:t xml:space="preserve">  In 1976, the </w:t>
      </w:r>
      <w:r w:rsidR="007C69BB">
        <w:t xml:space="preserve">Commissioner </w:t>
      </w:r>
      <w:r w:rsidR="00BA5A0B">
        <w:t xml:space="preserve">issued a decision </w:t>
      </w:r>
      <w:r w:rsidR="00C23608">
        <w:t>approv</w:t>
      </w:r>
      <w:r w:rsidR="00BA5A0B">
        <w:t>ing</w:t>
      </w:r>
      <w:r w:rsidR="00C23608">
        <w:t xml:space="preserve"> Delta Dental’s proposal to modify the customary payment methodology from one based on a statistical analysis (mean plus one) to one </w:t>
      </w:r>
      <w:r w:rsidR="004717E9">
        <w:t xml:space="preserve">setting the </w:t>
      </w:r>
      <w:r w:rsidR="00C23608">
        <w:t>maximum customary payment at the 90</w:t>
      </w:r>
      <w:r w:rsidR="00C23608" w:rsidRPr="00C23608">
        <w:rPr>
          <w:vertAlign w:val="superscript"/>
        </w:rPr>
        <w:t>th</w:t>
      </w:r>
      <w:r w:rsidR="00C23608">
        <w:t xml:space="preserve"> percentile of charges by all dentists. </w:t>
      </w:r>
    </w:p>
  </w:footnote>
  <w:footnote w:id="7">
    <w:p w:rsidR="00074898" w:rsidRDefault="00074898" w:rsidP="00074898">
      <w:pPr>
        <w:pStyle w:val="FootnoteText"/>
      </w:pPr>
      <w:r>
        <w:rPr>
          <w:rStyle w:val="FootnoteReference"/>
        </w:rPr>
        <w:footnoteRef/>
      </w:r>
      <w:r>
        <w:t xml:space="preserve"> In May,</w:t>
      </w:r>
      <w:r w:rsidR="007C69BB">
        <w:t xml:space="preserve"> </w:t>
      </w:r>
      <w:r>
        <w:t>1979, the Commissioner issued a decision approving Delta Dental’s request to adjust usual and customary fees every six months.  Before then, those fees were subject to a single annual adjustment.</w:t>
      </w:r>
    </w:p>
  </w:footnote>
  <w:footnote w:id="8">
    <w:p w:rsidR="00D561EA" w:rsidRDefault="00D561EA">
      <w:pPr>
        <w:pStyle w:val="FootnoteText"/>
      </w:pPr>
      <w:r>
        <w:rPr>
          <w:rStyle w:val="FootnoteReference"/>
        </w:rPr>
        <w:footnoteRef/>
      </w:r>
      <w:r>
        <w:t xml:space="preserve"> See Petitioner’s Exhibit I to its preliminary statement.  </w:t>
      </w:r>
    </w:p>
  </w:footnote>
  <w:footnote w:id="9">
    <w:p w:rsidR="00342DD5" w:rsidRDefault="00342DD5" w:rsidP="00342DD5">
      <w:pPr>
        <w:pStyle w:val="FootnoteText"/>
      </w:pPr>
      <w:r>
        <w:rPr>
          <w:rStyle w:val="FootnoteReference"/>
        </w:rPr>
        <w:footnoteRef/>
      </w:r>
      <w:r>
        <w:t xml:space="preserve"> Four examples of that Outline are attached as exhibits B, C, D and Q to Petitioners’ statement.  They cover various periods beginning in 1979, 1989, 2007 and 2008.    </w:t>
      </w:r>
    </w:p>
  </w:footnote>
  <w:footnote w:id="10">
    <w:p w:rsidR="00653267" w:rsidRDefault="00653267">
      <w:pPr>
        <w:pStyle w:val="FootnoteText"/>
      </w:pPr>
      <w:r>
        <w:rPr>
          <w:rStyle w:val="FootnoteReference"/>
        </w:rPr>
        <w:footnoteRef/>
      </w:r>
      <w:r>
        <w:t xml:space="preserve"> A decision in that proceeding was issued on April 14, 2009.  </w:t>
      </w:r>
    </w:p>
  </w:footnote>
  <w:footnote w:id="11">
    <w:p w:rsidR="00FF0B13" w:rsidRDefault="00FF0B13">
      <w:pPr>
        <w:pStyle w:val="FootnoteText"/>
      </w:pPr>
      <w:r>
        <w:rPr>
          <w:rStyle w:val="FootnoteReference"/>
        </w:rPr>
        <w:footnoteRef/>
      </w:r>
      <w:r>
        <w:t xml:space="preserve"> The argument seems to infer that such authority would devolve both on the Commissioner and on an enti</w:t>
      </w:r>
      <w:r w:rsidR="00A455A5">
        <w:t>ty</w:t>
      </w:r>
      <w:r>
        <w:t xml:space="preserve"> such as the Board. </w:t>
      </w:r>
    </w:p>
  </w:footnote>
  <w:footnote w:id="12">
    <w:p w:rsidR="00FB265B" w:rsidRPr="00FF0B13" w:rsidRDefault="00FB265B">
      <w:pPr>
        <w:pStyle w:val="FootnoteText"/>
      </w:pPr>
      <w:r w:rsidRPr="00FF0B13">
        <w:rPr>
          <w:rStyle w:val="FootnoteReference"/>
        </w:rPr>
        <w:footnoteRef/>
      </w:r>
      <w:r w:rsidR="00B13912" w:rsidRPr="00FF0B13">
        <w:t xml:space="preserve"> </w:t>
      </w:r>
      <w:r w:rsidRPr="00FF0B13">
        <w:t xml:space="preserve">The Division of Hearing Officers is now the Division of Administrative Law Appeals.   </w:t>
      </w:r>
    </w:p>
  </w:footnote>
  <w:footnote w:id="13">
    <w:p w:rsidR="00440ACC" w:rsidRPr="00FF0B13" w:rsidRDefault="00440ACC" w:rsidP="00C72B47">
      <w:pPr>
        <w:rPr>
          <w:sz w:val="20"/>
          <w:szCs w:val="20"/>
        </w:rPr>
      </w:pPr>
      <w:r w:rsidRPr="00FF0B13">
        <w:rPr>
          <w:rStyle w:val="FootnoteReference"/>
          <w:sz w:val="20"/>
          <w:szCs w:val="20"/>
        </w:rPr>
        <w:footnoteRef/>
      </w:r>
      <w:r w:rsidRPr="00FF0B13">
        <w:rPr>
          <w:sz w:val="20"/>
          <w:szCs w:val="20"/>
        </w:rPr>
        <w:t xml:space="preserve"> </w:t>
      </w:r>
      <w:r w:rsidR="00FF0B13">
        <w:rPr>
          <w:sz w:val="20"/>
          <w:szCs w:val="20"/>
        </w:rPr>
        <w:t>M.</w:t>
      </w:r>
      <w:r w:rsidR="00B13912" w:rsidRPr="00FF0B13">
        <w:rPr>
          <w:sz w:val="20"/>
          <w:szCs w:val="20"/>
        </w:rPr>
        <w:t xml:space="preserve">G.L. c. </w:t>
      </w:r>
      <w:r w:rsidRPr="00FF0B13">
        <w:rPr>
          <w:sz w:val="20"/>
          <w:szCs w:val="20"/>
        </w:rPr>
        <w:t>176B</w:t>
      </w:r>
      <w:r w:rsidR="00B13912" w:rsidRPr="00FF0B13">
        <w:rPr>
          <w:sz w:val="20"/>
          <w:szCs w:val="20"/>
        </w:rPr>
        <w:t>,</w:t>
      </w:r>
      <w:r w:rsidRPr="00FF0B13">
        <w:rPr>
          <w:sz w:val="20"/>
          <w:szCs w:val="20"/>
        </w:rPr>
        <w:t xml:space="preserve"> </w:t>
      </w:r>
      <w:r w:rsidR="00B13912" w:rsidRPr="00FF0B13">
        <w:rPr>
          <w:sz w:val="20"/>
          <w:szCs w:val="20"/>
        </w:rPr>
        <w:t>§</w:t>
      </w:r>
      <w:r w:rsidRPr="00FF0B13">
        <w:rPr>
          <w:sz w:val="20"/>
          <w:szCs w:val="20"/>
        </w:rPr>
        <w:t>12</w:t>
      </w:r>
      <w:r w:rsidR="00B13912" w:rsidRPr="00FF0B13">
        <w:rPr>
          <w:sz w:val="20"/>
          <w:szCs w:val="20"/>
        </w:rPr>
        <w:t xml:space="preserve">, which permits disputes or controversies between a medical service corporation, </w:t>
      </w:r>
      <w:r w:rsidR="00B13912" w:rsidRPr="00FF0B13">
        <w:rPr>
          <w:i/>
          <w:sz w:val="20"/>
          <w:szCs w:val="20"/>
        </w:rPr>
        <w:t>i.e.,</w:t>
      </w:r>
      <w:r w:rsidR="00B13912" w:rsidRPr="00FF0B13">
        <w:rPr>
          <w:sz w:val="20"/>
          <w:szCs w:val="20"/>
        </w:rPr>
        <w:t xml:space="preserve"> Blue Shield, and participating health care providers to be heard by a Board of Review, permits some cases that the Board is unable to resolve to be heard as a class action in Superior Court under Mass. R. Civ. P. 23.1.</w:t>
      </w:r>
      <w:r w:rsidRPr="00FF0B13">
        <w:rPr>
          <w:sz w:val="20"/>
          <w:szCs w:val="20"/>
        </w:rPr>
        <w:t xml:space="preserve"> </w:t>
      </w:r>
      <w:r w:rsidR="004952BB" w:rsidRPr="00FF0B13">
        <w:rPr>
          <w:sz w:val="20"/>
          <w:szCs w:val="20"/>
        </w:rPr>
        <w:t xml:space="preserve"> There is no parallel provision in c. 176E</w:t>
      </w:r>
      <w:r w:rsidR="0020389A" w:rsidRPr="00FF0B13">
        <w:rPr>
          <w:sz w:val="20"/>
          <w:szCs w:val="20"/>
        </w:rPr>
        <w:t>, §12</w:t>
      </w:r>
      <w:r w:rsidR="004952BB" w:rsidRPr="00FF0B13">
        <w:rPr>
          <w:sz w:val="20"/>
          <w:szCs w:val="20"/>
        </w:rPr>
        <w:t>.</w:t>
      </w:r>
    </w:p>
  </w:footnote>
  <w:footnote w:id="14">
    <w:p w:rsidR="00ED051E" w:rsidRDefault="00ED051E">
      <w:pPr>
        <w:pStyle w:val="FootnoteText"/>
      </w:pPr>
      <w:r>
        <w:rPr>
          <w:rStyle w:val="FootnoteReference"/>
        </w:rPr>
        <w:footnoteRef/>
      </w:r>
      <w:r>
        <w:t xml:space="preserve"> In addition to arguing that </w:t>
      </w:r>
      <w:r w:rsidR="0011697B">
        <w:t>the Board can certify a class, P</w:t>
      </w:r>
      <w:r>
        <w:t>etitioners conten</w:t>
      </w:r>
      <w:r w:rsidR="0048202B">
        <w:t xml:space="preserve">d that </w:t>
      </w:r>
      <w:r w:rsidR="0011697B">
        <w:t>the</w:t>
      </w:r>
      <w:r w:rsidR="0020389A">
        <w:t xml:space="preserve"> proposed </w:t>
      </w:r>
      <w:r w:rsidR="0048202B">
        <w:t xml:space="preserve">class action is timely because c. 176E, §4 requires Delta Dental to respond to a notice of claim [for payment] by a participating dentist within 15 days after receiving the notice.  They argue that </w:t>
      </w:r>
      <w:r w:rsidR="007C20E1">
        <w:t xml:space="preserve">because </w:t>
      </w:r>
      <w:r w:rsidR="0048202B">
        <w:t>the statute imposes no time limitation on when dentist</w:t>
      </w:r>
      <w:r w:rsidR="007C20E1">
        <w:t>s</w:t>
      </w:r>
      <w:r w:rsidR="0048202B">
        <w:t xml:space="preserve"> must submit that notice of claim, </w:t>
      </w:r>
      <w:r w:rsidR="007C20E1">
        <w:t>they can submit then at any time, regardless of when they arose.</w:t>
      </w:r>
      <w:r w:rsidR="0011697B">
        <w:t xml:space="preserve"> </w:t>
      </w:r>
      <w:r w:rsidR="00686A60">
        <w:t xml:space="preserve">Petitioners do not reconcile that statement with language in the Participating Dentists’ Handbook that </w:t>
      </w:r>
      <w:r w:rsidR="00EE6123">
        <w:t xml:space="preserve">requires participating dentists to </w:t>
      </w:r>
      <w:r w:rsidR="00244AA6">
        <w:t>report services</w:t>
      </w:r>
      <w:r w:rsidR="00EE6123">
        <w:t xml:space="preserve"> provided to Delta Dental subscribers monthly or within 30 da</w:t>
      </w:r>
      <w:r w:rsidR="0011697B">
        <w:t>ys from completing the service.</w:t>
      </w:r>
      <w:r w:rsidR="007C20E1">
        <w:t xml:space="preserve">  </w:t>
      </w:r>
      <w:r w:rsidR="00B35B1D">
        <w:t xml:space="preserve">At issue in this proceeding is when Petitioners became, or should have become, aware of the incorporation of a CPI factor into calculating the maximum customary fee.  </w:t>
      </w:r>
      <w:r w:rsidR="00D613CA">
        <w:t xml:space="preserve">By 2008, that issue was a matter of public </w:t>
      </w:r>
      <w:r w:rsidR="00203066">
        <w:t>review</w:t>
      </w:r>
      <w:r w:rsidR="00686A60">
        <w:t xml:space="preserve">, and was specifically described by Delta Dental in a document </w:t>
      </w:r>
      <w:r w:rsidR="00467A00">
        <w:t>submitted as Delta Dental Exhibit 9 in the regulatory proceeding on its fee methodologies initiated in December 2008, Docket No. G2008-10.</w:t>
      </w:r>
      <w:r w:rsidR="00203066">
        <w:t xml:space="preserve">  </w:t>
      </w:r>
      <w:r w:rsidR="00244AA6">
        <w:t>Petitioner</w:t>
      </w:r>
      <w:r w:rsidR="0011697B">
        <w:t>s</w:t>
      </w:r>
      <w:r w:rsidR="00244AA6">
        <w:t>’</w:t>
      </w:r>
      <w:r w:rsidR="00203066">
        <w:t xml:space="preserve"> argument that their current objections to the amount of payment they received in the past should be viewed as “claims” for payment is no more persuasive.         </w:t>
      </w:r>
      <w:r w:rsidR="00D613CA">
        <w:t xml:space="preserve"> </w:t>
      </w:r>
      <w:r w:rsidR="0048202B">
        <w:t xml:space="preserve"> </w:t>
      </w:r>
    </w:p>
  </w:footnote>
  <w:footnote w:id="15">
    <w:p w:rsidR="00184687" w:rsidRPr="00C72B47" w:rsidRDefault="00184687" w:rsidP="00C72B47">
      <w:pPr>
        <w:rPr>
          <w:sz w:val="20"/>
          <w:szCs w:val="22"/>
        </w:rPr>
      </w:pPr>
      <w:r w:rsidRPr="00C72B47">
        <w:rPr>
          <w:rStyle w:val="FootnoteReference"/>
          <w:sz w:val="20"/>
        </w:rPr>
        <w:footnoteRef/>
      </w:r>
      <w:r w:rsidRPr="00C72B47">
        <w:rPr>
          <w:sz w:val="20"/>
        </w:rPr>
        <w:t xml:space="preserve"> </w:t>
      </w:r>
      <w:r w:rsidRPr="00C72B47">
        <w:rPr>
          <w:sz w:val="20"/>
          <w:szCs w:val="22"/>
        </w:rPr>
        <w:t>In practice, the Commissioner does not approve the specific fees paid to participating dentists, but approves the m</w:t>
      </w:r>
      <w:r w:rsidR="00E8787F" w:rsidRPr="00C72B47">
        <w:rPr>
          <w:sz w:val="20"/>
          <w:szCs w:val="22"/>
        </w:rPr>
        <w:t>ethod of determining those fees.</w:t>
      </w:r>
      <w:r w:rsidRPr="00C72B47">
        <w:rPr>
          <w:sz w:val="20"/>
          <w:szCs w:val="22"/>
        </w:rPr>
        <w:t xml:space="preserve"> </w:t>
      </w:r>
      <w:r w:rsidR="004952BB">
        <w:rPr>
          <w:sz w:val="20"/>
          <w:szCs w:val="22"/>
        </w:rPr>
        <w:t xml:space="preserve"> </w:t>
      </w:r>
      <w:r w:rsidR="001823EC">
        <w:rPr>
          <w:sz w:val="20"/>
          <w:szCs w:val="22"/>
        </w:rPr>
        <w:t>As noted above, tho</w:t>
      </w:r>
      <w:r w:rsidR="00FF0B13">
        <w:rPr>
          <w:sz w:val="20"/>
          <w:szCs w:val="22"/>
        </w:rPr>
        <w:t>se h</w:t>
      </w:r>
      <w:r w:rsidR="004952BB">
        <w:rPr>
          <w:sz w:val="20"/>
          <w:szCs w:val="22"/>
        </w:rPr>
        <w:t xml:space="preserve">earings on fee methodologies are regulatory, not adjudicatory.  </w:t>
      </w:r>
      <w:r w:rsidRPr="00C72B47">
        <w:rPr>
          <w:sz w:val="20"/>
          <w:szCs w:val="22"/>
        </w:rPr>
        <w:t xml:space="preserve"> </w:t>
      </w:r>
    </w:p>
  </w:footnote>
  <w:footnote w:id="16">
    <w:p w:rsidR="00E8787F" w:rsidRDefault="00E8787F">
      <w:pPr>
        <w:pStyle w:val="FootnoteText"/>
      </w:pPr>
      <w:r>
        <w:rPr>
          <w:rStyle w:val="FootnoteReference"/>
        </w:rPr>
        <w:footnoteRef/>
      </w:r>
      <w:r>
        <w:t xml:space="preserve"> </w:t>
      </w:r>
      <w:r w:rsidR="0087283A" w:rsidRPr="00E500B1">
        <w:rPr>
          <w:i/>
        </w:rPr>
        <w:t xml:space="preserve">Concerning Fees that Dental Services of Massachusetts, Inc., d/b/a Delta Dental Plan of Massachusetts </w:t>
      </w:r>
      <w:r w:rsidR="00E500B1" w:rsidRPr="00E500B1">
        <w:rPr>
          <w:i/>
        </w:rPr>
        <w:t>, Pays Participating Providers and the Method Used to Determine Such Fees Pursuant to M.G.L. c. 176E, §4</w:t>
      </w:r>
      <w:r w:rsidR="00E500B1">
        <w:t>, DOI Docket No. G2008-10.</w:t>
      </w:r>
      <w:r>
        <w:t xml:space="preserve"> </w:t>
      </w:r>
    </w:p>
  </w:footnote>
  <w:footnote w:id="17">
    <w:p w:rsidR="000A2526" w:rsidRDefault="000A2526">
      <w:pPr>
        <w:pStyle w:val="FootnoteText"/>
      </w:pPr>
      <w:r>
        <w:rPr>
          <w:rStyle w:val="FootnoteReference"/>
        </w:rPr>
        <w:footnoteRef/>
      </w:r>
      <w:r>
        <w:t xml:space="preserve"> Exhibit 6 to Delta Dental’s motion is a “Delta Task Force Advisory</w:t>
      </w:r>
      <w:r w:rsidR="00467A00">
        <w:t xml:space="preserve">,” dated January </w:t>
      </w:r>
      <w:r>
        <w:t>2005</w:t>
      </w:r>
      <w:r w:rsidR="00467A00">
        <w:t>,</w:t>
      </w:r>
      <w:r>
        <w:t xml:space="preserve"> that the Massach</w:t>
      </w:r>
      <w:r w:rsidR="00D613CA">
        <w:t>us</w:t>
      </w:r>
      <w:r>
        <w:t xml:space="preserve">etts Dental Society distributed to its members.  It states that the Task Force was investigating the possibility of eliminating the Delta Dental 5 percent discount and the cap on statewide maximum fees.   </w:t>
      </w:r>
    </w:p>
  </w:footnote>
  <w:footnote w:id="18">
    <w:p w:rsidR="002079CD" w:rsidRDefault="002079CD">
      <w:pPr>
        <w:pStyle w:val="FootnoteText"/>
      </w:pPr>
      <w:r>
        <w:rPr>
          <w:rStyle w:val="FootnoteReference"/>
        </w:rPr>
        <w:footnoteRef/>
      </w:r>
      <w:r>
        <w:t xml:space="preserve"> P</w:t>
      </w:r>
      <w:r w:rsidR="00467A00">
        <w:t>etitioners</w:t>
      </w:r>
      <w:r>
        <w:t xml:space="preserve"> attached to their prehearing statement copies of outlines of reimbursement that refer to periodic adjustments to the customary fees.  </w:t>
      </w:r>
      <w:r w:rsidR="00761284">
        <w:t>Exhibit Q, titled Methods of Reimbursement for Delta Dental Premier, Revised 3/2008, refers to the use of a CPI</w:t>
      </w:r>
      <w:r w:rsidR="00C01327">
        <w:t xml:space="preserve"> in calculating increases to the customary maximum fee.  </w:t>
      </w:r>
      <w:r>
        <w:t xml:space="preserve"> </w:t>
      </w:r>
    </w:p>
  </w:footnote>
  <w:footnote w:id="19">
    <w:p w:rsidR="00B50351" w:rsidRPr="002079CD" w:rsidRDefault="00B50351" w:rsidP="002079CD">
      <w:pPr>
        <w:rPr>
          <w:sz w:val="22"/>
        </w:rPr>
      </w:pPr>
      <w:r>
        <w:rPr>
          <w:rStyle w:val="FootnoteReference"/>
        </w:rPr>
        <w:footnoteRef/>
      </w:r>
      <w:r>
        <w:t xml:space="preserve"> </w:t>
      </w:r>
      <w:r w:rsidRPr="00AA40E5">
        <w:rPr>
          <w:sz w:val="20"/>
          <w:szCs w:val="20"/>
        </w:rPr>
        <w:t xml:space="preserve">CSH executed a group practice agreement with Delta Dental on June 16, 1994, that Delta Dental executed on June 13, 1995, and has been a participating practice in the Premier Network since then. </w:t>
      </w:r>
      <w:r w:rsidR="00120B62" w:rsidRPr="00AA40E5">
        <w:rPr>
          <w:sz w:val="20"/>
          <w:szCs w:val="20"/>
        </w:rPr>
        <w:t xml:space="preserve"> </w:t>
      </w:r>
      <w:r w:rsidR="00467A00">
        <w:rPr>
          <w:sz w:val="20"/>
          <w:szCs w:val="20"/>
        </w:rPr>
        <w:t>Dr. Adams executed a participating d</w:t>
      </w:r>
      <w:r w:rsidRPr="00AA40E5">
        <w:rPr>
          <w:sz w:val="20"/>
          <w:szCs w:val="20"/>
        </w:rPr>
        <w:t>entists’ agreement with Delta Dental</w:t>
      </w:r>
      <w:r w:rsidR="001271C6" w:rsidRPr="00AA40E5">
        <w:rPr>
          <w:sz w:val="20"/>
          <w:szCs w:val="20"/>
        </w:rPr>
        <w:t xml:space="preserve"> in 1998</w:t>
      </w:r>
      <w:r w:rsidR="001271C6">
        <w:rPr>
          <w:sz w:val="22"/>
        </w:rPr>
        <w:t>.</w:t>
      </w:r>
      <w:r w:rsidR="00F94CA2">
        <w:rPr>
          <w:sz w:val="22"/>
        </w:rPr>
        <w:t xml:space="preserve"> Their</w:t>
      </w:r>
      <w:r w:rsidR="00F94CA2" w:rsidRPr="00AA40E5">
        <w:rPr>
          <w:sz w:val="20"/>
          <w:szCs w:val="20"/>
        </w:rPr>
        <w:t xml:space="preserve"> complaint, however, is not limited to alleged events occurring after th</w:t>
      </w:r>
      <w:r w:rsidR="00F94CA2">
        <w:rPr>
          <w:sz w:val="20"/>
          <w:szCs w:val="20"/>
        </w:rPr>
        <w:t>ose</w:t>
      </w:r>
      <w:r w:rsidR="00F94CA2" w:rsidRPr="00AA40E5">
        <w:rPr>
          <w:sz w:val="20"/>
          <w:szCs w:val="20"/>
        </w:rPr>
        <w:t xml:space="preserve"> date</w:t>
      </w:r>
      <w:r w:rsidR="00F94CA2">
        <w:rPr>
          <w:sz w:val="20"/>
          <w:szCs w:val="20"/>
        </w:rPr>
        <w:t>s</w:t>
      </w:r>
      <w:r w:rsidR="00F94CA2" w:rsidRPr="00AA40E5">
        <w:rPr>
          <w:sz w:val="20"/>
          <w:szCs w:val="20"/>
        </w:rPr>
        <w:t xml:space="preserve">. </w:t>
      </w:r>
      <w:r>
        <w:rPr>
          <w:sz w:val="22"/>
        </w:rPr>
        <w:t xml:space="preserve">  </w:t>
      </w:r>
      <w:r w:rsidRPr="00B50351">
        <w:rPr>
          <w:sz w:val="22"/>
        </w:rPr>
        <w:t xml:space="preserve"> </w:t>
      </w:r>
    </w:p>
  </w:footnote>
  <w:footnote w:id="20">
    <w:p w:rsidR="002079CD" w:rsidRDefault="002079CD">
      <w:pPr>
        <w:pStyle w:val="FootnoteText"/>
      </w:pPr>
      <w:r>
        <w:rPr>
          <w:rStyle w:val="FootnoteReference"/>
        </w:rPr>
        <w:footnoteRef/>
      </w:r>
      <w:r>
        <w:t xml:space="preserve"> Further, they allege that </w:t>
      </w:r>
      <w:r w:rsidR="00906360">
        <w:t xml:space="preserve">because </w:t>
      </w:r>
      <w:r>
        <w:t>Delta Dental concealed information from them</w:t>
      </w:r>
      <w:r w:rsidR="00906360">
        <w:t xml:space="preserve">, the discovery rule delayed the running of the statute of limitations for such claims.  Even assuming, </w:t>
      </w:r>
      <w:r w:rsidR="00906360" w:rsidRPr="00906360">
        <w:rPr>
          <w:i/>
        </w:rPr>
        <w:t>arguendo</w:t>
      </w:r>
      <w:r w:rsidR="00906360">
        <w:t>, that</w:t>
      </w:r>
      <w:r w:rsidR="00467A00">
        <w:t xml:space="preserve"> </w:t>
      </w:r>
      <w:r w:rsidR="002C0002">
        <w:t>1) Delta Dental was required to notify participating dentists individually of the CPI factor, and 2) did not do so, we are not persuaded that the information was not available to the</w:t>
      </w:r>
      <w:r w:rsidR="00906360">
        <w:t xml:space="preserve"> Petitioners some six years before they petitioned the Board for relief.  </w:t>
      </w:r>
      <w:r>
        <w:t xml:space="preserve"> </w:t>
      </w:r>
    </w:p>
  </w:footnote>
  <w:footnote w:id="21">
    <w:p w:rsidR="00AA40E5" w:rsidRDefault="00AA40E5">
      <w:pPr>
        <w:pStyle w:val="FootnoteText"/>
      </w:pPr>
      <w:r>
        <w:rPr>
          <w:rStyle w:val="FootnoteReference"/>
        </w:rPr>
        <w:footnoteRef/>
      </w:r>
      <w:r>
        <w:t xml:space="preserve"> Petitioners were </w:t>
      </w:r>
      <w:r w:rsidR="00F94CA2">
        <w:t xml:space="preserve">apparently </w:t>
      </w:r>
      <w:r>
        <w:t xml:space="preserve">unable to persuade the trial or appellate courts that their claims should be distinguished from those in </w:t>
      </w:r>
      <w:r w:rsidRPr="00F94CA2">
        <w:rPr>
          <w:i/>
        </w:rPr>
        <w:t>Nelson v. Blue</w:t>
      </w:r>
      <w:r w:rsidR="00F94CA2" w:rsidRPr="00F94CA2">
        <w:rPr>
          <w:i/>
        </w:rPr>
        <w:t xml:space="preserve"> Shield of Massachusetts, Inc</w:t>
      </w:r>
      <w:r w:rsidR="00F94CA2">
        <w:t>., 377 Mass. 746 (1979).</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157"/>
    <w:rsid w:val="00006792"/>
    <w:rsid w:val="00011926"/>
    <w:rsid w:val="00015E0B"/>
    <w:rsid w:val="00023299"/>
    <w:rsid w:val="00035E9F"/>
    <w:rsid w:val="00060433"/>
    <w:rsid w:val="00065150"/>
    <w:rsid w:val="00074898"/>
    <w:rsid w:val="00077A60"/>
    <w:rsid w:val="00081956"/>
    <w:rsid w:val="00085841"/>
    <w:rsid w:val="00093597"/>
    <w:rsid w:val="00097416"/>
    <w:rsid w:val="000A2526"/>
    <w:rsid w:val="000A4441"/>
    <w:rsid w:val="000C605D"/>
    <w:rsid w:val="0011697B"/>
    <w:rsid w:val="00120B62"/>
    <w:rsid w:val="00122D41"/>
    <w:rsid w:val="00126870"/>
    <w:rsid w:val="001271C6"/>
    <w:rsid w:val="001571CC"/>
    <w:rsid w:val="0016011A"/>
    <w:rsid w:val="00173608"/>
    <w:rsid w:val="001823EC"/>
    <w:rsid w:val="00184687"/>
    <w:rsid w:val="0019210A"/>
    <w:rsid w:val="001A6A15"/>
    <w:rsid w:val="001B7998"/>
    <w:rsid w:val="001B7FBC"/>
    <w:rsid w:val="001F5783"/>
    <w:rsid w:val="002000DD"/>
    <w:rsid w:val="00203066"/>
    <w:rsid w:val="0020389A"/>
    <w:rsid w:val="002079CD"/>
    <w:rsid w:val="00207D03"/>
    <w:rsid w:val="00216827"/>
    <w:rsid w:val="002170D0"/>
    <w:rsid w:val="00222D2E"/>
    <w:rsid w:val="00244AA6"/>
    <w:rsid w:val="002623EB"/>
    <w:rsid w:val="00263F4B"/>
    <w:rsid w:val="00267701"/>
    <w:rsid w:val="00297A87"/>
    <w:rsid w:val="002C0002"/>
    <w:rsid w:val="002C0CCE"/>
    <w:rsid w:val="002C49CF"/>
    <w:rsid w:val="002C5CFE"/>
    <w:rsid w:val="002E3E0F"/>
    <w:rsid w:val="002E5446"/>
    <w:rsid w:val="002F1C98"/>
    <w:rsid w:val="0031160F"/>
    <w:rsid w:val="003229B5"/>
    <w:rsid w:val="003339DE"/>
    <w:rsid w:val="00333EF2"/>
    <w:rsid w:val="00340927"/>
    <w:rsid w:val="00340FD2"/>
    <w:rsid w:val="003412B7"/>
    <w:rsid w:val="00342DD5"/>
    <w:rsid w:val="0035537E"/>
    <w:rsid w:val="00367C6A"/>
    <w:rsid w:val="003965C1"/>
    <w:rsid w:val="003C2EB4"/>
    <w:rsid w:val="003D5C4E"/>
    <w:rsid w:val="003E27E6"/>
    <w:rsid w:val="003F622E"/>
    <w:rsid w:val="00400EA9"/>
    <w:rsid w:val="00424F1C"/>
    <w:rsid w:val="00430437"/>
    <w:rsid w:val="004351D7"/>
    <w:rsid w:val="00440ACC"/>
    <w:rsid w:val="004422EC"/>
    <w:rsid w:val="00467A00"/>
    <w:rsid w:val="004717E9"/>
    <w:rsid w:val="0048202B"/>
    <w:rsid w:val="00487512"/>
    <w:rsid w:val="004952BB"/>
    <w:rsid w:val="004A6042"/>
    <w:rsid w:val="004D1866"/>
    <w:rsid w:val="004D1B6C"/>
    <w:rsid w:val="004F0838"/>
    <w:rsid w:val="00505C2E"/>
    <w:rsid w:val="00520798"/>
    <w:rsid w:val="005238C8"/>
    <w:rsid w:val="00525A15"/>
    <w:rsid w:val="005610A2"/>
    <w:rsid w:val="0056224D"/>
    <w:rsid w:val="00565991"/>
    <w:rsid w:val="0058539E"/>
    <w:rsid w:val="00592E8A"/>
    <w:rsid w:val="005A540F"/>
    <w:rsid w:val="005A61BE"/>
    <w:rsid w:val="005D102A"/>
    <w:rsid w:val="005E17C3"/>
    <w:rsid w:val="00612BB2"/>
    <w:rsid w:val="00622F1E"/>
    <w:rsid w:val="00653267"/>
    <w:rsid w:val="00656255"/>
    <w:rsid w:val="00660531"/>
    <w:rsid w:val="00662382"/>
    <w:rsid w:val="006662AC"/>
    <w:rsid w:val="00675A2A"/>
    <w:rsid w:val="00686A60"/>
    <w:rsid w:val="006934AB"/>
    <w:rsid w:val="006945FF"/>
    <w:rsid w:val="0069508F"/>
    <w:rsid w:val="00695487"/>
    <w:rsid w:val="0069588A"/>
    <w:rsid w:val="006B5CA7"/>
    <w:rsid w:val="006C36C2"/>
    <w:rsid w:val="006C7BB9"/>
    <w:rsid w:val="006D1D0C"/>
    <w:rsid w:val="006E380C"/>
    <w:rsid w:val="006E4E41"/>
    <w:rsid w:val="007106E2"/>
    <w:rsid w:val="00717312"/>
    <w:rsid w:val="00755B1F"/>
    <w:rsid w:val="00761284"/>
    <w:rsid w:val="007740B8"/>
    <w:rsid w:val="007757FB"/>
    <w:rsid w:val="007925AF"/>
    <w:rsid w:val="007C20E1"/>
    <w:rsid w:val="007C5CBA"/>
    <w:rsid w:val="007C69BB"/>
    <w:rsid w:val="007D7B85"/>
    <w:rsid w:val="007E3990"/>
    <w:rsid w:val="007F0D27"/>
    <w:rsid w:val="0080261A"/>
    <w:rsid w:val="008027EC"/>
    <w:rsid w:val="00803ADA"/>
    <w:rsid w:val="00804919"/>
    <w:rsid w:val="0080738F"/>
    <w:rsid w:val="00814BF7"/>
    <w:rsid w:val="0081662F"/>
    <w:rsid w:val="00821BAE"/>
    <w:rsid w:val="00827EDB"/>
    <w:rsid w:val="008348C1"/>
    <w:rsid w:val="008365E7"/>
    <w:rsid w:val="0087283A"/>
    <w:rsid w:val="008A4313"/>
    <w:rsid w:val="008B19FF"/>
    <w:rsid w:val="00903DD4"/>
    <w:rsid w:val="00906360"/>
    <w:rsid w:val="00911E39"/>
    <w:rsid w:val="00911E65"/>
    <w:rsid w:val="00932095"/>
    <w:rsid w:val="00937852"/>
    <w:rsid w:val="0094022E"/>
    <w:rsid w:val="00955F14"/>
    <w:rsid w:val="00974A78"/>
    <w:rsid w:val="00983353"/>
    <w:rsid w:val="00984992"/>
    <w:rsid w:val="00993AFB"/>
    <w:rsid w:val="009A7668"/>
    <w:rsid w:val="009B13D4"/>
    <w:rsid w:val="009C3BCB"/>
    <w:rsid w:val="009E7C22"/>
    <w:rsid w:val="00A23853"/>
    <w:rsid w:val="00A455A5"/>
    <w:rsid w:val="00A808D5"/>
    <w:rsid w:val="00AA40E5"/>
    <w:rsid w:val="00AB0AFF"/>
    <w:rsid w:val="00AD1C5D"/>
    <w:rsid w:val="00AD35BA"/>
    <w:rsid w:val="00AE5B51"/>
    <w:rsid w:val="00AF2B4F"/>
    <w:rsid w:val="00B13912"/>
    <w:rsid w:val="00B14730"/>
    <w:rsid w:val="00B35B1D"/>
    <w:rsid w:val="00B50351"/>
    <w:rsid w:val="00B54A5A"/>
    <w:rsid w:val="00B714DA"/>
    <w:rsid w:val="00B72444"/>
    <w:rsid w:val="00BA5A0B"/>
    <w:rsid w:val="00BB3E74"/>
    <w:rsid w:val="00BC373C"/>
    <w:rsid w:val="00BD2296"/>
    <w:rsid w:val="00BE24BE"/>
    <w:rsid w:val="00BF6DFC"/>
    <w:rsid w:val="00BF725E"/>
    <w:rsid w:val="00C01327"/>
    <w:rsid w:val="00C114DE"/>
    <w:rsid w:val="00C116B6"/>
    <w:rsid w:val="00C23608"/>
    <w:rsid w:val="00C3578D"/>
    <w:rsid w:val="00C41FE2"/>
    <w:rsid w:val="00C500CA"/>
    <w:rsid w:val="00C54D11"/>
    <w:rsid w:val="00C57157"/>
    <w:rsid w:val="00C725FF"/>
    <w:rsid w:val="00C72B47"/>
    <w:rsid w:val="00C73A92"/>
    <w:rsid w:val="00C81510"/>
    <w:rsid w:val="00C84642"/>
    <w:rsid w:val="00CA758C"/>
    <w:rsid w:val="00CB1BEB"/>
    <w:rsid w:val="00CD4093"/>
    <w:rsid w:val="00CE3DD4"/>
    <w:rsid w:val="00D04892"/>
    <w:rsid w:val="00D1291C"/>
    <w:rsid w:val="00D22D46"/>
    <w:rsid w:val="00D22F34"/>
    <w:rsid w:val="00D327E1"/>
    <w:rsid w:val="00D55D28"/>
    <w:rsid w:val="00D55E01"/>
    <w:rsid w:val="00D561EA"/>
    <w:rsid w:val="00D613CA"/>
    <w:rsid w:val="00D67F62"/>
    <w:rsid w:val="00D754A0"/>
    <w:rsid w:val="00D76213"/>
    <w:rsid w:val="00D80872"/>
    <w:rsid w:val="00D91017"/>
    <w:rsid w:val="00DA54E8"/>
    <w:rsid w:val="00DB35CC"/>
    <w:rsid w:val="00DC69D1"/>
    <w:rsid w:val="00DD0727"/>
    <w:rsid w:val="00DD45F4"/>
    <w:rsid w:val="00DD5B94"/>
    <w:rsid w:val="00DE66D2"/>
    <w:rsid w:val="00DE764A"/>
    <w:rsid w:val="00DF4934"/>
    <w:rsid w:val="00DF660B"/>
    <w:rsid w:val="00E07AD0"/>
    <w:rsid w:val="00E10E95"/>
    <w:rsid w:val="00E16C15"/>
    <w:rsid w:val="00E26A83"/>
    <w:rsid w:val="00E26EC1"/>
    <w:rsid w:val="00E500B1"/>
    <w:rsid w:val="00E55ECC"/>
    <w:rsid w:val="00E66BE0"/>
    <w:rsid w:val="00E80436"/>
    <w:rsid w:val="00E8787F"/>
    <w:rsid w:val="00E92DD6"/>
    <w:rsid w:val="00E973CF"/>
    <w:rsid w:val="00EA133A"/>
    <w:rsid w:val="00EA348F"/>
    <w:rsid w:val="00EA3994"/>
    <w:rsid w:val="00EB4E0A"/>
    <w:rsid w:val="00ED051E"/>
    <w:rsid w:val="00ED3DFB"/>
    <w:rsid w:val="00EE6123"/>
    <w:rsid w:val="00F152F8"/>
    <w:rsid w:val="00F15440"/>
    <w:rsid w:val="00F251D5"/>
    <w:rsid w:val="00F3708F"/>
    <w:rsid w:val="00F45743"/>
    <w:rsid w:val="00F62E4A"/>
    <w:rsid w:val="00F725A1"/>
    <w:rsid w:val="00F8083F"/>
    <w:rsid w:val="00F87B1A"/>
    <w:rsid w:val="00F94CA2"/>
    <w:rsid w:val="00FB265B"/>
    <w:rsid w:val="00FB4C81"/>
    <w:rsid w:val="00FF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63E61-7F5B-4604-AF86-E257DDA6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15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24F1C"/>
    <w:pPr>
      <w:framePr w:w="7920" w:h="1980" w:hRule="exact" w:hSpace="180" w:wrap="auto" w:hAnchor="page" w:xAlign="center" w:yAlign="bottom"/>
      <w:ind w:left="2880"/>
    </w:pPr>
    <w:rPr>
      <w:rFonts w:eastAsiaTheme="majorEastAsia" w:cstheme="majorBidi"/>
    </w:rPr>
  </w:style>
  <w:style w:type="paragraph" w:styleId="FootnoteText">
    <w:name w:val="footnote text"/>
    <w:basedOn w:val="Normal"/>
    <w:link w:val="FootnoteTextChar"/>
    <w:uiPriority w:val="99"/>
    <w:semiHidden/>
    <w:unhideWhenUsed/>
    <w:rsid w:val="00C57157"/>
    <w:rPr>
      <w:sz w:val="20"/>
      <w:szCs w:val="20"/>
    </w:rPr>
  </w:style>
  <w:style w:type="character" w:customStyle="1" w:styleId="FootnoteTextChar">
    <w:name w:val="Footnote Text Char"/>
    <w:basedOn w:val="DefaultParagraphFont"/>
    <w:link w:val="FootnoteText"/>
    <w:uiPriority w:val="99"/>
    <w:semiHidden/>
    <w:rsid w:val="00C57157"/>
    <w:rPr>
      <w:sz w:val="20"/>
      <w:szCs w:val="20"/>
    </w:rPr>
  </w:style>
  <w:style w:type="character" w:styleId="FootnoteReference">
    <w:name w:val="footnote reference"/>
    <w:basedOn w:val="DefaultParagraphFont"/>
    <w:uiPriority w:val="99"/>
    <w:semiHidden/>
    <w:unhideWhenUsed/>
    <w:rsid w:val="00C57157"/>
    <w:rPr>
      <w:vertAlign w:val="superscript"/>
    </w:rPr>
  </w:style>
  <w:style w:type="paragraph" w:styleId="Header">
    <w:name w:val="header"/>
    <w:basedOn w:val="Normal"/>
    <w:link w:val="HeaderChar"/>
    <w:uiPriority w:val="99"/>
    <w:unhideWhenUsed/>
    <w:rsid w:val="00BF6DFC"/>
    <w:pPr>
      <w:tabs>
        <w:tab w:val="center" w:pos="4680"/>
        <w:tab w:val="right" w:pos="9360"/>
      </w:tabs>
    </w:pPr>
  </w:style>
  <w:style w:type="character" w:customStyle="1" w:styleId="HeaderChar">
    <w:name w:val="Header Char"/>
    <w:basedOn w:val="DefaultParagraphFont"/>
    <w:link w:val="Header"/>
    <w:uiPriority w:val="99"/>
    <w:rsid w:val="00BF6DFC"/>
  </w:style>
  <w:style w:type="paragraph" w:styleId="Footer">
    <w:name w:val="footer"/>
    <w:basedOn w:val="Normal"/>
    <w:link w:val="FooterChar"/>
    <w:uiPriority w:val="99"/>
    <w:unhideWhenUsed/>
    <w:rsid w:val="00BF6DFC"/>
    <w:pPr>
      <w:tabs>
        <w:tab w:val="center" w:pos="4680"/>
        <w:tab w:val="right" w:pos="9360"/>
      </w:tabs>
    </w:pPr>
  </w:style>
  <w:style w:type="character" w:customStyle="1" w:styleId="FooterChar">
    <w:name w:val="Footer Char"/>
    <w:basedOn w:val="DefaultParagraphFont"/>
    <w:link w:val="Footer"/>
    <w:uiPriority w:val="99"/>
    <w:rsid w:val="00BF6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9F0E-6E00-446F-9440-1092B4D9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2667</Words>
  <Characters>15203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Farrington, Jean  (DOI)</dc:creator>
  <cp:keywords/>
  <dc:description/>
  <cp:lastModifiedBy>Conti, Amy (DOI)</cp:lastModifiedBy>
  <cp:revision>2</cp:revision>
  <dcterms:created xsi:type="dcterms:W3CDTF">2017-10-31T15:13:00Z</dcterms:created>
  <dcterms:modified xsi:type="dcterms:W3CDTF">2017-10-31T15:13:00Z</dcterms:modified>
</cp:coreProperties>
</file>