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FA" w:rsidRPr="001A6F5A" w:rsidRDefault="001A6F5A" w:rsidP="001A6F5A">
      <w:pPr>
        <w:jc w:val="right"/>
        <w:rPr>
          <w:b/>
          <w:color w:val="1F497D"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-102870</wp:posOffset>
            </wp:positionV>
            <wp:extent cx="1211580" cy="1211580"/>
            <wp:effectExtent l="0" t="0" r="7620" b="762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12AE3" w:rsidRPr="001A6F5A">
        <w:rPr>
          <w:b/>
          <w:color w:val="1F497D"/>
          <w:sz w:val="36"/>
          <w:szCs w:val="36"/>
        </w:rPr>
        <w:t>Babesiosis</w:t>
      </w:r>
      <w:proofErr w:type="spellEnd"/>
      <w:r w:rsidR="0059721E" w:rsidRPr="001A6F5A">
        <w:rPr>
          <w:b/>
          <w:color w:val="1F497D"/>
          <w:sz w:val="36"/>
          <w:szCs w:val="36"/>
        </w:rPr>
        <w:t xml:space="preserve"> Surveillance in Massachusetts, </w:t>
      </w:r>
      <w:r w:rsidR="000209FC" w:rsidRPr="001A6F5A">
        <w:rPr>
          <w:b/>
          <w:color w:val="1F497D"/>
          <w:sz w:val="36"/>
          <w:szCs w:val="36"/>
        </w:rPr>
        <w:t>201</w:t>
      </w:r>
      <w:r w:rsidR="0091192D" w:rsidRPr="001A6F5A">
        <w:rPr>
          <w:b/>
          <w:color w:val="1F497D"/>
          <w:sz w:val="36"/>
          <w:szCs w:val="36"/>
        </w:rPr>
        <w:t>7</w:t>
      </w:r>
    </w:p>
    <w:p w:rsidR="001A6F5A" w:rsidRPr="001A6F5A" w:rsidRDefault="001A6F5A" w:rsidP="001A6F5A">
      <w:pPr>
        <w:jc w:val="right"/>
        <w:rPr>
          <w:b/>
          <w:color w:val="1F497D"/>
          <w:sz w:val="36"/>
          <w:szCs w:val="36"/>
        </w:rPr>
      </w:pPr>
      <w:r w:rsidRPr="001A6F5A">
        <w:rPr>
          <w:b/>
          <w:color w:val="1F497D"/>
          <w:sz w:val="36"/>
          <w:szCs w:val="36"/>
        </w:rPr>
        <w:t xml:space="preserve">Massachusetts Department of Public Health </w:t>
      </w:r>
    </w:p>
    <w:p w:rsidR="001A6F5A" w:rsidRDefault="001A6F5A" w:rsidP="001A6F5A">
      <w:pPr>
        <w:jc w:val="right"/>
        <w:rPr>
          <w:rFonts w:eastAsiaTheme="minorHAnsi"/>
          <w:b/>
          <w:color w:val="1F497D"/>
          <w:sz w:val="28"/>
          <w:szCs w:val="28"/>
        </w:rPr>
      </w:pPr>
      <w:r w:rsidRPr="001A6F5A">
        <w:rPr>
          <w:rFonts w:eastAsiaTheme="minorHAnsi"/>
          <w:b/>
          <w:color w:val="1F497D"/>
          <w:sz w:val="28"/>
          <w:szCs w:val="28"/>
        </w:rPr>
        <w:t>Bureau of Infectious Disease and Laboratory Sciences</w:t>
      </w:r>
    </w:p>
    <w:p w:rsidR="001A6F5A" w:rsidRPr="001A6F5A" w:rsidRDefault="001A6F5A" w:rsidP="001A6F5A">
      <w:pPr>
        <w:jc w:val="right"/>
        <w:rPr>
          <w:rFonts w:ascii="Calibri" w:eastAsiaTheme="minorHAnsi" w:hAnsi="Calibri" w:cstheme="minorBidi"/>
          <w:b/>
          <w:color w:val="1F497D"/>
          <w:sz w:val="40"/>
          <w:szCs w:val="32"/>
        </w:rPr>
      </w:pPr>
    </w:p>
    <w:p w:rsidR="0059721E" w:rsidRPr="0018448F" w:rsidRDefault="0059721E" w:rsidP="0059721E">
      <w:pPr>
        <w:jc w:val="center"/>
        <w:rPr>
          <w:b/>
          <w:sz w:val="16"/>
          <w:szCs w:val="16"/>
        </w:rPr>
      </w:pPr>
    </w:p>
    <w:p w:rsidR="00B85300" w:rsidRPr="00B85300" w:rsidRDefault="00B85300" w:rsidP="0059721E">
      <w:pPr>
        <w:jc w:val="center"/>
        <w:rPr>
          <w:sz w:val="18"/>
          <w:szCs w:val="18"/>
        </w:rPr>
      </w:pPr>
      <w:r w:rsidRPr="00B85300">
        <w:rPr>
          <w:sz w:val="22"/>
          <w:szCs w:val="22"/>
        </w:rPr>
        <w:t xml:space="preserve">Investigation of suspect cases of </w:t>
      </w:r>
      <w:proofErr w:type="spellStart"/>
      <w:r w:rsidRPr="00B85300">
        <w:rPr>
          <w:sz w:val="22"/>
          <w:szCs w:val="22"/>
        </w:rPr>
        <w:t>babesiosis</w:t>
      </w:r>
      <w:proofErr w:type="spellEnd"/>
      <w:r w:rsidR="00200CD8">
        <w:rPr>
          <w:sz w:val="22"/>
          <w:szCs w:val="22"/>
        </w:rPr>
        <w:t>,</w:t>
      </w:r>
      <w:r w:rsidRPr="00B85300">
        <w:rPr>
          <w:sz w:val="22"/>
          <w:szCs w:val="22"/>
        </w:rPr>
        <w:t xml:space="preserve"> </w:t>
      </w:r>
      <w:r w:rsidR="00BD057E">
        <w:rPr>
          <w:sz w:val="22"/>
          <w:szCs w:val="22"/>
        </w:rPr>
        <w:t xml:space="preserve">and the collection of clinical and exposure data </w:t>
      </w:r>
      <w:r w:rsidRPr="00B85300">
        <w:rPr>
          <w:sz w:val="22"/>
          <w:szCs w:val="22"/>
        </w:rPr>
        <w:t>by local public health</w:t>
      </w:r>
      <w:r w:rsidR="00200CD8">
        <w:rPr>
          <w:sz w:val="22"/>
          <w:szCs w:val="22"/>
        </w:rPr>
        <w:t>,</w:t>
      </w:r>
      <w:r w:rsidRPr="00B85300">
        <w:rPr>
          <w:sz w:val="22"/>
          <w:szCs w:val="22"/>
        </w:rPr>
        <w:t xml:space="preserve"> enables MDPH </w:t>
      </w:r>
      <w:r w:rsidR="00BD057E">
        <w:rPr>
          <w:sz w:val="22"/>
          <w:szCs w:val="22"/>
        </w:rPr>
        <w:t>to analyze trends and provide this surveillance summary.</w:t>
      </w:r>
    </w:p>
    <w:p w:rsidR="00B85300" w:rsidRPr="0018448F" w:rsidRDefault="00FB7952" w:rsidP="0059721E">
      <w:pPr>
        <w:jc w:val="center"/>
        <w:rPr>
          <w:b/>
          <w:sz w:val="12"/>
          <w:szCs w:val="12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DF563" wp14:editId="777BAFD4">
                <wp:simplePos x="0" y="0"/>
                <wp:positionH relativeFrom="column">
                  <wp:posOffset>-345057</wp:posOffset>
                </wp:positionH>
                <wp:positionV relativeFrom="paragraph">
                  <wp:posOffset>58947</wp:posOffset>
                </wp:positionV>
                <wp:extent cx="6629400" cy="3648974"/>
                <wp:effectExtent l="0" t="0" r="19050" b="2794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648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1F3" w:rsidRPr="00B85300" w:rsidRDefault="00950B99" w:rsidP="00B2688D">
                            <w:pPr>
                              <w:ind w:left="36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85300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152FA3" w:rsidRPr="00B85300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91192D"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="001533AE" w:rsidRPr="00B8530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46334" w:rsidRPr="00B8530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Surveillance </w:t>
                            </w:r>
                            <w:r w:rsidR="00B2688D" w:rsidRPr="00B85300">
                              <w:rPr>
                                <w:b/>
                                <w:sz w:val="26"/>
                                <w:szCs w:val="26"/>
                              </w:rPr>
                              <w:t>Highlights</w:t>
                            </w:r>
                          </w:p>
                          <w:p w:rsidR="00B2688D" w:rsidRPr="009E26C7" w:rsidRDefault="00C663AA" w:rsidP="009E26C7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097B88">
                              <w:rPr>
                                <w:sz w:val="22"/>
                                <w:szCs w:val="22"/>
                              </w:rPr>
                              <w:t>90</w:t>
                            </w:r>
                            <w:r w:rsidR="00B2688D" w:rsidRPr="00B85300">
                              <w:rPr>
                                <w:sz w:val="22"/>
                                <w:szCs w:val="22"/>
                              </w:rPr>
                              <w:t xml:space="preserve"> confirmed </w:t>
                            </w:r>
                            <w:r w:rsidR="009E27A7">
                              <w:rPr>
                                <w:sz w:val="22"/>
                                <w:szCs w:val="22"/>
                              </w:rPr>
                              <w:t xml:space="preserve">and probable </w:t>
                            </w:r>
                            <w:r w:rsidR="00CD5351" w:rsidRPr="00B85300">
                              <w:rPr>
                                <w:sz w:val="22"/>
                                <w:szCs w:val="22"/>
                              </w:rPr>
                              <w:t xml:space="preserve">cases of </w:t>
                            </w:r>
                            <w:proofErr w:type="spellStart"/>
                            <w:r w:rsidR="00E12AE3" w:rsidRPr="00B85300">
                              <w:rPr>
                                <w:sz w:val="22"/>
                                <w:szCs w:val="22"/>
                              </w:rPr>
                              <w:t>babesiosis</w:t>
                            </w:r>
                            <w:proofErr w:type="spellEnd"/>
                            <w:r w:rsidR="00B2688D" w:rsidRPr="00B85300">
                              <w:rPr>
                                <w:sz w:val="22"/>
                                <w:szCs w:val="22"/>
                              </w:rPr>
                              <w:t xml:space="preserve"> were reported </w:t>
                            </w:r>
                            <w:r w:rsidR="00FD241B" w:rsidRPr="00B85300">
                              <w:rPr>
                                <w:sz w:val="22"/>
                                <w:szCs w:val="22"/>
                              </w:rPr>
                              <w:t>in M</w:t>
                            </w:r>
                            <w:r w:rsidR="00CD5351" w:rsidRPr="00B85300">
                              <w:rPr>
                                <w:sz w:val="22"/>
                                <w:szCs w:val="22"/>
                              </w:rPr>
                              <w:t>assachusetts</w:t>
                            </w:r>
                            <w:r w:rsidR="00FD241B" w:rsidRPr="00B85300"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152FA3" w:rsidRPr="00B85300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 w:rsidR="002F1FC2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9C6105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4C6F6F">
                              <w:rPr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4B64E0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01AC" w:rsidRPr="00DE01A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860C6C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702F50" w:rsidRPr="00DE01AC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 w:rsidR="00BD6C8F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0470">
                              <w:rPr>
                                <w:sz w:val="22"/>
                                <w:szCs w:val="22"/>
                              </w:rPr>
                              <w:t xml:space="preserve">increase </w:t>
                            </w:r>
                            <w:r w:rsidR="00452B54">
                              <w:rPr>
                                <w:sz w:val="22"/>
                                <w:szCs w:val="22"/>
                              </w:rPr>
                              <w:t>from</w:t>
                            </w:r>
                            <w:r w:rsidR="004B64E0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1736" w:rsidRPr="00B85300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 w:rsidR="00860C6C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F879C2" w:rsidRPr="00B8530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C30CA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6B10">
                              <w:rPr>
                                <w:sz w:val="22"/>
                                <w:szCs w:val="22"/>
                              </w:rPr>
                              <w:t xml:space="preserve">Overall, </w:t>
                            </w:r>
                            <w:r w:rsidR="000F6B70">
                              <w:rPr>
                                <w:sz w:val="22"/>
                                <w:szCs w:val="22"/>
                              </w:rPr>
                              <w:t>1,677</w:t>
                            </w:r>
                            <w:r w:rsidR="009239CD" w:rsidRPr="00976A4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0C32">
                              <w:rPr>
                                <w:sz w:val="22"/>
                                <w:szCs w:val="22"/>
                              </w:rPr>
                              <w:t xml:space="preserve">suspect cases of </w:t>
                            </w:r>
                            <w:proofErr w:type="spellStart"/>
                            <w:r w:rsidR="00AB0C32">
                              <w:rPr>
                                <w:sz w:val="22"/>
                                <w:szCs w:val="22"/>
                              </w:rPr>
                              <w:t>babesiosis</w:t>
                            </w:r>
                            <w:proofErr w:type="spellEnd"/>
                            <w:r w:rsidR="00AB0C32">
                              <w:rPr>
                                <w:sz w:val="22"/>
                                <w:szCs w:val="22"/>
                              </w:rPr>
                              <w:t xml:space="preserve"> were investigated</w:t>
                            </w:r>
                            <w:r w:rsidR="00D0622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F311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2688D" w:rsidRPr="00D0622B" w:rsidRDefault="00B2688D" w:rsidP="00B2688D">
                            <w:pPr>
                              <w:ind w:left="360"/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:rsidR="003265EA" w:rsidRPr="0071761D" w:rsidRDefault="009E26C7" w:rsidP="009E26C7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22"/>
                              </w:rPr>
                            </w:pPr>
                            <w:r w:rsidRPr="0071761D">
                              <w:rPr>
                                <w:sz w:val="22"/>
                                <w:szCs w:val="22"/>
                              </w:rPr>
                              <w:t>Statewide</w:t>
                            </w:r>
                            <w:r w:rsidR="00F311F3" w:rsidRPr="0071761D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F311F3" w:rsidRPr="0071761D">
                              <w:rPr>
                                <w:sz w:val="22"/>
                                <w:szCs w:val="22"/>
                              </w:rPr>
                              <w:t>babesio</w:t>
                            </w:r>
                            <w:r w:rsidR="00996B10" w:rsidRPr="0071761D">
                              <w:rPr>
                                <w:sz w:val="22"/>
                                <w:szCs w:val="22"/>
                              </w:rPr>
                              <w:t>sis</w:t>
                            </w:r>
                            <w:proofErr w:type="spellEnd"/>
                            <w:r w:rsidR="00996B10" w:rsidRPr="0071761D">
                              <w:rPr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="00B60CE4" w:rsidRPr="0071761D">
                              <w:rPr>
                                <w:sz w:val="22"/>
                                <w:szCs w:val="22"/>
                              </w:rPr>
                              <w:t xml:space="preserve">ncidence </w:t>
                            </w:r>
                            <w:r w:rsidR="00AA0785">
                              <w:rPr>
                                <w:sz w:val="22"/>
                                <w:szCs w:val="22"/>
                              </w:rPr>
                              <w:t>increased</w:t>
                            </w:r>
                            <w:r w:rsidR="00B60CE4" w:rsidRPr="0071761D">
                              <w:rPr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r w:rsidR="00860C6C">
                              <w:rPr>
                                <w:sz w:val="22"/>
                                <w:szCs w:val="22"/>
                              </w:rPr>
                              <w:t>7.9</w:t>
                            </w:r>
                            <w:r w:rsidR="00B60CE4" w:rsidRPr="0071761D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860C6C">
                              <w:rPr>
                                <w:sz w:val="22"/>
                                <w:szCs w:val="22"/>
                              </w:rPr>
                              <w:t>9.0</w:t>
                            </w:r>
                            <w:r w:rsidR="00F311F3" w:rsidRPr="0071761D">
                              <w:rPr>
                                <w:sz w:val="22"/>
                                <w:szCs w:val="22"/>
                              </w:rPr>
                              <w:t xml:space="preserve"> cases per 100,000 residents</w:t>
                            </w:r>
                            <w:r w:rsidR="004E0CA6" w:rsidRPr="0071761D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A44BE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4C6F6F" w:rsidRPr="00F32FA4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6D3551" w:rsidRPr="00F32FA4">
                              <w:rPr>
                                <w:sz w:val="22"/>
                                <w:szCs w:val="22"/>
                              </w:rPr>
                              <w:t xml:space="preserve">incidence in </w:t>
                            </w:r>
                            <w:r w:rsidR="00860C6C">
                              <w:rPr>
                                <w:sz w:val="22"/>
                                <w:szCs w:val="22"/>
                              </w:rPr>
                              <w:t xml:space="preserve">Berkshire, Dukes, </w:t>
                            </w:r>
                            <w:r w:rsidR="00DE01AC">
                              <w:rPr>
                                <w:sz w:val="22"/>
                                <w:szCs w:val="22"/>
                              </w:rPr>
                              <w:t>Hampden</w:t>
                            </w:r>
                            <w:r w:rsidR="00452B54" w:rsidRPr="00F32FA4">
                              <w:rPr>
                                <w:sz w:val="22"/>
                                <w:szCs w:val="22"/>
                              </w:rPr>
                              <w:t>, Hampshire, Norfolk</w:t>
                            </w:r>
                            <w:r w:rsidR="00DE01AC">
                              <w:rPr>
                                <w:sz w:val="22"/>
                                <w:szCs w:val="22"/>
                              </w:rPr>
                              <w:t>, Plymouth,</w:t>
                            </w:r>
                            <w:r w:rsidR="00452B54" w:rsidRPr="00F32FA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0C6C">
                              <w:rPr>
                                <w:sz w:val="22"/>
                                <w:szCs w:val="22"/>
                              </w:rPr>
                              <w:t xml:space="preserve">Suffolk, </w:t>
                            </w:r>
                            <w:r w:rsidR="00452B54" w:rsidRPr="00F32FA4">
                              <w:rPr>
                                <w:sz w:val="22"/>
                                <w:szCs w:val="22"/>
                              </w:rPr>
                              <w:t>and Worcester counties increased slightly</w:t>
                            </w:r>
                            <w:r w:rsidR="0071761D" w:rsidRPr="00F32FA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71761D" w:rsidRPr="0071761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64F7" w:rsidRPr="0071761D">
                              <w:rPr>
                                <w:sz w:val="22"/>
                                <w:szCs w:val="22"/>
                              </w:rPr>
                              <w:t>Counties with the hi</w:t>
                            </w:r>
                            <w:r w:rsidR="00B60CE4" w:rsidRPr="0071761D">
                              <w:rPr>
                                <w:sz w:val="22"/>
                                <w:szCs w:val="22"/>
                              </w:rPr>
                              <w:t xml:space="preserve">ghest incidence continued to be Barnstable, Dukes, and Nantucket.  </w:t>
                            </w:r>
                          </w:p>
                          <w:p w:rsidR="0071761D" w:rsidRPr="0071761D" w:rsidRDefault="0071761D" w:rsidP="0071761D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:rsidR="00B2688D" w:rsidRPr="00B85300" w:rsidRDefault="00B2688D" w:rsidP="00B2688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85300">
                              <w:rPr>
                                <w:sz w:val="22"/>
                                <w:szCs w:val="22"/>
                              </w:rPr>
                              <w:t xml:space="preserve">The majority of cases </w:t>
                            </w:r>
                            <w:r w:rsidR="003D0239" w:rsidRPr="00B85300">
                              <w:rPr>
                                <w:sz w:val="22"/>
                                <w:szCs w:val="22"/>
                              </w:rPr>
                              <w:t>occurred</w:t>
                            </w:r>
                            <w:r w:rsidRPr="00B85300">
                              <w:rPr>
                                <w:sz w:val="22"/>
                                <w:szCs w:val="22"/>
                              </w:rPr>
                              <w:t xml:space="preserve"> in June, July and August</w:t>
                            </w:r>
                            <w:r w:rsidR="005903D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5F2596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132D">
                              <w:rPr>
                                <w:sz w:val="22"/>
                                <w:szCs w:val="22"/>
                              </w:rPr>
                              <w:t>with</w:t>
                            </w:r>
                            <w:r w:rsidR="005F2596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3551">
                              <w:rPr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="00277406">
                              <w:rPr>
                                <w:sz w:val="22"/>
                                <w:szCs w:val="22"/>
                              </w:rPr>
                              <w:t>35</w:t>
                            </w:r>
                            <w:r w:rsidR="005D14A7">
                              <w:rPr>
                                <w:sz w:val="22"/>
                                <w:szCs w:val="22"/>
                              </w:rPr>
                              <w:t>% of cases reporting</w:t>
                            </w:r>
                            <w:r w:rsidR="005F2596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F6F">
                              <w:rPr>
                                <w:sz w:val="22"/>
                                <w:szCs w:val="22"/>
                              </w:rPr>
                              <w:t xml:space="preserve">awareness </w:t>
                            </w:r>
                            <w:r w:rsidR="006D3551">
                              <w:rPr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5F2596" w:rsidRPr="00B85300">
                              <w:rPr>
                                <w:sz w:val="22"/>
                                <w:szCs w:val="22"/>
                              </w:rPr>
                              <w:t>a recent tick bite.</w:t>
                            </w:r>
                          </w:p>
                          <w:p w:rsidR="00D962E4" w:rsidRPr="00D0622B" w:rsidRDefault="00D962E4" w:rsidP="00D962E4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:rsidR="00703971" w:rsidRPr="00B85300" w:rsidRDefault="006D3551" w:rsidP="00B2688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People </w:t>
                            </w:r>
                            <w:r w:rsidR="00452B54">
                              <w:rPr>
                                <w:sz w:val="22"/>
                                <w:szCs w:val="22"/>
                              </w:rPr>
                              <w:t xml:space="preserve">aged 60 </w:t>
                            </w:r>
                            <w:r w:rsidR="0058104A">
                              <w:rPr>
                                <w:sz w:val="22"/>
                                <w:szCs w:val="22"/>
                              </w:rPr>
                              <w:t xml:space="preserve">years </w:t>
                            </w:r>
                            <w:r w:rsidR="00452B54">
                              <w:rPr>
                                <w:sz w:val="22"/>
                                <w:szCs w:val="22"/>
                              </w:rPr>
                              <w:t>and older</w:t>
                            </w:r>
                            <w:r w:rsidR="00D204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continue to be at greatest risk </w:t>
                            </w:r>
                            <w:r w:rsidR="00200CD8">
                              <w:rPr>
                                <w:sz w:val="22"/>
                                <w:szCs w:val="22"/>
                              </w:rPr>
                              <w:t xml:space="preserve">for clinical disease </w:t>
                            </w:r>
                            <w:r w:rsidR="00996B1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976A43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3B6722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Pr="00976A43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 all patient</w:t>
                            </w:r>
                            <w:r w:rsidR="004C6F6F">
                              <w:rPr>
                                <w:sz w:val="22"/>
                                <w:szCs w:val="22"/>
                              </w:rPr>
                              <w:t xml:space="preserve">s identified with </w:t>
                            </w:r>
                            <w:proofErr w:type="spellStart"/>
                            <w:r w:rsidR="004C6F6F">
                              <w:rPr>
                                <w:sz w:val="22"/>
                                <w:szCs w:val="22"/>
                              </w:rPr>
                              <w:t>babesiosis</w:t>
                            </w:r>
                            <w:proofErr w:type="spellEnd"/>
                            <w:r w:rsidR="004C6F6F">
                              <w:rPr>
                                <w:sz w:val="22"/>
                                <w:szCs w:val="22"/>
                              </w:rPr>
                              <w:t xml:space="preserve"> 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2B54">
                              <w:rPr>
                                <w:sz w:val="22"/>
                                <w:szCs w:val="22"/>
                              </w:rPr>
                              <w:t>60 years or older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 and</w:t>
                            </w:r>
                            <w:r w:rsidR="00B37F1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01AC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2C4FE2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4C6F6F"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0CA6">
                              <w:rPr>
                                <w:sz w:val="22"/>
                                <w:szCs w:val="22"/>
                              </w:rPr>
                              <w:t xml:space="preserve">of all </w:t>
                            </w:r>
                            <w:r w:rsidR="00B37F1D">
                              <w:rPr>
                                <w:sz w:val="22"/>
                                <w:szCs w:val="22"/>
                              </w:rPr>
                              <w:t xml:space="preserve">cases </w:t>
                            </w:r>
                            <w:r w:rsidR="00E12AE3" w:rsidRPr="00B85300">
                              <w:rPr>
                                <w:sz w:val="22"/>
                                <w:szCs w:val="22"/>
                              </w:rPr>
                              <w:t>were male</w:t>
                            </w:r>
                            <w:r w:rsidR="00B2688D" w:rsidRPr="00B8530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24252" w:rsidRPr="00D0622B" w:rsidRDefault="00124252" w:rsidP="00124252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:rsidR="00274239" w:rsidRPr="00B85300" w:rsidRDefault="006D3551" w:rsidP="00D962E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</w:t>
                            </w:r>
                            <w:r w:rsidR="00706B98">
                              <w:rPr>
                                <w:sz w:val="22"/>
                                <w:szCs w:val="22"/>
                              </w:rPr>
                              <w:t>proximately one out o</w:t>
                            </w:r>
                            <w:r w:rsidR="00996B10">
                              <w:rPr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="002C23B5">
                              <w:rPr>
                                <w:sz w:val="22"/>
                                <w:szCs w:val="22"/>
                              </w:rPr>
                              <w:t>three</w:t>
                            </w:r>
                            <w:r w:rsidR="00996B10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2C23B5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63F96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%) </w:t>
                            </w:r>
                            <w:r w:rsidR="005C7CB1">
                              <w:rPr>
                                <w:sz w:val="22"/>
                                <w:szCs w:val="22"/>
                              </w:rPr>
                              <w:t xml:space="preserve">cases </w:t>
                            </w:r>
                            <w:r w:rsidR="005B2A2C"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 w:rsidR="00124252" w:rsidRPr="00B85300">
                              <w:rPr>
                                <w:sz w:val="22"/>
                                <w:szCs w:val="22"/>
                              </w:rPr>
                              <w:t xml:space="preserve"> hospitalized.</w:t>
                            </w:r>
                            <w:r w:rsidR="002652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47A7" w:rsidRPr="002652ED">
                              <w:rPr>
                                <w:sz w:val="22"/>
                                <w:szCs w:val="22"/>
                              </w:rPr>
                              <w:t xml:space="preserve">The symptoms most commonly reported included </w:t>
                            </w:r>
                            <w:r w:rsidR="002A6E68" w:rsidRPr="002652ED">
                              <w:rPr>
                                <w:sz w:val="22"/>
                                <w:szCs w:val="22"/>
                              </w:rPr>
                              <w:t>fatigue</w:t>
                            </w:r>
                            <w:r w:rsidR="000947A7" w:rsidRPr="002652ED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DE01AC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3A76C2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DE0360" w:rsidRPr="002652ED">
                              <w:rPr>
                                <w:sz w:val="22"/>
                                <w:szCs w:val="22"/>
                              </w:rPr>
                              <w:t>%),</w:t>
                            </w:r>
                            <w:r w:rsidR="000947A7" w:rsidRPr="002652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6B10" w:rsidRPr="002652ED">
                              <w:rPr>
                                <w:sz w:val="22"/>
                                <w:szCs w:val="22"/>
                              </w:rPr>
                              <w:t>fever (</w:t>
                            </w:r>
                            <w:r w:rsidR="00DE01AC">
                              <w:rPr>
                                <w:sz w:val="22"/>
                                <w:szCs w:val="22"/>
                              </w:rPr>
                              <w:t>68</w:t>
                            </w:r>
                            <w:r w:rsidR="00706B98" w:rsidRPr="002652ED">
                              <w:rPr>
                                <w:sz w:val="22"/>
                                <w:szCs w:val="22"/>
                              </w:rPr>
                              <w:t xml:space="preserve">%), </w:t>
                            </w:r>
                            <w:r w:rsidR="002A6E68" w:rsidRPr="002652ED">
                              <w:rPr>
                                <w:sz w:val="22"/>
                                <w:szCs w:val="22"/>
                              </w:rPr>
                              <w:t>malaise</w:t>
                            </w:r>
                            <w:r w:rsidR="000947A7" w:rsidRPr="002652ED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F0100A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3A76C2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2A6E68" w:rsidRPr="002652ED">
                              <w:rPr>
                                <w:sz w:val="22"/>
                                <w:szCs w:val="22"/>
                              </w:rPr>
                              <w:t>%)</w:t>
                            </w:r>
                            <w:r w:rsidR="002652ED" w:rsidRPr="002652ED">
                              <w:rPr>
                                <w:sz w:val="22"/>
                                <w:szCs w:val="22"/>
                              </w:rPr>
                              <w:t>, muscle</w:t>
                            </w:r>
                            <w:r w:rsidR="003B6774" w:rsidRPr="002652ED">
                              <w:rPr>
                                <w:sz w:val="22"/>
                                <w:szCs w:val="22"/>
                              </w:rPr>
                              <w:t xml:space="preserve"> ache</w:t>
                            </w:r>
                            <w:r w:rsidR="005D3654" w:rsidRPr="002652ED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996B10" w:rsidRPr="002652ED">
                              <w:rPr>
                                <w:sz w:val="22"/>
                                <w:szCs w:val="22"/>
                              </w:rPr>
                              <w:t xml:space="preserve"> and pain (</w:t>
                            </w:r>
                            <w:r w:rsidR="00F0100A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3A76C2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3B6774" w:rsidRPr="002652ED">
                              <w:rPr>
                                <w:sz w:val="22"/>
                                <w:szCs w:val="22"/>
                              </w:rPr>
                              <w:t>%)</w:t>
                            </w:r>
                            <w:r w:rsidR="00DE01AC">
                              <w:rPr>
                                <w:sz w:val="22"/>
                                <w:szCs w:val="22"/>
                              </w:rPr>
                              <w:t xml:space="preserve"> and chills (5</w:t>
                            </w:r>
                            <w:r w:rsidR="003A76C2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652ED" w:rsidRPr="002652ED">
                              <w:rPr>
                                <w:sz w:val="22"/>
                                <w:szCs w:val="22"/>
                              </w:rPr>
                              <w:t>%)</w:t>
                            </w:r>
                            <w:r w:rsidR="000947A7" w:rsidRPr="002652E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FB2631">
                              <w:rPr>
                                <w:sz w:val="22"/>
                                <w:szCs w:val="22"/>
                              </w:rPr>
                              <w:t xml:space="preserve"> Ther</w:t>
                            </w:r>
                            <w:r w:rsidR="00073657">
                              <w:rPr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2C23B5">
                              <w:rPr>
                                <w:sz w:val="22"/>
                                <w:szCs w:val="22"/>
                              </w:rPr>
                              <w:t>were</w:t>
                            </w:r>
                            <w:r w:rsidR="000736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6B10">
                              <w:rPr>
                                <w:sz w:val="22"/>
                                <w:szCs w:val="22"/>
                              </w:rPr>
                              <w:t xml:space="preserve">at least </w:t>
                            </w:r>
                            <w:r w:rsidR="002C23B5" w:rsidRPr="00721E19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3C4456" w:rsidRPr="00F0100A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3657">
                              <w:rPr>
                                <w:sz w:val="22"/>
                                <w:szCs w:val="22"/>
                              </w:rPr>
                              <w:t>fatalit</w:t>
                            </w:r>
                            <w:r w:rsidR="002C23B5">
                              <w:rPr>
                                <w:sz w:val="22"/>
                                <w:szCs w:val="22"/>
                              </w:rPr>
                              <w:t>ies</w:t>
                            </w:r>
                            <w:r w:rsidR="0007365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E1790" w:rsidRPr="00D0622B" w:rsidRDefault="00FE1790" w:rsidP="00FE1790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:rsidR="00AB0C32" w:rsidRPr="006B6DAF" w:rsidRDefault="00107CA8" w:rsidP="000871CF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806E39" w:rsidRPr="006B6D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1790" w:rsidRPr="006B6DAF">
                              <w:rPr>
                                <w:sz w:val="22"/>
                                <w:szCs w:val="22"/>
                              </w:rPr>
                              <w:t>confirmed c</w:t>
                            </w:r>
                            <w:r w:rsidR="00996B10" w:rsidRPr="006B6DAF">
                              <w:rPr>
                                <w:sz w:val="22"/>
                                <w:szCs w:val="22"/>
                              </w:rPr>
                              <w:t xml:space="preserve">ases </w:t>
                            </w:r>
                            <w:r w:rsidR="00F311F3" w:rsidRPr="006B6DAF">
                              <w:rPr>
                                <w:sz w:val="22"/>
                                <w:szCs w:val="22"/>
                              </w:rPr>
                              <w:t>had received</w:t>
                            </w:r>
                            <w:r w:rsidR="00FE1790" w:rsidRPr="006B6DAF">
                              <w:rPr>
                                <w:sz w:val="22"/>
                                <w:szCs w:val="22"/>
                              </w:rPr>
                              <w:t xml:space="preserve"> a blood transf</w:t>
                            </w:r>
                            <w:r w:rsidR="00AB0C32" w:rsidRPr="006B6DAF">
                              <w:rPr>
                                <w:sz w:val="22"/>
                                <w:szCs w:val="22"/>
                              </w:rPr>
                              <w:t xml:space="preserve">usion in the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six</w:t>
                            </w:r>
                            <w:r w:rsidR="00AB0C32" w:rsidRPr="006B6DAF">
                              <w:rPr>
                                <w:sz w:val="22"/>
                                <w:szCs w:val="22"/>
                              </w:rPr>
                              <w:t xml:space="preserve"> months prior to becoming ill</w:t>
                            </w:r>
                            <w:r w:rsidR="0088352D" w:rsidRPr="006B6DAF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2E34DE">
                              <w:rPr>
                                <w:sz w:val="22"/>
                                <w:szCs w:val="22"/>
                              </w:rPr>
                              <w:t>three</w:t>
                            </w:r>
                            <w:r w:rsidR="00A60E7D" w:rsidRPr="007D357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E7D" w:rsidRPr="006B6DAF">
                              <w:rPr>
                                <w:sz w:val="22"/>
                                <w:szCs w:val="22"/>
                              </w:rPr>
                              <w:t>of those are confirmed or likely transfusion-transmitted cases.</w:t>
                            </w:r>
                            <w:r w:rsidR="00B37F1D" w:rsidRPr="006B6D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B0C32" w:rsidRPr="00D0622B" w:rsidRDefault="00AB0C32" w:rsidP="00AB0C32">
                            <w:pPr>
                              <w:ind w:left="360"/>
                              <w:rPr>
                                <w:sz w:val="18"/>
                                <w:szCs w:val="22"/>
                              </w:rPr>
                            </w:pPr>
                          </w:p>
                          <w:p w:rsidR="00FE1790" w:rsidRPr="00F6573A" w:rsidRDefault="00A0421A" w:rsidP="00F6573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85300">
                              <w:rPr>
                                <w:sz w:val="22"/>
                                <w:szCs w:val="22"/>
                              </w:rPr>
                              <w:t xml:space="preserve">For more information about </w:t>
                            </w:r>
                            <w:proofErr w:type="spellStart"/>
                            <w:r w:rsidR="004B64E0" w:rsidRPr="00B85300">
                              <w:rPr>
                                <w:sz w:val="22"/>
                                <w:szCs w:val="22"/>
                              </w:rPr>
                              <w:t>babesiosis</w:t>
                            </w:r>
                            <w:proofErr w:type="spellEnd"/>
                            <w:r w:rsidR="004B64E0" w:rsidRPr="00B8530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85300">
                              <w:rPr>
                                <w:sz w:val="22"/>
                                <w:szCs w:val="22"/>
                              </w:rPr>
                              <w:t xml:space="preserve">and other tick-borne diseases, including things you can do to keep you and your loved ones safe, please visit </w:t>
                            </w:r>
                            <w:hyperlink r:id="rId10" w:history="1">
                              <w:r w:rsidRPr="00B85300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www.mass.gov/dph/tick</w:t>
                              </w:r>
                            </w:hyperlink>
                            <w:r w:rsidRPr="00B8530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7.15pt;margin-top:4.65pt;width:522pt;height:28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" strokecolor="#1f497d">
                <v:textbox>
                  <w:txbxContent>
                    <w:p w:rsidR="00F311F3" w:rsidRPr="00B85300" w:rsidRDefault="00950B99" w:rsidP="00B2688D">
                      <w:pPr>
                        <w:ind w:left="36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85300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 w:rsidR="00152FA3" w:rsidRPr="00B85300">
                        <w:rPr>
                          <w:b/>
                          <w:sz w:val="26"/>
                          <w:szCs w:val="26"/>
                        </w:rPr>
                        <w:t>1</w:t>
                      </w:r>
                      <w:r w:rsidR="0091192D">
                        <w:rPr>
                          <w:b/>
                          <w:sz w:val="26"/>
                          <w:szCs w:val="26"/>
                        </w:rPr>
                        <w:t>7</w:t>
                      </w:r>
                      <w:r w:rsidR="001533AE" w:rsidRPr="00B8530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346334" w:rsidRPr="00B85300">
                        <w:rPr>
                          <w:b/>
                          <w:sz w:val="26"/>
                          <w:szCs w:val="26"/>
                        </w:rPr>
                        <w:t xml:space="preserve">Surveillance </w:t>
                      </w:r>
                      <w:r w:rsidR="00B2688D" w:rsidRPr="00B85300">
                        <w:rPr>
                          <w:b/>
                          <w:sz w:val="26"/>
                          <w:szCs w:val="26"/>
                        </w:rPr>
                        <w:t>Highlights</w:t>
                      </w:r>
                    </w:p>
                    <w:p w:rsidR="00B2688D" w:rsidRPr="009E26C7" w:rsidRDefault="00C663AA" w:rsidP="009E26C7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</w:t>
                      </w:r>
                      <w:r w:rsidR="00097B88">
                        <w:rPr>
                          <w:sz w:val="22"/>
                          <w:szCs w:val="22"/>
                        </w:rPr>
                        <w:t>90</w:t>
                      </w:r>
                      <w:r w:rsidR="00B2688D" w:rsidRPr="00B85300">
                        <w:rPr>
                          <w:sz w:val="22"/>
                          <w:szCs w:val="22"/>
                        </w:rPr>
                        <w:t xml:space="preserve"> confirmed </w:t>
                      </w:r>
                      <w:r w:rsidR="009E27A7">
                        <w:rPr>
                          <w:sz w:val="22"/>
                          <w:szCs w:val="22"/>
                        </w:rPr>
                        <w:t xml:space="preserve">and probable </w:t>
                      </w:r>
                      <w:r w:rsidR="00CD5351" w:rsidRPr="00B85300">
                        <w:rPr>
                          <w:sz w:val="22"/>
                          <w:szCs w:val="22"/>
                        </w:rPr>
                        <w:t xml:space="preserve">cases of </w:t>
                      </w:r>
                      <w:proofErr w:type="spellStart"/>
                      <w:r w:rsidR="00E12AE3" w:rsidRPr="00B85300">
                        <w:rPr>
                          <w:sz w:val="22"/>
                          <w:szCs w:val="22"/>
                        </w:rPr>
                        <w:t>babesiosis</w:t>
                      </w:r>
                      <w:proofErr w:type="spellEnd"/>
                      <w:r w:rsidR="00B2688D" w:rsidRPr="00B85300">
                        <w:rPr>
                          <w:sz w:val="22"/>
                          <w:szCs w:val="22"/>
                        </w:rPr>
                        <w:t xml:space="preserve"> were reported </w:t>
                      </w:r>
                      <w:r w:rsidR="00FD241B" w:rsidRPr="00B85300">
                        <w:rPr>
                          <w:sz w:val="22"/>
                          <w:szCs w:val="22"/>
                        </w:rPr>
                        <w:t>in M</w:t>
                      </w:r>
                      <w:r w:rsidR="00CD5351" w:rsidRPr="00B85300">
                        <w:rPr>
                          <w:sz w:val="22"/>
                          <w:szCs w:val="22"/>
                        </w:rPr>
                        <w:t>assachusetts</w:t>
                      </w:r>
                      <w:r w:rsidR="00FD241B" w:rsidRPr="00B85300">
                        <w:rPr>
                          <w:sz w:val="22"/>
                          <w:szCs w:val="22"/>
                        </w:rPr>
                        <w:t xml:space="preserve"> in </w:t>
                      </w:r>
                      <w:r w:rsidR="00152FA3" w:rsidRPr="00B85300">
                        <w:rPr>
                          <w:sz w:val="22"/>
                          <w:szCs w:val="22"/>
                        </w:rPr>
                        <w:t>201</w:t>
                      </w:r>
                      <w:r w:rsidR="002F1FC2">
                        <w:rPr>
                          <w:sz w:val="22"/>
                          <w:szCs w:val="22"/>
                        </w:rPr>
                        <w:t>7</w:t>
                      </w:r>
                      <w:r w:rsidR="009C6105">
                        <w:rPr>
                          <w:sz w:val="22"/>
                          <w:szCs w:val="22"/>
                        </w:rPr>
                        <w:t>,</w:t>
                      </w:r>
                      <w:r w:rsidR="004C6F6F">
                        <w:rPr>
                          <w:sz w:val="22"/>
                          <w:szCs w:val="22"/>
                        </w:rPr>
                        <w:t xml:space="preserve"> a</w:t>
                      </w:r>
                      <w:r w:rsidR="004B64E0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E01AC" w:rsidRPr="00DE01AC">
                        <w:rPr>
                          <w:sz w:val="22"/>
                          <w:szCs w:val="22"/>
                        </w:rPr>
                        <w:t>1</w:t>
                      </w:r>
                      <w:r w:rsidR="00860C6C">
                        <w:rPr>
                          <w:sz w:val="22"/>
                          <w:szCs w:val="22"/>
                        </w:rPr>
                        <w:t>3</w:t>
                      </w:r>
                      <w:r w:rsidR="00702F50" w:rsidRPr="00DE01AC">
                        <w:rPr>
                          <w:sz w:val="22"/>
                          <w:szCs w:val="22"/>
                        </w:rPr>
                        <w:t>%</w:t>
                      </w:r>
                      <w:r w:rsidR="00BD6C8F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30470">
                        <w:rPr>
                          <w:sz w:val="22"/>
                          <w:szCs w:val="22"/>
                        </w:rPr>
                        <w:t xml:space="preserve">increase </w:t>
                      </w:r>
                      <w:r w:rsidR="00452B54">
                        <w:rPr>
                          <w:sz w:val="22"/>
                          <w:szCs w:val="22"/>
                        </w:rPr>
                        <w:t>from</w:t>
                      </w:r>
                      <w:r w:rsidR="004B64E0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1736" w:rsidRPr="00B85300">
                        <w:rPr>
                          <w:sz w:val="22"/>
                          <w:szCs w:val="22"/>
                        </w:rPr>
                        <w:t>201</w:t>
                      </w:r>
                      <w:r w:rsidR="00860C6C">
                        <w:rPr>
                          <w:sz w:val="22"/>
                          <w:szCs w:val="22"/>
                        </w:rPr>
                        <w:t>6</w:t>
                      </w:r>
                      <w:r w:rsidR="00F879C2" w:rsidRPr="00B85300">
                        <w:rPr>
                          <w:sz w:val="22"/>
                          <w:szCs w:val="22"/>
                        </w:rPr>
                        <w:t>.</w:t>
                      </w:r>
                      <w:r w:rsidR="00C30CA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96B10">
                        <w:rPr>
                          <w:sz w:val="22"/>
                          <w:szCs w:val="22"/>
                        </w:rPr>
                        <w:t xml:space="preserve">Overall, </w:t>
                      </w:r>
                      <w:r w:rsidR="000F6B70">
                        <w:rPr>
                          <w:sz w:val="22"/>
                          <w:szCs w:val="22"/>
                        </w:rPr>
                        <w:t>1,677</w:t>
                      </w:r>
                      <w:r w:rsidR="009239CD" w:rsidRPr="00976A4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B0C32">
                        <w:rPr>
                          <w:sz w:val="22"/>
                          <w:szCs w:val="22"/>
                        </w:rPr>
                        <w:t xml:space="preserve">suspect cases of </w:t>
                      </w:r>
                      <w:proofErr w:type="spellStart"/>
                      <w:r w:rsidR="00AB0C32">
                        <w:rPr>
                          <w:sz w:val="22"/>
                          <w:szCs w:val="22"/>
                        </w:rPr>
                        <w:t>babesiosis</w:t>
                      </w:r>
                      <w:proofErr w:type="spellEnd"/>
                      <w:r w:rsidR="00AB0C32">
                        <w:rPr>
                          <w:sz w:val="22"/>
                          <w:szCs w:val="22"/>
                        </w:rPr>
                        <w:t xml:space="preserve"> were investigated</w:t>
                      </w:r>
                      <w:r w:rsidR="00D0622B">
                        <w:rPr>
                          <w:sz w:val="22"/>
                          <w:szCs w:val="22"/>
                        </w:rPr>
                        <w:t>.</w:t>
                      </w:r>
                      <w:r w:rsidR="00F311F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B2688D" w:rsidRPr="00D0622B" w:rsidRDefault="00B2688D" w:rsidP="00B2688D">
                      <w:pPr>
                        <w:ind w:left="360"/>
                        <w:rPr>
                          <w:sz w:val="16"/>
                          <w:szCs w:val="22"/>
                        </w:rPr>
                      </w:pPr>
                    </w:p>
                    <w:p w:rsidR="003265EA" w:rsidRPr="0071761D" w:rsidRDefault="009E26C7" w:rsidP="009E26C7">
                      <w:pPr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22"/>
                        </w:rPr>
                      </w:pPr>
                      <w:r w:rsidRPr="0071761D">
                        <w:rPr>
                          <w:sz w:val="22"/>
                          <w:szCs w:val="22"/>
                        </w:rPr>
                        <w:t>Statewide</w:t>
                      </w:r>
                      <w:r w:rsidR="00F311F3" w:rsidRPr="0071761D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F311F3" w:rsidRPr="0071761D">
                        <w:rPr>
                          <w:sz w:val="22"/>
                          <w:szCs w:val="22"/>
                        </w:rPr>
                        <w:t>babesio</w:t>
                      </w:r>
                      <w:r w:rsidR="00996B10" w:rsidRPr="0071761D">
                        <w:rPr>
                          <w:sz w:val="22"/>
                          <w:szCs w:val="22"/>
                        </w:rPr>
                        <w:t>sis</w:t>
                      </w:r>
                      <w:proofErr w:type="spellEnd"/>
                      <w:r w:rsidR="00996B10" w:rsidRPr="0071761D">
                        <w:rPr>
                          <w:sz w:val="22"/>
                          <w:szCs w:val="22"/>
                        </w:rPr>
                        <w:t xml:space="preserve"> i</w:t>
                      </w:r>
                      <w:r w:rsidR="00B60CE4" w:rsidRPr="0071761D">
                        <w:rPr>
                          <w:sz w:val="22"/>
                          <w:szCs w:val="22"/>
                        </w:rPr>
                        <w:t xml:space="preserve">ncidence </w:t>
                      </w:r>
                      <w:r w:rsidR="00AA0785">
                        <w:rPr>
                          <w:sz w:val="22"/>
                          <w:szCs w:val="22"/>
                        </w:rPr>
                        <w:t>increased</w:t>
                      </w:r>
                      <w:r w:rsidR="00B60CE4" w:rsidRPr="0071761D">
                        <w:rPr>
                          <w:sz w:val="22"/>
                          <w:szCs w:val="22"/>
                        </w:rPr>
                        <w:t xml:space="preserve"> from </w:t>
                      </w:r>
                      <w:r w:rsidR="00860C6C">
                        <w:rPr>
                          <w:sz w:val="22"/>
                          <w:szCs w:val="22"/>
                        </w:rPr>
                        <w:t>7.9</w:t>
                      </w:r>
                      <w:r w:rsidR="00B60CE4" w:rsidRPr="0071761D">
                        <w:rPr>
                          <w:sz w:val="22"/>
                          <w:szCs w:val="22"/>
                        </w:rPr>
                        <w:t xml:space="preserve"> to </w:t>
                      </w:r>
                      <w:r w:rsidR="00860C6C">
                        <w:rPr>
                          <w:sz w:val="22"/>
                          <w:szCs w:val="22"/>
                        </w:rPr>
                        <w:t>9.0</w:t>
                      </w:r>
                      <w:r w:rsidR="00F311F3" w:rsidRPr="0071761D">
                        <w:rPr>
                          <w:sz w:val="22"/>
                          <w:szCs w:val="22"/>
                        </w:rPr>
                        <w:t xml:space="preserve"> cases per 100,000 residents</w:t>
                      </w:r>
                      <w:r w:rsidR="004E0CA6" w:rsidRPr="0071761D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EA44BE">
                        <w:rPr>
                          <w:sz w:val="22"/>
                          <w:szCs w:val="22"/>
                        </w:rPr>
                        <w:t>T</w:t>
                      </w:r>
                      <w:r w:rsidR="004C6F6F" w:rsidRPr="00F32FA4">
                        <w:rPr>
                          <w:sz w:val="22"/>
                          <w:szCs w:val="22"/>
                        </w:rPr>
                        <w:t xml:space="preserve">he </w:t>
                      </w:r>
                      <w:r w:rsidR="006D3551" w:rsidRPr="00F32FA4">
                        <w:rPr>
                          <w:sz w:val="22"/>
                          <w:szCs w:val="22"/>
                        </w:rPr>
                        <w:t xml:space="preserve">incidence in </w:t>
                      </w:r>
                      <w:r w:rsidR="00860C6C">
                        <w:rPr>
                          <w:sz w:val="22"/>
                          <w:szCs w:val="22"/>
                        </w:rPr>
                        <w:t xml:space="preserve">Berkshire, Dukes, </w:t>
                      </w:r>
                      <w:r w:rsidR="00DE01AC">
                        <w:rPr>
                          <w:sz w:val="22"/>
                          <w:szCs w:val="22"/>
                        </w:rPr>
                        <w:t>Hampden</w:t>
                      </w:r>
                      <w:r w:rsidR="00452B54" w:rsidRPr="00F32FA4">
                        <w:rPr>
                          <w:sz w:val="22"/>
                          <w:szCs w:val="22"/>
                        </w:rPr>
                        <w:t>, Hampshire, Norfolk</w:t>
                      </w:r>
                      <w:r w:rsidR="00DE01AC">
                        <w:rPr>
                          <w:sz w:val="22"/>
                          <w:szCs w:val="22"/>
                        </w:rPr>
                        <w:t>, Plymouth,</w:t>
                      </w:r>
                      <w:r w:rsidR="00452B54" w:rsidRPr="00F32FA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60C6C">
                        <w:rPr>
                          <w:sz w:val="22"/>
                          <w:szCs w:val="22"/>
                        </w:rPr>
                        <w:t xml:space="preserve">Suffolk, </w:t>
                      </w:r>
                      <w:r w:rsidR="00452B54" w:rsidRPr="00F32FA4">
                        <w:rPr>
                          <w:sz w:val="22"/>
                          <w:szCs w:val="22"/>
                        </w:rPr>
                        <w:t>and Worcester counties increased slightly</w:t>
                      </w:r>
                      <w:r w:rsidR="0071761D" w:rsidRPr="00F32FA4">
                        <w:rPr>
                          <w:sz w:val="22"/>
                          <w:szCs w:val="22"/>
                        </w:rPr>
                        <w:t>.</w:t>
                      </w:r>
                      <w:r w:rsidR="0071761D" w:rsidRPr="0071761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264F7" w:rsidRPr="0071761D">
                        <w:rPr>
                          <w:sz w:val="22"/>
                          <w:szCs w:val="22"/>
                        </w:rPr>
                        <w:t>Counties with the hi</w:t>
                      </w:r>
                      <w:r w:rsidR="00B60CE4" w:rsidRPr="0071761D">
                        <w:rPr>
                          <w:sz w:val="22"/>
                          <w:szCs w:val="22"/>
                        </w:rPr>
                        <w:t xml:space="preserve">ghest incidence continued to be Barnstable, Dukes, and Nantucket.  </w:t>
                      </w:r>
                    </w:p>
                    <w:p w:rsidR="0071761D" w:rsidRPr="0071761D" w:rsidRDefault="0071761D" w:rsidP="0071761D">
                      <w:pPr>
                        <w:rPr>
                          <w:sz w:val="16"/>
                          <w:szCs w:val="22"/>
                        </w:rPr>
                      </w:pPr>
                    </w:p>
                    <w:p w:rsidR="00B2688D" w:rsidRPr="00B85300" w:rsidRDefault="00B2688D" w:rsidP="00B2688D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B85300">
                        <w:rPr>
                          <w:sz w:val="22"/>
                          <w:szCs w:val="22"/>
                        </w:rPr>
                        <w:t xml:space="preserve">The majority of cases </w:t>
                      </w:r>
                      <w:r w:rsidR="003D0239" w:rsidRPr="00B85300">
                        <w:rPr>
                          <w:sz w:val="22"/>
                          <w:szCs w:val="22"/>
                        </w:rPr>
                        <w:t>occurred</w:t>
                      </w:r>
                      <w:r w:rsidRPr="00B85300">
                        <w:rPr>
                          <w:sz w:val="22"/>
                          <w:szCs w:val="22"/>
                        </w:rPr>
                        <w:t xml:space="preserve"> in June, July and August</w:t>
                      </w:r>
                      <w:r w:rsidR="005903D0">
                        <w:rPr>
                          <w:sz w:val="22"/>
                          <w:szCs w:val="22"/>
                        </w:rPr>
                        <w:t>,</w:t>
                      </w:r>
                      <w:r w:rsidR="005F2596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F132D">
                        <w:rPr>
                          <w:sz w:val="22"/>
                          <w:szCs w:val="22"/>
                        </w:rPr>
                        <w:t>with</w:t>
                      </w:r>
                      <w:r w:rsidR="005F2596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D3551">
                        <w:rPr>
                          <w:sz w:val="22"/>
                          <w:szCs w:val="22"/>
                        </w:rPr>
                        <w:t xml:space="preserve">only </w:t>
                      </w:r>
                      <w:r w:rsidR="00277406">
                        <w:rPr>
                          <w:sz w:val="22"/>
                          <w:szCs w:val="22"/>
                        </w:rPr>
                        <w:t>35</w:t>
                      </w:r>
                      <w:r w:rsidR="005D14A7">
                        <w:rPr>
                          <w:sz w:val="22"/>
                          <w:szCs w:val="22"/>
                        </w:rPr>
                        <w:t>% of cases reporting</w:t>
                      </w:r>
                      <w:r w:rsidR="005F2596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C6F6F">
                        <w:rPr>
                          <w:sz w:val="22"/>
                          <w:szCs w:val="22"/>
                        </w:rPr>
                        <w:t xml:space="preserve">awareness </w:t>
                      </w:r>
                      <w:r w:rsidR="006D3551">
                        <w:rPr>
                          <w:sz w:val="22"/>
                          <w:szCs w:val="22"/>
                        </w:rPr>
                        <w:t xml:space="preserve">of </w:t>
                      </w:r>
                      <w:r w:rsidR="005F2596" w:rsidRPr="00B85300">
                        <w:rPr>
                          <w:sz w:val="22"/>
                          <w:szCs w:val="22"/>
                        </w:rPr>
                        <w:t>a recent tick bite.</w:t>
                      </w:r>
                    </w:p>
                    <w:p w:rsidR="00D962E4" w:rsidRPr="00D0622B" w:rsidRDefault="00D962E4" w:rsidP="00D962E4">
                      <w:pPr>
                        <w:rPr>
                          <w:sz w:val="16"/>
                          <w:szCs w:val="22"/>
                        </w:rPr>
                      </w:pPr>
                    </w:p>
                    <w:p w:rsidR="00703971" w:rsidRPr="00B85300" w:rsidRDefault="006D3551" w:rsidP="00B2688D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People </w:t>
                      </w:r>
                      <w:r w:rsidR="00452B54">
                        <w:rPr>
                          <w:sz w:val="22"/>
                          <w:szCs w:val="22"/>
                        </w:rPr>
                        <w:t xml:space="preserve">aged 60 </w:t>
                      </w:r>
                      <w:r w:rsidR="0058104A">
                        <w:rPr>
                          <w:sz w:val="22"/>
                          <w:szCs w:val="22"/>
                        </w:rPr>
                        <w:t xml:space="preserve">years </w:t>
                      </w:r>
                      <w:r w:rsidR="00452B54">
                        <w:rPr>
                          <w:sz w:val="22"/>
                          <w:szCs w:val="22"/>
                        </w:rPr>
                        <w:t>and older</w:t>
                      </w:r>
                      <w:r w:rsidR="00D20441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continue to be at greatest risk </w:t>
                      </w:r>
                      <w:r w:rsidR="00200CD8">
                        <w:rPr>
                          <w:sz w:val="22"/>
                          <w:szCs w:val="22"/>
                        </w:rPr>
                        <w:t xml:space="preserve">for clinical disease </w:t>
                      </w:r>
                      <w:r w:rsidR="00996B10">
                        <w:rPr>
                          <w:sz w:val="22"/>
                          <w:szCs w:val="22"/>
                        </w:rPr>
                        <w:t>(</w:t>
                      </w:r>
                      <w:r w:rsidR="00976A43">
                        <w:rPr>
                          <w:sz w:val="22"/>
                          <w:szCs w:val="22"/>
                        </w:rPr>
                        <w:t>5</w:t>
                      </w:r>
                      <w:r w:rsidR="003B6722">
                        <w:rPr>
                          <w:sz w:val="22"/>
                          <w:szCs w:val="22"/>
                        </w:rPr>
                        <w:t>9</w:t>
                      </w:r>
                      <w:r w:rsidRPr="00976A43">
                        <w:rPr>
                          <w:sz w:val="22"/>
                          <w:szCs w:val="22"/>
                        </w:rPr>
                        <w:t>%</w:t>
                      </w:r>
                      <w:r>
                        <w:rPr>
                          <w:sz w:val="22"/>
                          <w:szCs w:val="22"/>
                        </w:rPr>
                        <w:t xml:space="preserve"> of all patient</w:t>
                      </w:r>
                      <w:r w:rsidR="004C6F6F">
                        <w:rPr>
                          <w:sz w:val="22"/>
                          <w:szCs w:val="22"/>
                        </w:rPr>
                        <w:t xml:space="preserve">s identified with </w:t>
                      </w:r>
                      <w:proofErr w:type="spellStart"/>
                      <w:r w:rsidR="004C6F6F">
                        <w:rPr>
                          <w:sz w:val="22"/>
                          <w:szCs w:val="22"/>
                        </w:rPr>
                        <w:t>babesiosis</w:t>
                      </w:r>
                      <w:proofErr w:type="spellEnd"/>
                      <w:r w:rsidR="004C6F6F">
                        <w:rPr>
                          <w:sz w:val="22"/>
                          <w:szCs w:val="22"/>
                        </w:rPr>
                        <w:t xml:space="preserve"> were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52B54">
                        <w:rPr>
                          <w:sz w:val="22"/>
                          <w:szCs w:val="22"/>
                        </w:rPr>
                        <w:t>60 years or older</w:t>
                      </w:r>
                      <w:r>
                        <w:rPr>
                          <w:sz w:val="22"/>
                          <w:szCs w:val="22"/>
                        </w:rPr>
                        <w:t>) and</w:t>
                      </w:r>
                      <w:r w:rsidR="00B37F1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E01AC">
                        <w:rPr>
                          <w:sz w:val="22"/>
                          <w:szCs w:val="22"/>
                        </w:rPr>
                        <w:t>6</w:t>
                      </w:r>
                      <w:r w:rsidR="002C4FE2">
                        <w:rPr>
                          <w:sz w:val="22"/>
                          <w:szCs w:val="22"/>
                        </w:rPr>
                        <w:t>6</w:t>
                      </w:r>
                      <w:r w:rsidR="004C6F6F">
                        <w:rPr>
                          <w:sz w:val="22"/>
                          <w:szCs w:val="22"/>
                        </w:rPr>
                        <w:t>%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E0CA6">
                        <w:rPr>
                          <w:sz w:val="22"/>
                          <w:szCs w:val="22"/>
                        </w:rPr>
                        <w:t xml:space="preserve">of all </w:t>
                      </w:r>
                      <w:r w:rsidR="00B37F1D">
                        <w:rPr>
                          <w:sz w:val="22"/>
                          <w:szCs w:val="22"/>
                        </w:rPr>
                        <w:t xml:space="preserve">cases </w:t>
                      </w:r>
                      <w:r w:rsidR="00E12AE3" w:rsidRPr="00B85300">
                        <w:rPr>
                          <w:sz w:val="22"/>
                          <w:szCs w:val="22"/>
                        </w:rPr>
                        <w:t>were male</w:t>
                      </w:r>
                      <w:r w:rsidR="00B2688D" w:rsidRPr="00B85300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124252" w:rsidRPr="00D0622B" w:rsidRDefault="00124252" w:rsidP="00124252">
                      <w:pPr>
                        <w:rPr>
                          <w:sz w:val="16"/>
                          <w:szCs w:val="22"/>
                        </w:rPr>
                      </w:pPr>
                    </w:p>
                    <w:p w:rsidR="00274239" w:rsidRPr="00B85300" w:rsidRDefault="006D3551" w:rsidP="00D962E4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</w:t>
                      </w:r>
                      <w:r w:rsidR="00706B98">
                        <w:rPr>
                          <w:sz w:val="22"/>
                          <w:szCs w:val="22"/>
                        </w:rPr>
                        <w:t>proximately one out o</w:t>
                      </w:r>
                      <w:r w:rsidR="00996B10">
                        <w:rPr>
                          <w:sz w:val="22"/>
                          <w:szCs w:val="22"/>
                        </w:rPr>
                        <w:t xml:space="preserve">f </w:t>
                      </w:r>
                      <w:r w:rsidR="002C23B5">
                        <w:rPr>
                          <w:sz w:val="22"/>
                          <w:szCs w:val="22"/>
                        </w:rPr>
                        <w:t>three</w:t>
                      </w:r>
                      <w:r w:rsidR="00996B10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2C23B5">
                        <w:rPr>
                          <w:sz w:val="22"/>
                          <w:szCs w:val="22"/>
                        </w:rPr>
                        <w:t>3</w:t>
                      </w:r>
                      <w:r w:rsidR="00263F96">
                        <w:rPr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sz w:val="22"/>
                          <w:szCs w:val="22"/>
                        </w:rPr>
                        <w:t xml:space="preserve">%) </w:t>
                      </w:r>
                      <w:r w:rsidR="005C7CB1">
                        <w:rPr>
                          <w:sz w:val="22"/>
                          <w:szCs w:val="22"/>
                        </w:rPr>
                        <w:t xml:space="preserve">cases </w:t>
                      </w:r>
                      <w:r w:rsidR="005B2A2C">
                        <w:rPr>
                          <w:sz w:val="22"/>
                          <w:szCs w:val="22"/>
                        </w:rPr>
                        <w:t>was</w:t>
                      </w:r>
                      <w:r w:rsidR="00124252" w:rsidRPr="00B85300">
                        <w:rPr>
                          <w:sz w:val="22"/>
                          <w:szCs w:val="22"/>
                        </w:rPr>
                        <w:t xml:space="preserve"> hospitalized.</w:t>
                      </w:r>
                      <w:r w:rsidR="002652E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947A7" w:rsidRPr="002652ED">
                        <w:rPr>
                          <w:sz w:val="22"/>
                          <w:szCs w:val="22"/>
                        </w:rPr>
                        <w:t xml:space="preserve">The symptoms most commonly reported included </w:t>
                      </w:r>
                      <w:r w:rsidR="002A6E68" w:rsidRPr="002652ED">
                        <w:rPr>
                          <w:sz w:val="22"/>
                          <w:szCs w:val="22"/>
                        </w:rPr>
                        <w:t>fatigue</w:t>
                      </w:r>
                      <w:r w:rsidR="000947A7" w:rsidRPr="002652ED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DE01AC">
                        <w:rPr>
                          <w:sz w:val="22"/>
                          <w:szCs w:val="22"/>
                        </w:rPr>
                        <w:t>7</w:t>
                      </w:r>
                      <w:r w:rsidR="003A76C2">
                        <w:rPr>
                          <w:sz w:val="22"/>
                          <w:szCs w:val="22"/>
                        </w:rPr>
                        <w:t>6</w:t>
                      </w:r>
                      <w:r w:rsidR="00DE0360" w:rsidRPr="002652ED">
                        <w:rPr>
                          <w:sz w:val="22"/>
                          <w:szCs w:val="22"/>
                        </w:rPr>
                        <w:t>%),</w:t>
                      </w:r>
                      <w:r w:rsidR="000947A7" w:rsidRPr="002652E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96B10" w:rsidRPr="002652ED">
                        <w:rPr>
                          <w:sz w:val="22"/>
                          <w:szCs w:val="22"/>
                        </w:rPr>
                        <w:t>fever (</w:t>
                      </w:r>
                      <w:r w:rsidR="00DE01AC">
                        <w:rPr>
                          <w:sz w:val="22"/>
                          <w:szCs w:val="22"/>
                        </w:rPr>
                        <w:t>68</w:t>
                      </w:r>
                      <w:r w:rsidR="00706B98" w:rsidRPr="002652ED">
                        <w:rPr>
                          <w:sz w:val="22"/>
                          <w:szCs w:val="22"/>
                        </w:rPr>
                        <w:t xml:space="preserve">%), </w:t>
                      </w:r>
                      <w:r w:rsidR="002A6E68" w:rsidRPr="002652ED">
                        <w:rPr>
                          <w:sz w:val="22"/>
                          <w:szCs w:val="22"/>
                        </w:rPr>
                        <w:t>malaise</w:t>
                      </w:r>
                      <w:r w:rsidR="000947A7" w:rsidRPr="002652ED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F0100A">
                        <w:rPr>
                          <w:sz w:val="22"/>
                          <w:szCs w:val="22"/>
                        </w:rPr>
                        <w:t>6</w:t>
                      </w:r>
                      <w:r w:rsidR="003A76C2">
                        <w:rPr>
                          <w:sz w:val="22"/>
                          <w:szCs w:val="22"/>
                        </w:rPr>
                        <w:t>1</w:t>
                      </w:r>
                      <w:r w:rsidR="002A6E68" w:rsidRPr="002652ED">
                        <w:rPr>
                          <w:sz w:val="22"/>
                          <w:szCs w:val="22"/>
                        </w:rPr>
                        <w:t>%)</w:t>
                      </w:r>
                      <w:r w:rsidR="002652ED" w:rsidRPr="002652ED">
                        <w:rPr>
                          <w:sz w:val="22"/>
                          <w:szCs w:val="22"/>
                        </w:rPr>
                        <w:t>, muscle</w:t>
                      </w:r>
                      <w:r w:rsidR="003B6774" w:rsidRPr="002652ED">
                        <w:rPr>
                          <w:sz w:val="22"/>
                          <w:szCs w:val="22"/>
                        </w:rPr>
                        <w:t xml:space="preserve"> ache</w:t>
                      </w:r>
                      <w:r w:rsidR="005D3654" w:rsidRPr="002652ED">
                        <w:rPr>
                          <w:sz w:val="22"/>
                          <w:szCs w:val="22"/>
                        </w:rPr>
                        <w:t>s</w:t>
                      </w:r>
                      <w:r w:rsidR="00996B10" w:rsidRPr="002652ED">
                        <w:rPr>
                          <w:sz w:val="22"/>
                          <w:szCs w:val="22"/>
                        </w:rPr>
                        <w:t xml:space="preserve"> and pain (</w:t>
                      </w:r>
                      <w:r w:rsidR="00F0100A">
                        <w:rPr>
                          <w:sz w:val="22"/>
                          <w:szCs w:val="22"/>
                        </w:rPr>
                        <w:t>5</w:t>
                      </w:r>
                      <w:r w:rsidR="003A76C2">
                        <w:rPr>
                          <w:sz w:val="22"/>
                          <w:szCs w:val="22"/>
                        </w:rPr>
                        <w:t>4</w:t>
                      </w:r>
                      <w:r w:rsidR="003B6774" w:rsidRPr="002652ED">
                        <w:rPr>
                          <w:sz w:val="22"/>
                          <w:szCs w:val="22"/>
                        </w:rPr>
                        <w:t>%)</w:t>
                      </w:r>
                      <w:r w:rsidR="00DE01AC">
                        <w:rPr>
                          <w:sz w:val="22"/>
                          <w:szCs w:val="22"/>
                        </w:rPr>
                        <w:t xml:space="preserve"> and chills (5</w:t>
                      </w:r>
                      <w:r w:rsidR="003A76C2">
                        <w:rPr>
                          <w:sz w:val="22"/>
                          <w:szCs w:val="22"/>
                        </w:rPr>
                        <w:t>3</w:t>
                      </w:r>
                      <w:r w:rsidR="002652ED" w:rsidRPr="002652ED">
                        <w:rPr>
                          <w:sz w:val="22"/>
                          <w:szCs w:val="22"/>
                        </w:rPr>
                        <w:t>%)</w:t>
                      </w:r>
                      <w:r w:rsidR="000947A7" w:rsidRPr="002652ED">
                        <w:rPr>
                          <w:sz w:val="22"/>
                          <w:szCs w:val="22"/>
                        </w:rPr>
                        <w:t>.</w:t>
                      </w:r>
                      <w:r w:rsidR="00FB2631">
                        <w:rPr>
                          <w:sz w:val="22"/>
                          <w:szCs w:val="22"/>
                        </w:rPr>
                        <w:t xml:space="preserve"> Ther</w:t>
                      </w:r>
                      <w:r w:rsidR="00073657">
                        <w:rPr>
                          <w:sz w:val="22"/>
                          <w:szCs w:val="22"/>
                        </w:rPr>
                        <w:t xml:space="preserve">e </w:t>
                      </w:r>
                      <w:r w:rsidR="002C23B5">
                        <w:rPr>
                          <w:sz w:val="22"/>
                          <w:szCs w:val="22"/>
                        </w:rPr>
                        <w:t>were</w:t>
                      </w:r>
                      <w:r w:rsidR="000736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96B10">
                        <w:rPr>
                          <w:sz w:val="22"/>
                          <w:szCs w:val="22"/>
                        </w:rPr>
                        <w:t xml:space="preserve">at least </w:t>
                      </w:r>
                      <w:r w:rsidR="002C23B5" w:rsidRPr="00721E19">
                        <w:rPr>
                          <w:sz w:val="22"/>
                          <w:szCs w:val="22"/>
                        </w:rPr>
                        <w:t>4</w:t>
                      </w:r>
                      <w:r w:rsidR="003C4456" w:rsidRPr="00F0100A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073657">
                        <w:rPr>
                          <w:sz w:val="22"/>
                          <w:szCs w:val="22"/>
                        </w:rPr>
                        <w:t>fatalit</w:t>
                      </w:r>
                      <w:r w:rsidR="002C23B5">
                        <w:rPr>
                          <w:sz w:val="22"/>
                          <w:szCs w:val="22"/>
                        </w:rPr>
                        <w:t>ies</w:t>
                      </w:r>
                      <w:r w:rsidR="0007365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FE1790" w:rsidRPr="00D0622B" w:rsidRDefault="00FE1790" w:rsidP="00FE1790">
                      <w:pPr>
                        <w:rPr>
                          <w:sz w:val="16"/>
                          <w:szCs w:val="22"/>
                        </w:rPr>
                      </w:pPr>
                    </w:p>
                    <w:p w:rsidR="00AB0C32" w:rsidRPr="006B6DAF" w:rsidRDefault="00107CA8" w:rsidP="000871CF">
                      <w:pPr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806E39" w:rsidRPr="006B6DA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1790" w:rsidRPr="006B6DAF">
                        <w:rPr>
                          <w:sz w:val="22"/>
                          <w:szCs w:val="22"/>
                        </w:rPr>
                        <w:t>confirmed c</w:t>
                      </w:r>
                      <w:r w:rsidR="00996B10" w:rsidRPr="006B6DAF">
                        <w:rPr>
                          <w:sz w:val="22"/>
                          <w:szCs w:val="22"/>
                        </w:rPr>
                        <w:t xml:space="preserve">ases </w:t>
                      </w:r>
                      <w:r w:rsidR="00F311F3" w:rsidRPr="006B6DAF">
                        <w:rPr>
                          <w:sz w:val="22"/>
                          <w:szCs w:val="22"/>
                        </w:rPr>
                        <w:t>had received</w:t>
                      </w:r>
                      <w:r w:rsidR="00FE1790" w:rsidRPr="006B6DAF">
                        <w:rPr>
                          <w:sz w:val="22"/>
                          <w:szCs w:val="22"/>
                        </w:rPr>
                        <w:t xml:space="preserve"> a blood transf</w:t>
                      </w:r>
                      <w:r w:rsidR="00AB0C32" w:rsidRPr="006B6DAF">
                        <w:rPr>
                          <w:sz w:val="22"/>
                          <w:szCs w:val="22"/>
                        </w:rPr>
                        <w:t xml:space="preserve">usion in the </w:t>
                      </w:r>
                      <w:r>
                        <w:rPr>
                          <w:sz w:val="22"/>
                          <w:szCs w:val="22"/>
                        </w:rPr>
                        <w:t>six</w:t>
                      </w:r>
                      <w:r w:rsidR="00AB0C32" w:rsidRPr="006B6DAF">
                        <w:rPr>
                          <w:sz w:val="22"/>
                          <w:szCs w:val="22"/>
                        </w:rPr>
                        <w:t xml:space="preserve"> months prior to becoming ill</w:t>
                      </w:r>
                      <w:r w:rsidR="0088352D" w:rsidRPr="006B6DAF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="002E34DE">
                        <w:rPr>
                          <w:sz w:val="22"/>
                          <w:szCs w:val="22"/>
                        </w:rPr>
                        <w:t>three</w:t>
                      </w:r>
                      <w:r w:rsidR="00A60E7D" w:rsidRPr="007D3575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0E7D" w:rsidRPr="006B6DAF">
                        <w:rPr>
                          <w:sz w:val="22"/>
                          <w:szCs w:val="22"/>
                        </w:rPr>
                        <w:t>of those are confirmed or likely transfusion-transmitted cases.</w:t>
                      </w:r>
                      <w:r w:rsidR="00B37F1D" w:rsidRPr="006B6DAF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AB0C32" w:rsidRPr="00D0622B" w:rsidRDefault="00AB0C32" w:rsidP="00AB0C32">
                      <w:pPr>
                        <w:ind w:left="360"/>
                        <w:rPr>
                          <w:sz w:val="18"/>
                          <w:szCs w:val="22"/>
                        </w:rPr>
                      </w:pPr>
                    </w:p>
                    <w:p w:rsidR="00FE1790" w:rsidRPr="00F6573A" w:rsidRDefault="00A0421A" w:rsidP="00F6573A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B85300">
                        <w:rPr>
                          <w:sz w:val="22"/>
                          <w:szCs w:val="22"/>
                        </w:rPr>
                        <w:t xml:space="preserve">For more information about </w:t>
                      </w:r>
                      <w:proofErr w:type="spellStart"/>
                      <w:r w:rsidR="004B64E0" w:rsidRPr="00B85300">
                        <w:rPr>
                          <w:sz w:val="22"/>
                          <w:szCs w:val="22"/>
                        </w:rPr>
                        <w:t>babesiosis</w:t>
                      </w:r>
                      <w:proofErr w:type="spellEnd"/>
                      <w:r w:rsidR="004B64E0" w:rsidRPr="00B8530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85300">
                        <w:rPr>
                          <w:sz w:val="22"/>
                          <w:szCs w:val="22"/>
                        </w:rPr>
                        <w:t xml:space="preserve">and other tick-borne diseases, including things you can do to keep you and your loved ones safe, please visit </w:t>
                      </w:r>
                      <w:hyperlink r:id="rId11" w:history="1">
                        <w:r w:rsidRPr="00B85300">
                          <w:rPr>
                            <w:rStyle w:val="Hyperlink"/>
                            <w:sz w:val="22"/>
                            <w:szCs w:val="22"/>
                          </w:rPr>
                          <w:t>www.mass.gov/dph/tick</w:t>
                        </w:r>
                      </w:hyperlink>
                      <w:r w:rsidRPr="00B85300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59721E" w:rsidRDefault="0059721E" w:rsidP="0059721E">
      <w:pPr>
        <w:jc w:val="center"/>
        <w:rPr>
          <w:b/>
          <w:sz w:val="40"/>
          <w:szCs w:val="40"/>
        </w:rPr>
      </w:pPr>
    </w:p>
    <w:p w:rsidR="00346334" w:rsidRDefault="00346334" w:rsidP="00B2688D">
      <w:pPr>
        <w:rPr>
          <w:b/>
          <w:sz w:val="40"/>
          <w:szCs w:val="40"/>
        </w:rPr>
      </w:pPr>
    </w:p>
    <w:p w:rsidR="00346334" w:rsidRDefault="00346334" w:rsidP="00B2688D">
      <w:pPr>
        <w:rPr>
          <w:b/>
          <w:sz w:val="40"/>
          <w:szCs w:val="40"/>
        </w:rPr>
      </w:pPr>
    </w:p>
    <w:p w:rsidR="002B2CC9" w:rsidRDefault="002B2CC9" w:rsidP="00B2688D">
      <w:pPr>
        <w:rPr>
          <w:b/>
          <w:sz w:val="40"/>
          <w:szCs w:val="40"/>
        </w:rPr>
      </w:pPr>
    </w:p>
    <w:p w:rsidR="002B2CC9" w:rsidRDefault="00C62A03" w:rsidP="00B2688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703971" w:rsidRDefault="00703971" w:rsidP="000947A7">
      <w:pPr>
        <w:ind w:left="-360"/>
      </w:pPr>
    </w:p>
    <w:p w:rsidR="00A0421A" w:rsidRDefault="00A0421A" w:rsidP="00B5287D">
      <w:pPr>
        <w:ind w:left="-360"/>
      </w:pPr>
    </w:p>
    <w:p w:rsidR="00A0421A" w:rsidRDefault="00A0421A" w:rsidP="00A0421A"/>
    <w:p w:rsidR="00F311F3" w:rsidRPr="002A52D2" w:rsidRDefault="005965BD" w:rsidP="001A6F5A">
      <w:pPr>
        <w:ind w:left="-360"/>
        <w:rPr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2848" behindDoc="1" locked="0" layoutInCell="1" allowOverlap="1" wp14:anchorId="0D918053" wp14:editId="21F4BA2F">
            <wp:simplePos x="0" y="0"/>
            <wp:positionH relativeFrom="column">
              <wp:posOffset>-267970</wp:posOffset>
            </wp:positionH>
            <wp:positionV relativeFrom="paragraph">
              <wp:posOffset>683260</wp:posOffset>
            </wp:positionV>
            <wp:extent cx="3449320" cy="2665095"/>
            <wp:effectExtent l="0" t="0" r="0" b="1905"/>
            <wp:wrapTight wrapText="bothSides">
              <wp:wrapPolygon edited="0">
                <wp:start x="0" y="0"/>
                <wp:lineTo x="0" y="21461"/>
                <wp:lineTo x="21473" y="21461"/>
                <wp:lineTo x="21473" y="0"/>
                <wp:lineTo x="0" y="0"/>
              </wp:wrapPolygon>
            </wp:wrapTight>
            <wp:docPr id="4" name="Picture 4" descr="J:\EPI\Zoonoses\Tickborne\Annual Tickborne QA and Reporting\Surveillance statistics and summaries\2017\maps\bab_map_2017_UNSUPPRES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EPI\Zoonoses\Tickborne\Annual Tickborne QA and Reporting\Surveillance statistics and summaries\2017\maps\bab_map_2017_UNSUPPRESS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3AE5" w:rsidRPr="001A6F5A">
        <w:rPr>
          <w:sz w:val="22"/>
          <w:szCs w:val="22"/>
        </w:rPr>
        <w:t xml:space="preserve">The map below illustrates </w:t>
      </w:r>
      <w:proofErr w:type="spellStart"/>
      <w:r w:rsidR="00D80473" w:rsidRPr="001A6F5A">
        <w:rPr>
          <w:sz w:val="22"/>
          <w:szCs w:val="22"/>
        </w:rPr>
        <w:t>babesiosis</w:t>
      </w:r>
      <w:proofErr w:type="spellEnd"/>
      <w:r w:rsidR="004451DC" w:rsidRPr="001A6F5A">
        <w:rPr>
          <w:sz w:val="22"/>
          <w:szCs w:val="22"/>
        </w:rPr>
        <w:t xml:space="preserve"> incidence rates per 100,000 </w:t>
      </w:r>
      <w:proofErr w:type="gramStart"/>
      <w:r w:rsidR="0058104A" w:rsidRPr="001A6F5A">
        <w:rPr>
          <w:sz w:val="22"/>
          <w:szCs w:val="22"/>
        </w:rPr>
        <w:t>population</w:t>
      </w:r>
      <w:proofErr w:type="gramEnd"/>
      <w:r w:rsidR="0058104A" w:rsidRPr="001A6F5A">
        <w:rPr>
          <w:sz w:val="22"/>
          <w:szCs w:val="22"/>
        </w:rPr>
        <w:t xml:space="preserve"> </w:t>
      </w:r>
      <w:r w:rsidR="004451DC" w:rsidRPr="001A6F5A">
        <w:rPr>
          <w:sz w:val="22"/>
          <w:szCs w:val="22"/>
        </w:rPr>
        <w:t xml:space="preserve">by city and town </w:t>
      </w:r>
      <w:r w:rsidR="00CD5351" w:rsidRPr="001A6F5A">
        <w:rPr>
          <w:sz w:val="22"/>
          <w:szCs w:val="22"/>
        </w:rPr>
        <w:t xml:space="preserve">of residence </w:t>
      </w:r>
      <w:r w:rsidR="004451DC" w:rsidRPr="001A6F5A">
        <w:rPr>
          <w:sz w:val="22"/>
          <w:szCs w:val="22"/>
        </w:rPr>
        <w:t>in Massachusetts</w:t>
      </w:r>
      <w:r w:rsidR="0081125E" w:rsidRPr="001A6F5A">
        <w:rPr>
          <w:sz w:val="22"/>
          <w:szCs w:val="22"/>
        </w:rPr>
        <w:t xml:space="preserve"> </w:t>
      </w:r>
      <w:r w:rsidR="00200CD8" w:rsidRPr="001A6F5A">
        <w:rPr>
          <w:sz w:val="22"/>
          <w:szCs w:val="22"/>
        </w:rPr>
        <w:t xml:space="preserve">for </w:t>
      </w:r>
      <w:r w:rsidR="00AA0785" w:rsidRPr="001A6F5A">
        <w:rPr>
          <w:sz w:val="22"/>
          <w:szCs w:val="22"/>
        </w:rPr>
        <w:t>201</w:t>
      </w:r>
      <w:r w:rsidR="00205B42" w:rsidRPr="001A6F5A">
        <w:rPr>
          <w:sz w:val="22"/>
          <w:szCs w:val="22"/>
        </w:rPr>
        <w:t>3</w:t>
      </w:r>
      <w:r w:rsidR="00FE6D1F" w:rsidRPr="001A6F5A">
        <w:rPr>
          <w:sz w:val="22"/>
          <w:szCs w:val="22"/>
        </w:rPr>
        <w:t>-</w:t>
      </w:r>
      <w:r w:rsidR="006A0BE6" w:rsidRPr="001A6F5A">
        <w:rPr>
          <w:sz w:val="22"/>
          <w:szCs w:val="22"/>
        </w:rPr>
        <w:t>201</w:t>
      </w:r>
      <w:r w:rsidR="00205B42" w:rsidRPr="001A6F5A">
        <w:rPr>
          <w:sz w:val="22"/>
          <w:szCs w:val="22"/>
        </w:rPr>
        <w:t>7</w:t>
      </w:r>
      <w:r w:rsidR="00CD5351" w:rsidRPr="001A6F5A">
        <w:rPr>
          <w:sz w:val="22"/>
          <w:szCs w:val="22"/>
        </w:rPr>
        <w:t xml:space="preserve">. </w:t>
      </w:r>
      <w:r w:rsidR="00CB6239" w:rsidRPr="001A6F5A">
        <w:rPr>
          <w:sz w:val="22"/>
          <w:szCs w:val="22"/>
        </w:rPr>
        <w:t xml:space="preserve">Areas of highest incidence include </w:t>
      </w:r>
      <w:r w:rsidR="00200CD8" w:rsidRPr="001A6F5A">
        <w:rPr>
          <w:sz w:val="22"/>
          <w:szCs w:val="22"/>
        </w:rPr>
        <w:t xml:space="preserve">southern </w:t>
      </w:r>
      <w:r w:rsidR="00E55DFA" w:rsidRPr="001A6F5A">
        <w:rPr>
          <w:sz w:val="22"/>
          <w:szCs w:val="22"/>
        </w:rPr>
        <w:t xml:space="preserve">and central </w:t>
      </w:r>
      <w:r w:rsidR="00C30CA7" w:rsidRPr="001A6F5A">
        <w:rPr>
          <w:sz w:val="22"/>
          <w:szCs w:val="22"/>
        </w:rPr>
        <w:t xml:space="preserve">Middlesex County, </w:t>
      </w:r>
      <w:r w:rsidR="00B839A1" w:rsidRPr="001A6F5A">
        <w:rPr>
          <w:sz w:val="22"/>
          <w:szCs w:val="22"/>
        </w:rPr>
        <w:t>p</w:t>
      </w:r>
      <w:r w:rsidR="00C30CA7" w:rsidRPr="001A6F5A">
        <w:rPr>
          <w:sz w:val="22"/>
          <w:szCs w:val="22"/>
        </w:rPr>
        <w:t xml:space="preserve">arts of Essex County, </w:t>
      </w:r>
      <w:r w:rsidR="00CB6239" w:rsidRPr="001A6F5A">
        <w:rPr>
          <w:sz w:val="22"/>
          <w:szCs w:val="22"/>
        </w:rPr>
        <w:t>Cape Cod</w:t>
      </w:r>
      <w:r w:rsidR="006D3005" w:rsidRPr="001A6F5A">
        <w:rPr>
          <w:sz w:val="22"/>
          <w:szCs w:val="22"/>
        </w:rPr>
        <w:t>, Southeastern Massachusetts</w:t>
      </w:r>
      <w:r w:rsidR="00CB6239" w:rsidRPr="001A6F5A">
        <w:rPr>
          <w:sz w:val="22"/>
          <w:szCs w:val="22"/>
        </w:rPr>
        <w:t xml:space="preserve"> and the island</w:t>
      </w:r>
      <w:r w:rsidR="00B5287D" w:rsidRPr="001A6F5A">
        <w:rPr>
          <w:sz w:val="22"/>
          <w:szCs w:val="22"/>
        </w:rPr>
        <w:t>s</w:t>
      </w:r>
      <w:r w:rsidR="00CB6239" w:rsidRPr="001A6F5A">
        <w:rPr>
          <w:sz w:val="22"/>
          <w:szCs w:val="22"/>
        </w:rPr>
        <w:t xml:space="preserve"> of Nantucket</w:t>
      </w:r>
      <w:r w:rsidR="00B5287D" w:rsidRPr="001A6F5A">
        <w:rPr>
          <w:sz w:val="22"/>
          <w:szCs w:val="22"/>
        </w:rPr>
        <w:t xml:space="preserve"> and Martha’s Vineyard</w:t>
      </w:r>
      <w:r w:rsidR="00CB6239" w:rsidRPr="001A6F5A">
        <w:rPr>
          <w:sz w:val="22"/>
          <w:szCs w:val="22"/>
        </w:rPr>
        <w:t>.</w:t>
      </w:r>
      <w:r w:rsidR="00CB6239" w:rsidRPr="00B85300">
        <w:rPr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XSpec="right" w:tblpY="66"/>
        <w:tblW w:w="41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260"/>
        <w:gridCol w:w="1215"/>
      </w:tblGrid>
      <w:tr w:rsidR="00F6573A" w:rsidRPr="005965BD" w:rsidTr="005965BD">
        <w:trPr>
          <w:trHeight w:val="649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jc w:val="center"/>
              <w:rPr>
                <w:b/>
                <w:sz w:val="18"/>
                <w:szCs w:val="18"/>
              </w:rPr>
            </w:pPr>
            <w:r w:rsidRPr="005965BD">
              <w:rPr>
                <w:b/>
                <w:bCs/>
                <w:sz w:val="18"/>
                <w:szCs w:val="18"/>
              </w:rPr>
              <w:t>County</w:t>
            </w:r>
          </w:p>
        </w:tc>
        <w:tc>
          <w:tcPr>
            <w:tcW w:w="1260" w:type="dxa"/>
            <w:shd w:val="clear" w:color="auto" w:fill="auto"/>
          </w:tcPr>
          <w:p w:rsidR="00F6573A" w:rsidRPr="005965BD" w:rsidRDefault="00F6573A" w:rsidP="00F6573A">
            <w:pPr>
              <w:jc w:val="center"/>
              <w:rPr>
                <w:b/>
                <w:bCs/>
                <w:sz w:val="18"/>
                <w:szCs w:val="18"/>
              </w:rPr>
            </w:pPr>
            <w:r w:rsidRPr="005965BD">
              <w:rPr>
                <w:b/>
                <w:bCs/>
                <w:sz w:val="18"/>
                <w:szCs w:val="18"/>
              </w:rPr>
              <w:t>2017 Cases</w:t>
            </w:r>
          </w:p>
          <w:p w:rsidR="00F6573A" w:rsidRPr="005965BD" w:rsidRDefault="00F6573A" w:rsidP="00F6573A">
            <w:pPr>
              <w:jc w:val="center"/>
              <w:rPr>
                <w:b/>
                <w:bCs/>
                <w:sz w:val="18"/>
                <w:szCs w:val="18"/>
              </w:rPr>
            </w:pPr>
            <w:r w:rsidRPr="005965BD">
              <w:rPr>
                <w:b/>
                <w:bCs/>
                <w:sz w:val="18"/>
                <w:szCs w:val="18"/>
              </w:rPr>
              <w:t>Confirmed and Probable</w:t>
            </w:r>
          </w:p>
        </w:tc>
        <w:tc>
          <w:tcPr>
            <w:tcW w:w="1215" w:type="dxa"/>
            <w:shd w:val="clear" w:color="auto" w:fill="auto"/>
          </w:tcPr>
          <w:p w:rsidR="00F6573A" w:rsidRPr="005965BD" w:rsidRDefault="00F6573A" w:rsidP="00F6573A">
            <w:pPr>
              <w:jc w:val="center"/>
              <w:rPr>
                <w:b/>
                <w:bCs/>
                <w:sz w:val="18"/>
                <w:szCs w:val="18"/>
              </w:rPr>
            </w:pPr>
            <w:r w:rsidRPr="005965BD">
              <w:rPr>
                <w:b/>
                <w:bCs/>
                <w:sz w:val="18"/>
                <w:szCs w:val="18"/>
              </w:rPr>
              <w:t>2017</w:t>
            </w:r>
          </w:p>
          <w:p w:rsidR="00F6573A" w:rsidRPr="005965BD" w:rsidRDefault="00F6573A" w:rsidP="00F6573A">
            <w:pPr>
              <w:jc w:val="center"/>
              <w:rPr>
                <w:b/>
                <w:sz w:val="18"/>
                <w:szCs w:val="18"/>
              </w:rPr>
            </w:pPr>
            <w:r w:rsidRPr="005965BD">
              <w:rPr>
                <w:b/>
                <w:bCs/>
                <w:sz w:val="18"/>
                <w:szCs w:val="18"/>
              </w:rPr>
              <w:t>Incidence Rate per 100,000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Barnstable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99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45.9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Berkshire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28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21.3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Bristol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90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6573A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16.</w:t>
            </w:r>
            <w:r w:rsidR="00F45634" w:rsidRPr="005965BD">
              <w:rPr>
                <w:sz w:val="18"/>
                <w:szCs w:val="18"/>
              </w:rPr>
              <w:t>4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Dukes &amp; Nantucket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14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5965BD" w:rsidP="00596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Essex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30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4.0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Franklin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6573A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2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2.8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Hampden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11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2.4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Hampshire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6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BB78E8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3.8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Middlesex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62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BB78E8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4.1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Norfolk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41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BB78E8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6.1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BB78E8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P</w:t>
            </w:r>
            <w:r w:rsidR="00F6573A" w:rsidRPr="005965BD">
              <w:rPr>
                <w:sz w:val="18"/>
                <w:szCs w:val="18"/>
              </w:rPr>
              <w:t>lymouth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6573A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1</w:t>
            </w:r>
            <w:r w:rsidR="00F45634" w:rsidRPr="005965BD">
              <w:rPr>
                <w:sz w:val="18"/>
                <w:szCs w:val="18"/>
              </w:rPr>
              <w:t>59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BB78E8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32.1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Suffolk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6573A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1</w:t>
            </w:r>
            <w:r w:rsidR="00F45634" w:rsidRPr="005965BD">
              <w:rPr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F6573A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1.</w:t>
            </w:r>
            <w:r w:rsidR="00BB78E8" w:rsidRPr="005965BD">
              <w:rPr>
                <w:sz w:val="18"/>
                <w:szCs w:val="18"/>
              </w:rPr>
              <w:t>5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Worcester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37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BB78E8" w:rsidP="00F6573A">
            <w:pPr>
              <w:jc w:val="right"/>
              <w:rPr>
                <w:sz w:val="18"/>
                <w:szCs w:val="18"/>
              </w:rPr>
            </w:pPr>
            <w:r w:rsidRPr="005965BD">
              <w:rPr>
                <w:sz w:val="18"/>
                <w:szCs w:val="18"/>
              </w:rPr>
              <w:t>4.6</w:t>
            </w:r>
          </w:p>
        </w:tc>
      </w:tr>
      <w:tr w:rsidR="00F6573A" w:rsidRPr="005965BD" w:rsidTr="005965BD">
        <w:trPr>
          <w:trHeight w:val="242"/>
        </w:trPr>
        <w:tc>
          <w:tcPr>
            <w:tcW w:w="1710" w:type="dxa"/>
            <w:shd w:val="clear" w:color="auto" w:fill="auto"/>
          </w:tcPr>
          <w:p w:rsidR="00F6573A" w:rsidRPr="005965BD" w:rsidRDefault="00F6573A" w:rsidP="00F6573A">
            <w:pPr>
              <w:rPr>
                <w:b/>
                <w:sz w:val="18"/>
                <w:szCs w:val="18"/>
              </w:rPr>
            </w:pPr>
            <w:r w:rsidRPr="005965BD">
              <w:rPr>
                <w:b/>
                <w:sz w:val="18"/>
                <w:szCs w:val="18"/>
              </w:rPr>
              <w:t>State Total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6573A" w:rsidRPr="005965BD" w:rsidRDefault="00F45634" w:rsidP="00F6573A">
            <w:pPr>
              <w:jc w:val="right"/>
              <w:rPr>
                <w:b/>
                <w:sz w:val="18"/>
                <w:szCs w:val="18"/>
              </w:rPr>
            </w:pPr>
            <w:r w:rsidRPr="005965BD">
              <w:rPr>
                <w:b/>
                <w:sz w:val="18"/>
                <w:szCs w:val="18"/>
              </w:rPr>
              <w:t>590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F6573A" w:rsidRPr="005965BD" w:rsidRDefault="00BB78E8" w:rsidP="00F6573A">
            <w:pPr>
              <w:jc w:val="right"/>
              <w:rPr>
                <w:b/>
                <w:sz w:val="18"/>
                <w:szCs w:val="18"/>
              </w:rPr>
            </w:pPr>
            <w:r w:rsidRPr="005965BD">
              <w:rPr>
                <w:b/>
                <w:sz w:val="18"/>
                <w:szCs w:val="18"/>
              </w:rPr>
              <w:t>9.0</w:t>
            </w:r>
          </w:p>
        </w:tc>
      </w:tr>
    </w:tbl>
    <w:p w:rsidR="00F6573A" w:rsidRPr="0018448F" w:rsidRDefault="00CD615B" w:rsidP="00CD615B">
      <w:pPr>
        <w:ind w:hanging="10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</w:p>
    <w:p w:rsidR="002A52D2" w:rsidRPr="005965BD" w:rsidRDefault="007B46D0" w:rsidP="005965BD">
      <w:pPr>
        <w:ind w:left="-720"/>
        <w:rPr>
          <w:b/>
          <w:sz w:val="20"/>
          <w:szCs w:val="20"/>
        </w:rPr>
      </w:pPr>
      <w:r>
        <w:rPr>
          <w:b/>
          <w:sz w:val="40"/>
          <w:szCs w:val="40"/>
        </w:rPr>
        <w:t xml:space="preserve">                                              </w:t>
      </w:r>
    </w:p>
    <w:p w:rsidR="004B4CA1" w:rsidRPr="00430470" w:rsidRDefault="00CD615B" w:rsidP="00A634E4">
      <w:pPr>
        <w:tabs>
          <w:tab w:val="left" w:pos="1840"/>
        </w:tabs>
        <w:rPr>
          <w:rFonts w:ascii="Arial" w:hAnsi="Arial" w:cs="Arial"/>
          <w:b/>
          <w:sz w:val="22"/>
          <w:szCs w:val="22"/>
        </w:rPr>
      </w:pPr>
      <w:proofErr w:type="gramStart"/>
      <w:r w:rsidRPr="00586AA0">
        <w:rPr>
          <w:rFonts w:ascii="Arial" w:hAnsi="Arial" w:cs="Arial"/>
          <w:b/>
          <w:sz w:val="22"/>
          <w:szCs w:val="22"/>
        </w:rPr>
        <w:lastRenderedPageBreak/>
        <w:t>Figure 1.</w:t>
      </w:r>
      <w:proofErr w:type="gramEnd"/>
    </w:p>
    <w:p w:rsidR="00ED29E2" w:rsidRDefault="008F01F5" w:rsidP="008F01F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17B3924" wp14:editId="5F4BF078">
            <wp:extent cx="5675883" cy="2329133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 by month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544" cy="232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7B1" w:rsidRDefault="003217B1" w:rsidP="0094638E">
      <w:pPr>
        <w:rPr>
          <w:noProof/>
        </w:rPr>
      </w:pPr>
    </w:p>
    <w:p w:rsidR="00E57D44" w:rsidRDefault="00E57D44" w:rsidP="0094638E">
      <w:pPr>
        <w:rPr>
          <w:noProof/>
        </w:rPr>
      </w:pPr>
    </w:p>
    <w:p w:rsidR="003217B1" w:rsidRDefault="003217B1" w:rsidP="003217B1">
      <w:pPr>
        <w:rPr>
          <w:noProof/>
        </w:rPr>
      </w:pPr>
      <w:proofErr w:type="gramStart"/>
      <w:r w:rsidRPr="00586AA0">
        <w:rPr>
          <w:rFonts w:ascii="Arial" w:hAnsi="Arial" w:cs="Arial"/>
          <w:b/>
          <w:sz w:val="22"/>
          <w:szCs w:val="22"/>
        </w:rPr>
        <w:t>Figure 2.</w:t>
      </w:r>
      <w:proofErr w:type="gramEnd"/>
      <w:r w:rsidRPr="003217B1">
        <w:rPr>
          <w:noProof/>
        </w:rPr>
        <w:t xml:space="preserve"> </w:t>
      </w:r>
    </w:p>
    <w:p w:rsidR="003217B1" w:rsidRDefault="00025095" w:rsidP="0002509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F379C6" wp14:editId="37936C3C">
            <wp:extent cx="5675913" cy="2527540"/>
            <wp:effectExtent l="0" t="0" r="127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 ir by ag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880" cy="253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CA1" w:rsidRDefault="004B4CA1" w:rsidP="0094638E">
      <w:pPr>
        <w:rPr>
          <w:rFonts w:ascii="Arial" w:hAnsi="Arial" w:cs="Arial"/>
          <w:b/>
          <w:sz w:val="22"/>
          <w:szCs w:val="22"/>
        </w:rPr>
      </w:pPr>
    </w:p>
    <w:p w:rsidR="00E57D44" w:rsidRDefault="00E57D44" w:rsidP="0094638E">
      <w:pPr>
        <w:rPr>
          <w:rFonts w:ascii="Arial" w:hAnsi="Arial" w:cs="Arial"/>
          <w:b/>
          <w:sz w:val="22"/>
          <w:szCs w:val="22"/>
        </w:rPr>
      </w:pPr>
    </w:p>
    <w:p w:rsidR="003217B1" w:rsidRPr="003217B1" w:rsidRDefault="003217B1" w:rsidP="0094638E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Figure 3.</w:t>
      </w:r>
      <w:proofErr w:type="gramEnd"/>
    </w:p>
    <w:p w:rsidR="00ED29E2" w:rsidRDefault="00025095" w:rsidP="00025095">
      <w:pPr>
        <w:jc w:val="center"/>
      </w:pPr>
      <w:r>
        <w:rPr>
          <w:noProof/>
        </w:rPr>
        <w:drawing>
          <wp:inline distT="0" distB="0" distL="0" distR="0">
            <wp:extent cx="5666366" cy="2639683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 by yea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767" cy="26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9E2" w:rsidSect="00A634E4">
      <w:footerReference w:type="default" r:id="rId16"/>
      <w:pgSz w:w="12240" w:h="15840"/>
      <w:pgMar w:top="432" w:right="1440" w:bottom="576" w:left="1440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64" w:rsidRDefault="00E23E64">
      <w:r>
        <w:separator/>
      </w:r>
    </w:p>
  </w:endnote>
  <w:endnote w:type="continuationSeparator" w:id="0">
    <w:p w:rsidR="00E23E64" w:rsidRDefault="00E2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65" w:rsidRDefault="00912F7F" w:rsidP="007E0265">
    <w:pPr>
      <w:pStyle w:val="Footer"/>
    </w:pPr>
    <w:r w:rsidRPr="00A634E4">
      <w:rPr>
        <w:rFonts w:ascii="Arial" w:hAnsi="Arial" w:cs="Arial"/>
        <w:sz w:val="18"/>
        <w:szCs w:val="18"/>
      </w:rPr>
      <w:t xml:space="preserve">Data as of </w:t>
    </w:r>
    <w:r w:rsidR="00C663AA">
      <w:rPr>
        <w:rFonts w:ascii="Arial" w:hAnsi="Arial" w:cs="Arial"/>
        <w:sz w:val="18"/>
        <w:szCs w:val="18"/>
      </w:rPr>
      <w:t>Ju</w:t>
    </w:r>
    <w:r w:rsidR="00EE14E2">
      <w:rPr>
        <w:rFonts w:ascii="Arial" w:hAnsi="Arial" w:cs="Arial"/>
        <w:sz w:val="18"/>
        <w:szCs w:val="18"/>
      </w:rPr>
      <w:t>ne</w:t>
    </w:r>
    <w:r w:rsidR="00C663AA">
      <w:rPr>
        <w:rFonts w:ascii="Arial" w:hAnsi="Arial" w:cs="Arial"/>
        <w:sz w:val="18"/>
        <w:szCs w:val="18"/>
      </w:rPr>
      <w:t xml:space="preserve"> </w:t>
    </w:r>
    <w:r w:rsidR="00EE14E2">
      <w:rPr>
        <w:rFonts w:ascii="Arial" w:hAnsi="Arial" w:cs="Arial"/>
        <w:sz w:val="18"/>
        <w:szCs w:val="18"/>
      </w:rPr>
      <w:t>4</w:t>
    </w:r>
    <w:r w:rsidR="00AA0785">
      <w:rPr>
        <w:rFonts w:ascii="Arial" w:hAnsi="Arial" w:cs="Arial"/>
        <w:sz w:val="18"/>
        <w:szCs w:val="18"/>
      </w:rPr>
      <w:t>, 201</w:t>
    </w:r>
    <w:r w:rsidR="00EE14E2">
      <w:rPr>
        <w:rFonts w:ascii="Arial" w:hAnsi="Arial" w:cs="Arial"/>
        <w:sz w:val="18"/>
        <w:szCs w:val="18"/>
      </w:rPr>
      <w:t>8</w:t>
    </w:r>
    <w:r w:rsidRPr="00A634E4">
      <w:rPr>
        <w:rFonts w:ascii="Arial" w:hAnsi="Arial" w:cs="Arial"/>
        <w:sz w:val="18"/>
        <w:szCs w:val="18"/>
      </w:rPr>
      <w:t xml:space="preserve"> and are subject to change</w:t>
    </w:r>
    <w:r>
      <w:rPr>
        <w:sz w:val="23"/>
        <w:szCs w:val="23"/>
      </w:rPr>
      <w:t>.</w:t>
    </w:r>
  </w:p>
  <w:p w:rsidR="00290FCB" w:rsidRPr="007E0265" w:rsidRDefault="00290FCB" w:rsidP="007E0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64" w:rsidRDefault="00E23E64">
      <w:r>
        <w:separator/>
      </w:r>
    </w:p>
  </w:footnote>
  <w:footnote w:type="continuationSeparator" w:id="0">
    <w:p w:rsidR="00E23E64" w:rsidRDefault="00E2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45pt;height:24.45pt" o:bullet="t">
        <v:imagedata r:id="rId1" o:title="smalltick"/>
      </v:shape>
    </w:pict>
  </w:numPicBullet>
  <w:abstractNum w:abstractNumId="0">
    <w:nsid w:val="07AD234B"/>
    <w:multiLevelType w:val="hybridMultilevel"/>
    <w:tmpl w:val="67C69700"/>
    <w:lvl w:ilvl="0" w:tplc="6B4CA7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EB534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88C9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68B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484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21F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E15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A5F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2F8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E58CD"/>
    <w:multiLevelType w:val="hybridMultilevel"/>
    <w:tmpl w:val="D390BB2A"/>
    <w:lvl w:ilvl="0" w:tplc="B4F21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E28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244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A9C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802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CB7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4FC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6CC0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7215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FA7D4E"/>
    <w:multiLevelType w:val="hybridMultilevel"/>
    <w:tmpl w:val="F5EC2398"/>
    <w:lvl w:ilvl="0" w:tplc="EB7A3E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0AD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E7A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219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E80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82E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284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D031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6B6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D31D87"/>
    <w:multiLevelType w:val="hybridMultilevel"/>
    <w:tmpl w:val="112AE048"/>
    <w:lvl w:ilvl="0" w:tplc="B23AEA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84334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8B7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8A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657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8AC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0BF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212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81B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12774"/>
    <w:multiLevelType w:val="hybridMultilevel"/>
    <w:tmpl w:val="6F70761A"/>
    <w:lvl w:ilvl="0" w:tplc="39F4B4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404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8E49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C1D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671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E54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8A1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EED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654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590649"/>
    <w:multiLevelType w:val="multilevel"/>
    <w:tmpl w:val="B2AE5C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8D26EC"/>
    <w:multiLevelType w:val="hybridMultilevel"/>
    <w:tmpl w:val="11D0AB3A"/>
    <w:lvl w:ilvl="0" w:tplc="5A26E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CD1F92"/>
    <w:multiLevelType w:val="hybridMultilevel"/>
    <w:tmpl w:val="A0D814EE"/>
    <w:lvl w:ilvl="0" w:tplc="343654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08C76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085B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C3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24C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E63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499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C50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E7F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D15EAC"/>
    <w:multiLevelType w:val="hybridMultilevel"/>
    <w:tmpl w:val="1862EA1C"/>
    <w:lvl w:ilvl="0" w:tplc="84D0A9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E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D8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84B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C54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6FA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8D3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00B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86F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2606B6"/>
    <w:multiLevelType w:val="hybridMultilevel"/>
    <w:tmpl w:val="23329C82"/>
    <w:lvl w:ilvl="0" w:tplc="CB7CEE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6C3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254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A2F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6BB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AB2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0AE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A57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8C2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0B2CB1"/>
    <w:multiLevelType w:val="hybridMultilevel"/>
    <w:tmpl w:val="5F42D33A"/>
    <w:lvl w:ilvl="0" w:tplc="EB3261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68D68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4CF7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46C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54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088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8C1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E60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E8D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E"/>
    <w:rsid w:val="0000221D"/>
    <w:rsid w:val="00003B89"/>
    <w:rsid w:val="000045D7"/>
    <w:rsid w:val="00020276"/>
    <w:rsid w:val="000209FC"/>
    <w:rsid w:val="00025095"/>
    <w:rsid w:val="000255DA"/>
    <w:rsid w:val="0003338C"/>
    <w:rsid w:val="000361F6"/>
    <w:rsid w:val="00041B7E"/>
    <w:rsid w:val="0004532C"/>
    <w:rsid w:val="000644A8"/>
    <w:rsid w:val="00073657"/>
    <w:rsid w:val="00076D8B"/>
    <w:rsid w:val="000778C5"/>
    <w:rsid w:val="00080DC0"/>
    <w:rsid w:val="00080E2C"/>
    <w:rsid w:val="000871CF"/>
    <w:rsid w:val="000943A9"/>
    <w:rsid w:val="000947A7"/>
    <w:rsid w:val="00097B88"/>
    <w:rsid w:val="000A20B2"/>
    <w:rsid w:val="000B0B63"/>
    <w:rsid w:val="000C0204"/>
    <w:rsid w:val="000C1F1B"/>
    <w:rsid w:val="000C33C9"/>
    <w:rsid w:val="000C4413"/>
    <w:rsid w:val="000D1693"/>
    <w:rsid w:val="000D3AE5"/>
    <w:rsid w:val="000D796C"/>
    <w:rsid w:val="000E028D"/>
    <w:rsid w:val="000E42C9"/>
    <w:rsid w:val="000E473D"/>
    <w:rsid w:val="000F67C7"/>
    <w:rsid w:val="000F6B70"/>
    <w:rsid w:val="00100926"/>
    <w:rsid w:val="0010358B"/>
    <w:rsid w:val="00107CA8"/>
    <w:rsid w:val="00112B23"/>
    <w:rsid w:val="00124252"/>
    <w:rsid w:val="001256EA"/>
    <w:rsid w:val="00130F37"/>
    <w:rsid w:val="001377AD"/>
    <w:rsid w:val="00152FA3"/>
    <w:rsid w:val="001533AE"/>
    <w:rsid w:val="00163F35"/>
    <w:rsid w:val="0016737C"/>
    <w:rsid w:val="0018448F"/>
    <w:rsid w:val="00184F6D"/>
    <w:rsid w:val="0018654D"/>
    <w:rsid w:val="001941DB"/>
    <w:rsid w:val="00196DA9"/>
    <w:rsid w:val="001A24E4"/>
    <w:rsid w:val="001A3AC3"/>
    <w:rsid w:val="001A6F5A"/>
    <w:rsid w:val="001B03F9"/>
    <w:rsid w:val="001B10FC"/>
    <w:rsid w:val="001C0074"/>
    <w:rsid w:val="001E2A76"/>
    <w:rsid w:val="001E7299"/>
    <w:rsid w:val="00200CD8"/>
    <w:rsid w:val="00205B42"/>
    <w:rsid w:val="00210F6F"/>
    <w:rsid w:val="002122B6"/>
    <w:rsid w:val="002134DA"/>
    <w:rsid w:val="00214527"/>
    <w:rsid w:val="00216656"/>
    <w:rsid w:val="00220184"/>
    <w:rsid w:val="002213FD"/>
    <w:rsid w:val="00222416"/>
    <w:rsid w:val="002258C1"/>
    <w:rsid w:val="00227FD2"/>
    <w:rsid w:val="002419BA"/>
    <w:rsid w:val="00245A1E"/>
    <w:rsid w:val="0025685B"/>
    <w:rsid w:val="00262BDE"/>
    <w:rsid w:val="00263F96"/>
    <w:rsid w:val="002652ED"/>
    <w:rsid w:val="00267FDE"/>
    <w:rsid w:val="00272000"/>
    <w:rsid w:val="00274239"/>
    <w:rsid w:val="002751EE"/>
    <w:rsid w:val="00275DC0"/>
    <w:rsid w:val="00277406"/>
    <w:rsid w:val="002779C8"/>
    <w:rsid w:val="00287005"/>
    <w:rsid w:val="00290FCB"/>
    <w:rsid w:val="002A0D57"/>
    <w:rsid w:val="002A1424"/>
    <w:rsid w:val="002A52D2"/>
    <w:rsid w:val="002A6E68"/>
    <w:rsid w:val="002B1282"/>
    <w:rsid w:val="002B2CC9"/>
    <w:rsid w:val="002B381A"/>
    <w:rsid w:val="002B536F"/>
    <w:rsid w:val="002C2132"/>
    <w:rsid w:val="002C23B5"/>
    <w:rsid w:val="002C4FE2"/>
    <w:rsid w:val="002C5BB8"/>
    <w:rsid w:val="002D214A"/>
    <w:rsid w:val="002D5ED4"/>
    <w:rsid w:val="002D7662"/>
    <w:rsid w:val="002E34DE"/>
    <w:rsid w:val="002F13A7"/>
    <w:rsid w:val="002F1FC2"/>
    <w:rsid w:val="00301A6D"/>
    <w:rsid w:val="003217B1"/>
    <w:rsid w:val="00324E9E"/>
    <w:rsid w:val="003265EA"/>
    <w:rsid w:val="0032783F"/>
    <w:rsid w:val="00332165"/>
    <w:rsid w:val="00337CF0"/>
    <w:rsid w:val="00344FA3"/>
    <w:rsid w:val="00345B76"/>
    <w:rsid w:val="00346334"/>
    <w:rsid w:val="00346E44"/>
    <w:rsid w:val="0034748C"/>
    <w:rsid w:val="00362322"/>
    <w:rsid w:val="00363D00"/>
    <w:rsid w:val="00364520"/>
    <w:rsid w:val="00374F48"/>
    <w:rsid w:val="00383D37"/>
    <w:rsid w:val="00385A29"/>
    <w:rsid w:val="003A162F"/>
    <w:rsid w:val="003A76C2"/>
    <w:rsid w:val="003B0E2A"/>
    <w:rsid w:val="003B6722"/>
    <w:rsid w:val="003B6774"/>
    <w:rsid w:val="003C4456"/>
    <w:rsid w:val="003C65B4"/>
    <w:rsid w:val="003C75AD"/>
    <w:rsid w:val="003D0239"/>
    <w:rsid w:val="003F37BD"/>
    <w:rsid w:val="00400A77"/>
    <w:rsid w:val="00405304"/>
    <w:rsid w:val="00410501"/>
    <w:rsid w:val="004143D7"/>
    <w:rsid w:val="00430470"/>
    <w:rsid w:val="00434A77"/>
    <w:rsid w:val="00444BA2"/>
    <w:rsid w:val="00444F4F"/>
    <w:rsid w:val="004451DC"/>
    <w:rsid w:val="00447AD2"/>
    <w:rsid w:val="00452B54"/>
    <w:rsid w:val="00453E67"/>
    <w:rsid w:val="004577FD"/>
    <w:rsid w:val="00471C34"/>
    <w:rsid w:val="00480E79"/>
    <w:rsid w:val="004A2894"/>
    <w:rsid w:val="004B473E"/>
    <w:rsid w:val="004B4CA1"/>
    <w:rsid w:val="004B635F"/>
    <w:rsid w:val="004B64E0"/>
    <w:rsid w:val="004B6EC7"/>
    <w:rsid w:val="004C0236"/>
    <w:rsid w:val="004C4F4F"/>
    <w:rsid w:val="004C6F6F"/>
    <w:rsid w:val="004D546E"/>
    <w:rsid w:val="004E0CA6"/>
    <w:rsid w:val="004E3FF8"/>
    <w:rsid w:val="004E7514"/>
    <w:rsid w:val="004F793D"/>
    <w:rsid w:val="00500E42"/>
    <w:rsid w:val="00504BE0"/>
    <w:rsid w:val="0050532D"/>
    <w:rsid w:val="00512C71"/>
    <w:rsid w:val="00516C21"/>
    <w:rsid w:val="005228F2"/>
    <w:rsid w:val="00530E2D"/>
    <w:rsid w:val="00537745"/>
    <w:rsid w:val="00543960"/>
    <w:rsid w:val="00546016"/>
    <w:rsid w:val="0054724A"/>
    <w:rsid w:val="00562AB6"/>
    <w:rsid w:val="0058104A"/>
    <w:rsid w:val="00582DF5"/>
    <w:rsid w:val="00583806"/>
    <w:rsid w:val="005856C0"/>
    <w:rsid w:val="005856D5"/>
    <w:rsid w:val="00586AA0"/>
    <w:rsid w:val="005903D0"/>
    <w:rsid w:val="005965BD"/>
    <w:rsid w:val="0059721E"/>
    <w:rsid w:val="005B2A2C"/>
    <w:rsid w:val="005C0BE2"/>
    <w:rsid w:val="005C1214"/>
    <w:rsid w:val="005C6AB9"/>
    <w:rsid w:val="005C7A94"/>
    <w:rsid w:val="005C7CB1"/>
    <w:rsid w:val="005D0E9C"/>
    <w:rsid w:val="005D14A7"/>
    <w:rsid w:val="005D3071"/>
    <w:rsid w:val="005D3654"/>
    <w:rsid w:val="005D7565"/>
    <w:rsid w:val="005E7BED"/>
    <w:rsid w:val="005F2596"/>
    <w:rsid w:val="00606C09"/>
    <w:rsid w:val="006078B0"/>
    <w:rsid w:val="00611315"/>
    <w:rsid w:val="0061183A"/>
    <w:rsid w:val="006128CE"/>
    <w:rsid w:val="00612942"/>
    <w:rsid w:val="006139E7"/>
    <w:rsid w:val="00625008"/>
    <w:rsid w:val="006264F7"/>
    <w:rsid w:val="006326DD"/>
    <w:rsid w:val="00633C8E"/>
    <w:rsid w:val="00657775"/>
    <w:rsid w:val="00662044"/>
    <w:rsid w:val="00664C55"/>
    <w:rsid w:val="006747BE"/>
    <w:rsid w:val="00683CE0"/>
    <w:rsid w:val="00685D46"/>
    <w:rsid w:val="00693EC6"/>
    <w:rsid w:val="006A0BE6"/>
    <w:rsid w:val="006B5BA2"/>
    <w:rsid w:val="006B6DAF"/>
    <w:rsid w:val="006C2075"/>
    <w:rsid w:val="006C4980"/>
    <w:rsid w:val="006D3005"/>
    <w:rsid w:val="006D3551"/>
    <w:rsid w:val="006D5E0F"/>
    <w:rsid w:val="006D72DB"/>
    <w:rsid w:val="006E0230"/>
    <w:rsid w:val="006E12D6"/>
    <w:rsid w:val="006E277D"/>
    <w:rsid w:val="006E3BFF"/>
    <w:rsid w:val="006E4246"/>
    <w:rsid w:val="006E71E9"/>
    <w:rsid w:val="006F132D"/>
    <w:rsid w:val="006F5737"/>
    <w:rsid w:val="006F5A01"/>
    <w:rsid w:val="006F7D22"/>
    <w:rsid w:val="00702F50"/>
    <w:rsid w:val="00703971"/>
    <w:rsid w:val="00706B98"/>
    <w:rsid w:val="0071761D"/>
    <w:rsid w:val="00721E19"/>
    <w:rsid w:val="00725888"/>
    <w:rsid w:val="00752F54"/>
    <w:rsid w:val="007544EA"/>
    <w:rsid w:val="007651AD"/>
    <w:rsid w:val="00771E59"/>
    <w:rsid w:val="00773283"/>
    <w:rsid w:val="007762ED"/>
    <w:rsid w:val="00782CB4"/>
    <w:rsid w:val="00787626"/>
    <w:rsid w:val="00792CE6"/>
    <w:rsid w:val="00793A3F"/>
    <w:rsid w:val="00796A5A"/>
    <w:rsid w:val="0079757B"/>
    <w:rsid w:val="007B31E2"/>
    <w:rsid w:val="007B3B47"/>
    <w:rsid w:val="007B46D0"/>
    <w:rsid w:val="007B5948"/>
    <w:rsid w:val="007B7A02"/>
    <w:rsid w:val="007C5C27"/>
    <w:rsid w:val="007C71E4"/>
    <w:rsid w:val="007D3575"/>
    <w:rsid w:val="007E0265"/>
    <w:rsid w:val="007E3081"/>
    <w:rsid w:val="007F3168"/>
    <w:rsid w:val="00806E39"/>
    <w:rsid w:val="00810172"/>
    <w:rsid w:val="0081125E"/>
    <w:rsid w:val="008247B2"/>
    <w:rsid w:val="008260C9"/>
    <w:rsid w:val="00830515"/>
    <w:rsid w:val="00836C29"/>
    <w:rsid w:val="008372F1"/>
    <w:rsid w:val="008419B9"/>
    <w:rsid w:val="008459A3"/>
    <w:rsid w:val="00860C6C"/>
    <w:rsid w:val="0086228B"/>
    <w:rsid w:val="00864D5E"/>
    <w:rsid w:val="00866509"/>
    <w:rsid w:val="008667C7"/>
    <w:rsid w:val="00871C2A"/>
    <w:rsid w:val="00873349"/>
    <w:rsid w:val="00873719"/>
    <w:rsid w:val="00875742"/>
    <w:rsid w:val="0088352D"/>
    <w:rsid w:val="00884914"/>
    <w:rsid w:val="00897C28"/>
    <w:rsid w:val="008A15A5"/>
    <w:rsid w:val="008B2461"/>
    <w:rsid w:val="008B5809"/>
    <w:rsid w:val="008B6DA6"/>
    <w:rsid w:val="008D296E"/>
    <w:rsid w:val="008E36C6"/>
    <w:rsid w:val="008E44B6"/>
    <w:rsid w:val="008E7CC0"/>
    <w:rsid w:val="008F01F5"/>
    <w:rsid w:val="008F082C"/>
    <w:rsid w:val="008F72F0"/>
    <w:rsid w:val="00903CDE"/>
    <w:rsid w:val="0091192D"/>
    <w:rsid w:val="00912F7F"/>
    <w:rsid w:val="009239CD"/>
    <w:rsid w:val="0093107D"/>
    <w:rsid w:val="00931A52"/>
    <w:rsid w:val="00934A2F"/>
    <w:rsid w:val="00942282"/>
    <w:rsid w:val="0094638E"/>
    <w:rsid w:val="0094696C"/>
    <w:rsid w:val="009509AD"/>
    <w:rsid w:val="00950B99"/>
    <w:rsid w:val="00954DE3"/>
    <w:rsid w:val="00963291"/>
    <w:rsid w:val="00972553"/>
    <w:rsid w:val="0097326A"/>
    <w:rsid w:val="00976A43"/>
    <w:rsid w:val="009827DA"/>
    <w:rsid w:val="009827EC"/>
    <w:rsid w:val="00993AC0"/>
    <w:rsid w:val="00996B10"/>
    <w:rsid w:val="009A054B"/>
    <w:rsid w:val="009A53D5"/>
    <w:rsid w:val="009B0098"/>
    <w:rsid w:val="009B0C0E"/>
    <w:rsid w:val="009B5810"/>
    <w:rsid w:val="009C5826"/>
    <w:rsid w:val="009C6105"/>
    <w:rsid w:val="009D14A1"/>
    <w:rsid w:val="009E26C7"/>
    <w:rsid w:val="009E27A7"/>
    <w:rsid w:val="009E37DC"/>
    <w:rsid w:val="009F1426"/>
    <w:rsid w:val="009F654D"/>
    <w:rsid w:val="00A00419"/>
    <w:rsid w:val="00A0421A"/>
    <w:rsid w:val="00A04366"/>
    <w:rsid w:val="00A10484"/>
    <w:rsid w:val="00A16F29"/>
    <w:rsid w:val="00A228A3"/>
    <w:rsid w:val="00A3605F"/>
    <w:rsid w:val="00A36988"/>
    <w:rsid w:val="00A40DFD"/>
    <w:rsid w:val="00A41F54"/>
    <w:rsid w:val="00A436E2"/>
    <w:rsid w:val="00A44B56"/>
    <w:rsid w:val="00A60E7D"/>
    <w:rsid w:val="00A634E4"/>
    <w:rsid w:val="00A86786"/>
    <w:rsid w:val="00A8717A"/>
    <w:rsid w:val="00AA0785"/>
    <w:rsid w:val="00AB0C32"/>
    <w:rsid w:val="00AB18E4"/>
    <w:rsid w:val="00AB562D"/>
    <w:rsid w:val="00AC2D09"/>
    <w:rsid w:val="00AC48E1"/>
    <w:rsid w:val="00AC4AE6"/>
    <w:rsid w:val="00AC4F35"/>
    <w:rsid w:val="00AC5750"/>
    <w:rsid w:val="00AD07D1"/>
    <w:rsid w:val="00AE2604"/>
    <w:rsid w:val="00AE5716"/>
    <w:rsid w:val="00AF0315"/>
    <w:rsid w:val="00AF3620"/>
    <w:rsid w:val="00AF420A"/>
    <w:rsid w:val="00B007A0"/>
    <w:rsid w:val="00B1165E"/>
    <w:rsid w:val="00B14482"/>
    <w:rsid w:val="00B25FBE"/>
    <w:rsid w:val="00B2688D"/>
    <w:rsid w:val="00B27A80"/>
    <w:rsid w:val="00B31624"/>
    <w:rsid w:val="00B31F2E"/>
    <w:rsid w:val="00B32C4A"/>
    <w:rsid w:val="00B37F1D"/>
    <w:rsid w:val="00B411A3"/>
    <w:rsid w:val="00B50D46"/>
    <w:rsid w:val="00B5287D"/>
    <w:rsid w:val="00B540E1"/>
    <w:rsid w:val="00B5499C"/>
    <w:rsid w:val="00B560A5"/>
    <w:rsid w:val="00B603D0"/>
    <w:rsid w:val="00B60CE4"/>
    <w:rsid w:val="00B61C3D"/>
    <w:rsid w:val="00B63139"/>
    <w:rsid w:val="00B67744"/>
    <w:rsid w:val="00B7165B"/>
    <w:rsid w:val="00B75C47"/>
    <w:rsid w:val="00B77BF5"/>
    <w:rsid w:val="00B839A1"/>
    <w:rsid w:val="00B85300"/>
    <w:rsid w:val="00B87180"/>
    <w:rsid w:val="00B871A2"/>
    <w:rsid w:val="00B94226"/>
    <w:rsid w:val="00B95977"/>
    <w:rsid w:val="00BA3D74"/>
    <w:rsid w:val="00BB0CD5"/>
    <w:rsid w:val="00BB65E1"/>
    <w:rsid w:val="00BB78E8"/>
    <w:rsid w:val="00BC49D8"/>
    <w:rsid w:val="00BD057E"/>
    <w:rsid w:val="00BD6C8F"/>
    <w:rsid w:val="00BF0FB0"/>
    <w:rsid w:val="00BF50EF"/>
    <w:rsid w:val="00C002F5"/>
    <w:rsid w:val="00C017A1"/>
    <w:rsid w:val="00C107A5"/>
    <w:rsid w:val="00C226CA"/>
    <w:rsid w:val="00C249D2"/>
    <w:rsid w:val="00C24C00"/>
    <w:rsid w:val="00C30CA7"/>
    <w:rsid w:val="00C37CF1"/>
    <w:rsid w:val="00C609B8"/>
    <w:rsid w:val="00C62A03"/>
    <w:rsid w:val="00C663AA"/>
    <w:rsid w:val="00C66AD2"/>
    <w:rsid w:val="00C66BDF"/>
    <w:rsid w:val="00C81A99"/>
    <w:rsid w:val="00C91DBA"/>
    <w:rsid w:val="00CB0147"/>
    <w:rsid w:val="00CB16E2"/>
    <w:rsid w:val="00CB6239"/>
    <w:rsid w:val="00CC0553"/>
    <w:rsid w:val="00CC1210"/>
    <w:rsid w:val="00CC4055"/>
    <w:rsid w:val="00CC431D"/>
    <w:rsid w:val="00CD5351"/>
    <w:rsid w:val="00CD615B"/>
    <w:rsid w:val="00CE3633"/>
    <w:rsid w:val="00CF4C50"/>
    <w:rsid w:val="00CF6549"/>
    <w:rsid w:val="00D006F7"/>
    <w:rsid w:val="00D02491"/>
    <w:rsid w:val="00D0565B"/>
    <w:rsid w:val="00D0622B"/>
    <w:rsid w:val="00D20441"/>
    <w:rsid w:val="00D21BB2"/>
    <w:rsid w:val="00D2489C"/>
    <w:rsid w:val="00D269FC"/>
    <w:rsid w:val="00D370AD"/>
    <w:rsid w:val="00D53890"/>
    <w:rsid w:val="00D54297"/>
    <w:rsid w:val="00D54E9F"/>
    <w:rsid w:val="00D63117"/>
    <w:rsid w:val="00D740BB"/>
    <w:rsid w:val="00D80473"/>
    <w:rsid w:val="00D809EE"/>
    <w:rsid w:val="00D84BEF"/>
    <w:rsid w:val="00D90D95"/>
    <w:rsid w:val="00D922F0"/>
    <w:rsid w:val="00D931E9"/>
    <w:rsid w:val="00D941AD"/>
    <w:rsid w:val="00D962E4"/>
    <w:rsid w:val="00D97373"/>
    <w:rsid w:val="00DC0088"/>
    <w:rsid w:val="00DC2C20"/>
    <w:rsid w:val="00DC33AC"/>
    <w:rsid w:val="00DD0A03"/>
    <w:rsid w:val="00DD2D46"/>
    <w:rsid w:val="00DD3A4A"/>
    <w:rsid w:val="00DD4F7C"/>
    <w:rsid w:val="00DD5222"/>
    <w:rsid w:val="00DD6890"/>
    <w:rsid w:val="00DE01AC"/>
    <w:rsid w:val="00DE0360"/>
    <w:rsid w:val="00DF691D"/>
    <w:rsid w:val="00E10118"/>
    <w:rsid w:val="00E108BF"/>
    <w:rsid w:val="00E10FCE"/>
    <w:rsid w:val="00E12AE3"/>
    <w:rsid w:val="00E134C1"/>
    <w:rsid w:val="00E23E64"/>
    <w:rsid w:val="00E41D4C"/>
    <w:rsid w:val="00E551F9"/>
    <w:rsid w:val="00E55DFA"/>
    <w:rsid w:val="00E569E3"/>
    <w:rsid w:val="00E57D44"/>
    <w:rsid w:val="00E73B74"/>
    <w:rsid w:val="00E832FA"/>
    <w:rsid w:val="00EA1229"/>
    <w:rsid w:val="00EA2271"/>
    <w:rsid w:val="00EA27D3"/>
    <w:rsid w:val="00EA417B"/>
    <w:rsid w:val="00EA44BE"/>
    <w:rsid w:val="00EA6A9D"/>
    <w:rsid w:val="00EB3D11"/>
    <w:rsid w:val="00EB72BB"/>
    <w:rsid w:val="00ED29E2"/>
    <w:rsid w:val="00ED3CC9"/>
    <w:rsid w:val="00EE14E2"/>
    <w:rsid w:val="00EE7EC8"/>
    <w:rsid w:val="00F0100A"/>
    <w:rsid w:val="00F04372"/>
    <w:rsid w:val="00F11D4B"/>
    <w:rsid w:val="00F15D7E"/>
    <w:rsid w:val="00F2110C"/>
    <w:rsid w:val="00F21ADA"/>
    <w:rsid w:val="00F2457E"/>
    <w:rsid w:val="00F24FB5"/>
    <w:rsid w:val="00F27C8B"/>
    <w:rsid w:val="00F311F3"/>
    <w:rsid w:val="00F32FA4"/>
    <w:rsid w:val="00F360F5"/>
    <w:rsid w:val="00F37F79"/>
    <w:rsid w:val="00F45634"/>
    <w:rsid w:val="00F54D41"/>
    <w:rsid w:val="00F558ED"/>
    <w:rsid w:val="00F64395"/>
    <w:rsid w:val="00F6573A"/>
    <w:rsid w:val="00F67CCA"/>
    <w:rsid w:val="00F72FB5"/>
    <w:rsid w:val="00F82908"/>
    <w:rsid w:val="00F85DAB"/>
    <w:rsid w:val="00F86DAA"/>
    <w:rsid w:val="00F86EAA"/>
    <w:rsid w:val="00F879C2"/>
    <w:rsid w:val="00F90123"/>
    <w:rsid w:val="00F91EA6"/>
    <w:rsid w:val="00F92A3D"/>
    <w:rsid w:val="00F96BC2"/>
    <w:rsid w:val="00FA428A"/>
    <w:rsid w:val="00FA5D6C"/>
    <w:rsid w:val="00FB0E90"/>
    <w:rsid w:val="00FB17C4"/>
    <w:rsid w:val="00FB2631"/>
    <w:rsid w:val="00FB6E1B"/>
    <w:rsid w:val="00FB7952"/>
    <w:rsid w:val="00FC19C6"/>
    <w:rsid w:val="00FD04B4"/>
    <w:rsid w:val="00FD0A94"/>
    <w:rsid w:val="00FD19DF"/>
    <w:rsid w:val="00FD241B"/>
    <w:rsid w:val="00FE1736"/>
    <w:rsid w:val="00FE1790"/>
    <w:rsid w:val="00FE6D1F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3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0F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FCB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5C12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742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FE1790"/>
    <w:rPr>
      <w:sz w:val="16"/>
      <w:szCs w:val="16"/>
    </w:rPr>
  </w:style>
  <w:style w:type="paragraph" w:styleId="CommentText">
    <w:name w:val="annotation text"/>
    <w:basedOn w:val="Normal"/>
    <w:semiHidden/>
    <w:rsid w:val="00FE17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1790"/>
    <w:rPr>
      <w:b/>
      <w:bCs/>
    </w:rPr>
  </w:style>
  <w:style w:type="character" w:styleId="Hyperlink">
    <w:name w:val="Hyperlink"/>
    <w:rsid w:val="00A0421A"/>
    <w:rPr>
      <w:color w:val="0000FF"/>
      <w:u w:val="single"/>
    </w:rPr>
  </w:style>
  <w:style w:type="character" w:styleId="FollowedHyperlink">
    <w:name w:val="FollowedHyperlink"/>
    <w:rsid w:val="0081125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45A1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311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3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0F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FCB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5C12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742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FE1790"/>
    <w:rPr>
      <w:sz w:val="16"/>
      <w:szCs w:val="16"/>
    </w:rPr>
  </w:style>
  <w:style w:type="paragraph" w:styleId="CommentText">
    <w:name w:val="annotation text"/>
    <w:basedOn w:val="Normal"/>
    <w:semiHidden/>
    <w:rsid w:val="00FE17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1790"/>
    <w:rPr>
      <w:b/>
      <w:bCs/>
    </w:rPr>
  </w:style>
  <w:style w:type="character" w:styleId="Hyperlink">
    <w:name w:val="Hyperlink"/>
    <w:rsid w:val="00A0421A"/>
    <w:rPr>
      <w:color w:val="0000FF"/>
      <w:u w:val="single"/>
    </w:rPr>
  </w:style>
  <w:style w:type="character" w:styleId="FollowedHyperlink">
    <w:name w:val="FollowedHyperlink"/>
    <w:rsid w:val="0081125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45A1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311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tic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www.mass.gov/dph/ti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3968-D491-4107-B302-94638B46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Lyme Disease Surveillance in Massachusetts, 2005</vt:lpstr>
    </vt:vector>
  </TitlesOfParts>
  <Company>Department of Public Health</Company>
  <LinksUpToDate>false</LinksUpToDate>
  <CharactersWithSpaces>1098</CharactersWithSpaces>
  <SharedDoc>false</SharedDoc>
  <HLinks>
    <vt:vector size="6" baseType="variant">
      <vt:variant>
        <vt:i4>393288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http://www.mass.gov/dph/tick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Babesiosis Surveillance in Massachusetts, 2017</dc:title>
  <dc:creator>SSoliva</dc:creator>
  <cp:keywords>Babesiosis; Massachusetts</cp:keywords>
  <cp:lastModifiedBy> JY</cp:lastModifiedBy>
  <cp:revision>3</cp:revision>
  <cp:lastPrinted>2019-04-23T14:50:00Z</cp:lastPrinted>
  <dcterms:created xsi:type="dcterms:W3CDTF">2019-04-23T15:29:00Z</dcterms:created>
  <dcterms:modified xsi:type="dcterms:W3CDTF">2019-04-23T15:48:00Z</dcterms:modified>
</cp:coreProperties>
</file>