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A399A" w14:textId="77777777" w:rsidR="00180A47" w:rsidRDefault="00180A47" w:rsidP="00180A47">
      <w:pPr>
        <w:pStyle w:val="Title"/>
      </w:pPr>
      <w:bookmarkStart w:id="0" w:name="_GoBack"/>
      <w:bookmarkEnd w:id="0"/>
      <w:r>
        <w:t>COMMONWEALTH OF MASSACHUSETTS</w:t>
      </w:r>
    </w:p>
    <w:p w14:paraId="0490A3D6" w14:textId="77777777" w:rsidR="00180A47" w:rsidRDefault="00180A47" w:rsidP="00180A47">
      <w:pPr>
        <w:jc w:val="center"/>
        <w:rPr>
          <w:rFonts w:ascii="Courier New" w:hAnsi="Courier New" w:cs="Courier New"/>
          <w:b/>
          <w:bCs/>
        </w:rPr>
      </w:pPr>
    </w:p>
    <w:p w14:paraId="3BEA08E2" w14:textId="77777777" w:rsidR="00180A47" w:rsidRDefault="00180A47" w:rsidP="00180A47">
      <w:pPr>
        <w:jc w:val="center"/>
        <w:rPr>
          <w:rFonts w:ascii="Courier New" w:hAnsi="Courier New" w:cs="Courier New"/>
          <w:b/>
          <w:bCs/>
        </w:rPr>
      </w:pPr>
      <w:r>
        <w:rPr>
          <w:rFonts w:ascii="Courier New" w:hAnsi="Courier New" w:cs="Courier New"/>
          <w:b/>
          <w:bCs/>
        </w:rPr>
        <w:t>APPELLATE TAX BOARD</w:t>
      </w:r>
    </w:p>
    <w:p w14:paraId="1C638C29" w14:textId="77777777" w:rsidR="00180A47" w:rsidRDefault="00180A47" w:rsidP="00180A47">
      <w:pPr>
        <w:jc w:val="both"/>
        <w:rPr>
          <w:rFonts w:ascii="Courier New" w:hAnsi="Courier New" w:cs="Courier New"/>
          <w:b/>
          <w:bCs/>
        </w:rPr>
      </w:pPr>
    </w:p>
    <w:p w14:paraId="3204D45E" w14:textId="77777777" w:rsidR="00180A47" w:rsidRDefault="00180A47" w:rsidP="00180A47">
      <w:pPr>
        <w:jc w:val="both"/>
        <w:rPr>
          <w:rFonts w:ascii="Courier New" w:hAnsi="Courier New" w:cs="Courier New"/>
          <w:b/>
          <w:bCs/>
        </w:rPr>
      </w:pPr>
    </w:p>
    <w:p w14:paraId="7E53DAF5" w14:textId="6E50191B" w:rsidR="00180A47" w:rsidRPr="00AE247F" w:rsidRDefault="00180A47" w:rsidP="00180A47">
      <w:pPr>
        <w:pStyle w:val="Heading1"/>
        <w:tabs>
          <w:tab w:val="left" w:pos="4320"/>
        </w:tabs>
      </w:pPr>
      <w:r>
        <w:t xml:space="preserve">JOHN D. BARON, </w:t>
      </w:r>
      <w:r>
        <w:tab/>
      </w:r>
      <w:r>
        <w:tab/>
      </w:r>
      <w:r w:rsidR="009D2EF6">
        <w:t> </w:t>
      </w:r>
      <w:r>
        <w:t>v.</w:t>
      </w:r>
      <w:r>
        <w:tab/>
        <w:t xml:space="preserve">   </w:t>
      </w:r>
      <w:r w:rsidR="009D2EF6">
        <w:t>    </w:t>
      </w:r>
      <w:r w:rsidR="0052486E">
        <w:t> </w:t>
      </w:r>
      <w:r>
        <w:t xml:space="preserve">BOARD OF ASSESSORS OF </w:t>
      </w:r>
    </w:p>
    <w:p w14:paraId="7203EDC6" w14:textId="11E01DCB" w:rsidR="00180A47" w:rsidRDefault="00180A47" w:rsidP="00180A47">
      <w:pPr>
        <w:jc w:val="both"/>
        <w:rPr>
          <w:rFonts w:ascii="Courier New" w:hAnsi="Courier New" w:cs="Courier New"/>
          <w:b/>
        </w:rPr>
      </w:pPr>
      <w:r>
        <w:rPr>
          <w:rFonts w:ascii="Courier New" w:hAnsi="Courier New" w:cs="Courier New"/>
          <w:b/>
        </w:rPr>
        <w:t>JENNIFER A. JORDAN &amp;</w:t>
      </w:r>
      <w:r>
        <w:rPr>
          <w:rFonts w:ascii="Courier New" w:hAnsi="Courier New" w:cs="Courier New"/>
          <w:b/>
        </w:rPr>
        <w:tab/>
      </w:r>
      <w:r>
        <w:rPr>
          <w:rFonts w:ascii="Courier New" w:hAnsi="Courier New" w:cs="Courier New"/>
          <w:b/>
        </w:rPr>
        <w:tab/>
      </w:r>
      <w:r>
        <w:rPr>
          <w:rFonts w:ascii="Courier New" w:hAnsi="Courier New" w:cs="Courier New"/>
          <w:b/>
        </w:rPr>
        <w:tab/>
        <w:t xml:space="preserve">   </w:t>
      </w:r>
      <w:r w:rsidR="009D2EF6">
        <w:rPr>
          <w:rFonts w:ascii="Courier New" w:hAnsi="Courier New" w:cs="Courier New"/>
          <w:b/>
        </w:rPr>
        <w:t>    </w:t>
      </w:r>
      <w:r w:rsidR="0052486E">
        <w:rPr>
          <w:rFonts w:ascii="Courier New" w:hAnsi="Courier New" w:cs="Courier New"/>
          <w:b/>
        </w:rPr>
        <w:t> </w:t>
      </w:r>
      <w:r>
        <w:rPr>
          <w:rFonts w:ascii="Courier New" w:hAnsi="Courier New" w:cs="Courier New"/>
          <w:b/>
        </w:rPr>
        <w:t>THE TOWN OF LEXINGTON</w:t>
      </w:r>
    </w:p>
    <w:p w14:paraId="1BC5C00A" w14:textId="77777777" w:rsidR="00180A47" w:rsidRPr="00180A47" w:rsidRDefault="00180A47" w:rsidP="00180A47">
      <w:pPr>
        <w:jc w:val="both"/>
        <w:rPr>
          <w:rFonts w:ascii="Courier New" w:hAnsi="Courier New" w:cs="Courier New"/>
          <w:b/>
        </w:rPr>
      </w:pPr>
      <w:r>
        <w:rPr>
          <w:rFonts w:ascii="Courier New" w:hAnsi="Courier New" w:cs="Courier New"/>
          <w:b/>
        </w:rPr>
        <w:t>DONNA L. BARON</w:t>
      </w:r>
    </w:p>
    <w:p w14:paraId="0C6503E5" w14:textId="77777777" w:rsidR="00180A47" w:rsidRDefault="00180A47" w:rsidP="00180A47">
      <w:pPr>
        <w:jc w:val="both"/>
        <w:rPr>
          <w:rFonts w:ascii="Courier New" w:hAnsi="Courier New" w:cs="Courier New"/>
        </w:rPr>
      </w:pPr>
    </w:p>
    <w:p w14:paraId="1A532DE1" w14:textId="5DE3A752" w:rsidR="00180A47" w:rsidRDefault="00B23F46" w:rsidP="00180A47">
      <w:pPr>
        <w:jc w:val="both"/>
        <w:rPr>
          <w:rFonts w:ascii="Courier New" w:hAnsi="Courier New" w:cs="Courier New"/>
        </w:rPr>
      </w:pPr>
      <w:r>
        <w:rPr>
          <w:rFonts w:ascii="Courier New" w:hAnsi="Courier New" w:cs="Courier New"/>
        </w:rPr>
        <w:t>Docket No.</w:t>
      </w:r>
      <w:r w:rsidR="00180A47">
        <w:rPr>
          <w:rFonts w:ascii="Courier New" w:hAnsi="Courier New" w:cs="Courier New"/>
        </w:rPr>
        <w:t xml:space="preserve"> </w:t>
      </w:r>
      <w:r>
        <w:rPr>
          <w:rFonts w:ascii="Courier New" w:hAnsi="Courier New" w:cs="Courier New"/>
        </w:rPr>
        <w:t>F</w:t>
      </w:r>
      <w:r w:rsidR="00180A47">
        <w:rPr>
          <w:rFonts w:ascii="Courier New" w:hAnsi="Courier New" w:cs="Courier New"/>
        </w:rPr>
        <w:t>331845</w:t>
      </w:r>
      <w:r w:rsidR="00180A47">
        <w:rPr>
          <w:rFonts w:ascii="Courier New" w:hAnsi="Courier New" w:cs="Courier New"/>
        </w:rPr>
        <w:tab/>
      </w:r>
      <w:r w:rsidR="00180A47">
        <w:rPr>
          <w:rFonts w:ascii="Courier New" w:hAnsi="Courier New" w:cs="Courier New"/>
        </w:rPr>
        <w:tab/>
      </w:r>
      <w:r w:rsidR="00180A47">
        <w:rPr>
          <w:rFonts w:ascii="Courier New" w:hAnsi="Courier New" w:cs="Courier New"/>
        </w:rPr>
        <w:tab/>
        <w:t xml:space="preserve">        </w:t>
      </w:r>
      <w:r w:rsidR="009D2EF6">
        <w:rPr>
          <w:rFonts w:ascii="Courier New" w:hAnsi="Courier New" w:cs="Courier New"/>
        </w:rPr>
        <w:t>    </w:t>
      </w:r>
      <w:r w:rsidR="0052486E">
        <w:rPr>
          <w:rFonts w:ascii="Courier New" w:hAnsi="Courier New" w:cs="Courier New"/>
        </w:rPr>
        <w:t> </w:t>
      </w:r>
      <w:r w:rsidR="00180A47">
        <w:rPr>
          <w:rFonts w:ascii="Courier New" w:hAnsi="Courier New" w:cs="Courier New"/>
        </w:rPr>
        <w:t>Promulgated:</w:t>
      </w:r>
    </w:p>
    <w:p w14:paraId="0413C15F" w14:textId="107E6444" w:rsidR="00180A47" w:rsidRDefault="009D2EF6" w:rsidP="00180A47">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52486E">
        <w:rPr>
          <w:rFonts w:ascii="Courier New" w:hAnsi="Courier New" w:cs="Courier New"/>
        </w:rPr>
        <w:t> </w:t>
      </w:r>
      <w:r w:rsidR="00627FE3">
        <w:rPr>
          <w:rFonts w:ascii="Courier New" w:hAnsi="Courier New" w:cs="Courier New"/>
        </w:rPr>
        <w:t>May 16, 2018</w:t>
      </w:r>
    </w:p>
    <w:p w14:paraId="5AE0DDFC" w14:textId="77777777" w:rsidR="009D2EF6" w:rsidRDefault="009D2EF6" w:rsidP="00180A47">
      <w:pPr>
        <w:jc w:val="both"/>
        <w:rPr>
          <w:rFonts w:ascii="Courier New" w:hAnsi="Courier New" w:cs="Courier New"/>
        </w:rPr>
      </w:pPr>
    </w:p>
    <w:p w14:paraId="04EE0892" w14:textId="77777777" w:rsidR="00180A47" w:rsidRDefault="00180A47" w:rsidP="00180A47">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3ACB7F36" w14:textId="65C01425" w:rsidR="00180A47" w:rsidRDefault="00180A47" w:rsidP="00180A47">
      <w:pPr>
        <w:spacing w:line="480" w:lineRule="auto"/>
        <w:jc w:val="both"/>
        <w:rPr>
          <w:rFonts w:ascii="Courier New" w:hAnsi="Courier New" w:cs="Courier New"/>
        </w:rPr>
      </w:pPr>
      <w:r>
        <w:rPr>
          <w:rFonts w:ascii="Courier New" w:hAnsi="Courier New" w:cs="Courier New"/>
        </w:rPr>
        <w:tab/>
        <w:t>This is an appeal filed under the in</w:t>
      </w:r>
      <w:r w:rsidRPr="00676B87">
        <w:rPr>
          <w:rFonts w:ascii="Courier New" w:hAnsi="Courier New" w:cs="Courier New"/>
        </w:rPr>
        <w:t>formal</w:t>
      </w:r>
      <w:r>
        <w:rPr>
          <w:rFonts w:ascii="Courier New" w:hAnsi="Courier New" w:cs="Courier New"/>
        </w:rPr>
        <w:t xml:space="preserve"> procedure</w:t>
      </w:r>
      <w:r w:rsidR="00674C88" w:rsidRPr="00CE166B">
        <w:rPr>
          <w:rStyle w:val="FootnoteReference"/>
          <w:rFonts w:ascii="Courier New" w:hAnsi="Courier New" w:cs="Courier New"/>
        </w:rPr>
        <w:footnoteReference w:id="1"/>
      </w:r>
      <w:r w:rsidR="00674C88" w:rsidRPr="00CE166B">
        <w:rPr>
          <w:rFonts w:ascii="Courier New" w:hAnsi="Courier New" w:cs="Courier New"/>
        </w:rPr>
        <w:t xml:space="preserve"> </w:t>
      </w:r>
      <w:r>
        <w:rPr>
          <w:rFonts w:ascii="Courier New" w:hAnsi="Courier New" w:cs="Courier New"/>
        </w:rPr>
        <w:t xml:space="preserve"> pursuant to G.L. c. 58A, </w:t>
      </w:r>
      <w:r w:rsidRPr="00676B87">
        <w:rPr>
          <w:rFonts w:ascii="Courier New" w:hAnsi="Courier New" w:cs="Courier New"/>
        </w:rPr>
        <w:t>§ 7</w:t>
      </w:r>
      <w:r w:rsidR="00674C88">
        <w:rPr>
          <w:rFonts w:ascii="Courier New" w:hAnsi="Courier New" w:cs="Courier New"/>
        </w:rPr>
        <w:t>A</w:t>
      </w:r>
      <w:r>
        <w:rPr>
          <w:rFonts w:ascii="Courier New" w:hAnsi="Courier New" w:cs="Courier New"/>
        </w:rPr>
        <w:t xml:space="preserve"> and G.L. c. 62C, § 39 from the refusal of the Board of Assessors of the Town of Lexington (“assessors” or “a</w:t>
      </w:r>
      <w:r w:rsidR="00674C88">
        <w:rPr>
          <w:rFonts w:ascii="Courier New" w:hAnsi="Courier New" w:cs="Courier New"/>
        </w:rPr>
        <w:t xml:space="preserve">ppellee”), to abate </w:t>
      </w:r>
      <w:r w:rsidR="00081837">
        <w:rPr>
          <w:rFonts w:ascii="Courier New" w:hAnsi="Courier New" w:cs="Courier New"/>
        </w:rPr>
        <w:t>a tax</w:t>
      </w:r>
      <w:r w:rsidR="00674C88">
        <w:rPr>
          <w:rFonts w:ascii="Courier New" w:hAnsi="Courier New" w:cs="Courier New"/>
        </w:rPr>
        <w:t xml:space="preserve"> on certain real estate owned by and assessed to John D. Baron, Jennifer A. Jordan and Donna L. Baron</w:t>
      </w:r>
      <w:r>
        <w:rPr>
          <w:rFonts w:ascii="Courier New" w:hAnsi="Courier New" w:cs="Courier New"/>
        </w:rPr>
        <w:t xml:space="preserve"> (“appellant</w:t>
      </w:r>
      <w:r w:rsidR="00674C88">
        <w:rPr>
          <w:rFonts w:ascii="Courier New" w:hAnsi="Courier New" w:cs="Courier New"/>
        </w:rPr>
        <w:t>s</w:t>
      </w:r>
      <w:r>
        <w:rPr>
          <w:rFonts w:ascii="Courier New" w:hAnsi="Courier New" w:cs="Courier New"/>
        </w:rPr>
        <w:t>”)</w:t>
      </w:r>
      <w:r w:rsidR="00674C88">
        <w:rPr>
          <w:rFonts w:ascii="Courier New" w:hAnsi="Courier New" w:cs="Courier New"/>
        </w:rPr>
        <w:t xml:space="preserve"> under G.L. c. 59, §§ 11 and 38</w:t>
      </w:r>
      <w:r>
        <w:rPr>
          <w:rFonts w:ascii="Courier New" w:hAnsi="Courier New" w:cs="Courier New"/>
        </w:rPr>
        <w:t xml:space="preserve"> </w:t>
      </w:r>
      <w:r w:rsidR="00674C88">
        <w:rPr>
          <w:rFonts w:ascii="Courier New" w:hAnsi="Courier New" w:cs="Courier New"/>
        </w:rPr>
        <w:t>for fiscal year 2016 (“fiscal year</w:t>
      </w:r>
      <w:r>
        <w:rPr>
          <w:rFonts w:ascii="Courier New" w:hAnsi="Courier New" w:cs="Courier New"/>
        </w:rPr>
        <w:t xml:space="preserve"> at issue”).</w:t>
      </w:r>
    </w:p>
    <w:p w14:paraId="2BDC20F9" w14:textId="27586CC6" w:rsidR="00180A47" w:rsidRDefault="00180A47" w:rsidP="00180A47">
      <w:pPr>
        <w:pStyle w:val="BodyText2"/>
        <w:spacing w:after="0"/>
        <w:jc w:val="both"/>
        <w:rPr>
          <w:rFonts w:ascii="Courier New" w:hAnsi="Courier New" w:cs="Courier New"/>
        </w:rPr>
      </w:pPr>
      <w:r>
        <w:tab/>
      </w:r>
      <w:r w:rsidR="000A3682">
        <w:rPr>
          <w:rFonts w:ascii="Courier New" w:hAnsi="Courier New" w:cs="Courier New"/>
        </w:rPr>
        <w:t>Chairman Hammond</w:t>
      </w:r>
      <w:r w:rsidRPr="00B86AF5">
        <w:rPr>
          <w:rFonts w:ascii="Courier New" w:hAnsi="Courier New" w:cs="Courier New"/>
        </w:rPr>
        <w:t xml:space="preserve"> heard this appeal and</w:t>
      </w:r>
      <w:r>
        <w:rPr>
          <w:rFonts w:ascii="Courier New" w:hAnsi="Courier New" w:cs="Courier New"/>
        </w:rPr>
        <w:t>, tog</w:t>
      </w:r>
      <w:r w:rsidR="000A3682">
        <w:rPr>
          <w:rFonts w:ascii="Courier New" w:hAnsi="Courier New" w:cs="Courier New"/>
        </w:rPr>
        <w:t xml:space="preserve">ether with </w:t>
      </w:r>
      <w:r>
        <w:rPr>
          <w:rFonts w:ascii="Courier New" w:hAnsi="Courier New" w:cs="Courier New"/>
        </w:rPr>
        <w:t>Co</w:t>
      </w:r>
      <w:r w:rsidR="000A3682">
        <w:rPr>
          <w:rFonts w:ascii="Courier New" w:hAnsi="Courier New" w:cs="Courier New"/>
        </w:rPr>
        <w:t xml:space="preserve">mmissioners Scharaffa, Rose, </w:t>
      </w:r>
      <w:r>
        <w:rPr>
          <w:rFonts w:ascii="Courier New" w:hAnsi="Courier New" w:cs="Courier New"/>
        </w:rPr>
        <w:t>Chmielinski</w:t>
      </w:r>
      <w:r w:rsidR="000A3682">
        <w:rPr>
          <w:rFonts w:ascii="Courier New" w:hAnsi="Courier New" w:cs="Courier New"/>
        </w:rPr>
        <w:t xml:space="preserve"> and Good</w:t>
      </w:r>
      <w:r>
        <w:rPr>
          <w:rFonts w:ascii="Courier New" w:hAnsi="Courier New" w:cs="Courier New"/>
        </w:rPr>
        <w:t>, is</w:t>
      </w:r>
      <w:r w:rsidR="000A3682">
        <w:rPr>
          <w:rFonts w:ascii="Courier New" w:hAnsi="Courier New" w:cs="Courier New"/>
        </w:rPr>
        <w:t>sued a decision for the appellants</w:t>
      </w:r>
      <w:r w:rsidRPr="00B86AF5">
        <w:rPr>
          <w:rFonts w:ascii="Courier New" w:hAnsi="Courier New" w:cs="Courier New"/>
        </w:rPr>
        <w:t>.</w:t>
      </w:r>
      <w:r>
        <w:rPr>
          <w:rFonts w:ascii="Courier New" w:hAnsi="Courier New" w:cs="Courier New"/>
        </w:rPr>
        <w:t xml:space="preserve"> </w:t>
      </w:r>
      <w:r w:rsidRPr="00B86AF5">
        <w:rPr>
          <w:rFonts w:ascii="Courier New" w:hAnsi="Courier New" w:cs="Courier New"/>
        </w:rPr>
        <w:t xml:space="preserve"> </w:t>
      </w:r>
    </w:p>
    <w:p w14:paraId="36E9A894" w14:textId="77777777" w:rsidR="00180A47" w:rsidRPr="00B86AF5" w:rsidRDefault="00180A47" w:rsidP="00180A47">
      <w:pPr>
        <w:pStyle w:val="BodyText2"/>
        <w:spacing w:after="0"/>
        <w:jc w:val="both"/>
        <w:rPr>
          <w:rFonts w:ascii="Courier New" w:hAnsi="Courier New" w:cs="Courier New"/>
        </w:rPr>
      </w:pPr>
      <w:r>
        <w:rPr>
          <w:rFonts w:ascii="Courier New" w:hAnsi="Courier New" w:cs="Courier New"/>
        </w:rPr>
        <w:tab/>
      </w:r>
      <w:r w:rsidRPr="00B86AF5">
        <w:rPr>
          <w:rFonts w:ascii="Courier New" w:hAnsi="Courier New" w:cs="Courier New"/>
        </w:rPr>
        <w:t>These findings of fact and report are made pursuant to a request by the appellant</w:t>
      </w:r>
      <w:r w:rsidR="000A3682">
        <w:rPr>
          <w:rFonts w:ascii="Courier New" w:hAnsi="Courier New" w:cs="Courier New"/>
        </w:rPr>
        <w:t>s</w:t>
      </w:r>
      <w:r w:rsidRPr="00B86AF5">
        <w:rPr>
          <w:rFonts w:ascii="Courier New" w:hAnsi="Courier New" w:cs="Courier New"/>
        </w:rPr>
        <w:t xml:space="preserve"> under G.L. c. 58A, § 13 and 831 CMR 1.32. </w:t>
      </w:r>
    </w:p>
    <w:p w14:paraId="3CF5117A" w14:textId="77777777" w:rsidR="00180A47" w:rsidRDefault="00180A47" w:rsidP="00180A47">
      <w:pPr>
        <w:jc w:val="both"/>
        <w:rPr>
          <w:rFonts w:ascii="Courier New" w:hAnsi="Courier New" w:cs="Courier New"/>
        </w:rPr>
      </w:pPr>
      <w:r>
        <w:rPr>
          <w:rFonts w:ascii="Courier New" w:hAnsi="Courier New" w:cs="Courier New"/>
        </w:rPr>
        <w:tab/>
      </w:r>
      <w:r w:rsidR="000A3682">
        <w:rPr>
          <w:rFonts w:ascii="Courier New" w:hAnsi="Courier New" w:cs="Courier New"/>
          <w:i/>
        </w:rPr>
        <w:t>Donna Baron, pro se</w:t>
      </w:r>
      <w:r>
        <w:rPr>
          <w:rFonts w:ascii="Courier New" w:hAnsi="Courier New" w:cs="Courier New"/>
        </w:rPr>
        <w:t>, for the appellant</w:t>
      </w:r>
      <w:r w:rsidR="000A3682">
        <w:rPr>
          <w:rFonts w:ascii="Courier New" w:hAnsi="Courier New" w:cs="Courier New"/>
        </w:rPr>
        <w:t>s</w:t>
      </w:r>
      <w:r>
        <w:rPr>
          <w:rFonts w:ascii="Courier New" w:hAnsi="Courier New" w:cs="Courier New"/>
        </w:rPr>
        <w:t>.</w:t>
      </w:r>
    </w:p>
    <w:p w14:paraId="20AC5BC0" w14:textId="77777777" w:rsidR="00180A47" w:rsidRDefault="00180A47" w:rsidP="00180A47">
      <w:pPr>
        <w:jc w:val="both"/>
        <w:rPr>
          <w:rFonts w:ascii="Courier New" w:hAnsi="Courier New" w:cs="Courier New"/>
        </w:rPr>
      </w:pPr>
    </w:p>
    <w:p w14:paraId="0F4893D8" w14:textId="4BEA6EB9" w:rsidR="00180A47" w:rsidRDefault="00180A47" w:rsidP="00180A47">
      <w:pPr>
        <w:spacing w:line="480" w:lineRule="auto"/>
        <w:jc w:val="both"/>
        <w:rPr>
          <w:rFonts w:ascii="Courier New" w:hAnsi="Courier New" w:cs="Courier New"/>
        </w:rPr>
      </w:pPr>
      <w:r>
        <w:rPr>
          <w:rFonts w:ascii="Courier New" w:hAnsi="Courier New" w:cs="Courier New"/>
        </w:rPr>
        <w:tab/>
      </w:r>
      <w:r w:rsidR="000A3682">
        <w:rPr>
          <w:rFonts w:ascii="Courier New" w:hAnsi="Courier New" w:cs="Courier New"/>
          <w:i/>
        </w:rPr>
        <w:t>Anthony Ambriano</w:t>
      </w:r>
      <w:r>
        <w:rPr>
          <w:rFonts w:ascii="Courier New" w:hAnsi="Courier New" w:cs="Courier New"/>
        </w:rPr>
        <w:t xml:space="preserve">, </w:t>
      </w:r>
      <w:r w:rsidRPr="00535A3C">
        <w:rPr>
          <w:rFonts w:ascii="Courier New" w:hAnsi="Courier New" w:cs="Courier New"/>
        </w:rPr>
        <w:t>Esq</w:t>
      </w:r>
      <w:r w:rsidR="00081837">
        <w:rPr>
          <w:rFonts w:ascii="Courier New" w:hAnsi="Courier New" w:cs="Courier New"/>
        </w:rPr>
        <w:t>.</w:t>
      </w:r>
      <w:r>
        <w:rPr>
          <w:rFonts w:ascii="Courier New" w:hAnsi="Courier New" w:cs="Courier New"/>
        </w:rPr>
        <w:t xml:space="preserve"> for the appellee.  </w:t>
      </w:r>
    </w:p>
    <w:p w14:paraId="6E5C76B2" w14:textId="77777777" w:rsidR="00180A47" w:rsidRDefault="00180A47" w:rsidP="00180A47">
      <w:pPr>
        <w:spacing w:line="480" w:lineRule="auto"/>
        <w:jc w:val="both"/>
        <w:rPr>
          <w:rFonts w:ascii="Courier New" w:hAnsi="Courier New" w:cs="Courier New"/>
        </w:rPr>
      </w:pPr>
    </w:p>
    <w:p w14:paraId="6C427177" w14:textId="77777777" w:rsidR="00180A47" w:rsidRDefault="00180A47" w:rsidP="00180A47">
      <w:pPr>
        <w:pStyle w:val="Heading2"/>
        <w:spacing w:line="480" w:lineRule="auto"/>
      </w:pPr>
      <w:r>
        <w:lastRenderedPageBreak/>
        <w:t>FINDINGS OF FACT AND REPORT</w:t>
      </w:r>
    </w:p>
    <w:p w14:paraId="4C07C429" w14:textId="56C485B1" w:rsidR="00180A47" w:rsidRDefault="00180A47" w:rsidP="00180A47">
      <w:pPr>
        <w:spacing w:line="480" w:lineRule="auto"/>
        <w:ind w:firstLine="720"/>
        <w:jc w:val="both"/>
        <w:rPr>
          <w:rFonts w:ascii="Courier New" w:hAnsi="Courier New" w:cs="Courier New"/>
        </w:rPr>
      </w:pPr>
      <w:r>
        <w:rPr>
          <w:rFonts w:ascii="Courier New" w:hAnsi="Courier New" w:cs="Courier New"/>
        </w:rPr>
        <w:t xml:space="preserve">On the basis of the testimony and exhibits offered into evidence at </w:t>
      </w:r>
      <w:r w:rsidR="00E614AE">
        <w:rPr>
          <w:rFonts w:ascii="Courier New" w:hAnsi="Courier New" w:cs="Courier New"/>
        </w:rPr>
        <w:t>the hearing of this appeal, the</w:t>
      </w:r>
      <w:r w:rsidR="00130F07">
        <w:rPr>
          <w:rFonts w:ascii="Courier New" w:hAnsi="Courier New" w:cs="Courier New"/>
        </w:rPr>
        <w:t xml:space="preserve"> Appellate Tax Board</w:t>
      </w:r>
      <w:r w:rsidR="00E614AE">
        <w:rPr>
          <w:rFonts w:ascii="Courier New" w:hAnsi="Courier New" w:cs="Courier New"/>
        </w:rPr>
        <w:t xml:space="preserve"> </w:t>
      </w:r>
      <w:r w:rsidR="009D2EF6">
        <w:rPr>
          <w:rFonts w:ascii="Courier New" w:hAnsi="Courier New" w:cs="Courier New"/>
        </w:rPr>
        <w:t>(“Board”) </w:t>
      </w:r>
      <w:r>
        <w:rPr>
          <w:rFonts w:ascii="Courier New" w:hAnsi="Courier New" w:cs="Courier New"/>
        </w:rPr>
        <w:t>made the following findings of fact.</w:t>
      </w:r>
    </w:p>
    <w:p w14:paraId="60FD4251" w14:textId="4810A049" w:rsidR="00940F05" w:rsidRDefault="00D97100" w:rsidP="00560160">
      <w:pPr>
        <w:spacing w:line="480" w:lineRule="auto"/>
        <w:ind w:firstLine="720"/>
        <w:jc w:val="both"/>
        <w:rPr>
          <w:rFonts w:ascii="Courier New" w:hAnsi="Courier New" w:cs="Courier New"/>
        </w:rPr>
      </w:pPr>
      <w:r>
        <w:rPr>
          <w:rFonts w:ascii="Courier New" w:hAnsi="Courier New" w:cs="Courier New"/>
        </w:rPr>
        <w:t xml:space="preserve">On January 1, </w:t>
      </w:r>
      <w:r w:rsidR="00C63D7A">
        <w:rPr>
          <w:rFonts w:ascii="Courier New" w:hAnsi="Courier New" w:cs="Courier New"/>
        </w:rPr>
        <w:t xml:space="preserve">2015, the appellants were the assessed owners of a parcel of land, identified on assessors’ Map 72 as Lot 445 and with an address of 33 Centre Street </w:t>
      </w:r>
      <w:r w:rsidR="00900AA3">
        <w:rPr>
          <w:rFonts w:ascii="Courier New" w:hAnsi="Courier New" w:cs="Courier New"/>
        </w:rPr>
        <w:t xml:space="preserve">in Lexington </w:t>
      </w:r>
      <w:r w:rsidR="00C63D7A">
        <w:rPr>
          <w:rFonts w:ascii="Courier New" w:hAnsi="Courier New" w:cs="Courier New"/>
        </w:rPr>
        <w:t xml:space="preserve">(“subject property”).  </w:t>
      </w:r>
      <w:r w:rsidR="00EA7EE2">
        <w:rPr>
          <w:rFonts w:ascii="Courier New" w:hAnsi="Courier New" w:cs="Courier New"/>
        </w:rPr>
        <w:t xml:space="preserve">According to the property record card on file with the appellee, the subject property is </w:t>
      </w:r>
      <w:r w:rsidR="001A0242">
        <w:rPr>
          <w:rFonts w:ascii="Courier New" w:hAnsi="Courier New" w:cs="Courier New"/>
        </w:rPr>
        <w:t xml:space="preserve">a </w:t>
      </w:r>
      <w:r w:rsidR="00EA7EE2">
        <w:rPr>
          <w:rFonts w:ascii="Courier New" w:hAnsi="Courier New" w:cs="Courier New"/>
        </w:rPr>
        <w:t>17,242 square f</w:t>
      </w:r>
      <w:r w:rsidR="001A0242">
        <w:rPr>
          <w:rFonts w:ascii="Courier New" w:hAnsi="Courier New" w:cs="Courier New"/>
        </w:rPr>
        <w:t>oo</w:t>
      </w:r>
      <w:r w:rsidR="00EA7EE2">
        <w:rPr>
          <w:rFonts w:ascii="Courier New" w:hAnsi="Courier New" w:cs="Courier New"/>
        </w:rPr>
        <w:t xml:space="preserve">t </w:t>
      </w:r>
      <w:r w:rsidR="001A0242">
        <w:rPr>
          <w:rFonts w:ascii="Courier New" w:hAnsi="Courier New" w:cs="Courier New"/>
        </w:rPr>
        <w:t xml:space="preserve">parcel </w:t>
      </w:r>
      <w:r w:rsidR="00C63D7A">
        <w:rPr>
          <w:rFonts w:ascii="Courier New" w:hAnsi="Courier New" w:cs="Courier New"/>
        </w:rPr>
        <w:t xml:space="preserve">improved with </w:t>
      </w:r>
      <w:r w:rsidR="009318DD">
        <w:rPr>
          <w:rFonts w:ascii="Courier New" w:hAnsi="Courier New" w:cs="Courier New"/>
        </w:rPr>
        <w:t xml:space="preserve">a </w:t>
      </w:r>
      <w:r w:rsidR="00045B52">
        <w:rPr>
          <w:rFonts w:ascii="Courier New" w:hAnsi="Courier New" w:cs="Courier New"/>
        </w:rPr>
        <w:t xml:space="preserve">conventional-style, </w:t>
      </w:r>
      <w:r w:rsidR="00A91EDC">
        <w:rPr>
          <w:rFonts w:ascii="Courier New" w:hAnsi="Courier New" w:cs="Courier New"/>
        </w:rPr>
        <w:t>single-family, 2</w:t>
      </w:r>
      <w:r w:rsidR="003628C2">
        <w:rPr>
          <w:rFonts w:ascii="Courier New" w:hAnsi="Courier New" w:cs="Courier New"/>
        </w:rPr>
        <w:t>-story</w:t>
      </w:r>
      <w:r w:rsidR="009318DD">
        <w:rPr>
          <w:rFonts w:ascii="Courier New" w:hAnsi="Courier New" w:cs="Courier New"/>
        </w:rPr>
        <w:t xml:space="preserve"> home</w:t>
      </w:r>
      <w:r w:rsidR="003628C2">
        <w:rPr>
          <w:rFonts w:ascii="Courier New" w:hAnsi="Courier New" w:cs="Courier New"/>
        </w:rPr>
        <w:t xml:space="preserve"> with an in-law suite and</w:t>
      </w:r>
      <w:r w:rsidR="009318DD">
        <w:rPr>
          <w:rFonts w:ascii="Courier New" w:hAnsi="Courier New" w:cs="Courier New"/>
        </w:rPr>
        <w:t xml:space="preserve"> containing 3,818 square feet of living area</w:t>
      </w:r>
      <w:r w:rsidR="00940F05">
        <w:rPr>
          <w:rFonts w:ascii="Courier New" w:hAnsi="Courier New" w:cs="Courier New"/>
        </w:rPr>
        <w:t xml:space="preserve"> (“subject home”).  For the fiscal year at issue, the appellee</w:t>
      </w:r>
      <w:r w:rsidR="005A6A86">
        <w:rPr>
          <w:rFonts w:ascii="Courier New" w:hAnsi="Courier New" w:cs="Courier New"/>
        </w:rPr>
        <w:t xml:space="preserve"> valued</w:t>
      </w:r>
      <w:r w:rsidR="00940F05">
        <w:rPr>
          <w:rFonts w:ascii="Courier New" w:hAnsi="Courier New" w:cs="Courier New"/>
        </w:rPr>
        <w:t xml:space="preserve"> the subject property at $</w:t>
      </w:r>
      <w:r w:rsidR="001E477A">
        <w:rPr>
          <w:rFonts w:ascii="Courier New" w:hAnsi="Courier New" w:cs="Courier New"/>
        </w:rPr>
        <w:t>1,437,000</w:t>
      </w:r>
      <w:r w:rsidR="005A6A86">
        <w:rPr>
          <w:rFonts w:ascii="Courier New" w:hAnsi="Courier New" w:cs="Courier New"/>
        </w:rPr>
        <w:t xml:space="preserve"> and assessed a tax thereon, at the rate of $14.60 per $1</w:t>
      </w:r>
      <w:r w:rsidR="00B23F46">
        <w:rPr>
          <w:rFonts w:ascii="Courier New" w:hAnsi="Courier New" w:cs="Courier New"/>
        </w:rPr>
        <w:t>,</w:t>
      </w:r>
      <w:r w:rsidR="005A6A86">
        <w:rPr>
          <w:rFonts w:ascii="Courier New" w:hAnsi="Courier New" w:cs="Courier New"/>
        </w:rPr>
        <w:t>000</w:t>
      </w:r>
      <w:r w:rsidR="00B10DA9">
        <w:rPr>
          <w:rFonts w:ascii="Courier New" w:hAnsi="Courier New" w:cs="Courier New"/>
        </w:rPr>
        <w:t>,</w:t>
      </w:r>
      <w:r w:rsidR="005A6A86">
        <w:rPr>
          <w:rFonts w:ascii="Courier New" w:hAnsi="Courier New" w:cs="Courier New"/>
        </w:rPr>
        <w:t xml:space="preserve"> in the total amount of $21,565.81</w:t>
      </w:r>
      <w:r w:rsidR="00CE01B9">
        <w:rPr>
          <w:rFonts w:ascii="Courier New" w:hAnsi="Courier New" w:cs="Courier New"/>
        </w:rPr>
        <w:t>, which includes a Community Preservation Act (“CPA”) surcharge</w:t>
      </w:r>
      <w:r w:rsidR="001E477A">
        <w:rPr>
          <w:rFonts w:ascii="Courier New" w:hAnsi="Courier New" w:cs="Courier New"/>
        </w:rPr>
        <w:t xml:space="preserve">.  The </w:t>
      </w:r>
      <w:r w:rsidR="00900AA3">
        <w:rPr>
          <w:rFonts w:ascii="Courier New" w:hAnsi="Courier New" w:cs="Courier New"/>
        </w:rPr>
        <w:t>appellants timely paid the tax</w:t>
      </w:r>
      <w:r w:rsidR="001E477A">
        <w:rPr>
          <w:rFonts w:ascii="Courier New" w:hAnsi="Courier New" w:cs="Courier New"/>
        </w:rPr>
        <w:t xml:space="preserve"> due without incurring interest</w:t>
      </w:r>
      <w:r w:rsidR="00CE01B9">
        <w:rPr>
          <w:rFonts w:ascii="Courier New" w:hAnsi="Courier New" w:cs="Courier New"/>
        </w:rPr>
        <w:t>,</w:t>
      </w:r>
      <w:r w:rsidR="001E477A">
        <w:rPr>
          <w:rFonts w:ascii="Courier New" w:hAnsi="Courier New" w:cs="Courier New"/>
        </w:rPr>
        <w:t xml:space="preserve"> and on January 27, 2016 they timely fi</w:t>
      </w:r>
      <w:r w:rsidR="00B23F46">
        <w:rPr>
          <w:rFonts w:ascii="Courier New" w:hAnsi="Courier New" w:cs="Courier New"/>
        </w:rPr>
        <w:t>led an abatement application</w:t>
      </w:r>
      <w:r w:rsidR="001E477A">
        <w:rPr>
          <w:rFonts w:ascii="Courier New" w:hAnsi="Courier New" w:cs="Courier New"/>
        </w:rPr>
        <w:t xml:space="preserve"> with the appellee.  On April 21, 2016, the appellee granted the appellants’ abatement request in part, reducing the assessed value of the subject property to $1,047,000.  Not sati</w:t>
      </w:r>
      <w:r w:rsidR="00900AA3">
        <w:rPr>
          <w:rFonts w:ascii="Courier New" w:hAnsi="Courier New" w:cs="Courier New"/>
        </w:rPr>
        <w:t>sfied with the</w:t>
      </w:r>
      <w:r w:rsidR="001E477A">
        <w:rPr>
          <w:rFonts w:ascii="Courier New" w:hAnsi="Courier New" w:cs="Courier New"/>
        </w:rPr>
        <w:t xml:space="preserve"> abatement, the appellants seasonably filed an appeal with the Board on July 20, 2016.  O</w:t>
      </w:r>
      <w:r w:rsidR="00560160">
        <w:rPr>
          <w:rFonts w:ascii="Courier New" w:hAnsi="Courier New" w:cs="Courier New"/>
        </w:rPr>
        <w:t xml:space="preserve">n the basis of these facts, the Board </w:t>
      </w:r>
      <w:r w:rsidR="00560160">
        <w:rPr>
          <w:rFonts w:ascii="Courier New" w:hAnsi="Courier New" w:cs="Courier New"/>
        </w:rPr>
        <w:lastRenderedPageBreak/>
        <w:t>found and ruled that it</w:t>
      </w:r>
      <w:r w:rsidR="001E477A">
        <w:rPr>
          <w:rFonts w:ascii="Courier New" w:hAnsi="Courier New" w:cs="Courier New"/>
        </w:rPr>
        <w:t xml:space="preserve"> had jurisdiction to hear and decide the instant appeal.</w:t>
      </w:r>
    </w:p>
    <w:p w14:paraId="6EE60D11" w14:textId="254C132F" w:rsidR="00940F05" w:rsidRDefault="00C0471E" w:rsidP="00904101">
      <w:pPr>
        <w:spacing w:line="480" w:lineRule="auto"/>
        <w:ind w:firstLine="720"/>
        <w:jc w:val="both"/>
        <w:rPr>
          <w:rFonts w:ascii="Courier New" w:hAnsi="Courier New" w:cs="Courier New"/>
        </w:rPr>
      </w:pPr>
      <w:r w:rsidRPr="00C0471E">
        <w:rPr>
          <w:rFonts w:ascii="Courier New" w:hAnsi="Courier New" w:cs="Courier New"/>
        </w:rPr>
        <w:t>According to the appellants, t</w:t>
      </w:r>
      <w:r w:rsidR="00940F05" w:rsidRPr="00C0471E">
        <w:rPr>
          <w:rFonts w:ascii="Courier New" w:hAnsi="Courier New" w:cs="Courier New"/>
        </w:rPr>
        <w:t>he subject home is</w:t>
      </w:r>
      <w:r w:rsidR="009318DD" w:rsidRPr="00C0471E">
        <w:rPr>
          <w:rFonts w:ascii="Courier New" w:hAnsi="Courier New" w:cs="Courier New"/>
        </w:rPr>
        <w:t xml:space="preserve"> comprised of 10 rooms, including 4 bedrooms, as well as 3 full bathrooms and </w:t>
      </w:r>
      <w:r w:rsidR="000F359D" w:rsidRPr="00C0471E">
        <w:rPr>
          <w:rFonts w:ascii="Courier New" w:hAnsi="Courier New" w:cs="Courier New"/>
        </w:rPr>
        <w:t>1 half bathroom</w:t>
      </w:r>
      <w:r w:rsidR="009318DD" w:rsidRPr="00C0471E">
        <w:rPr>
          <w:rFonts w:ascii="Courier New" w:hAnsi="Courier New" w:cs="Courier New"/>
        </w:rPr>
        <w:t>.</w:t>
      </w:r>
      <w:r w:rsidR="000F359D" w:rsidRPr="00C0471E">
        <w:rPr>
          <w:rFonts w:ascii="Courier New" w:hAnsi="Courier New" w:cs="Courier New"/>
        </w:rPr>
        <w:t xml:space="preserve">  </w:t>
      </w:r>
      <w:r w:rsidR="006A7A8C">
        <w:rPr>
          <w:rFonts w:ascii="Courier New" w:hAnsi="Courier New" w:cs="Courier New"/>
        </w:rPr>
        <w:t xml:space="preserve">According to the property record card, however, the subject home is comprised of 14 rooms, including 6 bedrooms, as well as 5 full bathrooms and 1 half bathroom.  </w:t>
      </w:r>
      <w:r w:rsidR="00045B52" w:rsidRPr="00C0471E">
        <w:rPr>
          <w:rFonts w:ascii="Courier New" w:hAnsi="Courier New" w:cs="Courier New"/>
        </w:rPr>
        <w:t>The subject property al</w:t>
      </w:r>
      <w:r w:rsidR="00560160">
        <w:rPr>
          <w:rFonts w:ascii="Courier New" w:hAnsi="Courier New" w:cs="Courier New"/>
        </w:rPr>
        <w:t>so includes a detached</w:t>
      </w:r>
      <w:r w:rsidR="00045B52" w:rsidRPr="00C0471E">
        <w:rPr>
          <w:rFonts w:ascii="Courier New" w:hAnsi="Courier New" w:cs="Courier New"/>
        </w:rPr>
        <w:t xml:space="preserve"> garage</w:t>
      </w:r>
      <w:r w:rsidR="00560160">
        <w:rPr>
          <w:rFonts w:ascii="Courier New" w:hAnsi="Courier New" w:cs="Courier New"/>
        </w:rPr>
        <w:t xml:space="preserve"> with a finished room</w:t>
      </w:r>
      <w:r w:rsidR="007E5F47">
        <w:rPr>
          <w:rFonts w:ascii="Courier New" w:hAnsi="Courier New" w:cs="Courier New"/>
        </w:rPr>
        <w:t xml:space="preserve">; </w:t>
      </w:r>
      <w:r w:rsidR="00CE01B9" w:rsidRPr="00C0471E">
        <w:rPr>
          <w:rFonts w:ascii="Courier New" w:hAnsi="Courier New" w:cs="Courier New"/>
        </w:rPr>
        <w:t>the property record card lists</w:t>
      </w:r>
      <w:r w:rsidR="009E32B9">
        <w:rPr>
          <w:rFonts w:ascii="Courier New" w:hAnsi="Courier New" w:cs="Courier New"/>
        </w:rPr>
        <w:t xml:space="preserve"> the finished area</w:t>
      </w:r>
      <w:r w:rsidR="00CE01B9" w:rsidRPr="00C0471E">
        <w:rPr>
          <w:rFonts w:ascii="Courier New" w:hAnsi="Courier New" w:cs="Courier New"/>
        </w:rPr>
        <w:t xml:space="preserve"> as containing</w:t>
      </w:r>
      <w:r w:rsidR="001F75AB" w:rsidRPr="00C0471E">
        <w:rPr>
          <w:rFonts w:ascii="Courier New" w:hAnsi="Courier New" w:cs="Courier New"/>
        </w:rPr>
        <w:t xml:space="preserve"> </w:t>
      </w:r>
      <w:r w:rsidR="009E32B9">
        <w:rPr>
          <w:rFonts w:ascii="Courier New" w:hAnsi="Courier New" w:cs="Courier New"/>
        </w:rPr>
        <w:t xml:space="preserve">1,601 square feet, but </w:t>
      </w:r>
      <w:r w:rsidR="006A7A8C">
        <w:rPr>
          <w:rFonts w:ascii="Courier New" w:hAnsi="Courier New" w:cs="Courier New"/>
        </w:rPr>
        <w:t>the appel</w:t>
      </w:r>
      <w:r w:rsidR="002C517C">
        <w:rPr>
          <w:rFonts w:ascii="Courier New" w:hAnsi="Courier New" w:cs="Courier New"/>
        </w:rPr>
        <w:t>lants claim</w:t>
      </w:r>
      <w:r w:rsidR="009E32B9">
        <w:rPr>
          <w:rFonts w:ascii="Courier New" w:hAnsi="Courier New" w:cs="Courier New"/>
        </w:rPr>
        <w:t xml:space="preserve"> it</w:t>
      </w:r>
      <w:r w:rsidR="002C517C">
        <w:rPr>
          <w:rFonts w:ascii="Courier New" w:hAnsi="Courier New" w:cs="Courier New"/>
        </w:rPr>
        <w:t xml:space="preserve"> contains</w:t>
      </w:r>
      <w:r w:rsidR="006A7A8C">
        <w:rPr>
          <w:rFonts w:ascii="Courier New" w:hAnsi="Courier New" w:cs="Courier New"/>
        </w:rPr>
        <w:t xml:space="preserve"> </w:t>
      </w:r>
      <w:r w:rsidR="002C517C">
        <w:rPr>
          <w:rFonts w:ascii="Courier New" w:hAnsi="Courier New" w:cs="Courier New"/>
        </w:rPr>
        <w:t xml:space="preserve">only </w:t>
      </w:r>
      <w:r w:rsidR="006A7A8C">
        <w:rPr>
          <w:rFonts w:ascii="Courier New" w:hAnsi="Courier New" w:cs="Courier New"/>
        </w:rPr>
        <w:t>552 square feet</w:t>
      </w:r>
      <w:r w:rsidR="001F75AB" w:rsidRPr="00C0471E">
        <w:rPr>
          <w:rFonts w:ascii="Courier New" w:hAnsi="Courier New" w:cs="Courier New"/>
        </w:rPr>
        <w:t>.</w:t>
      </w:r>
      <w:r w:rsidR="00CE01B9">
        <w:rPr>
          <w:rFonts w:ascii="Courier New" w:hAnsi="Courier New" w:cs="Courier New"/>
        </w:rPr>
        <w:t xml:space="preserve"> </w:t>
      </w:r>
    </w:p>
    <w:p w14:paraId="05B2BFB3" w14:textId="6A34DC7F" w:rsidR="00646761" w:rsidRDefault="00904101" w:rsidP="00A1382A">
      <w:pPr>
        <w:spacing w:line="480" w:lineRule="auto"/>
        <w:ind w:firstLine="720"/>
        <w:jc w:val="both"/>
        <w:rPr>
          <w:rFonts w:ascii="Courier New" w:hAnsi="Courier New" w:cs="Courier New"/>
        </w:rPr>
      </w:pPr>
      <w:r>
        <w:rPr>
          <w:rFonts w:ascii="Courier New" w:hAnsi="Courier New" w:cs="Courier New"/>
        </w:rPr>
        <w:t xml:space="preserve">The subject property was the subject of an earlier appeal for fiscal year 2014.  </w:t>
      </w:r>
      <w:r w:rsidR="00903927">
        <w:rPr>
          <w:rFonts w:ascii="Courier New" w:hAnsi="Courier New" w:cs="Courier New"/>
        </w:rPr>
        <w:t xml:space="preserve">The Board decided the fiscal year 2014 appeal in favor of </w:t>
      </w:r>
      <w:r w:rsidR="007B4C85">
        <w:rPr>
          <w:rFonts w:ascii="Courier New" w:hAnsi="Courier New" w:cs="Courier New"/>
        </w:rPr>
        <w:t xml:space="preserve">the </w:t>
      </w:r>
      <w:r w:rsidR="00903927">
        <w:rPr>
          <w:rFonts w:ascii="Courier New" w:hAnsi="Courier New" w:cs="Courier New"/>
        </w:rPr>
        <w:t>appellants and determined that the fair market value of the subject property was</w:t>
      </w:r>
      <w:r w:rsidR="00940F05">
        <w:rPr>
          <w:rFonts w:ascii="Courier New" w:hAnsi="Courier New" w:cs="Courier New"/>
        </w:rPr>
        <w:t xml:space="preserve"> $900,000</w:t>
      </w:r>
      <w:r w:rsidR="00392EB0">
        <w:rPr>
          <w:rFonts w:ascii="Courier New" w:hAnsi="Courier New" w:cs="Courier New"/>
        </w:rPr>
        <w:t xml:space="preserve">. </w:t>
      </w:r>
      <w:r w:rsidR="00426533">
        <w:rPr>
          <w:rFonts w:ascii="Courier New" w:hAnsi="Courier New" w:cs="Courier New"/>
        </w:rPr>
        <w:t xml:space="preserve"> </w:t>
      </w:r>
      <w:r w:rsidR="00774BA3">
        <w:rPr>
          <w:rFonts w:ascii="Courier New" w:hAnsi="Courier New" w:cs="Courier New"/>
        </w:rPr>
        <w:t xml:space="preserve">For fiscal year 2015, the appellee assessed the subject property at $933,000, which the appellants did not contest.  </w:t>
      </w:r>
      <w:r w:rsidR="006F7E11">
        <w:rPr>
          <w:rFonts w:ascii="Courier New" w:hAnsi="Courier New" w:cs="Courier New"/>
        </w:rPr>
        <w:t>The appellants’ opinion of value for the subject property for the fiscal year at issue is $900,000</w:t>
      </w:r>
      <w:r w:rsidR="00774BA3">
        <w:rPr>
          <w:rFonts w:ascii="Courier New" w:hAnsi="Courier New" w:cs="Courier New"/>
        </w:rPr>
        <w:t xml:space="preserve">, </w:t>
      </w:r>
      <w:r w:rsidR="00DD12BA">
        <w:rPr>
          <w:rFonts w:ascii="Courier New" w:hAnsi="Courier New" w:cs="Courier New"/>
        </w:rPr>
        <w:t>which was</w:t>
      </w:r>
      <w:r w:rsidR="00A717AF">
        <w:rPr>
          <w:rFonts w:ascii="Courier New" w:hAnsi="Courier New" w:cs="Courier New"/>
        </w:rPr>
        <w:t xml:space="preserve"> </w:t>
      </w:r>
      <w:r w:rsidR="00774BA3">
        <w:rPr>
          <w:rFonts w:ascii="Courier New" w:hAnsi="Courier New" w:cs="Courier New"/>
        </w:rPr>
        <w:t>t</w:t>
      </w:r>
      <w:r w:rsidR="005D7CF3">
        <w:rPr>
          <w:rFonts w:ascii="Courier New" w:hAnsi="Courier New" w:cs="Courier New"/>
        </w:rPr>
        <w:t>he Board’s opinion of value for</w:t>
      </w:r>
      <w:r w:rsidR="00774BA3">
        <w:rPr>
          <w:rFonts w:ascii="Courier New" w:hAnsi="Courier New" w:cs="Courier New"/>
        </w:rPr>
        <w:t xml:space="preserve"> fiscal year 2014</w:t>
      </w:r>
      <w:r w:rsidR="006F7E11">
        <w:rPr>
          <w:rFonts w:ascii="Courier New" w:hAnsi="Courier New" w:cs="Courier New"/>
        </w:rPr>
        <w:t>.</w:t>
      </w:r>
      <w:r w:rsidR="005E386F">
        <w:rPr>
          <w:rFonts w:ascii="Courier New" w:hAnsi="Courier New" w:cs="Courier New"/>
        </w:rPr>
        <w:t xml:space="preserve"> </w:t>
      </w:r>
      <w:r w:rsidR="00A717AF">
        <w:rPr>
          <w:rFonts w:ascii="Courier New" w:hAnsi="Courier New" w:cs="Courier New"/>
        </w:rPr>
        <w:t xml:space="preserve"> Because t</w:t>
      </w:r>
      <w:r w:rsidR="00513CFF">
        <w:rPr>
          <w:rFonts w:ascii="Courier New" w:hAnsi="Courier New" w:cs="Courier New"/>
        </w:rPr>
        <w:t>he</w:t>
      </w:r>
      <w:r w:rsidR="005D7CF3">
        <w:rPr>
          <w:rFonts w:ascii="Courier New" w:hAnsi="Courier New" w:cs="Courier New"/>
        </w:rPr>
        <w:t xml:space="preserve"> fiscal year </w:t>
      </w:r>
      <w:r w:rsidR="00513CFF">
        <w:rPr>
          <w:rFonts w:ascii="Courier New" w:hAnsi="Courier New" w:cs="Courier New"/>
        </w:rPr>
        <w:t xml:space="preserve">at issue in this appeal </w:t>
      </w:r>
      <w:r w:rsidR="00A717AF" w:rsidRPr="00543EBB">
        <w:rPr>
          <w:rFonts w:ascii="Courier New" w:hAnsi="Courier New" w:cs="Courier New"/>
        </w:rPr>
        <w:t>is</w:t>
      </w:r>
      <w:r w:rsidR="00513CFF">
        <w:rPr>
          <w:rFonts w:ascii="Courier New" w:hAnsi="Courier New" w:cs="Courier New"/>
        </w:rPr>
        <w:t xml:space="preserve"> within</w:t>
      </w:r>
      <w:r w:rsidR="00A91EDC">
        <w:rPr>
          <w:rFonts w:ascii="Courier New" w:hAnsi="Courier New" w:cs="Courier New"/>
        </w:rPr>
        <w:t xml:space="preserve"> 2</w:t>
      </w:r>
      <w:r w:rsidR="00513CFF">
        <w:rPr>
          <w:rFonts w:ascii="Courier New" w:hAnsi="Courier New" w:cs="Courier New"/>
        </w:rPr>
        <w:t xml:space="preserve"> fiscal years of</w:t>
      </w:r>
      <w:r w:rsidR="00A717AF" w:rsidRPr="00543EBB">
        <w:rPr>
          <w:rFonts w:ascii="Courier New" w:hAnsi="Courier New" w:cs="Courier New"/>
        </w:rPr>
        <w:t xml:space="preserve"> </w:t>
      </w:r>
      <w:r w:rsidR="00CB4E2F">
        <w:rPr>
          <w:rFonts w:ascii="Courier New" w:hAnsi="Courier New" w:cs="Courier New"/>
        </w:rPr>
        <w:t>fiscal year 2014</w:t>
      </w:r>
      <w:r w:rsidR="00A717AF">
        <w:rPr>
          <w:rFonts w:ascii="Courier New" w:hAnsi="Courier New" w:cs="Courier New"/>
        </w:rPr>
        <w:t xml:space="preserve">, the </w:t>
      </w:r>
      <w:r w:rsidR="00513CFF">
        <w:rPr>
          <w:rFonts w:ascii="Courier New" w:hAnsi="Courier New" w:cs="Courier New"/>
        </w:rPr>
        <w:t>burden is on the appellee</w:t>
      </w:r>
      <w:r w:rsidR="00A717AF">
        <w:rPr>
          <w:rFonts w:ascii="Courier New" w:hAnsi="Courier New" w:cs="Courier New"/>
        </w:rPr>
        <w:t xml:space="preserve"> to justify an assessment that is </w:t>
      </w:r>
      <w:r w:rsidR="005D7CF3">
        <w:rPr>
          <w:rFonts w:ascii="Courier New" w:hAnsi="Courier New" w:cs="Courier New"/>
        </w:rPr>
        <w:t>great</w:t>
      </w:r>
      <w:r w:rsidR="00A717AF">
        <w:rPr>
          <w:rFonts w:ascii="Courier New" w:hAnsi="Courier New" w:cs="Courier New"/>
        </w:rPr>
        <w:t xml:space="preserve">er than the Board’s fiscal year 2014 </w:t>
      </w:r>
      <w:r w:rsidR="001A0242">
        <w:rPr>
          <w:rFonts w:ascii="Courier New" w:hAnsi="Courier New" w:cs="Courier New"/>
        </w:rPr>
        <w:t xml:space="preserve">value </w:t>
      </w:r>
      <w:r w:rsidR="00A717AF">
        <w:rPr>
          <w:rFonts w:ascii="Courier New" w:hAnsi="Courier New" w:cs="Courier New"/>
        </w:rPr>
        <w:t>determination.</w:t>
      </w:r>
      <w:r w:rsidR="00CB4E2F">
        <w:rPr>
          <w:rFonts w:ascii="Courier New" w:hAnsi="Courier New" w:cs="Courier New"/>
        </w:rPr>
        <w:t xml:space="preserve">  </w:t>
      </w:r>
      <w:r w:rsidR="00CB4E2F" w:rsidRPr="00CB4E2F">
        <w:rPr>
          <w:rFonts w:ascii="Courier New" w:hAnsi="Courier New" w:cs="Courier New"/>
          <w:i/>
        </w:rPr>
        <w:t>See</w:t>
      </w:r>
      <w:r w:rsidR="009D2EF6">
        <w:rPr>
          <w:rFonts w:ascii="Courier New" w:hAnsi="Courier New" w:cs="Courier New"/>
          <w:i/>
        </w:rPr>
        <w:t>  </w:t>
      </w:r>
      <w:r w:rsidR="00CB4E2F">
        <w:rPr>
          <w:rFonts w:ascii="Courier New" w:hAnsi="Courier New" w:cs="Courier New"/>
        </w:rPr>
        <w:t>G.L.</w:t>
      </w:r>
      <w:r w:rsidR="00D94717">
        <w:rPr>
          <w:rFonts w:ascii="Courier New" w:hAnsi="Courier New" w:cs="Courier New"/>
        </w:rPr>
        <w:t> </w:t>
      </w:r>
      <w:r w:rsidR="00CB4E2F">
        <w:rPr>
          <w:rFonts w:ascii="Courier New" w:hAnsi="Courier New" w:cs="Courier New"/>
        </w:rPr>
        <w:t>c.</w:t>
      </w:r>
      <w:r w:rsidR="00D94717">
        <w:rPr>
          <w:rFonts w:ascii="Courier New" w:hAnsi="Courier New" w:cs="Courier New"/>
        </w:rPr>
        <w:t> </w:t>
      </w:r>
      <w:r w:rsidR="00CB4E2F">
        <w:rPr>
          <w:rFonts w:ascii="Courier New" w:hAnsi="Courier New" w:cs="Courier New"/>
        </w:rPr>
        <w:t>58A, § 12A.</w:t>
      </w:r>
      <w:r w:rsidR="00A717AF">
        <w:rPr>
          <w:rFonts w:ascii="Courier New" w:hAnsi="Courier New" w:cs="Courier New"/>
        </w:rPr>
        <w:t xml:space="preserve">  </w:t>
      </w:r>
    </w:p>
    <w:p w14:paraId="3E6DA212" w14:textId="33781ECF" w:rsidR="00B15B4C" w:rsidRDefault="00646761" w:rsidP="00180A47">
      <w:pPr>
        <w:spacing w:line="480" w:lineRule="auto"/>
        <w:ind w:firstLine="720"/>
        <w:jc w:val="both"/>
        <w:rPr>
          <w:rFonts w:ascii="Courier New" w:hAnsi="Courier New" w:cs="Courier New"/>
        </w:rPr>
      </w:pPr>
      <w:r>
        <w:rPr>
          <w:rFonts w:ascii="Courier New" w:hAnsi="Courier New" w:cs="Courier New"/>
        </w:rPr>
        <w:lastRenderedPageBreak/>
        <w:t>The appellee</w:t>
      </w:r>
      <w:r w:rsidR="00A1382A">
        <w:rPr>
          <w:rFonts w:ascii="Courier New" w:hAnsi="Courier New" w:cs="Courier New"/>
        </w:rPr>
        <w:t xml:space="preserve"> </w:t>
      </w:r>
      <w:r>
        <w:rPr>
          <w:rFonts w:ascii="Courier New" w:hAnsi="Courier New" w:cs="Courier New"/>
        </w:rPr>
        <w:t>presented its</w:t>
      </w:r>
      <w:r w:rsidR="00A1382A">
        <w:rPr>
          <w:rFonts w:ascii="Courier New" w:hAnsi="Courier New" w:cs="Courier New"/>
        </w:rPr>
        <w:t xml:space="preserve"> case-in-ch</w:t>
      </w:r>
      <w:r w:rsidR="002B32E5">
        <w:rPr>
          <w:rFonts w:ascii="Courier New" w:hAnsi="Courier New" w:cs="Courier New"/>
        </w:rPr>
        <w:t xml:space="preserve">ief through the testimony of </w:t>
      </w:r>
      <w:r w:rsidR="00A1382A">
        <w:rPr>
          <w:rFonts w:ascii="Courier New" w:hAnsi="Courier New" w:cs="Courier New"/>
        </w:rPr>
        <w:t>Robert Lent, the Director of Assessment for the Town of Lexington</w:t>
      </w:r>
      <w:r>
        <w:rPr>
          <w:rFonts w:ascii="Courier New" w:hAnsi="Courier New" w:cs="Courier New"/>
        </w:rPr>
        <w:t xml:space="preserve">. </w:t>
      </w:r>
      <w:r w:rsidR="00A1382A">
        <w:rPr>
          <w:rFonts w:ascii="Courier New" w:hAnsi="Courier New" w:cs="Courier New"/>
        </w:rPr>
        <w:t xml:space="preserve"> </w:t>
      </w:r>
      <w:r w:rsidR="00A47244">
        <w:rPr>
          <w:rFonts w:ascii="Courier New" w:hAnsi="Courier New" w:cs="Courier New"/>
        </w:rPr>
        <w:t>Mr. Lent testified that the Town of Lexington underwent a town-wide revaluation of its properties in fiscal year 2015.  He testified that town-wide revaluations are mandated and overseen by t</w:t>
      </w:r>
      <w:r w:rsidR="003D7A08">
        <w:rPr>
          <w:rFonts w:ascii="Courier New" w:hAnsi="Courier New" w:cs="Courier New"/>
        </w:rPr>
        <w:t>he Department of Revenue</w:t>
      </w:r>
      <w:r w:rsidR="00A47244">
        <w:rPr>
          <w:rFonts w:ascii="Courier New" w:hAnsi="Courier New" w:cs="Courier New"/>
        </w:rPr>
        <w:t>, and the process involves the complete reassessment of all properties</w:t>
      </w:r>
      <w:r w:rsidR="009D66E6">
        <w:rPr>
          <w:rFonts w:ascii="Courier New" w:hAnsi="Courier New" w:cs="Courier New"/>
        </w:rPr>
        <w:t xml:space="preserve"> starting from “scratch</w:t>
      </w:r>
      <w:r w:rsidR="001A5CF7">
        <w:rPr>
          <w:rFonts w:ascii="Courier New" w:hAnsi="Courier New" w:cs="Courier New"/>
        </w:rPr>
        <w:t>,” which he explained meant that</w:t>
      </w:r>
      <w:r w:rsidR="009D66E6">
        <w:rPr>
          <w:rFonts w:ascii="Courier New" w:hAnsi="Courier New" w:cs="Courier New"/>
        </w:rPr>
        <w:t xml:space="preserve"> the assessors do not merely adjust existing as</w:t>
      </w:r>
      <w:r w:rsidR="00CF4548">
        <w:rPr>
          <w:rFonts w:ascii="Courier New" w:hAnsi="Courier New" w:cs="Courier New"/>
        </w:rPr>
        <w:t>sessments up or down, but instead</w:t>
      </w:r>
      <w:r w:rsidR="009D66E6">
        <w:rPr>
          <w:rFonts w:ascii="Courier New" w:hAnsi="Courier New" w:cs="Courier New"/>
        </w:rPr>
        <w:t xml:space="preserve"> they completely analyze the fair market value of each individual property in the town</w:t>
      </w:r>
      <w:r w:rsidR="00C73DFE">
        <w:rPr>
          <w:rFonts w:ascii="Courier New" w:hAnsi="Courier New" w:cs="Courier New"/>
        </w:rPr>
        <w:t>.</w:t>
      </w:r>
      <w:r w:rsidR="009D66E6">
        <w:rPr>
          <w:rFonts w:ascii="Courier New" w:hAnsi="Courier New" w:cs="Courier New"/>
        </w:rPr>
        <w:t xml:space="preserve">  </w:t>
      </w:r>
    </w:p>
    <w:p w14:paraId="0E23CC59" w14:textId="0259A7D6" w:rsidR="00B15B4C" w:rsidRDefault="000F4CF5" w:rsidP="00180A47">
      <w:pPr>
        <w:spacing w:line="480" w:lineRule="auto"/>
        <w:ind w:firstLine="720"/>
        <w:jc w:val="both"/>
        <w:rPr>
          <w:rFonts w:ascii="Courier New" w:hAnsi="Courier New" w:cs="Courier New"/>
        </w:rPr>
      </w:pPr>
      <w:r w:rsidRPr="00CB4EB8">
        <w:rPr>
          <w:rFonts w:ascii="Courier New" w:hAnsi="Courier New" w:cs="Courier New"/>
        </w:rPr>
        <w:t xml:space="preserve">Mr. Lent testified that </w:t>
      </w:r>
      <w:r w:rsidR="001A5CF7">
        <w:rPr>
          <w:rFonts w:ascii="Courier New" w:hAnsi="Courier New" w:cs="Courier New"/>
        </w:rPr>
        <w:t>the increase in assessed value for the subject property</w:t>
      </w:r>
      <w:r w:rsidR="00DA5EF3" w:rsidRPr="00CB4EB8">
        <w:rPr>
          <w:rFonts w:ascii="Courier New" w:hAnsi="Courier New" w:cs="Courier New"/>
        </w:rPr>
        <w:t xml:space="preserve"> was attributable to overall increases in sales </w:t>
      </w:r>
      <w:r w:rsidR="00513CFF">
        <w:rPr>
          <w:rFonts w:ascii="Courier New" w:hAnsi="Courier New" w:cs="Courier New"/>
        </w:rPr>
        <w:t xml:space="preserve">prices </w:t>
      </w:r>
      <w:r w:rsidR="00DA5EF3" w:rsidRPr="00CB4EB8">
        <w:rPr>
          <w:rFonts w:ascii="Courier New" w:hAnsi="Courier New" w:cs="Courier New"/>
        </w:rPr>
        <w:t xml:space="preserve">of residential properties in Lexington, as reflected in </w:t>
      </w:r>
      <w:r w:rsidR="00B15B4C" w:rsidRPr="00CB4EB8">
        <w:rPr>
          <w:rFonts w:ascii="Courier New" w:hAnsi="Courier New" w:cs="Courier New"/>
        </w:rPr>
        <w:t>the assessors’ studies of resi</w:t>
      </w:r>
      <w:r w:rsidR="002B32E5">
        <w:rPr>
          <w:rFonts w:ascii="Courier New" w:hAnsi="Courier New" w:cs="Courier New"/>
        </w:rPr>
        <w:t>dential property values in the t</w:t>
      </w:r>
      <w:r w:rsidR="00B15B4C" w:rsidRPr="00CB4EB8">
        <w:rPr>
          <w:rFonts w:ascii="Courier New" w:hAnsi="Courier New" w:cs="Courier New"/>
        </w:rPr>
        <w:t xml:space="preserve">own of Lexington.  He </w:t>
      </w:r>
      <w:r w:rsidR="00DA5EF3" w:rsidRPr="00CB4EB8">
        <w:rPr>
          <w:rFonts w:ascii="Courier New" w:hAnsi="Courier New" w:cs="Courier New"/>
        </w:rPr>
        <w:t xml:space="preserve">first </w:t>
      </w:r>
      <w:r w:rsidR="00B15B4C" w:rsidRPr="00CB4EB8">
        <w:rPr>
          <w:rFonts w:ascii="Courier New" w:hAnsi="Courier New" w:cs="Courier New"/>
        </w:rPr>
        <w:t xml:space="preserve">testified that the </w:t>
      </w:r>
      <w:r w:rsidR="00CB4EB8" w:rsidRPr="00CB4EB8">
        <w:rPr>
          <w:rFonts w:ascii="Courier New" w:hAnsi="Courier New" w:cs="Courier New"/>
        </w:rPr>
        <w:t>sale prices of residential pro</w:t>
      </w:r>
      <w:r w:rsidR="00DA5EF3" w:rsidRPr="00CB4EB8">
        <w:rPr>
          <w:rFonts w:ascii="Courier New" w:hAnsi="Courier New" w:cs="Courier New"/>
        </w:rPr>
        <w:t>p</w:t>
      </w:r>
      <w:r w:rsidR="00CB4EB8" w:rsidRPr="00CB4EB8">
        <w:rPr>
          <w:rFonts w:ascii="Courier New" w:hAnsi="Courier New" w:cs="Courier New"/>
        </w:rPr>
        <w:t>e</w:t>
      </w:r>
      <w:r w:rsidR="00DA5EF3" w:rsidRPr="00CB4EB8">
        <w:rPr>
          <w:rFonts w:ascii="Courier New" w:hAnsi="Courier New" w:cs="Courier New"/>
        </w:rPr>
        <w:t>rties had</w:t>
      </w:r>
      <w:r w:rsidR="00DA5EF3">
        <w:rPr>
          <w:rFonts w:ascii="Courier New" w:hAnsi="Courier New" w:cs="Courier New"/>
        </w:rPr>
        <w:t xml:space="preserve"> increased by 15%</w:t>
      </w:r>
      <w:r w:rsidR="00CB4E2F">
        <w:rPr>
          <w:rFonts w:ascii="Courier New" w:hAnsi="Courier New" w:cs="Courier New"/>
        </w:rPr>
        <w:t xml:space="preserve"> from January 1, 2014 through January 1, 2016</w:t>
      </w:r>
      <w:r w:rsidR="00DA5EF3">
        <w:rPr>
          <w:rFonts w:ascii="Courier New" w:hAnsi="Courier New" w:cs="Courier New"/>
        </w:rPr>
        <w:t>, bu</w:t>
      </w:r>
      <w:r w:rsidR="00CB4EB8">
        <w:rPr>
          <w:rFonts w:ascii="Courier New" w:hAnsi="Courier New" w:cs="Courier New"/>
        </w:rPr>
        <w:t xml:space="preserve">t he later testified that they </w:t>
      </w:r>
      <w:r w:rsidR="00DA5EF3">
        <w:rPr>
          <w:rFonts w:ascii="Courier New" w:hAnsi="Courier New" w:cs="Courier New"/>
        </w:rPr>
        <w:t>h</w:t>
      </w:r>
      <w:r w:rsidR="00CB4EB8">
        <w:rPr>
          <w:rFonts w:ascii="Courier New" w:hAnsi="Courier New" w:cs="Courier New"/>
        </w:rPr>
        <w:t>a</w:t>
      </w:r>
      <w:r w:rsidR="00B647F5">
        <w:rPr>
          <w:rFonts w:ascii="Courier New" w:hAnsi="Courier New" w:cs="Courier New"/>
        </w:rPr>
        <w:t>d increased by 19%.  The</w:t>
      </w:r>
      <w:r w:rsidR="00DA5EF3">
        <w:rPr>
          <w:rFonts w:ascii="Courier New" w:hAnsi="Courier New" w:cs="Courier New"/>
        </w:rPr>
        <w:t xml:space="preserve"> </w:t>
      </w:r>
      <w:r w:rsidR="00B15B4C">
        <w:rPr>
          <w:rFonts w:ascii="Courier New" w:hAnsi="Courier New" w:cs="Courier New"/>
        </w:rPr>
        <w:t xml:space="preserve">assessment at issue reflected a 16.3% increase over the </w:t>
      </w:r>
      <w:r w:rsidR="001A0242">
        <w:rPr>
          <w:rFonts w:ascii="Courier New" w:hAnsi="Courier New" w:cs="Courier New"/>
        </w:rPr>
        <w:t xml:space="preserve">value found by the </w:t>
      </w:r>
      <w:r w:rsidR="00B15B4C">
        <w:rPr>
          <w:rFonts w:ascii="Courier New" w:hAnsi="Courier New" w:cs="Courier New"/>
        </w:rPr>
        <w:t>Board</w:t>
      </w:r>
      <w:r w:rsidR="001A0242">
        <w:rPr>
          <w:rFonts w:ascii="Courier New" w:hAnsi="Courier New" w:cs="Courier New"/>
        </w:rPr>
        <w:t xml:space="preserve"> for </w:t>
      </w:r>
      <w:r w:rsidR="00B15B4C">
        <w:rPr>
          <w:rFonts w:ascii="Courier New" w:hAnsi="Courier New" w:cs="Courier New"/>
        </w:rPr>
        <w:t>fiscal year 2014</w:t>
      </w:r>
      <w:r w:rsidR="00353461">
        <w:rPr>
          <w:rFonts w:ascii="Courier New" w:hAnsi="Courier New" w:cs="Courier New"/>
        </w:rPr>
        <w:t>.</w:t>
      </w:r>
      <w:r w:rsidR="00B15B4C">
        <w:rPr>
          <w:rFonts w:ascii="Courier New" w:hAnsi="Courier New" w:cs="Courier New"/>
        </w:rPr>
        <w:t xml:space="preserve"> </w:t>
      </w:r>
    </w:p>
    <w:p w14:paraId="2CB8F5F5" w14:textId="63C83880" w:rsidR="00F65D5B" w:rsidRDefault="00426533" w:rsidP="00180A47">
      <w:pPr>
        <w:spacing w:line="480" w:lineRule="auto"/>
        <w:ind w:firstLine="720"/>
        <w:jc w:val="both"/>
        <w:rPr>
          <w:rFonts w:ascii="Courier New" w:hAnsi="Courier New" w:cs="Courier New"/>
        </w:rPr>
      </w:pPr>
      <w:r>
        <w:rPr>
          <w:rFonts w:ascii="Courier New" w:hAnsi="Courier New" w:cs="Courier New"/>
        </w:rPr>
        <w:t>Mr. Lent further testified that</w:t>
      </w:r>
      <w:r w:rsidR="004456F0">
        <w:rPr>
          <w:rFonts w:ascii="Courier New" w:hAnsi="Courier New" w:cs="Courier New"/>
        </w:rPr>
        <w:t>, when</w:t>
      </w:r>
      <w:r>
        <w:rPr>
          <w:rFonts w:ascii="Courier New" w:hAnsi="Courier New" w:cs="Courier New"/>
        </w:rPr>
        <w:t xml:space="preserve"> </w:t>
      </w:r>
      <w:r w:rsidR="004456F0">
        <w:rPr>
          <w:rFonts w:ascii="Courier New" w:hAnsi="Courier New" w:cs="Courier New"/>
        </w:rPr>
        <w:t xml:space="preserve">the assessors granted the </w:t>
      </w:r>
      <w:r w:rsidR="00CB4E2F">
        <w:rPr>
          <w:rFonts w:ascii="Courier New" w:hAnsi="Courier New" w:cs="Courier New"/>
        </w:rPr>
        <w:t xml:space="preserve">partial </w:t>
      </w:r>
      <w:r w:rsidR="004456F0">
        <w:rPr>
          <w:rFonts w:ascii="Courier New" w:hAnsi="Courier New" w:cs="Courier New"/>
        </w:rPr>
        <w:t xml:space="preserve">abatement for the fiscal year at issue, they changed the use code of the subject property from </w:t>
      </w:r>
      <w:r w:rsidR="006D3345">
        <w:rPr>
          <w:rFonts w:ascii="Courier New" w:hAnsi="Courier New" w:cs="Courier New"/>
        </w:rPr>
        <w:t>“</w:t>
      </w:r>
      <w:r w:rsidR="004456F0">
        <w:rPr>
          <w:rFonts w:ascii="Courier New" w:hAnsi="Courier New" w:cs="Courier New"/>
        </w:rPr>
        <w:t xml:space="preserve">single-family with </w:t>
      </w:r>
      <w:r w:rsidR="004456F0">
        <w:rPr>
          <w:rFonts w:ascii="Courier New" w:hAnsi="Courier New" w:cs="Courier New"/>
        </w:rPr>
        <w:lastRenderedPageBreak/>
        <w:t>accessory</w:t>
      </w:r>
      <w:r w:rsidR="006D3345">
        <w:rPr>
          <w:rFonts w:ascii="Courier New" w:hAnsi="Courier New" w:cs="Courier New"/>
        </w:rPr>
        <w:t>”</w:t>
      </w:r>
      <w:r w:rsidR="004456F0">
        <w:rPr>
          <w:rFonts w:ascii="Courier New" w:hAnsi="Courier New" w:cs="Courier New"/>
        </w:rPr>
        <w:t xml:space="preserve"> to </w:t>
      </w:r>
      <w:r w:rsidR="006D3345">
        <w:rPr>
          <w:rFonts w:ascii="Courier New" w:hAnsi="Courier New" w:cs="Courier New"/>
        </w:rPr>
        <w:t xml:space="preserve">“two </w:t>
      </w:r>
      <w:r w:rsidR="004456F0">
        <w:rPr>
          <w:rFonts w:ascii="Courier New" w:hAnsi="Courier New" w:cs="Courier New"/>
        </w:rPr>
        <w:t>family</w:t>
      </w:r>
      <w:r w:rsidR="006D3345">
        <w:rPr>
          <w:rFonts w:ascii="Courier New" w:hAnsi="Courier New" w:cs="Courier New"/>
        </w:rPr>
        <w:t>,” which</w:t>
      </w:r>
      <w:r w:rsidR="004456F0">
        <w:rPr>
          <w:rFonts w:ascii="Courier New" w:hAnsi="Courier New" w:cs="Courier New"/>
        </w:rPr>
        <w:t xml:space="preserve"> resulted in a lower adjusted base rate of $170.01 per square foot, down from the original $245.01 per square foot.  </w:t>
      </w:r>
    </w:p>
    <w:p w14:paraId="5C5F514B" w14:textId="4D4E96B4" w:rsidR="00646761" w:rsidRDefault="00692C85" w:rsidP="00646761">
      <w:pPr>
        <w:spacing w:line="480" w:lineRule="auto"/>
        <w:ind w:firstLine="720"/>
        <w:jc w:val="both"/>
        <w:rPr>
          <w:rFonts w:ascii="Courier New" w:hAnsi="Courier New" w:cs="Courier New"/>
        </w:rPr>
      </w:pPr>
      <w:r>
        <w:rPr>
          <w:rFonts w:ascii="Courier New" w:hAnsi="Courier New" w:cs="Courier New"/>
        </w:rPr>
        <w:t>The appellants</w:t>
      </w:r>
      <w:r w:rsidR="006D3345">
        <w:rPr>
          <w:rFonts w:ascii="Courier New" w:hAnsi="Courier New" w:cs="Courier New"/>
        </w:rPr>
        <w:t xml:space="preserve"> presented their</w:t>
      </w:r>
      <w:r w:rsidR="00646761">
        <w:rPr>
          <w:rFonts w:ascii="Courier New" w:hAnsi="Courier New" w:cs="Courier New"/>
        </w:rPr>
        <w:t xml:space="preserve"> case-in-chief through the testimony of John Baron, an owner and </w:t>
      </w:r>
      <w:r w:rsidR="001A0242">
        <w:rPr>
          <w:rFonts w:ascii="Courier New" w:hAnsi="Courier New" w:cs="Courier New"/>
        </w:rPr>
        <w:t>resident</w:t>
      </w:r>
      <w:r w:rsidR="00646761">
        <w:rPr>
          <w:rFonts w:ascii="Courier New" w:hAnsi="Courier New" w:cs="Courier New"/>
        </w:rPr>
        <w:t xml:space="preserve"> of the subject property, as well as the submission of documents</w:t>
      </w:r>
      <w:r w:rsidR="00F97D35">
        <w:rPr>
          <w:rFonts w:ascii="Courier New" w:hAnsi="Courier New" w:cs="Courier New"/>
        </w:rPr>
        <w:t>, incl</w:t>
      </w:r>
      <w:r w:rsidR="008A5F0C">
        <w:rPr>
          <w:rFonts w:ascii="Courier New" w:hAnsi="Courier New" w:cs="Courier New"/>
        </w:rPr>
        <w:t>uding charts, maps and</w:t>
      </w:r>
      <w:r w:rsidR="00F97D35">
        <w:rPr>
          <w:rFonts w:ascii="Courier New" w:hAnsi="Courier New" w:cs="Courier New"/>
        </w:rPr>
        <w:t xml:space="preserve"> a video depicting air traffic and highway traffic noise at the subject property</w:t>
      </w:r>
      <w:r w:rsidR="00646761">
        <w:rPr>
          <w:rFonts w:ascii="Courier New" w:hAnsi="Courier New" w:cs="Courier New"/>
        </w:rPr>
        <w:t xml:space="preserve">. </w:t>
      </w:r>
    </w:p>
    <w:p w14:paraId="415B57AA" w14:textId="4AD42006" w:rsidR="00692C85" w:rsidRPr="003F55A3" w:rsidRDefault="000F4CF5" w:rsidP="003F55A3">
      <w:pPr>
        <w:spacing w:line="480" w:lineRule="auto"/>
        <w:ind w:firstLine="720"/>
        <w:jc w:val="both"/>
        <w:rPr>
          <w:rFonts w:ascii="Courier New" w:hAnsi="Courier New" w:cs="Courier New"/>
        </w:rPr>
      </w:pPr>
      <w:r>
        <w:rPr>
          <w:rFonts w:ascii="Courier New" w:hAnsi="Courier New" w:cs="Courier New"/>
        </w:rPr>
        <w:t xml:space="preserve">Mr. </w:t>
      </w:r>
      <w:r w:rsidR="00646761">
        <w:rPr>
          <w:rFonts w:ascii="Courier New" w:hAnsi="Courier New" w:cs="Courier New"/>
        </w:rPr>
        <w:t>Baron testified to the following issues that the appellants</w:t>
      </w:r>
      <w:r w:rsidR="00692C85">
        <w:rPr>
          <w:rFonts w:ascii="Courier New" w:hAnsi="Courier New" w:cs="Courier New"/>
        </w:rPr>
        <w:t xml:space="preserve"> believe either compromised the value of the subject </w:t>
      </w:r>
      <w:r w:rsidR="00692C85" w:rsidRPr="003F55A3">
        <w:rPr>
          <w:rFonts w:ascii="Courier New" w:hAnsi="Courier New" w:cs="Courier New"/>
        </w:rPr>
        <w:t>property or were not properly considered by the appellee i</w:t>
      </w:r>
      <w:r w:rsidR="0003702E" w:rsidRPr="003F55A3">
        <w:rPr>
          <w:rFonts w:ascii="Courier New" w:hAnsi="Courier New" w:cs="Courier New"/>
        </w:rPr>
        <w:t>n making the subject assessment.</w:t>
      </w:r>
    </w:p>
    <w:p w14:paraId="4D7F9024" w14:textId="09FB6C86" w:rsidR="00F97D35" w:rsidRDefault="005844E1" w:rsidP="003F55A3">
      <w:pPr>
        <w:spacing w:line="480" w:lineRule="auto"/>
        <w:ind w:firstLine="720"/>
        <w:jc w:val="both"/>
        <w:rPr>
          <w:rFonts w:ascii="Courier New" w:hAnsi="Courier New" w:cs="Courier New"/>
        </w:rPr>
      </w:pPr>
      <w:r w:rsidRPr="003F55A3">
        <w:rPr>
          <w:rFonts w:ascii="Courier New" w:hAnsi="Courier New" w:cs="Courier New"/>
        </w:rPr>
        <w:t xml:space="preserve">The appellants </w:t>
      </w:r>
      <w:r w:rsidR="0003702E" w:rsidRPr="003F55A3">
        <w:rPr>
          <w:rFonts w:ascii="Courier New" w:hAnsi="Courier New" w:cs="Courier New"/>
        </w:rPr>
        <w:t xml:space="preserve">first </w:t>
      </w:r>
      <w:r w:rsidRPr="003F55A3">
        <w:rPr>
          <w:rFonts w:ascii="Courier New" w:hAnsi="Courier New" w:cs="Courier New"/>
        </w:rPr>
        <w:t xml:space="preserve">contended that the noise caused by planes flying to and from nearby Hanscom Air Force Base and by the traffic from nearby </w:t>
      </w:r>
      <w:r w:rsidR="00CB4E2F">
        <w:rPr>
          <w:rFonts w:ascii="Courier New" w:hAnsi="Courier New" w:cs="Courier New"/>
        </w:rPr>
        <w:t>Interstate 95 negatively impacted</w:t>
      </w:r>
      <w:r w:rsidRPr="003F55A3">
        <w:rPr>
          <w:rFonts w:ascii="Courier New" w:hAnsi="Courier New" w:cs="Courier New"/>
        </w:rPr>
        <w:t xml:space="preserve"> the fair market value of the subject property.  </w:t>
      </w:r>
      <w:r w:rsidR="003F55A3">
        <w:rPr>
          <w:rFonts w:ascii="Courier New" w:hAnsi="Courier New" w:cs="Courier New"/>
        </w:rPr>
        <w:t xml:space="preserve">The appellee </w:t>
      </w:r>
      <w:r w:rsidR="00CB4E2F">
        <w:rPr>
          <w:rFonts w:ascii="Courier New" w:hAnsi="Courier New" w:cs="Courier New"/>
        </w:rPr>
        <w:t>maintain</w:t>
      </w:r>
      <w:r w:rsidR="003F55A3">
        <w:rPr>
          <w:rFonts w:ascii="Courier New" w:hAnsi="Courier New" w:cs="Courier New"/>
        </w:rPr>
        <w:t>ed that it</w:t>
      </w:r>
      <w:r w:rsidR="003F55A3" w:rsidRPr="003F55A3">
        <w:rPr>
          <w:rFonts w:ascii="Courier New" w:hAnsi="Courier New" w:cs="Courier New"/>
        </w:rPr>
        <w:t xml:space="preserve"> di</w:t>
      </w:r>
      <w:r w:rsidR="003F55A3">
        <w:rPr>
          <w:rFonts w:ascii="Courier New" w:hAnsi="Courier New" w:cs="Courier New"/>
        </w:rPr>
        <w:t>d not provide adjustments for highway traffic or air traffic noise</w:t>
      </w:r>
      <w:r w:rsidR="00CB4E2F">
        <w:rPr>
          <w:rFonts w:ascii="Courier New" w:hAnsi="Courier New" w:cs="Courier New"/>
        </w:rPr>
        <w:t xml:space="preserve"> for properties in Lexington</w:t>
      </w:r>
      <w:r w:rsidR="003F55A3">
        <w:rPr>
          <w:rFonts w:ascii="Courier New" w:hAnsi="Courier New" w:cs="Courier New"/>
        </w:rPr>
        <w:t>.  To rebut this, t</w:t>
      </w:r>
      <w:r w:rsidR="003F55A3" w:rsidRPr="003F55A3">
        <w:rPr>
          <w:rFonts w:ascii="Courier New" w:hAnsi="Courier New" w:cs="Courier New"/>
        </w:rPr>
        <w:t xml:space="preserve">he appellant offered </w:t>
      </w:r>
      <w:r w:rsidR="002D227D">
        <w:rPr>
          <w:rFonts w:ascii="Courier New" w:hAnsi="Courier New" w:cs="Courier New"/>
        </w:rPr>
        <w:t>property record cards and a chart to illustrate</w:t>
      </w:r>
      <w:r w:rsidR="003F55A3" w:rsidRPr="003F55A3">
        <w:rPr>
          <w:rFonts w:ascii="Courier New" w:hAnsi="Courier New" w:cs="Courier New"/>
        </w:rPr>
        <w:t xml:space="preserve"> 9 </w:t>
      </w:r>
      <w:r w:rsidR="006B130D">
        <w:rPr>
          <w:rFonts w:ascii="Courier New" w:hAnsi="Courier New" w:cs="Courier New"/>
        </w:rPr>
        <w:t xml:space="preserve">nearby </w:t>
      </w:r>
      <w:r w:rsidR="003F55A3" w:rsidRPr="003F55A3">
        <w:rPr>
          <w:rFonts w:ascii="Courier New" w:hAnsi="Courier New" w:cs="Courier New"/>
        </w:rPr>
        <w:t xml:space="preserve">properties that </w:t>
      </w:r>
      <w:r w:rsidR="002D227D">
        <w:rPr>
          <w:rFonts w:ascii="Courier New" w:hAnsi="Courier New" w:cs="Courier New"/>
        </w:rPr>
        <w:t>had received land-</w:t>
      </w:r>
      <w:r w:rsidR="003F55A3" w:rsidRPr="003F55A3">
        <w:rPr>
          <w:rFonts w:ascii="Courier New" w:hAnsi="Courier New" w:cs="Courier New"/>
        </w:rPr>
        <w:t>value reductions ranging from 10</w:t>
      </w:r>
      <w:r w:rsidR="00467FCA">
        <w:rPr>
          <w:rFonts w:ascii="Courier New" w:hAnsi="Courier New" w:cs="Courier New"/>
        </w:rPr>
        <w:t>%</w:t>
      </w:r>
      <w:r w:rsidR="003F55A3" w:rsidRPr="003F55A3">
        <w:rPr>
          <w:rFonts w:ascii="Courier New" w:hAnsi="Courier New" w:cs="Courier New"/>
        </w:rPr>
        <w:t xml:space="preserve"> to 26.4% for highway noise and 15 properties that received 17.2% land value reductions for airport noise. </w:t>
      </w:r>
      <w:r w:rsidR="003F55A3">
        <w:rPr>
          <w:rFonts w:ascii="Courier New" w:hAnsi="Courier New" w:cs="Courier New"/>
        </w:rPr>
        <w:t xml:space="preserve"> </w:t>
      </w:r>
      <w:r w:rsidR="003F55A3" w:rsidRPr="003F55A3">
        <w:rPr>
          <w:rFonts w:ascii="Courier New" w:hAnsi="Courier New" w:cs="Courier New"/>
        </w:rPr>
        <w:t>When confr</w:t>
      </w:r>
      <w:r w:rsidR="003F55A3">
        <w:rPr>
          <w:rFonts w:ascii="Courier New" w:hAnsi="Courier New" w:cs="Courier New"/>
        </w:rPr>
        <w:t xml:space="preserve">onted with this documentation, </w:t>
      </w:r>
      <w:r w:rsidR="003F55A3">
        <w:rPr>
          <w:rFonts w:ascii="Courier New" w:hAnsi="Courier New" w:cs="Courier New"/>
        </w:rPr>
        <w:lastRenderedPageBreak/>
        <w:t>Mr.</w:t>
      </w:r>
      <w:r w:rsidR="009D2EF6">
        <w:rPr>
          <w:rFonts w:ascii="Courier New" w:hAnsi="Courier New" w:cs="Courier New"/>
        </w:rPr>
        <w:t> </w:t>
      </w:r>
      <w:r w:rsidR="003F55A3">
        <w:rPr>
          <w:rFonts w:ascii="Courier New" w:hAnsi="Courier New" w:cs="Courier New"/>
        </w:rPr>
        <w:t>Lent testified</w:t>
      </w:r>
      <w:r w:rsidR="003F55A3" w:rsidRPr="003F55A3">
        <w:rPr>
          <w:rFonts w:ascii="Courier New" w:hAnsi="Courier New" w:cs="Courier New"/>
        </w:rPr>
        <w:t xml:space="preserve"> that he was unaware that </w:t>
      </w:r>
      <w:r w:rsidR="003F55A3">
        <w:rPr>
          <w:rFonts w:ascii="Courier New" w:hAnsi="Courier New" w:cs="Courier New"/>
        </w:rPr>
        <w:t xml:space="preserve">the assessors, </w:t>
      </w:r>
      <w:r w:rsidR="003F55A3" w:rsidRPr="003F55A3">
        <w:rPr>
          <w:rFonts w:ascii="Courier New" w:hAnsi="Courier New" w:cs="Courier New"/>
        </w:rPr>
        <w:t>who worked under his direction</w:t>
      </w:r>
      <w:r w:rsidR="003F55A3">
        <w:rPr>
          <w:rFonts w:ascii="Courier New" w:hAnsi="Courier New" w:cs="Courier New"/>
        </w:rPr>
        <w:t>,</w:t>
      </w:r>
      <w:r w:rsidR="003F55A3" w:rsidRPr="003F55A3">
        <w:rPr>
          <w:rFonts w:ascii="Courier New" w:hAnsi="Courier New" w:cs="Courier New"/>
        </w:rPr>
        <w:t xml:space="preserve"> had made these adjustments.</w:t>
      </w:r>
    </w:p>
    <w:p w14:paraId="2D082C93" w14:textId="153F5062" w:rsidR="00C90C86" w:rsidRDefault="006B130D" w:rsidP="00CC3EF3">
      <w:pPr>
        <w:spacing w:line="480" w:lineRule="auto"/>
        <w:ind w:firstLine="720"/>
        <w:jc w:val="both"/>
        <w:rPr>
          <w:rFonts w:ascii="Courier New" w:hAnsi="Courier New" w:cs="Courier New"/>
        </w:rPr>
      </w:pPr>
      <w:r>
        <w:rPr>
          <w:rFonts w:ascii="Courier New" w:hAnsi="Courier New" w:cs="Courier New"/>
        </w:rPr>
        <w:t>The a</w:t>
      </w:r>
      <w:r w:rsidR="00CC3EF3" w:rsidRPr="00CC3EF3">
        <w:rPr>
          <w:rFonts w:ascii="Courier New" w:hAnsi="Courier New" w:cs="Courier New"/>
        </w:rPr>
        <w:t xml:space="preserve">ppellants </w:t>
      </w:r>
      <w:r w:rsidR="005834B3">
        <w:rPr>
          <w:rFonts w:ascii="Courier New" w:hAnsi="Courier New" w:cs="Courier New"/>
        </w:rPr>
        <w:t xml:space="preserve">further </w:t>
      </w:r>
      <w:r w:rsidR="00CC3EF3" w:rsidRPr="00CC3EF3">
        <w:rPr>
          <w:rFonts w:ascii="Courier New" w:hAnsi="Courier New" w:cs="Courier New"/>
        </w:rPr>
        <w:t>offered</w:t>
      </w:r>
      <w:r w:rsidR="00EB0475">
        <w:rPr>
          <w:rFonts w:ascii="Courier New" w:hAnsi="Courier New" w:cs="Courier New"/>
        </w:rPr>
        <w:t xml:space="preserve"> evidence of</w:t>
      </w:r>
      <w:r w:rsidR="00CC3EF3" w:rsidRPr="00CC3EF3">
        <w:rPr>
          <w:rFonts w:ascii="Courier New" w:hAnsi="Courier New" w:cs="Courier New"/>
        </w:rPr>
        <w:t xml:space="preserve"> </w:t>
      </w:r>
      <w:r w:rsidR="008A5F0C">
        <w:rPr>
          <w:rFonts w:ascii="Courier New" w:hAnsi="Courier New" w:cs="Courier New"/>
        </w:rPr>
        <w:t xml:space="preserve">the </w:t>
      </w:r>
      <w:r w:rsidR="001A0242">
        <w:rPr>
          <w:rFonts w:ascii="Courier New" w:hAnsi="Courier New" w:cs="Courier New"/>
        </w:rPr>
        <w:t xml:space="preserve">assessors’ inconsistent treatment of </w:t>
      </w:r>
      <w:r w:rsidR="00CC3EF3" w:rsidRPr="00CC3EF3">
        <w:rPr>
          <w:rFonts w:ascii="Courier New" w:hAnsi="Courier New" w:cs="Courier New"/>
        </w:rPr>
        <w:t>a number of</w:t>
      </w:r>
      <w:r w:rsidR="005834B3">
        <w:rPr>
          <w:rFonts w:ascii="Courier New" w:hAnsi="Courier New" w:cs="Courier New"/>
        </w:rPr>
        <w:t xml:space="preserve"> factors relied </w:t>
      </w:r>
      <w:r w:rsidR="008A5F0C">
        <w:rPr>
          <w:rFonts w:ascii="Courier New" w:hAnsi="Courier New" w:cs="Courier New"/>
        </w:rPr>
        <w:t>in setting the subject property’s assessment</w:t>
      </w:r>
      <w:r w:rsidR="00467FCA">
        <w:rPr>
          <w:rFonts w:ascii="Courier New" w:hAnsi="Courier New" w:cs="Courier New"/>
        </w:rPr>
        <w:t xml:space="preserve"> for the fiscal year </w:t>
      </w:r>
      <w:r w:rsidR="00CC3EF3" w:rsidRPr="00CC3EF3">
        <w:rPr>
          <w:rFonts w:ascii="Courier New" w:hAnsi="Courier New" w:cs="Courier New"/>
        </w:rPr>
        <w:t xml:space="preserve">2014 to </w:t>
      </w:r>
      <w:r w:rsidR="00467FCA">
        <w:rPr>
          <w:rFonts w:ascii="Courier New" w:hAnsi="Courier New" w:cs="Courier New"/>
        </w:rPr>
        <w:t xml:space="preserve">fiscal year </w:t>
      </w:r>
      <w:r w:rsidR="00CC3EF3" w:rsidRPr="00CC3EF3">
        <w:rPr>
          <w:rFonts w:ascii="Courier New" w:hAnsi="Courier New" w:cs="Courier New"/>
        </w:rPr>
        <w:t>2016 period.</w:t>
      </w:r>
      <w:r w:rsidR="00833258">
        <w:rPr>
          <w:rFonts w:ascii="Courier New" w:hAnsi="Courier New" w:cs="Courier New"/>
        </w:rPr>
        <w:t xml:space="preserve">  </w:t>
      </w:r>
      <w:r w:rsidR="00EB0475">
        <w:rPr>
          <w:rFonts w:ascii="Courier New" w:hAnsi="Courier New" w:cs="Courier New"/>
        </w:rPr>
        <w:t>For example, the appellants produced property record cards to demonstrate</w:t>
      </w:r>
      <w:r w:rsidR="00CC3EF3" w:rsidRPr="00CC3EF3">
        <w:rPr>
          <w:rFonts w:ascii="Courier New" w:hAnsi="Courier New" w:cs="Courier New"/>
        </w:rPr>
        <w:t xml:space="preserve"> that</w:t>
      </w:r>
      <w:r w:rsidR="00EB0475">
        <w:rPr>
          <w:rFonts w:ascii="Courier New" w:hAnsi="Courier New" w:cs="Courier New"/>
        </w:rPr>
        <w:t xml:space="preserve"> the assessors </w:t>
      </w:r>
      <w:r w:rsidR="002D227D">
        <w:rPr>
          <w:rFonts w:ascii="Courier New" w:hAnsi="Courier New" w:cs="Courier New"/>
        </w:rPr>
        <w:t xml:space="preserve">had </w:t>
      </w:r>
      <w:r w:rsidR="00EB0475">
        <w:rPr>
          <w:rFonts w:ascii="Courier New" w:hAnsi="Courier New" w:cs="Courier New"/>
        </w:rPr>
        <w:t>changed</w:t>
      </w:r>
      <w:r w:rsidR="00CC3EF3" w:rsidRPr="00CC3EF3">
        <w:rPr>
          <w:rFonts w:ascii="Courier New" w:hAnsi="Courier New" w:cs="Courier New"/>
        </w:rPr>
        <w:t xml:space="preserve"> the </w:t>
      </w:r>
      <w:r w:rsidR="00DD4480">
        <w:rPr>
          <w:rFonts w:ascii="Courier New" w:hAnsi="Courier New" w:cs="Courier New"/>
        </w:rPr>
        <w:t xml:space="preserve">condition </w:t>
      </w:r>
      <w:r w:rsidR="00EB0475">
        <w:rPr>
          <w:rFonts w:ascii="Courier New" w:hAnsi="Courier New" w:cs="Courier New"/>
        </w:rPr>
        <w:t>grade of the subject property</w:t>
      </w:r>
      <w:r w:rsidR="00CC3EF3" w:rsidRPr="00CC3EF3">
        <w:rPr>
          <w:rFonts w:ascii="Courier New" w:hAnsi="Courier New" w:cs="Courier New"/>
        </w:rPr>
        <w:t xml:space="preserve"> 4 times</w:t>
      </w:r>
      <w:r w:rsidR="00EB0475">
        <w:rPr>
          <w:rFonts w:ascii="Courier New" w:hAnsi="Courier New" w:cs="Courier New"/>
        </w:rPr>
        <w:t xml:space="preserve"> --</w:t>
      </w:r>
      <w:r w:rsidR="00CC3EF3" w:rsidRPr="00CC3EF3">
        <w:rPr>
          <w:rFonts w:ascii="Courier New" w:hAnsi="Courier New" w:cs="Courier New"/>
        </w:rPr>
        <w:t xml:space="preserve"> from C to D+ to B to B- </w:t>
      </w:r>
      <w:r w:rsidR="005834B3">
        <w:rPr>
          <w:rFonts w:ascii="Courier New" w:hAnsi="Courier New" w:cs="Courier New"/>
        </w:rPr>
        <w:t xml:space="preserve">-- from fiscal year 2014 through the fiscal year at issue, including a change after the assessors’ </w:t>
      </w:r>
      <w:r w:rsidR="00DD4480">
        <w:rPr>
          <w:rFonts w:ascii="Courier New" w:hAnsi="Courier New" w:cs="Courier New"/>
        </w:rPr>
        <w:t xml:space="preserve">partial </w:t>
      </w:r>
      <w:r w:rsidR="005834B3">
        <w:rPr>
          <w:rFonts w:ascii="Courier New" w:hAnsi="Courier New" w:cs="Courier New"/>
        </w:rPr>
        <w:t>abatement</w:t>
      </w:r>
      <w:r w:rsidR="00EB0475">
        <w:rPr>
          <w:rFonts w:ascii="Courier New" w:hAnsi="Courier New" w:cs="Courier New"/>
        </w:rPr>
        <w:t xml:space="preserve">.  </w:t>
      </w:r>
      <w:r w:rsidR="00CC3EF3" w:rsidRPr="00CC3EF3">
        <w:rPr>
          <w:rFonts w:ascii="Courier New" w:hAnsi="Courier New" w:cs="Courier New"/>
        </w:rPr>
        <w:t xml:space="preserve">The assessors </w:t>
      </w:r>
      <w:r w:rsidR="00EB0475">
        <w:rPr>
          <w:rFonts w:ascii="Courier New" w:hAnsi="Courier New" w:cs="Courier New"/>
        </w:rPr>
        <w:t xml:space="preserve">also </w:t>
      </w:r>
      <w:r w:rsidR="00CC3EF3" w:rsidRPr="00CC3EF3">
        <w:rPr>
          <w:rFonts w:ascii="Courier New" w:hAnsi="Courier New" w:cs="Courier New"/>
        </w:rPr>
        <w:t>changed the number of rooms</w:t>
      </w:r>
      <w:r w:rsidR="00EB0475">
        <w:rPr>
          <w:rFonts w:ascii="Courier New" w:hAnsi="Courier New" w:cs="Courier New"/>
        </w:rPr>
        <w:t xml:space="preserve"> of the subject house from</w:t>
      </w:r>
      <w:r w:rsidR="00CC3EF3" w:rsidRPr="00CC3EF3">
        <w:rPr>
          <w:rFonts w:ascii="Courier New" w:hAnsi="Courier New" w:cs="Courier New"/>
        </w:rPr>
        <w:t xml:space="preserve"> 10 to 14</w:t>
      </w:r>
      <w:r w:rsidR="00767DC0">
        <w:rPr>
          <w:rFonts w:ascii="Courier New" w:hAnsi="Courier New" w:cs="Courier New"/>
        </w:rPr>
        <w:t xml:space="preserve">, as well as the number of bedrooms and bathrooms, </w:t>
      </w:r>
      <w:r w:rsidR="005834B3">
        <w:rPr>
          <w:rFonts w:ascii="Courier New" w:hAnsi="Courier New" w:cs="Courier New"/>
        </w:rPr>
        <w:t>during this same time</w:t>
      </w:r>
      <w:r w:rsidR="002436E3">
        <w:rPr>
          <w:rFonts w:ascii="Courier New" w:hAnsi="Courier New" w:cs="Courier New"/>
        </w:rPr>
        <w:t>.  There was no evidence of any</w:t>
      </w:r>
      <w:r w:rsidR="002D227D">
        <w:rPr>
          <w:rFonts w:ascii="Courier New" w:hAnsi="Courier New" w:cs="Courier New"/>
        </w:rPr>
        <w:t xml:space="preserve"> building </w:t>
      </w:r>
      <w:r w:rsidR="00C30403">
        <w:rPr>
          <w:rFonts w:ascii="Courier New" w:hAnsi="Courier New" w:cs="Courier New"/>
        </w:rPr>
        <w:t>permits or other evidence of</w:t>
      </w:r>
      <w:r w:rsidR="002D227D">
        <w:rPr>
          <w:rFonts w:ascii="Courier New" w:hAnsi="Courier New" w:cs="Courier New"/>
        </w:rPr>
        <w:t xml:space="preserve"> constru</w:t>
      </w:r>
      <w:r w:rsidR="00C30403">
        <w:rPr>
          <w:rFonts w:ascii="Courier New" w:hAnsi="Courier New" w:cs="Courier New"/>
        </w:rPr>
        <w:t xml:space="preserve">ction </w:t>
      </w:r>
      <w:r w:rsidR="00AD0205">
        <w:rPr>
          <w:rFonts w:ascii="Courier New" w:hAnsi="Courier New" w:cs="Courier New"/>
        </w:rPr>
        <w:t>put forth documenting these increases</w:t>
      </w:r>
      <w:r w:rsidR="00CC3EF3" w:rsidRPr="00CC3EF3">
        <w:rPr>
          <w:rFonts w:ascii="Courier New" w:hAnsi="Courier New" w:cs="Courier New"/>
        </w:rPr>
        <w:t>.</w:t>
      </w:r>
      <w:r w:rsidR="00AF1DC8">
        <w:rPr>
          <w:rFonts w:ascii="Courier New" w:hAnsi="Courier New" w:cs="Courier New"/>
        </w:rPr>
        <w:t xml:space="preserve">  </w:t>
      </w:r>
    </w:p>
    <w:p w14:paraId="00A23F5E" w14:textId="4691BC65" w:rsidR="00767DC0" w:rsidRDefault="00196173" w:rsidP="00196173">
      <w:pPr>
        <w:spacing w:line="480" w:lineRule="auto"/>
        <w:ind w:firstLine="720"/>
        <w:jc w:val="both"/>
        <w:rPr>
          <w:rFonts w:ascii="Courier New" w:hAnsi="Courier New" w:cs="Courier New"/>
        </w:rPr>
      </w:pPr>
      <w:r>
        <w:rPr>
          <w:rFonts w:ascii="Courier New" w:hAnsi="Courier New" w:cs="Courier New"/>
        </w:rPr>
        <w:t>On the basis of the evidence, the Board found that Mr.</w:t>
      </w:r>
      <w:r w:rsidR="009D2EF6">
        <w:rPr>
          <w:rFonts w:ascii="Courier New" w:hAnsi="Courier New" w:cs="Courier New"/>
        </w:rPr>
        <w:t> </w:t>
      </w:r>
      <w:r>
        <w:rPr>
          <w:rFonts w:ascii="Courier New" w:hAnsi="Courier New" w:cs="Courier New"/>
        </w:rPr>
        <w:t xml:space="preserve">Lent’s testimony that the Town had undergone a revaluation of all of its property during the fiscal year prior to the fiscal year at issue was not sufficient to justify the increase in the subject property’s fair market value </w:t>
      </w:r>
      <w:r w:rsidR="001A0242">
        <w:rPr>
          <w:rFonts w:ascii="Courier New" w:hAnsi="Courier New" w:cs="Courier New"/>
        </w:rPr>
        <w:t>over</w:t>
      </w:r>
      <w:r>
        <w:rPr>
          <w:rFonts w:ascii="Courier New" w:hAnsi="Courier New" w:cs="Courier New"/>
        </w:rPr>
        <w:t xml:space="preserve"> the Board’s determination </w:t>
      </w:r>
      <w:r w:rsidR="001A0242">
        <w:rPr>
          <w:rFonts w:ascii="Courier New" w:hAnsi="Courier New" w:cs="Courier New"/>
        </w:rPr>
        <w:t>for</w:t>
      </w:r>
      <w:r>
        <w:rPr>
          <w:rFonts w:ascii="Courier New" w:hAnsi="Courier New" w:cs="Courier New"/>
        </w:rPr>
        <w:t xml:space="preserve"> fiscal year 2014.  Mr. Lent did not point out any changes to the subject property to justify the increased assessment, nor did he present a</w:t>
      </w:r>
      <w:r w:rsidR="006539A2">
        <w:rPr>
          <w:rFonts w:ascii="Courier New" w:hAnsi="Courier New" w:cs="Courier New"/>
        </w:rPr>
        <w:t>n actual</w:t>
      </w:r>
      <w:r>
        <w:rPr>
          <w:rFonts w:ascii="Courier New" w:hAnsi="Courier New" w:cs="Courier New"/>
        </w:rPr>
        <w:t xml:space="preserve"> comparable-sales analysis to justify this increase</w:t>
      </w:r>
      <w:r w:rsidR="006539A2">
        <w:rPr>
          <w:rFonts w:ascii="Courier New" w:hAnsi="Courier New" w:cs="Courier New"/>
        </w:rPr>
        <w:t xml:space="preserve">, </w:t>
      </w:r>
      <w:r w:rsidR="00DD4480">
        <w:rPr>
          <w:rFonts w:ascii="Courier New" w:hAnsi="Courier New" w:cs="Courier New"/>
        </w:rPr>
        <w:t xml:space="preserve">instead speaking generally of </w:t>
      </w:r>
      <w:r w:rsidR="00DD4480">
        <w:rPr>
          <w:rFonts w:ascii="Courier New" w:hAnsi="Courier New" w:cs="Courier New"/>
        </w:rPr>
        <w:lastRenderedPageBreak/>
        <w:t>a 15%</w:t>
      </w:r>
      <w:r w:rsidR="006539A2">
        <w:rPr>
          <w:rFonts w:ascii="Courier New" w:hAnsi="Courier New" w:cs="Courier New"/>
        </w:rPr>
        <w:t xml:space="preserve"> increase in property values, testimony which he himself later contradicted</w:t>
      </w:r>
      <w:r w:rsidR="00DD4480">
        <w:rPr>
          <w:rFonts w:ascii="Courier New" w:hAnsi="Courier New" w:cs="Courier New"/>
        </w:rPr>
        <w:t xml:space="preserve"> to justify the subject property’s 16.3% increase in assessed value</w:t>
      </w:r>
      <w:r>
        <w:rPr>
          <w:rFonts w:ascii="Courier New" w:hAnsi="Courier New" w:cs="Courier New"/>
        </w:rPr>
        <w:t>.  Moreover, in weighing</w:t>
      </w:r>
      <w:r w:rsidR="00B16265">
        <w:rPr>
          <w:rFonts w:ascii="Courier New" w:hAnsi="Courier New" w:cs="Courier New"/>
        </w:rPr>
        <w:t xml:space="preserve"> the evidence</w:t>
      </w:r>
      <w:r>
        <w:rPr>
          <w:rFonts w:ascii="Courier New" w:hAnsi="Courier New" w:cs="Courier New"/>
        </w:rPr>
        <w:t xml:space="preserve">, the Board </w:t>
      </w:r>
      <w:r w:rsidR="00AD0205">
        <w:rPr>
          <w:rFonts w:ascii="Courier New" w:hAnsi="Courier New" w:cs="Courier New"/>
        </w:rPr>
        <w:t>noted several inconsistencies in the various property record cards for the subject property</w:t>
      </w:r>
      <w:r w:rsidR="00B16265">
        <w:rPr>
          <w:rFonts w:ascii="Courier New" w:hAnsi="Courier New" w:cs="Courier New"/>
        </w:rPr>
        <w:t>. These</w:t>
      </w:r>
      <w:r w:rsidR="009D2EF6">
        <w:rPr>
          <w:rFonts w:ascii="Courier New" w:hAnsi="Courier New" w:cs="Courier New"/>
        </w:rPr>
        <w:t> </w:t>
      </w:r>
      <w:r w:rsidR="00B16265">
        <w:rPr>
          <w:rFonts w:ascii="Courier New" w:hAnsi="Courier New" w:cs="Courier New"/>
        </w:rPr>
        <w:t>included</w:t>
      </w:r>
      <w:r w:rsidR="00AD0205">
        <w:rPr>
          <w:rFonts w:ascii="Courier New" w:hAnsi="Courier New" w:cs="Courier New"/>
        </w:rPr>
        <w:t xml:space="preserve"> inconsistencies in room counts, living area measurements, and construction grade, with no building permits or other evidence to substantiate these myriad changes.  </w:t>
      </w:r>
      <w:r w:rsidR="00B16265">
        <w:rPr>
          <w:rFonts w:ascii="Courier New" w:hAnsi="Courier New" w:cs="Courier New"/>
        </w:rPr>
        <w:t xml:space="preserve">The Board further found discrepancies between the subject property and nearby properties for </w:t>
      </w:r>
      <w:r w:rsidR="00092C7F">
        <w:rPr>
          <w:rFonts w:ascii="Courier New" w:hAnsi="Courier New" w:cs="Courier New"/>
        </w:rPr>
        <w:t xml:space="preserve">the appellee’s </w:t>
      </w:r>
      <w:r w:rsidR="00B16265">
        <w:rPr>
          <w:rFonts w:ascii="Courier New" w:hAnsi="Courier New" w:cs="Courier New"/>
        </w:rPr>
        <w:t>adjustments based on the impact of air traffic and highway noise</w:t>
      </w:r>
      <w:r w:rsidR="000D7EAE">
        <w:rPr>
          <w:rFonts w:ascii="Courier New" w:hAnsi="Courier New" w:cs="Courier New"/>
        </w:rPr>
        <w:t xml:space="preserve"> and that the assessors failed to properly consider the impact of highway and air traffic on the value of the subject property</w:t>
      </w:r>
      <w:r w:rsidR="00B16265">
        <w:rPr>
          <w:rFonts w:ascii="Courier New" w:hAnsi="Courier New" w:cs="Courier New"/>
        </w:rPr>
        <w:t xml:space="preserve">.  </w:t>
      </w:r>
      <w:r w:rsidR="00092C7F">
        <w:rPr>
          <w:rFonts w:ascii="Courier New" w:hAnsi="Courier New" w:cs="Courier New"/>
        </w:rPr>
        <w:t xml:space="preserve">The Board ultimately </w:t>
      </w:r>
      <w:r w:rsidR="00B16265">
        <w:rPr>
          <w:rFonts w:ascii="Courier New" w:hAnsi="Courier New" w:cs="Courier New"/>
        </w:rPr>
        <w:t xml:space="preserve">found that the appellee failed to produce evidence sufficient to justify the increase in the subject property’s fair market value </w:t>
      </w:r>
      <w:r w:rsidR="00092C7F">
        <w:rPr>
          <w:rFonts w:ascii="Courier New" w:hAnsi="Courier New" w:cs="Courier New"/>
        </w:rPr>
        <w:t xml:space="preserve">from fiscal year 2014 to the fiscal year at issue.  </w:t>
      </w:r>
      <w:r w:rsidR="00361407">
        <w:rPr>
          <w:rFonts w:ascii="Courier New" w:hAnsi="Courier New" w:cs="Courier New"/>
        </w:rPr>
        <w:t>The Board found and ruled that the subject property’s fair market value for the fiscal year at issue was $900,000.</w:t>
      </w:r>
    </w:p>
    <w:p w14:paraId="715D043A" w14:textId="4BCB4439" w:rsidR="009877CC" w:rsidRDefault="00361407" w:rsidP="005C34E9">
      <w:pPr>
        <w:spacing w:line="480" w:lineRule="auto"/>
        <w:ind w:firstLine="720"/>
        <w:jc w:val="both"/>
        <w:rPr>
          <w:rFonts w:ascii="Courier New" w:hAnsi="Courier New" w:cs="Courier New"/>
        </w:rPr>
      </w:pPr>
      <w:r>
        <w:rPr>
          <w:rFonts w:ascii="Courier New" w:hAnsi="Courier New" w:cs="Courier New"/>
        </w:rPr>
        <w:t xml:space="preserve">Accordingly, the Board issued a decision for the appellants and ordered an abatement of </w:t>
      </w:r>
      <w:r w:rsidR="005C34E9">
        <w:rPr>
          <w:rFonts w:ascii="Courier New" w:hAnsi="Courier New" w:cs="Courier New"/>
        </w:rPr>
        <w:t>$2,210.59, inclu</w:t>
      </w:r>
      <w:r w:rsidR="000D7EAE">
        <w:rPr>
          <w:rFonts w:ascii="Courier New" w:hAnsi="Courier New" w:cs="Courier New"/>
        </w:rPr>
        <w:t>ding the CPA</w:t>
      </w:r>
      <w:r w:rsidR="002951FA">
        <w:rPr>
          <w:rFonts w:ascii="Courier New" w:hAnsi="Courier New" w:cs="Courier New"/>
        </w:rPr>
        <w:t xml:space="preserve"> </w:t>
      </w:r>
      <w:r w:rsidR="005C34E9">
        <w:rPr>
          <w:rFonts w:ascii="Courier New" w:hAnsi="Courier New" w:cs="Courier New"/>
        </w:rPr>
        <w:t xml:space="preserve">surcharge. </w:t>
      </w:r>
    </w:p>
    <w:p w14:paraId="59B74385" w14:textId="77777777" w:rsidR="00E614AE" w:rsidRDefault="00E614AE" w:rsidP="00180A47">
      <w:pPr>
        <w:spacing w:line="480" w:lineRule="auto"/>
        <w:ind w:firstLine="720"/>
        <w:jc w:val="both"/>
        <w:rPr>
          <w:rFonts w:ascii="Courier New" w:hAnsi="Courier New" w:cs="Courier New"/>
        </w:rPr>
      </w:pPr>
    </w:p>
    <w:p w14:paraId="14FFBFF1" w14:textId="77777777" w:rsidR="0052486E" w:rsidRDefault="0052486E" w:rsidP="00180A47">
      <w:pPr>
        <w:spacing w:line="480" w:lineRule="auto"/>
        <w:ind w:firstLine="720"/>
        <w:jc w:val="both"/>
        <w:rPr>
          <w:rFonts w:ascii="Courier New" w:hAnsi="Courier New" w:cs="Courier New"/>
        </w:rPr>
      </w:pPr>
    </w:p>
    <w:p w14:paraId="32734A48" w14:textId="77777777" w:rsidR="0052486E" w:rsidRDefault="0052486E" w:rsidP="00180A47">
      <w:pPr>
        <w:spacing w:line="480" w:lineRule="auto"/>
        <w:ind w:firstLine="720"/>
        <w:jc w:val="both"/>
        <w:rPr>
          <w:rFonts w:ascii="Courier New" w:hAnsi="Courier New" w:cs="Courier New"/>
        </w:rPr>
      </w:pPr>
    </w:p>
    <w:p w14:paraId="48A4809A" w14:textId="47F4AADB" w:rsidR="00193055" w:rsidRPr="00193055" w:rsidRDefault="00193055" w:rsidP="00193055">
      <w:pPr>
        <w:spacing w:line="480" w:lineRule="auto"/>
        <w:jc w:val="center"/>
        <w:rPr>
          <w:rFonts w:ascii="Courier New" w:hAnsi="Courier New" w:cs="Courier New"/>
          <w:b/>
        </w:rPr>
      </w:pPr>
      <w:r>
        <w:rPr>
          <w:rFonts w:ascii="Courier New" w:hAnsi="Courier New" w:cs="Courier New"/>
          <w:b/>
        </w:rPr>
        <w:lastRenderedPageBreak/>
        <w:t>OPINION</w:t>
      </w:r>
    </w:p>
    <w:p w14:paraId="0F14A7CF" w14:textId="1E3617F9" w:rsidR="00BC5BF2" w:rsidRPr="00543EBB" w:rsidRDefault="00BC5BF2" w:rsidP="00BC5BF2">
      <w:pPr>
        <w:spacing w:line="480" w:lineRule="auto"/>
        <w:ind w:firstLine="720"/>
        <w:jc w:val="both"/>
        <w:rPr>
          <w:rFonts w:ascii="Courier New" w:hAnsi="Courier New" w:cs="Courier New"/>
        </w:rPr>
      </w:pPr>
      <w:r w:rsidRPr="00543EBB">
        <w:rPr>
          <w:rFonts w:ascii="Courier New" w:hAnsi="Courier New" w:cs="Courier New"/>
        </w:rPr>
        <w:t>Assessors are require</w:t>
      </w:r>
      <w:r w:rsidR="00282812">
        <w:rPr>
          <w:rFonts w:ascii="Courier New" w:hAnsi="Courier New" w:cs="Courier New"/>
        </w:rPr>
        <w:t>d to assess real estate at its “fair cash value.”</w:t>
      </w:r>
      <w:r w:rsidRPr="00543EBB">
        <w:rPr>
          <w:rFonts w:ascii="Courier New" w:hAnsi="Courier New" w:cs="Courier New"/>
        </w:rPr>
        <w:t xml:space="preserve"> </w:t>
      </w:r>
      <w:r w:rsidR="00282812">
        <w:rPr>
          <w:rFonts w:ascii="Courier New" w:hAnsi="Courier New" w:cs="Courier New"/>
        </w:rPr>
        <w:t xml:space="preserve"> </w:t>
      </w:r>
      <w:r w:rsidRPr="00543EBB">
        <w:rPr>
          <w:rFonts w:ascii="Courier New" w:hAnsi="Courier New" w:cs="Courier New"/>
        </w:rPr>
        <w:t>G.L. c. 59, § 38.  Fair cash value is defined as the price on which a willing seller and a willing buyer will agree if both of them are fully informed and under no compulsion.</w:t>
      </w:r>
      <w:r w:rsidR="00282812">
        <w:rPr>
          <w:rFonts w:ascii="Courier New" w:hAnsi="Courier New" w:cs="Courier New"/>
        </w:rPr>
        <w:t xml:space="preserve"> </w:t>
      </w:r>
      <w:r w:rsidRPr="00543EBB">
        <w:rPr>
          <w:rFonts w:ascii="Courier New" w:hAnsi="Courier New" w:cs="Courier New"/>
        </w:rPr>
        <w:t xml:space="preserve"> </w:t>
      </w:r>
      <w:r w:rsidRPr="00543EBB">
        <w:rPr>
          <w:rFonts w:ascii="Courier New" w:hAnsi="Courier New" w:cs="Courier New"/>
          <w:b/>
          <w:bCs/>
          <w:i/>
          <w:iCs/>
        </w:rPr>
        <w:t xml:space="preserve">Boston Gas Co. v. Assessors of Boston, </w:t>
      </w:r>
      <w:r w:rsidRPr="00543EBB">
        <w:rPr>
          <w:rFonts w:ascii="Courier New" w:hAnsi="Courier New" w:cs="Courier New"/>
        </w:rPr>
        <w:t xml:space="preserve">334 Mass. 549, 566 (1956).  </w:t>
      </w:r>
    </w:p>
    <w:p w14:paraId="26767822" w14:textId="234C833B" w:rsidR="00BC5BF2" w:rsidRPr="00543EBB" w:rsidRDefault="00BC5BF2" w:rsidP="00BC5BF2">
      <w:pPr>
        <w:spacing w:line="480" w:lineRule="auto"/>
        <w:ind w:firstLine="720"/>
        <w:jc w:val="both"/>
        <w:rPr>
          <w:rFonts w:ascii="Courier New" w:hAnsi="Courier New" w:cs="Courier New"/>
        </w:rPr>
      </w:pPr>
      <w:r w:rsidRPr="00543EBB">
        <w:rPr>
          <w:rFonts w:ascii="Courier New" w:hAnsi="Courier New" w:cs="Courier New"/>
        </w:rPr>
        <w:t xml:space="preserve">Generally, the burden of proof is upon the taxpayer to prove that the subject property has a lower value than that assessed.  </w:t>
      </w:r>
      <w:r w:rsidRPr="00543EBB">
        <w:rPr>
          <w:rFonts w:ascii="Courier New" w:hAnsi="Courier New" w:cs="Courier New"/>
          <w:b/>
          <w:i/>
        </w:rPr>
        <w:t>Schlaiker v. Assessors of Great Barrington,</w:t>
      </w:r>
      <w:r w:rsidRPr="00543EBB">
        <w:rPr>
          <w:rFonts w:ascii="Courier New" w:hAnsi="Courier New" w:cs="Courier New"/>
          <w:b/>
        </w:rPr>
        <w:t xml:space="preserve"> </w:t>
      </w:r>
      <w:r w:rsidRPr="00543EBB">
        <w:rPr>
          <w:rFonts w:ascii="Courier New" w:hAnsi="Courier New" w:cs="Courier New"/>
        </w:rPr>
        <w:t xml:space="preserve">365 Mass. 243, 245 (1974)(citing </w:t>
      </w:r>
      <w:r w:rsidRPr="00543EBB">
        <w:rPr>
          <w:rFonts w:ascii="Courier New" w:hAnsi="Courier New" w:cs="Courier New"/>
          <w:b/>
          <w:i/>
        </w:rPr>
        <w:t>Judson Freight Forwarding Co. v. Commonwealth</w:t>
      </w:r>
      <w:r w:rsidRPr="00543EBB">
        <w:rPr>
          <w:rFonts w:ascii="Courier New" w:hAnsi="Courier New" w:cs="Courier New"/>
        </w:rPr>
        <w:t xml:space="preserve">, 242 Mass. 47, 55 (1922)).  The assessment is presumed valid until the taxpayer sustains his burden of proving otherwise.  </w:t>
      </w:r>
      <w:r w:rsidRPr="00543EBB">
        <w:rPr>
          <w:rFonts w:ascii="Courier New" w:hAnsi="Courier New" w:cs="Courier New"/>
          <w:b/>
          <w:i/>
        </w:rPr>
        <w:t>General Electric Co. v. Assessors of Lynn</w:t>
      </w:r>
      <w:r w:rsidRPr="00543EBB">
        <w:rPr>
          <w:rFonts w:ascii="Courier New" w:hAnsi="Courier New" w:cs="Courier New"/>
        </w:rPr>
        <w:t>, 393 Mass. 591, 598 (1984) (</w:t>
      </w:r>
      <w:r w:rsidRPr="00282812">
        <w:rPr>
          <w:rFonts w:ascii="Courier New" w:hAnsi="Courier New" w:cs="Courier New"/>
        </w:rPr>
        <w:t>quoting</w:t>
      </w:r>
      <w:r w:rsidRPr="00543EBB">
        <w:rPr>
          <w:rFonts w:ascii="Courier New" w:hAnsi="Courier New" w:cs="Courier New"/>
          <w:i/>
        </w:rPr>
        <w:t xml:space="preserve"> </w:t>
      </w:r>
      <w:r w:rsidRPr="00543EBB">
        <w:rPr>
          <w:rFonts w:ascii="Courier New" w:hAnsi="Courier New" w:cs="Courier New"/>
          <w:b/>
          <w:i/>
        </w:rPr>
        <w:t>Schlaiker</w:t>
      </w:r>
      <w:r w:rsidR="00977125">
        <w:rPr>
          <w:rFonts w:ascii="Courier New" w:hAnsi="Courier New" w:cs="Courier New"/>
        </w:rPr>
        <w:t>, 365</w:t>
      </w:r>
      <w:r w:rsidRPr="00543EBB">
        <w:rPr>
          <w:rFonts w:ascii="Courier New" w:hAnsi="Courier New" w:cs="Courier New"/>
        </w:rPr>
        <w:t xml:space="preserve"> Mass. at 245).  </w:t>
      </w:r>
    </w:p>
    <w:p w14:paraId="29EB7237" w14:textId="37E03452" w:rsidR="00BC5BF2" w:rsidRPr="00A37681" w:rsidRDefault="00BC5BF2" w:rsidP="00A37681">
      <w:pPr>
        <w:spacing w:line="480" w:lineRule="auto"/>
        <w:ind w:firstLine="720"/>
        <w:jc w:val="both"/>
        <w:rPr>
          <w:rFonts w:ascii="Courier New" w:hAnsi="Courier New" w:cs="Courier New"/>
          <w:color w:val="333333"/>
        </w:rPr>
      </w:pPr>
      <w:r w:rsidRPr="00543EBB">
        <w:rPr>
          <w:rFonts w:ascii="Courier New" w:hAnsi="Courier New" w:cs="Courier New"/>
          <w:color w:val="333333"/>
        </w:rPr>
        <w:t xml:space="preserve">If, however, the assessment at issue exceeds the Board's prior determination of the subject property’s fair </w:t>
      </w:r>
      <w:r w:rsidR="00A91EDC">
        <w:rPr>
          <w:rFonts w:ascii="Courier New" w:hAnsi="Courier New" w:cs="Courier New"/>
          <w:color w:val="333333"/>
        </w:rPr>
        <w:t>cash value for either of the 2</w:t>
      </w:r>
      <w:r w:rsidRPr="00543EBB">
        <w:rPr>
          <w:rFonts w:ascii="Courier New" w:hAnsi="Courier New" w:cs="Courier New"/>
          <w:color w:val="333333"/>
        </w:rPr>
        <w:t xml:space="preserve"> immediately preceding fiscal years, then, pursuant to G.L. c. 58A, § </w:t>
      </w:r>
      <w:r w:rsidRPr="00543EBB">
        <w:rPr>
          <w:rFonts w:ascii="Courier New" w:hAnsi="Courier New" w:cs="Courier New"/>
          <w:bCs/>
          <w:color w:val="333333"/>
        </w:rPr>
        <w:t>12A</w:t>
      </w:r>
      <w:r w:rsidRPr="00543EBB">
        <w:rPr>
          <w:rFonts w:ascii="Courier New" w:hAnsi="Courier New" w:cs="Courier New"/>
          <w:b/>
          <w:bCs/>
          <w:color w:val="333333"/>
        </w:rPr>
        <w:t>,</w:t>
      </w:r>
      <w:r w:rsidR="00282812">
        <w:rPr>
          <w:rFonts w:ascii="Courier New" w:hAnsi="Courier New" w:cs="Courier New"/>
          <w:color w:val="333333"/>
        </w:rPr>
        <w:t xml:space="preserve"> “</w:t>
      </w:r>
      <w:r w:rsidRPr="00543EBB">
        <w:rPr>
          <w:rFonts w:ascii="Courier New" w:hAnsi="Courier New" w:cs="Courier New"/>
          <w:color w:val="333333"/>
        </w:rPr>
        <w:t>the burden shall be upon the [assessors] to prove that th</w:t>
      </w:r>
      <w:r w:rsidR="00282812">
        <w:rPr>
          <w:rFonts w:ascii="Courier New" w:hAnsi="Courier New" w:cs="Courier New"/>
          <w:color w:val="333333"/>
        </w:rPr>
        <w:t>e assessed value was warranted.”</w:t>
      </w:r>
      <w:r w:rsidRPr="00543EBB">
        <w:rPr>
          <w:rFonts w:ascii="Courier New" w:hAnsi="Courier New" w:cs="Courier New"/>
          <w:color w:val="333333"/>
        </w:rPr>
        <w:t xml:space="preserve">  </w:t>
      </w:r>
      <w:r w:rsidRPr="00543EBB">
        <w:rPr>
          <w:rFonts w:ascii="Courier New" w:hAnsi="Courier New" w:cs="Courier New"/>
          <w:b/>
          <w:i/>
          <w:color w:val="333333"/>
        </w:rPr>
        <w:t xml:space="preserve">Finlayson v. Assessors of Billerica, </w:t>
      </w:r>
      <w:r w:rsidRPr="00543EBB">
        <w:rPr>
          <w:rFonts w:ascii="Courier New" w:hAnsi="Courier New" w:cs="Courier New"/>
          <w:color w:val="333333"/>
        </w:rPr>
        <w:t xml:space="preserve">Mass. ATB Findings of Fact and Reports 2007-531, 538.  </w:t>
      </w:r>
      <w:r w:rsidR="008F5020">
        <w:rPr>
          <w:rFonts w:ascii="Courier New" w:hAnsi="Courier New" w:cs="Courier New"/>
          <w:color w:val="333333"/>
        </w:rPr>
        <w:t xml:space="preserve">Accordingly, because </w:t>
      </w:r>
      <w:r w:rsidR="00282812">
        <w:rPr>
          <w:rFonts w:ascii="Courier New" w:hAnsi="Courier New" w:cs="Courier New"/>
          <w:color w:val="333333"/>
        </w:rPr>
        <w:t>the Board’s fiscal year 2014</w:t>
      </w:r>
      <w:r w:rsidRPr="00543EBB">
        <w:rPr>
          <w:rFonts w:ascii="Courier New" w:hAnsi="Courier New" w:cs="Courier New"/>
          <w:color w:val="333333"/>
        </w:rPr>
        <w:t xml:space="preserve"> </w:t>
      </w:r>
      <w:r w:rsidR="008F5020">
        <w:rPr>
          <w:rFonts w:ascii="Courier New" w:hAnsi="Courier New" w:cs="Courier New"/>
          <w:color w:val="333333"/>
        </w:rPr>
        <w:t xml:space="preserve">determination of value was less than the fiscal year 2016 assessed value, as abated, for the subject property, </w:t>
      </w:r>
      <w:r w:rsidR="008F5020">
        <w:rPr>
          <w:rFonts w:ascii="Courier New" w:hAnsi="Courier New" w:cs="Courier New"/>
          <w:color w:val="333333"/>
        </w:rPr>
        <w:lastRenderedPageBreak/>
        <w:t>the Board ruled</w:t>
      </w:r>
      <w:r w:rsidRPr="00543EBB">
        <w:rPr>
          <w:rFonts w:ascii="Courier New" w:hAnsi="Courier New" w:cs="Courier New"/>
          <w:color w:val="333333"/>
        </w:rPr>
        <w:t xml:space="preserve"> in this appeal that the burden of going forward to justify the incr</w:t>
      </w:r>
      <w:r w:rsidR="008F5020">
        <w:rPr>
          <w:rFonts w:ascii="Courier New" w:hAnsi="Courier New" w:cs="Courier New"/>
          <w:color w:val="333333"/>
        </w:rPr>
        <w:t>ease in the assessment</w:t>
      </w:r>
      <w:r w:rsidRPr="00543EBB">
        <w:rPr>
          <w:rFonts w:ascii="Courier New" w:hAnsi="Courier New" w:cs="Courier New"/>
          <w:color w:val="333333"/>
        </w:rPr>
        <w:t xml:space="preserve"> was on the assessors. </w:t>
      </w:r>
      <w:r w:rsidR="00977125">
        <w:rPr>
          <w:rFonts w:ascii="Courier New" w:hAnsi="Courier New" w:cs="Courier New"/>
          <w:i/>
          <w:color w:val="333333"/>
        </w:rPr>
        <w:t>See generally</w:t>
      </w:r>
      <w:r w:rsidRPr="00543EBB">
        <w:rPr>
          <w:rFonts w:ascii="Courier New" w:hAnsi="Courier New" w:cs="Courier New"/>
          <w:i/>
          <w:color w:val="333333"/>
        </w:rPr>
        <w:t xml:space="preserve"> </w:t>
      </w:r>
      <w:r w:rsidRPr="00543EBB">
        <w:rPr>
          <w:rFonts w:ascii="Courier New" w:hAnsi="Courier New" w:cs="Courier New"/>
          <w:b/>
          <w:i/>
          <w:color w:val="333333"/>
        </w:rPr>
        <w:t xml:space="preserve">Beal v. Assessors of Boston, </w:t>
      </w:r>
      <w:r w:rsidRPr="00543EBB">
        <w:rPr>
          <w:rFonts w:ascii="Courier New" w:hAnsi="Courier New" w:cs="Courier New"/>
          <w:color w:val="333333"/>
        </w:rPr>
        <w:t xml:space="preserve">389 Mass. 648 (1983); </w:t>
      </w:r>
      <w:r w:rsidRPr="00543EBB">
        <w:rPr>
          <w:rFonts w:ascii="Courier New" w:hAnsi="Courier New" w:cs="Courier New"/>
          <w:i/>
          <w:color w:val="333333"/>
        </w:rPr>
        <w:t xml:space="preserve">see also </w:t>
      </w:r>
      <w:r w:rsidRPr="00543EBB">
        <w:rPr>
          <w:rFonts w:ascii="Courier New" w:hAnsi="Courier New" w:cs="Courier New"/>
          <w:b/>
          <w:bCs/>
          <w:i/>
          <w:iCs/>
          <w:color w:val="333333"/>
        </w:rPr>
        <w:t>Cressey Dockham &amp; Co., Inc. v. Assessors of</w:t>
      </w:r>
      <w:r w:rsidRPr="00543EBB">
        <w:rPr>
          <w:rFonts w:ascii="Courier New" w:hAnsi="Courier New" w:cs="Courier New"/>
          <w:b/>
          <w:bCs/>
          <w:color w:val="333333"/>
        </w:rPr>
        <w:t xml:space="preserve"> </w:t>
      </w:r>
      <w:r w:rsidRPr="00543EBB">
        <w:rPr>
          <w:rFonts w:ascii="Courier New" w:hAnsi="Courier New" w:cs="Courier New"/>
          <w:b/>
          <w:bCs/>
          <w:i/>
          <w:iCs/>
          <w:color w:val="333333"/>
        </w:rPr>
        <w:t>Andover,</w:t>
      </w:r>
      <w:r w:rsidRPr="00543EBB">
        <w:rPr>
          <w:rFonts w:ascii="Courier New" w:hAnsi="Courier New" w:cs="Courier New"/>
          <w:color w:val="333333"/>
        </w:rPr>
        <w:t xml:space="preserve"> Mass. ATB Findings of Fa</w:t>
      </w:r>
      <w:r w:rsidR="00282812">
        <w:rPr>
          <w:rFonts w:ascii="Courier New" w:hAnsi="Courier New" w:cs="Courier New"/>
          <w:color w:val="333333"/>
        </w:rPr>
        <w:t>ct and Reports 1989-72, 86-87 (“</w:t>
      </w:r>
      <w:r w:rsidRPr="00543EBB">
        <w:rPr>
          <w:rFonts w:ascii="Courier New" w:hAnsi="Courier New" w:cs="Courier New"/>
          <w:color w:val="333333"/>
        </w:rPr>
        <w:t>Once a prior determination of the Board of the fair cash val</w:t>
      </w:r>
      <w:r w:rsidR="00A91EDC">
        <w:rPr>
          <w:rFonts w:ascii="Courier New" w:hAnsi="Courier New" w:cs="Courier New"/>
          <w:color w:val="333333"/>
        </w:rPr>
        <w:t>ue of the same property [for 1 of the prior 2</w:t>
      </w:r>
      <w:r w:rsidRPr="00543EBB">
        <w:rPr>
          <w:rFonts w:ascii="Courier New" w:hAnsi="Courier New" w:cs="Courier New"/>
          <w:color w:val="333333"/>
        </w:rPr>
        <w:t xml:space="preserve"> fiscal years] has been placed in evidence, [] the statute requires the [ass</w:t>
      </w:r>
      <w:r w:rsidR="00282812">
        <w:rPr>
          <w:rFonts w:ascii="Courier New" w:hAnsi="Courier New" w:cs="Courier New"/>
          <w:color w:val="333333"/>
        </w:rPr>
        <w:t>essors] to produce evidence to ‘</w:t>
      </w:r>
      <w:r w:rsidRPr="00543EBB">
        <w:rPr>
          <w:rFonts w:ascii="Courier New" w:hAnsi="Courier New" w:cs="Courier New"/>
          <w:color w:val="333333"/>
        </w:rPr>
        <w:t>satisfy the Board that the incr</w:t>
      </w:r>
      <w:r w:rsidR="00282812">
        <w:rPr>
          <w:rFonts w:ascii="Courier New" w:hAnsi="Courier New" w:cs="Courier New"/>
          <w:color w:val="333333"/>
        </w:rPr>
        <w:t>eased valuation was warranted.’”</w:t>
      </w:r>
      <w:r w:rsidRPr="00543EBB">
        <w:rPr>
          <w:rFonts w:ascii="Courier New" w:hAnsi="Courier New" w:cs="Courier New"/>
          <w:color w:val="333333"/>
        </w:rPr>
        <w:t xml:space="preserve">).  </w:t>
      </w:r>
    </w:p>
    <w:p w14:paraId="104B6BAD" w14:textId="58B080E3" w:rsidR="00193055" w:rsidRDefault="00BC5BF2" w:rsidP="00A37681">
      <w:pPr>
        <w:spacing w:line="480" w:lineRule="auto"/>
        <w:ind w:firstLine="720"/>
        <w:jc w:val="both"/>
        <w:rPr>
          <w:rFonts w:ascii="Courier New" w:hAnsi="Courier New" w:cs="Courier New"/>
          <w:color w:val="333333"/>
        </w:rPr>
      </w:pPr>
      <w:r w:rsidRPr="00A37681">
        <w:rPr>
          <w:rFonts w:ascii="Courier New" w:hAnsi="Courier New" w:cs="Courier New"/>
          <w:color w:val="333333"/>
        </w:rPr>
        <w:t>In the present appeal, the assessors</w:t>
      </w:r>
      <w:r w:rsidR="00800D75">
        <w:rPr>
          <w:rFonts w:ascii="Courier New" w:hAnsi="Courier New" w:cs="Courier New"/>
          <w:color w:val="333333"/>
        </w:rPr>
        <w:t xml:space="preserve"> had the burden of producing evidence to justify the increase in the subject property’s assessment from its fiscal year 2014 assessment.  The assessors produced little evidence of value, relying primarily on Mr. Lent’s testimony explaining that the Town had undergone a recent revaluation of all of its property.  However, the Board found that the appellee’s bare assertion of a town-wide revaluation did not justify</w:t>
      </w:r>
      <w:r w:rsidR="00A717AF" w:rsidRPr="00A37681">
        <w:rPr>
          <w:rFonts w:ascii="Courier New" w:hAnsi="Courier New" w:cs="Courier New"/>
          <w:color w:val="333333"/>
        </w:rPr>
        <w:t xml:space="preserve"> an increase in the subject property’s assessed value for the fiscal year at issue</w:t>
      </w:r>
      <w:r w:rsidR="00324260">
        <w:rPr>
          <w:rFonts w:ascii="Courier New" w:hAnsi="Courier New" w:cs="Courier New"/>
          <w:color w:val="333333"/>
        </w:rPr>
        <w:t>, absent a showing that the value of the subject property exceeded its fiscal year 2014 value</w:t>
      </w:r>
      <w:r w:rsidR="00A717AF" w:rsidRPr="00A37681">
        <w:rPr>
          <w:rFonts w:ascii="Courier New" w:hAnsi="Courier New" w:cs="Courier New"/>
          <w:color w:val="333333"/>
        </w:rPr>
        <w:t>.</w:t>
      </w:r>
      <w:r w:rsidR="00800D75">
        <w:rPr>
          <w:rFonts w:ascii="Courier New" w:hAnsi="Courier New" w:cs="Courier New"/>
          <w:color w:val="333333"/>
        </w:rPr>
        <w:t xml:space="preserve">  Moreover, the appellants pointed out several discrepancies in the subject property’s assessment</w:t>
      </w:r>
      <w:r w:rsidR="00324260">
        <w:rPr>
          <w:rFonts w:ascii="Courier New" w:hAnsi="Courier New" w:cs="Courier New"/>
          <w:color w:val="333333"/>
        </w:rPr>
        <w:t>, including living area</w:t>
      </w:r>
      <w:r w:rsidR="00977125">
        <w:rPr>
          <w:rFonts w:ascii="Courier New" w:hAnsi="Courier New" w:cs="Courier New"/>
          <w:color w:val="333333"/>
        </w:rPr>
        <w:t xml:space="preserve"> measurement</w:t>
      </w:r>
      <w:r w:rsidR="00324260">
        <w:rPr>
          <w:rFonts w:ascii="Courier New" w:hAnsi="Courier New" w:cs="Courier New"/>
          <w:color w:val="333333"/>
        </w:rPr>
        <w:t xml:space="preserve"> and room count,</w:t>
      </w:r>
      <w:r w:rsidR="00800D75">
        <w:rPr>
          <w:rFonts w:ascii="Courier New" w:hAnsi="Courier New" w:cs="Courier New"/>
          <w:color w:val="333333"/>
        </w:rPr>
        <w:t xml:space="preserve"> sufficient to call into question the validity of that assessment.  </w:t>
      </w:r>
      <w:r w:rsidR="00196173">
        <w:rPr>
          <w:rFonts w:ascii="Courier New" w:hAnsi="Courier New" w:cs="Courier New"/>
          <w:color w:val="333333"/>
        </w:rPr>
        <w:t xml:space="preserve">The Board </w:t>
      </w:r>
      <w:r w:rsidR="00196173">
        <w:rPr>
          <w:rFonts w:ascii="Courier New" w:hAnsi="Courier New" w:cs="Courier New"/>
          <w:color w:val="333333"/>
        </w:rPr>
        <w:lastRenderedPageBreak/>
        <w:t xml:space="preserve">further found </w:t>
      </w:r>
      <w:r w:rsidR="00196173">
        <w:rPr>
          <w:rFonts w:ascii="Courier New" w:hAnsi="Courier New" w:cs="Courier New"/>
        </w:rPr>
        <w:t xml:space="preserve">discrepancies between the subject property and nearby properties for the appellee’s noise adjustments.  </w:t>
      </w:r>
      <w:r w:rsidR="00800D75">
        <w:rPr>
          <w:rFonts w:ascii="Courier New" w:hAnsi="Courier New" w:cs="Courier New"/>
          <w:color w:val="333333"/>
        </w:rPr>
        <w:t>The Board thus found and ruled that the appellee failed to meet its burden of producing evidence sufficient to justify the increase in assessment.</w:t>
      </w:r>
    </w:p>
    <w:p w14:paraId="7EB63F9D" w14:textId="30D987E6" w:rsidR="00800D75" w:rsidRDefault="00800D75" w:rsidP="00A37681">
      <w:pPr>
        <w:spacing w:line="480" w:lineRule="auto"/>
        <w:ind w:firstLine="720"/>
        <w:jc w:val="both"/>
        <w:rPr>
          <w:rFonts w:ascii="Courier New" w:hAnsi="Courier New" w:cs="Courier New"/>
          <w:color w:val="333333"/>
        </w:rPr>
      </w:pPr>
      <w:r>
        <w:rPr>
          <w:rFonts w:ascii="Courier New" w:hAnsi="Courier New" w:cs="Courier New"/>
          <w:color w:val="333333"/>
        </w:rPr>
        <w:t>Accordingly, the Board issued a decision for the appellants.</w:t>
      </w:r>
    </w:p>
    <w:p w14:paraId="54D09A29" w14:textId="77777777" w:rsidR="0052486E" w:rsidRDefault="0052486E" w:rsidP="0052486E">
      <w:pPr>
        <w:ind w:left="3600" w:firstLine="720"/>
        <w:jc w:val="both"/>
        <w:rPr>
          <w:rFonts w:ascii="Courier New" w:hAnsi="Courier New" w:cs="Courier New"/>
          <w:b/>
          <w:bCs/>
        </w:rPr>
      </w:pPr>
    </w:p>
    <w:p w14:paraId="61B51D68" w14:textId="6554A70B" w:rsidR="009D2EF6" w:rsidRDefault="00766ED0" w:rsidP="0052486E">
      <w:pPr>
        <w:ind w:left="3600" w:firstLine="720"/>
        <w:jc w:val="both"/>
        <w:rPr>
          <w:rFonts w:ascii="Courier New" w:hAnsi="Courier New" w:cs="Courier New"/>
          <w:b/>
          <w:bCs/>
        </w:rPr>
      </w:pPr>
      <w:r w:rsidRPr="00294A90">
        <w:rPr>
          <w:rFonts w:ascii="Courier New" w:hAnsi="Courier New" w:cs="Courier New"/>
          <w:b/>
          <w:bCs/>
        </w:rPr>
        <w:t>THE APPELLATE TAX BOARD</w:t>
      </w:r>
    </w:p>
    <w:p w14:paraId="61B708B5" w14:textId="77777777" w:rsidR="0052486E" w:rsidRDefault="0052486E" w:rsidP="0052486E">
      <w:pPr>
        <w:ind w:left="3600" w:firstLine="720"/>
        <w:jc w:val="both"/>
        <w:rPr>
          <w:rFonts w:ascii="Courier New" w:hAnsi="Courier New" w:cs="Courier New"/>
          <w:b/>
          <w:bCs/>
        </w:rPr>
      </w:pPr>
    </w:p>
    <w:p w14:paraId="052B1029" w14:textId="77777777" w:rsidR="0052486E" w:rsidRDefault="0052486E" w:rsidP="0052486E">
      <w:pPr>
        <w:ind w:left="3600" w:firstLine="720"/>
        <w:jc w:val="both"/>
        <w:rPr>
          <w:rFonts w:ascii="Courier New" w:hAnsi="Courier New" w:cs="Courier New"/>
          <w:b/>
          <w:bCs/>
        </w:rPr>
      </w:pPr>
    </w:p>
    <w:p w14:paraId="27D9254E" w14:textId="77777777" w:rsidR="00766ED0" w:rsidRDefault="00766ED0" w:rsidP="00766ED0">
      <w:pPr>
        <w:spacing w:line="480" w:lineRule="auto"/>
        <w:ind w:left="3600" w:firstLine="720"/>
        <w:jc w:val="both"/>
        <w:rPr>
          <w:rFonts w:ascii="Courier New" w:hAnsi="Courier New" w:cs="Courier New"/>
          <w:b/>
          <w:bCs/>
        </w:rPr>
      </w:pPr>
    </w:p>
    <w:p w14:paraId="5078DC3B" w14:textId="2F4B5DDA" w:rsidR="00766ED0" w:rsidRPr="007D6EE3" w:rsidRDefault="00766ED0" w:rsidP="00766ED0">
      <w:pPr>
        <w:keepNext/>
        <w:ind w:left="3600"/>
        <w:outlineLvl w:val="2"/>
        <w:rPr>
          <w:rFonts w:ascii="Courier New" w:hAnsi="Courier New" w:cs="Courier New"/>
          <w:bCs/>
          <w:u w:val="single"/>
        </w:rPr>
      </w:pPr>
      <w:r w:rsidRPr="00294A90">
        <w:rPr>
          <w:rFonts w:ascii="Courier New" w:hAnsi="Courier New" w:cs="Courier New"/>
          <w:b/>
          <w:bCs/>
        </w:rPr>
        <w:t>By</w:t>
      </w:r>
      <w:r w:rsidR="009D2EF6" w:rsidRPr="00294A90">
        <w:rPr>
          <w:rFonts w:ascii="Courier New" w:hAnsi="Courier New" w:cs="Courier New"/>
          <w:b/>
          <w:bCs/>
        </w:rPr>
        <w:t>:</w:t>
      </w:r>
      <w:r w:rsidR="009D2EF6" w:rsidRPr="00DD4D7D">
        <w:rPr>
          <w:rFonts w:ascii="Courier New" w:hAnsi="Courier New" w:cs="Courier New"/>
          <w:b/>
          <w:bCs/>
        </w:rPr>
        <w:t xml:space="preserve"> _</w:t>
      </w:r>
      <w:r w:rsidRPr="00DD4D7D">
        <w:rPr>
          <w:rFonts w:ascii="Courier New" w:hAnsi="Courier New" w:cs="Courier New"/>
          <w:b/>
          <w:bCs/>
        </w:rPr>
        <w:t>______________________________</w:t>
      </w:r>
    </w:p>
    <w:p w14:paraId="47A5946E" w14:textId="795C5081" w:rsidR="00766ED0" w:rsidRPr="00294A90" w:rsidRDefault="00766ED0" w:rsidP="00766ED0">
      <w:pPr>
        <w:ind w:left="3600"/>
        <w:jc w:val="both"/>
        <w:rPr>
          <w:rFonts w:ascii="Courier New" w:hAnsi="Courier New" w:cs="Courier New"/>
          <w:b/>
          <w:bCs/>
        </w:rPr>
      </w:pPr>
      <w:r w:rsidRPr="00294A90">
        <w:rPr>
          <w:rFonts w:ascii="Courier New" w:hAnsi="Courier New" w:cs="Courier New"/>
          <w:b/>
          <w:bCs/>
        </w:rPr>
        <w:t xml:space="preserve">   </w:t>
      </w:r>
      <w:r w:rsidR="009D2EF6">
        <w:rPr>
          <w:rFonts w:ascii="Courier New" w:hAnsi="Courier New" w:cs="Courier New"/>
          <w:b/>
          <w:bCs/>
        </w:rPr>
        <w:t> </w:t>
      </w:r>
      <w:r w:rsidRPr="00294A90">
        <w:rPr>
          <w:rFonts w:ascii="Courier New" w:hAnsi="Courier New" w:cs="Courier New"/>
          <w:b/>
          <w:bCs/>
        </w:rPr>
        <w:t>Thomas W. Hammond, Jr. Chairman</w:t>
      </w:r>
    </w:p>
    <w:p w14:paraId="363C275D" w14:textId="77777777" w:rsidR="00766ED0" w:rsidRPr="00294A90" w:rsidRDefault="00766ED0" w:rsidP="00766ED0">
      <w:pPr>
        <w:jc w:val="both"/>
        <w:rPr>
          <w:rFonts w:ascii="Courier New" w:hAnsi="Courier New" w:cs="Courier New"/>
          <w:b/>
          <w:bCs/>
        </w:rPr>
      </w:pPr>
    </w:p>
    <w:p w14:paraId="3CBEE7BD" w14:textId="77777777" w:rsidR="00766ED0" w:rsidRDefault="00766ED0" w:rsidP="00766ED0">
      <w:pPr>
        <w:jc w:val="both"/>
        <w:rPr>
          <w:rFonts w:ascii="Courier New" w:hAnsi="Courier New" w:cs="Courier New"/>
          <w:b/>
          <w:bCs/>
        </w:rPr>
      </w:pPr>
    </w:p>
    <w:p w14:paraId="02CD060C" w14:textId="77777777" w:rsidR="00766ED0" w:rsidRDefault="00766ED0" w:rsidP="00766ED0">
      <w:pPr>
        <w:jc w:val="both"/>
        <w:rPr>
          <w:rFonts w:ascii="Courier New" w:hAnsi="Courier New" w:cs="Courier New"/>
          <w:b/>
          <w:bCs/>
        </w:rPr>
      </w:pPr>
    </w:p>
    <w:p w14:paraId="0BF5874F" w14:textId="77777777" w:rsidR="0052486E" w:rsidRDefault="0052486E" w:rsidP="00766ED0">
      <w:pPr>
        <w:jc w:val="both"/>
        <w:rPr>
          <w:rFonts w:ascii="Courier New" w:hAnsi="Courier New" w:cs="Courier New"/>
          <w:b/>
          <w:bCs/>
        </w:rPr>
      </w:pPr>
    </w:p>
    <w:p w14:paraId="0579567E" w14:textId="77777777" w:rsidR="00734755" w:rsidRDefault="00734755" w:rsidP="00734755">
      <w:pPr>
        <w:jc w:val="both"/>
        <w:rPr>
          <w:rFonts w:ascii="Courier New" w:hAnsi="Courier New" w:cs="Courier New"/>
          <w:b/>
          <w:bCs/>
        </w:rPr>
      </w:pPr>
      <w:r w:rsidRPr="00294A90">
        <w:rPr>
          <w:rFonts w:ascii="Courier New" w:hAnsi="Courier New" w:cs="Courier New"/>
          <w:b/>
          <w:bCs/>
        </w:rPr>
        <w:t>A true copy,</w:t>
      </w:r>
    </w:p>
    <w:p w14:paraId="1AF7C1DE" w14:textId="77777777" w:rsidR="00734755" w:rsidRDefault="00734755" w:rsidP="00734755">
      <w:pPr>
        <w:jc w:val="both"/>
        <w:rPr>
          <w:rFonts w:ascii="Courier New" w:hAnsi="Courier New" w:cs="Courier New"/>
          <w:b/>
          <w:bCs/>
        </w:rPr>
      </w:pPr>
    </w:p>
    <w:p w14:paraId="2DD52DED" w14:textId="77777777" w:rsidR="00734755" w:rsidRDefault="00734755" w:rsidP="00734755">
      <w:pPr>
        <w:jc w:val="both"/>
        <w:rPr>
          <w:rFonts w:ascii="Courier New" w:hAnsi="Courier New" w:cs="Courier New"/>
          <w:b/>
          <w:bCs/>
        </w:rPr>
      </w:pPr>
    </w:p>
    <w:p w14:paraId="664FB37D" w14:textId="77777777" w:rsidR="00734755" w:rsidRDefault="00734755" w:rsidP="00734755">
      <w:pPr>
        <w:jc w:val="both"/>
        <w:rPr>
          <w:rFonts w:ascii="Courier New" w:hAnsi="Courier New" w:cs="Courier New"/>
          <w:b/>
          <w:bCs/>
        </w:rPr>
      </w:pPr>
      <w:r w:rsidRPr="00294A90">
        <w:rPr>
          <w:rFonts w:ascii="Courier New" w:hAnsi="Courier New" w:cs="Courier New"/>
          <w:b/>
          <w:bCs/>
        </w:rPr>
        <w:t>Attest: ___________</w:t>
      </w:r>
      <w:r>
        <w:rPr>
          <w:rFonts w:ascii="Courier New" w:hAnsi="Courier New" w:cs="Courier New"/>
          <w:b/>
          <w:bCs/>
        </w:rPr>
        <w:t>__</w:t>
      </w:r>
      <w:r w:rsidRPr="00294A90">
        <w:rPr>
          <w:rFonts w:ascii="Courier New" w:hAnsi="Courier New" w:cs="Courier New"/>
          <w:b/>
          <w:bCs/>
        </w:rPr>
        <w:t>________</w:t>
      </w:r>
    </w:p>
    <w:p w14:paraId="1AA5ACD0" w14:textId="77777777" w:rsidR="00734755" w:rsidRPr="00F61F91" w:rsidRDefault="00734755" w:rsidP="00734755">
      <w:pPr>
        <w:jc w:val="both"/>
        <w:rPr>
          <w:rFonts w:ascii="Courier New" w:hAnsi="Courier New" w:cs="Courier New"/>
          <w:b/>
          <w:bCs/>
        </w:rPr>
      </w:pPr>
      <w:r>
        <w:rPr>
          <w:rFonts w:ascii="Courier New" w:hAnsi="Courier New" w:cs="Courier New"/>
          <w:b/>
          <w:bCs/>
        </w:rPr>
        <w:t xml:space="preserve">     </w:t>
      </w:r>
      <w:r w:rsidRPr="00294A90">
        <w:rPr>
          <w:rFonts w:ascii="Courier New" w:hAnsi="Courier New" w:cs="Courier New"/>
          <w:b/>
          <w:bCs/>
        </w:rPr>
        <w:t xml:space="preserve">   </w:t>
      </w:r>
      <w:r>
        <w:rPr>
          <w:rFonts w:ascii="Courier New" w:hAnsi="Courier New" w:cs="Courier New"/>
          <w:b/>
          <w:bCs/>
        </w:rPr>
        <w:t> </w:t>
      </w:r>
      <w:r w:rsidRPr="00294A90">
        <w:rPr>
          <w:rFonts w:ascii="Courier New" w:hAnsi="Courier New" w:cs="Courier New"/>
          <w:b/>
          <w:bCs/>
        </w:rPr>
        <w:t>Clerk of the Board</w:t>
      </w:r>
    </w:p>
    <w:p w14:paraId="60E35857" w14:textId="77777777" w:rsidR="00734755" w:rsidRPr="00A37681" w:rsidRDefault="00734755" w:rsidP="00734755">
      <w:pPr>
        <w:jc w:val="both"/>
        <w:rPr>
          <w:rFonts w:ascii="Courier New" w:hAnsi="Courier New" w:cs="Courier New"/>
        </w:rPr>
      </w:pPr>
    </w:p>
    <w:p w14:paraId="7B99422C" w14:textId="77777777" w:rsidR="0052486E" w:rsidRDefault="0052486E" w:rsidP="00766ED0">
      <w:pPr>
        <w:jc w:val="both"/>
        <w:rPr>
          <w:rFonts w:ascii="Courier New" w:hAnsi="Courier New" w:cs="Courier New"/>
          <w:b/>
          <w:bCs/>
        </w:rPr>
      </w:pPr>
    </w:p>
    <w:sectPr w:rsidR="0052486E" w:rsidSect="00D94717">
      <w:footerReference w:type="default" r:id="rId7"/>
      <w:pgSz w:w="12240" w:h="15840"/>
      <w:pgMar w:top="1440" w:right="1440" w:bottom="1440" w:left="1440" w:header="720" w:footer="720" w:gutter="0"/>
      <w:pgNumType w:start="13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506A2" w14:textId="77777777" w:rsidR="005F1C5E" w:rsidRDefault="005F1C5E" w:rsidP="00674C88">
      <w:r>
        <w:separator/>
      </w:r>
    </w:p>
  </w:endnote>
  <w:endnote w:type="continuationSeparator" w:id="0">
    <w:p w14:paraId="3D0C2213" w14:textId="77777777" w:rsidR="005F1C5E" w:rsidRDefault="005F1C5E" w:rsidP="0067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rPr>
      <w:id w:val="-1374918952"/>
      <w:docPartObj>
        <w:docPartGallery w:val="Page Numbers (Bottom of Page)"/>
        <w:docPartUnique/>
      </w:docPartObj>
    </w:sdtPr>
    <w:sdtEndPr>
      <w:rPr>
        <w:b/>
        <w:noProof/>
      </w:rPr>
    </w:sdtEndPr>
    <w:sdtContent>
      <w:p w14:paraId="2EF4FF59" w14:textId="140F6C8E" w:rsidR="00200CEB" w:rsidRPr="0073180F" w:rsidRDefault="00D94717" w:rsidP="00D94717">
        <w:pPr>
          <w:pStyle w:val="Footer"/>
          <w:jc w:val="center"/>
          <w:rPr>
            <w:rFonts w:ascii="Courier New" w:hAnsi="Courier New" w:cs="Courier New"/>
            <w:b/>
          </w:rPr>
        </w:pPr>
        <w:r w:rsidRPr="0073180F">
          <w:rPr>
            <w:rFonts w:ascii="Courier New" w:hAnsi="Courier New" w:cs="Courier New"/>
            <w:b/>
          </w:rPr>
          <w:t>ATB 2018-</w:t>
        </w:r>
        <w:r w:rsidR="00200CEB" w:rsidRPr="0073180F">
          <w:rPr>
            <w:rFonts w:ascii="Courier New" w:hAnsi="Courier New" w:cs="Courier New"/>
            <w:b/>
          </w:rPr>
          <w:fldChar w:fldCharType="begin"/>
        </w:r>
        <w:r w:rsidR="00200CEB" w:rsidRPr="0073180F">
          <w:rPr>
            <w:rFonts w:ascii="Courier New" w:hAnsi="Courier New" w:cs="Courier New"/>
            <w:b/>
          </w:rPr>
          <w:instrText xml:space="preserve"> PAGE   \* MERGEFORMAT </w:instrText>
        </w:r>
        <w:r w:rsidR="00200CEB" w:rsidRPr="0073180F">
          <w:rPr>
            <w:rFonts w:ascii="Courier New" w:hAnsi="Courier New" w:cs="Courier New"/>
            <w:b/>
          </w:rPr>
          <w:fldChar w:fldCharType="separate"/>
        </w:r>
        <w:r w:rsidR="00791F73">
          <w:rPr>
            <w:rFonts w:ascii="Courier New" w:hAnsi="Courier New" w:cs="Courier New"/>
            <w:b/>
            <w:noProof/>
          </w:rPr>
          <w:t>130</w:t>
        </w:r>
        <w:r w:rsidR="00200CEB" w:rsidRPr="0073180F">
          <w:rPr>
            <w:rFonts w:ascii="Courier New" w:hAnsi="Courier New" w:cs="Courier New"/>
            <w:b/>
            <w:noProof/>
          </w:rPr>
          <w:fldChar w:fldCharType="end"/>
        </w:r>
      </w:p>
    </w:sdtContent>
  </w:sdt>
  <w:p w14:paraId="11DF6B45" w14:textId="77777777" w:rsidR="00200CEB" w:rsidRPr="00D94717" w:rsidRDefault="00200CEB">
    <w:pPr>
      <w:pStyle w:val="Footer"/>
      <w:rPr>
        <w:rFonts w:ascii="Courier New" w:hAnsi="Courier New" w:cs="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E9D84" w14:textId="77777777" w:rsidR="005F1C5E" w:rsidRDefault="005F1C5E" w:rsidP="00674C88">
      <w:r>
        <w:separator/>
      </w:r>
    </w:p>
  </w:footnote>
  <w:footnote w:type="continuationSeparator" w:id="0">
    <w:p w14:paraId="36C65450" w14:textId="77777777" w:rsidR="005F1C5E" w:rsidRDefault="005F1C5E" w:rsidP="00674C88">
      <w:r>
        <w:continuationSeparator/>
      </w:r>
    </w:p>
  </w:footnote>
  <w:footnote w:id="1">
    <w:p w14:paraId="32872A27" w14:textId="77777777" w:rsidR="005F1C5E" w:rsidRDefault="005F1C5E" w:rsidP="00674C88">
      <w:pPr>
        <w:pStyle w:val="FootnoteText"/>
        <w:jc w:val="both"/>
        <w:rPr>
          <w:rFonts w:ascii="Courier New" w:hAnsi="Courier New" w:cs="Courier New"/>
        </w:rPr>
      </w:pPr>
      <w:r>
        <w:rPr>
          <w:rStyle w:val="FootnoteReference"/>
          <w:rFonts w:ascii="Courier New" w:hAnsi="Courier New" w:cs="Courier New"/>
        </w:rPr>
        <w:footnoteRef/>
      </w:r>
      <w:r>
        <w:rPr>
          <w:rFonts w:ascii="Courier New" w:hAnsi="Courier New" w:cs="Courier New"/>
        </w:rPr>
        <w:t xml:space="preserve"> Within thirty days of the service of the appeal, the Town of Lexington, in accordance with G.L. c. 58A, § 7A, elected to have the appeal heard under the formal procedure.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47"/>
    <w:rsid w:val="00027BC7"/>
    <w:rsid w:val="0003702E"/>
    <w:rsid w:val="00045B52"/>
    <w:rsid w:val="00081837"/>
    <w:rsid w:val="00092C7F"/>
    <w:rsid w:val="000A3682"/>
    <w:rsid w:val="000D7EAE"/>
    <w:rsid w:val="000F359D"/>
    <w:rsid w:val="000F4CF5"/>
    <w:rsid w:val="000F57EB"/>
    <w:rsid w:val="00130F07"/>
    <w:rsid w:val="00141C87"/>
    <w:rsid w:val="0016078F"/>
    <w:rsid w:val="00180A47"/>
    <w:rsid w:val="00193055"/>
    <w:rsid w:val="00196173"/>
    <w:rsid w:val="001A0242"/>
    <w:rsid w:val="001A0377"/>
    <w:rsid w:val="001A5CF7"/>
    <w:rsid w:val="001C77CB"/>
    <w:rsid w:val="001E346C"/>
    <w:rsid w:val="001E477A"/>
    <w:rsid w:val="001F75AB"/>
    <w:rsid w:val="00200CEB"/>
    <w:rsid w:val="0022574C"/>
    <w:rsid w:val="002436E3"/>
    <w:rsid w:val="00250503"/>
    <w:rsid w:val="00282812"/>
    <w:rsid w:val="002951FA"/>
    <w:rsid w:val="002953DB"/>
    <w:rsid w:val="002B32E5"/>
    <w:rsid w:val="002C517C"/>
    <w:rsid w:val="002D227D"/>
    <w:rsid w:val="002D47CD"/>
    <w:rsid w:val="00324260"/>
    <w:rsid w:val="003251D9"/>
    <w:rsid w:val="00351E18"/>
    <w:rsid w:val="00353461"/>
    <w:rsid w:val="00360675"/>
    <w:rsid w:val="00361407"/>
    <w:rsid w:val="003628C2"/>
    <w:rsid w:val="00365630"/>
    <w:rsid w:val="00374A40"/>
    <w:rsid w:val="00392EB0"/>
    <w:rsid w:val="003D7A08"/>
    <w:rsid w:val="003E6431"/>
    <w:rsid w:val="003E7F05"/>
    <w:rsid w:val="003F3411"/>
    <w:rsid w:val="003F3991"/>
    <w:rsid w:val="003F55A3"/>
    <w:rsid w:val="00426533"/>
    <w:rsid w:val="004456F0"/>
    <w:rsid w:val="00445B36"/>
    <w:rsid w:val="00467FCA"/>
    <w:rsid w:val="004C6FB0"/>
    <w:rsid w:val="004D2BAF"/>
    <w:rsid w:val="004F198B"/>
    <w:rsid w:val="00513CFF"/>
    <w:rsid w:val="0052486E"/>
    <w:rsid w:val="00535A3C"/>
    <w:rsid w:val="00543EBB"/>
    <w:rsid w:val="00560160"/>
    <w:rsid w:val="005834B3"/>
    <w:rsid w:val="005844E1"/>
    <w:rsid w:val="00585EBA"/>
    <w:rsid w:val="005A6A86"/>
    <w:rsid w:val="005B3ABA"/>
    <w:rsid w:val="005C31E2"/>
    <w:rsid w:val="005C34E9"/>
    <w:rsid w:val="005D7CF3"/>
    <w:rsid w:val="005E386F"/>
    <w:rsid w:val="005F1C5E"/>
    <w:rsid w:val="00614B17"/>
    <w:rsid w:val="00627FE3"/>
    <w:rsid w:val="00646761"/>
    <w:rsid w:val="006539A2"/>
    <w:rsid w:val="00674AF3"/>
    <w:rsid w:val="00674C88"/>
    <w:rsid w:val="006829D8"/>
    <w:rsid w:val="00683923"/>
    <w:rsid w:val="00692C85"/>
    <w:rsid w:val="006A7A8C"/>
    <w:rsid w:val="006B130D"/>
    <w:rsid w:val="006C206E"/>
    <w:rsid w:val="006C76EC"/>
    <w:rsid w:val="006D3345"/>
    <w:rsid w:val="006F7E11"/>
    <w:rsid w:val="0070473C"/>
    <w:rsid w:val="007137D5"/>
    <w:rsid w:val="0073180F"/>
    <w:rsid w:val="00734755"/>
    <w:rsid w:val="007533EC"/>
    <w:rsid w:val="00766ED0"/>
    <w:rsid w:val="00767DC0"/>
    <w:rsid w:val="00774BA3"/>
    <w:rsid w:val="00783E09"/>
    <w:rsid w:val="00791B39"/>
    <w:rsid w:val="00791F73"/>
    <w:rsid w:val="007B4C85"/>
    <w:rsid w:val="007E5F47"/>
    <w:rsid w:val="007F7E75"/>
    <w:rsid w:val="00800D75"/>
    <w:rsid w:val="00804D41"/>
    <w:rsid w:val="0082053A"/>
    <w:rsid w:val="008242AA"/>
    <w:rsid w:val="00833258"/>
    <w:rsid w:val="00843D5D"/>
    <w:rsid w:val="00865238"/>
    <w:rsid w:val="00872E38"/>
    <w:rsid w:val="008A5F0C"/>
    <w:rsid w:val="008B76E6"/>
    <w:rsid w:val="008C03A8"/>
    <w:rsid w:val="008F5020"/>
    <w:rsid w:val="00900AA3"/>
    <w:rsid w:val="00903927"/>
    <w:rsid w:val="00904101"/>
    <w:rsid w:val="0090787E"/>
    <w:rsid w:val="00922472"/>
    <w:rsid w:val="009318DD"/>
    <w:rsid w:val="0093580E"/>
    <w:rsid w:val="00940F05"/>
    <w:rsid w:val="00977125"/>
    <w:rsid w:val="009877CC"/>
    <w:rsid w:val="00995144"/>
    <w:rsid w:val="009D2EF6"/>
    <w:rsid w:val="009D66E6"/>
    <w:rsid w:val="009E32B9"/>
    <w:rsid w:val="00A1382A"/>
    <w:rsid w:val="00A15625"/>
    <w:rsid w:val="00A37681"/>
    <w:rsid w:val="00A47244"/>
    <w:rsid w:val="00A519A8"/>
    <w:rsid w:val="00A717AF"/>
    <w:rsid w:val="00A91EDC"/>
    <w:rsid w:val="00AA4906"/>
    <w:rsid w:val="00AB37A1"/>
    <w:rsid w:val="00AD0205"/>
    <w:rsid w:val="00AF1DC8"/>
    <w:rsid w:val="00AF2B48"/>
    <w:rsid w:val="00AF69CC"/>
    <w:rsid w:val="00B02924"/>
    <w:rsid w:val="00B10DA9"/>
    <w:rsid w:val="00B15B4C"/>
    <w:rsid w:val="00B16265"/>
    <w:rsid w:val="00B23F46"/>
    <w:rsid w:val="00B303C8"/>
    <w:rsid w:val="00B50288"/>
    <w:rsid w:val="00B514B5"/>
    <w:rsid w:val="00B647F5"/>
    <w:rsid w:val="00B8468C"/>
    <w:rsid w:val="00BB3C50"/>
    <w:rsid w:val="00BC5BF2"/>
    <w:rsid w:val="00C0471E"/>
    <w:rsid w:val="00C1651A"/>
    <w:rsid w:val="00C30403"/>
    <w:rsid w:val="00C31234"/>
    <w:rsid w:val="00C63D7A"/>
    <w:rsid w:val="00C73DFE"/>
    <w:rsid w:val="00C90C86"/>
    <w:rsid w:val="00CA3B16"/>
    <w:rsid w:val="00CB4E2F"/>
    <w:rsid w:val="00CB4EB8"/>
    <w:rsid w:val="00CC3EF3"/>
    <w:rsid w:val="00CE01B9"/>
    <w:rsid w:val="00CF4548"/>
    <w:rsid w:val="00D043F6"/>
    <w:rsid w:val="00D5352B"/>
    <w:rsid w:val="00D94717"/>
    <w:rsid w:val="00D95251"/>
    <w:rsid w:val="00D97100"/>
    <w:rsid w:val="00DA5EF3"/>
    <w:rsid w:val="00DC3C73"/>
    <w:rsid w:val="00DD12BA"/>
    <w:rsid w:val="00DD4480"/>
    <w:rsid w:val="00DE58A7"/>
    <w:rsid w:val="00E437AC"/>
    <w:rsid w:val="00E50CD4"/>
    <w:rsid w:val="00E614AE"/>
    <w:rsid w:val="00E84F37"/>
    <w:rsid w:val="00EA7EE2"/>
    <w:rsid w:val="00EB0475"/>
    <w:rsid w:val="00EB6416"/>
    <w:rsid w:val="00EF1DD9"/>
    <w:rsid w:val="00F11FA5"/>
    <w:rsid w:val="00F50A3D"/>
    <w:rsid w:val="00F60C5C"/>
    <w:rsid w:val="00F65D5B"/>
    <w:rsid w:val="00F76B93"/>
    <w:rsid w:val="00F93162"/>
    <w:rsid w:val="00F97D35"/>
    <w:rsid w:val="00FF3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D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47"/>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0A47"/>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180A47"/>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A47"/>
    <w:rPr>
      <w:rFonts w:ascii="Courier New" w:eastAsia="Times New Roman" w:hAnsi="Courier New" w:cs="Courier New"/>
      <w:b/>
      <w:bCs/>
      <w:sz w:val="24"/>
      <w:szCs w:val="24"/>
    </w:rPr>
  </w:style>
  <w:style w:type="character" w:customStyle="1" w:styleId="Heading2Char">
    <w:name w:val="Heading 2 Char"/>
    <w:basedOn w:val="DefaultParagraphFont"/>
    <w:link w:val="Heading2"/>
    <w:rsid w:val="00180A47"/>
    <w:rPr>
      <w:rFonts w:ascii="Courier New" w:eastAsia="Times New Roman" w:hAnsi="Courier New" w:cs="Courier New"/>
      <w:b/>
      <w:bCs/>
      <w:sz w:val="24"/>
      <w:szCs w:val="24"/>
    </w:rPr>
  </w:style>
  <w:style w:type="paragraph" w:styleId="Title">
    <w:name w:val="Title"/>
    <w:basedOn w:val="Normal"/>
    <w:link w:val="TitleChar"/>
    <w:qFormat/>
    <w:rsid w:val="00180A47"/>
    <w:pPr>
      <w:jc w:val="center"/>
    </w:pPr>
    <w:rPr>
      <w:rFonts w:ascii="Courier New" w:hAnsi="Courier New" w:cs="Courier New"/>
      <w:b/>
      <w:bCs/>
    </w:rPr>
  </w:style>
  <w:style w:type="character" w:customStyle="1" w:styleId="TitleChar">
    <w:name w:val="Title Char"/>
    <w:basedOn w:val="DefaultParagraphFont"/>
    <w:link w:val="Title"/>
    <w:rsid w:val="00180A47"/>
    <w:rPr>
      <w:rFonts w:ascii="Courier New" w:eastAsia="Times New Roman" w:hAnsi="Courier New" w:cs="Courier New"/>
      <w:b/>
      <w:bCs/>
      <w:sz w:val="24"/>
      <w:szCs w:val="24"/>
    </w:rPr>
  </w:style>
  <w:style w:type="paragraph" w:styleId="BodyText2">
    <w:name w:val="Body Text 2"/>
    <w:basedOn w:val="Normal"/>
    <w:link w:val="BodyText2Char"/>
    <w:rsid w:val="00180A47"/>
    <w:pPr>
      <w:spacing w:after="120" w:line="480" w:lineRule="auto"/>
    </w:pPr>
  </w:style>
  <w:style w:type="character" w:customStyle="1" w:styleId="BodyText2Char">
    <w:name w:val="Body Text 2 Char"/>
    <w:basedOn w:val="DefaultParagraphFont"/>
    <w:link w:val="BodyText2"/>
    <w:rsid w:val="00180A47"/>
    <w:rPr>
      <w:rFonts w:ascii="Times New Roman" w:eastAsia="Times New Roman" w:hAnsi="Times New Roman" w:cs="Times New Roman"/>
      <w:sz w:val="24"/>
      <w:szCs w:val="24"/>
    </w:rPr>
  </w:style>
  <w:style w:type="paragraph" w:styleId="FootnoteText">
    <w:name w:val="footnote text"/>
    <w:basedOn w:val="Normal"/>
    <w:link w:val="FootnoteTextChar"/>
    <w:semiHidden/>
    <w:rsid w:val="00674C88"/>
    <w:rPr>
      <w:sz w:val="20"/>
      <w:szCs w:val="20"/>
    </w:rPr>
  </w:style>
  <w:style w:type="character" w:customStyle="1" w:styleId="FootnoteTextChar">
    <w:name w:val="Footnote Text Char"/>
    <w:basedOn w:val="DefaultParagraphFont"/>
    <w:link w:val="FootnoteText"/>
    <w:semiHidden/>
    <w:rsid w:val="00674C88"/>
    <w:rPr>
      <w:rFonts w:ascii="Times New Roman" w:eastAsia="Times New Roman" w:hAnsi="Times New Roman" w:cs="Times New Roman"/>
      <w:sz w:val="20"/>
      <w:szCs w:val="20"/>
    </w:rPr>
  </w:style>
  <w:style w:type="character" w:styleId="FootnoteReference">
    <w:name w:val="footnote reference"/>
    <w:semiHidden/>
    <w:rsid w:val="00674C88"/>
    <w:rPr>
      <w:vertAlign w:val="superscript"/>
    </w:rPr>
  </w:style>
  <w:style w:type="paragraph" w:styleId="Header">
    <w:name w:val="header"/>
    <w:basedOn w:val="Normal"/>
    <w:link w:val="HeaderChar"/>
    <w:uiPriority w:val="99"/>
    <w:unhideWhenUsed/>
    <w:rsid w:val="00200CEB"/>
    <w:pPr>
      <w:tabs>
        <w:tab w:val="center" w:pos="4680"/>
        <w:tab w:val="right" w:pos="9360"/>
      </w:tabs>
    </w:pPr>
  </w:style>
  <w:style w:type="character" w:customStyle="1" w:styleId="HeaderChar">
    <w:name w:val="Header Char"/>
    <w:basedOn w:val="DefaultParagraphFont"/>
    <w:link w:val="Header"/>
    <w:uiPriority w:val="99"/>
    <w:rsid w:val="00200C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0CEB"/>
    <w:pPr>
      <w:tabs>
        <w:tab w:val="center" w:pos="4680"/>
        <w:tab w:val="right" w:pos="9360"/>
      </w:tabs>
    </w:pPr>
  </w:style>
  <w:style w:type="character" w:customStyle="1" w:styleId="FooterChar">
    <w:name w:val="Footer Char"/>
    <w:basedOn w:val="DefaultParagraphFont"/>
    <w:link w:val="Footer"/>
    <w:uiPriority w:val="99"/>
    <w:rsid w:val="00200C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198B"/>
    <w:rPr>
      <w:rFonts w:ascii="Tahoma" w:hAnsi="Tahoma" w:cs="Tahoma"/>
      <w:sz w:val="16"/>
      <w:szCs w:val="16"/>
    </w:rPr>
  </w:style>
  <w:style w:type="character" w:customStyle="1" w:styleId="BalloonTextChar">
    <w:name w:val="Balloon Text Char"/>
    <w:basedOn w:val="DefaultParagraphFont"/>
    <w:link w:val="BalloonText"/>
    <w:uiPriority w:val="99"/>
    <w:semiHidden/>
    <w:rsid w:val="004F19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47"/>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0A47"/>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180A47"/>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A47"/>
    <w:rPr>
      <w:rFonts w:ascii="Courier New" w:eastAsia="Times New Roman" w:hAnsi="Courier New" w:cs="Courier New"/>
      <w:b/>
      <w:bCs/>
      <w:sz w:val="24"/>
      <w:szCs w:val="24"/>
    </w:rPr>
  </w:style>
  <w:style w:type="character" w:customStyle="1" w:styleId="Heading2Char">
    <w:name w:val="Heading 2 Char"/>
    <w:basedOn w:val="DefaultParagraphFont"/>
    <w:link w:val="Heading2"/>
    <w:rsid w:val="00180A47"/>
    <w:rPr>
      <w:rFonts w:ascii="Courier New" w:eastAsia="Times New Roman" w:hAnsi="Courier New" w:cs="Courier New"/>
      <w:b/>
      <w:bCs/>
      <w:sz w:val="24"/>
      <w:szCs w:val="24"/>
    </w:rPr>
  </w:style>
  <w:style w:type="paragraph" w:styleId="Title">
    <w:name w:val="Title"/>
    <w:basedOn w:val="Normal"/>
    <w:link w:val="TitleChar"/>
    <w:qFormat/>
    <w:rsid w:val="00180A47"/>
    <w:pPr>
      <w:jc w:val="center"/>
    </w:pPr>
    <w:rPr>
      <w:rFonts w:ascii="Courier New" w:hAnsi="Courier New" w:cs="Courier New"/>
      <w:b/>
      <w:bCs/>
    </w:rPr>
  </w:style>
  <w:style w:type="character" w:customStyle="1" w:styleId="TitleChar">
    <w:name w:val="Title Char"/>
    <w:basedOn w:val="DefaultParagraphFont"/>
    <w:link w:val="Title"/>
    <w:rsid w:val="00180A47"/>
    <w:rPr>
      <w:rFonts w:ascii="Courier New" w:eastAsia="Times New Roman" w:hAnsi="Courier New" w:cs="Courier New"/>
      <w:b/>
      <w:bCs/>
      <w:sz w:val="24"/>
      <w:szCs w:val="24"/>
    </w:rPr>
  </w:style>
  <w:style w:type="paragraph" w:styleId="BodyText2">
    <w:name w:val="Body Text 2"/>
    <w:basedOn w:val="Normal"/>
    <w:link w:val="BodyText2Char"/>
    <w:rsid w:val="00180A47"/>
    <w:pPr>
      <w:spacing w:after="120" w:line="480" w:lineRule="auto"/>
    </w:pPr>
  </w:style>
  <w:style w:type="character" w:customStyle="1" w:styleId="BodyText2Char">
    <w:name w:val="Body Text 2 Char"/>
    <w:basedOn w:val="DefaultParagraphFont"/>
    <w:link w:val="BodyText2"/>
    <w:rsid w:val="00180A47"/>
    <w:rPr>
      <w:rFonts w:ascii="Times New Roman" w:eastAsia="Times New Roman" w:hAnsi="Times New Roman" w:cs="Times New Roman"/>
      <w:sz w:val="24"/>
      <w:szCs w:val="24"/>
    </w:rPr>
  </w:style>
  <w:style w:type="paragraph" w:styleId="FootnoteText">
    <w:name w:val="footnote text"/>
    <w:basedOn w:val="Normal"/>
    <w:link w:val="FootnoteTextChar"/>
    <w:semiHidden/>
    <w:rsid w:val="00674C88"/>
    <w:rPr>
      <w:sz w:val="20"/>
      <w:szCs w:val="20"/>
    </w:rPr>
  </w:style>
  <w:style w:type="character" w:customStyle="1" w:styleId="FootnoteTextChar">
    <w:name w:val="Footnote Text Char"/>
    <w:basedOn w:val="DefaultParagraphFont"/>
    <w:link w:val="FootnoteText"/>
    <w:semiHidden/>
    <w:rsid w:val="00674C88"/>
    <w:rPr>
      <w:rFonts w:ascii="Times New Roman" w:eastAsia="Times New Roman" w:hAnsi="Times New Roman" w:cs="Times New Roman"/>
      <w:sz w:val="20"/>
      <w:szCs w:val="20"/>
    </w:rPr>
  </w:style>
  <w:style w:type="character" w:styleId="FootnoteReference">
    <w:name w:val="footnote reference"/>
    <w:semiHidden/>
    <w:rsid w:val="00674C88"/>
    <w:rPr>
      <w:vertAlign w:val="superscript"/>
    </w:rPr>
  </w:style>
  <w:style w:type="paragraph" w:styleId="Header">
    <w:name w:val="header"/>
    <w:basedOn w:val="Normal"/>
    <w:link w:val="HeaderChar"/>
    <w:uiPriority w:val="99"/>
    <w:unhideWhenUsed/>
    <w:rsid w:val="00200CEB"/>
    <w:pPr>
      <w:tabs>
        <w:tab w:val="center" w:pos="4680"/>
        <w:tab w:val="right" w:pos="9360"/>
      </w:tabs>
    </w:pPr>
  </w:style>
  <w:style w:type="character" w:customStyle="1" w:styleId="HeaderChar">
    <w:name w:val="Header Char"/>
    <w:basedOn w:val="DefaultParagraphFont"/>
    <w:link w:val="Header"/>
    <w:uiPriority w:val="99"/>
    <w:rsid w:val="00200C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0CEB"/>
    <w:pPr>
      <w:tabs>
        <w:tab w:val="center" w:pos="4680"/>
        <w:tab w:val="right" w:pos="9360"/>
      </w:tabs>
    </w:pPr>
  </w:style>
  <w:style w:type="character" w:customStyle="1" w:styleId="FooterChar">
    <w:name w:val="Footer Char"/>
    <w:basedOn w:val="DefaultParagraphFont"/>
    <w:link w:val="Footer"/>
    <w:uiPriority w:val="99"/>
    <w:rsid w:val="00200C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198B"/>
    <w:rPr>
      <w:rFonts w:ascii="Tahoma" w:hAnsi="Tahoma" w:cs="Tahoma"/>
      <w:sz w:val="16"/>
      <w:szCs w:val="16"/>
    </w:rPr>
  </w:style>
  <w:style w:type="character" w:customStyle="1" w:styleId="BalloonTextChar">
    <w:name w:val="Balloon Text Char"/>
    <w:basedOn w:val="DefaultParagraphFont"/>
    <w:link w:val="BalloonText"/>
    <w:uiPriority w:val="99"/>
    <w:semiHidden/>
    <w:rsid w:val="004F19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2018-05-16T14:07:00Z</cp:lastPrinted>
  <dcterms:created xsi:type="dcterms:W3CDTF">2018-05-16T15:36:00Z</dcterms:created>
  <dcterms:modified xsi:type="dcterms:W3CDTF">2018-05-16T15:36:00Z</dcterms:modified>
</cp:coreProperties>
</file>